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5807C">
      <w:pPr>
        <w:pStyle w:val="15"/>
        <w:rPr>
          <w:rFonts w:ascii="黑体" w:hAnsi="黑体" w:cs="黑体"/>
          <w:color w:val="auto"/>
        </w:rPr>
      </w:pPr>
      <w:bookmarkStart w:id="0" w:name="SectionMark0"/>
      <w:r>
        <w:rPr>
          <w:color w:val="auto"/>
        </w:rPr>
        <w:t>ICS</w:t>
      </w:r>
      <w:r>
        <w:rPr>
          <w:rFonts w:hint="eastAsia" w:ascii="黑体" w:hAnsi="黑体" w:cs="黑体"/>
          <w:color w:val="auto"/>
        </w:rPr>
        <w:t xml:space="preserve"> 65.020.20</w:t>
      </w:r>
    </w:p>
    <w:p w14:paraId="0B31119E">
      <w:pPr>
        <w:pStyle w:val="15"/>
        <w:rPr>
          <w:color w:val="auto"/>
        </w:rPr>
      </w:pPr>
      <w:r>
        <w:rPr>
          <w:rFonts w:hint="eastAsia"/>
          <w:color w:val="auto"/>
        </w:rPr>
        <w:t>C</w:t>
      </w:r>
      <w:r>
        <w:rPr>
          <w:color w:val="auto"/>
        </w:rPr>
        <w:t>CS</w:t>
      </w:r>
      <w:r>
        <w:rPr>
          <w:rFonts w:hint="eastAsia" w:ascii="黑体" w:hAnsi="黑体" w:cs="黑体"/>
          <w:color w:val="auto"/>
        </w:rPr>
        <w:t xml:space="preserve"> </w:t>
      </w:r>
      <w:r>
        <w:rPr>
          <w:rFonts w:hint="eastAsia"/>
          <w:color w:val="auto"/>
        </w:rPr>
        <w:t>B</w:t>
      </w:r>
      <w:r>
        <w:rPr>
          <w:rFonts w:hint="eastAsia" w:ascii="黑体" w:hAnsi="黑体" w:cs="黑体"/>
          <w:color w:val="auto"/>
        </w:rPr>
        <w:t xml:space="preserve"> 39</w:t>
      </w:r>
    </w:p>
    <w:p w14:paraId="73D67E18">
      <w:pPr>
        <w:pStyle w:val="16"/>
        <w:rPr>
          <w:rFonts w:hint="eastAsia"/>
          <w:color w:val="auto"/>
        </w:rPr>
      </w:pPr>
      <w:r>
        <w:rPr>
          <w:color w:val="auto"/>
        </w:rPr>
        <w:t>DB</w:t>
      </w:r>
      <w:r>
        <w:rPr>
          <w:rFonts w:hint="eastAsia"/>
          <w:color w:val="auto"/>
        </w:rPr>
        <w:t>13</w:t>
      </w:r>
    </w:p>
    <w:p w14:paraId="731D5133">
      <w:pPr>
        <w:pStyle w:val="18"/>
        <w:rPr>
          <w:color w:val="auto"/>
        </w:rPr>
      </w:pPr>
      <w:r>
        <w:rPr>
          <w:rFonts w:hint="eastAsia"/>
          <w:color w:val="auto"/>
        </w:rPr>
        <w:t>河北省地方标准</w:t>
      </w:r>
    </w:p>
    <w:p w14:paraId="1D661034">
      <w:pPr>
        <w:pStyle w:val="19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160" w:lineRule="exact"/>
        <w:textAlignment w:val="center"/>
        <w:rPr>
          <w:color w:val="auto"/>
        </w:rPr>
      </w:pPr>
      <w:r>
        <w:rPr>
          <w:color w:val="auto"/>
        </w:rPr>
        <w:t>DB</w:t>
      </w:r>
      <w:bookmarkStart w:id="1" w:name="StdNo1"/>
      <w:r>
        <w:rPr>
          <w:rFonts w:hint="eastAsia"/>
          <w:color w:val="auto"/>
        </w:rPr>
        <w:t>13</w:t>
      </w:r>
      <w:r>
        <w:rPr>
          <w:color w:val="auto"/>
        </w:rPr>
        <w:t>/</w:t>
      </w:r>
      <w:r>
        <w:rPr>
          <w:rFonts w:hint="eastAsia"/>
          <w:color w:val="auto"/>
        </w:rPr>
        <w:t>T</w:t>
      </w:r>
      <w:bookmarkEnd w:id="1"/>
      <w:r>
        <w:rPr>
          <w:color w:val="auto"/>
        </w:rPr>
        <w:t xml:space="preserve"> ××××—××××</w:t>
      </w:r>
    </w:p>
    <w:p w14:paraId="75BC7EF2">
      <w:pPr>
        <w:pStyle w:val="19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160" w:lineRule="exact"/>
        <w:textAlignment w:val="center"/>
        <w:rPr>
          <w:rFonts w:hint="default" w:eastAsia="黑体"/>
          <w:color w:val="auto"/>
          <w:lang w:val="en-US" w:eastAsia="zh-CN"/>
        </w:rPr>
      </w:pPr>
      <w:r>
        <w:rPr>
          <w:rFonts w:ascii="黑体" w:hAnsi="宋体" w:eastAsia="黑体" w:cs="黑体"/>
          <w:b w:val="0"/>
          <w:bCs w:val="0"/>
          <w:color w:val="auto"/>
          <w:sz w:val="21"/>
          <w:szCs w:val="21"/>
        </w:rPr>
        <w:t xml:space="preserve">代替 DB 13/ </w:t>
      </w:r>
      <w:r>
        <w:rPr>
          <w:rFonts w:hint="eastAsia" w:ascii="黑体" w:hAnsi="宋体" w:eastAsia="黑体" w:cs="黑体"/>
          <w:b w:val="0"/>
          <w:bCs w:val="0"/>
          <w:color w:val="auto"/>
          <w:sz w:val="21"/>
          <w:szCs w:val="21"/>
          <w:lang w:val="en-US" w:eastAsia="zh-CN"/>
        </w:rPr>
        <w:t>750</w:t>
      </w:r>
      <w:r>
        <w:rPr>
          <w:rFonts w:ascii="黑体" w:hAnsi="宋体" w:eastAsia="黑体" w:cs="黑体"/>
          <w:b w:val="0"/>
          <w:bCs w:val="0"/>
          <w:color w:val="auto"/>
          <w:sz w:val="21"/>
          <w:szCs w:val="21"/>
        </w:rPr>
        <w:t>-20</w:t>
      </w:r>
      <w:r>
        <w:rPr>
          <w:rFonts w:hint="eastAsia" w:ascii="黑体" w:hAnsi="宋体" w:eastAsia="黑体" w:cs="黑体"/>
          <w:b w:val="0"/>
          <w:bCs w:val="0"/>
          <w:color w:val="auto"/>
          <w:sz w:val="21"/>
          <w:szCs w:val="21"/>
          <w:lang w:val="en-US" w:eastAsia="zh-CN"/>
        </w:rPr>
        <w:t>05</w:t>
      </w:r>
    </w:p>
    <w:p w14:paraId="3105C479">
      <w:pPr>
        <w:pStyle w:val="20"/>
        <w:spacing w:before="0"/>
        <w:rPr>
          <w:rFonts w:ascii="宋体" w:hAnsi="宋体" w:eastAsia="宋体" w:cs="宋体"/>
          <w:color w:val="auto"/>
          <w:sz w:val="21"/>
          <w:szCs w:val="21"/>
        </w:rPr>
      </w:pPr>
    </w:p>
    <w:p w14:paraId="1E9EA7B9">
      <w:pPr>
        <w:pStyle w:val="20"/>
        <w:spacing w:before="2268" w:line="640" w:lineRule="exact"/>
        <w:jc w:val="center"/>
        <w:rPr>
          <w:rFonts w:hint="eastAsia" w:eastAsia="黑体"/>
          <w:color w:val="auto"/>
          <w:w w:val="90"/>
          <w:sz w:val="52"/>
          <w:szCs w:val="52"/>
          <w:lang w:eastAsia="zh-CN"/>
        </w:rPr>
      </w:pPr>
      <w:r>
        <w:rPr>
          <w:rFonts w:hint="eastAsia"/>
          <w:color w:val="auto"/>
          <w:sz w:val="52"/>
          <w:szCs w:val="52"/>
          <w:lang w:eastAsia="zh-CN"/>
        </w:rPr>
        <w:t>对虾与海蜇混养</w:t>
      </w:r>
      <w:r>
        <w:rPr>
          <w:rFonts w:hint="eastAsia"/>
          <w:color w:val="auto"/>
          <w:sz w:val="52"/>
          <w:szCs w:val="52"/>
        </w:rPr>
        <w:t>技术规</w:t>
      </w:r>
      <w:r>
        <w:rPr>
          <w:rFonts w:hint="eastAsia"/>
          <w:color w:val="auto"/>
          <w:sz w:val="52"/>
          <w:szCs w:val="52"/>
          <w:lang w:eastAsia="zh-CN"/>
        </w:rPr>
        <w:t>程</w:t>
      </w:r>
    </w:p>
    <w:p w14:paraId="4EF795BA">
      <w:pPr>
        <w:pStyle w:val="21"/>
        <w:framePr w:w="3997" w:h="471" w:hRule="exact" w:vSpace="181" w:wrap="around" w:vAnchor="page" w:hAnchor="page" w:x="1388" w:y="14382" w:anchorLock="1"/>
        <w:rPr>
          <w:rFonts w:hint="eastAsia"/>
          <w:color w:val="auto"/>
        </w:rPr>
      </w:pPr>
      <w:r>
        <w:rPr>
          <w:rFonts w:hint="eastAsia" w:ascii="黑体"/>
          <w:color w:val="auto"/>
        </w:rPr>
        <w:t>202</w:t>
      </w:r>
      <w:r>
        <w:rPr>
          <w:rFonts w:hint="eastAsia" w:ascii="黑体"/>
          <w:color w:val="auto"/>
          <w:lang w:val="en-US" w:eastAsia="zh-CN"/>
        </w:rPr>
        <w:t>5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</w:rPr>
        <w:t>×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</w:rPr>
        <w:t>×</w:t>
      </w:r>
      <w:r>
        <w:rPr>
          <w:rFonts w:hint="eastAsia"/>
          <w:color w:val="auto"/>
        </w:rPr>
        <w:t>发布</w:t>
      </w:r>
    </w:p>
    <w:p w14:paraId="3CD8B04A">
      <w:pPr>
        <w:pStyle w:val="21"/>
        <w:framePr w:w="3997" w:h="471" w:hRule="exact" w:vSpace="181" w:wrap="around" w:vAnchor="page" w:hAnchor="page" w:x="1388" w:y="14382" w:anchorLock="1"/>
        <w:rPr>
          <w:color w:val="auto"/>
        </w:rPr>
      </w:pPr>
      <w:r>
        <w:rPr>
          <w:rFonts w:hint="eastAsia"/>
          <w:color w:val="auto"/>
        </w:rPr>
        <w:t xml:space="preserve"> </w:t>
      </w:r>
    </w:p>
    <w:p w14:paraId="31F73822">
      <w:pPr>
        <w:pStyle w:val="23"/>
        <w:framePr w:w="3997" w:h="471" w:hRule="exact" w:vSpace="181" w:wrap="around" w:vAnchor="page" w:hAnchor="page" w:x="6981" w:y="14352" w:anchorLock="1"/>
        <w:numPr>
          <w:ilvl w:val="0"/>
          <w:numId w:val="0"/>
        </w:numPr>
        <w:rPr>
          <w:color w:val="auto"/>
        </w:rPr>
      </w:pPr>
      <w:r>
        <w:rPr>
          <w:rFonts w:hint="eastAsia" w:ascii="黑体"/>
          <w:color w:val="auto"/>
        </w:rPr>
        <w:t>202</w:t>
      </w:r>
      <w:r>
        <w:rPr>
          <w:rFonts w:hint="eastAsia" w:ascii="黑体"/>
          <w:color w:val="auto"/>
          <w:lang w:val="en-US" w:eastAsia="zh-CN"/>
        </w:rPr>
        <w:t>5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</w:rPr>
        <w:t>×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</w:rPr>
        <w:t>×</w:t>
      </w:r>
      <w:r>
        <w:rPr>
          <w:rFonts w:hint="eastAsia"/>
          <w:color w:val="auto"/>
        </w:rPr>
        <w:t>实施</w:t>
      </w:r>
    </w:p>
    <w:p w14:paraId="54EBFC6C">
      <w:pPr>
        <w:pStyle w:val="25"/>
        <w:framePr w:w="7938" w:h="384" w:hRule="exact" w:hSpace="125" w:vSpace="181" w:wrap="around" w:vAnchor="page" w:hAnchor="page" w:x="2222" w:y="15184" w:anchorLock="1"/>
        <w:ind w:firstLine="1052" w:firstLineChars="200"/>
        <w:jc w:val="both"/>
        <w:rPr>
          <w:color w:val="auto"/>
        </w:rPr>
      </w:pPr>
      <w:r>
        <w:rPr>
          <w:rFonts w:hint="eastAsia"/>
          <w:b w:val="0"/>
          <w:bCs/>
          <w:color w:val="auto"/>
          <w:szCs w:val="36"/>
        </w:rPr>
        <w:t>河北省市场监督管理局</w:t>
      </w:r>
      <w:r>
        <w:rPr>
          <w:rFonts w:hint="eastAsia"/>
          <w:b w:val="0"/>
          <w:bCs/>
          <w:color w:val="auto"/>
        </w:rPr>
        <w:t xml:space="preserve">  </w:t>
      </w:r>
      <w:r>
        <w:rPr>
          <w:rStyle w:val="27"/>
          <w:rFonts w:hint="eastAsia"/>
          <w:b w:val="0"/>
          <w:bCs/>
          <w:color w:val="auto"/>
        </w:rPr>
        <w:t>发布</w:t>
      </w:r>
    </w:p>
    <w:p w14:paraId="61492F9B">
      <w:pPr>
        <w:jc w:val="center"/>
        <w:rPr>
          <w:color w:val="auto"/>
        </w:rPr>
        <w:sectPr>
          <w:headerReference r:id="rId3" w:type="default"/>
          <w:pgSz w:w="11906" w:h="16838"/>
          <w:pgMar w:top="567" w:right="850" w:bottom="1134" w:left="1418" w:header="0" w:footer="0" w:gutter="0"/>
          <w:pgNumType w:fmt="upperRoman" w:start="1"/>
          <w:cols w:space="720" w:num="1"/>
          <w:docGrid w:type="lines" w:linePitch="312" w:charSpace="0"/>
        </w:sect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-20320</wp:posOffset>
                </wp:positionH>
                <wp:positionV relativeFrom="page">
                  <wp:posOffset>9444990</wp:posOffset>
                </wp:positionV>
                <wp:extent cx="612013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743.7pt;height:0pt;width:481.9pt;mso-position-vertical-relative:page;z-index:251659264;mso-width-relative:page;mso-height-relative:page;" filled="f" stroked="t" coordsize="21600,21600" o:gfxdata="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1X8f/XAAAADAEAAA8AAAAAAAAAAQAgAAAAIgAAAGRycy9kb3ducmV2LnhtbFBLAQIU&#10;ABQAAAAIAIdO4kCpCE319AEAAOQ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bookmarkEnd w:id="0"/>
    <w:p w14:paraId="7D22EA8D">
      <w:pPr>
        <w:pStyle w:val="10"/>
        <w:spacing w:before="567" w:after="680"/>
        <w:rPr>
          <w:rFonts w:ascii="Times New Roman"/>
          <w:color w:val="auto"/>
        </w:rPr>
      </w:pPr>
      <w:bookmarkStart w:id="2" w:name="SectionMark2"/>
      <w:r>
        <w:rPr>
          <w:rFonts w:ascii="Times New Roman"/>
          <w:color w:val="auto"/>
        </w:rPr>
        <w:t>前    言</w:t>
      </w:r>
    </w:p>
    <w:p w14:paraId="07D4808C">
      <w:pPr>
        <w:pStyle w:val="11"/>
        <w:ind w:firstLine="420"/>
        <w:rPr>
          <w:rFonts w:ascii="Times New Roman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本文件按照GB/T 1.1—2020《标准化工作导则 第1部分：标准化文件的结构和起草规则》的规定起草。</w:t>
      </w:r>
    </w:p>
    <w:p w14:paraId="51F8B02D">
      <w:pPr>
        <w:pStyle w:val="11"/>
        <w:ind w:firstLine="42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 xml:space="preserve">本文件代替DB13/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750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—20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05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对虾与海蜇混养技术规程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 xml:space="preserve">》，DB13/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750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—20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05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 xml:space="preserve">自 本文件实施之日起废止,与 DB13/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750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-20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05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相比,除结构调整和编辑性改动外，主要技术变化如下:</w:t>
      </w:r>
    </w:p>
    <w:p w14:paraId="6CAC07EC">
      <w:pPr>
        <w:pStyle w:val="11"/>
        <w:ind w:firstLine="42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——更改了文件的范围；</w:t>
      </w:r>
    </w:p>
    <w:p w14:paraId="5E6FB587">
      <w:pPr>
        <w:pStyle w:val="11"/>
        <w:ind w:firstLine="42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——更改了规范性引用文件；</w:t>
      </w:r>
    </w:p>
    <w:p w14:paraId="3B3DB393">
      <w:pPr>
        <w:pStyle w:val="11"/>
        <w:ind w:firstLine="42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对养殖尾水的限定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；</w:t>
      </w:r>
    </w:p>
    <w:p w14:paraId="1D38D653">
      <w:pPr>
        <w:pStyle w:val="11"/>
        <w:ind w:firstLine="42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进排水锥形网和排水口围网的设置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；</w:t>
      </w:r>
    </w:p>
    <w:p w14:paraId="0110B0EA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药物清塘；</w:t>
      </w:r>
    </w:p>
    <w:p w14:paraId="555ACF39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养殖模式；</w:t>
      </w:r>
    </w:p>
    <w:p w14:paraId="6090D082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水质调控措施；</w:t>
      </w:r>
    </w:p>
    <w:p w14:paraId="2BE3D9AE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病害防控措施；</w:t>
      </w:r>
    </w:p>
    <w:p w14:paraId="3898C40D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——增加了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产品质量限定；</w:t>
      </w:r>
    </w:p>
    <w:p w14:paraId="14AB3FBA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——更改了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投喂方式；</w:t>
      </w:r>
    </w:p>
    <w:p w14:paraId="13C852CC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——更改了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肥水使用量；</w:t>
      </w:r>
    </w:p>
    <w:p w14:paraId="1E1B6281">
      <w:pPr>
        <w:pStyle w:val="11"/>
        <w:ind w:firstLine="42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——更改了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收获方法；</w:t>
      </w:r>
    </w:p>
    <w:p w14:paraId="087EEFCA">
      <w:pPr>
        <w:pStyle w:val="11"/>
        <w:ind w:firstLine="420"/>
        <w:rPr>
          <w:rFonts w:hint="eastAsia"/>
          <w:color w:val="auto"/>
        </w:rPr>
      </w:pPr>
      <w:r>
        <w:rPr>
          <w:rFonts w:hint="eastAsia"/>
          <w:color w:val="auto"/>
        </w:rPr>
        <w:t>本文件由河北省农业农村厅提出并归口。</w:t>
      </w:r>
    </w:p>
    <w:p w14:paraId="367CE1AC">
      <w:pPr>
        <w:pStyle w:val="11"/>
        <w:ind w:firstLine="420"/>
        <w:rPr>
          <w:rFonts w:hint="eastAsia"/>
          <w:color w:val="auto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本文件起草单位：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唐山市曹妃甸区会达水产养殖有限公司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、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唐山曹妃甸惠通水产科技有限公司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、</w:t>
      </w:r>
      <w:r>
        <w:rPr>
          <w:rFonts w:hint="eastAsia" w:hAnsi="宋体" w:cs="宋体"/>
          <w:b w:val="0"/>
          <w:bCs w:val="0"/>
          <w:color w:val="auto"/>
          <w:sz w:val="21"/>
          <w:szCs w:val="21"/>
          <w:lang w:eastAsia="zh-CN"/>
        </w:rPr>
        <w:t>唐山市维卓水产养殖有限公司、唐山市曹妃甸区农业农村局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。</w:t>
      </w:r>
    </w:p>
    <w:p w14:paraId="098A28C8">
      <w:pPr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本文件主要起草人：</w:t>
      </w:r>
      <w:r>
        <w:rPr>
          <w:rFonts w:hint="eastAsia"/>
          <w:color w:val="auto"/>
        </w:rPr>
        <w:t>张洁、</w:t>
      </w:r>
      <w:r>
        <w:rPr>
          <w:rFonts w:hint="eastAsia"/>
          <w:color w:val="auto"/>
          <w:szCs w:val="21"/>
          <w:lang w:eastAsia="zh-CN"/>
        </w:rPr>
        <w:t>赵文涓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val="en-US" w:eastAsia="zh-CN"/>
        </w:rPr>
        <w:t>孟书含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刘学会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val="en-US" w:eastAsia="zh-CN"/>
        </w:rPr>
        <w:t>王术庆、</w:t>
      </w:r>
      <w:r>
        <w:rPr>
          <w:rFonts w:hint="eastAsia"/>
          <w:color w:val="auto"/>
          <w:szCs w:val="21"/>
          <w:lang w:eastAsia="zh-CN"/>
        </w:rPr>
        <w:t>程佳禹、蔡姝</w:t>
      </w:r>
      <w:bookmarkStart w:id="3" w:name="_GoBack"/>
      <w:bookmarkEnd w:id="3"/>
      <w:r>
        <w:rPr>
          <w:rFonts w:hint="eastAsia"/>
          <w:color w:val="auto"/>
          <w:szCs w:val="21"/>
          <w:lang w:eastAsia="zh-CN"/>
        </w:rPr>
        <w:t>文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王丽仙、阚建东、</w:t>
      </w:r>
      <w:r>
        <w:rPr>
          <w:rFonts w:hint="eastAsia"/>
          <w:color w:val="auto"/>
          <w:lang w:eastAsia="zh-CN"/>
        </w:rPr>
        <w:t>路</w:t>
      </w:r>
      <w:r>
        <w:rPr>
          <w:rFonts w:hint="eastAsia"/>
          <w:color w:val="auto"/>
          <w:szCs w:val="21"/>
          <w:lang w:eastAsia="zh-CN"/>
        </w:rPr>
        <w:t>翠茹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李赵嘉、尹向辉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val="en-US" w:eastAsia="zh-CN"/>
        </w:rPr>
        <w:t>张雪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宋莉、王艳艳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张洪志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李今朝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杨宁</w:t>
      </w:r>
      <w:r>
        <w:rPr>
          <w:rFonts w:hint="eastAsia"/>
          <w:color w:val="auto"/>
          <w:szCs w:val="21"/>
        </w:rPr>
        <w:t>、</w:t>
      </w:r>
      <w:r>
        <w:rPr>
          <w:rFonts w:hint="eastAsia"/>
          <w:color w:val="auto"/>
          <w:szCs w:val="21"/>
          <w:lang w:eastAsia="zh-CN"/>
        </w:rPr>
        <w:t>刘宝东、张仕然、李绍娟</w:t>
      </w:r>
      <w:r>
        <w:rPr>
          <w:rFonts w:hint="eastAsia"/>
          <w:color w:val="auto"/>
          <w:szCs w:val="21"/>
          <w:lang w:val="en-US" w:eastAsia="zh-CN"/>
        </w:rPr>
        <w:t>、陈秋江、王紫卉</w:t>
      </w:r>
      <w:r>
        <w:rPr>
          <w:rFonts w:hint="eastAsia"/>
          <w:color w:val="auto"/>
          <w:szCs w:val="21"/>
        </w:rPr>
        <w:t>。</w:t>
      </w:r>
      <w:bookmarkEnd w:id="2"/>
    </w:p>
    <w:p w14:paraId="50DEA698">
      <w:pPr>
        <w:ind w:firstLine="420" w:firstLineChars="20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本文件及其所替代文件的历次版本发布情况： ——DB13/ 2322-2016</w:t>
      </w:r>
    </w:p>
    <w:p w14:paraId="35645F61">
      <w:pPr>
        <w:ind w:firstLine="420" w:firstLineChars="20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本文件由河北省人民政府2025年</w:t>
      </w:r>
      <w:r>
        <w:rPr>
          <w:rFonts w:hint="eastAsia" w:ascii="宋体" w:hAnsi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日批准。</w:t>
      </w:r>
    </w:p>
    <w:p w14:paraId="100710ED">
      <w:pPr>
        <w:ind w:firstLine="420" w:firstLineChars="200"/>
        <w:rPr>
          <w:rFonts w:hint="eastAsia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本文件于</w:t>
      </w:r>
      <w:r>
        <w:rPr>
          <w:rFonts w:hint="eastAsia" w:ascii="宋体" w:hAnsi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日发布，自2026年1月1日实施。</w:t>
      </w:r>
    </w:p>
    <w:p w14:paraId="3BF0B6D3">
      <w:pPr>
        <w:pStyle w:val="9"/>
        <w:rPr>
          <w:rFonts w:hint="eastAsia"/>
          <w:color w:val="auto"/>
          <w:lang w:eastAsia="zh-CN"/>
        </w:rPr>
      </w:pPr>
    </w:p>
    <w:p w14:paraId="5B5A0CF5">
      <w:pPr>
        <w:pStyle w:val="9"/>
        <w:rPr>
          <w:rFonts w:hint="eastAsia"/>
          <w:color w:val="auto"/>
          <w:lang w:eastAsia="zh-CN"/>
        </w:rPr>
      </w:pPr>
    </w:p>
    <w:p w14:paraId="37F4A29A">
      <w:pPr>
        <w:pStyle w:val="9"/>
        <w:rPr>
          <w:rFonts w:hint="eastAsia"/>
          <w:color w:val="auto"/>
          <w:lang w:eastAsia="zh-CN"/>
        </w:rPr>
      </w:pPr>
    </w:p>
    <w:p w14:paraId="6BE42252">
      <w:pPr>
        <w:pStyle w:val="9"/>
        <w:rPr>
          <w:color w:val="auto"/>
        </w:rPr>
      </w:pPr>
      <w:r>
        <w:rPr>
          <w:rFonts w:hint="eastAsia"/>
          <w:color w:val="auto"/>
          <w:lang w:eastAsia="zh-CN"/>
        </w:rPr>
        <w:t>对虾与海蜇</w:t>
      </w:r>
      <w:r>
        <w:rPr>
          <w:rFonts w:hint="eastAsia"/>
          <w:color w:val="auto"/>
        </w:rPr>
        <w:t>混养技术规程</w:t>
      </w:r>
    </w:p>
    <w:p w14:paraId="3B21E46B">
      <w:pPr>
        <w:pStyle w:val="12"/>
        <w:spacing w:before="180" w:after="180"/>
        <w:ind w:left="0" w:leftChars="0" w:firstLine="0" w:firstLineChars="0"/>
        <w:rPr>
          <w:rFonts w:hAnsi="宋体"/>
          <w:bCs/>
          <w:color w:val="auto"/>
          <w:szCs w:val="21"/>
          <w:lang w:val="en-GB"/>
        </w:rPr>
      </w:pPr>
      <w:r>
        <w:rPr>
          <w:rFonts w:hint="eastAsia" w:hAnsi="宋体"/>
          <w:bCs/>
          <w:color w:val="auto"/>
          <w:szCs w:val="21"/>
          <w:lang w:val="en-US" w:eastAsia="zh-CN"/>
        </w:rPr>
        <w:t>1.</w:t>
      </w:r>
      <w:r>
        <w:rPr>
          <w:rFonts w:hint="eastAsia" w:hAnsi="宋体"/>
          <w:bCs/>
          <w:color w:val="auto"/>
          <w:szCs w:val="21"/>
        </w:rPr>
        <w:t>范围</w:t>
      </w:r>
    </w:p>
    <w:p w14:paraId="2705EF91">
      <w:pPr>
        <w:spacing w:line="400" w:lineRule="exact"/>
        <w:ind w:firstLine="420" w:firstLineChars="200"/>
        <w:rPr>
          <w:rFonts w:ascii="宋体"/>
          <w:color w:val="auto"/>
          <w:kern w:val="0"/>
          <w:szCs w:val="20"/>
        </w:rPr>
      </w:pPr>
      <w:r>
        <w:rPr>
          <w:rFonts w:hint="eastAsia" w:hAnsi="宋体"/>
          <w:bCs/>
          <w:color w:val="auto"/>
          <w:szCs w:val="21"/>
        </w:rPr>
        <w:t>本</w:t>
      </w:r>
      <w:r>
        <w:rPr>
          <w:rFonts w:hint="eastAsia" w:hAnsi="宋体"/>
          <w:bCs/>
          <w:color w:val="auto"/>
          <w:szCs w:val="21"/>
          <w:lang w:eastAsia="zh-CN"/>
        </w:rPr>
        <w:t>文件</w:t>
      </w:r>
      <w:r>
        <w:rPr>
          <w:rFonts w:hint="eastAsia" w:hAnsi="宋体"/>
          <w:bCs/>
          <w:color w:val="auto"/>
          <w:szCs w:val="21"/>
        </w:rPr>
        <w:t>规定了对虾、海蜇混养</w:t>
      </w:r>
      <w:r>
        <w:rPr>
          <w:rFonts w:hint="eastAsia" w:hAnsi="宋体"/>
          <w:bCs/>
          <w:color w:val="auto"/>
          <w:szCs w:val="21"/>
          <w:lang w:eastAsia="zh-CN"/>
        </w:rPr>
        <w:t>的</w:t>
      </w:r>
      <w:r>
        <w:rPr>
          <w:rFonts w:hint="eastAsia" w:hAnsi="宋体"/>
          <w:bCs/>
          <w:color w:val="auto"/>
          <w:szCs w:val="21"/>
        </w:rPr>
        <w:t>环境条件、</w:t>
      </w:r>
      <w:r>
        <w:rPr>
          <w:rFonts w:hint="eastAsia" w:hAnsi="宋体"/>
          <w:bCs/>
          <w:color w:val="auto"/>
          <w:szCs w:val="21"/>
          <w:lang w:eastAsia="zh-CN"/>
        </w:rPr>
        <w:t>池塘条件、</w:t>
      </w:r>
      <w:r>
        <w:rPr>
          <w:rFonts w:hint="eastAsia" w:hAnsi="宋体"/>
          <w:bCs/>
          <w:color w:val="auto"/>
          <w:szCs w:val="21"/>
        </w:rPr>
        <w:t>放养前准备、养殖模式、苗种放养、养殖管理、病害防控及收获</w:t>
      </w:r>
      <w:r>
        <w:rPr>
          <w:rFonts w:hint="eastAsia" w:hAnsi="宋体"/>
          <w:bCs/>
          <w:color w:val="auto"/>
          <w:szCs w:val="21"/>
          <w:lang w:eastAsia="zh-CN"/>
        </w:rPr>
        <w:t>等要求</w:t>
      </w:r>
      <w:r>
        <w:rPr>
          <w:rFonts w:hint="eastAsia" w:hAnsi="宋体"/>
          <w:bCs/>
          <w:color w:val="auto"/>
          <w:szCs w:val="21"/>
        </w:rPr>
        <w:t>。</w:t>
      </w:r>
    </w:p>
    <w:p w14:paraId="637DAD00">
      <w:pPr>
        <w:spacing w:line="400" w:lineRule="exact"/>
        <w:ind w:firstLine="420" w:firstLineChars="200"/>
        <w:rPr>
          <w:rFonts w:ascii="宋体"/>
          <w:color w:val="auto"/>
          <w:kern w:val="0"/>
          <w:szCs w:val="20"/>
        </w:rPr>
      </w:pPr>
      <w:r>
        <w:rPr>
          <w:rFonts w:hint="eastAsia" w:ascii="宋体"/>
          <w:color w:val="auto"/>
          <w:kern w:val="0"/>
          <w:szCs w:val="20"/>
        </w:rPr>
        <w:t>本</w:t>
      </w:r>
      <w:r>
        <w:rPr>
          <w:rFonts w:hint="eastAsia" w:ascii="宋体"/>
          <w:color w:val="auto"/>
          <w:kern w:val="0"/>
          <w:szCs w:val="20"/>
          <w:lang w:eastAsia="zh-CN"/>
        </w:rPr>
        <w:t>文件</w:t>
      </w:r>
      <w:r>
        <w:rPr>
          <w:rFonts w:hint="eastAsia" w:ascii="宋体"/>
          <w:color w:val="auto"/>
          <w:kern w:val="0"/>
          <w:szCs w:val="20"/>
        </w:rPr>
        <w:t>适用于中国对虾、日本对虾、南美白对虾和海蜇（或黄斑海蜇）混养。</w:t>
      </w:r>
    </w:p>
    <w:p w14:paraId="3EBCA444">
      <w:pPr>
        <w:pStyle w:val="12"/>
        <w:spacing w:beforeLines="0" w:afterLines="0" w:line="400" w:lineRule="exact"/>
        <w:ind w:left="0" w:leftChars="0" w:firstLine="0" w:firstLineChars="0"/>
        <w:rPr>
          <w:rFonts w:hAnsi="宋体"/>
          <w:bCs/>
          <w:color w:val="auto"/>
          <w:szCs w:val="21"/>
        </w:rPr>
      </w:pPr>
      <w:r>
        <w:rPr>
          <w:rFonts w:hint="eastAsia" w:hAnsi="宋体"/>
          <w:bCs/>
          <w:color w:val="auto"/>
          <w:szCs w:val="21"/>
          <w:lang w:val="en-US" w:eastAsia="zh-CN"/>
        </w:rPr>
        <w:t>2.</w:t>
      </w:r>
      <w:r>
        <w:rPr>
          <w:rFonts w:hint="eastAsia" w:hAnsi="宋体"/>
          <w:bCs/>
          <w:color w:val="auto"/>
          <w:szCs w:val="21"/>
        </w:rPr>
        <w:t>规范性引用文件</w:t>
      </w:r>
    </w:p>
    <w:p w14:paraId="2E1C8242">
      <w:pPr>
        <w:spacing w:line="400" w:lineRule="exact"/>
        <w:ind w:firstLine="397"/>
        <w:rPr>
          <w:color w:val="auto"/>
        </w:rPr>
      </w:pPr>
      <w:r>
        <w:rPr>
          <w:rFonts w:hint="eastAsia" w:ascii="宋体" w:hAnsi="宋体"/>
          <w:color w:val="auto"/>
          <w:szCs w:val="2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14:paraId="78DE58A4">
      <w:pPr>
        <w:spacing w:line="400" w:lineRule="exact"/>
        <w:ind w:firstLine="420" w:firstLineChars="200"/>
        <w:rPr>
          <w:rFonts w:hint="eastAsia"/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 xml:space="preserve">GB </w:t>
      </w:r>
      <w:r>
        <w:rPr>
          <w:rFonts w:hint="eastAsia"/>
          <w:color w:val="auto"/>
          <w:kern w:val="0"/>
          <w:szCs w:val="20"/>
          <w:lang w:val="en-US" w:eastAsia="zh-CN"/>
        </w:rPr>
        <w:t>3097</w:t>
      </w:r>
      <w:r>
        <w:rPr>
          <w:rFonts w:hint="eastAsia"/>
          <w:color w:val="auto"/>
          <w:kern w:val="0"/>
          <w:szCs w:val="20"/>
        </w:rPr>
        <w:t xml:space="preserve">  </w:t>
      </w:r>
      <w:r>
        <w:rPr>
          <w:rFonts w:hint="eastAsia"/>
          <w:color w:val="auto"/>
          <w:kern w:val="0"/>
          <w:szCs w:val="20"/>
          <w:lang w:eastAsia="zh-CN"/>
        </w:rPr>
        <w:t>海水</w:t>
      </w:r>
      <w:r>
        <w:rPr>
          <w:rFonts w:hint="eastAsia"/>
          <w:color w:val="auto"/>
          <w:kern w:val="0"/>
          <w:szCs w:val="20"/>
        </w:rPr>
        <w:t>水质标准</w:t>
      </w:r>
    </w:p>
    <w:p w14:paraId="3B0BC298">
      <w:pPr>
        <w:spacing w:line="400" w:lineRule="exact"/>
        <w:ind w:firstLine="420" w:firstLineChars="200"/>
        <w:rPr>
          <w:rFonts w:hint="eastAsia"/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>GB 11607</w:t>
      </w:r>
      <w:r>
        <w:rPr>
          <w:rFonts w:hint="eastAsia"/>
          <w:color w:val="auto"/>
          <w:kern w:val="0"/>
          <w:szCs w:val="20"/>
        </w:rPr>
        <w:t xml:space="preserve">  渔业水质标准</w:t>
      </w:r>
    </w:p>
    <w:p w14:paraId="6F72BF5D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>GB 13078</w:t>
      </w:r>
      <w:r>
        <w:rPr>
          <w:rFonts w:hint="eastAsia"/>
          <w:color w:val="auto"/>
          <w:kern w:val="0"/>
          <w:szCs w:val="20"/>
        </w:rPr>
        <w:t xml:space="preserve">  饲料卫生标准</w:t>
      </w:r>
    </w:p>
    <w:p w14:paraId="6CE68C66">
      <w:pPr>
        <w:spacing w:line="400" w:lineRule="exact"/>
        <w:ind w:firstLine="420" w:firstLineChars="200"/>
        <w:rPr>
          <w:rFonts w:hint="eastAsia"/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GB/T 15101.2  中国对虾 苗种</w:t>
      </w:r>
    </w:p>
    <w:p w14:paraId="5CD1CD33">
      <w:pPr>
        <w:spacing w:line="400" w:lineRule="exact"/>
        <w:ind w:firstLine="420" w:firstLineChars="200"/>
        <w:rPr>
          <w:rFonts w:hint="eastAsia"/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 xml:space="preserve">GB/T 35376  </w:t>
      </w:r>
      <w:r>
        <w:rPr>
          <w:rFonts w:hint="eastAsia"/>
          <w:color w:val="auto"/>
          <w:kern w:val="0"/>
          <w:szCs w:val="20"/>
          <w:lang w:eastAsia="zh-CN"/>
        </w:rPr>
        <w:t>日本</w:t>
      </w:r>
      <w:r>
        <w:rPr>
          <w:rFonts w:hint="eastAsia"/>
          <w:color w:val="auto"/>
          <w:kern w:val="0"/>
          <w:szCs w:val="20"/>
        </w:rPr>
        <w:t xml:space="preserve">对虾 </w:t>
      </w:r>
      <w:r>
        <w:rPr>
          <w:rFonts w:hint="eastAsia"/>
          <w:color w:val="auto"/>
          <w:kern w:val="0"/>
          <w:szCs w:val="20"/>
          <w:lang w:eastAsia="zh-CN"/>
        </w:rPr>
        <w:t>亲虾和</w:t>
      </w:r>
      <w:r>
        <w:rPr>
          <w:rFonts w:hint="eastAsia"/>
          <w:color w:val="auto"/>
          <w:kern w:val="0"/>
          <w:szCs w:val="20"/>
        </w:rPr>
        <w:t>苗种</w:t>
      </w:r>
    </w:p>
    <w:p w14:paraId="17579019">
      <w:pPr>
        <w:pStyle w:val="11"/>
        <w:spacing w:line="400" w:lineRule="exact"/>
        <w:ind w:firstLine="420"/>
        <w:rPr>
          <w:rFonts w:hint="eastAsia" w:ascii="Times New Roman" w:eastAsia="宋体" w:cs="Times New Roman"/>
          <w:color w:val="auto"/>
          <w:lang w:eastAsia="zh-CN"/>
        </w:rPr>
      </w:pPr>
      <w:r>
        <w:rPr>
          <w:rFonts w:hint="eastAsia" w:ascii="Times New Roman"/>
          <w:color w:val="auto"/>
        </w:rPr>
        <w:t>NY/</w:t>
      </w:r>
      <w:r>
        <w:rPr>
          <w:rFonts w:hint="eastAsia" w:ascii="Times New Roman" w:eastAsia="宋体" w:cs="Times New Roman"/>
          <w:color w:val="auto"/>
          <w:lang w:eastAsia="zh-CN"/>
        </w:rPr>
        <w:t>T 394  绿色食品 肥料使用准则</w:t>
      </w:r>
    </w:p>
    <w:p w14:paraId="3645ACA1">
      <w:pPr>
        <w:pStyle w:val="11"/>
        <w:spacing w:line="400" w:lineRule="exact"/>
        <w:ind w:firstLine="420"/>
        <w:rPr>
          <w:rFonts w:hint="eastAsia" w:ascii="Times New Roman" w:eastAsia="宋体" w:cs="Times New Roman"/>
          <w:color w:val="auto"/>
          <w:lang w:eastAsia="zh-CN"/>
        </w:rPr>
      </w:pPr>
      <w:r>
        <w:rPr>
          <w:rFonts w:hint="eastAsia" w:ascii="Times New Roman" w:eastAsia="宋体" w:cs="Times New Roman"/>
          <w:color w:val="auto"/>
          <w:lang w:eastAsia="zh-CN"/>
        </w:rPr>
        <w:t xml:space="preserve">SC/T </w:t>
      </w:r>
      <w:r>
        <w:rPr>
          <w:rFonts w:hint="eastAsia" w:ascii="Times New Roman" w:eastAsia="宋体" w:cs="Times New Roman"/>
          <w:color w:val="auto"/>
          <w:lang w:val="en-US" w:eastAsia="zh-CN"/>
        </w:rPr>
        <w:t>0004</w:t>
      </w:r>
      <w:r>
        <w:rPr>
          <w:rFonts w:hint="eastAsia" w:ascii="Times New Roman" w:eastAsia="宋体" w:cs="Times New Roman"/>
          <w:color w:val="auto"/>
          <w:lang w:eastAsia="zh-CN"/>
        </w:rPr>
        <w:t xml:space="preserve">  水产养殖质量安全管理规范</w:t>
      </w:r>
    </w:p>
    <w:p w14:paraId="167AF8B7">
      <w:pPr>
        <w:pStyle w:val="11"/>
        <w:spacing w:line="400" w:lineRule="exact"/>
        <w:ind w:firstLine="420"/>
        <w:rPr>
          <w:rFonts w:hint="eastAsia" w:ascii="Times New Roman" w:eastAsia="宋体" w:cs="Times New Roman"/>
          <w:color w:val="auto"/>
          <w:lang w:eastAsia="zh-CN"/>
        </w:rPr>
      </w:pPr>
      <w:r>
        <w:rPr>
          <w:rFonts w:hint="eastAsia" w:ascii="Times New Roman" w:eastAsia="宋体" w:cs="Times New Roman"/>
          <w:color w:val="auto"/>
          <w:lang w:eastAsia="zh-CN"/>
        </w:rPr>
        <w:t xml:space="preserve">SC/T </w:t>
      </w:r>
      <w:r>
        <w:rPr>
          <w:rFonts w:hint="eastAsia" w:ascii="Times New Roman" w:eastAsia="宋体" w:cs="Times New Roman"/>
          <w:color w:val="auto"/>
          <w:lang w:val="en-US" w:eastAsia="zh-CN"/>
        </w:rPr>
        <w:t>2068</w:t>
      </w:r>
      <w:r>
        <w:rPr>
          <w:rFonts w:hint="eastAsia" w:ascii="Times New Roman" w:eastAsia="宋体" w:cs="Times New Roman"/>
          <w:color w:val="auto"/>
          <w:lang w:eastAsia="zh-CN"/>
        </w:rPr>
        <w:t xml:space="preserve">  凡纳滨对虾 亲虾和苗种</w:t>
      </w:r>
    </w:p>
    <w:p w14:paraId="5F415B78">
      <w:pPr>
        <w:pStyle w:val="11"/>
        <w:spacing w:line="400" w:lineRule="exact"/>
        <w:ind w:firstLine="420"/>
        <w:rPr>
          <w:rFonts w:hint="eastAsia" w:ascii="Times New Roman" w:eastAsia="宋体" w:cs="Times New Roman"/>
          <w:color w:val="auto"/>
          <w:lang w:eastAsia="zh-CN"/>
        </w:rPr>
      </w:pPr>
      <w:r>
        <w:rPr>
          <w:rFonts w:hint="eastAsia" w:ascii="Times New Roman" w:eastAsia="宋体" w:cs="Times New Roman"/>
          <w:color w:val="auto"/>
          <w:lang w:eastAsia="zh-CN"/>
        </w:rPr>
        <w:t>SC/T 2059  海蜇 苗种</w:t>
      </w:r>
    </w:p>
    <w:p w14:paraId="5E02FB5A">
      <w:pPr>
        <w:pStyle w:val="11"/>
        <w:spacing w:line="400" w:lineRule="exact"/>
        <w:ind w:firstLine="420"/>
        <w:rPr>
          <w:rFonts w:hint="eastAsia" w:ascii="Times New Roman" w:eastAsia="宋体" w:cs="Times New Roman"/>
          <w:color w:val="auto"/>
          <w:lang w:eastAsia="zh-CN"/>
        </w:rPr>
      </w:pPr>
      <w:r>
        <w:rPr>
          <w:rFonts w:hint="eastAsia" w:ascii="Times New Roman" w:eastAsia="宋体" w:cs="Times New Roman"/>
          <w:color w:val="auto"/>
          <w:lang w:val="en-US" w:eastAsia="zh-CN"/>
        </w:rPr>
        <w:t>DB13/ 5879 海水养殖尾水污染物排放标准</w:t>
      </w:r>
    </w:p>
    <w:p w14:paraId="31B7F904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ascii="Times New Roman"/>
          <w:color w:val="auto"/>
        </w:rPr>
        <w:t>《水产养殖质量安全管理规定》中华人民共和国农业部令（2003）第[31]号</w:t>
      </w:r>
    </w:p>
    <w:p w14:paraId="7E270094">
      <w:pPr>
        <w:pStyle w:val="12"/>
        <w:spacing w:before="156" w:after="156"/>
        <w:ind w:left="0" w:leftChars="0" w:firstLine="0" w:firstLineChars="0"/>
        <w:rPr>
          <w:rFonts w:hint="default"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color w:val="auto"/>
        </w:rPr>
        <w:t>术语和定义</w:t>
      </w:r>
    </w:p>
    <w:p w14:paraId="348AAA7C">
      <w:pPr>
        <w:pStyle w:val="11"/>
        <w:ind w:firstLine="42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本文件没有需要界定的术语和定义。</w:t>
      </w:r>
    </w:p>
    <w:p w14:paraId="62789140">
      <w:pPr>
        <w:pStyle w:val="12"/>
        <w:spacing w:beforeLines="0" w:afterLines="0" w:line="400" w:lineRule="exact"/>
        <w:ind w:left="-2" w:leftChars="-1"/>
        <w:rPr>
          <w:color w:val="auto"/>
        </w:rPr>
      </w:pPr>
      <w:r>
        <w:rPr>
          <w:rFonts w:hint="eastAsia"/>
          <w:color w:val="auto"/>
          <w:lang w:val="en-US" w:eastAsia="zh-CN"/>
        </w:rPr>
        <w:t>4.</w:t>
      </w:r>
      <w:r>
        <w:rPr>
          <w:rFonts w:hint="eastAsia"/>
          <w:color w:val="auto"/>
        </w:rPr>
        <w:t>环境条件</w:t>
      </w:r>
    </w:p>
    <w:p w14:paraId="5C1CCF60">
      <w:pPr>
        <w:pStyle w:val="13"/>
        <w:numPr>
          <w:ilvl w:val="2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4.1</w:t>
      </w:r>
      <w:r>
        <w:rPr>
          <w:rFonts w:hint="eastAsia" w:ascii="黑体"/>
          <w:color w:val="auto"/>
        </w:rPr>
        <w:t>场地选择</w:t>
      </w:r>
    </w:p>
    <w:p w14:paraId="40F52246">
      <w:pPr>
        <w:pStyle w:val="11"/>
        <w:spacing w:line="400" w:lineRule="exact"/>
        <w:ind w:firstLine="420"/>
        <w:rPr>
          <w:rFonts w:hint="eastAsia" w:eastAsia="宋体"/>
          <w:color w:val="auto"/>
          <w:lang w:val="en-GB" w:eastAsia="zh-CN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 w:bidi="ar"/>
        </w:rPr>
        <w:t>养殖场地及周围生态环境良好，无或不直接受工业“三废”及农业、城镇生活、医疗废弃物污染，没有对产地环境构成威胁的污染源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且交通便利，电力充足。</w:t>
      </w:r>
    </w:p>
    <w:p w14:paraId="2F9E6250">
      <w:pPr>
        <w:pStyle w:val="13"/>
        <w:numPr>
          <w:ilvl w:val="2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4.2</w:t>
      </w:r>
      <w:r>
        <w:rPr>
          <w:rFonts w:hint="eastAsia" w:ascii="黑体"/>
          <w:color w:val="auto"/>
        </w:rPr>
        <w:t>养殖用水</w:t>
      </w:r>
    </w:p>
    <w:p w14:paraId="2BF42EFB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/>
          <w:color w:val="auto"/>
        </w:rPr>
        <w:t>水源为</w:t>
      </w:r>
      <w:r>
        <w:rPr>
          <w:rFonts w:ascii="Times New Roman" w:hAnsi="宋体"/>
          <w:color w:val="auto"/>
        </w:rPr>
        <w:t>自然海水，</w:t>
      </w:r>
      <w:r>
        <w:rPr>
          <w:rFonts w:ascii="Times New Roman"/>
          <w:color w:val="auto"/>
        </w:rPr>
        <w:t>水源水质应符合GB 11607的规定。池塘养殖水质应符合</w:t>
      </w:r>
      <w:r>
        <w:rPr>
          <w:color w:val="auto"/>
          <w:kern w:val="0"/>
          <w:szCs w:val="20"/>
        </w:rPr>
        <w:t xml:space="preserve">GB </w:t>
      </w:r>
      <w:r>
        <w:rPr>
          <w:rFonts w:hint="eastAsia"/>
          <w:color w:val="auto"/>
          <w:kern w:val="0"/>
          <w:szCs w:val="20"/>
          <w:lang w:val="en-US" w:eastAsia="zh-CN"/>
        </w:rPr>
        <w:t>3097</w:t>
      </w:r>
      <w:r>
        <w:rPr>
          <w:rFonts w:ascii="Times New Roman"/>
          <w:color w:val="auto"/>
        </w:rPr>
        <w:t>的规定。</w:t>
      </w:r>
    </w:p>
    <w:p w14:paraId="100379CF"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黑体" w:hAnsi="宋体" w:eastAsia="黑体" w:cs="黑体"/>
          <w:color w:val="auto"/>
          <w:kern w:val="0"/>
          <w:sz w:val="20"/>
          <w:szCs w:val="20"/>
          <w:lang w:val="en-US" w:eastAsia="zh-CN" w:bidi="ar"/>
        </w:rPr>
        <w:t xml:space="preserve">4.3养殖尾水 </w:t>
      </w:r>
    </w:p>
    <w:p w14:paraId="7C2E6DBE">
      <w:pPr>
        <w:pStyle w:val="11"/>
        <w:spacing w:line="400" w:lineRule="exact"/>
        <w:ind w:left="0" w:leftChars="0" w:firstLine="400" w:firstLineChars="200"/>
        <w:rPr>
          <w:rFonts w:hint="default" w:ascii="Times New Roman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 w:bidi="ar"/>
        </w:rPr>
        <w:t xml:space="preserve">养殖尾水排放符合应 </w:t>
      </w:r>
      <w:r>
        <w:rPr>
          <w:rFonts w:hint="default" w:ascii="宋体" w:hAnsi="宋体" w:eastAsia="宋体" w:cs="宋体"/>
          <w:color w:val="auto"/>
          <w:kern w:val="0"/>
          <w:sz w:val="20"/>
          <w:szCs w:val="20"/>
          <w:lang w:val="en-US" w:eastAsia="zh-CN" w:bidi="ar"/>
        </w:rPr>
        <w:t>DB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 w:bidi="ar"/>
        </w:rPr>
        <w:t>13/ 5879 的规定。</w:t>
      </w:r>
    </w:p>
    <w:p w14:paraId="71C113E5">
      <w:pPr>
        <w:pStyle w:val="13"/>
        <w:numPr>
          <w:ilvl w:val="0"/>
          <w:numId w:val="0"/>
        </w:numPr>
        <w:spacing w:line="400" w:lineRule="exact"/>
        <w:rPr>
          <w:rFonts w:hint="eastAsia" w:eastAsia="黑体"/>
          <w:color w:val="auto"/>
          <w:lang w:eastAsia="zh-CN"/>
        </w:rPr>
      </w:pP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  <w:lang w:eastAsia="zh-CN"/>
        </w:rPr>
        <w:t>池塘条件</w:t>
      </w:r>
    </w:p>
    <w:p w14:paraId="536E5FFE">
      <w:pPr>
        <w:pStyle w:val="14"/>
        <w:numPr>
          <w:ilvl w:val="0"/>
          <w:numId w:val="0"/>
        </w:numPr>
        <w:spacing w:line="400" w:lineRule="exact"/>
        <w:rPr>
          <w:color w:val="auto"/>
        </w:rPr>
      </w:pP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 xml:space="preserve">.1面积、水深  </w:t>
      </w:r>
    </w:p>
    <w:p w14:paraId="794F7322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面积</w:t>
      </w:r>
      <w:r>
        <w:rPr>
          <w:rFonts w:hint="eastAsia" w:ascii="Times New Roman"/>
          <w:color w:val="auto"/>
          <w:lang w:val="en-US" w:eastAsia="zh-CN"/>
        </w:rPr>
        <w:t>5</w:t>
      </w:r>
      <w:r>
        <w:rPr>
          <w:rFonts w:hint="eastAsia" w:ascii="Times New Roman"/>
          <w:color w:val="auto"/>
        </w:rPr>
        <w:t>0亩以上，泥沙底质，池底淤泥厚度不超过5cm。水深2.0ｍ</w:t>
      </w:r>
      <w:r>
        <w:rPr>
          <w:rFonts w:hint="eastAsia" w:ascii="Times New Roman"/>
          <w:color w:val="auto"/>
          <w:lang w:val="en-US" w:eastAsia="zh-CN"/>
        </w:rPr>
        <w:t>以上</w:t>
      </w:r>
      <w:r>
        <w:rPr>
          <w:rFonts w:hint="eastAsia" w:ascii="Times New Roman"/>
          <w:color w:val="auto"/>
        </w:rPr>
        <w:t>。</w:t>
      </w:r>
    </w:p>
    <w:p w14:paraId="5F51D112">
      <w:pPr>
        <w:pStyle w:val="14"/>
        <w:numPr>
          <w:ilvl w:val="0"/>
          <w:numId w:val="0"/>
        </w:numPr>
        <w:spacing w:line="400" w:lineRule="exact"/>
        <w:rPr>
          <w:color w:val="auto"/>
        </w:rPr>
      </w:pP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.2进、排水渠道</w:t>
      </w:r>
    </w:p>
    <w:p w14:paraId="47FA2623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进、排水渠道应分开设置，进水口远离排水口。</w:t>
      </w:r>
    </w:p>
    <w:p w14:paraId="48F5275B">
      <w:pPr>
        <w:pStyle w:val="12"/>
        <w:spacing w:beforeLines="0" w:afterLines="0" w:line="400" w:lineRule="exact"/>
        <w:ind w:left="-2" w:leftChars="-1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6 </w:t>
      </w:r>
      <w:r>
        <w:rPr>
          <w:rFonts w:hint="eastAsia"/>
          <w:color w:val="auto"/>
        </w:rPr>
        <w:t>放养前的准备</w:t>
      </w:r>
    </w:p>
    <w:p w14:paraId="4CF47CFD">
      <w:pPr>
        <w:pStyle w:val="13"/>
        <w:numPr>
          <w:ilvl w:val="0"/>
          <w:numId w:val="0"/>
        </w:numPr>
        <w:spacing w:line="400" w:lineRule="exact"/>
        <w:rPr>
          <w:rFonts w:eastAsia="宋体"/>
          <w:color w:val="auto"/>
        </w:rPr>
      </w:pPr>
      <w:r>
        <w:rPr>
          <w:rFonts w:hint="eastAsia" w:eastAsia="宋体"/>
          <w:color w:val="auto"/>
          <w:lang w:val="en-US" w:eastAsia="zh-CN"/>
        </w:rPr>
        <w:t>6</w:t>
      </w:r>
      <w:r>
        <w:rPr>
          <w:rFonts w:hint="eastAsia" w:eastAsia="宋体"/>
          <w:color w:val="auto"/>
        </w:rPr>
        <w:t xml:space="preserve">.1 </w:t>
      </w:r>
      <w:r>
        <w:rPr>
          <w:rFonts w:hint="eastAsia" w:ascii="黑体"/>
          <w:color w:val="auto"/>
        </w:rPr>
        <w:t>清池</w:t>
      </w:r>
    </w:p>
    <w:p w14:paraId="7E5C4005">
      <w:pPr>
        <w:autoSpaceDE w:val="0"/>
        <w:autoSpaceDN w:val="0"/>
        <w:adjustRightInd w:val="0"/>
        <w:spacing w:line="400" w:lineRule="exact"/>
        <w:ind w:firstLine="420" w:firstLineChars="200"/>
        <w:jc w:val="left"/>
        <w:rPr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>每年</w:t>
      </w:r>
      <w:r>
        <w:rPr>
          <w:rFonts w:hint="eastAsia"/>
          <w:color w:val="auto"/>
          <w:kern w:val="0"/>
          <w:szCs w:val="20"/>
        </w:rPr>
        <w:t>秋季</w:t>
      </w:r>
      <w:r>
        <w:rPr>
          <w:color w:val="auto"/>
          <w:kern w:val="0"/>
          <w:szCs w:val="20"/>
        </w:rPr>
        <w:t>收获之后，</w:t>
      </w:r>
      <w:r>
        <w:rPr>
          <w:rFonts w:hint="eastAsia"/>
          <w:color w:val="auto"/>
          <w:kern w:val="0"/>
          <w:szCs w:val="20"/>
          <w:lang w:val="en-US" w:eastAsia="zh-CN"/>
        </w:rPr>
        <w:t>排干池内积水，</w:t>
      </w:r>
      <w:r>
        <w:rPr>
          <w:rFonts w:hint="eastAsia"/>
          <w:color w:val="auto"/>
          <w:kern w:val="0"/>
          <w:szCs w:val="20"/>
        </w:rPr>
        <w:t>清除淤泥、翻耕、</w:t>
      </w:r>
      <w:r>
        <w:rPr>
          <w:color w:val="auto"/>
          <w:kern w:val="0"/>
          <w:szCs w:val="20"/>
        </w:rPr>
        <w:t>曝晒</w:t>
      </w:r>
      <w:r>
        <w:rPr>
          <w:rFonts w:hint="eastAsia"/>
          <w:color w:val="auto"/>
          <w:kern w:val="0"/>
          <w:szCs w:val="20"/>
          <w:lang w:eastAsia="zh-CN"/>
        </w:rPr>
        <w:t>。</w:t>
      </w:r>
      <w:r>
        <w:rPr>
          <w:rFonts w:hint="eastAsia"/>
          <w:color w:val="auto"/>
          <w:kern w:val="0"/>
          <w:szCs w:val="20"/>
          <w:lang w:val="en-US" w:eastAsia="zh-CN"/>
        </w:rPr>
        <w:t>春季进水前</w:t>
      </w:r>
      <w:r>
        <w:rPr>
          <w:rFonts w:hint="eastAsia"/>
          <w:color w:val="auto"/>
          <w:kern w:val="0"/>
          <w:szCs w:val="20"/>
        </w:rPr>
        <w:t>平整</w:t>
      </w:r>
      <w:r>
        <w:rPr>
          <w:rFonts w:hint="eastAsia"/>
          <w:color w:val="auto"/>
          <w:kern w:val="0"/>
          <w:szCs w:val="20"/>
          <w:lang w:val="en-US" w:eastAsia="zh-CN"/>
        </w:rPr>
        <w:t>池底</w:t>
      </w:r>
      <w:r>
        <w:rPr>
          <w:rFonts w:hint="eastAsia"/>
          <w:color w:val="auto"/>
          <w:kern w:val="0"/>
          <w:szCs w:val="20"/>
        </w:rPr>
        <w:t>，整修池埂、闸门。</w:t>
      </w:r>
    </w:p>
    <w:p w14:paraId="5E8EDAF6">
      <w:pPr>
        <w:pStyle w:val="11"/>
        <w:spacing w:line="400" w:lineRule="exact"/>
        <w:ind w:firstLine="0" w:firstLineChars="0"/>
        <w:rPr>
          <w:rFonts w:ascii="Times New Roman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6</w:t>
      </w:r>
      <w:r>
        <w:rPr>
          <w:rFonts w:hint="eastAsia" w:ascii="Times New Roman"/>
          <w:color w:val="auto"/>
        </w:rPr>
        <w:t>.2</w:t>
      </w:r>
      <w:r>
        <w:rPr>
          <w:rFonts w:hint="eastAsia" w:ascii="黑体" w:eastAsia="黑体"/>
          <w:color w:val="auto"/>
        </w:rPr>
        <w:t>安装</w:t>
      </w:r>
      <w:r>
        <w:rPr>
          <w:rFonts w:hint="eastAsia" w:ascii="黑体" w:eastAsia="黑体"/>
          <w:color w:val="auto"/>
          <w:lang w:eastAsia="zh-CN"/>
        </w:rPr>
        <w:t>防</w:t>
      </w:r>
      <w:r>
        <w:rPr>
          <w:rFonts w:hint="eastAsia" w:ascii="黑体" w:eastAsia="黑体"/>
          <w:color w:val="auto"/>
        </w:rPr>
        <w:t>护</w:t>
      </w:r>
      <w:r>
        <w:rPr>
          <w:rFonts w:hint="eastAsia" w:ascii="黑体" w:eastAsia="黑体"/>
          <w:color w:val="auto"/>
          <w:lang w:eastAsia="zh-CN"/>
        </w:rPr>
        <w:t>拦</w:t>
      </w:r>
      <w:r>
        <w:rPr>
          <w:rFonts w:hint="eastAsia" w:ascii="黑体" w:eastAsia="黑体"/>
          <w:color w:val="auto"/>
        </w:rPr>
        <w:t>网</w:t>
      </w:r>
      <w:r>
        <w:rPr>
          <w:rFonts w:hint="eastAsia" w:ascii="Times New Roman"/>
          <w:color w:val="auto"/>
        </w:rPr>
        <w:t xml:space="preserve"> </w:t>
      </w:r>
    </w:p>
    <w:p w14:paraId="219ED1D4">
      <w:pPr>
        <w:pStyle w:val="11"/>
        <w:spacing w:line="400" w:lineRule="exact"/>
        <w:ind w:firstLine="420"/>
        <w:rPr>
          <w:rFonts w:hint="eastAsia" w:ascii="Times New Roman"/>
          <w:color w:val="auto"/>
          <w:lang w:val="en-US" w:eastAsia="zh-CN"/>
        </w:rPr>
      </w:pPr>
      <w:r>
        <w:rPr>
          <w:rFonts w:hint="eastAsia" w:ascii="Times New Roman"/>
          <w:color w:val="auto"/>
          <w:lang w:val="en-US" w:eastAsia="zh-CN"/>
        </w:rPr>
        <w:t>池塘四周内侧，离岸插设10目或20目筛绢网，网高1.0m～1.2m，拐角处围成圆弧形。拦</w:t>
      </w:r>
      <w:r>
        <w:rPr>
          <w:rFonts w:hint="default" w:ascii="Times New Roman"/>
          <w:color w:val="auto"/>
          <w:lang w:val="en-US" w:eastAsia="zh-CN"/>
        </w:rPr>
        <w:t>网下缘低于平时排水时30</w:t>
      </w:r>
      <w:r>
        <w:rPr>
          <w:rFonts w:hint="eastAsia" w:ascii="Times New Roman"/>
          <w:color w:val="auto"/>
          <w:lang w:val="en-US" w:eastAsia="zh-CN"/>
        </w:rPr>
        <w:t>cm</w:t>
      </w:r>
      <w:r>
        <w:rPr>
          <w:rFonts w:hint="default" w:ascii="Times New Roman"/>
          <w:color w:val="auto"/>
          <w:lang w:val="en-US" w:eastAsia="zh-CN"/>
        </w:rPr>
        <w:t>，上缘高于最高水位</w:t>
      </w:r>
      <w:r>
        <w:rPr>
          <w:rFonts w:hint="eastAsia" w:ascii="Times New Roman"/>
          <w:color w:val="auto"/>
          <w:lang w:val="en-US" w:eastAsia="zh-CN"/>
        </w:rPr>
        <w:t>10cm以上</w:t>
      </w:r>
      <w:r>
        <w:rPr>
          <w:rFonts w:hint="default" w:ascii="Times New Roman"/>
          <w:color w:val="auto"/>
          <w:lang w:val="en-US" w:eastAsia="zh-CN"/>
        </w:rPr>
        <w:t>。</w:t>
      </w:r>
    </w:p>
    <w:p w14:paraId="4841C7BA">
      <w:pPr>
        <w:pStyle w:val="11"/>
        <w:spacing w:line="400" w:lineRule="exact"/>
        <w:ind w:left="0" w:leftChars="0" w:firstLine="0" w:firstLineChars="0"/>
        <w:rPr>
          <w:rFonts w:hint="default" w:ascii="Times New Roman" w:eastAsia="宋体" w:cs="Times New Roman"/>
          <w:color w:val="auto"/>
          <w:lang w:val="en-US" w:eastAsia="zh-CN"/>
        </w:rPr>
      </w:pPr>
      <w:r>
        <w:rPr>
          <w:rFonts w:hint="eastAsia" w:ascii="Times New Roman" w:cs="Times New Roman"/>
          <w:color w:val="auto"/>
          <w:lang w:val="en-US" w:eastAsia="zh-CN"/>
        </w:rPr>
        <w:t>6</w:t>
      </w:r>
      <w:r>
        <w:rPr>
          <w:rFonts w:hint="eastAsia" w:ascii="Times New Roman" w:eastAsia="宋体" w:cs="Times New Roman"/>
          <w:color w:val="auto"/>
          <w:lang w:val="en-US" w:eastAsia="zh-CN"/>
        </w:rPr>
        <w:t>.3设置进排水口网</w:t>
      </w:r>
    </w:p>
    <w:p w14:paraId="78CCB9EA">
      <w:pPr>
        <w:pStyle w:val="11"/>
        <w:spacing w:line="400" w:lineRule="exact"/>
        <w:ind w:left="0" w:leftChars="0" w:firstLine="0" w:firstLineChars="0"/>
        <w:rPr>
          <w:rFonts w:hint="eastAsia" w:ascii="Times New Roman"/>
          <w:color w:val="auto"/>
          <w:lang w:val="en-US" w:eastAsia="zh-CN"/>
        </w:rPr>
      </w:pPr>
      <w:r>
        <w:rPr>
          <w:rFonts w:hint="eastAsia" w:ascii="Times New Roman"/>
          <w:color w:val="auto"/>
          <w:lang w:val="en-US" w:eastAsia="zh-CN"/>
        </w:rPr>
        <w:t>6.3.1</w:t>
      </w:r>
      <w:r>
        <w:rPr>
          <w:rFonts w:hint="eastAsia" w:ascii="Times New Roman" w:eastAsia="宋体" w:cs="Times New Roman"/>
          <w:color w:val="auto"/>
          <w:lang w:val="en-US" w:eastAsia="zh-CN"/>
        </w:rPr>
        <w:t>设置进排水口</w:t>
      </w:r>
      <w:r>
        <w:rPr>
          <w:rFonts w:hint="eastAsia" w:ascii="Times New Roman"/>
          <w:color w:val="auto"/>
        </w:rPr>
        <w:t>锥形网</w:t>
      </w:r>
    </w:p>
    <w:p w14:paraId="348E2CB1">
      <w:pPr>
        <w:pStyle w:val="11"/>
        <w:spacing w:line="400" w:lineRule="exact"/>
        <w:ind w:left="0" w:leftChars="0" w:firstLine="420" w:firstLineChars="200"/>
        <w:rPr>
          <w:rFonts w:hint="eastAsia"/>
          <w:color w:val="auto"/>
        </w:rPr>
      </w:pPr>
      <w:r>
        <w:rPr>
          <w:rFonts w:hint="eastAsia" w:ascii="Times New Roman"/>
          <w:color w:val="auto"/>
        </w:rPr>
        <w:t>进</w:t>
      </w:r>
      <w:r>
        <w:rPr>
          <w:rFonts w:hint="eastAsia" w:ascii="Times New Roman"/>
          <w:color w:val="auto"/>
          <w:lang w:eastAsia="zh-CN"/>
        </w:rPr>
        <w:t>排</w:t>
      </w:r>
      <w:r>
        <w:rPr>
          <w:rFonts w:hint="eastAsia" w:ascii="Times New Roman"/>
          <w:color w:val="auto"/>
        </w:rPr>
        <w:t>水闸口</w:t>
      </w:r>
      <w:r>
        <w:rPr>
          <w:rFonts w:hint="eastAsia"/>
          <w:color w:val="auto"/>
        </w:rPr>
        <w:t>设置</w:t>
      </w:r>
      <w:r>
        <w:rPr>
          <w:rFonts w:hint="eastAsia" w:ascii="Times New Roman"/>
          <w:color w:val="auto"/>
        </w:rPr>
        <w:t>锥形网</w:t>
      </w:r>
      <w:r>
        <w:rPr>
          <w:rFonts w:hint="eastAsia"/>
          <w:color w:val="auto"/>
        </w:rPr>
        <w:t>，养殖</w:t>
      </w:r>
      <w:r>
        <w:rPr>
          <w:rFonts w:hint="eastAsia" w:ascii="Times New Roman"/>
          <w:color w:val="auto"/>
        </w:rPr>
        <w:t>前期网目40目～60目，网</w:t>
      </w:r>
      <w:r>
        <w:rPr>
          <w:rFonts w:ascii="Times New Roman"/>
          <w:color w:val="auto"/>
        </w:rPr>
        <w:t>袖长度为</w:t>
      </w:r>
      <w:r>
        <w:rPr>
          <w:rFonts w:hint="eastAsia" w:ascii="Times New Roman"/>
          <w:color w:val="auto"/>
        </w:rPr>
        <w:t>14m～16m</w:t>
      </w:r>
      <w:r>
        <w:rPr>
          <w:rFonts w:hint="eastAsia" w:ascii="Times New Roman"/>
          <w:color w:val="auto"/>
          <w:lang w:eastAsia="zh-CN"/>
        </w:rPr>
        <w:t>。</w:t>
      </w:r>
      <w:r>
        <w:rPr>
          <w:rFonts w:hint="eastAsia" w:ascii="Times New Roman"/>
          <w:color w:val="auto"/>
        </w:rPr>
        <w:t>待对虾体长7cm～8cm，网目20目，网</w:t>
      </w:r>
      <w:r>
        <w:rPr>
          <w:rFonts w:ascii="Times New Roman"/>
          <w:color w:val="auto"/>
        </w:rPr>
        <w:t>袖长度为</w:t>
      </w:r>
      <w:r>
        <w:rPr>
          <w:rFonts w:hint="eastAsia" w:ascii="Times New Roman"/>
          <w:color w:val="auto"/>
        </w:rPr>
        <w:t>10m～12m</w:t>
      </w:r>
      <w:r>
        <w:rPr>
          <w:rFonts w:hint="eastAsia"/>
          <w:color w:val="auto"/>
        </w:rPr>
        <w:t>。</w:t>
      </w:r>
    </w:p>
    <w:p w14:paraId="516496CB">
      <w:pPr>
        <w:pStyle w:val="11"/>
        <w:spacing w:line="400" w:lineRule="exact"/>
        <w:ind w:left="0" w:leftChars="0" w:firstLine="0" w:firstLineChars="0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6.3.2</w:t>
      </w:r>
      <w:r>
        <w:rPr>
          <w:rFonts w:hint="eastAsia" w:ascii="Times New Roman" w:eastAsia="宋体" w:cs="Times New Roman"/>
          <w:color w:val="auto"/>
          <w:lang w:val="en-US" w:eastAsia="zh-CN"/>
        </w:rPr>
        <w:t>设置排水口</w:t>
      </w:r>
      <w:r>
        <w:rPr>
          <w:rFonts w:hint="eastAsia" w:ascii="Times New Roman" w:eastAsia="宋体"/>
          <w:color w:val="auto"/>
          <w:lang w:eastAsia="zh-CN"/>
        </w:rPr>
        <w:t>围</w:t>
      </w:r>
      <w:r>
        <w:rPr>
          <w:rFonts w:hint="eastAsia" w:ascii="Times New Roman"/>
          <w:color w:val="auto"/>
        </w:rPr>
        <w:t>网</w:t>
      </w:r>
    </w:p>
    <w:p w14:paraId="5655DA81">
      <w:pPr>
        <w:pStyle w:val="11"/>
        <w:spacing w:line="400" w:lineRule="exact"/>
        <w:ind w:left="0" w:leftChars="0" w:firstLine="420" w:firstLineChars="20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排水闸口</w:t>
      </w:r>
      <w:r>
        <w:rPr>
          <w:rFonts w:hint="eastAsia"/>
          <w:color w:val="auto"/>
        </w:rPr>
        <w:t>设置</w:t>
      </w:r>
      <w:r>
        <w:rPr>
          <w:rFonts w:hint="eastAsia" w:ascii="Times New Roman"/>
          <w:color w:val="auto"/>
        </w:rPr>
        <w:t>半径5m～6m的半圆</w:t>
      </w:r>
      <w:r>
        <w:rPr>
          <w:rFonts w:hint="eastAsia" w:ascii="Times New Roman"/>
          <w:color w:val="auto"/>
          <w:lang w:eastAsia="zh-CN"/>
        </w:rPr>
        <w:t>形</w:t>
      </w:r>
      <w:r>
        <w:rPr>
          <w:rFonts w:hint="eastAsia"/>
          <w:color w:val="auto"/>
        </w:rPr>
        <w:t>围网，网</w:t>
      </w:r>
      <w:r>
        <w:rPr>
          <w:rFonts w:hint="eastAsia" w:ascii="Times New Roman"/>
          <w:color w:val="auto"/>
        </w:rPr>
        <w:t>高超出水面50cm</w:t>
      </w:r>
      <w:r>
        <w:rPr>
          <w:rFonts w:hint="eastAsia" w:ascii="Times New Roman"/>
          <w:color w:val="auto"/>
          <w:lang w:eastAsia="zh-CN"/>
        </w:rPr>
        <w:t>。</w:t>
      </w:r>
      <w:r>
        <w:rPr>
          <w:rFonts w:hint="eastAsia" w:ascii="Times New Roman"/>
          <w:color w:val="auto"/>
        </w:rPr>
        <w:t>养殖</w:t>
      </w:r>
      <w:r>
        <w:rPr>
          <w:rFonts w:hint="eastAsia"/>
          <w:color w:val="auto"/>
        </w:rPr>
        <w:t>前期</w:t>
      </w:r>
      <w:r>
        <w:rPr>
          <w:rFonts w:hint="eastAsia" w:ascii="Times New Roman"/>
          <w:color w:val="auto"/>
        </w:rPr>
        <w:t>网目20目</w:t>
      </w:r>
      <w:r>
        <w:rPr>
          <w:rFonts w:hint="eastAsia" w:ascii="Times New Roman"/>
          <w:color w:val="auto"/>
          <w:lang w:eastAsia="zh-CN"/>
        </w:rPr>
        <w:t>。</w:t>
      </w:r>
      <w:r>
        <w:rPr>
          <w:rFonts w:hint="eastAsia" w:ascii="Times New Roman"/>
          <w:color w:val="auto"/>
        </w:rPr>
        <w:t>待对虾体长8cm～9cm，网目为8目。</w:t>
      </w:r>
    </w:p>
    <w:p w14:paraId="27EF9A8D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6</w:t>
      </w:r>
      <w:r>
        <w:rPr>
          <w:rFonts w:hint="eastAsia" w:ascii="黑体"/>
          <w:color w:val="auto"/>
        </w:rPr>
        <w:t>.</w:t>
      </w:r>
      <w:r>
        <w:rPr>
          <w:rFonts w:hint="eastAsia" w:ascii="黑体"/>
          <w:color w:val="auto"/>
          <w:lang w:val="en-US" w:eastAsia="zh-CN"/>
        </w:rPr>
        <w:t>4</w:t>
      </w:r>
      <w:r>
        <w:rPr>
          <w:rFonts w:hint="eastAsia" w:ascii="黑体"/>
          <w:color w:val="auto"/>
        </w:rPr>
        <w:t>药物清塘</w:t>
      </w:r>
    </w:p>
    <w:p w14:paraId="75F4BE6B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清整池塘之后，</w:t>
      </w:r>
      <w:r>
        <w:rPr>
          <w:color w:val="auto"/>
          <w:kern w:val="0"/>
          <w:szCs w:val="20"/>
        </w:rPr>
        <w:t>放</w:t>
      </w:r>
      <w:r>
        <w:rPr>
          <w:rFonts w:hint="eastAsia"/>
          <w:color w:val="auto"/>
          <w:kern w:val="0"/>
          <w:szCs w:val="20"/>
        </w:rPr>
        <w:t>苗</w:t>
      </w:r>
      <w:r>
        <w:rPr>
          <w:color w:val="auto"/>
          <w:kern w:val="0"/>
          <w:szCs w:val="20"/>
        </w:rPr>
        <w:t>前</w:t>
      </w:r>
      <w:r>
        <w:rPr>
          <w:rFonts w:hint="eastAsia"/>
          <w:color w:val="auto"/>
          <w:kern w:val="0"/>
          <w:szCs w:val="20"/>
          <w:lang w:val="en-US" w:eastAsia="zh-CN"/>
        </w:rPr>
        <w:t>15</w:t>
      </w:r>
      <w:r>
        <w:rPr>
          <w:color w:val="auto"/>
          <w:kern w:val="0"/>
          <w:szCs w:val="20"/>
        </w:rPr>
        <w:t>d</w:t>
      </w:r>
      <w:r>
        <w:rPr>
          <w:rFonts w:hint="eastAsia"/>
          <w:color w:val="auto"/>
          <w:kern w:val="0"/>
          <w:szCs w:val="20"/>
        </w:rPr>
        <w:t>，采用药物</w:t>
      </w:r>
      <w:r>
        <w:rPr>
          <w:color w:val="auto"/>
          <w:kern w:val="0"/>
          <w:szCs w:val="20"/>
        </w:rPr>
        <w:t>清池。</w:t>
      </w:r>
      <w:r>
        <w:rPr>
          <w:rFonts w:hint="eastAsia"/>
          <w:color w:val="auto"/>
          <w:kern w:val="0"/>
          <w:szCs w:val="20"/>
        </w:rPr>
        <w:t>渔</w:t>
      </w:r>
      <w:r>
        <w:rPr>
          <w:rFonts w:hint="default"/>
          <w:color w:val="auto"/>
          <w:kern w:val="0"/>
          <w:szCs w:val="20"/>
        </w:rPr>
        <w:t>药使用应符合《中华人民共和国兽药典》</w:t>
      </w:r>
      <w:r>
        <w:rPr>
          <w:rFonts w:hint="eastAsia"/>
          <w:color w:val="auto"/>
          <w:kern w:val="0"/>
          <w:szCs w:val="20"/>
          <w:lang w:eastAsia="zh-CN"/>
        </w:rPr>
        <w:t>、</w:t>
      </w:r>
      <w:r>
        <w:rPr>
          <w:rFonts w:hint="default"/>
          <w:color w:val="auto"/>
          <w:kern w:val="0"/>
          <w:szCs w:val="20"/>
        </w:rPr>
        <w:t>《兽药</w:t>
      </w:r>
      <w:r>
        <w:rPr>
          <w:rFonts w:hint="eastAsia"/>
          <w:color w:val="auto"/>
          <w:kern w:val="0"/>
          <w:szCs w:val="20"/>
          <w:lang w:eastAsia="zh-CN"/>
        </w:rPr>
        <w:t>质量</w:t>
      </w:r>
      <w:r>
        <w:rPr>
          <w:rFonts w:hint="default"/>
          <w:color w:val="auto"/>
          <w:kern w:val="0"/>
          <w:szCs w:val="20"/>
        </w:rPr>
        <w:t>标准》</w:t>
      </w:r>
      <w:r>
        <w:rPr>
          <w:rFonts w:hint="eastAsia"/>
          <w:color w:val="auto"/>
          <w:kern w:val="0"/>
          <w:szCs w:val="20"/>
          <w:lang w:eastAsia="zh-CN"/>
        </w:rPr>
        <w:t>、</w:t>
      </w:r>
      <w:r>
        <w:rPr>
          <w:rFonts w:hint="default"/>
          <w:color w:val="auto"/>
          <w:kern w:val="0"/>
          <w:szCs w:val="20"/>
        </w:rPr>
        <w:t>《兽药管理条例》等有关规定。</w:t>
      </w:r>
      <w:r>
        <w:rPr>
          <w:rFonts w:hint="eastAsia"/>
          <w:color w:val="auto"/>
          <w:kern w:val="0"/>
          <w:szCs w:val="20"/>
        </w:rPr>
        <w:t>常用清塘药物及使用方法见表1。</w:t>
      </w:r>
    </w:p>
    <w:p w14:paraId="231CE203">
      <w:pPr>
        <w:spacing w:line="400" w:lineRule="exact"/>
        <w:jc w:val="center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表1  常用清塘药物及使用方法</w:t>
      </w:r>
    </w:p>
    <w:tbl>
      <w:tblPr>
        <w:tblStyle w:val="5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909"/>
        <w:gridCol w:w="1160"/>
        <w:gridCol w:w="1963"/>
        <w:gridCol w:w="1763"/>
      </w:tblGrid>
      <w:tr w14:paraId="5146A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3" w:type="dxa"/>
            <w:noWrap w:val="0"/>
            <w:vAlign w:val="center"/>
          </w:tcPr>
          <w:p w14:paraId="4E85B627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药物名称</w:t>
            </w:r>
          </w:p>
        </w:tc>
        <w:tc>
          <w:tcPr>
            <w:tcW w:w="1909" w:type="dxa"/>
            <w:noWrap w:val="0"/>
            <w:vAlign w:val="center"/>
          </w:tcPr>
          <w:p w14:paraId="588BDAB6">
            <w:pPr>
              <w:pStyle w:val="11"/>
              <w:spacing w:line="400" w:lineRule="exact"/>
              <w:ind w:firstLine="420"/>
              <w:jc w:val="both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用  量</w:t>
            </w:r>
          </w:p>
        </w:tc>
        <w:tc>
          <w:tcPr>
            <w:tcW w:w="1160" w:type="dxa"/>
            <w:noWrap w:val="0"/>
            <w:vAlign w:val="center"/>
          </w:tcPr>
          <w:p w14:paraId="04880C43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休药期</w:t>
            </w:r>
          </w:p>
        </w:tc>
        <w:tc>
          <w:tcPr>
            <w:tcW w:w="1963" w:type="dxa"/>
            <w:noWrap w:val="0"/>
            <w:vAlign w:val="center"/>
          </w:tcPr>
          <w:p w14:paraId="7D465312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用  途</w:t>
            </w:r>
          </w:p>
        </w:tc>
        <w:tc>
          <w:tcPr>
            <w:tcW w:w="1763" w:type="dxa"/>
            <w:noWrap w:val="0"/>
            <w:vAlign w:val="center"/>
          </w:tcPr>
          <w:p w14:paraId="05FAB5FE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用  法</w:t>
            </w:r>
          </w:p>
        </w:tc>
      </w:tr>
      <w:tr w14:paraId="1A720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3" w:type="dxa"/>
            <w:noWrap w:val="0"/>
            <w:vAlign w:val="center"/>
          </w:tcPr>
          <w:p w14:paraId="4BE5CA5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生石灰</w:t>
            </w:r>
          </w:p>
        </w:tc>
        <w:tc>
          <w:tcPr>
            <w:tcW w:w="1909" w:type="dxa"/>
            <w:noWrap w:val="0"/>
            <w:vAlign w:val="center"/>
          </w:tcPr>
          <w:p w14:paraId="280DF954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100kg～</w:t>
            </w:r>
            <w:r>
              <w:rPr>
                <w:rFonts w:hint="eastAsia" w:ascii="Times New Roman"/>
                <w:color w:val="auto"/>
              </w:rPr>
              <w:t>1</w:t>
            </w:r>
            <w:r>
              <w:rPr>
                <w:rFonts w:ascii="Times New Roman"/>
                <w:color w:val="auto"/>
              </w:rPr>
              <w:t>50kg/</w:t>
            </w:r>
            <w:r>
              <w:rPr>
                <w:rFonts w:hint="eastAsia" w:ascii="Times New Roman"/>
                <w:color w:val="auto"/>
              </w:rPr>
              <w:t>亩</w:t>
            </w:r>
          </w:p>
        </w:tc>
        <w:tc>
          <w:tcPr>
            <w:tcW w:w="1160" w:type="dxa"/>
            <w:noWrap w:val="0"/>
            <w:vAlign w:val="center"/>
          </w:tcPr>
          <w:p w14:paraId="15F1F776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≥</w:t>
            </w:r>
            <w:r>
              <w:rPr>
                <w:rFonts w:ascii="Times New Roman"/>
                <w:color w:val="auto"/>
              </w:rPr>
              <w:t>10d</w:t>
            </w:r>
          </w:p>
        </w:tc>
        <w:tc>
          <w:tcPr>
            <w:tcW w:w="1963" w:type="dxa"/>
            <w:noWrap w:val="0"/>
            <w:vAlign w:val="center"/>
          </w:tcPr>
          <w:p w14:paraId="618876DD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杀灭野杂鱼、鱼类寄生虫和病原菌</w:t>
            </w:r>
          </w:p>
        </w:tc>
        <w:tc>
          <w:tcPr>
            <w:tcW w:w="1763" w:type="dxa"/>
            <w:noWrap w:val="0"/>
            <w:vAlign w:val="center"/>
          </w:tcPr>
          <w:p w14:paraId="425442D2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干法清塘</w:t>
            </w:r>
          </w:p>
        </w:tc>
      </w:tr>
      <w:tr w14:paraId="18DF3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3" w:type="dxa"/>
            <w:noWrap w:val="0"/>
            <w:vAlign w:val="center"/>
          </w:tcPr>
          <w:p w14:paraId="12D31157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漂白粉（有效氯含量</w:t>
            </w:r>
            <w:r>
              <w:rPr>
                <w:rFonts w:hint="eastAsia" w:ascii="Times New Roman"/>
                <w:color w:val="auto"/>
              </w:rPr>
              <w:t>25～</w:t>
            </w:r>
            <w:r>
              <w:rPr>
                <w:rFonts w:ascii="Times New Roman"/>
                <w:color w:val="auto"/>
              </w:rPr>
              <w:t>30%）</w:t>
            </w:r>
          </w:p>
        </w:tc>
        <w:tc>
          <w:tcPr>
            <w:tcW w:w="1909" w:type="dxa"/>
            <w:noWrap w:val="0"/>
            <w:vAlign w:val="center"/>
          </w:tcPr>
          <w:p w14:paraId="6DA116A0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20mg/L～30mg/L</w:t>
            </w:r>
          </w:p>
        </w:tc>
        <w:tc>
          <w:tcPr>
            <w:tcW w:w="1160" w:type="dxa"/>
            <w:noWrap w:val="0"/>
            <w:vAlign w:val="center"/>
          </w:tcPr>
          <w:p w14:paraId="6515824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≥</w:t>
            </w:r>
            <w:r>
              <w:rPr>
                <w:rFonts w:ascii="Times New Roman"/>
                <w:color w:val="auto"/>
              </w:rPr>
              <w:t>5d</w:t>
            </w:r>
          </w:p>
        </w:tc>
        <w:tc>
          <w:tcPr>
            <w:tcW w:w="1963" w:type="dxa"/>
            <w:noWrap w:val="0"/>
            <w:vAlign w:val="center"/>
          </w:tcPr>
          <w:p w14:paraId="6AACF112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杀灭鱼类寄生虫和病原菌</w:t>
            </w:r>
          </w:p>
        </w:tc>
        <w:tc>
          <w:tcPr>
            <w:tcW w:w="1763" w:type="dxa"/>
            <w:noWrap w:val="0"/>
            <w:vAlign w:val="center"/>
          </w:tcPr>
          <w:p w14:paraId="535DE075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带水清塘</w:t>
            </w:r>
            <w:r>
              <w:rPr>
                <w:rFonts w:hint="eastAsia" w:ascii="Times New Roman"/>
                <w:color w:val="auto"/>
              </w:rPr>
              <w:t>10cm</w:t>
            </w:r>
            <w:r>
              <w:rPr>
                <w:rFonts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</w:rPr>
              <w:t>20cm</w:t>
            </w:r>
          </w:p>
        </w:tc>
      </w:tr>
    </w:tbl>
    <w:p w14:paraId="79C49FB4">
      <w:pPr>
        <w:pStyle w:val="14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6</w:t>
      </w:r>
      <w:r>
        <w:rPr>
          <w:rFonts w:hint="eastAsia" w:ascii="黑体"/>
          <w:color w:val="auto"/>
        </w:rPr>
        <w:t>.</w:t>
      </w:r>
      <w:r>
        <w:rPr>
          <w:rFonts w:hint="eastAsia" w:ascii="黑体"/>
          <w:color w:val="auto"/>
          <w:lang w:val="en-US" w:eastAsia="zh-CN"/>
        </w:rPr>
        <w:t>5</w:t>
      </w:r>
      <w:r>
        <w:rPr>
          <w:rFonts w:hint="eastAsia" w:ascii="黑体"/>
          <w:color w:val="auto"/>
        </w:rPr>
        <w:t>进水</w:t>
      </w:r>
    </w:p>
    <w:p w14:paraId="028644A5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  <w:lang w:eastAsia="zh-CN"/>
        </w:rPr>
        <w:t>清塘药物</w:t>
      </w:r>
      <w:r>
        <w:rPr>
          <w:rFonts w:hint="eastAsia"/>
          <w:color w:val="auto"/>
          <w:kern w:val="0"/>
          <w:szCs w:val="20"/>
        </w:rPr>
        <w:t>休药期结束后，开始进水，进</w:t>
      </w:r>
      <w:r>
        <w:rPr>
          <w:color w:val="auto"/>
          <w:kern w:val="0"/>
          <w:szCs w:val="20"/>
        </w:rPr>
        <w:t>水</w:t>
      </w:r>
      <w:r>
        <w:rPr>
          <w:rFonts w:hint="eastAsia"/>
          <w:color w:val="auto"/>
          <w:kern w:val="0"/>
          <w:szCs w:val="20"/>
        </w:rPr>
        <w:t>须</w:t>
      </w:r>
      <w:r>
        <w:rPr>
          <w:color w:val="auto"/>
          <w:kern w:val="0"/>
          <w:szCs w:val="20"/>
        </w:rPr>
        <w:t>经</w:t>
      </w:r>
      <w:r>
        <w:rPr>
          <w:rFonts w:hint="eastAsia"/>
          <w:color w:val="auto"/>
          <w:kern w:val="0"/>
          <w:szCs w:val="20"/>
        </w:rPr>
        <w:t>4</w:t>
      </w:r>
      <w:r>
        <w:rPr>
          <w:color w:val="auto"/>
          <w:kern w:val="0"/>
          <w:szCs w:val="20"/>
        </w:rPr>
        <w:t>0</w:t>
      </w:r>
      <w:r>
        <w:rPr>
          <w:rFonts w:hint="eastAsia"/>
          <w:color w:val="auto"/>
          <w:kern w:val="0"/>
          <w:szCs w:val="20"/>
        </w:rPr>
        <w:t>目～60目筛绢网</w:t>
      </w:r>
      <w:r>
        <w:rPr>
          <w:color w:val="auto"/>
          <w:kern w:val="0"/>
          <w:szCs w:val="20"/>
        </w:rPr>
        <w:t>过滤，</w:t>
      </w:r>
      <w:r>
        <w:rPr>
          <w:rFonts w:hint="eastAsia"/>
          <w:color w:val="auto"/>
          <w:kern w:val="0"/>
          <w:szCs w:val="20"/>
        </w:rPr>
        <w:t>首次进水</w:t>
      </w:r>
      <w:r>
        <w:rPr>
          <w:rFonts w:hint="eastAsia"/>
          <w:color w:val="auto"/>
        </w:rPr>
        <w:t>1.0ｍ左右</w:t>
      </w:r>
      <w:r>
        <w:rPr>
          <w:color w:val="auto"/>
          <w:kern w:val="0"/>
          <w:szCs w:val="20"/>
        </w:rPr>
        <w:t>。</w:t>
      </w:r>
    </w:p>
    <w:p w14:paraId="3E747782">
      <w:pPr>
        <w:pStyle w:val="14"/>
        <w:numPr>
          <w:ilvl w:val="0"/>
          <w:numId w:val="0"/>
        </w:numPr>
        <w:spacing w:line="400" w:lineRule="exact"/>
        <w:rPr>
          <w:color w:val="auto"/>
        </w:rPr>
      </w:pPr>
      <w:r>
        <w:rPr>
          <w:rFonts w:hint="eastAsia"/>
          <w:color w:val="auto"/>
          <w:lang w:val="en-US" w:eastAsia="zh-CN"/>
        </w:rPr>
        <w:t>6</w:t>
      </w:r>
      <w:r>
        <w:rPr>
          <w:rFonts w:hint="eastAsia"/>
          <w:color w:val="auto"/>
        </w:rPr>
        <w:t>.</w:t>
      </w:r>
      <w:r>
        <w:rPr>
          <w:rFonts w:hint="eastAsia"/>
          <w:color w:val="auto"/>
          <w:lang w:val="en-US" w:eastAsia="zh-CN"/>
        </w:rPr>
        <w:t>6</w:t>
      </w:r>
      <w:r>
        <w:rPr>
          <w:rFonts w:hint="eastAsia"/>
          <w:color w:val="auto"/>
        </w:rPr>
        <w:t xml:space="preserve"> 施肥</w:t>
      </w:r>
    </w:p>
    <w:p w14:paraId="3488BD47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可用有机肥、无机肥和生物肥料，所用肥料</w:t>
      </w:r>
      <w:r>
        <w:rPr>
          <w:color w:val="auto"/>
          <w:kern w:val="0"/>
          <w:szCs w:val="20"/>
        </w:rPr>
        <w:t>应符合NY/T</w:t>
      </w:r>
      <w:r>
        <w:rPr>
          <w:rFonts w:hint="eastAsia"/>
          <w:color w:val="auto"/>
          <w:kern w:val="0"/>
          <w:szCs w:val="20"/>
        </w:rPr>
        <w:t xml:space="preserve"> </w:t>
      </w:r>
      <w:r>
        <w:rPr>
          <w:color w:val="auto"/>
          <w:kern w:val="0"/>
          <w:szCs w:val="20"/>
        </w:rPr>
        <w:t>394的规定</w:t>
      </w:r>
      <w:r>
        <w:rPr>
          <w:rFonts w:hint="eastAsia"/>
          <w:color w:val="auto"/>
          <w:kern w:val="0"/>
          <w:szCs w:val="20"/>
        </w:rPr>
        <w:t>，常用肥料的施用量及施用方法见表2。无机肥施用根据池水藻相、水色及透明度进行，池水</w:t>
      </w:r>
      <w:r>
        <w:rPr>
          <w:color w:val="auto"/>
          <w:kern w:val="0"/>
          <w:szCs w:val="20"/>
        </w:rPr>
        <w:t>水色以浅绿色、淡黄色或淡褐色为宜。</w:t>
      </w:r>
      <w:r>
        <w:rPr>
          <w:rFonts w:hint="eastAsia"/>
          <w:color w:val="auto"/>
          <w:kern w:val="0"/>
          <w:szCs w:val="20"/>
        </w:rPr>
        <w:t>透明度30</w:t>
      </w:r>
      <w:r>
        <w:rPr>
          <w:color w:val="auto"/>
          <w:kern w:val="0"/>
          <w:szCs w:val="20"/>
        </w:rPr>
        <w:t>cm</w:t>
      </w:r>
      <w:r>
        <w:rPr>
          <w:rFonts w:hint="eastAsia"/>
          <w:color w:val="auto"/>
          <w:kern w:val="0"/>
          <w:szCs w:val="20"/>
        </w:rPr>
        <w:t>～40</w:t>
      </w:r>
      <w:r>
        <w:rPr>
          <w:color w:val="auto"/>
          <w:kern w:val="0"/>
          <w:szCs w:val="20"/>
        </w:rPr>
        <w:t>cm</w:t>
      </w:r>
      <w:r>
        <w:rPr>
          <w:rFonts w:hint="eastAsia"/>
          <w:color w:val="auto"/>
          <w:kern w:val="0"/>
          <w:szCs w:val="20"/>
        </w:rPr>
        <w:t>。</w:t>
      </w:r>
    </w:p>
    <w:p w14:paraId="5DBD4008">
      <w:pPr>
        <w:spacing w:line="400" w:lineRule="exact"/>
        <w:jc w:val="center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表2  常用肥料的施用量及施用方法</w:t>
      </w:r>
    </w:p>
    <w:tbl>
      <w:tblPr>
        <w:tblStyle w:val="5"/>
        <w:tblW w:w="8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576"/>
        <w:gridCol w:w="2134"/>
        <w:gridCol w:w="3721"/>
      </w:tblGrid>
      <w:tr w14:paraId="53D07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2" w:type="dxa"/>
            <w:noWrap w:val="0"/>
            <w:vAlign w:val="center"/>
          </w:tcPr>
          <w:p w14:paraId="2DBA2FCF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肥料种类</w:t>
            </w:r>
          </w:p>
        </w:tc>
        <w:tc>
          <w:tcPr>
            <w:tcW w:w="1576" w:type="dxa"/>
            <w:noWrap w:val="0"/>
            <w:vAlign w:val="center"/>
          </w:tcPr>
          <w:p w14:paraId="33580F9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肥料</w:t>
            </w:r>
            <w:r>
              <w:rPr>
                <w:rFonts w:ascii="Times New Roman"/>
                <w:color w:val="auto"/>
              </w:rPr>
              <w:t>名称</w:t>
            </w:r>
          </w:p>
        </w:tc>
        <w:tc>
          <w:tcPr>
            <w:tcW w:w="2134" w:type="dxa"/>
            <w:noWrap w:val="0"/>
            <w:vAlign w:val="center"/>
          </w:tcPr>
          <w:p w14:paraId="113A02A9">
            <w:pPr>
              <w:pStyle w:val="11"/>
              <w:spacing w:line="400" w:lineRule="exact"/>
              <w:ind w:firstLine="42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用  量</w:t>
            </w:r>
          </w:p>
        </w:tc>
        <w:tc>
          <w:tcPr>
            <w:tcW w:w="3721" w:type="dxa"/>
            <w:noWrap w:val="0"/>
            <w:vAlign w:val="center"/>
          </w:tcPr>
          <w:p w14:paraId="2F134EC6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施用方</w:t>
            </w:r>
            <w:r>
              <w:rPr>
                <w:rFonts w:ascii="Times New Roman"/>
                <w:color w:val="auto"/>
              </w:rPr>
              <w:t>法</w:t>
            </w:r>
          </w:p>
        </w:tc>
      </w:tr>
      <w:tr w14:paraId="629F5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2" w:type="dxa"/>
            <w:noWrap w:val="0"/>
            <w:vAlign w:val="center"/>
          </w:tcPr>
          <w:p w14:paraId="4683626E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有机肥</w:t>
            </w:r>
          </w:p>
        </w:tc>
        <w:tc>
          <w:tcPr>
            <w:tcW w:w="1576" w:type="dxa"/>
            <w:noWrap w:val="0"/>
            <w:vAlign w:val="center"/>
          </w:tcPr>
          <w:p w14:paraId="4FDA865E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发酵粪肥</w:t>
            </w:r>
          </w:p>
        </w:tc>
        <w:tc>
          <w:tcPr>
            <w:tcW w:w="2134" w:type="dxa"/>
            <w:noWrap w:val="0"/>
            <w:vAlign w:val="center"/>
          </w:tcPr>
          <w:p w14:paraId="4141192E">
            <w:pPr>
              <w:pStyle w:val="11"/>
              <w:spacing w:line="400" w:lineRule="exact"/>
              <w:ind w:left="0" w:leftChars="0" w:firstLine="0" w:firstLineChars="0"/>
              <w:jc w:val="both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20</w:t>
            </w:r>
            <w:r>
              <w:rPr>
                <w:rFonts w:ascii="Times New Roman"/>
                <w:color w:val="auto"/>
              </w:rPr>
              <w:t>kg/</w:t>
            </w:r>
            <w:r>
              <w:rPr>
                <w:rFonts w:hint="eastAsia" w:ascii="Times New Roman"/>
                <w:color w:val="auto"/>
              </w:rPr>
              <w:t>亩</w:t>
            </w:r>
            <w:r>
              <w:rPr>
                <w:rFonts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</w:rPr>
              <w:t>25</w:t>
            </w:r>
            <w:r>
              <w:rPr>
                <w:rFonts w:ascii="Times New Roman"/>
                <w:color w:val="auto"/>
              </w:rPr>
              <w:t xml:space="preserve"> kg/</w:t>
            </w:r>
            <w:r>
              <w:rPr>
                <w:rFonts w:hint="eastAsia" w:ascii="Times New Roman"/>
                <w:color w:val="auto"/>
              </w:rPr>
              <w:t>亩</w:t>
            </w:r>
          </w:p>
        </w:tc>
        <w:tc>
          <w:tcPr>
            <w:tcW w:w="3721" w:type="dxa"/>
            <w:noWrap w:val="0"/>
            <w:vAlign w:val="center"/>
          </w:tcPr>
          <w:p w14:paraId="7590493D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堆放在池塘向阳浅水处，每隔2d～3d翻动一次</w:t>
            </w:r>
          </w:p>
        </w:tc>
      </w:tr>
      <w:tr w14:paraId="5BBAF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72" w:type="dxa"/>
            <w:vMerge w:val="restart"/>
            <w:noWrap w:val="0"/>
            <w:vAlign w:val="center"/>
          </w:tcPr>
          <w:p w14:paraId="38969E4F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无机肥</w:t>
            </w:r>
          </w:p>
        </w:tc>
        <w:tc>
          <w:tcPr>
            <w:tcW w:w="1576" w:type="dxa"/>
            <w:noWrap w:val="0"/>
            <w:vAlign w:val="center"/>
          </w:tcPr>
          <w:p w14:paraId="7707BF1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氮肥</w:t>
            </w:r>
          </w:p>
        </w:tc>
        <w:tc>
          <w:tcPr>
            <w:tcW w:w="2134" w:type="dxa"/>
            <w:noWrap w:val="0"/>
            <w:vAlign w:val="center"/>
          </w:tcPr>
          <w:p w14:paraId="5EE9C66C">
            <w:pPr>
              <w:pStyle w:val="11"/>
              <w:spacing w:line="400" w:lineRule="exact"/>
              <w:ind w:left="0" w:leftChars="0" w:firstLine="0" w:firstLineChars="0"/>
              <w:jc w:val="both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2g/ m</w:t>
            </w:r>
            <w:r>
              <w:rPr>
                <w:rFonts w:hint="eastAsia" w:ascii="Times New Roman"/>
                <w:color w:val="auto"/>
                <w:vertAlign w:val="superscript"/>
              </w:rPr>
              <w:t>3</w:t>
            </w:r>
            <w:r>
              <w:rPr>
                <w:rFonts w:hint="eastAsia" w:ascii="Times New Roman"/>
                <w:color w:val="auto"/>
              </w:rPr>
              <w:t>～4g/ m</w:t>
            </w:r>
            <w:r>
              <w:rPr>
                <w:rFonts w:hint="eastAsia" w:ascii="Times New Roman"/>
                <w:color w:val="auto"/>
                <w:vertAlign w:val="superscript"/>
              </w:rPr>
              <w:t>3</w:t>
            </w:r>
          </w:p>
        </w:tc>
        <w:tc>
          <w:tcPr>
            <w:tcW w:w="3721" w:type="dxa"/>
            <w:vMerge w:val="restart"/>
            <w:noWrap w:val="0"/>
            <w:vAlign w:val="center"/>
          </w:tcPr>
          <w:p w14:paraId="56EEA1C2">
            <w:pPr>
              <w:pStyle w:val="11"/>
              <w:spacing w:line="400" w:lineRule="exact"/>
              <w:ind w:firstLine="0" w:firstLineChars="0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分别溶水</w:t>
            </w:r>
            <w:r>
              <w:rPr>
                <w:rFonts w:ascii="Times New Roman"/>
                <w:color w:val="auto"/>
              </w:rPr>
              <w:t>稀释后</w:t>
            </w:r>
            <w:r>
              <w:rPr>
                <w:rFonts w:hint="eastAsia" w:ascii="Times New Roman"/>
                <w:color w:val="auto"/>
              </w:rPr>
              <w:t>，</w:t>
            </w:r>
            <w:r>
              <w:rPr>
                <w:rFonts w:ascii="Times New Roman"/>
                <w:color w:val="auto"/>
              </w:rPr>
              <w:t>全池泼洒</w:t>
            </w:r>
          </w:p>
        </w:tc>
      </w:tr>
      <w:tr w14:paraId="36611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72" w:type="dxa"/>
            <w:vMerge w:val="continue"/>
            <w:noWrap w:val="0"/>
            <w:vAlign w:val="center"/>
          </w:tcPr>
          <w:p w14:paraId="4F0BBA4F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</w:p>
        </w:tc>
        <w:tc>
          <w:tcPr>
            <w:tcW w:w="1576" w:type="dxa"/>
            <w:noWrap w:val="0"/>
            <w:vAlign w:val="center"/>
          </w:tcPr>
          <w:p w14:paraId="1A3F876E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磷肥</w:t>
            </w:r>
          </w:p>
        </w:tc>
        <w:tc>
          <w:tcPr>
            <w:tcW w:w="2134" w:type="dxa"/>
            <w:noWrap w:val="0"/>
            <w:vAlign w:val="center"/>
          </w:tcPr>
          <w:p w14:paraId="596A5EC4">
            <w:pPr>
              <w:pStyle w:val="11"/>
              <w:tabs>
                <w:tab w:val="left" w:pos="560"/>
                <w:tab w:val="center" w:pos="1401"/>
              </w:tabs>
              <w:spacing w:line="400" w:lineRule="exact"/>
              <w:ind w:left="0" w:leftChars="0" w:firstLine="0" w:firstLineChars="0"/>
              <w:jc w:val="left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0.2g/ m</w:t>
            </w:r>
            <w:r>
              <w:rPr>
                <w:rFonts w:hint="eastAsia" w:ascii="Times New Roman"/>
                <w:color w:val="auto"/>
                <w:vertAlign w:val="superscript"/>
              </w:rPr>
              <w:t>3</w:t>
            </w:r>
            <w:r>
              <w:rPr>
                <w:rFonts w:hint="eastAsia" w:ascii="Times New Roman"/>
                <w:color w:val="auto"/>
              </w:rPr>
              <w:t>～0.4 g/ m</w:t>
            </w:r>
            <w:r>
              <w:rPr>
                <w:rFonts w:hint="eastAsia" w:ascii="Times New Roman"/>
                <w:color w:val="auto"/>
                <w:vertAlign w:val="superscript"/>
              </w:rPr>
              <w:t>3</w:t>
            </w:r>
          </w:p>
        </w:tc>
        <w:tc>
          <w:tcPr>
            <w:tcW w:w="3721" w:type="dxa"/>
            <w:vMerge w:val="continue"/>
            <w:noWrap w:val="0"/>
            <w:vAlign w:val="center"/>
          </w:tcPr>
          <w:p w14:paraId="2170B417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</w:p>
        </w:tc>
      </w:tr>
      <w:tr w14:paraId="74AD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noWrap w:val="0"/>
            <w:vAlign w:val="center"/>
          </w:tcPr>
          <w:p w14:paraId="2C88EEB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生物肥料</w:t>
            </w:r>
          </w:p>
        </w:tc>
        <w:tc>
          <w:tcPr>
            <w:tcW w:w="5855" w:type="dxa"/>
            <w:gridSpan w:val="2"/>
            <w:noWrap w:val="0"/>
            <w:vAlign w:val="center"/>
          </w:tcPr>
          <w:p w14:paraId="0D0E5339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按产品说明使用</w:t>
            </w:r>
          </w:p>
        </w:tc>
      </w:tr>
    </w:tbl>
    <w:p w14:paraId="563182D0">
      <w:pPr>
        <w:pStyle w:val="14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eastAsia="宋体"/>
          <w:color w:val="auto"/>
          <w:lang w:val="en-US" w:eastAsia="zh-CN"/>
        </w:rPr>
        <w:t>6</w:t>
      </w:r>
      <w:r>
        <w:rPr>
          <w:rFonts w:hint="eastAsia" w:eastAsia="宋体"/>
          <w:color w:val="auto"/>
        </w:rPr>
        <w:t>.</w:t>
      </w:r>
      <w:r>
        <w:rPr>
          <w:rFonts w:hint="eastAsia" w:eastAsia="宋体"/>
          <w:color w:val="auto"/>
          <w:lang w:val="en-US" w:eastAsia="zh-CN"/>
        </w:rPr>
        <w:t>7</w:t>
      </w:r>
      <w:r>
        <w:rPr>
          <w:rFonts w:hint="eastAsia" w:eastAsia="宋体"/>
          <w:color w:val="auto"/>
        </w:rPr>
        <w:t xml:space="preserve"> 培养或</w:t>
      </w:r>
      <w:r>
        <w:rPr>
          <w:rFonts w:hint="eastAsia" w:ascii="黑体"/>
          <w:color w:val="auto"/>
        </w:rPr>
        <w:t>移植饵料生物</w:t>
      </w:r>
    </w:p>
    <w:p w14:paraId="5CAFA18B">
      <w:pPr>
        <w:pStyle w:val="11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在放苗前3</w:t>
      </w:r>
      <w:r>
        <w:rPr>
          <w:rFonts w:ascii="Times New Roman"/>
          <w:color w:val="auto"/>
        </w:rPr>
        <w:t>d</w:t>
      </w:r>
      <w:r>
        <w:rPr>
          <w:rFonts w:hint="eastAsia" w:ascii="Times New Roman"/>
          <w:color w:val="auto"/>
        </w:rPr>
        <w:t>～5</w:t>
      </w:r>
      <w:r>
        <w:rPr>
          <w:rFonts w:ascii="Times New Roman"/>
          <w:color w:val="auto"/>
        </w:rPr>
        <w:t>d</w:t>
      </w:r>
      <w:r>
        <w:rPr>
          <w:rFonts w:hint="eastAsia" w:ascii="Times New Roman"/>
          <w:color w:val="auto"/>
        </w:rPr>
        <w:t>，向池塘施加</w:t>
      </w:r>
      <w:r>
        <w:rPr>
          <w:rFonts w:hint="default" w:ascii="Times New Roman" w:eastAsia="宋体" w:cs="Times New Roman"/>
          <w:color w:val="auto"/>
        </w:rPr>
        <w:t>生物肥水剂或经过有益菌彻底发酵的有机肥上清液培养微藻</w:t>
      </w:r>
      <w:r>
        <w:rPr>
          <w:rFonts w:hint="eastAsia" w:ascii="Times New Roman" w:eastAsia="宋体" w:cs="Times New Roman"/>
          <w:color w:val="auto"/>
        </w:rPr>
        <w:t>。有条</w:t>
      </w:r>
      <w:r>
        <w:rPr>
          <w:rFonts w:hint="eastAsia" w:ascii="Times New Roman"/>
          <w:color w:val="auto"/>
        </w:rPr>
        <w:t>件的地方，</w:t>
      </w:r>
      <w:r>
        <w:rPr>
          <w:rFonts w:ascii="Times New Roman"/>
          <w:color w:val="auto"/>
        </w:rPr>
        <w:t>在放苗前10d</w:t>
      </w:r>
      <w:r>
        <w:rPr>
          <w:rFonts w:hint="eastAsia" w:ascii="Times New Roman"/>
          <w:color w:val="auto"/>
        </w:rPr>
        <w:t>～</w:t>
      </w:r>
      <w:r>
        <w:rPr>
          <w:rFonts w:ascii="Times New Roman"/>
          <w:color w:val="auto"/>
        </w:rPr>
        <w:t>15d，向养殖池</w:t>
      </w:r>
      <w:r>
        <w:rPr>
          <w:rFonts w:hint="eastAsia" w:ascii="Times New Roman"/>
          <w:color w:val="auto"/>
        </w:rPr>
        <w:t>内</w:t>
      </w:r>
      <w:r>
        <w:rPr>
          <w:rFonts w:ascii="Times New Roman"/>
          <w:color w:val="auto"/>
        </w:rPr>
        <w:t>移植蜾蠃蜚</w:t>
      </w:r>
      <w:r>
        <w:rPr>
          <w:rFonts w:hint="eastAsia" w:ascii="Times New Roman"/>
          <w:color w:val="auto"/>
        </w:rPr>
        <w:t>或</w:t>
      </w:r>
      <w:r>
        <w:rPr>
          <w:rFonts w:ascii="Times New Roman"/>
          <w:color w:val="auto"/>
        </w:rPr>
        <w:t>钩虾，使其在池内繁殖，作为</w:t>
      </w:r>
      <w:r>
        <w:rPr>
          <w:rFonts w:hint="eastAsia" w:ascii="Times New Roman"/>
          <w:color w:val="auto"/>
        </w:rPr>
        <w:t>对虾</w:t>
      </w:r>
      <w:r>
        <w:rPr>
          <w:rFonts w:ascii="Times New Roman"/>
          <w:color w:val="auto"/>
        </w:rPr>
        <w:t>幼虾的饵料，</w:t>
      </w:r>
      <w:r>
        <w:rPr>
          <w:rFonts w:hint="eastAsia" w:ascii="Times New Roman"/>
          <w:color w:val="auto"/>
        </w:rPr>
        <w:t>移植</w:t>
      </w:r>
      <w:r>
        <w:rPr>
          <w:rFonts w:ascii="Times New Roman"/>
          <w:color w:val="auto"/>
        </w:rPr>
        <w:t>量为</w:t>
      </w:r>
      <w:r>
        <w:rPr>
          <w:rFonts w:hint="eastAsia" w:ascii="Times New Roman"/>
          <w:color w:val="auto"/>
          <w:lang w:val="en-US" w:eastAsia="zh-CN"/>
        </w:rPr>
        <w:t>3</w:t>
      </w:r>
      <w:r>
        <w:rPr>
          <w:rFonts w:hint="eastAsia" w:ascii="Times New Roman"/>
          <w:color w:val="auto"/>
        </w:rPr>
        <w:t xml:space="preserve"> </w:t>
      </w:r>
      <w:r>
        <w:rPr>
          <w:rFonts w:ascii="Times New Roman"/>
          <w:color w:val="auto"/>
        </w:rPr>
        <w:t>kg/</w:t>
      </w:r>
      <w:r>
        <w:rPr>
          <w:rFonts w:hint="eastAsia" w:ascii="Times New Roman"/>
          <w:color w:val="auto"/>
          <w:lang w:eastAsia="zh-CN"/>
        </w:rPr>
        <w:t>亩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6</w:t>
      </w:r>
      <w:r>
        <w:rPr>
          <w:rFonts w:hint="eastAsia" w:ascii="Times New Roman"/>
          <w:color w:val="auto"/>
        </w:rPr>
        <w:t xml:space="preserve"> </w:t>
      </w:r>
      <w:r>
        <w:rPr>
          <w:rFonts w:ascii="Times New Roman"/>
          <w:color w:val="auto"/>
        </w:rPr>
        <w:t>kg/</w:t>
      </w:r>
      <w:r>
        <w:rPr>
          <w:rFonts w:hint="eastAsia" w:ascii="Times New Roman"/>
          <w:color w:val="auto"/>
          <w:lang w:eastAsia="zh-CN"/>
        </w:rPr>
        <w:t>亩</w:t>
      </w:r>
      <w:r>
        <w:rPr>
          <w:rFonts w:ascii="Times New Roman"/>
          <w:color w:val="auto"/>
        </w:rPr>
        <w:t>。</w:t>
      </w:r>
    </w:p>
    <w:p w14:paraId="2C5F93E0">
      <w:pPr>
        <w:pStyle w:val="12"/>
        <w:numPr>
          <w:ilvl w:val="0"/>
          <w:numId w:val="0"/>
        </w:numPr>
        <w:spacing w:beforeLines="0" w:afterLines="0" w:line="400" w:lineRule="exact"/>
        <w:rPr>
          <w:color w:val="auto"/>
        </w:rPr>
      </w:pPr>
      <w:r>
        <w:rPr>
          <w:rFonts w:hint="eastAsia"/>
          <w:color w:val="auto"/>
          <w:lang w:val="en-US" w:eastAsia="zh-CN"/>
        </w:rPr>
        <w:t>7</w:t>
      </w:r>
      <w:r>
        <w:rPr>
          <w:rFonts w:hint="eastAsia"/>
          <w:color w:val="auto"/>
        </w:rPr>
        <w:t>养殖模式</w:t>
      </w:r>
    </w:p>
    <w:p w14:paraId="0F659DEA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常见虾蜇混养模式见表3。</w:t>
      </w:r>
    </w:p>
    <w:p w14:paraId="2A8F891C">
      <w:pPr>
        <w:spacing w:line="400" w:lineRule="exact"/>
        <w:jc w:val="center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表3  不同</w:t>
      </w:r>
      <w:r>
        <w:rPr>
          <w:color w:val="auto"/>
          <w:kern w:val="0"/>
          <w:szCs w:val="20"/>
        </w:rPr>
        <w:t>养殖模式的</w:t>
      </w:r>
      <w:r>
        <w:rPr>
          <w:rFonts w:hint="eastAsia"/>
          <w:color w:val="auto"/>
          <w:kern w:val="0"/>
          <w:szCs w:val="20"/>
        </w:rPr>
        <w:t>放养品种及</w:t>
      </w:r>
      <w:r>
        <w:rPr>
          <w:color w:val="auto"/>
          <w:kern w:val="0"/>
          <w:szCs w:val="20"/>
        </w:rPr>
        <w:t>放苗密度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389"/>
        <w:gridCol w:w="1719"/>
        <w:gridCol w:w="2018"/>
        <w:gridCol w:w="1933"/>
      </w:tblGrid>
      <w:tr w14:paraId="57400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noWrap w:val="0"/>
            <w:vAlign w:val="center"/>
          </w:tcPr>
          <w:p w14:paraId="44A0EF86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养殖模式</w:t>
            </w:r>
          </w:p>
        </w:tc>
        <w:tc>
          <w:tcPr>
            <w:tcW w:w="1389" w:type="dxa"/>
            <w:noWrap w:val="0"/>
            <w:vAlign w:val="center"/>
          </w:tcPr>
          <w:p w14:paraId="68C3DBE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品 种</w:t>
            </w:r>
          </w:p>
        </w:tc>
        <w:tc>
          <w:tcPr>
            <w:tcW w:w="1719" w:type="dxa"/>
            <w:noWrap w:val="0"/>
            <w:vAlign w:val="center"/>
          </w:tcPr>
          <w:p w14:paraId="1601988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eastAsia="zh-CN"/>
              </w:rPr>
              <w:t>放苗体长</w:t>
            </w:r>
            <w:r>
              <w:rPr>
                <w:rFonts w:ascii="Times New Roman"/>
                <w:color w:val="auto"/>
              </w:rPr>
              <w:t>规格</w:t>
            </w:r>
          </w:p>
        </w:tc>
        <w:tc>
          <w:tcPr>
            <w:tcW w:w="2018" w:type="dxa"/>
            <w:noWrap w:val="0"/>
            <w:vAlign w:val="center"/>
          </w:tcPr>
          <w:p w14:paraId="4A8FFDC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eastAsia="zh-CN"/>
              </w:rPr>
              <w:t>亩</w:t>
            </w:r>
            <w:r>
              <w:rPr>
                <w:rFonts w:ascii="Times New Roman"/>
                <w:color w:val="auto"/>
              </w:rPr>
              <w:t>放苗密度</w:t>
            </w:r>
          </w:p>
        </w:tc>
        <w:tc>
          <w:tcPr>
            <w:tcW w:w="1933" w:type="dxa"/>
            <w:noWrap w:val="0"/>
            <w:vAlign w:val="center"/>
          </w:tcPr>
          <w:p w14:paraId="63C2650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放</w:t>
            </w:r>
            <w:r>
              <w:rPr>
                <w:rFonts w:hint="eastAsia" w:ascii="Times New Roman"/>
                <w:color w:val="auto"/>
                <w:lang w:eastAsia="zh-CN"/>
              </w:rPr>
              <w:t>苗</w:t>
            </w:r>
            <w:r>
              <w:rPr>
                <w:rFonts w:ascii="Times New Roman"/>
                <w:color w:val="auto"/>
              </w:rPr>
              <w:t>时间</w:t>
            </w:r>
          </w:p>
        </w:tc>
      </w:tr>
      <w:tr w14:paraId="0043C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68" w:type="dxa"/>
            <w:vMerge w:val="restart"/>
            <w:noWrap w:val="0"/>
            <w:vAlign w:val="center"/>
          </w:tcPr>
          <w:p w14:paraId="74287C9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中国对虾与海蜇混养</w:t>
            </w:r>
          </w:p>
        </w:tc>
        <w:tc>
          <w:tcPr>
            <w:tcW w:w="1389" w:type="dxa"/>
            <w:noWrap w:val="0"/>
            <w:vAlign w:val="center"/>
          </w:tcPr>
          <w:p w14:paraId="04F785F1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中国对虾</w:t>
            </w:r>
          </w:p>
        </w:tc>
        <w:tc>
          <w:tcPr>
            <w:tcW w:w="1719" w:type="dxa"/>
            <w:noWrap w:val="0"/>
            <w:vAlign w:val="center"/>
          </w:tcPr>
          <w:p w14:paraId="074236C2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0.8</w:t>
            </w:r>
            <w:r>
              <w:rPr>
                <w:rFonts w:hint="eastAsia" w:ascii="Times New Roman"/>
                <w:color w:val="auto"/>
              </w:rPr>
              <w:t>cm～</w:t>
            </w:r>
            <w:r>
              <w:rPr>
                <w:rFonts w:ascii="Times New Roman"/>
                <w:color w:val="auto"/>
              </w:rPr>
              <w:t>1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723C795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4000</w:t>
            </w:r>
            <w:r>
              <w:rPr>
                <w:rFonts w:ascii="Times New Roman"/>
                <w:color w:val="auto"/>
              </w:rPr>
              <w:t>尾</w:t>
            </w:r>
            <w:r>
              <w:rPr>
                <w:rFonts w:hint="eastAsia"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8</w:t>
            </w:r>
            <w:r>
              <w:rPr>
                <w:rFonts w:hint="eastAsia" w:ascii="Times New Roman"/>
                <w:color w:val="auto"/>
              </w:rPr>
              <w:t>000</w:t>
            </w:r>
            <w:r>
              <w:rPr>
                <w:rFonts w:ascii="Times New Roman"/>
                <w:color w:val="auto"/>
              </w:rPr>
              <w:t>尾</w:t>
            </w:r>
          </w:p>
        </w:tc>
        <w:tc>
          <w:tcPr>
            <w:tcW w:w="1933" w:type="dxa"/>
            <w:shd w:val="clear" w:color="auto" w:fill="auto"/>
            <w:noWrap w:val="0"/>
            <w:vAlign w:val="center"/>
          </w:tcPr>
          <w:p w14:paraId="1B01C4FC">
            <w:pPr>
              <w:pStyle w:val="11"/>
              <w:ind w:firstLine="0" w:firstLineChars="0"/>
              <w:jc w:val="center"/>
              <w:rPr>
                <w:rFonts w:hint="eastAsia" w:ascii="Times New Roman" w:hAnsi="Calibri" w:eastAsia="宋体" w:cs="Times New Roman"/>
                <w:color w:val="auto"/>
                <w:sz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</w:rPr>
              <w:t>4</w:t>
            </w:r>
            <w:r>
              <w:rPr>
                <w:rFonts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eastAsia="zh-CN"/>
              </w:rPr>
              <w:t>下旬</w:t>
            </w:r>
            <w:r>
              <w:rPr>
                <w:rFonts w:ascii="Times New Roman"/>
                <w:color w:val="auto"/>
              </w:rPr>
              <w:t>（自然水温稳定在1</w:t>
            </w:r>
            <w:r>
              <w:rPr>
                <w:rFonts w:hint="eastAsia" w:ascii="Times New Roman"/>
                <w:color w:val="auto"/>
                <w:lang w:val="en-US" w:eastAsia="zh-CN"/>
              </w:rPr>
              <w:t>6</w:t>
            </w:r>
            <w:r>
              <w:rPr>
                <w:rFonts w:ascii="Times New Roman"/>
                <w:color w:val="auto"/>
              </w:rPr>
              <w:t>℃以上）</w:t>
            </w:r>
          </w:p>
        </w:tc>
      </w:tr>
      <w:tr w14:paraId="52AFF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68" w:type="dxa"/>
            <w:vMerge w:val="continue"/>
            <w:noWrap w:val="0"/>
            <w:vAlign w:val="center"/>
          </w:tcPr>
          <w:p w14:paraId="2A23CA2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3CDD5692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海</w:t>
            </w:r>
            <w:r>
              <w:rPr>
                <w:rFonts w:hint="eastAsia"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蜇</w:t>
            </w:r>
          </w:p>
        </w:tc>
        <w:tc>
          <w:tcPr>
            <w:tcW w:w="1719" w:type="dxa"/>
            <w:noWrap w:val="0"/>
            <w:vAlign w:val="center"/>
          </w:tcPr>
          <w:p w14:paraId="49BFFB0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伞径</w:t>
            </w:r>
            <w:r>
              <w:rPr>
                <w:rFonts w:hint="eastAsia" w:ascii="Times New Roman"/>
                <w:color w:val="auto"/>
              </w:rPr>
              <w:t>3cm～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10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253FE566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0片～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hint="eastAsia" w:ascii="Times New Roman"/>
                <w:color w:val="auto"/>
              </w:rPr>
              <w:t>00片</w:t>
            </w:r>
          </w:p>
        </w:tc>
        <w:tc>
          <w:tcPr>
            <w:tcW w:w="1933" w:type="dxa"/>
            <w:shd w:val="clear" w:color="auto" w:fill="auto"/>
            <w:noWrap w:val="0"/>
            <w:vAlign w:val="center"/>
          </w:tcPr>
          <w:p w14:paraId="070ECA38">
            <w:pPr>
              <w:pStyle w:val="11"/>
              <w:ind w:firstLine="0" w:firstLineChars="0"/>
              <w:jc w:val="center"/>
              <w:rPr>
                <w:rFonts w:hint="eastAsia" w:ascii="Times New Roman" w:hAnsi="Calibri" w:eastAsia="宋体" w:cs="Times New Roman"/>
                <w:color w:val="auto"/>
                <w:sz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4</w:t>
            </w:r>
            <w:r>
              <w:rPr>
                <w:rFonts w:hint="eastAsia"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val="en-US" w:eastAsia="zh-CN"/>
              </w:rPr>
              <w:t>中</w:t>
            </w:r>
            <w:r>
              <w:rPr>
                <w:rFonts w:hint="eastAsia" w:ascii="Times New Roman"/>
                <w:color w:val="auto"/>
                <w:lang w:eastAsia="zh-CN"/>
              </w:rPr>
              <w:t>旬</w:t>
            </w:r>
            <w:r>
              <w:rPr>
                <w:rFonts w:hint="eastAsia" w:ascii="Times New Roman"/>
                <w:color w:val="auto"/>
                <w:lang w:val="en-US" w:eastAsia="zh-CN"/>
              </w:rPr>
              <w:t>-7月</w:t>
            </w:r>
            <w:r>
              <w:rPr>
                <w:rFonts w:hint="eastAsia" w:ascii="Times New Roman"/>
                <w:color w:val="auto"/>
                <w:lang w:eastAsia="zh-CN"/>
              </w:rPr>
              <w:t>上</w:t>
            </w:r>
            <w:r>
              <w:rPr>
                <w:rFonts w:hint="eastAsia" w:ascii="Times New Roman"/>
                <w:color w:val="auto"/>
              </w:rPr>
              <w:t>旬</w:t>
            </w:r>
            <w:r>
              <w:rPr>
                <w:rFonts w:hint="eastAsia" w:ascii="Times New Roman"/>
                <w:color w:val="auto"/>
                <w:lang w:eastAsia="zh-CN"/>
              </w:rPr>
              <w:t>（</w:t>
            </w:r>
            <w:r>
              <w:rPr>
                <w:rFonts w:ascii="Times New Roman"/>
                <w:color w:val="auto"/>
              </w:rPr>
              <w:t>自然水温稳定在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℃</w:t>
            </w:r>
            <w:r>
              <w:rPr>
                <w:rFonts w:ascii="Times New Roman"/>
                <w:color w:val="auto"/>
              </w:rPr>
              <w:t>以上</w:t>
            </w:r>
            <w:r>
              <w:rPr>
                <w:rFonts w:hint="eastAsia" w:ascii="Times New Roman"/>
                <w:color w:val="auto"/>
                <w:lang w:eastAsia="zh-CN"/>
              </w:rPr>
              <w:t>）</w:t>
            </w:r>
            <w:r>
              <w:rPr>
                <w:rFonts w:hint="eastAsia" w:ascii="Times New Roman"/>
                <w:color w:val="auto"/>
              </w:rPr>
              <w:t>，放养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3</w:t>
            </w:r>
            <w:r>
              <w:rPr>
                <w:rFonts w:hint="eastAsia" w:ascii="Times New Roman"/>
                <w:color w:val="auto"/>
              </w:rPr>
              <w:t>茬</w:t>
            </w:r>
            <w:r>
              <w:rPr>
                <w:rFonts w:hint="eastAsia" w:ascii="Times New Roman"/>
                <w:color w:val="auto"/>
                <w:lang w:eastAsia="zh-CN"/>
              </w:rPr>
              <w:t>。</w:t>
            </w:r>
          </w:p>
        </w:tc>
      </w:tr>
      <w:tr w14:paraId="058D7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68" w:type="dxa"/>
            <w:vMerge w:val="restart"/>
            <w:noWrap w:val="0"/>
            <w:vAlign w:val="center"/>
          </w:tcPr>
          <w:p w14:paraId="0E57ADD1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日本</w:t>
            </w:r>
            <w:r>
              <w:rPr>
                <w:rFonts w:ascii="Times New Roman"/>
                <w:color w:val="auto"/>
              </w:rPr>
              <w:t>对虾</w:t>
            </w:r>
            <w:r>
              <w:rPr>
                <w:rFonts w:hint="eastAsia" w:ascii="Times New Roman"/>
                <w:color w:val="auto"/>
              </w:rPr>
              <w:t>与</w:t>
            </w:r>
            <w:r>
              <w:rPr>
                <w:rFonts w:ascii="Times New Roman"/>
                <w:color w:val="auto"/>
              </w:rPr>
              <w:t>海蜇混养</w:t>
            </w:r>
          </w:p>
        </w:tc>
        <w:tc>
          <w:tcPr>
            <w:tcW w:w="1389" w:type="dxa"/>
            <w:noWrap w:val="0"/>
            <w:vAlign w:val="center"/>
          </w:tcPr>
          <w:p w14:paraId="7774AC9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日本</w:t>
            </w:r>
            <w:r>
              <w:rPr>
                <w:rFonts w:ascii="Times New Roman"/>
                <w:color w:val="auto"/>
              </w:rPr>
              <w:t>对虾</w:t>
            </w:r>
          </w:p>
        </w:tc>
        <w:tc>
          <w:tcPr>
            <w:tcW w:w="1719" w:type="dxa"/>
            <w:noWrap w:val="0"/>
            <w:vAlign w:val="center"/>
          </w:tcPr>
          <w:p w14:paraId="0299BB09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0.</w:t>
            </w:r>
            <w:r>
              <w:rPr>
                <w:rFonts w:hint="eastAsia" w:ascii="Times New Roman"/>
                <w:color w:val="auto"/>
              </w:rPr>
              <w:t>7cm～</w:t>
            </w:r>
            <w:r>
              <w:rPr>
                <w:rFonts w:ascii="Times New Roman"/>
                <w:color w:val="auto"/>
              </w:rPr>
              <w:t>1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2A5A7D2B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6000</w:t>
            </w:r>
            <w:r>
              <w:rPr>
                <w:rFonts w:ascii="Times New Roman"/>
                <w:color w:val="auto"/>
              </w:rPr>
              <w:t>尾</w:t>
            </w:r>
            <w:r>
              <w:rPr>
                <w:rFonts w:hint="eastAsia" w:ascii="Times New Roman"/>
                <w:color w:val="auto"/>
              </w:rPr>
              <w:t>～7000</w:t>
            </w:r>
            <w:r>
              <w:rPr>
                <w:rFonts w:ascii="Times New Roman"/>
                <w:color w:val="auto"/>
              </w:rPr>
              <w:t>尾</w:t>
            </w:r>
          </w:p>
        </w:tc>
        <w:tc>
          <w:tcPr>
            <w:tcW w:w="1933" w:type="dxa"/>
            <w:noWrap w:val="0"/>
            <w:vAlign w:val="center"/>
          </w:tcPr>
          <w:p w14:paraId="0DF2ED7D">
            <w:pPr>
              <w:pStyle w:val="11"/>
              <w:spacing w:line="400" w:lineRule="exact"/>
              <w:ind w:firstLine="0" w:firstLineChars="0"/>
              <w:jc w:val="center"/>
              <w:rPr>
                <w:rFonts w:hint="eastAsia"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5</w:t>
            </w:r>
            <w:r>
              <w:rPr>
                <w:rFonts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eastAsia="zh-CN"/>
              </w:rPr>
              <w:t>中</w:t>
            </w:r>
            <w:r>
              <w:rPr>
                <w:rFonts w:hint="eastAsia" w:ascii="Times New Roman"/>
                <w:color w:val="auto"/>
              </w:rPr>
              <w:t>上旬</w:t>
            </w:r>
            <w:r>
              <w:rPr>
                <w:rFonts w:hint="eastAsia" w:ascii="Times New Roman"/>
                <w:color w:val="auto"/>
                <w:lang w:eastAsia="zh-CN"/>
              </w:rPr>
              <w:t>（</w:t>
            </w:r>
            <w:r>
              <w:rPr>
                <w:rFonts w:ascii="Times New Roman"/>
                <w:color w:val="auto"/>
              </w:rPr>
              <w:t>自然水温稳定在</w:t>
            </w:r>
            <w:r>
              <w:rPr>
                <w:rFonts w:hint="eastAsia" w:ascii="Times New Roman"/>
                <w:color w:val="auto"/>
              </w:rPr>
              <w:t>20℃</w:t>
            </w:r>
            <w:r>
              <w:rPr>
                <w:rFonts w:ascii="Times New Roman"/>
                <w:color w:val="auto"/>
              </w:rPr>
              <w:t>以上</w:t>
            </w:r>
            <w:r>
              <w:rPr>
                <w:rFonts w:hint="eastAsia" w:ascii="Times New Roman"/>
                <w:color w:val="auto"/>
                <w:lang w:eastAsia="zh-CN"/>
              </w:rPr>
              <w:t>）</w:t>
            </w:r>
          </w:p>
        </w:tc>
      </w:tr>
      <w:tr w14:paraId="12D2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8" w:type="dxa"/>
            <w:vMerge w:val="continue"/>
            <w:noWrap w:val="0"/>
            <w:vAlign w:val="center"/>
          </w:tcPr>
          <w:p w14:paraId="5431ED6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7BE0146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海</w:t>
            </w:r>
            <w:r>
              <w:rPr>
                <w:rFonts w:hint="eastAsia"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蜇</w:t>
            </w:r>
          </w:p>
        </w:tc>
        <w:tc>
          <w:tcPr>
            <w:tcW w:w="1719" w:type="dxa"/>
            <w:noWrap w:val="0"/>
            <w:vAlign w:val="center"/>
          </w:tcPr>
          <w:p w14:paraId="321EB1AC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伞径</w:t>
            </w:r>
            <w:r>
              <w:rPr>
                <w:rFonts w:hint="eastAsia" w:ascii="Times New Roman"/>
                <w:color w:val="auto"/>
              </w:rPr>
              <w:t>3cm～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10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7743D951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0片～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hint="eastAsia" w:ascii="Times New Roman"/>
                <w:color w:val="auto"/>
              </w:rPr>
              <w:t>00片</w:t>
            </w:r>
          </w:p>
        </w:tc>
        <w:tc>
          <w:tcPr>
            <w:tcW w:w="1933" w:type="dxa"/>
            <w:noWrap w:val="0"/>
            <w:vAlign w:val="center"/>
          </w:tcPr>
          <w:p w14:paraId="2592136A">
            <w:pPr>
              <w:pStyle w:val="11"/>
              <w:spacing w:line="400" w:lineRule="exact"/>
              <w:ind w:firstLine="0" w:firstLineChars="0"/>
              <w:jc w:val="center"/>
              <w:rPr>
                <w:rFonts w:hint="eastAsia"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4</w:t>
            </w:r>
            <w:r>
              <w:rPr>
                <w:rFonts w:hint="eastAsia"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val="en-US" w:eastAsia="zh-CN"/>
              </w:rPr>
              <w:t>中</w:t>
            </w:r>
            <w:r>
              <w:rPr>
                <w:rFonts w:hint="eastAsia" w:ascii="Times New Roman"/>
                <w:color w:val="auto"/>
                <w:lang w:eastAsia="zh-CN"/>
              </w:rPr>
              <w:t>旬</w:t>
            </w:r>
            <w:r>
              <w:rPr>
                <w:rFonts w:hint="eastAsia" w:ascii="Times New Roman"/>
                <w:color w:val="auto"/>
                <w:lang w:val="en-US" w:eastAsia="zh-CN"/>
              </w:rPr>
              <w:t>-7月</w:t>
            </w:r>
            <w:r>
              <w:rPr>
                <w:rFonts w:hint="eastAsia" w:ascii="Times New Roman"/>
                <w:color w:val="auto"/>
                <w:lang w:eastAsia="zh-CN"/>
              </w:rPr>
              <w:t>上</w:t>
            </w:r>
            <w:r>
              <w:rPr>
                <w:rFonts w:hint="eastAsia" w:ascii="Times New Roman"/>
                <w:color w:val="auto"/>
              </w:rPr>
              <w:t>旬</w:t>
            </w:r>
            <w:r>
              <w:rPr>
                <w:rFonts w:hint="eastAsia" w:ascii="Times New Roman"/>
                <w:color w:val="auto"/>
                <w:lang w:eastAsia="zh-CN"/>
              </w:rPr>
              <w:t>（</w:t>
            </w:r>
            <w:r>
              <w:rPr>
                <w:rFonts w:ascii="Times New Roman"/>
                <w:color w:val="auto"/>
              </w:rPr>
              <w:t>自然水温稳定在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℃</w:t>
            </w:r>
            <w:r>
              <w:rPr>
                <w:rFonts w:ascii="Times New Roman"/>
                <w:color w:val="auto"/>
              </w:rPr>
              <w:t>以上</w:t>
            </w:r>
            <w:r>
              <w:rPr>
                <w:rFonts w:hint="eastAsia" w:ascii="Times New Roman"/>
                <w:color w:val="auto"/>
                <w:lang w:eastAsia="zh-CN"/>
              </w:rPr>
              <w:t>）</w:t>
            </w:r>
            <w:r>
              <w:rPr>
                <w:rFonts w:hint="eastAsia" w:ascii="Times New Roman"/>
                <w:color w:val="auto"/>
              </w:rPr>
              <w:t>，放养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3</w:t>
            </w:r>
            <w:r>
              <w:rPr>
                <w:rFonts w:hint="eastAsia" w:ascii="Times New Roman"/>
                <w:color w:val="auto"/>
              </w:rPr>
              <w:t>茬</w:t>
            </w:r>
            <w:r>
              <w:rPr>
                <w:rFonts w:hint="eastAsia" w:ascii="Times New Roman"/>
                <w:color w:val="auto"/>
                <w:lang w:eastAsia="zh-CN"/>
              </w:rPr>
              <w:t>。</w:t>
            </w:r>
          </w:p>
        </w:tc>
      </w:tr>
      <w:tr w14:paraId="5D220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68" w:type="dxa"/>
            <w:vMerge w:val="restart"/>
            <w:noWrap w:val="0"/>
            <w:vAlign w:val="center"/>
          </w:tcPr>
          <w:p w14:paraId="1B0569B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南美白对虾与</w:t>
            </w:r>
            <w:r>
              <w:rPr>
                <w:rFonts w:ascii="Times New Roman"/>
                <w:color w:val="auto"/>
              </w:rPr>
              <w:t>海蜇混养</w:t>
            </w:r>
          </w:p>
        </w:tc>
        <w:tc>
          <w:tcPr>
            <w:tcW w:w="1389" w:type="dxa"/>
            <w:noWrap w:val="0"/>
            <w:vAlign w:val="center"/>
          </w:tcPr>
          <w:p w14:paraId="14C21258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南美白</w:t>
            </w:r>
            <w:r>
              <w:rPr>
                <w:rFonts w:ascii="Times New Roman"/>
                <w:color w:val="auto"/>
              </w:rPr>
              <w:t>对虾</w:t>
            </w:r>
          </w:p>
        </w:tc>
        <w:tc>
          <w:tcPr>
            <w:tcW w:w="1719" w:type="dxa"/>
            <w:noWrap w:val="0"/>
            <w:vAlign w:val="center"/>
          </w:tcPr>
          <w:p w14:paraId="05AE547E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0.8</w:t>
            </w:r>
            <w:r>
              <w:rPr>
                <w:rFonts w:hint="eastAsia" w:ascii="Times New Roman"/>
                <w:color w:val="auto"/>
              </w:rPr>
              <w:t>cm～</w:t>
            </w:r>
            <w:r>
              <w:rPr>
                <w:rFonts w:ascii="Times New Roman"/>
                <w:color w:val="auto"/>
              </w:rPr>
              <w:t>1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11B255B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20000</w:t>
            </w:r>
            <w:r>
              <w:rPr>
                <w:rFonts w:ascii="Times New Roman"/>
                <w:color w:val="auto"/>
              </w:rPr>
              <w:t>尾</w:t>
            </w:r>
            <w:r>
              <w:rPr>
                <w:rFonts w:hint="eastAsia" w:ascii="Times New Roman"/>
                <w:color w:val="auto"/>
              </w:rPr>
              <w:t>～</w:t>
            </w:r>
            <w:r>
              <w:rPr>
                <w:rFonts w:ascii="Times New Roman"/>
                <w:color w:val="auto"/>
              </w:rPr>
              <w:t>5</w:t>
            </w:r>
            <w:r>
              <w:rPr>
                <w:rFonts w:hint="eastAsia" w:ascii="Times New Roman"/>
                <w:color w:val="auto"/>
              </w:rPr>
              <w:t>000</w:t>
            </w:r>
            <w:r>
              <w:rPr>
                <w:rFonts w:hint="eastAsia" w:ascii="Times New Roman"/>
                <w:color w:val="auto"/>
                <w:lang w:val="en-US" w:eastAsia="zh-CN"/>
              </w:rPr>
              <w:t>0</w:t>
            </w:r>
            <w:r>
              <w:rPr>
                <w:rFonts w:ascii="Times New Roman"/>
                <w:color w:val="auto"/>
              </w:rPr>
              <w:t>尾</w:t>
            </w:r>
          </w:p>
        </w:tc>
        <w:tc>
          <w:tcPr>
            <w:tcW w:w="1933" w:type="dxa"/>
            <w:noWrap w:val="0"/>
            <w:vAlign w:val="center"/>
          </w:tcPr>
          <w:p w14:paraId="5708D078">
            <w:pPr>
              <w:pStyle w:val="11"/>
              <w:spacing w:line="400" w:lineRule="exact"/>
              <w:ind w:firstLine="0" w:firstLineChars="0"/>
              <w:jc w:val="center"/>
              <w:rPr>
                <w:rFonts w:hint="eastAsia" w:ascii="Times New Roman"/>
                <w:color w:val="auto"/>
              </w:rPr>
            </w:pPr>
            <w:r>
              <w:rPr>
                <w:rFonts w:hint="eastAsia" w:ascii="Times New Roman"/>
                <w:color w:val="auto"/>
              </w:rPr>
              <w:t>5</w:t>
            </w:r>
            <w:r>
              <w:rPr>
                <w:rFonts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eastAsia="zh-CN"/>
              </w:rPr>
              <w:t>中</w:t>
            </w:r>
            <w:r>
              <w:rPr>
                <w:rFonts w:hint="eastAsia" w:ascii="Times New Roman"/>
                <w:color w:val="auto"/>
              </w:rPr>
              <w:t>上旬</w:t>
            </w:r>
            <w:r>
              <w:rPr>
                <w:rFonts w:hint="eastAsia" w:ascii="Times New Roman"/>
                <w:color w:val="auto"/>
                <w:lang w:eastAsia="zh-CN"/>
              </w:rPr>
              <w:t>（</w:t>
            </w:r>
            <w:r>
              <w:rPr>
                <w:rFonts w:ascii="Times New Roman"/>
                <w:color w:val="auto"/>
              </w:rPr>
              <w:t>自然水温稳定在</w:t>
            </w:r>
            <w:r>
              <w:rPr>
                <w:rFonts w:hint="eastAsia" w:ascii="Times New Roman"/>
                <w:color w:val="auto"/>
              </w:rPr>
              <w:t>20℃</w:t>
            </w:r>
            <w:r>
              <w:rPr>
                <w:rFonts w:ascii="Times New Roman"/>
                <w:color w:val="auto"/>
              </w:rPr>
              <w:t>以上</w:t>
            </w:r>
            <w:r>
              <w:rPr>
                <w:rFonts w:hint="eastAsia" w:ascii="Times New Roman"/>
                <w:color w:val="auto"/>
                <w:lang w:eastAsia="zh-CN"/>
              </w:rPr>
              <w:t>）</w:t>
            </w:r>
          </w:p>
        </w:tc>
      </w:tr>
      <w:tr w14:paraId="43407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268" w:type="dxa"/>
            <w:vMerge w:val="continue"/>
            <w:noWrap w:val="0"/>
            <w:vAlign w:val="center"/>
          </w:tcPr>
          <w:p w14:paraId="760571F0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4A2FD8E7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海</w:t>
            </w:r>
            <w:r>
              <w:rPr>
                <w:rFonts w:hint="eastAsia"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蜇</w:t>
            </w:r>
          </w:p>
        </w:tc>
        <w:tc>
          <w:tcPr>
            <w:tcW w:w="1719" w:type="dxa"/>
            <w:noWrap w:val="0"/>
            <w:vAlign w:val="center"/>
          </w:tcPr>
          <w:p w14:paraId="4E7B2E75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伞径</w:t>
            </w:r>
            <w:r>
              <w:rPr>
                <w:rFonts w:hint="eastAsia" w:ascii="Times New Roman"/>
                <w:color w:val="auto"/>
              </w:rPr>
              <w:t>3cm～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10</w:t>
            </w:r>
            <w:r>
              <w:rPr>
                <w:rFonts w:hint="eastAsia" w:ascii="Times New Roman"/>
                <w:color w:val="auto"/>
              </w:rPr>
              <w:t>cm</w:t>
            </w:r>
          </w:p>
        </w:tc>
        <w:tc>
          <w:tcPr>
            <w:tcW w:w="2018" w:type="dxa"/>
            <w:noWrap w:val="0"/>
            <w:vAlign w:val="center"/>
          </w:tcPr>
          <w:p w14:paraId="0F41C008">
            <w:pPr>
              <w:pStyle w:val="11"/>
              <w:spacing w:line="400" w:lineRule="exact"/>
              <w:ind w:firstLine="0" w:firstLineChars="0"/>
              <w:jc w:val="center"/>
              <w:rPr>
                <w:rFonts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0片～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hint="eastAsia" w:ascii="Times New Roman"/>
                <w:color w:val="auto"/>
              </w:rPr>
              <w:t>00片</w:t>
            </w:r>
          </w:p>
        </w:tc>
        <w:tc>
          <w:tcPr>
            <w:tcW w:w="1933" w:type="dxa"/>
            <w:noWrap w:val="0"/>
            <w:vAlign w:val="center"/>
          </w:tcPr>
          <w:p w14:paraId="00E32329">
            <w:pPr>
              <w:pStyle w:val="11"/>
              <w:spacing w:line="400" w:lineRule="exact"/>
              <w:ind w:firstLine="0" w:firstLineChars="0"/>
              <w:jc w:val="center"/>
              <w:rPr>
                <w:rFonts w:hint="eastAsia" w:ascii="Times New Roman"/>
                <w:color w:val="auto"/>
              </w:rPr>
            </w:pPr>
            <w:r>
              <w:rPr>
                <w:rFonts w:hint="eastAsia" w:ascii="Times New Roman"/>
                <w:color w:val="auto"/>
                <w:lang w:val="en-US" w:eastAsia="zh-CN"/>
              </w:rPr>
              <w:t>4</w:t>
            </w:r>
            <w:r>
              <w:rPr>
                <w:rFonts w:hint="eastAsia" w:ascii="Times New Roman"/>
                <w:color w:val="auto"/>
              </w:rPr>
              <w:t>月</w:t>
            </w:r>
            <w:r>
              <w:rPr>
                <w:rFonts w:hint="eastAsia" w:ascii="Times New Roman"/>
                <w:color w:val="auto"/>
                <w:lang w:val="en-US" w:eastAsia="zh-CN"/>
              </w:rPr>
              <w:t>中</w:t>
            </w:r>
            <w:r>
              <w:rPr>
                <w:rFonts w:hint="eastAsia" w:ascii="Times New Roman"/>
                <w:color w:val="auto"/>
                <w:lang w:eastAsia="zh-CN"/>
              </w:rPr>
              <w:t>旬</w:t>
            </w:r>
            <w:r>
              <w:rPr>
                <w:rFonts w:hint="eastAsia" w:ascii="Times New Roman"/>
                <w:color w:val="auto"/>
                <w:lang w:val="en-US" w:eastAsia="zh-CN"/>
              </w:rPr>
              <w:t>-7月</w:t>
            </w:r>
            <w:r>
              <w:rPr>
                <w:rFonts w:hint="eastAsia" w:ascii="Times New Roman"/>
                <w:color w:val="auto"/>
                <w:lang w:eastAsia="zh-CN"/>
              </w:rPr>
              <w:t>上</w:t>
            </w:r>
            <w:r>
              <w:rPr>
                <w:rFonts w:hint="eastAsia" w:ascii="Times New Roman"/>
                <w:color w:val="auto"/>
              </w:rPr>
              <w:t>旬</w:t>
            </w:r>
            <w:r>
              <w:rPr>
                <w:rFonts w:hint="eastAsia" w:ascii="Times New Roman"/>
                <w:color w:val="auto"/>
                <w:lang w:eastAsia="zh-CN"/>
              </w:rPr>
              <w:t>（</w:t>
            </w:r>
            <w:r>
              <w:rPr>
                <w:rFonts w:ascii="Times New Roman"/>
                <w:color w:val="auto"/>
              </w:rPr>
              <w:t>自然水温稳定在</w:t>
            </w:r>
            <w:r>
              <w:rPr>
                <w:rFonts w:hint="eastAsia" w:ascii="Times New Roman"/>
                <w:color w:val="auto"/>
                <w:lang w:val="en-US" w:eastAsia="zh-CN"/>
              </w:rPr>
              <w:t>15</w:t>
            </w:r>
            <w:r>
              <w:rPr>
                <w:rFonts w:hint="eastAsia" w:ascii="Times New Roman"/>
                <w:color w:val="auto"/>
              </w:rPr>
              <w:t>℃</w:t>
            </w:r>
            <w:r>
              <w:rPr>
                <w:rFonts w:ascii="Times New Roman"/>
                <w:color w:val="auto"/>
              </w:rPr>
              <w:t>以上</w:t>
            </w:r>
            <w:r>
              <w:rPr>
                <w:rFonts w:hint="eastAsia" w:ascii="Times New Roman"/>
                <w:color w:val="auto"/>
                <w:lang w:eastAsia="zh-CN"/>
              </w:rPr>
              <w:t>）</w:t>
            </w:r>
            <w:r>
              <w:rPr>
                <w:rFonts w:hint="eastAsia" w:ascii="Times New Roman"/>
                <w:color w:val="auto"/>
              </w:rPr>
              <w:t>，放养</w:t>
            </w:r>
            <w:r>
              <w:rPr>
                <w:rFonts w:hint="eastAsia" w:ascii="Times New Roman"/>
                <w:color w:val="auto"/>
                <w:lang w:val="en-US" w:eastAsia="zh-CN"/>
              </w:rPr>
              <w:t>2</w:t>
            </w:r>
            <w:r>
              <w:rPr>
                <w:rFonts w:ascii="Times New Roman"/>
                <w:color w:val="auto"/>
              </w:rPr>
              <w:t>～</w:t>
            </w:r>
            <w:r>
              <w:rPr>
                <w:rFonts w:hint="eastAsia" w:ascii="Times New Roman"/>
                <w:color w:val="auto"/>
                <w:lang w:val="en-US" w:eastAsia="zh-CN"/>
              </w:rPr>
              <w:t>3</w:t>
            </w:r>
            <w:r>
              <w:rPr>
                <w:rFonts w:hint="eastAsia" w:ascii="Times New Roman"/>
                <w:color w:val="auto"/>
              </w:rPr>
              <w:t>茬</w:t>
            </w:r>
            <w:r>
              <w:rPr>
                <w:rFonts w:hint="eastAsia" w:ascii="Times New Roman"/>
                <w:color w:val="auto"/>
                <w:lang w:eastAsia="zh-CN"/>
              </w:rPr>
              <w:t>。</w:t>
            </w:r>
          </w:p>
        </w:tc>
      </w:tr>
    </w:tbl>
    <w:p w14:paraId="637ACFDD">
      <w:pPr>
        <w:pStyle w:val="12"/>
        <w:numPr>
          <w:ilvl w:val="1"/>
          <w:numId w:val="0"/>
        </w:numPr>
        <w:spacing w:beforeLines="0" w:afterLines="0" w:line="400" w:lineRule="exact"/>
        <w:ind w:leftChars="0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8 </w:t>
      </w:r>
      <w:r>
        <w:rPr>
          <w:rFonts w:hint="eastAsia"/>
          <w:color w:val="auto"/>
        </w:rPr>
        <w:t>苗种放养</w:t>
      </w:r>
    </w:p>
    <w:p w14:paraId="661E9092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8</w:t>
      </w:r>
      <w:r>
        <w:rPr>
          <w:rFonts w:hint="eastAsia" w:ascii="黑体"/>
          <w:color w:val="auto"/>
        </w:rPr>
        <w:t>.1 苗种选择</w:t>
      </w:r>
    </w:p>
    <w:p w14:paraId="1C536530">
      <w:pPr>
        <w:pStyle w:val="11"/>
        <w:spacing w:line="400" w:lineRule="exact"/>
        <w:ind w:firstLine="420"/>
        <w:rPr>
          <w:rFonts w:hint="eastAsia" w:ascii="Times New Roman"/>
          <w:color w:val="auto"/>
        </w:rPr>
      </w:pPr>
      <w:r>
        <w:rPr>
          <w:rFonts w:hint="eastAsia" w:ascii="Times New Roman"/>
          <w:color w:val="auto"/>
        </w:rPr>
        <w:t>苗种符合GB/T15101.2、GB/T 35376、SC/T 2059</w:t>
      </w:r>
      <w:r>
        <w:rPr>
          <w:rFonts w:hint="eastAsia" w:ascii="Times New Roman"/>
          <w:color w:val="auto"/>
          <w:lang w:eastAsia="zh-CN"/>
        </w:rPr>
        <w:t>、</w:t>
      </w:r>
      <w:r>
        <w:rPr>
          <w:rFonts w:hint="eastAsia" w:ascii="Times New Roman"/>
          <w:color w:val="auto"/>
        </w:rPr>
        <w:t xml:space="preserve">SC/T </w:t>
      </w:r>
      <w:r>
        <w:rPr>
          <w:rFonts w:hint="eastAsia" w:ascii="Times New Roman"/>
          <w:color w:val="auto"/>
          <w:lang w:val="en-US" w:eastAsia="zh-CN"/>
        </w:rPr>
        <w:t>2068</w:t>
      </w:r>
      <w:r>
        <w:rPr>
          <w:rFonts w:hint="eastAsia" w:ascii="Times New Roman"/>
          <w:color w:val="auto"/>
        </w:rPr>
        <w:t>的规定。</w:t>
      </w:r>
    </w:p>
    <w:p w14:paraId="02D25731">
      <w:pPr>
        <w:pStyle w:val="11"/>
        <w:spacing w:line="400" w:lineRule="exact"/>
        <w:ind w:left="0" w:leftChars="0" w:firstLine="0" w:firstLineChars="0"/>
        <w:rPr>
          <w:rFonts w:hint="eastAsia" w:ascii="黑体"/>
          <w:color w:val="auto"/>
          <w:lang w:eastAsia="zh-CN"/>
        </w:rPr>
      </w:pPr>
      <w:r>
        <w:rPr>
          <w:rFonts w:hint="eastAsia" w:ascii="Times New Roman"/>
          <w:color w:val="auto"/>
          <w:lang w:val="en-US" w:eastAsia="zh-CN"/>
        </w:rPr>
        <w:t xml:space="preserve">8.2 </w:t>
      </w:r>
      <w:r>
        <w:rPr>
          <w:rFonts w:hint="eastAsia" w:ascii="黑体"/>
          <w:color w:val="auto"/>
        </w:rPr>
        <w:t>苗种</w:t>
      </w:r>
      <w:r>
        <w:rPr>
          <w:rFonts w:hint="eastAsia" w:ascii="黑体"/>
          <w:color w:val="auto"/>
          <w:lang w:eastAsia="zh-CN"/>
        </w:rPr>
        <w:t>运输</w:t>
      </w:r>
    </w:p>
    <w:p w14:paraId="14CF9ADE">
      <w:pPr>
        <w:pStyle w:val="11"/>
        <w:spacing w:line="400" w:lineRule="exact"/>
        <w:ind w:firstLine="420"/>
        <w:rPr>
          <w:rFonts w:hint="eastAsia" w:ascii="Times New Roman"/>
          <w:color w:val="auto"/>
        </w:rPr>
      </w:pPr>
      <w:r>
        <w:rPr>
          <w:rFonts w:hint="eastAsia" w:ascii="Times New Roman"/>
          <w:color w:val="auto"/>
        </w:rPr>
        <w:t>符合GB/T15101.2、GB/T 35376、SC/T 2059</w:t>
      </w:r>
      <w:r>
        <w:rPr>
          <w:rFonts w:hint="eastAsia" w:ascii="Times New Roman"/>
          <w:color w:val="auto"/>
          <w:lang w:eastAsia="zh-CN"/>
        </w:rPr>
        <w:t>、</w:t>
      </w:r>
      <w:r>
        <w:rPr>
          <w:rFonts w:hint="eastAsia" w:ascii="Times New Roman"/>
          <w:color w:val="auto"/>
        </w:rPr>
        <w:t xml:space="preserve">SC/T </w:t>
      </w:r>
      <w:r>
        <w:rPr>
          <w:rFonts w:hint="eastAsia" w:ascii="Times New Roman"/>
          <w:color w:val="auto"/>
          <w:lang w:val="en-US" w:eastAsia="zh-CN"/>
        </w:rPr>
        <w:t>2068</w:t>
      </w:r>
      <w:r>
        <w:rPr>
          <w:rFonts w:hint="eastAsia" w:ascii="Times New Roman"/>
          <w:color w:val="auto"/>
        </w:rPr>
        <w:t>的规定。</w:t>
      </w:r>
    </w:p>
    <w:p w14:paraId="23E3C9B7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8</w:t>
      </w:r>
      <w:r>
        <w:rPr>
          <w:rFonts w:hint="eastAsia" w:ascii="黑体"/>
          <w:color w:val="auto"/>
        </w:rPr>
        <w:t>.</w:t>
      </w:r>
      <w:r>
        <w:rPr>
          <w:rFonts w:hint="eastAsia" w:ascii="黑体"/>
          <w:color w:val="auto"/>
          <w:lang w:val="en-US" w:eastAsia="zh-CN"/>
        </w:rPr>
        <w:t>3</w:t>
      </w:r>
      <w:r>
        <w:rPr>
          <w:rFonts w:hint="eastAsia" w:ascii="黑体"/>
          <w:color w:val="auto"/>
        </w:rPr>
        <w:t>放苗时间</w:t>
      </w:r>
    </w:p>
    <w:p w14:paraId="2BF6D202">
      <w:pPr>
        <w:spacing w:line="400" w:lineRule="exact"/>
        <w:ind w:firstLine="420" w:firstLineChars="200"/>
        <w:rPr>
          <w:rFonts w:hint="eastAsia"/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放苗</w:t>
      </w:r>
      <w:r>
        <w:rPr>
          <w:rFonts w:hint="eastAsia"/>
          <w:color w:val="auto"/>
          <w:kern w:val="0"/>
          <w:szCs w:val="20"/>
          <w:lang w:eastAsia="zh-CN"/>
        </w:rPr>
        <w:t>时间</w:t>
      </w:r>
      <w:r>
        <w:rPr>
          <w:rFonts w:hint="eastAsia"/>
          <w:color w:val="auto"/>
          <w:kern w:val="0"/>
          <w:szCs w:val="20"/>
        </w:rPr>
        <w:t>见表3。</w:t>
      </w:r>
    </w:p>
    <w:p w14:paraId="49ABE655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8</w:t>
      </w:r>
      <w:r>
        <w:rPr>
          <w:rFonts w:hint="eastAsia" w:ascii="黑体"/>
          <w:color w:val="auto"/>
        </w:rPr>
        <w:t>.</w:t>
      </w:r>
      <w:r>
        <w:rPr>
          <w:rFonts w:hint="eastAsia" w:ascii="黑体"/>
          <w:color w:val="auto"/>
          <w:lang w:val="en-US" w:eastAsia="zh-CN"/>
        </w:rPr>
        <w:t>4</w:t>
      </w:r>
      <w:r>
        <w:rPr>
          <w:rFonts w:hint="eastAsia" w:ascii="黑体"/>
          <w:color w:val="auto"/>
        </w:rPr>
        <w:t xml:space="preserve"> 放苗条件</w:t>
      </w:r>
    </w:p>
    <w:p w14:paraId="586AAA32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放苗时应选择晴朗、无大风天气，池水透明度30cm～40cm。苗种</w:t>
      </w:r>
      <w:r>
        <w:rPr>
          <w:color w:val="auto"/>
          <w:kern w:val="0"/>
          <w:szCs w:val="20"/>
        </w:rPr>
        <w:t>培养池与养成池水盐度差应小于5，</w:t>
      </w:r>
      <w:r>
        <w:rPr>
          <w:rFonts w:hint="eastAsia"/>
          <w:color w:val="auto"/>
          <w:kern w:val="0"/>
          <w:szCs w:val="20"/>
        </w:rPr>
        <w:t>温度差应小于5℃</w:t>
      </w:r>
      <w:r>
        <w:rPr>
          <w:color w:val="auto"/>
          <w:kern w:val="0"/>
          <w:szCs w:val="20"/>
        </w:rPr>
        <w:t>。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"D:标准wghwghIIIwgh.htm" </w:instrText>
      </w:r>
      <w:r>
        <w:rPr>
          <w:color w:val="auto"/>
        </w:rPr>
        <w:fldChar w:fldCharType="separate"/>
      </w:r>
      <w:r>
        <w:rPr>
          <w:color w:val="auto"/>
        </w:rPr>
        <w:fldChar w:fldCharType="end"/>
      </w:r>
    </w:p>
    <w:p w14:paraId="5EC52AC5">
      <w:pPr>
        <w:spacing w:line="400" w:lineRule="exact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  <w:lang w:val="en-US" w:eastAsia="zh-CN"/>
        </w:rPr>
        <w:t>8</w:t>
      </w:r>
      <w:r>
        <w:rPr>
          <w:rFonts w:hint="eastAsia"/>
          <w:color w:val="auto"/>
          <w:kern w:val="0"/>
          <w:szCs w:val="20"/>
        </w:rPr>
        <w:t>.</w:t>
      </w:r>
      <w:r>
        <w:rPr>
          <w:rFonts w:hint="eastAsia"/>
          <w:color w:val="auto"/>
          <w:kern w:val="0"/>
          <w:szCs w:val="20"/>
          <w:lang w:val="en-US" w:eastAsia="zh-CN"/>
        </w:rPr>
        <w:t>5</w:t>
      </w:r>
      <w:r>
        <w:rPr>
          <w:rFonts w:hint="eastAsia" w:ascii="黑体" w:eastAsia="黑体"/>
          <w:color w:val="auto"/>
          <w:kern w:val="0"/>
          <w:szCs w:val="20"/>
        </w:rPr>
        <w:t>放苗规格和密度</w:t>
      </w:r>
    </w:p>
    <w:p w14:paraId="34AC95BF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 w:ascii="黑体" w:eastAsia="黑体"/>
          <w:color w:val="auto"/>
          <w:kern w:val="0"/>
          <w:szCs w:val="20"/>
        </w:rPr>
        <w:t>放苗规格和密度见表3。</w:t>
      </w:r>
    </w:p>
    <w:p w14:paraId="70CCA6C8">
      <w:pPr>
        <w:spacing w:line="400" w:lineRule="exact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  <w:lang w:val="en-US" w:eastAsia="zh-CN"/>
        </w:rPr>
        <w:t>8</w:t>
      </w:r>
      <w:r>
        <w:rPr>
          <w:rFonts w:hint="eastAsia"/>
          <w:color w:val="auto"/>
          <w:kern w:val="0"/>
          <w:szCs w:val="20"/>
        </w:rPr>
        <w:t>.</w:t>
      </w:r>
      <w:r>
        <w:rPr>
          <w:rFonts w:hint="eastAsia"/>
          <w:color w:val="auto"/>
          <w:kern w:val="0"/>
          <w:szCs w:val="20"/>
          <w:lang w:val="en-US" w:eastAsia="zh-CN"/>
        </w:rPr>
        <w:t>6</w:t>
      </w:r>
      <w:r>
        <w:rPr>
          <w:rFonts w:hint="eastAsia"/>
          <w:color w:val="auto"/>
          <w:kern w:val="0"/>
          <w:szCs w:val="20"/>
        </w:rPr>
        <w:t xml:space="preserve"> 放苗方法</w:t>
      </w:r>
    </w:p>
    <w:p w14:paraId="3714FCEF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对虾和海蜇</w:t>
      </w:r>
      <w:r>
        <w:rPr>
          <w:rFonts w:ascii="宋体" w:hAnsi="宋体"/>
          <w:color w:val="auto"/>
        </w:rPr>
        <w:t>放苗时</w:t>
      </w:r>
      <w:r>
        <w:rPr>
          <w:rFonts w:hint="eastAsia" w:ascii="宋体" w:hAnsi="宋体"/>
          <w:color w:val="auto"/>
        </w:rPr>
        <w:t>，</w:t>
      </w:r>
      <w:r>
        <w:rPr>
          <w:rFonts w:ascii="宋体" w:hAnsi="宋体"/>
          <w:color w:val="auto"/>
        </w:rPr>
        <w:t>运苗袋先放入池中进行水温过渡，</w:t>
      </w:r>
      <w:r>
        <w:rPr>
          <w:rFonts w:hint="eastAsia" w:ascii="宋体" w:hAnsi="宋体"/>
          <w:color w:val="auto"/>
        </w:rPr>
        <w:t>后打开袋口，将苗种</w:t>
      </w:r>
      <w:r>
        <w:rPr>
          <w:rFonts w:ascii="宋体" w:hAnsi="宋体"/>
          <w:color w:val="auto"/>
        </w:rPr>
        <w:t>慢慢放入池中</w:t>
      </w:r>
      <w:r>
        <w:rPr>
          <w:rFonts w:hint="eastAsia" w:ascii="宋体" w:hAnsi="宋体"/>
          <w:color w:val="auto"/>
        </w:rPr>
        <w:t>。</w:t>
      </w:r>
    </w:p>
    <w:p w14:paraId="74574ED7">
      <w:pPr>
        <w:pStyle w:val="12"/>
        <w:numPr>
          <w:ilvl w:val="1"/>
          <w:numId w:val="0"/>
        </w:numPr>
        <w:spacing w:beforeLines="0" w:afterLines="0" w:line="400" w:lineRule="exact"/>
        <w:ind w:leftChars="0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9 </w:t>
      </w:r>
      <w:r>
        <w:rPr>
          <w:rFonts w:hint="eastAsia"/>
          <w:color w:val="auto"/>
        </w:rPr>
        <w:t>养殖管理</w:t>
      </w:r>
    </w:p>
    <w:p w14:paraId="611D171F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9</w:t>
      </w:r>
      <w:r>
        <w:rPr>
          <w:rFonts w:hint="eastAsia" w:ascii="黑体"/>
          <w:color w:val="auto"/>
        </w:rPr>
        <w:t>.1巡塘</w:t>
      </w:r>
    </w:p>
    <w:p w14:paraId="12AB45E8">
      <w:pPr>
        <w:spacing w:line="400" w:lineRule="exact"/>
        <w:ind w:firstLine="420" w:firstLineChars="200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每日早晚巡塘，查看池塘的水环境变化，检查池塘设施安全情况、观察对虾摄食情况及海蜇的活动情况并做好记录。</w:t>
      </w:r>
    </w:p>
    <w:p w14:paraId="42F90E26">
      <w:pPr>
        <w:pStyle w:val="13"/>
        <w:numPr>
          <w:ilvl w:val="0"/>
          <w:numId w:val="0"/>
        </w:numPr>
        <w:spacing w:line="400" w:lineRule="exact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>9</w:t>
      </w:r>
      <w:r>
        <w:rPr>
          <w:rFonts w:hint="eastAsia" w:ascii="黑体"/>
          <w:color w:val="auto"/>
        </w:rPr>
        <w:t>.2水质调控</w:t>
      </w:r>
    </w:p>
    <w:p w14:paraId="125B0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color w:val="auto"/>
          <w:kern w:val="0"/>
          <w:szCs w:val="20"/>
        </w:rPr>
      </w:pPr>
      <w:r>
        <w:rPr>
          <w:rFonts w:hint="eastAsia"/>
          <w:color w:val="auto"/>
        </w:rPr>
        <w:t>水质调控通过换水和使用</w:t>
      </w:r>
      <w:r>
        <w:rPr>
          <w:color w:val="auto"/>
        </w:rPr>
        <w:t>微生态制剂进行。</w:t>
      </w:r>
      <w:r>
        <w:rPr>
          <w:color w:val="auto"/>
          <w:kern w:val="0"/>
          <w:szCs w:val="20"/>
        </w:rPr>
        <w:t>养</w:t>
      </w:r>
      <w:r>
        <w:rPr>
          <w:rFonts w:hint="eastAsia"/>
          <w:color w:val="auto"/>
          <w:kern w:val="0"/>
          <w:szCs w:val="20"/>
        </w:rPr>
        <w:t>殖</w:t>
      </w:r>
      <w:r>
        <w:rPr>
          <w:color w:val="auto"/>
          <w:kern w:val="0"/>
          <w:szCs w:val="20"/>
        </w:rPr>
        <w:t>前期以添加水为主，每</w:t>
      </w:r>
      <w:r>
        <w:rPr>
          <w:rFonts w:hint="eastAsia"/>
          <w:color w:val="auto"/>
          <w:kern w:val="0"/>
          <w:szCs w:val="20"/>
        </w:rPr>
        <w:t>次</w:t>
      </w:r>
      <w:r>
        <w:rPr>
          <w:color w:val="auto"/>
          <w:kern w:val="0"/>
          <w:szCs w:val="20"/>
        </w:rPr>
        <w:t>添加</w:t>
      </w:r>
      <w:r>
        <w:rPr>
          <w:rFonts w:hint="eastAsia"/>
          <w:color w:val="auto"/>
          <w:kern w:val="0"/>
          <w:szCs w:val="20"/>
        </w:rPr>
        <w:t>10</w:t>
      </w:r>
      <w:r>
        <w:rPr>
          <w:color w:val="auto"/>
          <w:kern w:val="0"/>
          <w:szCs w:val="20"/>
        </w:rPr>
        <w:t>cm</w:t>
      </w:r>
      <w:r>
        <w:rPr>
          <w:rFonts w:hint="eastAsia"/>
          <w:color w:val="auto"/>
          <w:kern w:val="0"/>
          <w:szCs w:val="20"/>
        </w:rPr>
        <w:t>～15</w:t>
      </w:r>
      <w:r>
        <w:rPr>
          <w:color w:val="auto"/>
          <w:kern w:val="0"/>
          <w:szCs w:val="20"/>
        </w:rPr>
        <w:t>cm，水深控制在</w:t>
      </w:r>
      <w:r>
        <w:rPr>
          <w:rFonts w:hint="eastAsia"/>
          <w:color w:val="auto"/>
        </w:rPr>
        <w:t>1</w:t>
      </w:r>
      <w:r>
        <w:rPr>
          <w:color w:val="auto"/>
          <w:kern w:val="0"/>
          <w:szCs w:val="20"/>
        </w:rPr>
        <w:t>m左右</w:t>
      </w:r>
      <w:r>
        <w:rPr>
          <w:color w:val="auto"/>
        </w:rPr>
        <w:t>。</w:t>
      </w:r>
      <w:r>
        <w:rPr>
          <w:rFonts w:hint="eastAsia"/>
          <w:color w:val="auto"/>
        </w:rPr>
        <w:t>5月中旬开始人工施</w:t>
      </w:r>
      <w:r>
        <w:rPr>
          <w:rFonts w:hint="eastAsia" w:ascii="Times New Roman" w:hAnsi="Times New Roman" w:eastAsia="宋体" w:cs="Times New Roman"/>
          <w:color w:val="auto"/>
        </w:rPr>
        <w:t>肥</w:t>
      </w:r>
      <w:r>
        <w:rPr>
          <w:rFonts w:hint="eastAsia" w:ascii="Times New Roman" w:hAnsi="Times New Roman" w:eastAsia="宋体" w:cs="Times New Roman"/>
          <w:color w:val="auto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</w:rPr>
        <w:t>以透明度40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cm</w:t>
      </w:r>
      <w:r>
        <w:rPr>
          <w:rFonts w:hint="default" w:ascii="Times New Roman" w:hAnsi="Times New Roman" w:eastAsia="宋体" w:cs="Times New Roman"/>
          <w:color w:val="auto"/>
        </w:rPr>
        <w:t>～60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cm</w:t>
      </w:r>
      <w:r>
        <w:rPr>
          <w:rFonts w:hint="default" w:ascii="Times New Roman" w:hAnsi="Times New Roman" w:eastAsia="宋体" w:cs="Times New Roman"/>
          <w:color w:val="auto"/>
        </w:rPr>
        <w:t>为标准，小于40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cm</w:t>
      </w:r>
      <w:r>
        <w:rPr>
          <w:rFonts w:hint="default" w:ascii="Times New Roman" w:hAnsi="Times New Roman" w:eastAsia="宋体" w:cs="Times New Roman"/>
          <w:color w:val="auto"/>
        </w:rPr>
        <w:t>应加大换水量或泼洒生物制剂控制肥度，大于70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cm</w:t>
      </w:r>
      <w:r>
        <w:rPr>
          <w:rFonts w:hint="default" w:ascii="Times New Roman" w:hAnsi="Times New Roman" w:eastAsia="宋体" w:cs="Times New Roman"/>
          <w:color w:val="auto"/>
        </w:rPr>
        <w:t>可酌情施肥，以发酵腐熟的鸡粪水或商品肥水素为佳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auto"/>
        </w:rPr>
        <w:t>施肥同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5.5</w:t>
      </w:r>
      <w:r>
        <w:rPr>
          <w:rFonts w:hint="eastAsia" w:ascii="Times New Roman" w:hAnsi="Times New Roman" w:eastAsia="宋体" w:cs="Times New Roman"/>
          <w:color w:val="auto"/>
        </w:rPr>
        <w:t>施肥部分）</w:t>
      </w:r>
      <w:r>
        <w:rPr>
          <w:rFonts w:hint="default" w:ascii="Times New Roman" w:hAnsi="Times New Roman" w:eastAsia="宋体" w:cs="Times New Roman"/>
          <w:color w:val="auto"/>
        </w:rPr>
        <w:t>。</w:t>
      </w:r>
      <w:r>
        <w:rPr>
          <w:rFonts w:hint="eastAsia"/>
          <w:color w:val="auto"/>
        </w:rPr>
        <w:t>6月中旬开始，为保持水质清新，</w:t>
      </w:r>
      <w:r>
        <w:rPr>
          <w:color w:val="auto"/>
        </w:rPr>
        <w:t>每15d</w:t>
      </w:r>
      <w:r>
        <w:rPr>
          <w:rFonts w:hint="eastAsia"/>
          <w:color w:val="auto"/>
        </w:rPr>
        <w:t>～</w:t>
      </w:r>
      <w:r>
        <w:rPr>
          <w:color w:val="auto"/>
        </w:rPr>
        <w:t>20d使用光合细菌、EM菌等</w:t>
      </w:r>
      <w:r>
        <w:rPr>
          <w:rFonts w:hint="eastAsia"/>
          <w:color w:val="auto"/>
        </w:rPr>
        <w:t>有益</w:t>
      </w:r>
      <w:r>
        <w:rPr>
          <w:color w:val="auto"/>
        </w:rPr>
        <w:t>微生态制剂</w:t>
      </w:r>
      <w:r>
        <w:rPr>
          <w:rFonts w:hint="eastAsia"/>
          <w:color w:val="auto"/>
          <w:lang w:eastAsia="zh-CN"/>
        </w:rPr>
        <w:t>，</w:t>
      </w:r>
      <w:r>
        <w:rPr>
          <w:rFonts w:ascii="KTJ + ZHbBZd-13" w:hAnsi="KTJ + ZHbBZd-13" w:eastAsia="KTJ + ZHbBZd-13" w:cs="KTJ + ZHbBZd-13"/>
          <w:b w:val="0"/>
          <w:bCs w:val="0"/>
          <w:color w:val="auto"/>
          <w:sz w:val="21"/>
          <w:szCs w:val="21"/>
        </w:rPr>
        <w:t>光</w:t>
      </w:r>
      <w:r>
        <w:rPr>
          <w:rFonts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合</w:t>
      </w:r>
      <w:r>
        <w:rPr>
          <w:rFonts w:ascii="KTJ + ZHbBZe-34" w:hAnsi="KTJ + ZHbBZe-34" w:eastAsia="KTJ + ZHbBZe-34" w:cs="KTJ + ZHbBZe-34"/>
          <w:b w:val="0"/>
          <w:bCs w:val="0"/>
          <w:color w:val="auto"/>
          <w:sz w:val="21"/>
          <w:szCs w:val="21"/>
        </w:rPr>
        <w:t>细</w:t>
      </w:r>
      <w:r>
        <w:rPr>
          <w:rFonts w:ascii="KTJ + ZHbBZh-72" w:hAnsi="KTJ + ZHbBZh-72" w:eastAsia="KTJ + ZHbBZh-72" w:cs="KTJ + ZHbBZh-72"/>
          <w:b w:val="0"/>
          <w:bCs w:val="0"/>
          <w:color w:val="auto"/>
          <w:sz w:val="21"/>
          <w:szCs w:val="21"/>
        </w:rPr>
        <w:t>菌</w:t>
      </w:r>
      <w:r>
        <w:rPr>
          <w:rFonts w:hint="default" w:ascii="KTJ + ZHbBZd-13" w:hAnsi="KTJ + ZHbBZd-13" w:eastAsia="KTJ + ZHbBZd-13" w:cs="KTJ + ZHbBZd-13"/>
          <w:b w:val="0"/>
          <w:bCs w:val="0"/>
          <w:color w:val="auto"/>
          <w:sz w:val="21"/>
          <w:szCs w:val="21"/>
        </w:rPr>
        <w:t>和</w:t>
      </w:r>
      <w:r>
        <w:rPr>
          <w:rFonts w:ascii="DLF-3-0-752289472 + ZHbBZq-241" w:hAnsi="DLF-3-0-752289472 + ZHbBZq-241" w:eastAsia="DLF-3-0-752289472 + ZHbBZq-241" w:cs="DLF-3-0-752289472 + ZHbBZq-241"/>
          <w:b w:val="0"/>
          <w:bCs w:val="0"/>
          <w:color w:val="auto"/>
          <w:sz w:val="21"/>
          <w:szCs w:val="21"/>
        </w:rPr>
        <w:t>E</w:t>
      </w:r>
      <w:r>
        <w:rPr>
          <w:rFonts w:hint="default" w:ascii="DLF-3-0-752289472 + ZHbBZq-241" w:hAnsi="DLF-3-0-752289472 + ZHbBZq-241" w:eastAsia="DLF-3-0-752289472 + ZHbBZq-241" w:cs="DLF-3-0-752289472 + ZHbBZq-241"/>
          <w:b w:val="0"/>
          <w:bCs w:val="0"/>
          <w:color w:val="auto"/>
          <w:sz w:val="21"/>
          <w:szCs w:val="21"/>
        </w:rPr>
        <w:t>M</w:t>
      </w:r>
      <w:r>
        <w:rPr>
          <w:rFonts w:ascii="KTJ + ZHbBZj-94" w:hAnsi="KTJ + ZHbBZj-94" w:eastAsia="KTJ + ZHbBZj-94" w:cs="KTJ + ZHbBZj-94"/>
          <w:b w:val="0"/>
          <w:bCs w:val="0"/>
          <w:color w:val="auto"/>
          <w:sz w:val="21"/>
          <w:szCs w:val="21"/>
        </w:rPr>
        <w:t>复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合</w:t>
      </w:r>
      <w:r>
        <w:rPr>
          <w:rFonts w:hint="default" w:ascii="KTJ + ZHbBZh-72" w:hAnsi="KTJ + ZHbBZh-72" w:eastAsia="KTJ + ZHbBZh-72" w:cs="KTJ + ZHbBZh-72"/>
          <w:b w:val="0"/>
          <w:bCs w:val="0"/>
          <w:color w:val="auto"/>
          <w:sz w:val="21"/>
          <w:szCs w:val="21"/>
        </w:rPr>
        <w:t>菌</w:t>
      </w:r>
      <w:r>
        <w:rPr>
          <w:rFonts w:ascii="KTJ + ZHbBZe-30" w:hAnsi="KTJ + ZHbBZe-30" w:eastAsia="KTJ + ZHbBZe-30" w:cs="KTJ + ZHbBZe-30"/>
          <w:b w:val="0"/>
          <w:bCs w:val="0"/>
          <w:color w:val="auto"/>
          <w:sz w:val="21"/>
          <w:szCs w:val="21"/>
        </w:rPr>
        <w:t>间</w:t>
      </w:r>
      <w:r>
        <w:rPr>
          <w:rFonts w:ascii="KTJ + ZHbBZo-217" w:hAnsi="KTJ + ZHbBZo-217" w:eastAsia="KTJ + ZHbBZo-217" w:cs="KTJ + ZHbBZo-217"/>
          <w:b w:val="0"/>
          <w:bCs w:val="0"/>
          <w:color w:val="auto"/>
          <w:sz w:val="21"/>
          <w:szCs w:val="21"/>
        </w:rPr>
        <w:t>隔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交</w:t>
      </w:r>
      <w:r>
        <w:rPr>
          <w:rFonts w:ascii="KTJ + ZHbBZp-224" w:hAnsi="KTJ + ZHbBZp-224" w:eastAsia="KTJ + ZHbBZp-224" w:cs="KTJ + ZHbBZp-224"/>
          <w:b w:val="0"/>
          <w:bCs w:val="0"/>
          <w:color w:val="auto"/>
          <w:sz w:val="21"/>
          <w:szCs w:val="21"/>
        </w:rPr>
        <w:t>替</w:t>
      </w:r>
      <w:r>
        <w:rPr>
          <w:rFonts w:ascii="KTJ + ZHbBZm-159" w:hAnsi="KTJ + ZHbBZm-159" w:eastAsia="KTJ + ZHbBZm-159" w:cs="KTJ + ZHbBZm-159"/>
          <w:b w:val="0"/>
          <w:bCs w:val="0"/>
          <w:color w:val="auto"/>
          <w:sz w:val="21"/>
          <w:szCs w:val="21"/>
        </w:rPr>
        <w:t>施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用</w:t>
      </w:r>
      <w:r>
        <w:rPr>
          <w:rFonts w:hint="default" w:ascii="KTJ + ZHbBZd-13" w:hAnsi="KTJ + ZHbBZd-13" w:eastAsia="KTJ + ZHbBZd-13" w:cs="KTJ + ZHbBZd-13"/>
          <w:b w:val="0"/>
          <w:bCs w:val="0"/>
          <w:color w:val="auto"/>
          <w:sz w:val="21"/>
          <w:szCs w:val="21"/>
        </w:rPr>
        <w:t>，</w:t>
      </w:r>
      <w:r>
        <w:rPr>
          <w:rFonts w:hint="default" w:ascii="KTJ + ZHbBZj-94" w:hAnsi="KTJ + ZHbBZj-94" w:eastAsia="KTJ + ZHbBZj-94" w:cs="KTJ + ZHbBZj-94"/>
          <w:b w:val="0"/>
          <w:bCs w:val="0"/>
          <w:color w:val="auto"/>
          <w:sz w:val="21"/>
          <w:szCs w:val="21"/>
        </w:rPr>
        <w:t>随</w:t>
      </w:r>
      <w:r>
        <w:rPr>
          <w:rFonts w:ascii="KTJ + ZHbBZc-4" w:hAnsi="KTJ + ZHbBZc-4" w:eastAsia="KTJ + ZHbBZc-4" w:cs="KTJ + ZHbBZc-4"/>
          <w:b w:val="0"/>
          <w:bCs w:val="0"/>
          <w:color w:val="auto"/>
          <w:sz w:val="21"/>
          <w:szCs w:val="21"/>
        </w:rPr>
        <w:t>水</w:t>
      </w:r>
      <w:r>
        <w:rPr>
          <w:rFonts w:ascii="KTJ + ZHbBZd-12" w:hAnsi="KTJ + ZHbBZd-12" w:eastAsia="KTJ + ZHbBZd-12" w:cs="KTJ + ZHbBZd-12"/>
          <w:b w:val="0"/>
          <w:bCs w:val="0"/>
          <w:color w:val="auto"/>
          <w:sz w:val="21"/>
          <w:szCs w:val="21"/>
        </w:rPr>
        <w:t>温</w:t>
      </w:r>
      <w:r>
        <w:rPr>
          <w:rFonts w:hint="default" w:ascii="KTJ + ZHbBZc-4" w:hAnsi="KTJ + ZHbBZc-4" w:eastAsia="KTJ + ZHbBZc-4" w:cs="KTJ + ZHbBZc-4"/>
          <w:b w:val="0"/>
          <w:bCs w:val="0"/>
          <w:color w:val="auto"/>
          <w:sz w:val="21"/>
          <w:szCs w:val="21"/>
        </w:rPr>
        <w:t>的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升</w:t>
      </w:r>
      <w:r>
        <w:rPr>
          <w:rFonts w:hint="default" w:ascii="KTJ + ZHbBZd-12" w:hAnsi="KTJ + ZHbBZd-12" w:eastAsia="KTJ + ZHbBZd-12" w:cs="KTJ + ZHbBZd-12"/>
          <w:b w:val="0"/>
          <w:bCs w:val="0"/>
          <w:color w:val="auto"/>
          <w:sz w:val="21"/>
          <w:szCs w:val="21"/>
        </w:rPr>
        <w:t>高</w:t>
      </w:r>
      <w:r>
        <w:rPr>
          <w:rFonts w:hint="default" w:ascii="KTJ + ZHbBZd-13" w:hAnsi="KTJ + ZHbBZd-13" w:eastAsia="KTJ + ZHbBZd-13" w:cs="KTJ + ZHbBZd-13"/>
          <w:b w:val="0"/>
          <w:bCs w:val="0"/>
          <w:color w:val="auto"/>
          <w:sz w:val="21"/>
          <w:szCs w:val="21"/>
        </w:rPr>
        <w:t>，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增</w:t>
      </w:r>
      <w:r>
        <w:rPr>
          <w:rFonts w:hint="default" w:ascii="KTJ + ZHbBZd-12" w:hAnsi="KTJ + ZHbBZd-12" w:eastAsia="KTJ + ZHbBZd-12" w:cs="KTJ + ZHbBZd-12"/>
          <w:b w:val="0"/>
          <w:bCs w:val="0"/>
          <w:color w:val="auto"/>
          <w:sz w:val="21"/>
          <w:szCs w:val="21"/>
        </w:rPr>
        <w:t>加</w:t>
      </w:r>
      <w:r>
        <w:rPr>
          <w:rFonts w:hint="default" w:ascii="KTJ + ZHbBZm-159" w:hAnsi="KTJ + ZHbBZm-159" w:eastAsia="KTJ + ZHbBZm-159" w:cs="KTJ + ZHbBZm-159"/>
          <w:b w:val="0"/>
          <w:bCs w:val="0"/>
          <w:color w:val="auto"/>
          <w:sz w:val="21"/>
          <w:szCs w:val="21"/>
        </w:rPr>
        <w:t>施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用</w:t>
      </w:r>
      <w:r>
        <w:rPr>
          <w:rFonts w:hint="default" w:ascii="KTJ + ZHbBZd-13" w:hAnsi="KTJ + ZHbBZd-13" w:eastAsia="KTJ + ZHbBZd-13" w:cs="KTJ + ZHbBZd-13"/>
          <w:b w:val="0"/>
          <w:bCs w:val="0"/>
          <w:color w:val="auto"/>
          <w:sz w:val="21"/>
          <w:szCs w:val="21"/>
        </w:rPr>
        <w:t>量和</w:t>
      </w:r>
      <w:r>
        <w:rPr>
          <w:rFonts w:hint="default" w:ascii="KTJ + ZHbBZm-159" w:hAnsi="KTJ + ZHbBZm-159" w:eastAsia="KTJ + ZHbBZm-159" w:cs="KTJ + ZHbBZm-159"/>
          <w:b w:val="0"/>
          <w:bCs w:val="0"/>
          <w:color w:val="auto"/>
          <w:sz w:val="21"/>
          <w:szCs w:val="21"/>
        </w:rPr>
        <w:t>施</w:t>
      </w:r>
      <w:r>
        <w:rPr>
          <w:rFonts w:hint="default" w:ascii="KTJ + ZHbBZe-29" w:hAnsi="KTJ + ZHbBZe-29" w:eastAsia="KTJ + ZHbBZe-29" w:cs="KTJ + ZHbBZe-29"/>
          <w:b w:val="0"/>
          <w:bCs w:val="0"/>
          <w:color w:val="auto"/>
          <w:sz w:val="21"/>
          <w:szCs w:val="21"/>
        </w:rPr>
        <w:t>用</w:t>
      </w:r>
      <w:r>
        <w:rPr>
          <w:rFonts w:hint="default" w:ascii="KTJ + ZHbBZe-30" w:hAnsi="KTJ + ZHbBZe-30" w:eastAsia="KTJ + ZHbBZe-30" w:cs="KTJ + ZHbBZe-30"/>
          <w:b w:val="0"/>
          <w:bCs w:val="0"/>
          <w:color w:val="auto"/>
          <w:sz w:val="21"/>
          <w:szCs w:val="21"/>
        </w:rPr>
        <w:t>次</w:t>
      </w:r>
      <w:r>
        <w:rPr>
          <w:rFonts w:hint="default" w:ascii="KTJ + ZHbBZe-34" w:hAnsi="KTJ + ZHbBZe-34" w:eastAsia="KTJ + ZHbBZe-34" w:cs="KTJ + ZHbBZe-34"/>
          <w:b w:val="0"/>
          <w:bCs w:val="0"/>
          <w:color w:val="auto"/>
          <w:sz w:val="21"/>
          <w:szCs w:val="21"/>
        </w:rPr>
        <w:t>数</w:t>
      </w:r>
      <w:r>
        <w:rPr>
          <w:rFonts w:ascii="KTJ + ZHbBZd-6" w:hAnsi="KTJ + ZHbBZd-6" w:eastAsia="KTJ + ZHbBZd-6" w:cs="KTJ + ZHbBZd-6"/>
          <w:b w:val="0"/>
          <w:bCs w:val="0"/>
          <w:color w:val="auto"/>
          <w:sz w:val="21"/>
          <w:szCs w:val="21"/>
        </w:rPr>
        <w:t>。</w:t>
      </w:r>
      <w:r>
        <w:rPr>
          <w:rFonts w:hint="default" w:ascii="Times New Roman" w:hAnsi="Times New Roman" w:eastAsia="宋体" w:cs="Times New Roman"/>
          <w:color w:val="auto"/>
        </w:rPr>
        <w:t>根据底泥色泽及溶解氧、氨氮等理化指标判断底质状态，适当施用水质、底质改良剂。</w:t>
      </w:r>
      <w:r>
        <w:rPr>
          <w:rFonts w:hint="eastAsia"/>
          <w:color w:val="auto"/>
        </w:rPr>
        <w:t>7月下旬，</w:t>
      </w:r>
      <w:r>
        <w:rPr>
          <w:color w:val="auto"/>
        </w:rPr>
        <w:t>养殖中后期</w:t>
      </w:r>
      <w:r>
        <w:rPr>
          <w:color w:val="auto"/>
          <w:kern w:val="0"/>
          <w:szCs w:val="20"/>
        </w:rPr>
        <w:t>半个月换水一次</w:t>
      </w:r>
      <w:r>
        <w:rPr>
          <w:rFonts w:hint="eastAsia" w:ascii="Times New Roman" w:hAnsi="Times New Roman" w:eastAsia="宋体" w:cs="Times New Roman"/>
          <w:color w:val="auto"/>
          <w:kern w:val="0"/>
          <w:szCs w:val="20"/>
        </w:rPr>
        <w:t>，</w:t>
      </w:r>
      <w:r>
        <w:rPr>
          <w:rFonts w:hint="default" w:ascii="Times New Roman" w:hAnsi="Times New Roman" w:eastAsia="宋体" w:cs="Times New Roman"/>
          <w:color w:val="auto"/>
          <w:kern w:val="0"/>
          <w:szCs w:val="20"/>
        </w:rPr>
        <w:t>当池塘内海蜇存池量达到30</w:t>
      </w:r>
      <w:r>
        <w:rPr>
          <w:rFonts w:hint="eastAsia" w:ascii="Times New Roman" w:hAnsi="Times New Roman" w:eastAsia="宋体" w:cs="Times New Roman"/>
          <w:color w:val="auto"/>
          <w:kern w:val="0"/>
          <w:szCs w:val="20"/>
          <w:lang w:eastAsia="zh-CN"/>
        </w:rPr>
        <w:t>片</w:t>
      </w:r>
      <w:r>
        <w:rPr>
          <w:rFonts w:hint="default" w:ascii="Times New Roman" w:hAnsi="Times New Roman" w:eastAsia="宋体" w:cs="Times New Roman"/>
          <w:color w:val="auto"/>
          <w:kern w:val="0"/>
          <w:szCs w:val="20"/>
        </w:rPr>
        <w:t>/亩以上时，</w:t>
      </w:r>
      <w:r>
        <w:rPr>
          <w:rFonts w:hint="eastAsia" w:ascii="Times New Roman" w:hAnsi="Times New Roman" w:eastAsia="宋体" w:cs="Times New Roman"/>
          <w:color w:val="auto"/>
          <w:kern w:val="0"/>
          <w:szCs w:val="20"/>
        </w:rPr>
        <w:t>每次换池塘总水量的15%～30%，水位达到1.5m以上。</w:t>
      </w:r>
      <w:r>
        <w:rPr>
          <w:rFonts w:hint="default" w:ascii="Times New Roman" w:hAnsi="Times New Roman" w:eastAsia="宋体" w:cs="Times New Roman"/>
          <w:color w:val="auto"/>
          <w:kern w:val="0"/>
          <w:szCs w:val="20"/>
        </w:rPr>
        <w:t>泼洒石灰水、硫代硫酸钠、沸石粉等絮凝、吸附剂降低水体中悬浮有机物，同时要改底。人工增氧主要采取化学增氧剂和机械增氧。</w:t>
      </w:r>
    </w:p>
    <w:p w14:paraId="211D9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default" w:ascii="黑体" w:hAnsi="Calibri" w:eastAsia="黑体" w:cs="Times New Roman"/>
          <w:color w:val="auto"/>
          <w:kern w:val="0"/>
          <w:sz w:val="21"/>
          <w:szCs w:val="20"/>
          <w:lang w:val="en-US" w:eastAsia="zh-CN" w:bidi="ar-SA"/>
        </w:rPr>
      </w:pPr>
      <w:r>
        <w:rPr>
          <w:rFonts w:hint="eastAsia" w:ascii="黑体" w:hAnsi="Calibri" w:eastAsia="黑体" w:cs="Times New Roman"/>
          <w:color w:val="auto"/>
          <w:kern w:val="0"/>
          <w:sz w:val="21"/>
          <w:szCs w:val="20"/>
          <w:lang w:val="en-US" w:eastAsia="zh-CN" w:bidi="ar-SA"/>
        </w:rPr>
        <w:t>9.3饵料投喂</w:t>
      </w:r>
    </w:p>
    <w:p w14:paraId="6F5679B2">
      <w:pPr>
        <w:pStyle w:val="14"/>
        <w:numPr>
          <w:ilvl w:val="3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 xml:space="preserve">9.3.1 </w:t>
      </w:r>
      <w:r>
        <w:rPr>
          <w:rFonts w:hint="eastAsia" w:ascii="黑体"/>
          <w:color w:val="auto"/>
        </w:rPr>
        <w:t>中国对虾投喂</w:t>
      </w:r>
    </w:p>
    <w:p w14:paraId="13F1D3CB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ascii="Times New Roman"/>
          <w:color w:val="auto"/>
        </w:rPr>
        <w:t>对虾在体长6cm之前</w:t>
      </w:r>
      <w:r>
        <w:rPr>
          <w:rFonts w:hint="eastAsia" w:ascii="Times New Roman"/>
          <w:color w:val="auto"/>
        </w:rPr>
        <w:t>，主要摄食基础饵料，少量投喂人工配合料和小卤虫</w:t>
      </w:r>
      <w:r>
        <w:rPr>
          <w:rFonts w:hint="eastAsia" w:ascii="Times New Roman"/>
          <w:color w:val="auto"/>
          <w:lang w:eastAsia="zh-CN"/>
        </w:rPr>
        <w:t>，配合饲料蛋白</w:t>
      </w:r>
      <w:r>
        <w:rPr>
          <w:rFonts w:hint="eastAsia" w:ascii="Times New Roman"/>
          <w:color w:val="auto"/>
          <w:lang w:val="en-US" w:eastAsia="zh-CN"/>
        </w:rPr>
        <w:t>42%。</w:t>
      </w:r>
    </w:p>
    <w:p w14:paraId="72400EE8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ascii="Times New Roman"/>
          <w:color w:val="auto"/>
        </w:rPr>
        <w:t>6cm以上以投喂大卤虫、</w:t>
      </w:r>
      <w:r>
        <w:rPr>
          <w:rFonts w:hint="eastAsia" w:ascii="Times New Roman"/>
          <w:color w:val="auto"/>
        </w:rPr>
        <w:t>蓝</w:t>
      </w:r>
      <w:r>
        <w:rPr>
          <w:rFonts w:ascii="Times New Roman"/>
          <w:color w:val="auto"/>
        </w:rPr>
        <w:t>蛤等鲜活饵料为主</w:t>
      </w:r>
      <w:r>
        <w:rPr>
          <w:rFonts w:hint="eastAsia" w:ascii="Times New Roman"/>
          <w:color w:val="auto"/>
        </w:rPr>
        <w:t>，以</w:t>
      </w:r>
      <w:r>
        <w:rPr>
          <w:rFonts w:ascii="Times New Roman"/>
          <w:color w:val="auto"/>
        </w:rPr>
        <w:t>投喂</w:t>
      </w:r>
      <w:r>
        <w:rPr>
          <w:rFonts w:hint="eastAsia" w:ascii="Times New Roman"/>
          <w:color w:val="auto"/>
        </w:rPr>
        <w:t>配合饲料为辅。5月中旬~6月中旬投喂大卤虫，6月中旬～8月中旬投喂蓝蛤，蓝蛤粒径由小到大逐渐增加。</w:t>
      </w:r>
      <w:r>
        <w:rPr>
          <w:rFonts w:ascii="Times New Roman"/>
          <w:color w:val="auto"/>
        </w:rPr>
        <w:t>鲜活饵料</w:t>
      </w:r>
      <w:r>
        <w:rPr>
          <w:rFonts w:hint="eastAsia" w:ascii="Times New Roman"/>
          <w:color w:val="auto"/>
        </w:rPr>
        <w:t>投喂量</w:t>
      </w:r>
      <w:r>
        <w:rPr>
          <w:rFonts w:ascii="Times New Roman"/>
          <w:color w:val="auto"/>
        </w:rPr>
        <w:t>为对虾体重的</w:t>
      </w:r>
      <w:r>
        <w:rPr>
          <w:rFonts w:hint="eastAsia" w:ascii="Times New Roman"/>
          <w:color w:val="auto"/>
        </w:rPr>
        <w:t>30</w:t>
      </w:r>
      <w:r>
        <w:rPr>
          <w:rFonts w:ascii="Times New Roman"/>
          <w:color w:val="auto"/>
        </w:rPr>
        <w:t>%</w:t>
      </w:r>
      <w:r>
        <w:rPr>
          <w:rFonts w:hint="eastAsia" w:ascii="Times New Roman"/>
          <w:color w:val="auto"/>
        </w:rPr>
        <w:t>～50</w:t>
      </w:r>
      <w:r>
        <w:rPr>
          <w:rFonts w:ascii="Times New Roman"/>
          <w:color w:val="auto"/>
        </w:rPr>
        <w:t>%</w:t>
      </w:r>
      <w:r>
        <w:rPr>
          <w:rFonts w:hint="eastAsia" w:ascii="Times New Roman"/>
          <w:color w:val="auto"/>
        </w:rPr>
        <w:t>，配合饲料</w:t>
      </w:r>
      <w:r>
        <w:rPr>
          <w:rFonts w:ascii="Times New Roman"/>
          <w:color w:val="auto"/>
        </w:rPr>
        <w:t>为对虾体重的</w:t>
      </w:r>
      <w:r>
        <w:rPr>
          <w:rFonts w:hint="eastAsia" w:ascii="Times New Roman"/>
          <w:color w:val="auto"/>
        </w:rPr>
        <w:t>4</w:t>
      </w:r>
      <w:r>
        <w:rPr>
          <w:rFonts w:ascii="Times New Roman"/>
          <w:color w:val="auto"/>
        </w:rPr>
        <w:t>%</w:t>
      </w:r>
      <w:r>
        <w:rPr>
          <w:rFonts w:hint="eastAsia" w:ascii="Times New Roman"/>
          <w:color w:val="auto"/>
        </w:rPr>
        <w:t>～5</w:t>
      </w:r>
      <w:r>
        <w:rPr>
          <w:rFonts w:ascii="Times New Roman"/>
          <w:color w:val="auto"/>
        </w:rPr>
        <w:t>%</w:t>
      </w:r>
      <w:r>
        <w:rPr>
          <w:rFonts w:hint="eastAsia" w:ascii="Times New Roman"/>
          <w:color w:val="auto"/>
        </w:rPr>
        <w:t>。</w:t>
      </w:r>
    </w:p>
    <w:p w14:paraId="7FB4BF18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饵料全池投喂。虾苗体长6cm～8cm时，每天上午一次性投喂；9～11cm时，上午7时～8时投喂一次，下午4时～5时投喂一次，两次投喂量相</w:t>
      </w:r>
      <w:r>
        <w:rPr>
          <w:rFonts w:hint="eastAsia" w:ascii="Times New Roman"/>
          <w:color w:val="auto"/>
          <w:lang w:val="en-US" w:eastAsia="zh-CN"/>
        </w:rPr>
        <w:t>同</w:t>
      </w:r>
      <w:r>
        <w:rPr>
          <w:rFonts w:hint="eastAsia" w:ascii="Times New Roman"/>
          <w:color w:val="auto"/>
        </w:rPr>
        <w:t>；11cm以上，每天上午一次性投喂。配合饲料质量和安全卫生应符合</w:t>
      </w:r>
      <w:r>
        <w:rPr>
          <w:rFonts w:ascii="Times New Roman"/>
          <w:color w:val="auto"/>
        </w:rPr>
        <w:t>GB 13078</w:t>
      </w:r>
      <w:r>
        <w:rPr>
          <w:rFonts w:hint="eastAsia" w:ascii="Times New Roman"/>
          <w:color w:val="auto"/>
        </w:rPr>
        <w:t>的规定。</w:t>
      </w:r>
    </w:p>
    <w:p w14:paraId="48EF14C5">
      <w:pPr>
        <w:pStyle w:val="14"/>
        <w:numPr>
          <w:ilvl w:val="3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 xml:space="preserve">9.3.2 </w:t>
      </w:r>
      <w:r>
        <w:rPr>
          <w:rFonts w:hint="eastAsia" w:ascii="黑体"/>
          <w:color w:val="auto"/>
        </w:rPr>
        <w:t>南美白对虾投喂</w:t>
      </w:r>
    </w:p>
    <w:p w14:paraId="16A83F2C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养殖全过程使用对虾配合</w:t>
      </w:r>
      <w:r>
        <w:rPr>
          <w:rFonts w:hint="eastAsia" w:ascii="Times New Roman"/>
          <w:color w:val="auto"/>
          <w:lang w:eastAsia="zh-CN"/>
        </w:rPr>
        <w:t>饲料，配合饲料蛋白</w:t>
      </w:r>
      <w:r>
        <w:rPr>
          <w:rFonts w:hint="eastAsia" w:ascii="Times New Roman"/>
          <w:color w:val="auto"/>
          <w:lang w:val="en-US" w:eastAsia="zh-CN"/>
        </w:rPr>
        <w:t>40%</w:t>
      </w:r>
      <w:r>
        <w:rPr>
          <w:rFonts w:hint="eastAsia" w:ascii="Times New Roman"/>
          <w:color w:val="auto"/>
        </w:rPr>
        <w:t>。投喂次数，养殖前期</w:t>
      </w:r>
      <w:r>
        <w:rPr>
          <w:rFonts w:hint="eastAsia" w:ascii="Times New Roman"/>
          <w:color w:val="auto"/>
          <w:lang w:eastAsia="zh-CN"/>
        </w:rPr>
        <w:t>（</w:t>
      </w:r>
      <w:r>
        <w:rPr>
          <w:rFonts w:hint="eastAsia" w:ascii="Times New Roman"/>
          <w:color w:val="auto"/>
          <w:lang w:val="en-US" w:eastAsia="zh-CN"/>
        </w:rPr>
        <w:t>5月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6月</w:t>
      </w:r>
      <w:r>
        <w:rPr>
          <w:rFonts w:hint="eastAsia" w:ascii="Times New Roman"/>
          <w:color w:val="auto"/>
          <w:lang w:eastAsia="zh-CN"/>
        </w:rPr>
        <w:t>）</w:t>
      </w:r>
      <w:r>
        <w:rPr>
          <w:rFonts w:hint="eastAsia" w:ascii="Times New Roman"/>
          <w:color w:val="auto"/>
        </w:rPr>
        <w:t>1次/d，中期</w:t>
      </w:r>
      <w:r>
        <w:rPr>
          <w:rFonts w:hint="eastAsia" w:ascii="Times New Roman"/>
          <w:color w:val="auto"/>
          <w:lang w:eastAsia="zh-CN"/>
        </w:rPr>
        <w:t>（</w:t>
      </w:r>
      <w:r>
        <w:rPr>
          <w:rFonts w:hint="eastAsia" w:ascii="Times New Roman"/>
          <w:color w:val="auto"/>
          <w:lang w:val="en-US" w:eastAsia="zh-CN"/>
        </w:rPr>
        <w:t>7月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8月</w:t>
      </w:r>
      <w:r>
        <w:rPr>
          <w:rFonts w:hint="eastAsia" w:ascii="Times New Roman"/>
          <w:color w:val="auto"/>
          <w:lang w:eastAsia="zh-CN"/>
        </w:rPr>
        <w:t>）</w:t>
      </w:r>
      <w:r>
        <w:rPr>
          <w:rFonts w:hint="eastAsia" w:ascii="Times New Roman"/>
          <w:color w:val="auto"/>
        </w:rPr>
        <w:t>2次/d，后期</w:t>
      </w:r>
      <w:r>
        <w:rPr>
          <w:rFonts w:hint="eastAsia" w:ascii="Times New Roman"/>
          <w:color w:val="auto"/>
          <w:lang w:eastAsia="zh-CN"/>
        </w:rPr>
        <w:t>（</w:t>
      </w:r>
      <w:r>
        <w:rPr>
          <w:rFonts w:hint="eastAsia" w:ascii="Times New Roman"/>
          <w:color w:val="auto"/>
          <w:lang w:val="en-US" w:eastAsia="zh-CN"/>
        </w:rPr>
        <w:t>9月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收获</w:t>
      </w:r>
      <w:r>
        <w:rPr>
          <w:rFonts w:hint="eastAsia" w:ascii="Times New Roman"/>
          <w:color w:val="auto"/>
          <w:lang w:eastAsia="zh-CN"/>
        </w:rPr>
        <w:t>）</w:t>
      </w:r>
      <w:r>
        <w:rPr>
          <w:rFonts w:hint="eastAsia" w:ascii="Times New Roman"/>
          <w:color w:val="auto"/>
        </w:rPr>
        <w:t>3次/d。饵料沿虾塘四周投喂。日投喂量占虾苗体重的1%～1.5%，一般以投饵后2h食完为准。配合饲料质量和安全卫生应符合</w:t>
      </w:r>
      <w:r>
        <w:rPr>
          <w:rFonts w:ascii="Times New Roman"/>
          <w:color w:val="auto"/>
        </w:rPr>
        <w:t>GB 13078</w:t>
      </w:r>
      <w:r>
        <w:rPr>
          <w:rFonts w:hint="eastAsia" w:ascii="Times New Roman"/>
          <w:color w:val="auto"/>
        </w:rPr>
        <w:t>的规定。</w:t>
      </w:r>
    </w:p>
    <w:p w14:paraId="4DE07A32">
      <w:pPr>
        <w:pStyle w:val="14"/>
        <w:numPr>
          <w:ilvl w:val="3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 xml:space="preserve">9.3.3 </w:t>
      </w:r>
      <w:r>
        <w:rPr>
          <w:rFonts w:hint="eastAsia" w:ascii="黑体"/>
          <w:color w:val="auto"/>
        </w:rPr>
        <w:t>日本对虾投喂</w:t>
      </w:r>
    </w:p>
    <w:p w14:paraId="183145D3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饵料种类为人工配合饲料与鲜活饲料搭配</w:t>
      </w:r>
      <w:r>
        <w:rPr>
          <w:rFonts w:hint="eastAsia" w:ascii="Times New Roman"/>
          <w:color w:val="auto"/>
          <w:lang w:eastAsia="zh-CN"/>
        </w:rPr>
        <w:t>，</w:t>
      </w:r>
      <w:r>
        <w:rPr>
          <w:rFonts w:hint="eastAsia" w:ascii="Times New Roman"/>
          <w:color w:val="auto"/>
        </w:rPr>
        <w:t>配合饲料</w:t>
      </w:r>
      <w:r>
        <w:rPr>
          <w:rFonts w:hint="eastAsia" w:ascii="Times New Roman"/>
          <w:color w:val="auto"/>
          <w:lang w:eastAsia="zh-CN"/>
        </w:rPr>
        <w:t>蛋白质含量</w:t>
      </w:r>
      <w:r>
        <w:rPr>
          <w:rFonts w:hint="eastAsia" w:ascii="Times New Roman"/>
          <w:color w:val="auto"/>
          <w:lang w:val="en-US" w:eastAsia="zh-CN"/>
        </w:rPr>
        <w:t>42%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46%</w:t>
      </w:r>
      <w:r>
        <w:rPr>
          <w:rFonts w:hint="eastAsia" w:ascii="Times New Roman"/>
          <w:color w:val="auto"/>
        </w:rPr>
        <w:t>。</w:t>
      </w:r>
      <w:r>
        <w:rPr>
          <w:rFonts w:ascii="Times New Roman"/>
          <w:color w:val="auto"/>
        </w:rPr>
        <w:t>放苗后</w:t>
      </w:r>
      <w:r>
        <w:rPr>
          <w:rFonts w:hint="eastAsia" w:ascii="Times New Roman"/>
          <w:color w:val="auto"/>
        </w:rPr>
        <w:t>7d～10d后开始投喂，2次</w:t>
      </w:r>
      <w:r>
        <w:rPr>
          <w:rFonts w:hint="eastAsia" w:ascii="Times New Roman"/>
          <w:color w:val="auto"/>
          <w:lang w:val="en-US" w:eastAsia="zh-CN"/>
        </w:rPr>
        <w:t>/d</w:t>
      </w:r>
      <w:r>
        <w:rPr>
          <w:rFonts w:hint="eastAsia" w:ascii="Times New Roman"/>
          <w:color w:val="auto"/>
        </w:rPr>
        <w:t>～3次</w:t>
      </w:r>
      <w:r>
        <w:rPr>
          <w:rFonts w:hint="eastAsia" w:ascii="Times New Roman"/>
          <w:color w:val="auto"/>
          <w:lang w:val="en-US" w:eastAsia="zh-CN"/>
        </w:rPr>
        <w:t>/d</w:t>
      </w:r>
      <w:r>
        <w:rPr>
          <w:rFonts w:hint="eastAsia" w:ascii="Times New Roman"/>
          <w:color w:val="auto"/>
        </w:rPr>
        <w:t>。投喂在日落后进行，午夜结束。白天投喂日投饲量的1/3，晚上投喂2/3。体长3cm以前，投喂量占虾体重100%～150%；体长3cm以后，投喂量占虾体重1.5%～30%。投饲后2h检查摄食情况，根据对虾的生长、摄食、水质、天气等情况综合考虑而定。配合饲料质量和安全卫生应符合</w:t>
      </w:r>
      <w:r>
        <w:rPr>
          <w:rFonts w:ascii="Times New Roman"/>
          <w:color w:val="auto"/>
        </w:rPr>
        <w:t>GB 13078</w:t>
      </w:r>
      <w:r>
        <w:rPr>
          <w:rFonts w:hint="eastAsia" w:ascii="Times New Roman"/>
          <w:color w:val="auto"/>
        </w:rPr>
        <w:t>的规定。</w:t>
      </w:r>
    </w:p>
    <w:p w14:paraId="24BB0E32">
      <w:pPr>
        <w:pStyle w:val="14"/>
        <w:numPr>
          <w:ilvl w:val="0"/>
          <w:numId w:val="0"/>
        </w:numPr>
        <w:spacing w:line="400" w:lineRule="exact"/>
        <w:rPr>
          <w:rFonts w:hint="eastAsia" w:eastAsia="黑体"/>
          <w:color w:val="auto"/>
          <w:lang w:val="en-US" w:eastAsia="zh-CN"/>
        </w:rPr>
      </w:pPr>
      <w:r>
        <w:rPr>
          <w:rFonts w:hint="eastAsia" w:ascii="黑体"/>
          <w:color w:val="auto"/>
          <w:lang w:val="en-US" w:eastAsia="zh-CN"/>
        </w:rPr>
        <w:t>9.3.4</w:t>
      </w:r>
      <w:r>
        <w:rPr>
          <w:rFonts w:hint="eastAsia" w:eastAsia="宋体"/>
          <w:color w:val="auto"/>
          <w:lang w:val="en-US" w:eastAsia="zh-CN"/>
        </w:rPr>
        <w:t xml:space="preserve"> </w:t>
      </w:r>
      <w:r>
        <w:rPr>
          <w:rFonts w:hint="eastAsia" w:ascii="黑体"/>
          <w:color w:val="auto"/>
        </w:rPr>
        <w:t>海蜇</w:t>
      </w:r>
      <w:r>
        <w:rPr>
          <w:rFonts w:hint="eastAsia" w:ascii="黑体"/>
          <w:color w:val="auto"/>
          <w:lang w:eastAsia="zh-CN"/>
        </w:rPr>
        <w:t>投喂</w:t>
      </w:r>
    </w:p>
    <w:p w14:paraId="44337023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海蜇苗种放养10d之后，开始投喂海蜇生态合成饵料，加水搅拌成悬浊液，全池泼洒，日投喂量</w:t>
      </w:r>
      <w:r>
        <w:rPr>
          <w:rFonts w:hint="eastAsia" w:ascii="Times New Roman"/>
          <w:color w:val="auto"/>
          <w:lang w:val="en-US" w:eastAsia="zh-CN"/>
        </w:rPr>
        <w:t>1</w:t>
      </w:r>
      <w:r>
        <w:rPr>
          <w:rFonts w:hint="eastAsia" w:ascii="Times New Roman"/>
          <w:color w:val="auto"/>
        </w:rPr>
        <w:t>.5kg/亩～2kg/亩。有条件的养殖场可以泼洒人工配制的面包酵母菌液作为添加饵料。配合饲料质量和安全卫生应符合</w:t>
      </w:r>
      <w:r>
        <w:rPr>
          <w:rFonts w:ascii="Times New Roman"/>
          <w:color w:val="auto"/>
        </w:rPr>
        <w:t>GB 13078</w:t>
      </w:r>
      <w:r>
        <w:rPr>
          <w:rFonts w:hint="eastAsia" w:ascii="Times New Roman"/>
          <w:color w:val="auto"/>
        </w:rPr>
        <w:t>的规定。</w:t>
      </w:r>
    </w:p>
    <w:p w14:paraId="58E7BC2B">
      <w:pPr>
        <w:pStyle w:val="13"/>
        <w:numPr>
          <w:ilvl w:val="2"/>
          <w:numId w:val="0"/>
        </w:numPr>
        <w:spacing w:line="400" w:lineRule="exact"/>
        <w:ind w:leftChars="0"/>
        <w:rPr>
          <w:rFonts w:ascii="黑体"/>
          <w:color w:val="auto"/>
        </w:rPr>
      </w:pPr>
      <w:r>
        <w:rPr>
          <w:rFonts w:hint="eastAsia" w:ascii="黑体"/>
          <w:color w:val="auto"/>
          <w:lang w:val="en-US" w:eastAsia="zh-CN"/>
        </w:rPr>
        <w:t xml:space="preserve">9.4 </w:t>
      </w:r>
      <w:r>
        <w:rPr>
          <w:rFonts w:hint="eastAsia" w:ascii="黑体"/>
          <w:color w:val="auto"/>
        </w:rPr>
        <w:t>日常检测</w:t>
      </w:r>
    </w:p>
    <w:p w14:paraId="3D45295F">
      <w:pPr>
        <w:autoSpaceDE w:val="0"/>
        <w:autoSpaceDN w:val="0"/>
        <w:adjustRightInd w:val="0"/>
        <w:spacing w:line="400" w:lineRule="exact"/>
        <w:ind w:firstLine="420" w:firstLineChars="200"/>
        <w:jc w:val="left"/>
        <w:rPr>
          <w:color w:val="auto"/>
          <w:kern w:val="0"/>
          <w:szCs w:val="20"/>
        </w:rPr>
      </w:pPr>
      <w:r>
        <w:rPr>
          <w:rFonts w:hint="eastAsia"/>
          <w:color w:val="auto"/>
          <w:kern w:val="0"/>
          <w:szCs w:val="20"/>
        </w:rPr>
        <w:t>定期</w:t>
      </w:r>
      <w:r>
        <w:rPr>
          <w:color w:val="auto"/>
          <w:kern w:val="0"/>
          <w:szCs w:val="20"/>
        </w:rPr>
        <w:t>测量水温、透明度、盐度</w:t>
      </w:r>
      <w:r>
        <w:rPr>
          <w:rFonts w:hint="eastAsia"/>
          <w:color w:val="auto"/>
          <w:kern w:val="0"/>
          <w:szCs w:val="20"/>
        </w:rPr>
        <w:t>、</w:t>
      </w:r>
      <w:r>
        <w:rPr>
          <w:color w:val="auto"/>
          <w:kern w:val="0"/>
          <w:szCs w:val="20"/>
        </w:rPr>
        <w:t>溶解氧</w:t>
      </w:r>
      <w:r>
        <w:rPr>
          <w:rFonts w:hint="eastAsia"/>
          <w:color w:val="auto"/>
          <w:kern w:val="0"/>
          <w:szCs w:val="20"/>
        </w:rPr>
        <w:t>、</w:t>
      </w:r>
      <w:r>
        <w:rPr>
          <w:color w:val="auto"/>
          <w:kern w:val="0"/>
          <w:szCs w:val="20"/>
        </w:rPr>
        <w:t>氨氮等常规水质指标。</w:t>
      </w:r>
      <w:r>
        <w:rPr>
          <w:rFonts w:hint="eastAsia"/>
          <w:color w:val="auto"/>
          <w:kern w:val="0"/>
          <w:szCs w:val="20"/>
          <w:lang w:eastAsia="zh-CN"/>
        </w:rPr>
        <w:t>定期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检测饲料黄曲霉毒素。</w:t>
      </w:r>
      <w:r>
        <w:rPr>
          <w:rFonts w:hint="eastAsia"/>
          <w:color w:val="auto"/>
          <w:kern w:val="0"/>
          <w:szCs w:val="20"/>
        </w:rPr>
        <w:t>定期</w:t>
      </w:r>
      <w:r>
        <w:rPr>
          <w:color w:val="auto"/>
          <w:kern w:val="0"/>
          <w:szCs w:val="20"/>
        </w:rPr>
        <w:t>检测池内浮游生物种类及数量变化。每</w:t>
      </w:r>
      <w:r>
        <w:rPr>
          <w:rFonts w:hint="eastAsia"/>
          <w:color w:val="auto"/>
          <w:kern w:val="0"/>
          <w:szCs w:val="20"/>
        </w:rPr>
        <w:t>隔</w:t>
      </w:r>
      <w:r>
        <w:rPr>
          <w:color w:val="auto"/>
          <w:kern w:val="0"/>
          <w:szCs w:val="20"/>
        </w:rPr>
        <w:t>5d</w:t>
      </w:r>
      <w:r>
        <w:rPr>
          <w:rFonts w:hint="eastAsia"/>
          <w:color w:val="auto"/>
          <w:kern w:val="0"/>
          <w:szCs w:val="20"/>
        </w:rPr>
        <w:t>～</w:t>
      </w:r>
      <w:r>
        <w:rPr>
          <w:color w:val="auto"/>
          <w:kern w:val="0"/>
          <w:szCs w:val="20"/>
        </w:rPr>
        <w:t>10d测量一次对虾及</w:t>
      </w:r>
      <w:r>
        <w:rPr>
          <w:rFonts w:hint="eastAsia"/>
          <w:color w:val="auto"/>
          <w:kern w:val="0"/>
          <w:szCs w:val="20"/>
          <w:lang w:eastAsia="zh-CN"/>
        </w:rPr>
        <w:t>海蜇</w:t>
      </w:r>
      <w:r>
        <w:rPr>
          <w:color w:val="auto"/>
          <w:kern w:val="0"/>
          <w:szCs w:val="20"/>
        </w:rPr>
        <w:t>的生长情况，并做好养殖生产记录。</w:t>
      </w:r>
    </w:p>
    <w:p w14:paraId="725497B0">
      <w:pPr>
        <w:pStyle w:val="12"/>
        <w:numPr>
          <w:ilvl w:val="1"/>
          <w:numId w:val="0"/>
        </w:numPr>
        <w:spacing w:beforeLines="0" w:afterLines="0" w:line="400" w:lineRule="exact"/>
        <w:ind w:leftChars="0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10 </w:t>
      </w:r>
      <w:r>
        <w:rPr>
          <w:rFonts w:hint="eastAsia"/>
          <w:color w:val="auto"/>
        </w:rPr>
        <w:t>病害防控</w:t>
      </w:r>
    </w:p>
    <w:p w14:paraId="6BD23FAB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以预防为主，治疗为辅。病害防控采取以下措施：</w:t>
      </w:r>
    </w:p>
    <w:p w14:paraId="35FD5C89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 xml:space="preserve">a) </w:t>
      </w:r>
      <w:r>
        <w:rPr>
          <w:rFonts w:hint="eastAsia" w:ascii="Times New Roman"/>
          <w:color w:val="auto"/>
          <w:lang w:eastAsia="zh-CN"/>
        </w:rPr>
        <w:t>选用优质</w:t>
      </w:r>
      <w:r>
        <w:rPr>
          <w:rFonts w:hint="eastAsia" w:ascii="Times New Roman"/>
          <w:color w:val="auto"/>
        </w:rPr>
        <w:t>对虾良种；</w:t>
      </w:r>
    </w:p>
    <w:p w14:paraId="246D7C1A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b) 开展苗种检疫，虾苗</w:t>
      </w:r>
      <w:r>
        <w:rPr>
          <w:rFonts w:ascii="Times New Roman"/>
          <w:color w:val="auto"/>
        </w:rPr>
        <w:t>WSSV</w:t>
      </w:r>
      <w:r>
        <w:rPr>
          <w:rFonts w:hint="eastAsia" w:ascii="Times New Roman"/>
          <w:color w:val="auto"/>
        </w:rPr>
        <w:t>、</w:t>
      </w:r>
      <w:r>
        <w:rPr>
          <w:rFonts w:ascii="Times New Roman"/>
          <w:color w:val="auto"/>
        </w:rPr>
        <w:t>IHHNV</w:t>
      </w:r>
      <w:r>
        <w:rPr>
          <w:rFonts w:hint="eastAsia" w:ascii="Times New Roman"/>
          <w:color w:val="auto"/>
        </w:rPr>
        <w:t>、</w:t>
      </w:r>
      <w:r>
        <w:rPr>
          <w:rFonts w:ascii="Times New Roman"/>
          <w:color w:val="auto"/>
        </w:rPr>
        <w:t>TSV</w:t>
      </w:r>
      <w:r>
        <w:rPr>
          <w:rFonts w:hint="eastAsia" w:ascii="Times New Roman"/>
          <w:color w:val="auto"/>
        </w:rPr>
        <w:t>、</w:t>
      </w:r>
      <w:r>
        <w:rPr>
          <w:rFonts w:ascii="Times New Roman"/>
          <w:color w:val="auto"/>
        </w:rPr>
        <w:t>IMNV</w:t>
      </w:r>
      <w:r>
        <w:rPr>
          <w:rFonts w:hint="eastAsia" w:ascii="Times New Roman"/>
          <w:color w:val="auto"/>
        </w:rPr>
        <w:t>和</w:t>
      </w:r>
      <w:r>
        <w:rPr>
          <w:rFonts w:ascii="Times New Roman"/>
          <w:color w:val="auto"/>
        </w:rPr>
        <w:t>YHV</w:t>
      </w:r>
      <w:r>
        <w:rPr>
          <w:rFonts w:hint="eastAsia" w:ascii="Times New Roman"/>
          <w:color w:val="auto"/>
        </w:rPr>
        <w:t>不得检出；</w:t>
      </w:r>
    </w:p>
    <w:p w14:paraId="4126F219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 xml:space="preserve">c) </w:t>
      </w:r>
      <w:r>
        <w:rPr>
          <w:rFonts w:hint="eastAsia" w:ascii="Times New Roman"/>
          <w:color w:val="auto"/>
          <w:lang w:eastAsia="zh-CN"/>
        </w:rPr>
        <w:t>冰鲜</w:t>
      </w:r>
      <w:r>
        <w:rPr>
          <w:rFonts w:hint="eastAsia" w:ascii="Times New Roman"/>
          <w:color w:val="auto"/>
        </w:rPr>
        <w:t>饵料经过</w:t>
      </w:r>
      <w:r>
        <w:rPr>
          <w:rFonts w:hint="eastAsia" w:ascii="Times New Roman"/>
          <w:color w:val="auto"/>
          <w:lang w:val="en-US" w:eastAsia="zh-CN"/>
        </w:rPr>
        <w:t>检验</w:t>
      </w:r>
      <w:r>
        <w:rPr>
          <w:rFonts w:hint="eastAsia" w:ascii="Times New Roman"/>
          <w:color w:val="auto"/>
          <w:lang w:eastAsia="zh-CN"/>
        </w:rPr>
        <w:t>、消毒后投喂</w:t>
      </w:r>
      <w:r>
        <w:rPr>
          <w:rFonts w:hint="eastAsia" w:ascii="Times New Roman"/>
          <w:color w:val="auto"/>
        </w:rPr>
        <w:t>，不携带</w:t>
      </w:r>
      <w:r>
        <w:rPr>
          <w:rFonts w:ascii="Times New Roman"/>
          <w:color w:val="auto"/>
        </w:rPr>
        <w:t>WSSV等病毒</w:t>
      </w:r>
      <w:r>
        <w:rPr>
          <w:rFonts w:hint="eastAsia" w:ascii="Times New Roman"/>
          <w:color w:val="auto"/>
        </w:rPr>
        <w:t>，定期用乳酸菌、酵母菌等有益微生物拌料投喂；</w:t>
      </w:r>
    </w:p>
    <w:p w14:paraId="428E0E68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d) 测水调水，定期</w:t>
      </w:r>
      <w:r>
        <w:rPr>
          <w:rFonts w:ascii="Times New Roman"/>
          <w:color w:val="auto"/>
        </w:rPr>
        <w:t>使用光合细菌、EM菌等</w:t>
      </w:r>
      <w:r>
        <w:rPr>
          <w:rFonts w:hint="eastAsia" w:ascii="Times New Roman"/>
          <w:color w:val="auto"/>
        </w:rPr>
        <w:t>有益</w:t>
      </w:r>
      <w:r>
        <w:rPr>
          <w:rFonts w:ascii="Times New Roman"/>
          <w:color w:val="auto"/>
        </w:rPr>
        <w:t>微生态制剂调控水质</w:t>
      </w:r>
      <w:r>
        <w:rPr>
          <w:rFonts w:hint="eastAsia" w:ascii="Times New Roman"/>
          <w:color w:val="auto"/>
        </w:rPr>
        <w:t>，</w:t>
      </w:r>
      <w:r>
        <w:rPr>
          <w:rFonts w:ascii="Times New Roman"/>
          <w:color w:val="auto"/>
        </w:rPr>
        <w:t>NH</w:t>
      </w:r>
      <w:r>
        <w:rPr>
          <w:rFonts w:ascii="Times New Roman"/>
          <w:color w:val="auto"/>
          <w:vertAlign w:val="subscript"/>
        </w:rPr>
        <w:t>4</w:t>
      </w:r>
      <w:r>
        <w:rPr>
          <w:rFonts w:ascii="Times New Roman"/>
          <w:color w:val="auto"/>
          <w:vertAlign w:val="superscript"/>
        </w:rPr>
        <w:t>+</w:t>
      </w:r>
      <w:r>
        <w:rPr>
          <w:rFonts w:ascii="Times New Roman"/>
          <w:color w:val="auto"/>
        </w:rPr>
        <w:t>-N﹤</w:t>
      </w:r>
      <w:r>
        <w:rPr>
          <w:rFonts w:hint="eastAsia" w:ascii="Times New Roman"/>
          <w:color w:val="auto"/>
        </w:rPr>
        <w:t>0.1，</w:t>
      </w:r>
      <w:r>
        <w:rPr>
          <w:rFonts w:ascii="Times New Roman"/>
          <w:color w:val="auto"/>
        </w:rPr>
        <w:t>NO</w:t>
      </w:r>
      <w:r>
        <w:rPr>
          <w:rFonts w:ascii="Times New Roman"/>
          <w:color w:val="auto"/>
          <w:vertAlign w:val="subscript"/>
        </w:rPr>
        <w:t>2</w:t>
      </w:r>
      <w:r>
        <w:rPr>
          <w:rFonts w:ascii="Times New Roman"/>
          <w:color w:val="auto"/>
        </w:rPr>
        <w:t>-N﹤</w:t>
      </w:r>
      <w:r>
        <w:rPr>
          <w:rFonts w:hint="eastAsia" w:ascii="Times New Roman"/>
          <w:color w:val="auto"/>
        </w:rPr>
        <w:t>0.1，80</w:t>
      </w:r>
      <w:r>
        <w:rPr>
          <w:rFonts w:ascii="Times New Roman"/>
          <w:color w:val="auto"/>
        </w:rPr>
        <w:t>﹤</w:t>
      </w:r>
      <w:r>
        <w:rPr>
          <w:rFonts w:hint="eastAsia" w:ascii="Times New Roman"/>
          <w:color w:val="auto"/>
        </w:rPr>
        <w:t>总碱度</w:t>
      </w:r>
      <w:r>
        <w:rPr>
          <w:rFonts w:ascii="Times New Roman"/>
          <w:color w:val="auto"/>
        </w:rPr>
        <w:t>﹤160</w:t>
      </w:r>
      <w:r>
        <w:rPr>
          <w:rFonts w:hint="eastAsia" w:ascii="Times New Roman"/>
          <w:color w:val="auto"/>
        </w:rPr>
        <w:t>；</w:t>
      </w:r>
    </w:p>
    <w:p w14:paraId="7CA317A2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f)</w:t>
      </w:r>
      <w:r>
        <w:rPr>
          <w:rFonts w:hint="eastAsia" w:ascii="Times New Roman"/>
          <w:color w:val="auto"/>
          <w:lang w:val="en-US" w:eastAsia="zh-CN"/>
        </w:rPr>
        <w:t>开展多品种立体混养模式，套养蟹、鱼等肉食性品种，生物防控疾病传播。</w:t>
      </w:r>
    </w:p>
    <w:p w14:paraId="046D5C87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/>
          <w:color w:val="auto"/>
        </w:rPr>
        <w:t>药物使用应符合</w:t>
      </w:r>
      <w:r>
        <w:rPr>
          <w:rFonts w:hint="default"/>
          <w:color w:val="auto"/>
          <w:kern w:val="0"/>
          <w:szCs w:val="20"/>
        </w:rPr>
        <w:t>《中华人民共和国兽药典》</w:t>
      </w:r>
      <w:r>
        <w:rPr>
          <w:rFonts w:hint="eastAsia"/>
          <w:color w:val="auto"/>
          <w:kern w:val="0"/>
          <w:szCs w:val="20"/>
          <w:lang w:eastAsia="zh-CN"/>
        </w:rPr>
        <w:t>、</w:t>
      </w:r>
      <w:r>
        <w:rPr>
          <w:rFonts w:hint="default"/>
          <w:color w:val="auto"/>
          <w:kern w:val="0"/>
          <w:szCs w:val="20"/>
        </w:rPr>
        <w:t>《兽药</w:t>
      </w:r>
      <w:r>
        <w:rPr>
          <w:rFonts w:hint="eastAsia"/>
          <w:color w:val="auto"/>
          <w:kern w:val="0"/>
          <w:szCs w:val="20"/>
          <w:lang w:eastAsia="zh-CN"/>
        </w:rPr>
        <w:t>质量</w:t>
      </w:r>
      <w:r>
        <w:rPr>
          <w:rFonts w:hint="default"/>
          <w:color w:val="auto"/>
          <w:kern w:val="0"/>
          <w:szCs w:val="20"/>
        </w:rPr>
        <w:t>标准》</w:t>
      </w:r>
      <w:r>
        <w:rPr>
          <w:rFonts w:hint="eastAsia"/>
          <w:color w:val="auto"/>
          <w:kern w:val="0"/>
          <w:szCs w:val="20"/>
          <w:lang w:eastAsia="zh-CN"/>
        </w:rPr>
        <w:t>、</w:t>
      </w:r>
      <w:r>
        <w:rPr>
          <w:rFonts w:hint="default"/>
          <w:color w:val="auto"/>
          <w:kern w:val="0"/>
          <w:szCs w:val="20"/>
        </w:rPr>
        <w:t>《兽药管理条例》等有关规定。</w:t>
      </w:r>
    </w:p>
    <w:p w14:paraId="4B9DD14C">
      <w:pPr>
        <w:pStyle w:val="12"/>
        <w:numPr>
          <w:ilvl w:val="1"/>
          <w:numId w:val="0"/>
        </w:numPr>
        <w:spacing w:beforeLines="0" w:afterLines="0" w:line="400" w:lineRule="exact"/>
        <w:ind w:leftChars="0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11 </w:t>
      </w:r>
      <w:r>
        <w:rPr>
          <w:rFonts w:hint="eastAsia"/>
          <w:color w:val="auto"/>
        </w:rPr>
        <w:t>收获</w:t>
      </w:r>
    </w:p>
    <w:p w14:paraId="3FA603B4">
      <w:pPr>
        <w:pStyle w:val="11"/>
        <w:spacing w:line="400" w:lineRule="exact"/>
        <w:ind w:firstLine="0" w:firstLineChars="0"/>
        <w:rPr>
          <w:rFonts w:ascii="Times New Roman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11</w:t>
      </w:r>
      <w:r>
        <w:rPr>
          <w:rFonts w:hint="eastAsia" w:ascii="Times New Roman"/>
          <w:color w:val="auto"/>
        </w:rPr>
        <w:t xml:space="preserve">.1 </w:t>
      </w:r>
      <w:r>
        <w:rPr>
          <w:rFonts w:hint="eastAsia" w:ascii="黑体" w:eastAsia="黑体"/>
          <w:color w:val="auto"/>
        </w:rPr>
        <w:t>海蜇收获</w:t>
      </w:r>
    </w:p>
    <w:p w14:paraId="4C47C147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7月上旬开始，海蜇达到2.5kg/片的规格时陆续收获。凌晨5:00～7:00和晚上17:00～19:00海蜇浮到水面时拉网出池，或乘船在池中用抄网捕捞。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捕捞时用拉网捕大留小，根据捕捞规格选择拉网网眼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当水温下降到15℃以下时全部起捕。</w:t>
      </w:r>
    </w:p>
    <w:p w14:paraId="6449C6E1">
      <w:pPr>
        <w:pStyle w:val="11"/>
        <w:spacing w:line="400" w:lineRule="exact"/>
        <w:ind w:firstLine="0" w:firstLineChars="0"/>
        <w:rPr>
          <w:rFonts w:ascii="Times New Roman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11</w:t>
      </w:r>
      <w:r>
        <w:rPr>
          <w:rFonts w:hint="eastAsia" w:ascii="Times New Roman"/>
          <w:color w:val="auto"/>
        </w:rPr>
        <w:t xml:space="preserve">.2 </w:t>
      </w:r>
      <w:r>
        <w:rPr>
          <w:rFonts w:hint="eastAsia" w:ascii="黑体" w:eastAsia="黑体"/>
          <w:color w:val="auto"/>
        </w:rPr>
        <w:t>中国对虾收获</w:t>
      </w:r>
    </w:p>
    <w:p w14:paraId="025B7CF5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</w:rPr>
        <w:t>10月中旬，采取拉网、排水收虾的方法收获。</w:t>
      </w:r>
    </w:p>
    <w:p w14:paraId="65E553A9">
      <w:pPr>
        <w:pStyle w:val="11"/>
        <w:spacing w:line="400" w:lineRule="exact"/>
        <w:ind w:firstLine="0" w:firstLineChars="0"/>
        <w:rPr>
          <w:rFonts w:ascii="黑体" w:eastAsia="黑体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11</w:t>
      </w:r>
      <w:r>
        <w:rPr>
          <w:rFonts w:hint="eastAsia" w:ascii="Times New Roman"/>
          <w:color w:val="auto"/>
        </w:rPr>
        <w:t xml:space="preserve">.3 </w:t>
      </w:r>
      <w:r>
        <w:rPr>
          <w:rFonts w:hint="eastAsia" w:ascii="黑体" w:eastAsia="黑体"/>
          <w:color w:val="auto"/>
        </w:rPr>
        <w:t>日本对虾收获</w:t>
      </w:r>
    </w:p>
    <w:p w14:paraId="626582DB">
      <w:pPr>
        <w:pStyle w:val="11"/>
        <w:spacing w:line="400" w:lineRule="exact"/>
        <w:ind w:firstLine="420"/>
        <w:rPr>
          <w:rFonts w:ascii="Times New Roman" w:hAnsi="Calibri" w:cs="Times New Roman"/>
          <w:color w:val="auto"/>
        </w:rPr>
      </w:pPr>
      <w:r>
        <w:rPr>
          <w:rFonts w:hint="eastAsia" w:ascii="Times New Roman" w:cs="Times New Roman"/>
          <w:color w:val="auto"/>
          <w:lang w:eastAsia="zh-CN"/>
        </w:rPr>
        <w:t>日本对虾收捕前，适当加大</w:t>
      </w:r>
      <w:r>
        <w:rPr>
          <w:rFonts w:hint="eastAsia" w:ascii="Times New Roman"/>
          <w:color w:val="auto"/>
        </w:rPr>
        <w:t>鲜活饲料</w:t>
      </w:r>
      <w:r>
        <w:rPr>
          <w:rFonts w:hint="eastAsia" w:ascii="Times New Roman" w:cs="Times New Roman"/>
          <w:color w:val="auto"/>
          <w:lang w:eastAsia="zh-CN"/>
        </w:rPr>
        <w:t>投喂比例。</w:t>
      </w:r>
      <w:r>
        <w:rPr>
          <w:rFonts w:hint="eastAsia" w:ascii="Times New Roman" w:hAnsi="Calibri" w:cs="Times New Roman"/>
          <w:color w:val="auto"/>
        </w:rPr>
        <w:t>日本对虾长至60尾/kg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 w:hAnsi="Calibri" w:cs="Times New Roman"/>
          <w:color w:val="auto"/>
        </w:rPr>
        <w:t>80尾/kg时开始捕获，傍晚下网，凌晨收获。7月</w:t>
      </w:r>
      <w:r>
        <w:rPr>
          <w:rFonts w:hint="eastAsia" w:ascii="Times New Roman" w:cs="Times New Roman"/>
          <w:color w:val="auto"/>
          <w:lang w:eastAsia="zh-CN"/>
        </w:rPr>
        <w:t>中旬</w:t>
      </w:r>
      <w:r>
        <w:rPr>
          <w:rFonts w:hint="eastAsia" w:ascii="Times New Roman" w:hAnsi="Calibri" w:cs="Times New Roman"/>
          <w:color w:val="auto"/>
        </w:rPr>
        <w:t>开始陆续收获日本对虾，</w:t>
      </w:r>
      <w:r>
        <w:rPr>
          <w:rFonts w:ascii="Times New Roman"/>
          <w:color w:val="auto"/>
        </w:rPr>
        <w:t>秋季水温降至</w:t>
      </w:r>
      <w:r>
        <w:rPr>
          <w:rFonts w:hint="eastAsia" w:ascii="Times New Roman"/>
          <w:color w:val="auto"/>
        </w:rPr>
        <w:t>8℃前全部出池。收捕方法</w:t>
      </w:r>
      <w:r>
        <w:rPr>
          <w:rFonts w:hint="eastAsia" w:ascii="Times New Roman"/>
          <w:color w:val="auto"/>
          <w:lang w:eastAsia="zh-CN"/>
        </w:rPr>
        <w:t>地笼收捕</w:t>
      </w:r>
      <w:r>
        <w:rPr>
          <w:rFonts w:hint="eastAsia" w:ascii="Times New Roman"/>
          <w:color w:val="auto"/>
        </w:rPr>
        <w:t>法</w:t>
      </w:r>
      <w:r>
        <w:rPr>
          <w:rFonts w:hint="eastAsia" w:ascii="Times New Roman"/>
          <w:color w:val="auto"/>
          <w:lang w:eastAsia="zh-CN"/>
        </w:rPr>
        <w:t>，按照对虾密度大小每</w:t>
      </w:r>
      <w:r>
        <w:rPr>
          <w:rFonts w:hint="eastAsia" w:ascii="Times New Roman"/>
          <w:color w:val="auto"/>
          <w:lang w:val="en-US" w:eastAsia="zh-CN"/>
        </w:rPr>
        <w:t>1-2小时倒网一次</w:t>
      </w:r>
      <w:r>
        <w:rPr>
          <w:rFonts w:hint="eastAsia" w:ascii="Times New Roman"/>
          <w:color w:val="auto"/>
        </w:rPr>
        <w:t>。</w:t>
      </w:r>
    </w:p>
    <w:p w14:paraId="23D378F8">
      <w:pPr>
        <w:pStyle w:val="11"/>
        <w:spacing w:line="400" w:lineRule="exact"/>
        <w:ind w:firstLine="0" w:firstLineChars="0"/>
        <w:rPr>
          <w:rFonts w:ascii="Times New Roman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11</w:t>
      </w:r>
      <w:r>
        <w:rPr>
          <w:rFonts w:hint="eastAsia" w:ascii="Times New Roman"/>
          <w:color w:val="auto"/>
        </w:rPr>
        <w:t xml:space="preserve">.4 </w:t>
      </w:r>
      <w:r>
        <w:rPr>
          <w:rFonts w:hint="eastAsia" w:ascii="黑体" w:eastAsia="黑体"/>
          <w:color w:val="auto"/>
        </w:rPr>
        <w:t>南美白对虾收获</w:t>
      </w:r>
    </w:p>
    <w:p w14:paraId="0EF9B162">
      <w:pPr>
        <w:pStyle w:val="11"/>
        <w:spacing w:line="400" w:lineRule="exact"/>
        <w:ind w:firstLine="420"/>
        <w:rPr>
          <w:rFonts w:ascii="Times New Roman"/>
          <w:color w:val="auto"/>
        </w:rPr>
      </w:pPr>
      <w:r>
        <w:rPr>
          <w:rFonts w:hint="eastAsia" w:ascii="Times New Roman"/>
          <w:color w:val="auto"/>
          <w:lang w:val="en-US" w:eastAsia="zh-CN"/>
        </w:rPr>
        <w:t>8</w:t>
      </w:r>
      <w:r>
        <w:rPr>
          <w:rFonts w:hint="eastAsia" w:ascii="Times New Roman"/>
          <w:color w:val="auto"/>
        </w:rPr>
        <w:t>月</w:t>
      </w:r>
      <w:r>
        <w:rPr>
          <w:rFonts w:hint="eastAsia" w:ascii="Times New Roman"/>
          <w:color w:val="auto"/>
          <w:lang w:eastAsia="zh-CN"/>
        </w:rPr>
        <w:t>下</w:t>
      </w:r>
      <w:r>
        <w:rPr>
          <w:rFonts w:hint="eastAsia" w:ascii="Times New Roman"/>
          <w:color w:val="auto"/>
        </w:rPr>
        <w:t>旬开始，10月中下旬结束。商品虾规格达到</w:t>
      </w:r>
      <w:r>
        <w:rPr>
          <w:rFonts w:hint="eastAsia" w:ascii="Times New Roman"/>
          <w:color w:val="auto"/>
          <w:lang w:val="en-US" w:eastAsia="zh-CN"/>
        </w:rPr>
        <w:t>4</w:t>
      </w:r>
      <w:r>
        <w:rPr>
          <w:rFonts w:hint="eastAsia" w:ascii="Times New Roman"/>
          <w:color w:val="auto"/>
        </w:rPr>
        <w:t>0尾/</w:t>
      </w:r>
      <w:r>
        <w:rPr>
          <w:rFonts w:hint="eastAsia" w:ascii="Times New Roman"/>
          <w:color w:val="auto"/>
          <w:lang w:val="en-US" w:eastAsia="zh-CN"/>
        </w:rPr>
        <w:t>kg</w:t>
      </w:r>
      <w:r>
        <w:rPr>
          <w:rFonts w:hint="eastAsia" w:ascii="Times New Roman"/>
          <w:color w:val="auto"/>
        </w:rPr>
        <w:t>～</w:t>
      </w:r>
      <w:r>
        <w:rPr>
          <w:rFonts w:hint="eastAsia" w:ascii="Times New Roman"/>
          <w:color w:val="auto"/>
          <w:lang w:val="en-US" w:eastAsia="zh-CN"/>
        </w:rPr>
        <w:t>6</w:t>
      </w:r>
      <w:r>
        <w:rPr>
          <w:rFonts w:hint="eastAsia" w:ascii="Times New Roman"/>
          <w:color w:val="auto"/>
        </w:rPr>
        <w:t>0尾/</w:t>
      </w:r>
      <w:r>
        <w:rPr>
          <w:rFonts w:hint="eastAsia" w:ascii="Times New Roman"/>
          <w:color w:val="auto"/>
          <w:lang w:val="en-US" w:eastAsia="zh-CN"/>
        </w:rPr>
        <w:t>kg</w:t>
      </w:r>
      <w:r>
        <w:rPr>
          <w:rFonts w:hint="eastAsia" w:ascii="Times New Roman"/>
          <w:color w:val="auto"/>
        </w:rPr>
        <w:t>出池。</w:t>
      </w:r>
      <w:r>
        <w:rPr>
          <w:rFonts w:hint="eastAsia" w:ascii="Times New Roman"/>
          <w:color w:val="auto"/>
          <w:lang w:eastAsia="zh-CN"/>
        </w:rPr>
        <w:t>拉</w:t>
      </w:r>
      <w:r>
        <w:rPr>
          <w:rFonts w:ascii="Times New Roman"/>
          <w:color w:val="auto"/>
        </w:rPr>
        <w:t>网收获</w:t>
      </w:r>
      <w:r>
        <w:rPr>
          <w:rFonts w:hint="eastAsia" w:ascii="Times New Roman"/>
          <w:color w:val="auto"/>
        </w:rPr>
        <w:t>。</w:t>
      </w:r>
    </w:p>
    <w:p w14:paraId="579B979F">
      <w:pPr>
        <w:pStyle w:val="11"/>
        <w:tabs>
          <w:tab w:val="left" w:pos="5850"/>
        </w:tabs>
        <w:spacing w:line="400" w:lineRule="exact"/>
        <w:ind w:firstLine="0" w:firstLineChars="0"/>
        <w:rPr>
          <w:rFonts w:ascii="黑体" w:eastAsia="黑体"/>
          <w:color w:val="auto"/>
        </w:rPr>
      </w:pPr>
      <w:r>
        <w:rPr>
          <w:rFonts w:hint="eastAsia" w:ascii="黑体" w:eastAsia="黑体"/>
          <w:color w:val="auto"/>
          <w:lang w:val="en-US" w:eastAsia="zh-CN"/>
        </w:rPr>
        <w:t>11</w:t>
      </w:r>
      <w:r>
        <w:rPr>
          <w:rFonts w:hint="eastAsia" w:ascii="黑体" w:eastAsia="黑体"/>
          <w:color w:val="auto"/>
        </w:rPr>
        <w:t>.5 产品质量</w:t>
      </w:r>
      <w:r>
        <w:rPr>
          <w:rFonts w:ascii="黑体" w:eastAsia="黑体"/>
          <w:color w:val="auto"/>
        </w:rPr>
        <w:tab/>
      </w:r>
    </w:p>
    <w:p w14:paraId="558AB9B8">
      <w:pPr>
        <w:pStyle w:val="11"/>
        <w:spacing w:line="400" w:lineRule="exact"/>
        <w:ind w:left="-29" w:leftChars="-14" w:firstLine="420"/>
        <w:rPr>
          <w:rFonts w:hint="eastAsia" w:ascii="Times New Roman"/>
          <w:color w:val="auto"/>
        </w:rPr>
      </w:pPr>
      <w:r>
        <w:rPr>
          <w:rFonts w:hint="eastAsia" w:ascii="Times New Roman"/>
          <w:color w:val="auto"/>
        </w:rPr>
        <w:t>收获产品质量符合《水产养殖质量安全管理规定》中华人民共和国农业部令（2003）第[31]号规定。</w:t>
      </w:r>
    </w:p>
    <w:p w14:paraId="14AC2424">
      <w:pPr>
        <w:pStyle w:val="12"/>
        <w:numPr>
          <w:ilvl w:val="1"/>
          <w:numId w:val="0"/>
        </w:numPr>
        <w:spacing w:before="156" w:after="156"/>
        <w:ind w:leftChars="0"/>
        <w:rPr>
          <w:rFonts w:hint="default"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1</w:t>
      </w:r>
      <w:r>
        <w:rPr>
          <w:rFonts w:hint="eastAsia" w:ascii="Times New Roman" w:cs="Times New Roman"/>
          <w:color w:val="auto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 xml:space="preserve"> 档案</w:t>
      </w:r>
      <w:r>
        <w:rPr>
          <w:rFonts w:hint="default" w:ascii="Times New Roman" w:hAnsi="Times New Roman" w:cs="Times New Roman"/>
          <w:color w:val="auto"/>
        </w:rPr>
        <w:t>管理</w:t>
      </w:r>
    </w:p>
    <w:p w14:paraId="525C3037">
      <w:pPr>
        <w:pStyle w:val="11"/>
        <w:ind w:firstLine="420" w:firstLineChars="0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按规定做好苗种采购、渔药使用、饲料投喂、成品销售等相关记录，档案资料保存两年以上。</w:t>
      </w:r>
    </w:p>
    <w:p w14:paraId="3A2B9D44">
      <w:pPr>
        <w:pStyle w:val="11"/>
        <w:spacing w:line="400" w:lineRule="exact"/>
        <w:ind w:left="-29" w:leftChars="-14" w:firstLine="420"/>
        <w:rPr>
          <w:rFonts w:hint="eastAsia" w:ascii="Times New Roman"/>
          <w:color w:val="auto"/>
        </w:rPr>
      </w:pPr>
    </w:p>
    <w:p w14:paraId="273008D0">
      <w:pPr>
        <w:pStyle w:val="11"/>
        <w:spacing w:line="400" w:lineRule="exact"/>
        <w:ind w:firstLine="0" w:firstLineChars="0"/>
        <w:jc w:val="center"/>
        <w:rPr>
          <w:color w:val="auto"/>
        </w:rPr>
      </w:pPr>
    </w:p>
    <w:p w14:paraId="50F3DFB4">
      <w:pPr>
        <w:ind w:right="-506" w:rightChars="-241"/>
        <w:jc w:val="center"/>
        <w:rPr>
          <w:rFonts w:ascii="黑体" w:eastAsia="黑体"/>
          <w:color w:val="auto"/>
          <w:sz w:val="48"/>
          <w:szCs w:val="48"/>
        </w:rPr>
      </w:pPr>
      <w:r>
        <w:rPr>
          <w:color w:val="auto"/>
        </w:rPr>
        <w:t>_________________________________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KTJ + ZHbBZd-13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KTJ + ZHbBZe-29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e-34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h-72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752289472 + ZHbBZq-241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j-94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e-30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o-217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p-224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m-159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c-4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d-12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 + ZHbBZd-6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4943F">
    <w:pPr>
      <w:pStyle w:val="28"/>
      <w:rPr>
        <w:szCs w:val="21"/>
      </w:rPr>
    </w:pPr>
  </w:p>
  <w:p w14:paraId="487E0A1C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108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180" w:firstLine="0"/>
      </w:p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4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MTU0OTdhMjdjOWNiZDY3YTMwZDYxYTZkNjJmNTUifQ=="/>
  </w:docVars>
  <w:rsids>
    <w:rsidRoot w:val="00000000"/>
    <w:rsid w:val="00F4182E"/>
    <w:rsid w:val="030B2A3C"/>
    <w:rsid w:val="03145A47"/>
    <w:rsid w:val="066C15C9"/>
    <w:rsid w:val="06CB0518"/>
    <w:rsid w:val="0C2D57D1"/>
    <w:rsid w:val="0C5E1E2E"/>
    <w:rsid w:val="0DE620DB"/>
    <w:rsid w:val="0FDE750E"/>
    <w:rsid w:val="10437371"/>
    <w:rsid w:val="150B2427"/>
    <w:rsid w:val="16985F3D"/>
    <w:rsid w:val="17C74D2B"/>
    <w:rsid w:val="1A772A39"/>
    <w:rsid w:val="1B1464DA"/>
    <w:rsid w:val="1D1C1676"/>
    <w:rsid w:val="1DAF4298"/>
    <w:rsid w:val="1DDB443B"/>
    <w:rsid w:val="1E65704C"/>
    <w:rsid w:val="1F720C23"/>
    <w:rsid w:val="20713A86"/>
    <w:rsid w:val="21380790"/>
    <w:rsid w:val="21B24356"/>
    <w:rsid w:val="224D22D1"/>
    <w:rsid w:val="238F0492"/>
    <w:rsid w:val="23A0716D"/>
    <w:rsid w:val="2609650F"/>
    <w:rsid w:val="268F4C66"/>
    <w:rsid w:val="282B6C11"/>
    <w:rsid w:val="289C366A"/>
    <w:rsid w:val="2A293624"/>
    <w:rsid w:val="2B6A5CA2"/>
    <w:rsid w:val="2C8114F5"/>
    <w:rsid w:val="2DD815E9"/>
    <w:rsid w:val="31D3603E"/>
    <w:rsid w:val="32A46088"/>
    <w:rsid w:val="32D95BB2"/>
    <w:rsid w:val="37B90FF2"/>
    <w:rsid w:val="380B25BB"/>
    <w:rsid w:val="39F257E0"/>
    <w:rsid w:val="3A2D4A6A"/>
    <w:rsid w:val="41436921"/>
    <w:rsid w:val="43397869"/>
    <w:rsid w:val="44A845B6"/>
    <w:rsid w:val="4A062BE2"/>
    <w:rsid w:val="4AD52CE0"/>
    <w:rsid w:val="4B321EE0"/>
    <w:rsid w:val="4E007EFE"/>
    <w:rsid w:val="52F97788"/>
    <w:rsid w:val="55050666"/>
    <w:rsid w:val="591B63F2"/>
    <w:rsid w:val="5C6B34A4"/>
    <w:rsid w:val="5C904CB9"/>
    <w:rsid w:val="5DAF73C1"/>
    <w:rsid w:val="5F025C16"/>
    <w:rsid w:val="615C785F"/>
    <w:rsid w:val="62985C43"/>
    <w:rsid w:val="62E73159"/>
    <w:rsid w:val="65357357"/>
    <w:rsid w:val="669F5DE6"/>
    <w:rsid w:val="67F51E74"/>
    <w:rsid w:val="6C0E79A8"/>
    <w:rsid w:val="6E1119D2"/>
    <w:rsid w:val="6E5B49FB"/>
    <w:rsid w:val="6F914B78"/>
    <w:rsid w:val="720976E1"/>
    <w:rsid w:val="72750929"/>
    <w:rsid w:val="77043E82"/>
    <w:rsid w:val="77F55EC0"/>
    <w:rsid w:val="78E421BD"/>
    <w:rsid w:val="79A94A78"/>
    <w:rsid w:val="7CEE2328"/>
    <w:rsid w:val="7D034BDB"/>
    <w:rsid w:val="7D753A06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目次、标准名称标题"/>
    <w:basedOn w:val="10"/>
    <w:next w:val="11"/>
    <w:autoRedefine/>
    <w:qFormat/>
    <w:uiPriority w:val="0"/>
    <w:pPr>
      <w:spacing w:line="460" w:lineRule="exact"/>
    </w:pPr>
  </w:style>
  <w:style w:type="paragraph" w:customStyle="1" w:styleId="10">
    <w:name w:val="前言、引言标题"/>
    <w:next w:val="1"/>
    <w:autoRedefine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2">
    <w:name w:val="章标题"/>
    <w:next w:val="11"/>
    <w:autoRedefine/>
    <w:qFormat/>
    <w:uiPriority w:val="0"/>
    <w:pPr>
      <w:numPr>
        <w:ilvl w:val="1"/>
        <w:numId w:val="0"/>
      </w:numPr>
      <w:spacing w:beforeLines="50" w:afterLines="50"/>
      <w:ind w:left="54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一级条标题"/>
    <w:next w:val="11"/>
    <w:autoRedefine/>
    <w:qFormat/>
    <w:uiPriority w:val="0"/>
    <w:pPr>
      <w:numPr>
        <w:ilvl w:val="2"/>
        <w:numId w:val="0"/>
      </w:numPr>
      <w:outlineLvl w:val="2"/>
    </w:pPr>
    <w:rPr>
      <w:rFonts w:ascii="Calibri" w:hAnsi="Calibri" w:eastAsia="黑体" w:cs="Times New Roman"/>
      <w:sz w:val="21"/>
      <w:lang w:val="en-US" w:eastAsia="zh-CN" w:bidi="ar-SA"/>
    </w:rPr>
  </w:style>
  <w:style w:type="paragraph" w:customStyle="1" w:styleId="14">
    <w:name w:val="二级条标题"/>
    <w:basedOn w:val="13"/>
    <w:next w:val="11"/>
    <w:autoRedefine/>
    <w:qFormat/>
    <w:uiPriority w:val="0"/>
    <w:pPr>
      <w:numPr>
        <w:ilvl w:val="3"/>
      </w:numPr>
      <w:tabs>
        <w:tab w:val="left" w:pos="360"/>
      </w:tabs>
      <w:ind w:left="360"/>
      <w:outlineLvl w:val="3"/>
    </w:pPr>
  </w:style>
  <w:style w:type="paragraph" w:customStyle="1" w:styleId="15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6">
    <w:name w:val="其他标准标志"/>
    <w:basedOn w:val="17"/>
    <w:qFormat/>
    <w:uiPriority w:val="0"/>
    <w:rPr>
      <w:w w:val="130"/>
    </w:rPr>
  </w:style>
  <w:style w:type="paragraph" w:customStyle="1" w:styleId="17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18">
    <w:name w:val="其他标准称谓"/>
    <w:next w:val="1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9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0">
    <w:name w:val="封面标准号2"/>
    <w:qFormat/>
    <w:uiPriority w:val="0"/>
    <w:pPr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21">
    <w:name w:val="其他发布日期"/>
    <w:basedOn w:val="22"/>
    <w:qFormat/>
    <w:uiPriority w:val="0"/>
  </w:style>
  <w:style w:type="paragraph" w:customStyle="1" w:styleId="22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23">
    <w:name w:val="其他实施日期"/>
    <w:basedOn w:val="24"/>
    <w:qFormat/>
    <w:uiPriority w:val="0"/>
  </w:style>
  <w:style w:type="paragraph" w:customStyle="1" w:styleId="24">
    <w:name w:val="实施日期"/>
    <w:basedOn w:val="22"/>
    <w:qFormat/>
    <w:uiPriority w:val="0"/>
    <w:pPr>
      <w:numPr>
        <w:ilvl w:val="4"/>
        <w:numId w:val="1"/>
      </w:numPr>
      <w:jc w:val="right"/>
    </w:pPr>
  </w:style>
  <w:style w:type="paragraph" w:customStyle="1" w:styleId="25">
    <w:name w:val="其他发布部门"/>
    <w:basedOn w:val="26"/>
    <w:qFormat/>
    <w:uiPriority w:val="0"/>
    <w:pPr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paragraph" w:customStyle="1" w:styleId="26">
    <w:name w:val="发布部门"/>
    <w:next w:val="11"/>
    <w:qFormat/>
    <w:uiPriority w:val="0"/>
    <w:pPr>
      <w:jc w:val="center"/>
    </w:pPr>
    <w:rPr>
      <w:rFonts w:ascii="宋体" w:hAnsi="Calibri" w:eastAsia="宋体" w:cs="Times New Roman"/>
      <w:b/>
      <w:spacing w:val="20"/>
      <w:w w:val="135"/>
      <w:sz w:val="28"/>
      <w:lang w:val="en-US" w:eastAsia="zh-CN" w:bidi="ar-SA"/>
    </w:rPr>
  </w:style>
  <w:style w:type="character" w:customStyle="1" w:styleId="27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2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4154</Words>
  <Characters>4934</Characters>
  <Lines>0</Lines>
  <Paragraphs>0</Paragraphs>
  <TotalTime>0</TotalTime>
  <ScaleCrop>false</ScaleCrop>
  <LinksUpToDate>false</LinksUpToDate>
  <CharactersWithSpaces>5076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2024-04-26T10:35:00Z</dcterms:created>
  <dc:creator>Administrator</dc:creator>
  <cp:lastModifiedBy>张洁</cp:lastModifiedBy>
  <dcterms:modified xsi:type="dcterms:W3CDTF">2025-09-29T09:07:47Z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7634D701D62648D38EF55C4EA51D6C8B_12</vt:lpwstr>
  </property>
  <property fmtid="{D5CDD505-2E9C-101B-9397-08002B2CF9AE}" pid="4" name="KSOTemplateDocerSaveRecord">
    <vt:lpwstr>eyJoZGlkIjoiODgzMTU0OTdhMjdjOWNiZDY3YTMwZDYxYTZkNjJmNTUiLCJ1c2VySWQiOiI1MjkxMzEwNTkifQ==</vt:lpwstr>
  </property>
</Properties>
</file>