
<file path=[Content_Types].xml><?xml version="1.0" encoding="utf-8"?>
<Types xmlns="http://schemas.openxmlformats.org/package/2006/content-types">
  <Default Extension="xml" ContentType="application/xml"/>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16A4A9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3B322E55">
            <w:pPr>
              <w:pStyle w:val="20"/>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7DB87454">
            <w:pPr>
              <w:pStyle w:val="20"/>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ascii="黑体" w:hAnsi="黑体" w:eastAsia="黑体"/>
                <w:sz w:val="21"/>
                <w:szCs w:val="21"/>
              </w:rPr>
              <w:fldChar w:fldCharType="end"/>
            </w:r>
            <w:bookmarkEnd w:id="0"/>
          </w:p>
        </w:tc>
      </w:tr>
      <w:tr w14:paraId="441DD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5FFDC396">
            <w:pPr>
              <w:pStyle w:val="20"/>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6B10ABF1">
            <w:pPr>
              <w:pStyle w:val="20"/>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9"/>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4A6BF31C">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51010D70">
            <w:pPr>
              <w:pStyle w:val="51"/>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14:paraId="5D424461">
      <w:pPr>
        <w:pStyle w:val="52"/>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14:paraId="1FB7967C">
      <w:pPr>
        <w:pStyle w:val="197"/>
        <w:rPr>
          <w:lang w:val="fr-FR"/>
        </w:rPr>
      </w:pPr>
      <w:r>
        <w:rPr>
          <w:rFonts w:ascii="Times New Roman"/>
          <w:lang w:val="fr-FR"/>
        </w:rPr>
        <w:t>DB</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13/T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77093AAA">
      <w:pPr>
        <w:pStyle w:val="198"/>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13433B1C">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2A3EFBE8">
      <w:pPr>
        <w:pStyle w:val="52"/>
        <w:framePr w:w="9639" w:h="6976" w:hRule="exact" w:hSpace="0" w:vSpace="0" w:wrap="around" w:hAnchor="page" w:y="6408"/>
        <w:jc w:val="center"/>
        <w:rPr>
          <w:rFonts w:ascii="黑体" w:hAnsi="黑体" w:eastAsia="黑体"/>
          <w:b w:val="0"/>
          <w:bCs w:val="0"/>
          <w:w w:val="100"/>
        </w:rPr>
      </w:pPr>
    </w:p>
    <w:p w14:paraId="0F55979F">
      <w:pPr>
        <w:pStyle w:val="199"/>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取水权不动产单元设定与代码编制规则</w:t>
      </w:r>
      <w:r>
        <w:fldChar w:fldCharType="end"/>
      </w:r>
      <w:bookmarkEnd w:id="9"/>
    </w:p>
    <w:p w14:paraId="13BCA617">
      <w:pPr>
        <w:framePr w:w="9639" w:h="6974" w:hRule="exact" w:wrap="around" w:vAnchor="page" w:hAnchor="page" w:x="1419" w:y="6408" w:anchorLock="1"/>
        <w:ind w:left="-1418"/>
      </w:pPr>
    </w:p>
    <w:p w14:paraId="082C6125">
      <w:pPr>
        <w:pStyle w:val="127"/>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rPr>
        <w:t>Rules for setting up and coding real estate units of water intake rights</w:t>
      </w:r>
      <w:r>
        <w:rPr>
          <w:rFonts w:eastAsia="黑体"/>
          <w:szCs w:val="28"/>
        </w:rPr>
        <w:fldChar w:fldCharType="end"/>
      </w:r>
      <w:bookmarkEnd w:id="10"/>
    </w:p>
    <w:p w14:paraId="6E51BAE3">
      <w:pPr>
        <w:framePr w:w="9639" w:h="6974" w:hRule="exact" w:wrap="around" w:vAnchor="page" w:hAnchor="page" w:x="1419" w:y="6408" w:anchorLock="1"/>
        <w:spacing w:line="760" w:lineRule="exact"/>
        <w:ind w:left="-1418"/>
      </w:pPr>
    </w:p>
    <w:p w14:paraId="0088392A">
      <w:pPr>
        <w:pStyle w:val="127"/>
        <w:framePr w:w="9639" w:h="6974" w:hRule="exact" w:wrap="around" w:vAnchor="page" w:hAnchor="page" w:x="1419" w:y="6408" w:anchorLock="1"/>
        <w:textAlignment w:val="bottom"/>
        <w:rPr>
          <w:rFonts w:eastAsia="黑体"/>
          <w:szCs w:val="28"/>
        </w:rPr>
      </w:pPr>
    </w:p>
    <w:p w14:paraId="0F4CC121">
      <w:pPr>
        <w:pStyle w:val="127"/>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3ACB36BA">
      <w:pPr>
        <w:pStyle w:val="127"/>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rFonts w:hint="eastAsia"/>
          <w:sz w:val="21"/>
          <w:szCs w:val="28"/>
        </w:rPr>
        <w:t>（本草案完成时间：2</w:t>
      </w:r>
      <w:r>
        <w:rPr>
          <w:sz w:val="21"/>
          <w:szCs w:val="28"/>
        </w:rPr>
        <w:t>025</w:t>
      </w:r>
      <w:r>
        <w:rPr>
          <w:rFonts w:hint="eastAsia"/>
          <w:sz w:val="21"/>
          <w:szCs w:val="28"/>
        </w:rPr>
        <w:t>年9月</w:t>
      </w:r>
      <w:r>
        <w:rPr>
          <w:rFonts w:hint="eastAsia"/>
          <w:sz w:val="21"/>
          <w:szCs w:val="28"/>
          <w:lang w:val="en-US" w:eastAsia="zh-CN"/>
        </w:rPr>
        <w:t>22</w:t>
      </w:r>
      <w:r>
        <w:rPr>
          <w:rFonts w:hint="eastAsia"/>
          <w:sz w:val="21"/>
          <w:szCs w:val="28"/>
        </w:rPr>
        <w:t>日）</w:t>
      </w:r>
      <w:r>
        <w:rPr>
          <w:sz w:val="21"/>
          <w:szCs w:val="28"/>
        </w:rPr>
        <w:fldChar w:fldCharType="end"/>
      </w:r>
      <w:bookmarkEnd w:id="12"/>
    </w:p>
    <w:p w14:paraId="484989A9">
      <w:pPr>
        <w:pStyle w:val="127"/>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3D12BF33">
      <w:pPr>
        <w:pStyle w:val="195"/>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47005716">
      <w:pPr>
        <w:pStyle w:val="196"/>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03D638C5">
      <w:pPr>
        <w:pStyle w:val="153"/>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河北省市场监督管理局</w:t>
      </w:r>
      <w:r>
        <w:rPr>
          <w:rFonts w:hAnsi="黑体"/>
          <w:w w:val="100"/>
          <w:sz w:val="28"/>
        </w:rPr>
        <w:fldChar w:fldCharType="end"/>
      </w:r>
      <w:bookmarkEnd w:id="20"/>
      <w:r>
        <w:rPr>
          <w:rFonts w:ascii="Times New Roman"/>
          <w:w w:val="100"/>
          <w:sz w:val="28"/>
        </w:rPr>
        <w:t>  </w:t>
      </w:r>
      <w:r>
        <w:rPr>
          <w:rStyle w:val="231"/>
          <w:rFonts w:hint="eastAsia" w:hAnsi="黑体"/>
          <w:position w:val="0"/>
        </w:rPr>
        <w:t>发</w:t>
      </w:r>
      <w:r>
        <w:rPr>
          <w:rStyle w:val="231"/>
          <w:rFonts w:hint="eastAsia" w:hAnsi="黑体"/>
          <w:spacing w:val="0"/>
          <w:position w:val="0"/>
        </w:rPr>
        <w:t>布</w:t>
      </w:r>
    </w:p>
    <w:p w14:paraId="09ED8231">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5D8EA418">
      <w:pPr>
        <w:pStyle w:val="93"/>
        <w:spacing w:after="468"/>
        <w:rPr>
          <w:rFonts w:hint="eastAsia"/>
          <w:color w:val="auto"/>
          <w:highlight w:val="none"/>
        </w:rPr>
      </w:pPr>
      <w:bookmarkStart w:id="21" w:name="BookMark1"/>
      <w:bookmarkStart w:id="22" w:name="_Toc201045327"/>
      <w:bookmarkStart w:id="23" w:name="_Toc201045350"/>
      <w:bookmarkStart w:id="24" w:name="_Toc201045341"/>
      <w:bookmarkStart w:id="25" w:name="_Toc199260527"/>
      <w:bookmarkStart w:id="26" w:name="_Toc199261108"/>
      <w:bookmarkStart w:id="27" w:name="_Toc207804340"/>
      <w:bookmarkStart w:id="28" w:name="_Toc199260541"/>
      <w:r>
        <w:rPr>
          <w:rFonts w:hint="eastAsia"/>
          <w:color w:val="auto"/>
          <w:spacing w:val="320"/>
          <w:highlight w:val="none"/>
        </w:rPr>
        <w:t>目</w:t>
      </w:r>
      <w:r>
        <w:rPr>
          <w:rFonts w:hint="eastAsia"/>
          <w:color w:val="auto"/>
          <w:highlight w:val="none"/>
        </w:rPr>
        <w:t>次</w:t>
      </w:r>
    </w:p>
    <w:p w14:paraId="5F913AB1">
      <w:pPr>
        <w:pStyle w:val="21"/>
        <w:tabs>
          <w:tab w:val="right" w:leader="dot" w:pos="9344"/>
        </w:tabs>
        <w:rPr>
          <w:rFonts w:asciiTheme="minorHAnsi" w:hAnsiTheme="minorHAnsi" w:eastAsiaTheme="minorEastAsia" w:cstheme="minorBidi"/>
          <w:color w:val="auto"/>
          <w:szCs w:val="22"/>
          <w:highlight w:val="none"/>
        </w:rPr>
      </w:pPr>
      <w:r>
        <w:rPr>
          <w:color w:val="auto"/>
          <w:highlight w:val="none"/>
        </w:rPr>
        <w:fldChar w:fldCharType="begin"/>
      </w:r>
      <w:r>
        <w:rPr>
          <w:color w:val="auto"/>
          <w:highlight w:val="none"/>
        </w:rPr>
        <w:instrText xml:space="preserve"> TOC \o "1-1" \h </w:instrText>
      </w:r>
      <w:r>
        <w:rPr>
          <w:color w:val="auto"/>
          <w:highlight w:val="none"/>
        </w:rPr>
        <w:fldChar w:fldCharType="separate"/>
      </w:r>
      <w:r>
        <w:rPr>
          <w:color w:val="auto"/>
          <w:highlight w:val="none"/>
        </w:rPr>
        <w:fldChar w:fldCharType="begin"/>
      </w:r>
      <w:r>
        <w:rPr>
          <w:color w:val="auto"/>
          <w:highlight w:val="none"/>
        </w:rPr>
        <w:instrText xml:space="preserve"> HYPERLINK \l "_Toc209201135" </w:instrText>
      </w:r>
      <w:r>
        <w:rPr>
          <w:color w:val="auto"/>
          <w:highlight w:val="none"/>
        </w:rPr>
        <w:fldChar w:fldCharType="separate"/>
      </w:r>
      <w:r>
        <w:rPr>
          <w:rStyle w:val="34"/>
          <w:color w:val="auto"/>
          <w:highlight w:val="none"/>
        </w:rPr>
        <w:t>前言</w:t>
      </w:r>
      <w:r>
        <w:rPr>
          <w:color w:val="auto"/>
          <w:highlight w:val="none"/>
        </w:rPr>
        <w:tab/>
      </w:r>
      <w:r>
        <w:rPr>
          <w:color w:val="auto"/>
          <w:highlight w:val="none"/>
        </w:rPr>
        <w:fldChar w:fldCharType="begin"/>
      </w:r>
      <w:r>
        <w:rPr>
          <w:color w:val="auto"/>
          <w:highlight w:val="none"/>
        </w:rPr>
        <w:instrText xml:space="preserve"> PAGEREF _Toc209201135 \h </w:instrText>
      </w:r>
      <w:r>
        <w:rPr>
          <w:color w:val="auto"/>
          <w:highlight w:val="none"/>
        </w:rPr>
        <w:fldChar w:fldCharType="separate"/>
      </w:r>
      <w:r>
        <w:rPr>
          <w:color w:val="auto"/>
          <w:highlight w:val="none"/>
        </w:rPr>
        <w:t>II</w:t>
      </w:r>
      <w:r>
        <w:rPr>
          <w:color w:val="auto"/>
          <w:highlight w:val="none"/>
        </w:rPr>
        <w:fldChar w:fldCharType="end"/>
      </w:r>
      <w:r>
        <w:rPr>
          <w:color w:val="auto"/>
          <w:highlight w:val="none"/>
        </w:rPr>
        <w:fldChar w:fldCharType="end"/>
      </w:r>
    </w:p>
    <w:p w14:paraId="68A3CF42">
      <w:pPr>
        <w:pStyle w:val="21"/>
        <w:tabs>
          <w:tab w:val="right" w:leader="dot" w:pos="9344"/>
        </w:tabs>
        <w:rPr>
          <w:rFonts w:asciiTheme="minorHAnsi" w:hAnsiTheme="minorHAnsi" w:eastAsiaTheme="minorEastAsia" w:cstheme="minorBidi"/>
          <w:color w:val="auto"/>
          <w:szCs w:val="22"/>
          <w:highlight w:val="none"/>
        </w:rPr>
      </w:pPr>
      <w:r>
        <w:rPr>
          <w:color w:val="auto"/>
          <w:highlight w:val="none"/>
        </w:rPr>
        <w:fldChar w:fldCharType="begin"/>
      </w:r>
      <w:r>
        <w:rPr>
          <w:color w:val="auto"/>
          <w:highlight w:val="none"/>
        </w:rPr>
        <w:instrText xml:space="preserve"> HYPERLINK \l "_Toc209201136" </w:instrText>
      </w:r>
      <w:r>
        <w:rPr>
          <w:color w:val="auto"/>
          <w:highlight w:val="none"/>
        </w:rPr>
        <w:fldChar w:fldCharType="separate"/>
      </w:r>
      <w:r>
        <w:rPr>
          <w:rStyle w:val="34"/>
          <w:color w:val="auto"/>
          <w:highlight w:val="none"/>
        </w:rPr>
        <w:t>1  范围</w:t>
      </w:r>
      <w:r>
        <w:rPr>
          <w:color w:val="auto"/>
          <w:highlight w:val="none"/>
        </w:rPr>
        <w:tab/>
      </w:r>
      <w:r>
        <w:rPr>
          <w:color w:val="auto"/>
          <w:highlight w:val="none"/>
        </w:rPr>
        <w:fldChar w:fldCharType="begin"/>
      </w:r>
      <w:r>
        <w:rPr>
          <w:color w:val="auto"/>
          <w:highlight w:val="none"/>
        </w:rPr>
        <w:instrText xml:space="preserve"> PAGEREF _Toc209201136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p>
    <w:p w14:paraId="6861D5EF">
      <w:pPr>
        <w:pStyle w:val="21"/>
        <w:tabs>
          <w:tab w:val="right" w:leader="dot" w:pos="9344"/>
        </w:tabs>
        <w:rPr>
          <w:rFonts w:asciiTheme="minorHAnsi" w:hAnsiTheme="minorHAnsi" w:eastAsiaTheme="minorEastAsia" w:cstheme="minorBidi"/>
          <w:color w:val="auto"/>
          <w:szCs w:val="22"/>
          <w:highlight w:val="none"/>
        </w:rPr>
      </w:pPr>
      <w:r>
        <w:rPr>
          <w:color w:val="auto"/>
          <w:highlight w:val="none"/>
        </w:rPr>
        <w:fldChar w:fldCharType="begin"/>
      </w:r>
      <w:r>
        <w:rPr>
          <w:color w:val="auto"/>
          <w:highlight w:val="none"/>
        </w:rPr>
        <w:instrText xml:space="preserve"> HYPERLINK \l "_Toc209201137" </w:instrText>
      </w:r>
      <w:r>
        <w:rPr>
          <w:color w:val="auto"/>
          <w:highlight w:val="none"/>
        </w:rPr>
        <w:fldChar w:fldCharType="separate"/>
      </w:r>
      <w:r>
        <w:rPr>
          <w:rStyle w:val="34"/>
          <w:color w:val="auto"/>
          <w:highlight w:val="none"/>
        </w:rPr>
        <w:t>2  规范性引用文件</w:t>
      </w:r>
      <w:r>
        <w:rPr>
          <w:color w:val="auto"/>
          <w:highlight w:val="none"/>
        </w:rPr>
        <w:tab/>
      </w:r>
      <w:r>
        <w:rPr>
          <w:color w:val="auto"/>
          <w:highlight w:val="none"/>
        </w:rPr>
        <w:fldChar w:fldCharType="begin"/>
      </w:r>
      <w:r>
        <w:rPr>
          <w:color w:val="auto"/>
          <w:highlight w:val="none"/>
        </w:rPr>
        <w:instrText xml:space="preserve"> PAGEREF _Toc209201137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p>
    <w:p w14:paraId="2A558633">
      <w:pPr>
        <w:pStyle w:val="21"/>
        <w:tabs>
          <w:tab w:val="right" w:leader="dot" w:pos="9344"/>
        </w:tabs>
        <w:rPr>
          <w:rFonts w:asciiTheme="minorHAnsi" w:hAnsiTheme="minorHAnsi" w:eastAsiaTheme="minorEastAsia" w:cstheme="minorBidi"/>
          <w:color w:val="auto"/>
          <w:szCs w:val="22"/>
          <w:highlight w:val="none"/>
        </w:rPr>
      </w:pPr>
      <w:r>
        <w:rPr>
          <w:color w:val="auto"/>
          <w:highlight w:val="none"/>
        </w:rPr>
        <w:fldChar w:fldCharType="begin"/>
      </w:r>
      <w:r>
        <w:rPr>
          <w:color w:val="auto"/>
          <w:highlight w:val="none"/>
        </w:rPr>
        <w:instrText xml:space="preserve"> HYPERLINK \l "_Toc209201138" </w:instrText>
      </w:r>
      <w:r>
        <w:rPr>
          <w:color w:val="auto"/>
          <w:highlight w:val="none"/>
        </w:rPr>
        <w:fldChar w:fldCharType="separate"/>
      </w:r>
      <w:r>
        <w:rPr>
          <w:rStyle w:val="34"/>
          <w:color w:val="auto"/>
          <w:highlight w:val="none"/>
        </w:rPr>
        <w:t>3  术语和定义</w:t>
      </w:r>
      <w:r>
        <w:rPr>
          <w:color w:val="auto"/>
          <w:highlight w:val="none"/>
        </w:rPr>
        <w:tab/>
      </w:r>
      <w:r>
        <w:rPr>
          <w:color w:val="auto"/>
          <w:highlight w:val="none"/>
        </w:rPr>
        <w:fldChar w:fldCharType="begin"/>
      </w:r>
      <w:r>
        <w:rPr>
          <w:color w:val="auto"/>
          <w:highlight w:val="none"/>
        </w:rPr>
        <w:instrText xml:space="preserve"> PAGEREF _Toc209201138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p>
    <w:p w14:paraId="135B29DD">
      <w:pPr>
        <w:pStyle w:val="21"/>
        <w:tabs>
          <w:tab w:val="right" w:leader="dot" w:pos="9344"/>
        </w:tabs>
        <w:rPr>
          <w:rFonts w:asciiTheme="minorHAnsi" w:hAnsiTheme="minorHAnsi" w:eastAsiaTheme="minorEastAsia" w:cstheme="minorBidi"/>
          <w:color w:val="auto"/>
          <w:szCs w:val="22"/>
          <w:highlight w:val="none"/>
        </w:rPr>
      </w:pPr>
      <w:r>
        <w:rPr>
          <w:color w:val="auto"/>
          <w:highlight w:val="none"/>
        </w:rPr>
        <w:fldChar w:fldCharType="begin"/>
      </w:r>
      <w:r>
        <w:rPr>
          <w:color w:val="auto"/>
          <w:highlight w:val="none"/>
        </w:rPr>
        <w:instrText xml:space="preserve"> HYPERLINK \l "_Toc209201139" </w:instrText>
      </w:r>
      <w:r>
        <w:rPr>
          <w:color w:val="auto"/>
          <w:highlight w:val="none"/>
        </w:rPr>
        <w:fldChar w:fldCharType="separate"/>
      </w:r>
      <w:r>
        <w:rPr>
          <w:rStyle w:val="34"/>
          <w:color w:val="auto"/>
          <w:highlight w:val="none"/>
        </w:rPr>
        <w:t>4  取水权不动产单元设定</w:t>
      </w:r>
      <w:r>
        <w:rPr>
          <w:color w:val="auto"/>
          <w:highlight w:val="none"/>
        </w:rPr>
        <w:tab/>
      </w:r>
      <w:r>
        <w:rPr>
          <w:color w:val="auto"/>
          <w:highlight w:val="none"/>
        </w:rPr>
        <w:fldChar w:fldCharType="begin"/>
      </w:r>
      <w:r>
        <w:rPr>
          <w:color w:val="auto"/>
          <w:highlight w:val="none"/>
        </w:rPr>
        <w:instrText xml:space="preserve"> PAGEREF _Toc209201139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p>
    <w:p w14:paraId="0551E0B4">
      <w:pPr>
        <w:pStyle w:val="21"/>
        <w:tabs>
          <w:tab w:val="right" w:leader="dot" w:pos="9344"/>
        </w:tabs>
        <w:rPr>
          <w:rFonts w:asciiTheme="minorHAnsi" w:hAnsiTheme="minorHAnsi" w:eastAsiaTheme="minorEastAsia" w:cstheme="minorBidi"/>
          <w:color w:val="auto"/>
          <w:szCs w:val="22"/>
          <w:highlight w:val="none"/>
        </w:rPr>
      </w:pPr>
      <w:r>
        <w:rPr>
          <w:color w:val="auto"/>
          <w:highlight w:val="none"/>
        </w:rPr>
        <w:fldChar w:fldCharType="begin"/>
      </w:r>
      <w:r>
        <w:rPr>
          <w:color w:val="auto"/>
          <w:highlight w:val="none"/>
        </w:rPr>
        <w:instrText xml:space="preserve"> HYPERLINK \l "_Toc209201140" </w:instrText>
      </w:r>
      <w:r>
        <w:rPr>
          <w:color w:val="auto"/>
          <w:highlight w:val="none"/>
        </w:rPr>
        <w:fldChar w:fldCharType="separate"/>
      </w:r>
      <w:r>
        <w:rPr>
          <w:rStyle w:val="34"/>
          <w:color w:val="auto"/>
          <w:highlight w:val="none"/>
        </w:rPr>
        <w:t>5  取水权不动产单元编码</w:t>
      </w:r>
      <w:r>
        <w:rPr>
          <w:color w:val="auto"/>
          <w:highlight w:val="none"/>
        </w:rPr>
        <w:tab/>
      </w:r>
      <w:r>
        <w:rPr>
          <w:color w:val="auto"/>
          <w:highlight w:val="none"/>
        </w:rPr>
        <w:fldChar w:fldCharType="begin"/>
      </w:r>
      <w:r>
        <w:rPr>
          <w:color w:val="auto"/>
          <w:highlight w:val="none"/>
        </w:rPr>
        <w:instrText xml:space="preserve"> PAGEREF _Toc209201140 \h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p>
    <w:p w14:paraId="45857C2C">
      <w:pPr>
        <w:pStyle w:val="21"/>
        <w:tabs>
          <w:tab w:val="right" w:leader="dot" w:pos="9344"/>
        </w:tabs>
        <w:rPr>
          <w:rFonts w:asciiTheme="minorHAnsi" w:hAnsiTheme="minorHAnsi" w:eastAsiaTheme="minorEastAsia" w:cstheme="minorBidi"/>
          <w:color w:val="auto"/>
          <w:szCs w:val="22"/>
          <w:highlight w:val="none"/>
        </w:rPr>
      </w:pPr>
      <w:r>
        <w:rPr>
          <w:color w:val="auto"/>
          <w:highlight w:val="none"/>
        </w:rPr>
        <w:fldChar w:fldCharType="begin"/>
      </w:r>
      <w:r>
        <w:rPr>
          <w:color w:val="auto"/>
          <w:highlight w:val="none"/>
        </w:rPr>
        <w:instrText xml:space="preserve"> HYPERLINK \l "_Toc209201141" </w:instrText>
      </w:r>
      <w:r>
        <w:rPr>
          <w:color w:val="auto"/>
          <w:highlight w:val="none"/>
        </w:rPr>
        <w:fldChar w:fldCharType="separate"/>
      </w:r>
      <w:r>
        <w:rPr>
          <w:rStyle w:val="34"/>
          <w:color w:val="auto"/>
          <w:highlight w:val="none"/>
        </w:rPr>
        <w:t>6  取水权不动产单元代码变更</w:t>
      </w:r>
      <w:r>
        <w:rPr>
          <w:color w:val="auto"/>
          <w:highlight w:val="none"/>
        </w:rPr>
        <w:tab/>
      </w:r>
      <w:r>
        <w:rPr>
          <w:color w:val="auto"/>
          <w:highlight w:val="none"/>
        </w:rPr>
        <w:fldChar w:fldCharType="begin"/>
      </w:r>
      <w:r>
        <w:rPr>
          <w:color w:val="auto"/>
          <w:highlight w:val="none"/>
        </w:rPr>
        <w:instrText xml:space="preserve"> PAGEREF _Toc209201141 \h </w:instrText>
      </w:r>
      <w:r>
        <w:rPr>
          <w:color w:val="auto"/>
          <w:highlight w:val="none"/>
        </w:rPr>
        <w:fldChar w:fldCharType="separate"/>
      </w:r>
      <w:r>
        <w:rPr>
          <w:color w:val="auto"/>
          <w:highlight w:val="none"/>
        </w:rPr>
        <w:t>3</w:t>
      </w:r>
      <w:r>
        <w:rPr>
          <w:color w:val="auto"/>
          <w:highlight w:val="none"/>
        </w:rPr>
        <w:fldChar w:fldCharType="end"/>
      </w:r>
      <w:r>
        <w:rPr>
          <w:color w:val="auto"/>
          <w:highlight w:val="none"/>
        </w:rPr>
        <w:fldChar w:fldCharType="end"/>
      </w:r>
    </w:p>
    <w:p w14:paraId="5EC38379">
      <w:pPr>
        <w:pStyle w:val="21"/>
        <w:tabs>
          <w:tab w:val="right" w:leader="dot" w:pos="9344"/>
        </w:tabs>
        <w:rPr>
          <w:rFonts w:asciiTheme="minorHAnsi" w:hAnsiTheme="minorHAnsi" w:eastAsiaTheme="minorEastAsia" w:cstheme="minorBidi"/>
          <w:color w:val="auto"/>
          <w:szCs w:val="22"/>
          <w:highlight w:val="none"/>
        </w:rPr>
      </w:pPr>
      <w:r>
        <w:rPr>
          <w:color w:val="auto"/>
          <w:highlight w:val="none"/>
        </w:rPr>
        <w:fldChar w:fldCharType="begin"/>
      </w:r>
      <w:r>
        <w:rPr>
          <w:color w:val="auto"/>
          <w:highlight w:val="none"/>
        </w:rPr>
        <w:instrText xml:space="preserve"> HYPERLINK \l "_Toc209201142" </w:instrText>
      </w:r>
      <w:r>
        <w:rPr>
          <w:color w:val="auto"/>
          <w:highlight w:val="none"/>
        </w:rPr>
        <w:fldChar w:fldCharType="separate"/>
      </w:r>
      <w:r>
        <w:rPr>
          <w:rStyle w:val="34"/>
          <w:color w:val="auto"/>
          <w:highlight w:val="none"/>
        </w:rPr>
        <w:t>7　代码表</w:t>
      </w:r>
      <w:r>
        <w:rPr>
          <w:color w:val="auto"/>
          <w:highlight w:val="none"/>
        </w:rPr>
        <w:tab/>
      </w:r>
      <w:r>
        <w:rPr>
          <w:color w:val="auto"/>
          <w:highlight w:val="none"/>
        </w:rPr>
        <w:fldChar w:fldCharType="begin"/>
      </w:r>
      <w:r>
        <w:rPr>
          <w:color w:val="auto"/>
          <w:highlight w:val="none"/>
        </w:rPr>
        <w:instrText xml:space="preserve"> PAGEREF _Toc209201142 \h </w:instrText>
      </w:r>
      <w:r>
        <w:rPr>
          <w:color w:val="auto"/>
          <w:highlight w:val="none"/>
        </w:rPr>
        <w:fldChar w:fldCharType="separate"/>
      </w:r>
      <w:r>
        <w:rPr>
          <w:color w:val="auto"/>
          <w:highlight w:val="none"/>
        </w:rPr>
        <w:t>3</w:t>
      </w:r>
      <w:r>
        <w:rPr>
          <w:color w:val="auto"/>
          <w:highlight w:val="none"/>
        </w:rPr>
        <w:fldChar w:fldCharType="end"/>
      </w:r>
      <w:r>
        <w:rPr>
          <w:color w:val="auto"/>
          <w:highlight w:val="none"/>
        </w:rPr>
        <w:fldChar w:fldCharType="end"/>
      </w:r>
    </w:p>
    <w:p w14:paraId="5FCAC3E7">
      <w:pPr>
        <w:pStyle w:val="21"/>
        <w:tabs>
          <w:tab w:val="right" w:leader="dot" w:pos="9344"/>
        </w:tabs>
        <w:rPr>
          <w:rFonts w:asciiTheme="minorHAnsi" w:hAnsiTheme="minorHAnsi" w:eastAsiaTheme="minorEastAsia" w:cstheme="minorBidi"/>
          <w:color w:val="auto"/>
          <w:szCs w:val="22"/>
          <w:highlight w:val="none"/>
        </w:rPr>
      </w:pPr>
      <w:r>
        <w:rPr>
          <w:color w:val="auto"/>
          <w:highlight w:val="none"/>
        </w:rPr>
        <w:fldChar w:fldCharType="begin"/>
      </w:r>
      <w:r>
        <w:rPr>
          <w:color w:val="auto"/>
          <w:highlight w:val="none"/>
        </w:rPr>
        <w:instrText xml:space="preserve"> HYPERLINK \l "_Toc209201143" </w:instrText>
      </w:r>
      <w:r>
        <w:rPr>
          <w:color w:val="auto"/>
          <w:highlight w:val="none"/>
        </w:rPr>
        <w:fldChar w:fldCharType="separate"/>
      </w:r>
      <w:r>
        <w:rPr>
          <w:rStyle w:val="34"/>
          <w:color w:val="auto"/>
          <w:highlight w:val="none"/>
        </w:rPr>
        <w:t>参考文献</w:t>
      </w:r>
      <w:r>
        <w:rPr>
          <w:color w:val="auto"/>
          <w:highlight w:val="none"/>
        </w:rPr>
        <w:tab/>
      </w:r>
      <w:r>
        <w:rPr>
          <w:color w:val="auto"/>
          <w:highlight w:val="none"/>
        </w:rPr>
        <w:fldChar w:fldCharType="begin"/>
      </w:r>
      <w:r>
        <w:rPr>
          <w:color w:val="auto"/>
          <w:highlight w:val="none"/>
        </w:rPr>
        <w:instrText xml:space="preserve"> PAGEREF _Toc209201143 \h </w:instrText>
      </w:r>
      <w:r>
        <w:rPr>
          <w:color w:val="auto"/>
          <w:highlight w:val="none"/>
        </w:rPr>
        <w:fldChar w:fldCharType="separate"/>
      </w:r>
      <w:r>
        <w:rPr>
          <w:color w:val="auto"/>
          <w:highlight w:val="none"/>
        </w:rPr>
        <w:t>5</w:t>
      </w:r>
      <w:r>
        <w:rPr>
          <w:color w:val="auto"/>
          <w:highlight w:val="none"/>
        </w:rPr>
        <w:fldChar w:fldCharType="end"/>
      </w:r>
      <w:r>
        <w:rPr>
          <w:color w:val="auto"/>
          <w:highlight w:val="none"/>
        </w:rPr>
        <w:fldChar w:fldCharType="end"/>
      </w:r>
    </w:p>
    <w:p w14:paraId="74F70243">
      <w:pPr>
        <w:pStyle w:val="93"/>
        <w:spacing w:after="468"/>
        <w:rPr>
          <w:color w:val="auto"/>
          <w:highlight w:val="none"/>
        </w:rPr>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rPr>
          <w:color w:val="auto"/>
          <w:highlight w:val="none"/>
        </w:rPr>
        <w:fldChar w:fldCharType="end"/>
      </w:r>
    </w:p>
    <w:bookmarkEnd w:id="21"/>
    <w:p w14:paraId="11220358">
      <w:pPr>
        <w:pStyle w:val="91"/>
        <w:spacing w:before="560" w:after="468"/>
        <w:rPr>
          <w:color w:val="auto"/>
          <w:highlight w:val="none"/>
        </w:rPr>
      </w:pPr>
      <w:bookmarkStart w:id="29" w:name="_Toc209201135"/>
      <w:bookmarkStart w:id="30" w:name="BookMark2"/>
      <w:r>
        <w:rPr>
          <w:rFonts w:hint="eastAsia"/>
          <w:color w:val="auto"/>
          <w:spacing w:val="320"/>
          <w:highlight w:val="none"/>
        </w:rPr>
        <w:t>前</w:t>
      </w:r>
      <w:r>
        <w:rPr>
          <w:rFonts w:hint="eastAsia"/>
          <w:color w:val="auto"/>
          <w:highlight w:val="none"/>
        </w:rPr>
        <w:t>言</w:t>
      </w:r>
      <w:bookmarkEnd w:id="22"/>
      <w:bookmarkEnd w:id="23"/>
      <w:bookmarkEnd w:id="24"/>
      <w:bookmarkEnd w:id="25"/>
      <w:bookmarkEnd w:id="26"/>
      <w:bookmarkEnd w:id="27"/>
      <w:bookmarkEnd w:id="28"/>
      <w:bookmarkEnd w:id="29"/>
    </w:p>
    <w:p w14:paraId="6CD3C860">
      <w:pPr>
        <w:pStyle w:val="58"/>
        <w:ind w:firstLine="420"/>
        <w:rPr>
          <w:color w:val="auto"/>
          <w:highlight w:val="none"/>
        </w:rPr>
      </w:pPr>
      <w:r>
        <w:rPr>
          <w:rFonts w:hint="eastAsia"/>
          <w:color w:val="auto"/>
          <w:highlight w:val="none"/>
        </w:rPr>
        <w:t>本文件按照GB/T 1.1—2020《标准化工作导则  第1部分：标准化文件的结构和起草规则》的规定起草。</w:t>
      </w:r>
    </w:p>
    <w:p w14:paraId="15B21E92">
      <w:pPr>
        <w:pStyle w:val="58"/>
        <w:ind w:firstLine="420"/>
        <w:rPr>
          <w:color w:val="auto"/>
          <w:highlight w:val="none"/>
        </w:rPr>
      </w:pPr>
      <w:r>
        <w:rPr>
          <w:rFonts w:hint="eastAsia"/>
          <w:color w:val="auto"/>
          <w:highlight w:val="none"/>
        </w:rPr>
        <w:t>本文件由河北省自然资源厅提出并归口。</w:t>
      </w:r>
    </w:p>
    <w:p w14:paraId="4581C283">
      <w:pPr>
        <w:pStyle w:val="58"/>
        <w:ind w:firstLine="420"/>
        <w:rPr>
          <w:color w:val="auto"/>
          <w:highlight w:val="none"/>
        </w:rPr>
      </w:pPr>
      <w:r>
        <w:rPr>
          <w:rFonts w:hint="eastAsia"/>
          <w:color w:val="auto"/>
          <w:highlight w:val="none"/>
        </w:rPr>
        <w:t>本文件起草单位：河北省不动产登记中心、邢台市自然资源和规划局信都分局、邢台市不动产登记中心、苍穹数码技术股份有限公司。</w:t>
      </w:r>
    </w:p>
    <w:p w14:paraId="2C10B45C">
      <w:pPr>
        <w:pStyle w:val="58"/>
        <w:ind w:firstLine="420"/>
        <w:rPr>
          <w:color w:val="auto"/>
          <w:highlight w:val="none"/>
        </w:rPr>
        <w:sectPr>
          <w:pgSz w:w="11906" w:h="16838"/>
          <w:pgMar w:top="1928" w:right="1134" w:bottom="1134" w:left="1134" w:header="1418" w:footer="1134" w:gutter="284"/>
          <w:pgNumType w:fmt="upperRoman"/>
          <w:cols w:space="425" w:num="1"/>
          <w:formProt w:val="0"/>
          <w:docGrid w:type="lines" w:linePitch="312" w:charSpace="0"/>
        </w:sectPr>
      </w:pPr>
      <w:r>
        <w:rPr>
          <w:rFonts w:hint="eastAsia"/>
          <w:color w:val="auto"/>
          <w:highlight w:val="none"/>
        </w:rPr>
        <w:t>本文件主要起草人：</w:t>
      </w:r>
      <w:r>
        <w:rPr>
          <w:rFonts w:hint="eastAsia"/>
          <w:bCs/>
          <w:color w:val="auto"/>
          <w:highlight w:val="none"/>
        </w:rPr>
        <w:t>刘文凯、高晓晨、刘春英、魏亮、解劲华、周炜、王晓杰、关桐桐、张遵照、张瑞平、胡明亮、任娜、董文杰、樊晓云、孟楠、刘志刚、邢慧霏、赵力伟、王杉、张旭、王梦媛。</w:t>
      </w:r>
    </w:p>
    <w:bookmarkEnd w:id="30"/>
    <w:p w14:paraId="1AB2514F">
      <w:pPr>
        <w:spacing w:line="20" w:lineRule="exact"/>
        <w:jc w:val="center"/>
        <w:rPr>
          <w:rFonts w:ascii="黑体" w:hAnsi="黑体" w:eastAsia="黑体"/>
          <w:color w:val="auto"/>
          <w:sz w:val="32"/>
          <w:szCs w:val="32"/>
          <w:highlight w:val="none"/>
        </w:rPr>
      </w:pPr>
      <w:bookmarkStart w:id="31" w:name="BookMark4"/>
    </w:p>
    <w:p w14:paraId="213F72A7">
      <w:pPr>
        <w:spacing w:line="20" w:lineRule="exact"/>
        <w:jc w:val="center"/>
        <w:rPr>
          <w:rFonts w:ascii="黑体" w:hAnsi="黑体" w:eastAsia="黑体"/>
          <w:color w:val="auto"/>
          <w:sz w:val="32"/>
          <w:szCs w:val="32"/>
          <w:highlight w:val="none"/>
        </w:rPr>
      </w:pPr>
    </w:p>
    <w:sdt>
      <w:sdtPr>
        <w:rPr>
          <w:color w:val="auto"/>
          <w:highlight w:val="none"/>
        </w:rPr>
        <w:tag w:val="NEW_STAND_NAME"/>
        <w:id w:val="595910757"/>
        <w:lock w:val="sdtLocked"/>
        <w:placeholder>
          <w:docPart w:val="1F5F4DF43C3742FC86B059969DBEAE50"/>
        </w:placeholder>
      </w:sdtPr>
      <w:sdtEndPr>
        <w:rPr>
          <w:color w:val="auto"/>
          <w:highlight w:val="none"/>
        </w:rPr>
      </w:sdtEndPr>
      <w:sdtContent>
        <w:p w14:paraId="305E6B91">
          <w:pPr>
            <w:pStyle w:val="179"/>
            <w:spacing w:before="3" w:beforeLines="1" w:after="686" w:afterLines="220"/>
            <w:rPr>
              <w:color w:val="auto"/>
              <w:highlight w:val="none"/>
            </w:rPr>
          </w:pPr>
          <w:bookmarkStart w:id="32" w:name="NEW_STAND_NAME"/>
          <w:r>
            <w:rPr>
              <w:rFonts w:hint="eastAsia"/>
              <w:color w:val="auto"/>
              <w:highlight w:val="none"/>
            </w:rPr>
            <w:t>取水权不动产单元设定与代码编制规则</w:t>
          </w:r>
        </w:p>
      </w:sdtContent>
    </w:sdt>
    <w:bookmarkEnd w:id="32"/>
    <w:p w14:paraId="2A1D1637">
      <w:pPr>
        <w:pStyle w:val="106"/>
        <w:spacing w:before="312" w:after="312"/>
        <w:rPr>
          <w:color w:val="auto"/>
          <w:highlight w:val="none"/>
        </w:rPr>
      </w:pPr>
      <w:bookmarkStart w:id="33" w:name="_Toc199260528"/>
      <w:bookmarkStart w:id="34" w:name="_Toc26986771"/>
      <w:bookmarkStart w:id="35" w:name="_Toc26648465"/>
      <w:bookmarkStart w:id="36" w:name="_Toc97191423"/>
      <w:bookmarkStart w:id="37" w:name="_Toc17233333"/>
      <w:bookmarkStart w:id="38" w:name="_Toc201045328"/>
      <w:bookmarkStart w:id="39" w:name="_Toc17233325"/>
      <w:bookmarkStart w:id="40" w:name="_Toc201045342"/>
      <w:bookmarkStart w:id="41" w:name="_Toc207804341"/>
      <w:bookmarkStart w:id="42" w:name="_Toc199163093"/>
      <w:bookmarkStart w:id="43" w:name="_Toc26718930"/>
      <w:bookmarkStart w:id="44" w:name="_Toc26986530"/>
      <w:bookmarkStart w:id="45" w:name="_Toc199261109"/>
      <w:bookmarkStart w:id="46" w:name="_Toc209201136"/>
      <w:bookmarkStart w:id="47" w:name="_Toc24884218"/>
      <w:bookmarkStart w:id="48" w:name="_Toc199260542"/>
      <w:bookmarkStart w:id="49" w:name="_Toc201045351"/>
      <w:bookmarkStart w:id="50" w:name="_Toc24884211"/>
      <w:r>
        <w:rPr>
          <w:rFonts w:hint="eastAsia"/>
          <w:color w:val="auto"/>
          <w:highlight w:val="none"/>
        </w:rPr>
        <w:t>范围</w:t>
      </w:r>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p w14:paraId="4151E7B3">
      <w:pPr>
        <w:pStyle w:val="58"/>
        <w:ind w:firstLine="420"/>
        <w:rPr>
          <w:color w:val="auto"/>
          <w:highlight w:val="none"/>
        </w:rPr>
      </w:pPr>
      <w:bookmarkStart w:id="51" w:name="_Toc17233326"/>
      <w:bookmarkStart w:id="52" w:name="_Toc17233334"/>
      <w:bookmarkStart w:id="53" w:name="_Toc24884212"/>
      <w:bookmarkStart w:id="54" w:name="_Toc24884219"/>
      <w:bookmarkStart w:id="55" w:name="_Toc26648466"/>
      <w:r>
        <w:rPr>
          <w:rFonts w:hint="eastAsia"/>
          <w:color w:val="auto"/>
          <w:highlight w:val="none"/>
        </w:rPr>
        <w:t>本文件规定了取水权不动产单元的设定、代码结构和代码编制规则等。</w:t>
      </w:r>
    </w:p>
    <w:p w14:paraId="36064795">
      <w:pPr>
        <w:pStyle w:val="58"/>
        <w:ind w:firstLine="420"/>
        <w:rPr>
          <w:color w:val="auto"/>
          <w:highlight w:val="none"/>
        </w:rPr>
      </w:pPr>
      <w:r>
        <w:rPr>
          <w:rFonts w:hint="eastAsia"/>
          <w:color w:val="auto"/>
          <w:highlight w:val="none"/>
        </w:rPr>
        <w:t>本文件适用于取水权不动产单元的设定、编码、标识、信息处理和交换等。</w:t>
      </w:r>
    </w:p>
    <w:p w14:paraId="2571C5BC">
      <w:pPr>
        <w:pStyle w:val="106"/>
        <w:spacing w:before="312" w:after="312"/>
        <w:rPr>
          <w:color w:val="auto"/>
          <w:highlight w:val="none"/>
        </w:rPr>
      </w:pPr>
      <w:bookmarkStart w:id="56" w:name="_Toc201045352"/>
      <w:bookmarkStart w:id="57" w:name="_Toc97191424"/>
      <w:bookmarkStart w:id="58" w:name="_Toc199260529"/>
      <w:bookmarkStart w:id="59" w:name="_Toc26986772"/>
      <w:bookmarkStart w:id="60" w:name="_Toc201045343"/>
      <w:bookmarkStart w:id="61" w:name="_Toc201045329"/>
      <w:bookmarkStart w:id="62" w:name="_Toc199261110"/>
      <w:bookmarkStart w:id="63" w:name="_Toc199260543"/>
      <w:bookmarkStart w:id="64" w:name="_Toc26986531"/>
      <w:bookmarkStart w:id="65" w:name="_Toc199163094"/>
      <w:bookmarkStart w:id="66" w:name="_Toc26718931"/>
      <w:bookmarkStart w:id="67" w:name="_Toc207804342"/>
      <w:bookmarkStart w:id="68" w:name="_Toc209201137"/>
      <w:r>
        <w:rPr>
          <w:rFonts w:hint="eastAsia"/>
          <w:color w:val="auto"/>
          <w:highlight w:val="none"/>
        </w:rPr>
        <w:t>规范性引用文件</w:t>
      </w:r>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sdt>
      <w:sdtPr>
        <w:rPr>
          <w:rFonts w:hint="eastAsia"/>
          <w:color w:val="auto"/>
          <w:highlight w:val="none"/>
        </w:rPr>
        <w:id w:val="715848253"/>
        <w:placeholder>
          <w:docPart w:val="7AAA608838A1403FBEAB050E07FE4BAF"/>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color w:val="auto"/>
          <w:highlight w:val="none"/>
        </w:rPr>
      </w:sdtEndPr>
      <w:sdtContent>
        <w:p w14:paraId="098BB2F9">
          <w:pPr>
            <w:pStyle w:val="58"/>
            <w:ind w:firstLine="420"/>
            <w:rPr>
              <w:color w:val="auto"/>
              <w:highlight w:val="none"/>
            </w:rPr>
          </w:pPr>
          <w:r>
            <w:rPr>
              <w:rFonts w:hint="eastAsia"/>
              <w:color w:val="auto"/>
              <w:highlight w:val="none"/>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1AF91FF1">
      <w:pPr>
        <w:pStyle w:val="58"/>
        <w:ind w:firstLine="420"/>
        <w:rPr>
          <w:rFonts w:ascii="宋体"/>
          <w:color w:val="auto"/>
          <w:highlight w:val="none"/>
        </w:rPr>
      </w:pPr>
      <w:r>
        <w:rPr>
          <w:rFonts w:hint="eastAsia" w:ascii="宋体"/>
          <w:color w:val="auto"/>
          <w:highlight w:val="none"/>
        </w:rPr>
        <w:t>GB/T 2260 中华人民共和国行政区划代码</w:t>
      </w:r>
    </w:p>
    <w:p w14:paraId="732964BC">
      <w:pPr>
        <w:pStyle w:val="58"/>
        <w:ind w:firstLine="420"/>
        <w:rPr>
          <w:rFonts w:ascii="宋体"/>
          <w:color w:val="auto"/>
          <w:highlight w:val="none"/>
        </w:rPr>
      </w:pPr>
      <w:r>
        <w:rPr>
          <w:rFonts w:hint="eastAsia" w:ascii="宋体"/>
          <w:color w:val="auto"/>
          <w:highlight w:val="none"/>
        </w:rPr>
        <w:t>GB/T 7027 信息分类和编码的基本原则与方法</w:t>
      </w:r>
    </w:p>
    <w:p w14:paraId="463B345E">
      <w:pPr>
        <w:pStyle w:val="58"/>
        <w:ind w:firstLine="420"/>
        <w:rPr>
          <w:rFonts w:ascii="宋体"/>
          <w:color w:val="auto"/>
          <w:highlight w:val="none"/>
        </w:rPr>
      </w:pPr>
      <w:bookmarkStart w:id="69" w:name="OLE_LINK5"/>
      <w:r>
        <w:rPr>
          <w:rFonts w:hint="eastAsia" w:ascii="宋体"/>
          <w:color w:val="auto"/>
          <w:highlight w:val="none"/>
        </w:rPr>
        <w:t>GB/T 20001.3</w:t>
      </w:r>
      <w:bookmarkEnd w:id="69"/>
      <w:r>
        <w:rPr>
          <w:rFonts w:hint="eastAsia" w:ascii="宋体"/>
          <w:color w:val="auto"/>
          <w:highlight w:val="none"/>
        </w:rPr>
        <w:t xml:space="preserve"> 标准编写规则 第3部分：分类标准</w:t>
      </w:r>
    </w:p>
    <w:p w14:paraId="120940A3">
      <w:pPr>
        <w:pStyle w:val="58"/>
        <w:ind w:firstLine="420"/>
        <w:rPr>
          <w:rFonts w:ascii="宋体"/>
          <w:color w:val="auto"/>
          <w:highlight w:val="none"/>
        </w:rPr>
      </w:pPr>
      <w:bookmarkStart w:id="70" w:name="OLE_LINK1"/>
      <w:bookmarkStart w:id="71" w:name="OLE_LINK2"/>
      <w:r>
        <w:rPr>
          <w:rFonts w:hint="eastAsia" w:ascii="宋体"/>
          <w:color w:val="auto"/>
          <w:highlight w:val="none"/>
        </w:rPr>
        <w:t>GB/T 37346</w:t>
      </w:r>
      <w:bookmarkEnd w:id="70"/>
      <w:bookmarkEnd w:id="71"/>
      <w:r>
        <w:rPr>
          <w:rFonts w:hint="eastAsia" w:ascii="宋体"/>
          <w:color w:val="auto"/>
          <w:highlight w:val="none"/>
        </w:rPr>
        <w:t xml:space="preserve"> 不动产单元设定与代码编制规则</w:t>
      </w:r>
    </w:p>
    <w:p w14:paraId="6870FD35">
      <w:pPr>
        <w:pStyle w:val="106"/>
        <w:spacing w:before="312" w:after="312"/>
        <w:rPr>
          <w:color w:val="auto"/>
          <w:highlight w:val="none"/>
        </w:rPr>
      </w:pPr>
      <w:bookmarkStart w:id="72" w:name="_Toc207804343"/>
      <w:bookmarkStart w:id="73" w:name="_Toc201045344"/>
      <w:bookmarkStart w:id="74" w:name="_Toc201045330"/>
      <w:bookmarkStart w:id="75" w:name="_Toc199260530"/>
      <w:bookmarkStart w:id="76" w:name="_Toc199261111"/>
      <w:bookmarkStart w:id="77" w:name="_Toc199163095"/>
      <w:bookmarkStart w:id="78" w:name="_Toc97191425"/>
      <w:bookmarkStart w:id="79" w:name="_Toc201045353"/>
      <w:bookmarkStart w:id="80" w:name="_Toc209201138"/>
      <w:bookmarkStart w:id="81" w:name="_Toc199260544"/>
      <w:r>
        <w:rPr>
          <w:rFonts w:hint="eastAsia"/>
          <w:color w:val="auto"/>
          <w:szCs w:val="21"/>
          <w:highlight w:val="none"/>
        </w:rPr>
        <w:t>术语和定义</w:t>
      </w:r>
      <w:bookmarkEnd w:id="72"/>
      <w:bookmarkEnd w:id="73"/>
      <w:bookmarkEnd w:id="74"/>
      <w:bookmarkEnd w:id="75"/>
      <w:bookmarkEnd w:id="76"/>
      <w:bookmarkEnd w:id="77"/>
      <w:bookmarkEnd w:id="78"/>
      <w:bookmarkEnd w:id="79"/>
      <w:bookmarkEnd w:id="80"/>
      <w:bookmarkEnd w:id="81"/>
    </w:p>
    <w:sdt>
      <w:sdtPr>
        <w:rPr>
          <w:rFonts w:ascii="宋体"/>
          <w:color w:val="auto"/>
          <w:highlight w:val="none"/>
        </w:rPr>
        <w:id w:val="-1909835108"/>
        <w:placeholder>
          <w:docPart w:val="F56FE18E7B8C428BBB455F2871FBEA04"/>
        </w:placeholder>
        <w:comboBox>
          <w:listItem w:displayText="点击并选择适当的引导语" w:value="点击并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ascii="宋体"/>
          <w:color w:val="auto"/>
          <w:highlight w:val="none"/>
        </w:rPr>
      </w:sdtEndPr>
      <w:sdtContent>
        <w:p w14:paraId="2A51FA10">
          <w:pPr>
            <w:pStyle w:val="58"/>
            <w:ind w:firstLine="420"/>
            <w:rPr>
              <w:color w:val="auto"/>
              <w:highlight w:val="none"/>
            </w:rPr>
          </w:pPr>
          <w:bookmarkStart w:id="82" w:name="_Toc26986532"/>
          <w:bookmarkEnd w:id="82"/>
          <w:r>
            <w:rPr>
              <w:rFonts w:ascii="宋体"/>
              <w:color w:val="auto"/>
              <w:highlight w:val="none"/>
            </w:rPr>
            <w:t>GB/T 37346界定的以及下列术语和定义适用于本文件。</w:t>
          </w:r>
        </w:p>
      </w:sdtContent>
    </w:sdt>
    <w:p w14:paraId="6C0AFB83">
      <w:pPr>
        <w:pStyle w:val="107"/>
        <w:numPr>
          <w:ilvl w:val="0"/>
          <w:numId w:val="0"/>
        </w:numPr>
        <w:spacing w:before="0" w:beforeLines="0" w:after="0" w:afterLines="0"/>
        <w:rPr>
          <w:rFonts w:hint="eastAsia" w:hAnsi="黑体"/>
          <w:color w:val="auto"/>
          <w:highlight w:val="none"/>
        </w:rPr>
      </w:pPr>
      <w:r>
        <w:rPr>
          <w:color w:val="auto"/>
          <w:highlight w:val="none"/>
        </w:rPr>
        <w:t>3.1</w:t>
      </w:r>
      <w:r>
        <w:rPr>
          <w:color w:val="auto"/>
          <w:highlight w:val="none"/>
        </w:rPr>
        <w:br w:type="textWrapping"/>
      </w:r>
      <w:r>
        <w:rPr>
          <w:rFonts w:hint="eastAsia" w:hAnsi="黑体"/>
          <w:color w:val="auto"/>
          <w:highlight w:val="none"/>
        </w:rPr>
        <w:t xml:space="preserve">    </w:t>
      </w:r>
      <w:bookmarkStart w:id="83" w:name="OLE_LINK10"/>
      <w:bookmarkStart w:id="84" w:name="OLE_LINK11"/>
      <w:r>
        <w:rPr>
          <w:rFonts w:hint="eastAsia" w:hAnsi="黑体"/>
          <w:color w:val="auto"/>
          <w:highlight w:val="none"/>
        </w:rPr>
        <w:t>取水口</w:t>
      </w:r>
      <w:bookmarkEnd w:id="83"/>
      <w:bookmarkEnd w:id="84"/>
      <w:r>
        <w:rPr>
          <w:rFonts w:hint="eastAsia" w:hAnsi="黑体"/>
          <w:color w:val="auto"/>
          <w:highlight w:val="none"/>
        </w:rPr>
        <w:t xml:space="preserve"> water intake</w:t>
      </w:r>
    </w:p>
    <w:p w14:paraId="29A31A5B">
      <w:pPr>
        <w:pStyle w:val="225"/>
        <w:numPr>
          <w:ilvl w:val="0"/>
          <w:numId w:val="0"/>
        </w:numPr>
        <w:ind w:firstLine="420" w:firstLineChars="200"/>
        <w:rPr>
          <w:rFonts w:hAnsi="宋体"/>
          <w:color w:val="auto"/>
          <w:highlight w:val="none"/>
        </w:rPr>
      </w:pPr>
      <w:r>
        <w:rPr>
          <w:rFonts w:hint="eastAsia" w:hAnsi="宋体"/>
          <w:color w:val="auto"/>
          <w:highlight w:val="none"/>
        </w:rPr>
        <w:t>利用取水工程或者机械提水</w:t>
      </w:r>
      <w:r>
        <w:rPr>
          <w:rFonts w:hint="eastAsia" w:hAnsi="宋体"/>
          <w:color w:val="auto"/>
          <w:highlight w:val="none"/>
          <w:lang w:eastAsia="zh-CN"/>
        </w:rPr>
        <w:t>等</w:t>
      </w:r>
      <w:r>
        <w:rPr>
          <w:rFonts w:hint="eastAsia" w:hAnsi="宋体"/>
          <w:color w:val="auto"/>
          <w:highlight w:val="none"/>
        </w:rPr>
        <w:t>设施直接从地表或地下取水的引取水口。</w:t>
      </w:r>
    </w:p>
    <w:p w14:paraId="474E21AE">
      <w:pPr>
        <w:pStyle w:val="225"/>
        <w:numPr>
          <w:ilvl w:val="0"/>
          <w:numId w:val="0"/>
        </w:numPr>
        <w:rPr>
          <w:rFonts w:hint="eastAsia" w:ascii="黑体" w:hAnsi="黑体" w:eastAsia="黑体"/>
          <w:color w:val="auto"/>
          <w:highlight w:val="none"/>
        </w:rPr>
      </w:pPr>
      <w:r>
        <w:rPr>
          <w:rFonts w:hint="eastAsia" w:ascii="黑体" w:hAnsi="黑体" w:eastAsia="黑体"/>
          <w:color w:val="auto"/>
          <w:highlight w:val="none"/>
        </w:rPr>
        <w:t>3</w:t>
      </w:r>
      <w:r>
        <w:rPr>
          <w:rFonts w:ascii="黑体" w:hAnsi="黑体" w:eastAsia="黑体"/>
          <w:color w:val="auto"/>
          <w:highlight w:val="none"/>
        </w:rPr>
        <w:t>.2</w:t>
      </w:r>
    </w:p>
    <w:p w14:paraId="0F0026A1">
      <w:pPr>
        <w:pStyle w:val="225"/>
        <w:numPr>
          <w:ilvl w:val="2"/>
          <w:numId w:val="0"/>
        </w:numPr>
        <w:ind w:firstLine="420" w:firstLineChars="200"/>
        <w:rPr>
          <w:rFonts w:ascii="黑体" w:hAnsi="黑体" w:eastAsia="黑体"/>
          <w:color w:val="auto"/>
          <w:highlight w:val="none"/>
        </w:rPr>
      </w:pPr>
      <w:bookmarkStart w:id="85" w:name="OLE_LINK17"/>
      <w:bookmarkStart w:id="86" w:name="OLE_LINK18"/>
      <w:r>
        <w:rPr>
          <w:rFonts w:hint="eastAsia" w:ascii="黑体" w:hAnsi="黑体" w:eastAsia="黑体"/>
          <w:color w:val="auto"/>
          <w:highlight w:val="none"/>
        </w:rPr>
        <w:t>取水权</w:t>
      </w:r>
      <w:bookmarkEnd w:id="85"/>
      <w:bookmarkEnd w:id="86"/>
      <w:r>
        <w:rPr>
          <w:rFonts w:hint="eastAsia" w:ascii="黑体" w:hAnsi="黑体" w:eastAsia="黑体"/>
          <w:color w:val="auto"/>
          <w:highlight w:val="none"/>
        </w:rPr>
        <w:t xml:space="preserve"> water rights</w:t>
      </w:r>
    </w:p>
    <w:p w14:paraId="3FD0054E">
      <w:pPr>
        <w:pStyle w:val="58"/>
        <w:ind w:firstLine="420"/>
        <w:rPr>
          <w:rFonts w:hAnsi="宋体"/>
          <w:color w:val="auto"/>
          <w:highlight w:val="none"/>
        </w:rPr>
      </w:pPr>
      <w:r>
        <w:rPr>
          <w:rFonts w:hint="eastAsia" w:hAnsi="宋体"/>
          <w:color w:val="auto"/>
          <w:highlight w:val="none"/>
        </w:rPr>
        <w:t>利用取水工程或者设施直接从江河、湖泊或者地下取用水资源的权利。</w:t>
      </w:r>
    </w:p>
    <w:p w14:paraId="5CD5018D">
      <w:pPr>
        <w:pStyle w:val="225"/>
        <w:numPr>
          <w:ilvl w:val="0"/>
          <w:numId w:val="0"/>
        </w:numPr>
        <w:ind w:left="420" w:hanging="420" w:hangingChars="200"/>
        <w:rPr>
          <w:rFonts w:ascii="黑体" w:hAnsi="黑体" w:eastAsia="黑体"/>
          <w:color w:val="auto"/>
          <w:highlight w:val="none"/>
        </w:rPr>
      </w:pPr>
      <w:r>
        <w:rPr>
          <w:rFonts w:ascii="黑体" w:hAnsi="黑体" w:eastAsia="黑体"/>
          <w:color w:val="auto"/>
          <w:highlight w:val="none"/>
        </w:rPr>
        <w:t>3.3</w:t>
      </w:r>
      <w:r>
        <w:rPr>
          <w:rFonts w:ascii="黑体" w:hAnsi="黑体" w:eastAsia="黑体"/>
          <w:color w:val="auto"/>
          <w:highlight w:val="none"/>
        </w:rPr>
        <w:br w:type="textWrapping"/>
      </w:r>
      <w:r>
        <w:rPr>
          <w:rFonts w:hint="eastAsia" w:ascii="黑体" w:hAnsi="黑体" w:eastAsia="黑体"/>
          <w:color w:val="auto"/>
          <w:highlight w:val="none"/>
        </w:rPr>
        <w:t>取水权不动产单元</w:t>
      </w:r>
      <w:bookmarkStart w:id="87" w:name="OLE_LINK54"/>
      <w:r>
        <w:rPr>
          <w:rFonts w:ascii="黑体" w:hAnsi="黑体" w:eastAsia="黑体"/>
          <w:color w:val="auto"/>
          <w:highlight w:val="none"/>
        </w:rPr>
        <w:t>real property unit</w:t>
      </w:r>
      <w:bookmarkEnd w:id="87"/>
      <w:r>
        <w:rPr>
          <w:rFonts w:ascii="黑体" w:hAnsi="黑体" w:eastAsia="黑体"/>
          <w:color w:val="auto"/>
          <w:highlight w:val="none"/>
        </w:rPr>
        <w:t xml:space="preserve"> for </w:t>
      </w:r>
      <w:bookmarkStart w:id="88" w:name="OLE_LINK52"/>
      <w:bookmarkStart w:id="89" w:name="OLE_LINK53"/>
      <w:r>
        <w:rPr>
          <w:rFonts w:ascii="黑体" w:hAnsi="黑体" w:eastAsia="黑体"/>
          <w:color w:val="auto"/>
          <w:highlight w:val="none"/>
        </w:rPr>
        <w:t>water rights</w:t>
      </w:r>
      <w:bookmarkEnd w:id="88"/>
      <w:bookmarkEnd w:id="89"/>
    </w:p>
    <w:p w14:paraId="5A95DC17">
      <w:pPr>
        <w:pStyle w:val="58"/>
        <w:ind w:firstLine="420"/>
        <w:rPr>
          <w:rFonts w:hAnsi="宋体"/>
          <w:color w:val="auto"/>
          <w:highlight w:val="none"/>
        </w:rPr>
      </w:pPr>
      <w:r>
        <w:rPr>
          <w:rFonts w:hint="eastAsia"/>
          <w:color w:val="auto"/>
          <w:highlight w:val="none"/>
        </w:rPr>
        <w:t>取水权</w:t>
      </w:r>
      <w:r>
        <w:rPr>
          <w:rFonts w:hint="eastAsia" w:hAnsi="宋体"/>
          <w:color w:val="auto"/>
          <w:highlight w:val="none"/>
        </w:rPr>
        <w:t>不动产登记的基本单位，空间上表示为取水口的位置，用点几何图形表示。</w:t>
      </w:r>
    </w:p>
    <w:p w14:paraId="3C8EAD84">
      <w:pPr>
        <w:pStyle w:val="225"/>
        <w:numPr>
          <w:ilvl w:val="0"/>
          <w:numId w:val="0"/>
        </w:numPr>
        <w:ind w:left="420" w:hanging="420" w:hangingChars="200"/>
        <w:rPr>
          <w:rFonts w:ascii="黑体" w:hAnsi="黑体" w:eastAsia="黑体"/>
          <w:color w:val="auto"/>
          <w:highlight w:val="none"/>
        </w:rPr>
      </w:pPr>
      <w:r>
        <w:rPr>
          <w:rFonts w:ascii="黑体" w:hAnsi="黑体" w:eastAsia="黑体"/>
          <w:color w:val="auto"/>
          <w:highlight w:val="none"/>
        </w:rPr>
        <w:t>3.4</w:t>
      </w:r>
      <w:r>
        <w:rPr>
          <w:rFonts w:ascii="黑体" w:hAnsi="黑体" w:eastAsia="黑体"/>
          <w:color w:val="auto"/>
          <w:highlight w:val="none"/>
        </w:rPr>
        <w:br w:type="textWrapping"/>
      </w:r>
      <w:r>
        <w:rPr>
          <w:rFonts w:hint="eastAsia" w:ascii="黑体" w:hAnsi="黑体" w:eastAsia="黑体"/>
          <w:color w:val="auto"/>
          <w:highlight w:val="none"/>
        </w:rPr>
        <w:t>取水权不动产单元代码</w:t>
      </w:r>
      <w:r>
        <w:rPr>
          <w:rFonts w:ascii="黑体" w:hAnsi="黑体" w:eastAsia="黑体"/>
          <w:color w:val="auto"/>
          <w:highlight w:val="none"/>
        </w:rPr>
        <w:t>real property unit code for water rights</w:t>
      </w:r>
    </w:p>
    <w:p w14:paraId="4DA7C116">
      <w:pPr>
        <w:pStyle w:val="58"/>
        <w:ind w:firstLine="420"/>
        <w:rPr>
          <w:color w:val="auto"/>
          <w:highlight w:val="none"/>
        </w:rPr>
      </w:pPr>
      <w:r>
        <w:rPr>
          <w:rFonts w:hint="eastAsia"/>
          <w:color w:val="auto"/>
          <w:highlight w:val="none"/>
        </w:rPr>
        <w:t>按一定</w:t>
      </w:r>
      <w:r>
        <w:rPr>
          <w:rFonts w:hint="eastAsia" w:hAnsi="宋体"/>
          <w:color w:val="auto"/>
          <w:highlight w:val="none"/>
        </w:rPr>
        <w:t>的规则赋予取水权不动产单元的唯一和可识别的标识码，也可称为取水权不动产单元号。</w:t>
      </w:r>
    </w:p>
    <w:p w14:paraId="3AE9C058">
      <w:pPr>
        <w:pStyle w:val="106"/>
        <w:spacing w:before="312" w:after="312"/>
        <w:rPr>
          <w:color w:val="auto"/>
          <w:highlight w:val="none"/>
        </w:rPr>
      </w:pPr>
      <w:bookmarkStart w:id="90" w:name="_Toc209201139"/>
      <w:r>
        <w:rPr>
          <w:rFonts w:hint="eastAsia"/>
          <w:color w:val="auto"/>
          <w:highlight w:val="none"/>
        </w:rPr>
        <w:t>取水权不动产单元设定</w:t>
      </w:r>
      <w:bookmarkEnd w:id="90"/>
    </w:p>
    <w:p w14:paraId="75437022">
      <w:pPr>
        <w:pStyle w:val="58"/>
        <w:ind w:firstLine="420"/>
        <w:rPr>
          <w:color w:val="auto"/>
          <w:szCs w:val="21"/>
          <w:highlight w:val="none"/>
        </w:rPr>
      </w:pPr>
      <w:r>
        <w:rPr>
          <w:rFonts w:hint="eastAsia" w:ascii="宋体" w:hAnsi="宋体"/>
          <w:color w:val="auto"/>
          <w:highlight w:val="none"/>
        </w:rPr>
        <w:t>一个取水口宜设为一个取水权不动产单元。在地籍子区内，同一权利的多个取水口也可设为一个不动产单元。</w:t>
      </w:r>
    </w:p>
    <w:p w14:paraId="46C6E09D">
      <w:pPr>
        <w:pStyle w:val="106"/>
        <w:spacing w:before="312" w:after="312"/>
        <w:rPr>
          <w:color w:val="auto"/>
          <w:highlight w:val="none"/>
        </w:rPr>
      </w:pPr>
      <w:bookmarkStart w:id="91" w:name="_Toc207804345"/>
      <w:bookmarkStart w:id="92" w:name="_Toc199260546"/>
      <w:bookmarkStart w:id="93" w:name="_Toc199260532"/>
      <w:bookmarkStart w:id="94" w:name="_Toc201045346"/>
      <w:bookmarkStart w:id="95" w:name="_Toc199261113"/>
      <w:bookmarkStart w:id="96" w:name="_Toc209201140"/>
      <w:bookmarkStart w:id="97" w:name="_Toc201045355"/>
      <w:bookmarkStart w:id="98" w:name="_Toc201045332"/>
      <w:r>
        <w:rPr>
          <w:rFonts w:hint="eastAsia"/>
          <w:color w:val="auto"/>
          <w:highlight w:val="none"/>
        </w:rPr>
        <w:t>取水权不动产单元编码</w:t>
      </w:r>
      <w:bookmarkEnd w:id="91"/>
      <w:bookmarkEnd w:id="92"/>
      <w:bookmarkEnd w:id="93"/>
      <w:bookmarkEnd w:id="94"/>
      <w:bookmarkEnd w:id="95"/>
      <w:bookmarkEnd w:id="96"/>
      <w:bookmarkEnd w:id="97"/>
      <w:bookmarkEnd w:id="98"/>
    </w:p>
    <w:p w14:paraId="27FA92FA">
      <w:pPr>
        <w:pStyle w:val="107"/>
        <w:numPr>
          <w:ilvl w:val="0"/>
          <w:numId w:val="0"/>
        </w:numPr>
        <w:spacing w:before="156" w:after="156"/>
        <w:rPr>
          <w:color w:val="auto"/>
          <w:highlight w:val="none"/>
        </w:rPr>
      </w:pPr>
      <w:bookmarkStart w:id="99" w:name="_Toc201045333"/>
      <w:bookmarkStart w:id="100" w:name="_Toc199260533"/>
      <w:bookmarkStart w:id="101" w:name="_Toc199260547"/>
      <w:r>
        <w:rPr>
          <w:rFonts w:hint="eastAsia"/>
          <w:color w:val="auto"/>
          <w:highlight w:val="none"/>
        </w:rPr>
        <w:t>5</w:t>
      </w:r>
      <w:r>
        <w:rPr>
          <w:color w:val="auto"/>
          <w:highlight w:val="none"/>
        </w:rPr>
        <w:t>.1</w:t>
      </w:r>
      <w:r>
        <w:rPr>
          <w:rFonts w:hint="eastAsia"/>
          <w:color w:val="auto"/>
          <w:highlight w:val="none"/>
        </w:rPr>
        <w:t>代码结构</w:t>
      </w:r>
      <w:bookmarkEnd w:id="99"/>
      <w:bookmarkEnd w:id="100"/>
      <w:bookmarkEnd w:id="101"/>
    </w:p>
    <w:p w14:paraId="5AFBF70D">
      <w:pPr>
        <w:pStyle w:val="58"/>
        <w:ind w:firstLine="420"/>
        <w:rPr>
          <w:rFonts w:ascii="宋体" w:hAnsi="宋体"/>
          <w:color w:val="auto"/>
          <w:highlight w:val="none"/>
        </w:rPr>
      </w:pPr>
      <w:r>
        <w:rPr>
          <w:rFonts w:hint="eastAsia" w:ascii="宋体" w:hAnsi="宋体"/>
          <w:color w:val="auto"/>
          <w:highlight w:val="none"/>
        </w:rPr>
        <w:t>按照每个取水权不动产单元应具有唯一代码的基本要求，按照GB/T 7027规定的信息分类原则和方法，取水权不动产单元代码采用七层 28 位层次码结构，由取水权代码与定着物单元代码构成。具体如下：</w:t>
      </w:r>
    </w:p>
    <w:p w14:paraId="69E1F68D">
      <w:pPr>
        <w:pStyle w:val="176"/>
        <w:rPr>
          <w:color w:val="auto"/>
          <w:kern w:val="2"/>
          <w:szCs w:val="21"/>
          <w:highlight w:val="none"/>
        </w:rPr>
      </w:pPr>
      <w:r>
        <w:rPr>
          <w:rFonts w:hint="eastAsia"/>
          <w:color w:val="auto"/>
          <w:highlight w:val="none"/>
        </w:rPr>
        <w:t>取水权代码为五层 19 位层次码，按层次分别表示县级行政区划代码、地籍区代码、地籍子区代码、取水权特征码、取水权编号；其中：取水权特征码和取水权编号组成取水权号；</w:t>
      </w:r>
    </w:p>
    <w:p w14:paraId="12E054B5">
      <w:pPr>
        <w:pStyle w:val="176"/>
        <w:rPr>
          <w:rFonts w:hAnsi="宋体"/>
          <w:color w:val="auto"/>
          <w:highlight w:val="none"/>
        </w:rPr>
      </w:pPr>
      <w:r>
        <w:rPr>
          <w:rFonts w:hint="eastAsia" w:hAnsi="宋体"/>
          <w:color w:val="auto"/>
          <w:highlight w:val="none"/>
        </w:rPr>
        <w:t>定着物单元代码为二层 9 位层次码，按层次分别表示定着物特征码、定着物单元号；</w:t>
      </w:r>
    </w:p>
    <w:p w14:paraId="4094FDCD">
      <w:pPr>
        <w:pStyle w:val="176"/>
        <w:rPr>
          <w:rFonts w:hAnsi="宋体"/>
          <w:color w:val="auto"/>
          <w:highlight w:val="none"/>
        </w:rPr>
      </w:pPr>
      <w:r>
        <w:rPr>
          <w:rFonts w:hint="eastAsia" w:hAnsi="宋体"/>
          <w:color w:val="auto"/>
          <w:highlight w:val="none"/>
        </w:rPr>
        <w:t>取水权不动产单元代码结构如图1所示。</w:t>
      </w:r>
    </w:p>
    <w:p w14:paraId="2FDE919B">
      <w:pPr>
        <w:pStyle w:val="176"/>
        <w:numPr>
          <w:ilvl w:val="0"/>
          <w:numId w:val="0"/>
        </w:numPr>
        <w:rPr>
          <w:rFonts w:hAnsi="宋体"/>
          <w:color w:val="auto"/>
          <w:highlight w:val="none"/>
        </w:rPr>
      </w:pPr>
      <w:r>
        <w:rPr>
          <w:rFonts w:hAnsi="宋体"/>
          <w:color w:val="auto"/>
          <w:highlight w:val="none"/>
        </w:rPr>
        <w:drawing>
          <wp:inline distT="0" distB="0" distL="0" distR="0">
            <wp:extent cx="5939790" cy="2724785"/>
            <wp:effectExtent l="0" t="0" r="3810" b="0"/>
            <wp:docPr id="4" name="图片 4" descr="C:\Users\Lenovo\Desktop\取水权标准\0 2025取水权标准制定\1 起草环节（征求意见稿）\插图\20250919 取水权代码结构图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Lenovo\Desktop\取水权标准\0 2025取水权标准制定\1 起草环节（征求意见稿）\插图\20250919 取水权代码结构图_0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939790" cy="2725396"/>
                    </a:xfrm>
                    <a:prstGeom prst="rect">
                      <a:avLst/>
                    </a:prstGeom>
                    <a:noFill/>
                    <a:ln>
                      <a:noFill/>
                    </a:ln>
                  </pic:spPr>
                </pic:pic>
              </a:graphicData>
            </a:graphic>
          </wp:inline>
        </w:drawing>
      </w:r>
    </w:p>
    <w:p w14:paraId="71FD930A">
      <w:pPr>
        <w:pStyle w:val="116"/>
        <w:spacing w:before="156" w:after="156"/>
        <w:rPr>
          <w:color w:val="auto"/>
          <w:highlight w:val="none"/>
        </w:rPr>
      </w:pPr>
      <w:r>
        <w:rPr>
          <w:rFonts w:hint="eastAsia"/>
          <w:color w:val="auto"/>
          <w:highlight w:val="none"/>
        </w:rPr>
        <w:t>取水权不动产单元代码结构</w:t>
      </w:r>
    </w:p>
    <w:p w14:paraId="3C7E9899">
      <w:pPr>
        <w:pStyle w:val="107"/>
        <w:numPr>
          <w:ilvl w:val="0"/>
          <w:numId w:val="0"/>
        </w:numPr>
        <w:spacing w:before="156" w:after="156"/>
        <w:rPr>
          <w:color w:val="auto"/>
          <w:highlight w:val="none"/>
        </w:rPr>
      </w:pPr>
      <w:bookmarkStart w:id="102" w:name="_Toc201045334"/>
      <w:bookmarkStart w:id="103" w:name="_Toc199260548"/>
      <w:bookmarkStart w:id="104" w:name="_Toc199260534"/>
      <w:r>
        <w:rPr>
          <w:rFonts w:hint="eastAsia"/>
          <w:color w:val="auto"/>
          <w:highlight w:val="none"/>
        </w:rPr>
        <w:t>5</w:t>
      </w:r>
      <w:r>
        <w:rPr>
          <w:color w:val="auto"/>
          <w:highlight w:val="none"/>
        </w:rPr>
        <w:t>.2</w:t>
      </w:r>
      <w:r>
        <w:rPr>
          <w:rFonts w:hint="eastAsia"/>
          <w:color w:val="auto"/>
          <w:highlight w:val="none"/>
        </w:rPr>
        <w:t>编码方法</w:t>
      </w:r>
      <w:bookmarkEnd w:id="102"/>
      <w:bookmarkEnd w:id="103"/>
      <w:bookmarkEnd w:id="104"/>
    </w:p>
    <w:p w14:paraId="263D5866">
      <w:pPr>
        <w:pStyle w:val="58"/>
        <w:ind w:firstLine="420"/>
        <w:rPr>
          <w:color w:val="auto"/>
          <w:highlight w:val="none"/>
        </w:rPr>
      </w:pPr>
      <w:r>
        <w:rPr>
          <w:rFonts w:hint="eastAsia"/>
          <w:color w:val="auto"/>
          <w:highlight w:val="none"/>
        </w:rPr>
        <w:t>取水权不动产单元代码采用分层编码，具体如下：</w:t>
      </w:r>
    </w:p>
    <w:p w14:paraId="27A4AF18">
      <w:pPr>
        <w:pStyle w:val="176"/>
        <w:numPr>
          <w:ilvl w:val="0"/>
          <w:numId w:val="32"/>
        </w:numPr>
        <w:rPr>
          <w:color w:val="auto"/>
          <w:highlight w:val="none"/>
        </w:rPr>
      </w:pPr>
      <w:r>
        <w:rPr>
          <w:rFonts w:hint="eastAsia"/>
          <w:color w:val="auto"/>
          <w:highlight w:val="none"/>
        </w:rPr>
        <w:t>第一层次至第三层次编码按照GB/T 37346规定的编码方法编码；</w:t>
      </w:r>
    </w:p>
    <w:p w14:paraId="6E9996A3">
      <w:pPr>
        <w:pStyle w:val="176"/>
        <w:numPr>
          <w:ilvl w:val="0"/>
          <w:numId w:val="32"/>
        </w:numPr>
        <w:rPr>
          <w:color w:val="auto"/>
          <w:kern w:val="2"/>
          <w:szCs w:val="21"/>
          <w:highlight w:val="none"/>
        </w:rPr>
      </w:pPr>
      <w:r>
        <w:rPr>
          <w:rFonts w:hint="eastAsia" w:hAnsi="宋体"/>
          <w:color w:val="auto"/>
          <w:highlight w:val="none"/>
        </w:rPr>
        <w:t>第四层次为取水权特征码，码长为</w:t>
      </w:r>
      <w:r>
        <w:rPr>
          <w:rFonts w:hint="eastAsia" w:eastAsia="等线"/>
          <w:color w:val="auto"/>
          <w:highlight w:val="none"/>
        </w:rPr>
        <w:t>2</w:t>
      </w:r>
      <w:r>
        <w:rPr>
          <w:rFonts w:hint="eastAsia" w:hAnsi="宋体"/>
          <w:color w:val="auto"/>
          <w:highlight w:val="none"/>
        </w:rPr>
        <w:t>位。第</w:t>
      </w:r>
      <w:r>
        <w:rPr>
          <w:rFonts w:hint="eastAsia" w:eastAsia="等线"/>
          <w:color w:val="auto"/>
          <w:highlight w:val="none"/>
        </w:rPr>
        <w:t>1</w:t>
      </w:r>
      <w:r>
        <w:rPr>
          <w:rFonts w:hint="eastAsia" w:hAnsi="宋体"/>
          <w:color w:val="auto"/>
          <w:highlight w:val="none"/>
        </w:rPr>
        <w:t>位为水资源所有权代码，用“</w:t>
      </w:r>
      <w:r>
        <w:rPr>
          <w:rFonts w:hint="eastAsia" w:eastAsia="等线"/>
          <w:color w:val="auto"/>
          <w:highlight w:val="none"/>
        </w:rPr>
        <w:t>G</w:t>
      </w:r>
      <w:r>
        <w:rPr>
          <w:rFonts w:hint="eastAsia" w:hAnsi="宋体"/>
          <w:color w:val="auto"/>
          <w:highlight w:val="none"/>
        </w:rPr>
        <w:t>”表示；第</w:t>
      </w:r>
      <w:r>
        <w:rPr>
          <w:rFonts w:hint="eastAsia" w:eastAsia="等线"/>
          <w:color w:val="auto"/>
          <w:highlight w:val="none"/>
        </w:rPr>
        <w:t>2</w:t>
      </w:r>
      <w:r>
        <w:rPr>
          <w:rFonts w:hint="eastAsia" w:hAnsi="宋体"/>
          <w:color w:val="auto"/>
          <w:highlight w:val="none"/>
        </w:rPr>
        <w:t>位为取水权代码，用“</w:t>
      </w:r>
      <w:r>
        <w:rPr>
          <w:rFonts w:hint="eastAsia" w:eastAsia="等线"/>
          <w:color w:val="auto"/>
          <w:highlight w:val="none"/>
        </w:rPr>
        <w:t>Q</w:t>
      </w:r>
      <w:r>
        <w:rPr>
          <w:rFonts w:hint="eastAsia" w:hAnsi="宋体"/>
          <w:color w:val="auto"/>
          <w:highlight w:val="none"/>
        </w:rPr>
        <w:t>”表示；</w:t>
      </w:r>
    </w:p>
    <w:p w14:paraId="75AB51D7">
      <w:pPr>
        <w:pStyle w:val="176"/>
        <w:numPr>
          <w:ilvl w:val="0"/>
          <w:numId w:val="32"/>
        </w:numPr>
        <w:rPr>
          <w:color w:val="auto"/>
          <w:kern w:val="2"/>
          <w:szCs w:val="21"/>
          <w:highlight w:val="none"/>
        </w:rPr>
      </w:pPr>
      <w:r>
        <w:rPr>
          <w:rFonts w:hint="eastAsia" w:hAnsi="宋体"/>
          <w:color w:val="auto"/>
          <w:highlight w:val="none"/>
        </w:rPr>
        <w:t>第五层次取水权编号，在地籍子区范围内，统一使用“</w:t>
      </w:r>
      <w:r>
        <w:rPr>
          <w:rFonts w:hint="eastAsia" w:eastAsia="等线"/>
          <w:color w:val="auto"/>
          <w:highlight w:val="none"/>
        </w:rPr>
        <w:t>00001</w:t>
      </w:r>
      <w:r>
        <w:rPr>
          <w:rFonts w:hint="eastAsia" w:hAnsi="宋体"/>
          <w:color w:val="auto"/>
          <w:highlight w:val="none"/>
        </w:rPr>
        <w:t>”表示</w:t>
      </w:r>
    </w:p>
    <w:p w14:paraId="0994C994">
      <w:pPr>
        <w:pStyle w:val="176"/>
        <w:numPr>
          <w:ilvl w:val="0"/>
          <w:numId w:val="32"/>
        </w:numPr>
        <w:rPr>
          <w:color w:val="auto"/>
          <w:kern w:val="2"/>
          <w:szCs w:val="21"/>
          <w:highlight w:val="none"/>
        </w:rPr>
      </w:pPr>
      <w:bookmarkStart w:id="105" w:name="OLE_LINK3"/>
      <w:r>
        <w:rPr>
          <w:rFonts w:hint="eastAsia" w:hAnsi="宋体"/>
          <w:color w:val="auto"/>
          <w:highlight w:val="none"/>
        </w:rPr>
        <w:t>第六层为定着物特征码</w:t>
      </w:r>
      <w:bookmarkEnd w:id="105"/>
      <w:r>
        <w:rPr>
          <w:rFonts w:hint="eastAsia" w:hAnsi="宋体"/>
          <w:color w:val="auto"/>
          <w:highlight w:val="none"/>
        </w:rPr>
        <w:t>，码长为</w:t>
      </w:r>
      <w:r>
        <w:rPr>
          <w:rFonts w:hint="eastAsia" w:eastAsia="等线"/>
          <w:color w:val="auto"/>
          <w:highlight w:val="none"/>
        </w:rPr>
        <w:t>1</w:t>
      </w:r>
      <w:r>
        <w:rPr>
          <w:rFonts w:hint="eastAsia" w:hAnsi="宋体"/>
          <w:color w:val="auto"/>
          <w:highlight w:val="none"/>
        </w:rPr>
        <w:t>位，用“</w:t>
      </w:r>
      <w:r>
        <w:rPr>
          <w:rFonts w:hint="eastAsia" w:eastAsia="等线"/>
          <w:color w:val="auto"/>
          <w:highlight w:val="none"/>
        </w:rPr>
        <w:t>Q</w:t>
      </w:r>
      <w:r>
        <w:rPr>
          <w:rFonts w:hint="eastAsia" w:hAnsi="宋体"/>
          <w:color w:val="auto"/>
          <w:highlight w:val="none"/>
        </w:rPr>
        <w:t>”</w:t>
      </w:r>
      <w:bookmarkStart w:id="106" w:name="OLE_LINK8"/>
      <w:bookmarkStart w:id="107" w:name="OLE_LINK9"/>
      <w:r>
        <w:rPr>
          <w:rFonts w:hint="eastAsia" w:hAnsi="宋体"/>
          <w:color w:val="auto"/>
          <w:highlight w:val="none"/>
        </w:rPr>
        <w:t>表示取水口；</w:t>
      </w:r>
    </w:p>
    <w:bookmarkEnd w:id="106"/>
    <w:bookmarkEnd w:id="107"/>
    <w:p w14:paraId="2CE5A6E1">
      <w:pPr>
        <w:pStyle w:val="176"/>
        <w:numPr>
          <w:ilvl w:val="0"/>
          <w:numId w:val="32"/>
        </w:numPr>
        <w:rPr>
          <w:color w:val="auto"/>
          <w:szCs w:val="21"/>
          <w:highlight w:val="none"/>
        </w:rPr>
      </w:pPr>
      <w:r>
        <w:rPr>
          <w:rFonts w:hint="eastAsia" w:hAnsi="宋体"/>
          <w:color w:val="auto"/>
          <w:highlight w:val="none"/>
        </w:rPr>
        <w:t>第七层为定着物单元号，码长为8位，表示取水口编号，在地籍子区内应具有唯一编号，</w:t>
      </w:r>
      <w:bookmarkStart w:id="108" w:name="OLE_LINK29"/>
      <w:bookmarkStart w:id="109" w:name="OLE_LINK28"/>
      <w:r>
        <w:rPr>
          <w:rFonts w:hint="eastAsia" w:hAnsi="宋体"/>
          <w:color w:val="auto"/>
          <w:highlight w:val="none"/>
        </w:rPr>
        <w:t>码值为00000001～99999999</w:t>
      </w:r>
      <w:bookmarkEnd w:id="108"/>
      <w:bookmarkEnd w:id="109"/>
      <w:r>
        <w:rPr>
          <w:rFonts w:hint="eastAsia" w:hAnsi="宋体"/>
          <w:color w:val="auto"/>
          <w:highlight w:val="none"/>
        </w:rPr>
        <w:t>。在地籍子区内，</w:t>
      </w:r>
      <w:bookmarkStart w:id="110" w:name="OLE_LINK31"/>
      <w:bookmarkStart w:id="111" w:name="OLE_LINK30"/>
      <w:r>
        <w:rPr>
          <w:rFonts w:hint="eastAsia" w:hAnsi="宋体"/>
          <w:color w:val="auto"/>
          <w:highlight w:val="none"/>
        </w:rPr>
        <w:t>同一权利的多个取水口定着物单元号前4位可用“9999”表示，后4位首次编码使用“0001”表示。</w:t>
      </w:r>
    </w:p>
    <w:bookmarkEnd w:id="110"/>
    <w:bookmarkEnd w:id="111"/>
    <w:p w14:paraId="14DDC5E3">
      <w:pPr>
        <w:pStyle w:val="107"/>
        <w:numPr>
          <w:ilvl w:val="0"/>
          <w:numId w:val="0"/>
        </w:numPr>
        <w:spacing w:before="156" w:after="156"/>
        <w:rPr>
          <w:color w:val="auto"/>
          <w:highlight w:val="none"/>
        </w:rPr>
      </w:pPr>
      <w:bookmarkStart w:id="112" w:name="_Toc201045335"/>
      <w:bookmarkStart w:id="113" w:name="_Toc199260535"/>
      <w:bookmarkStart w:id="114" w:name="_Toc199260549"/>
      <w:r>
        <w:rPr>
          <w:rFonts w:hint="eastAsia"/>
          <w:color w:val="auto"/>
          <w:highlight w:val="none"/>
        </w:rPr>
        <w:t>5</w:t>
      </w:r>
      <w:r>
        <w:rPr>
          <w:color w:val="auto"/>
          <w:highlight w:val="none"/>
        </w:rPr>
        <w:t>.3</w:t>
      </w:r>
      <w:r>
        <w:rPr>
          <w:rFonts w:hint="eastAsia"/>
          <w:color w:val="auto"/>
          <w:highlight w:val="none"/>
        </w:rPr>
        <w:t>代码表示方法</w:t>
      </w:r>
      <w:bookmarkEnd w:id="112"/>
      <w:bookmarkEnd w:id="113"/>
      <w:bookmarkEnd w:id="114"/>
    </w:p>
    <w:p w14:paraId="6224B780">
      <w:pPr>
        <w:pStyle w:val="58"/>
        <w:ind w:firstLine="420"/>
        <w:rPr>
          <w:rFonts w:ascii="宋体" w:hAnsi="宋体"/>
          <w:color w:val="auto"/>
          <w:highlight w:val="none"/>
        </w:rPr>
      </w:pPr>
      <w:r>
        <w:rPr>
          <w:rFonts w:hint="eastAsia" w:ascii="宋体" w:hAnsi="宋体"/>
          <w:color w:val="auto"/>
          <w:highlight w:val="none"/>
        </w:rPr>
        <w:t>取水权不动产单元代码采用分段表示（见图2），具体如下：</w:t>
      </w:r>
    </w:p>
    <w:p w14:paraId="5014DD70">
      <w:pPr>
        <w:pStyle w:val="176"/>
        <w:numPr>
          <w:ilvl w:val="0"/>
          <w:numId w:val="33"/>
        </w:numPr>
        <w:rPr>
          <w:color w:val="auto"/>
          <w:highlight w:val="none"/>
        </w:rPr>
      </w:pPr>
      <w:r>
        <w:rPr>
          <w:rFonts w:hint="eastAsia"/>
          <w:color w:val="auto"/>
          <w:highlight w:val="none"/>
        </w:rPr>
        <w:t>第一段表示县级行政区划代码；</w:t>
      </w:r>
      <w:r>
        <w:rPr>
          <w:color w:val="auto"/>
          <w:highlight w:val="none"/>
        </w:rPr>
        <w:t xml:space="preserve"> </w:t>
      </w:r>
    </w:p>
    <w:p w14:paraId="0CA3C0CD">
      <w:pPr>
        <w:pStyle w:val="176"/>
        <w:numPr>
          <w:ilvl w:val="0"/>
          <w:numId w:val="33"/>
        </w:numPr>
        <w:rPr>
          <w:color w:val="auto"/>
          <w:highlight w:val="none"/>
        </w:rPr>
      </w:pPr>
      <w:r>
        <w:rPr>
          <w:rFonts w:hint="eastAsia"/>
          <w:color w:val="auto"/>
          <w:highlight w:val="none"/>
        </w:rPr>
        <w:t>第二段表示地籍区代码与地籍子区代码；</w:t>
      </w:r>
    </w:p>
    <w:p w14:paraId="51E65A52">
      <w:pPr>
        <w:pStyle w:val="176"/>
        <w:numPr>
          <w:ilvl w:val="0"/>
          <w:numId w:val="33"/>
        </w:numPr>
        <w:rPr>
          <w:color w:val="auto"/>
          <w:highlight w:val="none"/>
        </w:rPr>
      </w:pPr>
      <w:r>
        <w:rPr>
          <w:rFonts w:hint="eastAsia"/>
          <w:color w:val="auto"/>
          <w:highlight w:val="none"/>
        </w:rPr>
        <w:t>第三段表示</w:t>
      </w:r>
      <w:bookmarkStart w:id="115" w:name="OLE_LINK21"/>
      <w:bookmarkStart w:id="116" w:name="OLE_LINK20"/>
      <w:r>
        <w:rPr>
          <w:rFonts w:hint="eastAsia"/>
          <w:color w:val="auto"/>
          <w:highlight w:val="none"/>
        </w:rPr>
        <w:t>取水权</w:t>
      </w:r>
      <w:bookmarkEnd w:id="115"/>
      <w:bookmarkEnd w:id="116"/>
      <w:r>
        <w:rPr>
          <w:rFonts w:hint="eastAsia"/>
          <w:color w:val="auto"/>
          <w:highlight w:val="none"/>
        </w:rPr>
        <w:t>号，由取水权特征码和取水权编号共同组成；</w:t>
      </w:r>
    </w:p>
    <w:p w14:paraId="4C31D70A">
      <w:pPr>
        <w:pStyle w:val="176"/>
        <w:numPr>
          <w:ilvl w:val="0"/>
          <w:numId w:val="33"/>
        </w:numPr>
        <w:rPr>
          <w:color w:val="auto"/>
          <w:highlight w:val="none"/>
        </w:rPr>
      </w:pPr>
      <w:r>
        <w:rPr>
          <w:rFonts w:hint="eastAsia"/>
          <w:color w:val="auto"/>
          <w:highlight w:val="none"/>
        </w:rPr>
        <w:t>第四段表示定着物单元代码，由定着物特征码与定着物单元号共同组成；</w:t>
      </w:r>
    </w:p>
    <w:p w14:paraId="6D3FB6DE">
      <w:pPr>
        <w:pStyle w:val="176"/>
        <w:numPr>
          <w:ilvl w:val="0"/>
          <w:numId w:val="33"/>
        </w:numPr>
        <w:rPr>
          <w:color w:val="auto"/>
          <w:highlight w:val="none"/>
        </w:rPr>
      </w:pPr>
      <w:r>
        <w:rPr>
          <w:rFonts w:hint="eastAsia"/>
          <w:color w:val="auto"/>
          <w:highlight w:val="none"/>
        </w:rPr>
        <w:t>取水权不动产单元代码在表示时，段与段之间应用全角字符“空格”进行分隔，“空格”不占用取水权不动产单元代码的位数。</w:t>
      </w:r>
    </w:p>
    <w:p w14:paraId="77906221">
      <w:pPr>
        <w:pStyle w:val="176"/>
        <w:numPr>
          <w:ilvl w:val="0"/>
          <w:numId w:val="0"/>
        </w:numPr>
        <w:jc w:val="center"/>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5436235" cy="1805305"/>
            <wp:effectExtent l="0" t="0" r="12065" b="4445"/>
            <wp:docPr id="1" name="图片 1" descr="20250919 取水权代码分段示意图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50919 取水权代码分段示意图_01"/>
                    <pic:cNvPicPr>
                      <a:picLocks noChangeAspect="1"/>
                    </pic:cNvPicPr>
                  </pic:nvPicPr>
                  <pic:blipFill>
                    <a:blip r:embed="rId17"/>
                    <a:stretch>
                      <a:fillRect/>
                    </a:stretch>
                  </pic:blipFill>
                  <pic:spPr>
                    <a:xfrm>
                      <a:off x="0" y="0"/>
                      <a:ext cx="5436235" cy="1805305"/>
                    </a:xfrm>
                    <a:prstGeom prst="rect">
                      <a:avLst/>
                    </a:prstGeom>
                  </pic:spPr>
                </pic:pic>
              </a:graphicData>
            </a:graphic>
          </wp:inline>
        </w:drawing>
      </w:r>
    </w:p>
    <w:p w14:paraId="3EC7076A">
      <w:pPr>
        <w:pStyle w:val="116"/>
        <w:spacing w:before="156" w:after="156"/>
        <w:rPr>
          <w:color w:val="auto"/>
          <w:highlight w:val="none"/>
        </w:rPr>
      </w:pPr>
      <w:r>
        <w:rPr>
          <w:rFonts w:hint="eastAsia"/>
          <w:color w:val="auto"/>
          <w:highlight w:val="none"/>
        </w:rPr>
        <w:t>取水权不动产单元代码分段示意图</w:t>
      </w:r>
    </w:p>
    <w:p w14:paraId="793CBD24">
      <w:pPr>
        <w:pStyle w:val="106"/>
        <w:spacing w:before="312" w:after="312"/>
        <w:rPr>
          <w:color w:val="auto"/>
          <w:highlight w:val="none"/>
        </w:rPr>
      </w:pPr>
      <w:bookmarkStart w:id="117" w:name="_Toc199261114"/>
      <w:bookmarkStart w:id="118" w:name="_Toc199260536"/>
      <w:bookmarkStart w:id="119" w:name="_Toc201045356"/>
      <w:bookmarkStart w:id="120" w:name="_Toc201045347"/>
      <w:bookmarkStart w:id="121" w:name="_Toc199260550"/>
      <w:bookmarkStart w:id="122" w:name="_Toc209201141"/>
      <w:bookmarkStart w:id="123" w:name="_Toc207804346"/>
      <w:bookmarkStart w:id="124" w:name="_Toc201045336"/>
      <w:r>
        <w:rPr>
          <w:rFonts w:hint="eastAsia"/>
          <w:color w:val="auto"/>
          <w:highlight w:val="none"/>
        </w:rPr>
        <w:t>取水权不动产单元代码变更</w:t>
      </w:r>
      <w:bookmarkEnd w:id="117"/>
      <w:bookmarkEnd w:id="118"/>
      <w:bookmarkEnd w:id="119"/>
      <w:bookmarkEnd w:id="120"/>
      <w:bookmarkEnd w:id="121"/>
      <w:bookmarkEnd w:id="122"/>
      <w:bookmarkEnd w:id="123"/>
      <w:bookmarkEnd w:id="124"/>
    </w:p>
    <w:p w14:paraId="601B1479">
      <w:pPr>
        <w:pStyle w:val="107"/>
        <w:numPr>
          <w:ilvl w:val="0"/>
          <w:numId w:val="0"/>
        </w:numPr>
        <w:spacing w:before="156" w:after="156"/>
        <w:rPr>
          <w:color w:val="auto"/>
          <w:highlight w:val="none"/>
        </w:rPr>
      </w:pPr>
      <w:r>
        <w:rPr>
          <w:rFonts w:hint="eastAsia"/>
          <w:color w:val="auto"/>
          <w:highlight w:val="none"/>
        </w:rPr>
        <w:t>6</w:t>
      </w:r>
      <w:r>
        <w:rPr>
          <w:color w:val="auto"/>
          <w:highlight w:val="none"/>
        </w:rPr>
        <w:t>.1</w:t>
      </w:r>
      <w:r>
        <w:rPr>
          <w:rFonts w:hint="eastAsia"/>
          <w:color w:val="auto"/>
          <w:highlight w:val="none"/>
        </w:rPr>
        <w:t>县级行政区划代码、地籍区（地籍子区）代码变更</w:t>
      </w:r>
    </w:p>
    <w:p w14:paraId="6E82319E">
      <w:pPr>
        <w:pStyle w:val="58"/>
        <w:ind w:firstLine="420"/>
        <w:rPr>
          <w:rFonts w:ascii="宋体" w:hAnsi="宋体"/>
          <w:color w:val="auto"/>
          <w:highlight w:val="none"/>
        </w:rPr>
      </w:pPr>
      <w:r>
        <w:rPr>
          <w:rFonts w:hint="eastAsia" w:ascii="宋体" w:hAnsi="宋体"/>
          <w:color w:val="auto"/>
          <w:highlight w:val="none"/>
        </w:rPr>
        <w:t>县级行政区划代码、地籍区（地籍子区）代码按照GB/T 37346</w:t>
      </w:r>
      <w:r>
        <w:rPr>
          <w:rFonts w:hint="eastAsia" w:ascii="宋体" w:hAnsi="宋体"/>
          <w:color w:val="auto"/>
          <w:highlight w:val="none"/>
          <w:lang w:val="en-US" w:eastAsia="zh-CN"/>
        </w:rPr>
        <w:t>的</w:t>
      </w:r>
      <w:r>
        <w:rPr>
          <w:rFonts w:hint="eastAsia" w:ascii="宋体" w:hAnsi="宋体"/>
          <w:color w:val="auto"/>
          <w:highlight w:val="none"/>
        </w:rPr>
        <w:t>规定变更。</w:t>
      </w:r>
    </w:p>
    <w:p w14:paraId="1DB32B94">
      <w:pPr>
        <w:pStyle w:val="107"/>
        <w:numPr>
          <w:ilvl w:val="0"/>
          <w:numId w:val="0"/>
        </w:numPr>
        <w:spacing w:before="156" w:after="156"/>
        <w:rPr>
          <w:color w:val="auto"/>
          <w:highlight w:val="none"/>
        </w:rPr>
      </w:pPr>
      <w:r>
        <w:rPr>
          <w:rFonts w:hint="eastAsia"/>
          <w:color w:val="auto"/>
          <w:highlight w:val="none"/>
        </w:rPr>
        <w:t>6</w:t>
      </w:r>
      <w:r>
        <w:rPr>
          <w:color w:val="auto"/>
          <w:highlight w:val="none"/>
        </w:rPr>
        <w:t>.2</w:t>
      </w:r>
      <w:r>
        <w:rPr>
          <w:rFonts w:hint="eastAsia"/>
          <w:color w:val="auto"/>
          <w:highlight w:val="none"/>
        </w:rPr>
        <w:t>定着物单元代码变更</w:t>
      </w:r>
    </w:p>
    <w:p w14:paraId="3C06EE84">
      <w:pPr>
        <w:pStyle w:val="58"/>
        <w:ind w:firstLine="420"/>
        <w:rPr>
          <w:rFonts w:ascii="宋体" w:hAnsi="宋体"/>
          <w:color w:val="auto"/>
          <w:highlight w:val="none"/>
        </w:rPr>
      </w:pPr>
      <w:r>
        <w:rPr>
          <w:rFonts w:hint="eastAsia" w:ascii="宋体" w:hAnsi="宋体"/>
          <w:color w:val="auto"/>
          <w:highlight w:val="none"/>
        </w:rPr>
        <w:t>定着物单元代码变更规则如下：</w:t>
      </w:r>
    </w:p>
    <w:p w14:paraId="553AE67A">
      <w:pPr>
        <w:pStyle w:val="176"/>
        <w:numPr>
          <w:ilvl w:val="0"/>
          <w:numId w:val="34"/>
        </w:numPr>
        <w:rPr>
          <w:color w:val="auto"/>
          <w:highlight w:val="none"/>
        </w:rPr>
      </w:pPr>
      <w:r>
        <w:rPr>
          <w:rFonts w:hint="eastAsia"/>
          <w:color w:val="auto"/>
          <w:highlight w:val="none"/>
        </w:rPr>
        <w:t>取水权变更、转移、抵押、查封等未涉及取水口位置发生变化的，取水权不动产单元代码不变；</w:t>
      </w:r>
    </w:p>
    <w:p w14:paraId="338A6838">
      <w:pPr>
        <w:pStyle w:val="176"/>
        <w:numPr>
          <w:ilvl w:val="0"/>
          <w:numId w:val="34"/>
        </w:numPr>
        <w:spacing w:before="100" w:beforeAutospacing="1" w:after="100" w:afterAutospacing="1"/>
        <w:rPr>
          <w:color w:val="auto"/>
          <w:szCs w:val="21"/>
          <w:highlight w:val="none"/>
        </w:rPr>
      </w:pPr>
      <w:r>
        <w:rPr>
          <w:rFonts w:hint="eastAsia"/>
          <w:color w:val="auto"/>
          <w:highlight w:val="none"/>
        </w:rPr>
        <w:t>取水权变更、转移、抵押、查封等涉及取水口位置发生变化的，</w:t>
      </w:r>
      <w:bookmarkStart w:id="125" w:name="OLE_LINK39"/>
      <w:bookmarkStart w:id="126" w:name="OLE_LINK38"/>
      <w:r>
        <w:rPr>
          <w:rFonts w:hint="eastAsia"/>
          <w:color w:val="auto"/>
          <w:highlight w:val="none"/>
        </w:rPr>
        <w:t>取水口编号</w:t>
      </w:r>
      <w:bookmarkEnd w:id="125"/>
      <w:bookmarkEnd w:id="126"/>
      <w:r>
        <w:rPr>
          <w:rFonts w:hint="eastAsia"/>
          <w:color w:val="auto"/>
          <w:highlight w:val="none"/>
        </w:rPr>
        <w:t>在地籍子区内最大取水口编号后续编，形成新的取水权不动产单元代码，原</w:t>
      </w:r>
      <w:bookmarkStart w:id="127" w:name="OLE_LINK36"/>
      <w:bookmarkStart w:id="128" w:name="OLE_LINK37"/>
      <w:r>
        <w:rPr>
          <w:rFonts w:hint="eastAsia"/>
          <w:color w:val="auto"/>
          <w:highlight w:val="none"/>
        </w:rPr>
        <w:t>取水权不动产单元代码</w:t>
      </w:r>
      <w:bookmarkEnd w:id="127"/>
      <w:bookmarkEnd w:id="128"/>
      <w:r>
        <w:rPr>
          <w:rFonts w:hint="eastAsia"/>
          <w:color w:val="auto"/>
          <w:highlight w:val="none"/>
        </w:rPr>
        <w:t>不再使用；</w:t>
      </w:r>
    </w:p>
    <w:p w14:paraId="0ABD06BF">
      <w:pPr>
        <w:pStyle w:val="176"/>
        <w:numPr>
          <w:ilvl w:val="0"/>
          <w:numId w:val="34"/>
        </w:numPr>
        <w:spacing w:before="100" w:beforeAutospacing="1" w:after="100" w:afterAutospacing="1"/>
        <w:rPr>
          <w:color w:val="auto"/>
          <w:szCs w:val="21"/>
          <w:highlight w:val="none"/>
        </w:rPr>
      </w:pPr>
      <w:r>
        <w:rPr>
          <w:rFonts w:hint="eastAsia" w:hAnsi="宋体"/>
          <w:color w:val="auto"/>
          <w:highlight w:val="none"/>
        </w:rPr>
        <w:t>地籍子区内新增取水权的，取水口编号在地籍子区内最大取水口编号后续编，形成新的取水权不动产单元代码。</w:t>
      </w:r>
    </w:p>
    <w:p w14:paraId="1E1F8B1B">
      <w:pPr>
        <w:pStyle w:val="107"/>
        <w:numPr>
          <w:ilvl w:val="0"/>
          <w:numId w:val="0"/>
        </w:numPr>
        <w:spacing w:before="156" w:after="156"/>
        <w:rPr>
          <w:color w:val="auto"/>
          <w:highlight w:val="none"/>
        </w:rPr>
      </w:pPr>
      <w:r>
        <w:rPr>
          <w:rFonts w:hint="eastAsia"/>
          <w:color w:val="auto"/>
          <w:highlight w:val="none"/>
        </w:rPr>
        <w:t>6</w:t>
      </w:r>
      <w:r>
        <w:rPr>
          <w:color w:val="auto"/>
          <w:highlight w:val="none"/>
        </w:rPr>
        <w:t>.3</w:t>
      </w:r>
      <w:r>
        <w:rPr>
          <w:rFonts w:hint="eastAsia"/>
          <w:color w:val="auto"/>
          <w:highlight w:val="none"/>
        </w:rPr>
        <w:t>取水口灭失</w:t>
      </w:r>
    </w:p>
    <w:p w14:paraId="5CDDEE5B">
      <w:pPr>
        <w:pStyle w:val="58"/>
        <w:ind w:firstLine="420"/>
        <w:rPr>
          <w:color w:val="auto"/>
          <w:highlight w:val="none"/>
        </w:rPr>
      </w:pPr>
      <w:r>
        <w:rPr>
          <w:rFonts w:hint="eastAsia"/>
          <w:color w:val="auto"/>
          <w:highlight w:val="none"/>
        </w:rPr>
        <w:t>取水口灭失，原有的取水权不动产单元代码不再使用。</w:t>
      </w:r>
    </w:p>
    <w:p w14:paraId="5AD37E75">
      <w:pPr>
        <w:pStyle w:val="106"/>
        <w:numPr>
          <w:ilvl w:val="0"/>
          <w:numId w:val="0"/>
        </w:numPr>
        <w:spacing w:before="312" w:after="312"/>
        <w:rPr>
          <w:color w:val="auto"/>
          <w:highlight w:val="none"/>
        </w:rPr>
      </w:pPr>
      <w:bookmarkStart w:id="129" w:name="_Toc207804347"/>
      <w:bookmarkStart w:id="130" w:name="_Toc201045348"/>
      <w:bookmarkStart w:id="131" w:name="_Toc199260539"/>
      <w:bookmarkStart w:id="132" w:name="_Toc199261115"/>
      <w:bookmarkStart w:id="133" w:name="_Toc199260553"/>
      <w:bookmarkStart w:id="134" w:name="_Toc201045357"/>
      <w:bookmarkStart w:id="135" w:name="_Toc201045339"/>
      <w:bookmarkStart w:id="136" w:name="_Toc209201142"/>
      <w:r>
        <w:rPr>
          <w:color w:val="auto"/>
          <w:highlight w:val="none"/>
        </w:rPr>
        <w:t>7</w:t>
      </w:r>
      <w:r>
        <w:rPr>
          <w:rFonts w:hint="eastAsia"/>
          <w:color w:val="auto"/>
          <w:highlight w:val="none"/>
        </w:rPr>
        <w:t>　代码表</w:t>
      </w:r>
      <w:bookmarkEnd w:id="129"/>
      <w:bookmarkEnd w:id="130"/>
      <w:bookmarkEnd w:id="131"/>
      <w:bookmarkEnd w:id="132"/>
      <w:bookmarkEnd w:id="133"/>
      <w:bookmarkEnd w:id="134"/>
      <w:bookmarkEnd w:id="135"/>
      <w:bookmarkEnd w:id="136"/>
    </w:p>
    <w:p w14:paraId="54826F5D">
      <w:pPr>
        <w:pStyle w:val="58"/>
        <w:ind w:firstLine="420"/>
        <w:rPr>
          <w:rFonts w:ascii="宋体" w:hAnsi="宋体"/>
          <w:color w:val="auto"/>
          <w:highlight w:val="none"/>
        </w:rPr>
      </w:pPr>
      <w:r>
        <w:rPr>
          <w:rFonts w:hint="eastAsia" w:ascii="宋体" w:hAnsi="宋体"/>
          <w:color w:val="auto"/>
          <w:highlight w:val="none"/>
        </w:rPr>
        <w:t>为使取水权不动产单元代码标准文本格式整齐统一，按照 GB/T 20001.3 规定，取水权不动产单元代码标准文本格式见表</w:t>
      </w:r>
      <w:r>
        <w:rPr>
          <w:rFonts w:ascii="宋体" w:hAnsi="宋体"/>
          <w:color w:val="auto"/>
          <w:highlight w:val="none"/>
        </w:rPr>
        <w:t>1</w:t>
      </w:r>
      <w:r>
        <w:rPr>
          <w:rFonts w:hint="eastAsia" w:ascii="宋体" w:hAnsi="宋体"/>
          <w:color w:val="auto"/>
          <w:highlight w:val="none"/>
        </w:rPr>
        <w:t>。</w:t>
      </w:r>
    </w:p>
    <w:p w14:paraId="4FD225DE">
      <w:pPr>
        <w:pStyle w:val="58"/>
        <w:ind w:firstLine="420"/>
        <w:rPr>
          <w:rFonts w:ascii="宋体" w:hAnsi="宋体"/>
          <w:color w:val="auto"/>
          <w:highlight w:val="none"/>
        </w:rPr>
      </w:pPr>
    </w:p>
    <w:p w14:paraId="4DD9EE69">
      <w:pPr>
        <w:pStyle w:val="58"/>
        <w:ind w:firstLine="420"/>
        <w:rPr>
          <w:rFonts w:ascii="宋体" w:hAnsi="宋体"/>
          <w:color w:val="auto"/>
          <w:highlight w:val="none"/>
        </w:rPr>
      </w:pPr>
    </w:p>
    <w:p w14:paraId="47C471C4">
      <w:pPr>
        <w:pStyle w:val="58"/>
        <w:ind w:firstLine="420"/>
        <w:rPr>
          <w:rFonts w:ascii="宋体" w:hAnsi="宋体"/>
          <w:color w:val="auto"/>
          <w:highlight w:val="none"/>
        </w:rPr>
      </w:pPr>
    </w:p>
    <w:p w14:paraId="1A17BA74">
      <w:pPr>
        <w:pStyle w:val="58"/>
        <w:ind w:firstLine="420"/>
        <w:rPr>
          <w:rFonts w:ascii="宋体" w:hAnsi="宋体"/>
          <w:color w:val="auto"/>
          <w:highlight w:val="none"/>
        </w:rPr>
      </w:pPr>
    </w:p>
    <w:p w14:paraId="30169CA1">
      <w:pPr>
        <w:pStyle w:val="58"/>
        <w:ind w:firstLine="420"/>
        <w:rPr>
          <w:rFonts w:ascii="宋体" w:hAnsi="宋体"/>
          <w:color w:val="auto"/>
          <w:highlight w:val="none"/>
        </w:rPr>
      </w:pPr>
      <w:bookmarkStart w:id="152" w:name="_GoBack"/>
      <w:bookmarkEnd w:id="152"/>
    </w:p>
    <w:p w14:paraId="47F77980">
      <w:pPr>
        <w:pStyle w:val="58"/>
        <w:ind w:firstLine="420"/>
        <w:rPr>
          <w:rFonts w:ascii="宋体" w:hAnsi="宋体"/>
          <w:color w:val="auto"/>
          <w:highlight w:val="none"/>
        </w:rPr>
      </w:pPr>
    </w:p>
    <w:p w14:paraId="410ED47F">
      <w:pPr>
        <w:pStyle w:val="58"/>
        <w:ind w:firstLine="420"/>
        <w:rPr>
          <w:rFonts w:ascii="宋体" w:hAnsi="宋体"/>
          <w:color w:val="auto"/>
          <w:highlight w:val="none"/>
        </w:rPr>
      </w:pPr>
    </w:p>
    <w:p w14:paraId="4755E92D">
      <w:pPr>
        <w:pStyle w:val="58"/>
        <w:ind w:firstLine="420"/>
        <w:rPr>
          <w:rFonts w:hint="eastAsia" w:ascii="宋体" w:hAnsi="宋体"/>
          <w:color w:val="auto"/>
          <w:highlight w:val="none"/>
        </w:rPr>
      </w:pPr>
    </w:p>
    <w:p w14:paraId="12214575">
      <w:pPr>
        <w:pStyle w:val="114"/>
        <w:spacing w:before="156" w:after="156"/>
        <w:rPr>
          <w:color w:val="auto"/>
          <w:szCs w:val="21"/>
          <w:highlight w:val="none"/>
        </w:rPr>
      </w:pPr>
      <w:bookmarkStart w:id="137" w:name="OLE_LINK16"/>
      <w:bookmarkStart w:id="138" w:name="OLE_LINK15"/>
      <w:r>
        <w:rPr>
          <w:rFonts w:hint="eastAsia"/>
          <w:color w:val="auto"/>
          <w:highlight w:val="none"/>
        </w:rPr>
        <w:t>取水权不动产单元代码标准文本格式</w:t>
      </w:r>
    </w:p>
    <w:bookmarkEnd w:id="137"/>
    <w:bookmarkEnd w:id="138"/>
    <w:tbl>
      <w:tblPr>
        <w:tblStyle w:val="29"/>
        <w:tblW w:w="991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0" w:type="dxa"/>
          <w:bottom w:w="0" w:type="dxa"/>
          <w:right w:w="100" w:type="dxa"/>
        </w:tblCellMar>
      </w:tblPr>
      <w:tblGrid>
        <w:gridCol w:w="4668"/>
        <w:gridCol w:w="4678"/>
        <w:gridCol w:w="567"/>
      </w:tblGrid>
      <w:tr w14:paraId="573919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trHeight w:val="357" w:hRule="atLeast"/>
          <w:tblHeader/>
          <w:jc w:val="center"/>
        </w:trPr>
        <w:tc>
          <w:tcPr>
            <w:tcW w:w="4668" w:type="dxa"/>
            <w:tcBorders>
              <w:top w:val="single" w:color="auto" w:sz="8" w:space="0"/>
              <w:bottom w:val="single" w:color="auto" w:sz="4" w:space="0"/>
            </w:tcBorders>
            <w:shd w:val="clear" w:color="auto" w:fill="auto"/>
            <w:vAlign w:val="center"/>
          </w:tcPr>
          <w:p w14:paraId="36D146AC">
            <w:pPr>
              <w:pStyle w:val="180"/>
              <w:rPr>
                <w:color w:val="auto"/>
                <w:highlight w:val="none"/>
              </w:rPr>
            </w:pPr>
            <w:r>
              <w:rPr>
                <w:rFonts w:hint="eastAsia"/>
                <w:color w:val="auto"/>
                <w:highlight w:val="none"/>
              </w:rPr>
              <w:t>代码</w:t>
            </w:r>
          </w:p>
        </w:tc>
        <w:tc>
          <w:tcPr>
            <w:tcW w:w="4678" w:type="dxa"/>
            <w:tcBorders>
              <w:top w:val="single" w:color="auto" w:sz="8" w:space="0"/>
              <w:bottom w:val="single" w:color="auto" w:sz="4" w:space="0"/>
            </w:tcBorders>
            <w:shd w:val="clear" w:color="auto" w:fill="auto"/>
            <w:vAlign w:val="center"/>
          </w:tcPr>
          <w:p w14:paraId="74BB31B2">
            <w:pPr>
              <w:pStyle w:val="180"/>
              <w:rPr>
                <w:color w:val="auto"/>
                <w:highlight w:val="none"/>
              </w:rPr>
            </w:pPr>
            <w:r>
              <w:rPr>
                <w:rFonts w:hint="eastAsia"/>
                <w:color w:val="auto"/>
                <w:highlight w:val="none"/>
              </w:rPr>
              <w:t>名称</w:t>
            </w:r>
          </w:p>
        </w:tc>
        <w:tc>
          <w:tcPr>
            <w:tcW w:w="567" w:type="dxa"/>
            <w:tcBorders>
              <w:top w:val="single" w:color="auto" w:sz="8" w:space="0"/>
              <w:bottom w:val="single" w:color="auto" w:sz="4" w:space="0"/>
            </w:tcBorders>
            <w:shd w:val="clear" w:color="auto" w:fill="auto"/>
            <w:vAlign w:val="center"/>
          </w:tcPr>
          <w:p w14:paraId="69471535">
            <w:pPr>
              <w:pStyle w:val="180"/>
              <w:rPr>
                <w:color w:val="auto"/>
                <w:highlight w:val="none"/>
              </w:rPr>
            </w:pPr>
            <w:r>
              <w:rPr>
                <w:rFonts w:hint="eastAsia"/>
                <w:color w:val="auto"/>
                <w:highlight w:val="none"/>
              </w:rPr>
              <w:t>说明</w:t>
            </w:r>
          </w:p>
        </w:tc>
      </w:tr>
      <w:tr w14:paraId="7E6446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trHeight w:val="2456" w:hRule="atLeast"/>
          <w:jc w:val="center"/>
        </w:trPr>
        <w:tc>
          <w:tcPr>
            <w:tcW w:w="4668" w:type="dxa"/>
            <w:tcBorders>
              <w:top w:val="single" w:color="auto" w:sz="4" w:space="0"/>
              <w:bottom w:val="single" w:color="auto" w:sz="8" w:space="0"/>
            </w:tcBorders>
            <w:shd w:val="clear" w:color="auto" w:fill="auto"/>
            <w:vAlign w:val="center"/>
          </w:tcPr>
          <w:p w14:paraId="7025CAB6">
            <w:pPr>
              <w:pStyle w:val="58"/>
              <w:spacing w:line="290" w:lineRule="exact"/>
              <w:ind w:firstLine="0" w:firstLineChars="0"/>
              <w:rPr>
                <w:rFonts w:ascii="宋体" w:hAnsi="宋体"/>
                <w:color w:val="auto"/>
                <w:sz w:val="18"/>
                <w:szCs w:val="18"/>
                <w:highlight w:val="none"/>
              </w:rPr>
            </w:pPr>
            <w:r>
              <w:rPr>
                <w:rFonts w:hint="eastAsia" w:ascii="宋体" w:hAnsi="宋体"/>
                <w:color w:val="auto"/>
                <w:sz w:val="18"/>
                <w:szCs w:val="18"/>
                <w:highlight w:val="none"/>
              </w:rPr>
              <w:t>××××××</w:t>
            </w:r>
          </w:p>
          <w:p w14:paraId="3F83F6B2">
            <w:pPr>
              <w:pStyle w:val="58"/>
              <w:spacing w:line="290" w:lineRule="exact"/>
              <w:ind w:firstLine="0" w:firstLineChars="0"/>
              <w:rPr>
                <w:rFonts w:ascii="宋体" w:hAnsi="宋体"/>
                <w:color w:val="auto"/>
                <w:sz w:val="18"/>
                <w:szCs w:val="18"/>
                <w:highlight w:val="none"/>
              </w:rPr>
            </w:pPr>
            <w:r>
              <w:rPr>
                <w:rFonts w:hint="eastAsia" w:ascii="宋体" w:hAnsi="宋体"/>
                <w:color w:val="auto"/>
                <w:sz w:val="18"/>
                <w:szCs w:val="18"/>
                <w:highlight w:val="none"/>
              </w:rPr>
              <w:t>××××××001</w:t>
            </w:r>
          </w:p>
          <w:p w14:paraId="6D2E28AB">
            <w:pPr>
              <w:pStyle w:val="58"/>
              <w:spacing w:line="290" w:lineRule="exact"/>
              <w:ind w:firstLine="0" w:firstLineChars="0"/>
              <w:rPr>
                <w:rFonts w:ascii="宋体" w:hAnsi="宋体"/>
                <w:color w:val="auto"/>
                <w:sz w:val="18"/>
                <w:szCs w:val="18"/>
                <w:highlight w:val="none"/>
              </w:rPr>
            </w:pPr>
            <w:r>
              <w:rPr>
                <w:rFonts w:hint="eastAsia" w:ascii="宋体" w:hAnsi="宋体"/>
                <w:color w:val="auto"/>
                <w:sz w:val="18"/>
                <w:szCs w:val="18"/>
                <w:highlight w:val="none"/>
              </w:rPr>
              <w:t>××××××001001</w:t>
            </w:r>
          </w:p>
          <w:p w14:paraId="5BF02987">
            <w:pPr>
              <w:pStyle w:val="58"/>
              <w:spacing w:line="290" w:lineRule="exact"/>
              <w:ind w:firstLine="0" w:firstLineChars="0"/>
              <w:rPr>
                <w:rFonts w:ascii="宋体" w:hAnsi="宋体"/>
                <w:color w:val="auto"/>
                <w:sz w:val="18"/>
                <w:szCs w:val="18"/>
                <w:highlight w:val="none"/>
              </w:rPr>
            </w:pPr>
            <w:r>
              <w:rPr>
                <w:rFonts w:hint="eastAsia" w:ascii="宋体" w:hAnsi="宋体"/>
                <w:color w:val="auto"/>
                <w:sz w:val="18"/>
                <w:szCs w:val="18"/>
                <w:highlight w:val="none"/>
              </w:rPr>
              <w:t>××××××001001G</w:t>
            </w:r>
          </w:p>
          <w:p w14:paraId="12E2259E">
            <w:pPr>
              <w:pStyle w:val="58"/>
              <w:spacing w:line="290" w:lineRule="exact"/>
              <w:ind w:firstLine="0" w:firstLineChars="0"/>
              <w:rPr>
                <w:rFonts w:ascii="宋体" w:hAnsi="宋体"/>
                <w:color w:val="auto"/>
                <w:sz w:val="18"/>
                <w:szCs w:val="18"/>
                <w:highlight w:val="none"/>
              </w:rPr>
            </w:pPr>
            <w:r>
              <w:rPr>
                <w:rFonts w:hint="eastAsia" w:ascii="宋体" w:hAnsi="宋体"/>
                <w:color w:val="auto"/>
                <w:sz w:val="18"/>
                <w:szCs w:val="18"/>
                <w:highlight w:val="none"/>
              </w:rPr>
              <w:t>××××××001001G</w:t>
            </w:r>
            <w:bookmarkStart w:id="139" w:name="OLE_LINK7"/>
            <w:bookmarkStart w:id="140" w:name="OLE_LINK6"/>
            <w:r>
              <w:rPr>
                <w:rFonts w:ascii="宋体" w:hAnsi="宋体"/>
                <w:color w:val="auto"/>
                <w:sz w:val="18"/>
                <w:szCs w:val="18"/>
                <w:highlight w:val="none"/>
              </w:rPr>
              <w:t>Q</w:t>
            </w:r>
            <w:bookmarkEnd w:id="139"/>
            <w:bookmarkEnd w:id="140"/>
            <w:r>
              <w:rPr>
                <w:rFonts w:hint="eastAsia" w:ascii="宋体" w:hAnsi="宋体"/>
                <w:color w:val="auto"/>
                <w:sz w:val="18"/>
                <w:szCs w:val="18"/>
                <w:highlight w:val="none"/>
              </w:rPr>
              <w:t>×××××</w:t>
            </w:r>
          </w:p>
          <w:p w14:paraId="111D70B1">
            <w:pPr>
              <w:pStyle w:val="58"/>
              <w:spacing w:line="290" w:lineRule="exact"/>
              <w:ind w:firstLine="0" w:firstLineChars="0"/>
              <w:rPr>
                <w:rFonts w:ascii="宋体" w:hAnsi="宋体"/>
                <w:color w:val="auto"/>
                <w:sz w:val="18"/>
                <w:szCs w:val="18"/>
                <w:highlight w:val="none"/>
              </w:rPr>
            </w:pPr>
            <w:r>
              <w:rPr>
                <w:rFonts w:hint="eastAsia" w:ascii="宋体" w:hAnsi="宋体"/>
                <w:color w:val="auto"/>
                <w:sz w:val="18"/>
                <w:szCs w:val="18"/>
                <w:highlight w:val="none"/>
              </w:rPr>
              <w:t>××××××001001G</w:t>
            </w:r>
            <w:r>
              <w:rPr>
                <w:rFonts w:ascii="宋体" w:hAnsi="宋体"/>
                <w:color w:val="auto"/>
                <w:sz w:val="18"/>
                <w:szCs w:val="18"/>
                <w:highlight w:val="none"/>
              </w:rPr>
              <w:t>Q</w:t>
            </w:r>
            <w:r>
              <w:rPr>
                <w:rFonts w:hint="eastAsia" w:ascii="宋体" w:hAnsi="宋体"/>
                <w:color w:val="auto"/>
                <w:sz w:val="18"/>
                <w:szCs w:val="18"/>
                <w:highlight w:val="none"/>
              </w:rPr>
              <w:t>×××××</w:t>
            </w:r>
            <w:r>
              <w:rPr>
                <w:rFonts w:ascii="宋体" w:hAnsi="宋体"/>
                <w:color w:val="auto"/>
                <w:sz w:val="18"/>
                <w:szCs w:val="18"/>
                <w:highlight w:val="none"/>
              </w:rPr>
              <w:t>Q</w:t>
            </w:r>
            <w:r>
              <w:rPr>
                <w:rFonts w:hint="eastAsia" w:ascii="宋体" w:hAnsi="宋体"/>
                <w:color w:val="auto"/>
                <w:sz w:val="18"/>
                <w:szCs w:val="18"/>
                <w:highlight w:val="none"/>
              </w:rPr>
              <w:t>××××××××</w:t>
            </w:r>
          </w:p>
          <w:p w14:paraId="4FE29FEE">
            <w:pPr>
              <w:pStyle w:val="58"/>
              <w:spacing w:line="290" w:lineRule="exact"/>
              <w:ind w:firstLine="0" w:firstLineChars="0"/>
              <w:jc w:val="center"/>
              <w:rPr>
                <w:rFonts w:ascii="宋体" w:hAnsi="宋体"/>
                <w:color w:val="auto"/>
                <w:sz w:val="18"/>
                <w:szCs w:val="18"/>
                <w:highlight w:val="none"/>
              </w:rPr>
            </w:pPr>
            <w:r>
              <w:rPr>
                <w:rFonts w:hint="eastAsia" w:ascii="宋体" w:hAnsi="宋体"/>
                <w:color w:val="auto"/>
                <w:sz w:val="18"/>
                <w:szCs w:val="18"/>
                <w:highlight w:val="none"/>
              </w:rPr>
              <w:t>………</w:t>
            </w:r>
          </w:p>
        </w:tc>
        <w:tc>
          <w:tcPr>
            <w:tcW w:w="4678" w:type="dxa"/>
            <w:tcBorders>
              <w:top w:val="single" w:color="auto" w:sz="4" w:space="0"/>
              <w:bottom w:val="single" w:color="auto" w:sz="8" w:space="0"/>
            </w:tcBorders>
            <w:shd w:val="clear" w:color="auto" w:fill="auto"/>
            <w:vAlign w:val="center"/>
          </w:tcPr>
          <w:p w14:paraId="0D1946BD">
            <w:pPr>
              <w:pStyle w:val="58"/>
              <w:spacing w:line="290" w:lineRule="exact"/>
              <w:ind w:firstLine="0" w:firstLineChars="0"/>
              <w:rPr>
                <w:rFonts w:ascii="宋体" w:hAnsi="宋体"/>
                <w:color w:val="auto"/>
                <w:sz w:val="18"/>
                <w:szCs w:val="18"/>
                <w:highlight w:val="none"/>
              </w:rPr>
            </w:pPr>
            <w:r>
              <w:rPr>
                <w:rFonts w:hint="eastAsia" w:ascii="宋体" w:hAnsi="宋体"/>
                <w:color w:val="auto"/>
                <w:sz w:val="18"/>
                <w:szCs w:val="18"/>
                <w:highlight w:val="none"/>
              </w:rPr>
              <w:t>××县(市、区)</w:t>
            </w:r>
          </w:p>
          <w:p w14:paraId="148F7EFB">
            <w:pPr>
              <w:pStyle w:val="58"/>
              <w:spacing w:line="290" w:lineRule="exact"/>
              <w:ind w:firstLine="180" w:firstLineChars="100"/>
              <w:rPr>
                <w:rFonts w:ascii="宋体" w:hAnsi="宋体"/>
                <w:color w:val="auto"/>
                <w:sz w:val="18"/>
                <w:szCs w:val="18"/>
                <w:highlight w:val="none"/>
              </w:rPr>
            </w:pPr>
            <w:r>
              <w:rPr>
                <w:rFonts w:hint="eastAsia" w:ascii="宋体" w:hAnsi="宋体"/>
                <w:color w:val="auto"/>
                <w:sz w:val="18"/>
                <w:szCs w:val="18"/>
                <w:highlight w:val="none"/>
              </w:rPr>
              <w:t>001地籍区代码</w:t>
            </w:r>
          </w:p>
          <w:p w14:paraId="12766F4D">
            <w:pPr>
              <w:pStyle w:val="58"/>
              <w:spacing w:line="290" w:lineRule="exact"/>
              <w:ind w:firstLine="360"/>
              <w:rPr>
                <w:rFonts w:ascii="宋体" w:hAnsi="宋体"/>
                <w:color w:val="auto"/>
                <w:sz w:val="18"/>
                <w:szCs w:val="18"/>
                <w:highlight w:val="none"/>
              </w:rPr>
            </w:pPr>
            <w:r>
              <w:rPr>
                <w:rFonts w:hint="eastAsia" w:ascii="宋体" w:hAnsi="宋体"/>
                <w:color w:val="auto"/>
                <w:sz w:val="18"/>
                <w:szCs w:val="18"/>
                <w:highlight w:val="none"/>
              </w:rPr>
              <w:t>001地籍子区代码</w:t>
            </w:r>
          </w:p>
          <w:p w14:paraId="785A5144">
            <w:pPr>
              <w:pStyle w:val="58"/>
              <w:spacing w:line="290" w:lineRule="exact"/>
              <w:ind w:firstLine="720" w:firstLineChars="400"/>
              <w:rPr>
                <w:rFonts w:ascii="宋体" w:hAnsi="宋体"/>
                <w:color w:val="auto"/>
                <w:sz w:val="18"/>
                <w:szCs w:val="18"/>
                <w:highlight w:val="none"/>
              </w:rPr>
            </w:pPr>
            <w:r>
              <w:rPr>
                <w:rFonts w:hint="eastAsia" w:ascii="宋体" w:hAnsi="宋体"/>
                <w:color w:val="auto"/>
                <w:sz w:val="18"/>
                <w:szCs w:val="18"/>
                <w:highlight w:val="none"/>
              </w:rPr>
              <w:t>国家所有</w:t>
            </w:r>
          </w:p>
          <w:p w14:paraId="079B33C8">
            <w:pPr>
              <w:pStyle w:val="58"/>
              <w:spacing w:line="290" w:lineRule="exact"/>
              <w:ind w:firstLine="900" w:firstLineChars="500"/>
              <w:rPr>
                <w:rFonts w:ascii="宋体" w:hAnsi="宋体"/>
                <w:color w:val="auto"/>
                <w:sz w:val="18"/>
                <w:szCs w:val="18"/>
                <w:highlight w:val="none"/>
              </w:rPr>
            </w:pPr>
            <w:bookmarkStart w:id="141" w:name="OLE_LINK43"/>
            <w:bookmarkStart w:id="142" w:name="OLE_LINK42"/>
            <w:r>
              <w:rPr>
                <w:rFonts w:hint="eastAsia" w:ascii="宋体" w:hAnsi="宋体"/>
                <w:color w:val="auto"/>
                <w:sz w:val="18"/>
                <w:szCs w:val="18"/>
                <w:highlight w:val="none"/>
              </w:rPr>
              <w:t>国有水资源取水权</w:t>
            </w:r>
            <w:bookmarkEnd w:id="141"/>
            <w:bookmarkEnd w:id="142"/>
          </w:p>
          <w:p w14:paraId="2E2EB70B">
            <w:pPr>
              <w:pStyle w:val="58"/>
              <w:spacing w:line="290" w:lineRule="exact"/>
              <w:ind w:firstLine="1080" w:firstLineChars="600"/>
              <w:rPr>
                <w:rFonts w:ascii="宋体" w:hAnsi="宋体"/>
                <w:color w:val="auto"/>
                <w:sz w:val="18"/>
                <w:szCs w:val="18"/>
                <w:highlight w:val="none"/>
              </w:rPr>
            </w:pPr>
            <w:r>
              <w:rPr>
                <w:rFonts w:hint="eastAsia" w:ascii="宋体" w:hAnsi="宋体"/>
                <w:color w:val="auto"/>
                <w:sz w:val="18"/>
                <w:szCs w:val="18"/>
                <w:highlight w:val="none"/>
              </w:rPr>
              <w:t>特定取水口的国有水资源取水权</w:t>
            </w:r>
          </w:p>
          <w:p w14:paraId="4A16C05F">
            <w:pPr>
              <w:pStyle w:val="58"/>
              <w:spacing w:line="290" w:lineRule="exact"/>
              <w:ind w:firstLine="0" w:firstLineChars="0"/>
              <w:jc w:val="center"/>
              <w:rPr>
                <w:rFonts w:ascii="宋体" w:hAnsi="宋体"/>
                <w:color w:val="auto"/>
                <w:sz w:val="18"/>
                <w:szCs w:val="18"/>
                <w:highlight w:val="none"/>
              </w:rPr>
            </w:pPr>
            <w:r>
              <w:rPr>
                <w:rFonts w:hint="eastAsia" w:ascii="宋体" w:hAnsi="宋体"/>
                <w:color w:val="auto"/>
                <w:sz w:val="18"/>
                <w:szCs w:val="18"/>
                <w:highlight w:val="none"/>
              </w:rPr>
              <w:t>………</w:t>
            </w:r>
          </w:p>
        </w:tc>
        <w:tc>
          <w:tcPr>
            <w:tcW w:w="567" w:type="dxa"/>
            <w:tcBorders>
              <w:top w:val="single" w:color="auto" w:sz="4" w:space="0"/>
              <w:bottom w:val="single" w:color="auto" w:sz="8" w:space="0"/>
            </w:tcBorders>
            <w:shd w:val="clear" w:color="auto" w:fill="auto"/>
            <w:vAlign w:val="center"/>
          </w:tcPr>
          <w:p w14:paraId="41B4E5F4">
            <w:pPr>
              <w:pStyle w:val="180"/>
              <w:rPr>
                <w:color w:val="auto"/>
                <w:highlight w:val="none"/>
              </w:rPr>
            </w:pPr>
          </w:p>
        </w:tc>
      </w:tr>
    </w:tbl>
    <w:p w14:paraId="406881D7">
      <w:pPr>
        <w:pStyle w:val="114"/>
        <w:numPr>
          <w:ilvl w:val="0"/>
          <w:numId w:val="0"/>
        </w:numPr>
        <w:spacing w:before="156" w:after="156"/>
        <w:jc w:val="both"/>
        <w:rPr>
          <w:color w:val="auto"/>
          <w:szCs w:val="21"/>
          <w:highlight w:val="none"/>
        </w:rPr>
      </w:pPr>
    </w:p>
    <w:bookmarkEnd w:id="31"/>
    <w:p w14:paraId="7D1E0990">
      <w:pPr>
        <w:pStyle w:val="58"/>
        <w:ind w:firstLine="0" w:firstLineChars="0"/>
        <w:rPr>
          <w:color w:val="auto"/>
          <w:highlight w:val="none"/>
        </w:rPr>
        <w:sectPr>
          <w:pgSz w:w="11906" w:h="16838"/>
          <w:pgMar w:top="1928" w:right="1134" w:bottom="1134" w:left="1134" w:header="1418" w:footer="1134" w:gutter="284"/>
          <w:pgNumType w:start="1"/>
          <w:cols w:space="425" w:num="1"/>
          <w:formProt w:val="0"/>
          <w:docGrid w:type="lines" w:linePitch="312" w:charSpace="0"/>
        </w:sectPr>
      </w:pPr>
      <w:bookmarkStart w:id="143" w:name="BookMark6"/>
    </w:p>
    <w:p w14:paraId="0E0FE65F">
      <w:pPr>
        <w:pStyle w:val="65"/>
        <w:spacing w:after="156"/>
        <w:rPr>
          <w:color w:val="auto"/>
          <w:highlight w:val="none"/>
        </w:rPr>
      </w:pPr>
      <w:bookmarkStart w:id="144" w:name="_Toc201045340"/>
      <w:bookmarkStart w:id="145" w:name="_Toc209201143"/>
      <w:bookmarkStart w:id="146" w:name="_Toc199261116"/>
      <w:bookmarkStart w:id="147" w:name="_Toc199260540"/>
      <w:bookmarkStart w:id="148" w:name="_Toc199260554"/>
      <w:bookmarkStart w:id="149" w:name="_Toc201045358"/>
      <w:bookmarkStart w:id="150" w:name="_Toc207804348"/>
      <w:bookmarkStart w:id="151" w:name="_Toc201045349"/>
      <w:r>
        <w:rPr>
          <w:rFonts w:hint="eastAsia"/>
          <w:color w:val="auto"/>
          <w:spacing w:val="105"/>
          <w:highlight w:val="none"/>
        </w:rPr>
        <w:t>参考文</w:t>
      </w:r>
      <w:r>
        <w:rPr>
          <w:rFonts w:hint="eastAsia"/>
          <w:color w:val="auto"/>
          <w:highlight w:val="none"/>
        </w:rPr>
        <w:t>献</w:t>
      </w:r>
      <w:bookmarkEnd w:id="144"/>
      <w:bookmarkEnd w:id="145"/>
      <w:bookmarkEnd w:id="146"/>
      <w:bookmarkEnd w:id="147"/>
      <w:bookmarkEnd w:id="148"/>
      <w:bookmarkEnd w:id="149"/>
      <w:bookmarkEnd w:id="150"/>
      <w:bookmarkEnd w:id="151"/>
    </w:p>
    <w:p w14:paraId="37DDFB38">
      <w:pPr>
        <w:pStyle w:val="232"/>
        <w:ind w:left="420" w:firstLine="0" w:firstLineChars="0"/>
        <w:rPr>
          <w:color w:val="auto"/>
          <w:highlight w:val="none"/>
        </w:rPr>
      </w:pPr>
      <w:r>
        <w:rPr>
          <w:color w:val="auto"/>
          <w:highlight w:val="none"/>
        </w:rPr>
        <w:t xml:space="preserve">[1] </w:t>
      </w:r>
      <w:r>
        <w:rPr>
          <w:rFonts w:hint="eastAsia"/>
          <w:color w:val="auto"/>
          <w:highlight w:val="none"/>
        </w:rPr>
        <w:t>GB/T 21010 土地利用现状分类</w:t>
      </w:r>
    </w:p>
    <w:p w14:paraId="4DA52574">
      <w:pPr>
        <w:pStyle w:val="232"/>
        <w:ind w:left="420" w:firstLine="0" w:firstLineChars="0"/>
        <w:rPr>
          <w:color w:val="auto"/>
          <w:highlight w:val="none"/>
        </w:rPr>
      </w:pPr>
      <w:r>
        <w:rPr>
          <w:color w:val="auto"/>
          <w:highlight w:val="none"/>
        </w:rPr>
        <w:t xml:space="preserve">[2] </w:t>
      </w:r>
      <w:r>
        <w:rPr>
          <w:rFonts w:hint="eastAsia"/>
          <w:color w:val="auto"/>
          <w:highlight w:val="none"/>
        </w:rPr>
        <w:t>GB/T 42547 地籍调查规程</w:t>
      </w:r>
    </w:p>
    <w:p w14:paraId="0586047F">
      <w:pPr>
        <w:pStyle w:val="232"/>
        <w:ind w:firstLineChars="0"/>
        <w:rPr>
          <w:color w:val="auto"/>
          <w:highlight w:val="none"/>
        </w:rPr>
      </w:pPr>
      <w:r>
        <w:rPr>
          <w:color w:val="auto"/>
          <w:highlight w:val="none"/>
        </w:rPr>
        <w:t>[3]</w:t>
      </w:r>
      <w:r>
        <w:rPr>
          <w:rFonts w:hint="eastAsia"/>
          <w:color w:val="auto"/>
          <w:highlight w:val="none"/>
        </w:rPr>
        <w:t xml:space="preserve"> 不动产登记规程 </w:t>
      </w:r>
    </w:p>
    <w:p w14:paraId="3AAF2730">
      <w:pPr>
        <w:pStyle w:val="232"/>
        <w:ind w:left="420" w:firstLine="0" w:firstLineChars="0"/>
        <w:rPr>
          <w:color w:val="auto"/>
          <w:highlight w:val="none"/>
        </w:rPr>
      </w:pPr>
      <w:r>
        <w:rPr>
          <w:color w:val="auto"/>
          <w:highlight w:val="none"/>
        </w:rPr>
        <w:t>[4]</w:t>
      </w:r>
      <w:r>
        <w:rPr>
          <w:rFonts w:hint="eastAsia"/>
          <w:color w:val="auto"/>
          <w:highlight w:val="none"/>
        </w:rPr>
        <w:t xml:space="preserve"> 中华人民共和国水法 </w:t>
      </w:r>
    </w:p>
    <w:p w14:paraId="723AE0AD">
      <w:pPr>
        <w:pStyle w:val="232"/>
        <w:ind w:left="420" w:firstLine="0" w:firstLineChars="0"/>
        <w:rPr>
          <w:color w:val="auto"/>
          <w:highlight w:val="none"/>
        </w:rPr>
      </w:pPr>
      <w:r>
        <w:rPr>
          <w:color w:val="auto"/>
          <w:highlight w:val="none"/>
        </w:rPr>
        <w:t>[5]</w:t>
      </w:r>
      <w:r>
        <w:rPr>
          <w:rFonts w:hint="eastAsia"/>
          <w:color w:val="auto"/>
          <w:highlight w:val="none"/>
        </w:rPr>
        <w:t xml:space="preserve"> 中华人民共和国土地管理法</w:t>
      </w:r>
    </w:p>
    <w:p w14:paraId="7AA99618">
      <w:pPr>
        <w:pStyle w:val="58"/>
        <w:ind w:firstLine="409" w:firstLineChars="195"/>
        <w:rPr>
          <w:rFonts w:ascii="宋体" w:hAnsi="宋体"/>
          <w:color w:val="auto"/>
          <w:highlight w:val="none"/>
        </w:rPr>
      </w:pPr>
      <w:r>
        <w:rPr>
          <w:rFonts w:hint="eastAsia" w:ascii="宋体" w:hAnsi="宋体"/>
          <w:color w:val="auto"/>
          <w:highlight w:val="none"/>
        </w:rPr>
        <w:t>[6] 中华人民共和国民法典</w:t>
      </w:r>
    </w:p>
    <w:p w14:paraId="32D88ADF">
      <w:pPr>
        <w:pStyle w:val="58"/>
        <w:ind w:firstLine="409" w:firstLineChars="195"/>
        <w:rPr>
          <w:rFonts w:ascii="宋体" w:hAnsi="宋体"/>
          <w:color w:val="auto"/>
          <w:highlight w:val="none"/>
        </w:rPr>
      </w:pPr>
      <w:r>
        <w:rPr>
          <w:rFonts w:hint="eastAsia" w:ascii="宋体" w:hAnsi="宋体"/>
          <w:color w:val="auto"/>
          <w:highlight w:val="none"/>
        </w:rPr>
        <w:t>[7] 取水许可和水资源费征收管理条例</w:t>
      </w:r>
    </w:p>
    <w:p w14:paraId="1183753A">
      <w:pPr>
        <w:pStyle w:val="58"/>
        <w:ind w:firstLine="420"/>
        <w:rPr>
          <w:rFonts w:ascii="宋体" w:hAnsi="宋体"/>
          <w:color w:val="auto"/>
          <w:highlight w:val="none"/>
        </w:rPr>
      </w:pPr>
      <w:r>
        <w:rPr>
          <w:rFonts w:hint="eastAsia" w:ascii="宋体" w:hAnsi="宋体"/>
          <w:color w:val="auto"/>
          <w:highlight w:val="none"/>
        </w:rPr>
        <w:t>[8] 不动产登记暂行条例</w:t>
      </w:r>
    </w:p>
    <w:p w14:paraId="35E26060">
      <w:pPr>
        <w:pStyle w:val="58"/>
        <w:ind w:firstLine="420"/>
        <w:rPr>
          <w:rFonts w:ascii="宋体" w:hAnsi="宋体"/>
          <w:color w:val="auto"/>
          <w:highlight w:val="none"/>
        </w:rPr>
      </w:pPr>
      <w:r>
        <w:rPr>
          <w:rFonts w:hint="eastAsia" w:ascii="宋体" w:hAnsi="宋体"/>
          <w:color w:val="auto"/>
          <w:highlight w:val="none"/>
        </w:rPr>
        <w:t>[9] 不动产登记暂行条例实施细则</w:t>
      </w:r>
    </w:p>
    <w:p w14:paraId="45DFC86E">
      <w:pPr>
        <w:pStyle w:val="58"/>
        <w:ind w:firstLine="420"/>
        <w:rPr>
          <w:rFonts w:ascii="宋体" w:hAnsi="宋体"/>
          <w:color w:val="auto"/>
          <w:highlight w:val="none"/>
        </w:rPr>
      </w:pPr>
    </w:p>
    <w:p w14:paraId="34AEA4E5">
      <w:pPr>
        <w:pStyle w:val="58"/>
        <w:ind w:firstLine="420"/>
        <w:rPr>
          <w:color w:val="auto"/>
          <w:highlight w:val="none"/>
        </w:rPr>
      </w:pPr>
    </w:p>
    <w:p w14:paraId="436AB675">
      <w:pPr>
        <w:pStyle w:val="58"/>
        <w:ind w:firstLine="420"/>
        <w:rPr>
          <w:color w:val="auto"/>
          <w:highlight w:val="none"/>
        </w:rPr>
      </w:pPr>
    </w:p>
    <w:p w14:paraId="1582E7A7">
      <w:pPr>
        <w:pStyle w:val="58"/>
        <w:ind w:firstLine="420"/>
        <w:rPr>
          <w:color w:val="auto"/>
          <w:highlight w:val="none"/>
        </w:rPr>
      </w:pPr>
    </w:p>
    <w:p w14:paraId="1ADB4CDA">
      <w:pPr>
        <w:pStyle w:val="58"/>
        <w:ind w:firstLine="420"/>
        <w:rPr>
          <w:color w:val="auto"/>
          <w:highlight w:val="none"/>
        </w:rPr>
      </w:pPr>
    </w:p>
    <w:bookmarkEnd w:id="143"/>
    <w:p w14:paraId="43334335">
      <w:pPr>
        <w:pStyle w:val="58"/>
        <w:ind w:firstLine="420"/>
        <w:rPr>
          <w:color w:val="auto"/>
          <w:highlight w:val="none"/>
        </w:rPr>
      </w:pPr>
    </w:p>
    <w:sectPr>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D0655">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6B311">
    <w:pPr>
      <w:pStyle w:val="19"/>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0966A8">
    <w:pPr>
      <w:pStyle w:val="19"/>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A4907">
    <w:pPr>
      <w:pStyle w:val="54"/>
    </w:pPr>
    <w:r>
      <w:fldChar w:fldCharType="begin"/>
    </w:r>
    <w:r>
      <w:instrText xml:space="preserve">PAGE   \* MERGEFORMAT</w:instrText>
    </w:r>
    <w:r>
      <w:fldChar w:fldCharType="separate"/>
    </w:r>
    <w:r>
      <w:rPr>
        <w:lang w:val="zh-CN"/>
      </w:rP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4DCBDD">
    <w:pPr>
      <w:pStyle w:val="20"/>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8300D">
    <w:pPr>
      <w:pStyle w:val="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4F7D7F">
    <w:pPr>
      <w:pStyle w:val="20"/>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F9B110">
    <w:pPr>
      <w:pStyle w:val="63"/>
    </w:pPr>
    <w:r>
      <w:fldChar w:fldCharType="begin"/>
    </w:r>
    <w:r>
      <w:instrText xml:space="preserve"> STYLEREF  标准文件_文件编号  \* MERGEFORMAT </w:instrText>
    </w:r>
    <w:r>
      <w:fldChar w:fldCharType="separate"/>
    </w:r>
    <w:r>
      <w:t>DB13/T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2D325C">
    <w:pPr>
      <w:pStyle w:val="20"/>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DB13/T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6"/>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1"/>
      <w:suff w:val="nothing"/>
      <w:lvlText w:val="%1%2.%3　"/>
      <w:lvlJc w:val="left"/>
      <w:pPr>
        <w:ind w:left="0" w:firstLine="0"/>
      </w:pPr>
    </w:lvl>
    <w:lvl w:ilvl="3" w:tentative="0">
      <w:start w:val="1"/>
      <w:numFmt w:val="decimal"/>
      <w:pStyle w:val="120"/>
      <w:suff w:val="nothing"/>
      <w:lvlText w:val="%1%2.%3.%4　"/>
      <w:lvlJc w:val="left"/>
      <w:pPr>
        <w:ind w:left="0" w:firstLine="0"/>
      </w:pPr>
    </w:lvl>
    <w:lvl w:ilvl="4" w:tentative="0">
      <w:start w:val="1"/>
      <w:numFmt w:val="decimal"/>
      <w:pStyle w:val="155"/>
      <w:suff w:val="nothing"/>
      <w:lvlText w:val="%1%2.%3.%4.%5　"/>
      <w:lvlJc w:val="left"/>
      <w:pPr>
        <w:ind w:left="0" w:firstLine="0"/>
      </w:pPr>
    </w:lvl>
    <w:lvl w:ilvl="5" w:tentative="0">
      <w:start w:val="1"/>
      <w:numFmt w:val="decimal"/>
      <w:pStyle w:val="157"/>
      <w:suff w:val="nothing"/>
      <w:lvlText w:val="%1%2.%3.%4.%5.%6　"/>
      <w:lvlJc w:val="left"/>
      <w:pPr>
        <w:ind w:left="0" w:firstLine="0"/>
      </w:pPr>
    </w:lvl>
    <w:lvl w:ilvl="6" w:tentative="0">
      <w:start w:val="1"/>
      <w:numFmt w:val="decimal"/>
      <w:pStyle w:val="160"/>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2"/>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1"/>
      <w:lvlText w:val="%1"/>
      <w:lvlJc w:val="left"/>
      <w:pPr>
        <w:ind w:left="425" w:hanging="425"/>
      </w:pPr>
      <w:rPr>
        <w:rFonts w:hint="eastAsia"/>
      </w:rPr>
    </w:lvl>
    <w:lvl w:ilvl="1" w:tentative="0">
      <w:start w:val="1"/>
      <w:numFmt w:val="decimal"/>
      <w:pStyle w:val="202"/>
      <w:suff w:val="nothing"/>
      <w:lvlText w:val="%10.%2 "/>
      <w:lvlJc w:val="left"/>
      <w:pPr>
        <w:ind w:left="0" w:firstLine="0"/>
      </w:pPr>
      <w:rPr>
        <w:rFonts w:hint="eastAsia" w:ascii="黑体" w:eastAsia="黑体" w:hAnsiTheme="minorHAnsi"/>
        <w:b w:val="0"/>
        <w:i w:val="0"/>
        <w:sz w:val="21"/>
      </w:rPr>
    </w:lvl>
    <w:lvl w:ilvl="2" w:tentative="0">
      <w:start w:val="1"/>
      <w:numFmt w:val="decimal"/>
      <w:pStyle w:val="203"/>
      <w:suff w:val="nothing"/>
      <w:lvlText w:val="%10.%2.%3 "/>
      <w:lvlJc w:val="left"/>
      <w:pPr>
        <w:ind w:left="0" w:firstLine="0"/>
      </w:pPr>
      <w:rPr>
        <w:rFonts w:hint="eastAsia" w:ascii="黑体" w:eastAsia="黑体" w:hAnsiTheme="minorHAnsi"/>
        <w:b w:val="0"/>
        <w:i w:val="0"/>
        <w:sz w:val="21"/>
      </w:rPr>
    </w:lvl>
    <w:lvl w:ilvl="3" w:tentative="0">
      <w:start w:val="1"/>
      <w:numFmt w:val="decimal"/>
      <w:pStyle w:val="204"/>
      <w:suff w:val="nothing"/>
      <w:lvlText w:val="%10.%2.%3.%4 "/>
      <w:lvlJc w:val="left"/>
      <w:pPr>
        <w:ind w:left="0" w:firstLine="0"/>
      </w:pPr>
      <w:rPr>
        <w:rFonts w:hint="eastAsia" w:ascii="黑体" w:eastAsia="黑体" w:hAnsiTheme="minorHAnsi"/>
        <w:b w:val="0"/>
        <w:i w:val="0"/>
        <w:sz w:val="21"/>
      </w:rPr>
    </w:lvl>
    <w:lvl w:ilvl="4" w:tentative="0">
      <w:start w:val="1"/>
      <w:numFmt w:val="decimal"/>
      <w:pStyle w:val="205"/>
      <w:suff w:val="nothing"/>
      <w:lvlText w:val="%10.%2.%3.%4.%5 "/>
      <w:lvlJc w:val="left"/>
      <w:pPr>
        <w:ind w:left="0" w:firstLine="0"/>
      </w:pPr>
      <w:rPr>
        <w:rFonts w:hint="eastAsia" w:ascii="黑体" w:eastAsia="黑体" w:hAnsiTheme="minorHAnsi"/>
        <w:b w:val="0"/>
        <w:i w:val="0"/>
        <w:sz w:val="21"/>
      </w:rPr>
    </w:lvl>
    <w:lvl w:ilvl="5" w:tentative="0">
      <w:start w:val="1"/>
      <w:numFmt w:val="decimal"/>
      <w:pStyle w:val="206"/>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3"/>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9"/>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2"/>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7"/>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4"/>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4"/>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9"/>
      <w:lvlText w:val=""/>
      <w:lvlJc w:val="left"/>
      <w:pPr>
        <w:ind w:left="851" w:hanging="431"/>
      </w:pPr>
      <w:rPr>
        <w:rFonts w:hint="default" w:ascii="Symbol" w:hAnsi="Symbol"/>
        <w:sz w:val="21"/>
      </w:rPr>
    </w:lvl>
    <w:lvl w:ilvl="2" w:tentative="0">
      <w:start w:val="1"/>
      <w:numFmt w:val="bullet"/>
      <w:pStyle w:val="174"/>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3"/>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6"/>
      <w:lvlText w:val="%1)"/>
      <w:lvlJc w:val="left"/>
      <w:pPr>
        <w:tabs>
          <w:tab w:val="left" w:pos="851"/>
        </w:tabs>
        <w:ind w:left="851" w:hanging="426"/>
      </w:pPr>
      <w:rPr>
        <w:rFonts w:hint="eastAsia" w:ascii="宋体" w:hAnsi="Times New Roman" w:eastAsia="宋体"/>
        <w:sz w:val="21"/>
      </w:rPr>
    </w:lvl>
    <w:lvl w:ilvl="1" w:tentative="0">
      <w:start w:val="1"/>
      <w:numFmt w:val="decimal"/>
      <w:pStyle w:val="111"/>
      <w:lvlText w:val="%2)"/>
      <w:lvlJc w:val="left"/>
      <w:pPr>
        <w:tabs>
          <w:tab w:val="left" w:pos="1276"/>
        </w:tabs>
        <w:ind w:left="1276" w:hanging="425"/>
      </w:pPr>
      <w:rPr>
        <w:rFonts w:hint="eastAsia" w:ascii="宋体" w:hAnsi="Times New Roman" w:eastAsia="宋体"/>
        <w:sz w:val="21"/>
      </w:rPr>
    </w:lvl>
    <w:lvl w:ilvl="2" w:tentative="0">
      <w:start w:val="1"/>
      <w:numFmt w:val="decimal"/>
      <w:pStyle w:val="119"/>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200"/>
      <w:lvlText w:val="%1"/>
      <w:lvlJc w:val="left"/>
      <w:pPr>
        <w:ind w:left="420" w:hanging="420"/>
      </w:pPr>
      <w:rPr>
        <w:rFonts w:hint="eastAsia"/>
      </w:rPr>
    </w:lvl>
    <w:lvl w:ilvl="1" w:tentative="0">
      <w:start w:val="1"/>
      <w:numFmt w:val="decimal"/>
      <w:pStyle w:val="85"/>
      <w:suff w:val="space"/>
      <w:lvlText w:val="图%1.%2 "/>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5"/>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8"/>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5"/>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6"/>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1"/>
      <w:suff w:val="space"/>
      <w:lvlText w:val="%1"/>
      <w:lvlJc w:val="left"/>
      <w:pPr>
        <w:ind w:left="425" w:hanging="425"/>
      </w:pPr>
      <w:rPr>
        <w:rFonts w:hint="eastAsia"/>
      </w:rPr>
    </w:lvl>
    <w:lvl w:ilvl="1" w:tentative="0">
      <w:start w:val="1"/>
      <w:numFmt w:val="decimal"/>
      <w:pStyle w:val="79"/>
      <w:suff w:val="space"/>
      <w:lvlText w:val="表%1.%2 "/>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3"/>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4"/>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1"/>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8"/>
      <w:suff w:val="nothing"/>
      <w:lvlText w:val="附录%1"/>
      <w:lvlJc w:val="left"/>
      <w:pPr>
        <w:ind w:left="0" w:firstLine="0"/>
      </w:pPr>
      <w:rPr>
        <w:rFonts w:hint="eastAsia"/>
        <w:spacing w:val="100"/>
      </w:rPr>
    </w:lvl>
    <w:lvl w:ilvl="1" w:tentative="0">
      <w:start w:val="1"/>
      <w:numFmt w:val="decimal"/>
      <w:pStyle w:val="80"/>
      <w:suff w:val="nothing"/>
      <w:lvlText w:val="%1.%2　"/>
      <w:lvlJc w:val="left"/>
      <w:pPr>
        <w:ind w:left="0" w:firstLine="0"/>
      </w:pPr>
      <w:rPr>
        <w:rFonts w:hint="eastAsia" w:ascii="黑体" w:eastAsia="黑体"/>
        <w:b w:val="0"/>
        <w:i w:val="0"/>
        <w:sz w:val="21"/>
      </w:rPr>
    </w:lvl>
    <w:lvl w:ilvl="2" w:tentative="0">
      <w:start w:val="1"/>
      <w:numFmt w:val="decimal"/>
      <w:pStyle w:val="81"/>
      <w:suff w:val="nothing"/>
      <w:lvlText w:val="%1.%2.%3　"/>
      <w:lvlJc w:val="left"/>
      <w:pPr>
        <w:ind w:left="0" w:firstLine="0"/>
      </w:pPr>
      <w:rPr>
        <w:rFonts w:hint="eastAsia" w:ascii="黑体" w:eastAsia="黑体"/>
        <w:b w:val="0"/>
        <w:i w:val="0"/>
        <w:sz w:val="21"/>
      </w:rPr>
    </w:lvl>
    <w:lvl w:ilvl="3" w:tentative="0">
      <w:start w:val="1"/>
      <w:numFmt w:val="decimal"/>
      <w:pStyle w:val="83"/>
      <w:suff w:val="nothing"/>
      <w:lvlText w:val="%1.%2.%3.%4　"/>
      <w:lvlJc w:val="left"/>
      <w:pPr>
        <w:ind w:left="0" w:firstLine="0"/>
      </w:pPr>
      <w:rPr>
        <w:rFonts w:hint="eastAsia" w:ascii="黑体" w:eastAsia="黑体"/>
        <w:b w:val="0"/>
        <w:i w:val="0"/>
        <w:sz w:val="21"/>
      </w:rPr>
    </w:lvl>
    <w:lvl w:ilvl="4" w:tentative="0">
      <w:start w:val="1"/>
      <w:numFmt w:val="decimal"/>
      <w:pStyle w:val="84"/>
      <w:suff w:val="nothing"/>
      <w:lvlText w:val="%1.%2.%3.%4.%5　"/>
      <w:lvlJc w:val="left"/>
      <w:pPr>
        <w:ind w:left="0" w:firstLine="0"/>
      </w:pPr>
      <w:rPr>
        <w:rFonts w:hint="eastAsia" w:ascii="黑体" w:eastAsia="黑体"/>
        <w:b w:val="0"/>
        <w:i w:val="0"/>
        <w:sz w:val="21"/>
      </w:rPr>
    </w:lvl>
    <w:lvl w:ilvl="5" w:tentative="0">
      <w:start w:val="1"/>
      <w:numFmt w:val="decimal"/>
      <w:pStyle w:val="86"/>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90"/>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9"/>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4"/>
      <w:suff w:val="nothing"/>
      <w:lvlText w:val="%1"/>
      <w:lvlJc w:val="left"/>
      <w:pPr>
        <w:ind w:left="0" w:firstLine="0"/>
      </w:pPr>
      <w:rPr>
        <w:rFonts w:hint="eastAsia"/>
      </w:rPr>
    </w:lvl>
    <w:lvl w:ilvl="1" w:tentative="0">
      <w:start w:val="1"/>
      <w:numFmt w:val="decimal"/>
      <w:pStyle w:val="106"/>
      <w:suff w:val="nothing"/>
      <w:lvlText w:val="%1%2　"/>
      <w:lvlJc w:val="left"/>
      <w:pPr>
        <w:ind w:left="0" w:firstLine="0"/>
      </w:pPr>
      <w:rPr>
        <w:rFonts w:hint="eastAsia" w:ascii="黑体" w:eastAsia="黑体"/>
        <w:b w:val="0"/>
        <w:i w:val="0"/>
        <w:sz w:val="21"/>
      </w:rPr>
    </w:lvl>
    <w:lvl w:ilvl="2" w:tentative="0">
      <w:start w:val="1"/>
      <w:numFmt w:val="decimal"/>
      <w:pStyle w:val="107"/>
      <w:suff w:val="nothing"/>
      <w:lvlText w:val="%1%2.%3　"/>
      <w:lvlJc w:val="left"/>
      <w:pPr>
        <w:ind w:left="567"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7"/>
      <w:suff w:val="nothing"/>
      <w:lvlText w:val="%1%2.%3.%4　"/>
      <w:lvlJc w:val="left"/>
      <w:pPr>
        <w:ind w:left="0" w:firstLine="0"/>
      </w:pPr>
      <w:rPr>
        <w:rFonts w:hint="eastAsia" w:ascii="黑体" w:eastAsia="黑体"/>
        <w:b w:val="0"/>
        <w:i w:val="0"/>
        <w:sz w:val="21"/>
      </w:rPr>
    </w:lvl>
    <w:lvl w:ilvl="4" w:tentative="0">
      <w:start w:val="1"/>
      <w:numFmt w:val="decimal"/>
      <w:pStyle w:val="96"/>
      <w:suff w:val="nothing"/>
      <w:lvlText w:val="%1%2.%3.%4.%5　"/>
      <w:lvlJc w:val="left"/>
      <w:pPr>
        <w:ind w:left="0" w:firstLine="0"/>
      </w:pPr>
      <w:rPr>
        <w:rFonts w:hint="eastAsia" w:ascii="黑体" w:eastAsia="黑体"/>
        <w:b w:val="0"/>
        <w:i w:val="0"/>
        <w:sz w:val="21"/>
      </w:rPr>
    </w:lvl>
    <w:lvl w:ilvl="5" w:tentative="0">
      <w:start w:val="1"/>
      <w:numFmt w:val="decimal"/>
      <w:pStyle w:val="100"/>
      <w:suff w:val="nothing"/>
      <w:lvlText w:val="%1%2.%3.%4.%5.%6　"/>
      <w:lvlJc w:val="left"/>
      <w:pPr>
        <w:ind w:left="0" w:firstLine="0"/>
      </w:pPr>
      <w:rPr>
        <w:rFonts w:hint="eastAsia" w:ascii="黑体" w:eastAsia="黑体"/>
        <w:b w:val="0"/>
        <w:i w:val="0"/>
        <w:sz w:val="21"/>
      </w:rPr>
    </w:lvl>
    <w:lvl w:ilvl="6" w:tentative="0">
      <w:start w:val="1"/>
      <w:numFmt w:val="decimal"/>
      <w:pStyle w:val="105"/>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1"/>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7"/>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1" w:cryptProviderType="rsaAES" w:cryptAlgorithmClass="hash" w:cryptAlgorithmType="typeAny" w:cryptAlgorithmSid="14" w:cryptSpinCount="100000" w:hash="LbZP2WDHwxjKrs6dblC8UOsvuo1pAfHXMnAaavDuEFJApWLdtwk9BEQjKfqxIi6w1Q7jHHUYPzQkB/6s75d65w==" w:salt="EOJvjWqv483cIhO++lSvFQ=="/>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Y2MDMxYjY4N2NjNGM3ZDM2Yzg2NzY3OTIyNDVkOWMifQ=="/>
  </w:docVars>
  <w:rsids>
    <w:rsidRoot w:val="00041BE7"/>
    <w:rsid w:val="0000040A"/>
    <w:rsid w:val="00000A94"/>
    <w:rsid w:val="00001972"/>
    <w:rsid w:val="00001D9A"/>
    <w:rsid w:val="00006C7C"/>
    <w:rsid w:val="00007B3A"/>
    <w:rsid w:val="000107E0"/>
    <w:rsid w:val="00011FDE"/>
    <w:rsid w:val="00012FFD"/>
    <w:rsid w:val="00013559"/>
    <w:rsid w:val="00014162"/>
    <w:rsid w:val="00014340"/>
    <w:rsid w:val="00016A9C"/>
    <w:rsid w:val="000212DA"/>
    <w:rsid w:val="00022184"/>
    <w:rsid w:val="00022762"/>
    <w:rsid w:val="000238E0"/>
    <w:rsid w:val="000249DB"/>
    <w:rsid w:val="0002595E"/>
    <w:rsid w:val="000303C3"/>
    <w:rsid w:val="000331D3"/>
    <w:rsid w:val="000346A5"/>
    <w:rsid w:val="00035273"/>
    <w:rsid w:val="000359C3"/>
    <w:rsid w:val="00035A7D"/>
    <w:rsid w:val="000365ED"/>
    <w:rsid w:val="00041BE7"/>
    <w:rsid w:val="0004249A"/>
    <w:rsid w:val="00043282"/>
    <w:rsid w:val="00044286"/>
    <w:rsid w:val="00047F28"/>
    <w:rsid w:val="000503AA"/>
    <w:rsid w:val="000506A1"/>
    <w:rsid w:val="000515DD"/>
    <w:rsid w:val="0005265A"/>
    <w:rsid w:val="00052D38"/>
    <w:rsid w:val="000539DD"/>
    <w:rsid w:val="00053BD3"/>
    <w:rsid w:val="000556ED"/>
    <w:rsid w:val="00055FE2"/>
    <w:rsid w:val="0005616F"/>
    <w:rsid w:val="00060C2E"/>
    <w:rsid w:val="00061033"/>
    <w:rsid w:val="000619E9"/>
    <w:rsid w:val="000622D4"/>
    <w:rsid w:val="00062310"/>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34EC"/>
    <w:rsid w:val="000A5EF4"/>
    <w:rsid w:val="000A601F"/>
    <w:rsid w:val="000A7311"/>
    <w:rsid w:val="000B060F"/>
    <w:rsid w:val="000B1592"/>
    <w:rsid w:val="000B1FF2"/>
    <w:rsid w:val="000B2358"/>
    <w:rsid w:val="000B3CDA"/>
    <w:rsid w:val="000B67E0"/>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3C4"/>
    <w:rsid w:val="00104926"/>
    <w:rsid w:val="001077CF"/>
    <w:rsid w:val="00113B1E"/>
    <w:rsid w:val="001155B7"/>
    <w:rsid w:val="0011711C"/>
    <w:rsid w:val="0012059C"/>
    <w:rsid w:val="00124E4F"/>
    <w:rsid w:val="001260B7"/>
    <w:rsid w:val="001265CB"/>
    <w:rsid w:val="001321C6"/>
    <w:rsid w:val="001325C4"/>
    <w:rsid w:val="00133010"/>
    <w:rsid w:val="001338EE"/>
    <w:rsid w:val="00133AAE"/>
    <w:rsid w:val="00135323"/>
    <w:rsid w:val="001356C4"/>
    <w:rsid w:val="00140309"/>
    <w:rsid w:val="00140BD8"/>
    <w:rsid w:val="00141114"/>
    <w:rsid w:val="00142969"/>
    <w:rsid w:val="001446C2"/>
    <w:rsid w:val="001457E7"/>
    <w:rsid w:val="00145D9D"/>
    <w:rsid w:val="00146388"/>
    <w:rsid w:val="00150EF1"/>
    <w:rsid w:val="00151161"/>
    <w:rsid w:val="0015225F"/>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5376"/>
    <w:rsid w:val="00190087"/>
    <w:rsid w:val="0019079A"/>
    <w:rsid w:val="001913C4"/>
    <w:rsid w:val="0019348F"/>
    <w:rsid w:val="00193A07"/>
    <w:rsid w:val="00194C95"/>
    <w:rsid w:val="00195C34"/>
    <w:rsid w:val="00196EF5"/>
    <w:rsid w:val="001A1A53"/>
    <w:rsid w:val="001A234A"/>
    <w:rsid w:val="001A2FD6"/>
    <w:rsid w:val="001A4CF3"/>
    <w:rsid w:val="001B06E8"/>
    <w:rsid w:val="001B1100"/>
    <w:rsid w:val="001B5097"/>
    <w:rsid w:val="001B6B74"/>
    <w:rsid w:val="001B71D0"/>
    <w:rsid w:val="001B71EE"/>
    <w:rsid w:val="001B74A4"/>
    <w:rsid w:val="001C04A8"/>
    <w:rsid w:val="001C2C03"/>
    <w:rsid w:val="001C42F7"/>
    <w:rsid w:val="001C49E5"/>
    <w:rsid w:val="001C680C"/>
    <w:rsid w:val="001C7FEA"/>
    <w:rsid w:val="001D0499"/>
    <w:rsid w:val="001D0BBE"/>
    <w:rsid w:val="001D0ED4"/>
    <w:rsid w:val="001D212F"/>
    <w:rsid w:val="001D29D7"/>
    <w:rsid w:val="001D2DE7"/>
    <w:rsid w:val="001D411C"/>
    <w:rsid w:val="001E1756"/>
    <w:rsid w:val="001E1B6A"/>
    <w:rsid w:val="001E2484"/>
    <w:rsid w:val="001E3CC4"/>
    <w:rsid w:val="001E4882"/>
    <w:rsid w:val="001E73AB"/>
    <w:rsid w:val="001F092D"/>
    <w:rsid w:val="001F143A"/>
    <w:rsid w:val="001F1605"/>
    <w:rsid w:val="001F2508"/>
    <w:rsid w:val="001F325C"/>
    <w:rsid w:val="001F4816"/>
    <w:rsid w:val="001F4EE9"/>
    <w:rsid w:val="001F69B4"/>
    <w:rsid w:val="001F77C7"/>
    <w:rsid w:val="00200183"/>
    <w:rsid w:val="00200333"/>
    <w:rsid w:val="0020107D"/>
    <w:rsid w:val="00202AA4"/>
    <w:rsid w:val="002031F7"/>
    <w:rsid w:val="00203A68"/>
    <w:rsid w:val="002040E6"/>
    <w:rsid w:val="0020527B"/>
    <w:rsid w:val="00205F2C"/>
    <w:rsid w:val="00210B15"/>
    <w:rsid w:val="002142EA"/>
    <w:rsid w:val="00215248"/>
    <w:rsid w:val="002204BB"/>
    <w:rsid w:val="00221B79"/>
    <w:rsid w:val="00221C6B"/>
    <w:rsid w:val="002253A1"/>
    <w:rsid w:val="00225CF8"/>
    <w:rsid w:val="0022794E"/>
    <w:rsid w:val="00232CDB"/>
    <w:rsid w:val="00233D64"/>
    <w:rsid w:val="0023482A"/>
    <w:rsid w:val="00234D4A"/>
    <w:rsid w:val="002359CB"/>
    <w:rsid w:val="00243540"/>
    <w:rsid w:val="0024497B"/>
    <w:rsid w:val="0024515B"/>
    <w:rsid w:val="00246021"/>
    <w:rsid w:val="0024666E"/>
    <w:rsid w:val="00247F52"/>
    <w:rsid w:val="00250B25"/>
    <w:rsid w:val="00250BBE"/>
    <w:rsid w:val="002515C2"/>
    <w:rsid w:val="0025194F"/>
    <w:rsid w:val="002560E9"/>
    <w:rsid w:val="00256FF1"/>
    <w:rsid w:val="0026148A"/>
    <w:rsid w:val="00262696"/>
    <w:rsid w:val="00263D25"/>
    <w:rsid w:val="002643C3"/>
    <w:rsid w:val="00264A0C"/>
    <w:rsid w:val="00266EEB"/>
    <w:rsid w:val="00267EF4"/>
    <w:rsid w:val="00270CB8"/>
    <w:rsid w:val="00272B08"/>
    <w:rsid w:val="002771AC"/>
    <w:rsid w:val="00280C43"/>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6A09"/>
    <w:rsid w:val="002A757F"/>
    <w:rsid w:val="002A7F44"/>
    <w:rsid w:val="002B05E9"/>
    <w:rsid w:val="002B0C40"/>
    <w:rsid w:val="002B1966"/>
    <w:rsid w:val="002B4508"/>
    <w:rsid w:val="002B5779"/>
    <w:rsid w:val="002B627B"/>
    <w:rsid w:val="002B7332"/>
    <w:rsid w:val="002B7F51"/>
    <w:rsid w:val="002C09E7"/>
    <w:rsid w:val="002C1E06"/>
    <w:rsid w:val="002C1E1C"/>
    <w:rsid w:val="002C3F07"/>
    <w:rsid w:val="002C5278"/>
    <w:rsid w:val="002C7EBB"/>
    <w:rsid w:val="002D06C1"/>
    <w:rsid w:val="002D09AF"/>
    <w:rsid w:val="002D42B5"/>
    <w:rsid w:val="002D4F1A"/>
    <w:rsid w:val="002D6EC6"/>
    <w:rsid w:val="002D79AC"/>
    <w:rsid w:val="002E039D"/>
    <w:rsid w:val="002E1837"/>
    <w:rsid w:val="002E4D5A"/>
    <w:rsid w:val="002E6326"/>
    <w:rsid w:val="002E74C5"/>
    <w:rsid w:val="002F30E0"/>
    <w:rsid w:val="002F35E4"/>
    <w:rsid w:val="002F3730"/>
    <w:rsid w:val="002F38E1"/>
    <w:rsid w:val="002F7AF6"/>
    <w:rsid w:val="00300E63"/>
    <w:rsid w:val="00302F5F"/>
    <w:rsid w:val="0030441D"/>
    <w:rsid w:val="00306063"/>
    <w:rsid w:val="00313B85"/>
    <w:rsid w:val="00317988"/>
    <w:rsid w:val="00320848"/>
    <w:rsid w:val="003221B4"/>
    <w:rsid w:val="0032258D"/>
    <w:rsid w:val="00322E62"/>
    <w:rsid w:val="00324D13"/>
    <w:rsid w:val="00324D2A"/>
    <w:rsid w:val="00324EDD"/>
    <w:rsid w:val="003331E4"/>
    <w:rsid w:val="00335FDB"/>
    <w:rsid w:val="00336C64"/>
    <w:rsid w:val="00337162"/>
    <w:rsid w:val="0034194F"/>
    <w:rsid w:val="00344605"/>
    <w:rsid w:val="003474AA"/>
    <w:rsid w:val="00347C36"/>
    <w:rsid w:val="00350149"/>
    <w:rsid w:val="00350D1D"/>
    <w:rsid w:val="00352C83"/>
    <w:rsid w:val="0035437F"/>
    <w:rsid w:val="003615D2"/>
    <w:rsid w:val="0036429C"/>
    <w:rsid w:val="00364A53"/>
    <w:rsid w:val="003654CB"/>
    <w:rsid w:val="00365AA9"/>
    <w:rsid w:val="00365F86"/>
    <w:rsid w:val="00365F87"/>
    <w:rsid w:val="00366E89"/>
    <w:rsid w:val="003705F4"/>
    <w:rsid w:val="00370D58"/>
    <w:rsid w:val="00371316"/>
    <w:rsid w:val="00372477"/>
    <w:rsid w:val="00376713"/>
    <w:rsid w:val="003777B8"/>
    <w:rsid w:val="003803A6"/>
    <w:rsid w:val="00381815"/>
    <w:rsid w:val="003819AF"/>
    <w:rsid w:val="003820E9"/>
    <w:rsid w:val="00382DE7"/>
    <w:rsid w:val="00384FFC"/>
    <w:rsid w:val="003872FC"/>
    <w:rsid w:val="0038795A"/>
    <w:rsid w:val="00387ADC"/>
    <w:rsid w:val="00390020"/>
    <w:rsid w:val="003903D6"/>
    <w:rsid w:val="00390EE6"/>
    <w:rsid w:val="0039118F"/>
    <w:rsid w:val="00392AD7"/>
    <w:rsid w:val="003938D9"/>
    <w:rsid w:val="00394376"/>
    <w:rsid w:val="003943FF"/>
    <w:rsid w:val="00394A8F"/>
    <w:rsid w:val="00395700"/>
    <w:rsid w:val="003974EB"/>
    <w:rsid w:val="00397CC5"/>
    <w:rsid w:val="003A1582"/>
    <w:rsid w:val="003A4077"/>
    <w:rsid w:val="003A533D"/>
    <w:rsid w:val="003A6B06"/>
    <w:rsid w:val="003B09AD"/>
    <w:rsid w:val="003B1F18"/>
    <w:rsid w:val="003B5BF0"/>
    <w:rsid w:val="003B60BF"/>
    <w:rsid w:val="003B6BE3"/>
    <w:rsid w:val="003C010C"/>
    <w:rsid w:val="003C0A6C"/>
    <w:rsid w:val="003C14F8"/>
    <w:rsid w:val="003C5A43"/>
    <w:rsid w:val="003D0519"/>
    <w:rsid w:val="003D0FF6"/>
    <w:rsid w:val="003D262C"/>
    <w:rsid w:val="003D5C37"/>
    <w:rsid w:val="003D6D61"/>
    <w:rsid w:val="003D79C6"/>
    <w:rsid w:val="003E091D"/>
    <w:rsid w:val="003E0FFC"/>
    <w:rsid w:val="003E1C53"/>
    <w:rsid w:val="003E2A69"/>
    <w:rsid w:val="003E2D49"/>
    <w:rsid w:val="003E2FD4"/>
    <w:rsid w:val="003E49F6"/>
    <w:rsid w:val="003E660F"/>
    <w:rsid w:val="003E72B0"/>
    <w:rsid w:val="003F0841"/>
    <w:rsid w:val="003F23D3"/>
    <w:rsid w:val="003F3F08"/>
    <w:rsid w:val="003F49F1"/>
    <w:rsid w:val="003F6272"/>
    <w:rsid w:val="00400E72"/>
    <w:rsid w:val="00401400"/>
    <w:rsid w:val="00404869"/>
    <w:rsid w:val="00405884"/>
    <w:rsid w:val="004065F8"/>
    <w:rsid w:val="00407D39"/>
    <w:rsid w:val="00412EF1"/>
    <w:rsid w:val="0041477A"/>
    <w:rsid w:val="004167A3"/>
    <w:rsid w:val="00423FC1"/>
    <w:rsid w:val="00432DAA"/>
    <w:rsid w:val="00434305"/>
    <w:rsid w:val="00435DF7"/>
    <w:rsid w:val="0044083F"/>
    <w:rsid w:val="00441AE7"/>
    <w:rsid w:val="00445574"/>
    <w:rsid w:val="00446308"/>
    <w:rsid w:val="004467FB"/>
    <w:rsid w:val="00452D6B"/>
    <w:rsid w:val="00454484"/>
    <w:rsid w:val="0045517B"/>
    <w:rsid w:val="0046153B"/>
    <w:rsid w:val="00463B77"/>
    <w:rsid w:val="00463C7B"/>
    <w:rsid w:val="004644A6"/>
    <w:rsid w:val="004659BD"/>
    <w:rsid w:val="00470775"/>
    <w:rsid w:val="004746B1"/>
    <w:rsid w:val="00474989"/>
    <w:rsid w:val="0047583F"/>
    <w:rsid w:val="00475A2A"/>
    <w:rsid w:val="00475DE8"/>
    <w:rsid w:val="00475E6A"/>
    <w:rsid w:val="00481C44"/>
    <w:rsid w:val="00484936"/>
    <w:rsid w:val="00485C89"/>
    <w:rsid w:val="00486BE3"/>
    <w:rsid w:val="004905E4"/>
    <w:rsid w:val="00490A89"/>
    <w:rsid w:val="00490AB4"/>
    <w:rsid w:val="00492F02"/>
    <w:rsid w:val="004939AE"/>
    <w:rsid w:val="0049642C"/>
    <w:rsid w:val="00496EA1"/>
    <w:rsid w:val="004A12DF"/>
    <w:rsid w:val="004A17E6"/>
    <w:rsid w:val="004A1BA8"/>
    <w:rsid w:val="004A4B57"/>
    <w:rsid w:val="004A63FA"/>
    <w:rsid w:val="004B0272"/>
    <w:rsid w:val="004B2701"/>
    <w:rsid w:val="004B2E1B"/>
    <w:rsid w:val="004B3AA8"/>
    <w:rsid w:val="004B3E93"/>
    <w:rsid w:val="004B5E47"/>
    <w:rsid w:val="004B6234"/>
    <w:rsid w:val="004C1FBC"/>
    <w:rsid w:val="004C3F1D"/>
    <w:rsid w:val="004C458D"/>
    <w:rsid w:val="004C7556"/>
    <w:rsid w:val="004C7E8B"/>
    <w:rsid w:val="004C7E9D"/>
    <w:rsid w:val="004C7F67"/>
    <w:rsid w:val="004D076D"/>
    <w:rsid w:val="004D0EF1"/>
    <w:rsid w:val="004D2253"/>
    <w:rsid w:val="004D3435"/>
    <w:rsid w:val="004D4406"/>
    <w:rsid w:val="004D7C42"/>
    <w:rsid w:val="004E0465"/>
    <w:rsid w:val="004E11CE"/>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139C"/>
    <w:rsid w:val="005121C0"/>
    <w:rsid w:val="00512F6E"/>
    <w:rsid w:val="00513038"/>
    <w:rsid w:val="00514174"/>
    <w:rsid w:val="00515C4E"/>
    <w:rsid w:val="00516088"/>
    <w:rsid w:val="00516B0B"/>
    <w:rsid w:val="005220EC"/>
    <w:rsid w:val="00523F95"/>
    <w:rsid w:val="00524D65"/>
    <w:rsid w:val="00525B16"/>
    <w:rsid w:val="00530382"/>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2CF3"/>
    <w:rsid w:val="00555044"/>
    <w:rsid w:val="00561475"/>
    <w:rsid w:val="0056487B"/>
    <w:rsid w:val="00564FB9"/>
    <w:rsid w:val="00573D9E"/>
    <w:rsid w:val="005801E3"/>
    <w:rsid w:val="005804F7"/>
    <w:rsid w:val="00581802"/>
    <w:rsid w:val="005836A8"/>
    <w:rsid w:val="0058409C"/>
    <w:rsid w:val="00584262"/>
    <w:rsid w:val="00586305"/>
    <w:rsid w:val="0058634D"/>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B9C"/>
    <w:rsid w:val="005E3C18"/>
    <w:rsid w:val="005E6812"/>
    <w:rsid w:val="005E7881"/>
    <w:rsid w:val="005E78E0"/>
    <w:rsid w:val="005F0D9C"/>
    <w:rsid w:val="005F284E"/>
    <w:rsid w:val="005F4712"/>
    <w:rsid w:val="005F6F89"/>
    <w:rsid w:val="006015CE"/>
    <w:rsid w:val="00604784"/>
    <w:rsid w:val="00606419"/>
    <w:rsid w:val="00607D29"/>
    <w:rsid w:val="006120ED"/>
    <w:rsid w:val="00612952"/>
    <w:rsid w:val="00614CC1"/>
    <w:rsid w:val="00615A9D"/>
    <w:rsid w:val="00617387"/>
    <w:rsid w:val="006205D6"/>
    <w:rsid w:val="00620ACA"/>
    <w:rsid w:val="006252D8"/>
    <w:rsid w:val="006259BC"/>
    <w:rsid w:val="0062636B"/>
    <w:rsid w:val="00627150"/>
    <w:rsid w:val="00632182"/>
    <w:rsid w:val="00632AE0"/>
    <w:rsid w:val="00633C17"/>
    <w:rsid w:val="00634D9E"/>
    <w:rsid w:val="00636E3E"/>
    <w:rsid w:val="006379F7"/>
    <w:rsid w:val="00637E4D"/>
    <w:rsid w:val="006405A1"/>
    <w:rsid w:val="00640620"/>
    <w:rsid w:val="006409D6"/>
    <w:rsid w:val="00641A1F"/>
    <w:rsid w:val="00645904"/>
    <w:rsid w:val="00651ACB"/>
    <w:rsid w:val="00651C47"/>
    <w:rsid w:val="00652AB2"/>
    <w:rsid w:val="00653FED"/>
    <w:rsid w:val="00654EC0"/>
    <w:rsid w:val="0065525B"/>
    <w:rsid w:val="006559DD"/>
    <w:rsid w:val="00655D4F"/>
    <w:rsid w:val="00656A71"/>
    <w:rsid w:val="00656D29"/>
    <w:rsid w:val="006640E5"/>
    <w:rsid w:val="006646F1"/>
    <w:rsid w:val="00664929"/>
    <w:rsid w:val="00664F62"/>
    <w:rsid w:val="006655E1"/>
    <w:rsid w:val="00672060"/>
    <w:rsid w:val="00672BFD"/>
    <w:rsid w:val="0067309F"/>
    <w:rsid w:val="00674550"/>
    <w:rsid w:val="006756FA"/>
    <w:rsid w:val="006770F4"/>
    <w:rsid w:val="00677A84"/>
    <w:rsid w:val="0068026D"/>
    <w:rsid w:val="00680A27"/>
    <w:rsid w:val="006816A4"/>
    <w:rsid w:val="006819B8"/>
    <w:rsid w:val="006840A6"/>
    <w:rsid w:val="006848AD"/>
    <w:rsid w:val="006850CD"/>
    <w:rsid w:val="00685AAB"/>
    <w:rsid w:val="006902ED"/>
    <w:rsid w:val="00695D22"/>
    <w:rsid w:val="006A07AA"/>
    <w:rsid w:val="006A195E"/>
    <w:rsid w:val="006A25E5"/>
    <w:rsid w:val="006A2B46"/>
    <w:rsid w:val="006A336D"/>
    <w:rsid w:val="006A37B9"/>
    <w:rsid w:val="006B2672"/>
    <w:rsid w:val="006B54BF"/>
    <w:rsid w:val="006B5F44"/>
    <w:rsid w:val="006B5F90"/>
    <w:rsid w:val="006B62E4"/>
    <w:rsid w:val="006B74E5"/>
    <w:rsid w:val="006C1BBA"/>
    <w:rsid w:val="006C2079"/>
    <w:rsid w:val="006C47BA"/>
    <w:rsid w:val="006C5A62"/>
    <w:rsid w:val="006C5C3F"/>
    <w:rsid w:val="006C5D68"/>
    <w:rsid w:val="006C6976"/>
    <w:rsid w:val="006C6DD0"/>
    <w:rsid w:val="006D04EA"/>
    <w:rsid w:val="006D0AB7"/>
    <w:rsid w:val="006D16C4"/>
    <w:rsid w:val="006D387B"/>
    <w:rsid w:val="006D3E96"/>
    <w:rsid w:val="006D4515"/>
    <w:rsid w:val="006D4BB1"/>
    <w:rsid w:val="006D6593"/>
    <w:rsid w:val="006E23EA"/>
    <w:rsid w:val="006F03A8"/>
    <w:rsid w:val="006F2166"/>
    <w:rsid w:val="006F2857"/>
    <w:rsid w:val="006F2ACA"/>
    <w:rsid w:val="006F2ADC"/>
    <w:rsid w:val="006F2BFE"/>
    <w:rsid w:val="006F31E9"/>
    <w:rsid w:val="006F4535"/>
    <w:rsid w:val="006F6284"/>
    <w:rsid w:val="007002C5"/>
    <w:rsid w:val="00702E68"/>
    <w:rsid w:val="00704387"/>
    <w:rsid w:val="00707669"/>
    <w:rsid w:val="00711CBA"/>
    <w:rsid w:val="00711FB5"/>
    <w:rsid w:val="00712A01"/>
    <w:rsid w:val="00713F12"/>
    <w:rsid w:val="00714F58"/>
    <w:rsid w:val="00722FBF"/>
    <w:rsid w:val="00722FC2"/>
    <w:rsid w:val="00724879"/>
    <w:rsid w:val="00724E1B"/>
    <w:rsid w:val="00725949"/>
    <w:rsid w:val="00727FA2"/>
    <w:rsid w:val="00731A37"/>
    <w:rsid w:val="007322D9"/>
    <w:rsid w:val="00732BC0"/>
    <w:rsid w:val="0073630A"/>
    <w:rsid w:val="0073720F"/>
    <w:rsid w:val="00737796"/>
    <w:rsid w:val="007412DA"/>
    <w:rsid w:val="0074165C"/>
    <w:rsid w:val="00742C35"/>
    <w:rsid w:val="007432CA"/>
    <w:rsid w:val="007439EB"/>
    <w:rsid w:val="00743CB4"/>
    <w:rsid w:val="00743F0A"/>
    <w:rsid w:val="007444E8"/>
    <w:rsid w:val="0074548E"/>
    <w:rsid w:val="00745773"/>
    <w:rsid w:val="00745E5D"/>
    <w:rsid w:val="00746800"/>
    <w:rsid w:val="007501A8"/>
    <w:rsid w:val="00750D61"/>
    <w:rsid w:val="00750EE1"/>
    <w:rsid w:val="00752B4D"/>
    <w:rsid w:val="00755402"/>
    <w:rsid w:val="00756B26"/>
    <w:rsid w:val="00756EDF"/>
    <w:rsid w:val="007600E3"/>
    <w:rsid w:val="00764520"/>
    <w:rsid w:val="00765C43"/>
    <w:rsid w:val="00765EFB"/>
    <w:rsid w:val="007671CA"/>
    <w:rsid w:val="00767C61"/>
    <w:rsid w:val="0077008A"/>
    <w:rsid w:val="00773C1F"/>
    <w:rsid w:val="00774DA4"/>
    <w:rsid w:val="00775695"/>
    <w:rsid w:val="00776599"/>
    <w:rsid w:val="0078114B"/>
    <w:rsid w:val="00781DD2"/>
    <w:rsid w:val="00783ECF"/>
    <w:rsid w:val="0078413A"/>
    <w:rsid w:val="007919A7"/>
    <w:rsid w:val="007920A1"/>
    <w:rsid w:val="007959E8"/>
    <w:rsid w:val="00795E9C"/>
    <w:rsid w:val="007A0521"/>
    <w:rsid w:val="007A2E12"/>
    <w:rsid w:val="007A3475"/>
    <w:rsid w:val="007A3918"/>
    <w:rsid w:val="007A41C8"/>
    <w:rsid w:val="007A54CE"/>
    <w:rsid w:val="007A62CF"/>
    <w:rsid w:val="007A6FD9"/>
    <w:rsid w:val="007A713B"/>
    <w:rsid w:val="007A7FFA"/>
    <w:rsid w:val="007B04EB"/>
    <w:rsid w:val="007B0D4F"/>
    <w:rsid w:val="007B5A3D"/>
    <w:rsid w:val="007B5B95"/>
    <w:rsid w:val="007B68EA"/>
    <w:rsid w:val="007B7453"/>
    <w:rsid w:val="007C1E8B"/>
    <w:rsid w:val="007C2D89"/>
    <w:rsid w:val="007C4593"/>
    <w:rsid w:val="007C5309"/>
    <w:rsid w:val="007C6069"/>
    <w:rsid w:val="007C7866"/>
    <w:rsid w:val="007D06C4"/>
    <w:rsid w:val="007D1352"/>
    <w:rsid w:val="007D2508"/>
    <w:rsid w:val="007D346A"/>
    <w:rsid w:val="007D6518"/>
    <w:rsid w:val="007D76BD"/>
    <w:rsid w:val="007E0BF1"/>
    <w:rsid w:val="007E5102"/>
    <w:rsid w:val="007F0ED8"/>
    <w:rsid w:val="007F0F63"/>
    <w:rsid w:val="007F75CE"/>
    <w:rsid w:val="00801309"/>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28CA"/>
    <w:rsid w:val="0083348C"/>
    <w:rsid w:val="00834973"/>
    <w:rsid w:val="008373D3"/>
    <w:rsid w:val="00840611"/>
    <w:rsid w:val="00840617"/>
    <w:rsid w:val="00840F84"/>
    <w:rsid w:val="00842A47"/>
    <w:rsid w:val="00843C13"/>
    <w:rsid w:val="008454F8"/>
    <w:rsid w:val="0085173A"/>
    <w:rsid w:val="00855AE6"/>
    <w:rsid w:val="00855FE1"/>
    <w:rsid w:val="00856316"/>
    <w:rsid w:val="008603CE"/>
    <w:rsid w:val="008620FC"/>
    <w:rsid w:val="008627A5"/>
    <w:rsid w:val="00863E05"/>
    <w:rsid w:val="00865ACA"/>
    <w:rsid w:val="00865D28"/>
    <w:rsid w:val="00865F85"/>
    <w:rsid w:val="00867C10"/>
    <w:rsid w:val="00870439"/>
    <w:rsid w:val="00870DA1"/>
    <w:rsid w:val="00876DED"/>
    <w:rsid w:val="00883F93"/>
    <w:rsid w:val="00884DB3"/>
    <w:rsid w:val="00885A9D"/>
    <w:rsid w:val="008864F6"/>
    <w:rsid w:val="0089049D"/>
    <w:rsid w:val="008928C9"/>
    <w:rsid w:val="008930CB"/>
    <w:rsid w:val="008938DC"/>
    <w:rsid w:val="00893FD1"/>
    <w:rsid w:val="00894836"/>
    <w:rsid w:val="00895172"/>
    <w:rsid w:val="00895680"/>
    <w:rsid w:val="00896A16"/>
    <w:rsid w:val="00896DFF"/>
    <w:rsid w:val="0089762C"/>
    <w:rsid w:val="008A1893"/>
    <w:rsid w:val="008A3002"/>
    <w:rsid w:val="008A3215"/>
    <w:rsid w:val="008A57E6"/>
    <w:rsid w:val="008A59F8"/>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D7B83"/>
    <w:rsid w:val="008E0C9D"/>
    <w:rsid w:val="008E1648"/>
    <w:rsid w:val="008E1B3E"/>
    <w:rsid w:val="008E2319"/>
    <w:rsid w:val="008E4BB6"/>
    <w:rsid w:val="008E542E"/>
    <w:rsid w:val="008E5518"/>
    <w:rsid w:val="008E6A84"/>
    <w:rsid w:val="008F0CDC"/>
    <w:rsid w:val="008F17A3"/>
    <w:rsid w:val="008F1ED3"/>
    <w:rsid w:val="008F23A5"/>
    <w:rsid w:val="008F4C29"/>
    <w:rsid w:val="008F70BD"/>
    <w:rsid w:val="008F788F"/>
    <w:rsid w:val="008F7EA2"/>
    <w:rsid w:val="009004DD"/>
    <w:rsid w:val="00902722"/>
    <w:rsid w:val="009027BC"/>
    <w:rsid w:val="00903EC8"/>
    <w:rsid w:val="00904853"/>
    <w:rsid w:val="009062E6"/>
    <w:rsid w:val="00911BE5"/>
    <w:rsid w:val="00913CA9"/>
    <w:rsid w:val="009145AE"/>
    <w:rsid w:val="009146CE"/>
    <w:rsid w:val="00914CA7"/>
    <w:rsid w:val="00915C3E"/>
    <w:rsid w:val="009161A8"/>
    <w:rsid w:val="009245F5"/>
    <w:rsid w:val="009249EC"/>
    <w:rsid w:val="00925B38"/>
    <w:rsid w:val="009273B3"/>
    <w:rsid w:val="009305B5"/>
    <w:rsid w:val="00937D9F"/>
    <w:rsid w:val="00940C5C"/>
    <w:rsid w:val="009429D5"/>
    <w:rsid w:val="00942BF1"/>
    <w:rsid w:val="00945180"/>
    <w:rsid w:val="00945428"/>
    <w:rsid w:val="0094607B"/>
    <w:rsid w:val="00953604"/>
    <w:rsid w:val="0095496B"/>
    <w:rsid w:val="00960528"/>
    <w:rsid w:val="009610DC"/>
    <w:rsid w:val="00961490"/>
    <w:rsid w:val="00961DF6"/>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5FE5"/>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06D"/>
    <w:rsid w:val="009D112C"/>
    <w:rsid w:val="009D22DD"/>
    <w:rsid w:val="009D3EAE"/>
    <w:rsid w:val="009D47FA"/>
    <w:rsid w:val="009D4C5B"/>
    <w:rsid w:val="009D50D2"/>
    <w:rsid w:val="009D6BCA"/>
    <w:rsid w:val="009E0F62"/>
    <w:rsid w:val="009E10AE"/>
    <w:rsid w:val="009E3741"/>
    <w:rsid w:val="009E4A58"/>
    <w:rsid w:val="009E5A2D"/>
    <w:rsid w:val="009E5AB2"/>
    <w:rsid w:val="009E6219"/>
    <w:rsid w:val="009E7B78"/>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2568E"/>
    <w:rsid w:val="00A30EFC"/>
    <w:rsid w:val="00A31984"/>
    <w:rsid w:val="00A32D73"/>
    <w:rsid w:val="00A3367B"/>
    <w:rsid w:val="00A3597D"/>
    <w:rsid w:val="00A36DD1"/>
    <w:rsid w:val="00A372D4"/>
    <w:rsid w:val="00A4006C"/>
    <w:rsid w:val="00A40091"/>
    <w:rsid w:val="00A4030F"/>
    <w:rsid w:val="00A41C79"/>
    <w:rsid w:val="00A41CB5"/>
    <w:rsid w:val="00A42CDF"/>
    <w:rsid w:val="00A42D97"/>
    <w:rsid w:val="00A4452E"/>
    <w:rsid w:val="00A4472C"/>
    <w:rsid w:val="00A44E69"/>
    <w:rsid w:val="00A4661E"/>
    <w:rsid w:val="00A5199C"/>
    <w:rsid w:val="00A55BD6"/>
    <w:rsid w:val="00A55D50"/>
    <w:rsid w:val="00A57142"/>
    <w:rsid w:val="00A648CD"/>
    <w:rsid w:val="00A6537A"/>
    <w:rsid w:val="00A67866"/>
    <w:rsid w:val="00A70B07"/>
    <w:rsid w:val="00A723F8"/>
    <w:rsid w:val="00A75CF2"/>
    <w:rsid w:val="00A77CCB"/>
    <w:rsid w:val="00A804A0"/>
    <w:rsid w:val="00A81DAE"/>
    <w:rsid w:val="00A83D8D"/>
    <w:rsid w:val="00A8446B"/>
    <w:rsid w:val="00A8473F"/>
    <w:rsid w:val="00A862D6"/>
    <w:rsid w:val="00A8715E"/>
    <w:rsid w:val="00A91AC3"/>
    <w:rsid w:val="00A9295B"/>
    <w:rsid w:val="00A93B09"/>
    <w:rsid w:val="00A94247"/>
    <w:rsid w:val="00A952D7"/>
    <w:rsid w:val="00A963F7"/>
    <w:rsid w:val="00A96AD8"/>
    <w:rsid w:val="00AA052C"/>
    <w:rsid w:val="00AA1E45"/>
    <w:rsid w:val="00AA4286"/>
    <w:rsid w:val="00AA456B"/>
    <w:rsid w:val="00AA57F5"/>
    <w:rsid w:val="00AA59B4"/>
    <w:rsid w:val="00AA672E"/>
    <w:rsid w:val="00AA6EC9"/>
    <w:rsid w:val="00AB41D5"/>
    <w:rsid w:val="00AB6309"/>
    <w:rsid w:val="00AB6C5F"/>
    <w:rsid w:val="00AB7129"/>
    <w:rsid w:val="00AC203C"/>
    <w:rsid w:val="00AC27A6"/>
    <w:rsid w:val="00AC2D19"/>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99C"/>
    <w:rsid w:val="00AE5EB4"/>
    <w:rsid w:val="00AF0C18"/>
    <w:rsid w:val="00AF47C5"/>
    <w:rsid w:val="00AF5398"/>
    <w:rsid w:val="00AF7EB8"/>
    <w:rsid w:val="00B049AF"/>
    <w:rsid w:val="00B056FD"/>
    <w:rsid w:val="00B07242"/>
    <w:rsid w:val="00B10534"/>
    <w:rsid w:val="00B10A23"/>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02C9"/>
    <w:rsid w:val="00B4346D"/>
    <w:rsid w:val="00B440F4"/>
    <w:rsid w:val="00B447A5"/>
    <w:rsid w:val="00B4654C"/>
    <w:rsid w:val="00B46AF0"/>
    <w:rsid w:val="00B47293"/>
    <w:rsid w:val="00B505F5"/>
    <w:rsid w:val="00B50E50"/>
    <w:rsid w:val="00B51E44"/>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0F59"/>
    <w:rsid w:val="00B911DD"/>
    <w:rsid w:val="00B939B1"/>
    <w:rsid w:val="00B96D40"/>
    <w:rsid w:val="00B9723B"/>
    <w:rsid w:val="00B97386"/>
    <w:rsid w:val="00BA263B"/>
    <w:rsid w:val="00BA42B2"/>
    <w:rsid w:val="00BA58D4"/>
    <w:rsid w:val="00BA5B9E"/>
    <w:rsid w:val="00BA7C9A"/>
    <w:rsid w:val="00BB0329"/>
    <w:rsid w:val="00BB203B"/>
    <w:rsid w:val="00BB5F8F"/>
    <w:rsid w:val="00BB657A"/>
    <w:rsid w:val="00BC1A4E"/>
    <w:rsid w:val="00BC4790"/>
    <w:rsid w:val="00BC5DC7"/>
    <w:rsid w:val="00BC6B8B"/>
    <w:rsid w:val="00BC73D8"/>
    <w:rsid w:val="00BD52D7"/>
    <w:rsid w:val="00BD5AD2"/>
    <w:rsid w:val="00BE22F3"/>
    <w:rsid w:val="00BE2BD2"/>
    <w:rsid w:val="00BE5B52"/>
    <w:rsid w:val="00BE7B8D"/>
    <w:rsid w:val="00BF0993"/>
    <w:rsid w:val="00BF10A9"/>
    <w:rsid w:val="00BF1703"/>
    <w:rsid w:val="00BF231C"/>
    <w:rsid w:val="00BF51E5"/>
    <w:rsid w:val="00BF74A6"/>
    <w:rsid w:val="00C013AD"/>
    <w:rsid w:val="00C04904"/>
    <w:rsid w:val="00C056B3"/>
    <w:rsid w:val="00C06EA5"/>
    <w:rsid w:val="00C103E5"/>
    <w:rsid w:val="00C13319"/>
    <w:rsid w:val="00C13EE9"/>
    <w:rsid w:val="00C1599A"/>
    <w:rsid w:val="00C21540"/>
    <w:rsid w:val="00C21906"/>
    <w:rsid w:val="00C21BFA"/>
    <w:rsid w:val="00C22148"/>
    <w:rsid w:val="00C22EF3"/>
    <w:rsid w:val="00C24C8D"/>
    <w:rsid w:val="00C25FE2"/>
    <w:rsid w:val="00C26B53"/>
    <w:rsid w:val="00C279B2"/>
    <w:rsid w:val="00C33E50"/>
    <w:rsid w:val="00C34C20"/>
    <w:rsid w:val="00C35A3E"/>
    <w:rsid w:val="00C37DFC"/>
    <w:rsid w:val="00C42130"/>
    <w:rsid w:val="00C423A4"/>
    <w:rsid w:val="00C44977"/>
    <w:rsid w:val="00C44BF5"/>
    <w:rsid w:val="00C4782E"/>
    <w:rsid w:val="00C521D6"/>
    <w:rsid w:val="00C55232"/>
    <w:rsid w:val="00C553A4"/>
    <w:rsid w:val="00C55A06"/>
    <w:rsid w:val="00C55D03"/>
    <w:rsid w:val="00C601BC"/>
    <w:rsid w:val="00C6329F"/>
    <w:rsid w:val="00C63340"/>
    <w:rsid w:val="00C643F9"/>
    <w:rsid w:val="00C64E95"/>
    <w:rsid w:val="00C71372"/>
    <w:rsid w:val="00C72410"/>
    <w:rsid w:val="00C7287F"/>
    <w:rsid w:val="00C73E3A"/>
    <w:rsid w:val="00C80982"/>
    <w:rsid w:val="00C80CB8"/>
    <w:rsid w:val="00C819F8"/>
    <w:rsid w:val="00C8248C"/>
    <w:rsid w:val="00C84E33"/>
    <w:rsid w:val="00C86D6F"/>
    <w:rsid w:val="00C904B4"/>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1AC9"/>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40D6"/>
    <w:rsid w:val="00CF686F"/>
    <w:rsid w:val="00CF6E60"/>
    <w:rsid w:val="00CF7BCA"/>
    <w:rsid w:val="00D008FD"/>
    <w:rsid w:val="00D0321C"/>
    <w:rsid w:val="00D035EC"/>
    <w:rsid w:val="00D06060"/>
    <w:rsid w:val="00D06AB1"/>
    <w:rsid w:val="00D072ED"/>
    <w:rsid w:val="00D07A16"/>
    <w:rsid w:val="00D102C5"/>
    <w:rsid w:val="00D1067E"/>
    <w:rsid w:val="00D10F50"/>
    <w:rsid w:val="00D11272"/>
    <w:rsid w:val="00D126F5"/>
    <w:rsid w:val="00D1489E"/>
    <w:rsid w:val="00D16886"/>
    <w:rsid w:val="00D20484"/>
    <w:rsid w:val="00D20737"/>
    <w:rsid w:val="00D21E81"/>
    <w:rsid w:val="00D223DE"/>
    <w:rsid w:val="00D25E37"/>
    <w:rsid w:val="00D2661A"/>
    <w:rsid w:val="00D27582"/>
    <w:rsid w:val="00D27EC4"/>
    <w:rsid w:val="00D324C4"/>
    <w:rsid w:val="00D32719"/>
    <w:rsid w:val="00D33333"/>
    <w:rsid w:val="00D33457"/>
    <w:rsid w:val="00D34AD3"/>
    <w:rsid w:val="00D352A2"/>
    <w:rsid w:val="00D3660F"/>
    <w:rsid w:val="00D4162B"/>
    <w:rsid w:val="00D44595"/>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71C"/>
    <w:rsid w:val="00D86DB7"/>
    <w:rsid w:val="00D926D0"/>
    <w:rsid w:val="00D93030"/>
    <w:rsid w:val="00D950E1"/>
    <w:rsid w:val="00D952A6"/>
    <w:rsid w:val="00D97F99"/>
    <w:rsid w:val="00DA016E"/>
    <w:rsid w:val="00DA1E08"/>
    <w:rsid w:val="00DA24F8"/>
    <w:rsid w:val="00DA28E8"/>
    <w:rsid w:val="00DA38D3"/>
    <w:rsid w:val="00DA3932"/>
    <w:rsid w:val="00DA3AFC"/>
    <w:rsid w:val="00DA4BBA"/>
    <w:rsid w:val="00DA5191"/>
    <w:rsid w:val="00DA64F8"/>
    <w:rsid w:val="00DA6C15"/>
    <w:rsid w:val="00DB0258"/>
    <w:rsid w:val="00DB38EE"/>
    <w:rsid w:val="00DB498B"/>
    <w:rsid w:val="00DB5A2C"/>
    <w:rsid w:val="00DB66CA"/>
    <w:rsid w:val="00DB6BCA"/>
    <w:rsid w:val="00DB73F7"/>
    <w:rsid w:val="00DC0321"/>
    <w:rsid w:val="00DC3067"/>
    <w:rsid w:val="00DC370B"/>
    <w:rsid w:val="00DC5B90"/>
    <w:rsid w:val="00DD00FF"/>
    <w:rsid w:val="00DD0619"/>
    <w:rsid w:val="00DD07FB"/>
    <w:rsid w:val="00DD0986"/>
    <w:rsid w:val="00DD206F"/>
    <w:rsid w:val="00DD25C6"/>
    <w:rsid w:val="00DD4FE5"/>
    <w:rsid w:val="00DD54B0"/>
    <w:rsid w:val="00DD57EE"/>
    <w:rsid w:val="00DD6BCC"/>
    <w:rsid w:val="00DE0A4B"/>
    <w:rsid w:val="00DE2410"/>
    <w:rsid w:val="00DE2939"/>
    <w:rsid w:val="00DE6E81"/>
    <w:rsid w:val="00DE703F"/>
    <w:rsid w:val="00DE7595"/>
    <w:rsid w:val="00DF12DD"/>
    <w:rsid w:val="00DF1961"/>
    <w:rsid w:val="00DF44DE"/>
    <w:rsid w:val="00DF5F11"/>
    <w:rsid w:val="00E01138"/>
    <w:rsid w:val="00E025F3"/>
    <w:rsid w:val="00E02DFB"/>
    <w:rsid w:val="00E030F9"/>
    <w:rsid w:val="00E0311A"/>
    <w:rsid w:val="00E03138"/>
    <w:rsid w:val="00E06404"/>
    <w:rsid w:val="00E0655C"/>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1F33"/>
    <w:rsid w:val="00E62FF9"/>
    <w:rsid w:val="00E635D6"/>
    <w:rsid w:val="00E639BC"/>
    <w:rsid w:val="00E664CC"/>
    <w:rsid w:val="00E70388"/>
    <w:rsid w:val="00E70F92"/>
    <w:rsid w:val="00E74C54"/>
    <w:rsid w:val="00E76882"/>
    <w:rsid w:val="00E77A03"/>
    <w:rsid w:val="00E822E8"/>
    <w:rsid w:val="00E82554"/>
    <w:rsid w:val="00E82606"/>
    <w:rsid w:val="00E84388"/>
    <w:rsid w:val="00E846C8"/>
    <w:rsid w:val="00E84957"/>
    <w:rsid w:val="00E84A55"/>
    <w:rsid w:val="00E85207"/>
    <w:rsid w:val="00E85BFF"/>
    <w:rsid w:val="00E87295"/>
    <w:rsid w:val="00E90391"/>
    <w:rsid w:val="00E906C2"/>
    <w:rsid w:val="00E9191C"/>
    <w:rsid w:val="00E9311F"/>
    <w:rsid w:val="00E934D1"/>
    <w:rsid w:val="00E94AF0"/>
    <w:rsid w:val="00E95D13"/>
    <w:rsid w:val="00E95DD3"/>
    <w:rsid w:val="00E969D5"/>
    <w:rsid w:val="00E97469"/>
    <w:rsid w:val="00EA3129"/>
    <w:rsid w:val="00EA39B0"/>
    <w:rsid w:val="00EA58D1"/>
    <w:rsid w:val="00EA61BC"/>
    <w:rsid w:val="00EA681A"/>
    <w:rsid w:val="00EA735B"/>
    <w:rsid w:val="00EB17DE"/>
    <w:rsid w:val="00EB1E69"/>
    <w:rsid w:val="00EB2086"/>
    <w:rsid w:val="00EB5EDF"/>
    <w:rsid w:val="00EB60FE"/>
    <w:rsid w:val="00EB74DB"/>
    <w:rsid w:val="00EC0818"/>
    <w:rsid w:val="00EC5359"/>
    <w:rsid w:val="00EC562A"/>
    <w:rsid w:val="00ED067A"/>
    <w:rsid w:val="00ED1F0A"/>
    <w:rsid w:val="00ED2B50"/>
    <w:rsid w:val="00ED4858"/>
    <w:rsid w:val="00EE0350"/>
    <w:rsid w:val="00EE0719"/>
    <w:rsid w:val="00EE0E80"/>
    <w:rsid w:val="00EE54A6"/>
    <w:rsid w:val="00EE613F"/>
    <w:rsid w:val="00EE7295"/>
    <w:rsid w:val="00EE7869"/>
    <w:rsid w:val="00EF054A"/>
    <w:rsid w:val="00EF3235"/>
    <w:rsid w:val="00EF7E72"/>
    <w:rsid w:val="00F01BE7"/>
    <w:rsid w:val="00F06D37"/>
    <w:rsid w:val="00F06FF4"/>
    <w:rsid w:val="00F07B9D"/>
    <w:rsid w:val="00F11586"/>
    <w:rsid w:val="00F1183B"/>
    <w:rsid w:val="00F11C9F"/>
    <w:rsid w:val="00F12263"/>
    <w:rsid w:val="00F1409D"/>
    <w:rsid w:val="00F14214"/>
    <w:rsid w:val="00F157A9"/>
    <w:rsid w:val="00F25BB6"/>
    <w:rsid w:val="00F26B7E"/>
    <w:rsid w:val="00F27A3B"/>
    <w:rsid w:val="00F302B4"/>
    <w:rsid w:val="00F312F9"/>
    <w:rsid w:val="00F33817"/>
    <w:rsid w:val="00F34C3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891"/>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CBA"/>
    <w:rsid w:val="00FA4DAC"/>
    <w:rsid w:val="00FA662D"/>
    <w:rsid w:val="00FA73B1"/>
    <w:rsid w:val="00FB0CB9"/>
    <w:rsid w:val="00FB231D"/>
    <w:rsid w:val="00FB45F1"/>
    <w:rsid w:val="00FB4A72"/>
    <w:rsid w:val="00FB54E8"/>
    <w:rsid w:val="00FB7054"/>
    <w:rsid w:val="00FC17B7"/>
    <w:rsid w:val="00FC2572"/>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A94"/>
    <w:rsid w:val="00FF5B99"/>
    <w:rsid w:val="00FF730C"/>
    <w:rsid w:val="00FF73F4"/>
    <w:rsid w:val="00FF7CE4"/>
    <w:rsid w:val="00FF7E39"/>
    <w:rsid w:val="0156177E"/>
    <w:rsid w:val="03726617"/>
    <w:rsid w:val="0C6833A6"/>
    <w:rsid w:val="117959C3"/>
    <w:rsid w:val="14DB226E"/>
    <w:rsid w:val="19263CD4"/>
    <w:rsid w:val="19392B5A"/>
    <w:rsid w:val="1D271DC8"/>
    <w:rsid w:val="1DAF4298"/>
    <w:rsid w:val="1F1A5C5E"/>
    <w:rsid w:val="1FF266BE"/>
    <w:rsid w:val="20450EE3"/>
    <w:rsid w:val="21BF4CC5"/>
    <w:rsid w:val="24A00233"/>
    <w:rsid w:val="252732C9"/>
    <w:rsid w:val="252B17F6"/>
    <w:rsid w:val="25EC3BAF"/>
    <w:rsid w:val="2B7153EE"/>
    <w:rsid w:val="2CCB6C14"/>
    <w:rsid w:val="2D2C718A"/>
    <w:rsid w:val="2DA60AE7"/>
    <w:rsid w:val="2DC72D62"/>
    <w:rsid w:val="30AF53CE"/>
    <w:rsid w:val="310C2E74"/>
    <w:rsid w:val="32877139"/>
    <w:rsid w:val="338801D1"/>
    <w:rsid w:val="36D159B0"/>
    <w:rsid w:val="37424475"/>
    <w:rsid w:val="38BB15AC"/>
    <w:rsid w:val="3A6C1763"/>
    <w:rsid w:val="3D8928C8"/>
    <w:rsid w:val="40D511CF"/>
    <w:rsid w:val="41D557E2"/>
    <w:rsid w:val="44A1408B"/>
    <w:rsid w:val="45DF20BA"/>
    <w:rsid w:val="462431C5"/>
    <w:rsid w:val="48F87892"/>
    <w:rsid w:val="4CA566E2"/>
    <w:rsid w:val="4DDC4386"/>
    <w:rsid w:val="4F7B372A"/>
    <w:rsid w:val="504B75A0"/>
    <w:rsid w:val="510734C7"/>
    <w:rsid w:val="548B08B3"/>
    <w:rsid w:val="54E3249D"/>
    <w:rsid w:val="5587019B"/>
    <w:rsid w:val="55DB4F23"/>
    <w:rsid w:val="57912A83"/>
    <w:rsid w:val="57C70FC9"/>
    <w:rsid w:val="594A23C7"/>
    <w:rsid w:val="59545718"/>
    <w:rsid w:val="59AA538C"/>
    <w:rsid w:val="5A094754"/>
    <w:rsid w:val="5B060C94"/>
    <w:rsid w:val="5DD9389D"/>
    <w:rsid w:val="6025484D"/>
    <w:rsid w:val="602844E5"/>
    <w:rsid w:val="63FA2B1C"/>
    <w:rsid w:val="6B3D5EF0"/>
    <w:rsid w:val="6C2C6080"/>
    <w:rsid w:val="6D592EA5"/>
    <w:rsid w:val="6E16489B"/>
    <w:rsid w:val="6FB42615"/>
    <w:rsid w:val="6FD26F3F"/>
    <w:rsid w:val="71011921"/>
    <w:rsid w:val="717F4D49"/>
    <w:rsid w:val="74A85969"/>
    <w:rsid w:val="75B96BD7"/>
    <w:rsid w:val="79751ECA"/>
    <w:rsid w:val="799B1366"/>
    <w:rsid w:val="7C5277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4">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37"/>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link w:val="38"/>
    <w:qFormat/>
    <w:uiPriority w:val="0"/>
    <w:pPr>
      <w:keepNext/>
      <w:keepLines/>
      <w:spacing w:before="260" w:after="260" w:line="416" w:lineRule="auto"/>
      <w:outlineLvl w:val="2"/>
    </w:pPr>
    <w:rPr>
      <w:b/>
      <w:bCs/>
      <w:sz w:val="32"/>
      <w:szCs w:val="32"/>
    </w:rPr>
  </w:style>
  <w:style w:type="paragraph" w:styleId="7">
    <w:name w:val="heading 4"/>
    <w:basedOn w:val="1"/>
    <w:next w:val="1"/>
    <w:link w:val="39"/>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40"/>
    <w:qFormat/>
    <w:uiPriority w:val="0"/>
    <w:pPr>
      <w:keepNext/>
      <w:keepLines/>
      <w:adjustRightInd/>
      <w:spacing w:before="280" w:after="290" w:line="376" w:lineRule="auto"/>
      <w:outlineLvl w:val="4"/>
    </w:pPr>
    <w:rPr>
      <w:b/>
      <w:bCs/>
      <w:sz w:val="28"/>
      <w:szCs w:val="28"/>
    </w:rPr>
  </w:style>
  <w:style w:type="paragraph" w:styleId="9">
    <w:name w:val="heading 6"/>
    <w:basedOn w:val="1"/>
    <w:next w:val="1"/>
    <w:link w:val="41"/>
    <w:qFormat/>
    <w:uiPriority w:val="0"/>
    <w:pPr>
      <w:keepNext/>
      <w:keepLines/>
      <w:adjustRightInd/>
      <w:spacing w:before="240" w:after="64" w:line="320" w:lineRule="auto"/>
      <w:outlineLvl w:val="5"/>
    </w:pPr>
    <w:rPr>
      <w:rFonts w:ascii="Arial" w:hAnsi="Arial" w:eastAsia="黑体"/>
      <w:b/>
      <w:bCs/>
      <w:sz w:val="24"/>
      <w:szCs w:val="24"/>
    </w:rPr>
  </w:style>
  <w:style w:type="paragraph" w:styleId="10">
    <w:name w:val="heading 7"/>
    <w:basedOn w:val="1"/>
    <w:next w:val="1"/>
    <w:link w:val="42"/>
    <w:qFormat/>
    <w:uiPriority w:val="0"/>
    <w:pPr>
      <w:keepNext/>
      <w:keepLines/>
      <w:adjustRightInd/>
      <w:spacing w:before="240" w:after="64" w:line="320" w:lineRule="auto"/>
      <w:outlineLvl w:val="6"/>
    </w:pPr>
    <w:rPr>
      <w:b/>
      <w:bCs/>
      <w:sz w:val="24"/>
      <w:szCs w:val="24"/>
    </w:rPr>
  </w:style>
  <w:style w:type="paragraph" w:styleId="11">
    <w:name w:val="heading 8"/>
    <w:basedOn w:val="1"/>
    <w:next w:val="1"/>
    <w:link w:val="43"/>
    <w:qFormat/>
    <w:uiPriority w:val="0"/>
    <w:pPr>
      <w:keepNext/>
      <w:keepLines/>
      <w:adjustRightInd/>
      <w:spacing w:before="240" w:after="64" w:line="320" w:lineRule="auto"/>
      <w:outlineLvl w:val="7"/>
    </w:pPr>
    <w:rPr>
      <w:rFonts w:ascii="Arial" w:hAnsi="Arial" w:eastAsia="黑体"/>
      <w:sz w:val="24"/>
      <w:szCs w:val="24"/>
    </w:rPr>
  </w:style>
  <w:style w:type="paragraph" w:styleId="12">
    <w:name w:val="heading 9"/>
    <w:basedOn w:val="1"/>
    <w:next w:val="1"/>
    <w:link w:val="44"/>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0"/>
    <w:pPr>
      <w:ind w:firstLine="420" w:firstLineChars="200"/>
    </w:pPr>
  </w:style>
  <w:style w:type="paragraph" w:styleId="3">
    <w:name w:val="Body Text Indent"/>
    <w:basedOn w:val="1"/>
    <w:next w:val="1"/>
    <w:qFormat/>
    <w:uiPriority w:val="0"/>
    <w:pPr>
      <w:spacing w:after="120"/>
      <w:ind w:left="420" w:leftChars="200"/>
    </w:pPr>
  </w:style>
  <w:style w:type="paragraph" w:styleId="13">
    <w:name w:val="toc 7"/>
    <w:basedOn w:val="1"/>
    <w:next w:val="1"/>
    <w:autoRedefine/>
    <w:unhideWhenUsed/>
    <w:qFormat/>
    <w:uiPriority w:val="39"/>
    <w:pPr>
      <w:tabs>
        <w:tab w:val="right" w:leader="dot" w:pos="9344"/>
      </w:tabs>
      <w:spacing w:line="300" w:lineRule="exact"/>
      <w:ind w:left="1259"/>
    </w:pPr>
    <w:rPr>
      <w:rFonts w:ascii="宋体"/>
    </w:rPr>
  </w:style>
  <w:style w:type="paragraph" w:styleId="14">
    <w:name w:val="Normal Indent"/>
    <w:basedOn w:val="1"/>
    <w:qFormat/>
    <w:uiPriority w:val="0"/>
    <w:pPr>
      <w:ind w:firstLine="420"/>
    </w:pPr>
  </w:style>
  <w:style w:type="paragraph" w:styleId="15">
    <w:name w:val="Body Text"/>
    <w:basedOn w:val="1"/>
    <w:link w:val="88"/>
    <w:qFormat/>
    <w:uiPriority w:val="0"/>
    <w:pPr>
      <w:spacing w:after="120"/>
    </w:pPr>
  </w:style>
  <w:style w:type="paragraph" w:styleId="16">
    <w:name w:val="toc 5"/>
    <w:basedOn w:val="1"/>
    <w:next w:val="1"/>
    <w:autoRedefine/>
    <w:unhideWhenUsed/>
    <w:qFormat/>
    <w:uiPriority w:val="39"/>
    <w:pPr>
      <w:ind w:left="839"/>
    </w:pPr>
    <w:rPr>
      <w:rFonts w:ascii="宋体"/>
    </w:rPr>
  </w:style>
  <w:style w:type="paragraph" w:styleId="17">
    <w:name w:val="toc 3"/>
    <w:basedOn w:val="1"/>
    <w:next w:val="1"/>
    <w:autoRedefine/>
    <w:unhideWhenUsed/>
    <w:qFormat/>
    <w:uiPriority w:val="39"/>
    <w:pPr>
      <w:spacing w:line="300" w:lineRule="exact"/>
      <w:ind w:left="420"/>
    </w:pPr>
    <w:rPr>
      <w:rFonts w:ascii="宋体"/>
    </w:rPr>
  </w:style>
  <w:style w:type="paragraph" w:styleId="18">
    <w:name w:val="Balloon Text"/>
    <w:basedOn w:val="1"/>
    <w:link w:val="47"/>
    <w:semiHidden/>
    <w:unhideWhenUsed/>
    <w:qFormat/>
    <w:uiPriority w:val="99"/>
    <w:rPr>
      <w:sz w:val="18"/>
      <w:szCs w:val="18"/>
    </w:rPr>
  </w:style>
  <w:style w:type="paragraph" w:styleId="19">
    <w:name w:val="footer"/>
    <w:basedOn w:val="1"/>
    <w:link w:val="46"/>
    <w:qFormat/>
    <w:uiPriority w:val="99"/>
    <w:pPr>
      <w:tabs>
        <w:tab w:val="center" w:pos="4153"/>
        <w:tab w:val="right" w:pos="8306"/>
      </w:tabs>
      <w:adjustRightInd/>
      <w:snapToGrid w:val="0"/>
      <w:spacing w:line="240" w:lineRule="auto"/>
      <w:jc w:val="right"/>
    </w:pPr>
    <w:rPr>
      <w:rFonts w:ascii="宋体"/>
      <w:sz w:val="18"/>
      <w:szCs w:val="18"/>
    </w:rPr>
  </w:style>
  <w:style w:type="paragraph" w:styleId="20">
    <w:name w:val="header"/>
    <w:basedOn w:val="1"/>
    <w:link w:val="45"/>
    <w:qFormat/>
    <w:uiPriority w:val="99"/>
    <w:pPr>
      <w:tabs>
        <w:tab w:val="center" w:pos="4153"/>
        <w:tab w:val="right" w:pos="8306"/>
      </w:tabs>
      <w:adjustRightInd/>
      <w:snapToGrid w:val="0"/>
      <w:jc w:val="center"/>
    </w:pPr>
    <w:rPr>
      <w:sz w:val="18"/>
      <w:szCs w:val="18"/>
    </w:rPr>
  </w:style>
  <w:style w:type="paragraph" w:styleId="21">
    <w:name w:val="toc 1"/>
    <w:basedOn w:val="1"/>
    <w:next w:val="1"/>
    <w:autoRedefine/>
    <w:unhideWhenUsed/>
    <w:qFormat/>
    <w:uiPriority w:val="39"/>
    <w:rPr>
      <w:rFonts w:ascii="宋体"/>
    </w:rPr>
  </w:style>
  <w:style w:type="paragraph" w:styleId="22">
    <w:name w:val="toc 4"/>
    <w:basedOn w:val="1"/>
    <w:next w:val="1"/>
    <w:autoRedefine/>
    <w:unhideWhenUsed/>
    <w:qFormat/>
    <w:uiPriority w:val="39"/>
    <w:pPr>
      <w:tabs>
        <w:tab w:val="right" w:leader="dot" w:pos="9344"/>
      </w:tabs>
      <w:spacing w:line="300" w:lineRule="exact"/>
      <w:ind w:left="629"/>
    </w:pPr>
    <w:rPr>
      <w:rFonts w:ascii="宋体"/>
    </w:rPr>
  </w:style>
  <w:style w:type="paragraph" w:styleId="23">
    <w:name w:val="footnote text"/>
    <w:basedOn w:val="1"/>
    <w:next w:val="1"/>
    <w:link w:val="101"/>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4">
    <w:name w:val="toc 6"/>
    <w:basedOn w:val="1"/>
    <w:next w:val="1"/>
    <w:autoRedefine/>
    <w:unhideWhenUsed/>
    <w:qFormat/>
    <w:uiPriority w:val="39"/>
    <w:pPr>
      <w:spacing w:line="300" w:lineRule="exact"/>
      <w:ind w:left="1049"/>
    </w:pPr>
    <w:rPr>
      <w:rFonts w:ascii="宋体"/>
    </w:rPr>
  </w:style>
  <w:style w:type="paragraph" w:styleId="25">
    <w:name w:val="table of figures"/>
    <w:basedOn w:val="1"/>
    <w:next w:val="1"/>
    <w:semiHidden/>
    <w:qFormat/>
    <w:uiPriority w:val="0"/>
    <w:pPr>
      <w:adjustRightInd/>
      <w:spacing w:line="240" w:lineRule="auto"/>
      <w:jc w:val="left"/>
    </w:pPr>
    <w:rPr>
      <w:szCs w:val="24"/>
    </w:rPr>
  </w:style>
  <w:style w:type="paragraph" w:styleId="26">
    <w:name w:val="toc 2"/>
    <w:basedOn w:val="1"/>
    <w:next w:val="1"/>
    <w:autoRedefine/>
    <w:unhideWhenUsed/>
    <w:qFormat/>
    <w:uiPriority w:val="39"/>
    <w:pPr>
      <w:tabs>
        <w:tab w:val="right" w:leader="dot" w:pos="9344"/>
      </w:tabs>
      <w:spacing w:line="300" w:lineRule="exact"/>
      <w:ind w:left="210"/>
    </w:pPr>
    <w:rPr>
      <w:rFonts w:ascii="宋体"/>
    </w:rPr>
  </w:style>
  <w:style w:type="paragraph" w:styleId="27">
    <w:name w:val="Title"/>
    <w:basedOn w:val="1"/>
    <w:link w:val="50"/>
    <w:qFormat/>
    <w:uiPriority w:val="0"/>
    <w:pPr>
      <w:spacing w:before="240" w:after="60"/>
      <w:jc w:val="center"/>
      <w:outlineLvl w:val="0"/>
    </w:pPr>
    <w:rPr>
      <w:rFonts w:ascii="Arial" w:hAnsi="Arial" w:cs="Arial"/>
      <w:b/>
      <w:bCs/>
      <w:sz w:val="32"/>
      <w:szCs w:val="32"/>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qFormat/>
    <w:uiPriority w:val="22"/>
    <w:rPr>
      <w:b/>
      <w:bCs/>
    </w:rPr>
  </w:style>
  <w:style w:type="character" w:styleId="32">
    <w:name w:val="page number"/>
    <w:qFormat/>
    <w:uiPriority w:val="0"/>
    <w:rPr>
      <w:rFonts w:ascii="宋体" w:hAnsi="Times New Roman" w:eastAsia="宋体"/>
      <w:sz w:val="18"/>
    </w:rPr>
  </w:style>
  <w:style w:type="character" w:styleId="33">
    <w:name w:val="Emphasis"/>
    <w:qFormat/>
    <w:uiPriority w:val="20"/>
    <w:rPr>
      <w:i/>
      <w:iCs/>
    </w:rPr>
  </w:style>
  <w:style w:type="character" w:styleId="34">
    <w:name w:val="Hyperlink"/>
    <w:qFormat/>
    <w:uiPriority w:val="99"/>
    <w:rPr>
      <w:rFonts w:ascii="宋体" w:hAnsi="Times New Roman" w:eastAsia="宋体"/>
      <w:color w:val="auto"/>
      <w:spacing w:val="0"/>
      <w:w w:val="100"/>
      <w:position w:val="0"/>
      <w:sz w:val="21"/>
      <w:u w:val="none"/>
      <w:vertAlign w:val="baseline"/>
    </w:rPr>
  </w:style>
  <w:style w:type="character" w:styleId="35">
    <w:name w:val="footnote reference"/>
    <w:semiHidden/>
    <w:qFormat/>
    <w:uiPriority w:val="0"/>
    <w:rPr>
      <w:rFonts w:ascii="宋体" w:hAnsi="宋体" w:eastAsia="宋体" w:cs="Times New Roman"/>
      <w:spacing w:val="0"/>
      <w:sz w:val="18"/>
      <w:vertAlign w:val="superscript"/>
    </w:rPr>
  </w:style>
  <w:style w:type="character" w:customStyle="1" w:styleId="36">
    <w:name w:val="标题 1 字符"/>
    <w:link w:val="4"/>
    <w:qFormat/>
    <w:uiPriority w:val="0"/>
    <w:rPr>
      <w:b/>
      <w:bCs/>
      <w:kern w:val="44"/>
      <w:sz w:val="44"/>
      <w:szCs w:val="44"/>
    </w:rPr>
  </w:style>
  <w:style w:type="character" w:customStyle="1" w:styleId="37">
    <w:name w:val="标题 2 字符"/>
    <w:link w:val="5"/>
    <w:qFormat/>
    <w:uiPriority w:val="0"/>
    <w:rPr>
      <w:rFonts w:ascii="Arial" w:hAnsi="Arial" w:eastAsia="黑体"/>
      <w:b/>
      <w:bCs/>
      <w:kern w:val="2"/>
      <w:sz w:val="32"/>
      <w:szCs w:val="32"/>
    </w:rPr>
  </w:style>
  <w:style w:type="character" w:customStyle="1" w:styleId="38">
    <w:name w:val="标题 3 字符"/>
    <w:link w:val="6"/>
    <w:qFormat/>
    <w:uiPriority w:val="0"/>
    <w:rPr>
      <w:b/>
      <w:bCs/>
      <w:kern w:val="2"/>
      <w:sz w:val="32"/>
      <w:szCs w:val="32"/>
    </w:rPr>
  </w:style>
  <w:style w:type="character" w:customStyle="1" w:styleId="39">
    <w:name w:val="标题 4 字符"/>
    <w:link w:val="7"/>
    <w:qFormat/>
    <w:uiPriority w:val="0"/>
    <w:rPr>
      <w:rFonts w:ascii="Arial" w:hAnsi="Arial" w:eastAsia="黑体"/>
      <w:b/>
      <w:bCs/>
      <w:kern w:val="2"/>
      <w:sz w:val="28"/>
      <w:szCs w:val="28"/>
    </w:rPr>
  </w:style>
  <w:style w:type="character" w:customStyle="1" w:styleId="40">
    <w:name w:val="标题 5 字符"/>
    <w:link w:val="8"/>
    <w:qFormat/>
    <w:uiPriority w:val="0"/>
    <w:rPr>
      <w:b/>
      <w:bCs/>
      <w:kern w:val="2"/>
      <w:sz w:val="28"/>
      <w:szCs w:val="28"/>
    </w:rPr>
  </w:style>
  <w:style w:type="character" w:customStyle="1" w:styleId="41">
    <w:name w:val="标题 6 字符"/>
    <w:link w:val="9"/>
    <w:qFormat/>
    <w:uiPriority w:val="0"/>
    <w:rPr>
      <w:rFonts w:ascii="Arial" w:hAnsi="Arial" w:eastAsia="黑体"/>
      <w:b/>
      <w:bCs/>
      <w:kern w:val="2"/>
      <w:sz w:val="24"/>
      <w:szCs w:val="24"/>
    </w:rPr>
  </w:style>
  <w:style w:type="character" w:customStyle="1" w:styleId="42">
    <w:name w:val="标题 7 字符"/>
    <w:link w:val="10"/>
    <w:qFormat/>
    <w:uiPriority w:val="0"/>
    <w:rPr>
      <w:b/>
      <w:bCs/>
      <w:kern w:val="2"/>
      <w:sz w:val="24"/>
      <w:szCs w:val="24"/>
    </w:rPr>
  </w:style>
  <w:style w:type="character" w:customStyle="1" w:styleId="43">
    <w:name w:val="标题 8 字符"/>
    <w:link w:val="11"/>
    <w:qFormat/>
    <w:uiPriority w:val="0"/>
    <w:rPr>
      <w:rFonts w:ascii="Arial" w:hAnsi="Arial" w:eastAsia="黑体"/>
      <w:kern w:val="2"/>
      <w:sz w:val="24"/>
      <w:szCs w:val="24"/>
    </w:rPr>
  </w:style>
  <w:style w:type="character" w:customStyle="1" w:styleId="44">
    <w:name w:val="标题 9 字符"/>
    <w:link w:val="12"/>
    <w:qFormat/>
    <w:uiPriority w:val="0"/>
    <w:rPr>
      <w:rFonts w:ascii="Arial" w:hAnsi="Arial" w:eastAsia="黑体"/>
      <w:kern w:val="2"/>
      <w:sz w:val="21"/>
      <w:szCs w:val="21"/>
    </w:rPr>
  </w:style>
  <w:style w:type="character" w:customStyle="1" w:styleId="45">
    <w:name w:val="页眉 字符"/>
    <w:link w:val="20"/>
    <w:qFormat/>
    <w:uiPriority w:val="99"/>
    <w:rPr>
      <w:kern w:val="2"/>
      <w:sz w:val="18"/>
      <w:szCs w:val="18"/>
    </w:rPr>
  </w:style>
  <w:style w:type="character" w:customStyle="1" w:styleId="46">
    <w:name w:val="页脚 字符"/>
    <w:link w:val="19"/>
    <w:qFormat/>
    <w:uiPriority w:val="99"/>
    <w:rPr>
      <w:rFonts w:ascii="宋体"/>
      <w:kern w:val="2"/>
      <w:sz w:val="18"/>
      <w:szCs w:val="18"/>
    </w:rPr>
  </w:style>
  <w:style w:type="character" w:customStyle="1" w:styleId="47">
    <w:name w:val="批注框文本 字符"/>
    <w:link w:val="18"/>
    <w:semiHidden/>
    <w:qFormat/>
    <w:uiPriority w:val="99"/>
    <w:rPr>
      <w:kern w:val="2"/>
      <w:sz w:val="18"/>
      <w:szCs w:val="18"/>
    </w:rPr>
  </w:style>
  <w:style w:type="paragraph" w:styleId="48">
    <w:name w:val="Quote"/>
    <w:basedOn w:val="1"/>
    <w:next w:val="1"/>
    <w:link w:val="49"/>
    <w:qFormat/>
    <w:uiPriority w:val="29"/>
    <w:rPr>
      <w:i/>
      <w:iCs/>
      <w:color w:val="000000"/>
    </w:rPr>
  </w:style>
  <w:style w:type="character" w:customStyle="1" w:styleId="49">
    <w:name w:val="引用 字符"/>
    <w:link w:val="48"/>
    <w:qFormat/>
    <w:uiPriority w:val="29"/>
    <w:rPr>
      <w:i/>
      <w:iCs/>
      <w:color w:val="000000"/>
      <w:kern w:val="2"/>
      <w:sz w:val="21"/>
      <w:szCs w:val="21"/>
    </w:rPr>
  </w:style>
  <w:style w:type="character" w:customStyle="1" w:styleId="50">
    <w:name w:val="标题 字符"/>
    <w:link w:val="27"/>
    <w:qFormat/>
    <w:uiPriority w:val="0"/>
    <w:rPr>
      <w:rFonts w:ascii="Arial" w:hAnsi="Arial" w:cs="Arial"/>
      <w:b/>
      <w:bCs/>
      <w:kern w:val="2"/>
      <w:sz w:val="32"/>
      <w:szCs w:val="32"/>
    </w:rPr>
  </w:style>
  <w:style w:type="paragraph" w:customStyle="1" w:styleId="51">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2">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3">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4">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5">
    <w:name w:val="标准书眉一"/>
    <w:qFormat/>
    <w:uiPriority w:val="0"/>
    <w:pPr>
      <w:jc w:val="both"/>
    </w:pPr>
    <w:rPr>
      <w:rFonts w:ascii="Times New Roman" w:hAnsi="Times New Roman" w:eastAsia="宋体" w:cs="Times New Roman"/>
      <w:lang w:val="en-US" w:eastAsia="zh-CN" w:bidi="ar-SA"/>
    </w:rPr>
  </w:style>
  <w:style w:type="paragraph" w:customStyle="1" w:styleId="56">
    <w:name w:val="标准文件_ICS"/>
    <w:basedOn w:val="1"/>
    <w:qFormat/>
    <w:uiPriority w:val="0"/>
    <w:pPr>
      <w:spacing w:line="0" w:lineRule="atLeast"/>
    </w:pPr>
    <w:rPr>
      <w:rFonts w:ascii="黑体" w:hAnsi="宋体" w:eastAsia="黑体"/>
    </w:rPr>
  </w:style>
  <w:style w:type="paragraph" w:customStyle="1" w:styleId="57">
    <w:name w:val="标准文件_标准正文"/>
    <w:basedOn w:val="1"/>
    <w:next w:val="58"/>
    <w:qFormat/>
    <w:uiPriority w:val="0"/>
    <w:pPr>
      <w:snapToGrid w:val="0"/>
      <w:ind w:firstLine="200" w:firstLineChars="200"/>
    </w:pPr>
    <w:rPr>
      <w:kern w:val="0"/>
    </w:rPr>
  </w:style>
  <w:style w:type="paragraph" w:customStyle="1" w:styleId="58">
    <w:name w:val="标准文件_段"/>
    <w:link w:val="186"/>
    <w:qFormat/>
    <w:uiPriority w:val="0"/>
    <w:pPr>
      <w:autoSpaceDE w:val="0"/>
      <w:autoSpaceDN w:val="0"/>
      <w:ind w:firstLine="200" w:firstLineChars="200"/>
      <w:jc w:val="both"/>
    </w:pPr>
    <w:rPr>
      <w:rFonts w:ascii="Times New Roman" w:hAnsi="Times New Roman" w:eastAsia="宋体" w:cs="Times New Roman"/>
      <w:sz w:val="21"/>
      <w:lang w:val="en-US" w:eastAsia="zh-CN" w:bidi="ar-SA"/>
    </w:rPr>
  </w:style>
  <w:style w:type="paragraph" w:customStyle="1" w:styleId="59">
    <w:name w:val="标准文件_版本"/>
    <w:basedOn w:val="57"/>
    <w:qFormat/>
    <w:uiPriority w:val="0"/>
    <w:pPr>
      <w:adjustRightInd/>
      <w:snapToGrid/>
      <w:ind w:firstLine="0" w:firstLineChars="0"/>
    </w:pPr>
    <w:rPr>
      <w:rFonts w:ascii="宋体" w:hAnsi="宋体"/>
      <w:kern w:val="2"/>
    </w:rPr>
  </w:style>
  <w:style w:type="paragraph" w:customStyle="1" w:styleId="60">
    <w:name w:val="标准文件_标准部门"/>
    <w:basedOn w:val="1"/>
    <w:qFormat/>
    <w:uiPriority w:val="0"/>
    <w:pPr>
      <w:jc w:val="center"/>
    </w:pPr>
    <w:rPr>
      <w:rFonts w:ascii="黑体" w:eastAsia="黑体"/>
      <w:kern w:val="0"/>
      <w:sz w:val="44"/>
    </w:rPr>
  </w:style>
  <w:style w:type="paragraph" w:customStyle="1" w:styleId="61">
    <w:name w:val="标准文件_标准代替"/>
    <w:basedOn w:val="1"/>
    <w:next w:val="1"/>
    <w:qFormat/>
    <w:uiPriority w:val="0"/>
    <w:pPr>
      <w:spacing w:line="310" w:lineRule="exact"/>
      <w:jc w:val="right"/>
    </w:pPr>
    <w:rPr>
      <w:rFonts w:ascii="宋体" w:hAnsi="宋体"/>
      <w:kern w:val="0"/>
    </w:rPr>
  </w:style>
  <w:style w:type="paragraph" w:customStyle="1" w:styleId="62">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3">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4">
    <w:name w:val="标准文件_页眉偶数页"/>
    <w:basedOn w:val="63"/>
    <w:next w:val="1"/>
    <w:qFormat/>
    <w:uiPriority w:val="0"/>
    <w:pPr>
      <w:jc w:val="left"/>
    </w:pPr>
  </w:style>
  <w:style w:type="paragraph" w:customStyle="1" w:styleId="65">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6">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7">
    <w:name w:val="标准文件_二级条标题"/>
    <w:next w:val="58"/>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8">
    <w:name w:val="标准文件_发布"/>
    <w:qFormat/>
    <w:uiPriority w:val="0"/>
    <w:rPr>
      <w:rFonts w:ascii="黑体" w:eastAsia="黑体"/>
      <w:spacing w:val="0"/>
      <w:w w:val="100"/>
      <w:position w:val="3"/>
      <w:sz w:val="28"/>
    </w:rPr>
  </w:style>
  <w:style w:type="paragraph" w:customStyle="1" w:styleId="69">
    <w:name w:val="标准文件_方框数字列项"/>
    <w:basedOn w:val="58"/>
    <w:qFormat/>
    <w:uiPriority w:val="0"/>
    <w:pPr>
      <w:numPr>
        <w:ilvl w:val="0"/>
        <w:numId w:val="3"/>
      </w:numPr>
      <w:ind w:firstLine="0" w:firstLineChars="0"/>
    </w:pPr>
  </w:style>
  <w:style w:type="paragraph" w:customStyle="1" w:styleId="70">
    <w:name w:val="标准文件_封面标准编号"/>
    <w:basedOn w:val="1"/>
    <w:next w:val="61"/>
    <w:qFormat/>
    <w:uiPriority w:val="0"/>
    <w:pPr>
      <w:spacing w:line="310" w:lineRule="exact"/>
      <w:jc w:val="right"/>
    </w:pPr>
    <w:rPr>
      <w:rFonts w:ascii="黑体" w:eastAsia="黑体"/>
      <w:kern w:val="0"/>
      <w:sz w:val="28"/>
    </w:rPr>
  </w:style>
  <w:style w:type="paragraph" w:customStyle="1" w:styleId="71">
    <w:name w:val="标准文件_封面标准分类号"/>
    <w:basedOn w:val="1"/>
    <w:qFormat/>
    <w:uiPriority w:val="0"/>
    <w:rPr>
      <w:rFonts w:ascii="黑体" w:eastAsia="黑体"/>
      <w:b/>
      <w:kern w:val="0"/>
      <w:sz w:val="28"/>
    </w:rPr>
  </w:style>
  <w:style w:type="paragraph" w:customStyle="1" w:styleId="72">
    <w:name w:val="标准文件_封面标准名称"/>
    <w:basedOn w:val="1"/>
    <w:qFormat/>
    <w:uiPriority w:val="0"/>
    <w:pPr>
      <w:spacing w:line="240" w:lineRule="auto"/>
      <w:jc w:val="center"/>
    </w:pPr>
    <w:rPr>
      <w:rFonts w:ascii="黑体" w:eastAsia="黑体"/>
      <w:kern w:val="0"/>
      <w:sz w:val="52"/>
    </w:rPr>
  </w:style>
  <w:style w:type="paragraph" w:customStyle="1" w:styleId="73">
    <w:name w:val="标准文件_封面标准英文名称"/>
    <w:basedOn w:val="1"/>
    <w:qFormat/>
    <w:uiPriority w:val="0"/>
    <w:pPr>
      <w:spacing w:line="240" w:lineRule="auto"/>
      <w:jc w:val="center"/>
    </w:pPr>
    <w:rPr>
      <w:rFonts w:ascii="黑体" w:eastAsia="黑体"/>
      <w:b/>
      <w:sz w:val="28"/>
    </w:rPr>
  </w:style>
  <w:style w:type="paragraph" w:customStyle="1" w:styleId="74">
    <w:name w:val="标准文件_封面发布日期"/>
    <w:basedOn w:val="1"/>
    <w:qFormat/>
    <w:uiPriority w:val="0"/>
    <w:pPr>
      <w:spacing w:line="310" w:lineRule="exact"/>
    </w:pPr>
    <w:rPr>
      <w:rFonts w:ascii="黑体" w:eastAsia="黑体"/>
      <w:kern w:val="0"/>
      <w:sz w:val="28"/>
    </w:rPr>
  </w:style>
  <w:style w:type="paragraph" w:customStyle="1" w:styleId="75">
    <w:name w:val="标准文件_封面密级"/>
    <w:basedOn w:val="1"/>
    <w:qFormat/>
    <w:uiPriority w:val="0"/>
    <w:rPr>
      <w:rFonts w:eastAsia="黑体"/>
      <w:sz w:val="32"/>
    </w:rPr>
  </w:style>
  <w:style w:type="paragraph" w:customStyle="1" w:styleId="76">
    <w:name w:val="标准文件_封面实施日期"/>
    <w:basedOn w:val="1"/>
    <w:qFormat/>
    <w:uiPriority w:val="0"/>
    <w:pPr>
      <w:spacing w:line="310" w:lineRule="exact"/>
      <w:jc w:val="right"/>
    </w:pPr>
    <w:rPr>
      <w:rFonts w:ascii="黑体" w:eastAsia="黑体"/>
      <w:sz w:val="28"/>
    </w:rPr>
  </w:style>
  <w:style w:type="paragraph" w:customStyle="1" w:styleId="77">
    <w:name w:val="标准文件_封面抬头"/>
    <w:basedOn w:val="58"/>
    <w:qFormat/>
    <w:uiPriority w:val="0"/>
    <w:pPr>
      <w:adjustRightInd w:val="0"/>
      <w:spacing w:line="800" w:lineRule="exact"/>
      <w:ind w:firstLine="0" w:firstLineChars="0"/>
      <w:jc w:val="distribute"/>
    </w:pPr>
    <w:rPr>
      <w:rFonts w:ascii="黑体" w:eastAsia="黑体"/>
      <w:b/>
      <w:sz w:val="64"/>
    </w:rPr>
  </w:style>
  <w:style w:type="paragraph" w:customStyle="1" w:styleId="78">
    <w:name w:val="标准文件_附录标识"/>
    <w:next w:val="58"/>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9">
    <w:name w:val="标准文件_附录表标题"/>
    <w:next w:val="58"/>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80">
    <w:name w:val="标准文件_附录一级条标题"/>
    <w:next w:val="58"/>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1">
    <w:name w:val="标准文件_附录二级条标题"/>
    <w:basedOn w:val="80"/>
    <w:next w:val="58"/>
    <w:qFormat/>
    <w:uiPriority w:val="0"/>
    <w:pPr>
      <w:widowControl/>
      <w:numPr>
        <w:ilvl w:val="2"/>
      </w:numPr>
      <w:wordWrap w:val="0"/>
      <w:overflowPunct w:val="0"/>
      <w:autoSpaceDE w:val="0"/>
      <w:autoSpaceDN w:val="0"/>
      <w:textAlignment w:val="baseline"/>
      <w:outlineLvl w:val="3"/>
    </w:pPr>
  </w:style>
  <w:style w:type="paragraph" w:customStyle="1" w:styleId="82">
    <w:name w:val="标准文件_附录公式"/>
    <w:basedOn w:val="57"/>
    <w:next w:val="57"/>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3">
    <w:name w:val="标准文件_附录三级条标题"/>
    <w:next w:val="58"/>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4">
    <w:name w:val="标准文件_附录四级条标题"/>
    <w:next w:val="58"/>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5">
    <w:name w:val="标准文件_附录图标题"/>
    <w:next w:val="58"/>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6">
    <w:name w:val="标准文件_附录五级条标题"/>
    <w:next w:val="58"/>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7">
    <w:name w:val="标准文件_附录英文标识"/>
    <w:next w:val="15"/>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8">
    <w:name w:val="正文文本 字符"/>
    <w:link w:val="15"/>
    <w:qFormat/>
    <w:uiPriority w:val="0"/>
    <w:rPr>
      <w:kern w:val="2"/>
      <w:sz w:val="21"/>
      <w:szCs w:val="21"/>
    </w:rPr>
  </w:style>
  <w:style w:type="paragraph" w:customStyle="1" w:styleId="89">
    <w:name w:val="标准文件_附录章标题"/>
    <w:next w:val="58"/>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0">
    <w:name w:val="标准文件_公式后的破折号"/>
    <w:basedOn w:val="58"/>
    <w:next w:val="58"/>
    <w:qFormat/>
    <w:uiPriority w:val="0"/>
    <w:pPr>
      <w:ind w:left="488" w:leftChars="200" w:hanging="289" w:hangingChars="290"/>
    </w:pPr>
  </w:style>
  <w:style w:type="paragraph" w:customStyle="1" w:styleId="91">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2">
    <w:name w:val="标准文件_目次、标准名称标题"/>
    <w:basedOn w:val="91"/>
    <w:next w:val="58"/>
    <w:qFormat/>
    <w:uiPriority w:val="0"/>
    <w:pPr>
      <w:spacing w:line="460" w:lineRule="exact"/>
      <w:ind w:left="0" w:firstLine="0"/>
    </w:pPr>
  </w:style>
  <w:style w:type="paragraph" w:customStyle="1" w:styleId="93">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4">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5">
    <w:name w:val="标准文件_破折号列项（二级）"/>
    <w:basedOn w:val="94"/>
    <w:qFormat/>
    <w:uiPriority w:val="0"/>
    <w:pPr>
      <w:numPr>
        <w:numId w:val="10"/>
      </w:numPr>
    </w:pPr>
  </w:style>
  <w:style w:type="paragraph" w:customStyle="1" w:styleId="96">
    <w:name w:val="标准文件_三级条标题"/>
    <w:basedOn w:val="67"/>
    <w:next w:val="58"/>
    <w:qFormat/>
    <w:uiPriority w:val="0"/>
    <w:pPr>
      <w:widowControl/>
      <w:numPr>
        <w:ilvl w:val="4"/>
      </w:numPr>
      <w:outlineLvl w:val="3"/>
    </w:pPr>
  </w:style>
  <w:style w:type="character" w:customStyle="1" w:styleId="97">
    <w:name w:val="不明显参考1"/>
    <w:qFormat/>
    <w:uiPriority w:val="31"/>
    <w:rPr>
      <w:smallCaps/>
      <w:color w:val="C0504D"/>
      <w:u w:val="single"/>
    </w:rPr>
  </w:style>
  <w:style w:type="paragraph" w:customStyle="1" w:styleId="98">
    <w:name w:val="标准文件_示例后续"/>
    <w:basedOn w:val="1"/>
    <w:qFormat/>
    <w:uiPriority w:val="0"/>
    <w:pPr>
      <w:adjustRightInd/>
      <w:spacing w:line="240" w:lineRule="auto"/>
      <w:ind w:firstLine="200" w:firstLineChars="200"/>
    </w:pPr>
    <w:rPr>
      <w:sz w:val="18"/>
      <w:szCs w:val="24"/>
    </w:rPr>
  </w:style>
  <w:style w:type="paragraph" w:customStyle="1" w:styleId="99">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0">
    <w:name w:val="标准文件_四级条标题"/>
    <w:next w:val="58"/>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1">
    <w:name w:val="脚注文本 字符"/>
    <w:link w:val="23"/>
    <w:semiHidden/>
    <w:qFormat/>
    <w:uiPriority w:val="0"/>
    <w:rPr>
      <w:rFonts w:ascii="宋体"/>
      <w:kern w:val="2"/>
      <w:sz w:val="18"/>
      <w:szCs w:val="18"/>
    </w:rPr>
  </w:style>
  <w:style w:type="paragraph" w:customStyle="1" w:styleId="102">
    <w:name w:val="标准文件_条文脚注"/>
    <w:basedOn w:val="23"/>
    <w:qFormat/>
    <w:uiPriority w:val="0"/>
    <w:pPr>
      <w:adjustRightInd w:val="0"/>
      <w:spacing w:line="240" w:lineRule="auto"/>
      <w:ind w:left="0" w:leftChars="0" w:firstLine="200" w:firstLineChars="200"/>
      <w:jc w:val="both"/>
    </w:pPr>
    <w:rPr>
      <w:rFonts w:hAnsi="宋体"/>
    </w:rPr>
  </w:style>
  <w:style w:type="paragraph" w:customStyle="1" w:styleId="103">
    <w:name w:val="标准文件_图表脚注"/>
    <w:basedOn w:val="1"/>
    <w:next w:val="58"/>
    <w:qFormat/>
    <w:uiPriority w:val="0"/>
    <w:pPr>
      <w:numPr>
        <w:ilvl w:val="0"/>
        <w:numId w:val="12"/>
      </w:numPr>
      <w:spacing w:line="240" w:lineRule="auto"/>
      <w:jc w:val="left"/>
    </w:pPr>
    <w:rPr>
      <w:rFonts w:ascii="宋体" w:hAnsi="宋体"/>
      <w:sz w:val="18"/>
    </w:rPr>
  </w:style>
  <w:style w:type="character" w:customStyle="1" w:styleId="104">
    <w:name w:val="标准文件_图表脚注内容"/>
    <w:qFormat/>
    <w:uiPriority w:val="0"/>
    <w:rPr>
      <w:rFonts w:ascii="宋体" w:hAnsi="宋体" w:eastAsia="宋体" w:cs="Times New Roman"/>
      <w:spacing w:val="0"/>
      <w:sz w:val="18"/>
      <w:vertAlign w:val="superscript"/>
    </w:rPr>
  </w:style>
  <w:style w:type="paragraph" w:customStyle="1" w:styleId="105">
    <w:name w:val="标准文件_五级条标题"/>
    <w:next w:val="58"/>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6">
    <w:name w:val="标准文件_章标题"/>
    <w:next w:val="58"/>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7">
    <w:name w:val="标准文件_一级条标题"/>
    <w:basedOn w:val="106"/>
    <w:next w:val="58"/>
    <w:qFormat/>
    <w:uiPriority w:val="0"/>
    <w:pPr>
      <w:numPr>
        <w:ilvl w:val="2"/>
      </w:numPr>
      <w:spacing w:before="50" w:beforeLines="50" w:after="50" w:afterLines="50"/>
      <w:outlineLvl w:val="1"/>
    </w:pPr>
  </w:style>
  <w:style w:type="paragraph" w:customStyle="1" w:styleId="108">
    <w:name w:val="标准文件_一致程度"/>
    <w:basedOn w:val="1"/>
    <w:qFormat/>
    <w:uiPriority w:val="0"/>
    <w:pPr>
      <w:spacing w:line="440" w:lineRule="exact"/>
      <w:jc w:val="center"/>
    </w:pPr>
    <w:rPr>
      <w:sz w:val="28"/>
    </w:rPr>
  </w:style>
  <w:style w:type="paragraph" w:customStyle="1" w:styleId="109">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0">
    <w:name w:val="标准文件_英文图表脚注"/>
    <w:basedOn w:val="57"/>
    <w:qFormat/>
    <w:uiPriority w:val="0"/>
    <w:pPr>
      <w:widowControl/>
      <w:adjustRightInd/>
      <w:snapToGrid/>
      <w:spacing w:line="240" w:lineRule="auto"/>
      <w:ind w:left="79" w:hanging="79" w:hangingChars="80"/>
    </w:pPr>
    <w:rPr>
      <w:rFonts w:ascii="宋体" w:hAnsi="宋体"/>
    </w:rPr>
  </w:style>
  <w:style w:type="paragraph" w:customStyle="1" w:styleId="111">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2">
    <w:name w:val="标准文件_英文注："/>
    <w:basedOn w:val="1"/>
    <w:next w:val="58"/>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3">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4">
    <w:name w:val="标准文件_正文表标题"/>
    <w:next w:val="58"/>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公式"/>
    <w:basedOn w:val="1"/>
    <w:next w:val="57"/>
    <w:qFormat/>
    <w:uiPriority w:val="0"/>
    <w:pPr>
      <w:tabs>
        <w:tab w:val="center" w:pos="4678"/>
        <w:tab w:val="right" w:leader="middleDot" w:pos="9356"/>
      </w:tabs>
      <w:spacing w:line="240" w:lineRule="auto"/>
    </w:pPr>
    <w:rPr>
      <w:rFonts w:ascii="宋体" w:hAnsi="宋体"/>
    </w:rPr>
  </w:style>
  <w:style w:type="paragraph" w:customStyle="1" w:styleId="116">
    <w:name w:val="标准文件_正文图标题"/>
    <w:next w:val="58"/>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7">
    <w:name w:val="标准文件_正文英文表标题"/>
    <w:next w:val="58"/>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8">
    <w:name w:val="标准文件_正文英文图标题"/>
    <w:next w:val="58"/>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9">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0">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1">
    <w:name w:val="发布部门"/>
    <w:next w:val="58"/>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2">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3">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4">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6">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7">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8">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9">
    <w:name w:val="封面正文"/>
    <w:qFormat/>
    <w:uiPriority w:val="0"/>
    <w:pPr>
      <w:jc w:val="both"/>
    </w:pPr>
    <w:rPr>
      <w:rFonts w:ascii="Times New Roman" w:hAnsi="Times New Roman" w:eastAsia="宋体" w:cs="Times New Roman"/>
      <w:lang w:val="en-US" w:eastAsia="zh-CN" w:bidi="ar-SA"/>
    </w:rPr>
  </w:style>
  <w:style w:type="paragraph" w:customStyle="1" w:styleId="130">
    <w:name w:val="附录二级无标题条"/>
    <w:basedOn w:val="1"/>
    <w:next w:val="58"/>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1">
    <w:name w:val="附录三级无标题条"/>
    <w:basedOn w:val="130"/>
    <w:next w:val="58"/>
    <w:qFormat/>
    <w:uiPriority w:val="0"/>
    <w:pPr>
      <w:outlineLvl w:val="4"/>
    </w:pPr>
  </w:style>
  <w:style w:type="paragraph" w:customStyle="1" w:styleId="132">
    <w:name w:val="附录四级无标题条"/>
    <w:basedOn w:val="131"/>
    <w:next w:val="58"/>
    <w:qFormat/>
    <w:uiPriority w:val="0"/>
    <w:pPr>
      <w:outlineLvl w:val="5"/>
    </w:pPr>
  </w:style>
  <w:style w:type="paragraph" w:customStyle="1" w:styleId="133">
    <w:name w:val="附录图"/>
    <w:next w:val="58"/>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4">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5">
    <w:name w:val="附录五级无标题条"/>
    <w:basedOn w:val="132"/>
    <w:next w:val="58"/>
    <w:qFormat/>
    <w:uiPriority w:val="0"/>
    <w:pPr>
      <w:outlineLvl w:val="6"/>
    </w:pPr>
  </w:style>
  <w:style w:type="paragraph" w:customStyle="1" w:styleId="136">
    <w:name w:val="附录性质"/>
    <w:basedOn w:val="1"/>
    <w:qFormat/>
    <w:uiPriority w:val="0"/>
    <w:pPr>
      <w:widowControl/>
      <w:adjustRightInd/>
      <w:jc w:val="center"/>
    </w:pPr>
    <w:rPr>
      <w:rFonts w:ascii="黑体" w:eastAsia="黑体"/>
    </w:rPr>
  </w:style>
  <w:style w:type="paragraph" w:customStyle="1" w:styleId="137">
    <w:name w:val="附录一级无标题条"/>
    <w:basedOn w:val="89"/>
    <w:next w:val="58"/>
    <w:qFormat/>
    <w:uiPriority w:val="0"/>
    <w:pPr>
      <w:autoSpaceDN w:val="0"/>
      <w:outlineLvl w:val="2"/>
    </w:pPr>
    <w:rPr>
      <w:rFonts w:ascii="宋体" w:hAnsi="宋体" w:eastAsia="宋体"/>
    </w:rPr>
  </w:style>
  <w:style w:type="character" w:customStyle="1" w:styleId="138">
    <w:name w:val="个人答复风格"/>
    <w:qFormat/>
    <w:uiPriority w:val="0"/>
    <w:rPr>
      <w:rFonts w:ascii="Arial" w:hAnsi="Arial" w:eastAsia="宋体" w:cs="Arial"/>
      <w:color w:val="auto"/>
      <w:spacing w:val="0"/>
      <w:sz w:val="20"/>
    </w:rPr>
  </w:style>
  <w:style w:type="character" w:customStyle="1" w:styleId="139">
    <w:name w:val="个人撰写风格"/>
    <w:qFormat/>
    <w:uiPriority w:val="0"/>
    <w:rPr>
      <w:rFonts w:ascii="Arial" w:hAnsi="Arial" w:eastAsia="宋体" w:cs="Arial"/>
      <w:color w:val="auto"/>
      <w:spacing w:val="0"/>
      <w:sz w:val="20"/>
    </w:rPr>
  </w:style>
  <w:style w:type="paragraph" w:customStyle="1" w:styleId="140">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1">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2">
    <w:name w:val="列项·"/>
    <w:basedOn w:val="58"/>
    <w:qFormat/>
    <w:uiPriority w:val="0"/>
    <w:pPr>
      <w:tabs>
        <w:tab w:val="left" w:pos="840"/>
      </w:tabs>
    </w:pPr>
  </w:style>
  <w:style w:type="paragraph" w:customStyle="1" w:styleId="14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4">
    <w:name w:val="目录 21"/>
    <w:basedOn w:val="1"/>
    <w:next w:val="1"/>
    <w:autoRedefine/>
    <w:semiHidden/>
    <w:qFormat/>
    <w:uiPriority w:val="0"/>
    <w:pPr>
      <w:adjustRightInd/>
      <w:spacing w:line="240" w:lineRule="auto"/>
      <w:jc w:val="left"/>
    </w:pPr>
    <w:rPr>
      <w:bCs/>
      <w:iCs/>
    </w:rPr>
  </w:style>
  <w:style w:type="paragraph" w:customStyle="1" w:styleId="145">
    <w:name w:val="目录 31"/>
    <w:basedOn w:val="1"/>
    <w:next w:val="1"/>
    <w:autoRedefine/>
    <w:semiHidden/>
    <w:qFormat/>
    <w:uiPriority w:val="0"/>
    <w:pPr>
      <w:spacing w:line="240" w:lineRule="auto"/>
    </w:pPr>
    <w:rPr>
      <w:rFonts w:ascii="宋体" w:hAnsi="宋体"/>
      <w:iCs/>
    </w:rPr>
  </w:style>
  <w:style w:type="paragraph" w:customStyle="1" w:styleId="146">
    <w:name w:val="目录 41"/>
    <w:basedOn w:val="1"/>
    <w:next w:val="1"/>
    <w:autoRedefine/>
    <w:semiHidden/>
    <w:qFormat/>
    <w:uiPriority w:val="0"/>
    <w:pPr>
      <w:adjustRightInd/>
      <w:spacing w:line="240" w:lineRule="auto"/>
      <w:jc w:val="left"/>
    </w:pPr>
  </w:style>
  <w:style w:type="paragraph" w:customStyle="1" w:styleId="147">
    <w:name w:val="目录 51"/>
    <w:basedOn w:val="1"/>
    <w:next w:val="1"/>
    <w:autoRedefine/>
    <w:semiHidden/>
    <w:qFormat/>
    <w:uiPriority w:val="0"/>
    <w:pPr>
      <w:spacing w:line="240" w:lineRule="auto"/>
    </w:pPr>
    <w:rPr>
      <w:rFonts w:ascii="宋体" w:hAnsi="宋体"/>
    </w:rPr>
  </w:style>
  <w:style w:type="paragraph" w:customStyle="1" w:styleId="148">
    <w:name w:val="目录 61"/>
    <w:basedOn w:val="1"/>
    <w:next w:val="1"/>
    <w:autoRedefine/>
    <w:semiHidden/>
    <w:qFormat/>
    <w:uiPriority w:val="0"/>
    <w:pPr>
      <w:adjustRightInd/>
      <w:spacing w:line="240" w:lineRule="auto"/>
      <w:jc w:val="left"/>
    </w:pPr>
  </w:style>
  <w:style w:type="paragraph" w:customStyle="1" w:styleId="149">
    <w:name w:val="目录 71"/>
    <w:basedOn w:val="148"/>
    <w:autoRedefine/>
    <w:semiHidden/>
    <w:qFormat/>
    <w:uiPriority w:val="0"/>
    <w:pPr>
      <w:ind w:left="1260"/>
    </w:pPr>
  </w:style>
  <w:style w:type="paragraph" w:customStyle="1" w:styleId="150">
    <w:name w:val="目录 81"/>
    <w:basedOn w:val="149"/>
    <w:autoRedefine/>
    <w:semiHidden/>
    <w:qFormat/>
    <w:uiPriority w:val="0"/>
    <w:pPr>
      <w:ind w:left="1470"/>
    </w:pPr>
  </w:style>
  <w:style w:type="paragraph" w:customStyle="1" w:styleId="151">
    <w:name w:val="目录 91"/>
    <w:basedOn w:val="150"/>
    <w:autoRedefine/>
    <w:semiHidden/>
    <w:qFormat/>
    <w:uiPriority w:val="0"/>
    <w:pPr>
      <w:ind w:left="1680"/>
    </w:pPr>
  </w:style>
  <w:style w:type="paragraph" w:customStyle="1" w:styleId="15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3">
    <w:name w:val="其他发布部门"/>
    <w:basedOn w:val="121"/>
    <w:qFormat/>
    <w:uiPriority w:val="0"/>
    <w:pPr>
      <w:framePr w:wrap="around"/>
      <w:spacing w:line="0" w:lineRule="atLeast"/>
    </w:pPr>
    <w:rPr>
      <w:rFonts w:ascii="黑体" w:eastAsia="黑体"/>
      <w:b w:val="0"/>
    </w:rPr>
  </w:style>
  <w:style w:type="paragraph" w:customStyle="1" w:styleId="154">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5">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6">
    <w:name w:val="实施日期"/>
    <w:basedOn w:val="122"/>
    <w:qFormat/>
    <w:uiPriority w:val="0"/>
    <w:pPr>
      <w:framePr w:hSpace="0" w:wrap="around" w:xAlign="right"/>
      <w:jc w:val="right"/>
    </w:pPr>
  </w:style>
  <w:style w:type="paragraph" w:customStyle="1" w:styleId="157">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8">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9">
    <w:name w:val="无标题条"/>
    <w:next w:val="58"/>
    <w:qFormat/>
    <w:uiPriority w:val="0"/>
    <w:pPr>
      <w:jc w:val="both"/>
    </w:pPr>
    <w:rPr>
      <w:rFonts w:ascii="宋体" w:hAnsi="宋体" w:eastAsia="宋体" w:cs="Times New Roman"/>
      <w:sz w:val="21"/>
      <w:lang w:val="en-US" w:eastAsia="zh-CN" w:bidi="ar-SA"/>
    </w:rPr>
  </w:style>
  <w:style w:type="paragraph" w:customStyle="1" w:styleId="160">
    <w:name w:val="五级无标题条"/>
    <w:basedOn w:val="1"/>
    <w:qFormat/>
    <w:uiPriority w:val="0"/>
    <w:pPr>
      <w:numPr>
        <w:ilvl w:val="6"/>
        <w:numId w:val="20"/>
      </w:numPr>
      <w:adjustRightInd/>
    </w:pPr>
    <w:rPr>
      <w:szCs w:val="24"/>
    </w:rPr>
  </w:style>
  <w:style w:type="paragraph" w:customStyle="1" w:styleId="161">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2">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3">
    <w:name w:val="注×:后续"/>
    <w:basedOn w:val="162"/>
    <w:qFormat/>
    <w:uiPriority w:val="0"/>
    <w:pPr>
      <w:ind w:left="1406" w:leftChars="0" w:hanging="499" w:firstLineChars="0"/>
    </w:pPr>
  </w:style>
  <w:style w:type="paragraph" w:customStyle="1" w:styleId="164">
    <w:name w:val="标准文件_一级无标题"/>
    <w:basedOn w:val="107"/>
    <w:qFormat/>
    <w:uiPriority w:val="0"/>
    <w:pPr>
      <w:spacing w:before="0" w:beforeLines="0" w:after="0" w:afterLines="0"/>
      <w:outlineLvl w:val="9"/>
    </w:pPr>
    <w:rPr>
      <w:rFonts w:ascii="宋体" w:eastAsia="宋体"/>
    </w:rPr>
  </w:style>
  <w:style w:type="paragraph" w:customStyle="1" w:styleId="165">
    <w:name w:val="标准文件_五级无标题"/>
    <w:basedOn w:val="105"/>
    <w:qFormat/>
    <w:uiPriority w:val="0"/>
    <w:pPr>
      <w:spacing w:before="0" w:beforeLines="0" w:after="0" w:afterLines="0"/>
      <w:outlineLvl w:val="9"/>
    </w:pPr>
    <w:rPr>
      <w:rFonts w:ascii="宋体" w:eastAsia="宋体"/>
    </w:rPr>
  </w:style>
  <w:style w:type="paragraph" w:customStyle="1" w:styleId="166">
    <w:name w:val="标准文件_三级无标题"/>
    <w:basedOn w:val="96"/>
    <w:qFormat/>
    <w:uiPriority w:val="0"/>
    <w:pPr>
      <w:spacing w:before="0" w:beforeLines="0" w:after="0" w:afterLines="0"/>
      <w:outlineLvl w:val="9"/>
    </w:pPr>
    <w:rPr>
      <w:rFonts w:ascii="宋体" w:eastAsia="宋体"/>
    </w:rPr>
  </w:style>
  <w:style w:type="paragraph" w:customStyle="1" w:styleId="167">
    <w:name w:val="标准文件_二级无标题"/>
    <w:basedOn w:val="67"/>
    <w:qFormat/>
    <w:uiPriority w:val="0"/>
    <w:pPr>
      <w:spacing w:before="0" w:beforeLines="0" w:after="0" w:afterLines="0"/>
      <w:outlineLvl w:val="9"/>
    </w:pPr>
    <w:rPr>
      <w:rFonts w:ascii="宋体" w:eastAsia="宋体"/>
    </w:rPr>
  </w:style>
  <w:style w:type="paragraph" w:customStyle="1" w:styleId="168">
    <w:name w:val="标准_四级无标题"/>
    <w:basedOn w:val="100"/>
    <w:next w:val="58"/>
    <w:qFormat/>
    <w:uiPriority w:val="0"/>
    <w:rPr>
      <w:rFonts w:eastAsia="宋体"/>
    </w:rPr>
  </w:style>
  <w:style w:type="paragraph" w:customStyle="1" w:styleId="169">
    <w:name w:val="标准文件_四级无标题"/>
    <w:basedOn w:val="100"/>
    <w:qFormat/>
    <w:uiPriority w:val="0"/>
    <w:pPr>
      <w:spacing w:before="0" w:beforeLines="0" w:after="0" w:afterLines="0"/>
      <w:outlineLvl w:val="9"/>
    </w:pPr>
    <w:rPr>
      <w:rFonts w:ascii="宋体" w:hAnsi="黑体" w:eastAsia="宋体"/>
      <w:szCs w:val="52"/>
    </w:rPr>
  </w:style>
  <w:style w:type="paragraph" w:customStyle="1" w:styleId="170">
    <w:name w:val="标准文件_大写罗马数字编号列项"/>
    <w:basedOn w:val="58"/>
    <w:qFormat/>
    <w:uiPriority w:val="0"/>
    <w:pPr>
      <w:numPr>
        <w:ilvl w:val="0"/>
        <w:numId w:val="23"/>
      </w:numPr>
      <w:ind w:firstLine="0" w:firstLineChars="0"/>
    </w:pPr>
    <w:rPr>
      <w:rFonts w:cs="Arial"/>
      <w:szCs w:val="28"/>
    </w:rPr>
  </w:style>
  <w:style w:type="paragraph" w:customStyle="1" w:styleId="171">
    <w:name w:val="标准文件_小写罗马数字编号列项"/>
    <w:basedOn w:val="58"/>
    <w:qFormat/>
    <w:uiPriority w:val="0"/>
    <w:pPr>
      <w:numPr>
        <w:ilvl w:val="0"/>
        <w:numId w:val="24"/>
      </w:numPr>
      <w:ind w:firstLine="0" w:firstLineChars="0"/>
    </w:pPr>
    <w:rPr>
      <w:rFonts w:cs="Arial"/>
      <w:szCs w:val="28"/>
    </w:rPr>
  </w:style>
  <w:style w:type="paragraph" w:customStyle="1" w:styleId="172">
    <w:name w:val="标准文件_附录标题"/>
    <w:basedOn w:val="78"/>
    <w:qFormat/>
    <w:uiPriority w:val="0"/>
    <w:pPr>
      <w:numPr>
        <w:numId w:val="0"/>
      </w:numPr>
      <w:spacing w:after="280"/>
      <w:outlineLvl w:val="9"/>
    </w:pPr>
  </w:style>
  <w:style w:type="paragraph" w:customStyle="1" w:styleId="173">
    <w:name w:val="标准文件_二级项"/>
    <w:qFormat/>
    <w:uiPriority w:val="0"/>
    <w:rPr>
      <w:rFonts w:ascii="宋体" w:hAnsi="Times New Roman" w:eastAsia="宋体" w:cs="Times New Roman"/>
      <w:sz w:val="21"/>
      <w:lang w:val="en-US" w:eastAsia="zh-CN" w:bidi="ar-SA"/>
    </w:rPr>
  </w:style>
  <w:style w:type="paragraph" w:customStyle="1" w:styleId="174">
    <w:name w:val="标准文件_三级项"/>
    <w:basedOn w:val="1"/>
    <w:qFormat/>
    <w:uiPriority w:val="0"/>
    <w:pPr>
      <w:numPr>
        <w:ilvl w:val="2"/>
        <w:numId w:val="21"/>
      </w:numPr>
      <w:spacing w:line="536870612" w:lineRule="auto"/>
    </w:pPr>
    <w:rPr>
      <w:rFonts w:ascii="Times New Roman" w:hAnsi="Times New Roman"/>
    </w:rPr>
  </w:style>
  <w:style w:type="paragraph" w:customStyle="1" w:styleId="175">
    <w:name w:val="图表脚注说明"/>
    <w:basedOn w:val="1"/>
    <w:next w:val="58"/>
    <w:qFormat/>
    <w:uiPriority w:val="0"/>
    <w:pPr>
      <w:numPr>
        <w:ilvl w:val="0"/>
        <w:numId w:val="25"/>
      </w:numPr>
      <w:adjustRightInd/>
      <w:spacing w:line="240" w:lineRule="auto"/>
    </w:pPr>
    <w:rPr>
      <w:rFonts w:ascii="宋体" w:hAnsi="Times New Roman"/>
      <w:sz w:val="18"/>
      <w:szCs w:val="18"/>
    </w:rPr>
  </w:style>
  <w:style w:type="paragraph" w:customStyle="1" w:styleId="176">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7">
    <w:name w:val="标准文件_索引字母"/>
    <w:next w:val="58"/>
    <w:qFormat/>
    <w:uiPriority w:val="0"/>
    <w:pPr>
      <w:jc w:val="center"/>
    </w:pPr>
    <w:rPr>
      <w:rFonts w:ascii="宋体" w:hAnsi="宋体" w:eastAsia="Times New Roman" w:cs="Times New Roman"/>
      <w:b/>
      <w:kern w:val="2"/>
      <w:sz w:val="21"/>
      <w:lang w:val="en-US" w:eastAsia="zh-CN" w:bidi="ar-SA"/>
    </w:rPr>
  </w:style>
  <w:style w:type="paragraph" w:customStyle="1" w:styleId="178">
    <w:name w:val="标准文件_附录前"/>
    <w:next w:val="58"/>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9">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0">
    <w:name w:val="标准文件_表格"/>
    <w:basedOn w:val="58"/>
    <w:qFormat/>
    <w:uiPriority w:val="0"/>
    <w:pPr>
      <w:ind w:firstLine="0" w:firstLineChars="0"/>
      <w:jc w:val="center"/>
    </w:pPr>
    <w:rPr>
      <w:sz w:val="18"/>
    </w:rPr>
  </w:style>
  <w:style w:type="paragraph" w:customStyle="1" w:styleId="181">
    <w:name w:val="标准文件_注："/>
    <w:next w:val="58"/>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示例："/>
    <w:next w:val="184"/>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4">
    <w:name w:val="标准文件_示例内容"/>
    <w:basedOn w:val="58"/>
    <w:qFormat/>
    <w:uiPriority w:val="0"/>
    <w:pPr>
      <w:ind w:firstLine="420"/>
    </w:pPr>
    <w:rPr>
      <w:sz w:val="18"/>
    </w:rPr>
  </w:style>
  <w:style w:type="paragraph" w:customStyle="1" w:styleId="185">
    <w:name w:val="标准文件_示例×："/>
    <w:basedOn w:val="1"/>
    <w:next w:val="184"/>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6">
    <w:name w:val="标准文件_段 Char"/>
    <w:link w:val="58"/>
    <w:qFormat/>
    <w:uiPriority w:val="0"/>
    <w:rPr>
      <w:rFonts w:ascii="Times New Roman" w:hAnsi="Times New Roman"/>
      <w:sz w:val="21"/>
    </w:rPr>
  </w:style>
  <w:style w:type="paragraph" w:customStyle="1" w:styleId="187">
    <w:name w:val="标准文件_表格续"/>
    <w:basedOn w:val="58"/>
    <w:next w:val="58"/>
    <w:qFormat/>
    <w:uiPriority w:val="0"/>
    <w:pPr>
      <w:jc w:val="center"/>
    </w:pPr>
    <w:rPr>
      <w:rFonts w:ascii="黑体" w:hAnsi="黑体" w:eastAsia="黑体"/>
    </w:rPr>
  </w:style>
  <w:style w:type="character" w:styleId="188">
    <w:name w:val="Placeholder Text"/>
    <w:basedOn w:val="30"/>
    <w:semiHidden/>
    <w:qFormat/>
    <w:uiPriority w:val="99"/>
    <w:rPr>
      <w:color w:val="808080"/>
    </w:rPr>
  </w:style>
  <w:style w:type="paragraph" w:customStyle="1" w:styleId="189">
    <w:name w:val="标准文件_二级项2"/>
    <w:basedOn w:val="58"/>
    <w:qFormat/>
    <w:uiPriority w:val="0"/>
    <w:pPr>
      <w:numPr>
        <w:ilvl w:val="1"/>
        <w:numId w:val="21"/>
      </w:numPr>
      <w:ind w:firstLine="0" w:firstLineChars="0"/>
    </w:pPr>
  </w:style>
  <w:style w:type="paragraph" w:customStyle="1" w:styleId="190">
    <w:name w:val="标准文件_三级项2"/>
    <w:basedOn w:val="58"/>
    <w:qFormat/>
    <w:uiPriority w:val="0"/>
    <w:pPr>
      <w:numPr>
        <w:ilvl w:val="0"/>
        <w:numId w:val="30"/>
      </w:numPr>
      <w:spacing w:line="300" w:lineRule="exact"/>
      <w:ind w:firstLineChars="0"/>
    </w:pPr>
  </w:style>
  <w:style w:type="paragraph" w:customStyle="1" w:styleId="191">
    <w:name w:val="标准文件_一级项2"/>
    <w:basedOn w:val="58"/>
    <w:qFormat/>
    <w:uiPriority w:val="0"/>
    <w:pPr>
      <w:numPr>
        <w:ilvl w:val="0"/>
        <w:numId w:val="31"/>
      </w:numPr>
      <w:spacing w:line="300" w:lineRule="exact"/>
      <w:ind w:firstLineChars="0"/>
    </w:pPr>
  </w:style>
  <w:style w:type="paragraph" w:customStyle="1" w:styleId="192">
    <w:name w:val="标准文件_提示"/>
    <w:basedOn w:val="58"/>
    <w:next w:val="58"/>
    <w:qFormat/>
    <w:uiPriority w:val="0"/>
    <w:pPr>
      <w:ind w:firstLine="420"/>
    </w:pPr>
    <w:rPr>
      <w:rFonts w:ascii="黑体" w:eastAsia="黑体"/>
    </w:rPr>
  </w:style>
  <w:style w:type="character" w:customStyle="1" w:styleId="193">
    <w:name w:val="标准文件_来源"/>
    <w:basedOn w:val="30"/>
    <w:qFormat/>
    <w:uiPriority w:val="1"/>
    <w:rPr>
      <w:rFonts w:eastAsia="宋体"/>
      <w:sz w:val="21"/>
    </w:rPr>
  </w:style>
  <w:style w:type="paragraph" w:customStyle="1" w:styleId="194">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5">
    <w:name w:val="其他发布日期"/>
    <w:basedOn w:val="122"/>
    <w:qFormat/>
    <w:uiPriority w:val="0"/>
    <w:pPr>
      <w:framePr w:w="3997" w:h="471" w:hRule="exact" w:hSpace="0" w:vSpace="181" w:wrap="around" w:vAnchor="page" w:hAnchor="page" w:x="1419" w:y="14097"/>
    </w:pPr>
  </w:style>
  <w:style w:type="paragraph" w:customStyle="1" w:styleId="196">
    <w:name w:val="其他实施日期"/>
    <w:basedOn w:val="156"/>
    <w:qFormat/>
    <w:uiPriority w:val="0"/>
    <w:pPr>
      <w:framePr w:w="3997" w:h="471" w:hRule="exact" w:vSpace="181" w:wrap="around" w:vAnchor="page" w:hAnchor="page" w:x="7089" w:y="14097"/>
    </w:pPr>
  </w:style>
  <w:style w:type="paragraph" w:customStyle="1" w:styleId="197">
    <w:name w:val="标准文件_文件编号"/>
    <w:basedOn w:val="58"/>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8">
    <w:name w:val="标准文件_替换文件编号"/>
    <w:basedOn w:val="197"/>
    <w:qFormat/>
    <w:uiPriority w:val="0"/>
    <w:pPr>
      <w:spacing w:before="57"/>
    </w:pPr>
    <w:rPr>
      <w:sz w:val="21"/>
    </w:rPr>
  </w:style>
  <w:style w:type="paragraph" w:customStyle="1" w:styleId="199">
    <w:name w:val="标准文件_文件名称"/>
    <w:basedOn w:val="58"/>
    <w:next w:val="58"/>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0">
    <w:name w:val="标准文件_附录图标号"/>
    <w:basedOn w:val="58"/>
    <w:next w:val="58"/>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1">
    <w:name w:val="标准文件_附录表标号"/>
    <w:basedOn w:val="58"/>
    <w:next w:val="58"/>
    <w:qFormat/>
    <w:uiPriority w:val="0"/>
    <w:pPr>
      <w:numPr>
        <w:ilvl w:val="0"/>
        <w:numId w:val="5"/>
      </w:numPr>
      <w:spacing w:line="14" w:lineRule="exact"/>
      <w:ind w:firstLine="0" w:firstLineChars="0"/>
      <w:jc w:val="center"/>
    </w:pPr>
    <w:rPr>
      <w:rFonts w:eastAsia="黑体"/>
      <w:vanish/>
      <w:sz w:val="2"/>
    </w:rPr>
  </w:style>
  <w:style w:type="paragraph" w:customStyle="1" w:styleId="202">
    <w:name w:val="标准文件_引言一级条标题"/>
    <w:basedOn w:val="58"/>
    <w:next w:val="58"/>
    <w:qFormat/>
    <w:uiPriority w:val="0"/>
    <w:pPr>
      <w:numPr>
        <w:ilvl w:val="1"/>
        <w:numId w:val="8"/>
      </w:numPr>
      <w:spacing w:before="50" w:beforeLines="50" w:after="50" w:afterLines="50"/>
      <w:ind w:firstLineChars="0"/>
    </w:pPr>
    <w:rPr>
      <w:rFonts w:ascii="黑体" w:eastAsia="黑体"/>
    </w:rPr>
  </w:style>
  <w:style w:type="paragraph" w:customStyle="1" w:styleId="203">
    <w:name w:val="标准文件_引言二级条标题"/>
    <w:basedOn w:val="58"/>
    <w:next w:val="58"/>
    <w:qFormat/>
    <w:uiPriority w:val="0"/>
    <w:pPr>
      <w:numPr>
        <w:ilvl w:val="2"/>
        <w:numId w:val="8"/>
      </w:numPr>
      <w:spacing w:before="50" w:beforeLines="50" w:after="50" w:afterLines="50"/>
      <w:ind w:firstLineChars="0"/>
    </w:pPr>
    <w:rPr>
      <w:rFonts w:ascii="黑体" w:eastAsia="黑体"/>
    </w:rPr>
  </w:style>
  <w:style w:type="paragraph" w:customStyle="1" w:styleId="204">
    <w:name w:val="标准文件_引言三级条标题"/>
    <w:basedOn w:val="58"/>
    <w:next w:val="58"/>
    <w:qFormat/>
    <w:uiPriority w:val="0"/>
    <w:pPr>
      <w:numPr>
        <w:ilvl w:val="3"/>
        <w:numId w:val="8"/>
      </w:numPr>
      <w:spacing w:before="50" w:beforeLines="50" w:after="50" w:afterLines="50"/>
      <w:ind w:firstLineChars="0"/>
    </w:pPr>
    <w:rPr>
      <w:rFonts w:ascii="黑体" w:eastAsia="黑体"/>
    </w:rPr>
  </w:style>
  <w:style w:type="paragraph" w:customStyle="1" w:styleId="205">
    <w:name w:val="标准文件_引言四级条标题"/>
    <w:basedOn w:val="58"/>
    <w:next w:val="58"/>
    <w:qFormat/>
    <w:uiPriority w:val="0"/>
    <w:pPr>
      <w:numPr>
        <w:ilvl w:val="4"/>
        <w:numId w:val="8"/>
      </w:numPr>
      <w:spacing w:before="50" w:beforeLines="50" w:after="50" w:afterLines="50"/>
      <w:ind w:firstLineChars="0"/>
    </w:pPr>
    <w:rPr>
      <w:rFonts w:ascii="黑体" w:eastAsia="黑体"/>
    </w:rPr>
  </w:style>
  <w:style w:type="paragraph" w:customStyle="1" w:styleId="206">
    <w:name w:val="标准文件_引言五级条标题"/>
    <w:basedOn w:val="58"/>
    <w:next w:val="58"/>
    <w:qFormat/>
    <w:uiPriority w:val="0"/>
    <w:pPr>
      <w:numPr>
        <w:ilvl w:val="5"/>
        <w:numId w:val="8"/>
      </w:numPr>
      <w:spacing w:before="50" w:beforeLines="50" w:after="50" w:afterLines="50"/>
      <w:ind w:firstLineChars="0"/>
    </w:pPr>
    <w:rPr>
      <w:rFonts w:ascii="黑体" w:eastAsia="黑体"/>
    </w:rPr>
  </w:style>
  <w:style w:type="paragraph" w:customStyle="1" w:styleId="207">
    <w:name w:val="标准文件_注后"/>
    <w:basedOn w:val="58"/>
    <w:qFormat/>
    <w:uiPriority w:val="0"/>
    <w:pPr>
      <w:ind w:left="811" w:firstLine="0" w:firstLineChars="0"/>
    </w:pPr>
    <w:rPr>
      <w:sz w:val="18"/>
    </w:rPr>
  </w:style>
  <w:style w:type="paragraph" w:customStyle="1" w:styleId="208">
    <w:name w:val="标准文件_注X后"/>
    <w:basedOn w:val="58"/>
    <w:qFormat/>
    <w:uiPriority w:val="0"/>
    <w:pPr>
      <w:ind w:left="811" w:firstLine="0" w:firstLineChars="0"/>
    </w:pPr>
    <w:rPr>
      <w:sz w:val="18"/>
    </w:rPr>
  </w:style>
  <w:style w:type="paragraph" w:customStyle="1" w:styleId="209">
    <w:name w:val="标准文件_示例后"/>
    <w:basedOn w:val="58"/>
    <w:qFormat/>
    <w:uiPriority w:val="0"/>
    <w:pPr>
      <w:ind w:left="964" w:firstLine="0" w:firstLineChars="0"/>
    </w:pPr>
    <w:rPr>
      <w:sz w:val="18"/>
    </w:rPr>
  </w:style>
  <w:style w:type="paragraph" w:customStyle="1" w:styleId="210">
    <w:name w:val="标准文件_示例X后"/>
    <w:basedOn w:val="58"/>
    <w:link w:val="211"/>
    <w:qFormat/>
    <w:uiPriority w:val="0"/>
    <w:pPr>
      <w:ind w:left="1049" w:firstLine="0" w:firstLineChars="0"/>
    </w:pPr>
    <w:rPr>
      <w:sz w:val="18"/>
    </w:rPr>
  </w:style>
  <w:style w:type="character" w:customStyle="1" w:styleId="211">
    <w:name w:val="标准文件_示例X后 字符"/>
    <w:basedOn w:val="186"/>
    <w:link w:val="210"/>
    <w:qFormat/>
    <w:uiPriority w:val="0"/>
    <w:rPr>
      <w:rFonts w:ascii="宋体" w:hAnsi="Times New Roman"/>
      <w:sz w:val="18"/>
    </w:rPr>
  </w:style>
  <w:style w:type="paragraph" w:customStyle="1" w:styleId="212">
    <w:name w:val="标准文件_索引项"/>
    <w:basedOn w:val="58"/>
    <w:next w:val="58"/>
    <w:qFormat/>
    <w:uiPriority w:val="0"/>
    <w:pPr>
      <w:tabs>
        <w:tab w:val="right" w:leader="dot" w:pos="9356"/>
      </w:tabs>
      <w:ind w:left="210" w:hanging="210" w:firstLineChars="0"/>
      <w:jc w:val="left"/>
    </w:pPr>
  </w:style>
  <w:style w:type="paragraph" w:customStyle="1" w:styleId="213">
    <w:name w:val="标准文件_附录一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二级无标题"/>
    <w:basedOn w:val="81"/>
    <w:qFormat/>
    <w:uiPriority w:val="0"/>
    <w:pPr>
      <w:spacing w:before="0" w:beforeLines="0" w:after="0" w:afterLines="0" w:line="276" w:lineRule="auto"/>
      <w:outlineLvl w:val="9"/>
    </w:pPr>
    <w:rPr>
      <w:rFonts w:ascii="宋体" w:eastAsia="宋体"/>
    </w:rPr>
  </w:style>
  <w:style w:type="paragraph" w:customStyle="1" w:styleId="215">
    <w:name w:val="标准文件_附录三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四级无标题"/>
    <w:basedOn w:val="84"/>
    <w:qFormat/>
    <w:uiPriority w:val="0"/>
    <w:pPr>
      <w:spacing w:before="0" w:beforeLines="0" w:after="0" w:afterLines="0" w:line="276" w:lineRule="auto"/>
      <w:outlineLvl w:val="9"/>
    </w:pPr>
    <w:rPr>
      <w:rFonts w:ascii="宋体" w:eastAsia="宋体"/>
    </w:rPr>
  </w:style>
  <w:style w:type="paragraph" w:customStyle="1" w:styleId="217">
    <w:name w:val="标准文件_附录五级无标题"/>
    <w:basedOn w:val="86"/>
    <w:qFormat/>
    <w:uiPriority w:val="0"/>
    <w:pPr>
      <w:spacing w:before="0" w:beforeLines="0" w:after="0" w:afterLines="0" w:line="276" w:lineRule="auto"/>
      <w:outlineLvl w:val="9"/>
    </w:pPr>
    <w:rPr>
      <w:rFonts w:ascii="宋体" w:eastAsia="宋体"/>
    </w:rPr>
  </w:style>
  <w:style w:type="paragraph" w:customStyle="1" w:styleId="218">
    <w:name w:val="标准文件_引言一级无标题"/>
    <w:basedOn w:val="202"/>
    <w:next w:val="58"/>
    <w:qFormat/>
    <w:uiPriority w:val="0"/>
    <w:pPr>
      <w:spacing w:before="0" w:beforeLines="0" w:after="0" w:afterLines="0" w:line="276" w:lineRule="auto"/>
    </w:pPr>
    <w:rPr>
      <w:rFonts w:ascii="宋体" w:eastAsia="宋体"/>
    </w:rPr>
  </w:style>
  <w:style w:type="paragraph" w:customStyle="1" w:styleId="219">
    <w:name w:val="标准文件_引言二级无标题"/>
    <w:basedOn w:val="203"/>
    <w:next w:val="58"/>
    <w:qFormat/>
    <w:uiPriority w:val="0"/>
    <w:pPr>
      <w:spacing w:before="0" w:beforeLines="0" w:after="0" w:afterLines="0" w:line="276" w:lineRule="auto"/>
    </w:pPr>
    <w:rPr>
      <w:rFonts w:ascii="宋体" w:eastAsia="宋体"/>
    </w:rPr>
  </w:style>
  <w:style w:type="paragraph" w:customStyle="1" w:styleId="220">
    <w:name w:val="标准文件_引言三级无标题"/>
    <w:basedOn w:val="204"/>
    <w:qFormat/>
    <w:uiPriority w:val="0"/>
    <w:pPr>
      <w:spacing w:before="0" w:beforeLines="0" w:after="0" w:afterLines="0" w:line="276" w:lineRule="auto"/>
    </w:pPr>
    <w:rPr>
      <w:rFonts w:ascii="宋体" w:eastAsia="宋体"/>
    </w:rPr>
  </w:style>
  <w:style w:type="paragraph" w:customStyle="1" w:styleId="221">
    <w:name w:val="标准文件_引言四级无标题"/>
    <w:basedOn w:val="205"/>
    <w:next w:val="58"/>
    <w:qFormat/>
    <w:uiPriority w:val="0"/>
    <w:pPr>
      <w:spacing w:before="0" w:beforeLines="0" w:after="0" w:afterLines="0" w:line="276" w:lineRule="auto"/>
    </w:pPr>
    <w:rPr>
      <w:rFonts w:ascii="宋体" w:eastAsia="宋体"/>
    </w:rPr>
  </w:style>
  <w:style w:type="paragraph" w:customStyle="1" w:styleId="222">
    <w:name w:val="标准文件_引言五级无标题"/>
    <w:basedOn w:val="206"/>
    <w:next w:val="58"/>
    <w:qFormat/>
    <w:uiPriority w:val="0"/>
    <w:pPr>
      <w:spacing w:before="0" w:beforeLines="0" w:after="0" w:afterLines="0" w:line="276" w:lineRule="auto"/>
    </w:pPr>
    <w:rPr>
      <w:rFonts w:ascii="宋体" w:eastAsia="宋体"/>
    </w:rPr>
  </w:style>
  <w:style w:type="paragraph" w:customStyle="1" w:styleId="223">
    <w:name w:val="标准文件_索引标题"/>
    <w:basedOn w:val="65"/>
    <w:next w:val="58"/>
    <w:qFormat/>
    <w:uiPriority w:val="0"/>
    <w:rPr>
      <w:rFonts w:hAnsi="黑体"/>
    </w:rPr>
  </w:style>
  <w:style w:type="paragraph" w:customStyle="1" w:styleId="224">
    <w:name w:val="标准文件_脚注内容"/>
    <w:basedOn w:val="58"/>
    <w:qFormat/>
    <w:uiPriority w:val="0"/>
    <w:pPr>
      <w:ind w:left="400" w:leftChars="200" w:hanging="200" w:hangingChars="200"/>
    </w:pPr>
    <w:rPr>
      <w:sz w:val="15"/>
    </w:rPr>
  </w:style>
  <w:style w:type="paragraph" w:customStyle="1" w:styleId="225">
    <w:name w:val="标准文件_术语条一"/>
    <w:basedOn w:val="164"/>
    <w:next w:val="58"/>
    <w:qFormat/>
    <w:uiPriority w:val="0"/>
  </w:style>
  <w:style w:type="paragraph" w:customStyle="1" w:styleId="226">
    <w:name w:val="标准文件_术语条二"/>
    <w:basedOn w:val="167"/>
    <w:next w:val="58"/>
    <w:qFormat/>
    <w:uiPriority w:val="0"/>
  </w:style>
  <w:style w:type="paragraph" w:customStyle="1" w:styleId="227">
    <w:name w:val="标准文件_术语条三"/>
    <w:basedOn w:val="166"/>
    <w:next w:val="58"/>
    <w:qFormat/>
    <w:uiPriority w:val="0"/>
  </w:style>
  <w:style w:type="paragraph" w:customStyle="1" w:styleId="228">
    <w:name w:val="标准文件_术语条四"/>
    <w:basedOn w:val="169"/>
    <w:next w:val="58"/>
    <w:qFormat/>
    <w:uiPriority w:val="0"/>
  </w:style>
  <w:style w:type="paragraph" w:customStyle="1" w:styleId="229">
    <w:name w:val="标准文件_术语条五"/>
    <w:basedOn w:val="165"/>
    <w:next w:val="58"/>
    <w:qFormat/>
    <w:uiPriority w:val="0"/>
  </w:style>
  <w:style w:type="paragraph" w:customStyle="1" w:styleId="23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1">
    <w:name w:val="发布"/>
    <w:basedOn w:val="30"/>
    <w:qFormat/>
    <w:uiPriority w:val="0"/>
    <w:rPr>
      <w:rFonts w:ascii="黑体" w:eastAsia="黑体"/>
      <w:spacing w:val="85"/>
      <w:w w:val="100"/>
      <w:position w:val="3"/>
      <w:sz w:val="28"/>
      <w:szCs w:val="28"/>
    </w:rPr>
  </w:style>
  <w:style w:type="paragraph" w:customStyle="1" w:styleId="232">
    <w:name w:val="段"/>
    <w:basedOn w:val="1"/>
    <w:qFormat/>
    <w:uiPriority w:val="0"/>
    <w:pPr>
      <w:widowControl/>
      <w:autoSpaceDE w:val="0"/>
      <w:autoSpaceDN w:val="0"/>
      <w:adjustRightInd/>
      <w:spacing w:line="240" w:lineRule="auto"/>
      <w:ind w:firstLine="420" w:firstLineChars="200"/>
    </w:pPr>
    <w:rPr>
      <w:rFonts w:ascii="宋体" w:hAnsi="宋体" w:cs="宋体"/>
      <w:kern w:val="0"/>
    </w:rPr>
  </w:style>
  <w:style w:type="table" w:customStyle="1" w:styleId="233">
    <w:name w:val="网格型1"/>
    <w:basedOn w:val="28"/>
    <w:unhideWhenUsed/>
    <w:qFormat/>
    <w:uiPriority w:val="9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234">
    <w:name w:val="正文1"/>
    <w:qFormat/>
    <w:uiPriority w:val="0"/>
    <w:pPr>
      <w:jc w:val="both"/>
    </w:pPr>
    <w:rPr>
      <w:rFonts w:ascii="Calibri" w:hAnsi="Calibri" w:eastAsia="宋体" w:cs="Calibri"/>
      <w:kern w:val="2"/>
      <w:sz w:val="21"/>
      <w:szCs w:val="21"/>
      <w:lang w:val="en-US" w:eastAsia="zh-CN" w:bidi="ar-SA"/>
    </w:rPr>
  </w:style>
  <w:style w:type="paragraph" w:customStyle="1" w:styleId="235">
    <w:name w:val="正文2"/>
    <w:qFormat/>
    <w:uiPriority w:val="0"/>
    <w:pPr>
      <w:jc w:val="both"/>
    </w:pPr>
    <w:rPr>
      <w:rFonts w:ascii="Times New Roman" w:hAnsi="Times New Roman" w:eastAsia="宋体" w:cs="Times New Roman"/>
      <w:kern w:val="2"/>
      <w:sz w:val="21"/>
      <w:szCs w:val="21"/>
      <w:lang w:val="en-US" w:eastAsia="zh-CN" w:bidi="ar-SA"/>
    </w:rPr>
  </w:style>
  <w:style w:type="paragraph" w:customStyle="1" w:styleId="236">
    <w:name w:val="正文3"/>
    <w:qFormat/>
    <w:uiPriority w:val="0"/>
    <w:pPr>
      <w:jc w:val="both"/>
    </w:pPr>
    <w:rPr>
      <w:rFonts w:ascii="等线" w:hAnsi="等线" w:eastAsia="宋体" w:cs="宋体"/>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glossaryDocument" Target="glossary/document.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3.jpeg"/><Relationship Id="rId16" Type="http://schemas.openxmlformats.org/officeDocument/2006/relationships/image" Target="media/image2.jpeg"/><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1F5F4DF43C3742FC86B059969DBEAE50"/>
        <w:style w:val=""/>
        <w:category>
          <w:name w:val="常规"/>
          <w:gallery w:val="placeholder"/>
        </w:category>
        <w:types>
          <w:type w:val="bbPlcHdr"/>
        </w:types>
        <w:behaviors>
          <w:behavior w:val="content"/>
        </w:behaviors>
        <w:description w:val=""/>
        <w:guid w:val="{66158805-6E2C-4E3E-BD80-BF53849012AC}"/>
      </w:docPartPr>
      <w:docPartBody>
        <w:p w14:paraId="4B9D071B">
          <w:pPr>
            <w:pStyle w:val="5"/>
          </w:pPr>
          <w:r>
            <w:rPr>
              <w:rStyle w:val="4"/>
              <w:rFonts w:hint="eastAsia"/>
            </w:rPr>
            <w:t>单击或点击此处输入文字。</w:t>
          </w:r>
        </w:p>
      </w:docPartBody>
    </w:docPart>
    <w:docPart>
      <w:docPartPr>
        <w:name w:val="7AAA608838A1403FBEAB050E07FE4BAF"/>
        <w:style w:val=""/>
        <w:category>
          <w:name w:val="常规"/>
          <w:gallery w:val="placeholder"/>
        </w:category>
        <w:types>
          <w:type w:val="bbPlcHdr"/>
        </w:types>
        <w:behaviors>
          <w:behavior w:val="content"/>
        </w:behaviors>
        <w:description w:val=""/>
        <w:guid w:val="{A5756A9E-CB7E-4668-8217-64545DA8967E}"/>
      </w:docPartPr>
      <w:docPartBody>
        <w:p w14:paraId="07033016">
          <w:pPr>
            <w:pStyle w:val="6"/>
          </w:pPr>
          <w:r>
            <w:rPr>
              <w:rStyle w:val="4"/>
              <w:rFonts w:hint="eastAsia"/>
            </w:rPr>
            <w:t>选择一项。</w:t>
          </w:r>
        </w:p>
      </w:docPartBody>
    </w:docPart>
    <w:docPart>
      <w:docPartPr>
        <w:name w:val="F56FE18E7B8C428BBB455F2871FBEA04"/>
        <w:style w:val=""/>
        <w:category>
          <w:name w:val="常规"/>
          <w:gallery w:val="placeholder"/>
        </w:category>
        <w:types>
          <w:type w:val="bbPlcHdr"/>
        </w:types>
        <w:behaviors>
          <w:behavior w:val="content"/>
        </w:behaviors>
        <w:description w:val=""/>
        <w:guid w:val="{6465CD09-438C-4B2F-9E44-6E3A7502C244}"/>
      </w:docPartPr>
      <w:docPartBody>
        <w:p w14:paraId="303B4B03">
          <w:pPr>
            <w:pStyle w:val="7"/>
          </w:pPr>
          <w:r>
            <w:rPr>
              <w:rStyle w:val="4"/>
              <w:rFonts w:hint="eastAsia"/>
            </w:rPr>
            <w:t>选择一项。</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742A"/>
    <w:rsid w:val="000F3DD8"/>
    <w:rsid w:val="0011742A"/>
    <w:rsid w:val="001E7BC5"/>
    <w:rsid w:val="00243377"/>
    <w:rsid w:val="00265A84"/>
    <w:rsid w:val="002C41D6"/>
    <w:rsid w:val="007676E0"/>
    <w:rsid w:val="007A643E"/>
    <w:rsid w:val="00805672"/>
    <w:rsid w:val="00856F51"/>
    <w:rsid w:val="00880EF6"/>
    <w:rsid w:val="009E65F2"/>
    <w:rsid w:val="00A258E1"/>
    <w:rsid w:val="00AE0B9A"/>
    <w:rsid w:val="00BE56E3"/>
    <w:rsid w:val="00CA2F2B"/>
    <w:rsid w:val="00E97308"/>
    <w:rsid w:val="00EA31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1F5F4DF43C3742FC86B059969DBEAE50"/>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6">
    <w:name w:val="7AAA608838A1403FBEAB050E07FE4BAF"/>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7">
    <w:name w:val="F56FE18E7B8C428BBB455F2871FBEA04"/>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66A6F9-B931-45CB-9387-9FC9E59B93E3}">
  <ds:schemaRefs/>
</ds:datastoreItem>
</file>

<file path=docProps/app.xml><?xml version="1.0" encoding="utf-8"?>
<Properties xmlns="http://schemas.openxmlformats.org/officeDocument/2006/extended-properties" xmlns:vt="http://schemas.openxmlformats.org/officeDocument/2006/docPropsVTypes">
  <Template>地方标准</Template>
  <Pages>8</Pages>
  <Words>2084</Words>
  <Characters>2419</Characters>
  <Lines>25</Lines>
  <Paragraphs>7</Paragraphs>
  <TotalTime>11</TotalTime>
  <ScaleCrop>false</ScaleCrop>
  <LinksUpToDate>false</LinksUpToDate>
  <CharactersWithSpaces>2529</CharactersWithSpaces>
  <Application>WPS Office_12.1.0.18345_F1E327BC-269C-435d-A152-05C5408002CA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2025-09-19T10:58:00Z</dcterms:created>
  <dc:creator>Lenovo</dc:creator>
  <cp:lastModifiedBy>胡博</cp:lastModifiedBy>
  <cp:lastPrinted>2025-09-22T01:27:00Z</cp:lastPrinted>
  <dcterms:modified xsi:type="dcterms:W3CDTF">2025-09-22T07:59:40Z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GB</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国家标准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2052-12.1.0.18345</vt:lpwstr>
  </property>
  <property fmtid="{D5CDD505-2E9C-101B-9397-08002B2CF9AE}" pid="15" name="ICV">
    <vt:lpwstr>A531873CC44B492C812545762B17DE6E_12</vt:lpwstr>
  </property>
  <property fmtid="{D5CDD505-2E9C-101B-9397-08002B2CF9AE}" pid="16" name="KSOTemplateDocerSaveRecord">
    <vt:lpwstr>eyJoZGlkIjoiY2E0MzRhNjA3YWMyYWZmNmYxNzZlZmQ4M2E2ZTczYWIiLCJ1c2VySWQiOiIxNjk1ODU0NDczIn0=</vt:lpwstr>
  </property>
</Properties>
</file>