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AB234">
      <w:pPr>
        <w:pStyle w:val="5"/>
        <w:spacing w:before="50"/>
        <w:ind w:left="398"/>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ICS×××</w:t>
      </w:r>
    </w:p>
    <w:p w14:paraId="1713679C">
      <w:pPr>
        <w:pStyle w:val="5"/>
        <w:spacing w:before="7"/>
        <w:rPr>
          <w:rFonts w:ascii="Times New Roman" w:hAnsi="Times New Roman" w:cs="Times New Roman"/>
          <w:color w:val="000000" w:themeColor="text1"/>
          <w:sz w:val="27"/>
          <w14:textFill>
            <w14:solidFill>
              <w14:schemeClr w14:val="tx1"/>
            </w14:solidFill>
          </w14:textFill>
        </w:rPr>
      </w:pPr>
    </w:p>
    <w:p w14:paraId="5E7A82BE">
      <w:pPr>
        <w:pStyle w:val="5"/>
        <w:ind w:left="398"/>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备案号×××</w:t>
      </w:r>
    </w:p>
    <w:p w14:paraId="1CF6A045">
      <w:pPr>
        <w:spacing w:before="203" w:line="1177" w:lineRule="exact"/>
        <w:ind w:left="398"/>
        <w:rPr>
          <w:rFonts w:ascii="Times New Roman" w:hAnsi="Times New Roman" w:cs="Times New Roman"/>
          <w:color w:val="000000" w:themeColor="text1"/>
          <w:sz w:val="96"/>
          <w14:textFill>
            <w14:solidFill>
              <w14:schemeClr w14:val="tx1"/>
            </w14:solidFill>
          </w14:textFill>
        </w:rPr>
      </w:pPr>
      <w:r>
        <w:rPr>
          <w:rFonts w:ascii="Times New Roman" w:hAnsi="Times New Roman" w:cs="Times New Roman"/>
          <w:color w:val="000000" w:themeColor="text1"/>
          <w14:textFill>
            <w14:solidFill>
              <w14:schemeClr w14:val="tx1"/>
            </w14:solidFill>
          </w14:textFill>
        </w:rPr>
        <w:br w:type="column"/>
      </w:r>
      <w:r>
        <w:rPr>
          <w:rFonts w:ascii="Times New Roman" w:hAnsi="Times New Roman" w:cs="Times New Roman"/>
          <w:color w:val="000000" w:themeColor="text1"/>
          <w:w w:val="130"/>
          <w:sz w:val="96"/>
          <w14:textFill>
            <w14:solidFill>
              <w14:schemeClr w14:val="tx1"/>
            </w14:solidFill>
          </w14:textFill>
        </w:rPr>
        <w:t>DB××</w:t>
      </w:r>
    </w:p>
    <w:p w14:paraId="3C6F4A76">
      <w:pPr>
        <w:spacing w:line="1177" w:lineRule="exact"/>
        <w:rPr>
          <w:rFonts w:ascii="Times New Roman" w:hAnsi="Times New Roman" w:cs="Times New Roman"/>
          <w:color w:val="000000" w:themeColor="text1"/>
          <w:sz w:val="96"/>
          <w14:textFill>
            <w14:solidFill>
              <w14:schemeClr w14:val="tx1"/>
            </w14:solidFill>
          </w14:textFill>
        </w:rPr>
        <w:sectPr>
          <w:footerReference r:id="rId3" w:type="default"/>
          <w:type w:val="continuous"/>
          <w:pgSz w:w="11910" w:h="16840"/>
          <w:pgMar w:top="520" w:right="740" w:bottom="280" w:left="1020" w:header="720" w:footer="0" w:gutter="0"/>
          <w:pgNumType w:start="5"/>
          <w:cols w:equalWidth="0" w:num="2">
            <w:col w:w="1702" w:space="3070"/>
            <w:col w:w="5378"/>
          </w:cols>
        </w:sectPr>
      </w:pPr>
    </w:p>
    <w:p w14:paraId="14887114">
      <w:pPr>
        <w:tabs>
          <w:tab w:val="left" w:pos="1913"/>
          <w:tab w:val="left" w:pos="3432"/>
          <w:tab w:val="left" w:pos="4951"/>
          <w:tab w:val="left" w:pos="6470"/>
          <w:tab w:val="left" w:pos="7989"/>
          <w:tab w:val="left" w:pos="9511"/>
        </w:tabs>
        <w:spacing w:line="594" w:lineRule="exact"/>
        <w:ind w:left="394"/>
        <w:rPr>
          <w:rFonts w:ascii="Times New Roman" w:hAnsi="Times New Roman" w:cs="Times New Roman"/>
          <w:color w:val="000000" w:themeColor="text1"/>
          <w:sz w:val="52"/>
          <w14:textFill>
            <w14:solidFill>
              <w14:schemeClr w14:val="tx1"/>
            </w14:solidFill>
          </w14:textFill>
        </w:rPr>
      </w:pPr>
      <w:r>
        <w:rPr>
          <w:rFonts w:ascii="Times New Roman" w:hAnsi="Times New Roman" w:cs="Times New Roman"/>
          <w:color w:val="000000" w:themeColor="text1"/>
          <w:sz w:val="52"/>
          <w14:textFill>
            <w14:solidFill>
              <w14:schemeClr w14:val="tx1"/>
            </w14:solidFill>
          </w14:textFill>
        </w:rPr>
        <w:t>河</w:t>
      </w:r>
      <w:r>
        <w:rPr>
          <w:rFonts w:ascii="Times New Roman" w:hAnsi="Times New Roman" w:cs="Times New Roman"/>
          <w:color w:val="000000" w:themeColor="text1"/>
          <w:sz w:val="52"/>
          <w14:textFill>
            <w14:solidFill>
              <w14:schemeClr w14:val="tx1"/>
            </w14:solidFill>
          </w14:textFill>
        </w:rPr>
        <w:tab/>
      </w:r>
      <w:r>
        <w:rPr>
          <w:rFonts w:ascii="Times New Roman" w:hAnsi="Times New Roman" w:cs="Times New Roman"/>
          <w:color w:val="000000" w:themeColor="text1"/>
          <w:sz w:val="52"/>
          <w14:textFill>
            <w14:solidFill>
              <w14:schemeClr w14:val="tx1"/>
            </w14:solidFill>
          </w14:textFill>
        </w:rPr>
        <w:t>北</w:t>
      </w:r>
      <w:r>
        <w:rPr>
          <w:rFonts w:ascii="Times New Roman" w:hAnsi="Times New Roman" w:cs="Times New Roman"/>
          <w:color w:val="000000" w:themeColor="text1"/>
          <w:sz w:val="52"/>
          <w14:textFill>
            <w14:solidFill>
              <w14:schemeClr w14:val="tx1"/>
            </w14:solidFill>
          </w14:textFill>
        </w:rPr>
        <w:tab/>
      </w:r>
      <w:r>
        <w:rPr>
          <w:rFonts w:ascii="Times New Roman" w:hAnsi="Times New Roman" w:cs="Times New Roman"/>
          <w:color w:val="000000" w:themeColor="text1"/>
          <w:sz w:val="52"/>
          <w14:textFill>
            <w14:solidFill>
              <w14:schemeClr w14:val="tx1"/>
            </w14:solidFill>
          </w14:textFill>
        </w:rPr>
        <w:t>省</w:t>
      </w:r>
      <w:r>
        <w:rPr>
          <w:rFonts w:ascii="Times New Roman" w:hAnsi="Times New Roman" w:cs="Times New Roman"/>
          <w:color w:val="000000" w:themeColor="text1"/>
          <w:sz w:val="52"/>
          <w14:textFill>
            <w14:solidFill>
              <w14:schemeClr w14:val="tx1"/>
            </w14:solidFill>
          </w14:textFill>
        </w:rPr>
        <w:tab/>
      </w:r>
      <w:r>
        <w:rPr>
          <w:rFonts w:ascii="Times New Roman" w:hAnsi="Times New Roman" w:cs="Times New Roman"/>
          <w:color w:val="000000" w:themeColor="text1"/>
          <w:sz w:val="52"/>
          <w14:textFill>
            <w14:solidFill>
              <w14:schemeClr w14:val="tx1"/>
            </w14:solidFill>
          </w14:textFill>
        </w:rPr>
        <w:t>地</w:t>
      </w:r>
      <w:r>
        <w:rPr>
          <w:rFonts w:ascii="Times New Roman" w:hAnsi="Times New Roman" w:cs="Times New Roman"/>
          <w:color w:val="000000" w:themeColor="text1"/>
          <w:sz w:val="52"/>
          <w14:textFill>
            <w14:solidFill>
              <w14:schemeClr w14:val="tx1"/>
            </w14:solidFill>
          </w14:textFill>
        </w:rPr>
        <w:tab/>
      </w:r>
      <w:r>
        <w:rPr>
          <w:rFonts w:ascii="Times New Roman" w:hAnsi="Times New Roman" w:cs="Times New Roman"/>
          <w:color w:val="000000" w:themeColor="text1"/>
          <w:sz w:val="52"/>
          <w14:textFill>
            <w14:solidFill>
              <w14:schemeClr w14:val="tx1"/>
            </w14:solidFill>
          </w14:textFill>
        </w:rPr>
        <w:t>方</w:t>
      </w:r>
      <w:r>
        <w:rPr>
          <w:rFonts w:ascii="Times New Roman" w:hAnsi="Times New Roman" w:cs="Times New Roman"/>
          <w:color w:val="000000" w:themeColor="text1"/>
          <w:sz w:val="52"/>
          <w14:textFill>
            <w14:solidFill>
              <w14:schemeClr w14:val="tx1"/>
            </w14:solidFill>
          </w14:textFill>
        </w:rPr>
        <w:tab/>
      </w:r>
      <w:r>
        <w:rPr>
          <w:rFonts w:ascii="Times New Roman" w:hAnsi="Times New Roman" w:cs="Times New Roman"/>
          <w:color w:val="000000" w:themeColor="text1"/>
          <w:sz w:val="52"/>
          <w14:textFill>
            <w14:solidFill>
              <w14:schemeClr w14:val="tx1"/>
            </w14:solidFill>
          </w14:textFill>
        </w:rPr>
        <w:t>标</w:t>
      </w:r>
      <w:r>
        <w:rPr>
          <w:rFonts w:ascii="Times New Roman" w:hAnsi="Times New Roman" w:cs="Times New Roman"/>
          <w:color w:val="000000" w:themeColor="text1"/>
          <w:sz w:val="52"/>
          <w14:textFill>
            <w14:solidFill>
              <w14:schemeClr w14:val="tx1"/>
            </w14:solidFill>
          </w14:textFill>
        </w:rPr>
        <w:tab/>
      </w:r>
      <w:r>
        <w:rPr>
          <w:rFonts w:ascii="Times New Roman" w:hAnsi="Times New Roman" w:cs="Times New Roman"/>
          <w:color w:val="000000" w:themeColor="text1"/>
          <w:sz w:val="52"/>
          <w14:textFill>
            <w14:solidFill>
              <w14:schemeClr w14:val="tx1"/>
            </w14:solidFill>
          </w14:textFill>
        </w:rPr>
        <w:t>准</w:t>
      </w:r>
    </w:p>
    <w:p w14:paraId="5166C86F">
      <w:pPr>
        <w:pStyle w:val="5"/>
        <w:spacing w:before="9"/>
        <w:rPr>
          <w:rFonts w:ascii="Times New Roman" w:hAnsi="Times New Roman" w:cs="Times New Roman"/>
          <w:color w:val="000000" w:themeColor="text1"/>
          <w:sz w:val="54"/>
          <w14:textFill>
            <w14:solidFill>
              <w14:schemeClr w14:val="tx1"/>
            </w14:solidFill>
          </w14:textFill>
        </w:rPr>
      </w:pPr>
    </w:p>
    <w:p w14:paraId="6F241EB1">
      <w:pPr>
        <w:spacing w:before="1"/>
        <w:ind w:left="6596"/>
        <w:rPr>
          <w:rFonts w:ascii="Times New Roman" w:hAnsi="Times New Roman" w:cs="Times New Roman"/>
          <w:color w:val="000000" w:themeColor="text1"/>
          <w:sz w:val="28"/>
          <w14:textFill>
            <w14:solidFill>
              <w14:schemeClr w14:val="tx1"/>
            </w14:solidFill>
          </w14:textFill>
        </w:rPr>
      </w:pPr>
      <w:r>
        <w:rPr>
          <w:rFonts w:ascii="Times New Roman" w:hAnsi="Times New Roman" w:cs="Times New Roman"/>
          <w:color w:val="000000" w:themeColor="text1"/>
          <w:sz w:val="28"/>
          <w14:textFill>
            <w14:solidFill>
              <w14:schemeClr w14:val="tx1"/>
            </w14:solidFill>
          </w14:textFill>
        </w:rPr>
        <w:t>DB</w:t>
      </w:r>
      <w:r>
        <w:rPr>
          <w:rFonts w:ascii="Times New Roman" w:hAnsi="Times New Roman" w:cs="Times New Roman"/>
          <w:color w:val="000000" w:themeColor="text1"/>
          <w:spacing w:val="-4"/>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××/T×××—2022</w:t>
      </w:r>
    </w:p>
    <w:p w14:paraId="57BA5A5F">
      <w:pPr>
        <w:pStyle w:val="5"/>
        <w:rPr>
          <w:rFonts w:ascii="Times New Roman" w:hAnsi="Times New Roman" w:cs="Times New Roman"/>
          <w:color w:val="000000" w:themeColor="text1"/>
          <w:sz w:val="20"/>
          <w14:textFill>
            <w14:solidFill>
              <w14:schemeClr w14:val="tx1"/>
            </w14:solidFill>
          </w14:textFill>
        </w:rPr>
      </w:pPr>
    </w:p>
    <w:p w14:paraId="2329C1E9">
      <w:pPr>
        <w:pStyle w:val="5"/>
        <w:spacing w:before="12"/>
        <w:rPr>
          <w:rFonts w:ascii="Times New Roman" w:hAnsi="Times New Roman" w:cs="Times New Roman"/>
          <w:color w:val="000000" w:themeColor="text1"/>
          <w:sz w:val="20"/>
          <w14:textFill>
            <w14:solidFill>
              <w14:schemeClr w14:val="tx1"/>
            </w14:solidFill>
          </w14:textFill>
        </w:rPr>
      </w:pPr>
      <w:r>
        <w:rPr>
          <w:rFonts w:ascii="Times New Roman" w:hAnsi="Times New Roman" w:cs="Times New Roman"/>
          <w:color w:val="000000" w:themeColor="text1"/>
          <w14:textFill>
            <w14:solidFill>
              <w14:schemeClr w14:val="tx1"/>
            </w14:solidFill>
          </w14:textFill>
        </w:rPr>
        <mc:AlternateContent>
          <mc:Choice Requires="wps">
            <w:drawing>
              <wp:anchor distT="0" distB="0" distL="0" distR="0" simplePos="0" relativeHeight="251668480" behindDoc="1" locked="0" layoutInCell="1" allowOverlap="1">
                <wp:simplePos x="0" y="0"/>
                <wp:positionH relativeFrom="page">
                  <wp:posOffset>900430</wp:posOffset>
                </wp:positionH>
                <wp:positionV relativeFrom="paragraph">
                  <wp:posOffset>201295</wp:posOffset>
                </wp:positionV>
                <wp:extent cx="6121400" cy="1270"/>
                <wp:effectExtent l="0" t="0" r="0" b="0"/>
                <wp:wrapTopAndBottom/>
                <wp:docPr id="15" name="Freeform 6"/>
                <wp:cNvGraphicFramePr/>
                <a:graphic xmlns:a="http://schemas.openxmlformats.org/drawingml/2006/main">
                  <a:graphicData uri="http://schemas.microsoft.com/office/word/2010/wordprocessingShape">
                    <wps:wsp>
                      <wps:cNvSpPr/>
                      <wps:spPr bwMode="auto">
                        <a:xfrm>
                          <a:off x="0" y="0"/>
                          <a:ext cx="6121400" cy="1270"/>
                        </a:xfrm>
                        <a:custGeom>
                          <a:avLst/>
                          <a:gdLst>
                            <a:gd name="T0" fmla="+- 0 1418 1418"/>
                            <a:gd name="T1" fmla="*/ T0 w 9640"/>
                            <a:gd name="T2" fmla="+- 0 11058 1418"/>
                            <a:gd name="T3" fmla="*/ T2 w 9640"/>
                          </a:gdLst>
                          <a:ahLst/>
                          <a:cxnLst>
                            <a:cxn ang="0">
                              <a:pos x="T1" y="0"/>
                            </a:cxn>
                            <a:cxn ang="0">
                              <a:pos x="T3" y="0"/>
                            </a:cxn>
                          </a:cxnLst>
                          <a:rect l="0" t="0" r="r" b="b"/>
                          <a:pathLst>
                            <a:path w="9640">
                              <a:moveTo>
                                <a:pt x="0" y="0"/>
                              </a:moveTo>
                              <a:lnTo>
                                <a:pt x="9640" y="0"/>
                              </a:lnTo>
                            </a:path>
                          </a:pathLst>
                        </a:custGeom>
                        <a:noFill/>
                        <a:ln w="12192">
                          <a:solidFill>
                            <a:srgbClr val="080000"/>
                          </a:solidFill>
                          <a:round/>
                        </a:ln>
                      </wps:spPr>
                      <wps:bodyPr rot="0" vert="horz" wrap="square" lIns="91440" tIns="45720" rIns="91440" bIns="45720" anchor="t" anchorCtr="0" upright="1">
                        <a:noAutofit/>
                      </wps:bodyPr>
                    </wps:wsp>
                  </a:graphicData>
                </a:graphic>
              </wp:anchor>
            </w:drawing>
          </mc:Choice>
          <mc:Fallback>
            <w:pict>
              <v:shape id="Freeform 6" o:spid="_x0000_s1026" o:spt="100" style="position:absolute;left:0pt;margin-left:70.9pt;margin-top:15.85pt;height:0.1pt;width:482pt;mso-position-horizontal-relative:page;mso-wrap-distance-bottom:0pt;mso-wrap-distance-top:0pt;z-index:-251648000;mso-width-relative:page;mso-height-relative:page;" filled="f" stroked="t" coordsize="9640,1" o:gfxdata="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Bu4TnDaAAAACgEAAA8AAAAAAAAAAQAgAAAAIgAAAGRycy9kb3ducmV2LnhtbFBL&#10;AQIUABQAAAAIAIdO4kCWQty5nwIAAMMFAAAOAAAAAAAAAAEAIAAAACkBAABkcnMvZTJvRG9jLnht&#10;bFBLBQYAAAAABgAGAFkBAAA6BgAAAAA=&#10;" path="m0,0l9640,0e">
                <v:path o:connectlocs="0,0;6121400,0" o:connectangles="0,0"/>
                <v:fill on="f" focussize="0,0"/>
                <v:stroke weight="0.96pt" color="#080000" joinstyle="round"/>
                <v:imagedata o:title=""/>
                <o:lock v:ext="edit" aspectratio="f"/>
                <w10:wrap type="topAndBottom"/>
              </v:shape>
            </w:pict>
          </mc:Fallback>
        </mc:AlternateContent>
      </w:r>
    </w:p>
    <w:p w14:paraId="1400C17E">
      <w:pPr>
        <w:pStyle w:val="5"/>
        <w:rPr>
          <w:rFonts w:ascii="Times New Roman" w:hAnsi="Times New Roman" w:cs="Times New Roman"/>
          <w:color w:val="000000" w:themeColor="text1"/>
          <w:sz w:val="28"/>
          <w14:textFill>
            <w14:solidFill>
              <w14:schemeClr w14:val="tx1"/>
            </w14:solidFill>
          </w14:textFill>
        </w:rPr>
      </w:pPr>
    </w:p>
    <w:p w14:paraId="7C0BBAF0">
      <w:pPr>
        <w:pStyle w:val="5"/>
        <w:rPr>
          <w:rFonts w:ascii="Times New Roman" w:hAnsi="Times New Roman" w:cs="Times New Roman"/>
          <w:color w:val="000000" w:themeColor="text1"/>
          <w:sz w:val="28"/>
          <w14:textFill>
            <w14:solidFill>
              <w14:schemeClr w14:val="tx1"/>
            </w14:solidFill>
          </w14:textFill>
        </w:rPr>
      </w:pPr>
    </w:p>
    <w:p w14:paraId="690F83EB">
      <w:pPr>
        <w:pStyle w:val="5"/>
        <w:rPr>
          <w:rFonts w:ascii="Times New Roman" w:hAnsi="Times New Roman" w:cs="Times New Roman"/>
          <w:color w:val="000000" w:themeColor="text1"/>
          <w:sz w:val="28"/>
          <w14:textFill>
            <w14:solidFill>
              <w14:schemeClr w14:val="tx1"/>
            </w14:solidFill>
          </w14:textFill>
        </w:rPr>
      </w:pPr>
    </w:p>
    <w:p w14:paraId="1344BC98">
      <w:pPr>
        <w:pStyle w:val="5"/>
        <w:rPr>
          <w:rFonts w:ascii="Times New Roman" w:hAnsi="Times New Roman" w:cs="Times New Roman"/>
          <w:color w:val="000000" w:themeColor="text1"/>
          <w:sz w:val="28"/>
          <w14:textFill>
            <w14:solidFill>
              <w14:schemeClr w14:val="tx1"/>
            </w14:solidFill>
          </w14:textFill>
        </w:rPr>
      </w:pPr>
    </w:p>
    <w:p w14:paraId="4F03CE1D">
      <w:pPr>
        <w:pStyle w:val="5"/>
        <w:rPr>
          <w:rFonts w:ascii="Times New Roman" w:hAnsi="Times New Roman" w:cs="Times New Roman"/>
          <w:color w:val="000000" w:themeColor="text1"/>
          <w:sz w:val="28"/>
          <w14:textFill>
            <w14:solidFill>
              <w14:schemeClr w14:val="tx1"/>
            </w14:solidFill>
          </w14:textFill>
        </w:rPr>
      </w:pPr>
    </w:p>
    <w:p w14:paraId="6006FF88">
      <w:pPr>
        <w:pStyle w:val="5"/>
        <w:rPr>
          <w:rFonts w:ascii="Times New Roman" w:hAnsi="Times New Roman" w:cs="Times New Roman"/>
          <w:color w:val="000000" w:themeColor="text1"/>
          <w:sz w:val="28"/>
          <w14:textFill>
            <w14:solidFill>
              <w14:schemeClr w14:val="tx1"/>
            </w14:solidFill>
          </w14:textFill>
        </w:rPr>
      </w:pPr>
    </w:p>
    <w:p w14:paraId="0785EBD0">
      <w:pPr>
        <w:pStyle w:val="5"/>
        <w:rPr>
          <w:rFonts w:ascii="Times New Roman" w:hAnsi="Times New Roman" w:cs="Times New Roman"/>
          <w:color w:val="000000" w:themeColor="text1"/>
          <w:sz w:val="28"/>
          <w14:textFill>
            <w14:solidFill>
              <w14:schemeClr w14:val="tx1"/>
            </w14:solidFill>
          </w14:textFill>
        </w:rPr>
      </w:pPr>
    </w:p>
    <w:p w14:paraId="37B43127">
      <w:pPr>
        <w:pStyle w:val="5"/>
        <w:spacing w:before="1"/>
        <w:rPr>
          <w:rFonts w:ascii="Times New Roman" w:hAnsi="Times New Roman" w:cs="Times New Roman"/>
          <w:color w:val="000000" w:themeColor="text1"/>
          <w:sz w:val="22"/>
          <w14:textFill>
            <w14:solidFill>
              <w14:schemeClr w14:val="tx1"/>
            </w14:solidFill>
          </w14:textFill>
        </w:rPr>
      </w:pPr>
    </w:p>
    <w:p w14:paraId="16CE6D8D">
      <w:pPr>
        <w:spacing w:before="13"/>
        <w:ind w:left="53"/>
        <w:jc w:val="center"/>
        <w:rPr>
          <w:rFonts w:hint="eastAsia" w:ascii="黑体" w:hAnsi="黑体" w:eastAsia="黑体" w:cs="黑体"/>
          <w:color w:val="000000" w:themeColor="text1"/>
          <w:sz w:val="52"/>
          <w14:textFill>
            <w14:solidFill>
              <w14:schemeClr w14:val="tx1"/>
            </w14:solidFill>
          </w14:textFill>
        </w:rPr>
      </w:pPr>
      <w:r>
        <w:rPr>
          <w:rFonts w:hint="eastAsia" w:ascii="黑体" w:hAnsi="黑体" w:eastAsia="黑体" w:cs="黑体"/>
          <w:color w:val="000000" w:themeColor="text1"/>
          <w:sz w:val="52"/>
          <w14:textFill>
            <w14:solidFill>
              <w14:schemeClr w14:val="tx1"/>
            </w14:solidFill>
          </w14:textFill>
        </w:rPr>
        <w:t>道路石油沥青粘弹性疲劳损伤测试及计算方法</w:t>
      </w:r>
    </w:p>
    <w:p w14:paraId="55FABD2D">
      <w:pPr>
        <w:spacing w:before="13"/>
        <w:ind w:left="53"/>
        <w:jc w:val="center"/>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Testing and Calculation Methods for Viscoelastic Fatigue Damage of Road Petroleum Asphalt</w:t>
      </w:r>
    </w:p>
    <w:p w14:paraId="084D7F89">
      <w:pPr>
        <w:spacing w:before="417"/>
        <w:ind w:left="54"/>
        <w:jc w:val="center"/>
        <w:rPr>
          <w:rFonts w:ascii="Times New Roman" w:hAnsi="Times New Roman" w:cs="Times New Roman"/>
          <w:color w:val="000000" w:themeColor="text1"/>
          <w:sz w:val="28"/>
          <w14:textFill>
            <w14:solidFill>
              <w14:schemeClr w14:val="tx1"/>
            </w14:solidFill>
          </w14:textFill>
        </w:rPr>
      </w:pPr>
      <w:r>
        <w:rPr>
          <w:rFonts w:ascii="Times New Roman" w:hAnsi="Times New Roman" w:cs="Times New Roman"/>
          <w:color w:val="000000" w:themeColor="text1"/>
          <w:sz w:val="28"/>
          <w14:textFill>
            <w14:solidFill>
              <w14:schemeClr w14:val="tx1"/>
            </w14:solidFill>
          </w14:textFill>
        </w:rPr>
        <w:t>(报批稿)</w:t>
      </w:r>
    </w:p>
    <w:p w14:paraId="20225EEC">
      <w:pPr>
        <w:pStyle w:val="5"/>
        <w:rPr>
          <w:rFonts w:ascii="Times New Roman" w:hAnsi="Times New Roman" w:cs="Times New Roman"/>
          <w:color w:val="000000" w:themeColor="text1"/>
          <w:sz w:val="20"/>
          <w14:textFill>
            <w14:solidFill>
              <w14:schemeClr w14:val="tx1"/>
            </w14:solidFill>
          </w14:textFill>
        </w:rPr>
      </w:pPr>
    </w:p>
    <w:p w14:paraId="61A04765">
      <w:pPr>
        <w:pStyle w:val="5"/>
        <w:rPr>
          <w:rFonts w:ascii="Times New Roman" w:hAnsi="Times New Roman" w:cs="Times New Roman"/>
          <w:color w:val="000000" w:themeColor="text1"/>
          <w:sz w:val="20"/>
          <w14:textFill>
            <w14:solidFill>
              <w14:schemeClr w14:val="tx1"/>
            </w14:solidFill>
          </w14:textFill>
        </w:rPr>
      </w:pPr>
    </w:p>
    <w:p w14:paraId="5CDFC85A">
      <w:pPr>
        <w:pStyle w:val="5"/>
        <w:rPr>
          <w:rFonts w:ascii="Times New Roman" w:hAnsi="Times New Roman" w:cs="Times New Roman"/>
          <w:color w:val="000000" w:themeColor="text1"/>
          <w:sz w:val="20"/>
          <w14:textFill>
            <w14:solidFill>
              <w14:schemeClr w14:val="tx1"/>
            </w14:solidFill>
          </w14:textFill>
        </w:rPr>
      </w:pPr>
    </w:p>
    <w:p w14:paraId="10161CA9">
      <w:pPr>
        <w:pStyle w:val="5"/>
        <w:rPr>
          <w:rFonts w:ascii="Times New Roman" w:hAnsi="Times New Roman" w:cs="Times New Roman"/>
          <w:color w:val="000000" w:themeColor="text1"/>
          <w:sz w:val="20"/>
          <w14:textFill>
            <w14:solidFill>
              <w14:schemeClr w14:val="tx1"/>
            </w14:solidFill>
          </w14:textFill>
        </w:rPr>
      </w:pPr>
    </w:p>
    <w:p w14:paraId="3B562B74">
      <w:pPr>
        <w:pStyle w:val="5"/>
        <w:rPr>
          <w:rFonts w:ascii="Times New Roman" w:hAnsi="Times New Roman" w:cs="Times New Roman"/>
          <w:color w:val="000000" w:themeColor="text1"/>
          <w:sz w:val="20"/>
          <w14:textFill>
            <w14:solidFill>
              <w14:schemeClr w14:val="tx1"/>
            </w14:solidFill>
          </w14:textFill>
        </w:rPr>
      </w:pPr>
    </w:p>
    <w:p w14:paraId="73CDD37C">
      <w:pPr>
        <w:pStyle w:val="5"/>
        <w:rPr>
          <w:rFonts w:ascii="Times New Roman" w:hAnsi="Times New Roman" w:cs="Times New Roman"/>
          <w:color w:val="000000" w:themeColor="text1"/>
          <w:sz w:val="20"/>
          <w14:textFill>
            <w14:solidFill>
              <w14:schemeClr w14:val="tx1"/>
            </w14:solidFill>
          </w14:textFill>
        </w:rPr>
      </w:pPr>
    </w:p>
    <w:p w14:paraId="3A372DCA">
      <w:pPr>
        <w:pStyle w:val="5"/>
        <w:rPr>
          <w:rFonts w:ascii="Times New Roman" w:hAnsi="Times New Roman" w:cs="Times New Roman"/>
          <w:color w:val="000000" w:themeColor="text1"/>
          <w:sz w:val="20"/>
          <w14:textFill>
            <w14:solidFill>
              <w14:schemeClr w14:val="tx1"/>
            </w14:solidFill>
          </w14:textFill>
        </w:rPr>
      </w:pPr>
    </w:p>
    <w:p w14:paraId="71E46E07">
      <w:pPr>
        <w:pStyle w:val="5"/>
        <w:rPr>
          <w:rFonts w:ascii="Times New Roman" w:hAnsi="Times New Roman" w:cs="Times New Roman"/>
          <w:color w:val="000000" w:themeColor="text1"/>
          <w:sz w:val="20"/>
          <w14:textFill>
            <w14:solidFill>
              <w14:schemeClr w14:val="tx1"/>
            </w14:solidFill>
          </w14:textFill>
        </w:rPr>
      </w:pPr>
    </w:p>
    <w:p w14:paraId="635E05F7">
      <w:pPr>
        <w:pStyle w:val="5"/>
        <w:rPr>
          <w:rFonts w:ascii="Times New Roman" w:hAnsi="Times New Roman" w:cs="Times New Roman"/>
          <w:color w:val="000000" w:themeColor="text1"/>
          <w:sz w:val="20"/>
          <w14:textFill>
            <w14:solidFill>
              <w14:schemeClr w14:val="tx1"/>
            </w14:solidFill>
          </w14:textFill>
        </w:rPr>
      </w:pPr>
    </w:p>
    <w:p w14:paraId="2917C5A6">
      <w:pPr>
        <w:pStyle w:val="5"/>
        <w:rPr>
          <w:rFonts w:ascii="Times New Roman" w:hAnsi="Times New Roman" w:cs="Times New Roman"/>
          <w:color w:val="000000" w:themeColor="text1"/>
          <w:sz w:val="20"/>
          <w14:textFill>
            <w14:solidFill>
              <w14:schemeClr w14:val="tx1"/>
            </w14:solidFill>
          </w14:textFill>
        </w:rPr>
      </w:pPr>
    </w:p>
    <w:p w14:paraId="100640E2">
      <w:pPr>
        <w:pStyle w:val="5"/>
        <w:rPr>
          <w:rFonts w:ascii="Times New Roman" w:hAnsi="Times New Roman" w:cs="Times New Roman"/>
          <w:color w:val="000000" w:themeColor="text1"/>
          <w:sz w:val="20"/>
          <w14:textFill>
            <w14:solidFill>
              <w14:schemeClr w14:val="tx1"/>
            </w14:solidFill>
          </w14:textFill>
        </w:rPr>
      </w:pPr>
    </w:p>
    <w:p w14:paraId="5AF3CDD4">
      <w:pPr>
        <w:pStyle w:val="5"/>
        <w:rPr>
          <w:rFonts w:ascii="Times New Roman" w:hAnsi="Times New Roman" w:cs="Times New Roman"/>
          <w:color w:val="000000" w:themeColor="text1"/>
          <w:sz w:val="20"/>
          <w14:textFill>
            <w14:solidFill>
              <w14:schemeClr w14:val="tx1"/>
            </w14:solidFill>
          </w14:textFill>
        </w:rPr>
      </w:pPr>
    </w:p>
    <w:p w14:paraId="562C32E7">
      <w:pPr>
        <w:pStyle w:val="5"/>
        <w:rPr>
          <w:rFonts w:ascii="Times New Roman" w:hAnsi="Times New Roman" w:cs="Times New Roman"/>
          <w:color w:val="000000" w:themeColor="text1"/>
          <w:sz w:val="20"/>
          <w14:textFill>
            <w14:solidFill>
              <w14:schemeClr w14:val="tx1"/>
            </w14:solidFill>
          </w14:textFill>
        </w:rPr>
      </w:pPr>
    </w:p>
    <w:p w14:paraId="78A9AF8A">
      <w:pPr>
        <w:pStyle w:val="5"/>
        <w:rPr>
          <w:rFonts w:ascii="Times New Roman" w:hAnsi="Times New Roman" w:cs="Times New Roman"/>
          <w:color w:val="000000" w:themeColor="text1"/>
          <w:sz w:val="20"/>
          <w14:textFill>
            <w14:solidFill>
              <w14:schemeClr w14:val="tx1"/>
            </w14:solidFill>
          </w14:textFill>
        </w:rPr>
      </w:pPr>
    </w:p>
    <w:p w14:paraId="20C0495B">
      <w:pPr>
        <w:pStyle w:val="5"/>
        <w:rPr>
          <w:rFonts w:ascii="Times New Roman" w:hAnsi="Times New Roman" w:cs="Times New Roman"/>
          <w:color w:val="000000" w:themeColor="text1"/>
          <w:sz w:val="20"/>
          <w14:textFill>
            <w14:solidFill>
              <w14:schemeClr w14:val="tx1"/>
            </w14:solidFill>
          </w14:textFill>
        </w:rPr>
      </w:pPr>
    </w:p>
    <w:p w14:paraId="0BCAE43B">
      <w:pPr>
        <w:pStyle w:val="5"/>
        <w:rPr>
          <w:rFonts w:ascii="Times New Roman" w:hAnsi="Times New Roman" w:cs="Times New Roman"/>
          <w:color w:val="000000" w:themeColor="text1"/>
          <w:sz w:val="20"/>
          <w14:textFill>
            <w14:solidFill>
              <w14:schemeClr w14:val="tx1"/>
            </w14:solidFill>
          </w14:textFill>
        </w:rPr>
      </w:pPr>
    </w:p>
    <w:p w14:paraId="01A25972">
      <w:pPr>
        <w:pStyle w:val="5"/>
        <w:rPr>
          <w:rFonts w:ascii="Times New Roman" w:hAnsi="Times New Roman" w:cs="Times New Roman"/>
          <w:color w:val="000000" w:themeColor="text1"/>
          <w:sz w:val="20"/>
          <w14:textFill>
            <w14:solidFill>
              <w14:schemeClr w14:val="tx1"/>
            </w14:solidFill>
          </w14:textFill>
        </w:rPr>
      </w:pPr>
    </w:p>
    <w:p w14:paraId="4C4E0BC2">
      <w:pPr>
        <w:pStyle w:val="5"/>
        <w:rPr>
          <w:rFonts w:ascii="Times New Roman" w:hAnsi="Times New Roman" w:cs="Times New Roman"/>
          <w:color w:val="000000" w:themeColor="text1"/>
          <w:sz w:val="20"/>
          <w14:textFill>
            <w14:solidFill>
              <w14:schemeClr w14:val="tx1"/>
            </w14:solidFill>
          </w14:textFill>
        </w:rPr>
      </w:pPr>
    </w:p>
    <w:p w14:paraId="6925E4CC">
      <w:pPr>
        <w:pStyle w:val="5"/>
        <w:rPr>
          <w:rFonts w:ascii="Times New Roman" w:hAnsi="Times New Roman" w:cs="Times New Roman"/>
          <w:color w:val="000000" w:themeColor="text1"/>
          <w:sz w:val="20"/>
          <w14:textFill>
            <w14:solidFill>
              <w14:schemeClr w14:val="tx1"/>
            </w14:solidFill>
          </w14:textFill>
        </w:rPr>
      </w:pPr>
    </w:p>
    <w:p w14:paraId="6DC74ACF">
      <w:pPr>
        <w:tabs>
          <w:tab w:val="left" w:pos="7799"/>
        </w:tabs>
        <w:spacing w:before="216" w:after="13"/>
        <w:ind w:left="398"/>
        <w:rPr>
          <w:rFonts w:ascii="Times New Roman" w:hAnsi="Times New Roman" w:cs="Times New Roman"/>
          <w:color w:val="000000" w:themeColor="text1"/>
          <w:sz w:val="28"/>
          <w14:textFill>
            <w14:solidFill>
              <w14:schemeClr w14:val="tx1"/>
            </w14:solidFill>
          </w14:textFill>
        </w:rPr>
      </w:pPr>
      <w:r>
        <w:rPr>
          <w:rFonts w:ascii="Times New Roman" w:hAnsi="Times New Roman" w:cs="Times New Roman"/>
          <w:color w:val="000000" w:themeColor="text1"/>
          <w:sz w:val="28"/>
          <w14:textFill>
            <w14:solidFill>
              <w14:schemeClr w14:val="tx1"/>
            </w14:solidFill>
          </w14:textFill>
        </w:rPr>
        <w:t>2022-04-××发布</w:t>
      </w:r>
      <w:r>
        <w:rPr>
          <w:rFonts w:ascii="Times New Roman" w:hAnsi="Times New Roman" w:cs="Times New Roman"/>
          <w:color w:val="000000" w:themeColor="text1"/>
          <w:sz w:val="28"/>
          <w14:textFill>
            <w14:solidFill>
              <w14:schemeClr w14:val="tx1"/>
            </w14:solidFill>
          </w14:textFill>
        </w:rPr>
        <w:tab/>
      </w:r>
      <w:r>
        <w:rPr>
          <w:rFonts w:ascii="Times New Roman" w:hAnsi="Times New Roman" w:cs="Times New Roman"/>
          <w:color w:val="000000" w:themeColor="text1"/>
          <w:sz w:val="28"/>
          <w14:textFill>
            <w14:solidFill>
              <w14:schemeClr w14:val="tx1"/>
            </w14:solidFill>
          </w14:textFill>
        </w:rPr>
        <w:t>2022-04-××实施</w:t>
      </w:r>
    </w:p>
    <w:p w14:paraId="118DEC33">
      <w:pPr>
        <w:pStyle w:val="5"/>
        <w:spacing w:line="20" w:lineRule="exact"/>
        <w:ind w:left="388"/>
        <w:rPr>
          <w:rFonts w:ascii="Times New Roman" w:hAnsi="Times New Roman" w:cs="Times New Roman"/>
          <w:color w:val="000000" w:themeColor="text1"/>
          <w:sz w:val="2"/>
          <w14:textFill>
            <w14:solidFill>
              <w14:schemeClr w14:val="tx1"/>
            </w14:solidFill>
          </w14:textFill>
        </w:rPr>
      </w:pPr>
      <w:r>
        <w:rPr>
          <w:rFonts w:ascii="Times New Roman" w:hAnsi="Times New Roman" w:cs="Times New Roman"/>
          <w:color w:val="000000" w:themeColor="text1"/>
          <w:sz w:val="2"/>
          <w14:textFill>
            <w14:solidFill>
              <w14:schemeClr w14:val="tx1"/>
            </w14:solidFill>
          </w14:textFill>
        </w:rPr>
        <mc:AlternateContent>
          <mc:Choice Requires="wpg">
            <w:drawing>
              <wp:inline distT="0" distB="0" distL="0" distR="0">
                <wp:extent cx="6121400" cy="12700"/>
                <wp:effectExtent l="8255" t="2540" r="13970" b="3810"/>
                <wp:docPr id="13" name="Group 4"/>
                <wp:cNvGraphicFramePr/>
                <a:graphic xmlns:a="http://schemas.openxmlformats.org/drawingml/2006/main">
                  <a:graphicData uri="http://schemas.microsoft.com/office/word/2010/wordprocessingGroup">
                    <wpg:wgp>
                      <wpg:cNvGrpSpPr/>
                      <wpg:grpSpPr>
                        <a:xfrm>
                          <a:off x="0" y="0"/>
                          <a:ext cx="6121400" cy="12700"/>
                          <a:chOff x="0" y="0"/>
                          <a:chExt cx="9640" cy="20"/>
                        </a:xfrm>
                      </wpg:grpSpPr>
                      <wps:wsp>
                        <wps:cNvPr id="14" name="Line 5"/>
                        <wps:cNvCnPr>
                          <a:cxnSpLocks noChangeShapeType="1"/>
                        </wps:cNvCnPr>
                        <wps:spPr bwMode="auto">
                          <a:xfrm>
                            <a:off x="0" y="10"/>
                            <a:ext cx="9640" cy="0"/>
                          </a:xfrm>
                          <a:prstGeom prst="line">
                            <a:avLst/>
                          </a:prstGeom>
                          <a:noFill/>
                          <a:ln w="12192">
                            <a:solidFill>
                              <a:srgbClr val="080000"/>
                            </a:solidFill>
                            <a:round/>
                          </a:ln>
                        </wps:spPr>
                        <wps:bodyPr/>
                      </wps:wsp>
                    </wpg:wgp>
                  </a:graphicData>
                </a:graphic>
              </wp:inline>
            </w:drawing>
          </mc:Choice>
          <mc:Fallback>
            <w:pict>
              <v:group id="Group 4" o:spid="_x0000_s1026" o:spt="203" style="height:1pt;width:482pt;" coordsize="9640,20" o:gfxdata="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IQ&#10;W4XUAAAAAwEAAA8AAAAAAAAAAQAgAAAAIgAAAGRycy9kb3ducmV2LnhtbFBLAQIUABQAAAAIAIdO&#10;4kAb84P7JwIAAMYEAAAOAAAAAAAAAAEAIAAAACMBAABkcnMvZTJvRG9jLnhtbFBLBQYAAAAABgAG&#10;AFkBAAC8BQAAAAA=&#10;">
                <o:lock v:ext="edit" aspectratio="f"/>
                <v:line id="Line 5" o:spid="_x0000_s1026" o:spt="20" style="position:absolute;left:0;top:10;height:0;width:9640;" filled="f" stroked="t" coordsize="21600,21600" o:gfxdata="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KCUwq5AAAA2wAA&#10;AA8AAAAAAAAAAQAgAAAAIgAAAGRycy9kb3ducmV2LnhtbFBLAQIUABQAAAAIAIdO4kAzLwWeOwAA&#10;ADkAAAAQAAAAAAAAAAEAIAAAAAgBAABkcnMvc2hhcGV4bWwueG1sUEsFBgAAAAAGAAYAWwEAALID&#10;AAAAAA==&#10;">
                  <v:fill on="f" focussize="0,0"/>
                  <v:stroke weight="0.96pt" color="#080000" joinstyle="round"/>
                  <v:imagedata o:title=""/>
                  <o:lock v:ext="edit" aspectratio="f"/>
                </v:line>
                <w10:wrap type="none"/>
                <w10:anchorlock/>
              </v:group>
            </w:pict>
          </mc:Fallback>
        </mc:AlternateContent>
      </w:r>
    </w:p>
    <w:p w14:paraId="0CAB23E4">
      <w:pPr>
        <w:pStyle w:val="5"/>
        <w:spacing w:before="5"/>
        <w:rPr>
          <w:rFonts w:ascii="Times New Roman" w:hAnsi="Times New Roman" w:cs="Times New Roman"/>
          <w:color w:val="000000" w:themeColor="text1"/>
          <w:sz w:val="26"/>
          <w14:textFill>
            <w14:solidFill>
              <w14:schemeClr w14:val="tx1"/>
            </w14:solidFill>
          </w14:textFill>
        </w:rPr>
      </w:pPr>
    </w:p>
    <w:p w14:paraId="1C8CA09F">
      <w:pPr>
        <w:tabs>
          <w:tab w:val="left" w:pos="4935"/>
        </w:tabs>
        <w:ind w:left="122"/>
        <w:jc w:val="center"/>
        <w:rPr>
          <w:rFonts w:ascii="Times New Roman" w:hAnsi="Times New Roman" w:cs="Times New Roman"/>
          <w:color w:val="000000" w:themeColor="text1"/>
          <w:sz w:val="28"/>
          <w14:textFill>
            <w14:solidFill>
              <w14:schemeClr w14:val="tx1"/>
            </w14:solidFill>
          </w14:textFill>
        </w:rPr>
      </w:pPr>
      <w:r>
        <w:rPr>
          <w:rFonts w:ascii="Times New Roman" w:hAnsi="Times New Roman" w:cs="Times New Roman"/>
          <w:color w:val="000000" w:themeColor="text1"/>
          <w:sz w:val="28"/>
          <w14:textFill>
            <w14:solidFill>
              <w14:schemeClr w14:val="tx1"/>
            </w14:solidFill>
          </w14:textFill>
        </w:rPr>
        <w:t>河</w:t>
      </w:r>
      <w:r>
        <w:rPr>
          <w:rFonts w:ascii="Times New Roman" w:hAnsi="Times New Roman" w:cs="Times New Roman"/>
          <w:color w:val="000000" w:themeColor="text1"/>
          <w:spacing w:val="30"/>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北</w:t>
      </w:r>
      <w:r>
        <w:rPr>
          <w:rFonts w:ascii="Times New Roman" w:hAnsi="Times New Roman" w:cs="Times New Roman"/>
          <w:color w:val="000000" w:themeColor="text1"/>
          <w:spacing w:val="31"/>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省</w:t>
      </w:r>
      <w:r>
        <w:rPr>
          <w:rFonts w:ascii="Times New Roman" w:hAnsi="Times New Roman" w:cs="Times New Roman"/>
          <w:color w:val="000000" w:themeColor="text1"/>
          <w:spacing w:val="28"/>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市</w:t>
      </w:r>
      <w:r>
        <w:rPr>
          <w:rFonts w:ascii="Times New Roman" w:hAnsi="Times New Roman" w:cs="Times New Roman"/>
          <w:color w:val="000000" w:themeColor="text1"/>
          <w:spacing w:val="31"/>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场</w:t>
      </w:r>
      <w:r>
        <w:rPr>
          <w:rFonts w:ascii="Times New Roman" w:hAnsi="Times New Roman" w:cs="Times New Roman"/>
          <w:color w:val="000000" w:themeColor="text1"/>
          <w:spacing w:val="27"/>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监</w:t>
      </w:r>
      <w:r>
        <w:rPr>
          <w:rFonts w:ascii="Times New Roman" w:hAnsi="Times New Roman" w:cs="Times New Roman"/>
          <w:color w:val="000000" w:themeColor="text1"/>
          <w:spacing w:val="31"/>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督</w:t>
      </w:r>
      <w:r>
        <w:rPr>
          <w:rFonts w:ascii="Times New Roman" w:hAnsi="Times New Roman" w:cs="Times New Roman"/>
          <w:color w:val="000000" w:themeColor="text1"/>
          <w:spacing w:val="31"/>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管</w:t>
      </w:r>
      <w:r>
        <w:rPr>
          <w:rFonts w:ascii="Times New Roman" w:hAnsi="Times New Roman" w:cs="Times New Roman"/>
          <w:color w:val="000000" w:themeColor="text1"/>
          <w:spacing w:val="28"/>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理</w:t>
      </w:r>
      <w:r>
        <w:rPr>
          <w:rFonts w:ascii="Times New Roman" w:hAnsi="Times New Roman" w:cs="Times New Roman"/>
          <w:color w:val="000000" w:themeColor="text1"/>
          <w:spacing w:val="31"/>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局</w:t>
      </w:r>
      <w:r>
        <w:rPr>
          <w:rFonts w:ascii="Times New Roman" w:hAnsi="Times New Roman" w:cs="Times New Roman"/>
          <w:color w:val="000000" w:themeColor="text1"/>
          <w:sz w:val="28"/>
          <w14:textFill>
            <w14:solidFill>
              <w14:schemeClr w14:val="tx1"/>
            </w14:solidFill>
          </w14:textFill>
        </w:rPr>
        <w:tab/>
      </w:r>
      <w:r>
        <w:rPr>
          <w:rFonts w:ascii="Times New Roman" w:hAnsi="Times New Roman" w:cs="Times New Roman"/>
          <w:color w:val="000000" w:themeColor="text1"/>
          <w:sz w:val="28"/>
          <w14:textFill>
            <w14:solidFill>
              <w14:schemeClr w14:val="tx1"/>
            </w14:solidFill>
          </w14:textFill>
        </w:rPr>
        <w:t>发</w:t>
      </w:r>
      <w:r>
        <w:rPr>
          <w:rFonts w:ascii="Times New Roman" w:hAnsi="Times New Roman" w:cs="Times New Roman"/>
          <w:color w:val="000000" w:themeColor="text1"/>
          <w:spacing w:val="31"/>
          <w:sz w:val="28"/>
          <w14:textFill>
            <w14:solidFill>
              <w14:schemeClr w14:val="tx1"/>
            </w14:solidFill>
          </w14:textFill>
        </w:rPr>
        <w:t xml:space="preserve"> </w:t>
      </w:r>
      <w:r>
        <w:rPr>
          <w:rFonts w:ascii="Times New Roman" w:hAnsi="Times New Roman" w:cs="Times New Roman"/>
          <w:color w:val="000000" w:themeColor="text1"/>
          <w:sz w:val="28"/>
          <w14:textFill>
            <w14:solidFill>
              <w14:schemeClr w14:val="tx1"/>
            </w14:solidFill>
          </w14:textFill>
        </w:rPr>
        <w:t>布</w:t>
      </w:r>
    </w:p>
    <w:p w14:paraId="59FAAF7A">
      <w:pPr>
        <w:jc w:val="center"/>
        <w:rPr>
          <w:rFonts w:ascii="Times New Roman" w:hAnsi="Times New Roman" w:cs="Times New Roman"/>
          <w:color w:val="000000" w:themeColor="text1"/>
          <w:sz w:val="28"/>
          <w14:textFill>
            <w14:solidFill>
              <w14:schemeClr w14:val="tx1"/>
            </w14:solidFill>
          </w14:textFill>
        </w:rPr>
        <w:sectPr>
          <w:type w:val="continuous"/>
          <w:pgSz w:w="11910" w:h="16840"/>
          <w:pgMar w:top="520" w:right="740" w:bottom="280" w:left="1020" w:header="720" w:footer="720" w:gutter="0"/>
          <w:cols w:space="720" w:num="1"/>
        </w:sectPr>
      </w:pPr>
    </w:p>
    <w:sdt>
      <w:sdtPr>
        <w:rPr>
          <w:rFonts w:ascii="宋体" w:hAnsi="宋体" w:eastAsia="宋体" w:cs="宋体"/>
          <w:sz w:val="21"/>
          <w:szCs w:val="22"/>
          <w:lang w:val="en-US" w:eastAsia="zh-CN" w:bidi="ar-SA"/>
        </w:rPr>
        <w:id w:val="147476915"/>
        <w15:color w:val="DBDBDB"/>
        <w:docPartObj>
          <w:docPartGallery w:val="Table of Contents"/>
          <w:docPartUnique/>
        </w:docPartObj>
      </w:sdtPr>
      <w:sdtEndPr>
        <w:rPr>
          <w:rFonts w:ascii="Times New Roman" w:hAnsi="Times New Roman" w:eastAsia="宋体" w:cs="Times New Roman"/>
          <w:color w:val="000000" w:themeColor="text1"/>
          <w:sz w:val="22"/>
          <w:szCs w:val="21"/>
          <w:lang w:val="en-US" w:eastAsia="zh-CN" w:bidi="ar-SA"/>
          <w14:textFill>
            <w14:solidFill>
              <w14:schemeClr w14:val="tx1"/>
            </w14:solidFill>
          </w14:textFill>
        </w:rPr>
      </w:sdtEndPr>
      <w:sdtContent>
        <w:p w14:paraId="057404F6">
          <w:pPr>
            <w:spacing w:before="0" w:beforeLines="0" w:after="0" w:afterLines="0" w:line="240" w:lineRule="auto"/>
            <w:ind w:left="0" w:leftChars="0" w:right="0" w:rightChars="0" w:firstLine="0" w:firstLineChars="0"/>
            <w:jc w:val="center"/>
          </w:pPr>
          <w:r>
            <w:rPr>
              <w:rFonts w:ascii="宋体" w:hAnsi="宋体" w:eastAsia="宋体"/>
              <w:sz w:val="21"/>
            </w:rPr>
            <w:t>目录</w:t>
          </w:r>
        </w:p>
        <w:p w14:paraId="499A839B">
          <w:pPr>
            <w:pStyle w:val="10"/>
            <w:keepNext w:val="0"/>
            <w:keepLines w:val="0"/>
            <w:pageBreakBefore w:val="0"/>
            <w:widowControl w:val="0"/>
            <w:tabs>
              <w:tab w:val="right" w:pos="2000"/>
              <w:tab w:val="right" w:leader="dot" w:pos="10150"/>
            </w:tabs>
            <w:kinsoku/>
            <w:wordWrap/>
            <w:overflowPunct/>
            <w:topLinePunct w:val="0"/>
            <w:autoSpaceDE w:val="0"/>
            <w:autoSpaceDN w:val="0"/>
            <w:bidi w:val="0"/>
            <w:adjustRightInd/>
            <w:snapToGrid/>
            <w:spacing w:line="400" w:lineRule="exact"/>
            <w:textAlignment w:val="auto"/>
            <w:rPr>
              <w:rFonts w:hint="eastAsia" w:ascii="宋体" w:hAnsi="宋体" w:eastAsia="宋体" w:cs="宋体"/>
              <w:sz w:val="21"/>
              <w:szCs w:val="21"/>
            </w:rPr>
          </w:pPr>
          <w:r>
            <w:rPr>
              <w:rFonts w:ascii="Times New Roman" w:hAnsi="Times New Roman" w:cs="Times New Roman"/>
              <w:color w:val="000000" w:themeColor="text1"/>
              <w:szCs w:val="21"/>
              <w14:textFill>
                <w14:solidFill>
                  <w14:schemeClr w14:val="tx1"/>
                </w14:solidFill>
              </w14:textFill>
            </w:rPr>
            <w:fldChar w:fldCharType="begin"/>
          </w:r>
          <w:r>
            <w:rPr>
              <w:rFonts w:ascii="Times New Roman" w:hAnsi="Times New Roman" w:cs="Times New Roman"/>
              <w:color w:val="000000" w:themeColor="text1"/>
              <w:szCs w:val="21"/>
              <w14:textFill>
                <w14:solidFill>
                  <w14:schemeClr w14:val="tx1"/>
                </w14:solidFill>
              </w14:textFill>
            </w:rPr>
            <w:instrText xml:space="preserve">TOC \o "1-1" \h \u </w:instrText>
          </w:r>
          <w:r>
            <w:rPr>
              <w:rFonts w:ascii="Times New Roman" w:hAnsi="Times New Roman" w:cs="Times New Roman"/>
              <w:color w:val="000000" w:themeColor="text1"/>
              <w:szCs w:val="21"/>
              <w14:textFill>
                <w14:solidFill>
                  <w14:schemeClr w14:val="tx1"/>
                </w14:solidFill>
              </w14:textFill>
            </w:rPr>
            <w:fldChar w:fldCharType="separate"/>
          </w:r>
          <w:r>
            <w:rPr>
              <w:rFonts w:hint="eastAsia" w:ascii="宋体" w:hAnsi="宋体" w:eastAsia="宋体" w:cs="宋体"/>
              <w:kern w:val="2"/>
              <w:sz w:val="21"/>
              <w:szCs w:val="21"/>
            </w:rPr>
            <w:fldChar w:fldCharType="begin"/>
          </w:r>
          <w:r>
            <w:rPr>
              <w:rFonts w:hint="eastAsia" w:ascii="宋体" w:hAnsi="宋体" w:eastAsia="宋体" w:cs="宋体"/>
              <w:kern w:val="2"/>
              <w:sz w:val="21"/>
              <w:szCs w:val="21"/>
            </w:rPr>
            <w:instrText xml:space="preserve"> HYPERLINK \l _Toc25106 </w:instrText>
          </w:r>
          <w:r>
            <w:rPr>
              <w:rFonts w:hint="eastAsia" w:ascii="宋体" w:hAnsi="宋体" w:eastAsia="宋体" w:cs="宋体"/>
              <w:kern w:val="2"/>
              <w:sz w:val="21"/>
              <w:szCs w:val="21"/>
            </w:rPr>
            <w:fldChar w:fldCharType="separate"/>
          </w:r>
          <w:r>
            <w:rPr>
              <w:rFonts w:hint="eastAsia" w:ascii="宋体" w:hAnsi="宋体" w:eastAsia="宋体" w:cs="宋体"/>
              <w:kern w:val="2"/>
              <w:sz w:val="21"/>
              <w:szCs w:val="21"/>
            </w:rPr>
            <w:t>前言</w:t>
          </w:r>
          <w:r>
            <w:rPr>
              <w:rFonts w:hint="eastAsia" w:ascii="宋体" w:hAnsi="宋体" w:eastAsia="宋体" w:cs="宋体"/>
              <w:kern w:val="2"/>
              <w:sz w:val="21"/>
              <w:szCs w:val="21"/>
              <w:lang w:val="en-US" w:eastAsia="zh-CN"/>
            </w:rPr>
            <w:t xml:space="preserve">                                                                                           I</w:t>
          </w:r>
          <w:r>
            <w:rPr>
              <w:rFonts w:hint="eastAsia" w:ascii="宋体" w:hAnsi="宋体" w:eastAsia="宋体" w:cs="宋体"/>
              <w:kern w:val="2"/>
              <w:sz w:val="21"/>
              <w:szCs w:val="21"/>
            </w:rPr>
            <w:fldChar w:fldCharType="end"/>
          </w:r>
        </w:p>
        <w:p w14:paraId="560657A3">
          <w:pPr>
            <w:pStyle w:val="10"/>
            <w:keepNext w:val="0"/>
            <w:keepLines w:val="0"/>
            <w:pageBreakBefore w:val="0"/>
            <w:widowControl w:val="0"/>
            <w:tabs>
              <w:tab w:val="right" w:leader="dot" w:pos="10150"/>
            </w:tabs>
            <w:kinsoku/>
            <w:wordWrap/>
            <w:overflowPunct/>
            <w:topLinePunct w:val="0"/>
            <w:autoSpaceDE w:val="0"/>
            <w:autoSpaceDN w:val="0"/>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fldChar w:fldCharType="begin"/>
          </w:r>
          <w:r>
            <w:rPr>
              <w:rFonts w:hint="eastAsia" w:ascii="宋体" w:hAnsi="宋体" w:eastAsia="宋体" w:cs="宋体"/>
              <w:sz w:val="21"/>
              <w:szCs w:val="21"/>
            </w:rPr>
            <w:instrText xml:space="preserve"> HYPERLINK \l _Toc6875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1 </w:t>
          </w:r>
          <w:r>
            <w:rPr>
              <w:rFonts w:hint="eastAsia" w:ascii="宋体" w:hAnsi="宋体" w:eastAsia="宋体" w:cs="宋体"/>
              <w:sz w:val="21"/>
              <w:szCs w:val="21"/>
            </w:rPr>
            <w:t>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_Toc6875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color w:val="000000" w:themeColor="text1"/>
              <w:sz w:val="21"/>
              <w:szCs w:val="21"/>
              <w14:textFill>
                <w14:solidFill>
                  <w14:schemeClr w14:val="tx1"/>
                </w14:solidFill>
              </w14:textFill>
            </w:rPr>
            <w:fldChar w:fldCharType="end"/>
          </w:r>
        </w:p>
        <w:p w14:paraId="5D03C4BC">
          <w:pPr>
            <w:pStyle w:val="10"/>
            <w:keepNext w:val="0"/>
            <w:keepLines w:val="0"/>
            <w:pageBreakBefore w:val="0"/>
            <w:widowControl w:val="0"/>
            <w:tabs>
              <w:tab w:val="right" w:leader="dot" w:pos="10150"/>
            </w:tabs>
            <w:kinsoku/>
            <w:wordWrap/>
            <w:overflowPunct/>
            <w:topLinePunct w:val="0"/>
            <w:autoSpaceDE w:val="0"/>
            <w:autoSpaceDN w:val="0"/>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fldChar w:fldCharType="begin"/>
          </w:r>
          <w:r>
            <w:rPr>
              <w:rFonts w:hint="eastAsia" w:ascii="宋体" w:hAnsi="宋体" w:eastAsia="宋体" w:cs="宋体"/>
              <w:sz w:val="21"/>
              <w:szCs w:val="21"/>
            </w:rPr>
            <w:instrText xml:space="preserve"> HYPERLINK \l _Toc31233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2 </w:t>
          </w:r>
          <w:r>
            <w:rPr>
              <w:rFonts w:hint="eastAsia" w:ascii="宋体" w:hAnsi="宋体" w:eastAsia="宋体" w:cs="宋体"/>
              <w:sz w:val="21"/>
              <w:szCs w:val="21"/>
            </w:rPr>
            <w:t>规范性引用文件：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_Toc31233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color w:val="000000" w:themeColor="text1"/>
              <w:sz w:val="21"/>
              <w:szCs w:val="21"/>
              <w14:textFill>
                <w14:solidFill>
                  <w14:schemeClr w14:val="tx1"/>
                </w14:solidFill>
              </w14:textFill>
            </w:rPr>
            <w:fldChar w:fldCharType="end"/>
          </w:r>
        </w:p>
        <w:p w14:paraId="2B0EB86D">
          <w:pPr>
            <w:pStyle w:val="10"/>
            <w:keepNext w:val="0"/>
            <w:keepLines w:val="0"/>
            <w:pageBreakBefore w:val="0"/>
            <w:widowControl w:val="0"/>
            <w:tabs>
              <w:tab w:val="right" w:leader="dot" w:pos="10150"/>
            </w:tabs>
            <w:kinsoku/>
            <w:wordWrap/>
            <w:overflowPunct/>
            <w:topLinePunct w:val="0"/>
            <w:autoSpaceDE w:val="0"/>
            <w:autoSpaceDN w:val="0"/>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fldChar w:fldCharType="begin"/>
          </w:r>
          <w:r>
            <w:rPr>
              <w:rFonts w:hint="eastAsia" w:ascii="宋体" w:hAnsi="宋体" w:eastAsia="宋体" w:cs="宋体"/>
              <w:sz w:val="21"/>
              <w:szCs w:val="21"/>
            </w:rPr>
            <w:instrText xml:space="preserve"> HYPERLINK \l _Toc28474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3 </w:t>
          </w:r>
          <w:r>
            <w:rPr>
              <w:rFonts w:hint="eastAsia" w:ascii="宋体" w:hAnsi="宋体" w:eastAsia="宋体" w:cs="宋体"/>
              <w:sz w:val="21"/>
              <w:szCs w:val="21"/>
            </w:rPr>
            <w:t>术语和定义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_Toc28474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color w:val="000000" w:themeColor="text1"/>
              <w:sz w:val="21"/>
              <w:szCs w:val="21"/>
              <w14:textFill>
                <w14:solidFill>
                  <w14:schemeClr w14:val="tx1"/>
                </w14:solidFill>
              </w14:textFill>
            </w:rPr>
            <w:fldChar w:fldCharType="end"/>
          </w:r>
        </w:p>
        <w:p w14:paraId="594C0C30">
          <w:pPr>
            <w:pStyle w:val="10"/>
            <w:keepNext w:val="0"/>
            <w:keepLines w:val="0"/>
            <w:pageBreakBefore w:val="0"/>
            <w:widowControl w:val="0"/>
            <w:tabs>
              <w:tab w:val="right" w:leader="dot" w:pos="10150"/>
            </w:tabs>
            <w:kinsoku/>
            <w:wordWrap/>
            <w:overflowPunct/>
            <w:topLinePunct w:val="0"/>
            <w:autoSpaceDE w:val="0"/>
            <w:autoSpaceDN w:val="0"/>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fldChar w:fldCharType="begin"/>
          </w:r>
          <w:r>
            <w:rPr>
              <w:rFonts w:hint="eastAsia" w:ascii="宋体" w:hAnsi="宋体" w:eastAsia="宋体" w:cs="宋体"/>
              <w:sz w:val="21"/>
              <w:szCs w:val="21"/>
            </w:rPr>
            <w:instrText xml:space="preserve"> HYPERLINK \l _Toc2561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4 </w:t>
          </w:r>
          <w:r>
            <w:rPr>
              <w:rFonts w:hint="eastAsia" w:ascii="宋体" w:hAnsi="宋体" w:eastAsia="宋体" w:cs="宋体"/>
              <w:sz w:val="21"/>
              <w:szCs w:val="21"/>
            </w:rPr>
            <w:t>沥青材料的逐级低应变以及高应变时间扫描试验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_Toc2561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color w:val="000000" w:themeColor="text1"/>
              <w:sz w:val="21"/>
              <w:szCs w:val="21"/>
              <w14:textFill>
                <w14:solidFill>
                  <w14:schemeClr w14:val="tx1"/>
                </w14:solidFill>
              </w14:textFill>
            </w:rPr>
            <w:fldChar w:fldCharType="end"/>
          </w:r>
        </w:p>
        <w:p w14:paraId="30B24B34">
          <w:pPr>
            <w:pStyle w:val="10"/>
            <w:keepNext w:val="0"/>
            <w:keepLines w:val="0"/>
            <w:pageBreakBefore w:val="0"/>
            <w:widowControl w:val="0"/>
            <w:tabs>
              <w:tab w:val="right" w:leader="dot" w:pos="10150"/>
            </w:tabs>
            <w:kinsoku/>
            <w:wordWrap/>
            <w:overflowPunct/>
            <w:topLinePunct w:val="0"/>
            <w:autoSpaceDE w:val="0"/>
            <w:autoSpaceDN w:val="0"/>
            <w:bidi w:val="0"/>
            <w:adjustRightInd/>
            <w:snapToGrid/>
            <w:spacing w:line="400" w:lineRule="exact"/>
            <w:textAlignment w:val="auto"/>
          </w:pPr>
          <w:r>
            <w:rPr>
              <w:rFonts w:hint="eastAsia" w:ascii="宋体" w:hAnsi="宋体" w:eastAsia="宋体" w:cs="宋体"/>
              <w:color w:val="000000" w:themeColor="text1"/>
              <w:sz w:val="21"/>
              <w:szCs w:val="21"/>
              <w14:textFill>
                <w14:solidFill>
                  <w14:schemeClr w14:val="tx1"/>
                </w14:solidFill>
              </w14:textFill>
            </w:rPr>
            <w:fldChar w:fldCharType="begin"/>
          </w:r>
          <w:r>
            <w:rPr>
              <w:rFonts w:hint="eastAsia" w:ascii="宋体" w:hAnsi="宋体" w:eastAsia="宋体" w:cs="宋体"/>
              <w:sz w:val="21"/>
              <w:szCs w:val="21"/>
            </w:rPr>
            <w:instrText xml:space="preserve"> HYPERLINK \l _Toc29446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5 </w:t>
          </w:r>
          <w:r>
            <w:rPr>
              <w:rFonts w:hint="eastAsia" w:ascii="宋体" w:hAnsi="宋体" w:eastAsia="宋体" w:cs="宋体"/>
              <w:sz w:val="21"/>
              <w:szCs w:val="21"/>
            </w:rPr>
            <w:t>试验计算案例</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_Toc29446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color w:val="000000" w:themeColor="text1"/>
              <w:sz w:val="21"/>
              <w:szCs w:val="21"/>
              <w14:textFill>
                <w14:solidFill>
                  <w14:schemeClr w14:val="tx1"/>
                </w14:solidFill>
              </w14:textFill>
            </w:rPr>
            <w:fldChar w:fldCharType="end"/>
          </w:r>
        </w:p>
        <w:p w14:paraId="7709DF01">
          <w:pPr>
            <w:tabs>
              <w:tab w:val="left" w:pos="807"/>
            </w:tabs>
            <w:spacing w:before="213" w:line="360" w:lineRule="auto"/>
            <w:ind w:left="5"/>
            <w:rPr>
              <w:rFonts w:ascii="Times New Roman" w:hAnsi="Times New Roman" w:eastAsia="宋体" w:cs="Times New Roman"/>
              <w:color w:val="000000" w:themeColor="text1"/>
              <w:sz w:val="22"/>
              <w:szCs w:val="21"/>
              <w:lang w:val="en-US" w:eastAsia="zh-CN" w:bidi="ar-SA"/>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fldChar w:fldCharType="end"/>
          </w:r>
        </w:p>
      </w:sdtContent>
    </w:sdt>
    <w:p w14:paraId="7BBEB026">
      <w:pPr>
        <w:tabs>
          <w:tab w:val="left" w:pos="807"/>
        </w:tabs>
        <w:spacing w:before="213" w:line="360" w:lineRule="auto"/>
        <w:ind w:left="5"/>
        <w:rPr>
          <w:rFonts w:ascii="Times New Roman" w:hAnsi="Times New Roman" w:eastAsia="宋体" w:cs="Times New Roman"/>
          <w:color w:val="000000" w:themeColor="text1"/>
          <w:sz w:val="22"/>
          <w:szCs w:val="21"/>
          <w:lang w:val="en-US" w:eastAsia="zh-CN" w:bidi="ar-SA"/>
          <w14:textFill>
            <w14:solidFill>
              <w14:schemeClr w14:val="tx1"/>
            </w14:solidFill>
          </w14:textFill>
        </w:rPr>
      </w:pPr>
    </w:p>
    <w:p w14:paraId="50BD0E71">
      <w:pPr>
        <w:rPr>
          <w:rFonts w:ascii="Times New Roman" w:hAnsi="Times New Roman" w:cs="Times New Roman"/>
          <w:color w:val="000000" w:themeColor="text1"/>
          <w14:textFill>
            <w14:solidFill>
              <w14:schemeClr w14:val="tx1"/>
            </w14:solidFill>
          </w14:textFill>
        </w:rPr>
        <w:sectPr>
          <w:headerReference r:id="rId4" w:type="default"/>
          <w:footerReference r:id="rId5" w:type="default"/>
          <w:footerReference r:id="rId6" w:type="even"/>
          <w:pgSz w:w="11910" w:h="16840"/>
          <w:pgMar w:top="2020" w:right="740" w:bottom="1340" w:left="1020" w:header="1818" w:footer="1141" w:gutter="0"/>
          <w:cols w:space="720" w:num="1"/>
        </w:sectPr>
      </w:pPr>
    </w:p>
    <w:p w14:paraId="7FDFE03C">
      <w:pPr>
        <w:tabs>
          <w:tab w:val="left" w:pos="807"/>
        </w:tabs>
        <w:spacing w:before="213"/>
        <w:ind w:left="5"/>
        <w:jc w:val="center"/>
        <w:outlineLvl w:val="0"/>
        <w:rPr>
          <w:rFonts w:ascii="Times New Roman" w:hAnsi="Times New Roman" w:cs="Times New Roman"/>
          <w:color w:val="000000" w:themeColor="text1"/>
          <w:sz w:val="32"/>
          <w14:textFill>
            <w14:solidFill>
              <w14:schemeClr w14:val="tx1"/>
            </w14:solidFill>
          </w14:textFill>
        </w:rPr>
      </w:pPr>
      <w:bookmarkStart w:id="0" w:name="_bookmark0"/>
      <w:bookmarkEnd w:id="0"/>
      <w:bookmarkStart w:id="1" w:name="_Toc25106"/>
      <w:r>
        <w:rPr>
          <w:rFonts w:ascii="Times New Roman" w:hAnsi="Times New Roman" w:cs="Times New Roman"/>
          <w:color w:val="000000" w:themeColor="text1"/>
          <w:sz w:val="32"/>
          <w14:textFill>
            <w14:solidFill>
              <w14:schemeClr w14:val="tx1"/>
            </w14:solidFill>
          </w14:textFill>
        </w:rPr>
        <w:t>前</w:t>
      </w:r>
      <w:r>
        <w:rPr>
          <w:rFonts w:ascii="Times New Roman" w:hAnsi="Times New Roman" w:cs="Times New Roman"/>
          <w:color w:val="000000" w:themeColor="text1"/>
          <w:sz w:val="32"/>
          <w14:textFill>
            <w14:solidFill>
              <w14:schemeClr w14:val="tx1"/>
            </w14:solidFill>
          </w14:textFill>
        </w:rPr>
        <w:tab/>
      </w:r>
      <w:r>
        <w:rPr>
          <w:rFonts w:ascii="Times New Roman" w:hAnsi="Times New Roman" w:cs="Times New Roman"/>
          <w:color w:val="000000" w:themeColor="text1"/>
          <w:sz w:val="32"/>
          <w14:textFill>
            <w14:solidFill>
              <w14:schemeClr w14:val="tx1"/>
            </w14:solidFill>
          </w14:textFill>
        </w:rPr>
        <w:t>言</w:t>
      </w:r>
      <w:bookmarkEnd w:id="1"/>
    </w:p>
    <w:p w14:paraId="4AAA602C">
      <w:pPr>
        <w:pStyle w:val="5"/>
        <w:rPr>
          <w:rFonts w:ascii="Times New Roman" w:hAnsi="Times New Roman" w:cs="Times New Roman"/>
          <w:color w:val="000000" w:themeColor="text1"/>
          <w:sz w:val="32"/>
          <w14:textFill>
            <w14:solidFill>
              <w14:schemeClr w14:val="tx1"/>
            </w14:solidFill>
          </w14:textFill>
        </w:rPr>
      </w:pPr>
    </w:p>
    <w:p w14:paraId="053853ED">
      <w:pPr>
        <w:pStyle w:val="5"/>
        <w:spacing w:before="10"/>
        <w:rPr>
          <w:rFonts w:ascii="Times New Roman" w:hAnsi="Times New Roman" w:cs="Times New Roman"/>
          <w:color w:val="000000" w:themeColor="text1"/>
          <w:sz w:val="33"/>
          <w14:textFill>
            <w14:solidFill>
              <w14:schemeClr w14:val="tx1"/>
            </w14:solidFill>
          </w14:textFill>
        </w:rPr>
      </w:pPr>
    </w:p>
    <w:p w14:paraId="5CF859B4">
      <w:pPr>
        <w:pStyle w:val="5"/>
        <w:spacing w:line="333" w:lineRule="auto"/>
        <w:ind w:left="398" w:right="386"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pacing w:val="-12"/>
          <w14:textFill>
            <w14:solidFill>
              <w14:schemeClr w14:val="tx1"/>
            </w14:solidFill>
          </w14:textFill>
        </w:rPr>
        <w:t xml:space="preserve">本文件按照 </w:t>
      </w:r>
      <w:r>
        <w:rPr>
          <w:rFonts w:ascii="Times New Roman" w:hAnsi="Times New Roman" w:eastAsia="Times New Roman" w:cs="Times New Roman"/>
          <w:color w:val="000000" w:themeColor="text1"/>
          <w:spacing w:val="-3"/>
          <w14:textFill>
            <w14:solidFill>
              <w14:schemeClr w14:val="tx1"/>
            </w14:solidFill>
          </w14:textFill>
        </w:rPr>
        <w:t>GB/T 1.1</w:t>
      </w:r>
      <w:r>
        <w:rPr>
          <w:rFonts w:ascii="Times New Roman" w:hAnsi="Times New Roman" w:cs="Times New Roman"/>
          <w:color w:val="000000" w:themeColor="text1"/>
          <w:spacing w:val="-3"/>
          <w14:textFill>
            <w14:solidFill>
              <w14:schemeClr w14:val="tx1"/>
            </w14:solidFill>
          </w14:textFill>
        </w:rPr>
        <w:t>—</w:t>
      </w:r>
      <w:r>
        <w:rPr>
          <w:rFonts w:ascii="Times New Roman" w:hAnsi="Times New Roman" w:eastAsia="Times New Roman" w:cs="Times New Roman"/>
          <w:color w:val="000000" w:themeColor="text1"/>
          <w:spacing w:val="-3"/>
          <w14:textFill>
            <w14:solidFill>
              <w14:schemeClr w14:val="tx1"/>
            </w14:solidFill>
          </w14:textFill>
        </w:rPr>
        <w:t>2020</w:t>
      </w:r>
      <w:r>
        <w:rPr>
          <w:rFonts w:ascii="Times New Roman" w:hAnsi="Times New Roman" w:cs="Times New Roman"/>
          <w:color w:val="000000" w:themeColor="text1"/>
          <w:spacing w:val="-7"/>
          <w14:textFill>
            <w14:solidFill>
              <w14:schemeClr w14:val="tx1"/>
            </w14:solidFill>
          </w14:textFill>
        </w:rPr>
        <w:t xml:space="preserve">《标准化工作导则第 </w:t>
      </w:r>
      <w:r>
        <w:rPr>
          <w:rFonts w:ascii="Times New Roman" w:hAnsi="Times New Roman" w:eastAsia="Times New Roman" w:cs="Times New Roman"/>
          <w:color w:val="000000" w:themeColor="text1"/>
          <w:spacing w:val="-2"/>
          <w14:textFill>
            <w14:solidFill>
              <w14:schemeClr w14:val="tx1"/>
            </w14:solidFill>
          </w14:textFill>
        </w:rPr>
        <w:t>1</w:t>
      </w:r>
      <w:r>
        <w:rPr>
          <w:rFonts w:ascii="Times New Roman" w:hAnsi="Times New Roman" w:eastAsia="Times New Roman" w:cs="Times New Roman"/>
          <w:color w:val="000000" w:themeColor="text1"/>
          <w:spacing w:val="-3"/>
          <w14:textFill>
            <w14:solidFill>
              <w14:schemeClr w14:val="tx1"/>
            </w14:solidFill>
          </w14:textFill>
        </w:rPr>
        <w:t xml:space="preserve"> </w:t>
      </w:r>
      <w:r>
        <w:rPr>
          <w:rFonts w:ascii="Times New Roman" w:hAnsi="Times New Roman" w:cs="Times New Roman"/>
          <w:color w:val="000000" w:themeColor="text1"/>
          <w:spacing w:val="-2"/>
          <w14:textFill>
            <w14:solidFill>
              <w14:schemeClr w14:val="tx1"/>
            </w14:solidFill>
          </w14:textFill>
        </w:rPr>
        <w:t>部分：标准化文件的结构和起草规则》的规定</w:t>
      </w:r>
      <w:r>
        <w:rPr>
          <w:rFonts w:ascii="Times New Roman" w:hAnsi="Times New Roman" w:cs="Times New Roman"/>
          <w:color w:val="000000" w:themeColor="text1"/>
          <w14:textFill>
            <w14:solidFill>
              <w14:schemeClr w14:val="tx1"/>
            </w14:solidFill>
          </w14:textFill>
        </w:rPr>
        <w:t>起草。</w:t>
      </w:r>
    </w:p>
    <w:p w14:paraId="3E96277B">
      <w:pPr>
        <w:pStyle w:val="5"/>
        <w:spacing w:before="1"/>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本文件由河北省交通运输厅提出</w:t>
      </w:r>
      <w:r>
        <w:rPr>
          <w:rFonts w:hint="eastAsia" w:ascii="Times New Roman" w:hAnsi="Times New Roman" w:cs="Times New Roman"/>
          <w:color w:val="000000" w:themeColor="text1"/>
          <w:lang w:val="en-US" w:eastAsia="zh-CN"/>
          <w14:textFill>
            <w14:solidFill>
              <w14:schemeClr w14:val="tx1"/>
            </w14:solidFill>
          </w14:textFill>
        </w:rPr>
        <w:t>并归口</w:t>
      </w:r>
      <w:r>
        <w:rPr>
          <w:rFonts w:ascii="Times New Roman" w:hAnsi="Times New Roman" w:cs="Times New Roman"/>
          <w:color w:val="000000" w:themeColor="text1"/>
          <w14:textFill>
            <w14:solidFill>
              <w14:schemeClr w14:val="tx1"/>
            </w14:solidFill>
          </w14:textFill>
        </w:rPr>
        <w:t>。</w:t>
      </w:r>
    </w:p>
    <w:p w14:paraId="21757267">
      <w:pPr>
        <w:pStyle w:val="21"/>
        <w:bidi w:val="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本文件起草单位：</w:t>
      </w:r>
      <w:r>
        <w:rPr>
          <w:rFonts w:hint="eastAsia"/>
        </w:rPr>
        <w:t>河北雄安京德高速公路有限公司</w:t>
      </w:r>
      <w:r>
        <w:rPr>
          <w:rFonts w:hint="eastAsia"/>
          <w:lang w:eastAsia="zh-CN"/>
        </w:rPr>
        <w:t>、</w:t>
      </w:r>
      <w:r>
        <w:rPr>
          <w:rFonts w:hint="eastAsia"/>
        </w:rPr>
        <w:t>浙江大学、河北交通投资集团有限公司、河北高速公路开发(集团)有限公司、</w:t>
      </w:r>
      <w:r>
        <w:rPr>
          <w:rFonts w:hint="eastAsia"/>
          <w:sz w:val="21"/>
          <w:szCs w:val="21"/>
          <w:lang w:eastAsia="zh-CN"/>
        </w:rPr>
        <w:t>河北交投资源开发有限公司、</w:t>
      </w:r>
      <w:r>
        <w:rPr>
          <w:rFonts w:hint="eastAsia"/>
        </w:rPr>
        <w:t>河北高速公路工程养护科技有限公司</w:t>
      </w:r>
      <w:r>
        <w:t>。</w:t>
      </w:r>
    </w:p>
    <w:p w14:paraId="1A24D3B8">
      <w:pPr>
        <w:pStyle w:val="5"/>
        <w:spacing w:before="105" w:line="333" w:lineRule="auto"/>
        <w:ind w:left="398" w:right="280"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pacing w:val="-1"/>
          <w14:textFill>
            <w14:solidFill>
              <w14:schemeClr w14:val="tx1"/>
            </w14:solidFill>
          </w14:textFill>
        </w:rPr>
        <w:t>本文件主要起草人：</w:t>
      </w:r>
      <w:r>
        <w:rPr>
          <w:rFonts w:hint="eastAsia" w:ascii="Times New Roman" w:hAnsi="Times New Roman" w:cs="Times New Roman"/>
          <w:color w:val="000000" w:themeColor="text1"/>
          <w14:textFill>
            <w14:solidFill>
              <w14:schemeClr w14:val="tx1"/>
            </w14:solidFill>
          </w14:textFill>
        </w:rPr>
        <w:t>杜群乐、罗雪、彭勇、李辉、徐粒、邱文利、李彦伟、罗立红、申大为、董万里、许忠印、张克林、董树宏、李阳、王志芳、杨春喜。</w:t>
      </w:r>
    </w:p>
    <w:p w14:paraId="4F3CB825">
      <w:pPr>
        <w:pStyle w:val="21"/>
        <w:ind w:firstLine="420"/>
        <w:rPr>
          <w:rFonts w:ascii="Times New Roman" w:hAnsi="Times New Roman" w:cs="Times New Roman"/>
          <w:color w:val="000000" w:themeColor="text1"/>
          <w14:textFill>
            <w14:solidFill>
              <w14:schemeClr w14:val="tx1"/>
            </w14:solidFill>
          </w14:textFill>
        </w:rPr>
      </w:pPr>
    </w:p>
    <w:p w14:paraId="2A2FFABA">
      <w:pPr>
        <w:pStyle w:val="5"/>
        <w:spacing w:before="105" w:line="333" w:lineRule="auto"/>
        <w:ind w:left="398" w:right="280" w:firstLine="420"/>
        <w:rPr>
          <w:rFonts w:ascii="Times New Roman" w:hAnsi="Times New Roman" w:cs="Times New Roman"/>
          <w:color w:val="000000" w:themeColor="text1"/>
          <w14:textFill>
            <w14:solidFill>
              <w14:schemeClr w14:val="tx1"/>
            </w14:solidFill>
          </w14:textFill>
        </w:rPr>
      </w:pPr>
    </w:p>
    <w:p w14:paraId="1305EA90">
      <w:pPr>
        <w:pStyle w:val="5"/>
        <w:spacing w:before="105" w:line="333" w:lineRule="auto"/>
        <w:ind w:left="398" w:right="280" w:firstLine="420"/>
        <w:rPr>
          <w:rFonts w:ascii="Times New Roman" w:hAnsi="Times New Roman" w:cs="Times New Roman"/>
          <w:color w:val="000000" w:themeColor="text1"/>
          <w14:textFill>
            <w14:solidFill>
              <w14:schemeClr w14:val="tx1"/>
            </w14:solidFill>
          </w14:textFill>
        </w:rPr>
      </w:pPr>
    </w:p>
    <w:p w14:paraId="65046476">
      <w:pPr>
        <w:pStyle w:val="5"/>
        <w:spacing w:before="105" w:line="333" w:lineRule="auto"/>
        <w:ind w:left="398" w:right="280" w:firstLine="420"/>
        <w:rPr>
          <w:rFonts w:ascii="Times New Roman" w:hAnsi="Times New Roman" w:cs="Times New Roman"/>
          <w:color w:val="000000" w:themeColor="text1"/>
          <w14:textFill>
            <w14:solidFill>
              <w14:schemeClr w14:val="tx1"/>
            </w14:solidFill>
          </w14:textFill>
        </w:rPr>
      </w:pPr>
    </w:p>
    <w:p w14:paraId="748EEE03">
      <w:pPr>
        <w:spacing w:line="333" w:lineRule="auto"/>
        <w:rPr>
          <w:rFonts w:ascii="Times New Roman" w:hAnsi="Times New Roman" w:cs="Times New Roman"/>
          <w:color w:val="000000" w:themeColor="text1"/>
          <w14:textFill>
            <w14:solidFill>
              <w14:schemeClr w14:val="tx1"/>
            </w14:solidFill>
          </w14:textFill>
        </w:rPr>
        <w:sectPr>
          <w:headerReference r:id="rId7" w:type="default"/>
          <w:footerReference r:id="rId8" w:type="default"/>
          <w:pgSz w:w="11910" w:h="16840"/>
          <w:pgMar w:top="2020" w:right="740" w:bottom="1340" w:left="1020" w:header="1818" w:footer="1141" w:gutter="0"/>
          <w:cols w:space="720" w:num="1"/>
        </w:sectPr>
      </w:pPr>
      <w:bookmarkStart w:id="11" w:name="_GoBack"/>
      <w:bookmarkEnd w:id="11"/>
    </w:p>
    <w:p w14:paraId="187331D9">
      <w:pPr>
        <w:pStyle w:val="5"/>
        <w:jc w:val="center"/>
        <w:rPr>
          <w:rFonts w:ascii="Times New Roman" w:hAnsi="Times New Roman" w:cs="Times New Roman"/>
          <w:color w:val="000000" w:themeColor="text1"/>
          <w:sz w:val="20"/>
          <w14:textFill>
            <w14:solidFill>
              <w14:schemeClr w14:val="tx1"/>
            </w14:solidFill>
          </w14:textFill>
        </w:rPr>
      </w:pPr>
      <w:r>
        <w:rPr>
          <w:rFonts w:hint="eastAsia" w:ascii="黑体" w:hAnsi="黑体" w:eastAsia="黑体" w:cs="Times New Roman"/>
          <w:kern w:val="2"/>
          <w:sz w:val="32"/>
          <w:szCs w:val="32"/>
          <w:lang w:val="en-US" w:eastAsia="zh-CN" w:bidi="ar-SA"/>
        </w:rPr>
        <w:t>道路石油沥青粘弹性疲劳损伤测试及计算方法</w:t>
      </w:r>
      <w:bookmarkStart w:id="2" w:name="_bookmark1"/>
      <w:bookmarkEnd w:id="2"/>
    </w:p>
    <w:p w14:paraId="164C1199">
      <w:pPr>
        <w:pStyle w:val="20"/>
        <w:spacing w:before="312" w:after="312"/>
        <w:rPr>
          <w:rFonts w:ascii="Times New Roman" w:hAnsi="Times New Roman" w:cs="Times New Roman"/>
          <w:color w:val="000000" w:themeColor="text1"/>
          <w14:textFill>
            <w14:solidFill>
              <w14:schemeClr w14:val="tx1"/>
            </w14:solidFill>
          </w14:textFill>
        </w:rPr>
      </w:pPr>
      <w:bookmarkStart w:id="3" w:name="_Toc6875"/>
      <w:r>
        <w:rPr>
          <w:rFonts w:hint="eastAsia" w:ascii="Times New Roman" w:hAnsi="Times New Roman" w:cs="Times New Roman"/>
          <w:color w:val="000000" w:themeColor="text1"/>
          <w14:textFill>
            <w14:solidFill>
              <w14:schemeClr w14:val="tx1"/>
            </w14:solidFill>
          </w14:textFill>
        </w:rPr>
        <w:t>范围</w:t>
      </w:r>
      <w:bookmarkEnd w:id="3"/>
    </w:p>
    <w:p w14:paraId="7F4BE428">
      <w:pPr>
        <w:pStyle w:val="21"/>
        <w:bidi w:val="0"/>
      </w:pPr>
      <w:r>
        <w:t>本方法适用于采用动态剪切流变仪（DSR）测量</w:t>
      </w:r>
      <w:r>
        <w:rPr>
          <w:rFonts w:hint="eastAsia"/>
        </w:rPr>
        <w:t>道路石油</w:t>
      </w:r>
      <w:r>
        <w:t>沥青疲劳损伤特性。</w:t>
      </w:r>
    </w:p>
    <w:p w14:paraId="1D7CE0F9">
      <w:pPr>
        <w:pStyle w:val="21"/>
        <w:bidi w:val="0"/>
      </w:pPr>
      <w:r>
        <w:t>本方法适用于原样沥青、压力老化后的沥青和薄膜烘箱后</w:t>
      </w:r>
      <w:r>
        <w:rPr>
          <w:rFonts w:hint="eastAsia"/>
        </w:rPr>
        <w:t>（</w:t>
      </w:r>
      <w:r>
        <w:t>或旋转薄膜烘箱)的老化沥青。</w:t>
      </w:r>
      <w:bookmarkStart w:id="4" w:name="_bookmark2"/>
      <w:bookmarkEnd w:id="4"/>
    </w:p>
    <w:p w14:paraId="5ACF6F78">
      <w:pPr>
        <w:pStyle w:val="20"/>
        <w:spacing w:before="312" w:after="312"/>
        <w:rPr>
          <w:rFonts w:ascii="Times New Roman" w:hAnsi="Times New Roman" w:cs="Times New Roman"/>
          <w:color w:val="000000" w:themeColor="text1"/>
          <w14:textFill>
            <w14:solidFill>
              <w14:schemeClr w14:val="tx1"/>
            </w14:solidFill>
          </w14:textFill>
        </w:rPr>
      </w:pPr>
      <w:bookmarkStart w:id="5" w:name="_Toc31233"/>
      <w:r>
        <w:rPr>
          <w:rFonts w:ascii="Times New Roman" w:hAnsi="Times New Roman" w:cs="Times New Roman"/>
          <w:color w:val="000000" w:themeColor="text1"/>
          <w14:textFill>
            <w14:solidFill>
              <w14:schemeClr w14:val="tx1"/>
            </w14:solidFill>
          </w14:textFill>
        </w:rPr>
        <w:t>规范性引用文件</w:t>
      </w:r>
      <w:r>
        <w:rPr>
          <w:rFonts w:hint="eastAsia" w:ascii="Times New Roman" w:hAnsi="Times New Roman" w:cs="Times New Roman"/>
          <w:color w:val="000000" w:themeColor="text1"/>
          <w14:textFill>
            <w14:solidFill>
              <w14:schemeClr w14:val="tx1"/>
            </w14:solidFill>
          </w14:textFill>
        </w:rPr>
        <w:t>：</w:t>
      </w:r>
      <w:bookmarkEnd w:id="5"/>
    </w:p>
    <w:p w14:paraId="62F44594">
      <w:pPr>
        <w:pStyle w:val="21"/>
        <w:bidi w:val="0"/>
      </w:pPr>
      <w:r>
        <w:t xml:space="preserve">下列文件中的内容通过文中的规范性引用而构成本文件必不可少的条款。其中，注日期的引用文件， 仅该日期对应的版本适用于本文件；不注日期的引用文件，其最新版本（包括所有的修改单）适用于本文件。 </w:t>
      </w:r>
    </w:p>
    <w:p w14:paraId="501E29B0">
      <w:pPr>
        <w:pStyle w:val="21"/>
        <w:bidi w:val="0"/>
        <w:rPr>
          <w:rFonts w:hint="eastAsia"/>
        </w:rPr>
      </w:pPr>
      <w:bookmarkStart w:id="6" w:name="OLE_LINK1"/>
      <w:r>
        <w:rPr>
          <w:rFonts w:hint="eastAsia"/>
        </w:rPr>
        <w:t>国家标准化管理委员会. GB/T 15180-2025 重交通道路石油沥青[S]. 北京：中国标准出版社，2025.</w:t>
      </w:r>
    </w:p>
    <w:bookmarkEnd w:id="6"/>
    <w:p w14:paraId="3032267F">
      <w:pPr>
        <w:pStyle w:val="21"/>
        <w:bidi w:val="0"/>
        <w:rPr>
          <w:rFonts w:hint="eastAsia"/>
        </w:rPr>
      </w:pPr>
      <w:r>
        <w:rPr>
          <w:rFonts w:hint="eastAsia"/>
        </w:rPr>
        <w:t>中华人民共和国交通运输部. JTG E20-2011 公路工程沥青及沥青混合料试验规程 [S]. 北京：人民交通出版社，2011.</w:t>
      </w:r>
    </w:p>
    <w:p w14:paraId="0EFB9CA6">
      <w:pPr>
        <w:pStyle w:val="21"/>
        <w:bidi w:val="0"/>
        <w:rPr>
          <w:rFonts w:hint="eastAsia"/>
        </w:rPr>
      </w:pPr>
      <w:r>
        <w:rPr>
          <w:rFonts w:hint="eastAsia"/>
        </w:rPr>
        <w:t>中华人民共和国交通部. JTG F40-2004 公路沥青路面施工技术规范 [S]. 北京：人民交通出版社，2004.</w:t>
      </w:r>
    </w:p>
    <w:p w14:paraId="65B53CDB">
      <w:pPr>
        <w:pStyle w:val="21"/>
        <w:bidi w:val="0"/>
        <w:rPr>
          <w:rFonts w:hint="eastAsia"/>
        </w:rPr>
      </w:pPr>
      <w:r>
        <w:rPr>
          <w:rFonts w:hint="eastAsia"/>
        </w:rPr>
        <w:t>中华人民共和国交通运输部. JTG D50-2017 公路沥青路面设计规范 [S]. 北京：人民交通出版社，2017.</w:t>
      </w:r>
    </w:p>
    <w:p w14:paraId="331F8BF4">
      <w:pPr>
        <w:pStyle w:val="20"/>
        <w:spacing w:before="312" w:after="312"/>
      </w:pPr>
      <w:bookmarkStart w:id="7" w:name="_bookmark3"/>
      <w:bookmarkEnd w:id="7"/>
      <w:bookmarkStart w:id="8" w:name="_Toc28474"/>
      <w:r>
        <w:rPr>
          <w:rFonts w:ascii="Times New Roman" w:hAnsi="Times New Roman" w:cs="Times New Roman"/>
          <w:color w:val="000000" w:themeColor="text1"/>
          <w14:textFill>
            <w14:solidFill>
              <w14:schemeClr w14:val="tx1"/>
            </w14:solidFill>
          </w14:textFill>
        </w:rPr>
        <w:t>术语和定义</w:t>
      </w:r>
      <w:bookmarkEnd w:id="8"/>
    </w:p>
    <w:p w14:paraId="5DC382BF">
      <w:pPr>
        <w:pStyle w:val="5"/>
        <w:bidi w:val="0"/>
      </w:pPr>
      <w:r>
        <w:t>下列术语和定义适用于本文件。</w:t>
      </w:r>
    </w:p>
    <w:p w14:paraId="67DE9E0E">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3.1</w:t>
      </w:r>
    </w:p>
    <w:p w14:paraId="307BC955">
      <w:pPr>
        <w:pStyle w:val="47"/>
        <w:numPr>
          <w:ilvl w:val="0"/>
          <w:numId w:val="0"/>
        </w:numPr>
        <w:ind w:left="420"/>
        <w:rPr>
          <w:rFonts w:hint="eastAsia" w:ascii="黑体" w:hAnsi="黑体" w:eastAsia="黑体"/>
        </w:rPr>
      </w:pPr>
      <w:r>
        <w:rPr>
          <w:rFonts w:hint="eastAsia" w:ascii="黑体" w:hAnsi="黑体" w:eastAsia="黑体"/>
        </w:rPr>
        <w:t>逐级低应变时间扫描试验 Stepwise Low-strain Time-sweep Test</w:t>
      </w:r>
    </w:p>
    <w:p w14:paraId="17E78398">
      <w:pPr>
        <w:pStyle w:val="21"/>
        <w:bidi w:val="0"/>
      </w:pPr>
      <w:r>
        <w:rPr>
          <w:rFonts w:hint="eastAsia"/>
        </w:rPr>
        <w:t>逐级低应变时间扫描试验是针对沥青材料，通过动态剪切流变仪逐级施加微小剪切应变并持续施加循环荷载，完成每一级循环加载试验后设置间歇期，确保试样处于无损状态，用以确定沥青材料 “非线性粘弹性阶段与损伤阶段”临界应变水平及对应临界力学性质（剪切模量、相位角）的室内流变试验方法。</w:t>
      </w:r>
    </w:p>
    <w:p w14:paraId="679E649F">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3.2</w:t>
      </w:r>
    </w:p>
    <w:p w14:paraId="27B01D29">
      <w:pPr>
        <w:pStyle w:val="47"/>
        <w:numPr>
          <w:ilvl w:val="0"/>
          <w:numId w:val="0"/>
        </w:numPr>
        <w:ind w:left="420"/>
        <w:rPr>
          <w:rFonts w:hint="eastAsia" w:ascii="黑体" w:hAnsi="黑体" w:eastAsia="黑体"/>
        </w:rPr>
      </w:pPr>
      <w:r>
        <w:rPr>
          <w:rFonts w:hint="eastAsia" w:ascii="黑体" w:hAnsi="黑体" w:eastAsia="黑体"/>
        </w:rPr>
        <w:t>高应变时间扫描试验 High-strain Time-sweep Test</w:t>
      </w:r>
    </w:p>
    <w:p w14:paraId="2A5B778D">
      <w:pPr>
        <w:pStyle w:val="21"/>
        <w:bidi w:val="0"/>
      </w:pPr>
      <w:r>
        <w:t>高应变时间扫描试验是在逐级低应变试验确定的</w:t>
      </w:r>
      <w:r>
        <w:rPr>
          <w:rFonts w:hint="eastAsia"/>
        </w:rPr>
        <w:t>“</w:t>
      </w:r>
      <w:r>
        <w:t>非线性粘弹性临界点</w:t>
      </w:r>
      <w:r>
        <w:rPr>
          <w:rFonts w:hint="eastAsia"/>
        </w:rPr>
        <w:t>”</w:t>
      </w:r>
      <w:r>
        <w:t>基础上，</w:t>
      </w:r>
      <w:r>
        <w:rPr>
          <w:rFonts w:hint="eastAsia"/>
        </w:rPr>
        <w:t>通过动态剪切流变仪</w:t>
      </w:r>
      <w:r>
        <w:t>对沥青材料施加超过临界应变的高剪切应变，使试样进入损伤阶段，通过持续扫描</w:t>
      </w:r>
      <w:r>
        <w:rPr>
          <w:rFonts w:hint="eastAsia"/>
        </w:rPr>
        <w:t>获取</w:t>
      </w:r>
      <w:r>
        <w:t>剪切模量、相位角等力学参数随加载时间的演化，以研究材料疲劳损伤累积、裂纹扩展</w:t>
      </w:r>
      <w:r>
        <w:rPr>
          <w:rFonts w:hint="eastAsia"/>
        </w:rPr>
        <w:t>表征</w:t>
      </w:r>
      <w:r>
        <w:t>的室内流变试验方法。</w:t>
      </w:r>
    </w:p>
    <w:p w14:paraId="13D8C81B">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3.3</w:t>
      </w:r>
    </w:p>
    <w:p w14:paraId="120624E8">
      <w:pPr>
        <w:pStyle w:val="47"/>
        <w:numPr>
          <w:ilvl w:val="0"/>
          <w:numId w:val="0"/>
        </w:numPr>
        <w:ind w:left="420"/>
        <w:rPr>
          <w:rFonts w:hint="eastAsia" w:ascii="黑体" w:hAnsi="黑体" w:eastAsia="黑体"/>
        </w:rPr>
      </w:pPr>
      <w:r>
        <w:rPr>
          <w:rFonts w:hint="eastAsia" w:ascii="黑体" w:hAnsi="黑体" w:eastAsia="黑体"/>
        </w:rPr>
        <w:t>非线性粘弹性区域 Nonlinear Viscoelasticity Region</w:t>
      </w:r>
    </w:p>
    <w:p w14:paraId="10C2931A">
      <w:pPr>
        <w:pStyle w:val="21"/>
        <w:bidi w:val="0"/>
      </w:pPr>
      <w:r>
        <w:t>沥青材料在循环荷载</w:t>
      </w:r>
      <w:r>
        <w:rPr>
          <w:rFonts w:hint="eastAsia"/>
        </w:rPr>
        <w:t>的</w:t>
      </w:r>
      <w:r>
        <w:t>作用下，剪切模量和相位角不随加载次数变化但是随着应变水平而变化的</w:t>
      </w:r>
      <w:r>
        <w:rPr>
          <w:rFonts w:hint="eastAsia"/>
        </w:rPr>
        <w:t>非线性粘弹性</w:t>
      </w:r>
      <w:r>
        <w:t>状态</w:t>
      </w:r>
      <w:r>
        <w:rPr>
          <w:rFonts w:hint="eastAsia"/>
        </w:rPr>
        <w:t>对应的荷载水平范围区域</w:t>
      </w:r>
      <w:r>
        <w:t>。</w:t>
      </w:r>
    </w:p>
    <w:p w14:paraId="70C07C68">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3.4</w:t>
      </w:r>
    </w:p>
    <w:p w14:paraId="1392167A">
      <w:pPr>
        <w:pStyle w:val="47"/>
        <w:numPr>
          <w:ilvl w:val="0"/>
          <w:numId w:val="0"/>
        </w:numPr>
        <w:ind w:left="420"/>
        <w:rPr>
          <w:rFonts w:hint="eastAsia" w:ascii="黑体" w:hAnsi="黑体" w:eastAsia="黑体"/>
        </w:rPr>
      </w:pPr>
      <w:r>
        <w:rPr>
          <w:rFonts w:hint="eastAsia" w:ascii="黑体" w:hAnsi="黑体" w:eastAsia="黑体"/>
        </w:rPr>
        <w:t>疲劳损伤 Fatigue Damage</w:t>
      </w:r>
    </w:p>
    <w:p w14:paraId="66750B7A">
      <w:pPr>
        <w:pStyle w:val="21"/>
        <w:bidi w:val="0"/>
      </w:pPr>
      <w:r>
        <w:t>疲劳损伤是指沥青材料在循环荷载作用下，</w:t>
      </w:r>
      <w:r>
        <w:rPr>
          <w:rFonts w:hint="eastAsia"/>
        </w:rPr>
        <w:t>发生</w:t>
      </w:r>
      <w:r>
        <w:t>裂纹起始、扩展及内部结构劣化的过程。</w:t>
      </w:r>
    </w:p>
    <w:p w14:paraId="7D8B589D">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3.5</w:t>
      </w:r>
    </w:p>
    <w:p w14:paraId="33463A43">
      <w:pPr>
        <w:pStyle w:val="47"/>
        <w:numPr>
          <w:ilvl w:val="0"/>
          <w:numId w:val="0"/>
        </w:numPr>
        <w:ind w:left="420"/>
        <w:rPr>
          <w:rFonts w:hint="eastAsia" w:ascii="黑体" w:hAnsi="黑体" w:eastAsia="黑体"/>
        </w:rPr>
      </w:pPr>
      <w:r>
        <w:rPr>
          <w:rFonts w:hint="eastAsia" w:ascii="黑体" w:hAnsi="黑体" w:eastAsia="黑体"/>
        </w:rPr>
        <w:t>损伤区域 Damage Region</w:t>
      </w:r>
    </w:p>
    <w:p w14:paraId="2835E83E">
      <w:pPr>
        <w:pStyle w:val="21"/>
        <w:bidi w:val="0"/>
      </w:pPr>
      <w:r>
        <w:rPr>
          <w:rFonts w:hint="eastAsia"/>
        </w:rPr>
        <w:t>沥青材料在循环剪切疲劳荷载作用下，当剪切应变水平超过非线性粘弹性临界点后，材料内部产生疲劳裂纹导致力学性能（如剪切模量）出现不可逆衰减时的状态。</w:t>
      </w:r>
    </w:p>
    <w:p w14:paraId="51F74CD1">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3.6</w:t>
      </w:r>
    </w:p>
    <w:p w14:paraId="371B6C70">
      <w:pPr>
        <w:pStyle w:val="47"/>
        <w:numPr>
          <w:ilvl w:val="0"/>
          <w:numId w:val="0"/>
        </w:numPr>
        <w:ind w:left="420"/>
        <w:rPr>
          <w:rFonts w:hint="eastAsia" w:ascii="黑体" w:hAnsi="黑体" w:eastAsia="黑体"/>
        </w:rPr>
      </w:pPr>
      <w:r>
        <w:rPr>
          <w:rFonts w:hint="eastAsia" w:ascii="黑体" w:hAnsi="黑体" w:eastAsia="黑体"/>
        </w:rPr>
        <w:t xml:space="preserve">非线性粘弹性临界点 Critical Nonlinear Viscoelastic Point </w:t>
      </w:r>
    </w:p>
    <w:p w14:paraId="321BDD54">
      <w:pPr>
        <w:pStyle w:val="21"/>
        <w:bidi w:val="0"/>
      </w:pPr>
      <w:r>
        <w:rPr>
          <w:rFonts w:hint="eastAsia"/>
        </w:rPr>
        <w:t>沥青材料</w:t>
      </w:r>
      <w:r>
        <w:t>非线性粘弹性区域与损伤区域之间的</w:t>
      </w:r>
      <w:r>
        <w:rPr>
          <w:rFonts w:hint="eastAsia"/>
        </w:rPr>
        <w:t>临界荷载水平</w:t>
      </w:r>
      <w:r>
        <w:t>分界点。</w:t>
      </w:r>
      <w:r>
        <w:rPr>
          <w:rFonts w:hint="eastAsia"/>
        </w:rPr>
        <w:t>非线性粘弹性临界点处（临界应变）对应的沥青材料的剪切模量和相位角分别记为</w:t>
      </w:r>
      <w:r>
        <w:rPr>
          <w:rFonts w:ascii="Times New Roman" w:hAnsi="Times New Roman" w:cs="Times New Roman"/>
          <w:color w:val="000000" w:themeColor="text1"/>
          <w:position w:val="-16"/>
          <w:szCs w:val="22"/>
          <w:shd w:val="clear" w:color="auto" w:fill="FFFFFF"/>
          <w14:textFill>
            <w14:solidFill>
              <w14:schemeClr w14:val="tx1"/>
            </w14:solidFill>
          </w14:textFill>
        </w:rPr>
        <w:object>
          <v:shape id="_x0000_i1025" o:spt="75" type="#_x0000_t75" style="height:21.5pt;width:77.5pt;" o:ole="t" filled="f" o:preferrelative="t" stroked="f" coordsize="21600,21600">
            <v:path/>
            <v:fill on="f" focussize="0,0"/>
            <v:stroke on="f" joinstyle="miter"/>
            <v:imagedata r:id="rId15" o:title=""/>
            <o:lock v:ext="edit" aspectratio="f"/>
            <w10:wrap type="none"/>
            <w10:anchorlock/>
          </v:shape>
          <o:OLEObject Type="Embed" ProgID="Equation.DSMT4" ShapeID="_x0000_i1025" DrawAspect="Content" ObjectID="_1468075725" r:id="rId14">
            <o:LockedField>false</o:LockedField>
          </o:OLEObject>
        </w:object>
      </w:r>
      <w:r>
        <w:rPr>
          <w:rFonts w:hint="eastAsia"/>
        </w:rPr>
        <w:t>。</w:t>
      </w:r>
    </w:p>
    <w:p w14:paraId="33ACBB01">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3.7</w:t>
      </w:r>
    </w:p>
    <w:p w14:paraId="7206B4C8">
      <w:pPr>
        <w:pStyle w:val="47"/>
        <w:numPr>
          <w:ilvl w:val="0"/>
          <w:numId w:val="0"/>
        </w:numPr>
        <w:ind w:left="420"/>
        <w:rPr>
          <w:rFonts w:hint="eastAsia" w:ascii="黑体" w:hAnsi="黑体" w:eastAsia="黑体"/>
        </w:rPr>
      </w:pPr>
      <w:r>
        <w:rPr>
          <w:rFonts w:hint="eastAsia" w:ascii="黑体" w:hAnsi="黑体" w:eastAsia="黑体"/>
        </w:rPr>
        <w:t>表观剪切模量 Apparent Shear Modulus</w:t>
      </w:r>
    </w:p>
    <w:p w14:paraId="065251A0">
      <w:pPr>
        <w:pStyle w:val="21"/>
        <w:bidi w:val="0"/>
      </w:pPr>
      <w:r>
        <w:t>表观剪切模量</w:t>
      </w:r>
      <w:r>
        <w:rPr>
          <w:rFonts w:hint="eastAsia"/>
        </w:rPr>
        <w:t>记为</w:t>
      </w:r>
      <w:r>
        <w:rPr>
          <w:rFonts w:ascii="Times New Roman" w:hAnsi="Times New Roman" w:eastAsia="黑体" w:cs="Times New Roman"/>
          <w:color w:val="000000" w:themeColor="text1"/>
          <w:position w:val="-16"/>
          <w:szCs w:val="22"/>
          <w14:textFill>
            <w14:solidFill>
              <w14:schemeClr w14:val="tx1"/>
            </w14:solidFill>
          </w14:textFill>
        </w:rPr>
        <w:object>
          <v:shape id="_x0000_i1026" o:spt="75" type="#_x0000_t75" style="height:21.5pt;width:30pt;" o:ole="t" filled="f" o:preferrelative="t" stroked="f" coordsize="21600,21600">
            <v:path/>
            <v:fill on="f" focussize="0,0"/>
            <v:stroke on="f" joinstyle="miter"/>
            <v:imagedata r:id="rId17" o:title=""/>
            <o:lock v:ext="edit" aspectratio="t"/>
            <w10:wrap type="none"/>
            <w10:anchorlock/>
          </v:shape>
          <o:OLEObject Type="Embed" ProgID="Equation.DSMT4" ShapeID="_x0000_i1026" DrawAspect="Content" ObjectID="_1468075726" r:id="rId16">
            <o:LockedField>false</o:LockedField>
          </o:OLEObject>
        </w:object>
      </w:r>
      <w:r>
        <w:rPr>
          <w:rFonts w:hint="eastAsia"/>
        </w:rPr>
        <w:t>，</w:t>
      </w:r>
      <w:r>
        <w:t>是表征包含疲劳裂纹等失效区的沥青材料（表观系统）的参数，由表观剪切应力幅值与表观剪切应变幅值的比值确定，单位为k</w:t>
      </w:r>
      <w:r>
        <w:rPr>
          <w:rFonts w:hint="eastAsia"/>
        </w:rPr>
        <w:t>P</w:t>
      </w:r>
      <w:r>
        <w:t>a。</w:t>
      </w:r>
    </w:p>
    <w:p w14:paraId="0DF343AD">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3.8</w:t>
      </w:r>
    </w:p>
    <w:p w14:paraId="1F120912">
      <w:pPr>
        <w:pStyle w:val="47"/>
        <w:numPr>
          <w:ilvl w:val="0"/>
          <w:numId w:val="0"/>
        </w:numPr>
        <w:ind w:left="420"/>
        <w:rPr>
          <w:rFonts w:hint="eastAsia" w:ascii="黑体" w:hAnsi="黑体" w:eastAsia="黑体"/>
        </w:rPr>
      </w:pPr>
      <w:r>
        <w:rPr>
          <w:rFonts w:hint="eastAsia" w:ascii="黑体" w:hAnsi="黑体" w:eastAsia="黑体"/>
        </w:rPr>
        <w:t>真实剪切模量 True Shear Modulus</w:t>
      </w:r>
    </w:p>
    <w:p w14:paraId="11F2B5E2">
      <w:pPr>
        <w:pStyle w:val="21"/>
        <w:bidi w:val="0"/>
      </w:pPr>
      <w:r>
        <w:t>真实剪切模量</w:t>
      </w:r>
      <w:r>
        <w:rPr>
          <w:rFonts w:hint="eastAsia"/>
        </w:rPr>
        <w:t>记为</w:t>
      </w:r>
      <w:r>
        <w:rPr>
          <w:rFonts w:ascii="Times New Roman" w:hAnsi="Times New Roman" w:eastAsia="黑体" w:cs="Times New Roman"/>
          <w:color w:val="000000" w:themeColor="text1"/>
          <w:position w:val="-12"/>
          <w:szCs w:val="22"/>
          <w14:textFill>
            <w14:solidFill>
              <w14:schemeClr w14:val="tx1"/>
            </w14:solidFill>
          </w14:textFill>
        </w:rPr>
        <w:object>
          <v:shape id="_x0000_i1027" o:spt="75" type="#_x0000_t75" style="height:21.5pt;width:28.5pt;" o:ole="t" filled="f" o:preferrelative="t" stroked="f" coordsize="21600,21600">
            <v:path/>
            <v:fill on="f" focussize="0,0"/>
            <v:stroke on="f" joinstyle="miter"/>
            <v:imagedata r:id="rId19" o:title=""/>
            <o:lock v:ext="edit" aspectratio="t"/>
            <w10:wrap type="none"/>
            <w10:anchorlock/>
          </v:shape>
          <o:OLEObject Type="Embed" ProgID="Equation.DSMT4" ShapeID="_x0000_i1027" DrawAspect="Content" ObjectID="_1468075727" r:id="rId18">
            <o:LockedField>false</o:LockedField>
          </o:OLEObject>
        </w:object>
      </w:r>
      <w:r>
        <w:rPr>
          <w:rFonts w:hint="eastAsia"/>
        </w:rPr>
        <w:t>，</w:t>
      </w:r>
      <w:r>
        <w:t>是表征有效承载区域（排除疲劳裂纹等失效区）的沥青材料（真实系统）的参数，由真实剪切应力幅值与真实剪切应变幅值的比值确定，单位为k</w:t>
      </w:r>
      <w:r>
        <w:rPr>
          <w:rFonts w:hint="eastAsia"/>
        </w:rPr>
        <w:t>P</w:t>
      </w:r>
      <w:r>
        <w:t>a。</w:t>
      </w:r>
    </w:p>
    <w:p w14:paraId="45EE284D">
      <w:pPr>
        <w:pStyle w:val="3"/>
        <w:keepNext/>
        <w:keepLines/>
        <w:pageBreakBefore w:val="0"/>
        <w:widowControl w:val="0"/>
        <w:kinsoku/>
        <w:wordWrap/>
        <w:overflowPunct/>
        <w:topLinePunct w:val="0"/>
        <w:autoSpaceDE w:val="0"/>
        <w:autoSpaceDN w:val="0"/>
        <w:bidi w:val="0"/>
        <w:adjustRightInd/>
        <w:snapToGrid/>
        <w:spacing w:after="0" w:afterLines="50"/>
        <w:textAlignment w:val="auto"/>
        <w:rPr>
          <w:rFonts w:hint="eastAsia"/>
        </w:rPr>
      </w:pPr>
      <w:r>
        <w:rPr>
          <w:rFonts w:hint="eastAsia"/>
        </w:rPr>
        <w:t>3.9</w:t>
      </w:r>
    </w:p>
    <w:p w14:paraId="27385760">
      <w:pPr>
        <w:pStyle w:val="47"/>
        <w:numPr>
          <w:ilvl w:val="0"/>
          <w:numId w:val="0"/>
        </w:numPr>
        <w:ind w:left="420"/>
        <w:rPr>
          <w:rFonts w:hint="eastAsia" w:ascii="黑体" w:hAnsi="黑体" w:eastAsia="黑体"/>
        </w:rPr>
      </w:pPr>
      <w:r>
        <w:rPr>
          <w:rFonts w:hint="eastAsia" w:ascii="黑体" w:hAnsi="黑体" w:eastAsia="黑体"/>
        </w:rPr>
        <w:t>损伤密度 Damage Density</w:t>
      </w:r>
    </w:p>
    <w:p w14:paraId="377CC129">
      <w:pPr>
        <w:pStyle w:val="21"/>
        <w:bidi w:val="0"/>
      </w:pPr>
      <w:r>
        <w:t>损伤密度</w:t>
      </w:r>
      <w:r>
        <w:rPr>
          <w:rFonts w:hint="eastAsia"/>
        </w:rPr>
        <w:t>记为</w:t>
      </w:r>
      <w:r>
        <w:rPr>
          <w:rFonts w:ascii="Times New Roman" w:hAnsi="Times New Roman" w:eastAsia="黑体" w:cs="Times New Roman"/>
          <w:color w:val="000000" w:themeColor="text1"/>
          <w:position w:val="-12"/>
          <w:szCs w:val="22"/>
          <w14:textFill>
            <w14:solidFill>
              <w14:schemeClr w14:val="tx1"/>
            </w14:solidFill>
          </w14:textFill>
        </w:rPr>
        <w:object>
          <v:shape id="_x0000_i1028" o:spt="75" type="#_x0000_t75" style="height:16pt;width:10.5pt;" o:ole="t" filled="f" o:preferrelative="t" stroked="f" coordsize="21600,21600">
            <v:path/>
            <v:fill on="f" focussize="0,0"/>
            <v:stroke on="f" joinstyle="miter"/>
            <v:imagedata r:id="rId21" o:title=""/>
            <o:lock v:ext="edit" aspectratio="f"/>
            <w10:wrap type="none"/>
            <w10:anchorlock/>
          </v:shape>
          <o:OLEObject Type="Embed" ProgID="Equation.DSMT4" ShapeID="_x0000_i1028" DrawAspect="Content" ObjectID="_1468075728" r:id="rId20">
            <o:LockedField>false</o:LockedField>
          </o:OLEObject>
        </w:object>
      </w:r>
      <w:r>
        <w:rPr>
          <w:rFonts w:hint="eastAsia"/>
        </w:rPr>
        <w:t>，</w:t>
      </w:r>
      <w:r>
        <w:t>是量化</w:t>
      </w:r>
      <w:r>
        <w:rPr>
          <w:rFonts w:hint="eastAsia"/>
        </w:rPr>
        <w:t>沥青</w:t>
      </w:r>
      <w:r>
        <w:t>材料疲劳损伤程度的指标，定义为</w:t>
      </w:r>
      <w:r>
        <w:rPr>
          <w:rFonts w:hint="eastAsia"/>
        </w:rPr>
        <w:t>沥青材料</w:t>
      </w:r>
      <w:r>
        <w:t>失效</w:t>
      </w:r>
      <w:r>
        <w:rPr>
          <w:rFonts w:hint="eastAsia"/>
        </w:rPr>
        <w:t>截面</w:t>
      </w:r>
      <w:r>
        <w:t>区域面积与材料</w:t>
      </w:r>
      <w:r>
        <w:rPr>
          <w:rFonts w:hint="eastAsia"/>
        </w:rPr>
        <w:t>截面</w:t>
      </w:r>
      <w:r>
        <w:t>总面积的比值</w:t>
      </w:r>
      <w:r>
        <w:rPr>
          <w:rFonts w:hint="eastAsia"/>
        </w:rPr>
        <w:t>，单位为1</w:t>
      </w:r>
      <w:r>
        <w:t>。</w:t>
      </w:r>
    </w:p>
    <w:p w14:paraId="480B2014">
      <w:pPr>
        <w:pStyle w:val="20"/>
        <w:spacing w:before="312" w:after="312"/>
      </w:pPr>
      <w:bookmarkStart w:id="9" w:name="_Toc2561"/>
      <w:r>
        <w:t>沥青材料</w:t>
      </w:r>
      <w:r>
        <w:rPr>
          <w:rFonts w:hint="eastAsia"/>
        </w:rPr>
        <w:t>的逐级低应变以及高应变</w:t>
      </w:r>
      <w:r>
        <w:t>时间扫描试验</w:t>
      </w:r>
      <w:bookmarkEnd w:id="9"/>
    </w:p>
    <w:p w14:paraId="6DDA8577">
      <w:pPr>
        <w:pStyle w:val="49"/>
        <w:keepNext w:val="0"/>
        <w:keepLines w:val="0"/>
        <w:pageBreakBefore w:val="0"/>
        <w:widowControl/>
        <w:kinsoku/>
        <w:wordWrap/>
        <w:overflowPunct/>
        <w:topLinePunct w:val="0"/>
        <w:autoSpaceDE w:val="0"/>
        <w:autoSpaceDN w:val="0"/>
        <w:bidi w:val="0"/>
        <w:adjustRightInd/>
        <w:snapToGrid/>
        <w:textAlignment w:val="auto"/>
        <w:outlineLvl w:val="1"/>
      </w:pPr>
      <w:r>
        <w:rPr>
          <w:rFonts w:hint="eastAsia"/>
          <w:lang w:val="en-US" w:eastAsia="zh-CN"/>
        </w:rPr>
        <w:t>4.1试验</w:t>
      </w:r>
      <w:r>
        <w:t>目的与适用范围</w:t>
      </w:r>
    </w:p>
    <w:p w14:paraId="733F1D24">
      <w:pPr>
        <w:pStyle w:val="50"/>
        <w:bidi w:val="0"/>
        <w:rPr>
          <w:rStyle w:val="23"/>
        </w:rPr>
      </w:pPr>
      <w:r>
        <w:rPr>
          <w:rStyle w:val="51"/>
          <w:rFonts w:hint="eastAsia"/>
          <w:lang w:val="en-US" w:eastAsia="zh-CN"/>
        </w:rPr>
        <w:t>4.1.1</w:t>
      </w:r>
      <w:r>
        <w:rPr>
          <w:rStyle w:val="23"/>
        </w:rPr>
        <w:t>本方法适用于采用动态剪切流变仪测定沥青的抗疲劳性能</w:t>
      </w:r>
      <w:r>
        <w:rPr>
          <w:rStyle w:val="23"/>
          <w:rFonts w:hint="eastAsia"/>
        </w:rPr>
        <w:t>。开展</w:t>
      </w:r>
      <w:r>
        <w:rPr>
          <w:rStyle w:val="23"/>
        </w:rPr>
        <w:t>低应变水平时间扫描试验获取沥青材料的非线性粘弹性临界点</w:t>
      </w:r>
      <w:r>
        <w:rPr>
          <w:rStyle w:val="23"/>
          <w:position w:val="-12"/>
        </w:rPr>
        <w:object>
          <v:shape id="_x0000_i1029" o:spt="75" type="#_x0000_t75" style="height:21.5pt;width:77.5pt;" o:ole="t" filled="f" o:preferrelative="t" stroked="f" coordsize="21600,21600">
            <v:path/>
            <v:fill on="f" focussize="0,0"/>
            <v:stroke on="f" joinstyle="miter"/>
            <v:imagedata r:id="rId15" o:title=""/>
            <o:lock v:ext="edit" aspectratio="f"/>
            <w10:wrap type="none"/>
            <w10:anchorlock/>
          </v:shape>
          <o:OLEObject Type="Embed" ProgID="Equation.DSMT4" ShapeID="_x0000_i1029" DrawAspect="Content" ObjectID="_1468075729" r:id="rId22">
            <o:LockedField>false</o:LockedField>
          </o:OLEObject>
        </w:object>
      </w:r>
      <w:r>
        <w:rPr>
          <w:rStyle w:val="23"/>
        </w:rPr>
        <w:t>；</w:t>
      </w:r>
      <w:r>
        <w:rPr>
          <w:rStyle w:val="23"/>
          <w:rFonts w:hint="eastAsia"/>
        </w:rPr>
        <w:t>开展</w:t>
      </w:r>
      <w:r>
        <w:rPr>
          <w:rStyle w:val="23"/>
        </w:rPr>
        <w:t>高应变水平时间扫描试验模拟沥青在循环荷载下的疲劳损伤过程，获取沥青材料的</w:t>
      </w:r>
      <w:r>
        <w:rPr>
          <w:rStyle w:val="23"/>
          <w:rFonts w:hint="eastAsia"/>
        </w:rPr>
        <w:t>表观</w:t>
      </w:r>
      <w:r>
        <w:rPr>
          <w:rStyle w:val="23"/>
        </w:rPr>
        <w:t>剪切模量值</w:t>
      </w:r>
      <w:r>
        <w:rPr>
          <w:rStyle w:val="23"/>
          <w:position w:val="-12"/>
        </w:rPr>
        <w:object>
          <v:shape id="_x0000_i1030" o:spt="75" type="#_x0000_t75" style="height:21.5pt;width:30pt;" o:ole="t" filled="f" o:preferrelative="t" stroked="f" coordsize="21600,21600">
            <v:path/>
            <v:fill on="f" focussize="0,0"/>
            <v:stroke on="f" joinstyle="miter"/>
            <v:imagedata r:id="rId24" o:title=""/>
            <o:lock v:ext="edit" aspectratio="t"/>
            <w10:wrap type="none"/>
            <w10:anchorlock/>
          </v:shape>
          <o:OLEObject Type="Embed" ProgID="Equation.DSMT4" ShapeID="_x0000_i1030" DrawAspect="Content" ObjectID="_1468075730" r:id="rId23">
            <o:LockedField>false</o:LockedField>
          </o:OLEObject>
        </w:object>
      </w:r>
      <w:r>
        <w:rPr>
          <w:rStyle w:val="23"/>
        </w:rPr>
        <w:t>，用以计算疲劳损伤表征指标损伤密度</w:t>
      </w:r>
      <w:r>
        <w:rPr>
          <w:rStyle w:val="23"/>
          <w:position w:val="-12"/>
        </w:rPr>
        <w:object>
          <v:shape id="_x0000_i1031" o:spt="75" type="#_x0000_t75" style="height:36pt;width:69pt;" o:ole="t" filled="f" o:preferrelative="t" stroked="f" coordsize="21600,21600">
            <v:path/>
            <v:fill on="f" focussize="0,0"/>
            <v:stroke on="f" joinstyle="miter"/>
            <v:imagedata r:id="rId26" o:title=""/>
            <o:lock v:ext="edit" aspectratio="t"/>
            <w10:wrap type="none"/>
            <w10:anchorlock/>
          </v:shape>
          <o:OLEObject Type="Embed" ProgID="Equation.DSMT4" ShapeID="_x0000_i1031" DrawAspect="Content" ObjectID="_1468075731" r:id="rId25">
            <o:LockedField>false</o:LockedField>
          </o:OLEObject>
        </w:object>
      </w:r>
      <w:r>
        <w:rPr>
          <w:rStyle w:val="23"/>
          <w:rFonts w:hint="eastAsia"/>
        </w:rPr>
        <w:t>，其中真实表观剪切模量可取</w:t>
      </w:r>
      <w:r>
        <w:rPr>
          <w:rStyle w:val="23"/>
          <w:position w:val="-12"/>
        </w:rPr>
        <w:object>
          <v:shape id="_x0000_i1032" o:spt="75" type="#_x0000_t75" style="height:22pt;width:40.5pt;" o:ole="t" filled="f" o:preferrelative="t" stroked="f" coordsize="21600,21600">
            <v:path/>
            <v:fill on="f" focussize="0,0"/>
            <v:stroke on="f" joinstyle="miter"/>
            <v:imagedata r:id="rId28" o:title=""/>
            <o:lock v:ext="edit" aspectratio="f"/>
            <w10:wrap type="none"/>
            <w10:anchorlock/>
          </v:shape>
          <o:OLEObject Type="Embed" ProgID="Equation.DSMT4" ShapeID="_x0000_i1032" DrawAspect="Content" ObjectID="_1468075732" r:id="rId27">
            <o:LockedField>false</o:LockedField>
          </o:OLEObject>
        </w:object>
      </w:r>
      <w:r>
        <w:rPr>
          <w:rStyle w:val="23"/>
        </w:rPr>
        <w:t>。</w:t>
      </w:r>
    </w:p>
    <w:p w14:paraId="574DD21B">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4.1.2</w:t>
      </w:r>
      <w:r>
        <w:rPr>
          <w:rStyle w:val="23"/>
        </w:rPr>
        <w:t>本方法适用于旋转薄膜烘箱(RTFOT)和压力(PAV)后的老化沥青（具体流程参考规范JTG E20-2011的T0630-2011执行），模拟沥青路面服役阶段的沥青</w:t>
      </w:r>
      <w:r>
        <w:rPr>
          <w:rStyle w:val="23"/>
          <w:rFonts w:hint="eastAsia"/>
        </w:rPr>
        <w:t>老化过程</w:t>
      </w:r>
      <w:r>
        <w:rPr>
          <w:rStyle w:val="23"/>
        </w:rPr>
        <w:t>。</w:t>
      </w:r>
    </w:p>
    <w:p w14:paraId="5F824287">
      <w:pPr>
        <w:pStyle w:val="49"/>
        <w:bidi w:val="0"/>
      </w:pPr>
      <w:r>
        <w:rPr>
          <w:rFonts w:hint="eastAsia"/>
          <w:lang w:val="en-US" w:eastAsia="zh-CN"/>
        </w:rPr>
        <w:t>4.</w:t>
      </w:r>
      <w:r>
        <w:t>2仪具与材料技术要求</w:t>
      </w:r>
    </w:p>
    <w:p w14:paraId="233F2463">
      <w:pPr>
        <w:widowControl/>
        <w:spacing w:line="360" w:lineRule="auto"/>
        <w:rPr>
          <w:rStyle w:val="23"/>
        </w:rPr>
      </w:pPr>
      <w:r>
        <w:rPr>
          <w:rStyle w:val="51"/>
          <w:rFonts w:hint="eastAsia"/>
          <w:szCs w:val="20"/>
          <w:lang w:val="en-US" w:eastAsia="zh-CN"/>
        </w:rPr>
        <w:t>4.2.1</w:t>
      </w:r>
      <w:r>
        <w:rPr>
          <w:rStyle w:val="23"/>
        </w:rPr>
        <w:t>动态剪切流变仪试验系统组成及基本原理参考JTG E20-2011中T 0628-2011所示。该系统配备平行金属板（直径8mm或25mm）、温度控制系统（在</w:t>
      </w:r>
      <w:r>
        <w:rPr>
          <w:rStyle w:val="23"/>
          <w:rFonts w:hint="eastAsia"/>
        </w:rPr>
        <w:t>1</w:t>
      </w:r>
      <w:r>
        <w:rPr>
          <w:rStyle w:val="23"/>
        </w:rPr>
        <w:t>5℃</w:t>
      </w:r>
      <w:r>
        <w:rPr>
          <w:rStyle w:val="23"/>
          <w:rFonts w:hint="default" w:ascii="Times New Roman" w:hAnsi="Times New Roman" w:cs="Times New Roman"/>
        </w:rPr>
        <w:t>~</w:t>
      </w:r>
      <w:r>
        <w:rPr>
          <w:rStyle w:val="23"/>
        </w:rPr>
        <w:t>25℃温度范围内可将试件温度控制在0.1℃</w:t>
      </w:r>
      <w:r>
        <w:rPr>
          <w:rStyle w:val="23"/>
          <w:rFonts w:hint="eastAsia"/>
        </w:rPr>
        <w:t>的误差以</w:t>
      </w:r>
      <w:r>
        <w:rPr>
          <w:rStyle w:val="23"/>
        </w:rPr>
        <w:t>内）及数据采集软件，</w:t>
      </w:r>
      <w:r>
        <w:rPr>
          <w:rStyle w:val="23"/>
          <w:rFonts w:hint="eastAsia"/>
        </w:rPr>
        <w:t>该系统</w:t>
      </w:r>
      <w:r>
        <w:rPr>
          <w:rStyle w:val="23"/>
        </w:rPr>
        <w:t>能施加正弦交变荷载，</w:t>
      </w:r>
      <w:r>
        <w:rPr>
          <w:rStyle w:val="23"/>
          <w:rFonts w:hint="eastAsia"/>
        </w:rPr>
        <w:t>可选择</w:t>
      </w:r>
      <w:r>
        <w:rPr>
          <w:rStyle w:val="23"/>
        </w:rPr>
        <w:t>控制应变或应力模式。</w:t>
      </w:r>
    </w:p>
    <w:p w14:paraId="4863C0A8">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4.2.2</w:t>
      </w:r>
      <w:r>
        <w:rPr>
          <w:rStyle w:val="23"/>
        </w:rPr>
        <w:t>平行金属板：直径8mm（适用于</w:t>
      </w:r>
      <w:r>
        <w:rPr>
          <w:rStyle w:val="23"/>
          <w:rFonts w:hint="eastAsia"/>
        </w:rPr>
        <w:t>中低温条件</w:t>
      </w:r>
      <w:r>
        <w:rPr>
          <w:rStyle w:val="23"/>
        </w:rPr>
        <w:t>），板间距可调节，精度±1μm。</w:t>
      </w:r>
    </w:p>
    <w:p w14:paraId="35E2CCF1">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4.2.3</w:t>
      </w:r>
      <w:r>
        <w:rPr>
          <w:rStyle w:val="23"/>
        </w:rPr>
        <w:t>试样模具：根据平行板尺寸制作，确保试样厚度均匀，无气泡和杂质。</w:t>
      </w:r>
    </w:p>
    <w:p w14:paraId="58DD0035">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4.2.4</w:t>
      </w:r>
      <w:r>
        <w:rPr>
          <w:rStyle w:val="23"/>
        </w:rPr>
        <w:t>烘箱：控温精度±1℃，用于试样加热制备。</w:t>
      </w:r>
    </w:p>
    <w:p w14:paraId="315DD61C">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4.2.5</w:t>
      </w:r>
      <w:r>
        <w:rPr>
          <w:rStyle w:val="23"/>
        </w:rPr>
        <w:t>刀具：用于修整试样，确保表面平整。</w:t>
      </w:r>
    </w:p>
    <w:p w14:paraId="77EBB660">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4.2.6</w:t>
      </w:r>
      <w:r>
        <w:rPr>
          <w:rStyle w:val="23"/>
        </w:rPr>
        <w:t>其它：镊子、溶剂（三氯乙烯，用于清洁平行板）。</w:t>
      </w:r>
    </w:p>
    <w:p w14:paraId="28C088A6">
      <w:pPr>
        <w:pStyle w:val="49"/>
        <w:bidi w:val="0"/>
        <w:rPr>
          <w:rFonts w:hint="eastAsia"/>
          <w:lang w:val="en-US" w:eastAsia="zh-CN"/>
        </w:rPr>
      </w:pPr>
      <w:r>
        <w:rPr>
          <w:rFonts w:hint="eastAsia"/>
          <w:lang w:val="en-US" w:eastAsia="zh-CN"/>
        </w:rPr>
        <w:t>4.3方法与步骤</w:t>
      </w:r>
    </w:p>
    <w:p w14:paraId="7D4700DF">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4.3.1</w:t>
      </w:r>
      <w:r>
        <w:rPr>
          <w:rStyle w:val="23"/>
        </w:rPr>
        <w:t>准备工作</w:t>
      </w:r>
    </w:p>
    <w:p w14:paraId="27F97089">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4.3.1.1</w:t>
      </w:r>
      <w:r>
        <w:rPr>
          <w:rStyle w:val="23"/>
        </w:rPr>
        <w:t>按规程JTG E20-2011</w:t>
      </w:r>
      <w:r>
        <w:rPr>
          <w:rStyle w:val="23"/>
          <w:rFonts w:hint="eastAsia"/>
        </w:rPr>
        <w:t>中</w:t>
      </w:r>
      <w:r>
        <w:rPr>
          <w:rStyle w:val="23"/>
        </w:rPr>
        <w:t>T0602的方法准备试样。加热沥青至足够流动状态，用来浇注试件，原样沥青加热的温度不宜高于135℃。在加热过程中给样品加盖，并适当进行搅拌以保证样品的均匀性和赶走气泡。</w:t>
      </w:r>
    </w:p>
    <w:p w14:paraId="275F059F">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4.3.1.2</w:t>
      </w:r>
      <w:r>
        <w:rPr>
          <w:rStyle w:val="23"/>
        </w:rPr>
        <w:t>制备适用于8mm平行板的沥青试件</w:t>
      </w:r>
    </w:p>
    <w:p w14:paraId="0367740A">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4.3.1.3</w:t>
      </w:r>
      <w:r>
        <w:rPr>
          <w:rStyle w:val="23"/>
        </w:rPr>
        <w:t>清洁DSR平行板。</w:t>
      </w:r>
    </w:p>
    <w:p w14:paraId="32DB5DDA">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4.3.1.4</w:t>
      </w:r>
      <w:r>
        <w:rPr>
          <w:rStyle w:val="23"/>
        </w:rPr>
        <w:t>调整平行板间距：对于8mm平行板，设定初始间距2000μm。</w:t>
      </w:r>
    </w:p>
    <w:p w14:paraId="24AC5335">
      <w:pPr>
        <w:widowControl/>
        <w:spacing w:line="360" w:lineRule="auto"/>
        <w:rPr>
          <w:rFonts w:ascii="Times New Roman" w:hAnsi="Times New Roman" w:cs="Times New Roman"/>
          <w:color w:val="000000" w:themeColor="text1"/>
          <w:lang w:bidi="ar"/>
          <w14:textFill>
            <w14:solidFill>
              <w14:schemeClr w14:val="tx1"/>
            </w14:solidFill>
          </w14:textFill>
        </w:rPr>
      </w:pPr>
      <w:r>
        <w:rPr>
          <w:rStyle w:val="51"/>
          <w:rFonts w:hint="eastAsia"/>
          <w:szCs w:val="20"/>
          <w:lang w:val="en-US" w:eastAsia="zh-CN"/>
        </w:rPr>
        <w:t>4.3.1.5</w:t>
      </w:r>
      <w:r>
        <w:rPr>
          <w:rStyle w:val="23"/>
        </w:rPr>
        <w:t>移动试验板挤压两个试验板间的试件，加热试件修整器，修整周边多余的沥青，确保试样厚度均匀，无气泡。</w:t>
      </w:r>
    </w:p>
    <w:p w14:paraId="0200D806">
      <w:pPr>
        <w:widowControl/>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4.3.1.6</w:t>
      </w:r>
      <w:r>
        <w:rPr>
          <w:rStyle w:val="23"/>
        </w:rPr>
        <w:t>将试样在试验温度下恒温10min，温度控制为2</w:t>
      </w:r>
      <w:r>
        <w:rPr>
          <w:rStyle w:val="23"/>
          <w:rFonts w:hint="eastAsia"/>
        </w:rPr>
        <w:t>0</w:t>
      </w:r>
      <w:r>
        <w:rPr>
          <w:rStyle w:val="23"/>
        </w:rPr>
        <w:t>℃</w:t>
      </w:r>
      <w:r>
        <w:rPr>
          <w:rStyle w:val="23"/>
          <w:rFonts w:hint="eastAsia"/>
        </w:rPr>
        <w:t>（</w:t>
      </w:r>
      <w:r>
        <w:rPr>
          <w:rStyle w:val="23"/>
        </w:rPr>
        <w:t>15℃、20℃、25°C</w:t>
      </w:r>
      <w:r>
        <w:rPr>
          <w:rStyle w:val="23"/>
          <w:rFonts w:hint="eastAsia"/>
        </w:rPr>
        <w:t>可任选）</w:t>
      </w:r>
      <w:r>
        <w:rPr>
          <w:rStyle w:val="23"/>
        </w:rPr>
        <w:t>（或根据工程需求调整，需在报告中注明）。</w:t>
      </w:r>
    </w:p>
    <w:p w14:paraId="756C0165">
      <w:pPr>
        <w:pStyle w:val="49"/>
        <w:bidi w:val="0"/>
        <w:rPr>
          <w:rFonts w:hint="eastAsia"/>
          <w:lang w:val="en-US" w:eastAsia="zh-CN"/>
        </w:rPr>
      </w:pPr>
      <w:r>
        <w:rPr>
          <w:rFonts w:hint="eastAsia"/>
          <w:lang w:val="en-US" w:eastAsia="zh-CN"/>
        </w:rPr>
        <w:t>4.4逐级低应变时间扫描试验步骤</w:t>
      </w:r>
    </w:p>
    <w:p w14:paraId="4B7E67C5">
      <w:pPr>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4.4.1</w:t>
      </w:r>
      <w:r>
        <w:rPr>
          <w:rStyle w:val="23"/>
        </w:rPr>
        <w:t>启动动态剪切流变仪，设置试验模式为“低应变时间扫描模式”，加载间隙时间为1000s，加载模式如图</w:t>
      </w:r>
      <w:r>
        <w:rPr>
          <w:rStyle w:val="23"/>
          <w:rFonts w:hint="eastAsia"/>
        </w:rPr>
        <w:t>1</w:t>
      </w:r>
      <w:r>
        <w:rPr>
          <w:rStyle w:val="23"/>
        </w:rPr>
        <w:t>，试验参数如下：</w:t>
      </w:r>
    </w:p>
    <w:p w14:paraId="4B5FC682">
      <w:pPr>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rPr>
        <w:drawing>
          <wp:inline distT="0" distB="0" distL="114300" distR="114300">
            <wp:extent cx="4931410" cy="2131695"/>
            <wp:effectExtent l="0" t="0" r="2540" b="1905"/>
            <wp:docPr id="25"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8"/>
                    <pic:cNvPicPr>
                      <a:picLocks noChangeAspect="1"/>
                    </pic:cNvPicPr>
                  </pic:nvPicPr>
                  <pic:blipFill>
                    <a:blip r:embed="rId29"/>
                    <a:stretch>
                      <a:fillRect/>
                    </a:stretch>
                  </pic:blipFill>
                  <pic:spPr>
                    <a:xfrm>
                      <a:off x="0" y="0"/>
                      <a:ext cx="4931410" cy="2131695"/>
                    </a:xfrm>
                    <a:prstGeom prst="rect">
                      <a:avLst/>
                    </a:prstGeom>
                    <a:noFill/>
                    <a:ln>
                      <a:noFill/>
                    </a:ln>
                  </pic:spPr>
                </pic:pic>
              </a:graphicData>
            </a:graphic>
          </wp:inline>
        </w:drawing>
      </w:r>
    </w:p>
    <w:p w14:paraId="344F502E">
      <w:pPr>
        <w:tabs>
          <w:tab w:val="left" w:pos="1047"/>
        </w:tabs>
        <w:spacing w:before="105" w:line="336" w:lineRule="auto"/>
        <w:jc w:val="center"/>
        <w:rPr>
          <w:rFonts w:ascii="Times New Roman" w:hAnsi="Times New Roman" w:cs="Times New Roman"/>
          <w:sz w:val="21"/>
          <w:szCs w:val="21"/>
        </w:rPr>
      </w:pPr>
      <w:r>
        <w:rPr>
          <w:rFonts w:ascii="Times New Roman" w:hAnsi="Times New Roman" w:cs="Times New Roman"/>
          <w:sz w:val="21"/>
          <w:szCs w:val="21"/>
        </w:rPr>
        <w:t>图</w:t>
      </w:r>
      <w:r>
        <w:rPr>
          <w:rFonts w:hint="eastAsia" w:ascii="Times New Roman" w:hAnsi="Times New Roman" w:cs="Times New Roman"/>
          <w:sz w:val="21"/>
          <w:szCs w:val="21"/>
        </w:rPr>
        <w:t>1</w:t>
      </w:r>
      <w:r>
        <w:rPr>
          <w:rFonts w:ascii="Times New Roman" w:hAnsi="Times New Roman" w:cs="Times New Roman"/>
          <w:sz w:val="21"/>
          <w:szCs w:val="21"/>
        </w:rPr>
        <w:t>低应变水平下无损时间扫描</w:t>
      </w:r>
      <w:r>
        <w:rPr>
          <w:rFonts w:hint="eastAsia" w:ascii="Times New Roman" w:hAnsi="Times New Roman" w:cs="Times New Roman"/>
          <w:sz w:val="21"/>
          <w:szCs w:val="21"/>
        </w:rPr>
        <w:t>试验</w:t>
      </w:r>
      <w:r>
        <w:rPr>
          <w:rFonts w:ascii="Times New Roman" w:hAnsi="Times New Roman" w:cs="Times New Roman"/>
          <w:sz w:val="21"/>
          <w:szCs w:val="21"/>
        </w:rPr>
        <w:t>加载方式</w:t>
      </w:r>
    </w:p>
    <w:p w14:paraId="61C3BE37">
      <w:pPr>
        <w:numPr>
          <w:ilvl w:val="0"/>
          <w:numId w:val="4"/>
        </w:numPr>
        <w:ind w:firstLine="44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lang w:bidi="ar"/>
          <w14:textFill>
            <w14:solidFill>
              <w14:schemeClr w14:val="tx1"/>
            </w14:solidFill>
          </w14:textFill>
        </w:rPr>
        <w:t>加载频率频率：10Hz；</w:t>
      </w:r>
    </w:p>
    <w:p w14:paraId="2D652517">
      <w:pPr>
        <w:pStyle w:val="25"/>
        <w:numPr>
          <w:ilvl w:val="0"/>
          <w:numId w:val="5"/>
        </w:numPr>
        <w:spacing w:line="360" w:lineRule="auto"/>
        <w:rPr>
          <w:rFonts w:ascii="Times New Roman" w:hAnsi="Times New Roman" w:cs="Times New Roman"/>
          <w:color w:val="000000" w:themeColor="text1"/>
          <w:lang w:bidi="ar"/>
          <w14:textFill>
            <w14:solidFill>
              <w14:schemeClr w14:val="tx1"/>
            </w14:solidFill>
          </w14:textFill>
        </w:rPr>
      </w:pPr>
      <w:r>
        <w:rPr>
          <w:rStyle w:val="23"/>
          <w:szCs w:val="22"/>
        </w:rPr>
        <w:t>控制模式：应变控制，</w:t>
      </w:r>
      <w:r>
        <w:rPr>
          <w:rStyle w:val="23"/>
          <w:rFonts w:hint="eastAsia"/>
          <w:szCs w:val="22"/>
        </w:rPr>
        <w:t>加载频率为10Hz，</w:t>
      </w:r>
      <w:r>
        <w:rPr>
          <w:rStyle w:val="23"/>
          <w:szCs w:val="22"/>
        </w:rPr>
        <w:t>每个时间扫描测试持续50秒，相当于500个加载循环。完成时间扫描测试后，</w:t>
      </w:r>
      <w:r>
        <w:rPr>
          <w:rStyle w:val="23"/>
          <w:rFonts w:hint="eastAsia"/>
          <w:szCs w:val="22"/>
        </w:rPr>
        <w:t>对</w:t>
      </w:r>
      <w:r>
        <w:rPr>
          <w:rStyle w:val="23"/>
          <w:szCs w:val="22"/>
        </w:rPr>
        <w:t>试样</w:t>
      </w:r>
      <w:r>
        <w:rPr>
          <w:rStyle w:val="23"/>
          <w:rFonts w:hint="eastAsia"/>
          <w:szCs w:val="22"/>
        </w:rPr>
        <w:t>进行</w:t>
      </w:r>
      <w:r>
        <w:rPr>
          <w:rStyle w:val="23"/>
          <w:szCs w:val="22"/>
        </w:rPr>
        <w:t>1000秒的</w:t>
      </w:r>
      <w:r>
        <w:rPr>
          <w:rStyle w:val="23"/>
          <w:rFonts w:hint="eastAsia"/>
          <w:szCs w:val="22"/>
        </w:rPr>
        <w:t>间歇</w:t>
      </w:r>
      <w:r>
        <w:rPr>
          <w:rStyle w:val="23"/>
          <w:szCs w:val="22"/>
        </w:rPr>
        <w:t>，以确保变形完全恢复。</w:t>
      </w:r>
    </w:p>
    <w:p w14:paraId="1C4CA66B">
      <w:pPr>
        <w:pStyle w:val="25"/>
        <w:numPr>
          <w:ilvl w:val="0"/>
          <w:numId w:val="5"/>
        </w:numPr>
        <w:spacing w:line="360" w:lineRule="auto"/>
        <w:rPr>
          <w:rStyle w:val="23"/>
          <w:szCs w:val="22"/>
        </w:rPr>
      </w:pPr>
      <w:r>
        <w:rPr>
          <w:rStyle w:val="23"/>
          <w:szCs w:val="22"/>
        </w:rPr>
        <w:t>测试温度可选用：15℃、20℃、25°C；</w:t>
      </w:r>
    </w:p>
    <w:p w14:paraId="43992027">
      <w:pPr>
        <w:pStyle w:val="25"/>
        <w:numPr>
          <w:ilvl w:val="0"/>
          <w:numId w:val="5"/>
        </w:numPr>
        <w:spacing w:line="360" w:lineRule="auto"/>
        <w:rPr>
          <w:rStyle w:val="23"/>
          <w:szCs w:val="22"/>
        </w:rPr>
      </w:pPr>
      <w:r>
        <w:rPr>
          <w:rStyle w:val="23"/>
          <w:szCs w:val="22"/>
        </w:rPr>
        <w:t>测试应变水平：0.1%</w:t>
      </w:r>
      <w:r>
        <w:rPr>
          <w:rStyle w:val="23"/>
          <w:rFonts w:hint="default" w:ascii="Times New Roman" w:hAnsi="Times New Roman" w:cs="Times New Roman"/>
          <w:szCs w:val="22"/>
        </w:rPr>
        <w:t>~</w:t>
      </w:r>
      <w:r>
        <w:rPr>
          <w:rStyle w:val="23"/>
          <w:rFonts w:hint="eastAsia"/>
          <w:szCs w:val="22"/>
        </w:rPr>
        <w:t>1</w:t>
      </w:r>
      <w:r>
        <w:rPr>
          <w:rStyle w:val="23"/>
          <w:szCs w:val="22"/>
        </w:rPr>
        <w:t>%(按照每0.</w:t>
      </w:r>
      <w:r>
        <w:rPr>
          <w:rStyle w:val="23"/>
          <w:rFonts w:hint="eastAsia"/>
          <w:szCs w:val="22"/>
        </w:rPr>
        <w:t>1</w:t>
      </w:r>
      <w:r>
        <w:rPr>
          <w:rStyle w:val="23"/>
          <w:szCs w:val="22"/>
        </w:rPr>
        <w:t>%逐级递增)。</w:t>
      </w:r>
    </w:p>
    <w:p w14:paraId="6473445E">
      <w:pPr>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4.4.2</w:t>
      </w:r>
      <w:r>
        <w:rPr>
          <w:rStyle w:val="23"/>
        </w:rPr>
        <w:t>连续记录|G*|和相位角（δ）。</w:t>
      </w:r>
    </w:p>
    <w:p w14:paraId="3512BFF0">
      <w:pPr>
        <w:spacing w:line="360" w:lineRule="auto"/>
        <w:rPr>
          <w:rFonts w:ascii="Times New Roman" w:hAnsi="Times New Roman" w:cs="Times New Roman"/>
          <w:color w:val="000000" w:themeColor="text1"/>
          <w14:textFill>
            <w14:solidFill>
              <w14:schemeClr w14:val="tx1"/>
            </w14:solidFill>
          </w14:textFill>
        </w:rPr>
      </w:pPr>
      <w:r>
        <w:rPr>
          <w:rStyle w:val="51"/>
          <w:rFonts w:hint="eastAsia"/>
          <w:szCs w:val="20"/>
          <w:lang w:val="en-US" w:eastAsia="zh-CN"/>
        </w:rPr>
        <w:t>4.4.3</w:t>
      </w:r>
      <w:r>
        <w:rPr>
          <w:rStyle w:val="23"/>
        </w:rPr>
        <w:t>若|G*|下降超过5%，判定为超出无损范围，需降低应变水平重新试验。</w:t>
      </w:r>
    </w:p>
    <w:p w14:paraId="2B5A2258">
      <w:pPr>
        <w:spacing w:line="360" w:lineRule="auto"/>
        <w:rPr>
          <w:rStyle w:val="23"/>
        </w:rPr>
      </w:pPr>
      <w:r>
        <w:rPr>
          <w:rStyle w:val="51"/>
          <w:rFonts w:hint="eastAsia"/>
          <w:szCs w:val="20"/>
          <w:lang w:val="en-US" w:eastAsia="zh-CN"/>
        </w:rPr>
        <w:t>4.4.4</w:t>
      </w:r>
      <w:r>
        <w:rPr>
          <w:rStyle w:val="23"/>
        </w:rPr>
        <w:t>通过统计的|G*|和相位角（δ），对应绘制关于剪切模量与相位角随着加载时间的双轴坐标曲线图。计算不同应变水平下|G*|的平均值</w:t>
      </w:r>
      <w:r>
        <w:rPr>
          <w:rStyle w:val="23"/>
          <w:color w:val="000000" w:themeColor="text1"/>
          <w:position w:val="-12"/>
          <w:szCs w:val="20"/>
          <w14:textFill>
            <w14:solidFill>
              <w14:schemeClr w14:val="tx1"/>
            </w14:solidFill>
          </w14:textFill>
        </w:rPr>
        <w:object>
          <v:shape id="_x0000_i1033" o:spt="75" type="#_x0000_t75" style="height:23.5pt;width:27pt;" o:ole="t" filled="f" o:preferrelative="t" stroked="f" coordsize="21600,21600">
            <v:path/>
            <v:fill on="f" focussize="0,0"/>
            <v:stroke on="f" joinstyle="miter"/>
            <v:imagedata r:id="rId31" o:title=""/>
            <o:lock v:ext="edit" aspectratio="f"/>
            <w10:wrap type="none"/>
            <w10:anchorlock/>
          </v:shape>
          <o:OLEObject Type="Embed" ProgID="Equation.DSMT4" ShapeID="_x0000_i1033" DrawAspect="Content" ObjectID="_1468075733" r:id="rId30">
            <o:LockedField>false</o:LockedField>
          </o:OLEObject>
        </w:object>
      </w:r>
      <w:r>
        <w:rPr>
          <w:rStyle w:val="23"/>
        </w:rPr>
        <w:t>及相位角均值</w:t>
      </w:r>
      <w:r>
        <w:rPr>
          <w:rStyle w:val="23"/>
          <w:color w:val="000000" w:themeColor="text1"/>
          <w:position w:val="-12"/>
          <w:szCs w:val="20"/>
          <w14:textFill>
            <w14:solidFill>
              <w14:schemeClr w14:val="tx1"/>
            </w14:solidFill>
          </w14:textFill>
        </w:rPr>
        <w:object>
          <v:shape id="_x0000_i1034" o:spt="75" type="#_x0000_t75" style="height:19pt;width:14.5pt;" o:ole="t" filled="f" o:preferrelative="t" stroked="f" coordsize="21600,21600">
            <v:path/>
            <v:fill on="f" focussize="0,0"/>
            <v:stroke on="f" joinstyle="miter"/>
            <v:imagedata r:id="rId33" o:title=""/>
            <o:lock v:ext="edit" aspectratio="f"/>
            <w10:wrap type="none"/>
            <w10:anchorlock/>
          </v:shape>
          <o:OLEObject Type="Embed" ProgID="Equation.DSMT4" ShapeID="_x0000_i1034" DrawAspect="Content" ObjectID="_1468075734" r:id="rId32">
            <o:LockedField>false</o:LockedField>
          </o:OLEObject>
        </w:object>
      </w:r>
      <w:r>
        <w:rPr>
          <w:rStyle w:val="23"/>
        </w:rPr>
        <w:t>，对统计的数据，根据Microsoft Excel中的分析工具包，对统计数据进行单因素方差分析（F检验）检验，从而确定非线性粘弹性临界点处对应的剪切应变水平阈值</w:t>
      </w:r>
      <w:r>
        <w:rPr>
          <w:rStyle w:val="23"/>
          <w:rFonts w:hint="eastAsia"/>
        </w:rPr>
        <w:t>以及对应的</w:t>
      </w:r>
      <w:r>
        <w:rPr>
          <w:rStyle w:val="23"/>
          <w:color w:val="000000" w:themeColor="text1"/>
          <w:position w:val="-12"/>
          <w:szCs w:val="20"/>
          <w14:textFill>
            <w14:solidFill>
              <w14:schemeClr w14:val="tx1"/>
            </w14:solidFill>
          </w14:textFill>
        </w:rPr>
        <w:object>
          <v:shape id="_x0000_i1035" o:spt="75" type="#_x0000_t75" style="height:21.5pt;width:77.5pt;" o:ole="t" filled="f" o:preferrelative="t" stroked="f" coordsize="21600,21600">
            <v:path/>
            <v:fill on="f" focussize="0,0"/>
            <v:stroke on="f" joinstyle="miter"/>
            <v:imagedata r:id="rId15" o:title=""/>
            <o:lock v:ext="edit" aspectratio="f"/>
            <w10:wrap type="none"/>
            <w10:anchorlock/>
          </v:shape>
          <o:OLEObject Type="Embed" ProgID="Equation.DSMT4" ShapeID="_x0000_i1035" DrawAspect="Content" ObjectID="_1468075735" r:id="rId34">
            <o:LockedField>false</o:LockedField>
          </o:OLEObject>
        </w:object>
      </w:r>
      <w:r>
        <w:rPr>
          <w:rStyle w:val="23"/>
        </w:rPr>
        <w:t>。</w:t>
      </w:r>
    </w:p>
    <w:p w14:paraId="3BE460BC">
      <w:pPr>
        <w:spacing w:line="360" w:lineRule="auto"/>
        <w:rPr>
          <w:rStyle w:val="23"/>
        </w:rPr>
      </w:pPr>
      <w:r>
        <w:rPr>
          <w:rStyle w:val="51"/>
          <w:rFonts w:hint="eastAsia"/>
          <w:szCs w:val="20"/>
          <w:lang w:val="en-US" w:eastAsia="zh-CN"/>
        </w:rPr>
        <w:t>4.4.5</w:t>
      </w:r>
      <w:r>
        <w:rPr>
          <w:rStyle w:val="23"/>
        </w:rPr>
        <w:t>非线性粘弹性临界点的统计判定</w:t>
      </w:r>
    </w:p>
    <w:p w14:paraId="435FF32C">
      <w:pPr>
        <w:spacing w:line="360" w:lineRule="auto"/>
        <w:rPr>
          <w:rStyle w:val="23"/>
        </w:rPr>
      </w:pPr>
      <w:r>
        <w:rPr>
          <w:rStyle w:val="23"/>
        </w:rPr>
        <w:t>选择零假设</w:t>
      </w:r>
      <m:oMath>
        <m:sSub>
          <m:sSubPr>
            <m:ctrlPr>
              <w:rPr>
                <w:rStyle w:val="23"/>
                <w:rFonts w:ascii="Cambria Math" w:hAnsi="Cambria Math"/>
              </w:rPr>
            </m:ctrlPr>
          </m:sSubPr>
          <m:e>
            <m:r>
              <m:rPr>
                <m:sty m:val="p"/>
              </m:rPr>
              <w:rPr>
                <w:rStyle w:val="23"/>
                <w:rFonts w:ascii="Cambria Math" w:hAnsi="Cambria Math"/>
              </w:rPr>
              <m:t>H</m:t>
            </m:r>
            <m:ctrlPr>
              <w:rPr>
                <w:rStyle w:val="23"/>
                <w:rFonts w:ascii="Cambria Math" w:hAnsi="Cambria Math"/>
              </w:rPr>
            </m:ctrlPr>
          </m:e>
          <m:sub>
            <m:r>
              <m:rPr>
                <m:sty m:val="p"/>
              </m:rPr>
              <w:rPr>
                <w:rStyle w:val="23"/>
                <w:rFonts w:ascii="Cambria Math" w:hAnsi="Cambria Math"/>
              </w:rPr>
              <m:t>0</m:t>
            </m:r>
            <m:ctrlPr>
              <w:rPr>
                <w:rStyle w:val="23"/>
                <w:rFonts w:ascii="Cambria Math" w:hAnsi="Cambria Math"/>
              </w:rPr>
            </m:ctrlPr>
          </m:sub>
        </m:sSub>
      </m:oMath>
      <w:r>
        <w:rPr>
          <w:rStyle w:val="23"/>
        </w:rPr>
        <w:t>和备择假设</w:t>
      </w:r>
      <m:oMath>
        <m:sSub>
          <m:sSubPr>
            <m:ctrlPr>
              <w:rPr>
                <w:rStyle w:val="23"/>
                <w:rFonts w:ascii="Cambria Math" w:hAnsi="Cambria Math"/>
              </w:rPr>
            </m:ctrlPr>
          </m:sSubPr>
          <m:e>
            <m:r>
              <m:rPr>
                <m:sty m:val="p"/>
              </m:rPr>
              <w:rPr>
                <w:rStyle w:val="23"/>
                <w:rFonts w:ascii="Cambria Math" w:hAnsi="Cambria Math"/>
              </w:rPr>
              <m:t>H</m:t>
            </m:r>
            <m:ctrlPr>
              <w:rPr>
                <w:rStyle w:val="23"/>
                <w:rFonts w:ascii="Cambria Math" w:hAnsi="Cambria Math"/>
              </w:rPr>
            </m:ctrlPr>
          </m:e>
          <m:sub>
            <m:r>
              <m:rPr>
                <m:sty m:val="p"/>
              </m:rPr>
              <w:rPr>
                <w:rStyle w:val="23"/>
                <w:rFonts w:ascii="Cambria Math" w:hAnsi="Cambria Math"/>
              </w:rPr>
              <m:t>1</m:t>
            </m:r>
            <m:ctrlPr>
              <w:rPr>
                <w:rStyle w:val="23"/>
                <w:rFonts w:ascii="Cambria Math" w:hAnsi="Cambria Math"/>
              </w:rPr>
            </m:ctrlPr>
          </m:sub>
        </m:sSub>
      </m:oMath>
      <w:r>
        <w:rPr>
          <w:rStyle w:val="23"/>
        </w:rPr>
        <w:t>:</w:t>
      </w:r>
    </w:p>
    <w:p w14:paraId="5300C7E2">
      <w:pPr>
        <w:spacing w:line="360" w:lineRule="auto"/>
        <w:rPr>
          <w:rStyle w:val="23"/>
        </w:rPr>
      </w:pPr>
      <w:r>
        <w:rPr>
          <w:rStyle w:val="23"/>
        </w:rPr>
        <w:t>在某一应变荷载等级下，沥青试样的剪切模量不随着加载周期的增加而变化；</w:t>
      </w:r>
    </w:p>
    <w:p w14:paraId="60010E54">
      <w:pPr>
        <w:spacing w:line="360" w:lineRule="auto"/>
        <w:rPr>
          <w:rStyle w:val="23"/>
        </w:rPr>
      </w:pPr>
      <w:r>
        <w:rPr>
          <w:rStyle w:val="23"/>
        </w:rPr>
        <w:t>在某一应变荷载等级下，沥青试样的相位角不随着加载周期的增加而变化；</w:t>
      </w:r>
    </w:p>
    <w:p w14:paraId="238F9591">
      <w:pPr>
        <w:spacing w:line="360" w:lineRule="auto"/>
        <w:rPr>
          <w:rStyle w:val="23"/>
        </w:rPr>
      </w:pPr>
      <w:r>
        <w:rPr>
          <w:rStyle w:val="23"/>
        </w:rPr>
        <w:t>备择假设则是零假设的对立假设。</w:t>
      </w:r>
    </w:p>
    <w:p w14:paraId="5669A87A">
      <w:pPr>
        <w:spacing w:line="360" w:lineRule="auto"/>
        <w:rPr>
          <w:rStyle w:val="23"/>
        </w:rPr>
      </w:pPr>
      <w:r>
        <w:rPr>
          <w:rStyle w:val="23"/>
        </w:rPr>
        <w:t>针对某一温度下的剪切模量和相位角数据进行抽样：</w:t>
      </w:r>
    </w:p>
    <w:p w14:paraId="2E713121">
      <w:pPr>
        <w:spacing w:line="360" w:lineRule="auto"/>
        <w:rPr>
          <w:rStyle w:val="23"/>
        </w:rPr>
      </w:pPr>
      <w:r>
        <w:rPr>
          <w:rStyle w:val="23"/>
        </w:rPr>
        <w:t>对于假设I和假设II，在不同剪切应变荷载等级下选取5组（如50s</w:t>
      </w:r>
      <w:r>
        <w:rPr>
          <w:rStyle w:val="23"/>
          <w:rFonts w:hint="default" w:ascii="Times New Roman" w:hAnsi="Times New Roman" w:cs="Times New Roman"/>
        </w:rPr>
        <w:t>~</w:t>
      </w:r>
      <w:r>
        <w:rPr>
          <w:rStyle w:val="23"/>
        </w:rPr>
        <w:t>60s，100s</w:t>
      </w:r>
      <w:r>
        <w:rPr>
          <w:rStyle w:val="23"/>
          <w:rFonts w:hint="default" w:ascii="Times New Roman" w:hAnsi="Times New Roman" w:cs="Times New Roman"/>
        </w:rPr>
        <w:t>~</w:t>
      </w:r>
      <w:r>
        <w:rPr>
          <w:rStyle w:val="23"/>
        </w:rPr>
        <w:t>110s，200s</w:t>
      </w:r>
      <w:r>
        <w:rPr>
          <w:rStyle w:val="23"/>
          <w:rFonts w:hint="default" w:ascii="Times New Roman" w:hAnsi="Times New Roman" w:cs="Times New Roman"/>
        </w:rPr>
        <w:t>~</w:t>
      </w:r>
      <w:r>
        <w:rPr>
          <w:rStyle w:val="23"/>
        </w:rPr>
        <w:t>210s，350s</w:t>
      </w:r>
      <w:r>
        <w:rPr>
          <w:rStyle w:val="23"/>
          <w:rFonts w:hint="default" w:ascii="Times New Roman" w:hAnsi="Times New Roman" w:cs="Times New Roman"/>
        </w:rPr>
        <w:t>~</w:t>
      </w:r>
      <w:r>
        <w:rPr>
          <w:rStyle w:val="23"/>
        </w:rPr>
        <w:t>360s，450s</w:t>
      </w:r>
      <w:r>
        <w:rPr>
          <w:rStyle w:val="23"/>
          <w:rFonts w:hint="default" w:ascii="Times New Roman" w:hAnsi="Times New Roman" w:cs="Times New Roman"/>
        </w:rPr>
        <w:t>~</w:t>
      </w:r>
      <w:r>
        <w:rPr>
          <w:rStyle w:val="23"/>
        </w:rPr>
        <w:t>460s），每组10个样本，进行单因素方差分析；</w:t>
      </w:r>
    </w:p>
    <w:p w14:paraId="47768C8A">
      <w:pPr>
        <w:spacing w:line="360" w:lineRule="auto"/>
        <w:rPr>
          <w:rStyle w:val="23"/>
        </w:rPr>
      </w:pPr>
      <w:r>
        <w:rPr>
          <w:rStyle w:val="23"/>
        </w:rPr>
        <w:t>各假设变量如表</w:t>
      </w:r>
      <w:r>
        <w:rPr>
          <w:rStyle w:val="23"/>
          <w:rFonts w:hint="eastAsia"/>
          <w:lang w:val="en-US"/>
        </w:rPr>
        <w:t>1</w:t>
      </w:r>
      <w:r>
        <w:rPr>
          <w:rStyle w:val="23"/>
        </w:rPr>
        <w:t>所示。</w:t>
      </w:r>
    </w:p>
    <w:p w14:paraId="29FA63E6">
      <w:pPr>
        <w:pStyle w:val="52"/>
        <w:tabs>
          <w:tab w:val="left" w:pos="0"/>
        </w:tabs>
        <w:spacing w:before="156" w:after="156"/>
        <w:rPr>
          <w:rFonts w:hint="eastAsia"/>
        </w:rPr>
      </w:pPr>
      <w:r>
        <w:rPr>
          <w:rFonts w:hint="eastAsia"/>
        </w:rPr>
        <w:t xml:space="preserve"> 统计检验及其零假设</w:t>
      </w:r>
      <m:oMath>
        <m:sSub>
          <m:sSubPr>
            <m:ctrlPr>
              <w:rPr>
                <w:rFonts w:hint="eastAsia" w:ascii="Cambria Math" w:hAnsi="Cambria Math"/>
              </w:rPr>
            </m:ctrlPr>
          </m:sSubPr>
          <m:e>
            <m:r>
              <m:rPr>
                <m:sty m:val="p"/>
              </m:rPr>
              <w:rPr>
                <w:rFonts w:hint="eastAsia" w:ascii="Times New Roman" w:hAnsi="Times New Roman"/>
              </w:rPr>
              <m:t>H</m:t>
            </m:r>
            <m:ctrlPr>
              <w:rPr>
                <w:rFonts w:hint="eastAsia" w:ascii="Cambria Math" w:hAnsi="Cambria Math"/>
              </w:rPr>
            </m:ctrlPr>
          </m:e>
          <m:sub>
            <m:r>
              <m:rPr>
                <m:sty m:val="p"/>
              </m:rPr>
              <w:rPr>
                <w:rFonts w:hint="eastAsia" w:ascii="Times New Roman" w:hAnsi="Times New Roman"/>
              </w:rPr>
              <m:t>0</m:t>
            </m:r>
            <m:ctrlPr>
              <w:rPr>
                <w:rFonts w:hint="eastAsia" w:ascii="Cambria Math" w:hAnsi="Cambria Math"/>
              </w:rPr>
            </m:ctrlPr>
          </m:sub>
        </m:sSub>
      </m:oMath>
      <w:r>
        <w:rPr>
          <w:rFonts w:hint="eastAsia"/>
        </w:rPr>
        <w:t>和备择假设</w:t>
      </w:r>
      <m:oMath>
        <m:sSub>
          <m:sSubPr>
            <m:ctrlPr>
              <w:rPr>
                <w:rFonts w:hint="eastAsia" w:ascii="Cambria Math" w:hAnsi="Cambria Math"/>
              </w:rPr>
            </m:ctrlPr>
          </m:sSubPr>
          <m:e>
            <m:r>
              <m:rPr>
                <m:sty m:val="p"/>
              </m:rPr>
              <w:rPr>
                <w:rFonts w:hint="eastAsia" w:ascii="Times New Roman" w:hAnsi="Times New Roman"/>
              </w:rPr>
              <m:t>H</m:t>
            </m:r>
            <m:ctrlPr>
              <w:rPr>
                <w:rFonts w:hint="eastAsia" w:ascii="Cambria Math" w:hAnsi="Cambria Math"/>
              </w:rPr>
            </m:ctrlPr>
          </m:e>
          <m:sub>
            <m:r>
              <m:rPr>
                <m:sty m:val="p"/>
              </m:rPr>
              <w:rPr>
                <w:rFonts w:hint="eastAsia" w:ascii="Times New Roman" w:hAnsi="Times New Roman"/>
              </w:rPr>
              <m:t>1</m:t>
            </m:r>
            <m:ctrlPr>
              <w:rPr>
                <w:rFonts w:hint="eastAsia" w:ascii="Cambria Math" w:hAnsi="Cambria Math"/>
              </w:rPr>
            </m:ctrlPr>
          </m:sub>
        </m:sSub>
      </m:oMath>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3741"/>
        <w:gridCol w:w="2921"/>
        <w:gridCol w:w="2093"/>
      </w:tblGrid>
      <w:tr w14:paraId="7F6D1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Align w:val="center"/>
          </w:tcPr>
          <w:p w14:paraId="05D73943">
            <w:pPr>
              <w:tabs>
                <w:tab w:val="left" w:pos="1047"/>
              </w:tabs>
              <w:spacing w:before="105" w:line="336" w:lineRule="auto"/>
              <w:jc w:val="center"/>
              <w:rPr>
                <w:rFonts w:hint="eastAsia" w:ascii="宋体" w:hAnsi="宋体" w:eastAsia="宋体" w:cs="宋体"/>
                <w:sz w:val="18"/>
                <w:szCs w:val="18"/>
              </w:rPr>
            </w:pPr>
            <w:r>
              <w:rPr>
                <w:rFonts w:hint="eastAsia" w:ascii="宋体" w:hAnsi="宋体" w:eastAsia="宋体" w:cs="宋体"/>
                <w:sz w:val="18"/>
                <w:szCs w:val="18"/>
              </w:rPr>
              <w:t>假设</w:t>
            </w:r>
          </w:p>
        </w:tc>
        <w:tc>
          <w:tcPr>
            <w:tcW w:w="3741" w:type="dxa"/>
            <w:vAlign w:val="center"/>
          </w:tcPr>
          <w:p w14:paraId="2CBC767D">
            <w:pPr>
              <w:tabs>
                <w:tab w:val="left" w:pos="1047"/>
              </w:tabs>
              <w:spacing w:before="105" w:line="336" w:lineRule="auto"/>
              <w:jc w:val="center"/>
              <w:rPr>
                <w:rFonts w:hint="eastAsia" w:ascii="宋体" w:hAnsi="宋体" w:eastAsia="宋体" w:cs="宋体"/>
                <w:sz w:val="18"/>
                <w:szCs w:val="18"/>
              </w:rPr>
            </w:pPr>
            <m:oMathPara>
              <m:oMath>
                <m:sSub>
                  <m:sSubPr>
                    <m:ctrlPr>
                      <w:rPr>
                        <w:rFonts w:hint="eastAsia" w:ascii="Cambria Math" w:hAnsi="Cambria Math" w:eastAsia="宋体" w:cs="宋体"/>
                        <w:i/>
                        <w:sz w:val="18"/>
                        <w:szCs w:val="18"/>
                      </w:rPr>
                    </m:ctrlPr>
                  </m:sSubPr>
                  <m:e>
                    <m:r>
                      <m:rPr/>
                      <w:rPr>
                        <w:rFonts w:hint="eastAsia" w:ascii="Cambria Math" w:hAnsi="Cambria Math" w:eastAsia="宋体" w:cs="宋体"/>
                        <w:sz w:val="18"/>
                        <w:szCs w:val="18"/>
                      </w:rPr>
                      <m:t>H</m:t>
                    </m:r>
                    <m:ctrlPr>
                      <w:rPr>
                        <w:rFonts w:hint="eastAsia" w:ascii="Cambria Math" w:hAnsi="Cambria Math" w:eastAsia="宋体" w:cs="宋体"/>
                        <w:i/>
                        <w:sz w:val="18"/>
                        <w:szCs w:val="18"/>
                      </w:rPr>
                    </m:ctrlPr>
                  </m:e>
                  <m:sub>
                    <m:r>
                      <m:rPr/>
                      <w:rPr>
                        <w:rFonts w:hint="eastAsia" w:ascii="Cambria Math" w:hAnsi="Cambria Math" w:eastAsia="宋体" w:cs="宋体"/>
                        <w:sz w:val="18"/>
                        <w:szCs w:val="18"/>
                      </w:rPr>
                      <m:t>0</m:t>
                    </m:r>
                    <m:ctrlPr>
                      <w:rPr>
                        <w:rFonts w:hint="eastAsia" w:ascii="Cambria Math" w:hAnsi="Cambria Math" w:eastAsia="宋体" w:cs="宋体"/>
                        <w:i/>
                        <w:sz w:val="18"/>
                        <w:szCs w:val="18"/>
                      </w:rPr>
                    </m:ctrlPr>
                  </m:sub>
                </m:sSub>
              </m:oMath>
            </m:oMathPara>
          </w:p>
        </w:tc>
        <w:tc>
          <w:tcPr>
            <w:tcW w:w="2921" w:type="dxa"/>
            <w:vAlign w:val="center"/>
          </w:tcPr>
          <w:p w14:paraId="551A6742">
            <w:pPr>
              <w:tabs>
                <w:tab w:val="left" w:pos="1047"/>
              </w:tabs>
              <w:spacing w:before="105" w:line="336" w:lineRule="auto"/>
              <w:jc w:val="center"/>
              <w:rPr>
                <w:rFonts w:hint="eastAsia" w:ascii="宋体" w:hAnsi="宋体" w:eastAsia="宋体" w:cs="宋体"/>
                <w:sz w:val="18"/>
                <w:szCs w:val="18"/>
              </w:rPr>
            </w:pPr>
            <m:oMathPara>
              <m:oMath>
                <m:sSub>
                  <m:sSubPr>
                    <m:ctrlPr>
                      <w:rPr>
                        <w:rFonts w:hint="eastAsia" w:ascii="Cambria Math" w:hAnsi="Cambria Math" w:eastAsia="宋体" w:cs="宋体"/>
                        <w:i/>
                        <w:sz w:val="18"/>
                        <w:szCs w:val="18"/>
                      </w:rPr>
                    </m:ctrlPr>
                  </m:sSubPr>
                  <m:e>
                    <m:r>
                      <m:rPr/>
                      <w:rPr>
                        <w:rFonts w:hint="eastAsia" w:ascii="Cambria Math" w:hAnsi="Cambria Math" w:eastAsia="宋体" w:cs="宋体"/>
                        <w:sz w:val="18"/>
                        <w:szCs w:val="18"/>
                      </w:rPr>
                      <m:t>H</m:t>
                    </m:r>
                    <m:ctrlPr>
                      <w:rPr>
                        <w:rFonts w:hint="eastAsia" w:ascii="Cambria Math" w:hAnsi="Cambria Math" w:eastAsia="宋体" w:cs="宋体"/>
                        <w:i/>
                        <w:sz w:val="18"/>
                        <w:szCs w:val="18"/>
                      </w:rPr>
                    </m:ctrlPr>
                  </m:e>
                  <m:sub>
                    <m:r>
                      <m:rPr/>
                      <w:rPr>
                        <w:rFonts w:hint="eastAsia" w:ascii="Cambria Math" w:hAnsi="Cambria Math" w:eastAsia="宋体" w:cs="宋体"/>
                        <w:sz w:val="18"/>
                        <w:szCs w:val="18"/>
                      </w:rPr>
                      <m:t>1</m:t>
                    </m:r>
                    <m:ctrlPr>
                      <w:rPr>
                        <w:rFonts w:hint="eastAsia" w:ascii="Cambria Math" w:hAnsi="Cambria Math" w:eastAsia="宋体" w:cs="宋体"/>
                        <w:i/>
                        <w:sz w:val="18"/>
                        <w:szCs w:val="18"/>
                      </w:rPr>
                    </m:ctrlPr>
                  </m:sub>
                </m:sSub>
              </m:oMath>
            </m:oMathPara>
          </w:p>
        </w:tc>
        <w:tc>
          <w:tcPr>
            <w:tcW w:w="2093" w:type="dxa"/>
            <w:vAlign w:val="center"/>
          </w:tcPr>
          <w:p w14:paraId="70F8449C">
            <w:pPr>
              <w:tabs>
                <w:tab w:val="left" w:pos="1047"/>
              </w:tabs>
              <w:spacing w:before="105" w:line="336" w:lineRule="auto"/>
              <w:jc w:val="center"/>
              <w:rPr>
                <w:rFonts w:hint="eastAsia" w:ascii="宋体" w:hAnsi="宋体" w:eastAsia="宋体" w:cs="宋体"/>
                <w:sz w:val="18"/>
                <w:szCs w:val="18"/>
              </w:rPr>
            </w:pPr>
            <w:r>
              <w:rPr>
                <w:rFonts w:hint="eastAsia" w:ascii="宋体" w:hAnsi="宋体" w:eastAsia="宋体" w:cs="宋体"/>
                <w:sz w:val="18"/>
                <w:szCs w:val="18"/>
              </w:rPr>
              <w:t>统计检验方法</w:t>
            </w:r>
          </w:p>
        </w:tc>
      </w:tr>
      <w:tr w14:paraId="7ECD7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Align w:val="center"/>
          </w:tcPr>
          <w:p w14:paraId="17C95B7C">
            <w:pPr>
              <w:tabs>
                <w:tab w:val="left" w:pos="1047"/>
              </w:tabs>
              <w:spacing w:before="105" w:line="336" w:lineRule="auto"/>
              <w:jc w:val="center"/>
              <w:rPr>
                <w:rFonts w:hint="eastAsia" w:ascii="宋体" w:hAnsi="宋体" w:eastAsia="宋体" w:cs="宋体"/>
                <w:sz w:val="18"/>
                <w:szCs w:val="18"/>
              </w:rPr>
            </w:pPr>
            <w:r>
              <w:rPr>
                <w:rFonts w:hint="eastAsia" w:ascii="宋体" w:hAnsi="宋体" w:eastAsia="宋体" w:cs="宋体"/>
                <w:sz w:val="18"/>
                <w:szCs w:val="18"/>
              </w:rPr>
              <w:t>I</w:t>
            </w:r>
          </w:p>
        </w:tc>
        <w:tc>
          <w:tcPr>
            <w:tcW w:w="3741" w:type="dxa"/>
            <w:vAlign w:val="center"/>
          </w:tcPr>
          <w:p w14:paraId="22C76ADB">
            <w:pPr>
              <w:tabs>
                <w:tab w:val="left" w:pos="1047"/>
              </w:tabs>
              <w:spacing w:before="105" w:line="336" w:lineRule="auto"/>
              <w:jc w:val="center"/>
              <w:rPr>
                <w:rFonts w:hint="eastAsia" w:ascii="宋体" w:hAnsi="宋体" w:eastAsia="宋体" w:cs="宋体"/>
                <w:sz w:val="18"/>
                <w:szCs w:val="18"/>
              </w:rPr>
            </w:pPr>
            <m:oMathPara>
              <m:oMath>
                <m:sSub>
                  <m:sSubPr>
                    <m:ctrlPr>
                      <w:rPr>
                        <w:rFonts w:hint="eastAsia" w:ascii="Cambria Math" w:hAnsi="Cambria Math" w:eastAsia="宋体" w:cs="宋体"/>
                        <w:i/>
                        <w:sz w:val="18"/>
                        <w:szCs w:val="18"/>
                      </w:rPr>
                    </m:ctrlPr>
                  </m:sSubPr>
                  <m:e>
                    <m:d>
                      <m:dPr>
                        <m:begChr m:val="|"/>
                        <m:endChr m:val="|"/>
                        <m:ctrlPr>
                          <w:rPr>
                            <w:rFonts w:hint="eastAsia" w:ascii="Cambria Math" w:hAnsi="Cambria Math" w:eastAsia="宋体" w:cs="宋体"/>
                            <w:i/>
                            <w:sz w:val="18"/>
                            <w:szCs w:val="18"/>
                          </w:rPr>
                        </m:ctrlPr>
                      </m:dPr>
                      <m:e>
                        <m:sSup>
                          <m:sSupPr>
                            <m:ctrlPr>
                              <w:rPr>
                                <w:rFonts w:hint="eastAsia" w:ascii="Cambria Math" w:hAnsi="Cambria Math" w:eastAsia="宋体" w:cs="宋体"/>
                                <w:i/>
                                <w:sz w:val="18"/>
                                <w:szCs w:val="18"/>
                              </w:rPr>
                            </m:ctrlPr>
                          </m:sSupPr>
                          <m:e>
                            <m:r>
                              <m:rPr/>
                              <w:rPr>
                                <w:rFonts w:hint="eastAsia" w:ascii="Cambria Math" w:hAnsi="Cambria Math" w:eastAsia="宋体" w:cs="宋体"/>
                                <w:sz w:val="18"/>
                                <w:szCs w:val="18"/>
                              </w:rPr>
                              <m:t>G</m:t>
                            </m:r>
                            <m:ctrlPr>
                              <w:rPr>
                                <w:rFonts w:hint="eastAsia" w:ascii="Cambria Math" w:hAnsi="Cambria Math" w:eastAsia="宋体" w:cs="宋体"/>
                                <w:i/>
                                <w:sz w:val="18"/>
                                <w:szCs w:val="18"/>
                              </w:rPr>
                            </m:ctrlPr>
                          </m:e>
                          <m:sup>
                            <m:r>
                              <m:rPr/>
                              <w:rPr>
                                <w:rFonts w:hint="eastAsia" w:ascii="Cambria Math" w:hAnsi="Cambria Math" w:eastAsia="宋体" w:cs="宋体"/>
                                <w:sz w:val="18"/>
                                <w:szCs w:val="18"/>
                              </w:rPr>
                              <m:t>∗</m:t>
                            </m:r>
                            <m:ctrlPr>
                              <w:rPr>
                                <w:rFonts w:hint="eastAsia" w:ascii="Cambria Math" w:hAnsi="Cambria Math" w:eastAsia="宋体" w:cs="宋体"/>
                                <w:i/>
                                <w:sz w:val="18"/>
                                <w:szCs w:val="18"/>
                              </w:rPr>
                            </m:ctrlPr>
                          </m:sup>
                        </m:sSup>
                        <m:ctrlPr>
                          <w:rPr>
                            <w:rFonts w:hint="eastAsia" w:ascii="Cambria Math" w:hAnsi="Cambria Math" w:eastAsia="宋体" w:cs="宋体"/>
                            <w:i/>
                            <w:sz w:val="18"/>
                            <w:szCs w:val="18"/>
                          </w:rPr>
                        </m:ctrlPr>
                      </m:e>
                    </m:d>
                    <m:ctrlPr>
                      <w:rPr>
                        <w:rFonts w:hint="eastAsia" w:ascii="Cambria Math" w:hAnsi="Cambria Math" w:eastAsia="宋体" w:cs="宋体"/>
                        <w:i/>
                        <w:sz w:val="18"/>
                        <w:szCs w:val="18"/>
                      </w:rPr>
                    </m:ctrlPr>
                  </m:e>
                  <m:sub>
                    <m:r>
                      <m:rPr/>
                      <w:rPr>
                        <w:rFonts w:hint="eastAsia" w:ascii="Cambria Math" w:hAnsi="Cambria Math" w:eastAsia="宋体" w:cs="宋体"/>
                        <w:sz w:val="18"/>
                        <w:szCs w:val="18"/>
                      </w:rPr>
                      <m:t>N1</m:t>
                    </m:r>
                    <m:ctrlPr>
                      <w:rPr>
                        <w:rFonts w:hint="eastAsia" w:ascii="Cambria Math" w:hAnsi="Cambria Math" w:eastAsia="宋体" w:cs="宋体"/>
                        <w:i/>
                        <w:sz w:val="18"/>
                        <w:szCs w:val="18"/>
                      </w:rPr>
                    </m:ctrlPr>
                  </m:sub>
                </m:sSub>
                <m:r>
                  <m:rPr/>
                  <w:rPr>
                    <w:rFonts w:hint="eastAsia" w:ascii="Cambria Math" w:hAnsi="Cambria Math" w:eastAsia="宋体" w:cs="宋体"/>
                    <w:sz w:val="18"/>
                    <w:szCs w:val="18"/>
                  </w:rPr>
                  <m:t>=</m:t>
                </m:r>
                <m:sSub>
                  <m:sSubPr>
                    <m:ctrlPr>
                      <w:rPr>
                        <w:rFonts w:hint="eastAsia" w:ascii="Cambria Math" w:hAnsi="Cambria Math" w:eastAsia="宋体" w:cs="宋体"/>
                        <w:i/>
                        <w:sz w:val="18"/>
                        <w:szCs w:val="18"/>
                      </w:rPr>
                    </m:ctrlPr>
                  </m:sSubPr>
                  <m:e>
                    <m:d>
                      <m:dPr>
                        <m:begChr m:val="|"/>
                        <m:endChr m:val="|"/>
                        <m:ctrlPr>
                          <w:rPr>
                            <w:rFonts w:hint="eastAsia" w:ascii="Cambria Math" w:hAnsi="Cambria Math" w:eastAsia="宋体" w:cs="宋体"/>
                            <w:i/>
                            <w:sz w:val="18"/>
                            <w:szCs w:val="18"/>
                          </w:rPr>
                        </m:ctrlPr>
                      </m:dPr>
                      <m:e>
                        <m:sSup>
                          <m:sSupPr>
                            <m:ctrlPr>
                              <w:rPr>
                                <w:rFonts w:hint="eastAsia" w:ascii="Cambria Math" w:hAnsi="Cambria Math" w:eastAsia="宋体" w:cs="宋体"/>
                                <w:i/>
                                <w:sz w:val="18"/>
                                <w:szCs w:val="18"/>
                              </w:rPr>
                            </m:ctrlPr>
                          </m:sSupPr>
                          <m:e>
                            <m:r>
                              <m:rPr/>
                              <w:rPr>
                                <w:rFonts w:hint="eastAsia" w:ascii="Cambria Math" w:hAnsi="Cambria Math" w:eastAsia="宋体" w:cs="宋体"/>
                                <w:sz w:val="18"/>
                                <w:szCs w:val="18"/>
                              </w:rPr>
                              <m:t>G</m:t>
                            </m:r>
                            <m:ctrlPr>
                              <w:rPr>
                                <w:rFonts w:hint="eastAsia" w:ascii="Cambria Math" w:hAnsi="Cambria Math" w:eastAsia="宋体" w:cs="宋体"/>
                                <w:i/>
                                <w:sz w:val="18"/>
                                <w:szCs w:val="18"/>
                              </w:rPr>
                            </m:ctrlPr>
                          </m:e>
                          <m:sup>
                            <m:r>
                              <m:rPr/>
                              <w:rPr>
                                <w:rFonts w:hint="eastAsia" w:ascii="Cambria Math" w:hAnsi="Cambria Math" w:eastAsia="宋体" w:cs="宋体"/>
                                <w:sz w:val="18"/>
                                <w:szCs w:val="18"/>
                              </w:rPr>
                              <m:t>∗</m:t>
                            </m:r>
                            <m:ctrlPr>
                              <w:rPr>
                                <w:rFonts w:hint="eastAsia" w:ascii="Cambria Math" w:hAnsi="Cambria Math" w:eastAsia="宋体" w:cs="宋体"/>
                                <w:i/>
                                <w:sz w:val="18"/>
                                <w:szCs w:val="18"/>
                              </w:rPr>
                            </m:ctrlPr>
                          </m:sup>
                        </m:sSup>
                        <m:ctrlPr>
                          <w:rPr>
                            <w:rFonts w:hint="eastAsia" w:ascii="Cambria Math" w:hAnsi="Cambria Math" w:eastAsia="宋体" w:cs="宋体"/>
                            <w:i/>
                            <w:sz w:val="18"/>
                            <w:szCs w:val="18"/>
                          </w:rPr>
                        </m:ctrlPr>
                      </m:e>
                    </m:d>
                    <m:ctrlPr>
                      <w:rPr>
                        <w:rFonts w:hint="eastAsia" w:ascii="Cambria Math" w:hAnsi="Cambria Math" w:eastAsia="宋体" w:cs="宋体"/>
                        <w:i/>
                        <w:sz w:val="18"/>
                        <w:szCs w:val="18"/>
                      </w:rPr>
                    </m:ctrlPr>
                  </m:e>
                  <m:sub>
                    <m:r>
                      <m:rPr/>
                      <w:rPr>
                        <w:rFonts w:hint="eastAsia" w:ascii="Cambria Math" w:hAnsi="Cambria Math" w:eastAsia="宋体" w:cs="宋体"/>
                        <w:sz w:val="18"/>
                        <w:szCs w:val="18"/>
                      </w:rPr>
                      <m:t>N2</m:t>
                    </m:r>
                    <m:ctrlPr>
                      <w:rPr>
                        <w:rFonts w:hint="eastAsia" w:ascii="Cambria Math" w:hAnsi="Cambria Math" w:eastAsia="宋体" w:cs="宋体"/>
                        <w:i/>
                        <w:sz w:val="18"/>
                        <w:szCs w:val="18"/>
                      </w:rPr>
                    </m:ctrlPr>
                  </m:sub>
                </m:sSub>
                <m:r>
                  <m:rPr/>
                  <w:rPr>
                    <w:rFonts w:hint="eastAsia" w:ascii="Cambria Math" w:hAnsi="Cambria Math" w:eastAsia="宋体" w:cs="宋体"/>
                    <w:sz w:val="18"/>
                    <w:szCs w:val="18"/>
                  </w:rPr>
                  <m:t>=⋯=</m:t>
                </m:r>
                <m:sSub>
                  <m:sSubPr>
                    <m:ctrlPr>
                      <w:rPr>
                        <w:rFonts w:hint="eastAsia" w:ascii="Cambria Math" w:hAnsi="Cambria Math" w:eastAsia="宋体" w:cs="宋体"/>
                        <w:i/>
                        <w:sz w:val="18"/>
                        <w:szCs w:val="18"/>
                      </w:rPr>
                    </m:ctrlPr>
                  </m:sSubPr>
                  <m:e>
                    <m:d>
                      <m:dPr>
                        <m:begChr m:val="|"/>
                        <m:endChr m:val="|"/>
                        <m:ctrlPr>
                          <w:rPr>
                            <w:rFonts w:hint="eastAsia" w:ascii="Cambria Math" w:hAnsi="Cambria Math" w:eastAsia="宋体" w:cs="宋体"/>
                            <w:i/>
                            <w:sz w:val="18"/>
                            <w:szCs w:val="18"/>
                          </w:rPr>
                        </m:ctrlPr>
                      </m:dPr>
                      <m:e>
                        <m:sSup>
                          <m:sSupPr>
                            <m:ctrlPr>
                              <w:rPr>
                                <w:rFonts w:hint="eastAsia" w:ascii="Cambria Math" w:hAnsi="Cambria Math" w:eastAsia="宋体" w:cs="宋体"/>
                                <w:i/>
                                <w:sz w:val="18"/>
                                <w:szCs w:val="18"/>
                              </w:rPr>
                            </m:ctrlPr>
                          </m:sSupPr>
                          <m:e>
                            <m:r>
                              <m:rPr/>
                              <w:rPr>
                                <w:rFonts w:hint="eastAsia" w:ascii="Cambria Math" w:hAnsi="Cambria Math" w:eastAsia="宋体" w:cs="宋体"/>
                                <w:sz w:val="18"/>
                                <w:szCs w:val="18"/>
                              </w:rPr>
                              <m:t>G</m:t>
                            </m:r>
                            <m:ctrlPr>
                              <w:rPr>
                                <w:rFonts w:hint="eastAsia" w:ascii="Cambria Math" w:hAnsi="Cambria Math" w:eastAsia="宋体" w:cs="宋体"/>
                                <w:i/>
                                <w:sz w:val="18"/>
                                <w:szCs w:val="18"/>
                              </w:rPr>
                            </m:ctrlPr>
                          </m:e>
                          <m:sup>
                            <m:r>
                              <m:rPr/>
                              <w:rPr>
                                <w:rFonts w:hint="eastAsia" w:ascii="Cambria Math" w:hAnsi="Cambria Math" w:eastAsia="宋体" w:cs="宋体"/>
                                <w:sz w:val="18"/>
                                <w:szCs w:val="18"/>
                              </w:rPr>
                              <m:t>∗</m:t>
                            </m:r>
                            <m:ctrlPr>
                              <w:rPr>
                                <w:rFonts w:hint="eastAsia" w:ascii="Cambria Math" w:hAnsi="Cambria Math" w:eastAsia="宋体" w:cs="宋体"/>
                                <w:i/>
                                <w:sz w:val="18"/>
                                <w:szCs w:val="18"/>
                              </w:rPr>
                            </m:ctrlPr>
                          </m:sup>
                        </m:sSup>
                        <m:ctrlPr>
                          <w:rPr>
                            <w:rFonts w:hint="eastAsia" w:ascii="Cambria Math" w:hAnsi="Cambria Math" w:eastAsia="宋体" w:cs="宋体"/>
                            <w:i/>
                            <w:sz w:val="18"/>
                            <w:szCs w:val="18"/>
                          </w:rPr>
                        </m:ctrlPr>
                      </m:e>
                    </m:d>
                    <m:ctrlPr>
                      <w:rPr>
                        <w:rFonts w:hint="eastAsia" w:ascii="Cambria Math" w:hAnsi="Cambria Math" w:eastAsia="宋体" w:cs="宋体"/>
                        <w:i/>
                        <w:sz w:val="18"/>
                        <w:szCs w:val="18"/>
                      </w:rPr>
                    </m:ctrlPr>
                  </m:e>
                  <m:sub>
                    <m:r>
                      <m:rPr/>
                      <w:rPr>
                        <w:rFonts w:hint="eastAsia" w:ascii="Cambria Math" w:hAnsi="Cambria Math" w:eastAsia="宋体" w:cs="宋体"/>
                        <w:sz w:val="18"/>
                        <w:szCs w:val="18"/>
                      </w:rPr>
                      <m:t>Ni</m:t>
                    </m:r>
                    <m:ctrlPr>
                      <w:rPr>
                        <w:rFonts w:hint="eastAsia" w:ascii="Cambria Math" w:hAnsi="Cambria Math" w:eastAsia="宋体" w:cs="宋体"/>
                        <w:i/>
                        <w:sz w:val="18"/>
                        <w:szCs w:val="18"/>
                      </w:rPr>
                    </m:ctrlPr>
                  </m:sub>
                </m:sSub>
              </m:oMath>
            </m:oMathPara>
          </w:p>
        </w:tc>
        <w:tc>
          <w:tcPr>
            <w:tcW w:w="2921" w:type="dxa"/>
            <w:vAlign w:val="center"/>
          </w:tcPr>
          <w:p w14:paraId="575B1FFC">
            <w:pPr>
              <w:tabs>
                <w:tab w:val="left" w:pos="1047"/>
              </w:tabs>
              <w:spacing w:before="105" w:line="336" w:lineRule="auto"/>
              <w:jc w:val="center"/>
              <w:rPr>
                <w:rFonts w:hint="eastAsia" w:ascii="宋体" w:hAnsi="宋体" w:eastAsia="宋体" w:cs="宋体"/>
                <w:i/>
                <w:sz w:val="18"/>
                <w:szCs w:val="18"/>
              </w:rPr>
            </w:pPr>
            <w:r>
              <w:rPr>
                <w:rFonts w:hint="eastAsia" w:ascii="宋体" w:hAnsi="宋体" w:eastAsia="宋体" w:cs="宋体"/>
                <w:sz w:val="18"/>
                <w:szCs w:val="18"/>
              </w:rPr>
              <w:t>至少一个</w:t>
            </w:r>
            <m:oMath>
              <m:sSub>
                <m:sSubPr>
                  <m:ctrlPr>
                    <w:rPr>
                      <w:rFonts w:hint="eastAsia" w:ascii="Cambria Math" w:hAnsi="Cambria Math" w:eastAsia="宋体" w:cs="宋体"/>
                      <w:i/>
                      <w:sz w:val="18"/>
                      <w:szCs w:val="18"/>
                    </w:rPr>
                  </m:ctrlPr>
                </m:sSubPr>
                <m:e>
                  <m:d>
                    <m:dPr>
                      <m:begChr m:val="|"/>
                      <m:endChr m:val="|"/>
                      <m:ctrlPr>
                        <w:rPr>
                          <w:rFonts w:hint="eastAsia" w:ascii="Cambria Math" w:hAnsi="Cambria Math" w:eastAsia="宋体" w:cs="宋体"/>
                          <w:i/>
                          <w:sz w:val="18"/>
                          <w:szCs w:val="18"/>
                        </w:rPr>
                      </m:ctrlPr>
                    </m:dPr>
                    <m:e>
                      <m:sSup>
                        <m:sSupPr>
                          <m:ctrlPr>
                            <w:rPr>
                              <w:rFonts w:hint="eastAsia" w:ascii="Cambria Math" w:hAnsi="Cambria Math" w:eastAsia="宋体" w:cs="宋体"/>
                              <w:i/>
                              <w:sz w:val="18"/>
                              <w:szCs w:val="18"/>
                            </w:rPr>
                          </m:ctrlPr>
                        </m:sSupPr>
                        <m:e>
                          <m:r>
                            <m:rPr/>
                            <w:rPr>
                              <w:rFonts w:hint="eastAsia" w:ascii="Cambria Math" w:hAnsi="Cambria Math" w:eastAsia="宋体" w:cs="宋体"/>
                              <w:sz w:val="18"/>
                              <w:szCs w:val="18"/>
                            </w:rPr>
                            <m:t>G</m:t>
                          </m:r>
                          <m:ctrlPr>
                            <w:rPr>
                              <w:rFonts w:hint="eastAsia" w:ascii="Cambria Math" w:hAnsi="Cambria Math" w:eastAsia="宋体" w:cs="宋体"/>
                              <w:i/>
                              <w:sz w:val="18"/>
                              <w:szCs w:val="18"/>
                            </w:rPr>
                          </m:ctrlPr>
                        </m:e>
                        <m:sup>
                          <m:r>
                            <m:rPr/>
                            <w:rPr>
                              <w:rFonts w:hint="eastAsia" w:ascii="Cambria Math" w:hAnsi="Cambria Math" w:eastAsia="宋体" w:cs="宋体"/>
                              <w:sz w:val="18"/>
                              <w:szCs w:val="18"/>
                            </w:rPr>
                            <m:t>∗</m:t>
                          </m:r>
                          <m:ctrlPr>
                            <w:rPr>
                              <w:rFonts w:hint="eastAsia" w:ascii="Cambria Math" w:hAnsi="Cambria Math" w:eastAsia="宋体" w:cs="宋体"/>
                              <w:i/>
                              <w:sz w:val="18"/>
                              <w:szCs w:val="18"/>
                            </w:rPr>
                          </m:ctrlPr>
                        </m:sup>
                      </m:sSup>
                      <m:ctrlPr>
                        <w:rPr>
                          <w:rFonts w:hint="eastAsia" w:ascii="Cambria Math" w:hAnsi="Cambria Math" w:eastAsia="宋体" w:cs="宋体"/>
                          <w:i/>
                          <w:sz w:val="18"/>
                          <w:szCs w:val="18"/>
                        </w:rPr>
                      </m:ctrlPr>
                    </m:e>
                  </m:d>
                  <m:ctrlPr>
                    <w:rPr>
                      <w:rFonts w:hint="eastAsia" w:ascii="Cambria Math" w:hAnsi="Cambria Math" w:eastAsia="宋体" w:cs="宋体"/>
                      <w:i/>
                      <w:sz w:val="18"/>
                      <w:szCs w:val="18"/>
                    </w:rPr>
                  </m:ctrlPr>
                </m:e>
                <m:sub>
                  <m:r>
                    <m:rPr/>
                    <w:rPr>
                      <w:rFonts w:hint="eastAsia" w:ascii="Cambria Math" w:hAnsi="Cambria Math" w:eastAsia="宋体" w:cs="宋体"/>
                      <w:sz w:val="18"/>
                      <w:szCs w:val="18"/>
                    </w:rPr>
                    <m:t>Ni</m:t>
                  </m:r>
                  <m:ctrlPr>
                    <w:rPr>
                      <w:rFonts w:hint="eastAsia" w:ascii="Cambria Math" w:hAnsi="Cambria Math" w:eastAsia="宋体" w:cs="宋体"/>
                      <w:i/>
                      <w:sz w:val="18"/>
                      <w:szCs w:val="18"/>
                    </w:rPr>
                  </m:ctrlPr>
                </m:sub>
              </m:sSub>
            </m:oMath>
            <w:r>
              <w:rPr>
                <w:rFonts w:hint="eastAsia" w:ascii="宋体" w:hAnsi="宋体" w:eastAsia="宋体" w:cs="宋体"/>
                <w:sz w:val="18"/>
                <w:szCs w:val="18"/>
              </w:rPr>
              <w:t>不同于其他值</w:t>
            </w:r>
          </w:p>
        </w:tc>
        <w:tc>
          <w:tcPr>
            <w:tcW w:w="2093" w:type="dxa"/>
            <w:vMerge w:val="restart"/>
            <w:vAlign w:val="center"/>
          </w:tcPr>
          <w:p w14:paraId="5DE6EAE0">
            <w:pPr>
              <w:tabs>
                <w:tab w:val="left" w:pos="1047"/>
              </w:tabs>
              <w:spacing w:before="105" w:line="336" w:lineRule="auto"/>
              <w:jc w:val="center"/>
              <w:rPr>
                <w:rFonts w:hint="eastAsia" w:ascii="宋体" w:hAnsi="宋体" w:eastAsia="宋体" w:cs="宋体"/>
                <w:sz w:val="18"/>
                <w:szCs w:val="18"/>
              </w:rPr>
            </w:pPr>
            <w:r>
              <w:rPr>
                <w:rFonts w:hint="eastAsia" w:ascii="宋体" w:hAnsi="宋体" w:eastAsia="宋体" w:cs="宋体"/>
                <w:sz w:val="18"/>
                <w:szCs w:val="18"/>
              </w:rPr>
              <w:t>单因素方差分析</w:t>
            </w:r>
          </w:p>
        </w:tc>
      </w:tr>
      <w:tr w14:paraId="37C3C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Align w:val="center"/>
          </w:tcPr>
          <w:p w14:paraId="2B22BA4C">
            <w:pPr>
              <w:tabs>
                <w:tab w:val="left" w:pos="1047"/>
              </w:tabs>
              <w:spacing w:before="105" w:line="336" w:lineRule="auto"/>
              <w:jc w:val="center"/>
              <w:rPr>
                <w:rFonts w:hint="eastAsia" w:ascii="宋体" w:hAnsi="宋体" w:eastAsia="宋体" w:cs="宋体"/>
                <w:sz w:val="18"/>
                <w:szCs w:val="18"/>
              </w:rPr>
            </w:pPr>
            <w:r>
              <w:rPr>
                <w:rFonts w:hint="eastAsia" w:ascii="宋体" w:hAnsi="宋体" w:eastAsia="宋体" w:cs="宋体"/>
                <w:sz w:val="18"/>
                <w:szCs w:val="18"/>
              </w:rPr>
              <w:t>II</w:t>
            </w:r>
          </w:p>
        </w:tc>
        <w:tc>
          <w:tcPr>
            <w:tcW w:w="3741" w:type="dxa"/>
            <w:vAlign w:val="center"/>
          </w:tcPr>
          <w:p w14:paraId="6E51D1FE">
            <w:pPr>
              <w:tabs>
                <w:tab w:val="left" w:pos="1047"/>
              </w:tabs>
              <w:spacing w:before="105" w:line="336" w:lineRule="auto"/>
              <w:jc w:val="center"/>
              <w:rPr>
                <w:rFonts w:hint="eastAsia" w:ascii="宋体" w:hAnsi="宋体" w:eastAsia="宋体" w:cs="宋体"/>
                <w:sz w:val="18"/>
                <w:szCs w:val="18"/>
              </w:rPr>
            </w:pPr>
            <m:oMathPara>
              <m:oMath>
                <m:sSub>
                  <m:sSubPr>
                    <m:ctrlPr>
                      <w:rPr>
                        <w:rFonts w:hint="eastAsia" w:ascii="Cambria Math" w:hAnsi="Cambria Math" w:eastAsia="宋体" w:cs="宋体"/>
                        <w:i/>
                        <w:sz w:val="18"/>
                        <w:szCs w:val="18"/>
                      </w:rPr>
                    </m:ctrlPr>
                  </m:sSubPr>
                  <m:e>
                    <m:r>
                      <m:rPr/>
                      <w:rPr>
                        <w:rFonts w:hint="eastAsia" w:ascii="Cambria Math" w:hAnsi="Cambria Math" w:eastAsia="宋体" w:cs="宋体"/>
                        <w:sz w:val="18"/>
                        <w:szCs w:val="18"/>
                      </w:rPr>
                      <m:t>δ</m:t>
                    </m:r>
                    <m:ctrlPr>
                      <w:rPr>
                        <w:rFonts w:hint="eastAsia" w:ascii="Cambria Math" w:hAnsi="Cambria Math" w:eastAsia="宋体" w:cs="宋体"/>
                        <w:i/>
                        <w:sz w:val="18"/>
                        <w:szCs w:val="18"/>
                      </w:rPr>
                    </m:ctrlPr>
                  </m:e>
                  <m:sub>
                    <m:r>
                      <m:rPr/>
                      <w:rPr>
                        <w:rFonts w:hint="eastAsia" w:ascii="Cambria Math" w:hAnsi="Cambria Math" w:eastAsia="宋体" w:cs="宋体"/>
                        <w:sz w:val="18"/>
                        <w:szCs w:val="18"/>
                      </w:rPr>
                      <m:t>N1</m:t>
                    </m:r>
                    <m:ctrlPr>
                      <w:rPr>
                        <w:rFonts w:hint="eastAsia" w:ascii="Cambria Math" w:hAnsi="Cambria Math" w:eastAsia="宋体" w:cs="宋体"/>
                        <w:i/>
                        <w:sz w:val="18"/>
                        <w:szCs w:val="18"/>
                      </w:rPr>
                    </m:ctrlPr>
                  </m:sub>
                </m:sSub>
                <m:r>
                  <m:rPr/>
                  <w:rPr>
                    <w:rFonts w:hint="eastAsia" w:ascii="Cambria Math" w:hAnsi="Cambria Math" w:eastAsia="宋体" w:cs="宋体"/>
                    <w:sz w:val="18"/>
                    <w:szCs w:val="18"/>
                  </w:rPr>
                  <m:t>=</m:t>
                </m:r>
                <m:sSub>
                  <m:sSubPr>
                    <m:ctrlPr>
                      <w:rPr>
                        <w:rFonts w:hint="eastAsia" w:ascii="Cambria Math" w:hAnsi="Cambria Math" w:eastAsia="宋体" w:cs="宋体"/>
                        <w:i/>
                        <w:sz w:val="18"/>
                        <w:szCs w:val="18"/>
                      </w:rPr>
                    </m:ctrlPr>
                  </m:sSubPr>
                  <m:e>
                    <m:r>
                      <m:rPr/>
                      <w:rPr>
                        <w:rFonts w:hint="eastAsia" w:ascii="Cambria Math" w:hAnsi="Cambria Math" w:eastAsia="宋体" w:cs="宋体"/>
                        <w:sz w:val="18"/>
                        <w:szCs w:val="18"/>
                      </w:rPr>
                      <m:t>δ</m:t>
                    </m:r>
                    <m:ctrlPr>
                      <w:rPr>
                        <w:rFonts w:hint="eastAsia" w:ascii="Cambria Math" w:hAnsi="Cambria Math" w:eastAsia="宋体" w:cs="宋体"/>
                        <w:i/>
                        <w:sz w:val="18"/>
                        <w:szCs w:val="18"/>
                      </w:rPr>
                    </m:ctrlPr>
                  </m:e>
                  <m:sub>
                    <m:r>
                      <m:rPr/>
                      <w:rPr>
                        <w:rFonts w:hint="eastAsia" w:ascii="Cambria Math" w:hAnsi="Cambria Math" w:eastAsia="宋体" w:cs="宋体"/>
                        <w:sz w:val="18"/>
                        <w:szCs w:val="18"/>
                      </w:rPr>
                      <m:t>N2</m:t>
                    </m:r>
                    <m:ctrlPr>
                      <w:rPr>
                        <w:rFonts w:hint="eastAsia" w:ascii="Cambria Math" w:hAnsi="Cambria Math" w:eastAsia="宋体" w:cs="宋体"/>
                        <w:i/>
                        <w:sz w:val="18"/>
                        <w:szCs w:val="18"/>
                      </w:rPr>
                    </m:ctrlPr>
                  </m:sub>
                </m:sSub>
                <m:r>
                  <m:rPr/>
                  <w:rPr>
                    <w:rFonts w:hint="eastAsia" w:ascii="Cambria Math" w:hAnsi="Cambria Math" w:eastAsia="宋体" w:cs="宋体"/>
                    <w:sz w:val="18"/>
                    <w:szCs w:val="18"/>
                  </w:rPr>
                  <m:t>=⋯=</m:t>
                </m:r>
                <m:sSub>
                  <m:sSubPr>
                    <m:ctrlPr>
                      <w:rPr>
                        <w:rFonts w:hint="eastAsia" w:ascii="Cambria Math" w:hAnsi="Cambria Math" w:eastAsia="宋体" w:cs="宋体"/>
                        <w:i/>
                        <w:sz w:val="18"/>
                        <w:szCs w:val="18"/>
                      </w:rPr>
                    </m:ctrlPr>
                  </m:sSubPr>
                  <m:e>
                    <m:r>
                      <m:rPr/>
                      <w:rPr>
                        <w:rFonts w:hint="eastAsia" w:ascii="Cambria Math" w:hAnsi="Cambria Math" w:eastAsia="宋体" w:cs="宋体"/>
                        <w:sz w:val="18"/>
                        <w:szCs w:val="18"/>
                      </w:rPr>
                      <m:t>δ</m:t>
                    </m:r>
                    <m:ctrlPr>
                      <w:rPr>
                        <w:rFonts w:hint="eastAsia" w:ascii="Cambria Math" w:hAnsi="Cambria Math" w:eastAsia="宋体" w:cs="宋体"/>
                        <w:i/>
                        <w:sz w:val="18"/>
                        <w:szCs w:val="18"/>
                      </w:rPr>
                    </m:ctrlPr>
                  </m:e>
                  <m:sub>
                    <m:r>
                      <m:rPr/>
                      <w:rPr>
                        <w:rFonts w:hint="eastAsia" w:ascii="Cambria Math" w:hAnsi="Cambria Math" w:eastAsia="宋体" w:cs="宋体"/>
                        <w:sz w:val="18"/>
                        <w:szCs w:val="18"/>
                      </w:rPr>
                      <m:t>Ni</m:t>
                    </m:r>
                    <m:ctrlPr>
                      <w:rPr>
                        <w:rFonts w:hint="eastAsia" w:ascii="Cambria Math" w:hAnsi="Cambria Math" w:eastAsia="宋体" w:cs="宋体"/>
                        <w:i/>
                        <w:sz w:val="18"/>
                        <w:szCs w:val="18"/>
                      </w:rPr>
                    </m:ctrlPr>
                  </m:sub>
                </m:sSub>
              </m:oMath>
            </m:oMathPara>
          </w:p>
        </w:tc>
        <w:tc>
          <w:tcPr>
            <w:tcW w:w="2921" w:type="dxa"/>
            <w:vAlign w:val="center"/>
          </w:tcPr>
          <w:p w14:paraId="53F1FC0D">
            <w:pPr>
              <w:tabs>
                <w:tab w:val="left" w:pos="1047"/>
              </w:tabs>
              <w:spacing w:before="105" w:line="336" w:lineRule="auto"/>
              <w:jc w:val="center"/>
              <w:rPr>
                <w:rFonts w:hint="eastAsia" w:ascii="宋体" w:hAnsi="宋体" w:eastAsia="宋体" w:cs="宋体"/>
                <w:sz w:val="18"/>
                <w:szCs w:val="18"/>
              </w:rPr>
            </w:pPr>
            <w:r>
              <w:rPr>
                <w:rFonts w:hint="eastAsia" w:ascii="宋体" w:hAnsi="宋体" w:eastAsia="宋体" w:cs="宋体"/>
                <w:sz w:val="18"/>
                <w:szCs w:val="18"/>
              </w:rPr>
              <w:t>至少一个</w:t>
            </w:r>
            <m:oMath>
              <m:sSub>
                <m:sSubPr>
                  <m:ctrlPr>
                    <w:rPr>
                      <w:rFonts w:hint="eastAsia" w:ascii="Cambria Math" w:hAnsi="Cambria Math" w:eastAsia="宋体" w:cs="宋体"/>
                      <w:i/>
                      <w:sz w:val="18"/>
                      <w:szCs w:val="18"/>
                    </w:rPr>
                  </m:ctrlPr>
                </m:sSubPr>
                <m:e>
                  <m:r>
                    <m:rPr/>
                    <w:rPr>
                      <w:rFonts w:hint="eastAsia" w:ascii="Cambria Math" w:hAnsi="Cambria Math" w:eastAsia="宋体" w:cs="宋体"/>
                      <w:sz w:val="18"/>
                      <w:szCs w:val="18"/>
                    </w:rPr>
                    <m:t>δ</m:t>
                  </m:r>
                  <m:ctrlPr>
                    <w:rPr>
                      <w:rFonts w:hint="eastAsia" w:ascii="Cambria Math" w:hAnsi="Cambria Math" w:eastAsia="宋体" w:cs="宋体"/>
                      <w:i/>
                      <w:sz w:val="18"/>
                      <w:szCs w:val="18"/>
                    </w:rPr>
                  </m:ctrlPr>
                </m:e>
                <m:sub>
                  <m:r>
                    <m:rPr/>
                    <w:rPr>
                      <w:rFonts w:hint="eastAsia" w:ascii="Cambria Math" w:hAnsi="Cambria Math" w:eastAsia="宋体" w:cs="宋体"/>
                      <w:sz w:val="18"/>
                      <w:szCs w:val="18"/>
                    </w:rPr>
                    <m:t>Ni</m:t>
                  </m:r>
                  <m:ctrlPr>
                    <w:rPr>
                      <w:rFonts w:hint="eastAsia" w:ascii="Cambria Math" w:hAnsi="Cambria Math" w:eastAsia="宋体" w:cs="宋体"/>
                      <w:i/>
                      <w:sz w:val="18"/>
                      <w:szCs w:val="18"/>
                    </w:rPr>
                  </m:ctrlPr>
                </m:sub>
              </m:sSub>
            </m:oMath>
            <w:r>
              <w:rPr>
                <w:rFonts w:hint="eastAsia" w:ascii="宋体" w:hAnsi="宋体" w:eastAsia="宋体" w:cs="宋体"/>
                <w:sz w:val="18"/>
                <w:szCs w:val="18"/>
              </w:rPr>
              <w:t>不同于其他值</w:t>
            </w:r>
          </w:p>
        </w:tc>
        <w:tc>
          <w:tcPr>
            <w:tcW w:w="2093" w:type="dxa"/>
            <w:vMerge w:val="continue"/>
            <w:vAlign w:val="center"/>
          </w:tcPr>
          <w:p w14:paraId="055F6574">
            <w:pPr>
              <w:tabs>
                <w:tab w:val="left" w:pos="1047"/>
              </w:tabs>
              <w:spacing w:before="105" w:line="336" w:lineRule="auto"/>
              <w:jc w:val="center"/>
              <w:rPr>
                <w:rFonts w:hint="eastAsia" w:ascii="宋体" w:hAnsi="宋体" w:eastAsia="宋体" w:cs="宋体"/>
                <w:sz w:val="18"/>
                <w:szCs w:val="18"/>
              </w:rPr>
            </w:pPr>
          </w:p>
        </w:tc>
      </w:tr>
    </w:tbl>
    <w:p w14:paraId="6CD28B21">
      <w:pPr>
        <w:tabs>
          <w:tab w:val="left" w:pos="1047"/>
        </w:tabs>
        <w:spacing w:before="105" w:line="336" w:lineRule="auto"/>
        <w:rPr>
          <w:rFonts w:ascii="Times New Roman" w:hAnsi="Times New Roman" w:cs="Times New Roman"/>
          <w:sz w:val="18"/>
          <w:szCs w:val="18"/>
        </w:rPr>
      </w:pPr>
      <w:r>
        <w:rPr>
          <w:rFonts w:ascii="Times New Roman" w:hAnsi="Times New Roman" w:cs="Times New Roman"/>
          <w:sz w:val="18"/>
          <w:szCs w:val="18"/>
        </w:rPr>
        <w:t xml:space="preserve">注：(1) </w:t>
      </w:r>
      <m:oMath>
        <m:sSub>
          <m:sSubPr>
            <m:ctrlPr>
              <w:rPr>
                <w:rFonts w:ascii="Cambria Math" w:hAnsi="Cambria Math" w:cs="Times New Roman"/>
                <w:i/>
                <w:sz w:val="18"/>
                <w:szCs w:val="18"/>
              </w:rPr>
            </m:ctrlPr>
          </m:sSubPr>
          <m:e>
            <m:d>
              <m:dPr>
                <m:begChr m:val="|"/>
                <m:endChr m:val="|"/>
                <m:ctrlPr>
                  <w:rPr>
                    <w:rFonts w:ascii="Cambria Math" w:hAnsi="Cambria Math" w:cs="Times New Roman"/>
                    <w:i/>
                    <w:sz w:val="18"/>
                    <w:szCs w:val="18"/>
                  </w:rPr>
                </m:ctrlPr>
              </m:dPr>
              <m:e>
                <m:sSup>
                  <m:sSupPr>
                    <m:ctrlPr>
                      <w:rPr>
                        <w:rFonts w:ascii="Cambria Math" w:hAnsi="Cambria Math" w:cs="Times New Roman"/>
                        <w:i/>
                        <w:sz w:val="18"/>
                        <w:szCs w:val="18"/>
                      </w:rPr>
                    </m:ctrlPr>
                  </m:sSupPr>
                  <m:e>
                    <m:r>
                      <m:rPr/>
                      <w:rPr>
                        <w:rFonts w:ascii="Cambria Math" w:hAnsi="Cambria Math" w:cs="Times New Roman"/>
                        <w:sz w:val="18"/>
                        <w:szCs w:val="18"/>
                      </w:rPr>
                      <m:t>G</m:t>
                    </m:r>
                    <m:ctrlPr>
                      <w:rPr>
                        <w:rFonts w:ascii="Cambria Math" w:hAnsi="Cambria Math" w:cs="Times New Roman"/>
                        <w:i/>
                        <w:sz w:val="18"/>
                        <w:szCs w:val="18"/>
                      </w:rPr>
                    </m:ctrlPr>
                  </m:e>
                  <m:sup>
                    <m:r>
                      <m:rPr/>
                      <w:rPr>
                        <w:rFonts w:ascii="Cambria Math" w:hAnsi="Cambria Math" w:cs="Times New Roman"/>
                        <w:sz w:val="18"/>
                        <w:szCs w:val="18"/>
                      </w:rPr>
                      <m:t>∗</m:t>
                    </m:r>
                    <m:ctrlPr>
                      <w:rPr>
                        <w:rFonts w:ascii="Cambria Math" w:hAnsi="Cambria Math" w:cs="Times New Roman"/>
                        <w:i/>
                        <w:sz w:val="18"/>
                        <w:szCs w:val="18"/>
                      </w:rPr>
                    </m:ctrlPr>
                  </m:sup>
                </m:sSup>
                <m:ctrlPr>
                  <w:rPr>
                    <w:rFonts w:ascii="Cambria Math" w:hAnsi="Cambria Math" w:cs="Times New Roman"/>
                    <w:i/>
                    <w:sz w:val="18"/>
                    <w:szCs w:val="18"/>
                  </w:rPr>
                </m:ctrlPr>
              </m:e>
            </m:d>
            <m:ctrlPr>
              <w:rPr>
                <w:rFonts w:ascii="Cambria Math" w:hAnsi="Cambria Math" w:cs="Times New Roman"/>
                <w:i/>
                <w:sz w:val="18"/>
                <w:szCs w:val="18"/>
              </w:rPr>
            </m:ctrlPr>
          </m:e>
          <m:sub>
            <m:r>
              <m:rPr/>
              <w:rPr>
                <w:rFonts w:ascii="Cambria Math" w:hAnsi="Cambria Math" w:cs="Times New Roman"/>
                <w:sz w:val="18"/>
                <w:szCs w:val="18"/>
              </w:rPr>
              <m:t>Ni</m:t>
            </m:r>
            <m:ctrlPr>
              <w:rPr>
                <w:rFonts w:ascii="Cambria Math" w:hAnsi="Cambria Math" w:cs="Times New Roman"/>
                <w:i/>
                <w:sz w:val="18"/>
                <w:szCs w:val="18"/>
              </w:rPr>
            </m:ctrlPr>
          </m:sub>
        </m:sSub>
      </m:oMath>
      <w:r>
        <w:rPr>
          <w:rFonts w:ascii="Times New Roman" w:hAnsi="Times New Roman" w:cs="Times New Roman"/>
          <w:sz w:val="18"/>
          <w:szCs w:val="18"/>
        </w:rPr>
        <w:t>、</w:t>
      </w:r>
      <m:oMath>
        <m:sSub>
          <m:sSubPr>
            <m:ctrlPr>
              <w:rPr>
                <w:rFonts w:ascii="Cambria Math" w:hAnsi="Cambria Math" w:cs="Times New Roman"/>
                <w:i/>
                <w:sz w:val="18"/>
                <w:szCs w:val="18"/>
              </w:rPr>
            </m:ctrlPr>
          </m:sSubPr>
          <m:e>
            <m:r>
              <m:rPr/>
              <w:rPr>
                <w:rFonts w:ascii="Cambria Math" w:hAnsi="Cambria Math" w:cs="Times New Roman"/>
                <w:sz w:val="18"/>
                <w:szCs w:val="18"/>
              </w:rPr>
              <m:t>δ</m:t>
            </m:r>
            <m:ctrlPr>
              <w:rPr>
                <w:rFonts w:ascii="Cambria Math" w:hAnsi="Cambria Math" w:cs="Times New Roman"/>
                <w:i/>
                <w:sz w:val="18"/>
                <w:szCs w:val="18"/>
              </w:rPr>
            </m:ctrlPr>
          </m:e>
          <m:sub>
            <m:r>
              <m:rPr/>
              <w:rPr>
                <w:rFonts w:ascii="Cambria Math" w:hAnsi="Cambria Math" w:cs="Times New Roman"/>
                <w:sz w:val="18"/>
                <w:szCs w:val="18"/>
              </w:rPr>
              <m:t>Ni</m:t>
            </m:r>
            <m:ctrlPr>
              <w:rPr>
                <w:rFonts w:ascii="Cambria Math" w:hAnsi="Cambria Math" w:cs="Times New Roman"/>
                <w:i/>
                <w:sz w:val="18"/>
                <w:szCs w:val="18"/>
              </w:rPr>
            </m:ctrlPr>
          </m:sub>
        </m:sSub>
      </m:oMath>
      <w:r>
        <w:rPr>
          <w:rFonts w:ascii="Times New Roman" w:hAnsi="Times New Roman" w:cs="Times New Roman"/>
          <w:sz w:val="18"/>
          <w:szCs w:val="18"/>
        </w:rPr>
        <w:t>表示沥青试样一组剪切模量和相位角，</w:t>
      </w:r>
      <w:r>
        <w:rPr>
          <w:rFonts w:ascii="Times New Roman" w:hAnsi="Times New Roman" w:cs="Times New Roman"/>
          <w:i/>
          <w:iCs/>
          <w:sz w:val="18"/>
          <w:szCs w:val="18"/>
        </w:rPr>
        <w:t>N</w:t>
      </w:r>
      <w:r>
        <w:rPr>
          <w:rFonts w:ascii="Times New Roman" w:hAnsi="Times New Roman" w:cs="Times New Roman"/>
          <w:sz w:val="18"/>
          <w:szCs w:val="18"/>
        </w:rPr>
        <w:t>表示样本数量，</w:t>
      </w:r>
      <w:r>
        <w:rPr>
          <w:rFonts w:ascii="Times New Roman" w:hAnsi="Times New Roman" w:cs="Times New Roman"/>
          <w:i/>
          <w:iCs/>
          <w:sz w:val="18"/>
          <w:szCs w:val="18"/>
        </w:rPr>
        <w:t>i</w:t>
      </w:r>
      <w:r>
        <w:rPr>
          <w:rFonts w:ascii="Times New Roman" w:hAnsi="Times New Roman" w:cs="Times New Roman"/>
          <w:sz w:val="18"/>
          <w:szCs w:val="18"/>
        </w:rPr>
        <w:t>表示样本组数；</w:t>
      </w:r>
    </w:p>
    <w:p w14:paraId="64305949">
      <w:pPr>
        <w:pStyle w:val="25"/>
        <w:numPr>
          <w:ilvl w:val="1"/>
          <w:numId w:val="6"/>
        </w:numPr>
        <w:spacing w:before="7" w:line="360" w:lineRule="auto"/>
        <w:ind w:left="839"/>
        <w:rPr>
          <w:rFonts w:ascii="Times New Roman" w:hAnsi="Times New Roman" w:cs="Times New Roman"/>
          <w:sz w:val="21"/>
          <w:szCs w:val="21"/>
        </w:rPr>
      </w:pPr>
      <w:r>
        <w:rPr>
          <w:rFonts w:ascii="Times New Roman" w:hAnsi="Times New Roman" w:cs="Times New Roman"/>
          <w:sz w:val="21"/>
          <w:szCs w:val="21"/>
        </w:rPr>
        <w:t>计算 95%置信水平下不同剪切应变荷载等级下单因素方差分析的 F统计量和临界F统计量，当某一剪切模量和相位角的 F统计量均小于临界 F统计量，表示假设 I和假设 II的零假设成立；反之，零假设被拒绝。</w:t>
      </w:r>
    </w:p>
    <w:p w14:paraId="2DDE3FBB">
      <w:pPr>
        <w:pStyle w:val="25"/>
        <w:numPr>
          <w:ilvl w:val="1"/>
          <w:numId w:val="6"/>
        </w:numPr>
        <w:spacing w:before="7" w:line="360" w:lineRule="auto"/>
        <w:ind w:left="839"/>
        <w:rPr>
          <w:rFonts w:ascii="Times New Roman" w:hAnsi="Times New Roman" w:cs="Times New Roman"/>
          <w:sz w:val="21"/>
          <w:szCs w:val="21"/>
        </w:rPr>
      </w:pPr>
      <w:r>
        <w:rPr>
          <w:rFonts w:ascii="Times New Roman" w:hAnsi="Times New Roman" w:cs="Times New Roman"/>
          <w:sz w:val="21"/>
          <w:szCs w:val="21"/>
        </w:rPr>
        <w:t>上述单因素方差分析结果可确定非线性粘弹性临界点对应的剪切应变荷载等级范围。</w:t>
      </w:r>
    </w:p>
    <w:p w14:paraId="423FA63A">
      <w:pPr>
        <w:pStyle w:val="25"/>
        <w:numPr>
          <w:ilvl w:val="1"/>
          <w:numId w:val="6"/>
        </w:numPr>
        <w:spacing w:before="7" w:line="360" w:lineRule="auto"/>
        <w:ind w:left="839"/>
        <w:rPr>
          <w:rFonts w:ascii="Times New Roman" w:hAnsi="Times New Roman" w:cs="Times New Roman"/>
          <w:sz w:val="21"/>
          <w:szCs w:val="21"/>
        </w:rPr>
      </w:pPr>
      <w:r>
        <w:rPr>
          <w:rFonts w:ascii="Times New Roman" w:hAnsi="Times New Roman" w:cs="Times New Roman"/>
          <w:sz w:val="21"/>
          <w:szCs w:val="21"/>
        </w:rPr>
        <w:t>上述</w:t>
      </w:r>
      <w:r>
        <w:rPr>
          <w:rFonts w:hint="eastAsia" w:ascii="Times New Roman" w:hAnsi="Times New Roman" w:cs="Times New Roman"/>
          <w:sz w:val="21"/>
          <w:szCs w:val="21"/>
        </w:rPr>
        <w:t>F</w:t>
      </w:r>
      <w:r>
        <w:rPr>
          <w:rFonts w:ascii="Times New Roman" w:hAnsi="Times New Roman" w:cs="Times New Roman"/>
          <w:sz w:val="21"/>
          <w:szCs w:val="21"/>
        </w:rPr>
        <w:t>检验结果可确定线性粘弹性临界点对应的剪切应变荷载等级，</w:t>
      </w:r>
      <w:r>
        <w:rPr>
          <w:rFonts w:hint="eastAsia" w:ascii="Times New Roman" w:hAnsi="Times New Roman" w:cs="Times New Roman"/>
          <w:sz w:val="21"/>
          <w:szCs w:val="21"/>
        </w:rPr>
        <w:t>以及</w:t>
      </w:r>
      <w:r>
        <w:rPr>
          <w:rFonts w:ascii="Times New Roman" w:hAnsi="Times New Roman" w:cs="Times New Roman"/>
          <w:color w:val="000000" w:themeColor="text1"/>
          <w:sz w:val="21"/>
          <w:szCs w:val="21"/>
          <w:lang w:bidi="ar"/>
          <w14:textFill>
            <w14:solidFill>
              <w14:schemeClr w14:val="tx1"/>
            </w14:solidFill>
          </w14:textFill>
        </w:rPr>
        <w:t>非线性粘弹性临界点</w:t>
      </w:r>
      <w:r>
        <w:rPr>
          <w:rFonts w:hint="eastAsia" w:ascii="Times New Roman" w:hAnsi="Times New Roman" w:cs="Times New Roman"/>
          <w:color w:val="000000" w:themeColor="text1"/>
          <w:sz w:val="21"/>
          <w:szCs w:val="21"/>
          <w:lang w:bidi="ar"/>
          <w14:textFill>
            <w14:solidFill>
              <w14:schemeClr w14:val="tx1"/>
            </w14:solidFill>
          </w14:textFill>
        </w:rPr>
        <w:t>对应的</w:t>
      </w:r>
      <w:r>
        <w:rPr>
          <w:rFonts w:ascii="Times New Roman" w:hAnsi="Times New Roman" w:cs="Times New Roman"/>
          <w:position w:val="-11"/>
          <w:sz w:val="21"/>
          <w:szCs w:val="21"/>
          <w:shd w:val="clear" w:color="auto" w:fill="FFFFFF"/>
          <w:lang w:bidi="ar"/>
        </w:rPr>
        <w:object>
          <v:shape id="_x0000_i1036" o:spt="75" type="#_x0000_t75" style="height:21.5pt;width:77.5pt;" o:ole="t" filled="f" o:preferrelative="t" stroked="f" coordsize="21600,21600">
            <v:path/>
            <v:fill on="f" focussize="0,0"/>
            <v:stroke on="f" joinstyle="miter"/>
            <v:imagedata r:id="rId15" o:title=""/>
            <o:lock v:ext="edit" aspectratio="f"/>
            <w10:wrap type="none"/>
            <w10:anchorlock/>
          </v:shape>
          <o:OLEObject Type="Embed" ProgID="Equation.DSMT4" ShapeID="_x0000_i1036" DrawAspect="Content" ObjectID="_1468075736" r:id="rId35">
            <o:LockedField>false</o:LockedField>
          </o:OLEObject>
        </w:object>
      </w:r>
      <w:r>
        <w:rPr>
          <w:rFonts w:ascii="Times New Roman" w:hAnsi="Times New Roman" w:cs="Times New Roman"/>
          <w:sz w:val="21"/>
          <w:szCs w:val="21"/>
        </w:rPr>
        <w:t>。</w:t>
      </w:r>
    </w:p>
    <w:p w14:paraId="1ED8C8E1">
      <w:pPr>
        <w:pStyle w:val="49"/>
        <w:bidi w:val="0"/>
        <w:rPr>
          <w:rFonts w:hint="eastAsia"/>
          <w:lang w:val="en-US" w:eastAsia="zh-CN"/>
        </w:rPr>
      </w:pPr>
      <w:r>
        <w:rPr>
          <w:rFonts w:hint="eastAsia"/>
          <w:lang w:val="en-US" w:eastAsia="zh-CN"/>
        </w:rPr>
        <w:t>4.5高应变时间扫描试验</w:t>
      </w:r>
    </w:p>
    <w:p w14:paraId="7D9F0FFD">
      <w:pPr>
        <w:spacing w:line="360" w:lineRule="auto"/>
        <w:rPr>
          <w:rFonts w:ascii="Times New Roman" w:hAnsi="Times New Roman" w:cs="Times New Roman"/>
          <w:color w:val="000000" w:themeColor="text1"/>
          <w:sz w:val="21"/>
          <w:szCs w:val="21"/>
          <w14:textFill>
            <w14:solidFill>
              <w14:schemeClr w14:val="tx1"/>
            </w14:solidFill>
          </w14:textFill>
        </w:rPr>
      </w:pPr>
      <w:r>
        <w:rPr>
          <w:rStyle w:val="51"/>
          <w:rFonts w:hint="eastAsia"/>
          <w:sz w:val="21"/>
          <w:szCs w:val="21"/>
          <w:lang w:val="en-US" w:eastAsia="zh-CN"/>
        </w:rPr>
        <w:t>4.5.1</w:t>
      </w:r>
      <w:r>
        <w:rPr>
          <w:rFonts w:ascii="Times New Roman" w:hAnsi="Times New Roman" w:cs="Times New Roman"/>
          <w:color w:val="000000" w:themeColor="text1"/>
          <w:sz w:val="21"/>
          <w:szCs w:val="21"/>
          <w:lang w:bidi="ar"/>
          <w14:textFill>
            <w14:solidFill>
              <w14:schemeClr w14:val="tx1"/>
            </w14:solidFill>
          </w14:textFill>
        </w:rPr>
        <w:t>启动动态剪切流变仪，设置试验模式为“时间扫描”，参数如下：</w:t>
      </w:r>
    </w:p>
    <w:p w14:paraId="5A355C36">
      <w:pPr>
        <w:spacing w:line="360" w:lineRule="auto"/>
        <w:ind w:firstLine="420" w:firstLineChars="20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频率：10Hz，每个时间扫描测试持续</w:t>
      </w:r>
      <w:r>
        <w:rPr>
          <w:rFonts w:hint="eastAsia" w:ascii="Times New Roman" w:hAnsi="Times New Roman" w:cs="Times New Roman"/>
          <w:color w:val="000000" w:themeColor="text1"/>
          <w:sz w:val="21"/>
          <w:szCs w:val="21"/>
          <w:lang w:bidi="ar"/>
          <w14:textFill>
            <w14:solidFill>
              <w14:schemeClr w14:val="tx1"/>
            </w14:solidFill>
          </w14:textFill>
        </w:rPr>
        <w:t>50</w:t>
      </w:r>
      <w:r>
        <w:rPr>
          <w:rFonts w:ascii="Times New Roman" w:hAnsi="Times New Roman" w:cs="Times New Roman"/>
          <w:color w:val="000000" w:themeColor="text1"/>
          <w:sz w:val="21"/>
          <w:szCs w:val="21"/>
          <w:lang w:bidi="ar"/>
          <w14:textFill>
            <w14:solidFill>
              <w14:schemeClr w14:val="tx1"/>
            </w14:solidFill>
          </w14:textFill>
        </w:rPr>
        <w:t>秒，相当于</w:t>
      </w:r>
      <w:r>
        <w:rPr>
          <w:rFonts w:hint="eastAsia" w:ascii="Times New Roman" w:hAnsi="Times New Roman" w:cs="Times New Roman"/>
          <w:color w:val="000000" w:themeColor="text1"/>
          <w:sz w:val="21"/>
          <w:szCs w:val="21"/>
          <w:lang w:bidi="ar"/>
          <w14:textFill>
            <w14:solidFill>
              <w14:schemeClr w14:val="tx1"/>
            </w14:solidFill>
          </w14:textFill>
        </w:rPr>
        <w:t>500</w:t>
      </w:r>
      <w:r>
        <w:rPr>
          <w:rFonts w:ascii="Times New Roman" w:hAnsi="Times New Roman" w:cs="Times New Roman"/>
          <w:color w:val="000000" w:themeColor="text1"/>
          <w:sz w:val="21"/>
          <w:szCs w:val="21"/>
          <w:lang w:bidi="ar"/>
          <w14:textFill>
            <w14:solidFill>
              <w14:schemeClr w14:val="tx1"/>
            </w14:solidFill>
          </w14:textFill>
        </w:rPr>
        <w:t>个加载循环。完成时间扫描测试后，试样会有1000秒的</w:t>
      </w:r>
      <w:r>
        <w:rPr>
          <w:rFonts w:hint="eastAsia" w:ascii="Times New Roman" w:hAnsi="Times New Roman" w:cs="Times New Roman"/>
          <w:color w:val="000000" w:themeColor="text1"/>
          <w:sz w:val="21"/>
          <w:szCs w:val="21"/>
          <w:lang w:bidi="ar"/>
          <w14:textFill>
            <w14:solidFill>
              <w14:schemeClr w14:val="tx1"/>
            </w14:solidFill>
          </w14:textFill>
        </w:rPr>
        <w:t>间隙时间</w:t>
      </w:r>
      <w:r>
        <w:rPr>
          <w:rFonts w:ascii="Times New Roman" w:hAnsi="Times New Roman" w:cs="Times New Roman"/>
          <w:color w:val="000000" w:themeColor="text1"/>
          <w:sz w:val="21"/>
          <w:szCs w:val="21"/>
          <w:lang w:bidi="ar"/>
          <w14:textFill>
            <w14:solidFill>
              <w14:schemeClr w14:val="tx1"/>
            </w14:solidFill>
          </w14:textFill>
        </w:rPr>
        <w:t>，以确保变形完全恢复；</w:t>
      </w:r>
    </w:p>
    <w:p w14:paraId="4C1F74D5">
      <w:pPr>
        <w:spacing w:line="360" w:lineRule="auto"/>
        <w:ind w:firstLine="420" w:firstLineChars="20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应变水平：5%（需大于低应变时间扫描</w:t>
      </w:r>
      <w:r>
        <w:rPr>
          <w:rFonts w:hint="eastAsia" w:ascii="Times New Roman" w:hAnsi="Times New Roman" w:cs="Times New Roman"/>
          <w:color w:val="000000" w:themeColor="text1"/>
          <w:sz w:val="21"/>
          <w:szCs w:val="21"/>
          <w:lang w:bidi="ar"/>
          <w14:textFill>
            <w14:solidFill>
              <w14:schemeClr w14:val="tx1"/>
            </w14:solidFill>
          </w14:textFill>
        </w:rPr>
        <w:t>试验</w:t>
      </w:r>
      <w:r>
        <w:rPr>
          <w:rFonts w:ascii="Times New Roman" w:hAnsi="Times New Roman" w:cs="Times New Roman"/>
          <w:color w:val="000000" w:themeColor="text1"/>
          <w:sz w:val="21"/>
          <w:szCs w:val="21"/>
          <w:lang w:bidi="ar"/>
          <w14:textFill>
            <w14:solidFill>
              <w14:schemeClr w14:val="tx1"/>
            </w14:solidFill>
          </w14:textFill>
        </w:rPr>
        <w:t>所确定的阈值</w:t>
      </w:r>
      <w:r>
        <w:rPr>
          <w:rFonts w:hint="eastAsia" w:ascii="Times New Roman" w:hAnsi="Times New Roman" w:cs="Times New Roman"/>
          <w:color w:val="000000" w:themeColor="text1"/>
          <w:sz w:val="21"/>
          <w:szCs w:val="21"/>
          <w:lang w:bidi="ar"/>
          <w14:textFill>
            <w14:solidFill>
              <w14:schemeClr w14:val="tx1"/>
            </w14:solidFill>
          </w14:textFill>
        </w:rPr>
        <w:t>，确保产生疲劳</w:t>
      </w:r>
      <w:r>
        <w:rPr>
          <w:rFonts w:ascii="Times New Roman" w:hAnsi="Times New Roman" w:cs="Times New Roman"/>
          <w:color w:val="000000" w:themeColor="text1"/>
          <w:sz w:val="21"/>
          <w:szCs w:val="21"/>
          <w:lang w:bidi="ar"/>
          <w14:textFill>
            <w14:solidFill>
              <w14:schemeClr w14:val="tx1"/>
            </w14:solidFill>
          </w14:textFill>
        </w:rPr>
        <w:t>损伤）</w:t>
      </w:r>
      <w:r>
        <w:rPr>
          <w:rFonts w:hint="eastAsia" w:ascii="Times New Roman" w:hAnsi="Times New Roman" w:cs="Times New Roman"/>
          <w:color w:val="000000" w:themeColor="text1"/>
          <w:sz w:val="21"/>
          <w:szCs w:val="21"/>
          <w:lang w:bidi="ar"/>
          <w14:textFill>
            <w14:solidFill>
              <w14:schemeClr w14:val="tx1"/>
            </w14:solidFill>
          </w14:textFill>
        </w:rPr>
        <w:t>，频率为10Hz</w:t>
      </w:r>
      <w:r>
        <w:rPr>
          <w:rFonts w:ascii="Times New Roman" w:hAnsi="Times New Roman" w:cs="Times New Roman"/>
          <w:color w:val="000000" w:themeColor="text1"/>
          <w:sz w:val="21"/>
          <w:szCs w:val="21"/>
          <w:lang w:bidi="ar"/>
          <w14:textFill>
            <w14:solidFill>
              <w14:schemeClr w14:val="tx1"/>
            </w14:solidFill>
          </w14:textFill>
        </w:rPr>
        <w:t>；</w:t>
      </w:r>
    </w:p>
    <w:p w14:paraId="6DD1FAD3">
      <w:pPr>
        <w:spacing w:line="360" w:lineRule="auto"/>
        <w:ind w:firstLine="420" w:firstLineChars="20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扫描终止条件：</w:t>
      </w:r>
      <w:r>
        <w:rPr>
          <w:rFonts w:hint="eastAsia" w:ascii="Times New Roman" w:hAnsi="Times New Roman" w:cs="Times New Roman"/>
          <w:color w:val="000000" w:themeColor="text1"/>
          <w:sz w:val="21"/>
          <w:szCs w:val="21"/>
          <w:lang w:bidi="ar"/>
          <w14:textFill>
            <w14:solidFill>
              <w14:schemeClr w14:val="tx1"/>
            </w14:solidFill>
          </w14:textFill>
        </w:rPr>
        <w:t>相位角发生大范围震荡或剪切模量下降90%</w:t>
      </w:r>
      <w:r>
        <w:rPr>
          <w:rFonts w:ascii="Times New Roman" w:hAnsi="Times New Roman" w:cs="Times New Roman"/>
          <w:color w:val="000000" w:themeColor="text1"/>
          <w:sz w:val="21"/>
          <w:szCs w:val="21"/>
          <w:lang w:bidi="ar"/>
          <w14:textFill>
            <w14:solidFill>
              <w14:schemeClr w14:val="tx1"/>
            </w14:solidFill>
          </w14:textFill>
        </w:rPr>
        <w:t>；</w:t>
      </w:r>
    </w:p>
    <w:p w14:paraId="2B905CA0">
      <w:pPr>
        <w:spacing w:line="360" w:lineRule="auto"/>
        <w:ind w:firstLine="420" w:firstLineChars="20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控制模式：应变控制。</w:t>
      </w:r>
    </w:p>
    <w:p w14:paraId="5C3E3639">
      <w:pPr>
        <w:spacing w:line="360" w:lineRule="auto"/>
        <w:rPr>
          <w:rFonts w:ascii="Times New Roman" w:hAnsi="Times New Roman" w:cs="Times New Roman"/>
          <w:color w:val="000000" w:themeColor="text1"/>
          <w:sz w:val="21"/>
          <w:szCs w:val="21"/>
          <w14:textFill>
            <w14:solidFill>
              <w14:schemeClr w14:val="tx1"/>
            </w14:solidFill>
          </w14:textFill>
        </w:rPr>
      </w:pPr>
      <w:r>
        <w:rPr>
          <w:rStyle w:val="51"/>
          <w:rFonts w:hint="eastAsia"/>
          <w:sz w:val="21"/>
          <w:szCs w:val="21"/>
          <w:lang w:val="en-US" w:eastAsia="zh-CN"/>
        </w:rPr>
        <w:t>4.5.2</w:t>
      </w:r>
      <w:r>
        <w:rPr>
          <w:rFonts w:ascii="Times New Roman" w:hAnsi="Times New Roman" w:cs="Times New Roman"/>
          <w:color w:val="000000" w:themeColor="text1"/>
          <w:sz w:val="21"/>
          <w:szCs w:val="21"/>
          <w:lang w:bidi="ar"/>
          <w14:textFill>
            <w14:solidFill>
              <w14:schemeClr w14:val="tx1"/>
            </w14:solidFill>
          </w14:textFill>
        </w:rPr>
        <w:t>连续记录</w:t>
      </w:r>
      <w:r>
        <w:rPr>
          <w:rFonts w:hint="eastAsia" w:ascii="Times New Roman" w:hAnsi="Times New Roman" w:cs="Times New Roman"/>
          <w:color w:val="000000" w:themeColor="text1"/>
          <w:sz w:val="21"/>
          <w:szCs w:val="21"/>
          <w:lang w:bidi="ar"/>
          <w14:textFill>
            <w14:solidFill>
              <w14:schemeClr w14:val="tx1"/>
            </w14:solidFill>
          </w14:textFill>
        </w:rPr>
        <w:t>剪切模量</w:t>
      </w:r>
      <w:r>
        <w:rPr>
          <w:rFonts w:ascii="Times New Roman" w:hAnsi="Times New Roman" w:cs="Times New Roman"/>
          <w:color w:val="000000" w:themeColor="text1"/>
          <w:sz w:val="21"/>
          <w:szCs w:val="21"/>
          <w:lang w:bidi="ar"/>
          <w14:textFill>
            <w14:solidFill>
              <w14:schemeClr w14:val="tx1"/>
            </w14:solidFill>
          </w14:textFill>
        </w:rPr>
        <w:t>、相位角及循环次数，每10次循环采集一次数据。</w:t>
      </w:r>
    </w:p>
    <w:p w14:paraId="59B30937">
      <w:pPr>
        <w:spacing w:line="360" w:lineRule="auto"/>
        <w:rPr>
          <w:rFonts w:ascii="Times New Roman" w:hAnsi="Times New Roman" w:cs="Times New Roman"/>
          <w:color w:val="000000" w:themeColor="text1"/>
          <w:sz w:val="21"/>
          <w:szCs w:val="21"/>
          <w14:textFill>
            <w14:solidFill>
              <w14:schemeClr w14:val="tx1"/>
            </w14:solidFill>
          </w14:textFill>
        </w:rPr>
      </w:pPr>
      <w:r>
        <w:rPr>
          <w:rStyle w:val="51"/>
          <w:rFonts w:hint="eastAsia"/>
          <w:sz w:val="21"/>
          <w:szCs w:val="21"/>
          <w:lang w:val="en-US" w:eastAsia="zh-CN"/>
        </w:rPr>
        <w:t>4.5.3</w:t>
      </w:r>
      <w:r>
        <w:rPr>
          <w:rFonts w:ascii="Times New Roman" w:hAnsi="Times New Roman" w:cs="Times New Roman"/>
          <w:color w:val="000000" w:themeColor="text1"/>
          <w:sz w:val="21"/>
          <w:szCs w:val="21"/>
          <w:lang w:bidi="ar"/>
          <w14:textFill>
            <w14:solidFill>
              <w14:schemeClr w14:val="tx1"/>
            </w14:solidFill>
          </w14:textFill>
        </w:rPr>
        <w:t>试验结束后，</w:t>
      </w:r>
      <w:r>
        <w:rPr>
          <w:rFonts w:hint="eastAsia" w:ascii="Times New Roman" w:hAnsi="Times New Roman" w:cs="Times New Roman"/>
          <w:color w:val="000000" w:themeColor="text1"/>
          <w:sz w:val="21"/>
          <w:szCs w:val="21"/>
          <w:lang w:bidi="ar"/>
          <w14:textFill>
            <w14:solidFill>
              <w14:schemeClr w14:val="tx1"/>
            </w14:solidFill>
          </w14:textFill>
        </w:rPr>
        <w:t>取下平行板，</w:t>
      </w:r>
      <w:r>
        <w:rPr>
          <w:rFonts w:ascii="Times New Roman" w:hAnsi="Times New Roman" w:cs="Times New Roman"/>
          <w:color w:val="000000" w:themeColor="text1"/>
          <w:sz w:val="21"/>
          <w:szCs w:val="21"/>
          <w:lang w:bidi="ar"/>
          <w14:textFill>
            <w14:solidFill>
              <w14:schemeClr w14:val="tx1"/>
            </w14:solidFill>
          </w14:textFill>
        </w:rPr>
        <w:t>观察试样</w:t>
      </w:r>
      <w:r>
        <w:rPr>
          <w:rFonts w:hint="eastAsia" w:ascii="Times New Roman" w:hAnsi="Times New Roman" w:cs="Times New Roman"/>
          <w:color w:val="000000" w:themeColor="text1"/>
          <w:sz w:val="21"/>
          <w:szCs w:val="21"/>
          <w:lang w:bidi="ar"/>
          <w14:textFill>
            <w14:solidFill>
              <w14:schemeClr w14:val="tx1"/>
            </w14:solidFill>
          </w14:textFill>
        </w:rPr>
        <w:t>截面</w:t>
      </w:r>
      <w:r>
        <w:rPr>
          <w:rFonts w:ascii="Times New Roman" w:hAnsi="Times New Roman" w:cs="Times New Roman"/>
          <w:color w:val="000000" w:themeColor="text1"/>
          <w:sz w:val="21"/>
          <w:szCs w:val="21"/>
          <w:lang w:bidi="ar"/>
          <w14:textFill>
            <w14:solidFill>
              <w14:schemeClr w14:val="tx1"/>
            </w14:solidFill>
          </w14:textFill>
        </w:rPr>
        <w:t>是否出现裂纹，记录损伤形态。</w:t>
      </w:r>
    </w:p>
    <w:p w14:paraId="44755B05">
      <w:pPr>
        <w:spacing w:line="360" w:lineRule="auto"/>
        <w:rPr>
          <w:rFonts w:ascii="Times New Roman" w:hAnsi="Times New Roman" w:cs="Times New Roman"/>
          <w:color w:val="000000" w:themeColor="text1"/>
          <w:sz w:val="21"/>
          <w:szCs w:val="21"/>
          <w14:textFill>
            <w14:solidFill>
              <w14:schemeClr w14:val="tx1"/>
            </w14:solidFill>
          </w14:textFill>
        </w:rPr>
      </w:pPr>
      <w:r>
        <w:rPr>
          <w:rStyle w:val="51"/>
          <w:rFonts w:hint="eastAsia"/>
          <w:sz w:val="21"/>
          <w:szCs w:val="21"/>
          <w:lang w:val="en-US" w:eastAsia="zh-CN"/>
        </w:rPr>
        <w:t>4.5.4</w:t>
      </w:r>
      <w:r>
        <w:rPr>
          <w:rFonts w:ascii="Times New Roman" w:hAnsi="Times New Roman" w:cs="Times New Roman"/>
          <w:color w:val="000000" w:themeColor="text1"/>
          <w:sz w:val="21"/>
          <w:szCs w:val="21"/>
          <w:lang w:bidi="ar"/>
          <w14:textFill>
            <w14:solidFill>
              <w14:schemeClr w14:val="tx1"/>
            </w14:solidFill>
          </w14:textFill>
        </w:rPr>
        <w:t>疲劳损伤指标计算</w:t>
      </w:r>
    </w:p>
    <w:p w14:paraId="6531B910">
      <w:pPr>
        <w:spacing w:line="360" w:lineRule="auto"/>
        <w:ind w:firstLine="420" w:firstLineChars="20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计算损伤密度</w:t>
      </w:r>
      <w:r>
        <w:rPr>
          <w:rStyle w:val="23"/>
          <w:color w:val="000000" w:themeColor="text1"/>
          <w:position w:val="-12"/>
          <w:szCs w:val="20"/>
          <w14:textFill>
            <w14:solidFill>
              <w14:schemeClr w14:val="tx1"/>
            </w14:solidFill>
          </w14:textFill>
        </w:rPr>
        <w:object>
          <v:shape id="_x0000_i1037" o:spt="75" type="#_x0000_t75" style="height:36pt;width:69pt;" o:ole="t" filled="f" o:preferrelative="t" stroked="f" coordsize="21600,21600">
            <v:path/>
            <v:fill on="f" focussize="0,0"/>
            <v:stroke on="f" joinstyle="miter"/>
            <v:imagedata r:id="rId26" o:title=""/>
            <o:lock v:ext="edit" aspectratio="t"/>
            <w10:wrap type="none"/>
            <w10:anchorlock/>
          </v:shape>
          <o:OLEObject Type="Embed" ProgID="Equation.DSMT4" ShapeID="_x0000_i1037" DrawAspect="Content" ObjectID="_1468075737" r:id="rId36">
            <o:LockedField>false</o:LockedField>
          </o:OLEObject>
        </w:object>
      </w:r>
      <w:r>
        <w:rPr>
          <w:rFonts w:ascii="Times New Roman" w:hAnsi="Times New Roman" w:cs="Times New Roman"/>
          <w:color w:val="000000" w:themeColor="text1"/>
          <w:sz w:val="21"/>
          <w:szCs w:val="21"/>
          <w:lang w:bidi="ar"/>
          <w14:textFill>
            <w14:solidFill>
              <w14:schemeClr w14:val="tx1"/>
            </w14:solidFill>
          </w14:textFill>
        </w:rPr>
        <w:t>，损伤密度越大表示沥青</w:t>
      </w:r>
      <w:r>
        <w:rPr>
          <w:rFonts w:hint="eastAsia" w:ascii="Times New Roman" w:hAnsi="Times New Roman" w:cs="Times New Roman"/>
          <w:color w:val="000000" w:themeColor="text1"/>
          <w:sz w:val="21"/>
          <w:szCs w:val="21"/>
          <w:lang w:bidi="ar"/>
          <w14:textFill>
            <w14:solidFill>
              <w14:schemeClr w14:val="tx1"/>
            </w14:solidFill>
          </w14:textFill>
        </w:rPr>
        <w:t>的</w:t>
      </w:r>
      <w:r>
        <w:rPr>
          <w:rFonts w:ascii="Times New Roman" w:hAnsi="Times New Roman" w:cs="Times New Roman"/>
          <w:color w:val="000000" w:themeColor="text1"/>
          <w:sz w:val="21"/>
          <w:szCs w:val="21"/>
          <w:lang w:bidi="ar"/>
          <w14:textFill>
            <w14:solidFill>
              <w14:schemeClr w14:val="tx1"/>
            </w14:solidFill>
          </w14:textFill>
        </w:rPr>
        <w:t>剪切疲劳损伤越严重。其中</w:t>
      </w:r>
      <w:r>
        <w:rPr>
          <w:rFonts w:ascii="Times New Roman" w:hAnsi="Times New Roman" w:cs="Times New Roman"/>
          <w:color w:val="000000" w:themeColor="text1"/>
          <w:position w:val="-12"/>
          <w:sz w:val="21"/>
          <w:szCs w:val="21"/>
          <w:lang w:bidi="ar"/>
          <w14:textFill>
            <w14:solidFill>
              <w14:schemeClr w14:val="tx1"/>
            </w14:solidFill>
          </w14:textFill>
        </w:rPr>
        <w:object>
          <v:shape id="_x0000_i1038" o:spt="75" type="#_x0000_t75" style="height:21.5pt;width:30pt;" o:ole="t" filled="f" o:preferrelative="t" stroked="f" coordsize="21600,21600">
            <v:path/>
            <v:fill on="f" focussize="0,0"/>
            <v:stroke on="f" joinstyle="miter"/>
            <v:imagedata r:id="rId24" o:title=""/>
            <o:lock v:ext="edit" aspectratio="t"/>
            <w10:wrap type="none"/>
            <w10:anchorlock/>
          </v:shape>
          <o:OLEObject Type="Embed" ProgID="Equation.DSMT4" ShapeID="_x0000_i1038" DrawAspect="Content" ObjectID="_1468075738" r:id="rId37">
            <o:LockedField>false</o:LockedField>
          </o:OLEObject>
        </w:object>
      </w:r>
      <w:r>
        <w:rPr>
          <w:rFonts w:ascii="Times New Roman" w:hAnsi="Times New Roman" w:cs="Times New Roman"/>
          <w:color w:val="000000" w:themeColor="text1"/>
          <w:sz w:val="21"/>
          <w:szCs w:val="21"/>
          <w:lang w:bidi="ar"/>
          <w14:textFill>
            <w14:solidFill>
              <w14:schemeClr w14:val="tx1"/>
            </w14:solidFill>
          </w14:textFill>
        </w:rPr>
        <w:t>表示表观剪切模量由</w:t>
      </w:r>
      <w:r>
        <w:rPr>
          <w:rFonts w:ascii="Times New Roman" w:hAnsi="Times New Roman" w:cs="Times New Roman"/>
          <w:color w:val="000000" w:themeColor="text1"/>
          <w:sz w:val="21"/>
          <w:szCs w:val="21"/>
          <w14:textFill>
            <w14:solidFill>
              <w14:schemeClr w14:val="tx1"/>
            </w14:solidFill>
          </w14:textFill>
        </w:rPr>
        <w:t>高应变时间扫描试验所获得的剪切模量，</w:t>
      </w:r>
      <w:r>
        <w:rPr>
          <w:rFonts w:hint="eastAsia" w:ascii="Times New Roman" w:hAnsi="Times New Roman" w:cs="Times New Roman"/>
          <w:color w:val="000000" w:themeColor="text1"/>
          <w:sz w:val="21"/>
          <w:szCs w:val="21"/>
          <w14:textFill>
            <w14:solidFill>
              <w14:schemeClr w14:val="tx1"/>
            </w14:solidFill>
          </w14:textFill>
        </w:rPr>
        <w:t>可</w:t>
      </w:r>
      <w:r>
        <w:rPr>
          <w:rFonts w:ascii="Times New Roman" w:hAnsi="Times New Roman" w:cs="Times New Roman"/>
          <w:color w:val="000000" w:themeColor="text1"/>
          <w:sz w:val="21"/>
          <w:szCs w:val="21"/>
          <w14:textFill>
            <w14:solidFill>
              <w14:schemeClr w14:val="tx1"/>
            </w14:solidFill>
          </w14:textFill>
        </w:rPr>
        <w:t>由仪器测量</w:t>
      </w:r>
      <w:r>
        <w:rPr>
          <w:rFonts w:hint="eastAsia" w:ascii="Times New Roman" w:hAnsi="Times New Roman" w:cs="Times New Roman"/>
          <w:color w:val="000000" w:themeColor="text1"/>
          <w:sz w:val="21"/>
          <w:szCs w:val="21"/>
          <w14:textFill>
            <w14:solidFill>
              <w14:schemeClr w14:val="tx1"/>
            </w14:solidFill>
          </w14:textFill>
        </w:rPr>
        <w:t>获得</w:t>
      </w:r>
      <w:r>
        <w:rPr>
          <w:rFonts w:ascii="Times New Roman" w:hAnsi="Times New Roman" w:cs="Times New Roman"/>
          <w:color w:val="000000" w:themeColor="text1"/>
          <w:sz w:val="21"/>
          <w:szCs w:val="21"/>
          <w14:textFill>
            <w14:solidFill>
              <w14:schemeClr w14:val="tx1"/>
            </w14:solidFill>
          </w14:textFill>
        </w:rPr>
        <w:t>或根据</w:t>
      </w:r>
      <w:r>
        <w:rPr>
          <w:rFonts w:hint="eastAsia" w:ascii="Times New Roman" w:hAnsi="Times New Roman" w:cs="Times New Roman"/>
          <w:color w:val="000000" w:themeColor="text1"/>
          <w:sz w:val="21"/>
          <w:szCs w:val="21"/>
          <w14:textFill>
            <w14:solidFill>
              <w14:schemeClr w14:val="tx1"/>
            </w14:solidFill>
          </w14:textFill>
        </w:rPr>
        <w:t>测量</w:t>
      </w:r>
      <w:r>
        <w:rPr>
          <w:rFonts w:ascii="Times New Roman" w:hAnsi="Times New Roman" w:cs="Times New Roman"/>
          <w:color w:val="000000" w:themeColor="text1"/>
          <w:sz w:val="21"/>
          <w:szCs w:val="21"/>
          <w14:textFill>
            <w14:solidFill>
              <w14:schemeClr w14:val="tx1"/>
            </w14:solidFill>
          </w14:textFill>
        </w:rPr>
        <w:t>的应变振幅和应力振幅</w:t>
      </w:r>
      <w:r>
        <w:rPr>
          <w:rFonts w:hint="eastAsia" w:ascii="Times New Roman" w:hAnsi="Times New Roman" w:cs="Times New Roman"/>
          <w:color w:val="000000" w:themeColor="text1"/>
          <w:sz w:val="21"/>
          <w:szCs w:val="21"/>
          <w14:textFill>
            <w14:solidFill>
              <w14:schemeClr w14:val="tx1"/>
            </w14:solidFill>
          </w14:textFill>
        </w:rPr>
        <w:t>进行</w:t>
      </w:r>
      <w:r>
        <w:rPr>
          <w:rFonts w:ascii="Times New Roman" w:hAnsi="Times New Roman" w:cs="Times New Roman"/>
          <w:color w:val="000000" w:themeColor="text1"/>
          <w:sz w:val="21"/>
          <w:szCs w:val="21"/>
          <w14:textFill>
            <w14:solidFill>
              <w14:schemeClr w14:val="tx1"/>
            </w14:solidFill>
          </w14:textFill>
        </w:rPr>
        <w:t>计算</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position w:val="-12"/>
          <w:sz w:val="21"/>
          <w:szCs w:val="21"/>
          <w14:textFill>
            <w14:solidFill>
              <w14:schemeClr w14:val="tx1"/>
            </w14:solidFill>
          </w14:textFill>
        </w:rPr>
        <w:object>
          <v:shape id="_x0000_i1039" o:spt="75" type="#_x0000_t75" style="height:21.5pt;width:30pt;" o:ole="t" filled="f" o:preferrelative="t" stroked="f" coordsize="21600,21600">
            <v:path/>
            <v:fill on="f" focussize="0,0"/>
            <v:stroke on="f" joinstyle="miter"/>
            <v:imagedata r:id="rId39" o:title=""/>
            <o:lock v:ext="edit" aspectratio="t"/>
            <w10:wrap type="none"/>
            <w10:anchorlock/>
          </v:shape>
          <o:OLEObject Type="Embed" ProgID="Equation.DSMT4" ShapeID="_x0000_i1039" DrawAspect="Content" ObjectID="_1468075739" r:id="rId38">
            <o:LockedField>false</o:LockedField>
          </o:OLEObject>
        </w:object>
      </w:r>
      <w:r>
        <w:rPr>
          <w:rFonts w:ascii="Times New Roman" w:hAnsi="Times New Roman" w:cs="Times New Roman"/>
          <w:color w:val="000000" w:themeColor="text1"/>
          <w:sz w:val="21"/>
          <w:szCs w:val="21"/>
          <w14:textFill>
            <w14:solidFill>
              <w14:schemeClr w14:val="tx1"/>
            </w14:solidFill>
          </w14:textFill>
        </w:rPr>
        <w:t>代表真实剪切模量，为未损坏沥青试样的初始表观剪切模量，取低应变无损时间扫描试验所获得的非线性粘弹性临界点的剪切模量。</w:t>
      </w:r>
    </w:p>
    <w:p w14:paraId="3F958A62">
      <w:pPr>
        <w:pStyle w:val="20"/>
        <w:spacing w:before="312" w:after="312"/>
        <w:rPr>
          <w:rFonts w:ascii="Times New Roman" w:hAnsi="Times New Roman" w:cs="Times New Roman"/>
          <w:color w:val="000000" w:themeColor="text1"/>
          <w:sz w:val="21"/>
          <w:szCs w:val="21"/>
          <w14:textFill>
            <w14:solidFill>
              <w14:schemeClr w14:val="tx1"/>
            </w14:solidFill>
          </w14:textFill>
        </w:rPr>
      </w:pPr>
      <w:bookmarkStart w:id="10" w:name="_Toc29446"/>
      <w:r>
        <w:rPr>
          <w:rFonts w:ascii="Times New Roman" w:hAnsi="Times New Roman" w:cs="Times New Roman"/>
          <w:color w:val="000000" w:themeColor="text1"/>
          <w:sz w:val="21"/>
          <w:szCs w:val="21"/>
          <w14:textFill>
            <w14:solidFill>
              <w14:schemeClr w14:val="tx1"/>
            </w14:solidFill>
          </w14:textFill>
        </w:rPr>
        <w:t>试验计算案例</w:t>
      </w:r>
      <w:bookmarkEnd w:id="10"/>
    </w:p>
    <w:p w14:paraId="66EA96D5">
      <w:pPr>
        <w:tabs>
          <w:tab w:val="left" w:pos="851"/>
        </w:tabs>
        <w:spacing w:before="7" w:line="336" w:lineRule="auto"/>
        <w:ind w:left="113"/>
        <w:jc w:val="center"/>
        <w:rPr>
          <w:rFonts w:ascii="Times New Roman" w:hAnsi="Times New Roman" w:cs="Times New Roman"/>
          <w:sz w:val="21"/>
          <w:szCs w:val="21"/>
        </w:rPr>
      </w:pPr>
      <w:r>
        <w:rPr>
          <w:rFonts w:ascii="Times New Roman" w:hAnsi="Times New Roman" w:cs="Times New Roman"/>
          <w:sz w:val="21"/>
          <w:szCs w:val="21"/>
          <w:lang w:bidi="ar"/>
        </w:rPr>
        <w:t>（资料性附录）</w:t>
      </w:r>
    </w:p>
    <w:p w14:paraId="50A96349">
      <w:pPr>
        <w:tabs>
          <w:tab w:val="left" w:pos="851"/>
        </w:tabs>
        <w:spacing w:before="7" w:line="336" w:lineRule="auto"/>
        <w:ind w:left="113"/>
        <w:jc w:val="center"/>
        <w:rPr>
          <w:rFonts w:ascii="Times New Roman" w:hAnsi="Times New Roman" w:cs="Times New Roman"/>
          <w:sz w:val="21"/>
          <w:szCs w:val="21"/>
        </w:rPr>
      </w:pPr>
      <w:r>
        <w:rPr>
          <w:rFonts w:ascii="Times New Roman" w:hAnsi="Times New Roman" w:cs="Times New Roman"/>
          <w:sz w:val="21"/>
          <w:szCs w:val="21"/>
          <w:lang w:bidi="ar"/>
        </w:rPr>
        <w:t>沥青疲劳损伤特性及进程表征</w:t>
      </w:r>
    </w:p>
    <w:p w14:paraId="0D52D5AB">
      <w:pPr>
        <w:pStyle w:val="49"/>
        <w:bidi w:val="0"/>
        <w:rPr>
          <w:rFonts w:hint="eastAsia"/>
          <w:lang w:val="en-US" w:eastAsia="zh-CN"/>
        </w:rPr>
      </w:pPr>
      <w:r>
        <w:rPr>
          <w:rFonts w:hint="eastAsia"/>
          <w:lang w:val="en-US" w:eastAsia="zh-CN"/>
        </w:rPr>
        <w:t>5.1材料基本参数</w:t>
      </w:r>
    </w:p>
    <w:p w14:paraId="3DDBB50C">
      <w:pPr>
        <w:pStyle w:val="12"/>
        <w:tabs>
          <w:tab w:val="left" w:pos="431"/>
        </w:tabs>
        <w:spacing w:before="130" w:line="360" w:lineRule="auto"/>
        <w:ind w:left="113" w:firstLine="420" w:firstLineChars="200"/>
        <w:rPr>
          <w:rFonts w:ascii="Times New Roman" w:hAnsi="Times New Roman" w:cs="Times New Roman"/>
          <w:sz w:val="21"/>
          <w:szCs w:val="21"/>
        </w:rPr>
      </w:pPr>
      <w:r>
        <w:rPr>
          <w:rFonts w:ascii="Times New Roman" w:hAnsi="Times New Roman" w:cs="Times New Roman"/>
          <w:sz w:val="21"/>
          <w:szCs w:val="21"/>
          <w:lang w:bidi="ar"/>
        </w:rPr>
        <w:t>选取中国石化东海牌重交通道路石油沥青AH-70，基本参数如表</w:t>
      </w:r>
      <w:r>
        <w:rPr>
          <w:rFonts w:hint="eastAsia" w:ascii="Times New Roman" w:hAnsi="Times New Roman" w:cs="Times New Roman"/>
          <w:sz w:val="21"/>
          <w:szCs w:val="21"/>
          <w:lang w:val="en-US" w:eastAsia="zh-CN" w:bidi="ar"/>
        </w:rPr>
        <w:t>2</w:t>
      </w:r>
      <w:r>
        <w:rPr>
          <w:rFonts w:ascii="Times New Roman" w:hAnsi="Times New Roman" w:cs="Times New Roman"/>
          <w:sz w:val="21"/>
          <w:szCs w:val="21"/>
          <w:lang w:bidi="ar"/>
        </w:rPr>
        <w:t>所示。</w:t>
      </w:r>
    </w:p>
    <w:p w14:paraId="30BD627B">
      <w:pPr>
        <w:pStyle w:val="52"/>
        <w:tabs>
          <w:tab w:val="left" w:pos="0"/>
        </w:tabs>
        <w:spacing w:before="156" w:after="156"/>
        <w:rPr>
          <w:rFonts w:hint="eastAsia"/>
        </w:rPr>
      </w:pPr>
      <w:r>
        <w:rPr>
          <w:rFonts w:hint="eastAsia"/>
        </w:rPr>
        <w:t>沥青基本性能指标</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0"/>
        <w:gridCol w:w="1743"/>
        <w:gridCol w:w="1534"/>
        <w:gridCol w:w="1963"/>
      </w:tblGrid>
      <w:tr w14:paraId="378A4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pct"/>
            <w:vMerge w:val="restart"/>
            <w:tcBorders>
              <w:top w:val="single" w:color="auto" w:sz="4" w:space="0"/>
              <w:left w:val="single" w:color="auto" w:sz="4" w:space="0"/>
              <w:right w:val="single" w:color="auto" w:sz="4" w:space="0"/>
            </w:tcBorders>
            <w:vAlign w:val="center"/>
          </w:tcPr>
          <w:p w14:paraId="4A742BCE">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项目</w:t>
            </w:r>
          </w:p>
        </w:tc>
        <w:tc>
          <w:tcPr>
            <w:tcW w:w="1598" w:type="pct"/>
            <w:gridSpan w:val="2"/>
            <w:tcBorders>
              <w:top w:val="single" w:color="auto" w:sz="4" w:space="0"/>
              <w:left w:val="single" w:color="auto" w:sz="4" w:space="0"/>
              <w:bottom w:val="single" w:color="auto" w:sz="4" w:space="0"/>
              <w:right w:val="single" w:color="auto" w:sz="4" w:space="0"/>
            </w:tcBorders>
            <w:vAlign w:val="center"/>
          </w:tcPr>
          <w:p w14:paraId="65C15AF8">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val="en-US" w:eastAsia="zh-CN" w:bidi="ar"/>
              </w:rPr>
              <w:t>基质沥青</w:t>
            </w:r>
            <w:r>
              <w:rPr>
                <w:rFonts w:hint="eastAsia" w:ascii="宋体" w:hAnsi="宋体" w:eastAsia="宋体" w:cs="宋体"/>
                <w:sz w:val="18"/>
                <w:szCs w:val="18"/>
                <w:lang w:eastAsia="en-US" w:bidi="ar"/>
              </w:rPr>
              <w:t>AH-70</w:t>
            </w:r>
          </w:p>
        </w:tc>
        <w:tc>
          <w:tcPr>
            <w:tcW w:w="957" w:type="pct"/>
            <w:vMerge w:val="restart"/>
            <w:tcBorders>
              <w:top w:val="single" w:color="auto" w:sz="4" w:space="0"/>
              <w:left w:val="single" w:color="auto" w:sz="4" w:space="0"/>
              <w:right w:val="single" w:color="auto" w:sz="4" w:space="0"/>
            </w:tcBorders>
            <w:vAlign w:val="center"/>
          </w:tcPr>
          <w:p w14:paraId="45CBD3D4">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试验方法</w:t>
            </w:r>
          </w:p>
        </w:tc>
      </w:tr>
      <w:tr w14:paraId="4F0C7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pct"/>
            <w:vMerge w:val="continue"/>
            <w:tcBorders>
              <w:left w:val="single" w:color="auto" w:sz="4" w:space="0"/>
              <w:bottom w:val="single" w:color="auto" w:sz="4" w:space="0"/>
              <w:right w:val="single" w:color="auto" w:sz="4" w:space="0"/>
            </w:tcBorders>
            <w:vAlign w:val="center"/>
          </w:tcPr>
          <w:p w14:paraId="5027E2E6">
            <w:pPr>
              <w:tabs>
                <w:tab w:val="left" w:pos="431"/>
              </w:tabs>
              <w:spacing w:line="336" w:lineRule="auto"/>
              <w:jc w:val="center"/>
              <w:rPr>
                <w:rFonts w:hint="eastAsia" w:ascii="宋体" w:hAnsi="宋体" w:eastAsia="宋体" w:cs="宋体"/>
                <w:sz w:val="18"/>
                <w:szCs w:val="18"/>
                <w:lang w:eastAsia="en-US"/>
              </w:rPr>
            </w:pPr>
          </w:p>
        </w:tc>
        <w:tc>
          <w:tcPr>
            <w:tcW w:w="850" w:type="pct"/>
            <w:tcBorders>
              <w:top w:val="single" w:color="auto" w:sz="4" w:space="0"/>
              <w:left w:val="single" w:color="auto" w:sz="4" w:space="0"/>
              <w:bottom w:val="single" w:color="auto" w:sz="4" w:space="0"/>
              <w:right w:val="single" w:color="auto" w:sz="4" w:space="0"/>
            </w:tcBorders>
            <w:vAlign w:val="center"/>
          </w:tcPr>
          <w:p w14:paraId="2538822D">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质量指标</w:t>
            </w:r>
          </w:p>
        </w:tc>
        <w:tc>
          <w:tcPr>
            <w:tcW w:w="748" w:type="pct"/>
            <w:tcBorders>
              <w:top w:val="single" w:color="auto" w:sz="4" w:space="0"/>
              <w:left w:val="single" w:color="auto" w:sz="4" w:space="0"/>
              <w:bottom w:val="single" w:color="auto" w:sz="4" w:space="0"/>
              <w:right w:val="single" w:color="auto" w:sz="4" w:space="0"/>
            </w:tcBorders>
            <w:vAlign w:val="center"/>
          </w:tcPr>
          <w:p w14:paraId="03E6AC0D">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实测值</w:t>
            </w:r>
          </w:p>
        </w:tc>
        <w:tc>
          <w:tcPr>
            <w:tcW w:w="957" w:type="pct"/>
            <w:vMerge w:val="continue"/>
            <w:tcBorders>
              <w:left w:val="single" w:color="auto" w:sz="4" w:space="0"/>
              <w:bottom w:val="single" w:color="auto" w:sz="4" w:space="0"/>
              <w:right w:val="single" w:color="auto" w:sz="4" w:space="0"/>
            </w:tcBorders>
            <w:vAlign w:val="center"/>
          </w:tcPr>
          <w:p w14:paraId="43632EF0">
            <w:pPr>
              <w:tabs>
                <w:tab w:val="left" w:pos="431"/>
              </w:tabs>
              <w:spacing w:line="336" w:lineRule="auto"/>
              <w:jc w:val="center"/>
              <w:rPr>
                <w:rFonts w:hint="eastAsia" w:ascii="宋体" w:hAnsi="宋体" w:eastAsia="宋体" w:cs="宋体"/>
                <w:sz w:val="18"/>
                <w:szCs w:val="18"/>
                <w:lang w:eastAsia="en-US"/>
              </w:rPr>
            </w:pPr>
          </w:p>
        </w:tc>
      </w:tr>
      <w:tr w14:paraId="70916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pct"/>
            <w:tcBorders>
              <w:top w:val="single" w:color="auto" w:sz="4" w:space="0"/>
              <w:left w:val="single" w:color="auto" w:sz="4" w:space="0"/>
              <w:bottom w:val="single" w:color="auto" w:sz="4" w:space="0"/>
              <w:right w:val="single" w:color="auto" w:sz="4" w:space="0"/>
            </w:tcBorders>
            <w:vAlign w:val="center"/>
          </w:tcPr>
          <w:p w14:paraId="2CB95F55">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针入度（25℃，100g，0.1mm）</w:t>
            </w:r>
          </w:p>
        </w:tc>
        <w:tc>
          <w:tcPr>
            <w:tcW w:w="850" w:type="pct"/>
            <w:tcBorders>
              <w:top w:val="single" w:color="auto" w:sz="4" w:space="0"/>
              <w:left w:val="single" w:color="auto" w:sz="4" w:space="0"/>
              <w:bottom w:val="single" w:color="auto" w:sz="4" w:space="0"/>
              <w:right w:val="single" w:color="auto" w:sz="4" w:space="0"/>
            </w:tcBorders>
            <w:vAlign w:val="center"/>
          </w:tcPr>
          <w:p w14:paraId="5E8B0111">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60-80</w:t>
            </w:r>
          </w:p>
        </w:tc>
        <w:tc>
          <w:tcPr>
            <w:tcW w:w="748" w:type="pct"/>
            <w:tcBorders>
              <w:top w:val="single" w:color="auto" w:sz="4" w:space="0"/>
              <w:left w:val="single" w:color="auto" w:sz="4" w:space="0"/>
              <w:bottom w:val="single" w:color="auto" w:sz="4" w:space="0"/>
              <w:right w:val="single" w:color="auto" w:sz="4" w:space="0"/>
            </w:tcBorders>
            <w:vAlign w:val="center"/>
          </w:tcPr>
          <w:p w14:paraId="15B4C411">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74</w:t>
            </w:r>
          </w:p>
        </w:tc>
        <w:tc>
          <w:tcPr>
            <w:tcW w:w="957" w:type="pct"/>
            <w:tcBorders>
              <w:top w:val="single" w:color="auto" w:sz="4" w:space="0"/>
              <w:left w:val="single" w:color="auto" w:sz="4" w:space="0"/>
              <w:bottom w:val="single" w:color="auto" w:sz="4" w:space="0"/>
              <w:right w:val="single" w:color="auto" w:sz="4" w:space="0"/>
            </w:tcBorders>
            <w:vAlign w:val="center"/>
          </w:tcPr>
          <w:p w14:paraId="52D28050">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GB/T 4509</w:t>
            </w:r>
          </w:p>
        </w:tc>
      </w:tr>
      <w:tr w14:paraId="3166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pct"/>
            <w:tcBorders>
              <w:top w:val="single" w:color="auto" w:sz="4" w:space="0"/>
              <w:left w:val="single" w:color="auto" w:sz="4" w:space="0"/>
              <w:bottom w:val="single" w:color="auto" w:sz="4" w:space="0"/>
              <w:right w:val="single" w:color="auto" w:sz="4" w:space="0"/>
            </w:tcBorders>
            <w:vAlign w:val="center"/>
          </w:tcPr>
          <w:p w14:paraId="15888D85">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软化点，℃</w:t>
            </w:r>
          </w:p>
        </w:tc>
        <w:tc>
          <w:tcPr>
            <w:tcW w:w="850" w:type="pct"/>
            <w:tcBorders>
              <w:top w:val="single" w:color="auto" w:sz="4" w:space="0"/>
              <w:left w:val="single" w:color="auto" w:sz="4" w:space="0"/>
              <w:bottom w:val="single" w:color="auto" w:sz="4" w:space="0"/>
              <w:right w:val="single" w:color="auto" w:sz="4" w:space="0"/>
            </w:tcBorders>
            <w:vAlign w:val="center"/>
          </w:tcPr>
          <w:p w14:paraId="32A9E848">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44-57</w:t>
            </w:r>
          </w:p>
        </w:tc>
        <w:tc>
          <w:tcPr>
            <w:tcW w:w="748" w:type="pct"/>
            <w:tcBorders>
              <w:top w:val="single" w:color="auto" w:sz="4" w:space="0"/>
              <w:left w:val="single" w:color="auto" w:sz="4" w:space="0"/>
              <w:bottom w:val="single" w:color="auto" w:sz="4" w:space="0"/>
              <w:right w:val="single" w:color="auto" w:sz="4" w:space="0"/>
            </w:tcBorders>
            <w:vAlign w:val="center"/>
          </w:tcPr>
          <w:p w14:paraId="3B40D824">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47.3</w:t>
            </w:r>
          </w:p>
        </w:tc>
        <w:tc>
          <w:tcPr>
            <w:tcW w:w="957" w:type="pct"/>
            <w:tcBorders>
              <w:top w:val="single" w:color="auto" w:sz="4" w:space="0"/>
              <w:left w:val="single" w:color="auto" w:sz="4" w:space="0"/>
              <w:bottom w:val="single" w:color="auto" w:sz="4" w:space="0"/>
              <w:right w:val="single" w:color="auto" w:sz="4" w:space="0"/>
            </w:tcBorders>
            <w:vAlign w:val="center"/>
          </w:tcPr>
          <w:p w14:paraId="41B0A995">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GB/T 4507</w:t>
            </w:r>
          </w:p>
        </w:tc>
      </w:tr>
      <w:tr w14:paraId="625D3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pct"/>
            <w:tcBorders>
              <w:top w:val="single" w:color="auto" w:sz="4" w:space="0"/>
              <w:left w:val="single" w:color="auto" w:sz="4" w:space="0"/>
              <w:bottom w:val="single" w:color="auto" w:sz="4" w:space="0"/>
              <w:right w:val="single" w:color="auto" w:sz="4" w:space="0"/>
            </w:tcBorders>
            <w:vAlign w:val="center"/>
          </w:tcPr>
          <w:p w14:paraId="43FF09D9">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延度（5℃，5cm/min），cm</w:t>
            </w:r>
          </w:p>
        </w:tc>
        <w:tc>
          <w:tcPr>
            <w:tcW w:w="850" w:type="pct"/>
            <w:tcBorders>
              <w:top w:val="single" w:color="auto" w:sz="4" w:space="0"/>
              <w:left w:val="single" w:color="auto" w:sz="4" w:space="0"/>
              <w:bottom w:val="single" w:color="auto" w:sz="4" w:space="0"/>
              <w:right w:val="single" w:color="auto" w:sz="4" w:space="0"/>
            </w:tcBorders>
            <w:vAlign w:val="center"/>
          </w:tcPr>
          <w:p w14:paraId="2A29A219">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≥100</w:t>
            </w:r>
          </w:p>
        </w:tc>
        <w:tc>
          <w:tcPr>
            <w:tcW w:w="748" w:type="pct"/>
            <w:tcBorders>
              <w:top w:val="single" w:color="auto" w:sz="4" w:space="0"/>
              <w:left w:val="single" w:color="auto" w:sz="4" w:space="0"/>
              <w:bottom w:val="single" w:color="auto" w:sz="4" w:space="0"/>
              <w:right w:val="single" w:color="auto" w:sz="4" w:space="0"/>
            </w:tcBorders>
            <w:vAlign w:val="center"/>
          </w:tcPr>
          <w:p w14:paraId="1A3C71E0">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&gt;150</w:t>
            </w:r>
          </w:p>
        </w:tc>
        <w:tc>
          <w:tcPr>
            <w:tcW w:w="957" w:type="pct"/>
            <w:tcBorders>
              <w:top w:val="single" w:color="auto" w:sz="4" w:space="0"/>
              <w:left w:val="single" w:color="auto" w:sz="4" w:space="0"/>
              <w:bottom w:val="single" w:color="auto" w:sz="4" w:space="0"/>
              <w:right w:val="single" w:color="auto" w:sz="4" w:space="0"/>
            </w:tcBorders>
            <w:vAlign w:val="center"/>
          </w:tcPr>
          <w:p w14:paraId="1BE95B38">
            <w:pPr>
              <w:tabs>
                <w:tab w:val="left" w:pos="431"/>
              </w:tabs>
              <w:spacing w:line="336" w:lineRule="auto"/>
              <w:jc w:val="center"/>
              <w:rPr>
                <w:rFonts w:hint="eastAsia" w:ascii="宋体" w:hAnsi="宋体" w:eastAsia="宋体" w:cs="宋体"/>
                <w:sz w:val="18"/>
                <w:szCs w:val="18"/>
                <w:lang w:eastAsia="en-US"/>
              </w:rPr>
            </w:pPr>
            <w:r>
              <w:rPr>
                <w:rFonts w:hint="eastAsia" w:ascii="宋体" w:hAnsi="宋体" w:eastAsia="宋体" w:cs="宋体"/>
                <w:sz w:val="18"/>
                <w:szCs w:val="18"/>
                <w:lang w:eastAsia="en-US" w:bidi="ar"/>
              </w:rPr>
              <w:t>GB/T 4508</w:t>
            </w:r>
          </w:p>
        </w:tc>
      </w:tr>
    </w:tbl>
    <w:p w14:paraId="749F4E33">
      <w:pPr>
        <w:pStyle w:val="49"/>
        <w:bidi w:val="0"/>
        <w:rPr>
          <w:rFonts w:hint="eastAsia"/>
          <w:lang w:val="en-US" w:eastAsia="zh-CN"/>
        </w:rPr>
      </w:pPr>
      <w:r>
        <w:rPr>
          <w:rFonts w:hint="eastAsia"/>
          <w:lang w:val="en-US" w:eastAsia="zh-CN"/>
        </w:rPr>
        <w:t>5.2非线性粘弹性临界点确定</w:t>
      </w:r>
    </w:p>
    <w:p w14:paraId="1E8800CD">
      <w:pPr>
        <w:pStyle w:val="12"/>
        <w:tabs>
          <w:tab w:val="left" w:pos="431"/>
        </w:tabs>
        <w:spacing w:before="130" w:line="360" w:lineRule="auto"/>
        <w:ind w:left="113"/>
        <w:rPr>
          <w:rFonts w:ascii="Times New Roman" w:hAnsi="Times New Roman" w:cs="Times New Roman"/>
          <w:sz w:val="22"/>
          <w:lang w:bidi="ar"/>
        </w:rPr>
      </w:pPr>
      <w:r>
        <w:rPr>
          <w:rStyle w:val="51"/>
          <w:rFonts w:hint="eastAsia"/>
          <w:szCs w:val="21"/>
          <w:lang w:val="en-US" w:eastAsia="zh-CN"/>
        </w:rPr>
        <w:t>5.2.1</w:t>
      </w:r>
      <w:r>
        <w:rPr>
          <w:rStyle w:val="23"/>
        </w:rPr>
        <w:t>按照</w:t>
      </w:r>
      <w:r>
        <w:rPr>
          <w:rStyle w:val="23"/>
          <w:rFonts w:hint="eastAsia"/>
          <w:lang w:val="en-US"/>
        </w:rPr>
        <w:t>4.4</w:t>
      </w:r>
      <w:r>
        <w:rPr>
          <w:rStyle w:val="23"/>
          <w:rFonts w:hint="eastAsia"/>
        </w:rPr>
        <w:t>.1-</w:t>
      </w:r>
      <w:r>
        <w:rPr>
          <w:rStyle w:val="23"/>
          <w:rFonts w:hint="eastAsia"/>
          <w:lang w:val="en-US"/>
        </w:rPr>
        <w:t>4.4.</w:t>
      </w:r>
      <w:r>
        <w:rPr>
          <w:rStyle w:val="23"/>
          <w:rFonts w:hint="eastAsia"/>
        </w:rPr>
        <w:t>3</w:t>
      </w:r>
      <w:r>
        <w:rPr>
          <w:rStyle w:val="23"/>
        </w:rPr>
        <w:t>对沥青试样开展</w:t>
      </w:r>
      <w:r>
        <w:rPr>
          <w:rStyle w:val="23"/>
          <w:rFonts w:hint="eastAsia"/>
        </w:rPr>
        <w:t>逐级低应变</w:t>
      </w:r>
      <w:r>
        <w:rPr>
          <w:rStyle w:val="23"/>
        </w:rPr>
        <w:t>时间扫描的动态剪切流变试验，</w:t>
      </w:r>
      <w:r>
        <w:rPr>
          <w:rStyle w:val="23"/>
          <w:rFonts w:hint="eastAsia"/>
        </w:rPr>
        <w:t>温度控制为20</w:t>
      </w:r>
      <w:r>
        <w:rPr>
          <w:rStyle w:val="23"/>
        </w:rPr>
        <w:t>℃</w:t>
      </w:r>
      <w:r>
        <w:rPr>
          <w:rStyle w:val="23"/>
          <w:rFonts w:hint="eastAsia"/>
        </w:rPr>
        <w:t>，</w:t>
      </w:r>
      <w:r>
        <w:rPr>
          <w:rStyle w:val="23"/>
        </w:rPr>
        <w:t>输出循环荷载作用下的</w:t>
      </w:r>
      <w:r>
        <w:rPr>
          <w:rStyle w:val="23"/>
          <w:rFonts w:hint="eastAsia"/>
        </w:rPr>
        <w:t>剪切</w:t>
      </w:r>
      <w:r>
        <w:rPr>
          <w:rStyle w:val="23"/>
        </w:rPr>
        <w:t>模量</w:t>
      </w:r>
      <w:r>
        <w:rPr>
          <w:rStyle w:val="23"/>
          <w:rFonts w:hint="eastAsia"/>
        </w:rPr>
        <w:t>与</w:t>
      </w:r>
      <w:r>
        <w:rPr>
          <w:rStyle w:val="23"/>
        </w:rPr>
        <w:t>相位角参数。</w:t>
      </w:r>
      <w:r>
        <w:rPr>
          <w:rStyle w:val="23"/>
          <w:rFonts w:hint="eastAsia"/>
        </w:rPr>
        <w:t>绘制剪切</w:t>
      </w:r>
      <w:r>
        <w:rPr>
          <w:rStyle w:val="23"/>
        </w:rPr>
        <w:t>模量</w:t>
      </w:r>
      <w:r>
        <w:rPr>
          <w:rStyle w:val="23"/>
          <w:rFonts w:hint="eastAsia"/>
        </w:rPr>
        <w:t>与</w:t>
      </w:r>
      <w:r>
        <w:rPr>
          <w:rStyle w:val="23"/>
        </w:rPr>
        <w:t>相位角参数</w:t>
      </w:r>
      <w:r>
        <w:rPr>
          <w:rStyle w:val="23"/>
          <w:rFonts w:hint="eastAsia"/>
        </w:rPr>
        <w:t>随加载时间变化的变化图如图1，由该图可知当加载应变水平处于0.7%时，剪切</w:t>
      </w:r>
      <w:r>
        <w:rPr>
          <w:rStyle w:val="23"/>
        </w:rPr>
        <w:t>模量</w:t>
      </w:r>
      <w:r>
        <w:rPr>
          <w:rStyle w:val="23"/>
          <w:rFonts w:hint="eastAsia"/>
        </w:rPr>
        <w:t>与</w:t>
      </w:r>
      <w:r>
        <w:rPr>
          <w:rStyle w:val="23"/>
        </w:rPr>
        <w:t>相位角</w:t>
      </w:r>
      <w:r>
        <w:rPr>
          <w:rStyle w:val="23"/>
          <w:rFonts w:hint="eastAsia"/>
        </w:rPr>
        <w:t>开始发生明显波动，初步确定0.7%为应变水平的平均剪切模量</w:t>
      </w:r>
      <w:r>
        <w:rPr>
          <w:rStyle w:val="23"/>
          <w:position w:val="-12"/>
          <w:sz w:val="21"/>
        </w:rPr>
        <w:object>
          <v:shape id="_x0000_i1040" o:spt="75" type="#_x0000_t75" style="height:23.5pt;width:27pt;" o:ole="t" filled="f" o:preferrelative="t" stroked="f" coordsize="21600,21600">
            <v:path/>
            <v:fill on="f" focussize="0,0"/>
            <v:stroke on="f" joinstyle="miter"/>
            <v:imagedata r:id="rId31" o:title=""/>
            <o:lock v:ext="edit" aspectratio="f"/>
            <w10:wrap type="none"/>
            <w10:anchorlock/>
          </v:shape>
          <o:OLEObject Type="Embed" ProgID="Equation.DSMT4" ShapeID="_x0000_i1040" DrawAspect="Content" ObjectID="_1468075740" r:id="rId40">
            <o:LockedField>false</o:LockedField>
          </o:OLEObject>
        </w:object>
      </w:r>
      <w:r>
        <w:rPr>
          <w:rStyle w:val="23"/>
          <w:rFonts w:hint="eastAsia"/>
        </w:rPr>
        <w:t>和相位角均值</w:t>
      </w:r>
      <w:r>
        <w:rPr>
          <w:rStyle w:val="23"/>
          <w:position w:val="-12"/>
          <w:sz w:val="21"/>
        </w:rPr>
        <w:object>
          <v:shape id="_x0000_i1041" o:spt="75" type="#_x0000_t75" style="height:19pt;width:14.5pt;" o:ole="t" filled="f" o:preferrelative="t" stroked="f" coordsize="21600,21600">
            <v:path/>
            <v:fill on="f" focussize="0,0"/>
            <v:stroke on="f" joinstyle="miter"/>
            <v:imagedata r:id="rId33" o:title=""/>
            <o:lock v:ext="edit" aspectratio="f"/>
            <w10:wrap type="none"/>
            <w10:anchorlock/>
          </v:shape>
          <o:OLEObject Type="Embed" ProgID="Equation.DSMT4" ShapeID="_x0000_i1041" DrawAspect="Content" ObjectID="_1468075741" r:id="rId41">
            <o:LockedField>false</o:LockedField>
          </o:OLEObject>
        </w:object>
      </w:r>
      <w:r>
        <w:rPr>
          <w:rStyle w:val="23"/>
          <w:rFonts w:hint="eastAsia"/>
        </w:rPr>
        <w:t>分别作为</w:t>
      </w:r>
      <w:r>
        <w:rPr>
          <w:rStyle w:val="23"/>
        </w:rPr>
        <w:t>非线性粘弹性临界点</w:t>
      </w:r>
      <w:r>
        <w:rPr>
          <w:rStyle w:val="23"/>
          <w:position w:val="-12"/>
          <w:sz w:val="21"/>
        </w:rPr>
        <w:object>
          <v:shape id="_x0000_i1042" o:spt="75" type="#_x0000_t75" style="height:21.5pt;width:77.5pt;" o:ole="t" filled="f" o:preferrelative="t" stroked="f" coordsize="21600,21600">
            <v:path/>
            <v:fill on="f" focussize="0,0"/>
            <v:stroke on="f" joinstyle="miter"/>
            <v:imagedata r:id="rId15" o:title=""/>
            <o:lock v:ext="edit" aspectratio="f"/>
            <w10:wrap type="none"/>
            <w10:anchorlock/>
          </v:shape>
          <o:OLEObject Type="Embed" ProgID="Equation.DSMT4" ShapeID="_x0000_i1042" DrawAspect="Content" ObjectID="_1468075742" r:id="rId42">
            <o:LockedField>false</o:LockedField>
          </o:OLEObject>
        </w:object>
      </w:r>
      <w:r>
        <w:rPr>
          <w:rStyle w:val="23"/>
          <w:rFonts w:hint="eastAsia"/>
        </w:rPr>
        <w:t>。</w:t>
      </w:r>
    </w:p>
    <w:p w14:paraId="62937F21">
      <w:pPr>
        <w:pStyle w:val="12"/>
        <w:tabs>
          <w:tab w:val="left" w:pos="431"/>
        </w:tabs>
        <w:spacing w:before="130" w:line="360" w:lineRule="auto"/>
        <w:ind w:left="113"/>
      </w:pPr>
      <w:r>
        <w:drawing>
          <wp:inline distT="0" distB="0" distL="114300" distR="114300">
            <wp:extent cx="6371590" cy="3691890"/>
            <wp:effectExtent l="0" t="0" r="10160" b="3810"/>
            <wp:docPr id="1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9"/>
                    <pic:cNvPicPr>
                      <a:picLocks noChangeAspect="1"/>
                    </pic:cNvPicPr>
                  </pic:nvPicPr>
                  <pic:blipFill>
                    <a:blip r:embed="rId43"/>
                    <a:stretch>
                      <a:fillRect/>
                    </a:stretch>
                  </pic:blipFill>
                  <pic:spPr>
                    <a:xfrm>
                      <a:off x="0" y="0"/>
                      <a:ext cx="6371590" cy="3691890"/>
                    </a:xfrm>
                    <a:prstGeom prst="rect">
                      <a:avLst/>
                    </a:prstGeom>
                    <a:noFill/>
                    <a:ln>
                      <a:noFill/>
                    </a:ln>
                  </pic:spPr>
                </pic:pic>
              </a:graphicData>
            </a:graphic>
          </wp:inline>
        </w:drawing>
      </w:r>
    </w:p>
    <w:p w14:paraId="4F80F9D7">
      <w:pPr>
        <w:pStyle w:val="53"/>
        <w:spacing w:before="156" w:after="156"/>
        <w:rPr>
          <w:rFonts w:hint="eastAsia"/>
        </w:rPr>
      </w:pPr>
      <w:r>
        <w:rPr>
          <w:rFonts w:hint="eastAsia"/>
        </w:rPr>
        <w:t>低应变循环荷载作用下AH-70沥青材料剪切模量与相位角随加载时间变化图</w:t>
      </w:r>
    </w:p>
    <w:p w14:paraId="21FD99AE">
      <w:pPr>
        <w:pStyle w:val="12"/>
        <w:tabs>
          <w:tab w:val="left" w:pos="431"/>
        </w:tabs>
        <w:spacing w:before="130" w:line="360" w:lineRule="auto"/>
        <w:ind w:left="113"/>
        <w:rPr>
          <w:rFonts w:ascii="Times New Roman" w:hAnsi="Times New Roman" w:cs="Times New Roman"/>
          <w:sz w:val="21"/>
          <w:szCs w:val="21"/>
          <w:lang w:bidi="ar"/>
        </w:rPr>
      </w:pPr>
      <w:r>
        <w:rPr>
          <w:rStyle w:val="51"/>
          <w:rFonts w:hint="eastAsia"/>
          <w:sz w:val="21"/>
          <w:szCs w:val="21"/>
          <w:lang w:val="en-US" w:eastAsia="zh-CN"/>
        </w:rPr>
        <w:t>5.2.2</w:t>
      </w:r>
      <w:r>
        <w:rPr>
          <w:rStyle w:val="23"/>
        </w:rPr>
        <w:t>依据</w:t>
      </w:r>
      <w:r>
        <w:rPr>
          <w:rStyle w:val="23"/>
          <w:rFonts w:hint="eastAsia"/>
          <w:lang w:val="en-US"/>
        </w:rPr>
        <w:t>4.4.5</w:t>
      </w:r>
      <w:r>
        <w:rPr>
          <w:rStyle w:val="23"/>
        </w:rPr>
        <w:t>给出的判别准则，</w:t>
      </w:r>
      <w:r>
        <w:rPr>
          <w:rStyle w:val="23"/>
          <w:rFonts w:hint="eastAsia"/>
        </w:rPr>
        <w:t>进一步验证</w:t>
      </w:r>
      <w:r>
        <w:rPr>
          <w:rStyle w:val="23"/>
        </w:rPr>
        <w:t>确定上述沥青材料的非线性粘弹性临界点</w:t>
      </w:r>
      <w:r>
        <w:rPr>
          <w:rStyle w:val="23"/>
          <w:rFonts w:hint="eastAsia"/>
        </w:rPr>
        <w:t>剪切模量与相位角即为</w:t>
      </w:r>
      <w:r>
        <w:rPr>
          <w:rStyle w:val="23"/>
          <w:position w:val="-12"/>
          <w:sz w:val="21"/>
        </w:rPr>
        <w:object>
          <v:shape id="_x0000_i1043" o:spt="75" type="#_x0000_t75" style="height:21.5pt;width:77.5pt;" o:ole="t" filled="f" o:preferrelative="t" stroked="f" coordsize="21600,21600">
            <v:path/>
            <v:fill on="f" focussize="0,0"/>
            <v:stroke on="f" joinstyle="miter"/>
            <v:imagedata r:id="rId15" o:title=""/>
            <o:lock v:ext="edit" aspectratio="f"/>
            <w10:wrap type="none"/>
            <w10:anchorlock/>
          </v:shape>
          <o:OLEObject Type="Embed" ProgID="Equation.DSMT4" ShapeID="_x0000_i1043" DrawAspect="Content" ObjectID="_1468075743" r:id="rId44">
            <o:LockedField>false</o:LockedField>
          </o:OLEObject>
        </w:object>
      </w:r>
      <w:r>
        <w:rPr>
          <w:rStyle w:val="23"/>
        </w:rPr>
        <w:t>，如表</w:t>
      </w:r>
      <w:r>
        <w:rPr>
          <w:rStyle w:val="23"/>
          <w:rFonts w:hint="eastAsia"/>
          <w:lang w:val="en-US" w:eastAsia="zh-CN"/>
        </w:rPr>
        <w:t>2</w:t>
      </w:r>
      <w:r>
        <w:rPr>
          <w:rStyle w:val="23"/>
        </w:rPr>
        <w:t>所示。</w:t>
      </w:r>
    </w:p>
    <w:p w14:paraId="18FD6342">
      <w:pPr>
        <w:pStyle w:val="52"/>
        <w:tabs>
          <w:tab w:val="left" w:pos="0"/>
        </w:tabs>
        <w:spacing w:before="156" w:after="156"/>
        <w:rPr>
          <w:rFonts w:hint="eastAsia"/>
        </w:rPr>
      </w:pPr>
      <w:r>
        <w:rPr>
          <w:rFonts w:hint="eastAsia"/>
        </w:rPr>
        <w:t>单因素方差分析在95%置信度下的F统计值和F统计临界值</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1025"/>
        <w:gridCol w:w="1025"/>
        <w:gridCol w:w="1025"/>
        <w:gridCol w:w="1025"/>
        <w:gridCol w:w="1025"/>
        <w:gridCol w:w="1025"/>
        <w:gridCol w:w="1025"/>
        <w:gridCol w:w="1026"/>
        <w:gridCol w:w="1026"/>
      </w:tblGrid>
      <w:tr w14:paraId="6284F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vMerge w:val="restart"/>
            <w:vAlign w:val="center"/>
          </w:tcPr>
          <w:p w14:paraId="4BD5938C">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材料性质</w:t>
            </w:r>
          </w:p>
        </w:tc>
        <w:tc>
          <w:tcPr>
            <w:tcW w:w="8201" w:type="dxa"/>
            <w:gridSpan w:val="8"/>
            <w:vAlign w:val="center"/>
          </w:tcPr>
          <w:p w14:paraId="5B8A4104">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F统计值</w:t>
            </w:r>
          </w:p>
        </w:tc>
        <w:tc>
          <w:tcPr>
            <w:tcW w:w="1026" w:type="dxa"/>
            <w:vMerge w:val="restart"/>
            <w:vAlign w:val="center"/>
          </w:tcPr>
          <w:p w14:paraId="61ED2A84">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F统计临界值</w:t>
            </w:r>
          </w:p>
        </w:tc>
      </w:tr>
      <w:tr w14:paraId="2C9F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vMerge w:val="continue"/>
            <w:vAlign w:val="center"/>
          </w:tcPr>
          <w:p w14:paraId="21377C7F">
            <w:pPr>
              <w:pStyle w:val="12"/>
              <w:tabs>
                <w:tab w:val="left" w:pos="431"/>
              </w:tabs>
              <w:spacing w:before="130" w:line="360" w:lineRule="auto"/>
              <w:ind w:left="113"/>
              <w:jc w:val="center"/>
              <w:rPr>
                <w:rFonts w:hint="eastAsia" w:ascii="宋体" w:hAnsi="宋体" w:eastAsia="宋体" w:cs="宋体"/>
                <w:sz w:val="18"/>
                <w:szCs w:val="18"/>
              </w:rPr>
            </w:pPr>
          </w:p>
        </w:tc>
        <w:tc>
          <w:tcPr>
            <w:tcW w:w="1025" w:type="dxa"/>
            <w:vAlign w:val="center"/>
          </w:tcPr>
          <w:p w14:paraId="68AFCC08">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0.1%</w:t>
            </w:r>
          </w:p>
        </w:tc>
        <w:tc>
          <w:tcPr>
            <w:tcW w:w="1025" w:type="dxa"/>
            <w:vAlign w:val="center"/>
          </w:tcPr>
          <w:p w14:paraId="3B333C14">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0.2%</w:t>
            </w:r>
          </w:p>
        </w:tc>
        <w:tc>
          <w:tcPr>
            <w:tcW w:w="1025" w:type="dxa"/>
            <w:vAlign w:val="center"/>
          </w:tcPr>
          <w:p w14:paraId="379497B1">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0.3%</w:t>
            </w:r>
          </w:p>
        </w:tc>
        <w:tc>
          <w:tcPr>
            <w:tcW w:w="1025" w:type="dxa"/>
            <w:vAlign w:val="center"/>
          </w:tcPr>
          <w:p w14:paraId="5A8C45A1">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0.4%</w:t>
            </w:r>
          </w:p>
        </w:tc>
        <w:tc>
          <w:tcPr>
            <w:tcW w:w="1025" w:type="dxa"/>
            <w:vAlign w:val="center"/>
          </w:tcPr>
          <w:p w14:paraId="525813A5">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0.5%</w:t>
            </w:r>
          </w:p>
        </w:tc>
        <w:tc>
          <w:tcPr>
            <w:tcW w:w="1025" w:type="dxa"/>
            <w:vAlign w:val="center"/>
          </w:tcPr>
          <w:p w14:paraId="17F678D6">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0.6%</w:t>
            </w:r>
          </w:p>
        </w:tc>
        <w:tc>
          <w:tcPr>
            <w:tcW w:w="1025" w:type="dxa"/>
            <w:vAlign w:val="center"/>
          </w:tcPr>
          <w:p w14:paraId="65865FB0">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0.7%</w:t>
            </w:r>
          </w:p>
        </w:tc>
        <w:tc>
          <w:tcPr>
            <w:tcW w:w="1026" w:type="dxa"/>
            <w:vAlign w:val="center"/>
          </w:tcPr>
          <w:p w14:paraId="6F11DABF">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0.8%</w:t>
            </w:r>
          </w:p>
        </w:tc>
        <w:tc>
          <w:tcPr>
            <w:tcW w:w="1026" w:type="dxa"/>
            <w:vMerge w:val="continue"/>
            <w:vAlign w:val="center"/>
          </w:tcPr>
          <w:p w14:paraId="1B01BC3D">
            <w:pPr>
              <w:pStyle w:val="12"/>
              <w:tabs>
                <w:tab w:val="left" w:pos="431"/>
              </w:tabs>
              <w:spacing w:before="130" w:line="360" w:lineRule="auto"/>
              <w:ind w:left="113"/>
              <w:jc w:val="center"/>
              <w:rPr>
                <w:rFonts w:hint="eastAsia" w:ascii="宋体" w:hAnsi="宋体" w:eastAsia="宋体" w:cs="宋体"/>
                <w:sz w:val="18"/>
                <w:szCs w:val="18"/>
              </w:rPr>
            </w:pPr>
          </w:p>
        </w:tc>
      </w:tr>
      <w:tr w14:paraId="4B02B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vAlign w:val="center"/>
          </w:tcPr>
          <w:p w14:paraId="70497455">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object>
                <v:shape id="_x0000_i1044" o:spt="75" type="#_x0000_t75" style="height:21.5pt;width:30.5pt;" o:ole="t" filled="f" o:preferrelative="t" stroked="f" coordsize="21600,21600">
                  <v:path/>
                  <v:fill on="f" focussize="0,0"/>
                  <v:stroke on="f" joinstyle="miter"/>
                  <v:imagedata r:id="rId46" o:title=""/>
                  <o:lock v:ext="edit" aspectratio="f"/>
                  <w10:wrap type="none"/>
                  <w10:anchorlock/>
                </v:shape>
                <o:OLEObject Type="Embed" ProgID="Equation.DSMT4" ShapeID="_x0000_i1044" DrawAspect="Content" ObjectID="_1468075744" r:id="rId45">
                  <o:LockedField>false</o:LockedField>
                </o:OLEObject>
              </w:object>
            </w:r>
          </w:p>
        </w:tc>
        <w:tc>
          <w:tcPr>
            <w:tcW w:w="1025" w:type="dxa"/>
            <w:vAlign w:val="center"/>
          </w:tcPr>
          <w:p w14:paraId="4D00D58B">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0.669</w:t>
            </w:r>
          </w:p>
        </w:tc>
        <w:tc>
          <w:tcPr>
            <w:tcW w:w="1025" w:type="dxa"/>
            <w:vAlign w:val="center"/>
          </w:tcPr>
          <w:p w14:paraId="340D084B">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1.456</w:t>
            </w:r>
          </w:p>
        </w:tc>
        <w:tc>
          <w:tcPr>
            <w:tcW w:w="1025" w:type="dxa"/>
            <w:vAlign w:val="center"/>
          </w:tcPr>
          <w:p w14:paraId="7303F411">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0.945</w:t>
            </w:r>
          </w:p>
        </w:tc>
        <w:tc>
          <w:tcPr>
            <w:tcW w:w="1025" w:type="dxa"/>
            <w:vAlign w:val="center"/>
          </w:tcPr>
          <w:p w14:paraId="79B733AC">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0.164</w:t>
            </w:r>
          </w:p>
        </w:tc>
        <w:tc>
          <w:tcPr>
            <w:tcW w:w="1025" w:type="dxa"/>
            <w:vAlign w:val="center"/>
          </w:tcPr>
          <w:p w14:paraId="0446454C">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0.247</w:t>
            </w:r>
          </w:p>
        </w:tc>
        <w:tc>
          <w:tcPr>
            <w:tcW w:w="1025" w:type="dxa"/>
            <w:vAlign w:val="center"/>
          </w:tcPr>
          <w:p w14:paraId="16DD392C">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0.122</w:t>
            </w:r>
          </w:p>
        </w:tc>
        <w:tc>
          <w:tcPr>
            <w:tcW w:w="1025" w:type="dxa"/>
            <w:vAlign w:val="center"/>
          </w:tcPr>
          <w:p w14:paraId="3FE7082E">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0.109</w:t>
            </w:r>
          </w:p>
        </w:tc>
        <w:tc>
          <w:tcPr>
            <w:tcW w:w="1026" w:type="dxa"/>
            <w:vAlign w:val="center"/>
          </w:tcPr>
          <w:p w14:paraId="1D319339">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193.9</w:t>
            </w:r>
          </w:p>
        </w:tc>
        <w:tc>
          <w:tcPr>
            <w:tcW w:w="1026" w:type="dxa"/>
            <w:vMerge w:val="restart"/>
            <w:vAlign w:val="center"/>
          </w:tcPr>
          <w:p w14:paraId="11E9A244">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2.124</w:t>
            </w:r>
          </w:p>
        </w:tc>
      </w:tr>
      <w:tr w14:paraId="4B88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vAlign w:val="center"/>
          </w:tcPr>
          <w:p w14:paraId="4191D00A">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object>
                <v:shape id="_x0000_i1045" o:spt="75" type="#_x0000_t75" style="height:18pt;width:16.5pt;" o:ole="t" filled="f" o:preferrelative="t" stroked="f" coordsize="21600,21600">
                  <v:path/>
                  <v:fill on="f" focussize="0,0"/>
                  <v:stroke on="f" joinstyle="miter"/>
                  <v:imagedata r:id="rId48" o:title=""/>
                  <o:lock v:ext="edit" aspectratio="f"/>
                  <w10:wrap type="none"/>
                  <w10:anchorlock/>
                </v:shape>
                <o:OLEObject Type="Embed" ProgID="Equation.DSMT4" ShapeID="_x0000_i1045" DrawAspect="Content" ObjectID="_1468075745" r:id="rId47">
                  <o:LockedField>false</o:LockedField>
                </o:OLEObject>
              </w:object>
            </w:r>
          </w:p>
        </w:tc>
        <w:tc>
          <w:tcPr>
            <w:tcW w:w="1025" w:type="dxa"/>
            <w:vAlign w:val="center"/>
          </w:tcPr>
          <w:p w14:paraId="11E6F59D">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0.639</w:t>
            </w:r>
          </w:p>
        </w:tc>
        <w:tc>
          <w:tcPr>
            <w:tcW w:w="1025" w:type="dxa"/>
            <w:vAlign w:val="center"/>
          </w:tcPr>
          <w:p w14:paraId="646943AD">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0.635</w:t>
            </w:r>
          </w:p>
        </w:tc>
        <w:tc>
          <w:tcPr>
            <w:tcW w:w="1025" w:type="dxa"/>
            <w:vAlign w:val="center"/>
          </w:tcPr>
          <w:p w14:paraId="3556342B">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1.056</w:t>
            </w:r>
          </w:p>
        </w:tc>
        <w:tc>
          <w:tcPr>
            <w:tcW w:w="1025" w:type="dxa"/>
            <w:vAlign w:val="center"/>
          </w:tcPr>
          <w:p w14:paraId="471C13D0">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0.329</w:t>
            </w:r>
          </w:p>
        </w:tc>
        <w:tc>
          <w:tcPr>
            <w:tcW w:w="1025" w:type="dxa"/>
            <w:vAlign w:val="center"/>
          </w:tcPr>
          <w:p w14:paraId="1B30E343">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0.431</w:t>
            </w:r>
          </w:p>
        </w:tc>
        <w:tc>
          <w:tcPr>
            <w:tcW w:w="1025" w:type="dxa"/>
            <w:vAlign w:val="center"/>
          </w:tcPr>
          <w:p w14:paraId="3D8B4CDE">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0.148</w:t>
            </w:r>
          </w:p>
        </w:tc>
        <w:tc>
          <w:tcPr>
            <w:tcW w:w="1025" w:type="dxa"/>
            <w:vAlign w:val="center"/>
          </w:tcPr>
          <w:p w14:paraId="2410BE16">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0.146</w:t>
            </w:r>
          </w:p>
        </w:tc>
        <w:tc>
          <w:tcPr>
            <w:tcW w:w="1026" w:type="dxa"/>
            <w:vAlign w:val="center"/>
          </w:tcPr>
          <w:p w14:paraId="315918E0">
            <w:pPr>
              <w:pStyle w:val="12"/>
              <w:tabs>
                <w:tab w:val="left" w:pos="431"/>
              </w:tabs>
              <w:spacing w:before="130" w:line="360" w:lineRule="auto"/>
              <w:ind w:left="113"/>
              <w:jc w:val="center"/>
              <w:rPr>
                <w:rFonts w:hint="eastAsia" w:ascii="宋体" w:hAnsi="宋体" w:eastAsia="宋体" w:cs="宋体"/>
                <w:sz w:val="18"/>
                <w:szCs w:val="18"/>
              </w:rPr>
            </w:pPr>
            <w:r>
              <w:rPr>
                <w:rFonts w:hint="eastAsia" w:ascii="宋体" w:hAnsi="宋体" w:eastAsia="宋体" w:cs="宋体"/>
                <w:sz w:val="18"/>
                <w:szCs w:val="18"/>
              </w:rPr>
              <w:t>148.001</w:t>
            </w:r>
          </w:p>
        </w:tc>
        <w:tc>
          <w:tcPr>
            <w:tcW w:w="1026" w:type="dxa"/>
            <w:vMerge w:val="continue"/>
            <w:vAlign w:val="center"/>
          </w:tcPr>
          <w:p w14:paraId="421C1CC5">
            <w:pPr>
              <w:pStyle w:val="12"/>
              <w:tabs>
                <w:tab w:val="left" w:pos="431"/>
              </w:tabs>
              <w:spacing w:before="130" w:line="360" w:lineRule="auto"/>
              <w:jc w:val="center"/>
              <w:rPr>
                <w:rFonts w:hint="eastAsia" w:ascii="宋体" w:hAnsi="宋体" w:eastAsia="宋体" w:cs="宋体"/>
                <w:sz w:val="18"/>
                <w:szCs w:val="18"/>
                <w:lang w:bidi="ar"/>
              </w:rPr>
            </w:pPr>
          </w:p>
        </w:tc>
      </w:tr>
    </w:tbl>
    <w:p w14:paraId="514D3B76">
      <w:pPr>
        <w:pStyle w:val="21"/>
        <w:bidi w:val="0"/>
      </w:pPr>
      <w:r>
        <w:rPr>
          <w:rFonts w:hint="eastAsia"/>
        </w:rPr>
        <w:t>由表</w:t>
      </w:r>
      <w:r>
        <w:rPr>
          <w:rFonts w:hint="eastAsia"/>
          <w:lang w:val="en-US" w:eastAsia="zh-CN"/>
        </w:rPr>
        <w:t>3</w:t>
      </w:r>
      <w:r>
        <w:rPr>
          <w:rFonts w:hint="eastAsia"/>
        </w:rPr>
        <w:t>可知</w:t>
      </w:r>
      <w:r>
        <w:rPr>
          <w:rFonts w:hint="eastAsia"/>
          <w:lang w:val="en-US" w:eastAsia="zh-CN"/>
        </w:rPr>
        <w:t>5.2.1</w:t>
      </w:r>
      <w:r>
        <w:rPr>
          <w:rFonts w:hint="eastAsia"/>
        </w:rPr>
        <w:t>的判断正确（临界点F检验结果为准），即</w:t>
      </w:r>
      <w:r>
        <w:t>AH-70</w:t>
      </w:r>
      <w:r>
        <w:rPr>
          <w:rFonts w:hint="eastAsia"/>
        </w:rPr>
        <w:t>沥青在20</w:t>
      </w:r>
      <w:r>
        <w:t>℃</w:t>
      </w:r>
      <w:r>
        <w:rPr>
          <w:rFonts w:hint="eastAsia"/>
        </w:rPr>
        <w:t>的非</w:t>
      </w:r>
      <w:r>
        <w:t>线性粘弹性临界点测试结果</w:t>
      </w:r>
      <w:r>
        <w:rPr>
          <w:rFonts w:hint="eastAsia"/>
        </w:rPr>
        <w:t>为0.7%应变水平循环荷载作用下获得的均值剪切模量</w:t>
      </w:r>
      <m:oMath>
        <m:sSub>
          <m:sSubPr>
            <m:ctrlPr>
              <w:rPr>
                <w:rFonts w:ascii="Cambria Math" w:hAnsi="Cambria Math"/>
              </w:rPr>
            </m:ctrlPr>
          </m:sSubPr>
          <m:e>
            <m:d>
              <m:dPr>
                <m:begChr m:val="|"/>
                <m:endChr m:val="|"/>
                <m:ctrlPr>
                  <w:rPr>
                    <w:rFonts w:ascii="Cambria Math" w:hAnsi="Cambria Math"/>
                  </w:rPr>
                </m:ctrlPr>
              </m:dPr>
              <m:e>
                <m:acc>
                  <m:accPr>
                    <m:chr m:val="̅"/>
                    <m:ctrlPr>
                      <w:rPr>
                        <w:rFonts w:ascii="Cambria Math" w:hAnsi="Cambria Math"/>
                      </w:rPr>
                    </m:ctrlPr>
                  </m:accPr>
                  <m:e>
                    <m:r>
                      <m:rPr>
                        <m:sty m:val="p"/>
                      </m:rPr>
                      <w:rPr>
                        <w:rFonts w:ascii="Times New Roman" w:hAnsi="Times New Roman"/>
                      </w:rPr>
                      <m:t>G</m:t>
                    </m:r>
                    <m:ctrlPr>
                      <w:rPr>
                        <w:rFonts w:ascii="Cambria Math" w:hAnsi="Cambria Math"/>
                      </w:rPr>
                    </m:ctrlPr>
                  </m:e>
                </m:acc>
                <m:r>
                  <m:rPr>
                    <m:sty m:val="p"/>
                  </m:rPr>
                  <w:rPr>
                    <w:rFonts w:ascii="Times New Roman" w:hAnsi="Times New Roman"/>
                  </w:rPr>
                  <m:t>∗</m:t>
                </m:r>
                <m:ctrlPr>
                  <w:rPr>
                    <w:rFonts w:ascii="Cambria Math" w:hAnsi="Cambria Math"/>
                  </w:rPr>
                </m:ctrlPr>
              </m:e>
            </m:d>
            <m:ctrlPr>
              <w:rPr>
                <w:rFonts w:ascii="Cambria Math" w:hAnsi="Cambria Math"/>
              </w:rPr>
            </m:ctrlPr>
          </m:e>
          <m:sub>
            <m:r>
              <m:rPr>
                <m:sty m:val="p"/>
              </m:rPr>
              <w:rPr>
                <w:rFonts w:ascii="Times New Roman" w:hAnsi="Times New Roman"/>
              </w:rPr>
              <m:t>k</m:t>
            </m:r>
            <m:ctrlPr>
              <w:rPr>
                <w:rFonts w:ascii="Cambria Math" w:hAnsi="Cambria Math"/>
              </w:rPr>
            </m:ctrlPr>
          </m:sub>
        </m:sSub>
      </m:oMath>
      <w:r>
        <w:rPr>
          <w:rFonts w:hint="eastAsia"/>
        </w:rPr>
        <w:t>=</w:t>
      </w:r>
      <w:r>
        <w:t>8353kP</w:t>
      </w:r>
      <w:r>
        <w:rPr>
          <w:rFonts w:hint="eastAsia"/>
        </w:rPr>
        <w:t>a和相位角均值</w:t>
      </w:r>
      <w:r>
        <w:rPr>
          <w:rFonts w:ascii="Times New Roman" w:hAnsi="Times New Roman" w:cs="Times New Roman"/>
          <w:color w:val="000000" w:themeColor="text1"/>
          <w:position w:val="-12"/>
          <w:shd w:val="clear" w:color="auto" w:fill="FFFFFF"/>
          <w:lang w:bidi="ar"/>
          <w14:textFill>
            <w14:solidFill>
              <w14:schemeClr w14:val="tx1"/>
            </w14:solidFill>
          </w14:textFill>
        </w:rPr>
        <w:object>
          <v:shape id="_x0000_i1046" o:spt="75" type="#_x0000_t75" style="height:19pt;width:50pt;" o:ole="t" filled="f" o:preferrelative="t" stroked="f" coordsize="21600,21600">
            <v:path/>
            <v:fill on="f" focussize="0,0"/>
            <v:stroke on="f" joinstyle="miter"/>
            <v:imagedata r:id="rId50" o:title=""/>
            <o:lock v:ext="edit" aspectratio="f"/>
            <w10:wrap type="none"/>
            <w10:anchorlock/>
          </v:shape>
          <o:OLEObject Type="Embed" ProgID="Equation.DSMT4" ShapeID="_x0000_i1046" DrawAspect="Content" ObjectID="_1468075746" r:id="rId49">
            <o:LockedField>false</o:LockedField>
          </o:OLEObject>
        </w:object>
      </w:r>
      <w:r>
        <w:rPr>
          <w:rFonts w:hint="eastAsia"/>
        </w:rPr>
        <w:t>如表</w:t>
      </w:r>
      <w:r>
        <w:rPr>
          <w:rFonts w:hint="eastAsia"/>
          <w:lang w:val="en-US" w:eastAsia="zh-CN"/>
        </w:rPr>
        <w:t>4</w:t>
      </w:r>
      <w:r>
        <w:rPr>
          <w:rFonts w:hint="eastAsia"/>
        </w:rPr>
        <w:t>所示。</w:t>
      </w:r>
    </w:p>
    <w:p w14:paraId="1AEEF23D">
      <w:pPr>
        <w:pStyle w:val="52"/>
        <w:tabs>
          <w:tab w:val="left" w:pos="0"/>
        </w:tabs>
        <w:spacing w:before="156" w:after="156"/>
        <w:rPr>
          <w:rFonts w:hint="eastAsia"/>
        </w:rPr>
      </w:pPr>
      <w:r>
        <w:rPr>
          <w:rFonts w:hint="eastAsia"/>
        </w:rPr>
        <w:t>AH-70非线性粘弹性临界点测试结果</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2"/>
        <w:gridCol w:w="1719"/>
        <w:gridCol w:w="2295"/>
        <w:gridCol w:w="2876"/>
      </w:tblGrid>
      <w:tr w14:paraId="775D1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39" w:type="pct"/>
            <w:tcBorders>
              <w:top w:val="single" w:color="auto" w:sz="4" w:space="0"/>
              <w:left w:val="single" w:color="auto" w:sz="4" w:space="0"/>
              <w:bottom w:val="single" w:color="auto" w:sz="4" w:space="0"/>
              <w:right w:val="single" w:color="auto" w:sz="4" w:space="0"/>
            </w:tcBorders>
            <w:vAlign w:val="center"/>
          </w:tcPr>
          <w:p w14:paraId="5BCFD5DD">
            <w:pPr>
              <w:pStyle w:val="12"/>
              <w:tabs>
                <w:tab w:val="left" w:pos="431"/>
              </w:tabs>
              <w:spacing w:line="336" w:lineRule="auto"/>
              <w:jc w:val="center"/>
              <w:rPr>
                <w:rFonts w:hint="eastAsia" w:asciiTheme="minorEastAsia" w:hAnsiTheme="minorEastAsia" w:eastAsiaTheme="minorEastAsia" w:cstheme="minorEastAsia"/>
                <w:sz w:val="18"/>
                <w:szCs w:val="18"/>
                <w:lang w:eastAsia="en-US"/>
              </w:rPr>
            </w:pPr>
            <w:r>
              <w:rPr>
                <w:rFonts w:hint="eastAsia" w:asciiTheme="minorEastAsia" w:hAnsiTheme="minorEastAsia" w:eastAsiaTheme="minorEastAsia" w:cstheme="minorEastAsia"/>
                <w:sz w:val="18"/>
                <w:szCs w:val="18"/>
                <w:lang w:eastAsia="en-US" w:bidi="ar"/>
              </w:rPr>
              <w:t>材料类型</w:t>
            </w:r>
          </w:p>
        </w:tc>
        <w:tc>
          <w:tcPr>
            <w:tcW w:w="838" w:type="pct"/>
            <w:tcBorders>
              <w:top w:val="single" w:color="auto" w:sz="4" w:space="0"/>
              <w:left w:val="single" w:color="auto" w:sz="4" w:space="0"/>
              <w:bottom w:val="single" w:color="auto" w:sz="4" w:space="0"/>
              <w:right w:val="single" w:color="auto" w:sz="4" w:space="0"/>
            </w:tcBorders>
            <w:vAlign w:val="center"/>
          </w:tcPr>
          <w:p w14:paraId="4F4C78F8">
            <w:pPr>
              <w:pStyle w:val="12"/>
              <w:tabs>
                <w:tab w:val="left" w:pos="431"/>
              </w:tabs>
              <w:spacing w:line="336" w:lineRule="auto"/>
              <w:jc w:val="center"/>
              <w:rPr>
                <w:rFonts w:hint="eastAsia" w:asciiTheme="minorEastAsia" w:hAnsiTheme="minorEastAsia" w:eastAsiaTheme="minorEastAsia" w:cstheme="minorEastAsia"/>
                <w:sz w:val="18"/>
                <w:szCs w:val="18"/>
                <w:lang w:eastAsia="en-US"/>
              </w:rPr>
            </w:pPr>
            <w:r>
              <w:rPr>
                <w:rFonts w:hint="eastAsia" w:asciiTheme="minorEastAsia" w:hAnsiTheme="minorEastAsia" w:eastAsiaTheme="minorEastAsia" w:cstheme="minorEastAsia"/>
                <w:sz w:val="18"/>
                <w:szCs w:val="18"/>
                <w:lang w:eastAsia="en-US" w:bidi="ar"/>
              </w:rPr>
              <w:t>温度（°C）</w:t>
            </w:r>
          </w:p>
        </w:tc>
        <w:tc>
          <w:tcPr>
            <w:tcW w:w="1119" w:type="pct"/>
            <w:tcBorders>
              <w:top w:val="single" w:color="auto" w:sz="4" w:space="0"/>
              <w:left w:val="single" w:color="auto" w:sz="4" w:space="0"/>
              <w:bottom w:val="single" w:color="auto" w:sz="4" w:space="0"/>
              <w:right w:val="single" w:color="auto" w:sz="4" w:space="0"/>
            </w:tcBorders>
            <w:vAlign w:val="center"/>
          </w:tcPr>
          <w:p w14:paraId="43C99B55">
            <w:pPr>
              <w:pStyle w:val="12"/>
              <w:spacing w:line="336" w:lineRule="auto"/>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position w:val="-16"/>
                <w:sz w:val="18"/>
                <w:szCs w:val="18"/>
                <w:lang w:eastAsia="en-US"/>
              </w:rPr>
              <w:object>
                <v:shape id="_x0000_i1047" o:spt="75" type="#_x0000_t75" style="height:21.5pt;width:40.5pt;" o:ole="t" filled="f" o:preferrelative="t" stroked="f" coordsize="21600,21600">
                  <v:path/>
                  <v:fill on="f" focussize="0,0"/>
                  <v:stroke on="f" joinstyle="miter"/>
                  <v:imagedata r:id="rId52" o:title=""/>
                  <o:lock v:ext="edit" aspectratio="f"/>
                  <w10:wrap type="none"/>
                  <w10:anchorlock/>
                </v:shape>
                <o:OLEObject Type="Embed" ProgID="Equation.DSMT4" ShapeID="_x0000_i1047" DrawAspect="Content" ObjectID="_1468075747" r:id="rId51">
                  <o:LockedField>false</o:LockedField>
                </o:OLEObject>
              </w:object>
            </w:r>
            <w:r>
              <w:rPr>
                <w:rFonts w:hint="eastAsia" w:asciiTheme="minorEastAsia" w:hAnsiTheme="minorEastAsia" w:eastAsiaTheme="minorEastAsia" w:cstheme="minorEastAsia"/>
                <w:sz w:val="18"/>
                <w:szCs w:val="18"/>
              </w:rPr>
              <w:t>(kPa)</w:t>
            </w:r>
          </w:p>
        </w:tc>
        <w:tc>
          <w:tcPr>
            <w:tcW w:w="1402" w:type="pct"/>
            <w:tcBorders>
              <w:top w:val="single" w:color="auto" w:sz="4" w:space="0"/>
              <w:left w:val="single" w:color="auto" w:sz="4" w:space="0"/>
              <w:bottom w:val="single" w:color="auto" w:sz="4" w:space="0"/>
              <w:right w:val="single" w:color="auto" w:sz="4" w:space="0"/>
            </w:tcBorders>
            <w:vAlign w:val="center"/>
          </w:tcPr>
          <w:p w14:paraId="2858F288">
            <w:pPr>
              <w:pStyle w:val="12"/>
              <w:tabs>
                <w:tab w:val="left" w:pos="431"/>
              </w:tabs>
              <w:spacing w:line="336" w:lineRule="auto"/>
              <w:jc w:val="center"/>
              <w:rPr>
                <w:rFonts w:hint="eastAsia" w:asciiTheme="minorEastAsia" w:hAnsiTheme="minorEastAsia" w:eastAsiaTheme="minorEastAsia" w:cstheme="minorEastAsia"/>
                <w:sz w:val="18"/>
                <w:szCs w:val="18"/>
                <w:lang w:eastAsia="en-US"/>
              </w:rPr>
            </w:pPr>
            <w:r>
              <w:rPr>
                <w:rFonts w:hint="eastAsia" w:asciiTheme="minorEastAsia" w:hAnsiTheme="minorEastAsia" w:eastAsiaTheme="minorEastAsia" w:cstheme="minorEastAsia"/>
                <w:position w:val="-12"/>
                <w:sz w:val="18"/>
                <w:szCs w:val="18"/>
                <w:shd w:val="clear" w:color="auto" w:fill="FFFFFF"/>
                <w:lang w:bidi="ar"/>
              </w:rPr>
              <w:object>
                <v:shape id="_x0000_i1048" o:spt="75" type="#_x0000_t75" style="height:18pt;width:28.5pt;" o:ole="t" filled="f" o:preferrelative="t" stroked="f" coordsize="21600,21600">
                  <v:path/>
                  <v:fill on="f" focussize="0,0"/>
                  <v:stroke on="f" joinstyle="miter"/>
                  <v:imagedata r:id="rId54" o:title=""/>
                  <o:lock v:ext="edit" aspectratio="f"/>
                  <w10:wrap type="none"/>
                  <w10:anchorlock/>
                </v:shape>
                <o:OLEObject Type="Embed" ProgID="Equation.DSMT4" ShapeID="_x0000_i1048" DrawAspect="Content" ObjectID="_1468075748" r:id="rId53">
                  <o:LockedField>false</o:LockedField>
                </o:OLEObject>
              </w:object>
            </w:r>
            <w:r>
              <w:rPr>
                <w:rFonts w:hint="eastAsia" w:asciiTheme="minorEastAsia" w:hAnsiTheme="minorEastAsia" w:eastAsiaTheme="minorEastAsia" w:cstheme="minorEastAsia"/>
                <w:sz w:val="18"/>
                <w:szCs w:val="18"/>
                <w:lang w:eastAsia="en-US" w:bidi="ar"/>
              </w:rPr>
              <w:t>（°）</w:t>
            </w:r>
          </w:p>
        </w:tc>
      </w:tr>
      <w:tr w14:paraId="069B5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1639" w:type="pct"/>
            <w:tcBorders>
              <w:top w:val="single" w:color="auto" w:sz="4" w:space="0"/>
              <w:left w:val="single" w:color="auto" w:sz="4" w:space="0"/>
              <w:right w:val="single" w:color="auto" w:sz="4" w:space="0"/>
            </w:tcBorders>
            <w:vAlign w:val="center"/>
          </w:tcPr>
          <w:p w14:paraId="4A8A7DA5">
            <w:pPr>
              <w:jc w:val="center"/>
              <w:rPr>
                <w:rFonts w:hint="eastAsia" w:asciiTheme="minorEastAsia" w:hAnsiTheme="minorEastAsia" w:eastAsiaTheme="minorEastAsia" w:cstheme="minorEastAsia"/>
                <w:sz w:val="18"/>
                <w:szCs w:val="18"/>
                <w:lang w:eastAsia="en-US"/>
              </w:rPr>
            </w:pPr>
            <w:r>
              <w:rPr>
                <w:rFonts w:hint="eastAsia" w:asciiTheme="minorEastAsia" w:hAnsiTheme="minorEastAsia" w:eastAsiaTheme="minorEastAsia" w:cstheme="minorEastAsia"/>
                <w:sz w:val="18"/>
                <w:szCs w:val="18"/>
                <w:lang w:eastAsia="en-US" w:bidi="ar"/>
              </w:rPr>
              <w:t>AH-70</w:t>
            </w:r>
          </w:p>
        </w:tc>
        <w:tc>
          <w:tcPr>
            <w:tcW w:w="838" w:type="pct"/>
            <w:tcBorders>
              <w:top w:val="single" w:color="auto" w:sz="4" w:space="0"/>
              <w:left w:val="single" w:color="auto" w:sz="4" w:space="0"/>
              <w:bottom w:val="single" w:color="auto" w:sz="4" w:space="0"/>
              <w:right w:val="single" w:color="auto" w:sz="4" w:space="0"/>
            </w:tcBorders>
            <w:vAlign w:val="center"/>
          </w:tcPr>
          <w:p w14:paraId="3E030ADE">
            <w:pPr>
              <w:pStyle w:val="12"/>
              <w:tabs>
                <w:tab w:val="left" w:pos="431"/>
              </w:tabs>
              <w:spacing w:line="336" w:lineRule="auto"/>
              <w:jc w:val="center"/>
              <w:rPr>
                <w:rFonts w:hint="eastAsia" w:asciiTheme="minorEastAsia" w:hAnsiTheme="minorEastAsia" w:eastAsiaTheme="minorEastAsia" w:cstheme="minorEastAsia"/>
                <w:sz w:val="18"/>
                <w:szCs w:val="18"/>
                <w:lang w:eastAsia="en-US"/>
              </w:rPr>
            </w:pPr>
            <w:r>
              <w:rPr>
                <w:rFonts w:hint="eastAsia" w:asciiTheme="minorEastAsia" w:hAnsiTheme="minorEastAsia" w:eastAsiaTheme="minorEastAsia" w:cstheme="minorEastAsia"/>
                <w:sz w:val="18"/>
                <w:szCs w:val="18"/>
                <w:lang w:eastAsia="en-US" w:bidi="ar"/>
              </w:rPr>
              <w:t>20</w:t>
            </w:r>
          </w:p>
        </w:tc>
        <w:tc>
          <w:tcPr>
            <w:tcW w:w="1119" w:type="pct"/>
            <w:tcBorders>
              <w:top w:val="single" w:color="auto" w:sz="4" w:space="0"/>
              <w:left w:val="single" w:color="auto" w:sz="4" w:space="0"/>
              <w:bottom w:val="single" w:color="auto" w:sz="4" w:space="0"/>
              <w:right w:val="single" w:color="auto" w:sz="4" w:space="0"/>
            </w:tcBorders>
            <w:vAlign w:val="center"/>
          </w:tcPr>
          <w:p w14:paraId="15C4BE05">
            <w:pPr>
              <w:pStyle w:val="12"/>
              <w:spacing w:line="336" w:lineRule="auto"/>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8353</w:t>
            </w:r>
          </w:p>
        </w:tc>
        <w:tc>
          <w:tcPr>
            <w:tcW w:w="1402" w:type="pct"/>
            <w:tcBorders>
              <w:top w:val="single" w:color="auto" w:sz="4" w:space="0"/>
              <w:left w:val="single" w:color="auto" w:sz="4" w:space="0"/>
              <w:bottom w:val="single" w:color="auto" w:sz="4" w:space="0"/>
              <w:right w:val="single" w:color="auto" w:sz="4" w:space="0"/>
            </w:tcBorders>
            <w:vAlign w:val="center"/>
          </w:tcPr>
          <w:p w14:paraId="37BA715A">
            <w:pPr>
              <w:pStyle w:val="12"/>
              <w:tabs>
                <w:tab w:val="left" w:pos="431"/>
              </w:tabs>
              <w:spacing w:line="336" w:lineRule="auto"/>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bidi="ar"/>
              </w:rPr>
              <w:t>53.3</w:t>
            </w:r>
          </w:p>
        </w:tc>
      </w:tr>
    </w:tbl>
    <w:p w14:paraId="0F974F5B">
      <w:pPr>
        <w:tabs>
          <w:tab w:val="left" w:pos="431"/>
        </w:tabs>
        <w:rPr>
          <w:rFonts w:ascii="Times New Roman" w:hAnsi="Times New Roman" w:cs="Times New Roman"/>
          <w:sz w:val="28"/>
          <w:szCs w:val="28"/>
        </w:rPr>
      </w:pPr>
    </w:p>
    <w:p w14:paraId="45B9A8BF">
      <w:pPr>
        <w:pStyle w:val="12"/>
        <w:numPr>
          <w:ilvl w:val="0"/>
          <w:numId w:val="0"/>
        </w:numPr>
        <w:tabs>
          <w:tab w:val="left" w:pos="431"/>
        </w:tabs>
        <w:ind w:left="113" w:leftChars="0"/>
        <w:rPr>
          <w:rFonts w:hint="eastAsia" w:ascii="黑体" w:hAnsi="黑体" w:eastAsia="黑体" w:cs="Times New Roman"/>
          <w:color w:val="000000" w:themeColor="text1"/>
          <w:sz w:val="21"/>
          <w:szCs w:val="22"/>
          <w:lang w:val="en-US" w:eastAsia="zh-CN" w:bidi="ar"/>
          <w14:textFill>
            <w14:solidFill>
              <w14:schemeClr w14:val="tx1"/>
            </w14:solidFill>
          </w14:textFill>
        </w:rPr>
      </w:pPr>
      <w:r>
        <w:rPr>
          <w:rStyle w:val="51"/>
          <w:rFonts w:hint="eastAsia"/>
          <w:szCs w:val="21"/>
          <w:lang w:val="en-US" w:eastAsia="zh-CN"/>
        </w:rPr>
        <w:t>5.3</w:t>
      </w:r>
      <w:r>
        <w:rPr>
          <w:rFonts w:hint="eastAsia" w:ascii="黑体" w:hAnsi="黑体" w:eastAsia="黑体" w:cs="Times New Roman"/>
          <w:color w:val="000000" w:themeColor="text1"/>
          <w:sz w:val="21"/>
          <w:szCs w:val="22"/>
          <w:lang w:val="en-US" w:eastAsia="zh-CN" w:bidi="ar"/>
          <w14:textFill>
            <w14:solidFill>
              <w14:schemeClr w14:val="tx1"/>
            </w14:solidFill>
          </w14:textFill>
        </w:rPr>
        <w:t>疲劳抗性指标计算</w:t>
      </w:r>
    </w:p>
    <w:p w14:paraId="3ACBFC93">
      <w:pPr>
        <w:pStyle w:val="21"/>
        <w:bidi w:val="0"/>
      </w:pPr>
      <w:r>
        <w:rPr>
          <w:rFonts w:hint="eastAsia"/>
        </w:rPr>
        <w:t>按照3.3.1-3.3.3</w:t>
      </w:r>
      <w:r>
        <w:t>对沥青试样开展线</w:t>
      </w:r>
      <w:r>
        <w:rPr>
          <w:rFonts w:hint="eastAsia"/>
        </w:rPr>
        <w:t>高应变</w:t>
      </w:r>
      <w:r>
        <w:t>时间扫描试验，输出循环荷载作用下的</w:t>
      </w:r>
      <w:r>
        <w:rPr>
          <w:rFonts w:hint="eastAsia"/>
        </w:rPr>
        <w:t>剪切</w:t>
      </w:r>
      <w:r>
        <w:t>模量</w:t>
      </w:r>
      <w:r>
        <w:rPr>
          <w:rFonts w:hint="eastAsia"/>
        </w:rPr>
        <w:t>记为</w:t>
      </w:r>
      <w:r>
        <w:rPr>
          <w:rFonts w:ascii="Times New Roman" w:hAnsi="Times New Roman" w:cs="Times New Roman"/>
          <w:color w:val="000000" w:themeColor="text1"/>
          <w:position w:val="-12"/>
          <w:lang w:bidi="ar"/>
          <w14:textFill>
            <w14:solidFill>
              <w14:schemeClr w14:val="tx1"/>
            </w14:solidFill>
          </w14:textFill>
        </w:rPr>
        <w:object>
          <v:shape id="_x0000_i1049" o:spt="75" type="#_x0000_t75" style="height:21.5pt;width:30pt;" o:ole="t" filled="f" o:preferrelative="t" stroked="f" coordsize="21600,21600">
            <v:path/>
            <v:fill on="f" focussize="0,0"/>
            <v:stroke on="f" joinstyle="miter"/>
            <v:imagedata r:id="rId24" o:title=""/>
            <o:lock v:ext="edit" aspectratio="t"/>
            <w10:wrap type="none"/>
            <w10:anchorlock/>
          </v:shape>
          <o:OLEObject Type="Embed" ProgID="Equation.DSMT4" ShapeID="_x0000_i1049" DrawAspect="Content" ObjectID="_1468075749" r:id="rId55">
            <o:LockedField>false</o:LockedField>
          </o:OLEObject>
        </w:object>
      </w:r>
      <w:r>
        <w:rPr>
          <w:rFonts w:hint="eastAsia"/>
        </w:rPr>
        <w:t>，将</w:t>
      </w:r>
      <w:r>
        <w:rPr>
          <w:rFonts w:hint="eastAsia"/>
          <w:lang w:val="en-US" w:eastAsia="zh-CN"/>
        </w:rPr>
        <w:t>5.2.2</w:t>
      </w:r>
      <w:r>
        <w:rPr>
          <w:rFonts w:hint="eastAsia"/>
        </w:rPr>
        <w:t>中得到</w:t>
      </w:r>
      <w:r>
        <w:rPr>
          <w:rFonts w:hint="eastAsia"/>
          <w:lang w:val="en-US" w:eastAsia="zh-CN"/>
        </w:rPr>
        <w:t>对应</w:t>
      </w:r>
      <w:r>
        <w:rPr>
          <w:rFonts w:hint="eastAsia"/>
        </w:rPr>
        <w:t>温度下的</w:t>
      </w:r>
      <w:r>
        <w:rPr>
          <w:rFonts w:ascii="Times New Roman" w:hAnsi="Times New Roman" w:cs="Times New Roman"/>
          <w:color w:val="000000" w:themeColor="text1"/>
          <w:position w:val="-16"/>
          <w:shd w:val="clear" w:color="auto" w:fill="FFFFFF"/>
          <w:lang w:bidi="ar"/>
          <w14:textFill>
            <w14:solidFill>
              <w14:schemeClr w14:val="tx1"/>
            </w14:solidFill>
          </w14:textFill>
        </w:rPr>
        <w:object>
          <v:shape id="_x0000_i1050" o:spt="75" type="#_x0000_t75" style="height:22pt;width:40.5pt;" o:ole="t" filled="f" o:preferrelative="t" stroked="f" coordsize="21600,21600">
            <v:path/>
            <v:fill on="f" focussize="0,0"/>
            <v:stroke on="f" joinstyle="miter"/>
            <v:imagedata r:id="rId28" o:title=""/>
            <o:lock v:ext="edit" aspectratio="f"/>
            <w10:wrap type="none"/>
            <w10:anchorlock/>
          </v:shape>
          <o:OLEObject Type="Embed" ProgID="Equation.DSMT4" ShapeID="_x0000_i1050" DrawAspect="Content" ObjectID="_1468075750" r:id="rId56">
            <o:LockedField>false</o:LockedField>
          </o:OLEObject>
        </w:object>
      </w:r>
      <w:r>
        <w:rPr>
          <w:rFonts w:hint="eastAsia"/>
        </w:rPr>
        <w:t>作为</w:t>
      </w:r>
      <w:r>
        <w:rPr>
          <w:rFonts w:ascii="Times New Roman" w:hAnsi="Times New Roman" w:cs="Times New Roman"/>
          <w:color w:val="000000" w:themeColor="text1"/>
          <w:position w:val="-12"/>
          <w14:textFill>
            <w14:solidFill>
              <w14:schemeClr w14:val="tx1"/>
            </w14:solidFill>
          </w14:textFill>
        </w:rPr>
        <w:object>
          <v:shape id="_x0000_i1051" o:spt="75" type="#_x0000_t75" style="height:21.5pt;width:30pt;" o:ole="t" filled="f" o:preferrelative="t" stroked="f" coordsize="21600,21600">
            <v:path/>
            <v:fill on="f" focussize="0,0"/>
            <v:stroke on="f" joinstyle="miter"/>
            <v:imagedata r:id="rId39" o:title=""/>
            <o:lock v:ext="edit" aspectratio="t"/>
            <w10:wrap type="none"/>
            <w10:anchorlock/>
          </v:shape>
          <o:OLEObject Type="Embed" ProgID="Equation.DSMT4" ShapeID="_x0000_i1051" DrawAspect="Content" ObjectID="_1468075751" r:id="rId57">
            <o:LockedField>false</o:LockedField>
          </o:OLEObject>
        </w:object>
      </w:r>
      <w:r>
        <w:rPr>
          <w:rFonts w:hint="eastAsia"/>
        </w:rPr>
        <w:t>，结合</w:t>
      </w:r>
      <w:r>
        <w:rPr>
          <w:rFonts w:hint="eastAsia"/>
          <w:lang w:val="en-US" w:eastAsia="zh-CN"/>
        </w:rPr>
        <w:t>4.4.</w:t>
      </w:r>
      <w:r>
        <w:rPr>
          <w:rFonts w:hint="eastAsia"/>
        </w:rPr>
        <w:t>4计算公式</w:t>
      </w:r>
      <w:r>
        <w:t>损伤密度</w:t>
      </w:r>
      <w:r>
        <w:rPr>
          <w:rFonts w:ascii="Times New Roman" w:hAnsi="Times New Roman" w:cs="Times New Roman"/>
          <w:color w:val="000000" w:themeColor="text1"/>
          <w:position w:val="-15"/>
          <w:sz w:val="21"/>
          <w14:textFill>
            <w14:solidFill>
              <w14:schemeClr w14:val="tx1"/>
            </w14:solidFill>
          </w14:textFill>
        </w:rPr>
        <w:object>
          <v:shape id="_x0000_i1052" o:spt="75" type="#_x0000_t75" style="height:36pt;width:69pt;" o:ole="t" filled="f" o:preferrelative="t" stroked="f" coordsize="21600,21600">
            <v:path/>
            <v:fill on="f" focussize="0,0"/>
            <v:stroke on="f" joinstyle="miter"/>
            <v:imagedata r:id="rId26" o:title=""/>
            <o:lock v:ext="edit" aspectratio="t"/>
            <w10:wrap type="none"/>
            <w10:anchorlock/>
          </v:shape>
          <o:OLEObject Type="Embed" ProgID="Equation.DSMT4" ShapeID="_x0000_i1052" DrawAspect="Content" ObjectID="_1468075752" r:id="rId58">
            <o:LockedField>false</o:LockedField>
          </o:OLEObject>
        </w:object>
      </w:r>
      <w:r>
        <w:rPr>
          <w:rFonts w:hint="eastAsia"/>
        </w:rPr>
        <w:t>来计算沥青材料的损伤密度</w:t>
      </w:r>
      <w:r>
        <w:rPr>
          <w:rFonts w:ascii="Times New Roman" w:hAnsi="Times New Roman" w:eastAsia="黑体" w:cs="Times New Roman"/>
          <w:color w:val="000000" w:themeColor="text1"/>
          <w:position w:val="-12"/>
          <w14:textFill>
            <w14:solidFill>
              <w14:schemeClr w14:val="tx1"/>
            </w14:solidFill>
          </w14:textFill>
        </w:rPr>
        <w:object>
          <v:shape id="_x0000_i1053" o:spt="75" type="#_x0000_t75" style="height:16pt;width:10.5pt;" o:ole="t" filled="f" o:preferrelative="t" stroked="f" coordsize="21600,21600">
            <v:path/>
            <v:fill on="f" focussize="0,0"/>
            <v:stroke on="f" joinstyle="miter"/>
            <v:imagedata r:id="rId21" o:title=""/>
            <o:lock v:ext="edit" aspectratio="f"/>
            <w10:wrap type="none"/>
            <w10:anchorlock/>
          </v:shape>
          <o:OLEObject Type="Embed" ProgID="Equation.DSMT4" ShapeID="_x0000_i1053" DrawAspect="Content" ObjectID="_1468075753" r:id="rId59">
            <o:LockedField>false</o:LockedField>
          </o:OLEObject>
        </w:object>
      </w:r>
      <w:r>
        <w:rPr>
          <w:rFonts w:hint="eastAsia"/>
        </w:rPr>
        <w:t>，得到损伤密度</w:t>
      </w:r>
      <w:r>
        <w:rPr>
          <w:rFonts w:ascii="Times New Roman" w:hAnsi="Times New Roman" w:eastAsia="黑体" w:cs="Times New Roman"/>
          <w:color w:val="000000" w:themeColor="text1"/>
          <w:position w:val="-12"/>
          <w14:textFill>
            <w14:solidFill>
              <w14:schemeClr w14:val="tx1"/>
            </w14:solidFill>
          </w14:textFill>
        </w:rPr>
        <w:object>
          <v:shape id="_x0000_i1054" o:spt="75" type="#_x0000_t75" style="height:16pt;width:10.5pt;" o:ole="t" filled="f" o:preferrelative="t" stroked="f" coordsize="21600,21600">
            <v:path/>
            <v:fill on="f" focussize="0,0"/>
            <v:stroke on="f" joinstyle="miter"/>
            <v:imagedata r:id="rId21" o:title=""/>
            <o:lock v:ext="edit" aspectratio="f"/>
            <w10:wrap type="none"/>
            <w10:anchorlock/>
          </v:shape>
          <o:OLEObject Type="Embed" ProgID="Equation.DSMT4" ShapeID="_x0000_i1054" DrawAspect="Content" ObjectID="_1468075754" r:id="rId60">
            <o:LockedField>false</o:LockedField>
          </o:OLEObject>
        </w:object>
      </w:r>
      <w:r>
        <w:rPr>
          <w:rFonts w:hint="eastAsia"/>
        </w:rPr>
        <w:t>随时间的变化曲线如图2：</w:t>
      </w:r>
    </w:p>
    <w:p w14:paraId="3EA554D1">
      <w:pPr>
        <w:pStyle w:val="12"/>
        <w:tabs>
          <w:tab w:val="left" w:pos="431"/>
        </w:tabs>
        <w:ind w:left="113"/>
        <w:jc w:val="center"/>
      </w:pPr>
      <w:r>
        <w:drawing>
          <wp:inline distT="0" distB="0" distL="114300" distR="114300">
            <wp:extent cx="5038725" cy="2867025"/>
            <wp:effectExtent l="0" t="0" r="9525" b="9525"/>
            <wp:docPr id="1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5"/>
                    <pic:cNvPicPr>
                      <a:picLocks noChangeAspect="1"/>
                    </pic:cNvPicPr>
                  </pic:nvPicPr>
                  <pic:blipFill>
                    <a:blip r:embed="rId61"/>
                    <a:stretch>
                      <a:fillRect/>
                    </a:stretch>
                  </pic:blipFill>
                  <pic:spPr>
                    <a:xfrm>
                      <a:off x="0" y="0"/>
                      <a:ext cx="5038725" cy="2867025"/>
                    </a:xfrm>
                    <a:prstGeom prst="rect">
                      <a:avLst/>
                    </a:prstGeom>
                    <a:noFill/>
                    <a:ln>
                      <a:noFill/>
                    </a:ln>
                  </pic:spPr>
                </pic:pic>
              </a:graphicData>
            </a:graphic>
          </wp:inline>
        </w:drawing>
      </w:r>
    </w:p>
    <w:p w14:paraId="67B39F5A">
      <w:pPr>
        <w:pStyle w:val="53"/>
        <w:spacing w:before="156" w:after="156"/>
        <w:rPr>
          <w:rFonts w:hint="eastAsia"/>
        </w:rPr>
      </w:pPr>
      <w:r>
        <w:rPr>
          <w:rFonts w:hint="eastAsia"/>
        </w:rPr>
        <w:t>高应变循环荷载作用下AH-70沥青材料损伤密度随加载时间变化图</w:t>
      </w:r>
    </w:p>
    <w:p w14:paraId="70F54032">
      <w:pPr>
        <w:pStyle w:val="12"/>
        <w:tabs>
          <w:tab w:val="left" w:pos="431"/>
        </w:tabs>
        <w:ind w:left="113"/>
        <w:jc w:val="center"/>
      </w:pPr>
    </w:p>
    <w:sectPr>
      <w:headerReference r:id="rId9" w:type="default"/>
      <w:footerReference r:id="rId11" w:type="default"/>
      <w:headerReference r:id="rId10" w:type="even"/>
      <w:footerReference r:id="rId12" w:type="even"/>
      <w:pgSz w:w="11910" w:h="16840"/>
      <w:pgMar w:top="2020" w:right="740" w:bottom="1340" w:left="1134" w:header="1818" w:footer="1141"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17DBB">
    <w:pPr>
      <w:pStyle w:val="5"/>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2A028">
    <w:pPr>
      <w:pStyle w:val="5"/>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6626860</wp:posOffset>
              </wp:positionH>
              <wp:positionV relativeFrom="page">
                <wp:posOffset>9828530</wp:posOffset>
              </wp:positionV>
              <wp:extent cx="140970" cy="139700"/>
              <wp:effectExtent l="0" t="0" r="0" b="0"/>
              <wp:wrapNone/>
              <wp:docPr id="8" name="Text Box 8"/>
              <wp:cNvGraphicFramePr/>
              <a:graphic xmlns:a="http://schemas.openxmlformats.org/drawingml/2006/main">
                <a:graphicData uri="http://schemas.microsoft.com/office/word/2010/wordprocessingShape">
                  <wps:wsp>
                    <wps:cNvSpPr txBox="1">
                      <a:spLocks noChangeArrowheads="1"/>
                    </wps:cNvSpPr>
                    <wps:spPr bwMode="auto">
                      <a:xfrm>
                        <a:off x="0" y="0"/>
                        <a:ext cx="140970" cy="139700"/>
                      </a:xfrm>
                      <a:prstGeom prst="rect">
                        <a:avLst/>
                      </a:prstGeom>
                      <a:noFill/>
                      <a:ln>
                        <a:noFill/>
                      </a:ln>
                    </wps:spPr>
                    <wps:txbx>
                      <w:txbxContent>
                        <w:p w14:paraId="07DDDA83">
                          <w:pPr>
                            <w:spacing w:line="220" w:lineRule="exact"/>
                            <w:ind w:left="20"/>
                            <w:rPr>
                              <w:sz w:val="18"/>
                            </w:rPr>
                          </w:pPr>
                          <w:r>
                            <w:rPr>
                              <w:sz w:val="18"/>
                            </w:rPr>
                            <w:t xml:space="preserve">I </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521.8pt;margin-top:773.9pt;height:11pt;width:11.1pt;mso-position-horizontal-relative:page;mso-position-vertical-relative:page;z-index:-251655168;mso-width-relative:page;mso-height-relative:page;" filled="f" stroked="f" coordsize="21600,21600" o:gfxdata="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mRHtNkAAAAPAQAADwAAAAAAAAABACAAAAAiAAAAZHJzL2Rvd25yZXYu&#10;eG1sUEsBAhQAFAAAAAgAh07iQEnPFdr6AQAAAwQAAA4AAAAAAAAAAQAgAAAAKAEAAGRycy9lMm9E&#10;b2MueG1sUEsFBgAAAAAGAAYAWQEAAJQFAAAAAA==&#10;">
              <v:fill on="f" focussize="0,0"/>
              <v:stroke on="f"/>
              <v:imagedata o:title=""/>
              <o:lock v:ext="edit" aspectratio="f"/>
              <v:textbox inset="0mm,0mm,0mm,0mm">
                <w:txbxContent>
                  <w:p w14:paraId="07DDDA83">
                    <w:pPr>
                      <w:spacing w:line="220" w:lineRule="exact"/>
                      <w:ind w:left="20"/>
                      <w:rPr>
                        <w:sz w:val="18"/>
                      </w:rPr>
                    </w:pPr>
                    <w:r>
                      <w:rPr>
                        <w:sz w:val="18"/>
                      </w:rPr>
                      <w:t xml:space="preserve">I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348FB">
    <w:pPr>
      <w:pStyle w:val="5"/>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6503670</wp:posOffset>
              </wp:positionH>
              <wp:positionV relativeFrom="page">
                <wp:posOffset>9828530</wp:posOffset>
              </wp:positionV>
              <wp:extent cx="82550" cy="139700"/>
              <wp:effectExtent l="0" t="0" r="0" b="0"/>
              <wp:wrapNone/>
              <wp:docPr id="9" name="Text Box 7"/>
              <wp:cNvGraphicFramePr/>
              <a:graphic xmlns:a="http://schemas.openxmlformats.org/drawingml/2006/main">
                <a:graphicData uri="http://schemas.microsoft.com/office/word/2010/wordprocessingShape">
                  <wps:wsp>
                    <wps:cNvSpPr txBox="1">
                      <a:spLocks noChangeArrowheads="1"/>
                    </wps:cNvSpPr>
                    <wps:spPr bwMode="auto">
                      <a:xfrm>
                        <a:off x="0" y="0"/>
                        <a:ext cx="82550" cy="139700"/>
                      </a:xfrm>
                      <a:prstGeom prst="rect">
                        <a:avLst/>
                      </a:prstGeom>
                      <a:noFill/>
                      <a:ln>
                        <a:noFill/>
                      </a:ln>
                    </wps:spPr>
                    <wps:txbx>
                      <w:txbxContent>
                        <w:p w14:paraId="6101382A">
                          <w:pPr>
                            <w:spacing w:line="220" w:lineRule="exact"/>
                            <w:ind w:left="20"/>
                            <w:rPr>
                              <w:sz w:val="18"/>
                            </w:rPr>
                          </w:pPr>
                          <w:r>
                            <w:rPr>
                              <w:sz w:val="18"/>
                            </w:rPr>
                            <w:t xml:space="preserve"> </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512.1pt;margin-top:773.9pt;height:11pt;width:6.5pt;mso-position-horizontal-relative:page;mso-position-vertical-relative:page;z-index:-251654144;mso-width-relative:page;mso-height-relative:page;" filled="f" stroked="f" coordsize="21600,21600" o:gfxdata="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Sr462QAAAA8BAAAPAAAAAAAAAAEAIAAAACIAAABkcnMvZG93bnJl&#10;di54bWxQSwECFAAUAAAACACHTuJA4Y3oJPwBAAACBAAADgAAAAAAAAABACAAAAAoAQAAZHJzL2Uy&#10;b0RvYy54bWxQSwUGAAAAAAYABgBZAQAAlgUAAAAA&#10;">
              <v:fill on="f" focussize="0,0"/>
              <v:stroke on="f"/>
              <v:imagedata o:title=""/>
              <o:lock v:ext="edit" aspectratio="f"/>
              <v:textbox inset="0mm,0mm,0mm,0mm">
                <w:txbxContent>
                  <w:p w14:paraId="6101382A">
                    <w:pPr>
                      <w:spacing w:line="220" w:lineRule="exact"/>
                      <w:ind w:left="20"/>
                      <w:rPr>
                        <w:sz w:val="18"/>
                      </w:rPr>
                    </w:pPr>
                    <w:r>
                      <w:rPr>
                        <w:sz w:val="1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4BE44">
    <w:pPr>
      <w:pStyle w:val="5"/>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6512560</wp:posOffset>
              </wp:positionH>
              <wp:positionV relativeFrom="page">
                <wp:posOffset>9828530</wp:posOffset>
              </wp:positionV>
              <wp:extent cx="255270" cy="139700"/>
              <wp:effectExtent l="0" t="0" r="0" b="0"/>
              <wp:wrapNone/>
              <wp:docPr id="6" name="Text Box 5"/>
              <wp:cNvGraphicFramePr/>
              <a:graphic xmlns:a="http://schemas.openxmlformats.org/drawingml/2006/main">
                <a:graphicData uri="http://schemas.microsoft.com/office/word/2010/wordprocessingShape">
                  <wps:wsp>
                    <wps:cNvSpPr txBox="1">
                      <a:spLocks noChangeArrowheads="1"/>
                    </wps:cNvSpPr>
                    <wps:spPr bwMode="auto">
                      <a:xfrm>
                        <a:off x="0" y="0"/>
                        <a:ext cx="255270" cy="139700"/>
                      </a:xfrm>
                      <a:prstGeom prst="rect">
                        <a:avLst/>
                      </a:prstGeom>
                      <a:noFill/>
                      <a:ln>
                        <a:noFill/>
                      </a:ln>
                    </wps:spPr>
                    <wps:txbx>
                      <w:txbxContent>
                        <w:p w14:paraId="1EA332AD">
                          <w:pPr>
                            <w:spacing w:line="220" w:lineRule="exact"/>
                            <w:ind w:left="20"/>
                            <w:rPr>
                              <w:sz w:val="18"/>
                            </w:rPr>
                          </w:pPr>
                          <w:r>
                            <w:rPr>
                              <w:sz w:val="18"/>
                            </w:rPr>
                            <w:t xml:space="preserve">I </w:t>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left:512.8pt;margin-top:773.9pt;height:11pt;width:20.1pt;mso-position-horizontal-relative:page;mso-position-vertical-relative:page;z-index:-251652096;mso-width-relative:page;mso-height-relative:page;" filled="f" stroked="f" coordsize="21600,21600" o:gfxdata="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x8Wy9kAAAAPAQAADwAAAAAAAAABACAAAAAiAAAAZHJzL2Rvd25y&#10;ZXYueG1sUEsBAhQAFAAAAAgAh07iQDHFWRv9AQAAAwQAAA4AAAAAAAAAAQAgAAAAKAEAAGRycy9l&#10;Mm9Eb2MueG1sUEsFBgAAAAAGAAYAWQEAAJcFAAAAAA==&#10;">
              <v:fill on="f" focussize="0,0"/>
              <v:stroke on="f"/>
              <v:imagedata o:title=""/>
              <o:lock v:ext="edit" aspectratio="f"/>
              <v:textbox inset="0mm,0mm,0mm,0mm">
                <w:txbxContent>
                  <w:p w14:paraId="1EA332AD">
                    <w:pPr>
                      <w:spacing w:line="220" w:lineRule="exact"/>
                      <w:ind w:left="20"/>
                      <w:rPr>
                        <w:sz w:val="18"/>
                      </w:rPr>
                    </w:pPr>
                    <w:r>
                      <w:rPr>
                        <w:sz w:val="18"/>
                      </w:rPr>
                      <w:t xml:space="preserve">I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5849799"/>
    </w:sdtPr>
    <w:sdtContent>
      <w:p w14:paraId="08C372BC">
        <w:pPr>
          <w:pStyle w:val="8"/>
          <w:jc w:val="right"/>
        </w:pPr>
        <w:r>
          <w:fldChar w:fldCharType="begin"/>
        </w:r>
        <w:r>
          <w:instrText xml:space="preserve">PAGE   \* MERGEFORMAT</w:instrText>
        </w:r>
        <w:r>
          <w:fldChar w:fldCharType="separate"/>
        </w:r>
        <w:r>
          <w:rPr>
            <w:lang w:val="zh-CN"/>
          </w:rPr>
          <w:t>7</w:t>
        </w:r>
        <w:r>
          <w:fldChar w:fldCharType="end"/>
        </w:r>
      </w:p>
    </w:sdtContent>
  </w:sdt>
  <w:p w14:paraId="4D155BC1">
    <w:pPr>
      <w:pStyle w:val="5"/>
      <w:spacing w:line="14" w:lineRule="auto"/>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9CDF3">
    <w:pPr>
      <w:pStyle w:val="5"/>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685800</wp:posOffset>
              </wp:positionH>
              <wp:positionV relativeFrom="page">
                <wp:posOffset>9828530</wp:posOffset>
              </wp:positionV>
              <wp:extent cx="287020" cy="14160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287020" cy="141605"/>
                      </a:xfrm>
                      <a:prstGeom prst="rect">
                        <a:avLst/>
                      </a:prstGeom>
                      <a:noFill/>
                      <a:ln>
                        <a:noFill/>
                      </a:ln>
                    </wps:spPr>
                    <wps:txbx>
                      <w:txbxContent>
                        <w:p w14:paraId="57CC15F0">
                          <w:pPr>
                            <w:spacing w:line="222" w:lineRule="exact"/>
                            <w:ind w:left="60"/>
                            <w:rPr>
                              <w:sz w:val="18"/>
                            </w:rPr>
                          </w:pPr>
                          <w:r>
                            <w:fldChar w:fldCharType="begin"/>
                          </w:r>
                          <w:r>
                            <w:rPr>
                              <w:sz w:val="18"/>
                            </w:rPr>
                            <w:instrText xml:space="preserve"> PAGE </w:instrText>
                          </w:r>
                          <w:r>
                            <w:fldChar w:fldCharType="separate"/>
                          </w:r>
                          <w:r>
                            <w:rPr>
                              <w:sz w:val="18"/>
                            </w:rPr>
                            <w:t>6</w:t>
                          </w:r>
                          <w:r>
                            <w:fldChar w:fldCharType="end"/>
                          </w:r>
                          <w:r>
                            <w:rPr>
                              <w:spacing w:val="41"/>
                              <w:sz w:val="18"/>
                            </w:rPr>
                            <w:t xml:space="preserve"> </w:t>
                          </w:r>
                          <w:r>
                            <w:rPr>
                              <w:sz w:val="18"/>
                            </w:rPr>
                            <w:t xml:space="preserve"> </w:t>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54pt;margin-top:773.9pt;height:11.15pt;width:22.6pt;mso-position-horizontal-relative:page;mso-position-vertical-relative:page;z-index:-251649024;mso-width-relative:page;mso-height-relative:page;" filled="f" stroked="f" coordsize="21600,21600" o:gfxdata="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8YKWzZAAAADQEAAA8AAAAAAAAAAQAgAAAAIgAAAGRycy9kb3ducmV2&#10;LnhtbFBLAQIUABQAAAAIAIdO4kACebYN+wEAAAMEAAAOAAAAAAAAAAEAIAAAACgBAABkcnMvZTJv&#10;RG9jLnhtbFBLBQYAAAAABgAGAFkBAACVBQAAAAA=&#10;">
              <v:fill on="f" focussize="0,0"/>
              <v:stroke on="f"/>
              <v:imagedata o:title=""/>
              <o:lock v:ext="edit" aspectratio="f"/>
              <v:textbox inset="0mm,0mm,0mm,0mm">
                <w:txbxContent>
                  <w:p w14:paraId="57CC15F0">
                    <w:pPr>
                      <w:spacing w:line="222" w:lineRule="exact"/>
                      <w:ind w:left="60"/>
                      <w:rPr>
                        <w:sz w:val="18"/>
                      </w:rPr>
                    </w:pPr>
                    <w:r>
                      <w:fldChar w:fldCharType="begin"/>
                    </w:r>
                    <w:r>
                      <w:rPr>
                        <w:sz w:val="18"/>
                      </w:rPr>
                      <w:instrText xml:space="preserve"> PAGE </w:instrText>
                    </w:r>
                    <w:r>
                      <w:fldChar w:fldCharType="separate"/>
                    </w:r>
                    <w:r>
                      <w:rPr>
                        <w:sz w:val="18"/>
                      </w:rPr>
                      <w:t>6</w:t>
                    </w:r>
                    <w:r>
                      <w:fldChar w:fldCharType="end"/>
                    </w:r>
                    <w:r>
                      <w:rPr>
                        <w:spacing w:val="41"/>
                        <w:sz w:val="18"/>
                      </w:rPr>
                      <w:t xml:space="preserve"> </w:t>
                    </w:r>
                    <w:r>
                      <w:rPr>
                        <w:sz w:val="1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8DA7A">
    <w:pPr>
      <w:pStyle w:val="5"/>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5427345</wp:posOffset>
              </wp:positionH>
              <wp:positionV relativeFrom="page">
                <wp:posOffset>1141730</wp:posOffset>
              </wp:positionV>
              <wp:extent cx="1428115" cy="160020"/>
              <wp:effectExtent l="0" t="0" r="0" b="0"/>
              <wp:wrapNone/>
              <wp:docPr id="11" name="Text Box 9"/>
              <wp:cNvGraphicFramePr/>
              <a:graphic xmlns:a="http://schemas.openxmlformats.org/drawingml/2006/main">
                <a:graphicData uri="http://schemas.microsoft.com/office/word/2010/wordprocessingShape">
                  <wps:wsp>
                    <wps:cNvSpPr txBox="1">
                      <a:spLocks noChangeArrowheads="1"/>
                    </wps:cNvSpPr>
                    <wps:spPr bwMode="auto">
                      <a:xfrm>
                        <a:off x="0" y="0"/>
                        <a:ext cx="1428115" cy="160020"/>
                      </a:xfrm>
                      <a:prstGeom prst="rect">
                        <a:avLst/>
                      </a:prstGeom>
                      <a:noFill/>
                      <a:ln>
                        <a:noFill/>
                      </a:ln>
                    </wps:spPr>
                    <wps:txbx>
                      <w:txbxContent>
                        <w:p w14:paraId="18DBF8BE">
                          <w:pPr>
                            <w:pStyle w:val="5"/>
                            <w:spacing w:line="251" w:lineRule="exact"/>
                            <w:ind w:left="20"/>
                          </w:pPr>
                          <w:r>
                            <w:t>DB ××/T×××—2021</w:t>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left:427.35pt;margin-top:89.9pt;height:12.6pt;width:112.45pt;mso-position-horizontal-relative:page;mso-position-vertical-relative:page;z-index:-251656192;mso-width-relative:page;mso-height-relative:page;" filled="f" stroked="f" coordsize="21600,21600" o:gfxdata="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V6PXXaAAAADAEAAA8AAAAAAAAAAQAgAAAAIgAAAGRycy9kb3du&#10;cmV2LnhtbFBLAQIUABQAAAAIAIdO4kDdBleA/QEAAAUEAAAOAAAAAAAAAAEAIAAAACkBAABkcnMv&#10;ZTJvRG9jLnhtbFBLBQYAAAAABgAGAFkBAACYBQAAAAA=&#10;">
              <v:fill on="f" focussize="0,0"/>
              <v:stroke on="f"/>
              <v:imagedata o:title=""/>
              <o:lock v:ext="edit" aspectratio="f"/>
              <v:textbox inset="0mm,0mm,0mm,0mm">
                <w:txbxContent>
                  <w:p w14:paraId="18DBF8BE">
                    <w:pPr>
                      <w:pStyle w:val="5"/>
                      <w:spacing w:line="251" w:lineRule="exact"/>
                      <w:ind w:left="20"/>
                    </w:pPr>
                    <w:r>
                      <w:t>DB ××/T×××—2021</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52E67">
    <w:pPr>
      <w:pStyle w:val="5"/>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5427345</wp:posOffset>
              </wp:positionH>
              <wp:positionV relativeFrom="page">
                <wp:posOffset>1141730</wp:posOffset>
              </wp:positionV>
              <wp:extent cx="1428115" cy="160020"/>
              <wp:effectExtent l="0" t="0" r="0" b="0"/>
              <wp:wrapNone/>
              <wp:docPr id="7" name="Text Box 6"/>
              <wp:cNvGraphicFramePr/>
              <a:graphic xmlns:a="http://schemas.openxmlformats.org/drawingml/2006/main">
                <a:graphicData uri="http://schemas.microsoft.com/office/word/2010/wordprocessingShape">
                  <wps:wsp>
                    <wps:cNvSpPr txBox="1">
                      <a:spLocks noChangeArrowheads="1"/>
                    </wps:cNvSpPr>
                    <wps:spPr bwMode="auto">
                      <a:xfrm>
                        <a:off x="0" y="0"/>
                        <a:ext cx="1428115" cy="160020"/>
                      </a:xfrm>
                      <a:prstGeom prst="rect">
                        <a:avLst/>
                      </a:prstGeom>
                      <a:noFill/>
                      <a:ln>
                        <a:noFill/>
                      </a:ln>
                    </wps:spPr>
                    <wps:txbx>
                      <w:txbxContent>
                        <w:p w14:paraId="21909117">
                          <w:pPr>
                            <w:pStyle w:val="5"/>
                            <w:spacing w:line="251" w:lineRule="exact"/>
                            <w:ind w:left="20"/>
                          </w:pPr>
                          <w:r>
                            <w:t>DB ××/T×××—2021</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27.35pt;margin-top:89.9pt;height:12.6pt;width:112.45pt;mso-position-horizontal-relative:page;mso-position-vertical-relative:page;z-index:-251653120;mso-width-relative:page;mso-height-relative:page;" filled="f" stroked="f" coordsize="21600,21600" o:gfxdata="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V6PXXaAAAADAEAAA8AAAAAAAAAAQAgAAAAIgAAAGRycy9kb3du&#10;cmV2LnhtbFBLAQIUABQAAAAIAIdO4kDbcJe+/QEAAAQEAAAOAAAAAAAAAAEAIAAAACkBAABkcnMv&#10;ZTJvRG9jLnhtbFBLBQYAAAAABgAGAFkBAACYBQAAAAA=&#10;">
              <v:fill on="f" focussize="0,0"/>
              <v:stroke on="f"/>
              <v:imagedata o:title=""/>
              <o:lock v:ext="edit" aspectratio="f"/>
              <v:textbox inset="0mm,0mm,0mm,0mm">
                <w:txbxContent>
                  <w:p w14:paraId="21909117">
                    <w:pPr>
                      <w:pStyle w:val="5"/>
                      <w:spacing w:line="251" w:lineRule="exact"/>
                      <w:ind w:left="20"/>
                    </w:pPr>
                    <w:r>
                      <w:t>DB ××/T×××—2021</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BAE6D">
    <w:pPr>
      <w:pStyle w:val="5"/>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5427345</wp:posOffset>
              </wp:positionH>
              <wp:positionV relativeFrom="page">
                <wp:posOffset>1141730</wp:posOffset>
              </wp:positionV>
              <wp:extent cx="1428115" cy="160020"/>
              <wp:effectExtent l="0" t="0" r="0" b="0"/>
              <wp:wrapNone/>
              <wp:docPr id="4" name="Text Box 4"/>
              <wp:cNvGraphicFramePr/>
              <a:graphic xmlns:a="http://schemas.openxmlformats.org/drawingml/2006/main">
                <a:graphicData uri="http://schemas.microsoft.com/office/word/2010/wordprocessingShape">
                  <wps:wsp>
                    <wps:cNvSpPr txBox="1">
                      <a:spLocks noChangeArrowheads="1"/>
                    </wps:cNvSpPr>
                    <wps:spPr bwMode="auto">
                      <a:xfrm>
                        <a:off x="0" y="0"/>
                        <a:ext cx="1428115" cy="160020"/>
                      </a:xfrm>
                      <a:prstGeom prst="rect">
                        <a:avLst/>
                      </a:prstGeom>
                      <a:noFill/>
                      <a:ln>
                        <a:noFill/>
                      </a:ln>
                    </wps:spPr>
                    <wps:txbx>
                      <w:txbxContent>
                        <w:p w14:paraId="0EB3A3E2">
                          <w:pPr>
                            <w:pStyle w:val="5"/>
                            <w:spacing w:line="251" w:lineRule="exact"/>
                            <w:ind w:left="20"/>
                          </w:pPr>
                          <w:r>
                            <w:t>DB ××/T×××—2021</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27.35pt;margin-top:89.9pt;height:12.6pt;width:112.45pt;mso-position-horizontal-relative:page;mso-position-vertical-relative:page;z-index:-251651072;mso-width-relative:page;mso-height-relative:page;" filled="f" stroked="f" coordsize="21600,21600" o:gfxdata="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V6PXXaAAAADAEAAA8AAAAAAAAAAQAgAAAAIgAAAGRycy9kb3du&#10;cmV2LnhtbFBLAQIUABQAAAAIAIdO4kCpKcY8/QEAAAQEAAAOAAAAAAAAAAEAIAAAACkBAABkcnMv&#10;ZTJvRG9jLnhtbFBLBQYAAAAABgAGAFkBAACYBQAAAAA=&#10;">
              <v:fill on="f" focussize="0,0"/>
              <v:stroke on="f"/>
              <v:imagedata o:title=""/>
              <o:lock v:ext="edit" aspectratio="f"/>
              <v:textbox inset="0mm,0mm,0mm,0mm">
                <w:txbxContent>
                  <w:p w14:paraId="0EB3A3E2">
                    <w:pPr>
                      <w:pStyle w:val="5"/>
                      <w:spacing w:line="251" w:lineRule="exact"/>
                      <w:ind w:left="20"/>
                    </w:pPr>
                    <w:r>
                      <w:t>DB ××/T×××—2021</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E70FF">
    <w:pPr>
      <w:pStyle w:val="5"/>
      <w:spacing w:line="14" w:lineRule="auto"/>
      <w:rPr>
        <w:sz w:val="20"/>
      </w:rPr>
    </w:pPr>
    <w:r>
      <mc:AlternateContent>
        <mc:Choice Requires="wps">
          <w:drawing>
            <wp:anchor distT="0" distB="0" distL="114300" distR="114300" simplePos="0" relativeHeight="251666432" behindDoc="1" locked="0" layoutInCell="1" allowOverlap="1">
              <wp:simplePos x="0" y="0"/>
              <wp:positionH relativeFrom="page">
                <wp:posOffset>706755</wp:posOffset>
              </wp:positionH>
              <wp:positionV relativeFrom="page">
                <wp:posOffset>1141730</wp:posOffset>
              </wp:positionV>
              <wp:extent cx="1360805" cy="160020"/>
              <wp:effectExtent l="0" t="0" r="0" b="0"/>
              <wp:wrapNone/>
              <wp:docPr id="5" name="Text Box 3"/>
              <wp:cNvGraphicFramePr/>
              <a:graphic xmlns:a="http://schemas.openxmlformats.org/drawingml/2006/main">
                <a:graphicData uri="http://schemas.microsoft.com/office/word/2010/wordprocessingShape">
                  <wps:wsp>
                    <wps:cNvSpPr txBox="1">
                      <a:spLocks noChangeArrowheads="1"/>
                    </wps:cNvSpPr>
                    <wps:spPr bwMode="auto">
                      <a:xfrm>
                        <a:off x="0" y="0"/>
                        <a:ext cx="1360805" cy="160020"/>
                      </a:xfrm>
                      <a:prstGeom prst="rect">
                        <a:avLst/>
                      </a:prstGeom>
                      <a:noFill/>
                      <a:ln>
                        <a:noFill/>
                      </a:ln>
                    </wps:spPr>
                    <wps:txbx>
                      <w:txbxContent>
                        <w:p w14:paraId="2E96492D">
                          <w:pPr>
                            <w:pStyle w:val="5"/>
                            <w:spacing w:line="251" w:lineRule="exact"/>
                            <w:ind w:left="20"/>
                          </w:pPr>
                          <w:r>
                            <w:t>DB××/T×××—2021</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55.65pt;margin-top:89.9pt;height:12.6pt;width:107.15pt;mso-position-horizontal-relative:page;mso-position-vertical-relative:page;z-index:-251650048;mso-width-relative:page;mso-height-relative:page;" filled="f" stroked="f" coordsize="21600,21600" o:gfxdata="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MI32rYAAAACwEAAA8AAAAAAAAAAQAgAAAAIgAAAGRycy9kb3ducmV2&#10;LnhtbFBLAQIUABQAAAAIAIdO4kCX5T/y/AEAAAQEAAAOAAAAAAAAAAEAIAAAACcBAABkcnMvZTJv&#10;RG9jLnhtbFBLBQYAAAAABgAGAFkBAACVBQAAAAA=&#10;">
              <v:fill on="f" focussize="0,0"/>
              <v:stroke on="f"/>
              <v:imagedata o:title=""/>
              <o:lock v:ext="edit" aspectratio="f"/>
              <v:textbox inset="0mm,0mm,0mm,0mm">
                <w:txbxContent>
                  <w:p w14:paraId="2E96492D">
                    <w:pPr>
                      <w:pStyle w:val="5"/>
                      <w:spacing w:line="251" w:lineRule="exact"/>
                      <w:ind w:left="20"/>
                    </w:pPr>
                    <w:r>
                      <w:t>DB××/T×××—2021</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8213A5"/>
    <w:multiLevelType w:val="multilevel"/>
    <w:tmpl w:val="EF8213A5"/>
    <w:lvl w:ilvl="0" w:tentative="0">
      <w:start w:val="1"/>
      <w:numFmt w:val="decimalEnclosedCircleChinese"/>
      <w:suff w:val="nothing"/>
      <w:lvlText w:val="%1　"/>
      <w:lvlJc w:val="left"/>
      <w:pPr>
        <w:ind w:left="-7513" w:firstLine="400"/>
      </w:pPr>
    </w:lvl>
    <w:lvl w:ilvl="1" w:tentative="0">
      <w:start w:val="1"/>
      <w:numFmt w:val="decimal"/>
      <w:lvlText w:val="%2."/>
      <w:lvlJc w:val="left"/>
      <w:pPr>
        <w:tabs>
          <w:tab w:val="left" w:pos="-6073"/>
        </w:tabs>
        <w:ind w:left="-6073" w:hanging="360"/>
      </w:pPr>
    </w:lvl>
    <w:lvl w:ilvl="2" w:tentative="0">
      <w:start w:val="1"/>
      <w:numFmt w:val="decimal"/>
      <w:lvlText w:val="%3."/>
      <w:lvlJc w:val="left"/>
      <w:pPr>
        <w:tabs>
          <w:tab w:val="left" w:pos="-5353"/>
        </w:tabs>
        <w:ind w:left="-5353" w:hanging="360"/>
      </w:pPr>
    </w:lvl>
    <w:lvl w:ilvl="3" w:tentative="0">
      <w:start w:val="1"/>
      <w:numFmt w:val="decimal"/>
      <w:lvlText w:val="%4."/>
      <w:lvlJc w:val="left"/>
      <w:pPr>
        <w:tabs>
          <w:tab w:val="left" w:pos="-4633"/>
        </w:tabs>
        <w:ind w:left="-4633" w:hanging="360"/>
      </w:pPr>
    </w:lvl>
    <w:lvl w:ilvl="4" w:tentative="0">
      <w:start w:val="1"/>
      <w:numFmt w:val="decimal"/>
      <w:lvlText w:val="%5."/>
      <w:lvlJc w:val="left"/>
      <w:pPr>
        <w:tabs>
          <w:tab w:val="left" w:pos="-3913"/>
        </w:tabs>
        <w:ind w:left="-3913" w:hanging="360"/>
      </w:pPr>
    </w:lvl>
    <w:lvl w:ilvl="5" w:tentative="0">
      <w:start w:val="1"/>
      <w:numFmt w:val="decimal"/>
      <w:lvlText w:val="%6."/>
      <w:lvlJc w:val="left"/>
      <w:pPr>
        <w:tabs>
          <w:tab w:val="left" w:pos="-3193"/>
        </w:tabs>
        <w:ind w:left="-3193" w:hanging="360"/>
      </w:pPr>
    </w:lvl>
    <w:lvl w:ilvl="6" w:tentative="0">
      <w:start w:val="1"/>
      <w:numFmt w:val="decimal"/>
      <w:lvlText w:val="%7."/>
      <w:lvlJc w:val="left"/>
      <w:pPr>
        <w:tabs>
          <w:tab w:val="left" w:pos="-2473"/>
        </w:tabs>
        <w:ind w:left="-2473" w:hanging="360"/>
      </w:pPr>
    </w:lvl>
    <w:lvl w:ilvl="7" w:tentative="0">
      <w:start w:val="1"/>
      <w:numFmt w:val="decimal"/>
      <w:lvlText w:val="%8."/>
      <w:lvlJc w:val="left"/>
      <w:pPr>
        <w:tabs>
          <w:tab w:val="left" w:pos="-1753"/>
        </w:tabs>
        <w:ind w:left="-1753" w:hanging="360"/>
      </w:pPr>
    </w:lvl>
    <w:lvl w:ilvl="8" w:tentative="0">
      <w:start w:val="1"/>
      <w:numFmt w:val="decimal"/>
      <w:lvlText w:val="%9."/>
      <w:lvlJc w:val="left"/>
      <w:pPr>
        <w:tabs>
          <w:tab w:val="left" w:pos="-1033"/>
        </w:tabs>
        <w:ind w:left="-1033" w:hanging="360"/>
      </w:pPr>
    </w:lvl>
  </w:abstractNum>
  <w:abstractNum w:abstractNumId="1">
    <w:nsid w:val="2AD44E6E"/>
    <w:multiLevelType w:val="multilevel"/>
    <w:tmpl w:val="2AD44E6E"/>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D086632"/>
    <w:multiLevelType w:val="multilevel"/>
    <w:tmpl w:val="4D086632"/>
    <w:lvl w:ilvl="0" w:tentative="0">
      <w:start w:val="1"/>
      <w:numFmt w:val="decimal"/>
      <w:lvlText w:val="%1)"/>
      <w:lvlJc w:val="left"/>
      <w:pPr>
        <w:ind w:left="860" w:hanging="420"/>
      </w:pPr>
      <w:rPr>
        <w:rFonts w:hint="default"/>
        <w:b w:val="0"/>
        <w:bCs w:val="0"/>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3">
    <w:nsid w:val="557C2AF5"/>
    <w:multiLevelType w:val="multilevel"/>
    <w:tmpl w:val="557C2AF5"/>
    <w:lvl w:ilvl="0" w:tentative="0">
      <w:start w:val="1"/>
      <w:numFmt w:val="decimal"/>
      <w:pStyle w:val="53"/>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4">
    <w:nsid w:val="646260FA"/>
    <w:multiLevelType w:val="multilevel"/>
    <w:tmpl w:val="646260FA"/>
    <w:lvl w:ilvl="0" w:tentative="0">
      <w:start w:val="1"/>
      <w:numFmt w:val="decimal"/>
      <w:pStyle w:val="52"/>
      <w:suff w:val="nothing"/>
      <w:lvlText w:val="表%1　"/>
      <w:lvlJc w:val="left"/>
      <w:pPr>
        <w:ind w:left="5103"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20"/>
      <w:suff w:val="nothing"/>
      <w:lvlText w:val="%1%2　"/>
      <w:lvlJc w:val="left"/>
      <w:pPr>
        <w:ind w:left="1559" w:firstLine="0"/>
      </w:pPr>
      <w:rPr>
        <w:rFonts w:hint="eastAsia" w:ascii="黑体" w:eastAsia="黑体"/>
        <w:b w:val="0"/>
        <w:i w:val="0"/>
        <w:sz w:val="21"/>
      </w:rPr>
    </w:lvl>
    <w:lvl w:ilvl="2" w:tentative="0">
      <w:start w:val="1"/>
      <w:numFmt w:val="decimal"/>
      <w:pStyle w:val="22"/>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nothing"/>
      <w:lvlText w:val="%1%2.%3.%4　"/>
      <w:lvlJc w:val="left"/>
      <w:pPr>
        <w:ind w:left="992"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evenAndOddHeaders w:val="1"/>
  <w:drawingGridHorizontalSpacing w:val="110"/>
  <w:noPunctuationKerning w:val="1"/>
  <w:characterSpacingControl w:val="doNotCompress"/>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xMLAwtTQ0MTO0MDKxNDZU0lEKTi0uzszPAykwrgUA815tIiwAAAA="/>
  </w:docVars>
  <w:rsids>
    <w:rsidRoot w:val="00691624"/>
    <w:rsid w:val="00001C62"/>
    <w:rsid w:val="0000435D"/>
    <w:rsid w:val="000045C5"/>
    <w:rsid w:val="00017A14"/>
    <w:rsid w:val="00017E90"/>
    <w:rsid w:val="00021515"/>
    <w:rsid w:val="00021EC6"/>
    <w:rsid w:val="00024C70"/>
    <w:rsid w:val="000320A3"/>
    <w:rsid w:val="00036F6D"/>
    <w:rsid w:val="0004780E"/>
    <w:rsid w:val="00050C7B"/>
    <w:rsid w:val="00053FD4"/>
    <w:rsid w:val="00054ED2"/>
    <w:rsid w:val="000575C6"/>
    <w:rsid w:val="00063B79"/>
    <w:rsid w:val="00070467"/>
    <w:rsid w:val="0007780F"/>
    <w:rsid w:val="000858DF"/>
    <w:rsid w:val="00085EBB"/>
    <w:rsid w:val="0008643D"/>
    <w:rsid w:val="000937C3"/>
    <w:rsid w:val="00094261"/>
    <w:rsid w:val="000A22C8"/>
    <w:rsid w:val="000A6E30"/>
    <w:rsid w:val="000B26A6"/>
    <w:rsid w:val="000C1979"/>
    <w:rsid w:val="000C3872"/>
    <w:rsid w:val="000C5106"/>
    <w:rsid w:val="000C5500"/>
    <w:rsid w:val="000D11F3"/>
    <w:rsid w:val="000D257B"/>
    <w:rsid w:val="000D2C12"/>
    <w:rsid w:val="000D355A"/>
    <w:rsid w:val="000D65F1"/>
    <w:rsid w:val="000E425E"/>
    <w:rsid w:val="000E7209"/>
    <w:rsid w:val="000F0139"/>
    <w:rsid w:val="000F0CF7"/>
    <w:rsid w:val="000F163B"/>
    <w:rsid w:val="000F51C3"/>
    <w:rsid w:val="000F6714"/>
    <w:rsid w:val="00101577"/>
    <w:rsid w:val="00102996"/>
    <w:rsid w:val="00105E19"/>
    <w:rsid w:val="00111507"/>
    <w:rsid w:val="00111AC0"/>
    <w:rsid w:val="00111F7C"/>
    <w:rsid w:val="00112541"/>
    <w:rsid w:val="00112AFA"/>
    <w:rsid w:val="001168AB"/>
    <w:rsid w:val="00117CD7"/>
    <w:rsid w:val="001243BC"/>
    <w:rsid w:val="00130568"/>
    <w:rsid w:val="00132535"/>
    <w:rsid w:val="001408F2"/>
    <w:rsid w:val="00140A9F"/>
    <w:rsid w:val="00142AC8"/>
    <w:rsid w:val="0014311F"/>
    <w:rsid w:val="00143A5C"/>
    <w:rsid w:val="00144F72"/>
    <w:rsid w:val="00145A38"/>
    <w:rsid w:val="001476F9"/>
    <w:rsid w:val="00153276"/>
    <w:rsid w:val="0015445A"/>
    <w:rsid w:val="00160B8F"/>
    <w:rsid w:val="00162A22"/>
    <w:rsid w:val="00162F63"/>
    <w:rsid w:val="00163790"/>
    <w:rsid w:val="001711B3"/>
    <w:rsid w:val="00172557"/>
    <w:rsid w:val="00172CC0"/>
    <w:rsid w:val="001732BF"/>
    <w:rsid w:val="00174458"/>
    <w:rsid w:val="00177AE1"/>
    <w:rsid w:val="00180AC4"/>
    <w:rsid w:val="001819B2"/>
    <w:rsid w:val="001826AD"/>
    <w:rsid w:val="00183DD5"/>
    <w:rsid w:val="00184400"/>
    <w:rsid w:val="0019067D"/>
    <w:rsid w:val="001A3F93"/>
    <w:rsid w:val="001A69BB"/>
    <w:rsid w:val="001B0553"/>
    <w:rsid w:val="001B4EE0"/>
    <w:rsid w:val="001C287E"/>
    <w:rsid w:val="001C4433"/>
    <w:rsid w:val="001D3147"/>
    <w:rsid w:val="001D363C"/>
    <w:rsid w:val="001D5053"/>
    <w:rsid w:val="001D7CB8"/>
    <w:rsid w:val="001E0329"/>
    <w:rsid w:val="001E0E13"/>
    <w:rsid w:val="001E3074"/>
    <w:rsid w:val="001E43CD"/>
    <w:rsid w:val="001E7AE8"/>
    <w:rsid w:val="001E7AF5"/>
    <w:rsid w:val="002049E6"/>
    <w:rsid w:val="0020591A"/>
    <w:rsid w:val="00206A37"/>
    <w:rsid w:val="00215F41"/>
    <w:rsid w:val="00225258"/>
    <w:rsid w:val="00226B00"/>
    <w:rsid w:val="00227203"/>
    <w:rsid w:val="00230414"/>
    <w:rsid w:val="00230CE9"/>
    <w:rsid w:val="0023373F"/>
    <w:rsid w:val="00233EC8"/>
    <w:rsid w:val="00260BD3"/>
    <w:rsid w:val="00261099"/>
    <w:rsid w:val="002612D6"/>
    <w:rsid w:val="00261636"/>
    <w:rsid w:val="00262113"/>
    <w:rsid w:val="002646BA"/>
    <w:rsid w:val="002666EA"/>
    <w:rsid w:val="00271749"/>
    <w:rsid w:val="00273C07"/>
    <w:rsid w:val="00274586"/>
    <w:rsid w:val="002836AC"/>
    <w:rsid w:val="002842CF"/>
    <w:rsid w:val="00290B72"/>
    <w:rsid w:val="00291059"/>
    <w:rsid w:val="00292A0F"/>
    <w:rsid w:val="00297D1F"/>
    <w:rsid w:val="002A0AF0"/>
    <w:rsid w:val="002A26B0"/>
    <w:rsid w:val="002A703D"/>
    <w:rsid w:val="002D1377"/>
    <w:rsid w:val="002D1E95"/>
    <w:rsid w:val="002D2AB6"/>
    <w:rsid w:val="002D6D6A"/>
    <w:rsid w:val="002E0183"/>
    <w:rsid w:val="002E1430"/>
    <w:rsid w:val="002E544B"/>
    <w:rsid w:val="002E6BE0"/>
    <w:rsid w:val="002F21A5"/>
    <w:rsid w:val="00306F4D"/>
    <w:rsid w:val="003119B3"/>
    <w:rsid w:val="003219A2"/>
    <w:rsid w:val="00321B62"/>
    <w:rsid w:val="00323D35"/>
    <w:rsid w:val="00325361"/>
    <w:rsid w:val="00325E7B"/>
    <w:rsid w:val="00331E33"/>
    <w:rsid w:val="00332594"/>
    <w:rsid w:val="00334E44"/>
    <w:rsid w:val="003366CF"/>
    <w:rsid w:val="003376A0"/>
    <w:rsid w:val="0033794D"/>
    <w:rsid w:val="00350BAC"/>
    <w:rsid w:val="00357501"/>
    <w:rsid w:val="00361456"/>
    <w:rsid w:val="003666A3"/>
    <w:rsid w:val="00370658"/>
    <w:rsid w:val="00370A3B"/>
    <w:rsid w:val="00373287"/>
    <w:rsid w:val="00377645"/>
    <w:rsid w:val="00381901"/>
    <w:rsid w:val="00391955"/>
    <w:rsid w:val="00396F1A"/>
    <w:rsid w:val="003A0C88"/>
    <w:rsid w:val="003A146F"/>
    <w:rsid w:val="003A2B15"/>
    <w:rsid w:val="003B08EC"/>
    <w:rsid w:val="003B5422"/>
    <w:rsid w:val="003C00C0"/>
    <w:rsid w:val="003C020C"/>
    <w:rsid w:val="003C0FE7"/>
    <w:rsid w:val="003D1E93"/>
    <w:rsid w:val="003D1F20"/>
    <w:rsid w:val="003D2231"/>
    <w:rsid w:val="003D391F"/>
    <w:rsid w:val="003D488E"/>
    <w:rsid w:val="003D5A63"/>
    <w:rsid w:val="003D6BCC"/>
    <w:rsid w:val="003E6E89"/>
    <w:rsid w:val="003F10DD"/>
    <w:rsid w:val="003F50BA"/>
    <w:rsid w:val="003F729E"/>
    <w:rsid w:val="004068F4"/>
    <w:rsid w:val="00407BCE"/>
    <w:rsid w:val="00410293"/>
    <w:rsid w:val="00416D32"/>
    <w:rsid w:val="00422063"/>
    <w:rsid w:val="004227A0"/>
    <w:rsid w:val="0042328E"/>
    <w:rsid w:val="00427E1F"/>
    <w:rsid w:val="00433777"/>
    <w:rsid w:val="00434B42"/>
    <w:rsid w:val="00436D30"/>
    <w:rsid w:val="004379DB"/>
    <w:rsid w:val="00442C35"/>
    <w:rsid w:val="00445CF6"/>
    <w:rsid w:val="004604E8"/>
    <w:rsid w:val="00460898"/>
    <w:rsid w:val="0046108A"/>
    <w:rsid w:val="0047018B"/>
    <w:rsid w:val="00470F7C"/>
    <w:rsid w:val="00471CF1"/>
    <w:rsid w:val="0047675F"/>
    <w:rsid w:val="00477CCA"/>
    <w:rsid w:val="00480E82"/>
    <w:rsid w:val="00481FA1"/>
    <w:rsid w:val="00482887"/>
    <w:rsid w:val="004831E3"/>
    <w:rsid w:val="00483EE7"/>
    <w:rsid w:val="00484010"/>
    <w:rsid w:val="00484357"/>
    <w:rsid w:val="00484C60"/>
    <w:rsid w:val="004927E3"/>
    <w:rsid w:val="00493E9C"/>
    <w:rsid w:val="00495AEA"/>
    <w:rsid w:val="00496089"/>
    <w:rsid w:val="004A36D5"/>
    <w:rsid w:val="004B04CF"/>
    <w:rsid w:val="004B1685"/>
    <w:rsid w:val="004B45D5"/>
    <w:rsid w:val="004B61B2"/>
    <w:rsid w:val="004C2CCF"/>
    <w:rsid w:val="004C565B"/>
    <w:rsid w:val="004C65D1"/>
    <w:rsid w:val="004D19DA"/>
    <w:rsid w:val="004D1FD9"/>
    <w:rsid w:val="004D3158"/>
    <w:rsid w:val="004D58BE"/>
    <w:rsid w:val="004E5A8F"/>
    <w:rsid w:val="004F11D2"/>
    <w:rsid w:val="004F340A"/>
    <w:rsid w:val="004F5023"/>
    <w:rsid w:val="005139D2"/>
    <w:rsid w:val="00515B39"/>
    <w:rsid w:val="00516BA3"/>
    <w:rsid w:val="00517E73"/>
    <w:rsid w:val="00525227"/>
    <w:rsid w:val="005300E4"/>
    <w:rsid w:val="005337FA"/>
    <w:rsid w:val="00536176"/>
    <w:rsid w:val="00550822"/>
    <w:rsid w:val="00553CDC"/>
    <w:rsid w:val="00555258"/>
    <w:rsid w:val="00556206"/>
    <w:rsid w:val="00560BDC"/>
    <w:rsid w:val="005611D6"/>
    <w:rsid w:val="005655BB"/>
    <w:rsid w:val="005676CB"/>
    <w:rsid w:val="0057395B"/>
    <w:rsid w:val="00576936"/>
    <w:rsid w:val="00581B6B"/>
    <w:rsid w:val="005836E3"/>
    <w:rsid w:val="00584297"/>
    <w:rsid w:val="00585482"/>
    <w:rsid w:val="00587DFC"/>
    <w:rsid w:val="005900F3"/>
    <w:rsid w:val="00590B7B"/>
    <w:rsid w:val="005943A8"/>
    <w:rsid w:val="00597318"/>
    <w:rsid w:val="0059742C"/>
    <w:rsid w:val="005A01D4"/>
    <w:rsid w:val="005A27A0"/>
    <w:rsid w:val="005A4344"/>
    <w:rsid w:val="005A4C9A"/>
    <w:rsid w:val="005B231A"/>
    <w:rsid w:val="005B4061"/>
    <w:rsid w:val="005B41B9"/>
    <w:rsid w:val="005B4298"/>
    <w:rsid w:val="005C6ECF"/>
    <w:rsid w:val="005C7284"/>
    <w:rsid w:val="005D0096"/>
    <w:rsid w:val="005D3369"/>
    <w:rsid w:val="005D445F"/>
    <w:rsid w:val="005D5675"/>
    <w:rsid w:val="005E19CE"/>
    <w:rsid w:val="005E1E18"/>
    <w:rsid w:val="005E5C8D"/>
    <w:rsid w:val="005E6F03"/>
    <w:rsid w:val="005F1E1E"/>
    <w:rsid w:val="005F2C80"/>
    <w:rsid w:val="005F4FFF"/>
    <w:rsid w:val="0060389B"/>
    <w:rsid w:val="00607526"/>
    <w:rsid w:val="00610481"/>
    <w:rsid w:val="00611211"/>
    <w:rsid w:val="0061315B"/>
    <w:rsid w:val="00614930"/>
    <w:rsid w:val="006172DB"/>
    <w:rsid w:val="00617A4D"/>
    <w:rsid w:val="0062144A"/>
    <w:rsid w:val="00621F2C"/>
    <w:rsid w:val="00622B60"/>
    <w:rsid w:val="00622E4A"/>
    <w:rsid w:val="0062329B"/>
    <w:rsid w:val="00624BC4"/>
    <w:rsid w:val="00630A8B"/>
    <w:rsid w:val="00644AB9"/>
    <w:rsid w:val="0064568B"/>
    <w:rsid w:val="00650AA6"/>
    <w:rsid w:val="006523F1"/>
    <w:rsid w:val="006541AB"/>
    <w:rsid w:val="006546A7"/>
    <w:rsid w:val="00662EED"/>
    <w:rsid w:val="00663209"/>
    <w:rsid w:val="00663C61"/>
    <w:rsid w:val="00666805"/>
    <w:rsid w:val="00666F34"/>
    <w:rsid w:val="00670A4C"/>
    <w:rsid w:val="00670E65"/>
    <w:rsid w:val="006733DB"/>
    <w:rsid w:val="006745C6"/>
    <w:rsid w:val="00680A2F"/>
    <w:rsid w:val="0068256D"/>
    <w:rsid w:val="006837A1"/>
    <w:rsid w:val="006867D1"/>
    <w:rsid w:val="00691624"/>
    <w:rsid w:val="00692FDB"/>
    <w:rsid w:val="006962D2"/>
    <w:rsid w:val="00697BE4"/>
    <w:rsid w:val="006A225C"/>
    <w:rsid w:val="006A649D"/>
    <w:rsid w:val="006B0258"/>
    <w:rsid w:val="006B4328"/>
    <w:rsid w:val="006C3A92"/>
    <w:rsid w:val="006C473F"/>
    <w:rsid w:val="006D0E69"/>
    <w:rsid w:val="006D16ED"/>
    <w:rsid w:val="006D47D8"/>
    <w:rsid w:val="006D4934"/>
    <w:rsid w:val="006D7BF9"/>
    <w:rsid w:val="006E4D93"/>
    <w:rsid w:val="006E714E"/>
    <w:rsid w:val="006F23C3"/>
    <w:rsid w:val="006F2A7F"/>
    <w:rsid w:val="006F2D33"/>
    <w:rsid w:val="006F7318"/>
    <w:rsid w:val="00702F89"/>
    <w:rsid w:val="00703272"/>
    <w:rsid w:val="00704393"/>
    <w:rsid w:val="007045DC"/>
    <w:rsid w:val="00705417"/>
    <w:rsid w:val="00707D67"/>
    <w:rsid w:val="0071183E"/>
    <w:rsid w:val="00711885"/>
    <w:rsid w:val="00712759"/>
    <w:rsid w:val="007217B8"/>
    <w:rsid w:val="00733E16"/>
    <w:rsid w:val="007417A3"/>
    <w:rsid w:val="00742676"/>
    <w:rsid w:val="007515DE"/>
    <w:rsid w:val="00752E6D"/>
    <w:rsid w:val="00755428"/>
    <w:rsid w:val="007569E1"/>
    <w:rsid w:val="00756C77"/>
    <w:rsid w:val="00761E5F"/>
    <w:rsid w:val="00766FE4"/>
    <w:rsid w:val="00767452"/>
    <w:rsid w:val="007679AC"/>
    <w:rsid w:val="00775EE8"/>
    <w:rsid w:val="007824A2"/>
    <w:rsid w:val="007849B1"/>
    <w:rsid w:val="007A1569"/>
    <w:rsid w:val="007A4D1F"/>
    <w:rsid w:val="007A7041"/>
    <w:rsid w:val="007B4D2E"/>
    <w:rsid w:val="007B7936"/>
    <w:rsid w:val="007C2133"/>
    <w:rsid w:val="007D166E"/>
    <w:rsid w:val="007D3029"/>
    <w:rsid w:val="007D4989"/>
    <w:rsid w:val="007D75D5"/>
    <w:rsid w:val="007D7ED7"/>
    <w:rsid w:val="007E251C"/>
    <w:rsid w:val="007F1264"/>
    <w:rsid w:val="007F4513"/>
    <w:rsid w:val="00801BF4"/>
    <w:rsid w:val="00803537"/>
    <w:rsid w:val="00811D1B"/>
    <w:rsid w:val="00812999"/>
    <w:rsid w:val="008138E2"/>
    <w:rsid w:val="00823D79"/>
    <w:rsid w:val="00831F22"/>
    <w:rsid w:val="00832EF2"/>
    <w:rsid w:val="0083368A"/>
    <w:rsid w:val="008405C6"/>
    <w:rsid w:val="0084420C"/>
    <w:rsid w:val="008465A6"/>
    <w:rsid w:val="00847D3A"/>
    <w:rsid w:val="00852B66"/>
    <w:rsid w:val="0085377F"/>
    <w:rsid w:val="00862B06"/>
    <w:rsid w:val="008643B1"/>
    <w:rsid w:val="00871856"/>
    <w:rsid w:val="00874B92"/>
    <w:rsid w:val="00875276"/>
    <w:rsid w:val="0087612A"/>
    <w:rsid w:val="00877E34"/>
    <w:rsid w:val="008806E5"/>
    <w:rsid w:val="00880AE4"/>
    <w:rsid w:val="00880C07"/>
    <w:rsid w:val="008823ED"/>
    <w:rsid w:val="008828E6"/>
    <w:rsid w:val="00882EE2"/>
    <w:rsid w:val="008849B5"/>
    <w:rsid w:val="008857E5"/>
    <w:rsid w:val="00885FDE"/>
    <w:rsid w:val="008864ED"/>
    <w:rsid w:val="00887965"/>
    <w:rsid w:val="008900A5"/>
    <w:rsid w:val="00890BAC"/>
    <w:rsid w:val="00893915"/>
    <w:rsid w:val="00895D99"/>
    <w:rsid w:val="008968DA"/>
    <w:rsid w:val="008A0077"/>
    <w:rsid w:val="008A7AFC"/>
    <w:rsid w:val="008B31B7"/>
    <w:rsid w:val="008B55A8"/>
    <w:rsid w:val="008C27C9"/>
    <w:rsid w:val="008C6B07"/>
    <w:rsid w:val="008D0714"/>
    <w:rsid w:val="008D3164"/>
    <w:rsid w:val="008D3417"/>
    <w:rsid w:val="008D418D"/>
    <w:rsid w:val="008D766D"/>
    <w:rsid w:val="008D7CDA"/>
    <w:rsid w:val="008E454C"/>
    <w:rsid w:val="008F1005"/>
    <w:rsid w:val="008F1DAD"/>
    <w:rsid w:val="008F5EF1"/>
    <w:rsid w:val="0090462D"/>
    <w:rsid w:val="00906A65"/>
    <w:rsid w:val="009101B2"/>
    <w:rsid w:val="009104FD"/>
    <w:rsid w:val="0091228F"/>
    <w:rsid w:val="00915994"/>
    <w:rsid w:val="00915E3C"/>
    <w:rsid w:val="009221CE"/>
    <w:rsid w:val="0092295E"/>
    <w:rsid w:val="009241D5"/>
    <w:rsid w:val="009261D9"/>
    <w:rsid w:val="009326DC"/>
    <w:rsid w:val="00934299"/>
    <w:rsid w:val="00940D3B"/>
    <w:rsid w:val="00943A43"/>
    <w:rsid w:val="00946147"/>
    <w:rsid w:val="00950585"/>
    <w:rsid w:val="0095630E"/>
    <w:rsid w:val="0095656A"/>
    <w:rsid w:val="00957110"/>
    <w:rsid w:val="0095742C"/>
    <w:rsid w:val="00957756"/>
    <w:rsid w:val="009607CB"/>
    <w:rsid w:val="0097536F"/>
    <w:rsid w:val="00975493"/>
    <w:rsid w:val="00975EFC"/>
    <w:rsid w:val="0097746D"/>
    <w:rsid w:val="00977BC1"/>
    <w:rsid w:val="0098177F"/>
    <w:rsid w:val="00986DA6"/>
    <w:rsid w:val="00987981"/>
    <w:rsid w:val="009935C6"/>
    <w:rsid w:val="0099587E"/>
    <w:rsid w:val="009960C6"/>
    <w:rsid w:val="009A24E3"/>
    <w:rsid w:val="009A2B55"/>
    <w:rsid w:val="009A2FE9"/>
    <w:rsid w:val="009A4069"/>
    <w:rsid w:val="009A6FCF"/>
    <w:rsid w:val="009A747F"/>
    <w:rsid w:val="009A7F02"/>
    <w:rsid w:val="009B02D0"/>
    <w:rsid w:val="009B4143"/>
    <w:rsid w:val="009C7834"/>
    <w:rsid w:val="009D0934"/>
    <w:rsid w:val="009D5F3D"/>
    <w:rsid w:val="009E07D6"/>
    <w:rsid w:val="009E562B"/>
    <w:rsid w:val="009E571C"/>
    <w:rsid w:val="009E57F2"/>
    <w:rsid w:val="009E6B27"/>
    <w:rsid w:val="009F0A8E"/>
    <w:rsid w:val="009F6AD7"/>
    <w:rsid w:val="00A05874"/>
    <w:rsid w:val="00A10CBA"/>
    <w:rsid w:val="00A10D29"/>
    <w:rsid w:val="00A12D29"/>
    <w:rsid w:val="00A13BC6"/>
    <w:rsid w:val="00A179E6"/>
    <w:rsid w:val="00A23372"/>
    <w:rsid w:val="00A27F22"/>
    <w:rsid w:val="00A32B78"/>
    <w:rsid w:val="00A32E54"/>
    <w:rsid w:val="00A36BB4"/>
    <w:rsid w:val="00A40766"/>
    <w:rsid w:val="00A41AEF"/>
    <w:rsid w:val="00A46505"/>
    <w:rsid w:val="00A46A56"/>
    <w:rsid w:val="00A46ABF"/>
    <w:rsid w:val="00A5041D"/>
    <w:rsid w:val="00A5060B"/>
    <w:rsid w:val="00A53396"/>
    <w:rsid w:val="00A64344"/>
    <w:rsid w:val="00A66921"/>
    <w:rsid w:val="00A66C1A"/>
    <w:rsid w:val="00A7032B"/>
    <w:rsid w:val="00A73999"/>
    <w:rsid w:val="00A74F26"/>
    <w:rsid w:val="00A7561B"/>
    <w:rsid w:val="00A7634F"/>
    <w:rsid w:val="00A77AB8"/>
    <w:rsid w:val="00A8027B"/>
    <w:rsid w:val="00A830C8"/>
    <w:rsid w:val="00A83C72"/>
    <w:rsid w:val="00A9190A"/>
    <w:rsid w:val="00A91D56"/>
    <w:rsid w:val="00A932C5"/>
    <w:rsid w:val="00A93B40"/>
    <w:rsid w:val="00AB0D5F"/>
    <w:rsid w:val="00AB5494"/>
    <w:rsid w:val="00AB5D45"/>
    <w:rsid w:val="00AC627B"/>
    <w:rsid w:val="00AD4210"/>
    <w:rsid w:val="00AD4A17"/>
    <w:rsid w:val="00AD4E9C"/>
    <w:rsid w:val="00AD6AFB"/>
    <w:rsid w:val="00AE2CF5"/>
    <w:rsid w:val="00AE593D"/>
    <w:rsid w:val="00AE5B8A"/>
    <w:rsid w:val="00AE6D17"/>
    <w:rsid w:val="00AF0AF4"/>
    <w:rsid w:val="00AF0F17"/>
    <w:rsid w:val="00B02803"/>
    <w:rsid w:val="00B1018D"/>
    <w:rsid w:val="00B1123A"/>
    <w:rsid w:val="00B11F3B"/>
    <w:rsid w:val="00B170AA"/>
    <w:rsid w:val="00B218D1"/>
    <w:rsid w:val="00B2477E"/>
    <w:rsid w:val="00B25037"/>
    <w:rsid w:val="00B27247"/>
    <w:rsid w:val="00B302C2"/>
    <w:rsid w:val="00B302C8"/>
    <w:rsid w:val="00B32847"/>
    <w:rsid w:val="00B32BC4"/>
    <w:rsid w:val="00B338BE"/>
    <w:rsid w:val="00B37A7B"/>
    <w:rsid w:val="00B41C84"/>
    <w:rsid w:val="00B44907"/>
    <w:rsid w:val="00B47AD1"/>
    <w:rsid w:val="00B50C3A"/>
    <w:rsid w:val="00B5767B"/>
    <w:rsid w:val="00B6348F"/>
    <w:rsid w:val="00B67905"/>
    <w:rsid w:val="00B723FB"/>
    <w:rsid w:val="00B72EBB"/>
    <w:rsid w:val="00B73CCD"/>
    <w:rsid w:val="00B740E5"/>
    <w:rsid w:val="00B857D7"/>
    <w:rsid w:val="00B94B01"/>
    <w:rsid w:val="00B97302"/>
    <w:rsid w:val="00B979DF"/>
    <w:rsid w:val="00BA38CA"/>
    <w:rsid w:val="00BA533F"/>
    <w:rsid w:val="00BA571C"/>
    <w:rsid w:val="00BB2C9C"/>
    <w:rsid w:val="00BB2F95"/>
    <w:rsid w:val="00BB4BF3"/>
    <w:rsid w:val="00BB755C"/>
    <w:rsid w:val="00BC011B"/>
    <w:rsid w:val="00BC1BD0"/>
    <w:rsid w:val="00BD5E39"/>
    <w:rsid w:val="00BE08D7"/>
    <w:rsid w:val="00BE3A36"/>
    <w:rsid w:val="00BE7C4A"/>
    <w:rsid w:val="00BF018A"/>
    <w:rsid w:val="00BF7057"/>
    <w:rsid w:val="00C06F85"/>
    <w:rsid w:val="00C10A4C"/>
    <w:rsid w:val="00C116EC"/>
    <w:rsid w:val="00C206C0"/>
    <w:rsid w:val="00C20D0A"/>
    <w:rsid w:val="00C2688A"/>
    <w:rsid w:val="00C308F1"/>
    <w:rsid w:val="00C31020"/>
    <w:rsid w:val="00C31EB2"/>
    <w:rsid w:val="00C32F22"/>
    <w:rsid w:val="00C331CF"/>
    <w:rsid w:val="00C3380F"/>
    <w:rsid w:val="00C33A8D"/>
    <w:rsid w:val="00C42097"/>
    <w:rsid w:val="00C42BDF"/>
    <w:rsid w:val="00C5392F"/>
    <w:rsid w:val="00C53D43"/>
    <w:rsid w:val="00C62CE9"/>
    <w:rsid w:val="00C6591C"/>
    <w:rsid w:val="00C6631E"/>
    <w:rsid w:val="00C66823"/>
    <w:rsid w:val="00C67980"/>
    <w:rsid w:val="00C6799E"/>
    <w:rsid w:val="00C70DB4"/>
    <w:rsid w:val="00C74676"/>
    <w:rsid w:val="00C7654B"/>
    <w:rsid w:val="00C76F8D"/>
    <w:rsid w:val="00C808B9"/>
    <w:rsid w:val="00C8178B"/>
    <w:rsid w:val="00C82FA4"/>
    <w:rsid w:val="00C873FF"/>
    <w:rsid w:val="00C938B1"/>
    <w:rsid w:val="00CA41A0"/>
    <w:rsid w:val="00CA5D6E"/>
    <w:rsid w:val="00CB0762"/>
    <w:rsid w:val="00CB193F"/>
    <w:rsid w:val="00CB20BA"/>
    <w:rsid w:val="00CB2EA2"/>
    <w:rsid w:val="00CB4EE0"/>
    <w:rsid w:val="00CB50D7"/>
    <w:rsid w:val="00CB5731"/>
    <w:rsid w:val="00CB7BCA"/>
    <w:rsid w:val="00CC1B97"/>
    <w:rsid w:val="00CC3589"/>
    <w:rsid w:val="00CC736B"/>
    <w:rsid w:val="00CC7CC7"/>
    <w:rsid w:val="00CD2D89"/>
    <w:rsid w:val="00CD3C7B"/>
    <w:rsid w:val="00CE1AC8"/>
    <w:rsid w:val="00CE22E3"/>
    <w:rsid w:val="00CE632A"/>
    <w:rsid w:val="00CE6FDF"/>
    <w:rsid w:val="00CE74A4"/>
    <w:rsid w:val="00CF1560"/>
    <w:rsid w:val="00CF25AD"/>
    <w:rsid w:val="00CF371C"/>
    <w:rsid w:val="00CF39BC"/>
    <w:rsid w:val="00CF446C"/>
    <w:rsid w:val="00CF4DE0"/>
    <w:rsid w:val="00CF4E28"/>
    <w:rsid w:val="00CF74C2"/>
    <w:rsid w:val="00CF77D8"/>
    <w:rsid w:val="00D064F6"/>
    <w:rsid w:val="00D10308"/>
    <w:rsid w:val="00D118D4"/>
    <w:rsid w:val="00D21423"/>
    <w:rsid w:val="00D25F74"/>
    <w:rsid w:val="00D3000D"/>
    <w:rsid w:val="00D31405"/>
    <w:rsid w:val="00D31CA4"/>
    <w:rsid w:val="00D35ACE"/>
    <w:rsid w:val="00D36645"/>
    <w:rsid w:val="00D3698A"/>
    <w:rsid w:val="00D42A5D"/>
    <w:rsid w:val="00D4481C"/>
    <w:rsid w:val="00D45A2A"/>
    <w:rsid w:val="00D52E7C"/>
    <w:rsid w:val="00D61994"/>
    <w:rsid w:val="00D619C8"/>
    <w:rsid w:val="00D657BE"/>
    <w:rsid w:val="00D7192B"/>
    <w:rsid w:val="00D73824"/>
    <w:rsid w:val="00D76C7F"/>
    <w:rsid w:val="00D82059"/>
    <w:rsid w:val="00D86D12"/>
    <w:rsid w:val="00D90616"/>
    <w:rsid w:val="00D90BF9"/>
    <w:rsid w:val="00D93D5D"/>
    <w:rsid w:val="00D966C5"/>
    <w:rsid w:val="00D97C8D"/>
    <w:rsid w:val="00DA5D85"/>
    <w:rsid w:val="00DA66D1"/>
    <w:rsid w:val="00DB4348"/>
    <w:rsid w:val="00DB547D"/>
    <w:rsid w:val="00DB5A6D"/>
    <w:rsid w:val="00DB6F81"/>
    <w:rsid w:val="00DC109D"/>
    <w:rsid w:val="00DC1653"/>
    <w:rsid w:val="00DC22CD"/>
    <w:rsid w:val="00DC40C4"/>
    <w:rsid w:val="00DC62A1"/>
    <w:rsid w:val="00DD0B3B"/>
    <w:rsid w:val="00DD5A9E"/>
    <w:rsid w:val="00DD6BE6"/>
    <w:rsid w:val="00DD7C1D"/>
    <w:rsid w:val="00DE62BF"/>
    <w:rsid w:val="00DE6453"/>
    <w:rsid w:val="00DE7263"/>
    <w:rsid w:val="00DE7905"/>
    <w:rsid w:val="00DF10DB"/>
    <w:rsid w:val="00DF1162"/>
    <w:rsid w:val="00E02AB6"/>
    <w:rsid w:val="00E05416"/>
    <w:rsid w:val="00E0630A"/>
    <w:rsid w:val="00E0747F"/>
    <w:rsid w:val="00E15DC7"/>
    <w:rsid w:val="00E2139B"/>
    <w:rsid w:val="00E326F0"/>
    <w:rsid w:val="00E3664A"/>
    <w:rsid w:val="00E37CDE"/>
    <w:rsid w:val="00E45920"/>
    <w:rsid w:val="00E521D9"/>
    <w:rsid w:val="00E53A70"/>
    <w:rsid w:val="00E548E5"/>
    <w:rsid w:val="00E55850"/>
    <w:rsid w:val="00E614BD"/>
    <w:rsid w:val="00E6283A"/>
    <w:rsid w:val="00E64747"/>
    <w:rsid w:val="00E67830"/>
    <w:rsid w:val="00E746D7"/>
    <w:rsid w:val="00E822DC"/>
    <w:rsid w:val="00E91F91"/>
    <w:rsid w:val="00E929BA"/>
    <w:rsid w:val="00E933B2"/>
    <w:rsid w:val="00E93E88"/>
    <w:rsid w:val="00EA37E7"/>
    <w:rsid w:val="00EC22A5"/>
    <w:rsid w:val="00ED051C"/>
    <w:rsid w:val="00ED6FDE"/>
    <w:rsid w:val="00ED77DF"/>
    <w:rsid w:val="00EE00E1"/>
    <w:rsid w:val="00EE044B"/>
    <w:rsid w:val="00EE189A"/>
    <w:rsid w:val="00EE371B"/>
    <w:rsid w:val="00EE42E2"/>
    <w:rsid w:val="00EE5ECB"/>
    <w:rsid w:val="00EF2464"/>
    <w:rsid w:val="00EF4101"/>
    <w:rsid w:val="00EF6138"/>
    <w:rsid w:val="00EF6EDF"/>
    <w:rsid w:val="00F010A9"/>
    <w:rsid w:val="00F037BE"/>
    <w:rsid w:val="00F059CE"/>
    <w:rsid w:val="00F10E43"/>
    <w:rsid w:val="00F20592"/>
    <w:rsid w:val="00F20A56"/>
    <w:rsid w:val="00F210A6"/>
    <w:rsid w:val="00F223DC"/>
    <w:rsid w:val="00F24D56"/>
    <w:rsid w:val="00F3062D"/>
    <w:rsid w:val="00F31C48"/>
    <w:rsid w:val="00F3306E"/>
    <w:rsid w:val="00F40E0C"/>
    <w:rsid w:val="00F53014"/>
    <w:rsid w:val="00F56586"/>
    <w:rsid w:val="00F63E81"/>
    <w:rsid w:val="00F641A0"/>
    <w:rsid w:val="00F66020"/>
    <w:rsid w:val="00F7378C"/>
    <w:rsid w:val="00F76F10"/>
    <w:rsid w:val="00F8266F"/>
    <w:rsid w:val="00F94163"/>
    <w:rsid w:val="00F9685B"/>
    <w:rsid w:val="00F96D5E"/>
    <w:rsid w:val="00FA3AE4"/>
    <w:rsid w:val="00FA7DC9"/>
    <w:rsid w:val="00FB01F5"/>
    <w:rsid w:val="00FB1D9D"/>
    <w:rsid w:val="00FB2962"/>
    <w:rsid w:val="00FB4CD1"/>
    <w:rsid w:val="00FC2FF1"/>
    <w:rsid w:val="00FC37DA"/>
    <w:rsid w:val="00FC670D"/>
    <w:rsid w:val="00FC6AFB"/>
    <w:rsid w:val="00FD0CF4"/>
    <w:rsid w:val="00FD2D26"/>
    <w:rsid w:val="00FD444A"/>
    <w:rsid w:val="00FD54D5"/>
    <w:rsid w:val="00FD6FDF"/>
    <w:rsid w:val="00FE3C83"/>
    <w:rsid w:val="00FE5A8C"/>
    <w:rsid w:val="00FE6210"/>
    <w:rsid w:val="00FF2E10"/>
    <w:rsid w:val="00FF4EA6"/>
    <w:rsid w:val="00FF6A66"/>
    <w:rsid w:val="032920CF"/>
    <w:rsid w:val="14FE04C5"/>
    <w:rsid w:val="194F6D5E"/>
    <w:rsid w:val="24C15431"/>
    <w:rsid w:val="262E603F"/>
    <w:rsid w:val="26E9607C"/>
    <w:rsid w:val="2778350A"/>
    <w:rsid w:val="2C7478C3"/>
    <w:rsid w:val="32A75EAC"/>
    <w:rsid w:val="379D4178"/>
    <w:rsid w:val="47FD070D"/>
    <w:rsid w:val="491332D5"/>
    <w:rsid w:val="4DD95D8A"/>
    <w:rsid w:val="50877F6B"/>
    <w:rsid w:val="572A00E2"/>
    <w:rsid w:val="5D823070"/>
    <w:rsid w:val="62E85DD0"/>
    <w:rsid w:val="65BB4041"/>
    <w:rsid w:val="6BF6265F"/>
    <w:rsid w:val="6C55208D"/>
    <w:rsid w:val="740D4721"/>
    <w:rsid w:val="756F3F0E"/>
    <w:rsid w:val="779B149D"/>
    <w:rsid w:val="7B3D6876"/>
    <w:rsid w:val="7B5423B0"/>
    <w:rsid w:val="7D1D3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paragraph" w:styleId="2">
    <w:name w:val="heading 1"/>
    <w:basedOn w:val="1"/>
    <w:qFormat/>
    <w:uiPriority w:val="9"/>
    <w:pPr>
      <w:spacing w:before="100" w:line="400" w:lineRule="exact"/>
      <w:outlineLvl w:val="0"/>
    </w:pPr>
    <w:rPr>
      <w:rFonts w:ascii="Times New Roman" w:hAnsi="Times New Roman"/>
      <w:sz w:val="21"/>
      <w:szCs w:val="32"/>
    </w:rPr>
  </w:style>
  <w:style w:type="paragraph" w:styleId="3">
    <w:name w:val="heading 2"/>
    <w:basedOn w:val="1"/>
    <w:next w:val="1"/>
    <w:link w:val="32"/>
    <w:unhideWhenUsed/>
    <w:qFormat/>
    <w:uiPriority w:val="9"/>
    <w:pPr>
      <w:keepNext/>
      <w:keepLines/>
      <w:spacing w:before="50" w:beforeLines="50" w:after="50" w:afterLines="50" w:line="240" w:lineRule="auto"/>
      <w:outlineLvl w:val="1"/>
    </w:pPr>
    <w:rPr>
      <w:rFonts w:ascii="黑体" w:hAnsi="黑体" w:eastAsia="黑体" w:cstheme="majorBidi"/>
      <w:bCs/>
      <w:sz w:val="21"/>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5"/>
    <w:semiHidden/>
    <w:unhideWhenUsed/>
    <w:qFormat/>
    <w:uiPriority w:val="99"/>
    <w:rPr>
      <w:rFonts w:hint="eastAsia" w:cs="Times New Roman"/>
    </w:rPr>
  </w:style>
  <w:style w:type="paragraph" w:styleId="5">
    <w:name w:val="Body Text"/>
    <w:basedOn w:val="1"/>
    <w:link w:val="43"/>
    <w:qFormat/>
    <w:uiPriority w:val="1"/>
    <w:pPr>
      <w:ind w:firstLine="420" w:firstLineChars="200"/>
    </w:pPr>
    <w:rPr>
      <w:sz w:val="21"/>
      <w:szCs w:val="21"/>
    </w:rPr>
  </w:style>
  <w:style w:type="paragraph" w:styleId="6">
    <w:name w:val="toc 3"/>
    <w:basedOn w:val="1"/>
    <w:next w:val="1"/>
    <w:autoRedefine/>
    <w:unhideWhenUsed/>
    <w:qFormat/>
    <w:uiPriority w:val="39"/>
    <w:pPr>
      <w:widowControl/>
      <w:autoSpaceDE/>
      <w:autoSpaceDN/>
      <w:spacing w:after="100" w:line="276" w:lineRule="auto"/>
      <w:ind w:left="440"/>
    </w:pPr>
    <w:rPr>
      <w:rFonts w:asciiTheme="minorHAnsi" w:hAnsiTheme="minorHAnsi" w:eastAsiaTheme="minorEastAsia" w:cstheme="minorBidi"/>
    </w:rPr>
  </w:style>
  <w:style w:type="paragraph" w:styleId="7">
    <w:name w:val="Balloon Text"/>
    <w:basedOn w:val="1"/>
    <w:link w:val="29"/>
    <w:semiHidden/>
    <w:unhideWhenUsed/>
    <w:qFormat/>
    <w:uiPriority w:val="99"/>
    <w:rPr>
      <w:sz w:val="18"/>
      <w:szCs w:val="18"/>
    </w:rPr>
  </w:style>
  <w:style w:type="paragraph" w:styleId="8">
    <w:name w:val="footer"/>
    <w:basedOn w:val="1"/>
    <w:link w:val="28"/>
    <w:unhideWhenUsed/>
    <w:qFormat/>
    <w:uiPriority w:val="99"/>
    <w:pPr>
      <w:tabs>
        <w:tab w:val="center" w:pos="4153"/>
        <w:tab w:val="right" w:pos="8306"/>
      </w:tabs>
      <w:snapToGrid w:val="0"/>
    </w:pPr>
    <w:rPr>
      <w:sz w:val="18"/>
      <w:szCs w:val="18"/>
    </w:rPr>
  </w:style>
  <w:style w:type="paragraph" w:styleId="9">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widowControl/>
      <w:autoSpaceDE/>
      <w:autoSpaceDN/>
      <w:ind w:left="215"/>
    </w:pPr>
    <w:rPr>
      <w:rFonts w:asciiTheme="minorHAnsi" w:hAnsiTheme="minorHAnsi" w:eastAsiaTheme="minorEastAsia" w:cstheme="minorBidi"/>
    </w:rPr>
  </w:style>
  <w:style w:type="paragraph" w:styleId="12">
    <w:name w:val="Normal (Web)"/>
    <w:basedOn w:val="1"/>
    <w:semiHidden/>
    <w:unhideWhenUsed/>
    <w:qFormat/>
    <w:uiPriority w:val="99"/>
    <w:rPr>
      <w:sz w:val="24"/>
    </w:rPr>
  </w:style>
  <w:style w:type="paragraph" w:styleId="13">
    <w:name w:val="annotation subject"/>
    <w:basedOn w:val="4"/>
    <w:next w:val="4"/>
    <w:link w:val="36"/>
    <w:semiHidden/>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styleId="19">
    <w:name w:val="annotation reference"/>
    <w:basedOn w:val="16"/>
    <w:semiHidden/>
    <w:unhideWhenUsed/>
    <w:qFormat/>
    <w:uiPriority w:val="99"/>
    <w:rPr>
      <w:sz w:val="21"/>
      <w:szCs w:val="21"/>
    </w:rPr>
  </w:style>
  <w:style w:type="paragraph" w:customStyle="1" w:styleId="20">
    <w:name w:val="标准文件_章标题"/>
    <w:next w:val="21"/>
    <w:qFormat/>
    <w:uiPriority w:val="0"/>
    <w:pPr>
      <w:numPr>
        <w:ilvl w:val="1"/>
        <w:numId w:val="1"/>
      </w:numPr>
      <w:spacing w:before="100" w:beforeLines="100" w:after="100" w:afterLines="100"/>
      <w:ind w:left="0"/>
      <w:jc w:val="both"/>
      <w:outlineLvl w:val="0"/>
    </w:pPr>
    <w:rPr>
      <w:rFonts w:ascii="黑体" w:hAnsi="Times New Roman" w:eastAsia="黑体" w:cs="Times New Roman"/>
      <w:sz w:val="21"/>
      <w:lang w:val="en-US" w:eastAsia="zh-CN" w:bidi="ar-SA"/>
    </w:rPr>
  </w:style>
  <w:style w:type="paragraph" w:customStyle="1" w:styleId="21">
    <w:name w:val="标准文件_段"/>
    <w:link w:val="23"/>
    <w:qFormat/>
    <w:uiPriority w:val="0"/>
    <w:pPr>
      <w:autoSpaceDE w:val="0"/>
      <w:autoSpaceDN w:val="0"/>
      <w:ind w:firstLine="200" w:firstLineChars="200"/>
      <w:jc w:val="both"/>
    </w:pPr>
    <w:rPr>
      <w:rFonts w:ascii="宋体" w:hAnsi="宋体" w:eastAsia="宋体" w:cs="Times New Roman"/>
      <w:sz w:val="21"/>
      <w:lang w:val="en-US" w:eastAsia="zh-CN" w:bidi="ar-SA"/>
    </w:rPr>
  </w:style>
  <w:style w:type="paragraph" w:customStyle="1" w:styleId="22">
    <w:name w:val="标准文件_一级条标题"/>
    <w:basedOn w:val="20"/>
    <w:next w:val="21"/>
    <w:qFormat/>
    <w:uiPriority w:val="0"/>
    <w:pPr>
      <w:numPr>
        <w:ilvl w:val="2"/>
      </w:numPr>
      <w:spacing w:before="50" w:beforeLines="50" w:after="50" w:afterLines="50"/>
      <w:outlineLvl w:val="1"/>
    </w:pPr>
  </w:style>
  <w:style w:type="character" w:customStyle="1" w:styleId="23">
    <w:name w:val="标准文件_段 Char"/>
    <w:link w:val="21"/>
    <w:qFormat/>
    <w:uiPriority w:val="0"/>
    <w:rPr>
      <w:rFonts w:ascii="宋体" w:hAnsi="宋体" w:eastAsia="宋体" w:cs="Times New Roman"/>
      <w:sz w:val="21"/>
      <w:lang w:val="en-US" w:eastAsia="zh-CN" w:bidi="ar-SA"/>
    </w:rPr>
  </w:style>
  <w:style w:type="table" w:customStyle="1" w:styleId="24">
    <w:name w:val="Table Normal"/>
    <w:semiHidden/>
    <w:unhideWhenUsed/>
    <w:qFormat/>
    <w:uiPriority w:val="2"/>
    <w:tblPr>
      <w:tblCellMar>
        <w:top w:w="0" w:type="dxa"/>
        <w:left w:w="0" w:type="dxa"/>
        <w:bottom w:w="0" w:type="dxa"/>
        <w:right w:w="0" w:type="dxa"/>
      </w:tblCellMar>
    </w:tblPr>
  </w:style>
  <w:style w:type="paragraph" w:styleId="25">
    <w:name w:val="List Paragraph"/>
    <w:basedOn w:val="1"/>
    <w:qFormat/>
    <w:uiPriority w:val="1"/>
    <w:pPr>
      <w:ind w:left="398"/>
    </w:pPr>
  </w:style>
  <w:style w:type="paragraph" w:customStyle="1" w:styleId="26">
    <w:name w:val="Table Paragraph"/>
    <w:basedOn w:val="1"/>
    <w:qFormat/>
    <w:uiPriority w:val="1"/>
    <w:pPr>
      <w:spacing w:before="81"/>
    </w:pPr>
    <w:rPr>
      <w:rFonts w:ascii="Times New Roman" w:hAnsi="Times New Roman" w:eastAsia="Times New Roman" w:cs="Times New Roman"/>
    </w:rPr>
  </w:style>
  <w:style w:type="character" w:customStyle="1" w:styleId="27">
    <w:name w:val="页眉 字符"/>
    <w:basedOn w:val="16"/>
    <w:link w:val="9"/>
    <w:qFormat/>
    <w:uiPriority w:val="99"/>
    <w:rPr>
      <w:rFonts w:ascii="宋体" w:hAnsi="宋体" w:eastAsia="宋体" w:cs="宋体"/>
      <w:sz w:val="18"/>
      <w:szCs w:val="18"/>
      <w:lang w:eastAsia="zh-CN"/>
    </w:rPr>
  </w:style>
  <w:style w:type="character" w:customStyle="1" w:styleId="28">
    <w:name w:val="页脚 字符"/>
    <w:basedOn w:val="16"/>
    <w:link w:val="8"/>
    <w:qFormat/>
    <w:uiPriority w:val="99"/>
    <w:rPr>
      <w:rFonts w:ascii="宋体" w:hAnsi="宋体" w:eastAsia="宋体" w:cs="宋体"/>
      <w:sz w:val="18"/>
      <w:szCs w:val="18"/>
      <w:lang w:eastAsia="zh-CN"/>
    </w:rPr>
  </w:style>
  <w:style w:type="character" w:customStyle="1" w:styleId="29">
    <w:name w:val="批注框文本 字符"/>
    <w:basedOn w:val="16"/>
    <w:link w:val="7"/>
    <w:semiHidden/>
    <w:qFormat/>
    <w:uiPriority w:val="99"/>
    <w:rPr>
      <w:rFonts w:ascii="宋体" w:hAnsi="宋体" w:eastAsia="宋体" w:cs="宋体"/>
      <w:sz w:val="18"/>
      <w:szCs w:val="18"/>
      <w:lang w:eastAsia="zh-CN"/>
    </w:rPr>
  </w:style>
  <w:style w:type="table" w:customStyle="1" w:styleId="30">
    <w:name w:val="网格型3"/>
    <w:basedOn w:val="14"/>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1">
    <w:name w:val="TOC 标题1"/>
    <w:basedOn w:val="2"/>
    <w:next w:val="1"/>
    <w:unhideWhenUsed/>
    <w:qFormat/>
    <w:uiPriority w:val="39"/>
    <w:pPr>
      <w:keepNext/>
      <w:keepLines/>
      <w:widowControl/>
      <w:autoSpaceDE/>
      <w:autoSpaceDN/>
      <w:spacing w:before="480" w:line="276" w:lineRule="auto"/>
      <w:outlineLvl w:val="9"/>
    </w:pPr>
    <w:rPr>
      <w:rFonts w:asciiTheme="majorHAnsi" w:hAnsiTheme="majorHAnsi" w:eastAsiaTheme="majorEastAsia" w:cstheme="majorBidi"/>
      <w:b/>
      <w:bCs/>
      <w:color w:val="376092" w:themeColor="accent1" w:themeShade="BF"/>
      <w:sz w:val="28"/>
      <w:szCs w:val="28"/>
    </w:rPr>
  </w:style>
  <w:style w:type="character" w:customStyle="1" w:styleId="32">
    <w:name w:val="标题 2 字符"/>
    <w:basedOn w:val="16"/>
    <w:link w:val="3"/>
    <w:semiHidden/>
    <w:qFormat/>
    <w:uiPriority w:val="9"/>
    <w:rPr>
      <w:rFonts w:ascii="黑体" w:hAnsi="黑体" w:eastAsia="黑体" w:cstheme="majorBidi"/>
      <w:bCs/>
      <w:sz w:val="21"/>
      <w:szCs w:val="32"/>
      <w:lang w:eastAsia="zh-CN"/>
    </w:rPr>
  </w:style>
  <w:style w:type="character" w:styleId="33">
    <w:name w:val="Placeholder Text"/>
    <w:basedOn w:val="16"/>
    <w:qFormat/>
    <w:uiPriority w:val="99"/>
    <w:rPr>
      <w:color w:val="808080"/>
    </w:rPr>
  </w:style>
  <w:style w:type="paragraph" w:customStyle="1" w:styleId="34">
    <w:name w:val="修订1"/>
    <w:hidden/>
    <w:semiHidden/>
    <w:qFormat/>
    <w:uiPriority w:val="99"/>
    <w:rPr>
      <w:rFonts w:ascii="宋体" w:hAnsi="宋体" w:eastAsia="宋体" w:cs="宋体"/>
      <w:sz w:val="22"/>
      <w:szCs w:val="22"/>
      <w:lang w:val="en-US" w:eastAsia="zh-CN" w:bidi="ar-SA"/>
    </w:rPr>
  </w:style>
  <w:style w:type="character" w:customStyle="1" w:styleId="35">
    <w:name w:val="批注文字 字符"/>
    <w:basedOn w:val="16"/>
    <w:link w:val="4"/>
    <w:semiHidden/>
    <w:qFormat/>
    <w:uiPriority w:val="99"/>
    <w:rPr>
      <w:rFonts w:ascii="宋体" w:hAnsi="宋体" w:eastAsia="宋体" w:cs="宋体"/>
      <w:lang w:eastAsia="zh-CN"/>
    </w:rPr>
  </w:style>
  <w:style w:type="character" w:customStyle="1" w:styleId="36">
    <w:name w:val="批注主题 字符"/>
    <w:basedOn w:val="35"/>
    <w:link w:val="13"/>
    <w:semiHidden/>
    <w:qFormat/>
    <w:uiPriority w:val="99"/>
    <w:rPr>
      <w:rFonts w:ascii="宋体" w:hAnsi="宋体" w:eastAsia="宋体" w:cs="宋体"/>
      <w:b/>
      <w:bCs/>
      <w:lang w:eastAsia="zh-CN"/>
    </w:rPr>
  </w:style>
  <w:style w:type="character" w:customStyle="1" w:styleId="37">
    <w:name w:val="vlist-s"/>
    <w:basedOn w:val="16"/>
    <w:qFormat/>
    <w:uiPriority w:val="0"/>
  </w:style>
  <w:style w:type="character" w:customStyle="1" w:styleId="38">
    <w:name w:val="mord"/>
    <w:basedOn w:val="16"/>
    <w:qFormat/>
    <w:uiPriority w:val="0"/>
  </w:style>
  <w:style w:type="character" w:customStyle="1" w:styleId="39">
    <w:name w:val="mrel"/>
    <w:basedOn w:val="16"/>
    <w:qFormat/>
    <w:uiPriority w:val="0"/>
  </w:style>
  <w:style w:type="character" w:customStyle="1" w:styleId="40">
    <w:name w:val="mtight"/>
    <w:basedOn w:val="16"/>
    <w:qFormat/>
    <w:uiPriority w:val="0"/>
  </w:style>
  <w:style w:type="character" w:customStyle="1" w:styleId="41">
    <w:name w:val="mpunct"/>
    <w:basedOn w:val="16"/>
    <w:qFormat/>
    <w:uiPriority w:val="0"/>
  </w:style>
  <w:style w:type="paragraph" w:customStyle="1" w:styleId="42">
    <w:name w:val="msolistparagraph"/>
    <w:basedOn w:val="1"/>
    <w:qFormat/>
    <w:uiPriority w:val="0"/>
    <w:pPr>
      <w:ind w:left="398"/>
    </w:pPr>
    <w:rPr>
      <w:rFonts w:hint="eastAsia" w:cs="Times New Roman"/>
    </w:rPr>
  </w:style>
  <w:style w:type="character" w:customStyle="1" w:styleId="43">
    <w:name w:val="正文文本 字符"/>
    <w:basedOn w:val="16"/>
    <w:link w:val="5"/>
    <w:qFormat/>
    <w:uiPriority w:val="0"/>
    <w:rPr>
      <w:rFonts w:hint="eastAsia" w:ascii="宋体" w:hAnsi="宋体" w:eastAsia="宋体" w:cs="宋体"/>
      <w:sz w:val="21"/>
      <w:szCs w:val="21"/>
      <w:lang w:eastAsia="zh-CN"/>
    </w:rPr>
  </w:style>
  <w:style w:type="paragraph" w:customStyle="1" w:styleId="44">
    <w:name w:val="修订2"/>
    <w:hidden/>
    <w:semiHidden/>
    <w:qFormat/>
    <w:uiPriority w:val="99"/>
    <w:rPr>
      <w:rFonts w:ascii="宋体" w:hAnsi="宋体" w:eastAsia="宋体" w:cs="宋体"/>
      <w:sz w:val="22"/>
      <w:szCs w:val="22"/>
      <w:lang w:val="en-US" w:eastAsia="zh-CN" w:bidi="ar-SA"/>
    </w:rPr>
  </w:style>
  <w:style w:type="paragraph" w:customStyle="1" w:styleId="45">
    <w:name w:val="修订3"/>
    <w:hidden/>
    <w:unhideWhenUsed/>
    <w:qFormat/>
    <w:uiPriority w:val="99"/>
    <w:rPr>
      <w:rFonts w:ascii="宋体" w:hAnsi="宋体" w:eastAsia="宋体" w:cs="宋体"/>
      <w:sz w:val="22"/>
      <w:szCs w:val="22"/>
      <w:lang w:val="en-US" w:eastAsia="zh-CN" w:bidi="ar-SA"/>
    </w:rPr>
  </w:style>
  <w:style w:type="paragraph" w:customStyle="1" w:styleId="46">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47">
    <w:name w:val="标准文件_术语条一"/>
    <w:basedOn w:val="48"/>
    <w:next w:val="21"/>
    <w:qFormat/>
    <w:uiPriority w:val="0"/>
  </w:style>
  <w:style w:type="paragraph" w:customStyle="1" w:styleId="48">
    <w:name w:val="标准文件_一级无标题"/>
    <w:basedOn w:val="22"/>
    <w:qFormat/>
    <w:uiPriority w:val="0"/>
    <w:pPr>
      <w:spacing w:before="0" w:beforeLines="0" w:after="0" w:afterLines="0"/>
      <w:outlineLvl w:val="9"/>
    </w:pPr>
    <w:rPr>
      <w:rFonts w:ascii="宋体" w:eastAsia="宋体"/>
    </w:rPr>
  </w:style>
  <w:style w:type="paragraph" w:customStyle="1" w:styleId="49">
    <w:name w:val="标准二级标题"/>
    <w:basedOn w:val="1"/>
    <w:next w:val="21"/>
    <w:qFormat/>
    <w:uiPriority w:val="0"/>
    <w:pPr>
      <w:widowControl/>
      <w:spacing w:before="100" w:beforeLines="100" w:after="100" w:afterLines="100" w:line="240" w:lineRule="auto"/>
      <w:ind w:firstLine="0" w:firstLineChars="0"/>
      <w:outlineLvl w:val="1"/>
    </w:pPr>
    <w:rPr>
      <w:rFonts w:ascii="黑体" w:hAnsi="黑体" w:eastAsia="黑体" w:cs="Times New Roman"/>
      <w:color w:val="000000" w:themeColor="text1"/>
      <w:sz w:val="21"/>
      <w:lang w:bidi="ar"/>
      <w14:textFill>
        <w14:solidFill>
          <w14:schemeClr w14:val="tx1"/>
        </w14:solidFill>
      </w14:textFill>
    </w:rPr>
  </w:style>
  <w:style w:type="paragraph" w:customStyle="1" w:styleId="50">
    <w:name w:val="标准文件三级标题"/>
    <w:link w:val="51"/>
    <w:qFormat/>
    <w:uiPriority w:val="0"/>
    <w:pPr>
      <w:widowControl/>
      <w:autoSpaceDE w:val="0"/>
      <w:autoSpaceDN w:val="0"/>
      <w:spacing w:before="50" w:beforeLines="50" w:after="50" w:afterLines="50" w:line="240" w:lineRule="auto"/>
      <w:ind w:left="0" w:firstLine="0" w:firstLineChars="0"/>
      <w:outlineLvl w:val="2"/>
    </w:pPr>
    <w:rPr>
      <w:rFonts w:ascii="黑体" w:hAnsi="黑体" w:eastAsia="黑体" w:cs="Times New Roman"/>
      <w:color w:val="000000" w:themeColor="text1"/>
      <w:sz w:val="21"/>
      <w:lang w:bidi="ar"/>
      <w14:textFill>
        <w14:solidFill>
          <w14:schemeClr w14:val="tx1"/>
        </w14:solidFill>
      </w14:textFill>
    </w:rPr>
  </w:style>
  <w:style w:type="character" w:customStyle="1" w:styleId="51">
    <w:name w:val="标准文件三级标题 Char"/>
    <w:link w:val="50"/>
    <w:qFormat/>
    <w:uiPriority w:val="0"/>
    <w:rPr>
      <w:rFonts w:hint="default" w:ascii="黑体" w:hAnsi="黑体" w:eastAsia="黑体" w:cs="Times New Roman"/>
      <w:color w:val="000000" w:themeColor="text1"/>
      <w:sz w:val="21"/>
      <w:lang w:bidi="ar"/>
      <w14:textFill>
        <w14:solidFill>
          <w14:schemeClr w14:val="tx1"/>
        </w14:solidFill>
      </w14:textFill>
    </w:rPr>
  </w:style>
  <w:style w:type="paragraph" w:customStyle="1" w:styleId="52">
    <w:name w:val="标准文件_正文表标题"/>
    <w:next w:val="21"/>
    <w:qFormat/>
    <w:uiPriority w:val="0"/>
    <w:pPr>
      <w:numPr>
        <w:ilvl w:val="0"/>
        <w:numId w:val="2"/>
      </w:numPr>
      <w:spacing w:before="50" w:beforeLines="50" w:after="50" w:afterLines="50"/>
      <w:ind w:left="0"/>
      <w:jc w:val="center"/>
    </w:pPr>
    <w:rPr>
      <w:rFonts w:ascii="黑体" w:hAnsi="Times New Roman" w:eastAsia="黑体" w:cs="Times New Roman"/>
      <w:sz w:val="21"/>
      <w:lang w:val="en-US" w:eastAsia="zh-CN" w:bidi="ar-SA"/>
    </w:rPr>
  </w:style>
  <w:style w:type="paragraph" w:customStyle="1" w:styleId="53">
    <w:name w:val="标准文件_正文图标题"/>
    <w:next w:val="21"/>
    <w:qFormat/>
    <w:uiPriority w:val="0"/>
    <w:pPr>
      <w:numPr>
        <w:ilvl w:val="0"/>
        <w:numId w:val="3"/>
      </w:numPr>
      <w:spacing w:before="50" w:beforeLines="50" w:after="50" w:afterLines="50"/>
      <w:jc w:val="center"/>
    </w:pPr>
    <w:rPr>
      <w:rFonts w:ascii="黑体" w:hAnsi="Times New Roman" w:eastAsia="黑体" w:cs="Times New Roman"/>
      <w:sz w:val="21"/>
      <w:lang w:val="en-US" w:eastAsia="zh-CN" w:bidi="ar-SA"/>
    </w:rPr>
  </w:style>
  <w:style w:type="paragraph" w:customStyle="1" w:styleId="54">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5" Type="http://schemas.openxmlformats.org/officeDocument/2006/relationships/fontTable" Target="fontTable.xml"/><Relationship Id="rId64" Type="http://schemas.openxmlformats.org/officeDocument/2006/relationships/customXml" Target="../customXml/item2.xml"/><Relationship Id="rId63" Type="http://schemas.openxmlformats.org/officeDocument/2006/relationships/numbering" Target="numbering.xml"/><Relationship Id="rId62" Type="http://schemas.openxmlformats.org/officeDocument/2006/relationships/customXml" Target="../customXml/item1.xml"/><Relationship Id="rId61" Type="http://schemas.openxmlformats.org/officeDocument/2006/relationships/image" Target="media/image18.png"/><Relationship Id="rId60" Type="http://schemas.openxmlformats.org/officeDocument/2006/relationships/oleObject" Target="embeddings/oleObject30.bin"/><Relationship Id="rId6" Type="http://schemas.openxmlformats.org/officeDocument/2006/relationships/footer" Target="footer3.xml"/><Relationship Id="rId59" Type="http://schemas.openxmlformats.org/officeDocument/2006/relationships/oleObject" Target="embeddings/oleObject29.bin"/><Relationship Id="rId58" Type="http://schemas.openxmlformats.org/officeDocument/2006/relationships/oleObject" Target="embeddings/oleObject28.bin"/><Relationship Id="rId57" Type="http://schemas.openxmlformats.org/officeDocument/2006/relationships/oleObject" Target="embeddings/oleObject27.bin"/><Relationship Id="rId56" Type="http://schemas.openxmlformats.org/officeDocument/2006/relationships/oleObject" Target="embeddings/oleObject26.bin"/><Relationship Id="rId55" Type="http://schemas.openxmlformats.org/officeDocument/2006/relationships/oleObject" Target="embeddings/oleObject25.bin"/><Relationship Id="rId54" Type="http://schemas.openxmlformats.org/officeDocument/2006/relationships/image" Target="media/image17.wmf"/><Relationship Id="rId53" Type="http://schemas.openxmlformats.org/officeDocument/2006/relationships/oleObject" Target="embeddings/oleObject24.bin"/><Relationship Id="rId52" Type="http://schemas.openxmlformats.org/officeDocument/2006/relationships/image" Target="media/image16.wmf"/><Relationship Id="rId51" Type="http://schemas.openxmlformats.org/officeDocument/2006/relationships/oleObject" Target="embeddings/oleObject23.bin"/><Relationship Id="rId50" Type="http://schemas.openxmlformats.org/officeDocument/2006/relationships/image" Target="media/image15.wmf"/><Relationship Id="rId5" Type="http://schemas.openxmlformats.org/officeDocument/2006/relationships/footer" Target="footer2.xml"/><Relationship Id="rId49" Type="http://schemas.openxmlformats.org/officeDocument/2006/relationships/oleObject" Target="embeddings/oleObject22.bin"/><Relationship Id="rId48" Type="http://schemas.openxmlformats.org/officeDocument/2006/relationships/image" Target="media/image14.wmf"/><Relationship Id="rId47" Type="http://schemas.openxmlformats.org/officeDocument/2006/relationships/oleObject" Target="embeddings/oleObject21.bin"/><Relationship Id="rId46" Type="http://schemas.openxmlformats.org/officeDocument/2006/relationships/image" Target="media/image13.wmf"/><Relationship Id="rId45" Type="http://schemas.openxmlformats.org/officeDocument/2006/relationships/oleObject" Target="embeddings/oleObject20.bin"/><Relationship Id="rId44" Type="http://schemas.openxmlformats.org/officeDocument/2006/relationships/oleObject" Target="embeddings/oleObject19.bin"/><Relationship Id="rId43" Type="http://schemas.openxmlformats.org/officeDocument/2006/relationships/image" Target="media/image12.png"/><Relationship Id="rId42" Type="http://schemas.openxmlformats.org/officeDocument/2006/relationships/oleObject" Target="embeddings/oleObject18.bin"/><Relationship Id="rId41" Type="http://schemas.openxmlformats.org/officeDocument/2006/relationships/oleObject" Target="embeddings/oleObject17.bin"/><Relationship Id="rId40" Type="http://schemas.openxmlformats.org/officeDocument/2006/relationships/oleObject" Target="embeddings/oleObject16.bin"/><Relationship Id="rId4" Type="http://schemas.openxmlformats.org/officeDocument/2006/relationships/header" Target="header1.xml"/><Relationship Id="rId39" Type="http://schemas.openxmlformats.org/officeDocument/2006/relationships/image" Target="media/image11.wmf"/><Relationship Id="rId38" Type="http://schemas.openxmlformats.org/officeDocument/2006/relationships/oleObject" Target="embeddings/oleObject15.bin"/><Relationship Id="rId37" Type="http://schemas.openxmlformats.org/officeDocument/2006/relationships/oleObject" Target="embeddings/oleObject14.bin"/><Relationship Id="rId36" Type="http://schemas.openxmlformats.org/officeDocument/2006/relationships/oleObject" Target="embeddings/oleObject13.bin"/><Relationship Id="rId35" Type="http://schemas.openxmlformats.org/officeDocument/2006/relationships/oleObject" Target="embeddings/oleObject12.bin"/><Relationship Id="rId34" Type="http://schemas.openxmlformats.org/officeDocument/2006/relationships/oleObject" Target="embeddings/oleObject11.bin"/><Relationship Id="rId33" Type="http://schemas.openxmlformats.org/officeDocument/2006/relationships/image" Target="media/image10.wmf"/><Relationship Id="rId32" Type="http://schemas.openxmlformats.org/officeDocument/2006/relationships/oleObject" Target="embeddings/oleObject10.bin"/><Relationship Id="rId31" Type="http://schemas.openxmlformats.org/officeDocument/2006/relationships/image" Target="media/image9.wmf"/><Relationship Id="rId30" Type="http://schemas.openxmlformats.org/officeDocument/2006/relationships/oleObject" Target="embeddings/oleObject9.bin"/><Relationship Id="rId3" Type="http://schemas.openxmlformats.org/officeDocument/2006/relationships/footer" Target="footer1.xml"/><Relationship Id="rId29" Type="http://schemas.openxmlformats.org/officeDocument/2006/relationships/image" Target="media/image8.png"/><Relationship Id="rId28" Type="http://schemas.openxmlformats.org/officeDocument/2006/relationships/image" Target="media/image7.wmf"/><Relationship Id="rId27" Type="http://schemas.openxmlformats.org/officeDocument/2006/relationships/oleObject" Target="embeddings/oleObject8.bin"/><Relationship Id="rId26" Type="http://schemas.openxmlformats.org/officeDocument/2006/relationships/image" Target="media/image6.wmf"/><Relationship Id="rId25" Type="http://schemas.openxmlformats.org/officeDocument/2006/relationships/oleObject" Target="embeddings/oleObject7.bin"/><Relationship Id="rId24" Type="http://schemas.openxmlformats.org/officeDocument/2006/relationships/image" Target="media/image5.wmf"/><Relationship Id="rId23" Type="http://schemas.openxmlformats.org/officeDocument/2006/relationships/oleObject" Target="embeddings/oleObject6.bin"/><Relationship Id="rId22" Type="http://schemas.openxmlformats.org/officeDocument/2006/relationships/oleObject" Target="embeddings/oleObject5.bin"/><Relationship Id="rId21" Type="http://schemas.openxmlformats.org/officeDocument/2006/relationships/image" Target="media/image4.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3.bin"/><Relationship Id="rId17" Type="http://schemas.openxmlformats.org/officeDocument/2006/relationships/image" Target="media/image2.wmf"/><Relationship Id="rId16" Type="http://schemas.openxmlformats.org/officeDocument/2006/relationships/oleObject" Target="embeddings/oleObject2.bin"/><Relationship Id="rId15" Type="http://schemas.openxmlformats.org/officeDocument/2006/relationships/image" Target="media/image1.w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629817-6BD5-4211-9D5E-26711F048CFC}">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11</Pages>
  <Words>2859</Words>
  <Characters>3536</Characters>
  <Lines>46</Lines>
  <Paragraphs>13</Paragraphs>
  <TotalTime>0</TotalTime>
  <ScaleCrop>false</ScaleCrop>
  <LinksUpToDate>false</LinksUpToDate>
  <CharactersWithSpaces>3727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2022-10-27T10:38:00Z</dcterms:created>
  <dc:creator>米 粒</dc:creator>
  <cp:lastModifiedBy>杨雅琴</cp:lastModifiedBy>
  <dcterms:modified xsi:type="dcterms:W3CDTF">2025-09-19T00:39:54Z</dcterms:modified>
  <cp:revision>250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2021-04-28T00:00:00Z</vt:filetime>
  </property>
  <property fmtid="{D5CDD505-2E9C-101B-9397-08002B2CF9AE}" pid="3" name="Creator">
    <vt:lpwstr>Microsoft® Word 2013</vt:lpwstr>
  </property>
  <property fmtid="{D5CDD505-2E9C-101B-9397-08002B2CF9AE}" pid="4" name="LastSaved">
    <vt:filetime>2021-11-29T00:00:00Z</vt:filetime>
  </property>
  <property fmtid="{D5CDD505-2E9C-101B-9397-08002B2CF9AE}" pid="5" name="KSOTemplateDocerSaveRecord">
    <vt:lpwstr>eyJoZGlkIjoiM2Y3YWQyMjY2YTliZTU3YmJmNDMzZTYzYTRhNzFjN2YiLCJ1c2VySWQiOiIzMTY5NTQ2ODkifQ==</vt:lpwstr>
  </property>
  <property fmtid="{D5CDD505-2E9C-101B-9397-08002B2CF9AE}" pid="6" name="KSOProductBuildVer">
    <vt:lpwstr>2052-12.1.0.21915</vt:lpwstr>
  </property>
  <property fmtid="{D5CDD505-2E9C-101B-9397-08002B2CF9AE}" pid="7" name="ICV">
    <vt:lpwstr>331C8B3ABC5941458B1FA8AE3206F197_12</vt:lpwstr>
  </property>
</Properties>
</file>