
<file path=[Content_Types].xml><?xml version="1.0" encoding="utf-8"?>
<Types xmlns="http://schemas.openxmlformats.org/package/2006/content-types">
  <Default Extension="xml" ContentType="application/xml"/>
  <Default Extension="tiff" ContentType="image/tif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07.060</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A 47</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13</w:t>
            </w:r>
            <w:r>
              <w:fldChar w:fldCharType="end"/>
            </w:r>
            <w:bookmarkEnd w:id="3"/>
          </w:p>
        </w:tc>
      </w:tr>
    </w:tbl>
    <w:p>
      <w:pPr>
        <w:pStyle w:val="50"/>
        <w:framePr w:w="9639" w:h="624" w:hRule="exact" w:hSpace="181" w:vSpace="181" w:wrap="around"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w:t>
      </w:r>
      <w:r>
        <w:rPr>
          <w:rFonts w:ascii="黑体" w:eastAsia="黑体"/>
          <w:b w:val="0"/>
          <w:w w:val="100"/>
          <w:sz w:val="48"/>
        </w:rPr>
        <w:t>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5"/>
        <w:framePr/>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rFonts w:hint="eastAsia"/>
          <w:lang w:val="fr-FR"/>
        </w:rPr>
        <w:t>13</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pPr>
        <w:pStyle w:val="196"/>
        <w:framePr/>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pPr>
        <w:pStyle w:val="50"/>
        <w:framePr w:w="9639" w:h="6976" w:hRule="exact" w:hSpace="0" w:vSpace="0" w:wrap="around" w:hAnchor="page" w:y="6408"/>
        <w:jc w:val="center"/>
        <w:rPr>
          <w:rFonts w:ascii="黑体" w:hAnsi="黑体" w:eastAsia="黑体"/>
          <w:b w:val="0"/>
          <w:bCs w:val="0"/>
          <w:w w:val="100"/>
        </w:rPr>
      </w:pPr>
    </w:p>
    <w:p>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人工影响天气流动火箭作业点建设规范</w:t>
      </w:r>
      <w:r>
        <w:fldChar w:fldCharType="end"/>
      </w:r>
      <w:bookmarkEnd w:id="9"/>
    </w:p>
    <w:p>
      <w:pPr>
        <w:framePr w:w="9639" w:h="6974" w:hRule="exact" w:wrap="around" w:vAnchor="page" w:hAnchor="page" w:x="1419" w:y="6408" w:anchorLock="1"/>
        <w:ind w:left="-1418"/>
      </w:pPr>
    </w:p>
    <w:p>
      <w:pPr>
        <w:pStyle w:val="125"/>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hint="eastAsia" w:eastAsia="黑体"/>
          <w:szCs w:val="28"/>
        </w:rPr>
        <w:t xml:space="preserve"> </w:t>
      </w:r>
      <w:r>
        <w:rPr>
          <w:rFonts w:eastAsia="黑体"/>
          <w:szCs w:val="28"/>
        </w:rPr>
        <w:fldChar w:fldCharType="end"/>
      </w:r>
      <w:bookmarkEnd w:id="10"/>
    </w:p>
    <w:p>
      <w:pPr>
        <w:framePr w:w="9639" w:h="6974" w:hRule="exact" w:wrap="around" w:vAnchor="page" w:hAnchor="page" w:x="1419" w:y="6408" w:anchorLock="1"/>
        <w:spacing w:line="760" w:lineRule="exact"/>
        <w:ind w:left="-1418"/>
      </w:pPr>
    </w:p>
    <w:p>
      <w:pPr>
        <w:pStyle w:val="125"/>
        <w:framePr w:w="9639" w:h="6974" w:hRule="exact" w:wrap="around" w:vAnchor="page" w:hAnchor="page" w:x="1419" w:y="6408" w:anchorLock="1"/>
        <w:textAlignment w:val="bottom"/>
        <w:rPr>
          <w:rFonts w:eastAsia="黑体"/>
          <w:szCs w:val="28"/>
        </w:rPr>
      </w:pPr>
    </w:p>
    <w:p>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rFonts w:hint="eastAsia"/>
          <w:sz w:val="21"/>
          <w:szCs w:val="28"/>
        </w:rPr>
        <w:t>（本草案完成时间：2025年6月）</w:t>
      </w:r>
      <w:r>
        <w:rPr>
          <w:sz w:val="21"/>
          <w:szCs w:val="28"/>
        </w:rPr>
        <w:fldChar w:fldCharType="end"/>
      </w:r>
      <w:bookmarkEnd w:id="12"/>
    </w:p>
    <w:p>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3"/>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4"/>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1"/>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Ansi="黑体"/>
          <w:w w:val="100"/>
          <w:sz w:val="28"/>
        </w:rPr>
        <w:t>河北省市场监督管理局</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pPr>
        <w:pStyle w:val="91"/>
        <w:spacing w:after="468"/>
      </w:pPr>
      <w:bookmarkStart w:id="21" w:name="BookMark1"/>
      <w:r>
        <w:rPr>
          <w:rFonts w:hint="eastAsia"/>
          <w:spacing w:val="320"/>
        </w:rPr>
        <w:t>目</w:t>
      </w:r>
      <w:r>
        <w:rPr>
          <w:rFonts w:hint="eastAsia"/>
        </w:rPr>
        <w:t>次</w:t>
      </w:r>
    </w:p>
    <w:p>
      <w:pPr>
        <w:pStyle w:val="19"/>
        <w:tabs>
          <w:tab w:val="right" w:leader="dot" w:pos="9344"/>
        </w:tabs>
        <w:rPr>
          <w:rFonts w:asciiTheme="minorHAnsi" w:hAnsiTheme="minorHAnsi" w:eastAsiaTheme="minorEastAsia" w:cstheme="minorBidi"/>
          <w:szCs w:val="22"/>
        </w:rPr>
      </w:pPr>
      <w:r>
        <w:fldChar w:fldCharType="begin"/>
      </w:r>
      <w:r>
        <w:instrText xml:space="preserve"> TOC \o "1-1" \h </w:instrText>
      </w:r>
      <w:r>
        <w:fldChar w:fldCharType="separate"/>
      </w:r>
      <w:r>
        <w:fldChar w:fldCharType="begin"/>
      </w:r>
      <w:r>
        <w:instrText xml:space="preserve"> HYPERLINK \l "_Toc204176485" </w:instrText>
      </w:r>
      <w:r>
        <w:fldChar w:fldCharType="separate"/>
      </w:r>
      <w:r>
        <w:rPr>
          <w:rStyle w:val="32"/>
          <w:rFonts w:hint="eastAsia"/>
        </w:rPr>
        <w:t>前言</w:t>
      </w:r>
      <w:r>
        <w:tab/>
      </w:r>
      <w:r>
        <w:fldChar w:fldCharType="begin"/>
      </w:r>
      <w:r>
        <w:instrText xml:space="preserve"> PAGEREF _Toc204176485 \h </w:instrText>
      </w:r>
      <w:r>
        <w:fldChar w:fldCharType="separate"/>
      </w:r>
      <w:r>
        <w:t>II</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"_Toc204176486" </w:instrText>
      </w:r>
      <w:r>
        <w:fldChar w:fldCharType="separate"/>
      </w:r>
      <w:r>
        <w:rPr>
          <w:rStyle w:val="32"/>
        </w:rPr>
        <w:t xml:space="preserve">1 </w:t>
      </w:r>
      <w:r>
        <w:rPr>
          <w:rStyle w:val="32"/>
          <w:rFonts w:hint="eastAsia"/>
        </w:rPr>
        <w:t xml:space="preserve"> 范围</w:t>
      </w:r>
      <w:r>
        <w:tab/>
      </w:r>
      <w:r>
        <w:fldChar w:fldCharType="begin"/>
      </w:r>
      <w:r>
        <w:instrText xml:space="preserve"> PAGEREF _Toc204176486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"_Toc204176487" </w:instrText>
      </w:r>
      <w:r>
        <w:fldChar w:fldCharType="separate"/>
      </w:r>
      <w:r>
        <w:rPr>
          <w:rStyle w:val="32"/>
        </w:rPr>
        <w:t xml:space="preserve">2 </w:t>
      </w:r>
      <w:r>
        <w:rPr>
          <w:rStyle w:val="32"/>
          <w:rFonts w:hint="eastAsia"/>
        </w:rPr>
        <w:t xml:space="preserve"> 规范性引用文件</w:t>
      </w:r>
      <w:r>
        <w:tab/>
      </w:r>
      <w:r>
        <w:fldChar w:fldCharType="begin"/>
      </w:r>
      <w:r>
        <w:instrText xml:space="preserve"> PAGEREF _Toc204176487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"_Toc204176488" </w:instrText>
      </w:r>
      <w:r>
        <w:fldChar w:fldCharType="separate"/>
      </w:r>
      <w:r>
        <w:rPr>
          <w:rStyle w:val="32"/>
        </w:rPr>
        <w:t xml:space="preserve">3 </w:t>
      </w:r>
      <w:r>
        <w:rPr>
          <w:rStyle w:val="32"/>
          <w:rFonts w:hint="eastAsia"/>
        </w:rPr>
        <w:t xml:space="preserve"> 术语和定义</w:t>
      </w:r>
      <w:r>
        <w:tab/>
      </w:r>
      <w:r>
        <w:fldChar w:fldCharType="begin"/>
      </w:r>
      <w:r>
        <w:instrText xml:space="preserve"> PAGEREF _Toc204176488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"_Toc204176489" </w:instrText>
      </w:r>
      <w:r>
        <w:fldChar w:fldCharType="separate"/>
      </w:r>
      <w:r>
        <w:rPr>
          <w:rStyle w:val="32"/>
        </w:rPr>
        <w:t xml:space="preserve">4 </w:t>
      </w:r>
      <w:r>
        <w:rPr>
          <w:rStyle w:val="32"/>
          <w:rFonts w:hint="eastAsia"/>
        </w:rPr>
        <w:t xml:space="preserve"> 选址</w:t>
      </w:r>
      <w:r>
        <w:tab/>
      </w:r>
      <w:r>
        <w:fldChar w:fldCharType="begin"/>
      </w:r>
      <w:r>
        <w:instrText xml:space="preserve"> PAGEREF _Toc204176489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"_Toc204176490" </w:instrText>
      </w:r>
      <w:r>
        <w:fldChar w:fldCharType="separate"/>
      </w:r>
      <w:r>
        <w:rPr>
          <w:rStyle w:val="32"/>
        </w:rPr>
        <w:t xml:space="preserve">5 </w:t>
      </w:r>
      <w:r>
        <w:rPr>
          <w:rStyle w:val="32"/>
          <w:rFonts w:hint="eastAsia"/>
        </w:rPr>
        <w:t xml:space="preserve"> 作业平台</w:t>
      </w:r>
      <w:r>
        <w:tab/>
      </w:r>
      <w:r>
        <w:fldChar w:fldCharType="begin"/>
      </w:r>
      <w:r>
        <w:instrText xml:space="preserve"> PAGEREF _Toc204176490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"_Toc204176491" </w:instrText>
      </w:r>
      <w:r>
        <w:fldChar w:fldCharType="separate"/>
      </w:r>
      <w:r>
        <w:rPr>
          <w:rStyle w:val="32"/>
        </w:rPr>
        <w:t xml:space="preserve">6 </w:t>
      </w:r>
      <w:r>
        <w:rPr>
          <w:rStyle w:val="32"/>
          <w:rFonts w:hint="eastAsia"/>
        </w:rPr>
        <w:t xml:space="preserve"> 安全防范设施</w:t>
      </w:r>
      <w:r>
        <w:tab/>
      </w:r>
      <w:r>
        <w:fldChar w:fldCharType="begin"/>
      </w:r>
      <w:r>
        <w:instrText xml:space="preserve"> PAGEREF _Toc204176491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"_Toc204176492" </w:instrText>
      </w:r>
      <w:r>
        <w:fldChar w:fldCharType="separate"/>
      </w:r>
      <w:r>
        <w:rPr>
          <w:rStyle w:val="32"/>
          <w:rFonts w:hint="eastAsia"/>
        </w:rPr>
        <w:t>参考文献</w:t>
      </w:r>
      <w:r>
        <w:tab/>
      </w:r>
      <w:r>
        <w:fldChar w:fldCharType="begin"/>
      </w:r>
      <w:r>
        <w:instrText xml:space="preserve"> PAGEREF _Toc204176492 \h </w:instrText>
      </w:r>
      <w:r>
        <w:fldChar w:fldCharType="separate"/>
      </w:r>
      <w:r>
        <w:t>4</w:t>
      </w:r>
      <w:r>
        <w:fldChar w:fldCharType="end"/>
      </w:r>
      <w:r>
        <w:fldChar w:fldCharType="end"/>
      </w:r>
    </w:p>
    <w:p>
      <w:pPr>
        <w:pStyle w:val="91"/>
        <w:spacing w:after="468"/>
        <w:sectPr>
          <w:headerReference r:id="rId11" w:type="default"/>
          <w:footerReference r:id="rId13" w:type="default"/>
          <w:headerReference r:id="rId12" w:type="even"/>
          <w:footerReference r:id="rId14"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pPr>
        <w:pStyle w:val="89"/>
        <w:spacing w:after="468"/>
      </w:pPr>
      <w:bookmarkStart w:id="22" w:name="_Toc204176485"/>
      <w:bookmarkStart w:id="23" w:name="BookMark2"/>
      <w:r>
        <w:rPr>
          <w:spacing w:val="320"/>
        </w:rPr>
        <w:t>前</w:t>
      </w:r>
      <w:r>
        <w:t>言</w:t>
      </w:r>
      <w:bookmarkEnd w:id="22"/>
    </w:p>
    <w:p>
      <w:pPr>
        <w:pStyle w:val="56"/>
        <w:ind w:firstLine="420"/>
      </w:pPr>
      <w:r>
        <w:rPr>
          <w:rFonts w:hint="eastAsia"/>
        </w:rPr>
        <w:t>为推进京津冀协同发展战略实施，河北省市场监督管理局、北京市市场监督管理局、天津市市场监督管理委员会共同组织制定本地方标准，在京津冀区域内适用，现予发布。</w:t>
      </w:r>
    </w:p>
    <w:p>
      <w:pPr>
        <w:pStyle w:val="56"/>
        <w:ind w:firstLine="420"/>
      </w:pPr>
      <w:r>
        <w:rPr>
          <w:rFonts w:hint="eastAsia"/>
        </w:rPr>
        <w:t>本文件按照GB/T 1.1—2020《标准化工作导则  第1部分：标准化文件的结构和起草规则》的规定起草。</w:t>
      </w:r>
    </w:p>
    <w:p>
      <w:pPr>
        <w:pStyle w:val="56"/>
        <w:ind w:firstLine="420"/>
      </w:pPr>
      <w:r>
        <w:rPr>
          <w:rFonts w:hint="eastAsia"/>
        </w:rPr>
        <w:t>请注意本文件的某些内容可能涉及专利。本文件的发布机构不承担识别专利的责任。</w:t>
      </w:r>
    </w:p>
    <w:p>
      <w:pPr>
        <w:pStyle w:val="56"/>
        <w:ind w:firstLine="420"/>
      </w:pPr>
      <w:r>
        <w:rPr>
          <w:rFonts w:hint="eastAsia"/>
        </w:rPr>
        <w:t>本文件由河北省气象局提出并归口。</w:t>
      </w:r>
    </w:p>
    <w:p>
      <w:pPr>
        <w:pStyle w:val="56"/>
        <w:ind w:firstLine="420"/>
      </w:pPr>
      <w:r>
        <w:rPr>
          <w:rFonts w:hint="eastAsia"/>
        </w:rPr>
        <w:t>本文件由河北省气象局组织实施。</w:t>
      </w:r>
    </w:p>
    <w:p>
      <w:pPr>
        <w:pStyle w:val="56"/>
        <w:ind w:firstLine="420"/>
      </w:pPr>
      <w:r>
        <w:rPr>
          <w:rFonts w:hint="eastAsia"/>
        </w:rPr>
        <w:t>本文件起草单位：</w:t>
      </w:r>
    </w:p>
    <w:p>
      <w:pPr>
        <w:pStyle w:val="56"/>
        <w:ind w:firstLine="420"/>
      </w:pPr>
      <w:r>
        <w:rPr>
          <w:rFonts w:hint="eastAsia"/>
        </w:rPr>
        <w:t>（河北组）河北省人工影响天气中心。</w:t>
      </w:r>
    </w:p>
    <w:p>
      <w:pPr>
        <w:pStyle w:val="56"/>
        <w:ind w:firstLine="420"/>
      </w:pPr>
      <w:r>
        <w:rPr>
          <w:rFonts w:hint="eastAsia"/>
        </w:rPr>
        <w:t>（北京组）北京市人工影响天气中心。</w:t>
      </w:r>
    </w:p>
    <w:p>
      <w:pPr>
        <w:pStyle w:val="56"/>
        <w:ind w:firstLine="420"/>
      </w:pPr>
      <w:r>
        <w:rPr>
          <w:rFonts w:hint="eastAsia"/>
        </w:rPr>
        <w:t>（天津组）天津市人工影响天气办公室。</w:t>
      </w:r>
    </w:p>
    <w:p>
      <w:pPr>
        <w:pStyle w:val="56"/>
        <w:ind w:firstLine="420"/>
      </w:pPr>
      <w:r>
        <w:rPr>
          <w:rFonts w:hint="eastAsia"/>
        </w:rPr>
        <w:t>本文件主要起草人：</w:t>
      </w:r>
    </w:p>
    <w:p>
      <w:pPr>
        <w:pStyle w:val="56"/>
        <w:ind w:firstLine="420"/>
      </w:pPr>
      <w:r>
        <w:rPr>
          <w:rFonts w:hint="eastAsia"/>
        </w:rPr>
        <w:t>（河北组）李祥、胡向峰、赵利品、付娇、戴恩惠、盖胜芬、李政昊、郝巨飞、常志坤、薛学武、王朝晖。</w:t>
      </w:r>
    </w:p>
    <w:p>
      <w:pPr>
        <w:pStyle w:val="56"/>
        <w:ind w:firstLine="420"/>
      </w:pPr>
      <w:r>
        <w:rPr>
          <w:rFonts w:hint="eastAsia"/>
        </w:rPr>
        <w:t>（北京组）黄梦宇、宛霞、李喆、任霄玉。</w:t>
      </w:r>
    </w:p>
    <w:p>
      <w:pPr>
        <w:pStyle w:val="56"/>
        <w:ind w:firstLine="420"/>
      </w:pPr>
      <w:r>
        <w:rPr>
          <w:rFonts w:hint="eastAsia"/>
        </w:rPr>
        <w:t>（天津组）郭晓军、陈宏、聂皓浩、王婉。</w:t>
      </w:r>
    </w:p>
    <w:p>
      <w:pPr>
        <w:pStyle w:val="56"/>
        <w:ind w:firstLine="420"/>
      </w:pPr>
    </w:p>
    <w:p>
      <w:pPr>
        <w:pStyle w:val="56"/>
        <w:ind w:firstLine="420"/>
        <w:sectPr>
          <w:headerReference r:id="rId15" w:type="default"/>
          <w:footerReference r:id="rId17" w:type="default"/>
          <w:headerReference r:id="rId16" w:type="even"/>
          <w:footerReference r:id="rId18" w:type="even"/>
          <w:pgSz w:w="11906" w:h="16838"/>
          <w:pgMar w:top="1928" w:right="1134" w:bottom="1134" w:left="1134" w:header="1418" w:footer="1134" w:gutter="284"/>
          <w:pgNumType w:fmt="upperRoman"/>
          <w:cols w:space="425" w:num="1"/>
          <w:formProt w:val="0"/>
          <w:docGrid w:type="lines" w:linePitch="312" w:charSpace="0"/>
        </w:sectPr>
      </w:pPr>
    </w:p>
    <w:bookmarkEnd w:id="23"/>
    <w:p>
      <w:pPr>
        <w:spacing w:line="20" w:lineRule="exact"/>
        <w:jc w:val="center"/>
        <w:rPr>
          <w:rFonts w:ascii="黑体" w:hAnsi="黑体" w:eastAsia="黑体"/>
          <w:sz w:val="32"/>
          <w:szCs w:val="32"/>
        </w:rPr>
      </w:pPr>
      <w:bookmarkStart w:id="24" w:name="BookMark4"/>
    </w:p>
    <w:p>
      <w:pPr>
        <w:spacing w:line="20" w:lineRule="exact"/>
        <w:jc w:val="center"/>
        <w:rPr>
          <w:rFonts w:ascii="黑体" w:hAnsi="黑体" w:eastAsia="黑体"/>
          <w:sz w:val="32"/>
          <w:szCs w:val="32"/>
        </w:rPr>
      </w:pPr>
    </w:p>
    <w:sdt>
      <w:sdtPr>
        <w:tag w:val="NEW_STAND_NAME"/>
        <w:id w:val="595910757"/>
        <w:lock w:val="sdtLocked"/>
        <w:placeholder>
          <w:docPart w:val="DCD75AA3D6894494A9C34D728238E5B5"/>
        </w:placeholder>
      </w:sdtPr>
      <w:sdtContent>
        <w:p>
          <w:pPr>
            <w:pStyle w:val="177"/>
            <w:spacing w:before="3" w:beforeLines="1" w:after="686" w:afterLines="220"/>
          </w:pPr>
          <w:bookmarkStart w:id="25" w:name="NEW_STAND_NAME"/>
          <w:r>
            <w:rPr>
              <w:rFonts w:hint="eastAsia"/>
            </w:rPr>
            <w:t>人工影响天气流动火箭作业点建设规范</w:t>
          </w:r>
        </w:p>
      </w:sdtContent>
    </w:sdt>
    <w:bookmarkEnd w:id="25"/>
    <w:p>
      <w:pPr>
        <w:pStyle w:val="104"/>
        <w:spacing w:before="312" w:after="312"/>
      </w:pPr>
      <w:bookmarkStart w:id="26" w:name="_Toc17233325"/>
      <w:bookmarkStart w:id="27" w:name="_Toc26986530"/>
      <w:bookmarkStart w:id="28" w:name="_Toc24884218"/>
      <w:bookmarkStart w:id="29" w:name="_Toc17233333"/>
      <w:bookmarkStart w:id="30" w:name="_Toc97191423"/>
      <w:bookmarkStart w:id="31" w:name="_Toc204176486"/>
      <w:bookmarkStart w:id="32" w:name="_Toc26648465"/>
      <w:bookmarkStart w:id="33" w:name="_Toc24884211"/>
      <w:bookmarkStart w:id="34" w:name="_Toc26986771"/>
      <w:bookmarkStart w:id="35" w:name="_Toc26718930"/>
      <w:r>
        <w:rPr>
          <w:rFonts w:hint="eastAsia"/>
        </w:rPr>
        <w:t>范围</w:t>
      </w:r>
      <w:bookmarkEnd w:id="26"/>
      <w:bookmarkEnd w:id="27"/>
      <w:bookmarkEnd w:id="28"/>
      <w:bookmarkEnd w:id="29"/>
      <w:bookmarkEnd w:id="30"/>
      <w:bookmarkEnd w:id="31"/>
      <w:bookmarkEnd w:id="32"/>
      <w:bookmarkEnd w:id="33"/>
      <w:bookmarkEnd w:id="34"/>
      <w:bookmarkEnd w:id="35"/>
    </w:p>
    <w:p>
      <w:pPr>
        <w:pStyle w:val="56"/>
        <w:ind w:firstLine="420"/>
      </w:pPr>
      <w:bookmarkStart w:id="36" w:name="_Toc17233326"/>
      <w:bookmarkStart w:id="37" w:name="_Toc24884212"/>
      <w:bookmarkStart w:id="38" w:name="_Toc26648466"/>
      <w:bookmarkStart w:id="39" w:name="_Toc17233334"/>
      <w:bookmarkStart w:id="40" w:name="_Toc24884219"/>
      <w:r>
        <w:rPr>
          <w:rFonts w:hint="eastAsia"/>
        </w:rPr>
        <w:t>本文件规定了人工影响天气流动火箭作业点的选址、作业平台和安全防范设施的建设要求。</w:t>
      </w:r>
    </w:p>
    <w:p>
      <w:pPr>
        <w:pStyle w:val="56"/>
        <w:ind w:firstLine="420"/>
      </w:pPr>
      <w:r>
        <w:rPr>
          <w:rFonts w:hint="eastAsia"/>
        </w:rPr>
        <w:t>本文件适用于采用火箭实施人工影响天气地面作业的流动作业点的新建或改建。</w:t>
      </w:r>
    </w:p>
    <w:p>
      <w:pPr>
        <w:pStyle w:val="104"/>
        <w:spacing w:before="312" w:after="312"/>
      </w:pPr>
      <w:bookmarkStart w:id="41" w:name="_Toc204176487"/>
      <w:bookmarkStart w:id="42" w:name="_Toc26986531"/>
      <w:bookmarkStart w:id="43" w:name="_Toc26718931"/>
      <w:bookmarkStart w:id="44" w:name="_Toc97191424"/>
      <w:bookmarkStart w:id="45" w:name="_Toc26986772"/>
      <w:r>
        <w:rPr>
          <w:rFonts w:hint="eastAsia"/>
        </w:rPr>
        <w:t>规范性引用文件</w:t>
      </w:r>
      <w:bookmarkEnd w:id="36"/>
      <w:bookmarkEnd w:id="37"/>
      <w:bookmarkEnd w:id="38"/>
      <w:bookmarkEnd w:id="39"/>
      <w:bookmarkEnd w:id="40"/>
      <w:bookmarkEnd w:id="41"/>
      <w:bookmarkEnd w:id="42"/>
      <w:bookmarkEnd w:id="43"/>
      <w:bookmarkEnd w:id="44"/>
      <w:bookmarkEnd w:id="45"/>
    </w:p>
    <w:sdt>
      <w:sdtPr>
        <w:rPr>
          <w:rFonts w:hint="eastAsia"/>
        </w:rPr>
        <w:id w:val="715848253"/>
        <w:placeholder>
          <w:docPart w:val="BC6DA89F6CBB4D30809911B7C568EAB3"/>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6"/>
        <w:ind w:firstLine="420"/>
      </w:pPr>
      <w:r>
        <w:rPr>
          <w:rFonts w:hint="eastAsia"/>
        </w:rPr>
        <w:t>GB/T 37274—2018　人工影响天气火箭作业点安全射界图绘制规范</w:t>
      </w:r>
    </w:p>
    <w:p>
      <w:pPr>
        <w:pStyle w:val="56"/>
        <w:ind w:firstLine="420"/>
      </w:pPr>
      <w:r>
        <w:rPr>
          <w:rFonts w:hint="eastAsia"/>
        </w:rPr>
        <w:t>GB/T 44957—2024　人工影响天气作业点防雷技术规范</w:t>
      </w:r>
    </w:p>
    <w:p>
      <w:pPr>
        <w:pStyle w:val="104"/>
        <w:spacing w:before="312" w:after="312"/>
      </w:pPr>
      <w:bookmarkStart w:id="46" w:name="_Toc204176488"/>
      <w:bookmarkStart w:id="47" w:name="_Toc97191425"/>
      <w:r>
        <w:rPr>
          <w:rFonts w:hint="eastAsia"/>
          <w:szCs w:val="21"/>
        </w:rPr>
        <w:t>术语和定义</w:t>
      </w:r>
      <w:bookmarkEnd w:id="46"/>
      <w:bookmarkEnd w:id="47"/>
    </w:p>
    <w:sdt>
      <w:sdtPr>
        <w:id w:val="-1909835108"/>
        <w:placeholder>
          <w:docPart w:val="8914791B0F754A2588EA4FFD5AD6F7FA"/>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6"/>
            <w:ind w:firstLine="420"/>
          </w:pPr>
          <w:bookmarkStart w:id="48" w:name="_Toc26986532"/>
          <w:bookmarkEnd w:id="48"/>
          <w:r>
            <w:t>下列术语和定义适用于本文件。</w:t>
          </w:r>
        </w:p>
      </w:sdtContent>
    </w:sdt>
    <w:p>
      <w:pPr>
        <w:pStyle w:val="223"/>
        <w:ind w:left="420" w:hanging="420" w:hangingChars="200"/>
        <w:rPr>
          <w:rFonts w:ascii="黑体" w:hAnsi="黑体" w:eastAsia="黑体"/>
        </w:rPr>
      </w:pPr>
      <w:r>
        <w:rPr>
          <w:rFonts w:ascii="黑体" w:hAnsi="黑体" w:eastAsia="黑体"/>
        </w:rPr>
        <w:br w:type="textWrapping"/>
      </w:r>
      <w:r>
        <w:rPr>
          <w:rFonts w:hint="eastAsia" w:ascii="黑体" w:hAnsi="黑体" w:eastAsia="黑体"/>
        </w:rPr>
        <w:t>流动火箭作业点　mobile rocket operation site</w:t>
      </w:r>
    </w:p>
    <w:p>
      <w:pPr>
        <w:pStyle w:val="56"/>
        <w:ind w:firstLine="420"/>
      </w:pPr>
      <w:r>
        <w:rPr>
          <w:rFonts w:hint="eastAsia"/>
        </w:rPr>
        <w:t>不设固定火箭发射架的火箭作业点。</w:t>
      </w:r>
    </w:p>
    <w:p>
      <w:pPr>
        <w:pStyle w:val="223"/>
        <w:ind w:left="420" w:hanging="420" w:hangingChars="200"/>
        <w:rPr>
          <w:rFonts w:ascii="黑体" w:hAnsi="黑体" w:eastAsia="黑体"/>
          <w:color w:val="auto"/>
        </w:rPr>
      </w:pPr>
      <w:r>
        <w:rPr>
          <w:rFonts w:ascii="黑体" w:hAnsi="黑体" w:eastAsia="黑体"/>
        </w:rPr>
        <w:br w:type="textWrapping"/>
      </w:r>
      <w:r>
        <w:rPr>
          <w:rFonts w:hint="eastAsia" w:ascii="黑体" w:hAnsi="黑体" w:eastAsia="黑体"/>
        </w:rPr>
        <w:t>人工影响天气作业指挥中心</w:t>
      </w:r>
      <w:r>
        <w:rPr>
          <w:rFonts w:hint="eastAsia" w:ascii="黑体" w:hAnsi="黑体" w:eastAsia="黑体"/>
          <w:color w:val="auto"/>
        </w:rPr>
        <w:t>　weather modification operation command center</w:t>
      </w:r>
    </w:p>
    <w:p>
      <w:pPr>
        <w:pStyle w:val="56"/>
        <w:ind w:firstLine="420"/>
        <w:rPr>
          <w:color w:val="auto"/>
        </w:rPr>
      </w:pPr>
      <w:r>
        <w:rPr>
          <w:rFonts w:hint="eastAsia"/>
          <w:color w:val="auto"/>
        </w:rPr>
        <w:t>向作业点下达人工影响天气作业指令的部门。</w:t>
      </w:r>
    </w:p>
    <w:p>
      <w:pPr>
        <w:pStyle w:val="223"/>
        <w:ind w:left="420" w:hanging="420" w:hangingChars="200"/>
        <w:rPr>
          <w:rFonts w:ascii="黑体" w:hAnsi="黑体" w:eastAsia="黑体"/>
        </w:rPr>
      </w:pPr>
      <w:r>
        <w:rPr>
          <w:rFonts w:ascii="黑体" w:hAnsi="黑体" w:eastAsia="黑体"/>
        </w:rPr>
        <w:br w:type="textWrapping"/>
      </w:r>
      <w:r>
        <w:rPr>
          <w:rFonts w:hint="eastAsia" w:ascii="黑体" w:hAnsi="黑体" w:eastAsia="黑体"/>
        </w:rPr>
        <w:t>作业平台　weather modification operation platform</w:t>
      </w:r>
    </w:p>
    <w:p>
      <w:pPr>
        <w:pStyle w:val="56"/>
        <w:ind w:firstLine="420"/>
      </w:pPr>
      <w:r>
        <w:rPr>
          <w:rFonts w:hint="eastAsia"/>
        </w:rPr>
        <w:t>流动火箭作业点在实施人工</w:t>
      </w:r>
      <w:bookmarkStart w:id="55" w:name="_GoBack"/>
      <w:bookmarkEnd w:id="55"/>
      <w:r>
        <w:rPr>
          <w:rFonts w:hint="eastAsia"/>
        </w:rPr>
        <w:t>影响天气作业时的专属工作场所。</w:t>
      </w:r>
    </w:p>
    <w:p>
      <w:pPr>
        <w:pStyle w:val="223"/>
        <w:ind w:left="420" w:hanging="420" w:hangingChars="200"/>
        <w:rPr>
          <w:rFonts w:ascii="黑体" w:hAnsi="黑体" w:eastAsia="黑体"/>
        </w:rPr>
      </w:pPr>
      <w:r>
        <w:rPr>
          <w:rFonts w:ascii="黑体" w:hAnsi="黑体" w:eastAsia="黑体"/>
        </w:rPr>
        <w:br w:type="textWrapping"/>
      </w:r>
      <w:r>
        <w:rPr>
          <w:rFonts w:hint="eastAsia" w:ascii="黑体" w:hAnsi="黑体" w:eastAsia="黑体"/>
        </w:rPr>
        <w:t>安全警示警告牌（线）　safety warning sign</w:t>
      </w:r>
    </w:p>
    <w:p>
      <w:pPr>
        <w:pStyle w:val="56"/>
        <w:ind w:firstLine="420"/>
      </w:pPr>
      <w:r>
        <w:rPr>
          <w:rFonts w:hint="eastAsia"/>
        </w:rPr>
        <w:t>提醒告知公众实施火箭作业信息的警示牌（线）。</w:t>
      </w:r>
    </w:p>
    <w:p>
      <w:pPr>
        <w:pStyle w:val="104"/>
        <w:spacing w:before="312" w:after="312"/>
      </w:pPr>
      <w:bookmarkStart w:id="49" w:name="_Toc204176489"/>
      <w:r>
        <w:rPr>
          <w:rFonts w:hint="eastAsia"/>
        </w:rPr>
        <w:t>选址</w:t>
      </w:r>
      <w:bookmarkEnd w:id="49"/>
    </w:p>
    <w:p>
      <w:pPr>
        <w:pStyle w:val="162"/>
        <w:rPr>
          <w:color w:val="auto"/>
        </w:rPr>
      </w:pPr>
      <w:r>
        <w:rPr>
          <w:rFonts w:hint="eastAsia"/>
        </w:rPr>
        <w:t>流动火箭</w:t>
      </w:r>
      <w:r>
        <w:rPr>
          <w:rFonts w:hint="eastAsia"/>
          <w:color w:val="auto"/>
        </w:rPr>
        <w:t>作业点的设置应满足下列要求。</w:t>
      </w:r>
    </w:p>
    <w:p>
      <w:pPr>
        <w:pStyle w:val="174"/>
        <w:rPr>
          <w:color w:val="auto"/>
        </w:rPr>
      </w:pPr>
      <w:r>
        <w:rPr>
          <w:rFonts w:hint="eastAsia"/>
          <w:color w:val="auto"/>
        </w:rPr>
        <w:t>300</w:t>
      </w:r>
      <w:r>
        <w:rPr>
          <w:rFonts w:hint="eastAsia"/>
          <w:color w:val="auto"/>
          <w:w w:val="50"/>
        </w:rPr>
        <w:t xml:space="preserve"> </w:t>
      </w:r>
      <w:r>
        <w:rPr>
          <w:rFonts w:hint="eastAsia"/>
          <w:color w:val="auto"/>
        </w:rPr>
        <w:t>m范围内，应无下列设施与单位：</w:t>
      </w:r>
    </w:p>
    <w:p>
      <w:pPr>
        <w:pStyle w:val="109"/>
        <w:rPr>
          <w:color w:val="auto"/>
        </w:rPr>
      </w:pPr>
      <w:r>
        <w:rPr>
          <w:rFonts w:hint="eastAsia"/>
          <w:color w:val="auto"/>
        </w:rPr>
        <w:t>炼油厂、煤化厂、液化气库等工业设施；</w:t>
      </w:r>
    </w:p>
    <w:p>
      <w:pPr>
        <w:pStyle w:val="109"/>
        <w:rPr>
          <w:color w:val="auto"/>
        </w:rPr>
      </w:pPr>
      <w:r>
        <w:rPr>
          <w:rFonts w:hint="eastAsia"/>
          <w:color w:val="auto"/>
        </w:rPr>
        <w:t>爆炸品、危险品储存库。</w:t>
      </w:r>
    </w:p>
    <w:p>
      <w:pPr>
        <w:pStyle w:val="174"/>
        <w:rPr>
          <w:color w:val="auto"/>
        </w:rPr>
      </w:pPr>
      <w:r>
        <w:rPr>
          <w:rFonts w:hint="eastAsia"/>
          <w:color w:val="auto"/>
        </w:rPr>
        <w:t>200</w:t>
      </w:r>
      <w:r>
        <w:rPr>
          <w:rFonts w:hint="eastAsia"/>
          <w:color w:val="auto"/>
          <w:w w:val="50"/>
        </w:rPr>
        <w:t xml:space="preserve"> </w:t>
      </w:r>
      <w:r>
        <w:rPr>
          <w:rFonts w:hint="eastAsia"/>
          <w:color w:val="auto"/>
        </w:rPr>
        <w:t>m范围内，应无下列设施与单位：</w:t>
      </w:r>
    </w:p>
    <w:p>
      <w:pPr>
        <w:pStyle w:val="109"/>
        <w:rPr>
          <w:color w:val="auto"/>
        </w:rPr>
      </w:pPr>
      <w:r>
        <w:rPr>
          <w:rFonts w:hint="eastAsia"/>
          <w:color w:val="auto"/>
        </w:rPr>
        <w:t>学校、医院、车站等人员密集场所；</w:t>
      </w:r>
    </w:p>
    <w:p>
      <w:pPr>
        <w:pStyle w:val="109"/>
        <w:rPr>
          <w:color w:val="auto"/>
        </w:rPr>
      </w:pPr>
      <w:r>
        <w:rPr>
          <w:rFonts w:hint="eastAsia"/>
          <w:color w:val="auto"/>
        </w:rPr>
        <w:t>国家重点保护单位。</w:t>
      </w:r>
    </w:p>
    <w:p>
      <w:pPr>
        <w:pStyle w:val="174"/>
        <w:rPr>
          <w:color w:val="auto"/>
        </w:rPr>
      </w:pPr>
      <w:r>
        <w:rPr>
          <w:rFonts w:hint="eastAsia"/>
          <w:color w:val="auto"/>
        </w:rPr>
        <w:t>100</w:t>
      </w:r>
      <w:r>
        <w:rPr>
          <w:rFonts w:hint="eastAsia"/>
          <w:color w:val="auto"/>
          <w:w w:val="50"/>
        </w:rPr>
        <w:t xml:space="preserve"> </w:t>
      </w:r>
      <w:r>
        <w:rPr>
          <w:rFonts w:hint="eastAsia"/>
          <w:color w:val="auto"/>
        </w:rPr>
        <w:t>m范围内，应无下列设施与单位：</w:t>
      </w:r>
    </w:p>
    <w:p>
      <w:pPr>
        <w:pStyle w:val="109"/>
      </w:pPr>
      <w:r>
        <w:rPr>
          <w:rFonts w:hint="eastAsia"/>
        </w:rPr>
        <w:t>有人居住的民居；</w:t>
      </w:r>
    </w:p>
    <w:p>
      <w:pPr>
        <w:pStyle w:val="109"/>
      </w:pPr>
      <w:r>
        <w:rPr>
          <w:rFonts w:hint="eastAsia"/>
        </w:rPr>
        <w:t>高压输电线路、通信中转设施。</w:t>
      </w:r>
    </w:p>
    <w:p>
      <w:pPr>
        <w:pStyle w:val="162"/>
      </w:pPr>
      <w:r>
        <w:rPr>
          <w:rFonts w:hint="eastAsia"/>
        </w:rPr>
        <w:t>流动火箭作业点的安全射界应符合GB/T 37274—2018中第5章的规定。</w:t>
      </w:r>
    </w:p>
    <w:p>
      <w:pPr>
        <w:pStyle w:val="162"/>
      </w:pPr>
      <w:r>
        <w:rPr>
          <w:rFonts w:hint="eastAsia"/>
        </w:rPr>
        <w:t>流动火箭作业点应与人工影响天气作业指挥中心保持通信良好。</w:t>
      </w:r>
    </w:p>
    <w:p>
      <w:pPr>
        <w:pStyle w:val="162"/>
      </w:pPr>
      <w:r>
        <w:rPr>
          <w:rFonts w:hint="eastAsia"/>
        </w:rPr>
        <w:t>流动火箭作业点应交通便利。</w:t>
      </w:r>
    </w:p>
    <w:p>
      <w:pPr>
        <w:pStyle w:val="162"/>
      </w:pPr>
      <w:r>
        <w:rPr>
          <w:rFonts w:hint="eastAsia"/>
        </w:rPr>
        <w:t>流动火箭作业点应具备不小于30</w:t>
      </w:r>
      <w:r>
        <w:rPr>
          <w:rFonts w:hint="eastAsia"/>
          <w:w w:val="50"/>
        </w:rPr>
        <w:t xml:space="preserve"> </w:t>
      </w:r>
      <w:r>
        <w:rPr>
          <w:rFonts w:hint="eastAsia"/>
        </w:rPr>
        <w:t>m</w:t>
      </w:r>
      <w:r>
        <w:rPr>
          <w:rFonts w:hint="eastAsia"/>
          <w:vertAlign w:val="superscript"/>
        </w:rPr>
        <w:t>2</w:t>
      </w:r>
      <w:r>
        <w:rPr>
          <w:rFonts w:hint="eastAsia"/>
        </w:rPr>
        <w:t>的作业平台。</w:t>
      </w:r>
    </w:p>
    <w:p>
      <w:pPr>
        <w:pStyle w:val="104"/>
        <w:spacing w:before="312" w:after="312"/>
      </w:pPr>
      <w:bookmarkStart w:id="50" w:name="_Toc204176490"/>
      <w:r>
        <w:rPr>
          <w:rFonts w:hint="eastAsia"/>
        </w:rPr>
        <w:t>作业平台</w:t>
      </w:r>
      <w:bookmarkEnd w:id="50"/>
    </w:p>
    <w:p>
      <w:pPr>
        <w:pStyle w:val="162"/>
      </w:pPr>
      <w:r>
        <w:rPr>
          <w:rFonts w:hint="eastAsia"/>
        </w:rPr>
        <w:t>作业平台应包含火箭发射区和作业操作区。</w:t>
      </w:r>
    </w:p>
    <w:p>
      <w:pPr>
        <w:pStyle w:val="162"/>
      </w:pPr>
      <w:r>
        <w:rPr>
          <w:rFonts w:hint="eastAsia"/>
        </w:rPr>
        <w:t>作业平台应设置人工影响天气火箭作业点安全射界图标识，安全射界图应符合GB/T 37274—2018中第6章的规定。</w:t>
      </w:r>
    </w:p>
    <w:p>
      <w:pPr>
        <w:pStyle w:val="162"/>
      </w:pPr>
      <w:r>
        <w:rPr>
          <w:rFonts w:hint="eastAsia"/>
        </w:rPr>
        <w:t>作业平台应配置下列设施之一：</w:t>
      </w:r>
    </w:p>
    <w:p>
      <w:pPr>
        <w:pStyle w:val="132"/>
      </w:pPr>
      <w:r>
        <w:rPr>
          <w:rFonts w:hint="eastAsia"/>
        </w:rPr>
        <w:t>电子罗盘；</w:t>
      </w:r>
    </w:p>
    <w:p>
      <w:pPr>
        <w:pStyle w:val="132"/>
      </w:pPr>
      <w:r>
        <w:rPr>
          <w:rFonts w:hint="eastAsia"/>
        </w:rPr>
        <w:t>地质罗盘仪、地质指南针。</w:t>
      </w:r>
    </w:p>
    <w:p>
      <w:pPr>
        <w:pStyle w:val="162"/>
      </w:pPr>
      <w:r>
        <w:rPr>
          <w:rFonts w:hint="eastAsia"/>
        </w:rPr>
        <w:t>作业平台应配置照明系统。</w:t>
      </w:r>
    </w:p>
    <w:p>
      <w:pPr>
        <w:pStyle w:val="162"/>
      </w:pPr>
      <w:r>
        <w:rPr>
          <w:rFonts w:hint="eastAsia"/>
        </w:rPr>
        <w:t>火箭发射区应满足下列要求：</w:t>
      </w:r>
    </w:p>
    <w:p>
      <w:pPr>
        <w:pStyle w:val="174"/>
        <w:numPr>
          <w:ilvl w:val="0"/>
          <w:numId w:val="32"/>
        </w:numPr>
      </w:pPr>
      <w:r>
        <w:rPr>
          <w:rFonts w:hint="eastAsia"/>
        </w:rPr>
        <w:t>长度不小于6</w:t>
      </w:r>
      <w:r>
        <w:rPr>
          <w:rFonts w:hint="eastAsia"/>
          <w:w w:val="50"/>
        </w:rPr>
        <w:t xml:space="preserve"> </w:t>
      </w:r>
      <w:r>
        <w:rPr>
          <w:rFonts w:hint="eastAsia"/>
        </w:rPr>
        <w:t>m，宽度不小于2</w:t>
      </w:r>
      <w:r>
        <w:rPr>
          <w:rFonts w:hint="eastAsia"/>
          <w:w w:val="50"/>
        </w:rPr>
        <w:t xml:space="preserve"> </w:t>
      </w:r>
      <w:r>
        <w:rPr>
          <w:rFonts w:hint="eastAsia"/>
        </w:rPr>
        <w:t>m；</w:t>
      </w:r>
    </w:p>
    <w:p>
      <w:pPr>
        <w:pStyle w:val="174"/>
      </w:pPr>
      <w:r>
        <w:rPr>
          <w:rFonts w:hint="eastAsia"/>
        </w:rPr>
        <w:t>地面应夯实平整，且应：</w:t>
      </w:r>
    </w:p>
    <w:p>
      <w:pPr>
        <w:pStyle w:val="109"/>
      </w:pPr>
      <w:r>
        <w:rPr>
          <w:rFonts w:hint="eastAsia"/>
        </w:rPr>
        <w:t>平整度不大于20</w:t>
      </w:r>
      <w:r>
        <w:rPr>
          <w:rFonts w:hint="eastAsia"/>
          <w:w w:val="50"/>
        </w:rPr>
        <w:t xml:space="preserve"> </w:t>
      </w:r>
      <w:r>
        <w:rPr>
          <w:rFonts w:hint="eastAsia"/>
        </w:rPr>
        <w:t>mm；</w:t>
      </w:r>
    </w:p>
    <w:p>
      <w:pPr>
        <w:pStyle w:val="109"/>
      </w:pPr>
      <w:r>
        <w:rPr>
          <w:rFonts w:hint="eastAsia"/>
        </w:rPr>
        <w:t>坡度不大于1%；</w:t>
      </w:r>
    </w:p>
    <w:p>
      <w:pPr>
        <w:pStyle w:val="109"/>
      </w:pPr>
      <w:r>
        <w:rPr>
          <w:rFonts w:hint="eastAsia"/>
        </w:rPr>
        <w:t>抗压强度不小于20</w:t>
      </w:r>
      <w:r>
        <w:rPr>
          <w:rFonts w:hint="eastAsia"/>
          <w:w w:val="50"/>
        </w:rPr>
        <w:t xml:space="preserve"> </w:t>
      </w:r>
      <w:r>
        <w:rPr>
          <w:rFonts w:hint="eastAsia"/>
        </w:rPr>
        <w:t>MPa；</w:t>
      </w:r>
    </w:p>
    <w:p>
      <w:pPr>
        <w:pStyle w:val="109"/>
      </w:pPr>
      <w:r>
        <w:rPr>
          <w:rFonts w:hint="eastAsia"/>
        </w:rPr>
        <w:t>有排水出口；</w:t>
      </w:r>
    </w:p>
    <w:p>
      <w:pPr>
        <w:pStyle w:val="174"/>
      </w:pPr>
      <w:r>
        <w:rPr>
          <w:rFonts w:hint="eastAsia"/>
        </w:rPr>
        <w:t>埋设人工接地体，且人工接地体应：</w:t>
      </w:r>
    </w:p>
    <w:p>
      <w:pPr>
        <w:pStyle w:val="109"/>
      </w:pPr>
      <w:r>
        <w:rPr>
          <w:rFonts w:hint="eastAsia"/>
        </w:rPr>
        <w:t>符合GB/T 44957—2024中5.1.4的规定；</w:t>
      </w:r>
    </w:p>
    <w:p>
      <w:pPr>
        <w:pStyle w:val="109"/>
      </w:pPr>
      <w:r>
        <w:rPr>
          <w:rFonts w:hint="eastAsia"/>
        </w:rPr>
        <w:t>在地表留有接线端子，接线端子总高度不大于100</w:t>
      </w:r>
      <w:r>
        <w:rPr>
          <w:rFonts w:hint="eastAsia"/>
          <w:w w:val="50"/>
        </w:rPr>
        <w:t xml:space="preserve"> </w:t>
      </w:r>
      <w:r>
        <w:rPr>
          <w:rFonts w:hint="eastAsia"/>
        </w:rPr>
        <w:t>mm；</w:t>
      </w:r>
    </w:p>
    <w:p>
      <w:pPr>
        <w:pStyle w:val="109"/>
      </w:pPr>
      <w:r>
        <w:rPr>
          <w:rFonts w:hint="eastAsia"/>
        </w:rPr>
        <w:t>接线端子与火箭发射架中心点的距离不大于2200</w:t>
      </w:r>
      <w:r>
        <w:rPr>
          <w:rFonts w:hint="eastAsia"/>
          <w:w w:val="50"/>
        </w:rPr>
        <w:t xml:space="preserve"> </w:t>
      </w:r>
      <w:r>
        <w:rPr>
          <w:rFonts w:hint="eastAsia"/>
        </w:rPr>
        <w:t>mm，宜设置在火箭发射架中心点的地面投影处；</w:t>
      </w:r>
    </w:p>
    <w:p>
      <w:pPr>
        <w:pStyle w:val="109"/>
      </w:pPr>
      <w:r>
        <w:rPr>
          <w:rFonts w:hint="eastAsia"/>
        </w:rPr>
        <w:t>接线端子上留有孔径为8</w:t>
      </w:r>
      <w:r>
        <w:rPr>
          <w:rFonts w:hint="eastAsia"/>
          <w:w w:val="50"/>
        </w:rPr>
        <w:t xml:space="preserve"> </w:t>
      </w:r>
      <w:r>
        <w:rPr>
          <w:rFonts w:hint="eastAsia"/>
        </w:rPr>
        <w:t>mm±1</w:t>
      </w:r>
      <w:r>
        <w:rPr>
          <w:rFonts w:hint="eastAsia"/>
          <w:w w:val="50"/>
        </w:rPr>
        <w:t xml:space="preserve"> </w:t>
      </w:r>
      <w:r>
        <w:rPr>
          <w:rFonts w:hint="eastAsia"/>
        </w:rPr>
        <w:t>mm的接驳孔，并且接驳孔中心离地高度不小于12</w:t>
      </w:r>
      <w:r>
        <w:rPr>
          <w:rFonts w:hint="eastAsia"/>
          <w:w w:val="50"/>
        </w:rPr>
        <w:t xml:space="preserve"> </w:t>
      </w:r>
      <w:r>
        <w:rPr>
          <w:rFonts w:hint="eastAsia"/>
        </w:rPr>
        <w:t>mm；</w:t>
      </w:r>
    </w:p>
    <w:p>
      <w:pPr>
        <w:pStyle w:val="109"/>
      </w:pPr>
      <w:r>
        <w:rPr>
          <w:rFonts w:hint="eastAsia"/>
        </w:rPr>
        <w:t>接驳线为铜芯截面积不小于16</w:t>
      </w:r>
      <w:r>
        <w:rPr>
          <w:rFonts w:hint="eastAsia"/>
          <w:w w:val="50"/>
        </w:rPr>
        <w:t xml:space="preserve"> </w:t>
      </w:r>
      <w:r>
        <w:rPr>
          <w:rFonts w:hint="eastAsia"/>
        </w:rPr>
        <w:t>mm</w:t>
      </w:r>
      <w:r>
        <w:rPr>
          <w:rFonts w:hint="eastAsia"/>
          <w:vertAlign w:val="superscript"/>
        </w:rPr>
        <w:t>2</w:t>
      </w:r>
      <w:r>
        <w:rPr>
          <w:rFonts w:hint="eastAsia"/>
        </w:rPr>
        <w:t>的超绝缘屏蔽线；</w:t>
      </w:r>
    </w:p>
    <w:p>
      <w:pPr>
        <w:pStyle w:val="174"/>
      </w:pPr>
      <w:r>
        <w:rPr>
          <w:rFonts w:hint="eastAsia"/>
        </w:rPr>
        <w:t>火箭发射区的地面设置南北标识线、标识点。</w:t>
      </w:r>
    </w:p>
    <w:p>
      <w:pPr>
        <w:pStyle w:val="162"/>
        <w:rPr>
          <w:color w:val="auto"/>
        </w:rPr>
      </w:pPr>
      <w:r>
        <w:rPr>
          <w:rFonts w:hint="eastAsia"/>
        </w:rPr>
        <w:t>作业操</w:t>
      </w:r>
      <w:r>
        <w:rPr>
          <w:rFonts w:hint="eastAsia"/>
          <w:color w:val="auto"/>
        </w:rPr>
        <w:t>作区应满足下列要求：</w:t>
      </w:r>
    </w:p>
    <w:p>
      <w:pPr>
        <w:pStyle w:val="174"/>
        <w:numPr>
          <w:ilvl w:val="0"/>
          <w:numId w:val="33"/>
        </w:numPr>
        <w:rPr>
          <w:color w:val="auto"/>
        </w:rPr>
      </w:pPr>
      <w:r>
        <w:rPr>
          <w:rFonts w:hint="eastAsia"/>
          <w:color w:val="auto"/>
        </w:rPr>
        <w:t>长度不小于2</w:t>
      </w:r>
      <w:r>
        <w:rPr>
          <w:rFonts w:hint="eastAsia"/>
          <w:color w:val="auto"/>
          <w:w w:val="50"/>
        </w:rPr>
        <w:t xml:space="preserve"> </w:t>
      </w:r>
      <w:r>
        <w:rPr>
          <w:rFonts w:hint="eastAsia"/>
          <w:color w:val="auto"/>
        </w:rPr>
        <w:t>m，宽度不小于1.5</w:t>
      </w:r>
      <w:r>
        <w:rPr>
          <w:rFonts w:hint="eastAsia"/>
          <w:color w:val="auto"/>
          <w:w w:val="50"/>
        </w:rPr>
        <w:t xml:space="preserve"> </w:t>
      </w:r>
      <w:r>
        <w:rPr>
          <w:rFonts w:hint="eastAsia"/>
          <w:color w:val="auto"/>
        </w:rPr>
        <w:t>m，且位于火箭发射架侧面距离不小于3</w:t>
      </w:r>
      <w:r>
        <w:rPr>
          <w:rFonts w:hint="eastAsia"/>
          <w:color w:val="auto"/>
          <w:w w:val="50"/>
        </w:rPr>
        <w:t xml:space="preserve"> </w:t>
      </w:r>
      <w:r>
        <w:rPr>
          <w:rFonts w:hint="eastAsia"/>
          <w:color w:val="auto"/>
        </w:rPr>
        <w:t>m处；</w:t>
      </w:r>
    </w:p>
    <w:p>
      <w:pPr>
        <w:pStyle w:val="174"/>
        <w:rPr>
          <w:color w:val="auto"/>
        </w:rPr>
      </w:pPr>
      <w:r>
        <w:rPr>
          <w:rFonts w:hint="eastAsia"/>
          <w:color w:val="auto"/>
        </w:rPr>
        <w:t>地面夯实平整，抗压强度不小于6</w:t>
      </w:r>
      <w:r>
        <w:rPr>
          <w:rFonts w:hint="eastAsia"/>
          <w:color w:val="auto"/>
          <w:w w:val="50"/>
        </w:rPr>
        <w:t xml:space="preserve"> </w:t>
      </w:r>
      <w:r>
        <w:rPr>
          <w:rFonts w:hint="eastAsia"/>
          <w:color w:val="auto"/>
        </w:rPr>
        <w:t>MPa，平整度不大于30</w:t>
      </w:r>
      <w:r>
        <w:rPr>
          <w:rFonts w:hint="eastAsia"/>
          <w:color w:val="auto"/>
          <w:w w:val="50"/>
        </w:rPr>
        <w:t xml:space="preserve"> </w:t>
      </w:r>
      <w:r>
        <w:rPr>
          <w:rFonts w:hint="eastAsia"/>
          <w:color w:val="auto"/>
        </w:rPr>
        <w:t>mm，地面坡度不大于25%。</w:t>
      </w:r>
    </w:p>
    <w:p>
      <w:pPr>
        <w:pStyle w:val="104"/>
        <w:spacing w:before="312" w:after="312"/>
        <w:rPr>
          <w:color w:val="auto"/>
        </w:rPr>
      </w:pPr>
      <w:bookmarkStart w:id="51" w:name="_Toc204176491"/>
      <w:r>
        <w:rPr>
          <w:rFonts w:hint="eastAsia"/>
          <w:color w:val="auto"/>
        </w:rPr>
        <w:t>安全防范设施</w:t>
      </w:r>
      <w:bookmarkEnd w:id="51"/>
    </w:p>
    <w:p>
      <w:pPr>
        <w:pStyle w:val="162"/>
        <w:rPr>
          <w:color w:val="auto"/>
        </w:rPr>
      </w:pPr>
      <w:r>
        <w:rPr>
          <w:rFonts w:hint="eastAsia"/>
          <w:color w:val="auto"/>
        </w:rPr>
        <w:t>流动火箭作业点应设置安防监控设施，且监控视频实时上传人工影响天气作业指挥中心。</w:t>
      </w:r>
    </w:p>
    <w:p>
      <w:pPr>
        <w:pStyle w:val="162"/>
      </w:pPr>
      <w:r>
        <w:rPr>
          <w:rFonts w:hint="eastAsia"/>
        </w:rPr>
        <w:t>安防监控应覆盖：</w:t>
      </w:r>
    </w:p>
    <w:p>
      <w:pPr>
        <w:pStyle w:val="174"/>
        <w:numPr>
          <w:ilvl w:val="0"/>
          <w:numId w:val="34"/>
        </w:numPr>
      </w:pPr>
      <w:r>
        <w:rPr>
          <w:rFonts w:hint="eastAsia"/>
        </w:rPr>
        <w:t>火箭弹存取全过程；</w:t>
      </w:r>
    </w:p>
    <w:p>
      <w:pPr>
        <w:pStyle w:val="174"/>
      </w:pPr>
      <w:r>
        <w:rPr>
          <w:rFonts w:hint="eastAsia"/>
        </w:rPr>
        <w:t>火箭弹检查、装填全过程；</w:t>
      </w:r>
    </w:p>
    <w:p>
      <w:pPr>
        <w:pStyle w:val="174"/>
      </w:pPr>
      <w:r>
        <w:rPr>
          <w:rFonts w:hint="eastAsia"/>
        </w:rPr>
        <w:t>火箭弹的发射。</w:t>
      </w:r>
    </w:p>
    <w:p>
      <w:pPr>
        <w:pStyle w:val="162"/>
      </w:pPr>
      <w:r>
        <w:rPr>
          <w:rFonts w:hint="eastAsia"/>
        </w:rPr>
        <w:t>作业平台周边应设置安全保护区，安全保护区分为禁入区和警戒区，安全保护区布局见图1。</w:t>
      </w:r>
    </w:p>
    <w:p>
      <w:pPr>
        <w:pStyle w:val="56"/>
        <w:ind w:firstLine="199" w:firstLineChars="95"/>
        <w:jc w:val="center"/>
      </w:pPr>
      <w:r>
        <w:drawing>
          <wp:inline distT="0" distB="0" distL="0" distR="0">
            <wp:extent cx="3879850" cy="2882900"/>
            <wp:effectExtent l="0" t="0" r="635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3879850" cy="2882900"/>
                    </a:xfrm>
                    <a:prstGeom prst="rect">
                      <a:avLst/>
                    </a:prstGeom>
                    <a:noFill/>
                  </pic:spPr>
                </pic:pic>
              </a:graphicData>
            </a:graphic>
          </wp:inline>
        </w:drawing>
      </w:r>
    </w:p>
    <w:p>
      <w:pPr>
        <w:pStyle w:val="182"/>
        <w:ind w:firstLine="360"/>
      </w:pPr>
      <w:r>
        <w:rPr>
          <w:rFonts w:hint="eastAsia"/>
        </w:rPr>
        <w:t>说明：</w:t>
      </w:r>
    </w:p>
    <w:p>
      <w:pPr>
        <w:pStyle w:val="182"/>
        <w:ind w:firstLine="900" w:firstLineChars="500"/>
      </w:pPr>
      <w:r>
        <mc:AlternateContent>
          <mc:Choice Requires="wps">
            <w:drawing>
              <wp:anchor distT="0" distB="0" distL="114300" distR="114300" simplePos="0" relativeHeight="251661312" behindDoc="0" locked="0" layoutInCell="1" allowOverlap="1">
                <wp:simplePos x="0" y="0"/>
                <wp:positionH relativeFrom="column">
                  <wp:posOffset>224155</wp:posOffset>
                </wp:positionH>
                <wp:positionV relativeFrom="paragraph">
                  <wp:posOffset>100330</wp:posOffset>
                </wp:positionV>
                <wp:extent cx="287655" cy="0"/>
                <wp:effectExtent l="38100" t="76200" r="0" b="114300"/>
                <wp:wrapNone/>
                <wp:docPr id="16" name="直接箭头连接符 16"/>
                <wp:cNvGraphicFramePr/>
                <a:graphic xmlns:a="http://schemas.openxmlformats.org/drawingml/2006/main">
                  <a:graphicData uri="http://schemas.microsoft.com/office/word/2010/wordprocessingShape">
                    <wps:wsp>
                      <wps:cNvCnPr/>
                      <wps:spPr>
                        <a:xfrm flipH="1">
                          <a:off x="0" y="0"/>
                          <a:ext cx="287655" cy="0"/>
                        </a:xfrm>
                        <a:prstGeom prst="straightConnector1">
                          <a:avLst/>
                        </a:prstGeom>
                        <a:ln w="1270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17.65pt;margin-top:7.9pt;height:0pt;width:22.65pt;z-index:251661312;mso-width-relative:page;mso-height-relative:page;" filled="f" stroked="t" coordsize="21600,21600" o:gfxdata="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kjMg49cAAAAHAQAADwAAAAAAAAABACAAAAAi&#10;AAAAZHJzL2Rvd25yZXYueG1sUEsBAhQAFAAAAAgAh07iQGvHkKkLAgAA6gMAAA4AAAAAAAAAAQAg&#10;AAAAJgEAAGRycy9lMm9Eb2MueG1sUEsFBgAAAAAGAAYAWQEAAKMFAAAAAA==&#10;">
                <v:fill on="f" focussize="0,0"/>
                <v:stroke weight="1pt" color="#000000 [3213]" miterlimit="8" joinstyle="miter" endarrow="open"/>
                <v:imagedata o:title=""/>
                <o:lock v:ext="edit" aspectratio="f"/>
              </v:shape>
            </w:pict>
          </mc:Fallback>
        </mc:AlternateContent>
      </w:r>
      <w:r>
        <w:rPr>
          <w:rFonts w:hint="eastAsia"/>
        </w:rPr>
        <w:t>——火箭发射方向；</w:t>
      </w:r>
    </w:p>
    <w:p>
      <w:pPr>
        <w:pStyle w:val="182"/>
        <w:ind w:firstLine="360"/>
      </w:pPr>
      <w:r>
        <w:rPr>
          <w:rFonts w:hint="eastAsia"/>
        </w:rPr>
        <w:t>1     ——禁入区1，以自毁火箭发射架为圆心，半径不小于30</w:t>
      </w:r>
      <w:r>
        <w:rPr>
          <w:rFonts w:hint="eastAsia"/>
          <w:w w:val="50"/>
        </w:rPr>
        <w:t xml:space="preserve"> </w:t>
      </w:r>
      <w:r>
        <w:rPr>
          <w:rFonts w:hint="eastAsia"/>
        </w:rPr>
        <w:t>m的区域；</w:t>
      </w:r>
    </w:p>
    <w:p>
      <w:pPr>
        <w:pStyle w:val="182"/>
        <w:ind w:firstLine="360"/>
      </w:pPr>
      <w:r>
        <w:rPr>
          <w:rFonts w:hint="eastAsia"/>
        </w:rPr>
        <w:t>2     ——禁入区2，以伞降火箭发射架为圆心，半径不小于15</w:t>
      </w:r>
      <w:r>
        <w:rPr>
          <w:rFonts w:hint="eastAsia"/>
          <w:w w:val="50"/>
        </w:rPr>
        <w:t xml:space="preserve"> </w:t>
      </w:r>
      <w:r>
        <w:rPr>
          <w:rFonts w:hint="eastAsia"/>
        </w:rPr>
        <w:t>m的区域；</w:t>
      </w:r>
    </w:p>
    <w:p>
      <w:pPr>
        <w:pStyle w:val="182"/>
        <w:ind w:firstLine="360"/>
      </w:pPr>
      <w:r>
        <w:rPr>
          <w:rFonts w:hint="eastAsia"/>
        </w:rPr>
        <w:t>3     ——禁入区3，火箭发射架中心点向后，夹角不小于45°且半径不小于40</w:t>
      </w:r>
      <w:r>
        <w:rPr>
          <w:rFonts w:hint="eastAsia"/>
          <w:w w:val="50"/>
        </w:rPr>
        <w:t xml:space="preserve"> </w:t>
      </w:r>
      <w:r>
        <w:rPr>
          <w:rFonts w:hint="eastAsia"/>
        </w:rPr>
        <w:t>m的区域；</w:t>
      </w:r>
    </w:p>
    <w:p>
      <w:pPr>
        <w:pStyle w:val="182"/>
        <w:ind w:firstLine="360"/>
      </w:pPr>
      <w:r>
        <w:rPr>
          <w:rFonts w:hint="eastAsia"/>
        </w:rPr>
        <w:t>4     ——警戒区，以火箭发射架中心点向后，夹角不小于45°，在禁入区3与半径不小于60</w:t>
      </w:r>
      <w:r>
        <w:rPr>
          <w:rFonts w:hint="eastAsia"/>
          <w:w w:val="50"/>
        </w:rPr>
        <w:t xml:space="preserve"> </w:t>
      </w:r>
      <w:r>
        <w:rPr>
          <w:rFonts w:hint="eastAsia"/>
        </w:rPr>
        <w:t>m扇面之间的区域。</w:t>
      </w:r>
    </w:p>
    <w:p>
      <w:pPr>
        <w:pStyle w:val="114"/>
        <w:spacing w:before="156" w:after="156"/>
      </w:pPr>
      <w:r>
        <w:rPr>
          <w:rFonts w:hint="eastAsia"/>
        </w:rPr>
        <w:t>安全保护区布局示意图</w:t>
      </w:r>
    </w:p>
    <w:p>
      <w:pPr>
        <w:pStyle w:val="162"/>
        <w:rPr>
          <w:color w:val="auto"/>
        </w:rPr>
      </w:pPr>
      <w:r>
        <w:rPr>
          <w:rFonts w:hint="eastAsia"/>
          <w:color w:val="auto"/>
        </w:rPr>
        <w:t>在通往警戒区和禁入区的道路口用安全警示警告牌（线）将道路封堵。</w:t>
      </w:r>
    </w:p>
    <w:p>
      <w:pPr>
        <w:pStyle w:val="162"/>
        <w:rPr>
          <w:color w:val="auto"/>
        </w:rPr>
      </w:pPr>
      <w:r>
        <w:rPr>
          <w:rFonts w:hint="eastAsia"/>
          <w:color w:val="auto"/>
        </w:rPr>
        <w:t>安全警示牌应满足下列要求：</w:t>
      </w:r>
    </w:p>
    <w:p>
      <w:pPr>
        <w:pStyle w:val="56"/>
        <w:ind w:firstLine="420"/>
        <w:rPr>
          <w:color w:val="auto"/>
        </w:rPr>
      </w:pPr>
      <w:r>
        <w:rPr>
          <w:rFonts w:hint="eastAsia"/>
          <w:color w:val="auto"/>
        </w:rPr>
        <w:t>a)</w:t>
      </w:r>
      <w:r>
        <w:rPr>
          <w:rFonts w:hint="eastAsia"/>
          <w:color w:val="auto"/>
        </w:rPr>
        <w:tab/>
      </w:r>
      <w:r>
        <w:rPr>
          <w:rFonts w:hint="eastAsia"/>
          <w:color w:val="auto"/>
        </w:rPr>
        <w:t>长度与宽度不小于40</w:t>
      </w:r>
      <w:r>
        <w:rPr>
          <w:rFonts w:hint="eastAsia"/>
          <w:color w:val="auto"/>
          <w:w w:val="50"/>
        </w:rPr>
        <w:t xml:space="preserve"> </w:t>
      </w:r>
      <w:r>
        <w:rPr>
          <w:rFonts w:hint="eastAsia"/>
          <w:color w:val="auto"/>
        </w:rPr>
        <w:t>cm；</w:t>
      </w:r>
    </w:p>
    <w:p>
      <w:pPr>
        <w:pStyle w:val="56"/>
        <w:ind w:firstLine="420"/>
      </w:pPr>
      <w:r>
        <w:rPr>
          <w:rFonts w:hint="eastAsia"/>
        </w:rPr>
        <w:t>b)</w:t>
      </w:r>
      <w:r>
        <w:rPr>
          <w:rFonts w:hint="eastAsia"/>
        </w:rPr>
        <w:tab/>
      </w:r>
      <w:r>
        <w:rPr>
          <w:rFonts w:hint="eastAsia"/>
        </w:rPr>
        <w:t>离地高度不小于60</w:t>
      </w:r>
      <w:r>
        <w:rPr>
          <w:rFonts w:hint="eastAsia"/>
          <w:w w:val="50"/>
        </w:rPr>
        <w:t xml:space="preserve"> </w:t>
      </w:r>
      <w:r>
        <w:rPr>
          <w:rFonts w:hint="eastAsia"/>
        </w:rPr>
        <w:t>cm；</w:t>
      </w:r>
    </w:p>
    <w:p>
      <w:pPr>
        <w:pStyle w:val="56"/>
        <w:ind w:firstLine="420"/>
      </w:pPr>
      <w:r>
        <w:rPr>
          <w:rFonts w:hint="eastAsia"/>
        </w:rPr>
        <w:t>c)</w:t>
      </w:r>
      <w:r>
        <w:rPr>
          <w:rFonts w:hint="eastAsia"/>
        </w:rPr>
        <w:tab/>
      </w:r>
      <w:r>
        <w:rPr>
          <w:rFonts w:hint="eastAsia"/>
        </w:rPr>
        <w:t>底色为红色；</w:t>
      </w:r>
    </w:p>
    <w:p>
      <w:pPr>
        <w:pStyle w:val="56"/>
        <w:ind w:firstLine="420"/>
      </w:pPr>
      <w:r>
        <w:rPr>
          <w:rFonts w:hint="eastAsia"/>
        </w:rPr>
        <w:t>d)</w:t>
      </w:r>
      <w:r>
        <w:rPr>
          <w:rFonts w:hint="eastAsia"/>
        </w:rPr>
        <w:tab/>
      </w:r>
      <w:r>
        <w:rPr>
          <w:rFonts w:hint="eastAsia"/>
        </w:rPr>
        <w:t>字色应采用黄色。</w:t>
      </w:r>
    </w:p>
    <w:p>
      <w:pPr>
        <w:pStyle w:val="56"/>
        <w:ind w:firstLine="420"/>
      </w:pPr>
    </w:p>
    <w:bookmarkEnd w:id="24"/>
    <w:p>
      <w:pPr>
        <w:pStyle w:val="56"/>
        <w:ind w:firstLine="420"/>
        <w:sectPr>
          <w:headerReference r:id="rId19" w:type="default"/>
          <w:footerReference r:id="rId21" w:type="default"/>
          <w:headerReference r:id="rId20" w:type="even"/>
          <w:footerReference r:id="rId22" w:type="even"/>
          <w:pgSz w:w="11906" w:h="16838"/>
          <w:pgMar w:top="1928" w:right="1134" w:bottom="1134" w:left="1134" w:header="1418" w:footer="1134" w:gutter="284"/>
          <w:pgNumType w:start="1"/>
          <w:cols w:space="425" w:num="1"/>
          <w:formProt w:val="0"/>
          <w:docGrid w:type="lines" w:linePitch="312" w:charSpace="0"/>
        </w:sectPr>
      </w:pPr>
      <w:bookmarkStart w:id="52" w:name="BookMark6"/>
    </w:p>
    <w:p>
      <w:pPr>
        <w:pStyle w:val="63"/>
        <w:spacing w:after="156"/>
      </w:pPr>
      <w:bookmarkStart w:id="53" w:name="_Toc204176492"/>
      <w:r>
        <w:rPr>
          <w:rFonts w:hint="eastAsia"/>
          <w:spacing w:val="105"/>
        </w:rPr>
        <w:t>参考文</w:t>
      </w:r>
      <w:r>
        <w:rPr>
          <w:rFonts w:hint="eastAsia"/>
        </w:rPr>
        <w:t>献</w:t>
      </w:r>
      <w:bookmarkEnd w:id="53"/>
    </w:p>
    <w:p>
      <w:pPr>
        <w:pStyle w:val="56"/>
        <w:ind w:firstLine="420"/>
      </w:pPr>
      <w:r>
        <w:rPr>
          <w:rFonts w:hint="eastAsia"/>
        </w:rPr>
        <w:t>[1]　GB/T 42989　人工影响天气术语</w:t>
      </w:r>
    </w:p>
    <w:p>
      <w:pPr>
        <w:pStyle w:val="56"/>
        <w:ind w:firstLine="420"/>
      </w:pPr>
      <w:r>
        <w:rPr>
          <w:rFonts w:hint="eastAsia"/>
        </w:rPr>
        <w:t>[2]　GB/T 44961　大型活动气象服务指南　人工影响天气</w:t>
      </w:r>
    </w:p>
    <w:p>
      <w:pPr>
        <w:pStyle w:val="56"/>
        <w:ind w:firstLine="420"/>
      </w:pPr>
      <w:r>
        <w:rPr>
          <w:rFonts w:hint="eastAsia"/>
        </w:rPr>
        <w:t xml:space="preserve">[3]　QX/T 297　地面人工影响天气作业安全管理要求 </w:t>
      </w:r>
    </w:p>
    <w:p>
      <w:pPr>
        <w:pStyle w:val="56"/>
        <w:ind w:firstLine="420"/>
      </w:pPr>
      <w:r>
        <w:rPr>
          <w:rFonts w:hint="eastAsia"/>
        </w:rPr>
        <w:t>[4]　QX/T 329　人工影响天气地面作业站建设规范</w:t>
      </w:r>
    </w:p>
    <w:p>
      <w:pPr>
        <w:pStyle w:val="56"/>
        <w:ind w:firstLine="420"/>
      </w:pPr>
      <w:r>
        <w:rPr>
          <w:rFonts w:hint="eastAsia"/>
        </w:rPr>
        <w:t>[5]　QX/T 471　人工影响天气作业装备与弹药标识编码技术规范</w:t>
      </w:r>
    </w:p>
    <w:p>
      <w:pPr>
        <w:pStyle w:val="56"/>
        <w:ind w:firstLine="420"/>
      </w:pPr>
      <w:r>
        <w:rPr>
          <w:rFonts w:hint="eastAsia"/>
        </w:rPr>
        <w:t>[6]　QX/T 716　人工影响天气地面固定作业点安全等级评估技术要求</w:t>
      </w:r>
    </w:p>
    <w:p>
      <w:pPr>
        <w:pStyle w:val="56"/>
        <w:ind w:firstLine="420"/>
      </w:pPr>
      <w:r>
        <w:rPr>
          <w:rFonts w:hint="eastAsia"/>
        </w:rPr>
        <w:t>[7]　DB13/T 2037　人工影响天气固定作业点建设要求</w:t>
      </w:r>
    </w:p>
    <w:bookmarkEnd w:id="52"/>
    <w:p>
      <w:pPr>
        <w:pStyle w:val="56"/>
        <w:ind w:firstLine="0" w:firstLineChars="0"/>
        <w:jc w:val="center"/>
      </w:pPr>
      <w:bookmarkStart w:id="54" w:name="BookMark8"/>
      <w:r>
        <w:drawing>
          <wp:inline distT="0" distB="0" distL="0" distR="0">
            <wp:extent cx="1485900" cy="317500"/>
            <wp:effectExtent l="0" t="0" r="0" b="635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30"/>
                    <a:stretch>
                      <a:fillRect/>
                    </a:stretch>
                  </pic:blipFill>
                  <pic:spPr>
                    <a:xfrm>
                      <a:off x="0" y="0"/>
                      <a:ext cx="1485900" cy="317500"/>
                    </a:xfrm>
                    <a:prstGeom prst="rect">
                      <a:avLst/>
                    </a:prstGeom>
                  </pic:spPr>
                </pic:pic>
              </a:graphicData>
            </a:graphic>
          </wp:inline>
        </w:drawing>
      </w:r>
      <w:bookmarkEnd w:id="54"/>
    </w:p>
    <w:sectPr>
      <w:headerReference r:id="rId23" w:type="default"/>
      <w:footerReference r:id="rId25" w:type="default"/>
      <w:headerReference r:id="rId24" w:type="even"/>
      <w:footerReference r:id="rId26" w:type="even"/>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II</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I</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II</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2</w:t>
    </w:r>
    <w: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I</w:t>
    </w:r>
    <w: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4</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13/T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13/T XXXX—XXXX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13/T XXXX—XXXX</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13/T XXXX—XXXX</w:t>
    </w:r>
    <w: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13/T XXXX—XXXX</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13/T XXXX—XXXX</w:t>
    </w:r>
    <w:r>
      <w:fldChar w:fldCharType="end"/>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13/T XXXX—XXXX</w:t>
    </w:r>
    <w:r>
      <w:fldChar w:fldCharType="end"/>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13/T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attachedTemplate r:id="rId1"/>
  <w:documentProtection w:edit="forms" w:enforcement="1" w:cryptProviderType="rsaAES" w:cryptAlgorithmClass="hash" w:cryptAlgorithmType="typeAny" w:cryptAlgorithmSid="14" w:cryptSpinCount="100000" w:hash="qQeeRyMgl6+UKRen59SI82nfpo626jPySQXxXXsVa+zKJgKGPlA1F9IoomQAdEnidNyk2lIM8ZY4+dPJgrgADA==" w:salt="y1eAR77jdECGv4OXLa7M/g=="/>
  <w:defaultTabStop w:val="420"/>
  <w:evenAndOddHeaders w:val="1"/>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60B4"/>
    <w:rsid w:val="0000040A"/>
    <w:rsid w:val="00000A94"/>
    <w:rsid w:val="00001972"/>
    <w:rsid w:val="00001D9A"/>
    <w:rsid w:val="00007B3A"/>
    <w:rsid w:val="000107E0"/>
    <w:rsid w:val="00011FDE"/>
    <w:rsid w:val="00012FFD"/>
    <w:rsid w:val="00014162"/>
    <w:rsid w:val="00014340"/>
    <w:rsid w:val="00014F64"/>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26D90"/>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17F9F"/>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560B4"/>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E74CF"/>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454A"/>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E6E5D"/>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4162B"/>
    <w:rsid w:val="00D4514F"/>
    <w:rsid w:val="00D451E2"/>
    <w:rsid w:val="00D45E89"/>
    <w:rsid w:val="00D45E8D"/>
    <w:rsid w:val="00D466AE"/>
    <w:rsid w:val="00D4734F"/>
    <w:rsid w:val="00D51BF3"/>
    <w:rsid w:val="00D52DD8"/>
    <w:rsid w:val="00D60806"/>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C68FD"/>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34A60"/>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599B"/>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5CA59B0"/>
    <w:rsid w:val="34DD57C1"/>
    <w:rsid w:val="58243EFC"/>
    <w:rsid w:val="627A4D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Char"/>
    <w:link w:val="2"/>
    <w:qFormat/>
    <w:uiPriority w:val="0"/>
    <w:rPr>
      <w:b/>
      <w:bCs/>
      <w:kern w:val="44"/>
      <w:sz w:val="44"/>
      <w:szCs w:val="44"/>
    </w:rPr>
  </w:style>
  <w:style w:type="character" w:customStyle="1" w:styleId="35">
    <w:name w:val="标题 2 Char"/>
    <w:link w:val="3"/>
    <w:qFormat/>
    <w:uiPriority w:val="0"/>
    <w:rPr>
      <w:rFonts w:ascii="Arial" w:hAnsi="Arial" w:eastAsia="黑体"/>
      <w:b/>
      <w:bCs/>
      <w:kern w:val="2"/>
      <w:sz w:val="32"/>
      <w:szCs w:val="32"/>
    </w:rPr>
  </w:style>
  <w:style w:type="character" w:customStyle="1" w:styleId="36">
    <w:name w:val="标题 3 Char"/>
    <w:link w:val="4"/>
    <w:qFormat/>
    <w:uiPriority w:val="0"/>
    <w:rPr>
      <w:b/>
      <w:bCs/>
      <w:kern w:val="2"/>
      <w:sz w:val="32"/>
      <w:szCs w:val="32"/>
    </w:rPr>
  </w:style>
  <w:style w:type="character" w:customStyle="1" w:styleId="37">
    <w:name w:val="标题 4 Char"/>
    <w:link w:val="5"/>
    <w:qFormat/>
    <w:uiPriority w:val="0"/>
    <w:rPr>
      <w:rFonts w:ascii="Arial" w:hAnsi="Arial" w:eastAsia="黑体"/>
      <w:b/>
      <w:bCs/>
      <w:kern w:val="2"/>
      <w:sz w:val="28"/>
      <w:szCs w:val="28"/>
    </w:rPr>
  </w:style>
  <w:style w:type="character" w:customStyle="1" w:styleId="38">
    <w:name w:val="标题 5 Char"/>
    <w:link w:val="6"/>
    <w:qFormat/>
    <w:uiPriority w:val="0"/>
    <w:rPr>
      <w:b/>
      <w:bCs/>
      <w:kern w:val="2"/>
      <w:sz w:val="28"/>
      <w:szCs w:val="28"/>
    </w:rPr>
  </w:style>
  <w:style w:type="character" w:customStyle="1" w:styleId="39">
    <w:name w:val="标题 6 Char"/>
    <w:link w:val="7"/>
    <w:qFormat/>
    <w:uiPriority w:val="0"/>
    <w:rPr>
      <w:rFonts w:ascii="Arial" w:hAnsi="Arial" w:eastAsia="黑体"/>
      <w:b/>
      <w:bCs/>
      <w:kern w:val="2"/>
      <w:sz w:val="24"/>
      <w:szCs w:val="24"/>
    </w:rPr>
  </w:style>
  <w:style w:type="character" w:customStyle="1" w:styleId="40">
    <w:name w:val="标题 7 Char"/>
    <w:link w:val="8"/>
    <w:qFormat/>
    <w:uiPriority w:val="0"/>
    <w:rPr>
      <w:b/>
      <w:bCs/>
      <w:kern w:val="2"/>
      <w:sz w:val="24"/>
      <w:szCs w:val="24"/>
    </w:rPr>
  </w:style>
  <w:style w:type="character" w:customStyle="1" w:styleId="41">
    <w:name w:val="标题 8 Char"/>
    <w:link w:val="9"/>
    <w:qFormat/>
    <w:uiPriority w:val="0"/>
    <w:rPr>
      <w:rFonts w:ascii="Arial" w:hAnsi="Arial" w:eastAsia="黑体"/>
      <w:kern w:val="2"/>
      <w:sz w:val="24"/>
      <w:szCs w:val="24"/>
    </w:rPr>
  </w:style>
  <w:style w:type="character" w:customStyle="1" w:styleId="42">
    <w:name w:val="标题 9 Char"/>
    <w:link w:val="10"/>
    <w:qFormat/>
    <w:uiPriority w:val="0"/>
    <w:rPr>
      <w:rFonts w:ascii="Arial" w:hAnsi="Arial" w:eastAsia="黑体"/>
      <w:kern w:val="2"/>
      <w:sz w:val="21"/>
      <w:szCs w:val="21"/>
    </w:rPr>
  </w:style>
  <w:style w:type="character" w:customStyle="1" w:styleId="43">
    <w:name w:val="页眉 Char"/>
    <w:link w:val="18"/>
    <w:qFormat/>
    <w:uiPriority w:val="99"/>
    <w:rPr>
      <w:kern w:val="2"/>
      <w:sz w:val="18"/>
      <w:szCs w:val="18"/>
    </w:rPr>
  </w:style>
  <w:style w:type="character" w:customStyle="1" w:styleId="44">
    <w:name w:val="页脚 Char"/>
    <w:link w:val="17"/>
    <w:qFormat/>
    <w:uiPriority w:val="99"/>
    <w:rPr>
      <w:rFonts w:ascii="宋体"/>
      <w:kern w:val="2"/>
      <w:sz w:val="18"/>
      <w:szCs w:val="18"/>
    </w:rPr>
  </w:style>
  <w:style w:type="character" w:customStyle="1" w:styleId="45">
    <w:name w:val="批注框文本 Char"/>
    <w:link w:val="16"/>
    <w:semiHidden/>
    <w:qFormat/>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Char"/>
    <w:link w:val="46"/>
    <w:qFormat/>
    <w:uiPriority w:val="29"/>
    <w:rPr>
      <w:i/>
      <w:iCs/>
      <w:color w:val="000000"/>
      <w:kern w:val="2"/>
      <w:sz w:val="21"/>
      <w:szCs w:val="21"/>
    </w:rPr>
  </w:style>
  <w:style w:type="character" w:customStyle="1" w:styleId="48">
    <w:name w:val="标题 Char"/>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Char"/>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不明显参考1"/>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Char"/>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semiHidden/>
    <w:qFormat/>
    <w:uiPriority w:val="0"/>
    <w:pPr>
      <w:adjustRightInd/>
      <w:spacing w:line="240" w:lineRule="auto"/>
      <w:jc w:val="left"/>
    </w:pPr>
    <w:rPr>
      <w:bCs/>
      <w:iCs/>
    </w:rPr>
  </w:style>
  <w:style w:type="paragraph" w:customStyle="1" w:styleId="143">
    <w:name w:val="目录 31"/>
    <w:basedOn w:val="1"/>
    <w:next w:val="1"/>
    <w:semiHidden/>
    <w:qFormat/>
    <w:uiPriority w:val="0"/>
    <w:pPr>
      <w:spacing w:line="240" w:lineRule="auto"/>
    </w:pPr>
    <w:rPr>
      <w:rFonts w:ascii="宋体" w:hAnsi="宋体"/>
      <w:iCs/>
    </w:rPr>
  </w:style>
  <w:style w:type="paragraph" w:customStyle="1" w:styleId="144">
    <w:name w:val="目录 41"/>
    <w:basedOn w:val="1"/>
    <w:next w:val="1"/>
    <w:semiHidden/>
    <w:qFormat/>
    <w:uiPriority w:val="0"/>
    <w:pPr>
      <w:adjustRightInd/>
      <w:spacing w:line="240" w:lineRule="auto"/>
      <w:jc w:val="left"/>
    </w:pPr>
  </w:style>
  <w:style w:type="paragraph" w:customStyle="1" w:styleId="145">
    <w:name w:val="目录 51"/>
    <w:basedOn w:val="1"/>
    <w:next w:val="1"/>
    <w:semiHidden/>
    <w:qFormat/>
    <w:uiPriority w:val="0"/>
    <w:pPr>
      <w:spacing w:line="240" w:lineRule="auto"/>
    </w:pPr>
    <w:rPr>
      <w:rFonts w:ascii="宋体" w:hAnsi="宋体"/>
    </w:rPr>
  </w:style>
  <w:style w:type="paragraph" w:customStyle="1" w:styleId="146">
    <w:name w:val="目录 61"/>
    <w:basedOn w:val="1"/>
    <w:next w:val="1"/>
    <w:semiHidden/>
    <w:qFormat/>
    <w:uiPriority w:val="0"/>
    <w:pPr>
      <w:adjustRightInd/>
      <w:spacing w:line="240" w:lineRule="auto"/>
      <w:jc w:val="left"/>
    </w:pPr>
  </w:style>
  <w:style w:type="paragraph" w:customStyle="1" w:styleId="147">
    <w:name w:val="目录 71"/>
    <w:basedOn w:val="146"/>
    <w:semiHidden/>
    <w:qFormat/>
    <w:uiPriority w:val="0"/>
    <w:pPr>
      <w:ind w:left="1260"/>
    </w:pPr>
  </w:style>
  <w:style w:type="paragraph" w:customStyle="1" w:styleId="148">
    <w:name w:val="目录 81"/>
    <w:basedOn w:val="147"/>
    <w:semiHidden/>
    <w:qFormat/>
    <w:uiPriority w:val="0"/>
    <w:pPr>
      <w:ind w:left="1470"/>
    </w:pPr>
  </w:style>
  <w:style w:type="paragraph" w:customStyle="1" w:styleId="149">
    <w:name w:val="目录 91"/>
    <w:basedOn w:val="148"/>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framePr w:wrap="around"/>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wrap="around"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wrap="around" w:vAnchor="page" w:hAnchor="page" w:x="1419" w:y="14097"/>
    </w:pPr>
  </w:style>
  <w:style w:type="paragraph" w:customStyle="1" w:styleId="194">
    <w:name w:val="其他实施日期"/>
    <w:basedOn w:val="154"/>
    <w:qFormat/>
    <w:uiPriority w:val="0"/>
    <w:pPr>
      <w:framePr w:w="3997" w:h="471" w:hRule="exact" w:vSpace="181" w:wrap="around"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frame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5" Type="http://schemas.openxmlformats.org/officeDocument/2006/relationships/glossaryDocument" Target="glossary/document.xml"/><Relationship Id="rId34" Type="http://schemas.openxmlformats.org/officeDocument/2006/relationships/fontTable" Target="fontTable.xml"/><Relationship Id="rId33" Type="http://schemas.openxmlformats.org/officeDocument/2006/relationships/customXml" Target="../customXml/item2.xml"/><Relationship Id="rId32" Type="http://schemas.openxmlformats.org/officeDocument/2006/relationships/numbering" Target="numbering.xml"/><Relationship Id="rId31" Type="http://schemas.openxmlformats.org/officeDocument/2006/relationships/customXml" Target="../customXml/item1.xml"/><Relationship Id="rId30" Type="http://schemas.openxmlformats.org/officeDocument/2006/relationships/image" Target="media/image3.jpeg"/><Relationship Id="rId3" Type="http://schemas.openxmlformats.org/officeDocument/2006/relationships/footnotes" Target="footnotes.xml"/><Relationship Id="rId29" Type="http://schemas.openxmlformats.org/officeDocument/2006/relationships/image" Target="media/image2.png"/><Relationship Id="rId28" Type="http://schemas.openxmlformats.org/officeDocument/2006/relationships/image" Target="media/image1.tiff"/><Relationship Id="rId27" Type="http://schemas.openxmlformats.org/officeDocument/2006/relationships/theme" Target="theme/theme1.xml"/><Relationship Id="rId26" Type="http://schemas.openxmlformats.org/officeDocument/2006/relationships/footer" Target="footer11.xml"/><Relationship Id="rId25" Type="http://schemas.openxmlformats.org/officeDocument/2006/relationships/footer" Target="footer10.xml"/><Relationship Id="rId24" Type="http://schemas.openxmlformats.org/officeDocument/2006/relationships/header" Target="header11.xml"/><Relationship Id="rId23" Type="http://schemas.openxmlformats.org/officeDocument/2006/relationships/header" Target="header10.xml"/><Relationship Id="rId22" Type="http://schemas.openxmlformats.org/officeDocument/2006/relationships/footer" Target="footer9.xml"/><Relationship Id="rId21" Type="http://schemas.openxmlformats.org/officeDocument/2006/relationships/footer" Target="footer8.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CD75AA3D6894494A9C34D728238E5B5"/>
        <w:style w:val=""/>
        <w:category>
          <w:name w:val="常规"/>
          <w:gallery w:val="placeholder"/>
        </w:category>
        <w:types>
          <w:type w:val="bbPlcHdr"/>
        </w:types>
        <w:behaviors>
          <w:behavior w:val="content"/>
        </w:behaviors>
        <w:description w:val=""/>
        <w:guid w:val="{C1DCDB61-2195-44CB-83A8-B0FAC44CE51C}"/>
      </w:docPartPr>
      <w:docPartBody>
        <w:p>
          <w:pPr>
            <w:pStyle w:val="5"/>
          </w:pPr>
          <w:r>
            <w:rPr>
              <w:rStyle w:val="4"/>
              <w:rFonts w:hint="eastAsia"/>
            </w:rPr>
            <w:t>单击或点击此处输入文字。</w:t>
          </w:r>
        </w:p>
      </w:docPartBody>
    </w:docPart>
    <w:docPart>
      <w:docPartPr>
        <w:name w:val="BC6DA89F6CBB4D30809911B7C568EAB3"/>
        <w:style w:val=""/>
        <w:category>
          <w:name w:val="常规"/>
          <w:gallery w:val="placeholder"/>
        </w:category>
        <w:types>
          <w:type w:val="bbPlcHdr"/>
        </w:types>
        <w:behaviors>
          <w:behavior w:val="content"/>
        </w:behaviors>
        <w:description w:val=""/>
        <w:guid w:val="{E35F827F-2415-47A5-B57B-DDA4C76E989C}"/>
      </w:docPartPr>
      <w:docPartBody>
        <w:p>
          <w:pPr>
            <w:pStyle w:val="6"/>
          </w:pPr>
          <w:r>
            <w:rPr>
              <w:rStyle w:val="4"/>
              <w:rFonts w:hint="eastAsia"/>
            </w:rPr>
            <w:t>选择一项。</w:t>
          </w:r>
        </w:p>
      </w:docPartBody>
    </w:docPart>
    <w:docPart>
      <w:docPartPr>
        <w:name w:val="8914791B0F754A2588EA4FFD5AD6F7FA"/>
        <w:style w:val=""/>
        <w:category>
          <w:name w:val="常规"/>
          <w:gallery w:val="placeholder"/>
        </w:category>
        <w:types>
          <w:type w:val="bbPlcHdr"/>
        </w:types>
        <w:behaviors>
          <w:behavior w:val="content"/>
        </w:behaviors>
        <w:description w:val=""/>
        <w:guid w:val="{01D427AE-C6C4-438C-8047-1507D2ECA385}"/>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3287"/>
    <w:rsid w:val="009778E3"/>
    <w:rsid w:val="009C3287"/>
    <w:rsid w:val="00AC15A4"/>
    <w:rsid w:val="00AE01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DCD75AA3D6894494A9C34D728238E5B5"/>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BC6DA89F6CBB4D30809911B7C568EAB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8914791B0F754A2588EA4FFD5AD6F7F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
    <w:name w:val="5E673E2592B24A5BB277B960D50CD987"/>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DD8CCBF-E08E-48C8-B587-E88D732F9D97}">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8</Pages>
  <Words>515</Words>
  <Characters>2942</Characters>
  <Lines>24</Lines>
  <Paragraphs>6</Paragraphs>
  <TotalTime>44</TotalTime>
  <ScaleCrop>false</ScaleCrop>
  <LinksUpToDate>false</LinksUpToDate>
  <CharactersWithSpaces>3451</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2025-07-23T03:11:00Z</dcterms:created>
  <dc:creator>lenono</dc:creator>
  <dc:description>&lt;config cover="true" show_menu="true" version="1.0.0" doctype="SDKXY"&gt;_x000d_
&lt;/config&gt;</dc:description>
  <cp:lastModifiedBy>冯鹤:拟稿人</cp:lastModifiedBy>
  <cp:lastPrinted>2020-08-30T10:00:00Z</cp:lastPrinted>
  <dcterms:modified xsi:type="dcterms:W3CDTF">2025-08-04T07:47:42Z</dcterms:modified>
  <dc:title>地方标准</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y fmtid="{D5CDD505-2E9C-101B-9397-08002B2CF9AE}" pid="15" name="KSOProductBuildVer">
    <vt:lpwstr>2052-11.8.2.12309</vt:lpwstr>
  </property>
  <property fmtid="{D5CDD505-2E9C-101B-9397-08002B2CF9AE}" pid="16" name="ICV">
    <vt:lpwstr>0682C16F7AB746F1B6679FD8D242CB5C</vt:lpwstr>
  </property>
</Properties>
</file>