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before="156" w:beforeLines="50" w:after="156" w:afterLines="50" w:line="52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诚信计量承诺书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为构建诚信经营的市场环境，树立和维护企业良好形象，本单位自愿参与诚信计量承诺单位创建，按照《商店超市诚信计量建设规范》要求开展诚信计量体系建设，经自我评价符合要求，特向</w:t>
      </w:r>
      <w:r>
        <w:rPr>
          <w:rFonts w:ascii="仿宋_GB2312" w:hAnsi="黑体" w:eastAsia="仿宋_GB2312"/>
          <w:sz w:val="28"/>
          <w:szCs w:val="28"/>
        </w:rPr>
        <w:t>社会</w:t>
      </w:r>
      <w:r>
        <w:rPr>
          <w:rFonts w:hint="eastAsia" w:ascii="仿宋_GB2312" w:hAnsi="黑体" w:eastAsia="仿宋_GB2312"/>
          <w:sz w:val="28"/>
          <w:szCs w:val="28"/>
        </w:rPr>
        <w:t>公开承诺：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一、自觉遵守《中华人民</w:t>
      </w:r>
      <w:r>
        <w:rPr>
          <w:rFonts w:ascii="仿宋_GB2312" w:eastAsia="仿宋_GB2312"/>
          <w:sz w:val="28"/>
          <w:szCs w:val="28"/>
        </w:rPr>
        <w:t>共和国</w:t>
      </w:r>
      <w:r>
        <w:rPr>
          <w:rFonts w:hint="eastAsia" w:ascii="仿宋_GB2312" w:eastAsia="仿宋_GB2312"/>
          <w:sz w:val="28"/>
          <w:szCs w:val="28"/>
        </w:rPr>
        <w:t>计量法》《零售商品称重计量监督管理办法》《定量包装商品计量监督管理办法》等法律法规对贸易计量的有关规定。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</w:t>
      </w:r>
      <w:r>
        <w:rPr>
          <w:rFonts w:hint="eastAsia" w:ascii="仿宋_GB2312" w:hAnsi="黑体" w:eastAsia="仿宋_GB2312"/>
          <w:sz w:val="28"/>
          <w:szCs w:val="28"/>
        </w:rPr>
        <w:t>积极宣传和带头遵守《商业 服务业诚信计量行为规范》，建立诚信计量</w:t>
      </w:r>
      <w:r>
        <w:rPr>
          <w:rFonts w:ascii="仿宋_GB2312" w:hAnsi="黑体" w:eastAsia="仿宋_GB2312"/>
          <w:sz w:val="28"/>
          <w:szCs w:val="28"/>
        </w:rPr>
        <w:t>管理体系并实施有效管理、控制和持续改进</w:t>
      </w:r>
      <w:r>
        <w:rPr>
          <w:rFonts w:hint="eastAsia" w:ascii="仿宋_GB2312" w:hAnsi="黑体" w:eastAsia="仿宋_GB2312"/>
          <w:sz w:val="28"/>
          <w:szCs w:val="28"/>
        </w:rPr>
        <w:t>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三、加强计量器具管理，配备符合国家要求的计量器具并定期检定。不使用未经检定、检定不合格和</w:t>
      </w:r>
      <w:r>
        <w:rPr>
          <w:rFonts w:ascii="仿宋_GB2312" w:eastAsia="仿宋_GB2312"/>
          <w:sz w:val="28"/>
          <w:szCs w:val="28"/>
        </w:rPr>
        <w:t>超检定周期</w:t>
      </w:r>
      <w:r>
        <w:rPr>
          <w:rFonts w:hint="eastAsia" w:ascii="仿宋_GB2312" w:eastAsia="仿宋_GB2312"/>
          <w:sz w:val="28"/>
          <w:szCs w:val="28"/>
        </w:rPr>
        <w:t>的计量器具，不对</w:t>
      </w:r>
      <w:r>
        <w:rPr>
          <w:rFonts w:ascii="仿宋_GB2312" w:eastAsia="仿宋_GB2312"/>
          <w:sz w:val="28"/>
          <w:szCs w:val="28"/>
        </w:rPr>
        <w:t>计量器具进行未经授权的调整。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四、向消费者明示商品称重计量操作过程，对按重量计费的各种活禽、鲜活水产、水发物等不将包装物、捆扎物计入称重值。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五、使用法定计量单位，商品量及价格标注真实。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六、如有商品量短缺行为，按照《消费者权益保护法》先行赔付。</w:t>
      </w:r>
    </w:p>
    <w:p>
      <w:p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本单位将严格履行以上承诺，如有违反，愿意承担相应的法律责任，欢迎社会各界予以监督。</w:t>
      </w:r>
    </w:p>
    <w:p>
      <w:pPr>
        <w:spacing w:line="520" w:lineRule="exact"/>
        <w:ind w:firstLine="3920" w:firstLineChars="1400"/>
        <w:rPr>
          <w:rFonts w:ascii="仿宋_GB2312" w:eastAsia="仿宋_GB2312"/>
          <w:sz w:val="28"/>
          <w:szCs w:val="28"/>
        </w:rPr>
      </w:pPr>
    </w:p>
    <w:p>
      <w:pPr>
        <w:ind w:firstLine="5600" w:firstLineChars="20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</w:t>
      </w:r>
      <w:r>
        <w:rPr>
          <w:rFonts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sz w:val="28"/>
          <w:szCs w:val="28"/>
        </w:rPr>
        <w:t>盖章）</w:t>
      </w:r>
    </w:p>
    <w:p>
      <w:pPr>
        <w:ind w:firstLine="5600" w:firstLineChars="2000"/>
        <w:rPr>
          <w:rFonts w:ascii="仿宋_GB2312" w:eastAsia="仿宋_GB2312"/>
          <w:sz w:val="28"/>
          <w:szCs w:val="28"/>
        </w:rPr>
        <w:sectPr>
          <w:pgSz w:w="11906" w:h="16838"/>
          <w:pgMar w:top="1440" w:right="1474" w:bottom="1440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28"/>
          <w:szCs w:val="28"/>
        </w:rPr>
        <w:t>举报电话：123</w:t>
      </w:r>
      <w:r>
        <w:rPr>
          <w:rFonts w:ascii="仿宋_GB2312" w:eastAsia="仿宋_GB2312"/>
          <w:sz w:val="28"/>
          <w:szCs w:val="28"/>
        </w:rPr>
        <w:t>15</w:t>
      </w:r>
    </w:p>
    <w:p>
      <w:pPr>
        <w:kinsoku w:val="0"/>
        <w:overflowPunct w:val="0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商店超市诚信计量承诺单位自评表（试用</w:t>
      </w:r>
      <w:r>
        <w:rPr>
          <w:rFonts w:ascii="黑体" w:hAnsi="黑体" w:eastAsia="黑体" w:cs="黑体"/>
          <w:sz w:val="28"/>
          <w:szCs w:val="28"/>
        </w:rPr>
        <w:t>）</w:t>
      </w:r>
    </w:p>
    <w:p>
      <w:pPr>
        <w:spacing w:after="93" w:afterLines="30" w:line="240" w:lineRule="exact"/>
        <w:ind w:left="23"/>
        <w:rPr>
          <w:rFonts w:ascii="Arial" w:hAnsi="Arial" w:eastAsia="黑体" w:cs="宋体"/>
          <w:b/>
          <w:kern w:val="0"/>
          <w:szCs w:val="21"/>
        </w:rPr>
      </w:pPr>
      <w:r>
        <w:rPr>
          <w:rFonts w:ascii="Arial" w:hAnsi="Arial" w:eastAsia="黑体" w:cs="宋体"/>
          <w:kern w:val="0"/>
          <w:szCs w:val="21"/>
        </w:rPr>
        <w:t>4</w:t>
      </w:r>
      <w:r>
        <w:rPr>
          <w:rFonts w:hint="eastAsia" w:ascii="Arial" w:hAnsi="Arial" w:eastAsia="黑体" w:cs="宋体"/>
          <w:kern w:val="0"/>
          <w:szCs w:val="21"/>
        </w:rPr>
        <w:t>基本要求（总分</w:t>
      </w:r>
      <w:r>
        <w:rPr>
          <w:rFonts w:ascii="Arial" w:hAnsi="Arial" w:eastAsia="黑体" w:cs="宋体"/>
          <w:kern w:val="0"/>
          <w:szCs w:val="21"/>
        </w:rPr>
        <w:t>15</w:t>
      </w:r>
      <w:r>
        <w:rPr>
          <w:rFonts w:hint="eastAsia" w:ascii="Arial" w:hAnsi="Arial" w:eastAsia="黑体" w:cs="宋体"/>
          <w:kern w:val="0"/>
          <w:szCs w:val="21"/>
        </w:rPr>
        <w:t>分</w:t>
      </w:r>
      <w:r>
        <w:rPr>
          <w:rFonts w:hint="eastAsia" w:ascii="Arial" w:hAnsi="Arial" w:eastAsia="黑体" w:cs="宋体"/>
          <w:b/>
          <w:kern w:val="0"/>
          <w:szCs w:val="21"/>
        </w:rPr>
        <w:t>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68"/>
        <w:gridCol w:w="5244"/>
        <w:gridCol w:w="3402"/>
        <w:gridCol w:w="2707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评价方法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评价记录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tblHeader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黑体" w:hAnsi="黑体" w:eastAsia="黑体" w:cs="微软雅黑"/>
                <w:sz w:val="18"/>
                <w:szCs w:val="18"/>
              </w:rPr>
              <w:t>※</w:t>
            </w:r>
            <w:r>
              <w:rPr>
                <w:sz w:val="18"/>
                <w:szCs w:val="18"/>
              </w:rPr>
              <w:t>4.1能承担法律责任的实体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（2分）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应具有符合相关执照或许可证所规定的经营条件，依法取得所必要的执照或许可证，并保持有效。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1.依法取得所必要的执照或许可证。法人单位需要有社会信用代码证书等，授权经营需要有授权经营的上级文件。应在有效期内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2.具有相关商品的经营条件。（1分）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tblHeader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4.2制定诚信计量方针和目标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（5分）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管理者应当按GB/T 19022、GB/T 31950、《商业 服务业诚信计量行为规范》等标准规范要求，制定诚信计量方针，明确诚信计量目标，识别诚信计量要素，建立诚信计量管理体系，并实施有效管理、控制和持续改进。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1.是否制定了诚信计量方针，是否有明确的诚信计量目标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2.方针、目标是否合理，目标是否可测量；目标有没有评价记录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3.是否建立诚信计量管理体系并实施，查运行记录。（2分）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tblHeader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黑体" w:hAnsi="黑体" w:eastAsia="黑体" w:cs="微软雅黑"/>
                <w:sz w:val="18"/>
                <w:szCs w:val="18"/>
              </w:rPr>
              <w:t>※</w:t>
            </w:r>
            <w:r>
              <w:rPr>
                <w:sz w:val="18"/>
                <w:szCs w:val="18"/>
              </w:rPr>
              <w:t>4.3执行相关法律、法规及政策（3分）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应执行相关法律、法规及政策规定，遵循公正、公平、公开的原则，保证所售商品具有商品资质，确保所售商品量值准确可靠。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管理体系文件是否有规定、有记录。是否有被处理的记录。（3分）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tblHeader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黑体" w:hAnsi="黑体" w:eastAsia="黑体" w:cs="微软雅黑"/>
                <w:sz w:val="18"/>
                <w:szCs w:val="18"/>
              </w:rPr>
              <w:t>※</w:t>
            </w:r>
            <w:r>
              <w:rPr>
                <w:sz w:val="18"/>
                <w:szCs w:val="18"/>
              </w:rPr>
              <w:t>4.4建立诚信计量承诺制度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（5分）</w:t>
            </w:r>
          </w:p>
        </w:tc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1"/>
              <w:numPr>
                <w:ilvl w:val="0"/>
                <w:numId w:val="0"/>
              </w:numPr>
              <w:spacing w:before="156" w:after="156" w:line="240" w:lineRule="exact"/>
              <w:ind w:firstLine="180" w:firstLineChars="100"/>
              <w:jc w:val="both"/>
              <w:rPr>
                <w:rFonts w:asciiTheme="minorEastAsia" w:hAnsiTheme="minorEastAsia" w:eastAsiaTheme="minorEastAsia" w:cstheme="minorBidi"/>
                <w:kern w:val="2"/>
                <w:sz w:val="18"/>
                <w:szCs w:val="18"/>
                <w:shd w:val="clear" w:color="auto" w:fill="auto"/>
              </w:rPr>
            </w:pPr>
            <w:r>
              <w:rPr>
                <w:rFonts w:asciiTheme="minorEastAsia" w:hAnsiTheme="minorEastAsia" w:eastAsiaTheme="minorEastAsia" w:cstheme="minorBidi"/>
                <w:kern w:val="2"/>
                <w:sz w:val="18"/>
                <w:szCs w:val="18"/>
                <w:shd w:val="clear" w:color="auto" w:fill="auto"/>
              </w:rPr>
              <w:t>应建立诚信计量承诺机制，公开做出诚信计量承诺，保证商品质量符合相应标准要求，主动接受社会监督，对未兑现诚信计量承诺的各类行为做出相应的改正和补偿规定。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1.是否建立了诚信计量承诺制度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2.是否已经公开承诺，如通过公示栏、新闻媒体、书面文件、互联网等，承诺的内容是否包含了本要求的内容。（3分）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before="93" w:beforeLines="30" w:after="93" w:afterLines="30" w:line="240" w:lineRule="exact"/>
        <w:rPr>
          <w:rFonts w:ascii="Arial" w:hAnsi="Arial" w:eastAsia="黑体" w:cs="宋体"/>
          <w:kern w:val="0"/>
          <w:szCs w:val="21"/>
        </w:rPr>
      </w:pPr>
      <w:r>
        <w:rPr>
          <w:rFonts w:ascii="Arial" w:hAnsi="Arial" w:eastAsia="黑体" w:cs="宋体"/>
          <w:kern w:val="0"/>
          <w:szCs w:val="21"/>
        </w:rPr>
        <w:t xml:space="preserve">5 </w:t>
      </w:r>
      <w:r>
        <w:rPr>
          <w:rFonts w:hint="eastAsia" w:ascii="Arial" w:hAnsi="Arial" w:eastAsia="黑体" w:cs="宋体"/>
          <w:kern w:val="0"/>
          <w:szCs w:val="21"/>
        </w:rPr>
        <w:t>技术要求（总分</w:t>
      </w:r>
      <w:r>
        <w:rPr>
          <w:rFonts w:ascii="Arial" w:hAnsi="Arial" w:eastAsia="黑体" w:cs="宋体"/>
          <w:kern w:val="0"/>
          <w:szCs w:val="21"/>
        </w:rPr>
        <w:t>50</w:t>
      </w:r>
      <w:r>
        <w:rPr>
          <w:rFonts w:hint="eastAsia" w:ascii="Arial" w:hAnsi="Arial" w:eastAsia="黑体" w:cs="宋体"/>
          <w:kern w:val="0"/>
          <w:szCs w:val="21"/>
        </w:rPr>
        <w:t>分）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366"/>
        <w:gridCol w:w="5244"/>
        <w:gridCol w:w="3402"/>
        <w:gridCol w:w="2876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评价方法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评价记录</w:t>
            </w: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/>
                <w:kern w:val="0"/>
                <w:sz w:val="18"/>
                <w:szCs w:val="18"/>
              </w:rPr>
              <w:t>5.1 人员</w:t>
            </w:r>
          </w:p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（3分）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应根据工作需要配备足够的专（兼）职计量管理、技术、监督和服务人员，所有人员应诚实、公正、严谨地按照诚信计量管理体系要求工作。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应对有关计量岗位主要人员的资格、知识、培训、技能、考核等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作出</w:t>
            </w:r>
            <w:r>
              <w:rPr>
                <w:rFonts w:asciiTheme="minorEastAsia" w:hAnsiTheme="minorEastAsia"/>
                <w:sz w:val="18"/>
                <w:szCs w:val="18"/>
              </w:rPr>
              <w:t>规定，并形成文件，保证人员有能力执行分配的任务。应保存人员的相关记录。</w:t>
            </w:r>
          </w:p>
          <w:p>
            <w:pPr>
              <w:spacing w:line="240" w:lineRule="exact"/>
              <w:rPr>
                <w:rFonts w:cs="宋体"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3.应制定人员培训工作程序，明确培训政策，确定培训需求，开展人员教育和技能培训。培训计划应适应本单位任务需要。应评价这些活动的有效性。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1.人员配备是否足够、合理，是否按体系要求工作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2.是否有体系文件对主要岗位人员的培训、技能、考核等作出规定；有无人员档案或一览表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3.是否制定了人员培训程序文件，是否有培训记录，是否有考核评价，记录是否齐全。（1分）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0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/>
                <w:kern w:val="0"/>
                <w:sz w:val="18"/>
                <w:szCs w:val="18"/>
              </w:rPr>
              <w:t>5.2设备</w:t>
            </w:r>
          </w:p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（20分）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※</w:t>
            </w:r>
            <w:r>
              <w:rPr>
                <w:rFonts w:asciiTheme="minorEastAsia" w:hAnsiTheme="minorEastAsia"/>
                <w:sz w:val="18"/>
                <w:szCs w:val="18"/>
              </w:rPr>
              <w:t>1.应按所售商品和相关要求，配备测量范围和准确度适应的相关计量器具。通常主要包括但不限于电子秤、天平、木直尺等。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2.应在商店超市的显著位置设置公平秤等复验计量器具，为消费者复验提供便利。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3.所有计量器具的性能应符合相应的检定规程/校准规范的要求，并符合商店超市的使用要求。在日常使用前应检查，确认计量器具处于正常状态。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.应建立、保持计量器具记录（档案），记录至少应包括：计量器具名称、型号规格、准确度等级、测量范围、制造商、唯一性标识、安装地点、检定/校准周期、检定/校准日期、检定/校准机构、检定/校准证书、维修维护计划和记录等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5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所有需要检定/校准的计量器具，应使用标签、编码或其他标识表明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计</w:t>
            </w:r>
            <w:r>
              <w:rPr>
                <w:rFonts w:asciiTheme="minorEastAsia" w:hAnsiTheme="minorEastAsia"/>
                <w:sz w:val="18"/>
                <w:szCs w:val="18"/>
              </w:rPr>
              <w:t>量器具检定/校准状态，便于使用人方便地识别。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6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如果计量器具出现过载或处置不当、出现可疑结果、已显示有缺陷或超出规定要求时，应停止使用。出现上述状况的计量器具应予以隔离、防止误用，或者加贴标签、标记，表明该计量器具已停用，直至修复，验证合格后再投入使用。应检查计量器具缺陷、故障等偏离规定要求的影响，必要时启动不符合工作程序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7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应制定计量器具的处置、运输、存放、使用和按计划维护的程序。保证其正常使用。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8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当需要利用核查保持对计量器具的信心时，应按规定的程序进行，并做好核查记录。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9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应有切实可行的措施，保护已经检定/校准的计量器具内设参数（参考值、修正系数等）、机械密封（封印）、电子印封（密码等）完好，防止非操作人员调整。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1.是否制定了设备管理程序；对所涉及的计量器具的性能要求、配备等作出规定。（4分）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2.秤、天平、尺子等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计量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器具的配备是否符合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相应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规范和使用要求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（4分）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3.是否建立了设备记录（档案），信息是否齐全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4.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计量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器具是否有状态标识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5.设备出现可疑结果时，是否采取有效措施，并进行追溯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6.是否制定了设备的处置、运输、存放、使用和维护程序。是否有相应实施记录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7.是否制定了设备定期核查程序。是否有相应核查记录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。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（2分）</w:t>
            </w:r>
          </w:p>
          <w:p>
            <w:pPr>
              <w:widowControl/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8.是否有措施保证封印完好。</w:t>
            </w:r>
            <w:r>
              <w:rPr>
                <w:rFonts w:asciiTheme="minorEastAsia" w:hAnsiTheme="minorEastAsia"/>
                <w:sz w:val="18"/>
                <w:szCs w:val="18"/>
              </w:rPr>
              <w:t>（2分）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36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5.3标注要求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（10分）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在现场随机抽查不同种类、规格的商品，查看其标注、法定计量单位、字符的最小高度等。符合要求。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在现场随机抽查不同种类、规格的定量包装商品、分装包装商品、零售商品、用能产品能源效率标识商品，查看其标注，法定计量单位、字符的最小高度等内容应符合要求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。（</w:t>
            </w:r>
            <w:r>
              <w:rPr>
                <w:rFonts w:asciiTheme="minorEastAsia" w:hAnsiTheme="minorEastAsia"/>
                <w:sz w:val="18"/>
                <w:szCs w:val="18"/>
              </w:rPr>
              <w:t>10分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）</w:t>
            </w:r>
            <w:r>
              <w:rPr>
                <w:rFonts w:asciiTheme="minorEastAsia" w:hAnsiTheme="minorEastAsia"/>
                <w:sz w:val="18"/>
                <w:szCs w:val="18"/>
              </w:rPr>
              <w:t>（随机抽查 10 份商品，每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有</w:t>
            </w:r>
            <w:r>
              <w:rPr>
                <w:rFonts w:asciiTheme="minorEastAsia" w:hAnsiTheme="minorEastAsia"/>
                <w:sz w:val="18"/>
                <w:szCs w:val="18"/>
              </w:rPr>
              <w:t>一次不符合扣1分）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36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5.4 设施环境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（5分）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设施环境应满足计量器具的使用要求。影响计量器具性能的设施和环境因素通常包括但不限于：电源、温度、湿度、振动、腐蚀性物质等。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应将商店超市内不相容的相邻区域进行有效隔离，防止相互影响。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应对商品批发、零售、仓储等活动有效管理，保持良好内务。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1.环境和设施是否满足所售商品和计量设备的要求；有影响的区域是否合理布置。（4分）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2.是否保持良好工作秩序。（1分）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366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5.5 计量溯源性 （6分）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所有的计量器具均应溯源至社会公用计量标准，具有连续、有效的检定/校准证书。</w:t>
            </w:r>
          </w:p>
          <w:p>
            <w:pPr>
              <w:spacing w:line="240" w:lineRule="exac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※</w:t>
            </w: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属于强制检定的计量器具应按照法律法规的规定，向当地计量行政主管部门指定的计量技术机构申请强制检定。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1.检定/校准证书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或</w:t>
            </w:r>
            <w:r>
              <w:rPr>
                <w:rFonts w:asciiTheme="minorEastAsia" w:hAnsiTheme="minorEastAsia"/>
                <w:sz w:val="18"/>
                <w:szCs w:val="18"/>
              </w:rPr>
              <w:t>标识是否有效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、</w:t>
            </w:r>
            <w:r>
              <w:rPr>
                <w:rFonts w:asciiTheme="minorEastAsia" w:hAnsiTheme="minorEastAsia"/>
                <w:sz w:val="18"/>
                <w:szCs w:val="18"/>
              </w:rPr>
              <w:t>连续。（3分）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2.是否有计量器具检定/校准的程序和计划。是否按计划执行。（2分）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3.溯源单位是否正确。（1分）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36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 外部供方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（5分）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应制定选择、购买外部供方服务的政策和程序，这些外部供方提供的产品或服务，通常包括但不限于所销售的商品采购、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计量器具</w:t>
            </w:r>
            <w:r>
              <w:rPr>
                <w:rFonts w:asciiTheme="minorEastAsia" w:hAnsiTheme="minorEastAsia"/>
                <w:sz w:val="18"/>
                <w:szCs w:val="18"/>
              </w:rPr>
              <w:t>采购、设备维护、溯源服务、人员培训等。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根据国家或行业有关规定的强制需求，商店超市应能提供所经营</w:t>
            </w:r>
            <w:r>
              <w:rPr>
                <w:rFonts w:hint="eastAsia" w:asciiTheme="minorEastAsia" w:hAnsiTheme="minorEastAsia"/>
                <w:sz w:val="18"/>
                <w:szCs w:val="18"/>
                <w:lang w:eastAsia="zh-CN"/>
              </w:rPr>
              <w:t>商品必需的</w:t>
            </w:r>
            <w:r>
              <w:rPr>
                <w:rFonts w:asciiTheme="minorEastAsia" w:hAnsiTheme="minorEastAsia"/>
                <w:sz w:val="18"/>
                <w:szCs w:val="18"/>
              </w:rPr>
              <w:t>许可或资质证明，如产品检验（检疫）合格证、食品生产许可证等。应根据需求，对所销售商品的品名、种类、型号、规格、级别、检验说明、质量要求、生产日期、保质期、成分、包装、标识、数量等进行识别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对列入型式批准目录的计量器具，应按规定取得计量器具型式批准证书。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制定上述外部供方的评价程序，保证上述外部供方提供的产品和服务适应需求。有条件的最好能实地考察供方的生产能力、加工条件、卫生状况、质量管理水平、信用资质等。对产品质量承诺和企业信誉进行跟踪评价。保存外部供方的评价记录和供应商的名单，建立合格供方档案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5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对外部产品和服务采购文件（合同），应包含所购产品和服务的要求信息，并经过审查和批准。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6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对外部供方提供的产品或服务，应经过检查、验收，应有商品的合格证明，把控好进货渠道。并保存符合性检查的相关记录。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1.是否制定了外部供方管理程序，对外部供方的选择、采购、验收作出规定。（1分）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2.是否保存供应商的资质和商品合格证明等。（1分）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3.是否对供应商定期评价，并保存供应商名单。（1分）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4.采购文件信息是否充分。（1分）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5.对供方提供的商品是否检查验收。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76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366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 操作程序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（1分）</w:t>
            </w:r>
          </w:p>
        </w:tc>
        <w:tc>
          <w:tcPr>
            <w:tcW w:w="5244" w:type="dxa"/>
            <w:vAlign w:val="center"/>
          </w:tcPr>
          <w:p>
            <w:pPr>
              <w:pStyle w:val="16"/>
              <w:spacing w:line="240" w:lineRule="exact"/>
              <w:ind w:firstLine="0" w:firstLineChars="0"/>
              <w:rPr>
                <w:rFonts w:cs="Tahoma" w:asciiTheme="minorEastAsia" w:hAnsiTheme="minorEastAsia" w:eastAsiaTheme="minorEastAsia"/>
                <w:sz w:val="18"/>
                <w:szCs w:val="18"/>
              </w:rPr>
            </w:pPr>
            <w:r>
              <w:rPr>
                <w:rFonts w:cs="Tahoma" w:asciiTheme="minorEastAsia" w:hAnsiTheme="minorEastAsia" w:eastAsiaTheme="minorEastAsia"/>
                <w:sz w:val="18"/>
                <w:szCs w:val="18"/>
              </w:rPr>
              <w:t>1</w:t>
            </w:r>
            <w:r>
              <w:rPr>
                <w:rFonts w:hint="eastAsia" w:cs="Tahoma" w:asciiTheme="minorEastAsia" w:hAnsiTheme="minorEastAsia" w:eastAsiaTheme="minorEastAsia"/>
                <w:sz w:val="18"/>
                <w:szCs w:val="18"/>
              </w:rPr>
              <w:t>.</w:t>
            </w:r>
            <w:r>
              <w:rPr>
                <w:rFonts w:cs="Tahoma" w:asciiTheme="minorEastAsia" w:hAnsiTheme="minorEastAsia" w:eastAsiaTheme="minorEastAsia"/>
                <w:sz w:val="18"/>
                <w:szCs w:val="18"/>
              </w:rPr>
              <w:t>如有必要，商店超市应根据有关标准/规程/规范、设备使用说明以及相关规定，制定计量器具的操作和核查方法，保证测量和核查的过程和结果准确无误。操作和核查方法应保持有效版本并易于人员取阅。</w:t>
            </w:r>
          </w:p>
          <w:p>
            <w:pPr>
              <w:pStyle w:val="16"/>
              <w:spacing w:line="240" w:lineRule="exact"/>
              <w:ind w:firstLine="0" w:firstLineChars="0"/>
              <w:rPr>
                <w:rFonts w:cs="Tahoma" w:asciiTheme="minorEastAsia" w:hAnsiTheme="minorEastAsia" w:eastAsiaTheme="minorEastAsia"/>
                <w:sz w:val="18"/>
                <w:szCs w:val="18"/>
              </w:rPr>
            </w:pPr>
            <w:r>
              <w:rPr>
                <w:rFonts w:cs="Tahoma" w:asciiTheme="minorEastAsia" w:hAnsiTheme="minorEastAsia" w:eastAsiaTheme="minorEastAsia"/>
                <w:sz w:val="18"/>
                <w:szCs w:val="18"/>
              </w:rPr>
              <w:t>2</w:t>
            </w:r>
            <w:r>
              <w:rPr>
                <w:rFonts w:hint="eastAsia" w:cs="Tahoma" w:asciiTheme="minorEastAsia" w:hAnsiTheme="minorEastAsia" w:eastAsia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现场测量时应向客户明示计量单位、操作过程和计量设备显示的量值。对有异议的，由当地计量行政主管部门指定的计量技术机构仲裁，能够协商一致的，可采取其他检测方式。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询问是否需要制定操作和核查方法，若需要，是否制定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；</w:t>
            </w:r>
            <w:r>
              <w:rPr>
                <w:rFonts w:asciiTheme="minorEastAsia" w:hAnsiTheme="minorEastAsia"/>
                <w:sz w:val="18"/>
                <w:szCs w:val="18"/>
              </w:rPr>
              <w:t>现场观察，是否向客户明示计量单位、操作过程和计量设备显示的量值。（1分）</w:t>
            </w:r>
          </w:p>
        </w:tc>
        <w:tc>
          <w:tcPr>
            <w:tcW w:w="2876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before="156" w:beforeLines="50" w:after="156" w:afterLines="50" w:line="240" w:lineRule="exact"/>
        <w:ind w:left="23"/>
        <w:rPr>
          <w:rFonts w:ascii="Arial" w:hAnsi="Arial" w:eastAsia="黑体" w:cs="宋体"/>
          <w:kern w:val="0"/>
          <w:szCs w:val="21"/>
        </w:rPr>
      </w:pPr>
    </w:p>
    <w:p>
      <w:pPr>
        <w:spacing w:before="156" w:beforeLines="50" w:after="156" w:afterLines="50" w:line="240" w:lineRule="exact"/>
        <w:ind w:left="23"/>
        <w:rPr>
          <w:rFonts w:ascii="Arial" w:hAnsi="Arial" w:eastAsia="黑体" w:cs="宋体"/>
          <w:kern w:val="0"/>
          <w:szCs w:val="21"/>
        </w:rPr>
      </w:pPr>
    </w:p>
    <w:p>
      <w:pPr>
        <w:spacing w:before="156" w:beforeLines="50" w:after="156" w:afterLines="50" w:line="240" w:lineRule="exact"/>
        <w:ind w:left="23"/>
        <w:rPr>
          <w:rFonts w:ascii="Arial" w:hAnsi="Arial" w:eastAsia="黑体" w:cs="宋体"/>
          <w:kern w:val="0"/>
          <w:szCs w:val="21"/>
        </w:rPr>
      </w:pPr>
      <w:r>
        <w:rPr>
          <w:rFonts w:ascii="Arial" w:hAnsi="Arial" w:eastAsia="黑体" w:cs="宋体"/>
          <w:kern w:val="0"/>
          <w:szCs w:val="21"/>
        </w:rPr>
        <w:t xml:space="preserve">6 </w:t>
      </w:r>
      <w:r>
        <w:rPr>
          <w:rFonts w:hint="eastAsia" w:ascii="Arial" w:hAnsi="Arial" w:eastAsia="黑体" w:cs="宋体"/>
          <w:kern w:val="0"/>
          <w:szCs w:val="21"/>
        </w:rPr>
        <w:t>管理要求（总分</w:t>
      </w:r>
      <w:r>
        <w:rPr>
          <w:rFonts w:ascii="Arial" w:hAnsi="Arial" w:eastAsia="黑体" w:cs="宋体"/>
          <w:kern w:val="0"/>
          <w:szCs w:val="21"/>
        </w:rPr>
        <w:t>15</w:t>
      </w:r>
      <w:r>
        <w:rPr>
          <w:rFonts w:hint="eastAsia" w:ascii="Arial" w:hAnsi="Arial" w:eastAsia="黑体" w:cs="宋体"/>
          <w:kern w:val="0"/>
          <w:szCs w:val="21"/>
        </w:rPr>
        <w:t>分）</w:t>
      </w:r>
    </w:p>
    <w:tbl>
      <w:tblPr>
        <w:tblStyle w:val="7"/>
        <w:tblW w:w="144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92"/>
        <w:gridCol w:w="5244"/>
        <w:gridCol w:w="3402"/>
        <w:gridCol w:w="286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评价方法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评价记录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/>
                <w:kern w:val="0"/>
                <w:sz w:val="18"/>
                <w:szCs w:val="18"/>
              </w:rPr>
              <w:t>6.1管理者职责</w:t>
            </w:r>
          </w:p>
          <w:p>
            <w:pPr>
              <w:spacing w:line="240" w:lineRule="exac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（3分）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最高管理者通过以下活动，策划、建立、实施并改进诚信计量管理体系：向本单位传达遵守法律法规、满足顾客要求的重要性；制定诚信计量方针；确定诚信计量目标；配备足够的资源；主持管理评审。策划、实施、变更诚信计量管理体系时，确保诚信计量管理体系完整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明确诚信计量工作有关组织结构、部门设置、岗位职责及相互关系，明确各实施过程及其相互衔接,管理内部诚信计量信息、处理相关方投诉，以及建立执行、保障和监督的协调机制等。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1.是否建立了诚信计量管理体系。（2分）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2.是否明确了有关诚信计量工作的主管领导、部门设置、岗位职责、权限及相互关系。（1分）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6.2 管理体系文件（2分）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应将政策、制度、计划、程序和作业指导书等制定成文件，文件的内容、种类、祥略程度取决于本单位的规模大小、服务和流程的复杂程度以及相互关系、人员能力等因素，文件化的程度应保证诚信管理体系有效实施，管理体系文件应传达至有关人员，并得到切实贯彻执行。管理体系文件应包括但不限于城信计量方针和目标、公开承诺、管理手册、程序文件、记录等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1.是否制定了管理手册、程序文件、记录等。（1分）</w:t>
            </w:r>
          </w:p>
          <w:p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2.是否有宣贯记录，确保诚信计量管理体系有效实施。（1分）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8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6.3 文件控制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（2分）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应控制和管理诚信计量管理体系所要求的文件（含内部和外部），包括法律法规、规章、政策声明、标准、规范、规则和方法、制造商的说明书、指导书和手册、程序文件、计划等。这些文件可承载在各种载体上，例如硬拷贝或数字形式。文件控制应确保：文件发布前经过授权人员审查和批准；定期审查文件，必要时更新；文件有唯一的识别信息和描述，包括标题、日期、作者或者参考号等；识别文件更改和当前修订状态；在使用地点应可获得文件的适用版本，必要时控制发放；作废文件应具有适当标识，防止误用作废文件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是否制定了文件控制程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序</w:t>
            </w:r>
            <w:r>
              <w:rPr>
                <w:rFonts w:asciiTheme="minorEastAsia" w:hAnsiTheme="minorEastAsia"/>
                <w:sz w:val="18"/>
                <w:szCs w:val="18"/>
              </w:rPr>
              <w:t>；是否有相应实施记录。（2分）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6.4 记录控制</w:t>
            </w:r>
          </w:p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（2分）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应建立和保持识别、收集、检索、存取、存档、维护和清理记录的程序，以提供诚信计量管理体系有效运行的证据。</w:t>
            </w:r>
          </w:p>
          <w:p>
            <w:pPr>
              <w:spacing w:line="240" w:lineRule="exact"/>
              <w:rPr>
                <w:rFonts w:cs="Tahoma"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记录应该清晰明了，便于存取，保障存储安全和保密，不得丢失、损毁和变质。对记录调阅应作出规定。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是否制定了记录控制程序文件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；</w:t>
            </w:r>
            <w:r>
              <w:rPr>
                <w:rFonts w:asciiTheme="minorEastAsia" w:hAnsiTheme="minorEastAsia"/>
                <w:sz w:val="18"/>
                <w:szCs w:val="18"/>
              </w:rPr>
              <w:t>是否有相应实施记录。（2分）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6.5 信息交流和控制（2分）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应建立、实施并保持诚信计量信息交流和控制的程序，规定内部、外部计量信息的交流内容、形式、范围，规范诚信计量信息的接收、传递和处理，确保信息的真实、客观、全面、合法合规、可识别和可追溯。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是否建立了计量信息交流和控制程序文件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；</w:t>
            </w:r>
            <w:r>
              <w:rPr>
                <w:rFonts w:asciiTheme="minorEastAsia" w:hAnsiTheme="minorEastAsia"/>
                <w:sz w:val="18"/>
                <w:szCs w:val="18"/>
              </w:rPr>
              <w:t>是否有相应实施记录。（2分）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6.6 风险管理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（2分）</w:t>
            </w:r>
          </w:p>
        </w:tc>
        <w:tc>
          <w:tcPr>
            <w:tcW w:w="5244" w:type="dxa"/>
            <w:vAlign w:val="center"/>
          </w:tcPr>
          <w:p>
            <w:pPr>
              <w:pStyle w:val="16"/>
              <w:spacing w:line="240" w:lineRule="exact"/>
              <w:ind w:firstLine="180" w:firstLineChars="100"/>
              <w:rPr>
                <w:rFonts w:asciiTheme="minorEastAsia" w:hAnsiTheme="minorEastAsia" w:eastAsia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2"/>
                <w:sz w:val="18"/>
                <w:szCs w:val="18"/>
              </w:rPr>
              <w:t>应制定风险管理程序，识别与诚信计量相关过程的风险和不确定性，其内容包括但不限于政策风险、产品风险、经营风险、舆情风险等。基于风险识别和风险等级，应分别采取相应的措施。对预</w:t>
            </w:r>
            <w:r>
              <w:rPr>
                <w:rFonts w:hint="eastAsia" w:asciiTheme="minorEastAsia" w:hAnsiTheme="minorEastAsia" w:eastAsiaTheme="minorEastAsia"/>
                <w:kern w:val="2"/>
                <w:sz w:val="18"/>
                <w:szCs w:val="18"/>
              </w:rPr>
              <w:t>计</w:t>
            </w:r>
            <w:r>
              <w:rPr>
                <w:rFonts w:asciiTheme="minorEastAsia" w:hAnsiTheme="minorEastAsia" w:eastAsiaTheme="minorEastAsia"/>
                <w:kern w:val="2"/>
                <w:sz w:val="18"/>
                <w:szCs w:val="18"/>
              </w:rPr>
              <w:t>发生的风险，提前发出预警；对可能存在</w:t>
            </w:r>
            <w:r>
              <w:rPr>
                <w:rFonts w:hint="eastAsia" w:asciiTheme="minorEastAsia" w:hAnsiTheme="minorEastAsia" w:eastAsiaTheme="minorEastAsia"/>
                <w:kern w:val="2"/>
                <w:sz w:val="18"/>
                <w:szCs w:val="18"/>
                <w:lang w:eastAsia="zh"/>
              </w:rPr>
              <w:t>的</w:t>
            </w:r>
            <w:r>
              <w:rPr>
                <w:rFonts w:asciiTheme="minorEastAsia" w:hAnsiTheme="minorEastAsia" w:eastAsiaTheme="minorEastAsia"/>
                <w:kern w:val="2"/>
                <w:sz w:val="18"/>
                <w:szCs w:val="18"/>
              </w:rPr>
              <w:t>风险，要及时判断、分析原因，采取预防和控制措施，防止风险发生；对已经存在的风险，要采取控制和纠正措施，防止风险再次发生；对可能会给顾客和相关利益方带来不利影响的，应提前披露或公开。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是否制定了风险管理程序文件。是否有风险的预警、预防、纠正措施等控制措施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；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是否有相应的实施记录。（2分）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35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 文化建设</w:t>
            </w:r>
          </w:p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（2分）</w:t>
            </w:r>
          </w:p>
        </w:tc>
        <w:tc>
          <w:tcPr>
            <w:tcW w:w="5244" w:type="dxa"/>
            <w:vAlign w:val="center"/>
          </w:tcPr>
          <w:p>
            <w:pPr>
              <w:pStyle w:val="16"/>
              <w:spacing w:line="240" w:lineRule="exact"/>
              <w:ind w:firstLine="180" w:firstLineChars="100"/>
              <w:rPr>
                <w:rFonts w:asciiTheme="minorEastAsia" w:hAnsiTheme="minorEastAsia" w:eastAsiaTheme="minorEastAsia"/>
                <w:kern w:val="2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2"/>
                <w:sz w:val="18"/>
                <w:szCs w:val="18"/>
              </w:rPr>
              <w:t>应开展诚信计量文化建设，树立诚信理念，增强质量意识，关注品牌效应，履行社会承诺，参与诚信文化传播活动。开展与诚信计量管理体系有关的培训。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是否制定了文化建设程序文件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；</w:t>
            </w:r>
            <w:r>
              <w:rPr>
                <w:rFonts w:asciiTheme="minorEastAsia" w:hAnsiTheme="minorEastAsia"/>
                <w:sz w:val="18"/>
                <w:szCs w:val="18"/>
              </w:rPr>
              <w:t>是否有相应实施记录。（2分）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before="156" w:beforeLines="50" w:after="156" w:afterLines="50" w:line="240" w:lineRule="exact"/>
        <w:rPr>
          <w:rFonts w:ascii="黑体" w:hAnsi="黑体" w:eastAsia="黑体" w:cs="宋体"/>
          <w:kern w:val="0"/>
          <w:szCs w:val="21"/>
        </w:rPr>
      </w:pPr>
      <w:r>
        <w:rPr>
          <w:rFonts w:ascii="黑体" w:hAnsi="黑体" w:eastAsia="黑体" w:cs="宋体"/>
          <w:kern w:val="0"/>
          <w:szCs w:val="21"/>
        </w:rPr>
        <w:t>7</w:t>
      </w:r>
      <w:r>
        <w:rPr>
          <w:rFonts w:hint="eastAsia" w:ascii="黑体" w:hAnsi="黑体" w:eastAsia="黑体" w:cs="宋体"/>
          <w:kern w:val="0"/>
          <w:szCs w:val="21"/>
        </w:rPr>
        <w:t>评价（总分</w:t>
      </w:r>
      <w:r>
        <w:rPr>
          <w:rFonts w:ascii="黑体" w:hAnsi="黑体" w:eastAsia="黑体" w:cs="宋体"/>
          <w:kern w:val="0"/>
          <w:szCs w:val="21"/>
        </w:rPr>
        <w:t>10</w:t>
      </w:r>
      <w:r>
        <w:rPr>
          <w:rFonts w:hint="eastAsia" w:ascii="黑体" w:hAnsi="黑体" w:eastAsia="黑体" w:cs="宋体"/>
          <w:kern w:val="0"/>
          <w:szCs w:val="21"/>
        </w:rPr>
        <w:t>分）</w:t>
      </w:r>
    </w:p>
    <w:tbl>
      <w:tblPr>
        <w:tblStyle w:val="7"/>
        <w:tblW w:w="144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92"/>
        <w:gridCol w:w="5244"/>
        <w:gridCol w:w="3402"/>
        <w:gridCol w:w="286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序号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评价方法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评价记录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 监督和检查（2分）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应制定日常监督和检查工作程序，监督和检查诚信计量管理体系运行的各个过程和环节，建立防止偏离体系要求的机制。监督和检查的方式和时间间隔应适合本单位工作特点。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是否制定了日常监督和检查工作程序文件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；</w:t>
            </w:r>
            <w:r>
              <w:rPr>
                <w:rFonts w:asciiTheme="minorEastAsia" w:hAnsiTheme="minorEastAsia"/>
                <w:sz w:val="18"/>
                <w:szCs w:val="18"/>
              </w:rPr>
              <w:t>是否有相关实施记录。（2分）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7.2客户投诉、满意度调查和承诺兑现</w:t>
            </w:r>
          </w:p>
          <w:p>
            <w:pPr>
              <w:spacing w:line="240" w:lineRule="exact"/>
              <w:ind w:firstLine="270" w:firstLineChars="1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（3分）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应制定客户投诉管理程序。明确受理投诉机构，收集投诉信息，公开投诉电话，采取处理措施，保证投诉处理有效，并保存投诉处理记录。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应制定客户满意度调查程序，收集客户对服务是否满足要求的信息，规定调查方法和信息的分析、使用方法，改进诚信计量管理体系。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应制定诚信计量公开承诺履行评价程序，定期检查和评价诚信计量公开承诺的履行情况。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1.是否制定了客户投诉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和</w:t>
            </w:r>
            <w:r>
              <w:rPr>
                <w:rFonts w:asciiTheme="minorEastAsia" w:hAnsiTheme="minorEastAsia"/>
                <w:sz w:val="18"/>
                <w:szCs w:val="18"/>
              </w:rPr>
              <w:t>客户满意度调查程序文件。（1分）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2.是否制定了诚信计量公开承诺履行评价程序。（1分）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3.是否有以上相关实施记录。对投诉或调查反馈的问题是否汇总、分析、改进。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（1分）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jc w:val="center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7.3 内部审核</w:t>
            </w:r>
          </w:p>
          <w:p>
            <w:pPr>
              <w:spacing w:line="240" w:lineRule="exact"/>
              <w:ind w:firstLine="270" w:firstLineChars="1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（2分）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应按照程序文件和预定的计划表，定期对诚信计量管理体系运行进行内部审核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,</w:t>
            </w:r>
            <w:r>
              <w:rPr>
                <w:rFonts w:asciiTheme="minorEastAsia" w:hAnsiTheme="minorEastAsia"/>
                <w:sz w:val="18"/>
                <w:szCs w:val="18"/>
              </w:rPr>
              <w:t>以验证其符合性和有效性。内部审核计划应涉及诚信计量管理体系的所有要素。</w:t>
            </w:r>
          </w:p>
          <w:p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内部审核人员应经培训合格，独立于被审核的活动，并经管理者批准。内部审核周期通常不超过12个月。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内部审核的领域、发现，以及发现不符合后应采取的纠正或纠正措施等，应予以记录。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应保存内部审核活动的所有记录。包括但不限于审核计划、审核记录、纠正或纠正措施、跟踪验证、内部审核报告等。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1.是否制定了内部审核程序文件。（1分）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2.检查内部审核相应实施记录，是否定期进行内部审核。（1分）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7.4 管理评审</w:t>
            </w:r>
          </w:p>
          <w:p>
            <w:pPr>
              <w:spacing w:line="240" w:lineRule="exact"/>
              <w:ind w:firstLine="270" w:firstLineChars="15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（3分）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最高管理者应按照程序文件和预定的计划表，系统地评审诚信计量管理体系。以确保其充分性、有效性和适宜性。最高管理者应保证评审所需的资源。</w:t>
            </w:r>
          </w:p>
          <w:p>
            <w:pPr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管理评审输入应包括：政策和社会环境的变化、诚信计量方针和目标的实施结果、诚信计量承诺履行情况、管理和监督人员的报告、内部审核结果、外部审核结果、纠正措施、顾客投诉和满意度调查结果、市场需求变化、改进建议等。管理评审的输出包括：诚信计量管理体系有效性的改进、服务过程和水平的改进、资源的需求等。</w:t>
            </w:r>
          </w:p>
          <w:p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最高管理者应根据管理评审的结果，确定对诚信计量管理体系及时进行修正、完善。</w:t>
            </w:r>
          </w:p>
          <w:p>
            <w:pPr>
              <w:widowControl/>
              <w:spacing w:line="240" w:lineRule="exac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4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.</w:t>
            </w:r>
            <w:r>
              <w:rPr>
                <w:rFonts w:asciiTheme="minorEastAsia" w:hAnsiTheme="minorEastAsia"/>
                <w:sz w:val="18"/>
                <w:szCs w:val="18"/>
              </w:rPr>
              <w:t>应保存管理评审的记录。</w:t>
            </w:r>
          </w:p>
        </w:tc>
        <w:tc>
          <w:tcPr>
            <w:tcW w:w="3402" w:type="dxa"/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1.是否制定了管理评审程序文件。（2分）</w:t>
            </w:r>
          </w:p>
          <w:p>
            <w:pPr>
              <w:widowControl/>
              <w:spacing w:line="240" w:lineRule="exac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2.检查管理评审相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应</w:t>
            </w:r>
            <w:r>
              <w:rPr>
                <w:rFonts w:asciiTheme="minorEastAsia" w:hAnsiTheme="minorEastAsia"/>
                <w:sz w:val="18"/>
                <w:szCs w:val="18"/>
              </w:rPr>
              <w:t>的实施记录及对诚信计量管理体系修正、完善情况。（1分）</w:t>
            </w:r>
          </w:p>
        </w:tc>
        <w:tc>
          <w:tcPr>
            <w:tcW w:w="2864" w:type="dxa"/>
            <w:vAlign w:val="center"/>
          </w:tcPr>
          <w:p>
            <w:pPr>
              <w:spacing w:line="240" w:lineRule="exact"/>
              <w:rPr>
                <w:kern w:val="1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before="312" w:beforeLines="100" w:after="156" w:afterLines="50"/>
        <w:rPr>
          <w:rFonts w:ascii="黑体" w:hAnsi="黑体" w:eastAsia="黑体" w:cs="宋体"/>
          <w:kern w:val="0"/>
          <w:szCs w:val="21"/>
        </w:rPr>
        <w:sectPr>
          <w:pgSz w:w="16838" w:h="11906" w:orient="landscape"/>
          <w:pgMar w:top="1418" w:right="1134" w:bottom="1418" w:left="1134" w:header="851" w:footer="992" w:gutter="0"/>
          <w:cols w:space="425" w:num="1"/>
          <w:docGrid w:type="lines" w:linePitch="312" w:charSpace="0"/>
        </w:sectPr>
      </w:pPr>
    </w:p>
    <w:p>
      <w:pPr>
        <w:spacing w:before="312" w:beforeLines="100" w:after="156" w:afterLines="50"/>
        <w:rPr>
          <w:rFonts w:ascii="黑体" w:hAnsi="黑体" w:eastAsia="黑体" w:cs="宋体"/>
          <w:kern w:val="0"/>
          <w:szCs w:val="21"/>
        </w:rPr>
      </w:pPr>
      <w:r>
        <w:rPr>
          <w:rFonts w:ascii="黑体" w:hAnsi="黑体" w:eastAsia="黑体" w:cs="宋体"/>
          <w:kern w:val="0"/>
          <w:szCs w:val="21"/>
        </w:rPr>
        <w:t xml:space="preserve">8  </w:t>
      </w:r>
      <w:r>
        <w:rPr>
          <w:rFonts w:hint="eastAsia" w:ascii="黑体" w:hAnsi="黑体" w:eastAsia="黑体" w:cs="宋体"/>
          <w:kern w:val="0"/>
          <w:szCs w:val="21"/>
        </w:rPr>
        <w:t>改进（总分</w:t>
      </w:r>
      <w:r>
        <w:rPr>
          <w:rFonts w:ascii="黑体" w:hAnsi="黑体" w:eastAsia="黑体" w:cs="宋体"/>
          <w:kern w:val="0"/>
          <w:szCs w:val="21"/>
        </w:rPr>
        <w:t>10</w:t>
      </w:r>
      <w:r>
        <w:rPr>
          <w:rFonts w:hint="eastAsia" w:ascii="黑体" w:hAnsi="黑体" w:eastAsia="黑体" w:cs="宋体"/>
          <w:kern w:val="0"/>
          <w:szCs w:val="21"/>
        </w:rPr>
        <w:t>分）</w:t>
      </w:r>
    </w:p>
    <w:tbl>
      <w:tblPr>
        <w:tblStyle w:val="7"/>
        <w:tblW w:w="1453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92"/>
        <w:gridCol w:w="5244"/>
        <w:gridCol w:w="3402"/>
        <w:gridCol w:w="2835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tblHeader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hint="eastAsia" w:ascii="Arial" w:hAnsi="宋体" w:eastAsia="宋体" w:cs="Times New Roman"/>
                <w:sz w:val="18"/>
                <w:szCs w:val="18"/>
              </w:rPr>
              <w:t>序号</w:t>
            </w:r>
          </w:p>
        </w:tc>
        <w:tc>
          <w:tcPr>
            <w:tcW w:w="1392" w:type="dxa"/>
            <w:vAlign w:val="center"/>
          </w:tcPr>
          <w:p>
            <w:pPr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hint="eastAsia" w:ascii="Arial" w:hAnsi="宋体" w:eastAsia="宋体" w:cs="Times New Roman"/>
                <w:sz w:val="18"/>
                <w:szCs w:val="18"/>
              </w:rPr>
              <w:t>标准条款</w:t>
            </w:r>
          </w:p>
        </w:tc>
        <w:tc>
          <w:tcPr>
            <w:tcW w:w="5244" w:type="dxa"/>
            <w:vAlign w:val="center"/>
          </w:tcPr>
          <w:p>
            <w:pPr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hint="eastAsia" w:ascii="Arial" w:hAnsi="宋体" w:eastAsia="宋体" w:cs="Times New Roman"/>
                <w:sz w:val="18"/>
                <w:szCs w:val="18"/>
              </w:rPr>
              <w:t>诚信计量要求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hint="eastAsia" w:ascii="Arial" w:hAnsi="宋体" w:eastAsia="宋体" w:cs="Times New Roman"/>
                <w:sz w:val="18"/>
                <w:szCs w:val="18"/>
              </w:rPr>
              <w:t>评价方法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hint="eastAsia" w:ascii="Arial" w:hAnsi="宋体" w:eastAsia="宋体" w:cs="Times New Roman"/>
                <w:sz w:val="18"/>
                <w:szCs w:val="18"/>
              </w:rPr>
              <w:t>评价记录</w:t>
            </w: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Arial" w:hAnsi="Arial" w:eastAsia="宋体" w:cs="Times New Roman"/>
                <w:szCs w:val="21"/>
              </w:rPr>
            </w:pPr>
            <w:r>
              <w:rPr>
                <w:rFonts w:hint="eastAsia" w:ascii="Arial" w:hAnsi="宋体" w:eastAsia="宋体" w:cs="Times New Roman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tblHeader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ascii="Arial" w:hAnsi="Arial" w:eastAsia="宋体" w:cs="Times New Roman"/>
                <w:sz w:val="18"/>
                <w:szCs w:val="18"/>
              </w:rPr>
              <w:t>23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8.1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不符合控制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1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.应建立、实施并保持不符合控制程序，确保发现与诚信计量管理体系或客户要求的不符合。该程序应能确保：确定不符合工作管理职责和权限；采取与风险相一致的措施，包括暂停工作、重复工作等。</w:t>
            </w:r>
          </w:p>
          <w:p>
            <w:pPr>
              <w:widowControl/>
              <w:spacing w:line="240" w:lineRule="exact"/>
              <w:outlineLvl w:val="3"/>
              <w:rPr>
                <w:rFonts w:cs="Times New Roman"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2</w:t>
            </w:r>
            <w:r>
              <w:rPr>
                <w:rFonts w:hint="eastAsia" w:cs="Times New Roman" w:asciiTheme="minorEastAsia" w:hAnsiTheme="minorEastAsia"/>
                <w:sz w:val="18"/>
                <w:szCs w:val="18"/>
              </w:rPr>
              <w:t>.失信是严重的不符合，应特别关注失信评估、处置和社会效果。</w:t>
            </w:r>
          </w:p>
          <w:p>
            <w:pPr>
              <w:widowControl/>
              <w:spacing w:line="240" w:lineRule="exact"/>
              <w:outlineLvl w:val="3"/>
              <w:rPr>
                <w:rFonts w:cs="Times New Roman"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3</w:t>
            </w:r>
            <w:r>
              <w:rPr>
                <w:rFonts w:hint="eastAsia" w:cs="Times New Roman" w:asciiTheme="minorEastAsia" w:hAnsiTheme="minorEastAsia"/>
                <w:sz w:val="18"/>
                <w:szCs w:val="18"/>
              </w:rPr>
              <w:t>.应保存有关不符合工作处理的记录。</w:t>
            </w:r>
          </w:p>
          <w:p>
            <w:pPr>
              <w:widowControl/>
              <w:spacing w:line="240" w:lineRule="exact"/>
              <w:outlineLvl w:val="3"/>
              <w:rPr>
                <w:rFonts w:cs="Times New Roman"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4</w:t>
            </w:r>
            <w:r>
              <w:rPr>
                <w:rFonts w:hint="eastAsia" w:cs="Times New Roman" w:asciiTheme="minorEastAsia" w:hAnsiTheme="minorEastAsia"/>
                <w:sz w:val="18"/>
                <w:szCs w:val="18"/>
              </w:rPr>
              <w:t>.当评价表明不符合可能再度发生，或对诚信计量管理体系运行产生怀疑时，应采取纠正措施。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1.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是否制定了不符合控制程序。（3分）</w:t>
            </w:r>
          </w:p>
          <w:p>
            <w:pPr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2.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是否有失信应对预案。（2分）</w:t>
            </w:r>
          </w:p>
        </w:tc>
        <w:tc>
          <w:tcPr>
            <w:tcW w:w="2835" w:type="dxa"/>
            <w:vAlign w:val="center"/>
          </w:tcPr>
          <w:p>
            <w:pPr>
              <w:snapToGrid w:val="0"/>
              <w:spacing w:line="240" w:lineRule="exact"/>
              <w:rPr>
                <w:rFonts w:ascii="Arial" w:hAnsi="Arial" w:eastAsia="宋体" w:cs="Times New Roman"/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exact"/>
              <w:rPr>
                <w:rFonts w:ascii="Arial" w:hAnsi="Arial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tblHeader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ascii="Arial" w:hAnsi="Arial" w:eastAsia="宋体" w:cs="Times New Roman"/>
                <w:sz w:val="18"/>
                <w:szCs w:val="18"/>
              </w:rPr>
              <w:t>24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rFonts w:ascii="宋体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8.2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纠正措施</w:t>
            </w:r>
          </w:p>
          <w:p>
            <w:pPr>
              <w:spacing w:line="240" w:lineRule="exact"/>
              <w:ind w:firstLine="270" w:firstLineChars="150"/>
              <w:rPr>
                <w:rFonts w:ascii="宋体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1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.应制定纠正措施程序文件，指定合适的人员，对发现的不符合采取纠正措施。</w:t>
            </w:r>
          </w:p>
          <w:p>
            <w:pPr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2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.纠正措施应从原因调查开始，分析和确定不符合的原因，制定采取的纠正措施。纠正措施应与问题的严重程度和风险大小相适应，实施纠正措施后，应能消除不符合、并防止再次发生。</w:t>
            </w:r>
          </w:p>
          <w:p>
            <w:pPr>
              <w:spacing w:line="240" w:lineRule="exac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3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.应保存纠正措施的所有记录，包括但不限于原因分析、采取措施、实施结果等。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是否制定了纠正措施程序文件；是否有相应的实施记录。（</w:t>
            </w:r>
            <w:r>
              <w:rPr>
                <w:rFonts w:cs="宋体" w:asciiTheme="minorEastAsia" w:hAnsiTheme="minorEastAsia"/>
                <w:kern w:val="0"/>
                <w:sz w:val="18"/>
                <w:szCs w:val="18"/>
              </w:rPr>
              <w:t>2</w:t>
            </w: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分）</w:t>
            </w:r>
          </w:p>
        </w:tc>
        <w:tc>
          <w:tcPr>
            <w:tcW w:w="2835" w:type="dxa"/>
            <w:vAlign w:val="center"/>
          </w:tcPr>
          <w:p>
            <w:pPr>
              <w:snapToGrid w:val="0"/>
              <w:spacing w:line="240" w:lineRule="exact"/>
              <w:rPr>
                <w:rFonts w:ascii="Arial" w:hAnsi="Arial" w:eastAsia="宋体" w:cs="Times New Roman"/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exact"/>
              <w:rPr>
                <w:rFonts w:ascii="Arial" w:hAnsi="Arial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tblHeader/>
        </w:trPr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ascii="Arial" w:hAnsi="Arial" w:eastAsia="宋体" w:cs="Times New Roman"/>
                <w:sz w:val="18"/>
                <w:szCs w:val="18"/>
              </w:rPr>
            </w:pPr>
            <w:r>
              <w:rPr>
                <w:rFonts w:ascii="Arial" w:hAnsi="Arial" w:eastAsia="宋体" w:cs="Times New Roman"/>
                <w:sz w:val="18"/>
                <w:szCs w:val="18"/>
              </w:rPr>
              <w:t>25</w:t>
            </w:r>
          </w:p>
        </w:tc>
        <w:tc>
          <w:tcPr>
            <w:tcW w:w="1392" w:type="dxa"/>
            <w:vAlign w:val="center"/>
          </w:tcPr>
          <w:p>
            <w:pPr>
              <w:spacing w:line="240" w:lineRule="exact"/>
              <w:rPr>
                <w:rFonts w:ascii="宋体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>8</w:t>
            </w:r>
            <w:r>
              <w:rPr>
                <w:rFonts w:ascii="宋体" w:hAnsi="Times New Roman" w:eastAsia="宋体" w:cs="宋体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 w:eastAsia="宋体" w:cs="宋体"/>
                <w:kern w:val="0"/>
                <w:sz w:val="18"/>
                <w:szCs w:val="18"/>
              </w:rPr>
              <w:t xml:space="preserve">3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持续改进</w:t>
            </w:r>
          </w:p>
          <w:p>
            <w:pPr>
              <w:spacing w:line="240" w:lineRule="exact"/>
              <w:ind w:firstLine="180" w:firstLineChars="100"/>
              <w:rPr>
                <w:rFonts w:ascii="宋体" w:hAnsi="Times New Roman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分）</w:t>
            </w:r>
          </w:p>
        </w:tc>
        <w:tc>
          <w:tcPr>
            <w:tcW w:w="5244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应建立符合本单位特点的持续改进机制，通过方针和目标的实施，分析审核和评价的结果以及管理评审的输出，寻找需要改进的薄弱环节，发现改进的机会，制定和实施改进的措施，记录改进的结果，评估持续改进的有效性，不断提高诚信计量管理体系的适应性、充分性和有效性。</w:t>
            </w:r>
          </w:p>
        </w:tc>
        <w:tc>
          <w:tcPr>
            <w:tcW w:w="3402" w:type="dxa"/>
            <w:vAlign w:val="center"/>
          </w:tcPr>
          <w:p>
            <w:pPr>
              <w:spacing w:line="240" w:lineRule="exact"/>
              <w:ind w:firstLine="180" w:firstLineChars="100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是否制定了持续改进程序文件。是否有持续改进途径、方法、事例等，如会议记录、内审、管理评审等。（3分）</w:t>
            </w:r>
          </w:p>
        </w:tc>
        <w:tc>
          <w:tcPr>
            <w:tcW w:w="2835" w:type="dxa"/>
            <w:vAlign w:val="center"/>
          </w:tcPr>
          <w:p>
            <w:pPr>
              <w:snapToGrid w:val="0"/>
              <w:spacing w:line="240" w:lineRule="exact"/>
              <w:rPr>
                <w:rFonts w:ascii="Arial" w:hAnsi="Arial" w:eastAsia="宋体" w:cs="Times New Roman"/>
                <w:kern w:val="10"/>
                <w:sz w:val="18"/>
                <w:szCs w:val="1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exact"/>
              <w:rPr>
                <w:rFonts w:ascii="Arial" w:hAnsi="Arial" w:eastAsia="宋体" w:cs="Times New Roman"/>
                <w:szCs w:val="21"/>
              </w:rPr>
            </w:pPr>
          </w:p>
        </w:tc>
      </w:tr>
    </w:tbl>
    <w:p>
      <w:pPr>
        <w:widowControl/>
        <w:snapToGrid w:val="0"/>
        <w:ind w:firstLine="180" w:firstLineChars="100"/>
        <w:jc w:val="left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注：</w:t>
      </w:r>
    </w:p>
    <w:p>
      <w:pPr>
        <w:widowControl/>
        <w:spacing w:line="240" w:lineRule="exact"/>
        <w:ind w:firstLine="450" w:firstLineChars="250"/>
        <w:jc w:val="left"/>
        <w:rPr>
          <w:sz w:val="18"/>
          <w:szCs w:val="18"/>
        </w:rPr>
      </w:pPr>
      <w:r>
        <w:rPr>
          <w:sz w:val="18"/>
          <w:szCs w:val="18"/>
        </w:rPr>
        <w:t>1. 当发现不符合时，应在“评价记录”栏中注明扣分内容。</w:t>
      </w:r>
    </w:p>
    <w:p>
      <w:pPr>
        <w:widowControl/>
        <w:spacing w:line="240" w:lineRule="exact"/>
        <w:ind w:firstLine="450" w:firstLineChars="25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2. </w:t>
      </w:r>
      <w:r>
        <w:rPr>
          <w:sz w:val="18"/>
          <w:szCs w:val="18"/>
        </w:rPr>
        <w:t>自评表条款号同《</w:t>
      </w:r>
      <w:r>
        <w:rPr>
          <w:rFonts w:hint="eastAsia" w:ascii="宋体" w:hAnsi="宋体" w:eastAsia="宋体" w:cs="Times New Roman"/>
          <w:sz w:val="18"/>
          <w:szCs w:val="18"/>
        </w:rPr>
        <w:t>商店超市诚信计量建设规范</w:t>
      </w:r>
      <w:r>
        <w:rPr>
          <w:sz w:val="18"/>
          <w:szCs w:val="18"/>
        </w:rPr>
        <w:t>》</w:t>
      </w:r>
      <w:r>
        <w:rPr>
          <w:rFonts w:hint="eastAsia"/>
          <w:sz w:val="18"/>
          <w:szCs w:val="18"/>
        </w:rPr>
        <w:t>地方</w:t>
      </w:r>
      <w:r>
        <w:rPr>
          <w:sz w:val="18"/>
          <w:szCs w:val="18"/>
        </w:rPr>
        <w:t>标准条款号</w:t>
      </w:r>
      <w:r>
        <w:rPr>
          <w:rFonts w:hint="eastAsia"/>
          <w:sz w:val="18"/>
          <w:szCs w:val="18"/>
        </w:rPr>
        <w:t>。</w:t>
      </w:r>
    </w:p>
    <w:p>
      <w:pPr>
        <w:widowControl/>
        <w:spacing w:line="240" w:lineRule="exact"/>
        <w:ind w:firstLine="450" w:firstLineChars="25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3. </w:t>
      </w:r>
      <w:r>
        <w:rPr>
          <w:rFonts w:cs="宋体"/>
          <w:kern w:val="0"/>
          <w:sz w:val="18"/>
          <w:szCs w:val="18"/>
          <w:lang w:val="zh-CN"/>
        </w:rPr>
        <w:t>条款4.1、4.3、4.4</w:t>
      </w:r>
      <w:r>
        <w:rPr>
          <w:rFonts w:hint="eastAsia" w:cs="宋体"/>
          <w:kern w:val="0"/>
          <w:sz w:val="18"/>
          <w:szCs w:val="18"/>
          <w:lang w:val="zh-CN"/>
        </w:rPr>
        <w:t>、</w:t>
      </w:r>
      <w:r>
        <w:rPr>
          <w:rFonts w:cs="宋体"/>
          <w:kern w:val="0"/>
          <w:sz w:val="18"/>
          <w:szCs w:val="18"/>
          <w:lang w:val="zh-CN"/>
        </w:rPr>
        <w:t>5.2.1</w:t>
      </w:r>
      <w:r>
        <w:rPr>
          <w:rFonts w:hint="eastAsia" w:cs="宋体"/>
          <w:kern w:val="0"/>
          <w:sz w:val="18"/>
          <w:szCs w:val="18"/>
          <w:lang w:val="zh-CN"/>
        </w:rPr>
        <w:t>和5.</w:t>
      </w:r>
      <w:r>
        <w:rPr>
          <w:rFonts w:cs="宋体"/>
          <w:kern w:val="0"/>
          <w:sz w:val="18"/>
          <w:szCs w:val="18"/>
          <w:lang w:val="zh-CN"/>
        </w:rPr>
        <w:t>5</w:t>
      </w:r>
      <w:r>
        <w:rPr>
          <w:rFonts w:hint="eastAsia" w:cs="宋体"/>
          <w:kern w:val="0"/>
          <w:sz w:val="18"/>
          <w:szCs w:val="18"/>
          <w:lang w:val="zh-CN"/>
        </w:rPr>
        <w:t>.2</w:t>
      </w:r>
      <w:r>
        <w:rPr>
          <w:rFonts w:cs="宋体"/>
          <w:kern w:val="0"/>
          <w:sz w:val="18"/>
          <w:szCs w:val="18"/>
          <w:lang w:val="zh-CN"/>
        </w:rPr>
        <w:t>为必备条款（</w:t>
      </w:r>
      <w:r>
        <w:rPr>
          <w:sz w:val="18"/>
          <w:szCs w:val="18"/>
        </w:rPr>
        <w:t>用“</w:t>
      </w:r>
      <w:r>
        <w:rPr>
          <w:rFonts w:hint="eastAsia" w:ascii="黑体" w:hAnsi="黑体" w:eastAsia="黑体" w:cs="微软雅黑"/>
          <w:sz w:val="18"/>
          <w:szCs w:val="18"/>
        </w:rPr>
        <w:t>※</w:t>
      </w:r>
      <w:r>
        <w:rPr>
          <w:rFonts w:ascii="Calibri" w:hAnsi="Calibri" w:cs="Calibri"/>
          <w:sz w:val="18"/>
          <w:szCs w:val="18"/>
        </w:rPr>
        <w:t>”</w:t>
      </w:r>
      <w:r>
        <w:rPr>
          <w:sz w:val="18"/>
          <w:szCs w:val="18"/>
        </w:rPr>
        <w:t>表示</w:t>
      </w:r>
      <w:r>
        <w:rPr>
          <w:rFonts w:cs="宋体"/>
          <w:kern w:val="0"/>
          <w:sz w:val="18"/>
          <w:szCs w:val="18"/>
          <w:lang w:val="zh-CN"/>
        </w:rPr>
        <w:t>），若有不符合，不可进行诚信计量承诺</w:t>
      </w:r>
      <w:r>
        <w:rPr>
          <w:rFonts w:hint="eastAsia" w:cs="宋体"/>
          <w:kern w:val="0"/>
          <w:sz w:val="18"/>
          <w:szCs w:val="18"/>
          <w:lang w:val="zh-CN"/>
        </w:rPr>
        <w:t>。</w:t>
      </w:r>
      <w:r>
        <w:rPr>
          <w:sz w:val="18"/>
          <w:szCs w:val="18"/>
        </w:rPr>
        <w:t xml:space="preserve"> </w:t>
      </w:r>
    </w:p>
    <w:p>
      <w:pPr>
        <w:widowControl/>
        <w:spacing w:line="240" w:lineRule="exact"/>
        <w:ind w:firstLine="450" w:firstLineChars="25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4. </w:t>
      </w:r>
      <w:r>
        <w:rPr>
          <w:rFonts w:hint="eastAsia" w:ascii="宋体" w:hAnsi="宋体" w:eastAsia="宋体" w:cs="Times New Roman"/>
          <w:sz w:val="18"/>
          <w:szCs w:val="18"/>
        </w:rPr>
        <w:t>每个</w:t>
      </w:r>
      <w:r>
        <w:rPr>
          <w:rFonts w:ascii="宋体" w:hAnsi="宋体" w:eastAsia="宋体" w:cs="Times New Roman"/>
          <w:sz w:val="18"/>
          <w:szCs w:val="18"/>
        </w:rPr>
        <w:t>二级条款</w:t>
      </w:r>
      <w:r>
        <w:rPr>
          <w:rFonts w:hint="eastAsia" w:ascii="宋体" w:hAnsi="宋体" w:eastAsia="宋体" w:cs="Times New Roman"/>
          <w:sz w:val="18"/>
          <w:szCs w:val="18"/>
        </w:rPr>
        <w:t>评分</w:t>
      </w:r>
      <w:r>
        <w:rPr>
          <w:rFonts w:ascii="宋体" w:hAnsi="宋体" w:eastAsia="宋体" w:cs="Times New Roman"/>
          <w:sz w:val="18"/>
          <w:szCs w:val="18"/>
        </w:rPr>
        <w:t>不可为</w:t>
      </w:r>
      <w:r>
        <w:rPr>
          <w:rFonts w:hint="eastAsia" w:ascii="宋体" w:hAnsi="宋体" w:eastAsia="宋体" w:cs="Times New Roman"/>
          <w:sz w:val="18"/>
          <w:szCs w:val="18"/>
        </w:rPr>
        <w:t>0</w:t>
      </w:r>
      <w:r>
        <w:rPr>
          <w:rFonts w:ascii="宋体" w:hAnsi="宋体" w:eastAsia="宋体" w:cs="Times New Roman"/>
          <w:sz w:val="18"/>
          <w:szCs w:val="18"/>
        </w:rPr>
        <w:t>。</w:t>
      </w:r>
    </w:p>
    <w:p>
      <w:pPr>
        <w:widowControl/>
        <w:spacing w:line="240" w:lineRule="exact"/>
        <w:ind w:firstLine="450" w:firstLineChars="250"/>
        <w:jc w:val="left"/>
        <w:rPr>
          <w:sz w:val="18"/>
          <w:szCs w:val="18"/>
        </w:rPr>
      </w:pPr>
      <w:r>
        <w:rPr>
          <w:sz w:val="18"/>
          <w:szCs w:val="18"/>
        </w:rPr>
        <w:t>5. 累计分值达到80分为评价合格</w:t>
      </w:r>
      <w:r>
        <w:rPr>
          <w:rFonts w:hint="eastAsia"/>
          <w:sz w:val="18"/>
          <w:szCs w:val="18"/>
        </w:rPr>
        <w:t>。</w:t>
      </w:r>
    </w:p>
    <w:p>
      <w:pPr>
        <w:widowControl/>
        <w:snapToGrid w:val="0"/>
        <w:jc w:val="left"/>
        <w:rPr>
          <w:rFonts w:ascii="Arial"/>
          <w:b/>
          <w:szCs w:val="21"/>
        </w:rPr>
      </w:pPr>
    </w:p>
    <w:p>
      <w:pPr>
        <w:widowControl/>
        <w:snapToGrid w:val="0"/>
        <w:ind w:firstLine="2213" w:firstLineChars="1050"/>
        <w:jc w:val="left"/>
        <w:rPr>
          <w:rFonts w:ascii="Arial"/>
          <w:b/>
          <w:szCs w:val="21"/>
        </w:rPr>
      </w:pPr>
      <w:r>
        <w:rPr>
          <w:rFonts w:ascii="Arial"/>
          <w:b/>
          <w:szCs w:val="21"/>
        </w:rPr>
        <w:t>单位</w:t>
      </w:r>
      <w:r>
        <w:rPr>
          <w:rFonts w:hint="eastAsia" w:ascii="Arial"/>
          <w:b/>
          <w:szCs w:val="21"/>
        </w:rPr>
        <w:t>（盖章）</w:t>
      </w:r>
      <w:r>
        <w:rPr>
          <w:rFonts w:ascii="Arial"/>
          <w:b/>
          <w:szCs w:val="21"/>
        </w:rPr>
        <w:t>：</w:t>
      </w:r>
    </w:p>
    <w:p>
      <w:pPr>
        <w:widowControl/>
        <w:snapToGrid w:val="0"/>
        <w:ind w:firstLine="1791" w:firstLineChars="850"/>
        <w:jc w:val="left"/>
        <w:rPr>
          <w:rFonts w:ascii="Arial"/>
          <w:b/>
          <w:szCs w:val="21"/>
        </w:rPr>
      </w:pPr>
    </w:p>
    <w:p>
      <w:pPr>
        <w:kinsoku w:val="0"/>
        <w:overflowPunct w:val="0"/>
        <w:jc w:val="center"/>
        <w:rPr>
          <w:rFonts w:ascii="Arial" w:hAnsi="Arial"/>
          <w:szCs w:val="21"/>
        </w:rPr>
      </w:pPr>
      <w:r>
        <w:rPr>
          <w:rFonts w:hint="eastAsia" w:ascii="Arial"/>
          <w:b/>
          <w:szCs w:val="21"/>
        </w:rPr>
        <w:t>评价</w:t>
      </w:r>
      <w:r>
        <w:rPr>
          <w:rFonts w:ascii="Arial"/>
          <w:b/>
          <w:szCs w:val="21"/>
        </w:rPr>
        <w:t>结果：</w:t>
      </w:r>
      <w:r>
        <w:rPr>
          <w:rFonts w:hint="eastAsia" w:ascii="Arial"/>
          <w:b/>
          <w:szCs w:val="21"/>
        </w:rPr>
        <w:t xml:space="preserve">                  </w:t>
      </w:r>
      <w:r>
        <w:rPr>
          <w:rFonts w:ascii="Arial"/>
          <w:b/>
          <w:szCs w:val="21"/>
        </w:rPr>
        <w:t xml:space="preserve">    </w:t>
      </w:r>
      <w:r>
        <w:rPr>
          <w:rFonts w:hint="eastAsia" w:ascii="Arial"/>
          <w:b/>
          <w:szCs w:val="21"/>
        </w:rPr>
        <w:t xml:space="preserve">  评价人员签字：</w:t>
      </w:r>
      <w:r>
        <w:rPr>
          <w:rFonts w:ascii="Arial" w:hAnsi="Arial"/>
          <w:szCs w:val="21"/>
        </w:rPr>
        <w:t xml:space="preserve">                                    </w:t>
      </w:r>
      <w:r>
        <w:rPr>
          <w:rFonts w:hint="eastAsia" w:ascii="Arial"/>
          <w:b/>
          <w:szCs w:val="21"/>
        </w:rPr>
        <w:t>评价日期：</w:t>
      </w:r>
    </w:p>
    <w:p>
      <w:pPr>
        <w:kinsoku w:val="0"/>
        <w:overflowPunct w:val="0"/>
        <w:jc w:val="center"/>
        <w:rPr>
          <w:rFonts w:ascii="Arial" w:hAnsi="Arial"/>
          <w:szCs w:val="21"/>
        </w:rPr>
      </w:pPr>
    </w:p>
    <w:sectPr>
      <w:pgSz w:w="16838" w:h="11906" w:orient="landscape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42"/>
      <w:suff w:val="nothing"/>
      <w:lvlText w:val="注%1："/>
      <w:lvlJc w:val="left"/>
      <w:pPr>
        <w:ind w:left="811" w:hanging="448"/>
      </w:pPr>
      <w:rPr>
        <w:rFonts w:hint="eastAsia" w:ascii="黑体" w:eastAsia="黑体" w:cs="Times New Roman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 w:cs="Times New Roman"/>
      </w:rPr>
    </w:lvl>
  </w:abstractNum>
  <w:abstractNum w:abstractNumId="1">
    <w:nsid w:val="16667BBD"/>
    <w:multiLevelType w:val="multilevel"/>
    <w:tmpl w:val="16667BBD"/>
    <w:lvl w:ilvl="0" w:tentative="0">
      <w:start w:val="1"/>
      <w:numFmt w:val="lowerLetter"/>
      <w:pStyle w:val="34"/>
      <w:lvlText w:val="%1)"/>
      <w:lvlJc w:val="left"/>
      <w:pPr>
        <w:tabs>
          <w:tab w:val="left" w:pos="840"/>
        </w:tabs>
        <w:ind w:left="839" w:hanging="419"/>
      </w:pPr>
      <w:rPr>
        <w:rFonts w:hint="eastAsia"/>
        <w:b w:val="0"/>
        <w:i w:val="0"/>
        <w:sz w:val="21"/>
        <w:szCs w:val="21"/>
      </w:rPr>
    </w:lvl>
    <w:lvl w:ilvl="1" w:tentative="0">
      <w:start w:val="1"/>
      <w:numFmt w:val="decimal"/>
      <w:pStyle w:val="32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18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23"/>
      <w:suff w:val="nothing"/>
      <w:lvlText w:val="%1.%2　"/>
      <w:lvlJc w:val="left"/>
      <w:pPr>
        <w:ind w:left="2836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24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9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20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21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22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69FA6A86"/>
    <w:multiLevelType w:val="multilevel"/>
    <w:tmpl w:val="69FA6A8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35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4">
    <w:nsid w:val="6CE73117"/>
    <w:multiLevelType w:val="multilevel"/>
    <w:tmpl w:val="6CE73117"/>
    <w:lvl w:ilvl="0" w:tentative="0">
      <w:start w:val="1"/>
      <w:numFmt w:val="decimal"/>
      <w:pStyle w:val="26"/>
      <w:suff w:val="space"/>
      <w:lvlText w:val="%1 "/>
      <w:lvlJc w:val="left"/>
      <w:pPr>
        <w:ind w:left="0" w:firstLine="0"/>
      </w:pPr>
      <w:rPr>
        <w:rFonts w:hint="eastAsia" w:eastAsia="黑体"/>
        <w:sz w:val="21"/>
      </w:rPr>
    </w:lvl>
    <w:lvl w:ilvl="1" w:tentative="0">
      <w:start w:val="1"/>
      <w:numFmt w:val="decimal"/>
      <w:pStyle w:val="25"/>
      <w:suff w:val="space"/>
      <w:lvlText w:val="%1.%2 "/>
      <w:lvlJc w:val="left"/>
      <w:pPr>
        <w:ind w:left="0" w:firstLine="0"/>
      </w:pPr>
      <w:rPr>
        <w:rFonts w:hint="eastAsia" w:ascii="黑体" w:hAnsi="黑体" w:eastAsia="黑体"/>
      </w:rPr>
    </w:lvl>
    <w:lvl w:ilvl="2" w:tentative="0">
      <w:start w:val="1"/>
      <w:numFmt w:val="decimal"/>
      <w:pStyle w:val="27"/>
      <w:suff w:val="space"/>
      <w:lvlText w:val="%1.%2.%3 "/>
      <w:lvlJc w:val="left"/>
      <w:pPr>
        <w:ind w:left="142" w:firstLine="0"/>
      </w:pPr>
      <w:rPr>
        <w:rFonts w:hint="eastAsia" w:ascii="黑体" w:hAnsi="黑体" w:eastAsia="黑体"/>
        <w:color w:val="auto"/>
      </w:rPr>
    </w:lvl>
    <w:lvl w:ilvl="3" w:tentative="0">
      <w:start w:val="1"/>
      <w:numFmt w:val="decimal"/>
      <w:pStyle w:val="28"/>
      <w:suff w:val="space"/>
      <w:lvlText w:val="%1.%2.%3.%4 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9"/>
      <w:suff w:val="space"/>
      <w:lvlText w:val="%1.%2.%3.%4.%5 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30"/>
      <w:suff w:val="space"/>
      <w:lvlText w:val="%1.%2.%3.%4.%5.%6 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5">
    <w:nsid w:val="6DBF04F4"/>
    <w:multiLevelType w:val="multilevel"/>
    <w:tmpl w:val="6DBF04F4"/>
    <w:lvl w:ilvl="0" w:tentative="0">
      <w:start w:val="1"/>
      <w:numFmt w:val="none"/>
      <w:pStyle w:val="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D51"/>
    <w:rsid w:val="00003587"/>
    <w:rsid w:val="00023A54"/>
    <w:rsid w:val="000242F7"/>
    <w:rsid w:val="00026306"/>
    <w:rsid w:val="000332EA"/>
    <w:rsid w:val="00035152"/>
    <w:rsid w:val="00046128"/>
    <w:rsid w:val="00062C1A"/>
    <w:rsid w:val="00072CE0"/>
    <w:rsid w:val="00077702"/>
    <w:rsid w:val="00084E9F"/>
    <w:rsid w:val="00093B84"/>
    <w:rsid w:val="000952AE"/>
    <w:rsid w:val="000A58A5"/>
    <w:rsid w:val="000A6A28"/>
    <w:rsid w:val="000B31D1"/>
    <w:rsid w:val="000C1526"/>
    <w:rsid w:val="000D4BEC"/>
    <w:rsid w:val="000D6440"/>
    <w:rsid w:val="000D7E64"/>
    <w:rsid w:val="000F3DDD"/>
    <w:rsid w:val="00100ECC"/>
    <w:rsid w:val="00104FAB"/>
    <w:rsid w:val="00116D51"/>
    <w:rsid w:val="001204B3"/>
    <w:rsid w:val="0014630E"/>
    <w:rsid w:val="001513BF"/>
    <w:rsid w:val="00154ACF"/>
    <w:rsid w:val="00156E77"/>
    <w:rsid w:val="00157076"/>
    <w:rsid w:val="0018441D"/>
    <w:rsid w:val="00184F8A"/>
    <w:rsid w:val="00193572"/>
    <w:rsid w:val="001C6D18"/>
    <w:rsid w:val="001D266E"/>
    <w:rsid w:val="001D6D31"/>
    <w:rsid w:val="001F14AC"/>
    <w:rsid w:val="001F26BE"/>
    <w:rsid w:val="001F5616"/>
    <w:rsid w:val="001F683F"/>
    <w:rsid w:val="001F75F9"/>
    <w:rsid w:val="00201AD7"/>
    <w:rsid w:val="00204E36"/>
    <w:rsid w:val="00205E29"/>
    <w:rsid w:val="0021773C"/>
    <w:rsid w:val="00226C67"/>
    <w:rsid w:val="00231AAE"/>
    <w:rsid w:val="002367C5"/>
    <w:rsid w:val="00247606"/>
    <w:rsid w:val="00253C08"/>
    <w:rsid w:val="00267034"/>
    <w:rsid w:val="002777E9"/>
    <w:rsid w:val="00282B68"/>
    <w:rsid w:val="00283994"/>
    <w:rsid w:val="00283D91"/>
    <w:rsid w:val="00297372"/>
    <w:rsid w:val="002C68B3"/>
    <w:rsid w:val="002D2609"/>
    <w:rsid w:val="002E0E24"/>
    <w:rsid w:val="002F110A"/>
    <w:rsid w:val="00305A44"/>
    <w:rsid w:val="003131AF"/>
    <w:rsid w:val="00327ED2"/>
    <w:rsid w:val="003559B2"/>
    <w:rsid w:val="003560A2"/>
    <w:rsid w:val="0036343A"/>
    <w:rsid w:val="00366814"/>
    <w:rsid w:val="003708E4"/>
    <w:rsid w:val="00384F68"/>
    <w:rsid w:val="003851B3"/>
    <w:rsid w:val="00385EE6"/>
    <w:rsid w:val="003914A7"/>
    <w:rsid w:val="0039404F"/>
    <w:rsid w:val="0039486D"/>
    <w:rsid w:val="003974CB"/>
    <w:rsid w:val="003A5C68"/>
    <w:rsid w:val="003C22FE"/>
    <w:rsid w:val="003F3F6F"/>
    <w:rsid w:val="00403849"/>
    <w:rsid w:val="004152D3"/>
    <w:rsid w:val="00415D41"/>
    <w:rsid w:val="004251C7"/>
    <w:rsid w:val="00427BF9"/>
    <w:rsid w:val="0043354B"/>
    <w:rsid w:val="00437E62"/>
    <w:rsid w:val="004609EA"/>
    <w:rsid w:val="00463210"/>
    <w:rsid w:val="004638A8"/>
    <w:rsid w:val="00466DEC"/>
    <w:rsid w:val="00486AD8"/>
    <w:rsid w:val="004933BE"/>
    <w:rsid w:val="004A1019"/>
    <w:rsid w:val="004B0168"/>
    <w:rsid w:val="004B14D1"/>
    <w:rsid w:val="004B7B4B"/>
    <w:rsid w:val="004C0A6B"/>
    <w:rsid w:val="004C4759"/>
    <w:rsid w:val="004D4B4D"/>
    <w:rsid w:val="0050094B"/>
    <w:rsid w:val="00507801"/>
    <w:rsid w:val="005343F6"/>
    <w:rsid w:val="00536A6C"/>
    <w:rsid w:val="00543183"/>
    <w:rsid w:val="00546BDF"/>
    <w:rsid w:val="00557B0B"/>
    <w:rsid w:val="005664AA"/>
    <w:rsid w:val="0057447B"/>
    <w:rsid w:val="005919A9"/>
    <w:rsid w:val="0059398F"/>
    <w:rsid w:val="005942C9"/>
    <w:rsid w:val="005B4EAA"/>
    <w:rsid w:val="005B5C22"/>
    <w:rsid w:val="005B5CF4"/>
    <w:rsid w:val="005C1044"/>
    <w:rsid w:val="005C25F3"/>
    <w:rsid w:val="005C6C9B"/>
    <w:rsid w:val="005E0408"/>
    <w:rsid w:val="005E6770"/>
    <w:rsid w:val="005F01FC"/>
    <w:rsid w:val="005F0EC4"/>
    <w:rsid w:val="005F2B78"/>
    <w:rsid w:val="005F31E3"/>
    <w:rsid w:val="00601381"/>
    <w:rsid w:val="006035EF"/>
    <w:rsid w:val="00617F4E"/>
    <w:rsid w:val="00626F81"/>
    <w:rsid w:val="00632940"/>
    <w:rsid w:val="00640DE4"/>
    <w:rsid w:val="00641FB1"/>
    <w:rsid w:val="00645127"/>
    <w:rsid w:val="006519DE"/>
    <w:rsid w:val="00652CAF"/>
    <w:rsid w:val="00657EDB"/>
    <w:rsid w:val="006618A8"/>
    <w:rsid w:val="006619EA"/>
    <w:rsid w:val="00667945"/>
    <w:rsid w:val="00671AD3"/>
    <w:rsid w:val="00680CEF"/>
    <w:rsid w:val="0068364A"/>
    <w:rsid w:val="00691AE1"/>
    <w:rsid w:val="0069446C"/>
    <w:rsid w:val="00694EAB"/>
    <w:rsid w:val="006B02E2"/>
    <w:rsid w:val="006B0BC4"/>
    <w:rsid w:val="006B7DF7"/>
    <w:rsid w:val="006C2DEB"/>
    <w:rsid w:val="006C3723"/>
    <w:rsid w:val="006D08C1"/>
    <w:rsid w:val="006E142C"/>
    <w:rsid w:val="007142FB"/>
    <w:rsid w:val="00735B0E"/>
    <w:rsid w:val="00745517"/>
    <w:rsid w:val="007653C1"/>
    <w:rsid w:val="00771101"/>
    <w:rsid w:val="00777DA8"/>
    <w:rsid w:val="007806D7"/>
    <w:rsid w:val="00790262"/>
    <w:rsid w:val="007907BF"/>
    <w:rsid w:val="00791969"/>
    <w:rsid w:val="007A60AC"/>
    <w:rsid w:val="007B2D93"/>
    <w:rsid w:val="007C5BE2"/>
    <w:rsid w:val="007C74B4"/>
    <w:rsid w:val="007E1FAB"/>
    <w:rsid w:val="007E57A2"/>
    <w:rsid w:val="007E602F"/>
    <w:rsid w:val="007F0EA1"/>
    <w:rsid w:val="0080236C"/>
    <w:rsid w:val="0080739F"/>
    <w:rsid w:val="00812D15"/>
    <w:rsid w:val="00820367"/>
    <w:rsid w:val="00823C05"/>
    <w:rsid w:val="00825331"/>
    <w:rsid w:val="008270E5"/>
    <w:rsid w:val="00831A9B"/>
    <w:rsid w:val="008404CD"/>
    <w:rsid w:val="00845582"/>
    <w:rsid w:val="00847A8F"/>
    <w:rsid w:val="008520B3"/>
    <w:rsid w:val="00853298"/>
    <w:rsid w:val="0085422E"/>
    <w:rsid w:val="008553DA"/>
    <w:rsid w:val="008717E8"/>
    <w:rsid w:val="00885988"/>
    <w:rsid w:val="008872B7"/>
    <w:rsid w:val="0089442E"/>
    <w:rsid w:val="00897A71"/>
    <w:rsid w:val="008A5FBD"/>
    <w:rsid w:val="008B0A86"/>
    <w:rsid w:val="008B5A26"/>
    <w:rsid w:val="008B6384"/>
    <w:rsid w:val="008C2B6F"/>
    <w:rsid w:val="008C6E62"/>
    <w:rsid w:val="008E590B"/>
    <w:rsid w:val="008E79EC"/>
    <w:rsid w:val="008F1BA4"/>
    <w:rsid w:val="008F273E"/>
    <w:rsid w:val="008F7007"/>
    <w:rsid w:val="00902401"/>
    <w:rsid w:val="00913C58"/>
    <w:rsid w:val="00916090"/>
    <w:rsid w:val="009238C7"/>
    <w:rsid w:val="00924C47"/>
    <w:rsid w:val="00932982"/>
    <w:rsid w:val="0093795A"/>
    <w:rsid w:val="0094047A"/>
    <w:rsid w:val="009458B3"/>
    <w:rsid w:val="00950726"/>
    <w:rsid w:val="00954986"/>
    <w:rsid w:val="0095555B"/>
    <w:rsid w:val="0096224F"/>
    <w:rsid w:val="00966BBB"/>
    <w:rsid w:val="00993C26"/>
    <w:rsid w:val="00995891"/>
    <w:rsid w:val="009A1AF4"/>
    <w:rsid w:val="009A29B2"/>
    <w:rsid w:val="009A4BDE"/>
    <w:rsid w:val="009B2BE9"/>
    <w:rsid w:val="009C616B"/>
    <w:rsid w:val="009C6500"/>
    <w:rsid w:val="009C7126"/>
    <w:rsid w:val="009E7F05"/>
    <w:rsid w:val="009F65FE"/>
    <w:rsid w:val="00A152D4"/>
    <w:rsid w:val="00A156CF"/>
    <w:rsid w:val="00A30427"/>
    <w:rsid w:val="00A30838"/>
    <w:rsid w:val="00A46E31"/>
    <w:rsid w:val="00A623DF"/>
    <w:rsid w:val="00A67762"/>
    <w:rsid w:val="00A70E4A"/>
    <w:rsid w:val="00AA3342"/>
    <w:rsid w:val="00AB4109"/>
    <w:rsid w:val="00AB4665"/>
    <w:rsid w:val="00AE2672"/>
    <w:rsid w:val="00AE7263"/>
    <w:rsid w:val="00AE7AB3"/>
    <w:rsid w:val="00B16382"/>
    <w:rsid w:val="00B21BE4"/>
    <w:rsid w:val="00B24824"/>
    <w:rsid w:val="00B25670"/>
    <w:rsid w:val="00B27BF6"/>
    <w:rsid w:val="00B37C21"/>
    <w:rsid w:val="00B448FA"/>
    <w:rsid w:val="00B47AC3"/>
    <w:rsid w:val="00B63403"/>
    <w:rsid w:val="00B638AB"/>
    <w:rsid w:val="00B66DE0"/>
    <w:rsid w:val="00B93037"/>
    <w:rsid w:val="00B93E38"/>
    <w:rsid w:val="00B94B99"/>
    <w:rsid w:val="00BA291A"/>
    <w:rsid w:val="00BA4CDE"/>
    <w:rsid w:val="00BA6720"/>
    <w:rsid w:val="00BB27D7"/>
    <w:rsid w:val="00BB4092"/>
    <w:rsid w:val="00BC7694"/>
    <w:rsid w:val="00BF41D3"/>
    <w:rsid w:val="00C04DB2"/>
    <w:rsid w:val="00C05E9B"/>
    <w:rsid w:val="00C728CF"/>
    <w:rsid w:val="00C827F9"/>
    <w:rsid w:val="00CA2D26"/>
    <w:rsid w:val="00CA4BC1"/>
    <w:rsid w:val="00CC3643"/>
    <w:rsid w:val="00CD27BE"/>
    <w:rsid w:val="00CD70D0"/>
    <w:rsid w:val="00CE07F4"/>
    <w:rsid w:val="00CF6BCD"/>
    <w:rsid w:val="00D0026A"/>
    <w:rsid w:val="00D02509"/>
    <w:rsid w:val="00D03CE2"/>
    <w:rsid w:val="00D15F77"/>
    <w:rsid w:val="00D33993"/>
    <w:rsid w:val="00D41210"/>
    <w:rsid w:val="00D55C3B"/>
    <w:rsid w:val="00D62CC6"/>
    <w:rsid w:val="00D7379E"/>
    <w:rsid w:val="00D73A4A"/>
    <w:rsid w:val="00D87364"/>
    <w:rsid w:val="00D87D5F"/>
    <w:rsid w:val="00D918A6"/>
    <w:rsid w:val="00D95692"/>
    <w:rsid w:val="00DA2E3B"/>
    <w:rsid w:val="00DC14DB"/>
    <w:rsid w:val="00DC2D3C"/>
    <w:rsid w:val="00DC7E26"/>
    <w:rsid w:val="00DD5766"/>
    <w:rsid w:val="00DD5D3E"/>
    <w:rsid w:val="00DE1E74"/>
    <w:rsid w:val="00DE5729"/>
    <w:rsid w:val="00DE67F9"/>
    <w:rsid w:val="00DE7CB9"/>
    <w:rsid w:val="00DF310F"/>
    <w:rsid w:val="00DF4734"/>
    <w:rsid w:val="00E20444"/>
    <w:rsid w:val="00E268EF"/>
    <w:rsid w:val="00E30EC7"/>
    <w:rsid w:val="00E33576"/>
    <w:rsid w:val="00E462B3"/>
    <w:rsid w:val="00E61D5B"/>
    <w:rsid w:val="00E77AD1"/>
    <w:rsid w:val="00E82614"/>
    <w:rsid w:val="00E95373"/>
    <w:rsid w:val="00E954B9"/>
    <w:rsid w:val="00E95E37"/>
    <w:rsid w:val="00EA5948"/>
    <w:rsid w:val="00ED4C24"/>
    <w:rsid w:val="00ED78D0"/>
    <w:rsid w:val="00EF6068"/>
    <w:rsid w:val="00F0281E"/>
    <w:rsid w:val="00F0759A"/>
    <w:rsid w:val="00F100E3"/>
    <w:rsid w:val="00F23CD7"/>
    <w:rsid w:val="00F33125"/>
    <w:rsid w:val="00F37BBC"/>
    <w:rsid w:val="00F6124F"/>
    <w:rsid w:val="00F6228B"/>
    <w:rsid w:val="00F90851"/>
    <w:rsid w:val="00F96DAB"/>
    <w:rsid w:val="00FA007E"/>
    <w:rsid w:val="00FD204E"/>
    <w:rsid w:val="00FE4830"/>
    <w:rsid w:val="5BB57C0D"/>
    <w:rsid w:val="7ECFC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37"/>
    <w:qFormat/>
    <w:uiPriority w:val="99"/>
    <w:pPr>
      <w:autoSpaceDE w:val="0"/>
      <w:autoSpaceDN w:val="0"/>
      <w:adjustRightInd w:val="0"/>
      <w:jc w:val="left"/>
    </w:pPr>
    <w:rPr>
      <w:rFonts w:ascii="宋体" w:cs="宋体"/>
      <w:sz w:val="22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rPr>
      <w:rFonts w:ascii="宋体" w:hAnsi="Times New Roman" w:eastAsia="宋体" w:cs="Times New Roman"/>
      <w:kern w:val="0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Strong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1"/>
    <w:pPr>
      <w:ind w:firstLine="420" w:firstLineChars="200"/>
    </w:p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段"/>
    <w:link w:val="17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7">
    <w:name w:val="段 Char"/>
    <w:link w:val="16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18">
    <w:name w:val="附录标识"/>
    <w:basedOn w:val="1"/>
    <w:next w:val="16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hAnsi="Times New Roman" w:eastAsia="黑体" w:cs="Times New Roman"/>
      <w:kern w:val="0"/>
      <w:szCs w:val="20"/>
    </w:rPr>
  </w:style>
  <w:style w:type="paragraph" w:customStyle="1" w:styleId="19">
    <w:name w:val="附录二级条标题"/>
    <w:basedOn w:val="1"/>
    <w:next w:val="16"/>
    <w:qFormat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hAnsi="Times New Roman" w:eastAsia="黑体" w:cs="Times New Roman"/>
      <w:kern w:val="21"/>
      <w:szCs w:val="20"/>
    </w:rPr>
  </w:style>
  <w:style w:type="paragraph" w:customStyle="1" w:styleId="20">
    <w:name w:val="附录三级条标题"/>
    <w:basedOn w:val="19"/>
    <w:next w:val="16"/>
    <w:qFormat/>
    <w:uiPriority w:val="0"/>
    <w:pPr>
      <w:numPr>
        <w:ilvl w:val="4"/>
      </w:numPr>
      <w:outlineLvl w:val="4"/>
    </w:pPr>
  </w:style>
  <w:style w:type="paragraph" w:customStyle="1" w:styleId="21">
    <w:name w:val="附录四级条标题"/>
    <w:basedOn w:val="20"/>
    <w:next w:val="16"/>
    <w:qFormat/>
    <w:uiPriority w:val="0"/>
    <w:pPr>
      <w:numPr>
        <w:ilvl w:val="5"/>
      </w:numPr>
      <w:outlineLvl w:val="5"/>
    </w:pPr>
  </w:style>
  <w:style w:type="paragraph" w:customStyle="1" w:styleId="22">
    <w:name w:val="附录五级条标题"/>
    <w:basedOn w:val="21"/>
    <w:next w:val="16"/>
    <w:qFormat/>
    <w:uiPriority w:val="0"/>
    <w:pPr>
      <w:numPr>
        <w:ilvl w:val="6"/>
      </w:numPr>
      <w:outlineLvl w:val="6"/>
    </w:pPr>
  </w:style>
  <w:style w:type="paragraph" w:customStyle="1" w:styleId="23">
    <w:name w:val="附录章标题"/>
    <w:next w:val="16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szCs w:val="20"/>
      <w:lang w:val="en-US" w:eastAsia="zh-CN" w:bidi="ar-SA"/>
    </w:rPr>
  </w:style>
  <w:style w:type="paragraph" w:customStyle="1" w:styleId="24">
    <w:name w:val="附录一级条标题"/>
    <w:basedOn w:val="23"/>
    <w:next w:val="16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25">
    <w:name w:val="一级条标题"/>
    <w:next w:val="1"/>
    <w:qFormat/>
    <w:uiPriority w:val="0"/>
    <w:pPr>
      <w:numPr>
        <w:ilvl w:val="1"/>
        <w:numId w:val="2"/>
      </w:numPr>
      <w:spacing w:beforeLines="50" w:afterLines="50"/>
      <w:outlineLvl w:val="2"/>
    </w:pPr>
    <w:rPr>
      <w:rFonts w:ascii="黑体" w:hAnsi="Times New Roman" w:eastAsia="黑体" w:cs="Times New Roman"/>
      <w:kern w:val="0"/>
      <w:sz w:val="21"/>
      <w:szCs w:val="21"/>
      <w:shd w:val="clear" w:color="auto" w:fill="FFFFFF"/>
      <w:lang w:val="en-US" w:eastAsia="zh-CN" w:bidi="ar-SA"/>
    </w:rPr>
  </w:style>
  <w:style w:type="paragraph" w:customStyle="1" w:styleId="26">
    <w:name w:val="章标题"/>
    <w:next w:val="1"/>
    <w:qFormat/>
    <w:uiPriority w:val="0"/>
    <w:pPr>
      <w:numPr>
        <w:ilvl w:val="0"/>
        <w:numId w:val="2"/>
      </w:numPr>
      <w:spacing w:beforeLines="100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shd w:val="clear" w:color="auto" w:fill="FFFFFF"/>
      <w:lang w:val="en-US" w:eastAsia="zh-CN" w:bidi="ar-SA"/>
    </w:rPr>
  </w:style>
  <w:style w:type="paragraph" w:customStyle="1" w:styleId="27">
    <w:name w:val="二级条标题"/>
    <w:basedOn w:val="25"/>
    <w:next w:val="1"/>
    <w:qFormat/>
    <w:uiPriority w:val="0"/>
    <w:pPr>
      <w:numPr>
        <w:ilvl w:val="2"/>
      </w:numPr>
      <w:ind w:left="0"/>
      <w:outlineLvl w:val="3"/>
    </w:pPr>
  </w:style>
  <w:style w:type="paragraph" w:customStyle="1" w:styleId="28">
    <w:name w:val="三级条标题"/>
    <w:basedOn w:val="27"/>
    <w:next w:val="1"/>
    <w:qFormat/>
    <w:uiPriority w:val="0"/>
    <w:pPr>
      <w:numPr>
        <w:ilvl w:val="3"/>
      </w:numPr>
      <w:outlineLvl w:val="4"/>
    </w:pPr>
    <w:rPr>
      <w:rFonts w:asciiTheme="minorEastAsia" w:hAnsiTheme="minorEastAsia"/>
    </w:rPr>
  </w:style>
  <w:style w:type="paragraph" w:customStyle="1" w:styleId="29">
    <w:name w:val="四级条标题"/>
    <w:basedOn w:val="28"/>
    <w:next w:val="1"/>
    <w:qFormat/>
    <w:uiPriority w:val="0"/>
    <w:pPr>
      <w:numPr>
        <w:ilvl w:val="4"/>
      </w:numPr>
      <w:outlineLvl w:val="5"/>
    </w:pPr>
  </w:style>
  <w:style w:type="paragraph" w:customStyle="1" w:styleId="30">
    <w:name w:val="五级条标题"/>
    <w:basedOn w:val="29"/>
    <w:next w:val="1"/>
    <w:qFormat/>
    <w:uiPriority w:val="0"/>
    <w:pPr>
      <w:numPr>
        <w:ilvl w:val="5"/>
      </w:numPr>
      <w:spacing w:before="50" w:after="50"/>
      <w:outlineLvl w:val="6"/>
    </w:pPr>
  </w:style>
  <w:style w:type="paragraph" w:customStyle="1" w:styleId="31">
    <w:name w:val="一级无标题条"/>
    <w:basedOn w:val="25"/>
    <w:link w:val="44"/>
    <w:qFormat/>
    <w:uiPriority w:val="0"/>
    <w:pPr>
      <w:spacing w:beforeLines="0" w:afterLines="0"/>
    </w:pPr>
    <w:rPr>
      <w:rFonts w:asciiTheme="majorEastAsia" w:hAnsiTheme="majorEastAsia" w:eastAsiaTheme="majorEastAsia"/>
    </w:rPr>
  </w:style>
  <w:style w:type="paragraph" w:customStyle="1" w:styleId="32">
    <w:name w:val="数字编号列项（二级）"/>
    <w:qFormat/>
    <w:uiPriority w:val="0"/>
    <w:pPr>
      <w:numPr>
        <w:ilvl w:val="1"/>
        <w:numId w:val="3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33">
    <w:name w:val="注："/>
    <w:next w:val="16"/>
    <w:qFormat/>
    <w:uiPriority w:val="0"/>
    <w:pPr>
      <w:widowControl w:val="0"/>
      <w:numPr>
        <w:ilvl w:val="0"/>
        <w:numId w:val="4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34">
    <w:name w:val="字母编号列项（一级）"/>
    <w:qFormat/>
    <w:uiPriority w:val="0"/>
    <w:pPr>
      <w:numPr>
        <w:ilvl w:val="0"/>
        <w:numId w:val="3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35">
    <w:name w:val="二级无标题条"/>
    <w:basedOn w:val="27"/>
    <w:qFormat/>
    <w:uiPriority w:val="0"/>
    <w:pPr>
      <w:numPr>
        <w:numId w:val="5"/>
      </w:numPr>
      <w:tabs>
        <w:tab w:val="left" w:pos="2160"/>
      </w:tabs>
      <w:spacing w:beforeLines="0" w:afterLines="0"/>
      <w:ind w:left="0"/>
    </w:pPr>
    <w:rPr>
      <w:rFonts w:asciiTheme="minorEastAsia" w:hAnsiTheme="minorEastAsia" w:eastAsiaTheme="minorEastAsia"/>
    </w:rPr>
  </w:style>
  <w:style w:type="paragraph" w:customStyle="1" w:styleId="36">
    <w:name w:val="二级无"/>
    <w:basedOn w:val="27"/>
    <w:qFormat/>
    <w:uiPriority w:val="0"/>
    <w:pPr>
      <w:numPr>
        <w:ilvl w:val="0"/>
        <w:numId w:val="0"/>
      </w:numPr>
      <w:spacing w:beforeLines="0" w:afterLines="0" w:line="240" w:lineRule="exact"/>
    </w:pPr>
    <w:rPr>
      <w:rFonts w:asciiTheme="minorEastAsia" w:hAnsiTheme="minorEastAsia" w:eastAsiaTheme="minorEastAsia"/>
      <w:sz w:val="18"/>
      <w:szCs w:val="18"/>
    </w:rPr>
  </w:style>
  <w:style w:type="character" w:customStyle="1" w:styleId="37">
    <w:name w:val="正文文本 Char"/>
    <w:basedOn w:val="9"/>
    <w:link w:val="2"/>
    <w:qFormat/>
    <w:locked/>
    <w:uiPriority w:val="99"/>
    <w:rPr>
      <w:rFonts w:ascii="宋体" w:cs="宋体"/>
      <w:sz w:val="22"/>
    </w:rPr>
  </w:style>
  <w:style w:type="character" w:customStyle="1" w:styleId="38">
    <w:name w:val="正文文本 Char1"/>
    <w:basedOn w:val="9"/>
    <w:semiHidden/>
    <w:qFormat/>
    <w:uiPriority w:val="99"/>
  </w:style>
  <w:style w:type="paragraph" w:customStyle="1" w:styleId="39">
    <w:name w:val="示例×："/>
    <w:basedOn w:val="26"/>
    <w:qFormat/>
    <w:uiPriority w:val="0"/>
    <w:pPr>
      <w:numPr>
        <w:numId w:val="0"/>
      </w:numPr>
      <w:spacing w:beforeLines="0" w:afterLines="0"/>
      <w:ind w:firstLine="363"/>
      <w:jc w:val="left"/>
      <w:outlineLvl w:val="9"/>
    </w:pPr>
    <w:rPr>
      <w:rFonts w:ascii="宋体" w:eastAsia="宋体"/>
      <w:sz w:val="18"/>
      <w:szCs w:val="18"/>
      <w:shd w:val="clear" w:color="auto" w:fill="auto"/>
    </w:rPr>
  </w:style>
  <w:style w:type="paragraph" w:customStyle="1" w:styleId="40">
    <w:name w:val="五级无标题条"/>
    <w:basedOn w:val="30"/>
    <w:qFormat/>
    <w:uiPriority w:val="0"/>
    <w:pPr>
      <w:numPr>
        <w:ilvl w:val="0"/>
        <w:numId w:val="0"/>
      </w:numPr>
      <w:spacing w:beforeLines="0" w:afterLines="0"/>
    </w:pPr>
    <w:rPr>
      <w:rFonts w:ascii="宋体" w:hAnsi="宋体" w:eastAsia="宋体"/>
      <w:sz w:val="22"/>
      <w:szCs w:val="22"/>
      <w:shd w:val="clear" w:color="auto" w:fill="auto"/>
    </w:rPr>
  </w:style>
  <w:style w:type="paragraph" w:customStyle="1" w:styleId="41">
    <w:name w:val="注：（正文）"/>
    <w:basedOn w:val="33"/>
    <w:next w:val="16"/>
    <w:qFormat/>
    <w:uiPriority w:val="0"/>
    <w:pPr>
      <w:numPr>
        <w:numId w:val="0"/>
      </w:numPr>
      <w:ind w:left="789" w:hanging="363"/>
    </w:pPr>
  </w:style>
  <w:style w:type="paragraph" w:customStyle="1" w:styleId="42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numPr>
        <w:ilvl w:val="0"/>
        <w:numId w:val="6"/>
      </w:numPr>
      <w:shd w:val="solid" w:color="FFFFFF" w:fill="FFFFFF"/>
      <w:spacing w:line="240" w:lineRule="atLeast"/>
      <w:ind w:left="0" w:firstLine="0"/>
      <w:jc w:val="right"/>
    </w:pPr>
    <w:rPr>
      <w:rFonts w:ascii="Times New Roman" w:hAnsi="Times New Roman" w:eastAsia="宋体" w:cs="Times New Roman"/>
      <w:b/>
      <w:w w:val="170"/>
      <w:kern w:val="0"/>
      <w:sz w:val="96"/>
      <w:szCs w:val="96"/>
      <w:lang w:val="en-US" w:eastAsia="zh-CN" w:bidi="ar-SA"/>
    </w:rPr>
  </w:style>
  <w:style w:type="paragraph" w:customStyle="1" w:styleId="43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kern w:val="0"/>
      <w:sz w:val="48"/>
      <w:szCs w:val="20"/>
      <w:lang w:val="en-US" w:eastAsia="zh-CN" w:bidi="ar-SA"/>
    </w:rPr>
  </w:style>
  <w:style w:type="character" w:customStyle="1" w:styleId="44">
    <w:name w:val="一级无标题条 Char"/>
    <w:link w:val="31"/>
    <w:qFormat/>
    <w:locked/>
    <w:uiPriority w:val="0"/>
    <w:rPr>
      <w:rFonts w:cs="Times New Roman" w:asciiTheme="majorEastAsia" w:hAnsiTheme="majorEastAsia" w:eastAsiaTheme="majorEastAsia"/>
      <w:kern w:val="0"/>
      <w:szCs w:val="21"/>
    </w:rPr>
  </w:style>
  <w:style w:type="paragraph" w:customStyle="1" w:styleId="45">
    <w:name w:val="列出段落1"/>
    <w:basedOn w:val="1"/>
    <w:qFormat/>
    <w:uiPriority w:val="0"/>
    <w:pPr>
      <w:autoSpaceDE w:val="0"/>
      <w:autoSpaceDN w:val="0"/>
      <w:adjustRightInd w:val="0"/>
      <w:ind w:left="1053" w:hanging="420"/>
      <w:jc w:val="left"/>
    </w:pPr>
    <w:rPr>
      <w:rFonts w:ascii="宋体" w:hAnsi="Times New Roman" w:eastAsia="宋体" w:cs="宋体"/>
      <w:kern w:val="0"/>
      <w:sz w:val="24"/>
      <w:szCs w:val="24"/>
    </w:rPr>
  </w:style>
  <w:style w:type="paragraph" w:customStyle="1" w:styleId="46">
    <w:name w:val="一级无"/>
    <w:basedOn w:val="25"/>
    <w:qFormat/>
    <w:uiPriority w:val="0"/>
    <w:pPr>
      <w:numPr>
        <w:ilvl w:val="0"/>
        <w:numId w:val="0"/>
      </w:numPr>
      <w:spacing w:beforeLines="0" w:afterLines="0"/>
      <w:ind w:firstLine="90" w:firstLineChars="50"/>
    </w:pPr>
    <w:rPr>
      <w:rFonts w:ascii="宋体" w:hAns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1125</Words>
  <Characters>6414</Characters>
  <Lines>53</Lines>
  <Paragraphs>15</Paragraphs>
  <TotalTime>5</TotalTime>
  <ScaleCrop>false</ScaleCrop>
  <LinksUpToDate>false</LinksUpToDate>
  <CharactersWithSpaces>7524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2019-03-28T23:46:00Z</dcterms:created>
  <dc:creator>刘金合</dc:creator>
  <cp:lastModifiedBy>uos</cp:lastModifiedBy>
  <cp:lastPrinted>2019-03-26T22:08:00Z</cp:lastPrinted>
  <dcterms:modified xsi:type="dcterms:W3CDTF">2025-08-25T15:43:19Z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