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D4070">
      <w:pPr>
        <w:pStyle w:val="17"/>
        <w:rPr>
          <w:rFonts w:ascii="Times New Roman"/>
        </w:rPr>
      </w:pPr>
      <w:bookmarkStart w:id="0" w:name="SectionMark2"/>
    </w:p>
    <w:p w14:paraId="2763AFC0">
      <w:pPr>
        <w:pStyle w:val="42"/>
        <w:framePr w:wrap="around" w:x="1396" w:y="14191"/>
      </w:pPr>
      <w:bookmarkStart w:id="1"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2"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
      <w:r>
        <w:rPr>
          <w:rFonts w:hint="eastAsia"/>
        </w:rPr>
        <w:t>发布</w:t>
      </w:r>
    </w:p>
    <w:p w14:paraId="1C1A3C42">
      <w:pPr>
        <w:pStyle w:val="43"/>
        <w:framePr w:wrap="around" w:x="7066" w:y="14116"/>
      </w:pPr>
      <w:bookmarkStart w:id="3"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rPr>
          <w:rFonts w:ascii="黑体"/>
        </w:rPr>
        <w:t>-</w:t>
      </w:r>
      <w:bookmarkStart w:id="4"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ascii="黑体"/>
        </w:rPr>
        <w:t>-</w:t>
      </w:r>
      <w:bookmarkStart w:id="5"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实施</w:t>
      </w:r>
    </w:p>
    <w:p w14:paraId="6920362D">
      <w:pPr>
        <w:pStyle w:val="22"/>
        <w:framePr w:wrap="around" w:x="1647" w:y="3011"/>
        <w:rPr>
          <w:rFonts w:hint="eastAsia" w:hAnsi="黑体"/>
        </w:rPr>
      </w:pPr>
      <w:r>
        <w:rPr>
          <w:rFonts w:ascii="Times New Roman"/>
        </w:rPr>
        <w:t xml:space="preserve">DB </w:t>
      </w:r>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r>
        <w:rPr>
          <w:rFonts w:hAnsi="黑体"/>
        </w:rPr>
        <w:t xml:space="preserve">/T </w:t>
      </w:r>
      <w:r>
        <w:rPr>
          <w:rFonts w:hAnsi="黑体"/>
        </w:rPr>
        <w:fldChar w:fldCharType="begin">
          <w:ffData>
            <w:name w:val="StdNo1"/>
            <w:enabled/>
            <w:calcOnExit w:val="0"/>
            <w:textInput>
              <w:default w:val="XXXX"/>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r>
        <w:rPr>
          <w:rFonts w:hAnsi="黑体"/>
        </w:rPr>
        <w:t>—</w:t>
      </w:r>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p>
    <w:tbl>
      <w:tblPr>
        <w:tblStyle w:val="9"/>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14:paraId="7E940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14:paraId="6FF2E22F">
            <w:pPr>
              <w:pStyle w:val="29"/>
              <w:framePr w:wrap="around" w:x="1647" w:y="3011"/>
              <w:ind w:right="840"/>
              <w:jc w:val="both"/>
            </w:pPr>
          </w:p>
        </w:tc>
      </w:tr>
    </w:tbl>
    <w:p w14:paraId="432CB04F">
      <w:pPr>
        <w:pStyle w:val="22"/>
        <w:framePr w:wrap="around" w:x="1647" w:y="3011"/>
        <w:rPr>
          <w:rFonts w:hint="eastAsia" w:hAnsi="黑体"/>
        </w:rPr>
      </w:pPr>
    </w:p>
    <w:p w14:paraId="7215B2D8">
      <w:pPr>
        <w:pStyle w:val="22"/>
        <w:framePr w:wrap="around" w:x="1647" w:y="3011"/>
        <w:rPr>
          <w:rFonts w:hint="eastAsia" w:hAnsi="黑体"/>
        </w:rPr>
      </w:pPr>
    </w:p>
    <w:p w14:paraId="3AB0F74F">
      <w:pPr>
        <w:pStyle w:val="17"/>
        <w:rPr>
          <w:rFonts w:ascii="Times New Roman"/>
        </w:rPr>
        <w:sectPr>
          <w:headerReference r:id="rId3" w:type="default"/>
          <w:footerReference r:id="rId4" w:type="default"/>
          <w:footerReference r:id="rId5" w:type="even"/>
          <w:pgSz w:w="11907" w:h="16839"/>
          <w:pgMar w:top="1418" w:right="1134" w:bottom="1134" w:left="1418" w:header="1418" w:footer="851" w:gutter="0"/>
          <w:cols w:space="720" w:num="1"/>
          <w:titlePg/>
          <w:docGrid w:type="lines" w:linePitch="312" w:charSpace="0"/>
        </w:sect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8348980</wp:posOffset>
                </wp:positionV>
                <wp:extent cx="6121400" cy="0"/>
                <wp:effectExtent l="0" t="0" r="0" b="0"/>
                <wp:wrapThrough wrapText="bothSides">
                  <wp:wrapPolygon>
                    <wp:start x="0" y="0"/>
                    <wp:lineTo x="0" y="21600"/>
                    <wp:lineTo x="21600" y="21600"/>
                    <wp:lineTo x="21600" y="0"/>
                  </wp:wrapPolygon>
                </wp:wrapThrough>
                <wp:docPr id="12" name="直接连接符 18"/>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a:effectLst/>
                      </wps:spPr>
                      <wps:bodyPr/>
                    </wps:wsp>
                  </a:graphicData>
                </a:graphic>
              </wp:anchor>
            </w:drawing>
          </mc:Choice>
          <mc:Fallback>
            <w:pict>
              <v:line id="直接连接符 18" o:spid="_x0000_s1026" o:spt="20" style="position:absolute;left:0pt;margin-left:0pt;margin-top:657.4pt;height:0pt;width:482pt;mso-wrap-distance-left:9pt;mso-wrap-distance-right:9pt;z-index:251662336;mso-width-relative:page;mso-height-relative:page;" filled="f" stroked="t" coordsize="21600,21600" wrapcoords="0 0 0 21600 21600 21600 21600 0" o:gfxdata="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eAz6dQA&#10;AAAKAQAADwAAAAAAAAABACAAAAAiAAAAZHJzL2Rvd25yZXYueG1sUEsBAhQAFAAAAAgAh07iQBee&#10;RezqAQAAuwMAAA4AAAAAAAAAAQAgAAAAIwEAAGRycy9lMm9Eb2MueG1sUEsFBgAAAAAGAAYAWQEA&#10;AH8FAAAAAA==&#10;">
                <v:fill on="f" focussize="0,0"/>
                <v:stroke weight="1pt" color="#800008" joinstyle="round"/>
                <v:imagedata o:title=""/>
                <o:lock v:ext="edit" aspectratio="f"/>
                <w10:wrap type="through"/>
              </v:lin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8568055</wp:posOffset>
                </wp:positionV>
                <wp:extent cx="6120130" cy="363220"/>
                <wp:effectExtent l="0" t="0" r="0" b="0"/>
                <wp:wrapNone/>
                <wp:docPr id="9"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a:effectLst/>
                      </wps:spPr>
                      <wps:txbx>
                        <w:txbxContent>
                          <w:p w14:paraId="583470AC">
                            <w:pPr>
                              <w:pStyle w:val="37"/>
                            </w:pPr>
                            <w:r>
                              <w:rPr>
                                <w:rFonts w:hint="eastAsia"/>
                              </w:rPr>
                              <w:t>河北省市场监督管理局</w:t>
                            </w:r>
                            <w:r>
                              <w:rPr>
                                <w:rStyle w:val="28"/>
                                <w:rFonts w:hint="eastAsia"/>
                              </w:rPr>
                              <w:t xml:space="preserve"> 发布</w:t>
                            </w:r>
                          </w:p>
                        </w:txbxContent>
                      </wps:txbx>
                      <wps:bodyPr rot="0" vert="horz" wrap="square" lIns="0" tIns="0" rIns="0" bIns="0" anchor="t" anchorCtr="0" upright="1">
                        <a:noAutofit/>
                      </wps:bodyPr>
                    </wps:wsp>
                  </a:graphicData>
                </a:graphic>
              </wp:anchor>
            </w:drawing>
          </mc:Choice>
          <mc:Fallback>
            <w:pict>
              <v:shape id="文本框 16" o:spid="_x0000_s1026" o:spt="202" type="#_x0000_t202" style="position:absolute;left:0pt;margin-left:0pt;margin-top:674.65pt;height:28.6pt;width:481.9pt;mso-position-horizontal-relative:margin;mso-position-vertical-relative:margin;z-index:251661312;mso-width-relative:page;mso-height-relative:page;" fillcolor="#FFFFFF" filled="t" stroked="f" coordsize="21600,21600" o:gfxdata="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N/q7zZAAAACgEAAA8AAAAAAAAAAQAgAAAAIgAAAGRycy9kb3ducmV2LnhtbFBLAQIUABQAAAAI&#10;AIdO4kB6DBLAJQIAAD0EAAAOAAAAAAAAAAEAIAAAACgBAABkcnMvZTJvRG9jLnhtbFBLBQYAAAAA&#10;BgAGAFkBAAC/BQAAAAA=&#10;">
                <v:fill on="t" focussize="0,0"/>
                <v:stroke on="f"/>
                <v:imagedata o:title=""/>
                <o:lock v:ext="edit" aspectratio="f"/>
                <v:textbox inset="0mm,0mm,0mm,0mm">
                  <w:txbxContent>
                    <w:p w14:paraId="583470AC">
                      <w:pPr>
                        <w:pStyle w:val="37"/>
                      </w:pPr>
                      <w:r>
                        <w:rPr>
                          <w:rFonts w:hint="eastAsia"/>
                        </w:rPr>
                        <w:t>河北省市场监督管理局</w:t>
                      </w:r>
                      <w:r>
                        <w:rPr>
                          <w:rStyle w:val="28"/>
                          <w:rFonts w:hint="eastAsia"/>
                        </w:rPr>
                        <w:t xml:space="preserve"> 发布</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1270</wp:posOffset>
                </wp:positionH>
                <wp:positionV relativeFrom="margin">
                  <wp:posOffset>3093720</wp:posOffset>
                </wp:positionV>
                <wp:extent cx="5969000" cy="1814195"/>
                <wp:effectExtent l="0" t="0" r="0" b="0"/>
                <wp:wrapNone/>
                <wp:docPr id="8"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5969000" cy="1814195"/>
                        </a:xfrm>
                        <a:prstGeom prst="rect">
                          <a:avLst/>
                        </a:prstGeom>
                        <a:solidFill>
                          <a:srgbClr val="FFFFFF"/>
                        </a:solidFill>
                        <a:ln>
                          <a:noFill/>
                        </a:ln>
                        <a:effectLst/>
                      </wps:spPr>
                      <wps:txbx>
                        <w:txbxContent>
                          <w:p w14:paraId="35935587">
                            <w:pPr>
                              <w:pStyle w:val="30"/>
                            </w:pPr>
                            <w:r>
                              <w:rPr>
                                <w:rFonts w:hint="eastAsia"/>
                              </w:rPr>
                              <w:t>社区公共文化服务通用要求</w:t>
                            </w:r>
                          </w:p>
                          <w:p w14:paraId="38F25FEC">
                            <w:pPr>
                              <w:pStyle w:val="31"/>
                            </w:pPr>
                            <w:r>
                              <w:rPr>
                                <w:rFonts w:hint="eastAsia"/>
                              </w:rPr>
                              <w:t>General Rrequirements for Community Public Cultural Services</w:t>
                            </w:r>
                          </w:p>
                          <w:tbl>
                            <w:tblPr>
                              <w:tblStyle w:val="9"/>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06CD3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14:paraId="13829A0D">
                                  <w:pPr>
                                    <w:pStyle w:val="33"/>
                                  </w:pPr>
                                  <w:r>
                                    <w:rPr>
                                      <w:rFonts w:hint="eastAsia"/>
                                    </w:rPr>
                                    <w:t>（</w:t>
                                  </w:r>
                                  <w:r>
                                    <w:rPr>
                                      <w:rFonts w:hint="eastAsia"/>
                                      <w:lang w:val="en-US" w:eastAsia="zh-CN"/>
                                    </w:rPr>
                                    <w:t>征求意见稿</w:t>
                                  </w:r>
                                  <w:r>
                                    <w:rPr>
                                      <w:rFonts w:hint="eastAsia"/>
                                    </w:rPr>
                                    <w:t>）</w:t>
                                  </w:r>
                                </w:p>
                              </w:tc>
                            </w:tr>
                          </w:tbl>
                          <w:p w14:paraId="237D0342">
                            <w:pPr>
                              <w:pStyle w:val="32"/>
                              <w:jc w:val="both"/>
                            </w:pPr>
                          </w:p>
                        </w:txbxContent>
                      </wps:txbx>
                      <wps:bodyPr rot="0" vert="horz" wrap="square" lIns="0" tIns="0" rIns="0" bIns="0" anchor="t" anchorCtr="0" upright="1">
                        <a:noAutofit/>
                      </wps:bodyPr>
                    </wps:wsp>
                  </a:graphicData>
                </a:graphic>
              </wp:anchor>
            </w:drawing>
          </mc:Choice>
          <mc:Fallback>
            <w:pict>
              <v:shape id="文本框 14" o:spid="_x0000_s1026" o:spt="202" type="#_x0000_t202" style="position:absolute;left:0pt;margin-left:0.1pt;margin-top:243.6pt;height:142.85pt;width:470pt;mso-position-horizontal-relative:margin;mso-position-vertical-relative:margin;z-index:251660288;mso-width-relative:page;mso-height-relative:page;" fillcolor="#FFFFFF" filled="t" stroked="f" coordsize="21600,21600" o:gfxdata="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4XywX1wAAAAgBAAAPAAAAAAAAAAEAIAAAACIAAABkcnMvZG93bnJldi54bWxQSwECFAAUAAAA&#10;CACHTuJA22tB9ygCAAA+BAAADgAAAAAAAAABACAAAAAmAQAAZHJzL2Uyb0RvYy54bWxQSwUGAAAA&#10;AAYABgBZAQAAwAUAAAAA&#10;">
                <v:fill on="t" focussize="0,0"/>
                <v:stroke on="f"/>
                <v:imagedata o:title=""/>
                <o:lock v:ext="edit" aspectratio="f"/>
                <v:textbox inset="0mm,0mm,0mm,0mm">
                  <w:txbxContent>
                    <w:p w14:paraId="35935587">
                      <w:pPr>
                        <w:pStyle w:val="30"/>
                      </w:pPr>
                      <w:r>
                        <w:rPr>
                          <w:rFonts w:hint="eastAsia"/>
                        </w:rPr>
                        <w:t>社区公共文化服务通用要求</w:t>
                      </w:r>
                    </w:p>
                    <w:p w14:paraId="38F25FEC">
                      <w:pPr>
                        <w:pStyle w:val="31"/>
                      </w:pPr>
                      <w:r>
                        <w:rPr>
                          <w:rFonts w:hint="eastAsia"/>
                        </w:rPr>
                        <w:t>General Rrequirements for Community Public Cultural Services</w:t>
                      </w:r>
                    </w:p>
                    <w:tbl>
                      <w:tblPr>
                        <w:tblStyle w:val="9"/>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06CD3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14:paraId="13829A0D">
                            <w:pPr>
                              <w:pStyle w:val="33"/>
                            </w:pPr>
                            <w:r>
                              <w:rPr>
                                <w:rFonts w:hint="eastAsia"/>
                              </w:rPr>
                              <w:t>（</w:t>
                            </w:r>
                            <w:r>
                              <w:rPr>
                                <w:rFonts w:hint="eastAsia"/>
                                <w:lang w:val="en-US" w:eastAsia="zh-CN"/>
                              </w:rPr>
                              <w:t>征求意见稿</w:t>
                            </w:r>
                            <w:r>
                              <w:rPr>
                                <w:rFonts w:hint="eastAsia"/>
                              </w:rPr>
                              <w:t>）</w:t>
                            </w:r>
                          </w:p>
                        </w:tc>
                      </w:tr>
                    </w:tbl>
                    <w:p w14:paraId="237D0342">
                      <w:pPr>
                        <w:pStyle w:val="32"/>
                        <w:jc w:val="both"/>
                      </w:pPr>
                    </w:p>
                  </w:txbxContent>
                </v:textbox>
                <w10:anchorlock/>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1732280</wp:posOffset>
                </wp:positionV>
                <wp:extent cx="6121400" cy="0"/>
                <wp:effectExtent l="0" t="0" r="0" b="0"/>
                <wp:wrapThrough wrapText="bothSides">
                  <wp:wrapPolygon>
                    <wp:start x="0" y="0"/>
                    <wp:lineTo x="0" y="21600"/>
                    <wp:lineTo x="21600" y="21600"/>
                    <wp:lineTo x="21600" y="0"/>
                  </wp:wrapPolygon>
                </wp:wrapThrough>
                <wp:docPr id="7"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a:effectLst/>
                      </wps:spPr>
                      <wps:bodyPr/>
                    </wps:wsp>
                  </a:graphicData>
                </a:graphic>
              </wp:anchor>
            </w:drawing>
          </mc:Choice>
          <mc:Fallback>
            <w:pict>
              <v:line id="直接连接符 12" o:spid="_x0000_s1026" o:spt="20" style="position:absolute;left:0pt;margin-left:0pt;margin-top:136.4pt;height:0pt;width:482pt;mso-wrap-distance-left:9pt;mso-wrap-distance-right:9pt;z-index:251659264;mso-width-relative:page;mso-height-relative:page;" filled="f" stroked="t" coordsize="21600,21600" wrapcoords="0 0 0 21600 21600 21600 21600 0" o:gfxdata="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xMwuK1AAA&#10;AAgBAAAPAAAAAAAAAAEAIAAAACIAAABkcnMvZG93bnJldi54bWxQSwECFAAUAAAACACHTuJA0ikj&#10;MukBAAC6AwAADgAAAAAAAAABACAAAAAjAQAAZHJzL2Uyb0RvYy54bWxQSwUGAAAAAAYABgBZAQAA&#10;fgUAAAAA&#10;">
                <v:fill on="f" focussize="0,0"/>
                <v:stroke weight="1pt" color="#800008" joinstyle="round"/>
                <v:imagedata o:title=""/>
                <o:lock v:ext="edit" aspectratio="f"/>
                <w10:wrap type="through"/>
              </v:lin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470535</wp:posOffset>
                </wp:positionV>
                <wp:extent cx="6120130" cy="391160"/>
                <wp:effectExtent l="0" t="0" r="0" b="0"/>
                <wp:wrapNone/>
                <wp:docPr id="5"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ffectLst/>
                      </wps:spPr>
                      <wps:txbx>
                        <w:txbxContent>
                          <w:p w14:paraId="4CC5EB3B">
                            <w:pPr>
                              <w:pStyle w:val="36"/>
                              <w:rPr>
                                <w:rFonts w:hint="eastAsia"/>
                                <w:spacing w:val="0"/>
                              </w:rPr>
                            </w:pPr>
                            <w:r>
                              <w:rPr>
                                <w:rFonts w:hint="eastAsia"/>
                                <w:spacing w:val="0"/>
                              </w:rPr>
                              <w:t>河北省地方标准</w:t>
                            </w:r>
                          </w:p>
                        </w:txbxContent>
                      </wps:txbx>
                      <wps:bodyPr rot="0" vert="horz" wrap="square" lIns="0" tIns="0" rIns="0" bIns="0" anchor="t" anchorCtr="0" upright="1">
                        <a:noAutofit/>
                      </wps:bodyPr>
                    </wps:wsp>
                  </a:graphicData>
                </a:graphic>
              </wp:anchor>
            </w:drawing>
          </mc:Choice>
          <mc:Fallback>
            <w:pict>
              <v:shape id="文本框 10" o:spid="_x0000_s1026" o:spt="202" type="#_x0000_t202" style="position:absolute;left:0pt;margin-left:0pt;margin-top:37.05pt;height:30.8pt;width:481.9pt;mso-position-horizontal-relative:margin;mso-position-vertical-relative:margin;z-index:251665408;mso-width-relative:page;mso-height-relative:page;" fillcolor="#FFFFFF" filled="t" stroked="f" coordsize="21600,21600" o:gfxdata="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f4&#10;qZvXAAAABwEAAA8AAAAAAAAAAQAgAAAAIgAAAGRycy9kb3ducmV2LnhtbFBLAQIUABQAAAAIAIdO&#10;4kDcOu++JAIAAD0EAAAOAAAAAAAAAAEAIAAAACYBAABkcnMvZTJvRG9jLnhtbFBLBQYAAAAABgAG&#10;AFkBAAC8BQAAAAA=&#10;">
                <v:fill on="t" focussize="0,0"/>
                <v:stroke on="f"/>
                <v:imagedata o:title=""/>
                <o:lock v:ext="edit" aspectratio="f"/>
                <v:textbox inset="0mm,0mm,0mm,0mm">
                  <w:txbxContent>
                    <w:p w14:paraId="4CC5EB3B">
                      <w:pPr>
                        <w:pStyle w:val="36"/>
                        <w:rPr>
                          <w:rFonts w:hint="eastAsia"/>
                          <w:spacing w:val="0"/>
                        </w:rPr>
                      </w:pPr>
                      <w:r>
                        <w:rPr>
                          <w:rFonts w:hint="eastAsia"/>
                          <w:spacing w:val="0"/>
                        </w:rPr>
                        <w:t>河北省地方标准</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66675</wp:posOffset>
                </wp:positionH>
                <wp:positionV relativeFrom="margin">
                  <wp:posOffset>-457835</wp:posOffset>
                </wp:positionV>
                <wp:extent cx="2400300" cy="657860"/>
                <wp:effectExtent l="0" t="0" r="0" b="0"/>
                <wp:wrapNone/>
                <wp:docPr id="4"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400300" cy="657860"/>
                        </a:xfrm>
                        <a:prstGeom prst="rect">
                          <a:avLst/>
                        </a:prstGeom>
                        <a:solidFill>
                          <a:srgbClr val="FFFFFF"/>
                        </a:solidFill>
                        <a:ln>
                          <a:noFill/>
                        </a:ln>
                        <a:effectLst/>
                      </wps:spPr>
                      <wps:txbx>
                        <w:txbxContent>
                          <w:p w14:paraId="70B8A409">
                            <w:pPr>
                              <w:pStyle w:val="39"/>
                            </w:pPr>
                          </w:p>
                          <w:p w14:paraId="18E4BDFD">
                            <w:pPr>
                              <w:pStyle w:val="39"/>
                              <w:spacing w:before="156" w:after="156"/>
                            </w:pPr>
                          </w:p>
                          <w:p w14:paraId="701DCD84">
                            <w:pPr>
                              <w:pStyle w:val="39"/>
                              <w:spacing w:before="156" w:after="156"/>
                            </w:pPr>
                          </w:p>
                        </w:txbxContent>
                      </wps:txbx>
                      <wps:bodyPr rot="0" vert="horz" wrap="square" lIns="0" tIns="0" rIns="0" bIns="0" anchor="t" anchorCtr="0" upright="1">
                        <a:noAutofit/>
                      </wps:bodyPr>
                    </wps:wsp>
                  </a:graphicData>
                </a:graphic>
              </wp:anchor>
            </w:drawing>
          </mc:Choice>
          <mc:Fallback>
            <w:pict>
              <v:shape id="文本框 8" o:spid="_x0000_s1026" o:spt="202" type="#_x0000_t202" style="position:absolute;left:0pt;margin-left:5.25pt;margin-top:-36.05pt;height:51.8pt;width:189pt;mso-position-horizontal-relative:margin;mso-position-vertical-relative:margin;z-index:251664384;mso-width-relative:page;mso-height-relative:page;" fillcolor="#FFFFFF" filled="t" stroked="f" coordsize="21600,21600" o:gfxdata="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nLaLLYAAAACQEAAA8AAAAAAAAAAQAgAAAAIgAAAGRycy9kb3ducmV2LnhtbFBLAQIUABQAAAAI&#10;AIdO4kCkeW/5JgIAADwEAAAOAAAAAAAAAAEAIAAAACcBAABkcnMvZTJvRG9jLnhtbFBLBQYAAAAA&#10;BgAGAFkBAAC/BQAAAAA=&#10;">
                <v:fill on="t" focussize="0,0"/>
                <v:stroke on="f"/>
                <v:imagedata o:title=""/>
                <o:lock v:ext="edit" aspectratio="f"/>
                <v:textbox inset="0mm,0mm,0mm,0mm">
                  <w:txbxContent>
                    <w:p w14:paraId="70B8A409">
                      <w:pPr>
                        <w:pStyle w:val="39"/>
                      </w:pPr>
                    </w:p>
                    <w:p w14:paraId="18E4BDFD">
                      <w:pPr>
                        <w:pStyle w:val="39"/>
                        <w:spacing w:before="156" w:after="156"/>
                      </w:pPr>
                    </w:p>
                    <w:p w14:paraId="701DCD84">
                      <w:pPr>
                        <w:pStyle w:val="39"/>
                        <w:spacing w:before="156" w:after="156"/>
                      </w:pP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2549525</wp:posOffset>
                </wp:positionH>
                <wp:positionV relativeFrom="margin">
                  <wp:posOffset>-433070</wp:posOffset>
                </wp:positionV>
                <wp:extent cx="3175000" cy="720090"/>
                <wp:effectExtent l="0" t="0" r="0" b="0"/>
                <wp:wrapNone/>
                <wp:docPr id="3" name="文本框 6"/>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a:effectLst/>
                      </wps:spPr>
                      <wps:txbx>
                        <w:txbxContent>
                          <w:p w14:paraId="1287E9CC">
                            <w:pPr>
                              <w:pStyle w:val="62"/>
                              <w:wordWrap w:val="0"/>
                            </w:pPr>
                            <w:r>
                              <w:t>DB13</w:t>
                            </w:r>
                          </w:p>
                        </w:txbxContent>
                      </wps:txbx>
                      <wps:bodyPr rot="0" vert="horz" wrap="square" lIns="0" tIns="0" rIns="0" bIns="0" anchor="t" anchorCtr="0" upright="1">
                        <a:noAutofit/>
                      </wps:bodyPr>
                    </wps:wsp>
                  </a:graphicData>
                </a:graphic>
              </wp:anchor>
            </w:drawing>
          </mc:Choice>
          <mc:Fallback>
            <w:pict>
              <v:shape id="文本框 6" o:spid="_x0000_s1026" o:spt="202" type="#_x0000_t202" style="position:absolute;left:0pt;margin-left:200.75pt;margin-top:-34.1pt;height:56.7pt;width:250pt;mso-position-horizontal-relative:margin;mso-position-vertical-relative:margin;z-index:251663360;mso-width-relative:page;mso-height-relative:page;" fillcolor="#FFFFFF" filled="t" stroked="f" coordsize="21600,21600" o:gfxdata="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pkwtgAAAAKAQAADwAAAAAAAAABACAAAAAiAAAAZHJzL2Rvd25yZXYueG1sUEsBAhQAFAAAAAgA&#10;h07iQLS3xCAlAgAAPAQAAA4AAAAAAAAAAQAgAAAAJwEAAGRycy9lMm9Eb2MueG1sUEsFBgAAAAAG&#10;AAYAWQEAAL4FAAAAAA==&#10;">
                <v:fill on="t" focussize="0,0"/>
                <v:stroke on="f"/>
                <v:imagedata o:title=""/>
                <o:lock v:ext="edit" aspectratio="f"/>
                <v:textbox inset="0mm,0mm,0mm,0mm">
                  <w:txbxContent>
                    <w:p w14:paraId="1287E9CC">
                      <w:pPr>
                        <w:pStyle w:val="62"/>
                        <w:wordWrap w:val="0"/>
                      </w:pPr>
                      <w:r>
                        <w:t>DB13</w:t>
                      </w:r>
                    </w:p>
                  </w:txbxContent>
                </v:textbox>
                <w10:anchorlock/>
              </v:shape>
            </w:pict>
          </mc:Fallback>
        </mc:AlternateContent>
      </w:r>
    </w:p>
    <w:bookmarkEnd w:id="0"/>
    <w:p w14:paraId="6FE8D2D7">
      <w:pPr>
        <w:pStyle w:val="38"/>
      </w:pPr>
      <w:bookmarkStart w:id="6" w:name="_Toc435084748"/>
      <w:bookmarkStart w:id="7" w:name="_Toc435084766"/>
      <w:bookmarkStart w:id="8" w:name="_Toc448847659"/>
      <w:r>
        <w:rPr>
          <w:rFonts w:hint="eastAsia"/>
        </w:rPr>
        <w:t>前</w:t>
      </w:r>
      <w:bookmarkStart w:id="9" w:name="BKQY"/>
      <w:r>
        <w:rPr>
          <w:rFonts w:hAnsi="黑体"/>
        </w:rPr>
        <w:t>  </w:t>
      </w:r>
      <w:r>
        <w:rPr>
          <w:rFonts w:hint="eastAsia"/>
        </w:rPr>
        <w:t>言</w:t>
      </w:r>
      <w:bookmarkEnd w:id="6"/>
      <w:bookmarkEnd w:id="7"/>
      <w:bookmarkEnd w:id="8"/>
      <w:bookmarkEnd w:id="9"/>
    </w:p>
    <w:p w14:paraId="1F8B274E">
      <w:pPr>
        <w:pStyle w:val="17"/>
        <w:rPr>
          <w:szCs w:val="21"/>
        </w:rPr>
      </w:pPr>
      <w:r>
        <w:rPr>
          <w:rFonts w:hint="eastAsia"/>
          <w:szCs w:val="21"/>
        </w:rPr>
        <w:t>本文件按照GB/T 1.1—2020《标准化工作导则第1部分：标准化文件的结构和起草规则》的规定起草。</w:t>
      </w:r>
    </w:p>
    <w:p w14:paraId="259FF256">
      <w:pPr>
        <w:pStyle w:val="17"/>
        <w:rPr>
          <w:szCs w:val="21"/>
        </w:rPr>
      </w:pPr>
      <w:r>
        <w:rPr>
          <w:rFonts w:hint="eastAsia"/>
          <w:szCs w:val="21"/>
        </w:rPr>
        <w:t>本文件由河北省文化和旅游厅提出。</w:t>
      </w:r>
    </w:p>
    <w:p w14:paraId="1FC9C638">
      <w:pPr>
        <w:pStyle w:val="17"/>
        <w:rPr>
          <w:szCs w:val="21"/>
        </w:rPr>
      </w:pPr>
      <w:r>
        <w:rPr>
          <w:rFonts w:hint="eastAsia"/>
          <w:szCs w:val="21"/>
        </w:rPr>
        <w:t>本文件河北省服务标准化技术委员会（SAHB/TC 264）归口。</w:t>
      </w:r>
    </w:p>
    <w:p w14:paraId="7FF0E30F">
      <w:pPr>
        <w:pStyle w:val="17"/>
        <w:rPr>
          <w:szCs w:val="21"/>
        </w:rPr>
      </w:pPr>
      <w:r>
        <w:rPr>
          <w:rFonts w:hint="eastAsia"/>
          <w:szCs w:val="21"/>
        </w:rPr>
        <w:t>本文件起草单位：迁安市文化广电和旅游局</w:t>
      </w:r>
      <w:r>
        <w:rPr>
          <w:rFonts w:hint="eastAsia"/>
          <w:szCs w:val="21"/>
          <w:highlight w:val="none"/>
          <w:lang w:eastAsia="zh-CN"/>
        </w:rPr>
        <w:t>、河北师范大学、河北博锐思旅游咨询服务有限公司</w:t>
      </w:r>
      <w:r>
        <w:rPr>
          <w:rFonts w:hint="eastAsia"/>
          <w:szCs w:val="21"/>
        </w:rPr>
        <w:t>。</w:t>
      </w:r>
    </w:p>
    <w:p w14:paraId="5D65A859">
      <w:pPr>
        <w:pStyle w:val="17"/>
        <w:rPr>
          <w:szCs w:val="21"/>
        </w:rPr>
      </w:pPr>
      <w:r>
        <w:rPr>
          <w:rFonts w:hint="eastAsia"/>
          <w:szCs w:val="21"/>
        </w:rPr>
        <w:t>本文件主要起草人：</w:t>
      </w:r>
      <w:r>
        <w:rPr>
          <w:rFonts w:hint="eastAsia"/>
          <w:szCs w:val="21"/>
          <w:lang w:eastAsia="zh-CN"/>
        </w:rPr>
        <w:t>沈绍岭</w:t>
      </w:r>
      <w:r>
        <w:rPr>
          <w:rFonts w:hint="eastAsia"/>
          <w:szCs w:val="21"/>
          <w:lang w:val="en-US" w:eastAsia="zh-CN"/>
        </w:rPr>
        <w:t xml:space="preserve"> </w:t>
      </w:r>
      <w:r>
        <w:rPr>
          <w:rFonts w:hint="eastAsia"/>
          <w:szCs w:val="21"/>
        </w:rPr>
        <w:t>朱向华 何山 田璐 杨阳 玄兆涛 吴健蕊</w:t>
      </w:r>
      <w:r>
        <w:rPr>
          <w:rFonts w:hint="eastAsia"/>
          <w:szCs w:val="21"/>
          <w:lang w:val="en-US" w:eastAsia="zh-CN"/>
        </w:rPr>
        <w:t xml:space="preserve"> 刘海政</w:t>
      </w:r>
      <w:r>
        <w:rPr>
          <w:rFonts w:hint="eastAsia"/>
          <w:szCs w:val="21"/>
        </w:rPr>
        <w:t>。</w:t>
      </w:r>
    </w:p>
    <w:p w14:paraId="5ECBE658">
      <w:pPr>
        <w:widowControl/>
        <w:jc w:val="left"/>
        <w:rPr>
          <w:szCs w:val="21"/>
        </w:rPr>
      </w:pPr>
      <w:r>
        <w:rPr>
          <w:szCs w:val="21"/>
        </w:rPr>
        <w:br w:type="page"/>
      </w:r>
    </w:p>
    <w:p w14:paraId="16411C14">
      <w:pPr>
        <w:pStyle w:val="38"/>
        <w:spacing w:before="360" w:after="360"/>
      </w:pPr>
      <w:bookmarkStart w:id="10" w:name="_Toc475694824"/>
      <w:r>
        <w:rPr>
          <w:rFonts w:hint="eastAsia"/>
        </w:rPr>
        <w:t>引</w:t>
      </w:r>
      <w:r>
        <w:rPr>
          <w:rFonts w:hAnsi="黑体"/>
        </w:rPr>
        <w:t>  </w:t>
      </w:r>
      <w:r>
        <w:rPr>
          <w:rFonts w:hint="eastAsia"/>
        </w:rPr>
        <w:t>言</w:t>
      </w:r>
      <w:bookmarkEnd w:id="10"/>
    </w:p>
    <w:p w14:paraId="0D21BF01">
      <w:pPr>
        <w:ind w:firstLine="420" w:firstLineChars="200"/>
        <w:rPr>
          <w:rFonts w:hint="eastAsia" w:ascii="宋体" w:hAnsi="宋体"/>
          <w:szCs w:val="28"/>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pgNumType w:fmt="upperRoman" w:start="1"/>
          <w:cols w:space="720" w:num="1"/>
          <w:docGrid w:type="lines" w:linePitch="312" w:charSpace="0"/>
        </w:sectPr>
      </w:pPr>
      <w:r>
        <w:rPr>
          <w:rFonts w:hint="eastAsia" w:ascii="宋体" w:hAnsi="宋体"/>
          <w:szCs w:val="28"/>
        </w:rPr>
        <w:t>为响应人民群众对社区公共文化服务的需求，充分发挥公共文化服务在实现好、维护好、发展好人民群众基本文化权益方面的重要作用，指导社区公共文化服务体系构建、社区公共文化内容建设，促进社区公共文化服务标准化建设与标准化服务，特制定本标准。</w:t>
      </w:r>
    </w:p>
    <w:p w14:paraId="79453FB5">
      <w:pPr>
        <w:pStyle w:val="23"/>
      </w:pPr>
      <w:r>
        <w:rPr>
          <w:rFonts w:hint="eastAsia"/>
        </w:rPr>
        <w:t>社区公共文化服务通用要求</w:t>
      </w:r>
    </w:p>
    <w:p w14:paraId="1F478061">
      <w:pPr>
        <w:pStyle w:val="20"/>
        <w:spacing w:before="312" w:after="312"/>
        <w:ind w:left="0"/>
        <w:rPr>
          <w:szCs w:val="21"/>
        </w:rPr>
      </w:pPr>
      <w:bookmarkStart w:id="11" w:name="_Toc435002316"/>
      <w:bookmarkStart w:id="12" w:name="_Toc435084768"/>
      <w:bookmarkStart w:id="13" w:name="_Toc435084750"/>
      <w:r>
        <w:rPr>
          <w:rFonts w:hint="eastAsia"/>
          <w:szCs w:val="21"/>
        </w:rPr>
        <w:t>范围</w:t>
      </w:r>
      <w:bookmarkEnd w:id="11"/>
      <w:bookmarkEnd w:id="12"/>
      <w:bookmarkEnd w:id="13"/>
    </w:p>
    <w:p w14:paraId="5B676024">
      <w:pPr>
        <w:pStyle w:val="17"/>
        <w:rPr>
          <w:szCs w:val="21"/>
        </w:rPr>
      </w:pPr>
      <w:r>
        <w:rPr>
          <w:rFonts w:hint="eastAsia"/>
          <w:szCs w:val="21"/>
        </w:rPr>
        <w:t>本规范规定了社区公共文化服务的总体要求、服务内容、服务</w:t>
      </w:r>
      <w:r>
        <w:rPr>
          <w:rFonts w:hint="eastAsia"/>
          <w:szCs w:val="21"/>
          <w:lang w:eastAsia="zh-CN"/>
        </w:rPr>
        <w:t>提供</w:t>
      </w:r>
      <w:r>
        <w:rPr>
          <w:rFonts w:hint="eastAsia"/>
          <w:szCs w:val="21"/>
        </w:rPr>
        <w:t>、服务保障和服务评价与改进。</w:t>
      </w:r>
    </w:p>
    <w:p w14:paraId="0EC3F407">
      <w:pPr>
        <w:pStyle w:val="17"/>
        <w:rPr>
          <w:szCs w:val="21"/>
        </w:rPr>
      </w:pPr>
      <w:r>
        <w:rPr>
          <w:rFonts w:hint="eastAsia"/>
          <w:szCs w:val="21"/>
        </w:rPr>
        <w:t>本文件适用于</w:t>
      </w:r>
      <w:r>
        <w:rPr>
          <w:rFonts w:hint="eastAsia"/>
          <w:szCs w:val="21"/>
          <w:lang w:eastAsia="zh-CN"/>
        </w:rPr>
        <w:t>城乡</w:t>
      </w:r>
      <w:r>
        <w:rPr>
          <w:rFonts w:hint="eastAsia"/>
          <w:szCs w:val="21"/>
        </w:rPr>
        <w:t>社区及其辖区开展公共文化服务。</w:t>
      </w:r>
    </w:p>
    <w:p w14:paraId="71406492">
      <w:pPr>
        <w:pStyle w:val="20"/>
        <w:spacing w:before="312" w:after="312"/>
        <w:ind w:left="0"/>
        <w:rPr>
          <w:szCs w:val="21"/>
        </w:rPr>
      </w:pPr>
      <w:bookmarkStart w:id="14" w:name="_Toc435002318"/>
      <w:bookmarkEnd w:id="14"/>
      <w:bookmarkStart w:id="15" w:name="_Toc435084752"/>
      <w:bookmarkEnd w:id="15"/>
      <w:bookmarkStart w:id="16" w:name="_Toc435084769"/>
      <w:bookmarkStart w:id="17" w:name="_Toc435002317"/>
      <w:bookmarkStart w:id="18" w:name="_Toc435084751"/>
      <w:bookmarkStart w:id="19" w:name="_Toc435084770"/>
      <w:r>
        <w:rPr>
          <w:rFonts w:hint="eastAsia"/>
          <w:szCs w:val="21"/>
        </w:rPr>
        <w:t>规范性引用文件</w:t>
      </w:r>
      <w:bookmarkEnd w:id="16"/>
      <w:bookmarkEnd w:id="17"/>
      <w:bookmarkEnd w:id="18"/>
    </w:p>
    <w:p w14:paraId="2E6D1651">
      <w:pPr>
        <w:pStyle w:val="17"/>
        <w:rPr>
          <w:rFonts w:hint="eastAsia"/>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42BCF5E">
      <w:pPr>
        <w:pStyle w:val="17"/>
        <w:rPr>
          <w:rFonts w:hint="eastAsia"/>
          <w:szCs w:val="21"/>
        </w:rPr>
      </w:pPr>
      <w:r>
        <w:rPr>
          <w:rFonts w:hint="eastAsia"/>
          <w:szCs w:val="21"/>
        </w:rPr>
        <w:t>GB/T 36309-2018《公共文化资源分类》</w:t>
      </w:r>
    </w:p>
    <w:p w14:paraId="3F7FE0C2">
      <w:pPr>
        <w:pStyle w:val="17"/>
        <w:rPr>
          <w:szCs w:val="21"/>
        </w:rPr>
      </w:pPr>
      <w:r>
        <w:rPr>
          <w:rFonts w:hint="eastAsia"/>
          <w:szCs w:val="21"/>
        </w:rPr>
        <w:t>GB/T 10001.1 公共信息图形符号 第1部分:通用符号</w:t>
      </w:r>
    </w:p>
    <w:p w14:paraId="27DE51A3">
      <w:pPr>
        <w:pStyle w:val="17"/>
        <w:rPr>
          <w:szCs w:val="21"/>
        </w:rPr>
      </w:pPr>
      <w:bookmarkStart w:id="20" w:name="OLE_LINK3"/>
      <w:r>
        <w:rPr>
          <w:rFonts w:hint="eastAsia"/>
          <w:szCs w:val="21"/>
        </w:rPr>
        <w:t>GB/T 10001.9</w:t>
      </w:r>
      <w:bookmarkEnd w:id="20"/>
      <w:r>
        <w:rPr>
          <w:rFonts w:hint="eastAsia"/>
          <w:szCs w:val="21"/>
        </w:rPr>
        <w:t xml:space="preserve"> 标志用公共信息图形符号 第9部分：无障碍设施符号</w:t>
      </w:r>
    </w:p>
    <w:p w14:paraId="5AE30138">
      <w:pPr>
        <w:pStyle w:val="17"/>
        <w:rPr>
          <w:szCs w:val="21"/>
        </w:rPr>
      </w:pPr>
      <w:r>
        <w:rPr>
          <w:rFonts w:hint="eastAsia"/>
          <w:szCs w:val="21"/>
        </w:rPr>
        <w:t>GB 50763-2012 无障碍设计规范</w:t>
      </w:r>
    </w:p>
    <w:p w14:paraId="4DC2D313">
      <w:pPr>
        <w:pStyle w:val="20"/>
        <w:spacing w:before="312" w:after="312"/>
        <w:ind w:left="0"/>
        <w:rPr>
          <w:szCs w:val="21"/>
        </w:rPr>
      </w:pPr>
      <w:r>
        <w:rPr>
          <w:rFonts w:hint="eastAsia"/>
          <w:szCs w:val="21"/>
        </w:rPr>
        <w:t>术语和定义</w:t>
      </w:r>
      <w:bookmarkEnd w:id="19"/>
    </w:p>
    <w:p w14:paraId="4A78D7FC">
      <w:pPr>
        <w:pStyle w:val="17"/>
        <w:rPr>
          <w:szCs w:val="21"/>
        </w:rPr>
      </w:pPr>
      <w:r>
        <w:rPr>
          <w:rFonts w:hint="eastAsia"/>
          <w:szCs w:val="21"/>
        </w:rPr>
        <w:t>下列术语和定义适用于本文件。</w:t>
      </w:r>
    </w:p>
    <w:p w14:paraId="5BA9812A">
      <w:pPr>
        <w:pStyle w:val="19"/>
        <w:numPr>
          <w:ilvl w:val="1"/>
          <w:numId w:val="9"/>
        </w:numPr>
        <w:spacing w:before="156" w:after="156"/>
      </w:pPr>
      <w:bookmarkStart w:id="21" w:name="_Toc355339449"/>
    </w:p>
    <w:p w14:paraId="0C677E02">
      <w:pPr>
        <w:pStyle w:val="17"/>
        <w:ind w:firstLine="422"/>
        <w:rPr>
          <w:rFonts w:hint="eastAsia"/>
          <w:b/>
          <w:bCs/>
          <w:szCs w:val="21"/>
        </w:rPr>
      </w:pPr>
      <w:r>
        <w:rPr>
          <w:rFonts w:hint="eastAsia"/>
          <w:b/>
          <w:bCs/>
          <w:szCs w:val="21"/>
        </w:rPr>
        <w:t>社区公共文化服务  Community public cultural services</w:t>
      </w:r>
    </w:p>
    <w:p w14:paraId="694B4C40">
      <w:pPr>
        <w:pStyle w:val="17"/>
        <w:rPr>
          <w:szCs w:val="21"/>
        </w:rPr>
      </w:pPr>
      <w:r>
        <w:rPr>
          <w:rFonts w:hint="eastAsia"/>
          <w:szCs w:val="21"/>
        </w:rPr>
        <w:t>在社区</w:t>
      </w:r>
      <w:r>
        <w:rPr>
          <w:rFonts w:hint="eastAsia" w:cs="宋体"/>
          <w:szCs w:val="24"/>
        </w:rPr>
        <w:t>范围</w:t>
      </w:r>
      <w:r>
        <w:rPr>
          <w:rFonts w:hint="eastAsia"/>
          <w:szCs w:val="21"/>
        </w:rPr>
        <w:t>中，由政府主导、社会力量参与，以满足公民基本文化需求为主要目的，提供的公共文化设施、文化产品、文化活动，以及其他相关服务。</w:t>
      </w:r>
    </w:p>
    <w:p w14:paraId="158C4E88">
      <w:pPr>
        <w:pStyle w:val="19"/>
        <w:numPr>
          <w:ilvl w:val="1"/>
          <w:numId w:val="9"/>
        </w:numPr>
        <w:spacing w:before="156" w:after="156"/>
        <w:rPr>
          <w:b/>
          <w:bCs/>
        </w:rPr>
      </w:pPr>
    </w:p>
    <w:p w14:paraId="1EECB9C8">
      <w:pPr>
        <w:pStyle w:val="17"/>
        <w:ind w:firstLine="422"/>
        <w:rPr>
          <w:rFonts w:hint="eastAsia" w:eastAsia="宋体"/>
          <w:b/>
          <w:bCs/>
          <w:szCs w:val="21"/>
          <w:lang w:val="en-US" w:eastAsia="zh-CN"/>
        </w:rPr>
      </w:pPr>
      <w:r>
        <w:rPr>
          <w:rFonts w:hint="eastAsia"/>
          <w:b/>
          <w:bCs/>
          <w:szCs w:val="21"/>
        </w:rPr>
        <w:t>社区公共文化产品</w:t>
      </w:r>
      <w:r>
        <w:rPr>
          <w:rFonts w:hint="eastAsia"/>
          <w:b/>
          <w:bCs/>
          <w:szCs w:val="21"/>
          <w:lang w:val="en-US" w:eastAsia="zh-CN"/>
        </w:rPr>
        <w:t xml:space="preserve"> </w:t>
      </w:r>
      <w:r>
        <w:rPr>
          <w:rFonts w:hint="eastAsia"/>
          <w:b/>
          <w:bCs/>
          <w:szCs w:val="21"/>
        </w:rPr>
        <w:t xml:space="preserve"> Community public cultural products</w:t>
      </w:r>
    </w:p>
    <w:p w14:paraId="55502847">
      <w:pPr>
        <w:pStyle w:val="17"/>
        <w:rPr>
          <w:rFonts w:hint="eastAsia"/>
          <w:szCs w:val="21"/>
        </w:rPr>
      </w:pPr>
      <w:r>
        <w:rPr>
          <w:rFonts w:hint="eastAsia"/>
          <w:szCs w:val="21"/>
        </w:rPr>
        <w:t>包括但不限于图书、音像资料、艺术品展览、数字文化资源、公共演出、教育培训资料及文化体验活动等，具备传播知识、丰富精神生活、促进文化交流等功能，是社区公共文化服务的重要组成部分。</w:t>
      </w:r>
    </w:p>
    <w:p w14:paraId="2B337B2D">
      <w:pPr>
        <w:pStyle w:val="19"/>
        <w:bidi w:val="0"/>
        <w:rPr>
          <w:rFonts w:hint="eastAsia"/>
        </w:rPr>
      </w:pPr>
    </w:p>
    <w:p w14:paraId="30AE8DDE">
      <w:pPr>
        <w:pStyle w:val="17"/>
        <w:ind w:firstLine="422"/>
        <w:rPr>
          <w:b/>
          <w:bCs/>
          <w:szCs w:val="21"/>
        </w:rPr>
      </w:pPr>
      <w:r>
        <w:rPr>
          <w:rFonts w:hint="eastAsia"/>
          <w:b/>
          <w:bCs/>
          <w:szCs w:val="21"/>
        </w:rPr>
        <w:t>社区公共文化服务设施  Community public cultural service facilities</w:t>
      </w:r>
    </w:p>
    <w:p w14:paraId="7853D904">
      <w:pPr>
        <w:pStyle w:val="17"/>
        <w:rPr>
          <w:szCs w:val="21"/>
        </w:rPr>
      </w:pPr>
      <w:r>
        <w:rPr>
          <w:rFonts w:hint="eastAsia"/>
          <w:szCs w:val="21"/>
        </w:rPr>
        <w:t>为社区居民提供</w:t>
      </w:r>
      <w:r>
        <w:rPr>
          <w:rFonts w:hint="eastAsia"/>
          <w:szCs w:val="21"/>
          <w:lang w:eastAsia="zh-CN"/>
        </w:rPr>
        <w:t>公共</w:t>
      </w:r>
      <w:r>
        <w:rPr>
          <w:rFonts w:hint="eastAsia"/>
          <w:szCs w:val="21"/>
        </w:rPr>
        <w:t>文化服务的场所和设备。</w:t>
      </w:r>
    </w:p>
    <w:p w14:paraId="1242FDA6">
      <w:pPr>
        <w:pStyle w:val="47"/>
      </w:pPr>
      <w:r>
        <w:rPr>
          <w:rFonts w:hint="eastAsia"/>
        </w:rPr>
        <w:t>包括社区文化服务中心、图书馆、文化馆、博物馆、美术馆、影剧院、</w:t>
      </w:r>
      <w:r>
        <w:rPr>
          <w:rFonts w:hint="eastAsia"/>
          <w:lang w:eastAsia="zh-CN"/>
        </w:rPr>
        <w:t>体育设施</w:t>
      </w:r>
      <w:r>
        <w:rPr>
          <w:rFonts w:hint="eastAsia"/>
        </w:rPr>
        <w:t>等。</w:t>
      </w:r>
    </w:p>
    <w:p w14:paraId="220034E7">
      <w:pPr>
        <w:pStyle w:val="19"/>
        <w:bidi w:val="0"/>
      </w:pPr>
    </w:p>
    <w:p w14:paraId="4C12DC6B">
      <w:pPr>
        <w:pStyle w:val="17"/>
        <w:ind w:firstLine="422"/>
        <w:rPr>
          <w:b/>
          <w:bCs/>
          <w:szCs w:val="21"/>
        </w:rPr>
      </w:pPr>
      <w:r>
        <w:rPr>
          <w:rFonts w:hint="eastAsia"/>
          <w:b/>
          <w:bCs/>
          <w:szCs w:val="21"/>
        </w:rPr>
        <w:t>社区文化服务中心  Community Cultural Service Center</w:t>
      </w:r>
    </w:p>
    <w:p w14:paraId="28F70278">
      <w:pPr>
        <w:pStyle w:val="17"/>
        <w:rPr>
          <w:szCs w:val="21"/>
        </w:rPr>
      </w:pPr>
      <w:r>
        <w:rPr>
          <w:rFonts w:hint="eastAsia"/>
          <w:szCs w:val="21"/>
        </w:rPr>
        <w:t>集文化娱乐、知识传播、教育培训等多种功能于一体</w:t>
      </w:r>
      <w:r>
        <w:rPr>
          <w:rFonts w:hint="eastAsia"/>
          <w:szCs w:val="21"/>
          <w:lang w:eastAsia="zh-CN"/>
        </w:rPr>
        <w:t>，为当地群众提供图书借阅、文体活动、科学普及、健康教育、文艺演出的公共文化服务场所。</w:t>
      </w:r>
    </w:p>
    <w:p w14:paraId="30C35F1E">
      <w:pPr>
        <w:pStyle w:val="47"/>
        <w:rPr>
          <w:rFonts w:hint="eastAsia"/>
        </w:rPr>
      </w:pPr>
      <w:r>
        <w:rPr>
          <w:rFonts w:hint="eastAsia"/>
        </w:rPr>
        <w:t>是社区公共文化服务的核心设施之一。</w:t>
      </w:r>
    </w:p>
    <w:p w14:paraId="711D3005">
      <w:pPr>
        <w:pStyle w:val="19"/>
        <w:numPr>
          <w:ilvl w:val="1"/>
          <w:numId w:val="9"/>
        </w:numPr>
        <w:spacing w:before="156" w:after="156"/>
      </w:pPr>
    </w:p>
    <w:p w14:paraId="7167548E">
      <w:pPr>
        <w:pStyle w:val="17"/>
        <w:ind w:firstLine="422"/>
        <w:rPr>
          <w:b/>
          <w:bCs/>
          <w:szCs w:val="21"/>
        </w:rPr>
      </w:pPr>
      <w:r>
        <w:rPr>
          <w:rFonts w:hint="eastAsia"/>
          <w:b/>
          <w:bCs/>
          <w:szCs w:val="21"/>
        </w:rPr>
        <w:t>社区文化专员  Community cultural staff</w:t>
      </w:r>
    </w:p>
    <w:p w14:paraId="00FE1307">
      <w:pPr>
        <w:pStyle w:val="17"/>
        <w:rPr>
          <w:rFonts w:hint="eastAsia"/>
          <w:szCs w:val="21"/>
          <w:lang w:val="en-US" w:eastAsia="zh-CN"/>
        </w:rPr>
      </w:pPr>
      <w:r>
        <w:rPr>
          <w:rFonts w:hint="eastAsia"/>
          <w:szCs w:val="21"/>
        </w:rPr>
        <w:t>在社区从事公共文化设施管理、培育群众文体团队、开展文体活动等服务的专职或兼职文化工作的人员。</w:t>
      </w:r>
    </w:p>
    <w:bookmarkEnd w:id="21"/>
    <w:p w14:paraId="72B0BF82">
      <w:pPr>
        <w:pStyle w:val="20"/>
        <w:spacing w:before="312" w:after="312"/>
        <w:ind w:left="0"/>
        <w:rPr>
          <w:szCs w:val="21"/>
        </w:rPr>
      </w:pPr>
      <w:r>
        <w:rPr>
          <w:rFonts w:hint="eastAsia"/>
          <w:szCs w:val="21"/>
        </w:rPr>
        <w:t>总体要求</w:t>
      </w:r>
    </w:p>
    <w:p w14:paraId="5025BAC8">
      <w:pPr>
        <w:pStyle w:val="19"/>
        <w:numPr>
          <w:ilvl w:val="1"/>
          <w:numId w:val="10"/>
        </w:numPr>
        <w:spacing w:beforeLines="0" w:afterLines="0"/>
        <w:jc w:val="both"/>
        <w:rPr>
          <w:rFonts w:hint="eastAsia" w:ascii="宋体" w:hAnsi="宋体" w:eastAsia="宋体"/>
        </w:rPr>
      </w:pPr>
      <w:r>
        <w:rPr>
          <w:rFonts w:hint="eastAsia" w:ascii="宋体" w:hAnsi="宋体" w:eastAsia="宋体"/>
        </w:rPr>
        <w:t>应坚持党建引领、政府主导的原则，以社会主义核心价值观为引领，促进社区党建工作、居民共建共治与基本公共文化服务融合发展。</w:t>
      </w:r>
    </w:p>
    <w:p w14:paraId="122D1EEE">
      <w:pPr>
        <w:pStyle w:val="19"/>
        <w:numPr>
          <w:ilvl w:val="1"/>
          <w:numId w:val="10"/>
        </w:numPr>
        <w:spacing w:beforeLines="0" w:afterLines="0"/>
        <w:jc w:val="both"/>
        <w:rPr>
          <w:rFonts w:hint="eastAsia" w:ascii="宋体" w:hAnsi="宋体" w:eastAsia="宋体"/>
        </w:rPr>
      </w:pPr>
      <w:r>
        <w:rPr>
          <w:rFonts w:hint="eastAsia" w:ascii="宋体" w:hAnsi="宋体" w:eastAsia="宋体"/>
        </w:rPr>
        <w:t>应以人民为中心，不断提升公共文化服务的广泛性和普及型，最大限度地惠及广大</w:t>
      </w:r>
      <w:r>
        <w:rPr>
          <w:rFonts w:hint="eastAsia" w:ascii="宋体" w:hAnsi="宋体" w:eastAsia="宋体"/>
          <w:lang w:eastAsia="zh-CN"/>
        </w:rPr>
        <w:t>社区居民</w:t>
      </w:r>
      <w:r>
        <w:rPr>
          <w:rFonts w:hint="eastAsia" w:ascii="宋体" w:hAnsi="宋体" w:eastAsia="宋体"/>
        </w:rPr>
        <w:t>。</w:t>
      </w:r>
    </w:p>
    <w:p w14:paraId="64153C77">
      <w:pPr>
        <w:pStyle w:val="19"/>
        <w:bidi w:val="0"/>
        <w:rPr>
          <w:rFonts w:hint="eastAsia" w:ascii="宋体" w:hAnsi="宋体" w:eastAsia="宋体" w:cs="宋体"/>
        </w:rPr>
      </w:pPr>
      <w:r>
        <w:rPr>
          <w:rFonts w:hint="eastAsia" w:ascii="宋体" w:hAnsi="宋体" w:eastAsia="宋体" w:cs="宋体"/>
        </w:rPr>
        <w:t>提升公共文化服务的品质和内涵，满足居民日益增长的精神文化需求</w:t>
      </w:r>
      <w:r>
        <w:rPr>
          <w:rFonts w:hint="eastAsia" w:ascii="宋体" w:hAnsi="宋体" w:cs="宋体"/>
          <w:lang w:eastAsia="zh-CN"/>
        </w:rPr>
        <w:t>。</w:t>
      </w:r>
    </w:p>
    <w:p w14:paraId="516BE1BF">
      <w:pPr>
        <w:pStyle w:val="19"/>
        <w:bidi w:val="0"/>
        <w:rPr>
          <w:rFonts w:hint="eastAsia" w:ascii="宋体" w:hAnsi="宋体" w:eastAsia="宋体" w:cs="宋体"/>
        </w:rPr>
      </w:pPr>
      <w:r>
        <w:rPr>
          <w:rFonts w:hint="eastAsia" w:ascii="宋体" w:hAnsi="宋体" w:eastAsia="宋体" w:cs="宋体"/>
        </w:rPr>
        <w:t>公共文化服务的均等化，确保所有居民都能享受到公平、便捷、高质量的文化服务。</w:t>
      </w:r>
    </w:p>
    <w:p w14:paraId="50C62E9D">
      <w:pPr>
        <w:pStyle w:val="19"/>
        <w:numPr>
          <w:ilvl w:val="1"/>
          <w:numId w:val="10"/>
        </w:numPr>
        <w:spacing w:beforeLines="0" w:afterLines="0"/>
        <w:jc w:val="both"/>
        <w:rPr>
          <w:rFonts w:hint="eastAsia" w:ascii="宋体" w:hAnsi="宋体" w:eastAsia="宋体"/>
        </w:rPr>
      </w:pPr>
      <w:r>
        <w:rPr>
          <w:rFonts w:hint="eastAsia" w:ascii="宋体" w:hAnsi="宋体" w:eastAsia="宋体"/>
        </w:rPr>
        <w:t>应鼓励社会力量参与社区公共文化服务建设，提升公共文化服务的质量和水平。</w:t>
      </w:r>
    </w:p>
    <w:p w14:paraId="4BCD7DC0">
      <w:pPr>
        <w:pStyle w:val="19"/>
        <w:numPr>
          <w:ilvl w:val="1"/>
          <w:numId w:val="10"/>
        </w:numPr>
        <w:spacing w:beforeLines="0" w:afterLines="0"/>
        <w:jc w:val="both"/>
        <w:rPr>
          <w:rFonts w:hint="eastAsia" w:ascii="宋体" w:hAnsi="宋体" w:eastAsia="宋体"/>
        </w:rPr>
      </w:pPr>
      <w:r>
        <w:rPr>
          <w:rFonts w:hint="eastAsia" w:ascii="宋体" w:hAnsi="宋体" w:eastAsia="宋体"/>
        </w:rPr>
        <w:t>应挖掘社区文化资源，培育具有社区特色的公共文化服务内容。</w:t>
      </w:r>
    </w:p>
    <w:p w14:paraId="7AC3D85E">
      <w:pPr>
        <w:pStyle w:val="19"/>
        <w:numPr>
          <w:ilvl w:val="1"/>
          <w:numId w:val="10"/>
        </w:numPr>
        <w:spacing w:beforeLines="0" w:afterLines="0"/>
        <w:jc w:val="both"/>
        <w:rPr>
          <w:rFonts w:hint="eastAsia" w:ascii="宋体" w:hAnsi="宋体" w:eastAsia="宋体"/>
        </w:rPr>
      </w:pPr>
      <w:r>
        <w:rPr>
          <w:rFonts w:hint="eastAsia" w:ascii="宋体" w:hAnsi="宋体" w:eastAsia="宋体"/>
        </w:rPr>
        <w:t>应积极整合社区内外部的文化资源，加快文化资源的互联互通、共生共融。</w:t>
      </w:r>
    </w:p>
    <w:p w14:paraId="05DD046F">
      <w:pPr>
        <w:pStyle w:val="40"/>
      </w:pPr>
      <w:r>
        <w:rPr>
          <w:rFonts w:hint="eastAsia"/>
          <w:lang w:eastAsia="zh-CN"/>
        </w:rPr>
        <w:t>应</w:t>
      </w:r>
      <w:r>
        <w:rPr>
          <w:rFonts w:hint="eastAsia"/>
        </w:rPr>
        <w:t>制订社区公共文化服务的服务计划，广泛征求居民意见，结合居民文化需求，符合上级主管部门的要求。</w:t>
      </w:r>
    </w:p>
    <w:p w14:paraId="569B7339">
      <w:pPr>
        <w:pStyle w:val="40"/>
        <w:rPr>
          <w:rFonts w:hint="eastAsia"/>
        </w:rPr>
      </w:pPr>
      <w:r>
        <w:rPr>
          <w:rFonts w:hint="eastAsia"/>
          <w:lang w:eastAsia="zh-CN"/>
        </w:rPr>
        <w:t>应</w:t>
      </w:r>
      <w:r>
        <w:rPr>
          <w:rFonts w:hint="eastAsia"/>
        </w:rPr>
        <w:t>加强社区公共文化服务宣传推广工作，吸引更多居民参与，提升社区文化活力</w:t>
      </w:r>
      <w:r>
        <w:rPr>
          <w:rFonts w:hint="eastAsia"/>
          <w:lang w:eastAsia="zh-CN"/>
        </w:rPr>
        <w:t>。</w:t>
      </w:r>
    </w:p>
    <w:p w14:paraId="1D9AD11C">
      <w:pPr>
        <w:pStyle w:val="19"/>
        <w:bidi w:val="0"/>
        <w:rPr>
          <w:rFonts w:hint="eastAsia"/>
          <w:lang w:eastAsia="zh-CN"/>
        </w:rPr>
      </w:pPr>
      <w:r>
        <w:rPr>
          <w:rFonts w:hint="eastAsia"/>
          <w:lang w:val="en-US" w:eastAsia="zh-CN"/>
        </w:rPr>
        <w:t>应</w:t>
      </w:r>
      <w:r>
        <w:rPr>
          <w:rFonts w:hint="eastAsia"/>
          <w:lang w:eastAsia="zh-CN"/>
        </w:rPr>
        <w:t>拓展服务范围</w:t>
      </w:r>
      <w:r>
        <w:rPr>
          <w:rFonts w:hint="eastAsia"/>
          <w:lang w:val="en-US" w:eastAsia="zh-CN"/>
        </w:rPr>
        <w:t>,</w:t>
      </w:r>
      <w:r>
        <w:rPr>
          <w:rFonts w:hint="eastAsia"/>
          <w:lang w:eastAsia="zh-CN"/>
        </w:rPr>
        <w:t>将公共文化服务延伸到社区各个角落，特别是关注老年人、未成年人、残疾人等特殊群体的文化需求。</w:t>
      </w:r>
    </w:p>
    <w:p w14:paraId="0BE29D6B">
      <w:pPr>
        <w:pStyle w:val="19"/>
        <w:bidi w:val="0"/>
        <w:rPr>
          <w:rFonts w:hint="eastAsia"/>
          <w:lang w:eastAsia="zh-CN"/>
        </w:rPr>
      </w:pPr>
      <w:r>
        <w:rPr>
          <w:rFonts w:hint="eastAsia"/>
          <w:lang w:eastAsia="zh-CN"/>
        </w:rPr>
        <w:t>建立健全管理体系，明确职责分工，加强组织协调和监督。</w:t>
      </w:r>
    </w:p>
    <w:p w14:paraId="2B9757C8">
      <w:pPr>
        <w:pStyle w:val="19"/>
        <w:bidi w:val="0"/>
        <w:rPr>
          <w:rFonts w:hint="eastAsia"/>
          <w:lang w:eastAsia="zh-CN"/>
        </w:rPr>
      </w:pPr>
      <w:r>
        <w:rPr>
          <w:rFonts w:hint="eastAsia"/>
          <w:lang w:eastAsia="zh-CN"/>
        </w:rPr>
        <w:t>建立评价机制，定期评估服务效果，及时了解问题。</w:t>
      </w:r>
    </w:p>
    <w:p w14:paraId="6EF884A0">
      <w:pPr>
        <w:pStyle w:val="19"/>
        <w:bidi w:val="0"/>
        <w:rPr>
          <w:rFonts w:hint="eastAsia"/>
          <w:lang w:eastAsia="zh-CN"/>
        </w:rPr>
      </w:pPr>
      <w:r>
        <w:rPr>
          <w:rFonts w:hint="eastAsia"/>
          <w:lang w:eastAsia="zh-CN"/>
        </w:rPr>
        <w:t>根据评价结果和居民需求，优化服务内容方式，加强创新实践，推动服务持续发展。</w:t>
      </w:r>
    </w:p>
    <w:p w14:paraId="563947B9">
      <w:pPr>
        <w:pStyle w:val="19"/>
        <w:bidi w:val="0"/>
        <w:rPr>
          <w:rFonts w:hint="eastAsia"/>
          <w:lang w:eastAsia="zh-CN"/>
        </w:rPr>
      </w:pPr>
      <w:r>
        <w:rPr>
          <w:rFonts w:hint="eastAsia"/>
          <w:lang w:eastAsia="zh-CN"/>
        </w:rPr>
        <w:t>建立退出机制</w:t>
      </w:r>
      <w:r>
        <w:rPr>
          <w:rFonts w:hint="eastAsia"/>
          <w:lang w:val="en-US" w:eastAsia="zh-CN"/>
        </w:rPr>
        <w:t>,</w:t>
      </w:r>
      <w:r>
        <w:rPr>
          <w:rFonts w:hint="eastAsia"/>
          <w:lang w:eastAsia="zh-CN"/>
        </w:rPr>
        <w:t>结合服务计划、监督及评价结果，对不符合要求、未达标准等情形的服务主体启动退出程序。</w:t>
      </w:r>
    </w:p>
    <w:p w14:paraId="614DDE75">
      <w:pPr>
        <w:pStyle w:val="20"/>
        <w:spacing w:before="312" w:after="312"/>
        <w:ind w:left="0"/>
      </w:pPr>
      <w:r>
        <w:rPr>
          <w:rFonts w:hint="eastAsia"/>
        </w:rPr>
        <w:t>服务内容</w:t>
      </w:r>
    </w:p>
    <w:p w14:paraId="4201C6D5">
      <w:pPr>
        <w:pStyle w:val="19"/>
        <w:spacing w:before="156" w:after="156"/>
      </w:pPr>
      <w:r>
        <w:rPr>
          <w:rFonts w:hint="eastAsia"/>
        </w:rPr>
        <w:t>文化产品和活动</w:t>
      </w:r>
    </w:p>
    <w:p w14:paraId="749DE2EF">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应组织开展各类文艺演出</w:t>
      </w:r>
      <w:r>
        <w:rPr>
          <w:rFonts w:hint="eastAsia" w:asciiTheme="minorEastAsia" w:hAnsiTheme="minorEastAsia" w:eastAsiaTheme="minorEastAsia"/>
          <w:lang w:eastAsia="zh-CN"/>
        </w:rPr>
        <w:t>和</w:t>
      </w:r>
      <w:r>
        <w:rPr>
          <w:rFonts w:hint="eastAsia" w:asciiTheme="minorEastAsia" w:hAnsiTheme="minorEastAsia" w:eastAsiaTheme="minorEastAsia"/>
        </w:rPr>
        <w:t>活动，包括音乐、舞蹈、戏剧、曲艺</w:t>
      </w:r>
      <w:r>
        <w:rPr>
          <w:rFonts w:hint="eastAsia" w:asciiTheme="minorEastAsia" w:hAnsiTheme="minorEastAsia" w:eastAsiaTheme="minorEastAsia"/>
          <w:lang w:eastAsia="zh-CN"/>
        </w:rPr>
        <w:t>、以及</w:t>
      </w:r>
      <w:r>
        <w:rPr>
          <w:rFonts w:hint="eastAsia" w:asciiTheme="minorEastAsia" w:hAnsiTheme="minorEastAsia" w:eastAsiaTheme="minorEastAsia"/>
        </w:rPr>
        <w:t>民俗演艺、非遗手艺等，丰富社区居民的文化生活，每月不少于1次。</w:t>
      </w:r>
    </w:p>
    <w:p w14:paraId="7B168639">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应举办各类展览展示活动，包括美术、书法、摄影、民间艺术等，展示社区文化成果和居民才艺，每年不少于2次。</w:t>
      </w:r>
    </w:p>
    <w:p w14:paraId="638468E9">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应开展各类讲座培训活动，包括文化艺术、科普知识、健康养生、职业技能等，提高社区居民的文化素质和生活技能，每年不少于2次。</w:t>
      </w:r>
    </w:p>
    <w:p w14:paraId="2D2A08C9">
      <w:pPr>
        <w:pStyle w:val="21"/>
        <w:numPr>
          <w:ilvl w:val="2"/>
          <w:numId w:val="11"/>
        </w:numPr>
        <w:spacing w:beforeLines="0" w:afterLines="0"/>
        <w:jc w:val="both"/>
        <w:rPr>
          <w:rFonts w:hint="eastAsia"/>
        </w:rPr>
      </w:pPr>
      <w:r>
        <w:rPr>
          <w:rFonts w:hint="eastAsia" w:asciiTheme="minorEastAsia" w:hAnsiTheme="minorEastAsia" w:eastAsiaTheme="minorEastAsia"/>
          <w:lang w:eastAsia="zh-CN"/>
        </w:rPr>
        <w:t>应</w:t>
      </w:r>
      <w:r>
        <w:rPr>
          <w:rFonts w:hint="eastAsia" w:asciiTheme="minorEastAsia" w:hAnsiTheme="minorEastAsia" w:eastAsiaTheme="minorEastAsia"/>
        </w:rPr>
        <w:t>围绕重大主题，组织开展各类文化活动，如政策宣讲</w:t>
      </w:r>
      <w:r>
        <w:rPr>
          <w:rFonts w:hint="eastAsia" w:asciiTheme="minorEastAsia" w:hAnsiTheme="minorEastAsia" w:eastAsiaTheme="minorEastAsia"/>
          <w:lang w:eastAsia="zh-CN"/>
        </w:rPr>
        <w:t>、</w:t>
      </w:r>
      <w:r>
        <w:rPr>
          <w:rFonts w:hint="eastAsia" w:asciiTheme="minorEastAsia" w:hAnsiTheme="minorEastAsia" w:eastAsiaTheme="minorEastAsia"/>
        </w:rPr>
        <w:t>爱国主义教育、环保宣传、法治教育等，增强社区居民的社会责任感。</w:t>
      </w:r>
    </w:p>
    <w:p w14:paraId="7BA3D7EB">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可组织开展各类读书活动，包括图书借阅、读书分享、亲子阅读等，营造良好的读书氛围。</w:t>
      </w:r>
    </w:p>
    <w:p w14:paraId="665B84D5">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可举办各类体育比赛活动，包括篮球、足球、</w:t>
      </w:r>
      <w:r>
        <w:rPr>
          <w:rFonts w:hint="eastAsia" w:asciiTheme="minorEastAsia" w:hAnsiTheme="minorEastAsia" w:eastAsiaTheme="minorEastAsia"/>
          <w:lang w:eastAsia="zh-CN"/>
        </w:rPr>
        <w:t>排球、</w:t>
      </w:r>
      <w:r>
        <w:rPr>
          <w:rFonts w:hint="eastAsia" w:asciiTheme="minorEastAsia" w:hAnsiTheme="minorEastAsia" w:eastAsiaTheme="minorEastAsia"/>
        </w:rPr>
        <w:t>乒乓球、羽毛球</w:t>
      </w:r>
      <w:r>
        <w:rPr>
          <w:rFonts w:hint="eastAsia" w:asciiTheme="minorEastAsia" w:hAnsiTheme="minorEastAsia" w:eastAsiaTheme="minorEastAsia"/>
          <w:lang w:eastAsia="zh-CN"/>
        </w:rPr>
        <w:t>、门球、</w:t>
      </w:r>
      <w:r>
        <w:rPr>
          <w:rFonts w:hint="eastAsia" w:asciiTheme="minorEastAsia" w:hAnsiTheme="minorEastAsia" w:eastAsiaTheme="minorEastAsia"/>
        </w:rPr>
        <w:t>冰雪运动等，增强社区居民的身体素质。</w:t>
      </w:r>
    </w:p>
    <w:p w14:paraId="53804080">
      <w:pPr>
        <w:pStyle w:val="21"/>
        <w:numPr>
          <w:ilvl w:val="2"/>
          <w:numId w:val="11"/>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可结合传统节日，组织开展各类文化活动，如春节联欢、元宵灯会、端午龙舟、中秋赏月等，弘扬传统文化。</w:t>
      </w:r>
    </w:p>
    <w:p w14:paraId="5FA4830A">
      <w:pPr>
        <w:pStyle w:val="21"/>
        <w:numPr>
          <w:ilvl w:val="2"/>
          <w:numId w:val="11"/>
        </w:numPr>
        <w:spacing w:beforeLines="0" w:afterLines="0"/>
        <w:jc w:val="both"/>
        <w:rPr>
          <w:rFonts w:hint="eastAsia"/>
        </w:rPr>
      </w:pPr>
      <w:r>
        <w:rPr>
          <w:rFonts w:hint="eastAsia" w:asciiTheme="minorEastAsia" w:hAnsiTheme="minorEastAsia" w:eastAsiaTheme="minorEastAsia"/>
        </w:rPr>
        <w:t>可设置阅报栏或电子阅报屏，提供时政、“三农”、科普、文化、生活等方面的信息服务。</w:t>
      </w:r>
    </w:p>
    <w:p w14:paraId="1A01074E">
      <w:pPr>
        <w:pStyle w:val="19"/>
        <w:spacing w:before="156" w:after="156"/>
      </w:pPr>
      <w:r>
        <w:rPr>
          <w:rFonts w:hint="eastAsia"/>
        </w:rPr>
        <w:t>文化教育</w:t>
      </w:r>
    </w:p>
    <w:p w14:paraId="616519F2">
      <w:pPr>
        <w:pStyle w:val="21"/>
        <w:numPr>
          <w:ilvl w:val="2"/>
          <w:numId w:val="11"/>
        </w:numPr>
        <w:spacing w:beforeLines="0" w:afterLines="0"/>
        <w:jc w:val="both"/>
        <w:rPr>
          <w:rFonts w:hint="eastAsia"/>
        </w:rPr>
      </w:pPr>
      <w:r>
        <w:rPr>
          <w:rFonts w:hint="eastAsia"/>
        </w:rPr>
        <w:t>可为未成年人提供课外文化教育服务，包括艺术培训、科普教育、阅读指导等，促进未成年人的全面发展。</w:t>
      </w:r>
    </w:p>
    <w:p w14:paraId="22958255">
      <w:pPr>
        <w:pStyle w:val="21"/>
        <w:numPr>
          <w:ilvl w:val="2"/>
          <w:numId w:val="11"/>
        </w:numPr>
        <w:spacing w:beforeLines="0" w:afterLines="0"/>
        <w:jc w:val="both"/>
        <w:rPr>
          <w:rFonts w:hint="eastAsia"/>
        </w:rPr>
      </w:pPr>
      <w:r>
        <w:rPr>
          <w:rFonts w:hint="eastAsia"/>
        </w:rPr>
        <w:t>可为成年人提供文化教育服务，包括职业技能培训、创业指导、继续教育等，提高成年人的就业和创业能力。</w:t>
      </w:r>
    </w:p>
    <w:p w14:paraId="5060170E">
      <w:pPr>
        <w:pStyle w:val="21"/>
        <w:numPr>
          <w:ilvl w:val="2"/>
          <w:numId w:val="11"/>
        </w:numPr>
        <w:spacing w:beforeLines="0" w:afterLines="0"/>
        <w:jc w:val="both"/>
        <w:rPr>
          <w:rFonts w:hint="eastAsia"/>
        </w:rPr>
      </w:pPr>
      <w:r>
        <w:rPr>
          <w:rFonts w:hint="eastAsia"/>
        </w:rPr>
        <w:t>可为老年人提供文化教育服务，包括健康养生、文化娱乐、志愿服务等，丰富老年人的晚年生活。</w:t>
      </w:r>
    </w:p>
    <w:p w14:paraId="46FDAD47">
      <w:pPr>
        <w:pStyle w:val="19"/>
        <w:spacing w:before="156" w:after="156"/>
      </w:pPr>
      <w:r>
        <w:rPr>
          <w:rFonts w:hint="eastAsia"/>
        </w:rPr>
        <w:t>文化传承</w:t>
      </w:r>
    </w:p>
    <w:p w14:paraId="02192ADE">
      <w:pPr>
        <w:pStyle w:val="21"/>
        <w:numPr>
          <w:ilvl w:val="2"/>
          <w:numId w:val="11"/>
        </w:numPr>
        <w:spacing w:beforeLines="0" w:afterLines="0"/>
        <w:jc w:val="both"/>
        <w:rPr>
          <w:rFonts w:hint="eastAsia"/>
        </w:rPr>
      </w:pPr>
      <w:r>
        <w:rPr>
          <w:rFonts w:hint="eastAsia"/>
        </w:rPr>
        <w:t>应弘扬中华优秀传统文化，开展传统文化教育、传统技艺传承等活动，增强社区居民的文化自信。</w:t>
      </w:r>
    </w:p>
    <w:p w14:paraId="18934CB0">
      <w:pPr>
        <w:pStyle w:val="21"/>
        <w:numPr>
          <w:ilvl w:val="2"/>
          <w:numId w:val="11"/>
        </w:numPr>
        <w:spacing w:beforeLines="0" w:afterLines="0"/>
        <w:jc w:val="both"/>
        <w:rPr>
          <w:rFonts w:hint="eastAsia"/>
        </w:rPr>
      </w:pPr>
      <w:r>
        <w:rPr>
          <w:rFonts w:hint="eastAsia"/>
        </w:rPr>
        <w:t>宜挖掘和保护地方文化资源，开展地方文化研究、地方文化展示、地方文化旅游等活动，促进地方文化的传承和发展。</w:t>
      </w:r>
    </w:p>
    <w:p w14:paraId="350C4743">
      <w:pPr>
        <w:pStyle w:val="21"/>
        <w:numPr>
          <w:ilvl w:val="2"/>
          <w:numId w:val="11"/>
        </w:numPr>
        <w:spacing w:beforeLines="0" w:afterLines="0"/>
        <w:ind w:left="284"/>
        <w:jc w:val="both"/>
        <w:outlineLvl w:val="2"/>
        <w:rPr>
          <w:rFonts w:hint="eastAsia" w:ascii="黑体" w:eastAsia="宋体"/>
          <w:sz w:val="21"/>
          <w:szCs w:val="21"/>
          <w:lang w:val="en-US" w:eastAsia="zh-CN" w:bidi="ar-SA"/>
          <w:rPrChange w:id="3" w:author="源 路" w:date="2024-12-08T16:33:00Z">
            <w:rPr>
              <w:rFonts w:ascii="黑体" w:eastAsia="黑体"/>
              <w:sz w:val="21"/>
              <w:szCs w:val="21"/>
              <w:lang w:val="en-US" w:eastAsia="zh-CN" w:bidi="ar-SA"/>
            </w:rPr>
          </w:rPrChange>
        </w:rPr>
        <w:pPrChange w:id="2" w:author="源 路" w:date="2024-12-08T16:33:00Z">
          <w:pPr>
            <w:numPr>
              <w:ilvl w:val="1"/>
              <w:numId w:val="2"/>
            </w:numPr>
            <w:spacing w:beforeLines="50" w:afterLines="50"/>
            <w:ind w:left="284"/>
            <w:outlineLvl w:val="2"/>
          </w:pPr>
        </w:pPrChange>
      </w:pPr>
      <w:r>
        <w:rPr>
          <w:rFonts w:hint="eastAsia" w:ascii="黑体" w:eastAsia="宋体"/>
          <w:sz w:val="21"/>
          <w:szCs w:val="21"/>
          <w:lang w:val="en-US" w:eastAsia="zh-CN" w:bidi="ar-SA"/>
          <w:rPrChange w:id="4" w:author="源 路" w:date="2024-12-08T16:33:00Z">
            <w:rPr>
              <w:rFonts w:ascii="黑体" w:eastAsia="黑体"/>
              <w:sz w:val="21"/>
              <w:szCs w:val="21"/>
              <w:lang w:val="en-US" w:eastAsia="zh-CN" w:bidi="ar-SA"/>
            </w:rPr>
          </w:rPrChange>
        </w:rPr>
        <w:t>宜成为非遗文化展示、交流的空间，培养非物质文化遗产传承人。</w:t>
      </w:r>
    </w:p>
    <w:p w14:paraId="61DB01AF">
      <w:pPr>
        <w:pStyle w:val="19"/>
        <w:spacing w:before="156" w:after="156"/>
      </w:pPr>
      <w:r>
        <w:rPr>
          <w:rFonts w:hint="eastAsia"/>
        </w:rPr>
        <w:t>文化交流</w:t>
      </w:r>
    </w:p>
    <w:p w14:paraId="411C7D14">
      <w:pPr>
        <w:pStyle w:val="21"/>
        <w:numPr>
          <w:ilvl w:val="2"/>
          <w:numId w:val="11"/>
        </w:numPr>
        <w:spacing w:beforeLines="0" w:afterLines="0"/>
        <w:jc w:val="both"/>
        <w:rPr>
          <w:rFonts w:hint="eastAsia"/>
        </w:rPr>
      </w:pPr>
      <w:r>
        <w:rPr>
          <w:rFonts w:hint="eastAsia"/>
          <w:lang w:eastAsia="zh-CN"/>
        </w:rPr>
        <w:t>应</w:t>
      </w:r>
      <w:r>
        <w:rPr>
          <w:rFonts w:hint="eastAsia"/>
        </w:rPr>
        <w:t>组织社区居民开展文化交流活动，促进社区居民之间的文化交流和互动。</w:t>
      </w:r>
    </w:p>
    <w:p w14:paraId="744E03BC">
      <w:pPr>
        <w:pStyle w:val="21"/>
        <w:numPr>
          <w:ilvl w:val="2"/>
          <w:numId w:val="11"/>
        </w:numPr>
        <w:spacing w:beforeLines="0" w:afterLines="0"/>
        <w:jc w:val="both"/>
        <w:rPr>
          <w:rFonts w:hint="eastAsia"/>
        </w:rPr>
      </w:pPr>
      <w:r>
        <w:rPr>
          <w:rFonts w:hint="eastAsia"/>
          <w:lang w:eastAsia="zh-CN"/>
        </w:rPr>
        <w:t>可</w:t>
      </w:r>
      <w:r>
        <w:rPr>
          <w:rFonts w:hint="eastAsia"/>
        </w:rPr>
        <w:t>组织社区居民参与国内外文化交流活动，如文化旅游、文化考察、文化交流演出等，拓宽社区居民的文化视野。</w:t>
      </w:r>
    </w:p>
    <w:p w14:paraId="01D519F0">
      <w:pPr>
        <w:pStyle w:val="21"/>
        <w:numPr>
          <w:ilvl w:val="2"/>
          <w:numId w:val="11"/>
        </w:numPr>
        <w:spacing w:beforeLines="0" w:afterLines="0"/>
        <w:jc w:val="both"/>
        <w:rPr>
          <w:rFonts w:hint="eastAsia"/>
        </w:rPr>
      </w:pPr>
      <w:r>
        <w:rPr>
          <w:rFonts w:hint="eastAsia"/>
        </w:rPr>
        <w:t>宜组织社区与其他社区开展文化交流活动，如文艺汇演、体育比赛、文化展览等，促进社区之间的文化交流和合作</w:t>
      </w:r>
      <w:r>
        <w:rPr>
          <w:rFonts w:hint="eastAsia"/>
          <w:lang w:eastAsia="zh-CN"/>
        </w:rPr>
        <w:t>。</w:t>
      </w:r>
    </w:p>
    <w:p w14:paraId="043920D4">
      <w:pPr>
        <w:pStyle w:val="20"/>
        <w:spacing w:before="312" w:after="312"/>
        <w:ind w:left="0"/>
        <w:rPr>
          <w:szCs w:val="21"/>
        </w:rPr>
      </w:pPr>
      <w:r>
        <w:rPr>
          <w:rFonts w:hint="eastAsia"/>
          <w:szCs w:val="21"/>
        </w:rPr>
        <w:t>服务设施</w:t>
      </w:r>
    </w:p>
    <w:p w14:paraId="2FE22C56">
      <w:pPr>
        <w:pStyle w:val="19"/>
        <w:spacing w:before="156" w:after="156"/>
      </w:pPr>
      <w:r>
        <w:rPr>
          <w:rFonts w:hint="eastAsia"/>
        </w:rPr>
        <w:t>设施建设</w:t>
      </w:r>
    </w:p>
    <w:p w14:paraId="3E210644">
      <w:pPr>
        <w:pStyle w:val="21"/>
        <w:numPr>
          <w:ilvl w:val="2"/>
          <w:numId w:val="12"/>
        </w:numPr>
        <w:spacing w:beforeLines="0" w:afterLines="0"/>
        <w:jc w:val="both"/>
        <w:rPr>
          <w:rFonts w:hint="eastAsia"/>
        </w:rPr>
      </w:pPr>
      <w:r>
        <w:rPr>
          <w:rFonts w:hint="eastAsia"/>
        </w:rPr>
        <w:t>应</w:t>
      </w:r>
      <w:r>
        <w:rPr>
          <w:rFonts w:hint="eastAsia"/>
          <w:lang w:eastAsia="zh-CN"/>
        </w:rPr>
        <w:t>配备</w:t>
      </w:r>
      <w:r>
        <w:rPr>
          <w:rFonts w:hint="eastAsia"/>
        </w:rPr>
        <w:t>社区文化服务中心</w:t>
      </w:r>
      <w:r>
        <w:rPr>
          <w:rFonts w:hint="eastAsia"/>
          <w:lang w:eastAsia="zh-CN"/>
        </w:rPr>
        <w:t>。</w:t>
      </w:r>
      <w:bookmarkStart w:id="23" w:name="_GoBack"/>
      <w:bookmarkEnd w:id="23"/>
    </w:p>
    <w:p w14:paraId="66395336">
      <w:pPr>
        <w:pStyle w:val="21"/>
        <w:numPr>
          <w:ilvl w:val="2"/>
          <w:numId w:val="12"/>
        </w:numPr>
        <w:spacing w:beforeLines="0" w:afterLines="0"/>
        <w:jc w:val="both"/>
        <w:rPr>
          <w:rFonts w:hint="eastAsia"/>
        </w:rPr>
      </w:pPr>
      <w:r>
        <w:rPr>
          <w:rFonts w:hint="eastAsia"/>
          <w:lang w:val="en-US" w:eastAsia="zh-CN"/>
        </w:rPr>
        <w:t>应</w:t>
      </w:r>
      <w:r>
        <w:rPr>
          <w:rFonts w:hint="eastAsia"/>
        </w:rPr>
        <w:t>设置多功能文化活动室（含图书室）、文体广场、全民健身路径器材、简易音响设备、应急广播系统</w:t>
      </w:r>
      <w:r>
        <w:rPr>
          <w:rFonts w:hint="eastAsia"/>
          <w:lang w:eastAsia="zh-CN"/>
        </w:rPr>
        <w:t>等</w:t>
      </w:r>
      <w:r>
        <w:rPr>
          <w:rFonts w:hint="eastAsia"/>
        </w:rPr>
        <w:t>，面积不低于200平方米</w:t>
      </w:r>
      <w:r>
        <w:rPr>
          <w:rFonts w:hint="eastAsia"/>
          <w:lang w:eastAsia="zh-CN"/>
        </w:rPr>
        <w:t>，</w:t>
      </w:r>
      <w:r>
        <w:rPr>
          <w:rFonts w:hint="eastAsia"/>
        </w:rPr>
        <w:t>每周开放时间不少于40小时。文体广场面积500平方米左右，建设用地不足的社区，可以通过共建方式达到规定的面积要求</w:t>
      </w:r>
      <w:r>
        <w:rPr>
          <w:rFonts w:hint="eastAsia"/>
          <w:lang w:eastAsia="zh-CN"/>
        </w:rPr>
        <w:t>。</w:t>
      </w:r>
    </w:p>
    <w:p w14:paraId="013C7B63">
      <w:pPr>
        <w:pStyle w:val="21"/>
        <w:numPr>
          <w:ilvl w:val="2"/>
          <w:numId w:val="12"/>
        </w:numPr>
        <w:spacing w:beforeLines="0" w:afterLines="0"/>
        <w:jc w:val="both"/>
        <w:rPr>
          <w:rFonts w:hint="eastAsia"/>
        </w:rPr>
      </w:pPr>
      <w:r>
        <w:rPr>
          <w:rFonts w:hint="eastAsia"/>
          <w:lang w:eastAsia="zh-CN"/>
        </w:rPr>
        <w:t>可</w:t>
      </w:r>
      <w:r>
        <w:rPr>
          <w:rFonts w:hint="eastAsia"/>
        </w:rPr>
        <w:t>建设社区</w:t>
      </w:r>
      <w:r>
        <w:rPr>
          <w:rFonts w:hint="eastAsia"/>
          <w:lang w:eastAsia="zh-CN"/>
        </w:rPr>
        <w:t>体育设施</w:t>
      </w:r>
      <w:r>
        <w:rPr>
          <w:rFonts w:hint="eastAsia"/>
        </w:rPr>
        <w:t>，配备健身设施、运动场地等，提供体育锻炼和体育比赛服务。</w:t>
      </w:r>
    </w:p>
    <w:p w14:paraId="5CB79247">
      <w:pPr>
        <w:pStyle w:val="21"/>
        <w:numPr>
          <w:ilvl w:val="2"/>
          <w:numId w:val="12"/>
        </w:numPr>
        <w:spacing w:beforeLines="0" w:afterLines="0"/>
        <w:jc w:val="both"/>
        <w:rPr>
          <w:rFonts w:hint="eastAsia"/>
        </w:rPr>
      </w:pPr>
      <w:r>
        <w:rPr>
          <w:rFonts w:hint="eastAsia"/>
          <w:lang w:eastAsia="zh-CN"/>
        </w:rPr>
        <w:t>可</w:t>
      </w:r>
      <w:r>
        <w:rPr>
          <w:rFonts w:hint="eastAsia"/>
        </w:rPr>
        <w:t>根据实际情况，酌情配备多功能厅、图书阅览室、电子阅览室、培训教室、健身房、舞蹈室、音乐室、美术室等功能室，提供综合性的文化服务。</w:t>
      </w:r>
    </w:p>
    <w:p w14:paraId="3432A1B5">
      <w:pPr>
        <w:pStyle w:val="21"/>
        <w:numPr>
          <w:ilvl w:val="2"/>
          <w:numId w:val="12"/>
        </w:numPr>
        <w:spacing w:beforeLines="0" w:afterLines="0"/>
        <w:jc w:val="both"/>
        <w:rPr>
          <w:rFonts w:hint="eastAsia"/>
        </w:rPr>
      </w:pPr>
      <w:r>
        <w:rPr>
          <w:rFonts w:hint="eastAsia"/>
        </w:rPr>
        <w:t>可建设社区图书馆，配备图书、报刊、杂志、电子图书等阅读资源，提供图书借阅、阅读指导、读书活动等服务。</w:t>
      </w:r>
    </w:p>
    <w:p w14:paraId="0F4D10A1">
      <w:pPr>
        <w:pStyle w:val="21"/>
        <w:numPr>
          <w:ilvl w:val="2"/>
          <w:numId w:val="12"/>
        </w:numPr>
        <w:spacing w:beforeLines="0" w:afterLines="0"/>
        <w:jc w:val="both"/>
        <w:rPr>
          <w:rFonts w:hint="eastAsia"/>
        </w:rPr>
      </w:pPr>
      <w:r>
        <w:rPr>
          <w:rFonts w:hint="eastAsia"/>
        </w:rPr>
        <w:t>可建设社区影剧院，配备放映设备、音响设备、舞台设备等，提供电影放映、文艺演出等服务。</w:t>
      </w:r>
    </w:p>
    <w:p w14:paraId="613C211F">
      <w:pPr>
        <w:pStyle w:val="21"/>
        <w:numPr>
          <w:ilvl w:val="2"/>
          <w:numId w:val="12"/>
        </w:numPr>
        <w:spacing w:beforeLines="0" w:afterLines="0"/>
        <w:jc w:val="both"/>
        <w:rPr>
          <w:rFonts w:hint="eastAsia"/>
        </w:rPr>
      </w:pPr>
      <w:r>
        <w:rPr>
          <w:rFonts w:hint="eastAsia"/>
        </w:rPr>
        <w:t>可建设社区美术馆，展示社区居民的美术作品、书法作品、摄影作品等，提供艺术欣赏和文化交流服务。</w:t>
      </w:r>
    </w:p>
    <w:p w14:paraId="0C93E1B5">
      <w:pPr>
        <w:pStyle w:val="21"/>
        <w:numPr>
          <w:ilvl w:val="2"/>
          <w:numId w:val="12"/>
        </w:numPr>
        <w:spacing w:beforeLines="0" w:afterLines="0"/>
        <w:jc w:val="both"/>
        <w:rPr>
          <w:rFonts w:hint="eastAsia"/>
        </w:rPr>
      </w:pPr>
      <w:r>
        <w:rPr>
          <w:rFonts w:hint="eastAsia"/>
        </w:rPr>
        <w:t>可建设社区博物馆，展示社区历史文化、民俗风情、名人轶事等，提供文化教育和文化传承服务。</w:t>
      </w:r>
    </w:p>
    <w:p w14:paraId="03F48751">
      <w:pPr>
        <w:pStyle w:val="21"/>
        <w:numPr>
          <w:ilvl w:val="2"/>
          <w:numId w:val="12"/>
        </w:numPr>
        <w:spacing w:beforeLines="0" w:afterLines="0"/>
        <w:jc w:val="both"/>
        <w:rPr>
          <w:rFonts w:hint="eastAsia"/>
        </w:rPr>
      </w:pPr>
      <w:r>
        <w:rPr>
          <w:rFonts w:hint="eastAsia"/>
        </w:rPr>
        <w:t>应按照GB 50763的要求进行建设，满足残疾人、老年人、少年儿童</w:t>
      </w:r>
      <w:r>
        <w:rPr>
          <w:rFonts w:hint="eastAsia"/>
          <w:lang w:eastAsia="zh-CN"/>
        </w:rPr>
        <w:t>、母婴人群</w:t>
      </w:r>
      <w:r>
        <w:rPr>
          <w:rFonts w:hint="eastAsia"/>
        </w:rPr>
        <w:t>等特殊群体的活动。</w:t>
      </w:r>
    </w:p>
    <w:p w14:paraId="45799A2A">
      <w:pPr>
        <w:pStyle w:val="21"/>
        <w:numPr>
          <w:ilvl w:val="2"/>
          <w:numId w:val="12"/>
        </w:numPr>
        <w:spacing w:beforeLines="0" w:afterLines="0"/>
        <w:jc w:val="both"/>
        <w:rPr>
          <w:rFonts w:hint="eastAsia"/>
        </w:rPr>
      </w:pPr>
      <w:r>
        <w:rPr>
          <w:rFonts w:hint="eastAsia"/>
        </w:rPr>
        <w:t>应设置必要的</w:t>
      </w:r>
      <w:bookmarkStart w:id="22" w:name="OLE_LINK2"/>
      <w:r>
        <w:rPr>
          <w:rFonts w:hint="eastAsia"/>
        </w:rPr>
        <w:t>导览标识</w:t>
      </w:r>
      <w:bookmarkEnd w:id="22"/>
      <w:r>
        <w:rPr>
          <w:rFonts w:hint="eastAsia"/>
        </w:rPr>
        <w:t>，导览标识应符合GB/T 10001.1和GB/T 10001.9的要求。</w:t>
      </w:r>
    </w:p>
    <w:p w14:paraId="27101F2B">
      <w:pPr>
        <w:pStyle w:val="19"/>
        <w:spacing w:before="156" w:after="156"/>
      </w:pPr>
      <w:r>
        <w:rPr>
          <w:rFonts w:hint="eastAsia"/>
        </w:rPr>
        <w:t>设施管理</w:t>
      </w:r>
    </w:p>
    <w:p w14:paraId="365DE255">
      <w:pPr>
        <w:pStyle w:val="21"/>
        <w:numPr>
          <w:ilvl w:val="2"/>
          <w:numId w:val="12"/>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应定期对社区文化设施进行维护和保养，确保设施的正常运行和使用安全。</w:t>
      </w:r>
    </w:p>
    <w:p w14:paraId="634D4F36">
      <w:pPr>
        <w:pStyle w:val="21"/>
        <w:numPr>
          <w:ilvl w:val="2"/>
          <w:numId w:val="12"/>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应制定社区文化设施开放时间表，确保设施按时开放，为社区居民提供便捷的文化服务。</w:t>
      </w:r>
    </w:p>
    <w:p w14:paraId="0E9B77A5">
      <w:pPr>
        <w:pStyle w:val="21"/>
        <w:numPr>
          <w:ilvl w:val="2"/>
          <w:numId w:val="12"/>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应建立健全社区文化设施管理制度，明确设施管理责任人和管理职责，加强对设施的管理和监督</w:t>
      </w:r>
      <w:r>
        <w:rPr>
          <w:rFonts w:hint="eastAsia"/>
        </w:rPr>
        <w:t>。</w:t>
      </w:r>
    </w:p>
    <w:p w14:paraId="1E129989">
      <w:pPr>
        <w:pStyle w:val="19"/>
        <w:spacing w:before="156" w:after="156"/>
      </w:pPr>
      <w:r>
        <w:rPr>
          <w:rFonts w:hint="eastAsia"/>
        </w:rPr>
        <w:t>设施利用</w:t>
      </w:r>
    </w:p>
    <w:p w14:paraId="468D4B07">
      <w:pPr>
        <w:pStyle w:val="21"/>
        <w:numPr>
          <w:ilvl w:val="2"/>
          <w:numId w:val="12"/>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应充分发挥社区文化设施的作用，提高设施的利用率，为社区居民提供更多的文化服务。</w:t>
      </w:r>
    </w:p>
    <w:p w14:paraId="58E176D4">
      <w:pPr>
        <w:pStyle w:val="21"/>
        <w:numPr>
          <w:ilvl w:val="2"/>
          <w:numId w:val="12"/>
        </w:numPr>
        <w:spacing w:beforeLines="0" w:afterLines="0"/>
        <w:jc w:val="both"/>
        <w:rPr>
          <w:rFonts w:hint="eastAsia" w:asciiTheme="minorEastAsia" w:hAnsiTheme="minorEastAsia" w:eastAsiaTheme="minorEastAsia"/>
        </w:rPr>
      </w:pPr>
      <w:r>
        <w:rPr>
          <w:rFonts w:hint="eastAsia" w:asciiTheme="minorEastAsia" w:hAnsiTheme="minorEastAsia" w:eastAsiaTheme="minorEastAsia"/>
        </w:rPr>
        <w:t>应利用社区文化设施开展多元化的文化服务，满足社区居民不同的文化需求。</w:t>
      </w:r>
    </w:p>
    <w:p w14:paraId="5C269305">
      <w:pPr>
        <w:pStyle w:val="21"/>
        <w:numPr>
          <w:ilvl w:val="2"/>
          <w:numId w:val="12"/>
        </w:numPr>
        <w:spacing w:beforeLines="0" w:afterLines="0"/>
        <w:jc w:val="both"/>
        <w:rPr>
          <w:rFonts w:hint="eastAsia"/>
        </w:rPr>
      </w:pPr>
      <w:r>
        <w:rPr>
          <w:rFonts w:hint="eastAsia" w:asciiTheme="minorEastAsia" w:hAnsiTheme="minorEastAsia" w:eastAsiaTheme="minorEastAsia"/>
        </w:rPr>
        <w:t>应鼓励社会组织、企业和个人等社会力量参与社区文化设施的管理和使用，共同为社区居民提供文化服务。</w:t>
      </w:r>
    </w:p>
    <w:p w14:paraId="598F20FD">
      <w:pPr>
        <w:pStyle w:val="20"/>
        <w:spacing w:before="312" w:after="312"/>
      </w:pPr>
      <w:r>
        <w:rPr>
          <w:rFonts w:hint="eastAsia"/>
        </w:rPr>
        <w:t>服务人员</w:t>
      </w:r>
    </w:p>
    <w:p w14:paraId="540ABA8F">
      <w:pPr>
        <w:pStyle w:val="19"/>
        <w:spacing w:before="156" w:after="156"/>
      </w:pPr>
      <w:r>
        <w:rPr>
          <w:rFonts w:hint="eastAsia"/>
        </w:rPr>
        <w:t>人员配备</w:t>
      </w:r>
    </w:p>
    <w:p w14:paraId="202135BA">
      <w:pPr>
        <w:pStyle w:val="21"/>
        <w:numPr>
          <w:ilvl w:val="2"/>
          <w:numId w:val="12"/>
        </w:numPr>
        <w:spacing w:beforeLines="0" w:afterLines="0"/>
        <w:jc w:val="both"/>
        <w:rPr>
          <w:rFonts w:hint="eastAsia"/>
        </w:rPr>
      </w:pPr>
      <w:r>
        <w:rPr>
          <w:rFonts w:hint="eastAsia"/>
        </w:rPr>
        <w:t>社区文化服务中心应至少配有2名专（兼）职社区文化专员，全面负责社区公共文化服务相关工作。</w:t>
      </w:r>
    </w:p>
    <w:p w14:paraId="6E44BFD0">
      <w:pPr>
        <w:pStyle w:val="21"/>
        <w:numPr>
          <w:ilvl w:val="2"/>
          <w:numId w:val="12"/>
        </w:numPr>
        <w:spacing w:beforeLines="0" w:afterLines="0"/>
        <w:jc w:val="both"/>
        <w:rPr>
          <w:rFonts w:hint="eastAsia"/>
        </w:rPr>
      </w:pPr>
      <w:r>
        <w:rPr>
          <w:rFonts w:hint="eastAsia"/>
        </w:rPr>
        <w:t>宜配备文化艺术、图书管理、体育健身等专业技术人员，为社区居民提供专业的文化服务。</w:t>
      </w:r>
    </w:p>
    <w:p w14:paraId="70E8C0F0">
      <w:pPr>
        <w:pStyle w:val="21"/>
        <w:numPr>
          <w:ilvl w:val="2"/>
          <w:numId w:val="12"/>
        </w:numPr>
        <w:spacing w:beforeLines="0" w:afterLines="0"/>
        <w:jc w:val="both"/>
        <w:rPr>
          <w:rFonts w:hint="eastAsia"/>
        </w:rPr>
      </w:pPr>
      <w:r>
        <w:rPr>
          <w:rFonts w:hint="eastAsia"/>
        </w:rPr>
        <w:t>宜配备社区文化活动中心、图书馆、博物馆、美术馆、影剧院、</w:t>
      </w:r>
      <w:r>
        <w:rPr>
          <w:rFonts w:hint="eastAsia"/>
          <w:lang w:eastAsia="zh-CN"/>
        </w:rPr>
        <w:t>体育设施</w:t>
      </w:r>
      <w:r>
        <w:rPr>
          <w:rFonts w:hint="eastAsia"/>
        </w:rPr>
        <w:t>等文化设施的管理人员，负责设施的管理和运营。</w:t>
      </w:r>
    </w:p>
    <w:p w14:paraId="1C0DAADF">
      <w:pPr>
        <w:pStyle w:val="21"/>
        <w:numPr>
          <w:ilvl w:val="2"/>
          <w:numId w:val="12"/>
        </w:numPr>
        <w:spacing w:beforeLines="0" w:afterLines="0"/>
        <w:jc w:val="both"/>
        <w:rPr>
          <w:rFonts w:hint="eastAsia"/>
        </w:rPr>
      </w:pPr>
      <w:r>
        <w:rPr>
          <w:rFonts w:hint="eastAsia"/>
        </w:rPr>
        <w:t>宜配备社区文化活动的服务人员，负责活动的组织和实施，为社区居民提供优质的文化服务。</w:t>
      </w:r>
    </w:p>
    <w:p w14:paraId="040575C0">
      <w:pPr>
        <w:pStyle w:val="21"/>
        <w:numPr>
          <w:ilvl w:val="2"/>
          <w:numId w:val="12"/>
        </w:numPr>
        <w:spacing w:beforeLines="0" w:afterLines="0"/>
        <w:jc w:val="both"/>
        <w:rPr>
          <w:rFonts w:hint="eastAsia"/>
        </w:rPr>
      </w:pPr>
      <w:r>
        <w:rPr>
          <w:rFonts w:hint="eastAsia"/>
        </w:rPr>
        <w:t>宜招募文化志愿者，为社区居民提供文化服务，如文艺演出、展览展示、讲座培训、读书活动等。</w:t>
      </w:r>
    </w:p>
    <w:p w14:paraId="780608D4">
      <w:pPr>
        <w:pStyle w:val="19"/>
        <w:spacing w:before="156" w:after="156"/>
      </w:pPr>
      <w:r>
        <w:rPr>
          <w:rFonts w:hint="eastAsia"/>
        </w:rPr>
        <w:t>服务人员素质</w:t>
      </w:r>
    </w:p>
    <w:p w14:paraId="1CD8C362">
      <w:pPr>
        <w:pStyle w:val="21"/>
        <w:numPr>
          <w:ilvl w:val="2"/>
          <w:numId w:val="12"/>
        </w:numPr>
        <w:spacing w:beforeLines="0" w:afterLines="0"/>
        <w:jc w:val="both"/>
        <w:rPr>
          <w:rFonts w:hint="eastAsia"/>
        </w:rPr>
      </w:pPr>
      <w:r>
        <w:rPr>
          <w:rFonts w:hint="eastAsia"/>
        </w:rPr>
        <w:t>服务人员应具有良好的思想政治素质。</w:t>
      </w:r>
    </w:p>
    <w:p w14:paraId="6A530F56">
      <w:pPr>
        <w:pStyle w:val="21"/>
        <w:numPr>
          <w:ilvl w:val="2"/>
          <w:numId w:val="12"/>
        </w:numPr>
        <w:spacing w:beforeLines="0" w:afterLines="0"/>
        <w:jc w:val="both"/>
        <w:rPr>
          <w:rFonts w:hint="eastAsia"/>
        </w:rPr>
      </w:pPr>
      <w:r>
        <w:rPr>
          <w:rFonts w:hint="eastAsia"/>
        </w:rPr>
        <w:t>服务人员应具有良好的职业道德素质。</w:t>
      </w:r>
    </w:p>
    <w:p w14:paraId="11431D1A">
      <w:pPr>
        <w:pStyle w:val="21"/>
        <w:numPr>
          <w:ilvl w:val="2"/>
          <w:numId w:val="12"/>
        </w:numPr>
        <w:spacing w:beforeLines="0" w:afterLines="0"/>
        <w:jc w:val="both"/>
        <w:rPr>
          <w:rFonts w:hint="eastAsia"/>
        </w:rPr>
      </w:pPr>
      <w:r>
        <w:rPr>
          <w:rFonts w:hint="eastAsia" w:ascii="宋体" w:hAnsi="宋体" w:eastAsia="宋体" w:cs="宋体"/>
          <w:sz w:val="21"/>
          <w:szCs w:val="21"/>
          <w:lang w:val="en-US" w:eastAsia="zh-CN" w:bidi="ar-SA"/>
        </w:rPr>
        <w:t>服务人员应具有良好的服务意识</w:t>
      </w:r>
      <w:r>
        <w:rPr>
          <w:rFonts w:hint="eastAsia" w:ascii="宋体" w:hAnsi="宋体" w:cs="宋体"/>
          <w:sz w:val="21"/>
          <w:szCs w:val="21"/>
          <w:lang w:val="en-US" w:eastAsia="zh-CN" w:bidi="ar-SA"/>
        </w:rPr>
        <w:t>和服务水平</w:t>
      </w:r>
      <w:r>
        <w:rPr>
          <w:rFonts w:hint="eastAsia" w:ascii="宋体" w:hAnsi="宋体" w:eastAsia="宋体" w:cs="宋体"/>
          <w:sz w:val="21"/>
          <w:szCs w:val="21"/>
          <w:lang w:val="en-US" w:eastAsia="zh-CN" w:bidi="ar-SA"/>
        </w:rPr>
        <w:t>。</w:t>
      </w:r>
    </w:p>
    <w:p w14:paraId="6C62C207">
      <w:pPr>
        <w:pStyle w:val="21"/>
        <w:numPr>
          <w:ilvl w:val="2"/>
          <w:numId w:val="12"/>
        </w:numPr>
        <w:spacing w:beforeLines="0" w:afterLines="0"/>
        <w:jc w:val="both"/>
        <w:rPr>
          <w:rFonts w:hint="eastAsia"/>
        </w:rPr>
      </w:pPr>
      <w:r>
        <w:rPr>
          <w:rFonts w:hint="eastAsia"/>
        </w:rPr>
        <w:t>服务人员应具有相应的专业技能素质</w:t>
      </w:r>
      <w:r>
        <w:rPr>
          <w:rFonts w:hint="eastAsia"/>
          <w:lang w:eastAsia="zh-CN"/>
        </w:rPr>
        <w:t>，</w:t>
      </w:r>
      <w:r>
        <w:rPr>
          <w:rFonts w:hint="eastAsia"/>
        </w:rPr>
        <w:t>提供专业的文化服务。</w:t>
      </w:r>
    </w:p>
    <w:p w14:paraId="55758555">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服务人员应具有提供服务的身体条件和心理素质</w:t>
      </w:r>
      <w:r>
        <w:rPr>
          <w:rFonts w:hint="eastAsia" w:ascii="宋体" w:hAnsi="宋体" w:cs="宋体"/>
          <w:sz w:val="21"/>
          <w:szCs w:val="21"/>
          <w:lang w:val="en-US" w:eastAsia="zh-CN" w:bidi="ar-SA"/>
        </w:rPr>
        <w:t>。</w:t>
      </w:r>
    </w:p>
    <w:p w14:paraId="6D3331D0">
      <w:pPr>
        <w:pStyle w:val="19"/>
        <w:spacing w:before="156" w:after="156"/>
      </w:pPr>
      <w:r>
        <w:rPr>
          <w:rFonts w:hint="eastAsia"/>
        </w:rPr>
        <w:t>人员培训</w:t>
      </w:r>
    </w:p>
    <w:p w14:paraId="0ABA0827">
      <w:pPr>
        <w:pStyle w:val="21"/>
        <w:numPr>
          <w:ilvl w:val="2"/>
          <w:numId w:val="13"/>
        </w:numPr>
        <w:spacing w:beforeLines="0" w:afterLines="0"/>
        <w:jc w:val="both"/>
        <w:rPr>
          <w:rFonts w:hint="eastAsia"/>
        </w:rPr>
      </w:pPr>
      <w:r>
        <w:rPr>
          <w:rFonts w:hint="eastAsia"/>
        </w:rPr>
        <w:t>社区公共文化专兼职服务人员应每年参加集中培训时间不少于5天。</w:t>
      </w:r>
    </w:p>
    <w:p w14:paraId="16840594">
      <w:pPr>
        <w:pStyle w:val="21"/>
        <w:numPr>
          <w:ilvl w:val="2"/>
          <w:numId w:val="13"/>
        </w:numPr>
        <w:spacing w:beforeLines="0" w:afterLines="0"/>
        <w:jc w:val="both"/>
        <w:rPr>
          <w:rFonts w:hint="eastAsia"/>
        </w:rPr>
      </w:pPr>
      <w:r>
        <w:rPr>
          <w:rFonts w:hint="eastAsia"/>
        </w:rPr>
        <w:t>应对服务人员的思想政治、职业道德、专业知识、服务技能等方面进行培训，提高服务人员的综合素质和服务水平。</w:t>
      </w:r>
    </w:p>
    <w:p w14:paraId="4381C556">
      <w:pPr>
        <w:pStyle w:val="21"/>
        <w:numPr>
          <w:ilvl w:val="2"/>
          <w:numId w:val="13"/>
        </w:numPr>
        <w:spacing w:beforeLines="0" w:afterLines="0"/>
        <w:jc w:val="both"/>
        <w:rPr>
          <w:rFonts w:hint="eastAsia"/>
        </w:rPr>
      </w:pPr>
      <w:r>
        <w:rPr>
          <w:rFonts w:hint="eastAsia"/>
        </w:rPr>
        <w:t>应根据服务人员的实际情况和培训需求，选择集中培训、分散培训、在线培训等方式进行培训。</w:t>
      </w:r>
    </w:p>
    <w:p w14:paraId="493AE930">
      <w:pPr>
        <w:pStyle w:val="21"/>
        <w:numPr>
          <w:ilvl w:val="2"/>
          <w:numId w:val="13"/>
        </w:numPr>
        <w:spacing w:beforeLines="0" w:afterLines="0"/>
        <w:jc w:val="both"/>
        <w:rPr>
          <w:szCs w:val="21"/>
        </w:rPr>
      </w:pPr>
      <w:r>
        <w:rPr>
          <w:rFonts w:hint="eastAsia"/>
        </w:rPr>
        <w:t>应建立健全服务人员培训考核制度，对服务人员的培训效果进行考核评估，确保培训质量和效果。</w:t>
      </w:r>
    </w:p>
    <w:p w14:paraId="79176DD3">
      <w:pPr>
        <w:pStyle w:val="20"/>
        <w:spacing w:before="312" w:after="312"/>
        <w:ind w:left="0"/>
        <w:rPr>
          <w:szCs w:val="21"/>
        </w:rPr>
      </w:pPr>
      <w:r>
        <w:rPr>
          <w:rFonts w:hint="eastAsia"/>
          <w:szCs w:val="21"/>
        </w:rPr>
        <w:t>服务管理</w:t>
      </w:r>
    </w:p>
    <w:p w14:paraId="2BF89824">
      <w:pPr>
        <w:pStyle w:val="19"/>
        <w:spacing w:before="156" w:after="156"/>
      </w:pPr>
      <w:r>
        <w:rPr>
          <w:rFonts w:hint="eastAsia"/>
        </w:rPr>
        <w:t>组织管理</w:t>
      </w:r>
    </w:p>
    <w:p w14:paraId="2C5512DF">
      <w:pPr>
        <w:pStyle w:val="21"/>
        <w:numPr>
          <w:ilvl w:val="2"/>
          <w:numId w:val="12"/>
        </w:numPr>
        <w:spacing w:beforeLines="0" w:afterLines="0"/>
        <w:jc w:val="both"/>
        <w:rPr>
          <w:rFonts w:hint="eastAsia"/>
        </w:rPr>
      </w:pPr>
      <w:r>
        <w:rPr>
          <w:rFonts w:hint="eastAsia"/>
          <w:lang w:eastAsia="zh-CN"/>
        </w:rPr>
        <w:t>应根据社区自身情况，明确服务场所每周开放时间。</w:t>
      </w:r>
    </w:p>
    <w:p w14:paraId="18E2053E">
      <w:pPr>
        <w:pStyle w:val="21"/>
        <w:numPr>
          <w:ilvl w:val="2"/>
          <w:numId w:val="12"/>
        </w:numPr>
        <w:spacing w:beforeLines="0" w:afterLines="0"/>
        <w:jc w:val="both"/>
        <w:rPr>
          <w:rFonts w:hint="eastAsia"/>
        </w:rPr>
      </w:pPr>
      <w:r>
        <w:rPr>
          <w:rFonts w:hint="eastAsia"/>
        </w:rPr>
        <w:t>应明确各专员的职责和分工，加强对社区公共文化服务的管理与服务。</w:t>
      </w:r>
    </w:p>
    <w:p w14:paraId="5002D068">
      <w:pPr>
        <w:pStyle w:val="21"/>
        <w:numPr>
          <w:ilvl w:val="2"/>
          <w:numId w:val="12"/>
        </w:numPr>
        <w:spacing w:beforeLines="0" w:afterLines="0"/>
        <w:jc w:val="both"/>
        <w:rPr>
          <w:rFonts w:hint="eastAsia"/>
        </w:rPr>
      </w:pPr>
      <w:r>
        <w:rPr>
          <w:rFonts w:hint="eastAsia"/>
        </w:rPr>
        <w:t>应制定社区公共文化服务工作计划，明确工作目标、工作任务、工作措施和工作进度，确保社区公共文化服务工作有序开展。</w:t>
      </w:r>
    </w:p>
    <w:p w14:paraId="56BB48FD">
      <w:pPr>
        <w:pStyle w:val="21"/>
        <w:numPr>
          <w:ilvl w:val="2"/>
          <w:numId w:val="12"/>
        </w:numPr>
        <w:spacing w:beforeLines="0" w:afterLines="0"/>
        <w:jc w:val="both"/>
        <w:rPr>
          <w:rFonts w:hint="eastAsia"/>
        </w:rPr>
      </w:pPr>
      <w:r>
        <w:rPr>
          <w:rFonts w:hint="eastAsia"/>
        </w:rPr>
        <w:t>应加强社区公共文化服务各部门之间的协调配合，形成工作合力，共同推进社区公共文化服务工作。</w:t>
      </w:r>
    </w:p>
    <w:p w14:paraId="6F9AE894">
      <w:pPr>
        <w:pStyle w:val="21"/>
        <w:numPr>
          <w:ilvl w:val="2"/>
          <w:numId w:val="12"/>
        </w:numPr>
        <w:spacing w:beforeLines="0" w:afterLines="0"/>
        <w:ind w:left="284"/>
        <w:jc w:val="both"/>
        <w:outlineLvl w:val="2"/>
        <w:rPr>
          <w:rFonts w:hint="eastAsia" w:ascii="黑体" w:eastAsia="宋体"/>
          <w:sz w:val="21"/>
          <w:szCs w:val="21"/>
          <w:lang w:val="en-US" w:eastAsia="zh-CN" w:bidi="ar-SA"/>
          <w:rPrChange w:id="6" w:author="源 路" w:date="2024-12-08T16:33:00Z">
            <w:rPr>
              <w:rFonts w:ascii="黑体" w:eastAsia="黑体"/>
              <w:sz w:val="21"/>
              <w:szCs w:val="21"/>
              <w:lang w:val="en-US" w:eastAsia="zh-CN" w:bidi="ar-SA"/>
            </w:rPr>
          </w:rPrChange>
        </w:rPr>
        <w:pPrChange w:id="5" w:author="源 路" w:date="2024-12-08T16:33:00Z">
          <w:pPr>
            <w:numPr>
              <w:ilvl w:val="1"/>
              <w:numId w:val="2"/>
            </w:numPr>
            <w:spacing w:beforeLines="50" w:afterLines="50"/>
            <w:ind w:left="284"/>
            <w:outlineLvl w:val="2"/>
          </w:pPr>
        </w:pPrChange>
      </w:pPr>
      <w:r>
        <w:rPr>
          <w:rFonts w:hint="eastAsia" w:ascii="黑体" w:eastAsia="宋体"/>
          <w:sz w:val="21"/>
          <w:szCs w:val="21"/>
          <w:lang w:val="en-US" w:eastAsia="zh-CN" w:bidi="ar-SA"/>
          <w:rPrChange w:id="7" w:author="源 路" w:date="2024-12-08T16:33:00Z">
            <w:rPr>
              <w:rFonts w:ascii="黑体" w:eastAsia="黑体"/>
              <w:sz w:val="21"/>
              <w:szCs w:val="21"/>
              <w:lang w:val="en-US" w:eastAsia="zh-CN" w:bidi="ar-SA"/>
            </w:rPr>
          </w:rPrChange>
        </w:rPr>
        <w:t>应提前公布各项活动时间、内容，方便社区居民参与，临时调整活动时间应提前通知。</w:t>
      </w:r>
    </w:p>
    <w:p w14:paraId="18584409">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rPr>
        <w:t>应做好文化活动的现场管理，维持活动秩序，</w:t>
      </w:r>
      <w:r>
        <w:rPr>
          <w:rFonts w:hint="eastAsia" w:ascii="宋体" w:hAnsi="宋体" w:eastAsia="宋体" w:cs="宋体"/>
          <w:sz w:val="21"/>
          <w:szCs w:val="21"/>
          <w:lang w:val="en-US" w:eastAsia="zh-CN" w:bidi="ar-SA"/>
        </w:rPr>
        <w:t>及时处理现场突发情况。</w:t>
      </w:r>
    </w:p>
    <w:p w14:paraId="74799260">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rPr>
        <w:t>应</w:t>
      </w:r>
      <w:r>
        <w:rPr>
          <w:rFonts w:hint="eastAsia" w:ascii="宋体" w:hAnsi="宋体" w:eastAsia="宋体" w:cs="宋体"/>
          <w:sz w:val="21"/>
          <w:szCs w:val="21"/>
          <w:lang w:val="en-US" w:eastAsia="zh-CN" w:bidi="ar-SA"/>
        </w:rPr>
        <w:t>整理完整的活动档案，留存包括影音、照片、文字、票据等相关材料，确保各项公共文化服务有据可查。</w:t>
      </w:r>
    </w:p>
    <w:p w14:paraId="505BC600">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ascii="宋体" w:hAnsi="宋体" w:cs="宋体"/>
          <w:sz w:val="21"/>
          <w:szCs w:val="21"/>
          <w:lang w:val="en-US" w:eastAsia="zh-CN" w:bidi="ar-SA"/>
        </w:rPr>
        <w:t>应定期</w:t>
      </w:r>
      <w:r>
        <w:rPr>
          <w:rFonts w:hint="eastAsia" w:ascii="宋体" w:hAnsi="宋体" w:eastAsia="宋体" w:cs="宋体"/>
          <w:sz w:val="21"/>
          <w:szCs w:val="21"/>
          <w:lang w:val="en-US" w:eastAsia="zh-CN" w:bidi="ar-SA"/>
        </w:rPr>
        <w:t>检查公共文化服务设施设备使用情况，对设施设备进行必要的维护和保养，确保各类设施设备的正常使用。</w:t>
      </w:r>
    </w:p>
    <w:p w14:paraId="08BA35D0">
      <w:pPr>
        <w:pStyle w:val="21"/>
        <w:numPr>
          <w:ilvl w:val="2"/>
          <w:numId w:val="12"/>
        </w:numPr>
        <w:spacing w:beforeLines="0" w:afterLines="0"/>
        <w:jc w:val="both"/>
        <w:rPr>
          <w:rFonts w:hint="eastAsia"/>
        </w:rPr>
      </w:pPr>
      <w:r>
        <w:rPr>
          <w:rFonts w:hint="eastAsia" w:ascii="宋体" w:hAnsi="宋体" w:eastAsia="宋体" w:cs="宋体"/>
          <w:sz w:val="21"/>
          <w:szCs w:val="21"/>
          <w:lang w:val="en-US" w:eastAsia="zh-CN" w:bidi="ar-SA"/>
        </w:rPr>
        <w:t>制定文化服务质量标准，明确各项服务的内容、流程、质量要求</w:t>
      </w:r>
      <w:r>
        <w:rPr>
          <w:rFonts w:hint="eastAsia" w:ascii="宋体" w:hAnsi="宋体" w:cs="宋体"/>
          <w:sz w:val="21"/>
          <w:szCs w:val="21"/>
          <w:lang w:val="en-US" w:eastAsia="zh-CN" w:bidi="ar-SA"/>
        </w:rPr>
        <w:t>。</w:t>
      </w:r>
    </w:p>
    <w:p w14:paraId="4FDA4237">
      <w:pPr>
        <w:pStyle w:val="21"/>
        <w:numPr>
          <w:ilvl w:val="2"/>
          <w:numId w:val="12"/>
        </w:numPr>
        <w:spacing w:beforeLines="0" w:afterLines="0"/>
        <w:jc w:val="both"/>
        <w:rPr>
          <w:rFonts w:hint="eastAsia"/>
        </w:rPr>
      </w:pPr>
      <w:r>
        <w:rPr>
          <w:rFonts w:hint="eastAsia"/>
        </w:rPr>
        <w:t>利用现代信息技术手段，提供数字化公共文化服务，如电子图书、在线讲座等，拓宽服务渠道，提高服务效率</w:t>
      </w:r>
      <w:r>
        <w:rPr>
          <w:rFonts w:hint="eastAsia" w:ascii="宋体" w:hAnsi="宋体" w:cs="宋体"/>
          <w:sz w:val="21"/>
          <w:szCs w:val="21"/>
          <w:lang w:val="en-US" w:eastAsia="zh-CN" w:bidi="ar-SA"/>
        </w:rPr>
        <w:t>。</w:t>
      </w:r>
    </w:p>
    <w:p w14:paraId="4255FA44">
      <w:pPr>
        <w:pStyle w:val="19"/>
        <w:spacing w:before="156" w:after="156"/>
      </w:pPr>
      <w:r>
        <w:rPr>
          <w:rFonts w:hint="eastAsia"/>
        </w:rPr>
        <w:t>财务管理</w:t>
      </w:r>
    </w:p>
    <w:p w14:paraId="401195FB">
      <w:pPr>
        <w:pStyle w:val="21"/>
        <w:numPr>
          <w:ilvl w:val="2"/>
          <w:numId w:val="12"/>
        </w:numPr>
        <w:spacing w:beforeLines="0" w:afterLines="0"/>
        <w:jc w:val="both"/>
        <w:rPr>
          <w:rFonts w:hint="eastAsia"/>
        </w:rPr>
      </w:pPr>
      <w:r>
        <w:rPr>
          <w:rFonts w:hint="eastAsia"/>
          <w:lang w:eastAsia="zh-CN"/>
        </w:rPr>
        <w:t>应</w:t>
      </w:r>
      <w:r>
        <w:rPr>
          <w:rFonts w:hint="eastAsia"/>
        </w:rPr>
        <w:t>通过</w:t>
      </w:r>
      <w:r>
        <w:rPr>
          <w:rFonts w:hint="eastAsia"/>
          <w:lang w:eastAsia="zh-CN"/>
        </w:rPr>
        <w:t>申请</w:t>
      </w:r>
      <w:r>
        <w:rPr>
          <w:rFonts w:hint="eastAsia"/>
        </w:rPr>
        <w:t>政府</w:t>
      </w:r>
      <w:r>
        <w:rPr>
          <w:rFonts w:hint="eastAsia"/>
          <w:lang w:eastAsia="zh-CN"/>
        </w:rPr>
        <w:t>财政</w:t>
      </w:r>
      <w:r>
        <w:rPr>
          <w:rFonts w:hint="eastAsia"/>
        </w:rPr>
        <w:t>、社会筹集、企业捐赠等资金保障渠道或相关措施，确保社区公共文化服务经费的稳定来源。</w:t>
      </w:r>
    </w:p>
    <w:p w14:paraId="1EFFE0D5">
      <w:pPr>
        <w:pStyle w:val="21"/>
        <w:numPr>
          <w:ilvl w:val="2"/>
          <w:numId w:val="12"/>
        </w:numPr>
        <w:spacing w:beforeLines="0" w:afterLines="0"/>
        <w:jc w:val="both"/>
        <w:rPr>
          <w:rFonts w:hint="eastAsia"/>
        </w:rPr>
      </w:pPr>
      <w:r>
        <w:rPr>
          <w:rFonts w:hint="eastAsia"/>
        </w:rPr>
        <w:t>应合理使用社区公共文化服务经费，确保经费的安全、规范、有效使用。</w:t>
      </w:r>
    </w:p>
    <w:p w14:paraId="4ED6BE99">
      <w:pPr>
        <w:pStyle w:val="21"/>
        <w:numPr>
          <w:ilvl w:val="2"/>
          <w:numId w:val="12"/>
        </w:numPr>
        <w:spacing w:beforeLines="0" w:afterLines="0"/>
        <w:jc w:val="both"/>
        <w:rPr>
          <w:rFonts w:hint="eastAsia"/>
        </w:rPr>
      </w:pPr>
      <w:r>
        <w:rPr>
          <w:rFonts w:hint="eastAsia"/>
        </w:rPr>
        <w:t>应建立健全经费监督机制，加强对社区公共文化服务经费的监督管理，确保经费的使用公开、透明、合理。</w:t>
      </w:r>
    </w:p>
    <w:p w14:paraId="0D8A3F35">
      <w:pPr>
        <w:pStyle w:val="19"/>
        <w:spacing w:before="156" w:after="156"/>
      </w:pPr>
      <w:r>
        <w:rPr>
          <w:rFonts w:hint="eastAsia"/>
        </w:rPr>
        <w:t>安全管理</w:t>
      </w:r>
    </w:p>
    <w:p w14:paraId="77379376">
      <w:pPr>
        <w:pStyle w:val="21"/>
        <w:numPr>
          <w:ilvl w:val="2"/>
          <w:numId w:val="12"/>
        </w:numPr>
        <w:spacing w:beforeLines="0" w:afterLines="0"/>
        <w:jc w:val="both"/>
        <w:rPr>
          <w:rFonts w:hint="eastAsia"/>
        </w:rPr>
      </w:pPr>
      <w:r>
        <w:rPr>
          <w:rFonts w:hint="eastAsia"/>
        </w:rPr>
        <w:t>应建立健全社区公共文化服务安全管理制度，明确安全管理责任人和安全管理职责，加强对社区公共文化服务的安全管理。</w:t>
      </w:r>
    </w:p>
    <w:p w14:paraId="0DAF0799">
      <w:pPr>
        <w:pStyle w:val="21"/>
        <w:numPr>
          <w:ilvl w:val="2"/>
          <w:numId w:val="12"/>
        </w:numPr>
        <w:spacing w:beforeLines="0" w:afterLines="0"/>
        <w:jc w:val="both"/>
        <w:rPr>
          <w:rFonts w:hint="eastAsia"/>
        </w:rPr>
      </w:pPr>
      <w:r>
        <w:rPr>
          <w:rFonts w:hint="eastAsia"/>
        </w:rPr>
        <w:t>应配备必要的安全设施，如消防设施、安全出口、应急照明等，确保社区公共文化服务场所的安全。</w:t>
      </w:r>
    </w:p>
    <w:p w14:paraId="55D21C37">
      <w:pPr>
        <w:pStyle w:val="21"/>
        <w:numPr>
          <w:ilvl w:val="2"/>
          <w:numId w:val="12"/>
        </w:numPr>
        <w:spacing w:beforeLines="0" w:afterLines="0"/>
        <w:jc w:val="both"/>
        <w:rPr>
          <w:rFonts w:hint="eastAsia"/>
        </w:rPr>
      </w:pPr>
      <w:r>
        <w:rPr>
          <w:rFonts w:hint="eastAsia"/>
        </w:rPr>
        <w:t>应定期对社区公共文化服务场所进行安全检查，及时发现和消除安全隐患，确保社区公共文化服务场所的安全。</w:t>
      </w:r>
    </w:p>
    <w:p w14:paraId="2A35B277">
      <w:pPr>
        <w:pStyle w:val="19"/>
        <w:spacing w:before="156" w:after="156"/>
      </w:pPr>
      <w:r>
        <w:rPr>
          <w:rFonts w:hint="eastAsia"/>
        </w:rPr>
        <w:t>档案管理</w:t>
      </w:r>
    </w:p>
    <w:p w14:paraId="58F6BF2D">
      <w:pPr>
        <w:pStyle w:val="21"/>
        <w:numPr>
          <w:ilvl w:val="2"/>
          <w:numId w:val="12"/>
        </w:numPr>
        <w:spacing w:beforeLines="0" w:afterLines="0"/>
        <w:jc w:val="both"/>
        <w:rPr>
          <w:rFonts w:hint="eastAsia"/>
        </w:rPr>
      </w:pPr>
      <w:r>
        <w:rPr>
          <w:rFonts w:hint="eastAsia"/>
        </w:rPr>
        <w:t>应建立社区公共文化服务档案，包括服务内容、服务设施、服务人员、服务管理等方面的档案，为社区公共文化服务的管理和发展提供依据。</w:t>
      </w:r>
    </w:p>
    <w:p w14:paraId="5B5D486E">
      <w:pPr>
        <w:pStyle w:val="21"/>
        <w:numPr>
          <w:ilvl w:val="2"/>
          <w:numId w:val="12"/>
        </w:numPr>
        <w:spacing w:beforeLines="0" w:afterLines="0"/>
        <w:jc w:val="both"/>
        <w:rPr>
          <w:rFonts w:hint="eastAsia"/>
        </w:rPr>
      </w:pPr>
      <w:r>
        <w:rPr>
          <w:rFonts w:hint="eastAsia"/>
        </w:rPr>
        <w:t>应加强对社区公共文化服务档案的管理，明确档案管理责任人和档案管理职责，确保档案的安全、完整、规范。</w:t>
      </w:r>
    </w:p>
    <w:p w14:paraId="39B2D3CA">
      <w:pPr>
        <w:pStyle w:val="21"/>
        <w:numPr>
          <w:ilvl w:val="2"/>
          <w:numId w:val="12"/>
        </w:numPr>
        <w:spacing w:beforeLines="0" w:afterLines="0"/>
        <w:jc w:val="both"/>
        <w:rPr>
          <w:rFonts w:hint="eastAsia"/>
        </w:rPr>
      </w:pPr>
      <w:r>
        <w:rPr>
          <w:rFonts w:hint="eastAsia"/>
        </w:rPr>
        <w:t>应充分利用社区公共文化服务档案，为社区公共文化服务的决策、管理和发展提供参考。</w:t>
      </w:r>
    </w:p>
    <w:p w14:paraId="5E5B180D">
      <w:pPr>
        <w:pStyle w:val="20"/>
        <w:spacing w:before="312" w:after="312"/>
        <w:ind w:left="0"/>
        <w:rPr>
          <w:szCs w:val="21"/>
        </w:rPr>
      </w:pPr>
      <w:r>
        <w:rPr>
          <w:rFonts w:hint="eastAsia"/>
          <w:szCs w:val="21"/>
        </w:rPr>
        <w:t>评价与改进</w:t>
      </w:r>
    </w:p>
    <w:p w14:paraId="00515C78">
      <w:pPr>
        <w:pStyle w:val="19"/>
        <w:spacing w:before="156" w:after="156"/>
      </w:pPr>
      <w:r>
        <w:rPr>
          <w:rFonts w:hint="eastAsia"/>
        </w:rPr>
        <w:t>服务评价</w:t>
      </w:r>
    </w:p>
    <w:p w14:paraId="1FA184F8">
      <w:pPr>
        <w:pStyle w:val="21"/>
        <w:numPr>
          <w:ilvl w:val="2"/>
          <w:numId w:val="12"/>
        </w:numPr>
        <w:spacing w:beforeLines="0" w:afterLines="0"/>
        <w:jc w:val="both"/>
        <w:rPr>
          <w:rFonts w:hint="eastAsia"/>
        </w:rPr>
      </w:pPr>
      <w:r>
        <w:rPr>
          <w:rFonts w:hint="eastAsia"/>
        </w:rPr>
        <w:t>服务评价主体应包括社区居民、政府部门、社会组织、企业等，应广泛征求各方面的意见和建议，确保服务评价的客观、公正、全面。</w:t>
      </w:r>
    </w:p>
    <w:p w14:paraId="55DE9BAB">
      <w:pPr>
        <w:pStyle w:val="21"/>
        <w:numPr>
          <w:ilvl w:val="2"/>
          <w:numId w:val="12"/>
        </w:numPr>
        <w:spacing w:beforeLines="0" w:afterLines="0"/>
        <w:jc w:val="both"/>
        <w:rPr>
          <w:rFonts w:hint="eastAsia"/>
        </w:rPr>
      </w:pPr>
      <w:r>
        <w:rPr>
          <w:rFonts w:hint="eastAsia"/>
        </w:rPr>
        <w:t>服务评价内容应包括服务内容、服务设施、服务人员、服务管理、服务效果等方面，应全面评价社区公共文化服务的质量和水平。</w:t>
      </w:r>
    </w:p>
    <w:p w14:paraId="470D43FC">
      <w:pPr>
        <w:pStyle w:val="21"/>
        <w:numPr>
          <w:ilvl w:val="2"/>
          <w:numId w:val="12"/>
        </w:numPr>
        <w:spacing w:beforeLines="0" w:afterLines="0"/>
        <w:jc w:val="both"/>
        <w:rPr>
          <w:rFonts w:hint="eastAsia"/>
        </w:rPr>
      </w:pPr>
      <w:r>
        <w:rPr>
          <w:rFonts w:hint="eastAsia"/>
        </w:rPr>
        <w:t>服务评价方法应包括问卷调查、实地走访、座谈会、网络评价等，应多种评价方法相结合，确保服务评价的准确性和有效性。</w:t>
      </w:r>
    </w:p>
    <w:p w14:paraId="582D4AC5">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建立服务反馈渠道，通过问卷调查、座谈会、网络留言等方式收集社区居民对文化服务的意见与建议</w:t>
      </w:r>
      <w:r>
        <w:rPr>
          <w:rFonts w:hint="eastAsia" w:ascii="宋体" w:hAnsi="宋体" w:cs="宋体"/>
          <w:sz w:val="21"/>
          <w:szCs w:val="21"/>
          <w:lang w:val="en-US" w:eastAsia="zh-CN" w:bidi="ar-SA"/>
        </w:rPr>
        <w:t>。</w:t>
      </w:r>
    </w:p>
    <w:p w14:paraId="11FA2205">
      <w:pPr>
        <w:pStyle w:val="21"/>
        <w:numPr>
          <w:ilvl w:val="2"/>
          <w:numId w:val="12"/>
        </w:numPr>
        <w:spacing w:beforeLines="0" w:afterLines="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定期对反馈信息进行整理分析，针对存在的问题及时制定改进措施，改进措施落实情况应及时反馈给社区居民。</w:t>
      </w:r>
    </w:p>
    <w:p w14:paraId="5321E44C">
      <w:pPr>
        <w:pStyle w:val="19"/>
        <w:spacing w:before="156" w:after="156"/>
      </w:pPr>
      <w:r>
        <w:rPr>
          <w:rFonts w:hint="eastAsia"/>
        </w:rPr>
        <w:t>服务改进</w:t>
      </w:r>
    </w:p>
    <w:p w14:paraId="672FEAA0">
      <w:pPr>
        <w:pStyle w:val="21"/>
        <w:numPr>
          <w:ilvl w:val="2"/>
          <w:numId w:val="12"/>
        </w:numPr>
        <w:spacing w:beforeLines="0" w:afterLines="0"/>
        <w:jc w:val="both"/>
        <w:rPr>
          <w:rFonts w:hint="eastAsia"/>
        </w:rPr>
      </w:pPr>
      <w:r>
        <w:rPr>
          <w:rFonts w:hint="eastAsia"/>
        </w:rPr>
        <w:t>根据服务评价结果，应及时发现和解决社区公共文化服务中存在的问题和不足，制定整改措施，明确整改责任人和整改期限，确保问题得到及时整改。</w:t>
      </w:r>
    </w:p>
    <w:p w14:paraId="6D9C587E">
      <w:pPr>
        <w:pStyle w:val="21"/>
        <w:numPr>
          <w:ilvl w:val="2"/>
          <w:numId w:val="12"/>
        </w:numPr>
        <w:spacing w:beforeLines="0" w:afterLines="0"/>
        <w:jc w:val="both"/>
        <w:rPr>
          <w:rFonts w:hint="eastAsia"/>
        </w:rPr>
      </w:pPr>
      <w:r>
        <w:rPr>
          <w:rFonts w:hint="eastAsia"/>
        </w:rPr>
        <w:t>应建立健全服务改进机制，不断总结经验教训，持续改进社区公共文化服务的质量和水平，满足社区居民日益增长的文化需求。</w:t>
      </w:r>
    </w:p>
    <w:p w14:paraId="1DD9EA98">
      <w:pPr>
        <w:widowControl/>
        <w:jc w:val="left"/>
        <w:rPr>
          <w:rFonts w:ascii="宋体" w:hAnsi="Times New Roman" w:eastAsia="宋体" w:cs="Times New Roman"/>
          <w:kern w:val="0"/>
          <w:szCs w:val="21"/>
        </w:rPr>
      </w:pPr>
      <w:r>
        <w:br w:type="page"/>
      </w:r>
    </w:p>
    <w:p w14:paraId="7549D9BE">
      <w:pPr>
        <w:pStyle w:val="40"/>
        <w:numPr>
          <w:ilvl w:val="0"/>
          <w:numId w:val="0"/>
        </w:numPr>
        <w:spacing w:before="312" w:beforeLines="100" w:after="312" w:afterLines="100"/>
        <w:jc w:val="center"/>
        <w:rPr>
          <w:rFonts w:ascii="黑体" w:hAnsi="黑体" w:eastAsia="黑体"/>
        </w:rPr>
      </w:pPr>
      <w:r>
        <w:rPr>
          <w:rFonts w:hint="eastAsia" w:ascii="黑体" w:hAnsi="黑体" w:eastAsia="黑体"/>
        </w:rPr>
        <w:t>参考文献</w:t>
      </w:r>
    </w:p>
    <w:p w14:paraId="78B46804">
      <w:pPr>
        <w:pStyle w:val="17"/>
        <w:rPr>
          <w:rFonts w:hint="eastAsia"/>
        </w:rPr>
      </w:pPr>
      <w:r>
        <w:rPr>
          <w:rFonts w:hint="eastAsia"/>
        </w:rPr>
        <w:t>《中华人民共和国公共文化服务保障法》（发改社会〔2021〕443号）</w:t>
      </w:r>
    </w:p>
    <w:p w14:paraId="0B36FC7E">
      <w:pPr>
        <w:pStyle w:val="17"/>
        <w:rPr>
          <w:rFonts w:hint="eastAsia"/>
        </w:rPr>
      </w:pPr>
      <w:r>
        <w:rPr>
          <w:rFonts w:hint="eastAsia"/>
        </w:rPr>
        <w:t>《国家基本公共服务标准（2021年版）》</w:t>
      </w:r>
    </w:p>
    <w:p w14:paraId="49F68AE2">
      <w:pPr>
        <w:pStyle w:val="17"/>
        <w:rPr>
          <w:rFonts w:hint="eastAsia"/>
        </w:rPr>
      </w:pPr>
      <w:r>
        <w:rPr>
          <w:rFonts w:hint="eastAsia"/>
        </w:rPr>
        <w:t>《“十四五”公共文化服务体系建设规划》〔2021〕64号</w:t>
      </w:r>
    </w:p>
    <w:p w14:paraId="6B252C94">
      <w:pPr>
        <w:pStyle w:val="17"/>
        <w:rPr>
          <w:rFonts w:hint="eastAsia"/>
        </w:rPr>
      </w:pPr>
      <w:r>
        <w:rPr>
          <w:rFonts w:hint="eastAsia"/>
          <w:lang w:eastAsia="zh-CN"/>
        </w:rPr>
        <w:t>《</w:t>
      </w:r>
      <w:r>
        <w:rPr>
          <w:rFonts w:hint="eastAsia"/>
        </w:rPr>
        <w:t>国务院办公厅关于推进基层综合性文化服务中心建设的指导意见</w:t>
      </w:r>
      <w:r>
        <w:rPr>
          <w:rFonts w:hint="eastAsia"/>
          <w:lang w:eastAsia="zh-CN"/>
        </w:rPr>
        <w:t>》（</w:t>
      </w:r>
      <w:r>
        <w:rPr>
          <w:rFonts w:hint="eastAsia"/>
        </w:rPr>
        <w:t>国办发〔2015〕74号</w:t>
      </w:r>
      <w:r>
        <w:rPr>
          <w:rFonts w:hint="eastAsia"/>
          <w:lang w:eastAsia="zh-CN"/>
        </w:rPr>
        <w:t>）</w:t>
      </w:r>
    </w:p>
    <w:p w14:paraId="24F68974">
      <w:pPr>
        <w:pStyle w:val="17"/>
      </w:pPr>
      <w:r>
        <w:rPr>
          <w:rFonts w:hint="eastAsia"/>
        </w:rPr>
        <w:t>GB/T 15566.1 公共信息导向系统 设置原则与要求 第1部分：总则</w:t>
      </w:r>
    </w:p>
    <w:p w14:paraId="79664A2A">
      <w:pPr>
        <w:pStyle w:val="17"/>
        <w:rPr>
          <w:rFonts w:hint="eastAsia"/>
        </w:rPr>
      </w:pPr>
      <w:r>
        <w:rPr>
          <w:rFonts w:hint="eastAsia"/>
        </w:rPr>
        <w:t>GB/T 20647.3 社区服务指南 第3部分：文化、教育、体育服务</w:t>
      </w:r>
    </w:p>
    <w:p w14:paraId="1E752ECF">
      <w:pPr>
        <w:pStyle w:val="17"/>
        <w:rPr>
          <w:rFonts w:hint="eastAsia"/>
        </w:rPr>
      </w:pPr>
      <w:r>
        <w:rPr>
          <w:rFonts w:hint="eastAsia"/>
        </w:rPr>
        <w:t>WH/T 73 社区图书馆文化服务规范</w:t>
      </w:r>
    </w:p>
    <w:p w14:paraId="0AF14861">
      <w:pPr>
        <w:pStyle w:val="17"/>
        <w:rPr>
          <w:rFonts w:hint="eastAsia"/>
        </w:rPr>
      </w:pPr>
    </w:p>
    <w:p w14:paraId="543AF878">
      <w:pPr>
        <w:pStyle w:val="17"/>
        <w:rPr>
          <w:rFonts w:hint="eastAsia"/>
        </w:rPr>
      </w:pPr>
    </w:p>
    <w:p w14:paraId="0518DC00">
      <w:pPr>
        <w:pStyle w:val="17"/>
        <w:rPr>
          <w:rFonts w:hint="eastAsia"/>
        </w:rPr>
      </w:pPr>
    </w:p>
    <w:p w14:paraId="2F84EBD2">
      <w:pPr>
        <w:pStyle w:val="17"/>
        <w:spacing w:before="156" w:after="156"/>
        <w:ind w:firstLine="0" w:firstLineChars="0"/>
      </w:pPr>
      <w:r>
        <mc:AlternateContent>
          <mc:Choice Requires="wps">
            <w:drawing>
              <wp:anchor distT="0" distB="0" distL="114300" distR="114300" simplePos="0" relativeHeight="251666432" behindDoc="0" locked="0" layoutInCell="1" allowOverlap="1">
                <wp:simplePos x="0" y="0"/>
                <wp:positionH relativeFrom="column">
                  <wp:posOffset>1757045</wp:posOffset>
                </wp:positionH>
                <wp:positionV relativeFrom="paragraph">
                  <wp:posOffset>316865</wp:posOffset>
                </wp:positionV>
                <wp:extent cx="2419350" cy="0"/>
                <wp:effectExtent l="0" t="0" r="0" b="0"/>
                <wp:wrapNone/>
                <wp:docPr id="43" name="直接连接符 4"/>
                <wp:cNvGraphicFramePr/>
                <a:graphic xmlns:a="http://schemas.openxmlformats.org/drawingml/2006/main">
                  <a:graphicData uri="http://schemas.microsoft.com/office/word/2010/wordprocessingShape">
                    <wps:wsp>
                      <wps:cNvCnPr/>
                      <wps:spPr>
                        <a:xfrm>
                          <a:off x="0" y="0"/>
                          <a:ext cx="2419350" cy="0"/>
                        </a:xfrm>
                        <a:prstGeom prst="line">
                          <a:avLst/>
                        </a:prstGeom>
                        <a:noFill/>
                        <a:ln w="9525" cap="flat" cmpd="sng" algn="ctr">
                          <a:solidFill>
                            <a:srgbClr val="000000"/>
                          </a:solidFill>
                          <a:prstDash val="solid"/>
                        </a:ln>
                      </wps:spPr>
                      <wps:bodyPr/>
                    </wps:wsp>
                  </a:graphicData>
                </a:graphic>
              </wp:anchor>
            </w:drawing>
          </mc:Choice>
          <mc:Fallback>
            <w:pict>
              <v:line id="直接连接符 4" o:spid="_x0000_s1026" o:spt="20" style="position:absolute;left:0pt;margin-left:138.35pt;margin-top:24.95pt;height:0pt;width:190.5pt;z-index:251666432;mso-width-relative:page;mso-height-relative:page;" filled="f" stroked="t" coordsize="21600,21600" o:gfxdata="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FgJZKNYAAAAJAQAADwAAAAAAAAAB&#10;ACAAAAAiAAAAZHJzL2Rvd25yZXYueG1sUEsBAhQAFAAAAAgAh07iQIIShwzZAQAAmwMAAA4AAAAA&#10;AAAAAQAgAAAAJQEAAGRycy9lMm9Eb2MueG1sUEsFBgAAAAAGAAYAWQEAAHAFAAAAAA==&#10;">
                <v:fill on="f" focussize="0,0"/>
                <v:stroke color="#000000" joinstyle="round"/>
                <v:imagedata o:title=""/>
                <o:lock v:ext="edit" aspectratio="f"/>
              </v:line>
            </w:pict>
          </mc:Fallback>
        </mc:AlternateContent>
      </w:r>
    </w:p>
    <w:p w14:paraId="14D1D55E">
      <w:pPr>
        <w:pStyle w:val="40"/>
        <w:numPr>
          <w:ilvl w:val="0"/>
          <w:numId w:val="0"/>
        </w:numPr>
      </w:pPr>
    </w:p>
    <w:sectPr>
      <w:footerReference r:id="rId12"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BF946">
    <w:pPr>
      <w:pStyle w:val="63"/>
      <w:ind w:right="360"/>
      <w:jc w:val="center"/>
      <w:rPr>
        <w:rStyle w:val="13"/>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14935" cy="131445"/>
              <wp:effectExtent l="0" t="0" r="0" b="0"/>
              <wp:wrapNone/>
              <wp:docPr id="2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6F49C3ED">
                          <w:pPr>
                            <w:pStyle w:val="4"/>
                            <w:rPr>
                              <w:rStyle w:val="13"/>
                            </w:rPr>
                          </w:pPr>
                          <w:r>
                            <w:fldChar w:fldCharType="begin"/>
                          </w:r>
                          <w:r>
                            <w:rPr>
                              <w:rStyle w:val="13"/>
                            </w:rPr>
                            <w:instrText xml:space="preserve">PAGE  </w:instrText>
                          </w:r>
                          <w:r>
                            <w:fldChar w:fldCharType="separate"/>
                          </w:r>
                          <w:r>
                            <w:rPr>
                              <w:rStyle w:val="13"/>
                            </w:rPr>
                            <w:t>2</w:t>
                          </w:r>
                          <w: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0.35pt;width:9.05pt;mso-position-horizontal:right;mso-position-horizontal-relative:margin;mso-wrap-style:none;z-index:25166438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HiaMlEPAgAAEQQAAA4AAAAAAAAAAQAgAAAA&#10;HwEAAGRycy9lMm9Eb2MueG1sUEsFBgAAAAAGAAYAWQEAAKAFAAAAAA==&#10;">
              <v:fill on="f" focussize="0,0"/>
              <v:stroke on="f"/>
              <v:imagedata o:title=""/>
              <o:lock v:ext="edit" aspectratio="f"/>
              <v:textbox inset="0mm,0mm,0mm,0mm" style="mso-fit-shape-to-text:t;">
                <w:txbxContent>
                  <w:p w14:paraId="6F49C3ED">
                    <w:pPr>
                      <w:pStyle w:val="4"/>
                      <w:rPr>
                        <w:rStyle w:val="13"/>
                      </w:rPr>
                    </w:pPr>
                    <w:r>
                      <w:fldChar w:fldCharType="begin"/>
                    </w:r>
                    <w:r>
                      <w:rPr>
                        <w:rStyle w:val="13"/>
                      </w:rPr>
                      <w:instrText xml:space="preserve">PAGE  </w:instrText>
                    </w:r>
                    <w:r>
                      <w:fldChar w:fldCharType="separate"/>
                    </w:r>
                    <w:r>
                      <w:rPr>
                        <w:rStyle w:val="13"/>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4B39D">
    <w:pPr>
      <w:pStyle w:val="4"/>
      <w:framePr w:wrap="around" w:vAnchor="text" w:hAnchor="margin" w:xAlign="center" w:y="1"/>
      <w:rPr>
        <w:rStyle w:val="13"/>
      </w:rPr>
    </w:pPr>
    <w:r>
      <w:fldChar w:fldCharType="begin"/>
    </w:r>
    <w:r>
      <w:rPr>
        <w:rStyle w:val="13"/>
      </w:rPr>
      <w:instrText xml:space="preserve">PAGE  </w:instrText>
    </w:r>
    <w:r>
      <w:fldChar w:fldCharType="end"/>
    </w:r>
  </w:p>
  <w:p w14:paraId="0443EEA8">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78765"/>
    </w:sdtPr>
    <w:sdtContent>
      <w:p w14:paraId="1D5765A9">
        <w:pPr>
          <w:pStyle w:val="4"/>
          <w:jc w:val="right"/>
        </w:pPr>
        <w:r>
          <w:fldChar w:fldCharType="begin"/>
        </w:r>
        <w:r>
          <w:instrText xml:space="preserve">PAGE   \* MERGEFORMAT</w:instrText>
        </w:r>
        <w:r>
          <w:fldChar w:fldCharType="separate"/>
        </w:r>
        <w:r>
          <w:rPr>
            <w:lang w:val="zh-CN"/>
          </w:rPr>
          <w:t>II</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0A69A">
    <w:pPr>
      <w:pStyle w:val="4"/>
      <w:spacing w:after="120"/>
      <w:ind w:firstLine="360"/>
    </w:pPr>
  </w:p>
  <w:p w14:paraId="1E4ECD9D"/>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2F441">
    <w:pPr>
      <w:pStyle w:val="4"/>
      <w:spacing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62337"/>
    </w:sdtPr>
    <w:sdtContent>
      <w:p w14:paraId="7A24D0AE">
        <w:pPr>
          <w:pStyle w:val="4"/>
          <w:jc w:val="right"/>
        </w:pPr>
        <w:r>
          <w:fldChar w:fldCharType="begin"/>
        </w:r>
        <w:r>
          <w:instrText xml:space="preserve">PAGE   \* MERGEFORMAT</w:instrText>
        </w:r>
        <w:r>
          <w:fldChar w:fldCharType="separate"/>
        </w:r>
        <w:r>
          <w:rPr>
            <w:lang w:val="zh-CN"/>
          </w:rPr>
          <w:t>3</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9B598">
    <w:pPr>
      <w:pStyle w:val="61"/>
      <w:ind w:right="210"/>
    </w:pPr>
    <w:r>
      <w:t>DB</w:t>
    </w:r>
    <w:r>
      <w:rPr>
        <w:rFonts w:hint="eastAsia"/>
      </w:rPr>
      <w:t xml:space="preserve"> 13</w:t>
    </w:r>
    <w:r>
      <w:t>/</w:t>
    </w:r>
    <w:r>
      <w:rPr>
        <w:rFonts w:hint="eastAsia"/>
      </w:rPr>
      <w:t>T xxxx－2017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777F1">
    <w:pPr>
      <w:spacing w:after="220"/>
      <w:jc w:val="right"/>
      <w:rPr>
        <w:rFonts w:ascii="Times New Roman" w:hAnsi="Times New Roman" w:cs="Times New Roman"/>
      </w:rPr>
    </w:pPr>
    <w:r>
      <w:rPr>
        <w:rFonts w:ascii="Times New Roman" w:hAnsi="Times New Roman" w:cs="Times New Roman"/>
      </w:rPr>
      <w:t>DB13/T XXXX—</w:t>
    </w:r>
    <w:r>
      <w:rPr>
        <w:rFonts w:hint="eastAsia" w:ascii="Times New Roman" w:hAnsi="Times New Roman" w:cs="Times New Roman"/>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570C4">
    <w:pPr>
      <w:pStyle w:val="5"/>
      <w:spacing w:after="120"/>
      <w:ind w:firstLine="360"/>
    </w:pPr>
  </w:p>
  <w:p w14:paraId="633A42FB"/>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51527">
    <w:pPr>
      <w:pStyle w:val="5"/>
      <w:spacing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2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
    <w:nsid w:val="1FC91163"/>
    <w:multiLevelType w:val="multilevel"/>
    <w:tmpl w:val="1FC91163"/>
    <w:lvl w:ilvl="0" w:tentative="0">
      <w:start w:val="1"/>
      <w:numFmt w:val="decimal"/>
      <w:pStyle w:val="20"/>
      <w:suff w:val="nothing"/>
      <w:lvlText w:val="%1　"/>
      <w:lvlJc w:val="left"/>
      <w:pPr>
        <w:ind w:left="142" w:firstLine="0"/>
      </w:pPr>
      <w:rPr>
        <w:rFonts w:hint="eastAsia" w:ascii="黑体" w:hAnsi="Times New Roman" w:eastAsia="黑体"/>
        <w:b w:val="0"/>
        <w:i w:val="0"/>
        <w:sz w:val="21"/>
        <w:szCs w:val="21"/>
      </w:rPr>
    </w:lvl>
    <w:lvl w:ilvl="1" w:tentative="0">
      <w:start w:val="1"/>
      <w:numFmt w:val="decimal"/>
      <w:pStyle w:val="19"/>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1"/>
      <w:suff w:val="nothing"/>
      <w:lvlText w:val="%1.%2.%3　"/>
      <w:lvlJc w:val="left"/>
      <w:pPr>
        <w:ind w:left="567" w:firstLine="0"/>
      </w:pPr>
      <w:rPr>
        <w:rFonts w:hint="eastAsia" w:ascii="黑体" w:hAnsi="Times New Roman" w:eastAsia="黑体"/>
        <w:b w:val="0"/>
        <w:i w:val="0"/>
        <w:sz w:val="24"/>
        <w:szCs w:val="24"/>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24"/>
      <w:suff w:val="nothing"/>
      <w:lvlText w:val="%1.%2.%3.%4.%5　"/>
      <w:lvlJc w:val="left"/>
      <w:pPr>
        <w:ind w:left="0" w:firstLine="0"/>
      </w:pPr>
      <w:rPr>
        <w:rFonts w:hint="eastAsia" w:ascii="黑体" w:hAnsi="Times New Roman" w:eastAsia="黑体"/>
        <w:b w:val="0"/>
        <w:i w:val="0"/>
        <w:sz w:val="21"/>
      </w:rPr>
    </w:lvl>
    <w:lvl w:ilvl="5" w:tentative="0">
      <w:start w:val="1"/>
      <w:numFmt w:val="decimal"/>
      <w:pStyle w:val="2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2C5917C3"/>
    <w:multiLevelType w:val="multilevel"/>
    <w:tmpl w:val="2C5917C3"/>
    <w:lvl w:ilvl="0" w:tentative="0">
      <w:start w:val="1"/>
      <w:numFmt w:val="none"/>
      <w:pStyle w:val="69"/>
      <w:suff w:val="nothing"/>
      <w:lvlText w:val="%1——"/>
      <w:lvlJc w:val="left"/>
      <w:pPr>
        <w:ind w:left="833" w:hanging="408"/>
      </w:pPr>
      <w:rPr>
        <w:rFonts w:hint="eastAsia"/>
      </w:rPr>
    </w:lvl>
    <w:lvl w:ilvl="1" w:tentative="0">
      <w:start w:val="1"/>
      <w:numFmt w:val="bullet"/>
      <w:pStyle w:val="70"/>
      <w:lvlText w:val=""/>
      <w:lvlJc w:val="left"/>
      <w:pPr>
        <w:tabs>
          <w:tab w:val="left" w:pos="760"/>
        </w:tabs>
        <w:ind w:left="1264" w:hanging="413"/>
      </w:pPr>
      <w:rPr>
        <w:rFonts w:hint="default" w:ascii="Symbol" w:hAnsi="Symbol"/>
        <w:color w:val="auto"/>
      </w:rPr>
    </w:lvl>
    <w:lvl w:ilvl="2" w:tentative="0">
      <w:start w:val="1"/>
      <w:numFmt w:val="bullet"/>
      <w:pStyle w:val="7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3">
    <w:nsid w:val="3D733618"/>
    <w:multiLevelType w:val="multilevel"/>
    <w:tmpl w:val="3D733618"/>
    <w:lvl w:ilvl="0" w:tentative="0">
      <w:start w:val="1"/>
      <w:numFmt w:val="decimal"/>
      <w:pStyle w:val="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4">
    <w:nsid w:val="60B55DC2"/>
    <w:multiLevelType w:val="multilevel"/>
    <w:tmpl w:val="60B55DC2"/>
    <w:lvl w:ilvl="0" w:tentative="0">
      <w:start w:val="1"/>
      <w:numFmt w:val="upperLetter"/>
      <w:pStyle w:val="58"/>
      <w:lvlText w:val="%1"/>
      <w:lvlJc w:val="left"/>
      <w:pPr>
        <w:tabs>
          <w:tab w:val="left" w:pos="0"/>
        </w:tabs>
        <w:ind w:left="0" w:hanging="425"/>
      </w:pPr>
      <w:rPr>
        <w:rFonts w:hint="eastAsia"/>
      </w:rPr>
    </w:lvl>
    <w:lvl w:ilvl="1" w:tentative="0">
      <w:start w:val="1"/>
      <w:numFmt w:val="decimal"/>
      <w:pStyle w:val="5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5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5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57"/>
      <w:suff w:val="nothing"/>
      <w:lvlText w:val="%1.%2.%3　"/>
      <w:lvlJc w:val="left"/>
      <w:pPr>
        <w:ind w:left="0" w:firstLine="0"/>
      </w:pPr>
      <w:rPr>
        <w:rFonts w:hint="eastAsia" w:ascii="黑体" w:hAnsi="Times New Roman" w:eastAsia="黑体"/>
        <w:b w:val="0"/>
        <w:i w:val="0"/>
        <w:sz w:val="21"/>
      </w:rPr>
    </w:lvl>
    <w:lvl w:ilvl="3" w:tentative="0">
      <w:start w:val="1"/>
      <w:numFmt w:val="decimal"/>
      <w:pStyle w:val="52"/>
      <w:suff w:val="nothing"/>
      <w:lvlText w:val="%1.%2.%3.%4　"/>
      <w:lvlJc w:val="left"/>
      <w:pPr>
        <w:ind w:left="0" w:firstLine="0"/>
      </w:pPr>
      <w:rPr>
        <w:rFonts w:hint="eastAsia" w:ascii="黑体" w:hAnsi="Times New Roman" w:eastAsia="黑体"/>
        <w:b w:val="0"/>
        <w:i w:val="0"/>
        <w:sz w:val="21"/>
      </w:rPr>
    </w:lvl>
    <w:lvl w:ilvl="4" w:tentative="0">
      <w:start w:val="1"/>
      <w:numFmt w:val="decimal"/>
      <w:pStyle w:val="53"/>
      <w:suff w:val="nothing"/>
      <w:lvlText w:val="%1.%2.%3.%4.%5　"/>
      <w:lvlJc w:val="left"/>
      <w:pPr>
        <w:ind w:left="0" w:firstLine="0"/>
      </w:pPr>
      <w:rPr>
        <w:rFonts w:hint="eastAsia" w:ascii="黑体" w:hAnsi="Times New Roman" w:eastAsia="黑体"/>
        <w:b w:val="0"/>
        <w:i w:val="0"/>
        <w:sz w:val="21"/>
      </w:rPr>
    </w:lvl>
    <w:lvl w:ilvl="5" w:tentative="0">
      <w:start w:val="1"/>
      <w:numFmt w:val="decimal"/>
      <w:pStyle w:val="54"/>
      <w:suff w:val="nothing"/>
      <w:lvlText w:val="%1.%2.%3.%4.%5.%6　"/>
      <w:lvlJc w:val="left"/>
      <w:pPr>
        <w:ind w:left="0" w:firstLine="0"/>
      </w:pPr>
      <w:rPr>
        <w:rFonts w:hint="eastAsia" w:ascii="黑体" w:hAnsi="Times New Roman" w:eastAsia="黑体"/>
        <w:b w:val="0"/>
        <w:i w:val="0"/>
        <w:sz w:val="21"/>
      </w:rPr>
    </w:lvl>
    <w:lvl w:ilvl="6" w:tentative="0">
      <w:start w:val="1"/>
      <w:numFmt w:val="decimal"/>
      <w:pStyle w:val="5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6DBF04F4"/>
    <w:multiLevelType w:val="multilevel"/>
    <w:tmpl w:val="6DBF04F4"/>
    <w:lvl w:ilvl="0" w:tentative="0">
      <w:start w:val="1"/>
      <w:numFmt w:val="none"/>
      <w:pStyle w:val="4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7">
    <w:nsid w:val="72E80858"/>
    <w:multiLevelType w:val="multilevel"/>
    <w:tmpl w:val="72E80858"/>
    <w:lvl w:ilvl="0" w:tentative="0">
      <w:start w:val="1"/>
      <w:numFmt w:val="lowerLetter"/>
      <w:pStyle w:val="48"/>
      <w:lvlText w:val="%1)"/>
      <w:lvlJc w:val="left"/>
      <w:pPr>
        <w:tabs>
          <w:tab w:val="left" w:pos="840"/>
        </w:tabs>
        <w:ind w:left="839" w:hanging="419"/>
      </w:pPr>
      <w:rPr>
        <w:rFonts w:hint="eastAsia" w:ascii="宋体" w:eastAsia="宋体"/>
        <w:b w:val="0"/>
        <w:i w:val="0"/>
        <w:sz w:val="21"/>
        <w:szCs w:val="21"/>
      </w:rPr>
    </w:lvl>
    <w:lvl w:ilvl="1" w:tentative="0">
      <w:start w:val="1"/>
      <w:numFmt w:val="decimal"/>
      <w:pStyle w:val="4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num w:numId="1">
    <w:abstractNumId w:val="3"/>
  </w:num>
  <w:num w:numId="2">
    <w:abstractNumId w:val="1"/>
  </w:num>
  <w:num w:numId="3">
    <w:abstractNumId w:val="0"/>
  </w:num>
  <w:num w:numId="4">
    <w:abstractNumId w:val="7"/>
  </w:num>
  <w:num w:numId="5">
    <w:abstractNumId w:val="6"/>
  </w:num>
  <w:num w:numId="6">
    <w:abstractNumId w:val="5"/>
  </w:num>
  <w:num w:numId="7">
    <w:abstractNumId w:val="4"/>
  </w:num>
  <w:num w:numId="8">
    <w:abstractNumId w:val="2"/>
  </w:num>
  <w:num w:numId="9">
    <w:abstractNumId w:val="1"/>
    <w:lvlOverride w:ilvl="0">
      <w:lvl w:ilvl="0" w:tentative="1">
        <w:start w:val="1"/>
        <w:numFmt w:val="decimal"/>
        <w:suff w:val="nothing"/>
        <w:lvlText w:val="%1　"/>
        <w:lvlJc w:val="left"/>
        <w:pPr>
          <w:ind w:left="142" w:firstLine="0"/>
        </w:pPr>
        <w:rPr>
          <w:rFonts w:hint="eastAsia" w:ascii="黑体" w:hAnsi="Times New Roman" w:eastAsia="黑体"/>
          <w:b w:val="0"/>
          <w:i w:val="0"/>
          <w:sz w:val="24"/>
          <w:szCs w:val="24"/>
        </w:rPr>
      </w:lvl>
    </w:lvlOverride>
    <w:lvlOverride w:ilvl="1">
      <w:lvl w:ilvl="1" w:tentative="1">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Override>
    <w:lvlOverride w:ilvl="2">
      <w:lvl w:ilvl="2" w:tentative="1">
        <w:start w:val="1"/>
        <w:numFmt w:val="decimal"/>
        <w:suff w:val="nothing"/>
        <w:lvlText w:val="%1.%2.%3　"/>
        <w:lvlJc w:val="left"/>
        <w:pPr>
          <w:ind w:left="567" w:firstLine="0"/>
        </w:pPr>
        <w:rPr>
          <w:rFonts w:hint="eastAsia" w:ascii="黑体" w:hAnsi="Times New Roman" w:eastAsia="黑体"/>
          <w:b w:val="0"/>
          <w:i w:val="0"/>
          <w:sz w:val="24"/>
          <w:szCs w:val="24"/>
        </w:rPr>
      </w:lvl>
    </w:lvlOverride>
    <w:lvlOverride w:ilvl="3">
      <w:lvl w:ilvl="3" w:tentative="1">
        <w:start w:val="1"/>
        <w:numFmt w:val="decimal"/>
        <w:suff w:val="nothing"/>
        <w:lvlText w:val="%1.%2.%3.%4　"/>
        <w:lvlJc w:val="left"/>
        <w:pPr>
          <w:ind w:left="0" w:firstLine="0"/>
        </w:pPr>
        <w:rPr>
          <w:rFonts w:hint="eastAsia" w:ascii="黑体" w:hAnsi="Times New Roman" w:eastAsia="黑体"/>
          <w:b w:val="0"/>
          <w:i w:val="0"/>
          <w:sz w:val="21"/>
        </w:rPr>
      </w:lvl>
    </w:lvlOverride>
    <w:lvlOverride w:ilvl="4">
      <w:lvl w:ilvl="4" w:tentative="1">
        <w:start w:val="1"/>
        <w:numFmt w:val="decimal"/>
        <w:suff w:val="nothing"/>
        <w:lvlText w:val="%1.%2.%3.%4.%5　"/>
        <w:lvlJc w:val="left"/>
        <w:pPr>
          <w:ind w:left="0" w:firstLine="0"/>
        </w:pPr>
        <w:rPr>
          <w:rFonts w:hint="eastAsia" w:ascii="黑体" w:hAnsi="Times New Roman" w:eastAsia="黑体"/>
          <w:b w:val="0"/>
          <w:i w:val="0"/>
          <w:sz w:val="21"/>
        </w:rPr>
      </w:lvl>
    </w:lvlOverride>
    <w:lvlOverride w:ilvl="5">
      <w:lvl w:ilvl="5" w:tentative="1">
        <w:start w:val="1"/>
        <w:numFmt w:val="decimal"/>
        <w:suff w:val="nothing"/>
        <w:lvlText w:val="%1.%2.%3.%4.%5.%6　"/>
        <w:lvlJc w:val="left"/>
        <w:pPr>
          <w:ind w:left="0" w:firstLine="0"/>
        </w:pPr>
        <w:rPr>
          <w:rFonts w:hint="eastAsia" w:ascii="黑体" w:hAnsi="Times New Roman" w:eastAsia="黑体"/>
          <w:b w:val="0"/>
          <w:i w:val="0"/>
          <w:sz w:val="21"/>
        </w:rPr>
      </w:lvl>
    </w:lvlOverride>
    <w:lvlOverride w:ilvl="6">
      <w:lvl w:ilvl="6" w:tentative="1">
        <w:start w:val="1"/>
        <w:numFmt w:val="decimal"/>
        <w:suff w:val="nothing"/>
        <w:lvlText w:val="%1%2.%3.%4.%5.%6.%7　"/>
        <w:lvlJc w:val="left"/>
        <w:pPr>
          <w:ind w:left="0" w:firstLine="0"/>
        </w:pPr>
        <w:rPr>
          <w:rFonts w:hint="eastAsia" w:ascii="黑体" w:hAnsi="Times New Roman" w:eastAsia="黑体"/>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 w:numId="10">
    <w:abstractNumId w:val="1"/>
    <w:lvlOverride w:ilvl="0">
      <w:lvl w:ilvl="0" w:tentative="1">
        <w:start w:val="1"/>
        <w:numFmt w:val="decimal"/>
        <w:suff w:val="nothing"/>
        <w:lvlText w:val="%1　"/>
        <w:lvlJc w:val="left"/>
        <w:pPr>
          <w:ind w:left="142" w:firstLine="0"/>
        </w:pPr>
        <w:rPr>
          <w:rFonts w:hint="eastAsia" w:ascii="黑体" w:hAnsi="Times New Roman" w:eastAsia="黑体"/>
          <w:b w:val="0"/>
          <w:i w:val="0"/>
          <w:sz w:val="24"/>
          <w:szCs w:val="24"/>
        </w:rPr>
      </w:lvl>
    </w:lvlOverride>
    <w:lvlOverride w:ilvl="1">
      <w:lvl w:ilvl="1" w:tentative="1">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Override>
    <w:lvlOverride w:ilvl="2">
      <w:lvl w:ilvl="2" w:tentative="1">
        <w:start w:val="1"/>
        <w:numFmt w:val="decimal"/>
        <w:suff w:val="nothing"/>
        <w:lvlText w:val="%1.%2.%3　"/>
        <w:lvlJc w:val="left"/>
        <w:pPr>
          <w:ind w:left="567" w:firstLine="0"/>
        </w:pPr>
        <w:rPr>
          <w:rFonts w:hint="eastAsia" w:ascii="黑体" w:hAnsi="Times New Roman" w:eastAsia="黑体"/>
          <w:b w:val="0"/>
          <w:i w:val="0"/>
          <w:sz w:val="24"/>
          <w:szCs w:val="24"/>
        </w:rPr>
      </w:lvl>
    </w:lvlOverride>
    <w:lvlOverride w:ilvl="3">
      <w:lvl w:ilvl="3" w:tentative="1">
        <w:start w:val="1"/>
        <w:numFmt w:val="decimal"/>
        <w:suff w:val="nothing"/>
        <w:lvlText w:val="%1.%2.%3.%4　"/>
        <w:lvlJc w:val="left"/>
        <w:pPr>
          <w:ind w:left="0" w:firstLine="0"/>
        </w:pPr>
        <w:rPr>
          <w:rFonts w:hint="eastAsia" w:ascii="黑体" w:hAnsi="Times New Roman" w:eastAsia="黑体"/>
          <w:b w:val="0"/>
          <w:i w:val="0"/>
          <w:sz w:val="21"/>
        </w:rPr>
      </w:lvl>
    </w:lvlOverride>
    <w:lvlOverride w:ilvl="4">
      <w:lvl w:ilvl="4" w:tentative="1">
        <w:start w:val="1"/>
        <w:numFmt w:val="decimal"/>
        <w:suff w:val="nothing"/>
        <w:lvlText w:val="%1.%2.%3.%4.%5　"/>
        <w:lvlJc w:val="left"/>
        <w:pPr>
          <w:ind w:left="0" w:firstLine="0"/>
        </w:pPr>
        <w:rPr>
          <w:rFonts w:hint="eastAsia" w:ascii="黑体" w:hAnsi="Times New Roman" w:eastAsia="黑体"/>
          <w:b w:val="0"/>
          <w:i w:val="0"/>
          <w:sz w:val="21"/>
        </w:rPr>
      </w:lvl>
    </w:lvlOverride>
    <w:lvlOverride w:ilvl="5">
      <w:lvl w:ilvl="5" w:tentative="1">
        <w:start w:val="1"/>
        <w:numFmt w:val="decimal"/>
        <w:suff w:val="nothing"/>
        <w:lvlText w:val="%1.%2.%3.%4.%5.%6　"/>
        <w:lvlJc w:val="left"/>
        <w:pPr>
          <w:ind w:left="0" w:firstLine="0"/>
        </w:pPr>
        <w:rPr>
          <w:rFonts w:hint="eastAsia" w:ascii="黑体" w:hAnsi="Times New Roman" w:eastAsia="黑体"/>
          <w:b w:val="0"/>
          <w:i w:val="0"/>
          <w:sz w:val="21"/>
        </w:rPr>
      </w:lvl>
    </w:lvlOverride>
    <w:lvlOverride w:ilvl="6">
      <w:lvl w:ilvl="6" w:tentative="1">
        <w:start w:val="1"/>
        <w:numFmt w:val="decimal"/>
        <w:suff w:val="nothing"/>
        <w:lvlText w:val="%1%2.%3.%4.%5.%6.%7　"/>
        <w:lvlJc w:val="left"/>
        <w:pPr>
          <w:ind w:left="0" w:firstLine="0"/>
        </w:pPr>
        <w:rPr>
          <w:rFonts w:hint="eastAsia" w:ascii="黑体" w:hAnsi="Times New Roman" w:eastAsia="黑体"/>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 w:numId="11">
    <w:abstractNumId w:val="1"/>
    <w:lvlOverride w:ilvl="0">
      <w:lvl w:ilvl="0" w:tentative="1">
        <w:start w:val="1"/>
        <w:numFmt w:val="decimal"/>
        <w:suff w:val="nothing"/>
        <w:lvlText w:val="%1　"/>
        <w:lvlJc w:val="left"/>
        <w:pPr>
          <w:ind w:left="142" w:firstLine="0"/>
        </w:pPr>
        <w:rPr>
          <w:rFonts w:hint="eastAsia" w:ascii="黑体" w:hAnsi="Times New Roman" w:eastAsia="黑体"/>
          <w:b w:val="0"/>
          <w:i w:val="0"/>
          <w:sz w:val="24"/>
          <w:szCs w:val="24"/>
        </w:rPr>
      </w:lvl>
    </w:lvlOverride>
    <w:lvlOverride w:ilvl="1">
      <w:lvl w:ilvl="1" w:tentative="1">
        <w:start w:val="1"/>
        <w:numFmt w:val="decimal"/>
        <w:suff w:val="nothing"/>
        <w:lvlText w:val="%1.%2　"/>
        <w:lvlJc w:val="left"/>
        <w:pPr>
          <w:ind w:left="567"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4"/>
          <w:szCs w:val="24"/>
          <w:u w:val="none"/>
          <w:vertAlign w:val="baseline"/>
        </w:rPr>
      </w:lvl>
    </w:lvlOverride>
    <w:lvlOverride w:ilvl="2">
      <w:lvl w:ilvl="2" w:tentative="1">
        <w:start w:val="1"/>
        <w:numFmt w:val="decimal"/>
        <w:suff w:val="nothing"/>
        <w:lvlText w:val="%1.%2.%3　"/>
        <w:lvlJc w:val="left"/>
        <w:pPr>
          <w:ind w:left="0" w:firstLine="0"/>
        </w:pPr>
        <w:rPr>
          <w:rFonts w:hint="eastAsia" w:ascii="黑体" w:hAnsi="Times New Roman" w:eastAsia="黑体"/>
          <w:b w:val="0"/>
          <w:i w:val="0"/>
          <w:sz w:val="21"/>
          <w:szCs w:val="21"/>
        </w:rPr>
      </w:lvl>
    </w:lvlOverride>
    <w:lvlOverride w:ilvl="3">
      <w:lvl w:ilvl="3" w:tentative="1">
        <w:start w:val="1"/>
        <w:numFmt w:val="decimal"/>
        <w:suff w:val="nothing"/>
        <w:lvlText w:val="%1.%2.%3.%4　"/>
        <w:lvlJc w:val="left"/>
        <w:pPr>
          <w:ind w:left="0" w:firstLine="0"/>
        </w:pPr>
        <w:rPr>
          <w:rFonts w:hint="eastAsia" w:ascii="黑体" w:hAnsi="Times New Roman" w:eastAsia="黑体"/>
          <w:b w:val="0"/>
          <w:i w:val="0"/>
          <w:sz w:val="21"/>
        </w:rPr>
      </w:lvl>
    </w:lvlOverride>
    <w:lvlOverride w:ilvl="4">
      <w:lvl w:ilvl="4" w:tentative="1">
        <w:start w:val="1"/>
        <w:numFmt w:val="decimal"/>
        <w:suff w:val="nothing"/>
        <w:lvlText w:val="%1.%2.%3.%4.%5　"/>
        <w:lvlJc w:val="left"/>
        <w:pPr>
          <w:ind w:left="0" w:firstLine="0"/>
        </w:pPr>
        <w:rPr>
          <w:rFonts w:hint="eastAsia" w:ascii="黑体" w:hAnsi="Times New Roman" w:eastAsia="黑体"/>
          <w:b w:val="0"/>
          <w:i w:val="0"/>
          <w:sz w:val="21"/>
        </w:rPr>
      </w:lvl>
    </w:lvlOverride>
    <w:lvlOverride w:ilvl="5">
      <w:lvl w:ilvl="5" w:tentative="1">
        <w:start w:val="1"/>
        <w:numFmt w:val="decimal"/>
        <w:suff w:val="nothing"/>
        <w:lvlText w:val="%1.%2.%3.%4.%5.%6　"/>
        <w:lvlJc w:val="left"/>
        <w:pPr>
          <w:ind w:left="0" w:firstLine="0"/>
        </w:pPr>
        <w:rPr>
          <w:rFonts w:hint="eastAsia" w:ascii="黑体" w:hAnsi="Times New Roman" w:eastAsia="黑体"/>
          <w:b w:val="0"/>
          <w:i w:val="0"/>
          <w:sz w:val="21"/>
        </w:rPr>
      </w:lvl>
    </w:lvlOverride>
    <w:lvlOverride w:ilvl="6">
      <w:lvl w:ilvl="6" w:tentative="1">
        <w:start w:val="1"/>
        <w:numFmt w:val="decimal"/>
        <w:suff w:val="nothing"/>
        <w:lvlText w:val="%1%2.%3.%4.%5.%6.%7　"/>
        <w:lvlJc w:val="left"/>
        <w:pPr>
          <w:ind w:left="0" w:firstLine="0"/>
        </w:pPr>
        <w:rPr>
          <w:rFonts w:hint="eastAsia" w:ascii="黑体" w:hAnsi="Times New Roman" w:eastAsia="黑体"/>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 w:numId="12">
    <w:abstractNumId w:val="1"/>
    <w:lvlOverride w:ilvl="0">
      <w:lvl w:ilvl="0" w:tentative="1">
        <w:start w:val="1"/>
        <w:numFmt w:val="decimal"/>
        <w:suff w:val="nothing"/>
        <w:lvlText w:val="%1　"/>
        <w:lvlJc w:val="left"/>
        <w:pPr>
          <w:ind w:left="142" w:firstLine="0"/>
        </w:pPr>
        <w:rPr>
          <w:rFonts w:hint="eastAsia" w:ascii="黑体" w:hAnsi="Times New Roman" w:eastAsia="黑体"/>
          <w:b w:val="0"/>
          <w:i w:val="0"/>
          <w:sz w:val="24"/>
          <w:szCs w:val="24"/>
        </w:rPr>
      </w:lvl>
    </w:lvlOverride>
    <w:lvlOverride w:ilvl="1">
      <w:lvl w:ilvl="1" w:tentative="1">
        <w:start w:val="1"/>
        <w:numFmt w:val="decimal"/>
        <w:suff w:val="nothing"/>
        <w:lvlText w:val="%1.%2　"/>
        <w:lvlJc w:val="left"/>
        <w:pPr>
          <w:ind w:left="567"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4"/>
          <w:szCs w:val="24"/>
          <w:u w:val="none"/>
          <w:vertAlign w:val="baseline"/>
        </w:rPr>
      </w:lvl>
    </w:lvlOverride>
    <w:lvlOverride w:ilvl="2">
      <w:lvl w:ilvl="2" w:tentative="1">
        <w:start w:val="1"/>
        <w:numFmt w:val="decimal"/>
        <w:suff w:val="nothing"/>
        <w:lvlText w:val="%1.%2.%3　"/>
        <w:lvlJc w:val="left"/>
        <w:pPr>
          <w:ind w:left="0" w:firstLine="0"/>
        </w:pPr>
        <w:rPr>
          <w:rFonts w:hint="eastAsia" w:ascii="黑体" w:hAnsi="Times New Roman" w:eastAsia="黑体"/>
          <w:b w:val="0"/>
          <w:i w:val="0"/>
          <w:sz w:val="21"/>
          <w:szCs w:val="21"/>
        </w:rPr>
      </w:lvl>
    </w:lvlOverride>
    <w:lvlOverride w:ilvl="3">
      <w:lvl w:ilvl="3" w:tentative="1">
        <w:start w:val="1"/>
        <w:numFmt w:val="decimal"/>
        <w:suff w:val="nothing"/>
        <w:lvlText w:val="%1.%2.%3.%4　"/>
        <w:lvlJc w:val="left"/>
        <w:pPr>
          <w:ind w:left="0" w:firstLine="0"/>
        </w:pPr>
        <w:rPr>
          <w:rFonts w:hint="eastAsia" w:ascii="黑体" w:hAnsi="Times New Roman" w:eastAsia="黑体"/>
          <w:b w:val="0"/>
          <w:i w:val="0"/>
          <w:sz w:val="21"/>
        </w:rPr>
      </w:lvl>
    </w:lvlOverride>
    <w:lvlOverride w:ilvl="4">
      <w:lvl w:ilvl="4" w:tentative="1">
        <w:start w:val="1"/>
        <w:numFmt w:val="decimal"/>
        <w:suff w:val="nothing"/>
        <w:lvlText w:val="%1.%2.%3.%4.%5　"/>
        <w:lvlJc w:val="left"/>
        <w:pPr>
          <w:ind w:left="0" w:firstLine="0"/>
        </w:pPr>
        <w:rPr>
          <w:rFonts w:hint="eastAsia" w:ascii="黑体" w:hAnsi="Times New Roman" w:eastAsia="黑体"/>
          <w:b w:val="0"/>
          <w:i w:val="0"/>
          <w:sz w:val="21"/>
        </w:rPr>
      </w:lvl>
    </w:lvlOverride>
    <w:lvlOverride w:ilvl="5">
      <w:lvl w:ilvl="5" w:tentative="1">
        <w:start w:val="1"/>
        <w:numFmt w:val="decimal"/>
        <w:suff w:val="nothing"/>
        <w:lvlText w:val="%1.%2.%3.%4.%5.%6　"/>
        <w:lvlJc w:val="left"/>
        <w:pPr>
          <w:ind w:left="0" w:firstLine="0"/>
        </w:pPr>
        <w:rPr>
          <w:rFonts w:hint="eastAsia" w:ascii="黑体" w:hAnsi="Times New Roman" w:eastAsia="黑体"/>
          <w:b w:val="0"/>
          <w:i w:val="0"/>
          <w:sz w:val="21"/>
        </w:rPr>
      </w:lvl>
    </w:lvlOverride>
    <w:lvlOverride w:ilvl="6">
      <w:lvl w:ilvl="6" w:tentative="1">
        <w:start w:val="1"/>
        <w:numFmt w:val="decimal"/>
        <w:suff w:val="nothing"/>
        <w:lvlText w:val="%1%2.%3.%4.%5.%6.%7　"/>
        <w:lvlJc w:val="left"/>
        <w:pPr>
          <w:ind w:left="0" w:firstLine="0"/>
        </w:pPr>
        <w:rPr>
          <w:rFonts w:hint="eastAsia" w:ascii="黑体" w:hAnsi="Times New Roman" w:eastAsia="黑体"/>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 w:numId="13">
    <w:abstractNumId w:val="1"/>
    <w:lvlOverride w:ilvl="0">
      <w:lvl w:ilvl="0" w:tentative="1">
        <w:start w:val="1"/>
        <w:numFmt w:val="decimal"/>
        <w:suff w:val="nothing"/>
        <w:lvlText w:val="%1　"/>
        <w:lvlJc w:val="left"/>
        <w:pPr>
          <w:ind w:left="142" w:firstLine="0"/>
        </w:pPr>
        <w:rPr>
          <w:rFonts w:hint="eastAsia" w:ascii="黑体" w:hAnsi="Times New Roman" w:eastAsia="黑体"/>
          <w:b w:val="0"/>
          <w:i w:val="0"/>
          <w:sz w:val="24"/>
          <w:szCs w:val="24"/>
        </w:rPr>
      </w:lvl>
    </w:lvlOverride>
    <w:lvlOverride w:ilvl="1">
      <w:lvl w:ilvl="1" w:tentative="1">
        <w:start w:val="1"/>
        <w:numFmt w:val="decimal"/>
        <w:suff w:val="nothing"/>
        <w:lvlText w:val="%1.%2　"/>
        <w:lvlJc w:val="left"/>
        <w:pPr>
          <w:ind w:left="567"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4"/>
          <w:szCs w:val="24"/>
          <w:u w:val="none"/>
          <w:vertAlign w:val="baseline"/>
        </w:rPr>
      </w:lvl>
    </w:lvlOverride>
    <w:lvlOverride w:ilvl="2">
      <w:lvl w:ilvl="2" w:tentative="1">
        <w:start w:val="1"/>
        <w:numFmt w:val="decimal"/>
        <w:suff w:val="nothing"/>
        <w:lvlText w:val="%1.%2.%3　"/>
        <w:lvlJc w:val="left"/>
        <w:pPr>
          <w:ind w:left="0" w:firstLine="0"/>
        </w:pPr>
        <w:rPr>
          <w:rFonts w:hint="eastAsia" w:ascii="黑体" w:hAnsi="Times New Roman" w:eastAsia="黑体"/>
          <w:b w:val="0"/>
          <w:i w:val="0"/>
          <w:sz w:val="21"/>
          <w:szCs w:val="21"/>
        </w:rPr>
      </w:lvl>
    </w:lvlOverride>
    <w:lvlOverride w:ilvl="3">
      <w:lvl w:ilvl="3" w:tentative="1">
        <w:start w:val="1"/>
        <w:numFmt w:val="decimal"/>
        <w:suff w:val="nothing"/>
        <w:lvlText w:val="%1.%2.%3.%4　"/>
        <w:lvlJc w:val="left"/>
        <w:pPr>
          <w:ind w:left="0" w:firstLine="0"/>
        </w:pPr>
        <w:rPr>
          <w:rFonts w:hint="eastAsia" w:ascii="黑体" w:hAnsi="Times New Roman" w:eastAsia="黑体"/>
          <w:b w:val="0"/>
          <w:i w:val="0"/>
          <w:sz w:val="21"/>
        </w:rPr>
      </w:lvl>
    </w:lvlOverride>
    <w:lvlOverride w:ilvl="4">
      <w:lvl w:ilvl="4" w:tentative="1">
        <w:start w:val="1"/>
        <w:numFmt w:val="decimal"/>
        <w:suff w:val="nothing"/>
        <w:lvlText w:val="%1.%2.%3.%4.%5　"/>
        <w:lvlJc w:val="left"/>
        <w:pPr>
          <w:ind w:left="0" w:firstLine="0"/>
        </w:pPr>
        <w:rPr>
          <w:rFonts w:hint="eastAsia" w:ascii="黑体" w:hAnsi="Times New Roman" w:eastAsia="黑体"/>
          <w:b w:val="0"/>
          <w:i w:val="0"/>
          <w:sz w:val="21"/>
        </w:rPr>
      </w:lvl>
    </w:lvlOverride>
    <w:lvlOverride w:ilvl="5">
      <w:lvl w:ilvl="5" w:tentative="1">
        <w:start w:val="1"/>
        <w:numFmt w:val="decimal"/>
        <w:suff w:val="nothing"/>
        <w:lvlText w:val="%1.%2.%3.%4.%5.%6　"/>
        <w:lvlJc w:val="left"/>
        <w:pPr>
          <w:ind w:left="0" w:firstLine="0"/>
        </w:pPr>
        <w:rPr>
          <w:rFonts w:hint="eastAsia" w:ascii="黑体" w:hAnsi="Times New Roman" w:eastAsia="黑体"/>
          <w:b w:val="0"/>
          <w:i w:val="0"/>
          <w:sz w:val="21"/>
        </w:rPr>
      </w:lvl>
    </w:lvlOverride>
    <w:lvlOverride w:ilvl="6">
      <w:lvl w:ilvl="6" w:tentative="1">
        <w:start w:val="1"/>
        <w:numFmt w:val="decimal"/>
        <w:suff w:val="nothing"/>
        <w:lvlText w:val="%1%2.%3.%4.%5.%6.%7　"/>
        <w:lvlJc w:val="left"/>
        <w:pPr>
          <w:ind w:left="0" w:firstLine="0"/>
        </w:pPr>
        <w:rPr>
          <w:rFonts w:hint="eastAsia" w:ascii="黑体" w:hAnsi="Times New Roman" w:eastAsia="黑体"/>
          <w:b w:val="0"/>
          <w:i w:val="0"/>
          <w:sz w:val="21"/>
        </w:rPr>
      </w:lvl>
    </w:lvlOverride>
    <w:lvlOverride w:ilvl="7">
      <w:lvl w:ilvl="7" w:tentative="1">
        <w:start w:val="1"/>
        <w:numFmt w:val="decimal"/>
        <w:lvlText w:val="%1.%2.%3.%4.%5.%6.%7.%8"/>
        <w:lvlJc w:val="left"/>
        <w:pPr>
          <w:tabs>
            <w:tab w:val="left" w:pos="4351"/>
          </w:tabs>
          <w:ind w:left="3969" w:hanging="1418"/>
        </w:pPr>
        <w:rPr>
          <w:rFonts w:hint="eastAsia"/>
        </w:rPr>
      </w:lvl>
    </w:lvlOverride>
    <w:lvlOverride w:ilvl="8">
      <w:lvl w:ilvl="8" w:tentative="1">
        <w:start w:val="1"/>
        <w:numFmt w:val="decimal"/>
        <w:lvlText w:val="%1.%2.%3.%4.%5.%6.%7.%8.%9"/>
        <w:lvlJc w:val="left"/>
        <w:pPr>
          <w:tabs>
            <w:tab w:val="left" w:pos="4777"/>
          </w:tabs>
          <w:ind w:left="4677" w:hanging="1700"/>
        </w:pPr>
        <w:rPr>
          <w:rFonts w:hint="eastAsia"/>
        </w:rPr>
      </w:lvl>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源 路">
    <w15:presenceInfo w15:providerId="None" w15:userId="源 路"/>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420"/>
  <w:drawingGridHorizontalSpacing w:val="105"/>
  <w:drawingGridVerticalSpacing w:val="38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NjZmZkODIyZDZiNmRmZjlhMmM2NTY5NmZhYjgzNjkifQ=="/>
  </w:docVars>
  <w:rsids>
    <w:rsidRoot w:val="00A23CA0"/>
    <w:rsid w:val="00000113"/>
    <w:rsid w:val="00004872"/>
    <w:rsid w:val="000049EE"/>
    <w:rsid w:val="00007B08"/>
    <w:rsid w:val="00013DD6"/>
    <w:rsid w:val="00017502"/>
    <w:rsid w:val="00023F90"/>
    <w:rsid w:val="000241C7"/>
    <w:rsid w:val="000247A6"/>
    <w:rsid w:val="00027A21"/>
    <w:rsid w:val="00032894"/>
    <w:rsid w:val="00040CDE"/>
    <w:rsid w:val="00042C12"/>
    <w:rsid w:val="00044CC5"/>
    <w:rsid w:val="0004633D"/>
    <w:rsid w:val="000505C9"/>
    <w:rsid w:val="00052506"/>
    <w:rsid w:val="000527AA"/>
    <w:rsid w:val="00054A5D"/>
    <w:rsid w:val="00054E42"/>
    <w:rsid w:val="000614BC"/>
    <w:rsid w:val="00063698"/>
    <w:rsid w:val="00063860"/>
    <w:rsid w:val="00066C5C"/>
    <w:rsid w:val="00070826"/>
    <w:rsid w:val="00073CE1"/>
    <w:rsid w:val="0007416D"/>
    <w:rsid w:val="0007421C"/>
    <w:rsid w:val="00075867"/>
    <w:rsid w:val="00076BAA"/>
    <w:rsid w:val="00080C77"/>
    <w:rsid w:val="000810A0"/>
    <w:rsid w:val="00081378"/>
    <w:rsid w:val="00081590"/>
    <w:rsid w:val="00086710"/>
    <w:rsid w:val="00094D3B"/>
    <w:rsid w:val="00096D64"/>
    <w:rsid w:val="00097202"/>
    <w:rsid w:val="000A06BE"/>
    <w:rsid w:val="000A08D7"/>
    <w:rsid w:val="000A2E6C"/>
    <w:rsid w:val="000A5FCB"/>
    <w:rsid w:val="000A673D"/>
    <w:rsid w:val="000A6951"/>
    <w:rsid w:val="000A6B8E"/>
    <w:rsid w:val="000A735B"/>
    <w:rsid w:val="000A7BC1"/>
    <w:rsid w:val="000B5520"/>
    <w:rsid w:val="000C1C42"/>
    <w:rsid w:val="000C5E08"/>
    <w:rsid w:val="000C7965"/>
    <w:rsid w:val="000C7979"/>
    <w:rsid w:val="000C7A32"/>
    <w:rsid w:val="000D1D2C"/>
    <w:rsid w:val="000D3150"/>
    <w:rsid w:val="000D72A0"/>
    <w:rsid w:val="000E3306"/>
    <w:rsid w:val="000E76E9"/>
    <w:rsid w:val="000E7D8E"/>
    <w:rsid w:val="000F14D6"/>
    <w:rsid w:val="000F36F9"/>
    <w:rsid w:val="000F72A1"/>
    <w:rsid w:val="000F7ECE"/>
    <w:rsid w:val="0010027E"/>
    <w:rsid w:val="001003E6"/>
    <w:rsid w:val="00100A54"/>
    <w:rsid w:val="00101D24"/>
    <w:rsid w:val="00106169"/>
    <w:rsid w:val="00106CDE"/>
    <w:rsid w:val="00107E7E"/>
    <w:rsid w:val="00113E42"/>
    <w:rsid w:val="001145B6"/>
    <w:rsid w:val="001273B8"/>
    <w:rsid w:val="001274B3"/>
    <w:rsid w:val="00132AE8"/>
    <w:rsid w:val="00132D23"/>
    <w:rsid w:val="00135CEF"/>
    <w:rsid w:val="00136716"/>
    <w:rsid w:val="00140EFC"/>
    <w:rsid w:val="00141531"/>
    <w:rsid w:val="0014194D"/>
    <w:rsid w:val="001443FB"/>
    <w:rsid w:val="00151924"/>
    <w:rsid w:val="0015361E"/>
    <w:rsid w:val="00156D89"/>
    <w:rsid w:val="00157358"/>
    <w:rsid w:val="001617E3"/>
    <w:rsid w:val="00162D38"/>
    <w:rsid w:val="0016508A"/>
    <w:rsid w:val="0016511A"/>
    <w:rsid w:val="00165B54"/>
    <w:rsid w:val="001677B5"/>
    <w:rsid w:val="0017187B"/>
    <w:rsid w:val="001835FE"/>
    <w:rsid w:val="00185744"/>
    <w:rsid w:val="001860FF"/>
    <w:rsid w:val="00187214"/>
    <w:rsid w:val="001A4635"/>
    <w:rsid w:val="001A5F7F"/>
    <w:rsid w:val="001A631D"/>
    <w:rsid w:val="001A668B"/>
    <w:rsid w:val="001B092B"/>
    <w:rsid w:val="001B0F9C"/>
    <w:rsid w:val="001B2632"/>
    <w:rsid w:val="001B2B64"/>
    <w:rsid w:val="001B32E9"/>
    <w:rsid w:val="001C313B"/>
    <w:rsid w:val="001C42C7"/>
    <w:rsid w:val="001C566D"/>
    <w:rsid w:val="001D2C96"/>
    <w:rsid w:val="001D5B1D"/>
    <w:rsid w:val="001E175E"/>
    <w:rsid w:val="001E3AC9"/>
    <w:rsid w:val="001E617F"/>
    <w:rsid w:val="001E7E5D"/>
    <w:rsid w:val="001F245F"/>
    <w:rsid w:val="001F5260"/>
    <w:rsid w:val="001F6452"/>
    <w:rsid w:val="00201870"/>
    <w:rsid w:val="00202A5F"/>
    <w:rsid w:val="00203770"/>
    <w:rsid w:val="00206E3E"/>
    <w:rsid w:val="0021002C"/>
    <w:rsid w:val="00210CF7"/>
    <w:rsid w:val="00222860"/>
    <w:rsid w:val="002236DD"/>
    <w:rsid w:val="0022370E"/>
    <w:rsid w:val="00224FA0"/>
    <w:rsid w:val="00226900"/>
    <w:rsid w:val="002324FD"/>
    <w:rsid w:val="0023372A"/>
    <w:rsid w:val="00233A84"/>
    <w:rsid w:val="002340A0"/>
    <w:rsid w:val="00236D64"/>
    <w:rsid w:val="00242C96"/>
    <w:rsid w:val="00244962"/>
    <w:rsid w:val="0025018F"/>
    <w:rsid w:val="00250503"/>
    <w:rsid w:val="0025053C"/>
    <w:rsid w:val="00250657"/>
    <w:rsid w:val="00252768"/>
    <w:rsid w:val="00253206"/>
    <w:rsid w:val="0025457B"/>
    <w:rsid w:val="00254F11"/>
    <w:rsid w:val="00256E6D"/>
    <w:rsid w:val="002575D3"/>
    <w:rsid w:val="00257F44"/>
    <w:rsid w:val="00260C64"/>
    <w:rsid w:val="002618F3"/>
    <w:rsid w:val="002628A8"/>
    <w:rsid w:val="002628B1"/>
    <w:rsid w:val="00264938"/>
    <w:rsid w:val="00265262"/>
    <w:rsid w:val="00273908"/>
    <w:rsid w:val="0027674E"/>
    <w:rsid w:val="0028108D"/>
    <w:rsid w:val="00281DF4"/>
    <w:rsid w:val="0028263A"/>
    <w:rsid w:val="002834A9"/>
    <w:rsid w:val="002843F3"/>
    <w:rsid w:val="00284937"/>
    <w:rsid w:val="002865D7"/>
    <w:rsid w:val="0028710A"/>
    <w:rsid w:val="0029057A"/>
    <w:rsid w:val="00290AE7"/>
    <w:rsid w:val="002964DF"/>
    <w:rsid w:val="002A0D2F"/>
    <w:rsid w:val="002A7ACC"/>
    <w:rsid w:val="002B0905"/>
    <w:rsid w:val="002B6E8D"/>
    <w:rsid w:val="002B6EE4"/>
    <w:rsid w:val="002C0394"/>
    <w:rsid w:val="002C1507"/>
    <w:rsid w:val="002C2713"/>
    <w:rsid w:val="002C2F6B"/>
    <w:rsid w:val="002D0F75"/>
    <w:rsid w:val="002D0F9F"/>
    <w:rsid w:val="002D3651"/>
    <w:rsid w:val="002D5B7F"/>
    <w:rsid w:val="002D7BF0"/>
    <w:rsid w:val="002D7D22"/>
    <w:rsid w:val="002E052D"/>
    <w:rsid w:val="002E2963"/>
    <w:rsid w:val="002E29F8"/>
    <w:rsid w:val="002E2F8F"/>
    <w:rsid w:val="002E33A6"/>
    <w:rsid w:val="002E38D6"/>
    <w:rsid w:val="002E52A6"/>
    <w:rsid w:val="002E5602"/>
    <w:rsid w:val="002E6C22"/>
    <w:rsid w:val="002E72DA"/>
    <w:rsid w:val="002F033B"/>
    <w:rsid w:val="002F3949"/>
    <w:rsid w:val="002F4852"/>
    <w:rsid w:val="002F5B5C"/>
    <w:rsid w:val="00303911"/>
    <w:rsid w:val="00303E1F"/>
    <w:rsid w:val="00305DA5"/>
    <w:rsid w:val="00307C92"/>
    <w:rsid w:val="00307FAD"/>
    <w:rsid w:val="00312260"/>
    <w:rsid w:val="00316094"/>
    <w:rsid w:val="0031719B"/>
    <w:rsid w:val="003177CD"/>
    <w:rsid w:val="00321E18"/>
    <w:rsid w:val="00324257"/>
    <w:rsid w:val="00324EDF"/>
    <w:rsid w:val="003260E9"/>
    <w:rsid w:val="00331D2D"/>
    <w:rsid w:val="00331F92"/>
    <w:rsid w:val="00333275"/>
    <w:rsid w:val="00333A52"/>
    <w:rsid w:val="00334884"/>
    <w:rsid w:val="0034029C"/>
    <w:rsid w:val="00340844"/>
    <w:rsid w:val="00342E07"/>
    <w:rsid w:val="003439E7"/>
    <w:rsid w:val="00343D42"/>
    <w:rsid w:val="00350316"/>
    <w:rsid w:val="0035239D"/>
    <w:rsid w:val="0036139F"/>
    <w:rsid w:val="003615F8"/>
    <w:rsid w:val="00363138"/>
    <w:rsid w:val="00365E76"/>
    <w:rsid w:val="00367AFD"/>
    <w:rsid w:val="00372A08"/>
    <w:rsid w:val="00374B12"/>
    <w:rsid w:val="00376236"/>
    <w:rsid w:val="00377EF5"/>
    <w:rsid w:val="00383F0C"/>
    <w:rsid w:val="0038588A"/>
    <w:rsid w:val="003870C2"/>
    <w:rsid w:val="00390724"/>
    <w:rsid w:val="00390FDB"/>
    <w:rsid w:val="003917AF"/>
    <w:rsid w:val="00391EF5"/>
    <w:rsid w:val="003940C6"/>
    <w:rsid w:val="003957BE"/>
    <w:rsid w:val="00397A35"/>
    <w:rsid w:val="003A2744"/>
    <w:rsid w:val="003A3731"/>
    <w:rsid w:val="003A4CA2"/>
    <w:rsid w:val="003A538B"/>
    <w:rsid w:val="003B48DD"/>
    <w:rsid w:val="003B6DB6"/>
    <w:rsid w:val="003C2367"/>
    <w:rsid w:val="003C58FF"/>
    <w:rsid w:val="003D1BC5"/>
    <w:rsid w:val="003D2120"/>
    <w:rsid w:val="003D38F9"/>
    <w:rsid w:val="003D448C"/>
    <w:rsid w:val="003D5890"/>
    <w:rsid w:val="003D6B3E"/>
    <w:rsid w:val="003D723F"/>
    <w:rsid w:val="003E13F7"/>
    <w:rsid w:val="003E21BB"/>
    <w:rsid w:val="003E48C4"/>
    <w:rsid w:val="003E7472"/>
    <w:rsid w:val="003F1368"/>
    <w:rsid w:val="003F286C"/>
    <w:rsid w:val="003F4432"/>
    <w:rsid w:val="00400007"/>
    <w:rsid w:val="00401B1C"/>
    <w:rsid w:val="00403A88"/>
    <w:rsid w:val="00404D56"/>
    <w:rsid w:val="00407FCD"/>
    <w:rsid w:val="00410E3F"/>
    <w:rsid w:val="00413ED2"/>
    <w:rsid w:val="00414354"/>
    <w:rsid w:val="00416944"/>
    <w:rsid w:val="00417D2F"/>
    <w:rsid w:val="00421AD4"/>
    <w:rsid w:val="00421E97"/>
    <w:rsid w:val="00424415"/>
    <w:rsid w:val="00436D8F"/>
    <w:rsid w:val="00437BA9"/>
    <w:rsid w:val="00444C5A"/>
    <w:rsid w:val="00446A43"/>
    <w:rsid w:val="004471CE"/>
    <w:rsid w:val="00447218"/>
    <w:rsid w:val="00447A0E"/>
    <w:rsid w:val="004532A9"/>
    <w:rsid w:val="00454DF4"/>
    <w:rsid w:val="00461409"/>
    <w:rsid w:val="00462DCA"/>
    <w:rsid w:val="0046480C"/>
    <w:rsid w:val="00465947"/>
    <w:rsid w:val="00466D6B"/>
    <w:rsid w:val="00467D9C"/>
    <w:rsid w:val="00470253"/>
    <w:rsid w:val="0047408F"/>
    <w:rsid w:val="004769BF"/>
    <w:rsid w:val="004812C6"/>
    <w:rsid w:val="00481A99"/>
    <w:rsid w:val="004821F4"/>
    <w:rsid w:val="004834FE"/>
    <w:rsid w:val="00485EDA"/>
    <w:rsid w:val="00486A96"/>
    <w:rsid w:val="00492580"/>
    <w:rsid w:val="004925E7"/>
    <w:rsid w:val="00492AF7"/>
    <w:rsid w:val="004948FA"/>
    <w:rsid w:val="00494AB0"/>
    <w:rsid w:val="00496A79"/>
    <w:rsid w:val="00497A39"/>
    <w:rsid w:val="004B09B4"/>
    <w:rsid w:val="004B0D90"/>
    <w:rsid w:val="004B13D8"/>
    <w:rsid w:val="004B1A39"/>
    <w:rsid w:val="004B2E32"/>
    <w:rsid w:val="004B35F3"/>
    <w:rsid w:val="004B3D22"/>
    <w:rsid w:val="004B50BC"/>
    <w:rsid w:val="004B5B71"/>
    <w:rsid w:val="004B6808"/>
    <w:rsid w:val="004B7B4A"/>
    <w:rsid w:val="004C585B"/>
    <w:rsid w:val="004C60D4"/>
    <w:rsid w:val="004C6CBD"/>
    <w:rsid w:val="004C7E36"/>
    <w:rsid w:val="004C7ECB"/>
    <w:rsid w:val="004D3AB9"/>
    <w:rsid w:val="004D4F0D"/>
    <w:rsid w:val="004D5B2B"/>
    <w:rsid w:val="004D5B97"/>
    <w:rsid w:val="004E24EC"/>
    <w:rsid w:val="004E251E"/>
    <w:rsid w:val="004F1753"/>
    <w:rsid w:val="004F1BDD"/>
    <w:rsid w:val="004F3661"/>
    <w:rsid w:val="004F38C5"/>
    <w:rsid w:val="005029E7"/>
    <w:rsid w:val="005126A6"/>
    <w:rsid w:val="0051714C"/>
    <w:rsid w:val="00522B1E"/>
    <w:rsid w:val="005307D8"/>
    <w:rsid w:val="005400D9"/>
    <w:rsid w:val="00542775"/>
    <w:rsid w:val="00542823"/>
    <w:rsid w:val="00543A44"/>
    <w:rsid w:val="005472CB"/>
    <w:rsid w:val="00547C3E"/>
    <w:rsid w:val="0055139B"/>
    <w:rsid w:val="00551934"/>
    <w:rsid w:val="00552D60"/>
    <w:rsid w:val="00553CF7"/>
    <w:rsid w:val="005558F2"/>
    <w:rsid w:val="00555E11"/>
    <w:rsid w:val="00555F6F"/>
    <w:rsid w:val="00556A12"/>
    <w:rsid w:val="00556E73"/>
    <w:rsid w:val="00557679"/>
    <w:rsid w:val="005577E9"/>
    <w:rsid w:val="0056199B"/>
    <w:rsid w:val="00564E00"/>
    <w:rsid w:val="00564F48"/>
    <w:rsid w:val="005657A1"/>
    <w:rsid w:val="00565F60"/>
    <w:rsid w:val="00567D63"/>
    <w:rsid w:val="005706A0"/>
    <w:rsid w:val="00572B7B"/>
    <w:rsid w:val="00572F5E"/>
    <w:rsid w:val="00576186"/>
    <w:rsid w:val="00576A87"/>
    <w:rsid w:val="0057718A"/>
    <w:rsid w:val="00582CFF"/>
    <w:rsid w:val="00586735"/>
    <w:rsid w:val="00590988"/>
    <w:rsid w:val="00590B50"/>
    <w:rsid w:val="00591A22"/>
    <w:rsid w:val="00594B34"/>
    <w:rsid w:val="00596255"/>
    <w:rsid w:val="005964B4"/>
    <w:rsid w:val="005A2A70"/>
    <w:rsid w:val="005A5861"/>
    <w:rsid w:val="005A74C1"/>
    <w:rsid w:val="005B0217"/>
    <w:rsid w:val="005B0B19"/>
    <w:rsid w:val="005B0D7D"/>
    <w:rsid w:val="005B0F22"/>
    <w:rsid w:val="005B202A"/>
    <w:rsid w:val="005B211F"/>
    <w:rsid w:val="005B45AF"/>
    <w:rsid w:val="005C0F35"/>
    <w:rsid w:val="005C543C"/>
    <w:rsid w:val="005C5714"/>
    <w:rsid w:val="005C62D3"/>
    <w:rsid w:val="005C7D1B"/>
    <w:rsid w:val="005D4B18"/>
    <w:rsid w:val="005D4C76"/>
    <w:rsid w:val="005D7097"/>
    <w:rsid w:val="005E0CB9"/>
    <w:rsid w:val="005E3B24"/>
    <w:rsid w:val="005E4737"/>
    <w:rsid w:val="005E475B"/>
    <w:rsid w:val="005E4845"/>
    <w:rsid w:val="005E6E84"/>
    <w:rsid w:val="005E78C3"/>
    <w:rsid w:val="005F1E6B"/>
    <w:rsid w:val="005F254F"/>
    <w:rsid w:val="005F54A4"/>
    <w:rsid w:val="005F73FE"/>
    <w:rsid w:val="005F7E51"/>
    <w:rsid w:val="006006CA"/>
    <w:rsid w:val="00602DC5"/>
    <w:rsid w:val="00604F10"/>
    <w:rsid w:val="00605719"/>
    <w:rsid w:val="00607BB4"/>
    <w:rsid w:val="00607E35"/>
    <w:rsid w:val="006129C2"/>
    <w:rsid w:val="006138EA"/>
    <w:rsid w:val="00616DF1"/>
    <w:rsid w:val="00617BBF"/>
    <w:rsid w:val="00623A69"/>
    <w:rsid w:val="006308F8"/>
    <w:rsid w:val="0063104E"/>
    <w:rsid w:val="00632BA9"/>
    <w:rsid w:val="00633A54"/>
    <w:rsid w:val="0063761B"/>
    <w:rsid w:val="00637D1A"/>
    <w:rsid w:val="006409D5"/>
    <w:rsid w:val="00642F6D"/>
    <w:rsid w:val="006453C7"/>
    <w:rsid w:val="00645F2D"/>
    <w:rsid w:val="006528F0"/>
    <w:rsid w:val="00655482"/>
    <w:rsid w:val="00655F36"/>
    <w:rsid w:val="006563BF"/>
    <w:rsid w:val="00662102"/>
    <w:rsid w:val="00662663"/>
    <w:rsid w:val="00663ACB"/>
    <w:rsid w:val="0066541C"/>
    <w:rsid w:val="00665936"/>
    <w:rsid w:val="0066662F"/>
    <w:rsid w:val="00675272"/>
    <w:rsid w:val="00677D39"/>
    <w:rsid w:val="0068196F"/>
    <w:rsid w:val="006819E4"/>
    <w:rsid w:val="00682590"/>
    <w:rsid w:val="00682B48"/>
    <w:rsid w:val="00683192"/>
    <w:rsid w:val="0068346B"/>
    <w:rsid w:val="00683D4D"/>
    <w:rsid w:val="00683E78"/>
    <w:rsid w:val="006858C3"/>
    <w:rsid w:val="00685A35"/>
    <w:rsid w:val="00687DF3"/>
    <w:rsid w:val="00690AEA"/>
    <w:rsid w:val="00690BD8"/>
    <w:rsid w:val="006918CE"/>
    <w:rsid w:val="0069362F"/>
    <w:rsid w:val="0069535D"/>
    <w:rsid w:val="006A0B26"/>
    <w:rsid w:val="006A367F"/>
    <w:rsid w:val="006A3D15"/>
    <w:rsid w:val="006A3FD5"/>
    <w:rsid w:val="006A564E"/>
    <w:rsid w:val="006A7E99"/>
    <w:rsid w:val="006B5F96"/>
    <w:rsid w:val="006B7930"/>
    <w:rsid w:val="006B7A47"/>
    <w:rsid w:val="006C087B"/>
    <w:rsid w:val="006C26B5"/>
    <w:rsid w:val="006C2788"/>
    <w:rsid w:val="006C2AF8"/>
    <w:rsid w:val="006D0031"/>
    <w:rsid w:val="006D276E"/>
    <w:rsid w:val="006D3FB5"/>
    <w:rsid w:val="006D5942"/>
    <w:rsid w:val="006D6420"/>
    <w:rsid w:val="006E06A6"/>
    <w:rsid w:val="006E1F6E"/>
    <w:rsid w:val="006E295A"/>
    <w:rsid w:val="006E3EA8"/>
    <w:rsid w:val="006E5A32"/>
    <w:rsid w:val="006E6810"/>
    <w:rsid w:val="006F126A"/>
    <w:rsid w:val="00700CA1"/>
    <w:rsid w:val="00702198"/>
    <w:rsid w:val="007027A0"/>
    <w:rsid w:val="007035C0"/>
    <w:rsid w:val="0070476E"/>
    <w:rsid w:val="00706BA9"/>
    <w:rsid w:val="00706C2D"/>
    <w:rsid w:val="007078D6"/>
    <w:rsid w:val="00715499"/>
    <w:rsid w:val="00715528"/>
    <w:rsid w:val="0071611F"/>
    <w:rsid w:val="007167EB"/>
    <w:rsid w:val="007179E7"/>
    <w:rsid w:val="00722E93"/>
    <w:rsid w:val="00726096"/>
    <w:rsid w:val="00730231"/>
    <w:rsid w:val="00730274"/>
    <w:rsid w:val="00732982"/>
    <w:rsid w:val="00732BD2"/>
    <w:rsid w:val="00733477"/>
    <w:rsid w:val="00741584"/>
    <w:rsid w:val="007450C4"/>
    <w:rsid w:val="00746466"/>
    <w:rsid w:val="00746ECE"/>
    <w:rsid w:val="00750FFB"/>
    <w:rsid w:val="007516A7"/>
    <w:rsid w:val="00753A0D"/>
    <w:rsid w:val="0075468A"/>
    <w:rsid w:val="007569CA"/>
    <w:rsid w:val="00757554"/>
    <w:rsid w:val="0075756F"/>
    <w:rsid w:val="007609EC"/>
    <w:rsid w:val="00760B40"/>
    <w:rsid w:val="00765BD3"/>
    <w:rsid w:val="00766BDA"/>
    <w:rsid w:val="00767C61"/>
    <w:rsid w:val="0077045B"/>
    <w:rsid w:val="00771A59"/>
    <w:rsid w:val="00772E6A"/>
    <w:rsid w:val="00774058"/>
    <w:rsid w:val="007775A1"/>
    <w:rsid w:val="00780CC0"/>
    <w:rsid w:val="00785C45"/>
    <w:rsid w:val="007926A6"/>
    <w:rsid w:val="00793BE8"/>
    <w:rsid w:val="00793DCD"/>
    <w:rsid w:val="0079566C"/>
    <w:rsid w:val="007961AB"/>
    <w:rsid w:val="007A37A7"/>
    <w:rsid w:val="007A64E0"/>
    <w:rsid w:val="007B0805"/>
    <w:rsid w:val="007B0A51"/>
    <w:rsid w:val="007B193E"/>
    <w:rsid w:val="007B2049"/>
    <w:rsid w:val="007B4213"/>
    <w:rsid w:val="007B7134"/>
    <w:rsid w:val="007C1906"/>
    <w:rsid w:val="007C2F5F"/>
    <w:rsid w:val="007C4EE4"/>
    <w:rsid w:val="007C6089"/>
    <w:rsid w:val="007C77CC"/>
    <w:rsid w:val="007D21A1"/>
    <w:rsid w:val="007D4D62"/>
    <w:rsid w:val="007D6D9C"/>
    <w:rsid w:val="007E42F9"/>
    <w:rsid w:val="007E5493"/>
    <w:rsid w:val="007E692E"/>
    <w:rsid w:val="007E6F7E"/>
    <w:rsid w:val="007F0A07"/>
    <w:rsid w:val="007F0E2E"/>
    <w:rsid w:val="00802DB1"/>
    <w:rsid w:val="008108BD"/>
    <w:rsid w:val="00810B8F"/>
    <w:rsid w:val="00811157"/>
    <w:rsid w:val="0081148F"/>
    <w:rsid w:val="00813453"/>
    <w:rsid w:val="00815317"/>
    <w:rsid w:val="00817BFC"/>
    <w:rsid w:val="00817EDF"/>
    <w:rsid w:val="00817F71"/>
    <w:rsid w:val="00821286"/>
    <w:rsid w:val="008269E5"/>
    <w:rsid w:val="00834B3A"/>
    <w:rsid w:val="00836759"/>
    <w:rsid w:val="00836A35"/>
    <w:rsid w:val="0083715F"/>
    <w:rsid w:val="0083730B"/>
    <w:rsid w:val="00840744"/>
    <w:rsid w:val="0084332E"/>
    <w:rsid w:val="008433B9"/>
    <w:rsid w:val="00845BE9"/>
    <w:rsid w:val="00846FAB"/>
    <w:rsid w:val="008474E3"/>
    <w:rsid w:val="0085280E"/>
    <w:rsid w:val="00860350"/>
    <w:rsid w:val="00861E59"/>
    <w:rsid w:val="0086345F"/>
    <w:rsid w:val="00865B2C"/>
    <w:rsid w:val="0086605C"/>
    <w:rsid w:val="0086670C"/>
    <w:rsid w:val="00867E79"/>
    <w:rsid w:val="008700F5"/>
    <w:rsid w:val="00873C5F"/>
    <w:rsid w:val="00876534"/>
    <w:rsid w:val="00881E16"/>
    <w:rsid w:val="00881E22"/>
    <w:rsid w:val="00885C93"/>
    <w:rsid w:val="008875CB"/>
    <w:rsid w:val="00890094"/>
    <w:rsid w:val="008A18FC"/>
    <w:rsid w:val="008A2926"/>
    <w:rsid w:val="008A4CF7"/>
    <w:rsid w:val="008A6BD9"/>
    <w:rsid w:val="008A70A2"/>
    <w:rsid w:val="008B1081"/>
    <w:rsid w:val="008B2F0D"/>
    <w:rsid w:val="008B521C"/>
    <w:rsid w:val="008B6C39"/>
    <w:rsid w:val="008B72D1"/>
    <w:rsid w:val="008C0A61"/>
    <w:rsid w:val="008C5343"/>
    <w:rsid w:val="008D36FB"/>
    <w:rsid w:val="008D38E5"/>
    <w:rsid w:val="008E0F97"/>
    <w:rsid w:val="008E1F18"/>
    <w:rsid w:val="008E7487"/>
    <w:rsid w:val="008E76BE"/>
    <w:rsid w:val="008E78E2"/>
    <w:rsid w:val="008F37AA"/>
    <w:rsid w:val="008F4E4D"/>
    <w:rsid w:val="008F5E43"/>
    <w:rsid w:val="00907CDE"/>
    <w:rsid w:val="0091148C"/>
    <w:rsid w:val="00912EF7"/>
    <w:rsid w:val="00913308"/>
    <w:rsid w:val="00914E9E"/>
    <w:rsid w:val="00915530"/>
    <w:rsid w:val="009170BC"/>
    <w:rsid w:val="00923587"/>
    <w:rsid w:val="009237F1"/>
    <w:rsid w:val="00924843"/>
    <w:rsid w:val="0092664D"/>
    <w:rsid w:val="0092689A"/>
    <w:rsid w:val="009301AE"/>
    <w:rsid w:val="00930470"/>
    <w:rsid w:val="00931FF2"/>
    <w:rsid w:val="0093228B"/>
    <w:rsid w:val="009426EC"/>
    <w:rsid w:val="009454B8"/>
    <w:rsid w:val="00946124"/>
    <w:rsid w:val="009475CA"/>
    <w:rsid w:val="009517D9"/>
    <w:rsid w:val="0095296F"/>
    <w:rsid w:val="00953882"/>
    <w:rsid w:val="009620DA"/>
    <w:rsid w:val="00965206"/>
    <w:rsid w:val="0096685D"/>
    <w:rsid w:val="009722D5"/>
    <w:rsid w:val="00972BDC"/>
    <w:rsid w:val="00973666"/>
    <w:rsid w:val="00976D7C"/>
    <w:rsid w:val="00976DA7"/>
    <w:rsid w:val="0098201E"/>
    <w:rsid w:val="009856B5"/>
    <w:rsid w:val="0098697F"/>
    <w:rsid w:val="00986AA2"/>
    <w:rsid w:val="00987229"/>
    <w:rsid w:val="009943FF"/>
    <w:rsid w:val="00994D32"/>
    <w:rsid w:val="00995453"/>
    <w:rsid w:val="00997023"/>
    <w:rsid w:val="009A49A3"/>
    <w:rsid w:val="009A56CE"/>
    <w:rsid w:val="009A6F3F"/>
    <w:rsid w:val="009A7D2E"/>
    <w:rsid w:val="009B0C80"/>
    <w:rsid w:val="009B1AD7"/>
    <w:rsid w:val="009B1BF0"/>
    <w:rsid w:val="009C0A06"/>
    <w:rsid w:val="009C4563"/>
    <w:rsid w:val="009C5F71"/>
    <w:rsid w:val="009C74A1"/>
    <w:rsid w:val="009D0BFD"/>
    <w:rsid w:val="009D367A"/>
    <w:rsid w:val="009D7A81"/>
    <w:rsid w:val="009E06D0"/>
    <w:rsid w:val="009E3C92"/>
    <w:rsid w:val="009E6F49"/>
    <w:rsid w:val="009E70F5"/>
    <w:rsid w:val="009E718E"/>
    <w:rsid w:val="009F39B3"/>
    <w:rsid w:val="009F68FC"/>
    <w:rsid w:val="009F6FD6"/>
    <w:rsid w:val="00A02517"/>
    <w:rsid w:val="00A02575"/>
    <w:rsid w:val="00A02FF4"/>
    <w:rsid w:val="00A032A1"/>
    <w:rsid w:val="00A05A79"/>
    <w:rsid w:val="00A133F4"/>
    <w:rsid w:val="00A16C88"/>
    <w:rsid w:val="00A17DF1"/>
    <w:rsid w:val="00A20A97"/>
    <w:rsid w:val="00A20BFF"/>
    <w:rsid w:val="00A23CA0"/>
    <w:rsid w:val="00A26E15"/>
    <w:rsid w:val="00A2702D"/>
    <w:rsid w:val="00A32415"/>
    <w:rsid w:val="00A327AE"/>
    <w:rsid w:val="00A33F13"/>
    <w:rsid w:val="00A342C8"/>
    <w:rsid w:val="00A365D8"/>
    <w:rsid w:val="00A36F47"/>
    <w:rsid w:val="00A41D76"/>
    <w:rsid w:val="00A41E45"/>
    <w:rsid w:val="00A43076"/>
    <w:rsid w:val="00A43DD8"/>
    <w:rsid w:val="00A461EA"/>
    <w:rsid w:val="00A51E32"/>
    <w:rsid w:val="00A52538"/>
    <w:rsid w:val="00A52600"/>
    <w:rsid w:val="00A54F8A"/>
    <w:rsid w:val="00A55819"/>
    <w:rsid w:val="00A56663"/>
    <w:rsid w:val="00A604D8"/>
    <w:rsid w:val="00A60C62"/>
    <w:rsid w:val="00A61741"/>
    <w:rsid w:val="00A62C05"/>
    <w:rsid w:val="00A6653A"/>
    <w:rsid w:val="00A71A72"/>
    <w:rsid w:val="00A73A30"/>
    <w:rsid w:val="00A740F9"/>
    <w:rsid w:val="00A74B04"/>
    <w:rsid w:val="00A764EA"/>
    <w:rsid w:val="00A76989"/>
    <w:rsid w:val="00A8148A"/>
    <w:rsid w:val="00A8170D"/>
    <w:rsid w:val="00A8219E"/>
    <w:rsid w:val="00A838F8"/>
    <w:rsid w:val="00A8415B"/>
    <w:rsid w:val="00A85222"/>
    <w:rsid w:val="00A86AF7"/>
    <w:rsid w:val="00A9048F"/>
    <w:rsid w:val="00A90B43"/>
    <w:rsid w:val="00A92C45"/>
    <w:rsid w:val="00A93038"/>
    <w:rsid w:val="00A938CB"/>
    <w:rsid w:val="00A93AEE"/>
    <w:rsid w:val="00AA2530"/>
    <w:rsid w:val="00AA26CA"/>
    <w:rsid w:val="00AA2A0A"/>
    <w:rsid w:val="00AA2C7E"/>
    <w:rsid w:val="00AA4C66"/>
    <w:rsid w:val="00AA7096"/>
    <w:rsid w:val="00AB02F8"/>
    <w:rsid w:val="00AB1240"/>
    <w:rsid w:val="00AB1451"/>
    <w:rsid w:val="00AB7A27"/>
    <w:rsid w:val="00AB7CF4"/>
    <w:rsid w:val="00AC0D5E"/>
    <w:rsid w:val="00AC30B3"/>
    <w:rsid w:val="00AC3D7D"/>
    <w:rsid w:val="00AC422E"/>
    <w:rsid w:val="00AC447C"/>
    <w:rsid w:val="00AC6148"/>
    <w:rsid w:val="00AD3C50"/>
    <w:rsid w:val="00AD4CAF"/>
    <w:rsid w:val="00AE368A"/>
    <w:rsid w:val="00AE5B08"/>
    <w:rsid w:val="00AE5CCF"/>
    <w:rsid w:val="00AE626D"/>
    <w:rsid w:val="00AE6515"/>
    <w:rsid w:val="00AE68CA"/>
    <w:rsid w:val="00AF015C"/>
    <w:rsid w:val="00AF0E01"/>
    <w:rsid w:val="00AF3777"/>
    <w:rsid w:val="00AF4E64"/>
    <w:rsid w:val="00AF78AD"/>
    <w:rsid w:val="00B01C10"/>
    <w:rsid w:val="00B0317A"/>
    <w:rsid w:val="00B04476"/>
    <w:rsid w:val="00B064E2"/>
    <w:rsid w:val="00B0727A"/>
    <w:rsid w:val="00B10095"/>
    <w:rsid w:val="00B11153"/>
    <w:rsid w:val="00B11BF0"/>
    <w:rsid w:val="00B12D5F"/>
    <w:rsid w:val="00B13597"/>
    <w:rsid w:val="00B138E2"/>
    <w:rsid w:val="00B153F4"/>
    <w:rsid w:val="00B20197"/>
    <w:rsid w:val="00B224C7"/>
    <w:rsid w:val="00B327C5"/>
    <w:rsid w:val="00B35EAD"/>
    <w:rsid w:val="00B37B98"/>
    <w:rsid w:val="00B421A0"/>
    <w:rsid w:val="00B43D06"/>
    <w:rsid w:val="00B47A54"/>
    <w:rsid w:val="00B5076A"/>
    <w:rsid w:val="00B50DF5"/>
    <w:rsid w:val="00B51D47"/>
    <w:rsid w:val="00B52018"/>
    <w:rsid w:val="00B52FC2"/>
    <w:rsid w:val="00B55110"/>
    <w:rsid w:val="00B62580"/>
    <w:rsid w:val="00B640B4"/>
    <w:rsid w:val="00B70BEA"/>
    <w:rsid w:val="00B72DF3"/>
    <w:rsid w:val="00B73C05"/>
    <w:rsid w:val="00B74603"/>
    <w:rsid w:val="00B7715B"/>
    <w:rsid w:val="00B77523"/>
    <w:rsid w:val="00B80144"/>
    <w:rsid w:val="00B83C47"/>
    <w:rsid w:val="00B86AFD"/>
    <w:rsid w:val="00B90014"/>
    <w:rsid w:val="00B90C0A"/>
    <w:rsid w:val="00B915A5"/>
    <w:rsid w:val="00B9222B"/>
    <w:rsid w:val="00B934CD"/>
    <w:rsid w:val="00B943E2"/>
    <w:rsid w:val="00B95E64"/>
    <w:rsid w:val="00B96E9C"/>
    <w:rsid w:val="00BA2FB6"/>
    <w:rsid w:val="00BA47AD"/>
    <w:rsid w:val="00BB0BE6"/>
    <w:rsid w:val="00BB0C8B"/>
    <w:rsid w:val="00BB3427"/>
    <w:rsid w:val="00BB3639"/>
    <w:rsid w:val="00BB3FEB"/>
    <w:rsid w:val="00BB482A"/>
    <w:rsid w:val="00BB55E4"/>
    <w:rsid w:val="00BB7A3D"/>
    <w:rsid w:val="00BC0BD7"/>
    <w:rsid w:val="00BC23AB"/>
    <w:rsid w:val="00BC38D8"/>
    <w:rsid w:val="00BC50E5"/>
    <w:rsid w:val="00BC5DBA"/>
    <w:rsid w:val="00BC5F10"/>
    <w:rsid w:val="00BC6C91"/>
    <w:rsid w:val="00BC6DFE"/>
    <w:rsid w:val="00BD1CC0"/>
    <w:rsid w:val="00BD29E2"/>
    <w:rsid w:val="00BD2CA5"/>
    <w:rsid w:val="00BD35C0"/>
    <w:rsid w:val="00BD3918"/>
    <w:rsid w:val="00BD5F20"/>
    <w:rsid w:val="00BD7139"/>
    <w:rsid w:val="00BD788A"/>
    <w:rsid w:val="00BE198B"/>
    <w:rsid w:val="00BE5ADE"/>
    <w:rsid w:val="00BE7BCF"/>
    <w:rsid w:val="00BE7D6C"/>
    <w:rsid w:val="00BF031C"/>
    <w:rsid w:val="00BF4A82"/>
    <w:rsid w:val="00BF648F"/>
    <w:rsid w:val="00BF6780"/>
    <w:rsid w:val="00BF7D2C"/>
    <w:rsid w:val="00C0065F"/>
    <w:rsid w:val="00C02FC2"/>
    <w:rsid w:val="00C030F3"/>
    <w:rsid w:val="00C07EE9"/>
    <w:rsid w:val="00C1189D"/>
    <w:rsid w:val="00C11B7F"/>
    <w:rsid w:val="00C15FFC"/>
    <w:rsid w:val="00C173CC"/>
    <w:rsid w:val="00C2084D"/>
    <w:rsid w:val="00C212F3"/>
    <w:rsid w:val="00C24748"/>
    <w:rsid w:val="00C26441"/>
    <w:rsid w:val="00C33F30"/>
    <w:rsid w:val="00C36BFE"/>
    <w:rsid w:val="00C372D5"/>
    <w:rsid w:val="00C405C7"/>
    <w:rsid w:val="00C42E9A"/>
    <w:rsid w:val="00C4423B"/>
    <w:rsid w:val="00C445DB"/>
    <w:rsid w:val="00C45062"/>
    <w:rsid w:val="00C45318"/>
    <w:rsid w:val="00C50BE5"/>
    <w:rsid w:val="00C51610"/>
    <w:rsid w:val="00C52CBB"/>
    <w:rsid w:val="00C54570"/>
    <w:rsid w:val="00C5459D"/>
    <w:rsid w:val="00C55706"/>
    <w:rsid w:val="00C64FD1"/>
    <w:rsid w:val="00C6655A"/>
    <w:rsid w:val="00C710F2"/>
    <w:rsid w:val="00C74211"/>
    <w:rsid w:val="00C751DF"/>
    <w:rsid w:val="00C77175"/>
    <w:rsid w:val="00C7761C"/>
    <w:rsid w:val="00C777D9"/>
    <w:rsid w:val="00C82176"/>
    <w:rsid w:val="00C83373"/>
    <w:rsid w:val="00C853BC"/>
    <w:rsid w:val="00C8582B"/>
    <w:rsid w:val="00C872B8"/>
    <w:rsid w:val="00C87958"/>
    <w:rsid w:val="00C9091A"/>
    <w:rsid w:val="00C91280"/>
    <w:rsid w:val="00C96B70"/>
    <w:rsid w:val="00CA0E51"/>
    <w:rsid w:val="00CA10EB"/>
    <w:rsid w:val="00CA2327"/>
    <w:rsid w:val="00CA47F3"/>
    <w:rsid w:val="00CA5375"/>
    <w:rsid w:val="00CA6C31"/>
    <w:rsid w:val="00CA7AE5"/>
    <w:rsid w:val="00CA7D69"/>
    <w:rsid w:val="00CB2A1D"/>
    <w:rsid w:val="00CB4EA0"/>
    <w:rsid w:val="00CB7723"/>
    <w:rsid w:val="00CC14C3"/>
    <w:rsid w:val="00CC15C9"/>
    <w:rsid w:val="00CC1ADA"/>
    <w:rsid w:val="00CC2ABF"/>
    <w:rsid w:val="00CC3B0D"/>
    <w:rsid w:val="00CC42A6"/>
    <w:rsid w:val="00CC4893"/>
    <w:rsid w:val="00CC70EB"/>
    <w:rsid w:val="00CD04F3"/>
    <w:rsid w:val="00CD5AF0"/>
    <w:rsid w:val="00CE115E"/>
    <w:rsid w:val="00CE4EC0"/>
    <w:rsid w:val="00CE5D62"/>
    <w:rsid w:val="00CE5E29"/>
    <w:rsid w:val="00CE5EBD"/>
    <w:rsid w:val="00CF5218"/>
    <w:rsid w:val="00CF6497"/>
    <w:rsid w:val="00D02711"/>
    <w:rsid w:val="00D0402C"/>
    <w:rsid w:val="00D107C8"/>
    <w:rsid w:val="00D11248"/>
    <w:rsid w:val="00D11605"/>
    <w:rsid w:val="00D12A1A"/>
    <w:rsid w:val="00D14564"/>
    <w:rsid w:val="00D21D87"/>
    <w:rsid w:val="00D22D3B"/>
    <w:rsid w:val="00D258D6"/>
    <w:rsid w:val="00D262A9"/>
    <w:rsid w:val="00D27E6A"/>
    <w:rsid w:val="00D30D9C"/>
    <w:rsid w:val="00D313DD"/>
    <w:rsid w:val="00D321A4"/>
    <w:rsid w:val="00D32378"/>
    <w:rsid w:val="00D33F94"/>
    <w:rsid w:val="00D344B5"/>
    <w:rsid w:val="00D366F0"/>
    <w:rsid w:val="00D41DB6"/>
    <w:rsid w:val="00D453A0"/>
    <w:rsid w:val="00D45610"/>
    <w:rsid w:val="00D461D0"/>
    <w:rsid w:val="00D47A3B"/>
    <w:rsid w:val="00D47CD8"/>
    <w:rsid w:val="00D52D85"/>
    <w:rsid w:val="00D535B1"/>
    <w:rsid w:val="00D55095"/>
    <w:rsid w:val="00D56E50"/>
    <w:rsid w:val="00D57242"/>
    <w:rsid w:val="00D60A7C"/>
    <w:rsid w:val="00D61996"/>
    <w:rsid w:val="00D61E79"/>
    <w:rsid w:val="00D62247"/>
    <w:rsid w:val="00D66D73"/>
    <w:rsid w:val="00D66F1E"/>
    <w:rsid w:val="00D73E14"/>
    <w:rsid w:val="00D7466E"/>
    <w:rsid w:val="00D77E13"/>
    <w:rsid w:val="00D8669A"/>
    <w:rsid w:val="00D87504"/>
    <w:rsid w:val="00D91070"/>
    <w:rsid w:val="00D91C4D"/>
    <w:rsid w:val="00D93CA9"/>
    <w:rsid w:val="00D945C5"/>
    <w:rsid w:val="00D946FC"/>
    <w:rsid w:val="00D96983"/>
    <w:rsid w:val="00D96A92"/>
    <w:rsid w:val="00D97797"/>
    <w:rsid w:val="00DA018C"/>
    <w:rsid w:val="00DA0FD5"/>
    <w:rsid w:val="00DA344A"/>
    <w:rsid w:val="00DA3630"/>
    <w:rsid w:val="00DA4466"/>
    <w:rsid w:val="00DA6CAF"/>
    <w:rsid w:val="00DA6E7C"/>
    <w:rsid w:val="00DB251E"/>
    <w:rsid w:val="00DB2641"/>
    <w:rsid w:val="00DB4776"/>
    <w:rsid w:val="00DB5702"/>
    <w:rsid w:val="00DB7162"/>
    <w:rsid w:val="00DB7569"/>
    <w:rsid w:val="00DB7C16"/>
    <w:rsid w:val="00DC1B0C"/>
    <w:rsid w:val="00DC2A26"/>
    <w:rsid w:val="00DC364A"/>
    <w:rsid w:val="00DC4757"/>
    <w:rsid w:val="00DC4871"/>
    <w:rsid w:val="00DC49F2"/>
    <w:rsid w:val="00DC6223"/>
    <w:rsid w:val="00DC7167"/>
    <w:rsid w:val="00DD08C8"/>
    <w:rsid w:val="00DD0E29"/>
    <w:rsid w:val="00DD1C43"/>
    <w:rsid w:val="00DD2C96"/>
    <w:rsid w:val="00DD678C"/>
    <w:rsid w:val="00DD7950"/>
    <w:rsid w:val="00DE5851"/>
    <w:rsid w:val="00DE7744"/>
    <w:rsid w:val="00DF3524"/>
    <w:rsid w:val="00DF3A77"/>
    <w:rsid w:val="00E00442"/>
    <w:rsid w:val="00E05C27"/>
    <w:rsid w:val="00E10FBE"/>
    <w:rsid w:val="00E14CD8"/>
    <w:rsid w:val="00E14D29"/>
    <w:rsid w:val="00E17553"/>
    <w:rsid w:val="00E24313"/>
    <w:rsid w:val="00E24D02"/>
    <w:rsid w:val="00E255CA"/>
    <w:rsid w:val="00E26800"/>
    <w:rsid w:val="00E26C0F"/>
    <w:rsid w:val="00E26C5E"/>
    <w:rsid w:val="00E32132"/>
    <w:rsid w:val="00E36032"/>
    <w:rsid w:val="00E36EA2"/>
    <w:rsid w:val="00E40811"/>
    <w:rsid w:val="00E4683B"/>
    <w:rsid w:val="00E475F5"/>
    <w:rsid w:val="00E47D96"/>
    <w:rsid w:val="00E63367"/>
    <w:rsid w:val="00E63DCE"/>
    <w:rsid w:val="00E72839"/>
    <w:rsid w:val="00E73DE5"/>
    <w:rsid w:val="00E73EFF"/>
    <w:rsid w:val="00E74E5B"/>
    <w:rsid w:val="00E7754B"/>
    <w:rsid w:val="00E80B51"/>
    <w:rsid w:val="00E83311"/>
    <w:rsid w:val="00E83E84"/>
    <w:rsid w:val="00E84582"/>
    <w:rsid w:val="00E84727"/>
    <w:rsid w:val="00E86737"/>
    <w:rsid w:val="00E87EB6"/>
    <w:rsid w:val="00E90BBD"/>
    <w:rsid w:val="00E94140"/>
    <w:rsid w:val="00EA0FC4"/>
    <w:rsid w:val="00EA40EF"/>
    <w:rsid w:val="00EA50BB"/>
    <w:rsid w:val="00EA5F4D"/>
    <w:rsid w:val="00EB03F1"/>
    <w:rsid w:val="00EB1D7A"/>
    <w:rsid w:val="00EB4467"/>
    <w:rsid w:val="00EB4D70"/>
    <w:rsid w:val="00EC2894"/>
    <w:rsid w:val="00EC3720"/>
    <w:rsid w:val="00EC5934"/>
    <w:rsid w:val="00EC6C67"/>
    <w:rsid w:val="00ED6328"/>
    <w:rsid w:val="00ED6670"/>
    <w:rsid w:val="00ED724C"/>
    <w:rsid w:val="00EE3843"/>
    <w:rsid w:val="00EE6EBE"/>
    <w:rsid w:val="00EE7DD1"/>
    <w:rsid w:val="00EF1642"/>
    <w:rsid w:val="00EF265B"/>
    <w:rsid w:val="00EF3E7F"/>
    <w:rsid w:val="00EF4AC8"/>
    <w:rsid w:val="00EF4F5C"/>
    <w:rsid w:val="00EF5FDE"/>
    <w:rsid w:val="00EF7060"/>
    <w:rsid w:val="00F0084F"/>
    <w:rsid w:val="00F01884"/>
    <w:rsid w:val="00F01A8C"/>
    <w:rsid w:val="00F042B5"/>
    <w:rsid w:val="00F04A93"/>
    <w:rsid w:val="00F07A00"/>
    <w:rsid w:val="00F07A34"/>
    <w:rsid w:val="00F10538"/>
    <w:rsid w:val="00F11292"/>
    <w:rsid w:val="00F12CBA"/>
    <w:rsid w:val="00F15CEB"/>
    <w:rsid w:val="00F17C9F"/>
    <w:rsid w:val="00F24E54"/>
    <w:rsid w:val="00F25636"/>
    <w:rsid w:val="00F262CF"/>
    <w:rsid w:val="00F27C23"/>
    <w:rsid w:val="00F32263"/>
    <w:rsid w:val="00F33AD6"/>
    <w:rsid w:val="00F34D95"/>
    <w:rsid w:val="00F37587"/>
    <w:rsid w:val="00F401DC"/>
    <w:rsid w:val="00F41CB1"/>
    <w:rsid w:val="00F42612"/>
    <w:rsid w:val="00F45110"/>
    <w:rsid w:val="00F457E6"/>
    <w:rsid w:val="00F4635B"/>
    <w:rsid w:val="00F464D4"/>
    <w:rsid w:val="00F46FC0"/>
    <w:rsid w:val="00F46FC5"/>
    <w:rsid w:val="00F509EE"/>
    <w:rsid w:val="00F512B8"/>
    <w:rsid w:val="00F51A14"/>
    <w:rsid w:val="00F51A49"/>
    <w:rsid w:val="00F537C8"/>
    <w:rsid w:val="00F53F35"/>
    <w:rsid w:val="00F54AD1"/>
    <w:rsid w:val="00F618C1"/>
    <w:rsid w:val="00F6309C"/>
    <w:rsid w:val="00F65723"/>
    <w:rsid w:val="00F66EEF"/>
    <w:rsid w:val="00F67511"/>
    <w:rsid w:val="00F71A0B"/>
    <w:rsid w:val="00F72662"/>
    <w:rsid w:val="00F74539"/>
    <w:rsid w:val="00F77A42"/>
    <w:rsid w:val="00F81B78"/>
    <w:rsid w:val="00F81C09"/>
    <w:rsid w:val="00F82E3B"/>
    <w:rsid w:val="00F84C1C"/>
    <w:rsid w:val="00F85D6C"/>
    <w:rsid w:val="00F879B2"/>
    <w:rsid w:val="00F94F27"/>
    <w:rsid w:val="00F950EF"/>
    <w:rsid w:val="00F97251"/>
    <w:rsid w:val="00FA3CAF"/>
    <w:rsid w:val="00FA489B"/>
    <w:rsid w:val="00FB4763"/>
    <w:rsid w:val="00FB4811"/>
    <w:rsid w:val="00FB60C6"/>
    <w:rsid w:val="00FC17AA"/>
    <w:rsid w:val="00FC2490"/>
    <w:rsid w:val="00FC7CB3"/>
    <w:rsid w:val="00FD0D6E"/>
    <w:rsid w:val="00FD573D"/>
    <w:rsid w:val="00FE12A5"/>
    <w:rsid w:val="00FE23B4"/>
    <w:rsid w:val="00FE3850"/>
    <w:rsid w:val="00FE48EE"/>
    <w:rsid w:val="00FE62B6"/>
    <w:rsid w:val="00FF1377"/>
    <w:rsid w:val="00FF269F"/>
    <w:rsid w:val="00FF3D8D"/>
    <w:rsid w:val="00FF4FFD"/>
    <w:rsid w:val="00FF5196"/>
    <w:rsid w:val="00FF554A"/>
    <w:rsid w:val="00FF6C41"/>
    <w:rsid w:val="00FF7693"/>
    <w:rsid w:val="018A73B0"/>
    <w:rsid w:val="01AE58AA"/>
    <w:rsid w:val="01C768DA"/>
    <w:rsid w:val="023D5D76"/>
    <w:rsid w:val="024E4B4B"/>
    <w:rsid w:val="026F5BA8"/>
    <w:rsid w:val="03273FD9"/>
    <w:rsid w:val="034016BC"/>
    <w:rsid w:val="038E4815"/>
    <w:rsid w:val="04270AB1"/>
    <w:rsid w:val="04706FFA"/>
    <w:rsid w:val="048B7275"/>
    <w:rsid w:val="049041F8"/>
    <w:rsid w:val="04C94BEA"/>
    <w:rsid w:val="04FD1359"/>
    <w:rsid w:val="05025F0E"/>
    <w:rsid w:val="055E16B3"/>
    <w:rsid w:val="056F1060"/>
    <w:rsid w:val="05744DD8"/>
    <w:rsid w:val="05B93A27"/>
    <w:rsid w:val="06D9633E"/>
    <w:rsid w:val="06DC52E7"/>
    <w:rsid w:val="06E04B59"/>
    <w:rsid w:val="06EA5722"/>
    <w:rsid w:val="06F82FB7"/>
    <w:rsid w:val="07043C89"/>
    <w:rsid w:val="075879C8"/>
    <w:rsid w:val="077A5CE5"/>
    <w:rsid w:val="07857522"/>
    <w:rsid w:val="07927288"/>
    <w:rsid w:val="07D23B28"/>
    <w:rsid w:val="081C60B5"/>
    <w:rsid w:val="08655C52"/>
    <w:rsid w:val="087E3BC1"/>
    <w:rsid w:val="08896871"/>
    <w:rsid w:val="08C65F91"/>
    <w:rsid w:val="08F91856"/>
    <w:rsid w:val="09191833"/>
    <w:rsid w:val="094D1C0D"/>
    <w:rsid w:val="09577E45"/>
    <w:rsid w:val="095A67A4"/>
    <w:rsid w:val="097A5C8C"/>
    <w:rsid w:val="099C2B1E"/>
    <w:rsid w:val="0A1212E2"/>
    <w:rsid w:val="0A2D7BA4"/>
    <w:rsid w:val="0A2E4D9A"/>
    <w:rsid w:val="0A4F1108"/>
    <w:rsid w:val="0A636AB3"/>
    <w:rsid w:val="0A6C2BF7"/>
    <w:rsid w:val="0AC834CF"/>
    <w:rsid w:val="0AD13CB3"/>
    <w:rsid w:val="0AFD0EBC"/>
    <w:rsid w:val="0B087491"/>
    <w:rsid w:val="0B263EE8"/>
    <w:rsid w:val="0B2B1436"/>
    <w:rsid w:val="0B456A7F"/>
    <w:rsid w:val="0B580B8A"/>
    <w:rsid w:val="0B671ABC"/>
    <w:rsid w:val="0B974A4A"/>
    <w:rsid w:val="0BB8263B"/>
    <w:rsid w:val="0BDA6A36"/>
    <w:rsid w:val="0C2E1CA1"/>
    <w:rsid w:val="0C383A0A"/>
    <w:rsid w:val="0CDF1641"/>
    <w:rsid w:val="0CF62791"/>
    <w:rsid w:val="0D0F5568"/>
    <w:rsid w:val="0D2E5369"/>
    <w:rsid w:val="0D38580E"/>
    <w:rsid w:val="0D4542A8"/>
    <w:rsid w:val="0DA06EEA"/>
    <w:rsid w:val="0DA73361"/>
    <w:rsid w:val="0DE5076D"/>
    <w:rsid w:val="0E025E87"/>
    <w:rsid w:val="0E174818"/>
    <w:rsid w:val="0E403413"/>
    <w:rsid w:val="0E4B6B4A"/>
    <w:rsid w:val="0E52151F"/>
    <w:rsid w:val="0E6F5836"/>
    <w:rsid w:val="0EBE4E06"/>
    <w:rsid w:val="0EBE5BD1"/>
    <w:rsid w:val="0EE0614C"/>
    <w:rsid w:val="0EE3661B"/>
    <w:rsid w:val="0EE5365C"/>
    <w:rsid w:val="0EF31234"/>
    <w:rsid w:val="0EF77B6E"/>
    <w:rsid w:val="0F052AEB"/>
    <w:rsid w:val="0F075A84"/>
    <w:rsid w:val="0F2072EA"/>
    <w:rsid w:val="0F5A531F"/>
    <w:rsid w:val="0F81338A"/>
    <w:rsid w:val="0FA16864"/>
    <w:rsid w:val="0FB547DB"/>
    <w:rsid w:val="0FCC624B"/>
    <w:rsid w:val="10112956"/>
    <w:rsid w:val="10205149"/>
    <w:rsid w:val="10322D7C"/>
    <w:rsid w:val="109572F8"/>
    <w:rsid w:val="10BC7BD4"/>
    <w:rsid w:val="10E45E60"/>
    <w:rsid w:val="10FA4371"/>
    <w:rsid w:val="110F15BE"/>
    <w:rsid w:val="111A380C"/>
    <w:rsid w:val="112178D9"/>
    <w:rsid w:val="112D39BF"/>
    <w:rsid w:val="11317920"/>
    <w:rsid w:val="11AC60C5"/>
    <w:rsid w:val="121070CF"/>
    <w:rsid w:val="12271BBA"/>
    <w:rsid w:val="122B4AC1"/>
    <w:rsid w:val="123D0E2A"/>
    <w:rsid w:val="12485973"/>
    <w:rsid w:val="1255199D"/>
    <w:rsid w:val="12B161F5"/>
    <w:rsid w:val="12C213C6"/>
    <w:rsid w:val="12D50C04"/>
    <w:rsid w:val="131A3751"/>
    <w:rsid w:val="13203999"/>
    <w:rsid w:val="13285E79"/>
    <w:rsid w:val="134263F2"/>
    <w:rsid w:val="1349533D"/>
    <w:rsid w:val="13877224"/>
    <w:rsid w:val="13A63020"/>
    <w:rsid w:val="140051CE"/>
    <w:rsid w:val="14020A60"/>
    <w:rsid w:val="14151024"/>
    <w:rsid w:val="1418308C"/>
    <w:rsid w:val="14414ABA"/>
    <w:rsid w:val="147A6014"/>
    <w:rsid w:val="1482182A"/>
    <w:rsid w:val="14B27791"/>
    <w:rsid w:val="14BB6849"/>
    <w:rsid w:val="1535101D"/>
    <w:rsid w:val="153C6857"/>
    <w:rsid w:val="158776D1"/>
    <w:rsid w:val="15C81FE6"/>
    <w:rsid w:val="15C9656A"/>
    <w:rsid w:val="15DD5D8E"/>
    <w:rsid w:val="16230D78"/>
    <w:rsid w:val="163F682C"/>
    <w:rsid w:val="167B2FD5"/>
    <w:rsid w:val="16AF05F0"/>
    <w:rsid w:val="16B333F5"/>
    <w:rsid w:val="16DE47BE"/>
    <w:rsid w:val="16F75359"/>
    <w:rsid w:val="16FB4C69"/>
    <w:rsid w:val="17281C8E"/>
    <w:rsid w:val="17473C00"/>
    <w:rsid w:val="177543CD"/>
    <w:rsid w:val="17D858A9"/>
    <w:rsid w:val="17DF3513"/>
    <w:rsid w:val="17F82EDA"/>
    <w:rsid w:val="17FA6B14"/>
    <w:rsid w:val="182745FA"/>
    <w:rsid w:val="1844392A"/>
    <w:rsid w:val="185D06A3"/>
    <w:rsid w:val="18C868C2"/>
    <w:rsid w:val="18EA0687"/>
    <w:rsid w:val="19050B30"/>
    <w:rsid w:val="19353E00"/>
    <w:rsid w:val="19520688"/>
    <w:rsid w:val="199629E0"/>
    <w:rsid w:val="19CC32F1"/>
    <w:rsid w:val="19F94F44"/>
    <w:rsid w:val="1A171A34"/>
    <w:rsid w:val="1A1A5DE6"/>
    <w:rsid w:val="1A3F6DFB"/>
    <w:rsid w:val="1A6A74AA"/>
    <w:rsid w:val="1A707451"/>
    <w:rsid w:val="1A9973C2"/>
    <w:rsid w:val="1ACA0176"/>
    <w:rsid w:val="1AF25715"/>
    <w:rsid w:val="1AF51BB0"/>
    <w:rsid w:val="1B080188"/>
    <w:rsid w:val="1B1F3E2D"/>
    <w:rsid w:val="1B8B78A7"/>
    <w:rsid w:val="1B9334C8"/>
    <w:rsid w:val="1B966EEF"/>
    <w:rsid w:val="1B9C2CB0"/>
    <w:rsid w:val="1BA95FD8"/>
    <w:rsid w:val="1BB330B5"/>
    <w:rsid w:val="1BDC63F4"/>
    <w:rsid w:val="1C192747"/>
    <w:rsid w:val="1C1D3924"/>
    <w:rsid w:val="1C291EF3"/>
    <w:rsid w:val="1C725BA8"/>
    <w:rsid w:val="1C7956E6"/>
    <w:rsid w:val="1C9460BD"/>
    <w:rsid w:val="1CAC4A09"/>
    <w:rsid w:val="1CC319FE"/>
    <w:rsid w:val="1CDD1022"/>
    <w:rsid w:val="1CE6004F"/>
    <w:rsid w:val="1D412F61"/>
    <w:rsid w:val="1D660662"/>
    <w:rsid w:val="1D733EAC"/>
    <w:rsid w:val="1DBA0B1F"/>
    <w:rsid w:val="1DC745AC"/>
    <w:rsid w:val="1DD248E5"/>
    <w:rsid w:val="1DE85F86"/>
    <w:rsid w:val="1E193E07"/>
    <w:rsid w:val="1E2C0883"/>
    <w:rsid w:val="1E39671D"/>
    <w:rsid w:val="1E4351D1"/>
    <w:rsid w:val="1E5D3489"/>
    <w:rsid w:val="1E7A2AF8"/>
    <w:rsid w:val="1E9A6CF6"/>
    <w:rsid w:val="1EC95DD0"/>
    <w:rsid w:val="1EDB5517"/>
    <w:rsid w:val="1EE16F1F"/>
    <w:rsid w:val="1F056431"/>
    <w:rsid w:val="1F170F70"/>
    <w:rsid w:val="1F475EC4"/>
    <w:rsid w:val="1F9610BF"/>
    <w:rsid w:val="1F9F3B4D"/>
    <w:rsid w:val="1FB9328E"/>
    <w:rsid w:val="1FCA7497"/>
    <w:rsid w:val="1FEF6BCD"/>
    <w:rsid w:val="1FF93151"/>
    <w:rsid w:val="200A3A07"/>
    <w:rsid w:val="200E78F3"/>
    <w:rsid w:val="202301C1"/>
    <w:rsid w:val="203050B4"/>
    <w:rsid w:val="20376E9E"/>
    <w:rsid w:val="207500F4"/>
    <w:rsid w:val="2086457C"/>
    <w:rsid w:val="209B68FA"/>
    <w:rsid w:val="211652E0"/>
    <w:rsid w:val="212416C2"/>
    <w:rsid w:val="21570EE1"/>
    <w:rsid w:val="21DC5877"/>
    <w:rsid w:val="21DD43C0"/>
    <w:rsid w:val="21EF512B"/>
    <w:rsid w:val="220F2234"/>
    <w:rsid w:val="221F576B"/>
    <w:rsid w:val="22286D6C"/>
    <w:rsid w:val="22893713"/>
    <w:rsid w:val="22A25F66"/>
    <w:rsid w:val="22A7546D"/>
    <w:rsid w:val="22BD6D55"/>
    <w:rsid w:val="22CE6733"/>
    <w:rsid w:val="23332DE5"/>
    <w:rsid w:val="234E1207"/>
    <w:rsid w:val="23583D53"/>
    <w:rsid w:val="236F0175"/>
    <w:rsid w:val="237F64BA"/>
    <w:rsid w:val="239C5F49"/>
    <w:rsid w:val="23A37E79"/>
    <w:rsid w:val="23BB026B"/>
    <w:rsid w:val="23E72AEA"/>
    <w:rsid w:val="23F64FDF"/>
    <w:rsid w:val="243A2EE7"/>
    <w:rsid w:val="248E69F3"/>
    <w:rsid w:val="24B95082"/>
    <w:rsid w:val="24C13CF2"/>
    <w:rsid w:val="263639C9"/>
    <w:rsid w:val="26450D42"/>
    <w:rsid w:val="26812ED9"/>
    <w:rsid w:val="268130BB"/>
    <w:rsid w:val="272D76F0"/>
    <w:rsid w:val="27310DB4"/>
    <w:rsid w:val="27635701"/>
    <w:rsid w:val="27827BF6"/>
    <w:rsid w:val="278E6303"/>
    <w:rsid w:val="279649D0"/>
    <w:rsid w:val="27A24E6D"/>
    <w:rsid w:val="27BC1FD7"/>
    <w:rsid w:val="27E45486"/>
    <w:rsid w:val="2818410D"/>
    <w:rsid w:val="28312663"/>
    <w:rsid w:val="28487153"/>
    <w:rsid w:val="2849026A"/>
    <w:rsid w:val="28992885"/>
    <w:rsid w:val="28A05E31"/>
    <w:rsid w:val="28CC4857"/>
    <w:rsid w:val="28F473E8"/>
    <w:rsid w:val="28FF1BAE"/>
    <w:rsid w:val="293D261E"/>
    <w:rsid w:val="29402DB0"/>
    <w:rsid w:val="29622E69"/>
    <w:rsid w:val="29641EF6"/>
    <w:rsid w:val="29780825"/>
    <w:rsid w:val="29A47823"/>
    <w:rsid w:val="29A8331A"/>
    <w:rsid w:val="29D90940"/>
    <w:rsid w:val="29E77CEC"/>
    <w:rsid w:val="29E9755D"/>
    <w:rsid w:val="29F15C38"/>
    <w:rsid w:val="29F64FFC"/>
    <w:rsid w:val="2A010BE1"/>
    <w:rsid w:val="2A0229FC"/>
    <w:rsid w:val="2A6A6592"/>
    <w:rsid w:val="2A730EA7"/>
    <w:rsid w:val="2A927173"/>
    <w:rsid w:val="2A9F7442"/>
    <w:rsid w:val="2AAB27C3"/>
    <w:rsid w:val="2AB5352A"/>
    <w:rsid w:val="2AC151F2"/>
    <w:rsid w:val="2AD5522D"/>
    <w:rsid w:val="2B071CF2"/>
    <w:rsid w:val="2B0D7E5C"/>
    <w:rsid w:val="2B1568B7"/>
    <w:rsid w:val="2B401597"/>
    <w:rsid w:val="2B461B7A"/>
    <w:rsid w:val="2B674525"/>
    <w:rsid w:val="2B7D76B8"/>
    <w:rsid w:val="2B903143"/>
    <w:rsid w:val="2BAD6EBA"/>
    <w:rsid w:val="2BE81771"/>
    <w:rsid w:val="2C2E4F21"/>
    <w:rsid w:val="2C47018E"/>
    <w:rsid w:val="2C510F9A"/>
    <w:rsid w:val="2C6D3C9C"/>
    <w:rsid w:val="2C8B4122"/>
    <w:rsid w:val="2C8C5D2E"/>
    <w:rsid w:val="2CF50BAF"/>
    <w:rsid w:val="2D7C21E4"/>
    <w:rsid w:val="2D8E3C58"/>
    <w:rsid w:val="2D9A51EC"/>
    <w:rsid w:val="2DA10551"/>
    <w:rsid w:val="2DB815CA"/>
    <w:rsid w:val="2DCF0F92"/>
    <w:rsid w:val="2E304000"/>
    <w:rsid w:val="2E68734C"/>
    <w:rsid w:val="2EA768E4"/>
    <w:rsid w:val="2ED1168C"/>
    <w:rsid w:val="2EDA6489"/>
    <w:rsid w:val="2EDE57C3"/>
    <w:rsid w:val="2EE62640"/>
    <w:rsid w:val="2EFD5518"/>
    <w:rsid w:val="2F07677C"/>
    <w:rsid w:val="2F0F6CB1"/>
    <w:rsid w:val="2F2A5B33"/>
    <w:rsid w:val="2F8F3065"/>
    <w:rsid w:val="2FDB0BCF"/>
    <w:rsid w:val="300B73F6"/>
    <w:rsid w:val="300D4969"/>
    <w:rsid w:val="305A3CFF"/>
    <w:rsid w:val="305F4F6B"/>
    <w:rsid w:val="30F55428"/>
    <w:rsid w:val="3115045E"/>
    <w:rsid w:val="311F4DE7"/>
    <w:rsid w:val="31453102"/>
    <w:rsid w:val="3160085A"/>
    <w:rsid w:val="31657353"/>
    <w:rsid w:val="318A4616"/>
    <w:rsid w:val="31911A2F"/>
    <w:rsid w:val="31B76907"/>
    <w:rsid w:val="31C679AA"/>
    <w:rsid w:val="32127803"/>
    <w:rsid w:val="32247D70"/>
    <w:rsid w:val="323C78AD"/>
    <w:rsid w:val="325B6727"/>
    <w:rsid w:val="328E04C8"/>
    <w:rsid w:val="32A63483"/>
    <w:rsid w:val="32C17303"/>
    <w:rsid w:val="32E42621"/>
    <w:rsid w:val="32E72397"/>
    <w:rsid w:val="332341B9"/>
    <w:rsid w:val="33462860"/>
    <w:rsid w:val="336B44CD"/>
    <w:rsid w:val="33A87367"/>
    <w:rsid w:val="33EF2D16"/>
    <w:rsid w:val="340561D3"/>
    <w:rsid w:val="34114E95"/>
    <w:rsid w:val="3411763A"/>
    <w:rsid w:val="34173938"/>
    <w:rsid w:val="3457341D"/>
    <w:rsid w:val="346A7A0C"/>
    <w:rsid w:val="34791497"/>
    <w:rsid w:val="349456DD"/>
    <w:rsid w:val="34F3601D"/>
    <w:rsid w:val="34F5482E"/>
    <w:rsid w:val="350F14A9"/>
    <w:rsid w:val="355A740E"/>
    <w:rsid w:val="356C0B3B"/>
    <w:rsid w:val="35B57630"/>
    <w:rsid w:val="35BD4858"/>
    <w:rsid w:val="35D41875"/>
    <w:rsid w:val="363A5E83"/>
    <w:rsid w:val="366A5832"/>
    <w:rsid w:val="36796035"/>
    <w:rsid w:val="36AC53C0"/>
    <w:rsid w:val="36AE417C"/>
    <w:rsid w:val="37143762"/>
    <w:rsid w:val="371C6859"/>
    <w:rsid w:val="37A60062"/>
    <w:rsid w:val="37B87D95"/>
    <w:rsid w:val="37BA0B5E"/>
    <w:rsid w:val="37F568C4"/>
    <w:rsid w:val="37FE08B7"/>
    <w:rsid w:val="38043C07"/>
    <w:rsid w:val="382C6B5C"/>
    <w:rsid w:val="3885236D"/>
    <w:rsid w:val="38A5089C"/>
    <w:rsid w:val="38B13162"/>
    <w:rsid w:val="38D37895"/>
    <w:rsid w:val="38D651F8"/>
    <w:rsid w:val="395462EA"/>
    <w:rsid w:val="3958538C"/>
    <w:rsid w:val="39833EA9"/>
    <w:rsid w:val="39A60364"/>
    <w:rsid w:val="39D206CA"/>
    <w:rsid w:val="3A2672F3"/>
    <w:rsid w:val="3A5214E4"/>
    <w:rsid w:val="3AAA60BB"/>
    <w:rsid w:val="3AEE0448"/>
    <w:rsid w:val="3AFA6EDF"/>
    <w:rsid w:val="3B344AFE"/>
    <w:rsid w:val="3B376831"/>
    <w:rsid w:val="3BBE49CD"/>
    <w:rsid w:val="3BE27613"/>
    <w:rsid w:val="3BF00133"/>
    <w:rsid w:val="3C0021D7"/>
    <w:rsid w:val="3C0C15E1"/>
    <w:rsid w:val="3C3A7B5E"/>
    <w:rsid w:val="3C3B0409"/>
    <w:rsid w:val="3C573C33"/>
    <w:rsid w:val="3C751DC1"/>
    <w:rsid w:val="3CCA2A44"/>
    <w:rsid w:val="3CE13D4F"/>
    <w:rsid w:val="3CF54DAA"/>
    <w:rsid w:val="3CF60458"/>
    <w:rsid w:val="3D031AB2"/>
    <w:rsid w:val="3D0B7F2B"/>
    <w:rsid w:val="3D204603"/>
    <w:rsid w:val="3D281F42"/>
    <w:rsid w:val="3D2F28A7"/>
    <w:rsid w:val="3D387145"/>
    <w:rsid w:val="3D6C60E6"/>
    <w:rsid w:val="3DBE493E"/>
    <w:rsid w:val="3DDA2813"/>
    <w:rsid w:val="3DEB1AF2"/>
    <w:rsid w:val="3DEF5E07"/>
    <w:rsid w:val="3DF064DB"/>
    <w:rsid w:val="3E163AD3"/>
    <w:rsid w:val="3E1E2BF9"/>
    <w:rsid w:val="3E2C203A"/>
    <w:rsid w:val="3E3C523A"/>
    <w:rsid w:val="3E412892"/>
    <w:rsid w:val="3E543A06"/>
    <w:rsid w:val="3E6265CD"/>
    <w:rsid w:val="3E843804"/>
    <w:rsid w:val="3E8B6156"/>
    <w:rsid w:val="3E8C0EC6"/>
    <w:rsid w:val="3E8C4C54"/>
    <w:rsid w:val="3EB16BDA"/>
    <w:rsid w:val="3EC6519F"/>
    <w:rsid w:val="3EDF590B"/>
    <w:rsid w:val="3EFE5DF9"/>
    <w:rsid w:val="3F013A7F"/>
    <w:rsid w:val="3F1F372B"/>
    <w:rsid w:val="3F46384B"/>
    <w:rsid w:val="3F557E3A"/>
    <w:rsid w:val="3F674EF1"/>
    <w:rsid w:val="3FE54E65"/>
    <w:rsid w:val="401364B0"/>
    <w:rsid w:val="4058626E"/>
    <w:rsid w:val="406633FA"/>
    <w:rsid w:val="40A239A1"/>
    <w:rsid w:val="40A67B0C"/>
    <w:rsid w:val="40B70C98"/>
    <w:rsid w:val="40D4463A"/>
    <w:rsid w:val="40F4765B"/>
    <w:rsid w:val="40F53889"/>
    <w:rsid w:val="40F57964"/>
    <w:rsid w:val="410A340F"/>
    <w:rsid w:val="411A3382"/>
    <w:rsid w:val="41250EAD"/>
    <w:rsid w:val="41AC00CC"/>
    <w:rsid w:val="41BB2501"/>
    <w:rsid w:val="41EB7633"/>
    <w:rsid w:val="42213106"/>
    <w:rsid w:val="422B7C4B"/>
    <w:rsid w:val="427A45C5"/>
    <w:rsid w:val="42831829"/>
    <w:rsid w:val="429B0051"/>
    <w:rsid w:val="42E86576"/>
    <w:rsid w:val="42F903C4"/>
    <w:rsid w:val="43574906"/>
    <w:rsid w:val="43682BCB"/>
    <w:rsid w:val="43711478"/>
    <w:rsid w:val="43A713E9"/>
    <w:rsid w:val="43EC4C36"/>
    <w:rsid w:val="43F07E60"/>
    <w:rsid w:val="441C0922"/>
    <w:rsid w:val="44221B66"/>
    <w:rsid w:val="44511355"/>
    <w:rsid w:val="446472DA"/>
    <w:rsid w:val="449A7EB1"/>
    <w:rsid w:val="44B44AF4"/>
    <w:rsid w:val="44E27D16"/>
    <w:rsid w:val="44E330F0"/>
    <w:rsid w:val="45135F9D"/>
    <w:rsid w:val="45250BE9"/>
    <w:rsid w:val="453F0C5A"/>
    <w:rsid w:val="45542E15"/>
    <w:rsid w:val="455464E0"/>
    <w:rsid w:val="45B01F0D"/>
    <w:rsid w:val="45F360BF"/>
    <w:rsid w:val="461C3FE9"/>
    <w:rsid w:val="46236A8F"/>
    <w:rsid w:val="4667600D"/>
    <w:rsid w:val="46A508B2"/>
    <w:rsid w:val="46A94508"/>
    <w:rsid w:val="46BD6362"/>
    <w:rsid w:val="46DF7FAD"/>
    <w:rsid w:val="46F97E66"/>
    <w:rsid w:val="46FD0B27"/>
    <w:rsid w:val="472A2015"/>
    <w:rsid w:val="47377E96"/>
    <w:rsid w:val="476B2844"/>
    <w:rsid w:val="47906875"/>
    <w:rsid w:val="479F062A"/>
    <w:rsid w:val="47A87BF9"/>
    <w:rsid w:val="47D91AFF"/>
    <w:rsid w:val="47E15778"/>
    <w:rsid w:val="47EC39C7"/>
    <w:rsid w:val="47EE4E17"/>
    <w:rsid w:val="47F44E19"/>
    <w:rsid w:val="480F698B"/>
    <w:rsid w:val="481E6566"/>
    <w:rsid w:val="48322245"/>
    <w:rsid w:val="48A969B5"/>
    <w:rsid w:val="48FA645F"/>
    <w:rsid w:val="491C33B4"/>
    <w:rsid w:val="49515CDF"/>
    <w:rsid w:val="499410ED"/>
    <w:rsid w:val="49F148BB"/>
    <w:rsid w:val="49F9516D"/>
    <w:rsid w:val="4A54710F"/>
    <w:rsid w:val="4A6F0787"/>
    <w:rsid w:val="4A7B0FDD"/>
    <w:rsid w:val="4A854A66"/>
    <w:rsid w:val="4ADF3B5E"/>
    <w:rsid w:val="4AFA6594"/>
    <w:rsid w:val="4B046734"/>
    <w:rsid w:val="4B65145D"/>
    <w:rsid w:val="4C1317AE"/>
    <w:rsid w:val="4C210E62"/>
    <w:rsid w:val="4C344C26"/>
    <w:rsid w:val="4C826488"/>
    <w:rsid w:val="4CBF6330"/>
    <w:rsid w:val="4CFC402D"/>
    <w:rsid w:val="4D390C07"/>
    <w:rsid w:val="4D69341E"/>
    <w:rsid w:val="4D6D3E47"/>
    <w:rsid w:val="4D77095C"/>
    <w:rsid w:val="4D924EB8"/>
    <w:rsid w:val="4D993096"/>
    <w:rsid w:val="4DA70238"/>
    <w:rsid w:val="4DAF7614"/>
    <w:rsid w:val="4DB85903"/>
    <w:rsid w:val="4DCA2A9D"/>
    <w:rsid w:val="4E0848CA"/>
    <w:rsid w:val="4E24785B"/>
    <w:rsid w:val="4E35380D"/>
    <w:rsid w:val="4E4C150B"/>
    <w:rsid w:val="4E4E62BC"/>
    <w:rsid w:val="4E544666"/>
    <w:rsid w:val="4E8651D3"/>
    <w:rsid w:val="4E9B5FEF"/>
    <w:rsid w:val="4EE334F2"/>
    <w:rsid w:val="4EFA642E"/>
    <w:rsid w:val="4F0D4559"/>
    <w:rsid w:val="4F0D4A2C"/>
    <w:rsid w:val="4F3F3572"/>
    <w:rsid w:val="4F441EAD"/>
    <w:rsid w:val="4F5447FD"/>
    <w:rsid w:val="4FAC71FD"/>
    <w:rsid w:val="4FCC2A0E"/>
    <w:rsid w:val="4FDD6193"/>
    <w:rsid w:val="4FFC6B3D"/>
    <w:rsid w:val="5010246E"/>
    <w:rsid w:val="50343E72"/>
    <w:rsid w:val="5042616A"/>
    <w:rsid w:val="505B2CD2"/>
    <w:rsid w:val="506C14C9"/>
    <w:rsid w:val="50760AC1"/>
    <w:rsid w:val="5078356D"/>
    <w:rsid w:val="50D80658"/>
    <w:rsid w:val="510075AE"/>
    <w:rsid w:val="510E7719"/>
    <w:rsid w:val="51296F3F"/>
    <w:rsid w:val="51B371DB"/>
    <w:rsid w:val="51BD3441"/>
    <w:rsid w:val="51BE1FC0"/>
    <w:rsid w:val="51C62041"/>
    <w:rsid w:val="51D82E86"/>
    <w:rsid w:val="51D830B6"/>
    <w:rsid w:val="51F10C55"/>
    <w:rsid w:val="51F618B2"/>
    <w:rsid w:val="52051886"/>
    <w:rsid w:val="52E42F22"/>
    <w:rsid w:val="52FA3CB2"/>
    <w:rsid w:val="530A5F08"/>
    <w:rsid w:val="53A01634"/>
    <w:rsid w:val="53B62DFB"/>
    <w:rsid w:val="544B3076"/>
    <w:rsid w:val="54510997"/>
    <w:rsid w:val="547C4F8D"/>
    <w:rsid w:val="5483674C"/>
    <w:rsid w:val="54842394"/>
    <w:rsid w:val="54F34522"/>
    <w:rsid w:val="55061F0C"/>
    <w:rsid w:val="550B0595"/>
    <w:rsid w:val="55207253"/>
    <w:rsid w:val="55270F7E"/>
    <w:rsid w:val="55C64403"/>
    <w:rsid w:val="55FE5A1A"/>
    <w:rsid w:val="56105C0D"/>
    <w:rsid w:val="56176296"/>
    <w:rsid w:val="563969A8"/>
    <w:rsid w:val="56545C63"/>
    <w:rsid w:val="568548F8"/>
    <w:rsid w:val="568A753E"/>
    <w:rsid w:val="569A2FA8"/>
    <w:rsid w:val="56BF3779"/>
    <w:rsid w:val="56C84814"/>
    <w:rsid w:val="56CC5B3F"/>
    <w:rsid w:val="56D20485"/>
    <w:rsid w:val="56F2130E"/>
    <w:rsid w:val="57275233"/>
    <w:rsid w:val="57952BC6"/>
    <w:rsid w:val="57A831DA"/>
    <w:rsid w:val="57E06FFD"/>
    <w:rsid w:val="57F0738F"/>
    <w:rsid w:val="57F60DB0"/>
    <w:rsid w:val="58044C05"/>
    <w:rsid w:val="58340C8B"/>
    <w:rsid w:val="58541BAF"/>
    <w:rsid w:val="586A2A08"/>
    <w:rsid w:val="58855976"/>
    <w:rsid w:val="59106838"/>
    <w:rsid w:val="596C307A"/>
    <w:rsid w:val="59B47F65"/>
    <w:rsid w:val="5A0E371A"/>
    <w:rsid w:val="5A20488D"/>
    <w:rsid w:val="5A256BFF"/>
    <w:rsid w:val="5A393042"/>
    <w:rsid w:val="5A4472FB"/>
    <w:rsid w:val="5A9304C2"/>
    <w:rsid w:val="5AA849CA"/>
    <w:rsid w:val="5AAB02FC"/>
    <w:rsid w:val="5ADE71D8"/>
    <w:rsid w:val="5AF86458"/>
    <w:rsid w:val="5B0F3850"/>
    <w:rsid w:val="5B365630"/>
    <w:rsid w:val="5B756B47"/>
    <w:rsid w:val="5B8B7A46"/>
    <w:rsid w:val="5BC85F49"/>
    <w:rsid w:val="5C16417D"/>
    <w:rsid w:val="5C2A2760"/>
    <w:rsid w:val="5C322A39"/>
    <w:rsid w:val="5C6043D4"/>
    <w:rsid w:val="5C8E2CEF"/>
    <w:rsid w:val="5D005DFA"/>
    <w:rsid w:val="5D015455"/>
    <w:rsid w:val="5D1F14F3"/>
    <w:rsid w:val="5D5F6439"/>
    <w:rsid w:val="5D600B2F"/>
    <w:rsid w:val="5D6D54E4"/>
    <w:rsid w:val="5DC43951"/>
    <w:rsid w:val="5E2A12AA"/>
    <w:rsid w:val="5E383EEA"/>
    <w:rsid w:val="5EB27F0D"/>
    <w:rsid w:val="5EB75557"/>
    <w:rsid w:val="5EEB267A"/>
    <w:rsid w:val="5F293DEF"/>
    <w:rsid w:val="5F296CFF"/>
    <w:rsid w:val="5F2C07EB"/>
    <w:rsid w:val="5F617371"/>
    <w:rsid w:val="5FA02633"/>
    <w:rsid w:val="60863311"/>
    <w:rsid w:val="609943EA"/>
    <w:rsid w:val="60B31808"/>
    <w:rsid w:val="6106777C"/>
    <w:rsid w:val="6117186C"/>
    <w:rsid w:val="614148E6"/>
    <w:rsid w:val="61776B2F"/>
    <w:rsid w:val="618B438D"/>
    <w:rsid w:val="61D5580D"/>
    <w:rsid w:val="628B2078"/>
    <w:rsid w:val="62921DD7"/>
    <w:rsid w:val="62B36EE2"/>
    <w:rsid w:val="62C3746A"/>
    <w:rsid w:val="63067C96"/>
    <w:rsid w:val="637E4F78"/>
    <w:rsid w:val="63CF61E3"/>
    <w:rsid w:val="640C7D72"/>
    <w:rsid w:val="640D6BEF"/>
    <w:rsid w:val="64357481"/>
    <w:rsid w:val="644C76C0"/>
    <w:rsid w:val="64626B44"/>
    <w:rsid w:val="64627837"/>
    <w:rsid w:val="64764B3C"/>
    <w:rsid w:val="64854064"/>
    <w:rsid w:val="64955033"/>
    <w:rsid w:val="65016DA4"/>
    <w:rsid w:val="658A5C4A"/>
    <w:rsid w:val="65E7565F"/>
    <w:rsid w:val="65FC2707"/>
    <w:rsid w:val="6601194A"/>
    <w:rsid w:val="662226AD"/>
    <w:rsid w:val="66326BB9"/>
    <w:rsid w:val="663D2D41"/>
    <w:rsid w:val="66497B3A"/>
    <w:rsid w:val="66505799"/>
    <w:rsid w:val="665576CD"/>
    <w:rsid w:val="665A7BEB"/>
    <w:rsid w:val="667F2426"/>
    <w:rsid w:val="668063CF"/>
    <w:rsid w:val="66B0513E"/>
    <w:rsid w:val="66ED6A1E"/>
    <w:rsid w:val="670872AF"/>
    <w:rsid w:val="67616051"/>
    <w:rsid w:val="67AE458D"/>
    <w:rsid w:val="67BB4BB4"/>
    <w:rsid w:val="67E659A9"/>
    <w:rsid w:val="685F0E20"/>
    <w:rsid w:val="686E3FED"/>
    <w:rsid w:val="68B909EB"/>
    <w:rsid w:val="68D9280E"/>
    <w:rsid w:val="68E672DF"/>
    <w:rsid w:val="690A5DF3"/>
    <w:rsid w:val="691B1081"/>
    <w:rsid w:val="69226D85"/>
    <w:rsid w:val="69283232"/>
    <w:rsid w:val="69556EEC"/>
    <w:rsid w:val="69733981"/>
    <w:rsid w:val="69AB6329"/>
    <w:rsid w:val="69DB1D36"/>
    <w:rsid w:val="69E46644"/>
    <w:rsid w:val="69FC398E"/>
    <w:rsid w:val="6A0A6887"/>
    <w:rsid w:val="6A175A16"/>
    <w:rsid w:val="6A1A3869"/>
    <w:rsid w:val="6A4B4337"/>
    <w:rsid w:val="6A5C53DB"/>
    <w:rsid w:val="6A9E1BF4"/>
    <w:rsid w:val="6AB5630D"/>
    <w:rsid w:val="6B0564AB"/>
    <w:rsid w:val="6B144D07"/>
    <w:rsid w:val="6B36061F"/>
    <w:rsid w:val="6B473D43"/>
    <w:rsid w:val="6B4C0B26"/>
    <w:rsid w:val="6B4D1FC7"/>
    <w:rsid w:val="6B635875"/>
    <w:rsid w:val="6B811C71"/>
    <w:rsid w:val="6BAD2BFF"/>
    <w:rsid w:val="6BB44ED4"/>
    <w:rsid w:val="6BE7464A"/>
    <w:rsid w:val="6BF61D55"/>
    <w:rsid w:val="6C3B75E4"/>
    <w:rsid w:val="6C4029FC"/>
    <w:rsid w:val="6C49124E"/>
    <w:rsid w:val="6C60234D"/>
    <w:rsid w:val="6C7055C5"/>
    <w:rsid w:val="6C7F068B"/>
    <w:rsid w:val="6CA65168"/>
    <w:rsid w:val="6CAA7EE0"/>
    <w:rsid w:val="6CAC565B"/>
    <w:rsid w:val="6CE451FC"/>
    <w:rsid w:val="6D1549D4"/>
    <w:rsid w:val="6D196FE9"/>
    <w:rsid w:val="6D2861E7"/>
    <w:rsid w:val="6D635AD2"/>
    <w:rsid w:val="6D9D4A55"/>
    <w:rsid w:val="6DB679F8"/>
    <w:rsid w:val="6E0B4929"/>
    <w:rsid w:val="6E4B7905"/>
    <w:rsid w:val="6E602011"/>
    <w:rsid w:val="6E986B26"/>
    <w:rsid w:val="6EC31090"/>
    <w:rsid w:val="6F35524C"/>
    <w:rsid w:val="6F425DA0"/>
    <w:rsid w:val="6F4374AE"/>
    <w:rsid w:val="6F4B69F2"/>
    <w:rsid w:val="6F694185"/>
    <w:rsid w:val="6F823AA8"/>
    <w:rsid w:val="6F875E81"/>
    <w:rsid w:val="6F8B3742"/>
    <w:rsid w:val="6F920BBB"/>
    <w:rsid w:val="6FA523D2"/>
    <w:rsid w:val="6FAB4433"/>
    <w:rsid w:val="6FD0340F"/>
    <w:rsid w:val="6FDF7FF2"/>
    <w:rsid w:val="703564B1"/>
    <w:rsid w:val="704D24DE"/>
    <w:rsid w:val="704F058F"/>
    <w:rsid w:val="70E926D2"/>
    <w:rsid w:val="70F61CC8"/>
    <w:rsid w:val="70FC4273"/>
    <w:rsid w:val="71133AA5"/>
    <w:rsid w:val="713522E2"/>
    <w:rsid w:val="713C786D"/>
    <w:rsid w:val="718B4B98"/>
    <w:rsid w:val="71A016B6"/>
    <w:rsid w:val="71C70D25"/>
    <w:rsid w:val="71DB4DD5"/>
    <w:rsid w:val="71F23805"/>
    <w:rsid w:val="71F94C57"/>
    <w:rsid w:val="720F4C01"/>
    <w:rsid w:val="72733A58"/>
    <w:rsid w:val="728B5C67"/>
    <w:rsid w:val="72AE6E88"/>
    <w:rsid w:val="72B91ACC"/>
    <w:rsid w:val="72BD5BE8"/>
    <w:rsid w:val="72BE4590"/>
    <w:rsid w:val="72C42004"/>
    <w:rsid w:val="72D433BB"/>
    <w:rsid w:val="72E67EA0"/>
    <w:rsid w:val="72F77324"/>
    <w:rsid w:val="730D321C"/>
    <w:rsid w:val="737C169B"/>
    <w:rsid w:val="7391371E"/>
    <w:rsid w:val="73A34E7A"/>
    <w:rsid w:val="73B76B77"/>
    <w:rsid w:val="7423359E"/>
    <w:rsid w:val="744F5002"/>
    <w:rsid w:val="7469482F"/>
    <w:rsid w:val="746C1964"/>
    <w:rsid w:val="74C86427"/>
    <w:rsid w:val="74D14372"/>
    <w:rsid w:val="750B2326"/>
    <w:rsid w:val="750C6A4F"/>
    <w:rsid w:val="754461E9"/>
    <w:rsid w:val="75AA33FC"/>
    <w:rsid w:val="75BF6D8B"/>
    <w:rsid w:val="75E259FB"/>
    <w:rsid w:val="76857CF1"/>
    <w:rsid w:val="76AD75E1"/>
    <w:rsid w:val="76D50072"/>
    <w:rsid w:val="76F93C46"/>
    <w:rsid w:val="77250B48"/>
    <w:rsid w:val="7727473D"/>
    <w:rsid w:val="772C7232"/>
    <w:rsid w:val="777262D6"/>
    <w:rsid w:val="77B5517C"/>
    <w:rsid w:val="77D07956"/>
    <w:rsid w:val="77DA2E34"/>
    <w:rsid w:val="77FB7A91"/>
    <w:rsid w:val="780B5CC0"/>
    <w:rsid w:val="786816EC"/>
    <w:rsid w:val="78843B05"/>
    <w:rsid w:val="789F76B6"/>
    <w:rsid w:val="78CE27F4"/>
    <w:rsid w:val="790645AE"/>
    <w:rsid w:val="7911198A"/>
    <w:rsid w:val="791B1956"/>
    <w:rsid w:val="79347A66"/>
    <w:rsid w:val="798919C4"/>
    <w:rsid w:val="79A204E3"/>
    <w:rsid w:val="79E01D29"/>
    <w:rsid w:val="79F548FD"/>
    <w:rsid w:val="7A0A2914"/>
    <w:rsid w:val="7A3D63E3"/>
    <w:rsid w:val="7A6C0BA8"/>
    <w:rsid w:val="7A9B0561"/>
    <w:rsid w:val="7AD24297"/>
    <w:rsid w:val="7AF745AA"/>
    <w:rsid w:val="7B1A191F"/>
    <w:rsid w:val="7B480864"/>
    <w:rsid w:val="7B701AB6"/>
    <w:rsid w:val="7B727311"/>
    <w:rsid w:val="7B754A48"/>
    <w:rsid w:val="7BAC74D0"/>
    <w:rsid w:val="7BAC7712"/>
    <w:rsid w:val="7C7657BC"/>
    <w:rsid w:val="7C87784C"/>
    <w:rsid w:val="7CC04CCD"/>
    <w:rsid w:val="7CD74C16"/>
    <w:rsid w:val="7D314CFF"/>
    <w:rsid w:val="7DAE47D0"/>
    <w:rsid w:val="7DD25C60"/>
    <w:rsid w:val="7DE659A7"/>
    <w:rsid w:val="7DEE1DD0"/>
    <w:rsid w:val="7DF503CD"/>
    <w:rsid w:val="7E4C5633"/>
    <w:rsid w:val="7E4F0AA3"/>
    <w:rsid w:val="7E8142DA"/>
    <w:rsid w:val="7EB879DA"/>
    <w:rsid w:val="7EC1388A"/>
    <w:rsid w:val="7EDA2C57"/>
    <w:rsid w:val="7F03304A"/>
    <w:rsid w:val="7F1E2CFE"/>
    <w:rsid w:val="7F1E3F4E"/>
    <w:rsid w:val="7F260E2D"/>
    <w:rsid w:val="7F3A7AD6"/>
    <w:rsid w:val="7F3B382A"/>
    <w:rsid w:val="7F420D45"/>
    <w:rsid w:val="7F73409E"/>
    <w:rsid w:val="7FA41E4F"/>
    <w:rsid w:val="7FBC6ECD"/>
    <w:rsid w:val="7FCD10A0"/>
    <w:rsid w:val="7FF15D5B"/>
    <w:rsid w:val="7FFA1A65"/>
    <w:rsid w:val="7FFF5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72"/>
    <w:semiHidden/>
    <w:unhideWhenUsed/>
    <w:qFormat/>
    <w:uiPriority w:val="99"/>
    <w:rPr>
      <w:rFonts w:ascii="宋体" w:eastAsia="宋体"/>
      <w:sz w:val="18"/>
      <w:szCs w:val="18"/>
    </w:rPr>
  </w:style>
  <w:style w:type="paragraph" w:styleId="3">
    <w:name w:val="Balloon Text"/>
    <w:basedOn w:val="1"/>
    <w:link w:val="45"/>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style>
  <w:style w:type="paragraph" w:styleId="7">
    <w:name w:val="footnote text"/>
    <w:basedOn w:val="1"/>
    <w:link w:val="68"/>
    <w:qFormat/>
    <w:uiPriority w:val="0"/>
    <w:pPr>
      <w:numPr>
        <w:ilvl w:val="0"/>
        <w:numId w:val="1"/>
      </w:numPr>
      <w:snapToGrid w:val="0"/>
      <w:jc w:val="left"/>
    </w:pPr>
    <w:rPr>
      <w:rFonts w:ascii="宋体" w:hAnsi="Times New Roman" w:eastAsia="宋体" w:cs="Times New Roman"/>
      <w:sz w:val="18"/>
      <w:szCs w:val="18"/>
    </w:rPr>
  </w:style>
  <w:style w:type="paragraph" w:styleId="8">
    <w:name w:val="Title"/>
    <w:basedOn w:val="1"/>
    <w:next w:val="1"/>
    <w:link w:val="44"/>
    <w:qFormat/>
    <w:uiPriority w:val="10"/>
    <w:pPr>
      <w:spacing w:before="240" w:after="60"/>
      <w:jc w:val="center"/>
      <w:outlineLvl w:val="0"/>
    </w:pPr>
    <w:rPr>
      <w:rFonts w:eastAsia="宋体" w:asciiTheme="majorHAnsi" w:hAnsiTheme="majorHAnsi" w:cstheme="majorBidi"/>
      <w:b/>
      <w:bCs/>
      <w:sz w:val="32"/>
      <w:szCs w:val="32"/>
    </w:rPr>
  </w:style>
  <w:style w:type="table" w:styleId="10">
    <w:name w:val="Table Grid"/>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styleId="13">
    <w:name w:val="page number"/>
    <w:basedOn w:val="11"/>
    <w:qFormat/>
    <w:uiPriority w:val="0"/>
  </w:style>
  <w:style w:type="character" w:styleId="14">
    <w:name w:val="Hyperlink"/>
    <w:basedOn w:val="11"/>
    <w:unhideWhenUsed/>
    <w:qFormat/>
    <w:uiPriority w:val="99"/>
    <w:rPr>
      <w:color w:val="0000FF" w:themeColor="hyperlink"/>
      <w:u w:val="single"/>
      <w14:textFill>
        <w14:solidFill>
          <w14:schemeClr w14:val="hlink"/>
        </w14:solidFill>
      </w14:textFill>
    </w:rPr>
  </w:style>
  <w:style w:type="character" w:customStyle="1" w:styleId="15">
    <w:name w:val="页眉 字符"/>
    <w:basedOn w:val="11"/>
    <w:link w:val="5"/>
    <w:qFormat/>
    <w:uiPriority w:val="99"/>
    <w:rPr>
      <w:sz w:val="18"/>
      <w:szCs w:val="18"/>
    </w:rPr>
  </w:style>
  <w:style w:type="character" w:customStyle="1" w:styleId="16">
    <w:name w:val="页脚 字符1"/>
    <w:basedOn w:val="11"/>
    <w:link w:val="4"/>
    <w:qFormat/>
    <w:uiPriority w:val="99"/>
    <w:rPr>
      <w:sz w:val="18"/>
      <w:szCs w:val="18"/>
    </w:rPr>
  </w:style>
  <w:style w:type="paragraph" w:customStyle="1" w:styleId="17">
    <w:name w:val="段"/>
    <w:link w:val="1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8">
    <w:name w:val="段 Char"/>
    <w:link w:val="17"/>
    <w:qFormat/>
    <w:uiPriority w:val="0"/>
    <w:rPr>
      <w:rFonts w:ascii="宋体" w:hAnsi="Times New Roman" w:eastAsia="宋体" w:cs="Times New Roman"/>
      <w:kern w:val="0"/>
      <w:szCs w:val="20"/>
    </w:rPr>
  </w:style>
  <w:style w:type="paragraph" w:customStyle="1" w:styleId="19">
    <w:name w:val="一级条标题"/>
    <w:next w:val="17"/>
    <w:qFormat/>
    <w:uiPriority w:val="0"/>
    <w:pPr>
      <w:numPr>
        <w:ilvl w:val="1"/>
        <w:numId w:val="2"/>
      </w:numPr>
      <w:spacing w:before="50" w:beforeLines="50" w:after="50" w:afterLines="50"/>
      <w:ind w:left="0"/>
      <w:outlineLvl w:val="2"/>
      <w:pPrChange w:id="0" w:author="源 路" w:date="2024-12-08T16:33:00Z">
        <w:pPr>
          <w:numPr>
            <w:ilvl w:val="1"/>
            <w:numId w:val="2"/>
          </w:numPr>
          <w:spacing w:beforeLines="50" w:afterLines="50"/>
          <w:ind w:left="284"/>
          <w:outlineLvl w:val="2"/>
        </w:pPr>
      </w:pPrChange>
    </w:pPr>
    <w:rPr>
      <w:rFonts w:ascii="黑体" w:hAnsi="黑体" w:eastAsia="宋体" w:cs="Times New Roman"/>
      <w:sz w:val="21"/>
      <w:szCs w:val="21"/>
      <w:lang w:val="en-US" w:eastAsia="zh-CN" w:bidi="ar-SA"/>
      <w:rPrChange w:id="1" w:author="源 路" w:date="2024-12-08T16:33:00Z">
        <w:rPr>
          <w:rFonts w:ascii="黑体" w:eastAsia="黑体"/>
          <w:sz w:val="21"/>
          <w:szCs w:val="21"/>
          <w:lang w:val="en-US" w:eastAsia="zh-CN" w:bidi="ar-SA"/>
        </w:rPr>
      </w:rPrChange>
    </w:rPr>
  </w:style>
  <w:style w:type="paragraph" w:customStyle="1" w:styleId="20">
    <w:name w:val="章标题"/>
    <w:next w:val="17"/>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21">
    <w:name w:val="二级条标题"/>
    <w:basedOn w:val="19"/>
    <w:next w:val="17"/>
    <w:qFormat/>
    <w:uiPriority w:val="0"/>
    <w:pPr>
      <w:numPr>
        <w:ilvl w:val="2"/>
      </w:numPr>
      <w:ind w:left="0"/>
      <w:outlineLvl w:val="3"/>
    </w:pPr>
    <w:rPr>
      <w:rFonts w:hAnsi="黑体" w:eastAsia="宋体"/>
    </w:rPr>
  </w:style>
  <w:style w:type="paragraph" w:customStyle="1" w:styleId="2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3">
    <w:name w:val="目次、标准名称标题"/>
    <w:basedOn w:val="1"/>
    <w:next w:val="17"/>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24">
    <w:name w:val="四级条标题"/>
    <w:basedOn w:val="1"/>
    <w:next w:val="17"/>
    <w:qFormat/>
    <w:uiPriority w:val="0"/>
    <w:pPr>
      <w:widowControl/>
      <w:numPr>
        <w:ilvl w:val="4"/>
        <w:numId w:val="2"/>
      </w:numPr>
      <w:spacing w:beforeLines="50" w:afterLines="50"/>
      <w:jc w:val="left"/>
      <w:outlineLvl w:val="5"/>
    </w:pPr>
    <w:rPr>
      <w:rFonts w:ascii="黑体" w:hAnsi="Times New Roman" w:eastAsia="黑体" w:cs="Times New Roman"/>
      <w:kern w:val="0"/>
      <w:szCs w:val="21"/>
    </w:rPr>
  </w:style>
  <w:style w:type="paragraph" w:customStyle="1" w:styleId="25">
    <w:name w:val="五级条标题"/>
    <w:basedOn w:val="24"/>
    <w:next w:val="17"/>
    <w:qFormat/>
    <w:uiPriority w:val="0"/>
    <w:pPr>
      <w:numPr>
        <w:ilvl w:val="5"/>
      </w:numPr>
      <w:outlineLvl w:val="6"/>
    </w:pPr>
  </w:style>
  <w:style w:type="paragraph" w:customStyle="1" w:styleId="26">
    <w:name w:val="二级无"/>
    <w:basedOn w:val="21"/>
    <w:qFormat/>
    <w:uiPriority w:val="0"/>
    <w:pPr>
      <w:spacing w:beforeLines="0" w:afterLines="0"/>
    </w:pPr>
    <w:rPr>
      <w:rFonts w:ascii="宋体" w:hAnsi="宋体"/>
    </w:rPr>
  </w:style>
  <w:style w:type="paragraph" w:customStyle="1" w:styleId="27">
    <w:name w:val="注×：（正文）"/>
    <w:qFormat/>
    <w:uiPriority w:val="0"/>
    <w:pPr>
      <w:numPr>
        <w:ilvl w:val="0"/>
        <w:numId w:val="3"/>
      </w:numPr>
      <w:jc w:val="both"/>
    </w:pPr>
    <w:rPr>
      <w:rFonts w:ascii="宋体" w:hAnsi="Times New Roman" w:eastAsia="宋体" w:cs="Times New Roman"/>
      <w:sz w:val="18"/>
      <w:szCs w:val="18"/>
      <w:lang w:val="en-US" w:eastAsia="zh-CN" w:bidi="ar-SA"/>
    </w:rPr>
  </w:style>
  <w:style w:type="character" w:customStyle="1" w:styleId="28">
    <w:name w:val="发布"/>
    <w:qFormat/>
    <w:uiPriority w:val="0"/>
    <w:rPr>
      <w:rFonts w:ascii="黑体" w:eastAsia="黑体"/>
      <w:spacing w:val="85"/>
      <w:w w:val="100"/>
      <w:position w:val="3"/>
      <w:sz w:val="28"/>
      <w:szCs w:val="28"/>
    </w:rPr>
  </w:style>
  <w:style w:type="paragraph" w:customStyle="1" w:styleId="2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3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1">
    <w:name w:val="封面标准英文名称"/>
    <w:basedOn w:val="30"/>
    <w:qFormat/>
    <w:uiPriority w:val="0"/>
    <w:pPr>
      <w:framePr w:wrap="around"/>
      <w:spacing w:before="370" w:line="400" w:lineRule="exact"/>
    </w:pPr>
    <w:rPr>
      <w:rFonts w:ascii="Times New Roman"/>
      <w:sz w:val="28"/>
      <w:szCs w:val="28"/>
    </w:rPr>
  </w:style>
  <w:style w:type="paragraph" w:customStyle="1" w:styleId="32">
    <w:name w:val="封面一致性程度标识"/>
    <w:basedOn w:val="31"/>
    <w:qFormat/>
    <w:uiPriority w:val="0"/>
    <w:pPr>
      <w:framePr w:wrap="around"/>
      <w:spacing w:before="440"/>
    </w:pPr>
    <w:rPr>
      <w:rFonts w:ascii="宋体" w:eastAsia="宋体"/>
    </w:rPr>
  </w:style>
  <w:style w:type="paragraph" w:customStyle="1" w:styleId="33">
    <w:name w:val="封面标准文稿类别"/>
    <w:basedOn w:val="32"/>
    <w:qFormat/>
    <w:uiPriority w:val="0"/>
    <w:pPr>
      <w:framePr w:wrap="around"/>
      <w:spacing w:after="160" w:line="240" w:lineRule="auto"/>
    </w:pPr>
    <w:rPr>
      <w:sz w:val="24"/>
    </w:rPr>
  </w:style>
  <w:style w:type="paragraph" w:customStyle="1" w:styleId="34">
    <w:name w:val="封面标准文稿编辑信息"/>
    <w:basedOn w:val="33"/>
    <w:qFormat/>
    <w:uiPriority w:val="0"/>
    <w:pPr>
      <w:framePr w:wrap="around"/>
      <w:spacing w:before="180" w:line="180" w:lineRule="exact"/>
    </w:pPr>
    <w:rPr>
      <w:sz w:val="21"/>
    </w:rPr>
  </w:style>
  <w:style w:type="paragraph" w:customStyle="1" w:styleId="3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rFonts w:ascii="Times New Roman" w:hAnsi="Times New Roman" w:eastAsia="宋体" w:cs="Times New Roman"/>
      <w:b/>
      <w:w w:val="130"/>
      <w:kern w:val="0"/>
      <w:sz w:val="96"/>
      <w:szCs w:val="96"/>
    </w:rPr>
  </w:style>
  <w:style w:type="paragraph" w:customStyle="1" w:styleId="36">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37">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38">
    <w:name w:val="前言、引言标题"/>
    <w:next w:val="1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40">
    <w:name w:val="一级无"/>
    <w:basedOn w:val="19"/>
    <w:qFormat/>
    <w:uiPriority w:val="0"/>
    <w:pPr>
      <w:spacing w:beforeLines="0" w:afterLines="0"/>
    </w:pPr>
    <w:rPr>
      <w:rFonts w:ascii="宋体" w:eastAsia="宋体"/>
    </w:rPr>
  </w:style>
  <w:style w:type="paragraph" w:customStyle="1" w:styleId="41">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42">
    <w:name w:val="其他发布日期"/>
    <w:basedOn w:val="1"/>
    <w:qFormat/>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43">
    <w:name w:val="其他实施日期"/>
    <w:basedOn w:val="1"/>
    <w:qFormat/>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character" w:customStyle="1" w:styleId="44">
    <w:name w:val="标题 字符"/>
    <w:basedOn w:val="11"/>
    <w:link w:val="8"/>
    <w:qFormat/>
    <w:uiPriority w:val="10"/>
    <w:rPr>
      <w:rFonts w:eastAsia="宋体" w:asciiTheme="majorHAnsi" w:hAnsiTheme="majorHAnsi" w:cstheme="majorBidi"/>
      <w:b/>
      <w:bCs/>
      <w:sz w:val="32"/>
      <w:szCs w:val="32"/>
    </w:rPr>
  </w:style>
  <w:style w:type="character" w:customStyle="1" w:styleId="45">
    <w:name w:val="批注框文本 字符"/>
    <w:basedOn w:val="11"/>
    <w:link w:val="3"/>
    <w:semiHidden/>
    <w:qFormat/>
    <w:uiPriority w:val="99"/>
    <w:rPr>
      <w:sz w:val="18"/>
      <w:szCs w:val="18"/>
    </w:rPr>
  </w:style>
  <w:style w:type="paragraph" w:customStyle="1" w:styleId="46">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47">
    <w:name w:val="注："/>
    <w:next w:val="17"/>
    <w:qFormat/>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48">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49">
    <w:name w:val="列出段落1"/>
    <w:basedOn w:val="1"/>
    <w:qFormat/>
    <w:uiPriority w:val="34"/>
    <w:pPr>
      <w:ind w:firstLine="420" w:firstLineChars="200"/>
    </w:pPr>
  </w:style>
  <w:style w:type="table" w:customStyle="1" w:styleId="50">
    <w:name w:val="网格型1"/>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1">
    <w:name w:val="附录标识"/>
    <w:basedOn w:val="1"/>
    <w:next w:val="17"/>
    <w:qFormat/>
    <w:uiPriority w:val="0"/>
    <w:pPr>
      <w:keepNext/>
      <w:widowControl/>
      <w:numPr>
        <w:ilvl w:val="0"/>
        <w:numId w:val="6"/>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52">
    <w:name w:val="附录二级条标题"/>
    <w:basedOn w:val="1"/>
    <w:next w:val="17"/>
    <w:qFormat/>
    <w:uiPriority w:val="0"/>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53">
    <w:name w:val="附录三级条标题"/>
    <w:basedOn w:val="52"/>
    <w:next w:val="17"/>
    <w:qFormat/>
    <w:uiPriority w:val="0"/>
    <w:pPr>
      <w:numPr>
        <w:ilvl w:val="4"/>
      </w:numPr>
      <w:outlineLvl w:val="4"/>
    </w:pPr>
  </w:style>
  <w:style w:type="paragraph" w:customStyle="1" w:styleId="54">
    <w:name w:val="附录四级条标题"/>
    <w:basedOn w:val="53"/>
    <w:next w:val="17"/>
    <w:qFormat/>
    <w:uiPriority w:val="0"/>
    <w:pPr>
      <w:numPr>
        <w:ilvl w:val="5"/>
      </w:numPr>
      <w:outlineLvl w:val="5"/>
    </w:pPr>
  </w:style>
  <w:style w:type="paragraph" w:customStyle="1" w:styleId="55">
    <w:name w:val="附录五级条标题"/>
    <w:basedOn w:val="54"/>
    <w:next w:val="17"/>
    <w:qFormat/>
    <w:uiPriority w:val="0"/>
    <w:pPr>
      <w:numPr>
        <w:ilvl w:val="6"/>
      </w:numPr>
      <w:outlineLvl w:val="6"/>
    </w:pPr>
  </w:style>
  <w:style w:type="paragraph" w:customStyle="1" w:styleId="56">
    <w:name w:val="附录章标题"/>
    <w:next w:val="17"/>
    <w:qFormat/>
    <w:uiPriority w:val="0"/>
    <w:pPr>
      <w:numPr>
        <w:ilvl w:val="1"/>
        <w:numId w:val="6"/>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7">
    <w:name w:val="附录一级条标题"/>
    <w:basedOn w:val="56"/>
    <w:next w:val="17"/>
    <w:qFormat/>
    <w:uiPriority w:val="0"/>
    <w:pPr>
      <w:numPr>
        <w:ilvl w:val="2"/>
      </w:numPr>
      <w:autoSpaceDN w:val="0"/>
      <w:spacing w:beforeLines="50" w:afterLines="50"/>
      <w:outlineLvl w:val="2"/>
    </w:pPr>
  </w:style>
  <w:style w:type="paragraph" w:customStyle="1" w:styleId="58">
    <w:name w:val="附录表标号"/>
    <w:basedOn w:val="1"/>
    <w:next w:val="17"/>
    <w:qFormat/>
    <w:uiPriority w:val="0"/>
    <w:pPr>
      <w:numPr>
        <w:ilvl w:val="0"/>
        <w:numId w:val="7"/>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59">
    <w:name w:val="附录表标题"/>
    <w:basedOn w:val="1"/>
    <w:next w:val="17"/>
    <w:qFormat/>
    <w:uiPriority w:val="0"/>
    <w:pPr>
      <w:numPr>
        <w:ilvl w:val="1"/>
        <w:numId w:val="7"/>
      </w:numPr>
      <w:spacing w:beforeLines="50" w:afterLines="50"/>
      <w:jc w:val="center"/>
    </w:pPr>
    <w:rPr>
      <w:rFonts w:ascii="黑体" w:hAnsi="Times New Roman" w:eastAsia="黑体" w:cs="Times New Roman"/>
      <w:szCs w:val="21"/>
    </w:rPr>
  </w:style>
  <w:style w:type="character" w:customStyle="1" w:styleId="60">
    <w:name w:val="页脚 字符"/>
    <w:qFormat/>
    <w:uiPriority w:val="99"/>
    <w:rPr>
      <w:kern w:val="2"/>
      <w:sz w:val="18"/>
      <w:szCs w:val="18"/>
    </w:rPr>
  </w:style>
  <w:style w:type="paragraph" w:customStyle="1" w:styleId="6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szCs w:val="22"/>
      <w:lang w:val="en-US" w:eastAsia="zh-CN" w:bidi="ar-SA"/>
    </w:rPr>
  </w:style>
  <w:style w:type="paragraph" w:customStyle="1" w:styleId="6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szCs w:val="22"/>
      <w:lang w:val="en-US" w:eastAsia="zh-CN" w:bidi="ar-SA"/>
    </w:rPr>
  </w:style>
  <w:style w:type="paragraph" w:customStyle="1" w:styleId="63">
    <w:name w:val="标准书脚_奇数页"/>
    <w:qFormat/>
    <w:uiPriority w:val="0"/>
    <w:pPr>
      <w:spacing w:before="120"/>
      <w:jc w:val="right"/>
    </w:pPr>
    <w:rPr>
      <w:rFonts w:ascii="Times New Roman" w:hAnsi="Times New Roman" w:eastAsia="宋体" w:cs="Times New Roman"/>
      <w:sz w:val="18"/>
      <w:szCs w:val="22"/>
      <w:lang w:val="en-US" w:eastAsia="zh-CN" w:bidi="ar-SA"/>
    </w:rPr>
  </w:style>
  <w:style w:type="paragraph" w:customStyle="1" w:styleId="64">
    <w:name w:val="封面标准号1"/>
    <w:qFormat/>
    <w:uiPriority w:val="0"/>
    <w:pPr>
      <w:widowControl w:val="0"/>
      <w:kinsoku w:val="0"/>
      <w:overflowPunct w:val="0"/>
      <w:autoSpaceDE w:val="0"/>
      <w:autoSpaceDN w:val="0"/>
      <w:spacing w:before="308"/>
      <w:jc w:val="right"/>
    </w:pPr>
    <w:rPr>
      <w:rFonts w:ascii="Times New Roman" w:hAnsi="Times New Roman" w:eastAsia="宋体" w:cs="Times New Roman"/>
      <w:sz w:val="28"/>
      <w:lang w:val="en-US" w:eastAsia="zh-CN" w:bidi="ar-SA"/>
    </w:rPr>
  </w:style>
  <w:style w:type="paragraph" w:customStyle="1" w:styleId="65">
    <w:name w:val="实施日期"/>
    <w:basedOn w:val="66"/>
    <w:qFormat/>
    <w:uiPriority w:val="0"/>
    <w:pPr>
      <w:framePr w:h="473" w:wrap="around" w:xAlign="right"/>
      <w:tabs>
        <w:tab w:val="left" w:pos="360"/>
      </w:tabs>
      <w:jc w:val="right"/>
    </w:pPr>
  </w:style>
  <w:style w:type="paragraph" w:customStyle="1" w:styleId="6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szCs w:val="22"/>
      <w:lang w:val="en-US" w:eastAsia="zh-CN" w:bidi="ar-SA"/>
    </w:rPr>
  </w:style>
  <w:style w:type="paragraph" w:customStyle="1" w:styleId="67">
    <w:name w:val="三级条标题"/>
    <w:basedOn w:val="21"/>
    <w:next w:val="17"/>
    <w:qFormat/>
    <w:uiPriority w:val="0"/>
    <w:pPr>
      <w:numPr>
        <w:ilvl w:val="0"/>
        <w:numId w:val="0"/>
      </w:numPr>
      <w:spacing w:before="0" w:after="0"/>
      <w:outlineLvl w:val="4"/>
    </w:pPr>
  </w:style>
  <w:style w:type="character" w:customStyle="1" w:styleId="68">
    <w:name w:val="脚注文本 字符"/>
    <w:basedOn w:val="11"/>
    <w:link w:val="7"/>
    <w:qFormat/>
    <w:uiPriority w:val="0"/>
    <w:rPr>
      <w:rFonts w:ascii="宋体"/>
      <w:kern w:val="2"/>
      <w:sz w:val="18"/>
      <w:szCs w:val="18"/>
    </w:rPr>
  </w:style>
  <w:style w:type="paragraph" w:customStyle="1" w:styleId="69">
    <w:name w:val="列项——（一级）"/>
    <w:qFormat/>
    <w:uiPriority w:val="0"/>
    <w:pPr>
      <w:widowControl w:val="0"/>
      <w:numPr>
        <w:ilvl w:val="0"/>
        <w:numId w:val="8"/>
      </w:numPr>
      <w:jc w:val="both"/>
    </w:pPr>
    <w:rPr>
      <w:rFonts w:ascii="宋体" w:hAnsi="Times New Roman" w:eastAsia="宋体" w:cs="Times New Roman"/>
      <w:sz w:val="21"/>
      <w:lang w:val="en-US" w:eastAsia="zh-CN" w:bidi="ar-SA"/>
    </w:rPr>
  </w:style>
  <w:style w:type="paragraph" w:customStyle="1" w:styleId="70">
    <w:name w:val="列项●（二级）"/>
    <w:qFormat/>
    <w:uiPriority w:val="0"/>
    <w:pPr>
      <w:numPr>
        <w:ilvl w:val="1"/>
        <w:numId w:val="8"/>
      </w:numPr>
      <w:tabs>
        <w:tab w:val="left" w:pos="840"/>
      </w:tabs>
      <w:jc w:val="both"/>
    </w:pPr>
    <w:rPr>
      <w:rFonts w:ascii="宋体" w:hAnsi="Times New Roman" w:eastAsia="宋体" w:cs="Times New Roman"/>
      <w:sz w:val="21"/>
      <w:lang w:val="en-US" w:eastAsia="zh-CN" w:bidi="ar-SA"/>
    </w:rPr>
  </w:style>
  <w:style w:type="paragraph" w:customStyle="1" w:styleId="71">
    <w:name w:val="列项◆（三级）"/>
    <w:basedOn w:val="1"/>
    <w:qFormat/>
    <w:uiPriority w:val="0"/>
    <w:pPr>
      <w:numPr>
        <w:ilvl w:val="2"/>
        <w:numId w:val="8"/>
      </w:numPr>
    </w:pPr>
    <w:rPr>
      <w:rFonts w:ascii="宋体" w:hAnsi="Times New Roman" w:eastAsia="宋体" w:cs="Times New Roman"/>
      <w:szCs w:val="21"/>
    </w:rPr>
  </w:style>
  <w:style w:type="character" w:customStyle="1" w:styleId="72">
    <w:name w:val="文档结构图 字符"/>
    <w:basedOn w:val="11"/>
    <w:link w:val="2"/>
    <w:semiHidden/>
    <w:qFormat/>
    <w:uiPriority w:val="99"/>
    <w:rPr>
      <w:rFonts w:ascii="宋体" w:hAnsiTheme="minorHAnsi" w:cstheme="minorBidi"/>
      <w:kern w:val="2"/>
      <w:sz w:val="18"/>
      <w:szCs w:val="18"/>
    </w:rPr>
  </w:style>
  <w:style w:type="paragraph" w:customStyle="1" w:styleId="73">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4960</Words>
  <Characters>5246</Characters>
  <Lines>36</Lines>
  <Paragraphs>10</Paragraphs>
  <TotalTime>7</TotalTime>
  <ScaleCrop>false</ScaleCrop>
  <LinksUpToDate>false</LinksUpToDate>
  <CharactersWithSpaces>5303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2024-12-08T08:42:00Z</dcterms:created>
  <dc:creator>JYF</dc:creator>
  <cp:lastModifiedBy>翊天隆</cp:lastModifiedBy>
  <cp:lastPrinted>2017-12-29T09:52:00Z</cp:lastPrinted>
  <dcterms:modified xsi:type="dcterms:W3CDTF">2025-08-04T06:49:32Z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6737383D986E48EEB8FED1FD56C2BF1C_12</vt:lpwstr>
  </property>
  <property fmtid="{D5CDD505-2E9C-101B-9397-08002B2CF9AE}" pid="4" name="KSOTemplateDocerSaveRecord">
    <vt:lpwstr>eyJoZGlkIjoiMzhjMGRlZjUxYzk1MDA0ZTMwMTBlZmEyMTI1NDc1ZWMiLCJ1c2VySWQiOiIxMTU3MTE0OTc2In0=</vt:lpwstr>
  </property>
</Properties>
</file>