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lang w:val="en-US" w:eastAsia="zh-CN"/>
              </w:rPr>
              <w:t>13.110</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CCS</w:t>
            </w:r>
          </w:p>
        </w:tc>
        <w:tc>
          <w:tcPr>
            <w:tcW w:w="8855"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lang w:val="en-US" w:eastAsia="zh-CN"/>
              </w:rPr>
              <w:t>C 68</w:t>
            </w:r>
            <w:r>
              <w:rPr>
                <w:rFonts w:ascii="黑体" w:hAnsi="黑体" w:eastAsia="黑体"/>
                <w:sz w:val="21"/>
                <w:szCs w:val="21"/>
              </w:rPr>
              <w:fldChar w:fldCharType="end"/>
            </w:r>
            <w:bookmarkEnd w:id="1"/>
          </w:p>
        </w:tc>
      </w:tr>
    </w:tbl>
    <w:tbl>
      <w:tblPr>
        <w:tblStyle w:val="29"/>
        <w:tblpPr w:leftFromText="180" w:rightFromText="180" w:vertAnchor="text" w:horzAnchor="margin" w:tblpX="2683" w:tblpY="578"/>
        <w:tblW w:w="640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37"/>
              <w:framePr w:w="0" w:hRule="auto" w:wrap="auto" w:vAnchor="margin" w:hAnchor="text" w:xAlign="left" w:yAlign="inline"/>
              <w:rPr>
                <w:rFonts w:ascii="宋体" w:hAnsi="宋体"/>
                <w:sz w:val="28"/>
                <w:szCs w:val="28"/>
              </w:rPr>
            </w:pPr>
            <w:bookmarkStart w:id="2" w:name="_Hlk26473981"/>
            <w:r>
              <w:drawing>
                <wp:inline distT="0" distB="0" distL="114300" distR="114300">
                  <wp:extent cx="800100" cy="4000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5"/>
                          <a:stretch>
                            <a:fillRect/>
                          </a:stretch>
                        </pic:blipFill>
                        <pic:spPr>
                          <a:xfrm>
                            <a:off x="0" y="0"/>
                            <a:ext cx="800100" cy="400050"/>
                          </a:xfrm>
                          <a:prstGeom prst="rect">
                            <a:avLst/>
                          </a:prstGeom>
                          <a:noFill/>
                          <a:ln>
                            <a:noFill/>
                          </a:ln>
                        </pic:spPr>
                      </pic:pic>
                    </a:graphicData>
                  </a:graphic>
                </wp:inline>
              </w:drawing>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w:t>
            </w:r>
            <w:r>
              <w:rPr>
                <w:rFonts w:hint="eastAsia"/>
                <w:lang w:val="en-US" w:eastAsia="zh-CN"/>
              </w:rPr>
              <w:t>3</w:t>
            </w:r>
            <w:r>
              <w:fldChar w:fldCharType="end"/>
            </w:r>
            <w:bookmarkEnd w:id="3"/>
          </w:p>
        </w:tc>
      </w:tr>
    </w:tbl>
    <w:p>
      <w:pPr>
        <w:pStyle w:val="38"/>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73"/>
        <w:framePr w:wrap="around"/>
      </w:pPr>
      <w:r>
        <w:t>DB</w:t>
      </w:r>
      <w:r>
        <w:fldChar w:fldCharType="begin">
          <w:ffData>
            <w:name w:val="文字1"/>
            <w:enabled/>
            <w:calcOnExit w:val="0"/>
            <w:textInput>
              <w:default w:val="XX/T"/>
            </w:textInput>
          </w:ffData>
        </w:fldChar>
      </w:r>
      <w:bookmarkStart w:id="5" w:name="文字1"/>
      <w:r>
        <w:instrText xml:space="preserve"> FORMTEXT </w:instrText>
      </w:r>
      <w:r>
        <w:fldChar w:fldCharType="separate"/>
      </w:r>
      <w:r>
        <w:rPr>
          <w:rFonts w:hint="eastAsia"/>
        </w:rPr>
        <w:t>1</w:t>
      </w:r>
      <w:r>
        <w:rPr>
          <w:rFonts w:hint="eastAsia"/>
          <w:lang w:val="en-US" w:eastAsia="zh-CN"/>
        </w:rPr>
        <w:t>3</w:t>
      </w:r>
      <w:r>
        <w:t>/T</w:t>
      </w:r>
      <w:r>
        <w:fldChar w:fldCharType="end"/>
      </w:r>
      <w:bookmarkEnd w:id="5"/>
      <w:r>
        <w:fldChar w:fldCharType="begin">
          <w:ffData>
            <w:name w:val="NSTD_CODE_F"/>
            <w:enabled/>
            <w:calcOnExit w:val="0"/>
            <w:textInput>
              <w:default w:val="XXXX"/>
            </w:textInput>
          </w:ffData>
        </w:fldChar>
      </w:r>
      <w:bookmarkStart w:id="6" w:name="NSTD_CODE_F"/>
      <w:r>
        <w:instrText xml:space="preserve"> FORMTEXT </w:instrText>
      </w:r>
      <w:r>
        <w:fldChar w:fldCharType="separate"/>
      </w:r>
      <w:r>
        <w:rPr>
          <w:rFonts w:hint="eastAsia"/>
          <w:lang w:eastAsia="zh-CN"/>
        </w:rPr>
        <w:t xml:space="preserve"> </w:t>
      </w:r>
      <w:r>
        <w:rPr>
          <w:rFonts w:hint="eastAsia"/>
          <w:lang w:val="en-US" w:eastAsia="zh-CN"/>
        </w:rPr>
        <w:t>3031</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rPr>
          <w:rFonts w:hint="eastAsia"/>
        </w:rPr>
        <w:t>202</w:t>
      </w:r>
      <w:r>
        <w:rPr>
          <w:rFonts w:hint="eastAsia"/>
          <w:lang w:val="en-US" w:eastAsia="zh-CN"/>
        </w:rPr>
        <w:t>5</w:t>
      </w:r>
      <w:r>
        <w:fldChar w:fldCharType="end"/>
      </w:r>
      <w:bookmarkEnd w:id="7"/>
    </w:p>
    <w:p>
      <w:pPr>
        <w:pStyle w:val="174"/>
        <w:framePr w:wrap="around"/>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int="eastAsia" w:hAnsi="黑体"/>
          <w:lang w:eastAsia="zh-CN"/>
        </w:rPr>
        <w:t>代替</w:t>
      </w:r>
      <w:r>
        <w:rPr>
          <w:rFonts w:hint="eastAsia" w:hAnsi="黑体"/>
          <w:lang w:val="en-US" w:eastAsia="zh-CN"/>
        </w:rPr>
        <w:t>DB13/T 3031-2022</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635"/>
                <wp:effectExtent l="0" t="0" r="0" b="0"/>
                <wp:wrapNone/>
                <wp:docPr id="2" name="直接连接符 73"/>
                <wp:cNvGraphicFramePr/>
                <a:graphic xmlns:a="http://schemas.openxmlformats.org/drawingml/2006/main">
                  <a:graphicData uri="http://schemas.microsoft.com/office/word/2010/wordprocessingShape">
                    <wps:wsp>
                      <wps:cNvCnPr/>
                      <wps:spPr>
                        <a:xfrm>
                          <a:off x="0" y="0"/>
                          <a:ext cx="612013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接连接符 73" o:spid="_x0000_s1026" o:spt="20" style="position:absolute;left:0pt;margin-left:70.9pt;margin-top:212.65pt;height:0.05pt;width:481.9pt;mso-position-horizontal-relative:page;mso-position-vertical-relative:page;z-index:251659264;mso-width-relative:page;mso-height-relative:page;" filled="f" stroked="t" coordsize="21600,21600" o:allowoverlap="f" o:gfxdata="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wId9zYAAAADAEAAA8AAAAAAAAAAQAgAAAAIgAAAGRycy9kb3ducmV2LnhtbFBL&#10;AQIUABQAAAAIAIdO4kCp81JG9gEAAOcDAAAOAAAAAAAAAAEAIAAAACcBAABkcnMvZTJvRG9jLnht&#10;bFBLBQYAAAAABgAGAFkBAACPBQAAAAA=&#10;">
                <v:fill on="f" focussize="0,0"/>
                <v:stroke color="#000000" joinstyle="round"/>
                <v:imagedata o:title=""/>
                <o:lock v:ext="edit" aspectratio="f"/>
              </v:line>
            </w:pict>
          </mc:Fallback>
        </mc:AlternateContent>
      </w:r>
    </w:p>
    <w:p>
      <w:pPr>
        <w:pStyle w:val="38"/>
        <w:framePr w:w="9639" w:h="6976" w:hRule="exact" w:hSpace="0" w:vSpace="0" w:wrap="around" w:hAnchor="page" w:y="6408"/>
        <w:jc w:val="center"/>
        <w:rPr>
          <w:rFonts w:ascii="黑体" w:hAnsi="黑体" w:eastAsia="黑体"/>
          <w:b w:val="0"/>
          <w:bCs w:val="0"/>
          <w:w w:val="100"/>
        </w:rPr>
      </w:pPr>
    </w:p>
    <w:p>
      <w:pPr>
        <w:pStyle w:val="175"/>
        <w:framePr w:h="6974" w:hRule="exact" w:wrap="around" w:x="1419" w:anchorLock="1"/>
      </w:pPr>
      <w:bookmarkStart w:id="9" w:name="OLE_LINK1"/>
      <w:r>
        <w:fldChar w:fldCharType="begin">
          <w:ffData>
            <w:name w:val="CSTD_NAME"/>
            <w:enabled/>
            <w:calcOnExit w:val="0"/>
            <w:textInput>
              <w:default w:val="点击此处添加标准名称"/>
            </w:textInput>
          </w:ffData>
        </w:fldChar>
      </w:r>
      <w:bookmarkStart w:id="10" w:name="CSTD_NAME"/>
      <w:r>
        <w:instrText xml:space="preserve"> FORMTEXT </w:instrText>
      </w:r>
      <w:r>
        <w:fldChar w:fldCharType="separate"/>
      </w:r>
      <w:r>
        <w:t>大型游乐设施运营使用管理和维护保养</w:t>
      </w:r>
    </w:p>
    <w:p>
      <w:pPr>
        <w:pStyle w:val="175"/>
        <w:framePr w:h="6974" w:hRule="exact" w:wrap="around" w:x="1419" w:anchorLock="1"/>
      </w:pPr>
      <w:r>
        <w:t>规范</w:t>
      </w:r>
      <w:r>
        <w:fldChar w:fldCharType="end"/>
      </w:r>
      <w:bookmarkEnd w:id="9"/>
      <w:bookmarkEnd w:id="10"/>
    </w:p>
    <w:p>
      <w:pPr>
        <w:framePr w:w="9639" w:h="6974" w:hRule="exact" w:wrap="around" w:vAnchor="page" w:hAnchor="page" w:x="1419" w:y="6408" w:anchorLock="1"/>
        <w:ind w:left="-1418"/>
      </w:pPr>
    </w:p>
    <w:p>
      <w:pPr>
        <w:pStyle w:val="108"/>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1" w:name="ESTD_NAME"/>
      <w:r>
        <w:rPr>
          <w:rFonts w:eastAsia="黑体"/>
          <w:szCs w:val="28"/>
        </w:rPr>
        <w:instrText xml:space="preserve"> FORMTEXT </w:instrText>
      </w:r>
      <w:r>
        <w:rPr>
          <w:rFonts w:eastAsia="黑体"/>
          <w:szCs w:val="28"/>
        </w:rPr>
        <w:fldChar w:fldCharType="separate"/>
      </w:r>
      <w:r>
        <w:rPr>
          <w:rFonts w:eastAsia="黑体"/>
          <w:szCs w:val="28"/>
        </w:rPr>
        <w:t>Code for operational management and maintenance of large-scale amusement</w:t>
      </w:r>
      <w:r>
        <w:rPr>
          <w:rFonts w:hint="eastAsia" w:eastAsia="黑体"/>
          <w:szCs w:val="28"/>
        </w:rPr>
        <w:t xml:space="preserve"> </w:t>
      </w:r>
      <w:r>
        <w:rPr>
          <w:rFonts w:eastAsia="黑体"/>
          <w:szCs w:val="28"/>
        </w:rPr>
        <w:t>device</w:t>
      </w:r>
      <w:r>
        <w:rPr>
          <w:rFonts w:eastAsia="黑体"/>
          <w:szCs w:val="28"/>
        </w:rPr>
        <w:fldChar w:fldCharType="end"/>
      </w:r>
      <w:bookmarkEnd w:id="11"/>
    </w:p>
    <w:p>
      <w:pPr>
        <w:framePr w:w="9639" w:h="6974" w:hRule="exact" w:wrap="around" w:vAnchor="page" w:hAnchor="page" w:x="1419" w:y="6408" w:anchorLock="1"/>
        <w:spacing w:line="760" w:lineRule="exact"/>
        <w:ind w:left="-1418"/>
      </w:pPr>
    </w:p>
    <w:p>
      <w:pPr>
        <w:pStyle w:val="108"/>
        <w:framePr w:w="9639" w:h="6974" w:hRule="exact" w:wrap="around" w:vAnchor="page" w:hAnchor="page" w:x="1419" w:y="6408" w:anchorLock="1"/>
        <w:textAlignment w:val="bottom"/>
        <w:rPr>
          <w:rFonts w:eastAsia="黑体"/>
          <w:szCs w:val="28"/>
        </w:rPr>
      </w:pPr>
    </w:p>
    <w:p>
      <w:pPr>
        <w:pStyle w:val="10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2" w:name="下拉1"/>
      <w:r>
        <w:rPr>
          <w:sz w:val="24"/>
          <w:szCs w:val="28"/>
        </w:rPr>
        <w:instrText xml:space="preserve"> FORMDROPDOWN </w:instrText>
      </w:r>
      <w:r>
        <w:rPr>
          <w:sz w:val="24"/>
          <w:szCs w:val="28"/>
        </w:rPr>
        <w:fldChar w:fldCharType="separate"/>
      </w:r>
      <w:r>
        <w:rPr>
          <w:sz w:val="24"/>
          <w:szCs w:val="28"/>
        </w:rPr>
        <w:fldChar w:fldCharType="end"/>
      </w:r>
      <w:bookmarkEnd w:id="12"/>
    </w:p>
    <w:p>
      <w:pPr>
        <w:pStyle w:val="10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3"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3"/>
    </w:p>
    <w:p>
      <w:pPr>
        <w:pStyle w:val="108"/>
        <w:framePr w:w="9639" w:h="6974" w:hRule="exact" w:wrap="around" w:vAnchor="page" w:hAnchor="page" w:x="1419" w:y="6408" w:anchorLock="1"/>
        <w:spacing w:beforeLines="300"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4" w:name="下拉2"/>
      <w:r>
        <w:rPr>
          <w:b/>
          <w:sz w:val="21"/>
          <w:szCs w:val="28"/>
        </w:rPr>
        <w:instrText xml:space="preserve"> FORMDROPDOWN </w:instrText>
      </w:r>
      <w:r>
        <w:rPr>
          <w:b/>
          <w:sz w:val="21"/>
          <w:szCs w:val="28"/>
        </w:rPr>
        <w:fldChar w:fldCharType="separate"/>
      </w:r>
      <w:r>
        <w:rPr>
          <w:b/>
          <w:sz w:val="21"/>
          <w:szCs w:val="28"/>
        </w:rPr>
        <w:fldChar w:fldCharType="end"/>
      </w:r>
      <w:bookmarkEnd w:id="14"/>
    </w:p>
    <w:p>
      <w:pPr>
        <w:pStyle w:val="171"/>
        <w:framePr w:wrap="around"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Pr>
          <w:rFonts w:ascii="黑体"/>
        </w:rPr>
        <w:fldChar w:fldCharType="separate"/>
      </w:r>
      <w:r>
        <w:rPr>
          <w:rFonts w:hint="eastAsia" w:ascii="黑体"/>
        </w:rPr>
        <w:t>202</w:t>
      </w:r>
      <w:r>
        <w:rPr>
          <w:rFonts w:hint="eastAsia" w:ascii="黑体"/>
          <w:lang w:val="en-US" w:eastAsia="zh-CN"/>
        </w:rPr>
        <w:t>5</w:t>
      </w:r>
      <w:r>
        <w:rPr>
          <w:rFonts w:ascii="黑体"/>
        </w:rPr>
        <w:fldChar w:fldCharType="end"/>
      </w:r>
      <w:bookmarkEnd w:id="15"/>
      <w:r>
        <w:rPr>
          <w:rFonts w:ascii="黑体"/>
        </w:rPr>
        <w:t>-</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ascii="黑体"/>
        </w:rPr>
        <w:t>-</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发布</w:t>
      </w:r>
    </w:p>
    <w:p>
      <w:pPr>
        <w:pStyle w:val="172"/>
        <w:framePr w:wrap="around"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fldChar w:fldCharType="separate"/>
      </w:r>
      <w:r>
        <w:rPr>
          <w:rFonts w:hint="eastAsia" w:ascii="黑体"/>
        </w:rPr>
        <w:t>202</w:t>
      </w:r>
      <w:r>
        <w:rPr>
          <w:rFonts w:hint="eastAsia" w:ascii="黑体"/>
          <w:lang w:val="en-US" w:eastAsia="zh-CN"/>
        </w:rPr>
        <w:t>5</w:t>
      </w:r>
      <w:r>
        <w:rPr>
          <w:rFonts w:ascii="黑体"/>
        </w:rPr>
        <w:fldChar w:fldCharType="end"/>
      </w:r>
      <w:bookmarkEnd w:id="18"/>
      <w:r>
        <w:rPr>
          <w:rFonts w:ascii="黑体"/>
        </w:rPr>
        <w:t>-</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ascii="黑体"/>
        </w:rPr>
        <w:t>-</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20"/>
      <w:r>
        <w:rPr>
          <w:rFonts w:hint="eastAsia"/>
        </w:rPr>
        <w:t>实施</w:t>
      </w:r>
    </w:p>
    <w:p>
      <w:pPr>
        <w:pStyle w:val="132"/>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1"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int="eastAsia" w:hAnsi="黑体"/>
          <w:w w:val="100"/>
          <w:sz w:val="28"/>
        </w:rPr>
        <w:t>市场监督管理</w:t>
      </w:r>
      <w:r>
        <w:rPr>
          <w:rFonts w:hint="eastAsia" w:hAnsi="黑体"/>
          <w:w w:val="100"/>
          <w:sz w:val="28"/>
          <w:lang w:eastAsia="zh-CN"/>
        </w:rPr>
        <w:t>局</w:t>
      </w:r>
      <w:r>
        <w:rPr>
          <w:rFonts w:hAnsi="黑体"/>
          <w:w w:val="100"/>
          <w:sz w:val="28"/>
        </w:rPr>
        <w:fldChar w:fldCharType="end"/>
      </w:r>
      <w:bookmarkEnd w:id="21"/>
      <w:r>
        <w:rPr>
          <w:rFonts w:ascii="Times New Roman"/>
          <w:w w:val="100"/>
          <w:sz w:val="28"/>
        </w:rPr>
        <w:t>  </w:t>
      </w:r>
      <w:r>
        <w:rPr>
          <w:rStyle w:val="233"/>
          <w:rFonts w:hint="eastAsia" w:hAnsi="黑体"/>
          <w:position w:val="0"/>
        </w:rPr>
        <w:t>发</w:t>
      </w:r>
      <w:r>
        <w:rPr>
          <w:rStyle w:val="233"/>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720" w:num="1"/>
          <w:titlePg/>
          <w:docGrid w:linePitch="312" w:charSpace="0"/>
        </w:sectPr>
      </w:pPr>
      <w:r>
        <w:rPr>
          <w:rFonts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635"/>
                <wp:effectExtent l="0" t="0" r="0" b="0"/>
                <wp:wrapNone/>
                <wp:docPr id="3" name="直接连接符 5"/>
                <wp:cNvGraphicFramePr/>
                <a:graphic xmlns:a="http://schemas.openxmlformats.org/drawingml/2006/main">
                  <a:graphicData uri="http://schemas.microsoft.com/office/word/2010/wordprocessingShape">
                    <wps:wsp>
                      <wps:cNvCnPr/>
                      <wps:spPr>
                        <a:xfrm>
                          <a:off x="0" y="0"/>
                          <a:ext cx="612013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接连接符 5" o:spid="_x0000_s1026" o:spt="20" style="position:absolute;left:0pt;margin-left:70.85pt;margin-top:728.6pt;height:0.05pt;width:481.9pt;mso-position-horizontal-relative:page;mso-position-vertical-relative:page;z-index:251660288;mso-width-relative:page;mso-height-relative:page;" filled="f" stroked="t" coordsize="21600,21600" o:gfxdata="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87P+LNkAAAAOAQAADwAAAAAAAAABACAAAAAiAAAAZHJzL2Rvd25yZXYueG1s&#10;UEsBAhQAFAAAAAgAh07iQFAo9pD3AQAA5gMAAA4AAAAAAAAAAQAgAAAAKAEAAGRycy9lMm9Eb2Mu&#10;eG1sUEsFBgAAAAAGAAYAWQEAAJEFAAAAAA==&#10;">
                <v:fill on="f" focussize="0,0"/>
                <v:stroke color="#000000" joinstyle="round"/>
                <v:imagedata o:title=""/>
                <o:lock v:ext="edit" aspectratio="f"/>
                <w10:anchorlock/>
              </v:line>
            </w:pict>
          </mc:Fallback>
        </mc:AlternateContent>
      </w:r>
    </w:p>
    <w:p>
      <w:pPr>
        <w:pStyle w:val="77"/>
        <w:spacing w:after="468"/>
      </w:pPr>
      <w:bookmarkStart w:id="22" w:name="_Toc93485511"/>
      <w:bookmarkStart w:id="23" w:name="BookMark1"/>
      <w:bookmarkStart w:id="24" w:name="_Toc93485479"/>
      <w:r>
        <w:rPr>
          <w:rFonts w:hint="eastAsia"/>
          <w:spacing w:val="320"/>
        </w:rPr>
        <w:t>目</w:t>
      </w:r>
      <w:r>
        <w:rPr>
          <w:rFonts w:hint="eastAsia"/>
        </w:rPr>
        <w:t>次</w:t>
      </w:r>
    </w:p>
    <w:p>
      <w:pPr>
        <w:pStyle w:val="20"/>
        <w:tabs>
          <w:tab w:val="right" w:leader="dot" w:pos="9344"/>
        </w:tabs>
        <w:rPr>
          <w:rFonts w:asciiTheme="minorHAnsi" w:hAnsiTheme="minorHAnsi" w:eastAsiaTheme="minorEastAsia" w:cstheme="minorBidi"/>
          <w:szCs w:val="22"/>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"_Toc94252717" </w:instrText>
      </w:r>
      <w:r>
        <w:fldChar w:fldCharType="separate"/>
      </w:r>
      <w:r>
        <w:rPr>
          <w:rStyle w:val="34"/>
          <w:rFonts w:hint="eastAsia"/>
        </w:rPr>
        <w:t>前言</w:t>
      </w:r>
      <w:r>
        <w:tab/>
      </w:r>
      <w:r>
        <w:fldChar w:fldCharType="begin"/>
      </w:r>
      <w:r>
        <w:instrText xml:space="preserve"> PAGEREF _Toc94252717 \h </w:instrText>
      </w:r>
      <w:r>
        <w:fldChar w:fldCharType="separate"/>
      </w:r>
      <w:r>
        <w:t>II</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"_Toc94252718" </w:instrText>
      </w:r>
      <w:r>
        <w:fldChar w:fldCharType="separate"/>
      </w:r>
      <w:r>
        <w:rPr>
          <w:rStyle w:val="34"/>
          <w:rFonts w:hint="eastAsia"/>
        </w:rPr>
        <w:t>引言</w:t>
      </w:r>
      <w:r>
        <w:tab/>
      </w:r>
      <w:r>
        <w:fldChar w:fldCharType="begin"/>
      </w:r>
      <w:r>
        <w:instrText xml:space="preserve"> PAGEREF _Toc94252718 \h </w:instrText>
      </w:r>
      <w:r>
        <w:fldChar w:fldCharType="separate"/>
      </w:r>
      <w:r>
        <w:t>I</w:t>
      </w:r>
      <w:r>
        <w:rPr>
          <w:rFonts w:hint="eastAsia"/>
          <w:lang w:val="en-US" w:eastAsia="zh-CN"/>
        </w:rPr>
        <w:t>V</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"_Toc94252719" </w:instrText>
      </w:r>
      <w:r>
        <w:fldChar w:fldCharType="separate"/>
      </w:r>
      <w:r>
        <w:rPr>
          <w:rStyle w:val="34"/>
        </w:rPr>
        <w:t>1</w:t>
      </w:r>
      <w:r>
        <w:rPr>
          <w:rStyle w:val="34"/>
          <w:rFonts w:hint="eastAsia"/>
        </w:rPr>
        <w:t xml:space="preserve"> 范围</w:t>
      </w:r>
      <w:r>
        <w:tab/>
      </w:r>
      <w:r>
        <w:fldChar w:fldCharType="begin"/>
      </w:r>
      <w:r>
        <w:instrText xml:space="preserve"> PAGEREF _Toc94252719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"_Toc94252720" </w:instrText>
      </w:r>
      <w:r>
        <w:fldChar w:fldCharType="separate"/>
      </w:r>
      <w:r>
        <w:rPr>
          <w:rStyle w:val="34"/>
        </w:rPr>
        <w:t>2</w:t>
      </w:r>
      <w:r>
        <w:rPr>
          <w:rStyle w:val="34"/>
          <w:rFonts w:hint="eastAsia"/>
        </w:rPr>
        <w:t xml:space="preserve"> 规范性引用文件</w:t>
      </w:r>
      <w:r>
        <w:tab/>
      </w:r>
      <w:r>
        <w:fldChar w:fldCharType="begin"/>
      </w:r>
      <w:r>
        <w:instrText xml:space="preserve"> PAGEREF _Toc94252720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"_Toc94252721" </w:instrText>
      </w:r>
      <w:r>
        <w:fldChar w:fldCharType="separate"/>
      </w:r>
      <w:r>
        <w:rPr>
          <w:rStyle w:val="34"/>
        </w:rPr>
        <w:t>3</w:t>
      </w:r>
      <w:r>
        <w:rPr>
          <w:rStyle w:val="34"/>
          <w:rFonts w:hint="eastAsia"/>
        </w:rPr>
        <w:t xml:space="preserve"> 术语和定义</w:t>
      </w:r>
      <w:r>
        <w:tab/>
      </w:r>
      <w:r>
        <w:fldChar w:fldCharType="begin"/>
      </w:r>
      <w:r>
        <w:instrText xml:space="preserve"> PAGEREF _Toc94252721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"_Toc94252722" </w:instrText>
      </w:r>
      <w:r>
        <w:fldChar w:fldCharType="separate"/>
      </w:r>
      <w:r>
        <w:rPr>
          <w:rStyle w:val="34"/>
        </w:rPr>
        <w:t>4</w:t>
      </w:r>
      <w:r>
        <w:rPr>
          <w:rStyle w:val="34"/>
          <w:rFonts w:hint="eastAsia"/>
        </w:rPr>
        <w:t xml:space="preserve"> 运营使用管理</w:t>
      </w:r>
      <w:r>
        <w:tab/>
      </w:r>
      <w:r>
        <w:fldChar w:fldCharType="begin"/>
      </w:r>
      <w:r>
        <w:instrText xml:space="preserve"> PAGEREF _Toc94252722 \h </w:instrText>
      </w:r>
      <w:r>
        <w:fldChar w:fldCharType="separate"/>
      </w:r>
      <w:r>
        <w:t>2</w:t>
      </w:r>
      <w:r>
        <w:fldChar w:fldCharType="end"/>
      </w:r>
      <w:r>
        <w:fldChar w:fldCharType="end"/>
      </w:r>
    </w:p>
    <w:p>
      <w:pPr>
        <w:pStyle w:val="25"/>
      </w:pPr>
      <w:r>
        <w:fldChar w:fldCharType="begin"/>
      </w:r>
      <w:r>
        <w:instrText xml:space="preserve"> HYPERLINK \l "_Toc94252723" </w:instrText>
      </w:r>
      <w:r>
        <w:fldChar w:fldCharType="separate"/>
      </w:r>
      <w:r>
        <w:rPr>
          <w:rStyle w:val="34"/>
        </w:rPr>
        <w:t>4.1</w:t>
      </w:r>
      <w:r>
        <w:rPr>
          <w:rStyle w:val="34"/>
          <w:rFonts w:hint="eastAsia"/>
        </w:rPr>
        <w:t xml:space="preserve"> </w:t>
      </w:r>
      <w:r>
        <w:rPr>
          <w:rStyle w:val="34"/>
          <w:rFonts w:hint="eastAsia"/>
          <w:lang w:eastAsia="zh-CN"/>
        </w:rPr>
        <w:t>一般要求</w:t>
      </w:r>
      <w:r>
        <w:tab/>
      </w:r>
      <w:r>
        <w:fldChar w:fldCharType="begin"/>
      </w:r>
      <w:r>
        <w:instrText xml:space="preserve"> PAGEREF _Toc94252723 \h </w:instrText>
      </w:r>
      <w:r>
        <w:fldChar w:fldCharType="separate"/>
      </w:r>
      <w:r>
        <w:t>2</w:t>
      </w:r>
      <w:r>
        <w:fldChar w:fldCharType="end"/>
      </w:r>
      <w:r>
        <w:fldChar w:fldCharType="end"/>
      </w:r>
    </w:p>
    <w:p>
      <w:pPr>
        <w:pStyle w:val="25"/>
      </w:pPr>
      <w:r>
        <w:fldChar w:fldCharType="begin"/>
      </w:r>
      <w:r>
        <w:instrText xml:space="preserve"> HYPERLINK \l "_Toc94252723" </w:instrText>
      </w:r>
      <w:r>
        <w:fldChar w:fldCharType="separate"/>
      </w:r>
      <w:r>
        <w:rPr>
          <w:rStyle w:val="34"/>
        </w:rPr>
        <w:t>4.</w:t>
      </w:r>
      <w:r>
        <w:rPr>
          <w:rStyle w:val="34"/>
          <w:rFonts w:hint="eastAsia"/>
          <w:lang w:val="en-US" w:eastAsia="zh-CN"/>
        </w:rPr>
        <w:t>2</w:t>
      </w:r>
      <w:r>
        <w:rPr>
          <w:rStyle w:val="34"/>
          <w:rFonts w:hint="eastAsia"/>
        </w:rPr>
        <w:t xml:space="preserve"> 机构与制度要求</w:t>
      </w:r>
      <w:r>
        <w:tab/>
      </w:r>
      <w:r>
        <w:fldChar w:fldCharType="begin"/>
      </w:r>
      <w:r>
        <w:instrText xml:space="preserve"> PAGEREF _Toc94252723 \h </w:instrText>
      </w:r>
      <w:r>
        <w:fldChar w:fldCharType="separate"/>
      </w:r>
      <w:r>
        <w:t>2</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"_Toc94252724" </w:instrText>
      </w:r>
      <w:r>
        <w:fldChar w:fldCharType="separate"/>
      </w:r>
      <w:r>
        <w:rPr>
          <w:rStyle w:val="34"/>
        </w:rPr>
        <w:t>4.</w:t>
      </w:r>
      <w:r>
        <w:rPr>
          <w:rStyle w:val="34"/>
          <w:rFonts w:hint="eastAsia"/>
          <w:lang w:val="en-US" w:eastAsia="zh-CN"/>
        </w:rPr>
        <w:t>3</w:t>
      </w:r>
      <w:r>
        <w:rPr>
          <w:rStyle w:val="34"/>
          <w:rFonts w:hint="eastAsia"/>
        </w:rPr>
        <w:t xml:space="preserve"> 人员与培训要求</w:t>
      </w:r>
      <w:r>
        <w:tab/>
      </w:r>
      <w:r>
        <w:fldChar w:fldCharType="begin"/>
      </w:r>
      <w:r>
        <w:instrText xml:space="preserve"> PAGEREF _Toc94252724 \h </w:instrText>
      </w:r>
      <w:r>
        <w:fldChar w:fldCharType="separate"/>
      </w:r>
      <w:r>
        <w:t>3</w:t>
      </w:r>
      <w:r>
        <w:fldChar w:fldCharType="end"/>
      </w:r>
      <w:r>
        <w:fldChar w:fldCharType="end"/>
      </w:r>
    </w:p>
    <w:p>
      <w:pPr>
        <w:pStyle w:val="25"/>
        <w:rPr>
          <w:rFonts w:asciiTheme="minorHAnsi" w:hAnsiTheme="minorHAnsi" w:eastAsiaTheme="minorEastAsia" w:cstheme="minorBidi"/>
          <w:szCs w:val="22"/>
        </w:rPr>
      </w:pPr>
      <w:r>
        <w:fldChar w:fldCharType="begin"/>
      </w:r>
      <w:r>
        <w:instrText xml:space="preserve"> HYPERLINK \l "_Toc94252725" </w:instrText>
      </w:r>
      <w:r>
        <w:fldChar w:fldCharType="separate"/>
      </w:r>
      <w:r>
        <w:rPr>
          <w:rStyle w:val="34"/>
        </w:rPr>
        <w:t>4.</w:t>
      </w:r>
      <w:r>
        <w:rPr>
          <w:rStyle w:val="34"/>
          <w:rFonts w:hint="eastAsia"/>
          <w:lang w:val="en-US" w:eastAsia="zh-CN"/>
        </w:rPr>
        <w:t>4</w:t>
      </w:r>
      <w:r>
        <w:rPr>
          <w:rStyle w:val="34"/>
          <w:rFonts w:hint="eastAsia"/>
        </w:rPr>
        <w:t xml:space="preserve"> 使用管理要求</w:t>
      </w:r>
      <w:r>
        <w:tab/>
      </w:r>
      <w:r>
        <w:rPr>
          <w:rFonts w:hint="eastAsia"/>
          <w:lang w:val="en-US" w:eastAsia="zh-CN"/>
        </w:rPr>
        <w:t>4</w:t>
      </w:r>
      <w:r>
        <w:fldChar w:fldCharType="end"/>
      </w:r>
    </w:p>
    <w:p>
      <w:pPr>
        <w:pStyle w:val="25"/>
        <w:rPr>
          <w:rFonts w:asciiTheme="minorHAnsi" w:hAnsiTheme="minorHAnsi" w:eastAsiaTheme="minorEastAsia" w:cstheme="minorBidi"/>
          <w:szCs w:val="22"/>
        </w:rPr>
      </w:pPr>
      <w:r>
        <w:fldChar w:fldCharType="begin"/>
      </w:r>
      <w:r>
        <w:instrText xml:space="preserve"> HYPERLINK \l "_Toc94252726" </w:instrText>
      </w:r>
      <w:r>
        <w:fldChar w:fldCharType="separate"/>
      </w:r>
      <w:r>
        <w:rPr>
          <w:rStyle w:val="34"/>
        </w:rPr>
        <w:t>4.</w:t>
      </w:r>
      <w:r>
        <w:rPr>
          <w:rStyle w:val="34"/>
          <w:rFonts w:hint="eastAsia"/>
          <w:lang w:val="en-US" w:eastAsia="zh-CN"/>
        </w:rPr>
        <w:t>5</w:t>
      </w:r>
      <w:r>
        <w:rPr>
          <w:rStyle w:val="34"/>
          <w:rFonts w:hint="eastAsia"/>
        </w:rPr>
        <w:t xml:space="preserve"> 应急管理要求</w:t>
      </w:r>
      <w:r>
        <w:tab/>
      </w:r>
      <w:r>
        <w:rPr>
          <w:rFonts w:hint="eastAsia"/>
          <w:lang w:val="en-US" w:eastAsia="zh-CN"/>
        </w:rPr>
        <w:t>5</w:t>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"_Toc94252727" </w:instrText>
      </w:r>
      <w:r>
        <w:fldChar w:fldCharType="separate"/>
      </w:r>
      <w:r>
        <w:rPr>
          <w:rStyle w:val="34"/>
        </w:rPr>
        <w:t>5</w:t>
      </w:r>
      <w:r>
        <w:rPr>
          <w:rStyle w:val="34"/>
          <w:rFonts w:hint="eastAsia"/>
        </w:rPr>
        <w:t xml:space="preserve"> 维护保养</w:t>
      </w:r>
      <w:r>
        <w:tab/>
      </w:r>
      <w:r>
        <w:rPr>
          <w:rFonts w:hint="eastAsia"/>
          <w:lang w:val="en-US" w:eastAsia="zh-CN"/>
        </w:rPr>
        <w:t>6</w:t>
      </w:r>
      <w:r>
        <w:fldChar w:fldCharType="end"/>
      </w:r>
    </w:p>
    <w:p>
      <w:pPr>
        <w:pStyle w:val="25"/>
        <w:rPr>
          <w:rFonts w:asciiTheme="minorHAnsi" w:hAnsiTheme="minorHAnsi" w:eastAsiaTheme="minorEastAsia" w:cstheme="minorBidi"/>
          <w:szCs w:val="22"/>
        </w:rPr>
      </w:pPr>
      <w:r>
        <w:fldChar w:fldCharType="begin"/>
      </w:r>
      <w:r>
        <w:instrText xml:space="preserve"> HYPERLINK \l "_Toc94252728" </w:instrText>
      </w:r>
      <w:r>
        <w:fldChar w:fldCharType="separate"/>
      </w:r>
      <w:r>
        <w:rPr>
          <w:rStyle w:val="34"/>
        </w:rPr>
        <w:t>5.1</w:t>
      </w:r>
      <w:r>
        <w:rPr>
          <w:rStyle w:val="34"/>
          <w:rFonts w:hint="eastAsia"/>
        </w:rPr>
        <w:t xml:space="preserve"> 一般要求</w:t>
      </w:r>
      <w:r>
        <w:tab/>
      </w:r>
      <w:r>
        <w:rPr>
          <w:rFonts w:hint="eastAsia"/>
          <w:lang w:val="en-US" w:eastAsia="zh-CN"/>
        </w:rPr>
        <w:t>6</w:t>
      </w:r>
      <w:r>
        <w:fldChar w:fldCharType="end"/>
      </w:r>
    </w:p>
    <w:p>
      <w:pPr>
        <w:pStyle w:val="25"/>
        <w:rPr>
          <w:rFonts w:asciiTheme="minorHAnsi" w:hAnsiTheme="minorHAnsi" w:eastAsiaTheme="minorEastAsia" w:cstheme="minorBidi"/>
          <w:szCs w:val="22"/>
        </w:rPr>
      </w:pPr>
      <w:r>
        <w:fldChar w:fldCharType="begin"/>
      </w:r>
      <w:r>
        <w:instrText xml:space="preserve"> HYPERLINK \l "_Toc94252729" </w:instrText>
      </w:r>
      <w:r>
        <w:fldChar w:fldCharType="separate"/>
      </w:r>
      <w:r>
        <w:rPr>
          <w:rStyle w:val="34"/>
        </w:rPr>
        <w:t>5.2</w:t>
      </w:r>
      <w:r>
        <w:rPr>
          <w:rStyle w:val="34"/>
          <w:rFonts w:hint="eastAsia"/>
        </w:rPr>
        <w:t xml:space="preserve"> 维护保养内容及要求</w:t>
      </w:r>
      <w:r>
        <w:tab/>
      </w:r>
      <w:r>
        <w:rPr>
          <w:rFonts w:hint="eastAsia"/>
          <w:lang w:val="en-US" w:eastAsia="zh-CN"/>
        </w:rPr>
        <w:t>7</w:t>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"_Toc94252730" </w:instrText>
      </w:r>
      <w:r>
        <w:fldChar w:fldCharType="separate"/>
      </w:r>
      <w:r>
        <w:rPr>
          <w:rStyle w:val="34"/>
          <w:rFonts w:hint="eastAsia"/>
        </w:rPr>
        <w:t>附录A（资料性）大型游乐设施故障统计</w:t>
      </w:r>
      <w:r>
        <w:tab/>
      </w:r>
      <w:r>
        <w:fldChar w:fldCharType="begin"/>
      </w:r>
      <w:r>
        <w:instrText xml:space="preserve"> PAGEREF _Toc94252730 \h </w:instrText>
      </w:r>
      <w:r>
        <w:fldChar w:fldCharType="separate"/>
      </w:r>
      <w:r>
        <w:t>1</w:t>
      </w:r>
      <w:r>
        <w:rPr>
          <w:rFonts w:hint="eastAsia"/>
          <w:lang w:val="en-US" w:eastAsia="zh-CN"/>
        </w:rPr>
        <w:t>3</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"_Toc94252731" </w:instrText>
      </w:r>
      <w:r>
        <w:fldChar w:fldCharType="separate"/>
      </w:r>
      <w:r>
        <w:rPr>
          <w:rStyle w:val="34"/>
          <w:rFonts w:hint="eastAsia"/>
        </w:rPr>
        <w:t>附录B（资料性）大型游乐设施应急救援演练自查</w:t>
      </w:r>
      <w:r>
        <w:tab/>
      </w:r>
      <w:r>
        <w:fldChar w:fldCharType="begin"/>
      </w:r>
      <w:r>
        <w:instrText xml:space="preserve"> PAGEREF _Toc94252731 \h </w:instrText>
      </w:r>
      <w:r>
        <w:fldChar w:fldCharType="separate"/>
      </w:r>
      <w:r>
        <w:t>1</w:t>
      </w:r>
      <w:r>
        <w:rPr>
          <w:rFonts w:hint="eastAsia"/>
          <w:lang w:val="en-US" w:eastAsia="zh-CN"/>
        </w:rPr>
        <w:t>4</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"_Toc94252732" </w:instrText>
      </w:r>
      <w:r>
        <w:fldChar w:fldCharType="separate"/>
      </w:r>
      <w:r>
        <w:rPr>
          <w:rStyle w:val="34"/>
          <w:rFonts w:hint="eastAsia"/>
        </w:rPr>
        <w:t>附录C（资料性）大型游乐设施基本信息</w:t>
      </w:r>
      <w:r>
        <w:tab/>
      </w:r>
      <w:r>
        <w:fldChar w:fldCharType="begin"/>
      </w:r>
      <w:r>
        <w:instrText xml:space="preserve"> PAGEREF _Toc94252732 \h </w:instrText>
      </w:r>
      <w:r>
        <w:fldChar w:fldCharType="separate"/>
      </w:r>
      <w:r>
        <w:t>1</w:t>
      </w:r>
      <w:r>
        <w:rPr>
          <w:rFonts w:hint="eastAsia"/>
          <w:lang w:val="en-US" w:eastAsia="zh-CN"/>
        </w:rPr>
        <w:t>5</w:t>
      </w:r>
      <w:r>
        <w:fldChar w:fldCharType="end"/>
      </w:r>
      <w:r>
        <w:fldChar w:fldCharType="end"/>
      </w:r>
    </w:p>
    <w:p>
      <w:pPr>
        <w:pStyle w:val="20"/>
        <w:tabs>
          <w:tab w:val="right" w:leader="dot" w:pos="9344"/>
        </w:tabs>
      </w:pPr>
      <w:r>
        <w:fldChar w:fldCharType="begin"/>
      </w:r>
      <w:r>
        <w:instrText xml:space="preserve"> HYPERLINK \l "_Toc94252733" </w:instrText>
      </w:r>
      <w:r>
        <w:fldChar w:fldCharType="separate"/>
      </w:r>
      <w:r>
        <w:rPr>
          <w:rStyle w:val="34"/>
          <w:rFonts w:hint="eastAsia"/>
        </w:rPr>
        <w:t>附录D（资料性）大型游乐设施日常维护保养记录</w:t>
      </w:r>
      <w:r>
        <w:tab/>
      </w:r>
      <w:r>
        <w:fldChar w:fldCharType="begin"/>
      </w:r>
      <w:r>
        <w:instrText xml:space="preserve"> PAGEREF _Toc94252733 \h </w:instrText>
      </w:r>
      <w:r>
        <w:fldChar w:fldCharType="separate"/>
      </w:r>
      <w:r>
        <w:t>1</w:t>
      </w:r>
      <w:r>
        <w:rPr>
          <w:rFonts w:hint="eastAsia"/>
          <w:lang w:val="en-US" w:eastAsia="zh-CN"/>
        </w:rPr>
        <w:t>6</w:t>
      </w:r>
      <w:r>
        <w:fldChar w:fldCharType="end"/>
      </w:r>
      <w:r>
        <w:fldChar w:fldCharType="end"/>
      </w:r>
    </w:p>
    <w:p>
      <w:pPr>
        <w:pStyle w:val="20"/>
        <w:tabs>
          <w:tab w:val="right" w:leader="dot" w:pos="9344"/>
        </w:tabs>
      </w:pPr>
      <w:r>
        <w:fldChar w:fldCharType="begin"/>
      </w:r>
      <w:r>
        <w:instrText xml:space="preserve"> HYPERLINK \l "_Toc94252733" </w:instrText>
      </w:r>
      <w:r>
        <w:fldChar w:fldCharType="separate"/>
      </w:r>
      <w:r>
        <w:rPr>
          <w:rStyle w:val="34"/>
          <w:rFonts w:hint="eastAsia"/>
        </w:rPr>
        <w:t>附录</w:t>
      </w:r>
      <w:r>
        <w:rPr>
          <w:rStyle w:val="34"/>
          <w:rFonts w:hint="eastAsia"/>
          <w:lang w:val="en-US" w:eastAsia="zh-CN"/>
        </w:rPr>
        <w:t>E</w:t>
      </w:r>
      <w:r>
        <w:rPr>
          <w:rStyle w:val="34"/>
          <w:rFonts w:hint="eastAsia"/>
        </w:rPr>
        <w:t>（资料性）大型游乐设施运营使用单位落实使用安全主体责任监督管理规定相关记录</w:t>
      </w:r>
      <w:r>
        <w:tab/>
      </w:r>
      <w:r>
        <w:fldChar w:fldCharType="begin"/>
      </w:r>
      <w:r>
        <w:instrText xml:space="preserve"> PAGEREF _Toc94252733 \h </w:instrText>
      </w:r>
      <w:r>
        <w:fldChar w:fldCharType="separate"/>
      </w:r>
      <w:r>
        <w:t>1</w:t>
      </w:r>
      <w:r>
        <w:rPr>
          <w:rFonts w:hint="eastAsia"/>
          <w:lang w:val="en-US" w:eastAsia="zh-CN"/>
        </w:rPr>
        <w:t>7</w:t>
      </w:r>
      <w:r>
        <w:fldChar w:fldCharType="end"/>
      </w:r>
      <w:r>
        <w:fldChar w:fldCharType="end"/>
      </w:r>
    </w:p>
    <w:p>
      <w:pPr>
        <w:pStyle w:val="20"/>
        <w:tabs>
          <w:tab w:val="right" w:leader="dot" w:pos="9344"/>
        </w:tabs>
        <w:rPr>
          <w:rFonts w:hint="eastAsia" w:eastAsia="宋体" w:asciiTheme="minorHAnsi" w:hAnsiTheme="minorHAnsi" w:cstheme="minorBidi"/>
          <w:szCs w:val="22"/>
          <w:lang w:val="en-US" w:eastAsia="zh-CN"/>
        </w:rPr>
      </w:pPr>
      <w:r>
        <w:fldChar w:fldCharType="begin"/>
      </w:r>
      <w:r>
        <w:instrText xml:space="preserve"> HYPERLINK \l "_Toc94252734" </w:instrText>
      </w:r>
      <w:r>
        <w:fldChar w:fldCharType="separate"/>
      </w:r>
      <w:r>
        <w:rPr>
          <w:rStyle w:val="34"/>
          <w:rFonts w:hint="eastAsia"/>
        </w:rPr>
        <w:t>参考文献</w:t>
      </w:r>
      <w:r>
        <w:tab/>
      </w:r>
      <w:r>
        <w:rPr>
          <w:rFonts w:hint="eastAsia"/>
          <w:lang w:val="en-US" w:eastAsia="zh-CN"/>
        </w:rPr>
        <w:t>2</w:t>
      </w:r>
      <w:r>
        <w:fldChar w:fldCharType="end"/>
      </w:r>
      <w:r>
        <w:rPr>
          <w:rFonts w:hint="eastAsia"/>
          <w:lang w:val="en-US" w:eastAsia="zh-CN"/>
        </w:rPr>
        <w:t>2</w:t>
      </w:r>
    </w:p>
    <w:p>
      <w:pPr>
        <w:pStyle w:val="44"/>
        <w:spacing w:line="300" w:lineRule="exact"/>
        <w:ind w:firstLine="420"/>
      </w:pPr>
      <w:r>
        <w:fldChar w:fldCharType="end"/>
      </w:r>
      <w:bookmarkStart w:id="25" w:name="muci"/>
      <w:bookmarkEnd w:id="25"/>
    </w:p>
    <w:p>
      <w:pPr>
        <w:pStyle w:val="44"/>
        <w:ind w:firstLine="420"/>
        <w:sectPr>
          <w:headerReference r:id="rId11" w:type="default"/>
          <w:footerReference r:id="rId13" w:type="default"/>
          <w:headerReference r:id="rId12" w:type="even"/>
          <w:pgSz w:w="11906" w:h="16838"/>
          <w:pgMar w:top="2410" w:right="1134" w:bottom="1134" w:left="1134" w:header="1418" w:footer="1134" w:gutter="284"/>
          <w:pgNumType w:fmt="upperRoman" w:start="1"/>
          <w:cols w:space="720" w:num="1"/>
          <w:formProt w:val="0"/>
          <w:docGrid w:type="lines" w:linePitch="312" w:charSpace="0"/>
        </w:sectPr>
      </w:pPr>
    </w:p>
    <w:bookmarkEnd w:id="22"/>
    <w:bookmarkEnd w:id="23"/>
    <w:bookmarkEnd w:id="24"/>
    <w:p>
      <w:pPr>
        <w:pStyle w:val="75"/>
        <w:spacing w:after="468"/>
      </w:pPr>
      <w:bookmarkStart w:id="26" w:name="BookMark2"/>
      <w:r>
        <w:rPr>
          <w:spacing w:val="320"/>
        </w:rPr>
        <w:t>前</w:t>
      </w:r>
      <w:r>
        <w:t>言</w:t>
      </w:r>
    </w:p>
    <w:p>
      <w:pPr>
        <w:pStyle w:val="44"/>
        <w:ind w:firstLine="420"/>
        <w:rPr>
          <w:color w:val="000000"/>
        </w:rPr>
      </w:pPr>
      <w:r>
        <w:rPr>
          <w:rFonts w:hint="eastAsia"/>
          <w:color w:val="000000"/>
        </w:rPr>
        <w:t>为推进京津冀协同发展战略实施，北京市市场监督管理局、天津市市场监督管理委员会、河北省市场监督管理局共同组织制定本地方标准，在京津冀区域内适用，现予发布。</w:t>
      </w:r>
    </w:p>
    <w:p>
      <w:pPr>
        <w:pStyle w:val="44"/>
        <w:ind w:firstLine="420"/>
        <w:rPr>
          <w:rFonts w:hint="eastAsia"/>
          <w:color w:val="000000"/>
        </w:rPr>
      </w:pPr>
      <w:r>
        <w:rPr>
          <w:rFonts w:hint="eastAsia"/>
          <w:color w:val="000000"/>
        </w:rPr>
        <w:t>本文件按照GB/T 1.1—2020《标准化工作导则第1部分：标准化文件的结构和起草规则》的规定起草。</w:t>
      </w:r>
    </w:p>
    <w:p>
      <w:pPr>
        <w:pStyle w:val="44"/>
        <w:ind w:firstLine="420"/>
      </w:pPr>
      <w:r>
        <w:rPr>
          <w:rFonts w:hint="eastAsia"/>
        </w:rPr>
        <w:t xml:space="preserve">本文件代替DB12/T </w:t>
      </w:r>
      <w:r>
        <w:rPr>
          <w:rFonts w:hint="eastAsia"/>
          <w:lang w:val="en-US" w:eastAsia="zh-CN"/>
        </w:rPr>
        <w:t>3031-2022</w:t>
      </w:r>
      <w:r>
        <w:rPr>
          <w:rFonts w:hint="eastAsia"/>
        </w:rPr>
        <w:t>《</w:t>
      </w:r>
      <w:r>
        <w:rPr>
          <w:rFonts w:hint="eastAsia"/>
          <w:lang w:eastAsia="zh-CN"/>
        </w:rPr>
        <w:t>大型游乐设施运营使用管理和维护保养规范</w:t>
      </w:r>
      <w:r>
        <w:rPr>
          <w:rFonts w:hint="eastAsia"/>
        </w:rPr>
        <w:t xml:space="preserve">》，与DB12/T </w:t>
      </w:r>
      <w:r>
        <w:rPr>
          <w:rFonts w:hint="eastAsia"/>
          <w:lang w:val="en-US" w:eastAsia="zh-CN"/>
        </w:rPr>
        <w:t>3031-2022</w:t>
      </w:r>
      <w:r>
        <w:rPr>
          <w:rFonts w:hint="eastAsia"/>
        </w:rPr>
        <w:t>相比，除结构调整和编辑性改动外，主要技术变化如下：</w:t>
      </w:r>
    </w:p>
    <w:p>
      <w:pPr>
        <w:pStyle w:val="155"/>
        <w:rPr>
          <w:rFonts w:hint="default"/>
          <w:lang w:val="en-US" w:eastAsia="zh-CN"/>
        </w:rPr>
      </w:pPr>
      <w:r>
        <w:rPr>
          <w:rFonts w:hint="eastAsia"/>
          <w:lang w:eastAsia="zh-CN"/>
        </w:rPr>
        <w:t>在规范性引用文件中增加“</w:t>
      </w:r>
      <w:r>
        <w:rPr>
          <w:rFonts w:hint="eastAsia" w:ascii="宋体" w:hAnsi="宋体" w:cs="宋体"/>
          <w:color w:val="000000"/>
          <w:kern w:val="2"/>
          <w:sz w:val="21"/>
          <w:szCs w:val="21"/>
        </w:rPr>
        <w:t>TSG 71-2023 大型游乐设施安全技术规程</w:t>
      </w:r>
      <w:r>
        <w:rPr>
          <w:rFonts w:hint="eastAsia"/>
          <w:lang w:eastAsia="zh-CN"/>
        </w:rPr>
        <w:t>”</w:t>
      </w:r>
      <w:r>
        <w:rPr>
          <w:rFonts w:hint="eastAsia"/>
        </w:rPr>
        <w:t>（见第</w:t>
      </w:r>
      <w:r>
        <w:rPr>
          <w:rFonts w:hint="eastAsia"/>
          <w:lang w:val="en-US" w:eastAsia="zh-CN"/>
        </w:rPr>
        <w:t>2</w:t>
      </w:r>
      <w:r>
        <w:rPr>
          <w:rFonts w:hint="eastAsia"/>
        </w:rPr>
        <w:t>章）</w:t>
      </w:r>
      <w:r>
        <w:rPr>
          <w:rFonts w:hint="eastAsia"/>
          <w:lang w:eastAsia="zh-CN"/>
        </w:rPr>
        <w:t>；</w:t>
      </w:r>
    </w:p>
    <w:p>
      <w:pPr>
        <w:pStyle w:val="155"/>
        <w:rPr>
          <w:rFonts w:hint="default"/>
          <w:lang w:val="en-US" w:eastAsia="zh-CN"/>
        </w:rPr>
      </w:pPr>
      <w:r>
        <w:rPr>
          <w:rFonts w:hint="eastAsia"/>
          <w:lang w:eastAsia="zh-CN"/>
        </w:rPr>
        <w:t>增加了术语“大型游乐设施使用单位主要负责人”、“大型游乐设施安全总监”、“大型游乐设施安全员”及其内容（见</w:t>
      </w:r>
      <w:r>
        <w:rPr>
          <w:rFonts w:hint="eastAsia"/>
          <w:lang w:val="en-US" w:eastAsia="zh-CN"/>
        </w:rPr>
        <w:t>3.2、3.3、3.4</w:t>
      </w:r>
      <w:r>
        <w:rPr>
          <w:rFonts w:hint="eastAsia"/>
          <w:lang w:eastAsia="zh-CN"/>
        </w:rPr>
        <w:t>）；</w:t>
      </w:r>
    </w:p>
    <w:p>
      <w:pPr>
        <w:pStyle w:val="155"/>
        <w:rPr>
          <w:rFonts w:hint="default"/>
          <w:lang w:val="en-US" w:eastAsia="zh-CN"/>
        </w:rPr>
      </w:pPr>
      <w:r>
        <w:rPr>
          <w:rFonts w:hint="eastAsia"/>
          <w:lang w:val="en-US" w:eastAsia="zh-CN"/>
        </w:rPr>
        <w:t>增加了“一般要求”及其内容，</w:t>
      </w:r>
      <w:r>
        <w:rPr>
          <w:rFonts w:hint="eastAsia"/>
        </w:rPr>
        <w:t>增加了</w:t>
      </w:r>
      <w:r>
        <w:rPr>
          <w:rFonts w:hint="eastAsia"/>
          <w:lang w:eastAsia="zh-CN"/>
        </w:rPr>
        <w:t>大型游乐设施定义的限制性规定</w:t>
      </w:r>
      <w:r>
        <w:rPr>
          <w:rFonts w:hint="eastAsia"/>
          <w:lang w:val="en-US" w:eastAsia="zh-CN"/>
        </w:rPr>
        <w:t>（见4.1）</w:t>
      </w:r>
      <w:r>
        <w:rPr>
          <w:rFonts w:hint="eastAsia"/>
        </w:rPr>
        <w:t>；</w:t>
      </w:r>
    </w:p>
    <w:p>
      <w:pPr>
        <w:pStyle w:val="155"/>
        <w:rPr>
          <w:rFonts w:hint="default"/>
          <w:lang w:val="en-US" w:eastAsia="zh-CN"/>
        </w:rPr>
      </w:pPr>
      <w:r>
        <w:rPr>
          <w:rFonts w:hint="eastAsia"/>
          <w:lang w:val="en-US" w:eastAsia="zh-CN"/>
        </w:rPr>
        <w:t>增加了对运营使用单位运营使用条件进行核实的有关内容</w:t>
      </w:r>
      <w:r>
        <w:rPr>
          <w:rFonts w:hint="eastAsia"/>
        </w:rPr>
        <w:t>（见</w:t>
      </w:r>
      <w:r>
        <w:rPr>
          <w:rFonts w:hint="eastAsia"/>
          <w:lang w:val="en-US" w:eastAsia="zh-CN"/>
        </w:rPr>
        <w:t>4.2.1</w:t>
      </w:r>
      <w:r>
        <w:rPr>
          <w:rFonts w:hint="eastAsia"/>
        </w:rPr>
        <w:t>，20</w:t>
      </w:r>
      <w:r>
        <w:rPr>
          <w:rFonts w:hint="eastAsia"/>
          <w:lang w:val="en-US" w:eastAsia="zh-CN"/>
        </w:rPr>
        <w:t>22</w:t>
      </w:r>
      <w:r>
        <w:rPr>
          <w:rFonts w:hint="eastAsia"/>
        </w:rPr>
        <w:t>版</w:t>
      </w:r>
      <w:r>
        <w:rPr>
          <w:rFonts w:hint="eastAsia"/>
          <w:lang w:val="en-US" w:eastAsia="zh-CN"/>
        </w:rPr>
        <w:t>4.1.1</w:t>
      </w:r>
      <w:r>
        <w:rPr>
          <w:rFonts w:hint="eastAsia"/>
        </w:rPr>
        <w:t>）</w:t>
      </w:r>
      <w:r>
        <w:rPr>
          <w:rFonts w:hint="eastAsia"/>
          <w:lang w:eastAsia="zh-CN"/>
        </w:rPr>
        <w:t>；</w:t>
      </w:r>
    </w:p>
    <w:p>
      <w:pPr>
        <w:pStyle w:val="155"/>
        <w:rPr>
          <w:rFonts w:hint="default"/>
          <w:lang w:val="en-US" w:eastAsia="zh-CN"/>
        </w:rPr>
      </w:pPr>
      <w:r>
        <w:rPr>
          <w:rFonts w:hint="eastAsia"/>
          <w:lang w:val="en-US" w:eastAsia="zh-CN"/>
        </w:rPr>
        <w:t>更改了设置安全管理机构的依据内容</w:t>
      </w:r>
      <w:r>
        <w:rPr>
          <w:rFonts w:hint="eastAsia"/>
        </w:rPr>
        <w:t>（见</w:t>
      </w:r>
      <w:r>
        <w:rPr>
          <w:rFonts w:hint="eastAsia"/>
          <w:lang w:val="en-US" w:eastAsia="zh-CN"/>
        </w:rPr>
        <w:t>4.2.2</w:t>
      </w:r>
      <w:r>
        <w:rPr>
          <w:rFonts w:hint="eastAsia"/>
        </w:rPr>
        <w:t>，20</w:t>
      </w:r>
      <w:r>
        <w:rPr>
          <w:rFonts w:hint="eastAsia"/>
          <w:lang w:val="en-US" w:eastAsia="zh-CN"/>
        </w:rPr>
        <w:t>22</w:t>
      </w:r>
      <w:r>
        <w:rPr>
          <w:rFonts w:hint="eastAsia"/>
        </w:rPr>
        <w:t>版</w:t>
      </w:r>
      <w:r>
        <w:rPr>
          <w:rFonts w:hint="eastAsia"/>
          <w:lang w:val="en-US" w:eastAsia="zh-CN"/>
        </w:rPr>
        <w:t>4.1.2</w:t>
      </w:r>
      <w:r>
        <w:rPr>
          <w:rFonts w:hint="eastAsia"/>
        </w:rPr>
        <w:t>）</w:t>
      </w:r>
      <w:r>
        <w:rPr>
          <w:rFonts w:hint="eastAsia"/>
          <w:lang w:eastAsia="zh-CN"/>
        </w:rPr>
        <w:t>；</w:t>
      </w:r>
    </w:p>
    <w:p>
      <w:pPr>
        <w:pStyle w:val="155"/>
        <w:rPr>
          <w:rFonts w:hint="default"/>
          <w:lang w:val="en-US" w:eastAsia="zh-CN"/>
        </w:rPr>
      </w:pPr>
      <w:r>
        <w:rPr>
          <w:rFonts w:hint="eastAsia"/>
          <w:lang w:val="en-US" w:eastAsia="zh-CN"/>
        </w:rPr>
        <w:t>更改了制定</w:t>
      </w:r>
      <w:r>
        <w:rPr>
          <w:rFonts w:hint="eastAsia"/>
          <w:color w:val="000000"/>
        </w:rPr>
        <w:t>管理制度、机制和操作规程</w:t>
      </w:r>
      <w:r>
        <w:rPr>
          <w:rFonts w:hint="eastAsia"/>
          <w:color w:val="000000"/>
          <w:lang w:eastAsia="zh-CN"/>
        </w:rPr>
        <w:t>的依据，增加</w:t>
      </w:r>
      <w:r>
        <w:rPr>
          <w:rFonts w:hint="eastAsia"/>
          <w:color w:val="000000"/>
        </w:rPr>
        <w:t>落实运营</w:t>
      </w:r>
      <w:r>
        <w:rPr>
          <w:rFonts w:hAnsi="宋体" w:cs="宋体"/>
          <w:color w:val="000000"/>
          <w:kern w:val="2"/>
          <w:szCs w:val="21"/>
        </w:rPr>
        <w:t>使用安全主体责任</w:t>
      </w:r>
      <w:r>
        <w:rPr>
          <w:rFonts w:hint="eastAsia" w:hAnsi="宋体" w:cs="宋体"/>
          <w:color w:val="000000"/>
          <w:kern w:val="2"/>
          <w:szCs w:val="21"/>
        </w:rPr>
        <w:t>相关制度和机制</w:t>
      </w:r>
      <w:r>
        <w:rPr>
          <w:rFonts w:hint="eastAsia" w:hAnsi="宋体" w:cs="宋体"/>
          <w:color w:val="000000"/>
          <w:kern w:val="2"/>
          <w:szCs w:val="21"/>
          <w:lang w:eastAsia="zh-CN"/>
        </w:rPr>
        <w:t>及其内容</w:t>
      </w:r>
      <w:r>
        <w:rPr>
          <w:rFonts w:hint="eastAsia"/>
        </w:rPr>
        <w:t>（见</w:t>
      </w:r>
      <w:r>
        <w:rPr>
          <w:rFonts w:hint="eastAsia"/>
          <w:lang w:val="en-US" w:eastAsia="zh-CN"/>
        </w:rPr>
        <w:t>4.2.3</w:t>
      </w:r>
      <w:r>
        <w:rPr>
          <w:rFonts w:hint="eastAsia"/>
        </w:rPr>
        <w:t>，20</w:t>
      </w:r>
      <w:r>
        <w:rPr>
          <w:rFonts w:hint="eastAsia"/>
          <w:lang w:val="en-US" w:eastAsia="zh-CN"/>
        </w:rPr>
        <w:t>22</w:t>
      </w:r>
      <w:r>
        <w:rPr>
          <w:rFonts w:hint="eastAsia"/>
        </w:rPr>
        <w:t>版</w:t>
      </w:r>
      <w:r>
        <w:rPr>
          <w:rFonts w:hint="eastAsia"/>
          <w:lang w:val="en-US" w:eastAsia="zh-CN"/>
        </w:rPr>
        <w:t>4.1.3</w:t>
      </w:r>
      <w:r>
        <w:rPr>
          <w:rFonts w:hint="eastAsia"/>
        </w:rPr>
        <w:t>）</w:t>
      </w:r>
      <w:r>
        <w:rPr>
          <w:rFonts w:hint="eastAsia"/>
          <w:lang w:eastAsia="zh-CN"/>
        </w:rPr>
        <w:t>；</w:t>
      </w:r>
    </w:p>
    <w:p>
      <w:pPr>
        <w:pStyle w:val="155"/>
        <w:rPr>
          <w:rFonts w:hint="default"/>
          <w:lang w:val="en-US" w:eastAsia="zh-CN"/>
        </w:rPr>
      </w:pPr>
      <w:r>
        <w:rPr>
          <w:rFonts w:hint="eastAsia"/>
          <w:lang w:val="en-US" w:eastAsia="zh-CN"/>
        </w:rPr>
        <w:t>更改了</w:t>
      </w:r>
      <w:r>
        <w:rPr>
          <w:rFonts w:hint="eastAsia"/>
          <w:color w:val="000000"/>
        </w:rPr>
        <w:t>技术档案</w:t>
      </w:r>
      <w:r>
        <w:rPr>
          <w:rFonts w:hint="eastAsia"/>
          <w:color w:val="000000"/>
          <w:lang w:eastAsia="zh-CN"/>
        </w:rPr>
        <w:t>包括内容</w:t>
      </w:r>
      <w:r>
        <w:rPr>
          <w:rFonts w:hint="eastAsia"/>
        </w:rPr>
        <w:t>（见</w:t>
      </w:r>
      <w:r>
        <w:rPr>
          <w:rFonts w:hint="eastAsia"/>
          <w:lang w:val="en-US" w:eastAsia="zh-CN"/>
        </w:rPr>
        <w:t>4.2.4 a）c)d）e）f）l）</w:t>
      </w:r>
      <w:r>
        <w:rPr>
          <w:rFonts w:hint="eastAsia"/>
        </w:rPr>
        <w:t>，20</w:t>
      </w:r>
      <w:r>
        <w:rPr>
          <w:rFonts w:hint="eastAsia"/>
          <w:lang w:val="en-US" w:eastAsia="zh-CN"/>
        </w:rPr>
        <w:t>22</w:t>
      </w:r>
      <w:r>
        <w:rPr>
          <w:rFonts w:hint="eastAsia"/>
        </w:rPr>
        <w:t>版</w:t>
      </w:r>
      <w:r>
        <w:rPr>
          <w:rFonts w:hint="eastAsia"/>
          <w:lang w:val="en-US" w:eastAsia="zh-CN"/>
        </w:rPr>
        <w:t>4.1.4a）c)d）e）f）j）</w:t>
      </w:r>
      <w:r>
        <w:rPr>
          <w:rFonts w:hint="eastAsia"/>
        </w:rPr>
        <w:t>）</w:t>
      </w:r>
      <w:r>
        <w:rPr>
          <w:rFonts w:hint="eastAsia"/>
          <w:lang w:eastAsia="zh-CN"/>
        </w:rPr>
        <w:t>；</w:t>
      </w:r>
    </w:p>
    <w:p>
      <w:pPr>
        <w:pStyle w:val="155"/>
        <w:rPr>
          <w:rFonts w:hint="default"/>
          <w:lang w:val="en-US" w:eastAsia="zh-CN"/>
        </w:rPr>
      </w:pPr>
      <w:r>
        <w:rPr>
          <w:rFonts w:hint="eastAsia"/>
          <w:lang w:eastAsia="zh-CN"/>
        </w:rPr>
        <w:t>增加了</w:t>
      </w:r>
      <w:r>
        <w:rPr>
          <w:rFonts w:hint="eastAsia"/>
          <w:color w:val="000000"/>
        </w:rPr>
        <w:t>技术档案</w:t>
      </w:r>
      <w:r>
        <w:rPr>
          <w:rFonts w:hint="eastAsia"/>
          <w:color w:val="000000"/>
          <w:lang w:eastAsia="zh-CN"/>
        </w:rPr>
        <w:t>包括内容</w:t>
      </w:r>
      <w:r>
        <w:rPr>
          <w:rFonts w:hint="eastAsia"/>
        </w:rPr>
        <w:t>（见</w:t>
      </w:r>
      <w:r>
        <w:rPr>
          <w:rFonts w:hint="eastAsia"/>
          <w:lang w:val="en-US" w:eastAsia="zh-CN"/>
        </w:rPr>
        <w:t>4.2.4 i）j）n）</w:t>
      </w:r>
      <w:r>
        <w:rPr>
          <w:rFonts w:hint="eastAsia"/>
        </w:rPr>
        <w:t>）</w:t>
      </w:r>
      <w:r>
        <w:rPr>
          <w:rFonts w:hint="eastAsia"/>
          <w:lang w:eastAsia="zh-CN"/>
        </w:rPr>
        <w:t>；</w:t>
      </w:r>
    </w:p>
    <w:p>
      <w:pPr>
        <w:pStyle w:val="155"/>
        <w:rPr>
          <w:rFonts w:hint="default"/>
          <w:lang w:val="en-US" w:eastAsia="zh-CN"/>
        </w:rPr>
      </w:pPr>
      <w:r>
        <w:rPr>
          <w:rFonts w:hint="eastAsia"/>
          <w:lang w:eastAsia="zh-CN"/>
        </w:rPr>
        <w:t>更改了安全管理人员、操作人员和服务人员的岗位设置，增加了安全总监和安全员的岗位设置</w:t>
      </w:r>
      <w:r>
        <w:rPr>
          <w:rFonts w:hint="eastAsia"/>
        </w:rPr>
        <w:t>（见</w:t>
      </w:r>
      <w:r>
        <w:rPr>
          <w:rFonts w:hint="eastAsia"/>
          <w:lang w:val="en-US" w:eastAsia="zh-CN"/>
        </w:rPr>
        <w:t>4.3.1</w:t>
      </w:r>
      <w:r>
        <w:rPr>
          <w:rFonts w:hint="eastAsia"/>
        </w:rPr>
        <w:t>，20</w:t>
      </w:r>
      <w:r>
        <w:rPr>
          <w:rFonts w:hint="eastAsia"/>
          <w:lang w:val="en-US" w:eastAsia="zh-CN"/>
        </w:rPr>
        <w:t>22</w:t>
      </w:r>
      <w:r>
        <w:rPr>
          <w:rFonts w:hint="eastAsia"/>
        </w:rPr>
        <w:t>版</w:t>
      </w:r>
      <w:r>
        <w:rPr>
          <w:rFonts w:hint="eastAsia"/>
          <w:lang w:val="en-US" w:eastAsia="zh-CN"/>
        </w:rPr>
        <w:t>4.2.1</w:t>
      </w:r>
      <w:r>
        <w:rPr>
          <w:rFonts w:hint="eastAsia"/>
        </w:rPr>
        <w:t>）</w:t>
      </w:r>
      <w:r>
        <w:rPr>
          <w:rFonts w:hint="eastAsia"/>
          <w:lang w:eastAsia="zh-CN"/>
        </w:rPr>
        <w:t>；</w:t>
      </w:r>
    </w:p>
    <w:p>
      <w:pPr>
        <w:pStyle w:val="155"/>
        <w:rPr>
          <w:rFonts w:hint="default"/>
          <w:lang w:val="en-US" w:eastAsia="zh-CN"/>
        </w:rPr>
      </w:pPr>
      <w:r>
        <w:rPr>
          <w:rFonts w:hint="eastAsia"/>
          <w:lang w:val="en-US" w:eastAsia="zh-CN"/>
        </w:rPr>
        <w:t>增加了</w:t>
      </w:r>
      <w:r>
        <w:rPr>
          <w:rFonts w:hint="eastAsia"/>
          <w:color w:val="000000"/>
        </w:rPr>
        <w:t>蹦极操作人员（包络教练员）</w:t>
      </w:r>
      <w:r>
        <w:rPr>
          <w:rFonts w:hint="eastAsia"/>
          <w:color w:val="000000"/>
          <w:lang w:eastAsia="zh-CN"/>
        </w:rPr>
        <w:t>考核和资格证书要求</w:t>
      </w:r>
      <w:r>
        <w:rPr>
          <w:rFonts w:hint="eastAsia"/>
        </w:rPr>
        <w:t>（见</w:t>
      </w:r>
      <w:r>
        <w:rPr>
          <w:rFonts w:hint="eastAsia"/>
          <w:lang w:val="en-US" w:eastAsia="zh-CN"/>
        </w:rPr>
        <w:t>4.3.2</w:t>
      </w:r>
      <w:r>
        <w:rPr>
          <w:rFonts w:hint="eastAsia"/>
        </w:rPr>
        <w:t>）</w:t>
      </w:r>
      <w:r>
        <w:rPr>
          <w:rFonts w:hint="eastAsia"/>
          <w:lang w:val="en-US" w:eastAsia="zh-CN"/>
        </w:rPr>
        <w:t>；</w:t>
      </w:r>
    </w:p>
    <w:p>
      <w:pPr>
        <w:pStyle w:val="155"/>
        <w:rPr>
          <w:rFonts w:hint="default"/>
          <w:lang w:val="en-US" w:eastAsia="zh-CN"/>
        </w:rPr>
      </w:pPr>
      <w:r>
        <w:rPr>
          <w:rFonts w:hint="eastAsia"/>
          <w:lang w:val="en-US" w:eastAsia="zh-CN"/>
        </w:rPr>
        <w:t>增加了</w:t>
      </w:r>
      <w:r>
        <w:rPr>
          <w:rFonts w:hint="eastAsia"/>
          <w:color w:val="000000"/>
          <w:lang w:eastAsia="zh-CN"/>
        </w:rPr>
        <w:t>安全</w:t>
      </w:r>
      <w:r>
        <w:rPr>
          <w:rFonts w:hint="eastAsia"/>
          <w:color w:val="000000"/>
        </w:rPr>
        <w:t>总监</w:t>
      </w:r>
      <w:r>
        <w:rPr>
          <w:rFonts w:hint="eastAsia"/>
          <w:color w:val="000000"/>
          <w:lang w:eastAsia="zh-CN"/>
        </w:rPr>
        <w:t>、</w:t>
      </w:r>
      <w:r>
        <w:rPr>
          <w:rFonts w:hint="eastAsia"/>
          <w:color w:val="000000"/>
        </w:rPr>
        <w:t>安全员</w:t>
      </w:r>
      <w:r>
        <w:rPr>
          <w:rFonts w:hint="eastAsia"/>
          <w:color w:val="000000"/>
          <w:lang w:eastAsia="zh-CN"/>
        </w:rPr>
        <w:t>、</w:t>
      </w:r>
      <w:r>
        <w:rPr>
          <w:rFonts w:hint="eastAsia"/>
          <w:color w:val="000000"/>
        </w:rPr>
        <w:t>操作人员、维护保养人员和服务人员</w:t>
      </w:r>
      <w:r>
        <w:rPr>
          <w:rFonts w:hint="eastAsia"/>
          <w:color w:val="000000"/>
          <w:lang w:eastAsia="zh-CN"/>
        </w:rPr>
        <w:t>及其相应的培训内容</w:t>
      </w:r>
      <w:r>
        <w:rPr>
          <w:rFonts w:hint="eastAsia"/>
        </w:rPr>
        <w:t>（见</w:t>
      </w:r>
      <w:r>
        <w:rPr>
          <w:rFonts w:hint="eastAsia"/>
          <w:lang w:val="en-US" w:eastAsia="zh-CN"/>
        </w:rPr>
        <w:t>4.3.4</w:t>
      </w:r>
      <w:r>
        <w:rPr>
          <w:rFonts w:hint="eastAsia"/>
        </w:rPr>
        <w:t>）</w:t>
      </w:r>
      <w:r>
        <w:rPr>
          <w:rFonts w:hint="eastAsia"/>
          <w:lang w:val="en-US" w:eastAsia="zh-CN"/>
        </w:rPr>
        <w:t>；</w:t>
      </w:r>
    </w:p>
    <w:p>
      <w:pPr>
        <w:pStyle w:val="155"/>
        <w:rPr>
          <w:rFonts w:hint="default"/>
          <w:lang w:val="en-US" w:eastAsia="zh-CN"/>
        </w:rPr>
      </w:pPr>
      <w:r>
        <w:rPr>
          <w:rFonts w:hint="eastAsia"/>
          <w:lang w:val="en-US" w:eastAsia="zh-CN"/>
        </w:rPr>
        <w:t>更改了实施安全评估活动的主体（</w:t>
      </w:r>
      <w:r>
        <w:rPr>
          <w:rFonts w:hint="eastAsia"/>
        </w:rPr>
        <w:t>见</w:t>
      </w:r>
      <w:r>
        <w:rPr>
          <w:rFonts w:hint="eastAsia"/>
          <w:lang w:val="en-US" w:eastAsia="zh-CN"/>
        </w:rPr>
        <w:t>4.4.1</w:t>
      </w:r>
      <w:r>
        <w:rPr>
          <w:rFonts w:hint="eastAsia"/>
        </w:rPr>
        <w:t>，20</w:t>
      </w:r>
      <w:r>
        <w:rPr>
          <w:rFonts w:hint="eastAsia"/>
          <w:lang w:val="en-US" w:eastAsia="zh-CN"/>
        </w:rPr>
        <w:t>22</w:t>
      </w:r>
      <w:r>
        <w:rPr>
          <w:rFonts w:hint="eastAsia"/>
        </w:rPr>
        <w:t>版</w:t>
      </w:r>
      <w:r>
        <w:rPr>
          <w:rFonts w:hint="eastAsia"/>
          <w:lang w:val="en-US" w:eastAsia="zh-CN"/>
        </w:rPr>
        <w:t>4.3.1）；</w:t>
      </w:r>
    </w:p>
    <w:p>
      <w:pPr>
        <w:pStyle w:val="155"/>
        <w:rPr>
          <w:rFonts w:hint="default"/>
          <w:lang w:val="en-US" w:eastAsia="zh-CN"/>
        </w:rPr>
      </w:pPr>
      <w:r>
        <w:rPr>
          <w:rFonts w:hint="eastAsia"/>
          <w:lang w:val="en-US" w:eastAsia="zh-CN"/>
        </w:rPr>
        <w:t>规范了“寿命”的表述（更改为“期限”），增加了</w:t>
      </w:r>
      <w:r>
        <w:rPr>
          <w:rFonts w:hint="eastAsia" w:ascii="Times New Roman"/>
          <w:color w:val="000000"/>
          <w:szCs w:val="21"/>
        </w:rPr>
        <w:t>主要受力部件达到设计使用期限要求</w:t>
      </w:r>
      <w:r>
        <w:rPr>
          <w:rFonts w:hint="eastAsia" w:ascii="Times New Roman"/>
          <w:color w:val="000000"/>
          <w:szCs w:val="21"/>
          <w:lang w:eastAsia="zh-CN"/>
        </w:rPr>
        <w:t>的规定</w:t>
      </w:r>
      <w:r>
        <w:rPr>
          <w:rFonts w:hint="eastAsia"/>
          <w:lang w:val="en-US" w:eastAsia="zh-CN"/>
        </w:rPr>
        <w:t>（</w:t>
      </w:r>
      <w:r>
        <w:rPr>
          <w:rFonts w:hint="eastAsia"/>
        </w:rPr>
        <w:t>见</w:t>
      </w:r>
      <w:r>
        <w:rPr>
          <w:rFonts w:hint="eastAsia"/>
          <w:lang w:val="en-US" w:eastAsia="zh-CN"/>
        </w:rPr>
        <w:t>4.4.2</w:t>
      </w:r>
      <w:r>
        <w:rPr>
          <w:rFonts w:hint="eastAsia"/>
        </w:rPr>
        <w:t>，20</w:t>
      </w:r>
      <w:r>
        <w:rPr>
          <w:rFonts w:hint="eastAsia"/>
          <w:lang w:val="en-US" w:eastAsia="zh-CN"/>
        </w:rPr>
        <w:t>22</w:t>
      </w:r>
      <w:r>
        <w:rPr>
          <w:rFonts w:hint="eastAsia"/>
        </w:rPr>
        <w:t>版</w:t>
      </w:r>
      <w:r>
        <w:rPr>
          <w:rFonts w:hint="eastAsia"/>
          <w:lang w:val="en-US" w:eastAsia="zh-CN"/>
        </w:rPr>
        <w:t>4.3.2）；</w:t>
      </w:r>
    </w:p>
    <w:p>
      <w:pPr>
        <w:pStyle w:val="155"/>
        <w:rPr>
          <w:rFonts w:hint="default"/>
          <w:lang w:val="en-US" w:eastAsia="zh-CN"/>
        </w:rPr>
      </w:pPr>
      <w:r>
        <w:rPr>
          <w:rFonts w:hint="eastAsia"/>
          <w:lang w:val="en-US" w:eastAsia="zh-CN"/>
        </w:rPr>
        <w:t>增加了大型游乐设施停止运行的风速等天气条件（</w:t>
      </w:r>
      <w:r>
        <w:rPr>
          <w:rFonts w:hint="eastAsia"/>
        </w:rPr>
        <w:t>见</w:t>
      </w:r>
      <w:r>
        <w:rPr>
          <w:rFonts w:hint="eastAsia"/>
          <w:lang w:val="en-US" w:eastAsia="zh-CN"/>
        </w:rPr>
        <w:t>4.4.3</w:t>
      </w:r>
      <w:r>
        <w:rPr>
          <w:rFonts w:hint="eastAsia"/>
        </w:rPr>
        <w:t>，20</w:t>
      </w:r>
      <w:r>
        <w:rPr>
          <w:rFonts w:hint="eastAsia"/>
          <w:lang w:val="en-US" w:eastAsia="zh-CN"/>
        </w:rPr>
        <w:t>22</w:t>
      </w:r>
      <w:r>
        <w:rPr>
          <w:rFonts w:hint="eastAsia"/>
        </w:rPr>
        <w:t>版</w:t>
      </w:r>
      <w:r>
        <w:rPr>
          <w:rFonts w:hint="eastAsia"/>
          <w:lang w:val="en-US" w:eastAsia="zh-CN"/>
        </w:rPr>
        <w:t>4.3.3）；</w:t>
      </w:r>
    </w:p>
    <w:p>
      <w:pPr>
        <w:pStyle w:val="155"/>
        <w:rPr>
          <w:rFonts w:hint="default"/>
          <w:lang w:val="en-US" w:eastAsia="zh-CN"/>
        </w:rPr>
      </w:pPr>
      <w:r>
        <w:rPr>
          <w:rFonts w:hint="eastAsia"/>
          <w:lang w:val="en-US" w:eastAsia="zh-CN"/>
        </w:rPr>
        <w:t>更改了视频监控的供电线路属性，增加了视频监控记录的内容（</w:t>
      </w:r>
      <w:r>
        <w:rPr>
          <w:rFonts w:hint="eastAsia"/>
        </w:rPr>
        <w:t>见</w:t>
      </w:r>
      <w:r>
        <w:rPr>
          <w:rFonts w:hint="eastAsia"/>
          <w:lang w:val="en-US" w:eastAsia="zh-CN"/>
        </w:rPr>
        <w:t>4.4.8</w:t>
      </w:r>
      <w:r>
        <w:rPr>
          <w:rFonts w:hint="eastAsia"/>
        </w:rPr>
        <w:t>，20</w:t>
      </w:r>
      <w:r>
        <w:rPr>
          <w:rFonts w:hint="eastAsia"/>
          <w:lang w:val="en-US" w:eastAsia="zh-CN"/>
        </w:rPr>
        <w:t>22</w:t>
      </w:r>
      <w:r>
        <w:rPr>
          <w:rFonts w:hint="eastAsia"/>
        </w:rPr>
        <w:t>版</w:t>
      </w:r>
      <w:r>
        <w:rPr>
          <w:rFonts w:hint="eastAsia"/>
          <w:lang w:val="en-US" w:eastAsia="zh-CN"/>
        </w:rPr>
        <w:t>4.3.8）；</w:t>
      </w:r>
    </w:p>
    <w:p>
      <w:pPr>
        <w:pStyle w:val="155"/>
        <w:rPr>
          <w:rFonts w:hint="default"/>
          <w:lang w:val="en-US" w:eastAsia="zh-CN"/>
        </w:rPr>
      </w:pPr>
      <w:r>
        <w:rPr>
          <w:rFonts w:hint="eastAsia"/>
          <w:lang w:val="en-US" w:eastAsia="zh-CN"/>
        </w:rPr>
        <w:t>增加了运营使用单位在设备运行准备阶段、运行过程的义务（</w:t>
      </w:r>
      <w:r>
        <w:rPr>
          <w:rFonts w:hint="eastAsia"/>
        </w:rPr>
        <w:t>见</w:t>
      </w:r>
      <w:r>
        <w:rPr>
          <w:rFonts w:hint="eastAsia"/>
          <w:lang w:val="en-US" w:eastAsia="zh-CN"/>
        </w:rPr>
        <w:t>4.4.15、4.4.16）；</w:t>
      </w:r>
    </w:p>
    <w:p>
      <w:pPr>
        <w:pStyle w:val="155"/>
        <w:rPr>
          <w:rFonts w:hint="default"/>
          <w:lang w:val="en-US" w:eastAsia="zh-CN"/>
        </w:rPr>
      </w:pPr>
      <w:r>
        <w:rPr>
          <w:rFonts w:hint="eastAsia"/>
          <w:lang w:val="en-US" w:eastAsia="zh-CN"/>
        </w:rPr>
        <w:t>增加了运营使用单位配合监管需求、制造单位回访等有关要求（见4.4.17、4.4.18）；</w:t>
      </w:r>
    </w:p>
    <w:p>
      <w:pPr>
        <w:pStyle w:val="155"/>
        <w:rPr>
          <w:rFonts w:hint="default"/>
          <w:lang w:val="en-US" w:eastAsia="zh-CN"/>
        </w:rPr>
      </w:pPr>
      <w:r>
        <w:rPr>
          <w:rFonts w:hint="eastAsia"/>
          <w:lang w:val="en-US" w:eastAsia="zh-CN"/>
        </w:rPr>
        <w:t>增加了</w:t>
      </w:r>
      <w:r>
        <w:rPr>
          <w:rFonts w:hint="eastAsia" w:hAnsi="宋体" w:cs="宋体"/>
          <w:color w:val="000000"/>
          <w:szCs w:val="21"/>
        </w:rPr>
        <w:t>应急救援难度较大的大型游乐设施</w:t>
      </w:r>
      <w:r>
        <w:rPr>
          <w:rFonts w:hint="eastAsia" w:hAnsi="宋体" w:cs="宋体"/>
          <w:color w:val="000000"/>
          <w:szCs w:val="21"/>
          <w:lang w:eastAsia="zh-CN"/>
        </w:rPr>
        <w:t>救援机制的规定</w:t>
      </w:r>
      <w:r>
        <w:rPr>
          <w:rFonts w:hint="eastAsia"/>
          <w:lang w:val="en-US" w:eastAsia="zh-CN"/>
        </w:rPr>
        <w:t>（</w:t>
      </w:r>
      <w:r>
        <w:rPr>
          <w:rFonts w:hint="eastAsia"/>
        </w:rPr>
        <w:t>见</w:t>
      </w:r>
      <w:r>
        <w:rPr>
          <w:rFonts w:hint="eastAsia"/>
          <w:lang w:val="en-US" w:eastAsia="zh-CN"/>
        </w:rPr>
        <w:t>4.5.3</w:t>
      </w:r>
      <w:r>
        <w:rPr>
          <w:rFonts w:hint="eastAsia"/>
        </w:rPr>
        <w:t>，20</w:t>
      </w:r>
      <w:r>
        <w:rPr>
          <w:rFonts w:hint="eastAsia"/>
          <w:lang w:val="en-US" w:eastAsia="zh-CN"/>
        </w:rPr>
        <w:t>22</w:t>
      </w:r>
      <w:r>
        <w:rPr>
          <w:rFonts w:hint="eastAsia"/>
        </w:rPr>
        <w:t>版</w:t>
      </w:r>
      <w:r>
        <w:rPr>
          <w:rFonts w:hint="eastAsia"/>
          <w:lang w:val="en-US" w:eastAsia="zh-CN"/>
        </w:rPr>
        <w:t>4.4.4）；</w:t>
      </w:r>
    </w:p>
    <w:p>
      <w:pPr>
        <w:pStyle w:val="155"/>
        <w:rPr>
          <w:rFonts w:hint="default"/>
          <w:lang w:val="en-US" w:eastAsia="zh-CN"/>
        </w:rPr>
      </w:pPr>
      <w:r>
        <w:rPr>
          <w:rFonts w:hint="eastAsia"/>
          <w:lang w:val="en-US" w:eastAsia="zh-CN"/>
        </w:rPr>
        <w:t>增加了</w:t>
      </w:r>
      <w:r>
        <w:rPr>
          <w:rFonts w:hint="eastAsia" w:hAnsi="宋体" w:cs="宋体"/>
          <w:color w:val="000000"/>
          <w:szCs w:val="21"/>
        </w:rPr>
        <w:t>易损件</w:t>
      </w:r>
      <w:r>
        <w:rPr>
          <w:rFonts w:hint="eastAsia" w:hAnsi="宋体" w:cs="宋体"/>
          <w:color w:val="000000"/>
          <w:szCs w:val="21"/>
          <w:lang w:eastAsia="zh-CN"/>
        </w:rPr>
        <w:t>更换的适用情形和依据</w:t>
      </w:r>
      <w:r>
        <w:rPr>
          <w:rFonts w:hint="eastAsia"/>
          <w:lang w:val="en-US" w:eastAsia="zh-CN"/>
        </w:rPr>
        <w:t>（</w:t>
      </w:r>
      <w:r>
        <w:rPr>
          <w:rFonts w:hint="eastAsia"/>
        </w:rPr>
        <w:t>见</w:t>
      </w:r>
      <w:r>
        <w:rPr>
          <w:rFonts w:hint="eastAsia"/>
          <w:lang w:val="en-US" w:eastAsia="zh-CN"/>
        </w:rPr>
        <w:t>5.1.1</w:t>
      </w:r>
      <w:r>
        <w:rPr>
          <w:rFonts w:hint="eastAsia"/>
        </w:rPr>
        <w:t>，20</w:t>
      </w:r>
      <w:r>
        <w:rPr>
          <w:rFonts w:hint="eastAsia"/>
          <w:lang w:val="en-US" w:eastAsia="zh-CN"/>
        </w:rPr>
        <w:t>22</w:t>
      </w:r>
      <w:r>
        <w:rPr>
          <w:rFonts w:hint="eastAsia"/>
        </w:rPr>
        <w:t>版</w:t>
      </w:r>
      <w:r>
        <w:rPr>
          <w:rFonts w:hint="eastAsia"/>
          <w:lang w:val="en-US" w:eastAsia="zh-CN"/>
        </w:rPr>
        <w:t>5.1.1）；</w:t>
      </w:r>
    </w:p>
    <w:p>
      <w:pPr>
        <w:pStyle w:val="155"/>
        <w:rPr>
          <w:rFonts w:hint="default"/>
          <w:lang w:val="en-US" w:eastAsia="zh-CN"/>
        </w:rPr>
      </w:pPr>
      <w:r>
        <w:rPr>
          <w:rFonts w:hint="eastAsia"/>
          <w:lang w:val="en-US" w:eastAsia="zh-CN"/>
        </w:rPr>
        <w:t>增加了维护保养现场特种作业类型和监护、作业仪器设备需要检定或校准的规定，更改了“严重事故隐患”术语的规范表述（</w:t>
      </w:r>
      <w:r>
        <w:rPr>
          <w:rFonts w:hint="eastAsia"/>
        </w:rPr>
        <w:t>见</w:t>
      </w:r>
      <w:r>
        <w:rPr>
          <w:rFonts w:hint="eastAsia"/>
          <w:lang w:val="en-US" w:eastAsia="zh-CN"/>
        </w:rPr>
        <w:t>5.1.3</w:t>
      </w:r>
      <w:r>
        <w:rPr>
          <w:rFonts w:hint="eastAsia"/>
        </w:rPr>
        <w:t>，20</w:t>
      </w:r>
      <w:r>
        <w:rPr>
          <w:rFonts w:hint="eastAsia"/>
          <w:lang w:val="en-US" w:eastAsia="zh-CN"/>
        </w:rPr>
        <w:t>22</w:t>
      </w:r>
      <w:r>
        <w:rPr>
          <w:rFonts w:hint="eastAsia"/>
        </w:rPr>
        <w:t>版</w:t>
      </w:r>
      <w:r>
        <w:rPr>
          <w:rFonts w:hint="eastAsia"/>
          <w:lang w:val="en-US" w:eastAsia="zh-CN"/>
        </w:rPr>
        <w:t>5.1.3）；</w:t>
      </w:r>
    </w:p>
    <w:p>
      <w:pPr>
        <w:pStyle w:val="155"/>
        <w:rPr>
          <w:rFonts w:hint="default"/>
          <w:lang w:val="en-US" w:eastAsia="zh-CN"/>
        </w:rPr>
      </w:pPr>
      <w:r>
        <w:rPr>
          <w:rFonts w:hint="eastAsia"/>
          <w:lang w:val="en-US" w:eastAsia="zh-CN"/>
        </w:rPr>
        <w:t>更改了现场维护保养作业人员持证的规定（</w:t>
      </w:r>
      <w:r>
        <w:rPr>
          <w:rFonts w:hint="eastAsia"/>
        </w:rPr>
        <w:t>见</w:t>
      </w:r>
      <w:r>
        <w:rPr>
          <w:rFonts w:hint="eastAsia"/>
          <w:lang w:val="en-US" w:eastAsia="zh-CN"/>
        </w:rPr>
        <w:t>5.1.4</w:t>
      </w:r>
      <w:r>
        <w:rPr>
          <w:rFonts w:hint="eastAsia"/>
        </w:rPr>
        <w:t>，20</w:t>
      </w:r>
      <w:r>
        <w:rPr>
          <w:rFonts w:hint="eastAsia"/>
          <w:lang w:val="en-US" w:eastAsia="zh-CN"/>
        </w:rPr>
        <w:t>22</w:t>
      </w:r>
      <w:r>
        <w:rPr>
          <w:rFonts w:hint="eastAsia"/>
        </w:rPr>
        <w:t>版</w:t>
      </w:r>
      <w:r>
        <w:rPr>
          <w:rFonts w:hint="eastAsia"/>
          <w:lang w:val="en-US" w:eastAsia="zh-CN"/>
        </w:rPr>
        <w:t>5.1.4）；</w:t>
      </w:r>
    </w:p>
    <w:p>
      <w:pPr>
        <w:pStyle w:val="155"/>
        <w:rPr>
          <w:rFonts w:hint="default"/>
          <w:lang w:val="en-US" w:eastAsia="zh-CN"/>
        </w:rPr>
      </w:pPr>
      <w:r>
        <w:rPr>
          <w:rFonts w:hint="eastAsia"/>
          <w:lang w:val="en-US" w:eastAsia="zh-CN"/>
        </w:rPr>
        <w:t>增加了</w:t>
      </w:r>
      <w:r>
        <w:rPr>
          <w:rFonts w:hint="eastAsia" w:hAnsi="宋体" w:cs="宋体"/>
          <w:color w:val="000000"/>
          <w:szCs w:val="21"/>
        </w:rPr>
        <w:t>单车滑行车系列和多车滑行车系列的A级设备</w:t>
      </w:r>
      <w:r>
        <w:rPr>
          <w:rFonts w:hint="eastAsia" w:hAnsi="宋体" w:cs="宋体"/>
          <w:color w:val="000000"/>
          <w:szCs w:val="21"/>
          <w:lang w:eastAsia="zh-CN"/>
        </w:rPr>
        <w:t>在日常使用环节的测试和检查的内容</w:t>
      </w:r>
      <w:r>
        <w:rPr>
          <w:rFonts w:hint="eastAsia"/>
          <w:lang w:val="en-US" w:eastAsia="zh-CN"/>
        </w:rPr>
        <w:t>（</w:t>
      </w:r>
      <w:r>
        <w:rPr>
          <w:rFonts w:hint="eastAsia"/>
        </w:rPr>
        <w:t>见</w:t>
      </w:r>
      <w:r>
        <w:rPr>
          <w:rFonts w:hint="eastAsia"/>
          <w:lang w:val="en-US" w:eastAsia="zh-CN"/>
        </w:rPr>
        <w:t>5.1.13</w:t>
      </w:r>
      <w:r>
        <w:rPr>
          <w:rFonts w:hint="eastAsia"/>
        </w:rPr>
        <w:t>，20</w:t>
      </w:r>
      <w:r>
        <w:rPr>
          <w:rFonts w:hint="eastAsia"/>
          <w:lang w:val="en-US" w:eastAsia="zh-CN"/>
        </w:rPr>
        <w:t>22</w:t>
      </w:r>
      <w:r>
        <w:rPr>
          <w:rFonts w:hint="eastAsia"/>
        </w:rPr>
        <w:t>版</w:t>
      </w:r>
      <w:r>
        <w:rPr>
          <w:rFonts w:hint="eastAsia"/>
          <w:lang w:val="en-US" w:eastAsia="zh-CN"/>
        </w:rPr>
        <w:t>5.1.13）；</w:t>
      </w:r>
    </w:p>
    <w:p>
      <w:pPr>
        <w:pStyle w:val="155"/>
        <w:rPr>
          <w:rFonts w:hint="default"/>
          <w:lang w:val="en-US" w:eastAsia="zh-CN"/>
        </w:rPr>
      </w:pPr>
      <w:r>
        <w:rPr>
          <w:rFonts w:hint="eastAsia"/>
          <w:lang w:val="en-US" w:eastAsia="zh-CN"/>
        </w:rPr>
        <w:t>增加了安全保护装置和防护措施的规定（</w:t>
      </w:r>
      <w:r>
        <w:rPr>
          <w:rFonts w:hint="eastAsia"/>
        </w:rPr>
        <w:t>见</w:t>
      </w:r>
      <w:r>
        <w:rPr>
          <w:rFonts w:hint="eastAsia"/>
          <w:lang w:val="en-US" w:eastAsia="zh-CN"/>
        </w:rPr>
        <w:t>5.2.10</w:t>
      </w:r>
      <w:r>
        <w:rPr>
          <w:rFonts w:hint="eastAsia"/>
        </w:rPr>
        <w:t>，20</w:t>
      </w:r>
      <w:r>
        <w:rPr>
          <w:rFonts w:hint="eastAsia"/>
          <w:lang w:val="en-US" w:eastAsia="zh-CN"/>
        </w:rPr>
        <w:t>22</w:t>
      </w:r>
      <w:r>
        <w:rPr>
          <w:rFonts w:hint="eastAsia"/>
        </w:rPr>
        <w:t>版</w:t>
      </w:r>
      <w:r>
        <w:rPr>
          <w:rFonts w:hint="eastAsia"/>
          <w:lang w:val="en-US" w:eastAsia="zh-CN"/>
        </w:rPr>
        <w:t>5.2.10）；</w:t>
      </w:r>
    </w:p>
    <w:p>
      <w:pPr>
        <w:pStyle w:val="155"/>
        <w:rPr>
          <w:rFonts w:hint="default"/>
          <w:lang w:val="en-US" w:eastAsia="zh-CN"/>
        </w:rPr>
      </w:pPr>
      <w:r>
        <w:rPr>
          <w:rFonts w:hint="eastAsia"/>
          <w:lang w:val="en-US" w:eastAsia="zh-CN"/>
        </w:rPr>
        <w:t>增加了水上游乐设施滑具规定（</w:t>
      </w:r>
      <w:r>
        <w:rPr>
          <w:rFonts w:hint="eastAsia"/>
        </w:rPr>
        <w:t>见</w:t>
      </w:r>
      <w:r>
        <w:rPr>
          <w:rFonts w:hint="eastAsia"/>
          <w:lang w:val="en-US" w:eastAsia="zh-CN"/>
        </w:rPr>
        <w:t>5.2.12</w:t>
      </w:r>
      <w:r>
        <w:rPr>
          <w:rFonts w:hint="eastAsia"/>
        </w:rPr>
        <w:t>，20</w:t>
      </w:r>
      <w:r>
        <w:rPr>
          <w:rFonts w:hint="eastAsia"/>
          <w:lang w:val="en-US" w:eastAsia="zh-CN"/>
        </w:rPr>
        <w:t>22</w:t>
      </w:r>
      <w:r>
        <w:rPr>
          <w:rFonts w:hint="eastAsia"/>
        </w:rPr>
        <w:t>版</w:t>
      </w:r>
      <w:r>
        <w:rPr>
          <w:rFonts w:hint="eastAsia"/>
          <w:lang w:val="en-US" w:eastAsia="zh-CN"/>
        </w:rPr>
        <w:t>5.2.12）；；</w:t>
      </w:r>
    </w:p>
    <w:p>
      <w:pPr>
        <w:pStyle w:val="155"/>
        <w:rPr>
          <w:rFonts w:hint="eastAsia"/>
          <w:color w:val="000000"/>
        </w:rPr>
      </w:pPr>
      <w:r>
        <w:rPr>
          <w:rFonts w:hint="eastAsia"/>
          <w:lang w:val="en-US" w:eastAsia="zh-CN"/>
        </w:rPr>
        <w:t>更改了“使用登记证编号”（设备代码/注册代码/使用登记证编号），增加了“主要负责人”、“安全总监”和“安全员”（</w:t>
      </w:r>
      <w:r>
        <w:rPr>
          <w:rFonts w:hint="eastAsia"/>
        </w:rPr>
        <w:t>见</w:t>
      </w:r>
      <w:r>
        <w:rPr>
          <w:rFonts w:hint="eastAsia"/>
          <w:lang w:val="en-US" w:eastAsia="zh-CN"/>
        </w:rPr>
        <w:t>附录A、B、C、D）；</w:t>
      </w:r>
    </w:p>
    <w:p>
      <w:pPr>
        <w:pStyle w:val="155"/>
        <w:rPr>
          <w:rFonts w:hint="eastAsia"/>
          <w:color w:val="000000" w:themeColor="text1"/>
          <w14:textFill>
            <w14:solidFill>
              <w14:schemeClr w14:val="tx1"/>
            </w14:solidFill>
          </w14:textFill>
        </w:rPr>
      </w:pPr>
      <w:r>
        <w:rPr>
          <w:rFonts w:hint="eastAsia"/>
          <w:lang w:val="en-US" w:eastAsia="zh-CN"/>
        </w:rPr>
        <w:t>增加了附录E（</w:t>
      </w:r>
      <w:r>
        <w:rPr>
          <w:rFonts w:hint="eastAsia"/>
        </w:rPr>
        <w:t>见</w:t>
      </w:r>
      <w:r>
        <w:rPr>
          <w:rFonts w:hint="eastAsia"/>
          <w:lang w:val="en-US" w:eastAsia="zh-CN"/>
        </w:rPr>
        <w:t>附录E.1、E.2、E.3、E.4）。</w:t>
      </w:r>
    </w:p>
    <w:p>
      <w:pPr>
        <w:pStyle w:val="44"/>
        <w:ind w:firstLine="840" w:firstLineChars="400"/>
        <w:rPr>
          <w:color w:val="000000" w:themeColor="text1"/>
          <w14:textFill>
            <w14:solidFill>
              <w14:schemeClr w14:val="tx1"/>
            </w14:solidFill>
          </w14:textFill>
        </w:rPr>
      </w:pPr>
      <w:r>
        <w:rPr>
          <w:rFonts w:hint="eastAsia"/>
          <w:color w:val="000000" w:themeColor="text1"/>
          <w14:textFill>
            <w14:solidFill>
              <w14:schemeClr w14:val="tx1"/>
            </w14:solidFill>
          </w14:textFill>
        </w:rPr>
        <w:t>本文件由</w:t>
      </w:r>
      <w:r>
        <w:rPr>
          <w:rFonts w:hint="eastAsia"/>
          <w:color w:val="000000" w:themeColor="text1"/>
          <w:lang w:eastAsia="zh-CN"/>
          <w14:textFill>
            <w14:solidFill>
              <w14:schemeClr w14:val="tx1"/>
            </w14:solidFill>
          </w14:textFill>
        </w:rPr>
        <w:t>河北省市场监督管理局</w:t>
      </w:r>
      <w:r>
        <w:rPr>
          <w:rFonts w:hint="eastAsia"/>
          <w:color w:val="000000" w:themeColor="text1"/>
          <w14:textFill>
            <w14:solidFill>
              <w14:schemeClr w14:val="tx1"/>
            </w14:solidFill>
          </w14:textFill>
        </w:rPr>
        <w:t>提出并归口。</w:t>
      </w:r>
    </w:p>
    <w:p>
      <w:pPr>
        <w:pStyle w:val="44"/>
        <w:ind w:firstLine="840" w:firstLineChars="400"/>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本文件起草单位：</w:t>
      </w:r>
      <w:r>
        <w:rPr>
          <w:rFonts w:hint="eastAsia"/>
          <w:color w:val="000000" w:themeColor="text1"/>
          <w:lang w:val="en-US" w:eastAsia="zh-CN"/>
          <w14:textFill>
            <w14:solidFill>
              <w14:schemeClr w14:val="tx1"/>
            </w14:solidFill>
          </w14:textFill>
        </w:rPr>
        <w:t>河北省特种设备监督检验研究院</w:t>
      </w:r>
      <w:bookmarkStart w:id="123" w:name="_GoBack"/>
      <w:bookmarkEnd w:id="123"/>
    </w:p>
    <w:p>
      <w:pPr>
        <w:pStyle w:val="44"/>
        <w:ind w:firstLine="420"/>
        <w:rPr>
          <w:rFonts w:hint="eastAsia"/>
          <w:color w:val="000000" w:themeColor="text1"/>
          <w14:textFill>
            <w14:solidFill>
              <w14:schemeClr w14:val="tx1"/>
            </w14:solidFill>
          </w14:textFill>
        </w:rPr>
      </w:pPr>
    </w:p>
    <w:p>
      <w:pPr>
        <w:pStyle w:val="44"/>
        <w:ind w:firstLine="840" w:firstLineChars="400"/>
        <w:rPr>
          <w:color w:val="000000" w:themeColor="text1"/>
          <w14:textFill>
            <w14:solidFill>
              <w14:schemeClr w14:val="tx1"/>
            </w14:solidFill>
          </w14:textFill>
        </w:rPr>
      </w:pPr>
      <w:r>
        <w:rPr>
          <w:rFonts w:hint="eastAsia"/>
          <w:color w:val="000000" w:themeColor="text1"/>
          <w14:textFill>
            <w14:solidFill>
              <w14:schemeClr w14:val="tx1"/>
            </w14:solidFill>
          </w14:textFill>
        </w:rPr>
        <w:t>本文件主要起草人：</w:t>
      </w:r>
    </w:p>
    <w:bookmarkEnd w:id="26"/>
    <w:p>
      <w:pPr>
        <w:pStyle w:val="75"/>
        <w:spacing w:after="468"/>
        <w:rPr>
          <w:color w:val="000000" w:themeColor="text1"/>
          <w14:textFill>
            <w14:solidFill>
              <w14:schemeClr w14:val="tx1"/>
            </w14:solidFill>
          </w14:textFill>
        </w:rPr>
      </w:pPr>
      <w:bookmarkStart w:id="27" w:name="_Toc94252718"/>
      <w:bookmarkStart w:id="28" w:name="BookMark3"/>
    </w:p>
    <w:p>
      <w:pPr>
        <w:pStyle w:val="75"/>
        <w:spacing w:after="468"/>
        <w:rPr>
          <w:color w:val="000000" w:themeColor="text1"/>
          <w14:textFill>
            <w14:solidFill>
              <w14:schemeClr w14:val="tx1"/>
            </w14:solidFill>
          </w14:textFill>
        </w:rPr>
      </w:pPr>
    </w:p>
    <w:p>
      <w:pPr>
        <w:pStyle w:val="75"/>
        <w:spacing w:after="468"/>
        <w:rPr>
          <w:color w:val="000000" w:themeColor="text1"/>
          <w14:textFill>
            <w14:solidFill>
              <w14:schemeClr w14:val="tx1"/>
            </w14:solidFill>
          </w14:textFill>
        </w:rPr>
      </w:pPr>
    </w:p>
    <w:p>
      <w:pPr>
        <w:pStyle w:val="75"/>
        <w:spacing w:after="468"/>
        <w:rPr>
          <w:color w:val="000000" w:themeColor="text1"/>
          <w14:textFill>
            <w14:solidFill>
              <w14:schemeClr w14:val="tx1"/>
            </w14:solidFill>
          </w14:textFill>
        </w:rPr>
      </w:pPr>
    </w:p>
    <w:p>
      <w:pPr>
        <w:pStyle w:val="75"/>
        <w:spacing w:after="468"/>
        <w:rPr>
          <w:color w:val="000000" w:themeColor="text1"/>
          <w14:textFill>
            <w14:solidFill>
              <w14:schemeClr w14:val="tx1"/>
            </w14:solidFill>
          </w14:textFill>
        </w:rPr>
      </w:pPr>
    </w:p>
    <w:p>
      <w:pPr>
        <w:pStyle w:val="75"/>
        <w:spacing w:after="468"/>
        <w:rPr>
          <w:color w:val="000000" w:themeColor="text1"/>
          <w14:textFill>
            <w14:solidFill>
              <w14:schemeClr w14:val="tx1"/>
            </w14:solidFill>
          </w14:textFill>
        </w:rPr>
      </w:pPr>
    </w:p>
    <w:p>
      <w:pPr>
        <w:pStyle w:val="75"/>
        <w:spacing w:after="468"/>
        <w:rPr>
          <w:color w:val="000000" w:themeColor="text1"/>
          <w14:textFill>
            <w14:solidFill>
              <w14:schemeClr w14:val="tx1"/>
            </w14:solidFill>
          </w14:textFill>
        </w:rPr>
      </w:pPr>
    </w:p>
    <w:p>
      <w:pPr>
        <w:pStyle w:val="75"/>
        <w:numPr>
          <w:ilvl w:val="0"/>
          <w:numId w:val="0"/>
        </w:numPr>
        <w:spacing w:after="468"/>
        <w:ind w:leftChars="0"/>
        <w:jc w:val="both"/>
        <w:rPr>
          <w:color w:val="000000" w:themeColor="text1"/>
          <w14:textFill>
            <w14:solidFill>
              <w14:schemeClr w14:val="tx1"/>
            </w14:solidFill>
          </w14:textFill>
        </w:rPr>
      </w:pPr>
    </w:p>
    <w:p>
      <w:pPr>
        <w:pStyle w:val="75"/>
        <w:spacing w:after="468"/>
        <w:rPr>
          <w:color w:val="000000" w:themeColor="text1"/>
          <w14:textFill>
            <w14:solidFill>
              <w14:schemeClr w14:val="tx1"/>
            </w14:solidFill>
          </w14:textFill>
        </w:rPr>
      </w:pPr>
    </w:p>
    <w:p>
      <w:pPr>
        <w:pStyle w:val="75"/>
        <w:spacing w:after="468"/>
        <w:rPr>
          <w:color w:val="000000" w:themeColor="text1"/>
          <w14:textFill>
            <w14:solidFill>
              <w14:schemeClr w14:val="tx1"/>
            </w14:solidFill>
          </w14:textFill>
        </w:rPr>
      </w:pPr>
    </w:p>
    <w:p>
      <w:pPr>
        <w:pStyle w:val="75"/>
        <w:spacing w:after="468"/>
        <w:rPr>
          <w:color w:val="000000" w:themeColor="text1"/>
          <w14:textFill>
            <w14:solidFill>
              <w14:schemeClr w14:val="tx1"/>
            </w14:solidFill>
          </w14:textFill>
        </w:rPr>
      </w:pPr>
    </w:p>
    <w:p>
      <w:pPr>
        <w:pStyle w:val="75"/>
        <w:spacing w:after="468"/>
        <w:rPr>
          <w:color w:val="000000" w:themeColor="text1"/>
          <w14:textFill>
            <w14:solidFill>
              <w14:schemeClr w14:val="tx1"/>
            </w14:solidFill>
          </w14:textFill>
        </w:rPr>
      </w:pPr>
      <w:r>
        <w:rPr>
          <w:color w:val="000000" w:themeColor="text1"/>
          <w:spacing w:val="320"/>
          <w14:textFill>
            <w14:solidFill>
              <w14:schemeClr w14:val="tx1"/>
            </w14:solidFill>
          </w14:textFill>
        </w:rPr>
        <w:t>引</w:t>
      </w:r>
      <w:r>
        <w:rPr>
          <w:color w:val="000000" w:themeColor="text1"/>
          <w14:textFill>
            <w14:solidFill>
              <w14:schemeClr w14:val="tx1"/>
            </w14:solidFill>
          </w14:textFill>
        </w:rPr>
        <w:t>言</w:t>
      </w:r>
      <w:bookmarkEnd w:id="27"/>
    </w:p>
    <w:p>
      <w:pPr>
        <w:pStyle w:val="44"/>
        <w:ind w:firstLine="420"/>
        <w:rPr>
          <w:color w:val="000000" w:themeColor="text1"/>
          <w14:textFill>
            <w14:solidFill>
              <w14:schemeClr w14:val="tx1"/>
            </w14:solidFill>
          </w14:textFill>
        </w:rPr>
      </w:pPr>
      <w:r>
        <w:rPr>
          <w:rFonts w:hint="eastAsia" w:ascii="Times New Roman" w:hAnsi="宋体"/>
          <w:color w:val="000000" w:themeColor="text1"/>
          <w:szCs w:val="21"/>
          <w14:textFill>
            <w14:solidFill>
              <w14:schemeClr w14:val="tx1"/>
            </w14:solidFill>
          </w14:textFill>
        </w:rPr>
        <w:t>近年来，</w:t>
      </w:r>
      <w:r>
        <w:rPr>
          <w:rFonts w:ascii="Times New Roman" w:hAnsi="宋体"/>
          <w:color w:val="000000" w:themeColor="text1"/>
          <w:szCs w:val="21"/>
          <w14:textFill>
            <w14:solidFill>
              <w14:schemeClr w14:val="tx1"/>
            </w14:solidFill>
          </w14:textFill>
        </w:rPr>
        <w:t>京津冀区域旅游业发展迅猛，大型游乐设施作为旅游业支柱型产业之一</w:t>
      </w:r>
      <w:r>
        <w:rPr>
          <w:rFonts w:hint="eastAsia" w:ascii="Times New Roman" w:hAnsi="宋体"/>
          <w:color w:val="000000" w:themeColor="text1"/>
          <w:szCs w:val="21"/>
          <w14:textFill>
            <w14:solidFill>
              <w14:schemeClr w14:val="tx1"/>
            </w14:solidFill>
          </w14:textFill>
        </w:rPr>
        <w:t>，其</w:t>
      </w:r>
      <w:r>
        <w:rPr>
          <w:rFonts w:ascii="Times New Roman" w:hAnsi="宋体"/>
          <w:color w:val="000000" w:themeColor="text1"/>
          <w:szCs w:val="21"/>
          <w14:textFill>
            <w14:solidFill>
              <w14:schemeClr w14:val="tx1"/>
            </w14:solidFill>
          </w14:textFill>
        </w:rPr>
        <w:t>保有量也日益增多</w:t>
      </w:r>
      <w:r>
        <w:rPr>
          <w:rFonts w:hint="eastAsia" w:ascii="Times New Roman" w:hAnsi="宋体"/>
          <w:color w:val="000000" w:themeColor="text1"/>
          <w:szCs w:val="21"/>
          <w14:textFill>
            <w14:solidFill>
              <w14:schemeClr w14:val="tx1"/>
            </w14:solidFill>
          </w14:textFill>
        </w:rPr>
        <w:t>。</w:t>
      </w:r>
      <w:r>
        <w:rPr>
          <w:rFonts w:hint="eastAsia" w:ascii="Times New Roman" w:hAnsi="宋体"/>
          <w:color w:val="000000" w:themeColor="text1"/>
          <w14:textFill>
            <w14:solidFill>
              <w14:schemeClr w14:val="tx1"/>
            </w14:solidFill>
          </w14:textFill>
        </w:rPr>
        <w:t>为持续推进国家关于京津冀一体化协同发展战略实施，进一步贯彻落实</w:t>
      </w:r>
      <w:r>
        <w:rPr>
          <w:rFonts w:ascii="Times New Roman" w:hAnsi="宋体"/>
          <w:color w:val="000000" w:themeColor="text1"/>
          <w:szCs w:val="21"/>
          <w14:textFill>
            <w14:solidFill>
              <w14:schemeClr w14:val="tx1"/>
            </w14:solidFill>
          </w14:textFill>
        </w:rPr>
        <w:t>《质检总局关于加强京津冀区域质量合作的实施意见的通知》（国质检质</w:t>
      </w:r>
      <w:r>
        <w:rPr>
          <w:rFonts w:hint="eastAsia" w:ascii="Times New Roman" w:hAnsi="宋体"/>
          <w:color w:val="000000" w:themeColor="text1"/>
          <w14:textFill>
            <w14:solidFill>
              <w14:schemeClr w14:val="tx1"/>
            </w14:solidFill>
          </w14:textFill>
        </w:rPr>
        <w:t>〔2017〕</w:t>
      </w:r>
      <w:r>
        <w:rPr>
          <w:rFonts w:ascii="Times New Roman" w:hAnsi="宋体"/>
          <w:color w:val="000000" w:themeColor="text1"/>
          <w:szCs w:val="21"/>
          <w14:textFill>
            <w14:solidFill>
              <w14:schemeClr w14:val="tx1"/>
            </w14:solidFill>
          </w14:textFill>
        </w:rPr>
        <w:t>151号）等有关文件精神，加强京津冀特种设备领域质量安全发展合作，</w:t>
      </w:r>
      <w:r>
        <w:rPr>
          <w:rFonts w:hint="eastAsia" w:ascii="Times New Roman" w:hAnsi="宋体"/>
          <w:color w:val="000000" w:themeColor="text1"/>
          <w14:textFill>
            <w14:solidFill>
              <w14:schemeClr w14:val="tx1"/>
            </w14:solidFill>
          </w14:textFill>
        </w:rPr>
        <w:t>引导和规范大型游乐设施运营使用管理活动和维护保养作业，</w:t>
      </w:r>
      <w:r>
        <w:rPr>
          <w:rFonts w:hint="eastAsia" w:ascii="Times New Roman" w:hAnsi="宋体"/>
          <w:color w:val="000000" w:themeColor="text1"/>
          <w:szCs w:val="21"/>
          <w14:textFill>
            <w14:solidFill>
              <w14:schemeClr w14:val="tx1"/>
            </w14:solidFill>
          </w14:textFill>
        </w:rPr>
        <w:t>促进大型</w:t>
      </w:r>
      <w:r>
        <w:rPr>
          <w:rFonts w:ascii="Times New Roman" w:hAnsi="宋体"/>
          <w:color w:val="000000" w:themeColor="text1"/>
          <w:szCs w:val="21"/>
          <w14:textFill>
            <w14:solidFill>
              <w14:schemeClr w14:val="tx1"/>
            </w14:solidFill>
          </w14:textFill>
        </w:rPr>
        <w:t>游乐设施运营使用管理和</w:t>
      </w:r>
      <w:r>
        <w:rPr>
          <w:rFonts w:hint="eastAsia" w:ascii="Times New Roman" w:hAnsi="宋体"/>
          <w:color w:val="000000" w:themeColor="text1"/>
          <w:szCs w:val="21"/>
          <w14:textFill>
            <w14:solidFill>
              <w14:schemeClr w14:val="tx1"/>
            </w14:solidFill>
          </w14:textFill>
        </w:rPr>
        <w:t>维护保养工作有效开展，预防或</w:t>
      </w:r>
      <w:r>
        <w:rPr>
          <w:rFonts w:ascii="Times New Roman" w:hAnsi="宋体"/>
          <w:color w:val="000000" w:themeColor="text1"/>
          <w:szCs w:val="21"/>
          <w14:textFill>
            <w14:solidFill>
              <w14:schemeClr w14:val="tx1"/>
            </w14:solidFill>
          </w14:textFill>
        </w:rPr>
        <w:t>减少</w:t>
      </w:r>
      <w:r>
        <w:rPr>
          <w:rFonts w:hint="eastAsia" w:ascii="Times New Roman" w:hAnsi="宋体"/>
          <w:color w:val="000000" w:themeColor="text1"/>
          <w:szCs w:val="21"/>
          <w14:textFill>
            <w14:solidFill>
              <w14:schemeClr w14:val="tx1"/>
            </w14:solidFill>
          </w14:textFill>
        </w:rPr>
        <w:t>大型</w:t>
      </w:r>
      <w:r>
        <w:rPr>
          <w:rFonts w:ascii="Times New Roman" w:hAnsi="宋体"/>
          <w:color w:val="000000" w:themeColor="text1"/>
          <w:szCs w:val="21"/>
          <w14:textFill>
            <w14:solidFill>
              <w14:schemeClr w14:val="tx1"/>
            </w14:solidFill>
          </w14:textFill>
        </w:rPr>
        <w:t>游乐设施故障</w:t>
      </w:r>
      <w:r>
        <w:rPr>
          <w:rFonts w:hint="eastAsia" w:ascii="Times New Roman" w:hAnsi="宋体"/>
          <w:color w:val="000000" w:themeColor="text1"/>
          <w:szCs w:val="21"/>
          <w14:textFill>
            <w14:solidFill>
              <w14:schemeClr w14:val="tx1"/>
            </w14:solidFill>
          </w14:textFill>
        </w:rPr>
        <w:t>、</w:t>
      </w:r>
      <w:r>
        <w:rPr>
          <w:rFonts w:ascii="Times New Roman" w:hAnsi="宋体"/>
          <w:color w:val="000000" w:themeColor="text1"/>
          <w:szCs w:val="21"/>
          <w14:textFill>
            <w14:solidFill>
              <w14:schemeClr w14:val="tx1"/>
            </w14:solidFill>
          </w14:textFill>
        </w:rPr>
        <w:t>事件或安全事故，保障</w:t>
      </w:r>
      <w:r>
        <w:rPr>
          <w:rFonts w:hint="eastAsia" w:ascii="Times New Roman" w:hAnsi="宋体"/>
          <w:color w:val="000000" w:themeColor="text1"/>
          <w:szCs w:val="21"/>
          <w:lang w:eastAsia="zh-CN"/>
          <w14:textFill>
            <w14:solidFill>
              <w14:schemeClr w14:val="tx1"/>
            </w14:solidFill>
          </w14:textFill>
        </w:rPr>
        <w:t>乘客</w:t>
      </w:r>
      <w:r>
        <w:rPr>
          <w:rFonts w:ascii="Times New Roman" w:hAnsi="宋体"/>
          <w:color w:val="000000" w:themeColor="text1"/>
          <w:szCs w:val="21"/>
          <w14:textFill>
            <w14:solidFill>
              <w14:schemeClr w14:val="tx1"/>
            </w14:solidFill>
          </w14:textFill>
        </w:rPr>
        <w:t>生命和财产安全，</w:t>
      </w:r>
      <w:r>
        <w:rPr>
          <w:rFonts w:hint="eastAsia" w:ascii="Times New Roman" w:hAnsi="宋体"/>
          <w:color w:val="000000" w:themeColor="text1"/>
          <w:szCs w:val="21"/>
          <w14:textFill>
            <w14:solidFill>
              <w14:schemeClr w14:val="tx1"/>
            </w14:solidFill>
          </w14:textFill>
        </w:rPr>
        <w:t>依据国家现行特种设备有关法律、法规、规章、</w:t>
      </w:r>
      <w:r>
        <w:rPr>
          <w:rFonts w:ascii="Times New Roman" w:hAnsi="宋体"/>
          <w:color w:val="000000" w:themeColor="text1"/>
          <w:szCs w:val="21"/>
          <w14:textFill>
            <w14:solidFill>
              <w14:schemeClr w14:val="tx1"/>
            </w14:solidFill>
          </w14:textFill>
        </w:rPr>
        <w:t>安全技术规范和</w:t>
      </w:r>
      <w:r>
        <w:rPr>
          <w:rFonts w:hint="eastAsia" w:ascii="Times New Roman" w:hAnsi="宋体"/>
          <w:color w:val="000000" w:themeColor="text1"/>
          <w:szCs w:val="21"/>
          <w14:textFill>
            <w14:solidFill>
              <w14:schemeClr w14:val="tx1"/>
            </w14:solidFill>
          </w14:textFill>
        </w:rPr>
        <w:t>相关标准，制定本文件。</w:t>
      </w:r>
    </w:p>
    <w:p>
      <w:pPr>
        <w:pStyle w:val="44"/>
        <w:ind w:firstLine="420"/>
        <w:rPr>
          <w:color w:val="000000" w:themeColor="text1"/>
          <w14:textFill>
            <w14:solidFill>
              <w14:schemeClr w14:val="tx1"/>
            </w14:solidFill>
          </w14:textFill>
        </w:rPr>
      </w:pPr>
    </w:p>
    <w:p>
      <w:pPr>
        <w:pStyle w:val="44"/>
        <w:ind w:firstLine="420"/>
        <w:rPr>
          <w:color w:val="000000" w:themeColor="text1"/>
          <w14:textFill>
            <w14:solidFill>
              <w14:schemeClr w14:val="tx1"/>
            </w14:solidFill>
          </w14:textFill>
        </w:rPr>
        <w:sectPr>
          <w:pgSz w:w="11906" w:h="16838"/>
          <w:pgMar w:top="2410" w:right="1134" w:bottom="1134" w:left="1134" w:header="1418" w:footer="1134" w:gutter="284"/>
          <w:pgNumType w:fmt="upperRoman"/>
          <w:cols w:space="720" w:num="1"/>
          <w:formProt w:val="0"/>
          <w:docGrid w:type="lines" w:linePitch="312" w:charSpace="0"/>
        </w:sectPr>
      </w:pPr>
    </w:p>
    <w:bookmarkEnd w:id="28"/>
    <w:p>
      <w:pPr>
        <w:spacing w:line="20" w:lineRule="exact"/>
        <w:jc w:val="center"/>
        <w:rPr>
          <w:rFonts w:ascii="黑体" w:hAnsi="黑体" w:eastAsia="黑体"/>
          <w:color w:val="000000" w:themeColor="text1"/>
          <w:sz w:val="32"/>
          <w:szCs w:val="32"/>
          <w14:textFill>
            <w14:solidFill>
              <w14:schemeClr w14:val="tx1"/>
            </w14:solidFill>
          </w14:textFill>
        </w:rPr>
      </w:pPr>
      <w:bookmarkStart w:id="29" w:name="BookMark4"/>
    </w:p>
    <w:p>
      <w:pPr>
        <w:spacing w:line="20" w:lineRule="exact"/>
        <w:jc w:val="center"/>
        <w:rPr>
          <w:rFonts w:ascii="黑体" w:hAnsi="黑体" w:eastAsia="黑体"/>
          <w:color w:val="000000" w:themeColor="text1"/>
          <w:sz w:val="32"/>
          <w:szCs w:val="32"/>
          <w14:textFill>
            <w14:solidFill>
              <w14:schemeClr w14:val="tx1"/>
            </w14:solidFill>
          </w14:textFill>
        </w:rPr>
      </w:pPr>
    </w:p>
    <w:bookmarkEnd w:id="29"/>
    <w:p>
      <w:pPr>
        <w:pStyle w:val="158"/>
        <w:spacing w:before="3" w:beforeLines="1" w:after="686" w:afterLines="220"/>
        <w:rPr>
          <w:color w:val="000000"/>
          <w:highlight w:val="none"/>
        </w:rPr>
      </w:pPr>
      <w:r>
        <w:rPr>
          <w:rFonts w:hint="eastAsia"/>
          <w:color w:val="000000"/>
          <w:highlight w:val="none"/>
        </w:rPr>
        <w:t>大型游乐设施运营使用管理和维护保养规范</w:t>
      </w:r>
    </w:p>
    <w:p>
      <w:pPr>
        <w:pStyle w:val="87"/>
        <w:spacing w:before="312" w:after="312"/>
        <w:rPr>
          <w:color w:val="000000"/>
          <w:highlight w:val="none"/>
        </w:rPr>
      </w:pPr>
      <w:bookmarkStart w:id="30" w:name="_Toc17233333"/>
      <w:bookmarkStart w:id="31" w:name="_Toc94252719"/>
      <w:bookmarkStart w:id="32" w:name="_Toc17233325"/>
      <w:bookmarkStart w:id="33" w:name="_Toc26648465"/>
      <w:bookmarkStart w:id="34" w:name="_Toc24884218"/>
      <w:bookmarkStart w:id="35" w:name="_Toc24884211"/>
      <w:bookmarkStart w:id="36" w:name="_Toc93485480"/>
      <w:bookmarkStart w:id="37" w:name="_Toc26986771"/>
      <w:bookmarkStart w:id="38" w:name="_Toc26986530"/>
      <w:bookmarkStart w:id="39" w:name="_Toc26718930"/>
      <w:bookmarkStart w:id="40" w:name="_Toc93485512"/>
      <w:r>
        <w:rPr>
          <w:rFonts w:hint="eastAsia"/>
          <w:color w:val="000000"/>
          <w:highlight w:val="none"/>
        </w:rPr>
        <w:t>范围</w:t>
      </w:r>
      <w:bookmarkEnd w:id="30"/>
      <w:bookmarkEnd w:id="31"/>
      <w:bookmarkEnd w:id="32"/>
      <w:bookmarkEnd w:id="33"/>
      <w:bookmarkEnd w:id="34"/>
      <w:bookmarkEnd w:id="35"/>
      <w:bookmarkEnd w:id="36"/>
      <w:bookmarkEnd w:id="37"/>
      <w:bookmarkEnd w:id="38"/>
      <w:bookmarkEnd w:id="39"/>
      <w:bookmarkEnd w:id="40"/>
    </w:p>
    <w:p>
      <w:pPr>
        <w:spacing w:before="240" w:line="320" w:lineRule="exact"/>
        <w:ind w:firstLine="420" w:firstLineChars="200"/>
        <w:rPr>
          <w:rFonts w:ascii="宋体" w:hAnsi="宋体" w:cs="宋体"/>
          <w:color w:val="000000"/>
          <w:highlight w:val="none"/>
        </w:rPr>
      </w:pPr>
      <w:bookmarkStart w:id="41" w:name="_Toc17233334"/>
      <w:bookmarkStart w:id="42" w:name="_Toc26648466"/>
      <w:bookmarkStart w:id="43" w:name="_Toc24884219"/>
      <w:bookmarkStart w:id="44" w:name="_Toc17233326"/>
      <w:bookmarkStart w:id="45" w:name="_Toc24884212"/>
      <w:r>
        <w:rPr>
          <w:color w:val="000000"/>
          <w:highlight w:val="none"/>
        </w:rPr>
        <w:t>本文件</w:t>
      </w:r>
      <w:r>
        <w:rPr>
          <w:rFonts w:hint="eastAsia" w:ascii="宋体" w:hAnsi="宋体" w:cs="宋体"/>
          <w:color w:val="000000"/>
          <w:highlight w:val="none"/>
        </w:rPr>
        <w:t>规定了大型游乐设施运营使用管理和维护保养内容及要求。</w:t>
      </w:r>
    </w:p>
    <w:p>
      <w:pPr>
        <w:pStyle w:val="44"/>
        <w:ind w:firstLine="420"/>
        <w:rPr>
          <w:rFonts w:hint="eastAsia" w:hAnsi="宋体" w:cs="宋体"/>
          <w:color w:val="000000"/>
          <w:szCs w:val="21"/>
          <w:highlight w:val="none"/>
        </w:rPr>
      </w:pPr>
      <w:r>
        <w:rPr>
          <w:rFonts w:hint="eastAsia" w:hAnsi="宋体" w:cs="宋体"/>
          <w:color w:val="000000"/>
          <w:szCs w:val="21"/>
          <w:highlight w:val="none"/>
        </w:rPr>
        <w:t>本文件适用于依据《</w:t>
      </w:r>
      <w:r>
        <w:rPr>
          <w:rFonts w:hint="eastAsia"/>
          <w:color w:val="000000"/>
          <w:highlight w:val="none"/>
        </w:rPr>
        <w:t>中华人民共和国</w:t>
      </w:r>
      <w:r>
        <w:rPr>
          <w:rFonts w:hint="eastAsia" w:hAnsi="宋体" w:cs="宋体"/>
          <w:color w:val="000000"/>
          <w:szCs w:val="21"/>
          <w:highlight w:val="none"/>
        </w:rPr>
        <w:t>特种设备安全法》，纳入《特种设备目录》范围内的大型游乐设施运营过程中的使用管理和维护保养活动。</w:t>
      </w:r>
    </w:p>
    <w:p>
      <w:pPr>
        <w:pStyle w:val="87"/>
        <w:spacing w:before="312" w:after="312"/>
        <w:rPr>
          <w:color w:val="000000"/>
          <w:highlight w:val="none"/>
        </w:rPr>
      </w:pPr>
      <w:bookmarkStart w:id="46" w:name="_Toc26986772"/>
      <w:bookmarkStart w:id="47" w:name="_Toc26986531"/>
      <w:bookmarkStart w:id="48" w:name="_Toc26718931"/>
      <w:bookmarkStart w:id="49" w:name="_Toc93485481"/>
      <w:bookmarkStart w:id="50" w:name="_Toc93485513"/>
      <w:bookmarkStart w:id="51" w:name="_Toc94252720"/>
      <w:r>
        <w:rPr>
          <w:rFonts w:hint="eastAsia"/>
          <w:color w:val="000000"/>
          <w:highlight w:val="none"/>
        </w:rPr>
        <w:t>规范性引用文件</w:t>
      </w:r>
      <w:bookmarkEnd w:id="41"/>
      <w:bookmarkEnd w:id="42"/>
      <w:bookmarkEnd w:id="43"/>
      <w:bookmarkEnd w:id="44"/>
      <w:bookmarkEnd w:id="45"/>
      <w:bookmarkEnd w:id="46"/>
      <w:bookmarkEnd w:id="47"/>
      <w:bookmarkEnd w:id="48"/>
      <w:bookmarkEnd w:id="49"/>
      <w:bookmarkEnd w:id="50"/>
      <w:bookmarkEnd w:id="51"/>
    </w:p>
    <w:p>
      <w:pPr>
        <w:pStyle w:val="44"/>
        <w:ind w:firstLine="420"/>
        <w:rPr>
          <w:color w:val="000000"/>
          <w:highlight w:val="none"/>
        </w:rPr>
      </w:pPr>
      <w:r>
        <w:rPr>
          <w:rFonts w:hint="eastAsia"/>
          <w:color w:val="000000"/>
          <w:highlight w:val="none"/>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320" w:lineRule="exact"/>
        <w:ind w:firstLine="420" w:firstLineChars="200"/>
        <w:rPr>
          <w:rFonts w:ascii="宋体" w:hAnsi="宋体" w:cs="宋体"/>
          <w:color w:val="000000"/>
          <w:highlight w:val="none"/>
        </w:rPr>
      </w:pPr>
      <w:r>
        <w:rPr>
          <w:rFonts w:hint="eastAsia" w:ascii="宋体" w:hAnsi="宋体" w:cs="宋体"/>
          <w:color w:val="000000"/>
          <w:highlight w:val="none"/>
        </w:rPr>
        <w:t>GB 8408 大型游乐设施安全规范</w:t>
      </w:r>
    </w:p>
    <w:p>
      <w:pPr>
        <w:pStyle w:val="26"/>
        <w:shd w:val="clear" w:color="auto" w:fill="FFFFFF"/>
        <w:spacing w:before="0" w:beforeAutospacing="0" w:after="0" w:afterAutospacing="0" w:line="320" w:lineRule="exact"/>
        <w:ind w:firstLine="424" w:firstLineChars="202"/>
        <w:jc w:val="both"/>
        <w:rPr>
          <w:rFonts w:ascii="宋体" w:hAnsi="宋体" w:cs="宋体"/>
          <w:color w:val="000000"/>
          <w:sz w:val="21"/>
          <w:szCs w:val="21"/>
          <w:highlight w:val="none"/>
        </w:rPr>
      </w:pPr>
      <w:r>
        <w:rPr>
          <w:rFonts w:hint="eastAsia" w:ascii="宋体" w:hAnsi="宋体" w:cs="宋体"/>
          <w:color w:val="000000"/>
          <w:sz w:val="21"/>
          <w:szCs w:val="21"/>
          <w:highlight w:val="none"/>
        </w:rPr>
        <w:t>GB/T 18168 水上游乐设施通用技术条件</w:t>
      </w:r>
    </w:p>
    <w:p>
      <w:pPr>
        <w:pStyle w:val="26"/>
        <w:shd w:val="clear" w:color="auto" w:fill="FFFFFF"/>
        <w:spacing w:before="0" w:beforeAutospacing="0" w:after="0" w:afterAutospacing="0" w:line="320" w:lineRule="exact"/>
        <w:ind w:firstLine="424" w:firstLineChars="202"/>
        <w:jc w:val="both"/>
        <w:rPr>
          <w:rFonts w:hint="eastAsia" w:ascii="宋体" w:hAnsi="宋体" w:cs="宋体"/>
          <w:color w:val="000000"/>
          <w:kern w:val="2"/>
          <w:sz w:val="21"/>
          <w:szCs w:val="21"/>
          <w:highlight w:val="none"/>
        </w:rPr>
      </w:pPr>
      <w:r>
        <w:rPr>
          <w:rFonts w:hint="eastAsia" w:ascii="宋体" w:hAnsi="宋体" w:cs="宋体"/>
          <w:color w:val="000000"/>
          <w:kern w:val="2"/>
          <w:sz w:val="21"/>
          <w:szCs w:val="21"/>
          <w:highlight w:val="none"/>
        </w:rPr>
        <w:t>TSG 08 特种设备使用管理规则</w:t>
      </w:r>
    </w:p>
    <w:p>
      <w:pPr>
        <w:pStyle w:val="26"/>
        <w:shd w:val="clear" w:color="auto" w:fill="FFFFFF"/>
        <w:spacing w:before="0" w:beforeAutospacing="0" w:after="0" w:afterAutospacing="0" w:line="320" w:lineRule="exact"/>
        <w:ind w:firstLine="424" w:firstLineChars="202"/>
        <w:jc w:val="both"/>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TSG 71-2023 大型游乐设施安全技术规程</w:t>
      </w:r>
    </w:p>
    <w:p>
      <w:pPr>
        <w:pStyle w:val="26"/>
        <w:shd w:val="clear" w:color="auto" w:fill="FFFFFF"/>
        <w:spacing w:before="0" w:beforeAutospacing="0" w:after="0" w:afterAutospacing="0" w:line="320" w:lineRule="exact"/>
        <w:ind w:firstLine="424" w:firstLineChars="202"/>
        <w:jc w:val="both"/>
        <w:rPr>
          <w:rFonts w:ascii="宋体" w:hAnsi="宋体" w:cs="宋体"/>
          <w:color w:val="000000"/>
          <w:kern w:val="2"/>
          <w:sz w:val="21"/>
          <w:szCs w:val="21"/>
          <w:highlight w:val="none"/>
        </w:rPr>
      </w:pPr>
      <w:r>
        <w:rPr>
          <w:rFonts w:hint="eastAsia" w:ascii="宋体" w:hAnsi="宋体" w:cs="宋体"/>
          <w:color w:val="000000"/>
          <w:kern w:val="2"/>
          <w:sz w:val="21"/>
          <w:szCs w:val="21"/>
          <w:highlight w:val="none"/>
        </w:rPr>
        <w:t>GB</w:t>
      </w:r>
      <w:r>
        <w:rPr>
          <w:rFonts w:hint="eastAsia" w:ascii="宋体" w:hAnsi="宋体" w:cs="宋体"/>
          <w:color w:val="000000"/>
          <w:kern w:val="2"/>
          <w:sz w:val="21"/>
          <w:szCs w:val="21"/>
          <w:highlight w:val="none"/>
          <w:lang w:val="en-US" w:eastAsia="zh-CN"/>
        </w:rPr>
        <w:t xml:space="preserve"> </w:t>
      </w:r>
      <w:r>
        <w:rPr>
          <w:rFonts w:hint="eastAsia" w:ascii="宋体" w:hAnsi="宋体" w:cs="宋体"/>
          <w:color w:val="000000"/>
          <w:kern w:val="2"/>
          <w:sz w:val="21"/>
          <w:szCs w:val="21"/>
          <w:highlight w:val="none"/>
        </w:rPr>
        <w:t>50231</w:t>
      </w:r>
      <w:r>
        <w:rPr>
          <w:rFonts w:hint="eastAsia" w:ascii="宋体" w:hAnsi="宋体" w:cs="宋体"/>
          <w:color w:val="000000"/>
          <w:kern w:val="2"/>
          <w:sz w:val="21"/>
          <w:szCs w:val="21"/>
          <w:highlight w:val="none"/>
          <w:lang w:val="en-US" w:eastAsia="zh-CN"/>
        </w:rPr>
        <w:t xml:space="preserve"> </w:t>
      </w:r>
      <w:r>
        <w:rPr>
          <w:rFonts w:hint="eastAsia" w:ascii="宋体" w:hAnsi="宋体" w:cs="宋体"/>
          <w:color w:val="000000"/>
          <w:kern w:val="2"/>
          <w:sz w:val="21"/>
          <w:szCs w:val="21"/>
          <w:highlight w:val="none"/>
        </w:rPr>
        <w:t>机械设备安装工程施工及验收通用规范</w:t>
      </w:r>
    </w:p>
    <w:p>
      <w:pPr>
        <w:pStyle w:val="87"/>
        <w:spacing w:before="312" w:after="312"/>
        <w:rPr>
          <w:color w:val="000000"/>
          <w:highlight w:val="none"/>
        </w:rPr>
      </w:pPr>
      <w:bookmarkStart w:id="52" w:name="_Toc93485482"/>
      <w:bookmarkStart w:id="53" w:name="_Toc93485514"/>
      <w:bookmarkStart w:id="54" w:name="_Toc94252721"/>
      <w:r>
        <w:rPr>
          <w:rFonts w:hint="eastAsia"/>
          <w:color w:val="000000"/>
          <w:szCs w:val="21"/>
          <w:highlight w:val="none"/>
        </w:rPr>
        <w:t>术语和定义</w:t>
      </w:r>
      <w:bookmarkEnd w:id="52"/>
      <w:bookmarkEnd w:id="53"/>
      <w:bookmarkEnd w:id="54"/>
    </w:p>
    <w:p>
      <w:pPr>
        <w:pStyle w:val="44"/>
        <w:ind w:firstLine="420"/>
        <w:rPr>
          <w:color w:val="000000"/>
          <w:highlight w:val="none"/>
        </w:rPr>
      </w:pPr>
      <w:bookmarkStart w:id="55" w:name="_Toc26986532"/>
      <w:bookmarkEnd w:id="55"/>
      <w:r>
        <w:rPr>
          <w:rFonts w:hAnsi="宋体" w:cs="宋体"/>
          <w:color w:val="000000"/>
          <w:highlight w:val="none"/>
        </w:rPr>
        <w:t>下列术语和定义适用于本文件。</w:t>
      </w:r>
    </w:p>
    <w:p>
      <w:pPr>
        <w:pStyle w:val="200"/>
        <w:numPr>
          <w:ilvl w:val="0"/>
          <w:numId w:val="0"/>
        </w:numPr>
        <w:ind w:left="393" w:leftChars="87" w:hanging="210" w:hangingChars="100"/>
        <w:rPr>
          <w:rFonts w:ascii="黑体" w:hAnsi="黑体" w:eastAsia="黑体"/>
          <w:color w:val="000000"/>
          <w:highlight w:val="none"/>
        </w:rPr>
      </w:pPr>
      <w:r>
        <w:rPr>
          <w:rFonts w:hint="eastAsia" w:ascii="黑体" w:hAnsi="黑体" w:eastAsia="黑体"/>
          <w:color w:val="000000"/>
          <w:highlight w:val="none"/>
        </w:rPr>
        <w:t>3.1</w:t>
      </w:r>
      <w:r>
        <w:rPr>
          <w:rFonts w:ascii="黑体" w:hAnsi="黑体" w:eastAsia="黑体"/>
          <w:color w:val="000000"/>
          <w:highlight w:val="none"/>
        </w:rPr>
        <w:br w:type="textWrapping"/>
      </w:r>
      <w:r>
        <w:rPr>
          <w:rFonts w:ascii="黑体" w:hAnsi="黑体" w:eastAsia="黑体"/>
          <w:color w:val="000000"/>
          <w:highlight w:val="none"/>
        </w:rPr>
        <w:t>运营</w:t>
      </w:r>
      <w:r>
        <w:rPr>
          <w:rFonts w:hint="eastAsia" w:ascii="黑体" w:hAnsi="黑体" w:eastAsia="黑体"/>
          <w:color w:val="000000"/>
          <w:highlight w:val="none"/>
        </w:rPr>
        <w:t xml:space="preserve">使用单位 </w:t>
      </w:r>
      <w:r>
        <w:rPr>
          <w:rFonts w:hint="eastAsia" w:ascii="黑体" w:hAnsi="黑体" w:eastAsia="黑体"/>
          <w:color w:val="000000"/>
          <w:highlight w:val="none"/>
          <w:lang w:bidi="zh-CN"/>
        </w:rPr>
        <w:t>amusement ride operator，owner</w:t>
      </w:r>
    </w:p>
    <w:p>
      <w:pPr>
        <w:pStyle w:val="44"/>
        <w:ind w:firstLine="420"/>
        <w:rPr>
          <w:color w:val="000000"/>
          <w:highlight w:val="none"/>
        </w:rPr>
      </w:pPr>
      <w:r>
        <w:rPr>
          <w:rFonts w:hint="eastAsia" w:hAnsi="宋体"/>
          <w:color w:val="000000"/>
          <w:szCs w:val="21"/>
          <w:highlight w:val="none"/>
        </w:rPr>
        <w:t>从事大型游乐设施日常经营管理，向监管部门办理使用登记的事业单位、企业和个体工商户等。</w:t>
      </w:r>
    </w:p>
    <w:p>
      <w:pPr>
        <w:pStyle w:val="160"/>
        <w:rPr>
          <w:color w:val="000000"/>
          <w:highlight w:val="none"/>
        </w:rPr>
      </w:pPr>
      <w:r>
        <w:rPr>
          <w:rFonts w:hint="eastAsia" w:hAnsi="宋体"/>
          <w:color w:val="000000"/>
          <w:highlight w:val="none"/>
        </w:rPr>
        <w:t>运营使用单位包括公司、子公司、事业单位、社会团体等具有法人资格的单位和具有营业执照的分公司、个体</w:t>
      </w:r>
    </w:p>
    <w:p>
      <w:pPr>
        <w:pStyle w:val="160"/>
        <w:numPr>
          <w:ilvl w:val="0"/>
          <w:numId w:val="0"/>
        </w:numPr>
        <w:ind w:left="724" w:leftChars="345"/>
        <w:rPr>
          <w:rFonts w:hint="eastAsia" w:hAnsi="宋体"/>
          <w:color w:val="000000"/>
          <w:highlight w:val="none"/>
        </w:rPr>
      </w:pPr>
      <w:r>
        <w:rPr>
          <w:rFonts w:hint="eastAsia" w:hAnsi="宋体"/>
          <w:color w:val="000000"/>
          <w:highlight w:val="none"/>
        </w:rPr>
        <w:t>工商户等，一般是大型游乐设施的产权单位，也可以是产权单位通过符合法律规定的合同关系确立的大型游乐设施实际使用管理者。</w:t>
      </w:r>
    </w:p>
    <w:p>
      <w:pPr>
        <w:pStyle w:val="200"/>
        <w:numPr>
          <w:ilvl w:val="0"/>
          <w:numId w:val="0"/>
        </w:numPr>
        <w:ind w:left="-420" w:leftChars="-200" w:firstLine="630" w:firstLineChars="300"/>
        <w:rPr>
          <w:rFonts w:hint="eastAsia" w:ascii="黑体" w:hAnsi="黑体" w:eastAsia="黑体"/>
          <w:color w:val="000000"/>
          <w:highlight w:val="none"/>
          <w:lang w:bidi="zh-CN"/>
        </w:rPr>
      </w:pPr>
      <w:r>
        <w:rPr>
          <w:rFonts w:hint="eastAsia" w:ascii="黑体" w:hAnsi="黑体" w:eastAsia="黑体"/>
          <w:color w:val="000000"/>
          <w:highlight w:val="none"/>
          <w:lang w:bidi="zh-CN"/>
        </w:rPr>
        <w:t>3.2</w:t>
      </w:r>
    </w:p>
    <w:p>
      <w:pPr>
        <w:pStyle w:val="200"/>
        <w:numPr>
          <w:ilvl w:val="0"/>
          <w:numId w:val="0"/>
        </w:numPr>
        <w:ind w:left="420" w:leftChars="200"/>
        <w:rPr>
          <w:rFonts w:hint="eastAsia" w:ascii="黑体" w:hAnsi="黑体" w:eastAsia="黑体"/>
          <w:color w:val="000000"/>
          <w:highlight w:val="none"/>
          <w:lang w:bidi="zh-CN"/>
        </w:rPr>
      </w:pPr>
      <w:r>
        <w:rPr>
          <w:rFonts w:hint="eastAsia" w:ascii="黑体" w:hAnsi="黑体" w:eastAsia="黑体"/>
          <w:color w:val="000000"/>
          <w:highlight w:val="none"/>
          <w:lang w:bidi="zh-CN"/>
        </w:rPr>
        <w:t>大型游乐设施使用单位主要负责人 principal responsible person</w:t>
      </w:r>
    </w:p>
    <w:p>
      <w:pPr>
        <w:pStyle w:val="200"/>
        <w:numPr>
          <w:ilvl w:val="0"/>
          <w:numId w:val="0"/>
        </w:numPr>
        <w:ind w:left="420" w:leftChars="200"/>
        <w:rPr>
          <w:rFonts w:hint="eastAsia" w:ascii="黑体" w:hAnsi="黑体" w:eastAsia="黑体"/>
          <w:color w:val="000000"/>
          <w:highlight w:val="none"/>
          <w:lang w:bidi="zh-CN"/>
        </w:rPr>
      </w:pPr>
      <w:r>
        <w:rPr>
          <w:rFonts w:hint="eastAsia"/>
          <w:highlight w:val="none"/>
        </w:rPr>
        <w:t>大型游乐设施运营使用单位法定代表人、法定代表委托人或者实际控制人。</w:t>
      </w:r>
    </w:p>
    <w:p>
      <w:pPr>
        <w:pStyle w:val="200"/>
        <w:numPr>
          <w:ilvl w:val="0"/>
          <w:numId w:val="0"/>
        </w:numPr>
        <w:ind w:left="420" w:hanging="420" w:hangingChars="200"/>
        <w:rPr>
          <w:rFonts w:hint="eastAsia" w:ascii="黑体" w:hAnsi="黑体" w:eastAsia="黑体"/>
          <w:color w:val="000000"/>
          <w:highlight w:val="none"/>
          <w:lang w:bidi="zh-CN"/>
        </w:rPr>
      </w:pPr>
      <w:r>
        <w:rPr>
          <w:rFonts w:hint="eastAsia" w:ascii="黑体" w:hAnsi="黑体" w:eastAsia="黑体"/>
          <w:color w:val="000000"/>
          <w:highlight w:val="none"/>
          <w:lang w:bidi="zh-CN"/>
        </w:rPr>
        <w:t>3.3</w:t>
      </w:r>
    </w:p>
    <w:p>
      <w:pPr>
        <w:pStyle w:val="200"/>
        <w:numPr>
          <w:ilvl w:val="0"/>
          <w:numId w:val="0"/>
        </w:numPr>
        <w:ind w:left="420" w:leftChars="200"/>
        <w:rPr>
          <w:rFonts w:hint="eastAsia" w:ascii="黑体" w:hAnsi="黑体" w:eastAsia="黑体"/>
          <w:color w:val="000000"/>
          <w:highlight w:val="none"/>
          <w:lang w:bidi="zh-CN"/>
        </w:rPr>
      </w:pPr>
      <w:r>
        <w:rPr>
          <w:rFonts w:hint="eastAsia" w:ascii="黑体" w:hAnsi="黑体" w:eastAsia="黑体"/>
          <w:color w:val="000000"/>
          <w:highlight w:val="none"/>
          <w:lang w:bidi="zh-CN"/>
        </w:rPr>
        <w:t xml:space="preserve">大型游乐设施安全总监 safety director </w:t>
      </w:r>
    </w:p>
    <w:p>
      <w:pPr>
        <w:pStyle w:val="200"/>
        <w:numPr>
          <w:ilvl w:val="0"/>
          <w:numId w:val="0"/>
        </w:numPr>
        <w:ind w:left="420" w:leftChars="200"/>
        <w:rPr>
          <w:rFonts w:hint="eastAsia" w:ascii="黑体" w:hAnsi="黑体" w:eastAsia="黑体"/>
          <w:color w:val="000000"/>
          <w:highlight w:val="none"/>
          <w:lang w:bidi="zh-CN"/>
        </w:rPr>
      </w:pPr>
      <w:r>
        <w:rPr>
          <w:rFonts w:hint="eastAsia"/>
          <w:highlight w:val="none"/>
        </w:rPr>
        <w:t>大型游乐设施运营使用单位管理层中负责大型游乐设施使用安全的管理人员。</w:t>
      </w:r>
    </w:p>
    <w:p>
      <w:pPr>
        <w:pStyle w:val="200"/>
        <w:numPr>
          <w:ilvl w:val="0"/>
          <w:numId w:val="0"/>
        </w:numPr>
        <w:ind w:left="420" w:hanging="420" w:hangingChars="200"/>
        <w:rPr>
          <w:rFonts w:hint="eastAsia" w:ascii="黑体" w:hAnsi="黑体" w:eastAsia="黑体"/>
          <w:color w:val="000000"/>
          <w:highlight w:val="none"/>
          <w:lang w:bidi="zh-CN"/>
        </w:rPr>
      </w:pPr>
      <w:r>
        <w:rPr>
          <w:rFonts w:hint="eastAsia" w:ascii="黑体" w:hAnsi="黑体" w:eastAsia="黑体"/>
          <w:color w:val="000000"/>
          <w:highlight w:val="none"/>
          <w:lang w:bidi="zh-CN"/>
        </w:rPr>
        <w:t>3.4</w:t>
      </w:r>
    </w:p>
    <w:p>
      <w:pPr>
        <w:pStyle w:val="200"/>
        <w:numPr>
          <w:ilvl w:val="0"/>
          <w:numId w:val="0"/>
        </w:numPr>
        <w:ind w:left="420" w:leftChars="200"/>
        <w:rPr>
          <w:rFonts w:hint="eastAsia" w:ascii="黑体" w:hAnsi="黑体" w:eastAsia="黑体"/>
          <w:color w:val="000000"/>
          <w:highlight w:val="none"/>
          <w:lang w:bidi="zh-CN"/>
        </w:rPr>
      </w:pPr>
      <w:r>
        <w:rPr>
          <w:rFonts w:hint="eastAsia" w:ascii="黑体" w:hAnsi="黑体" w:eastAsia="黑体"/>
          <w:color w:val="000000"/>
          <w:highlight w:val="none"/>
          <w:lang w:bidi="zh-CN"/>
        </w:rPr>
        <w:t>大型游乐设施安全员 safety officer</w:t>
      </w:r>
    </w:p>
    <w:p>
      <w:pPr>
        <w:pStyle w:val="200"/>
        <w:numPr>
          <w:ilvl w:val="0"/>
          <w:numId w:val="0"/>
        </w:numPr>
        <w:ind w:left="420" w:leftChars="200"/>
        <w:rPr>
          <w:rFonts w:hint="eastAsia" w:ascii="黑体" w:hAnsi="黑体" w:eastAsia="黑体"/>
          <w:color w:val="000000"/>
          <w:highlight w:val="none"/>
          <w:lang w:bidi="zh-CN"/>
        </w:rPr>
      </w:pPr>
      <w:r>
        <w:rPr>
          <w:rFonts w:hint="eastAsia"/>
          <w:highlight w:val="none"/>
        </w:rPr>
        <w:t>大型游乐设施运营使用单位具体负责大型游乐设施使用安全的检查人员。</w:t>
      </w:r>
    </w:p>
    <w:p>
      <w:pPr>
        <w:pStyle w:val="200"/>
        <w:numPr>
          <w:ilvl w:val="0"/>
          <w:numId w:val="0"/>
        </w:numPr>
        <w:ind w:left="420" w:hanging="420" w:hangingChars="200"/>
        <w:rPr>
          <w:rFonts w:ascii="黑体" w:hAnsi="黑体" w:eastAsia="黑体"/>
          <w:color w:val="000000"/>
          <w:highlight w:val="none"/>
          <w:lang w:bidi="zh-CN"/>
        </w:rPr>
      </w:pPr>
      <w:r>
        <w:rPr>
          <w:rFonts w:hint="eastAsia" w:ascii="黑体" w:hAnsi="黑体" w:eastAsia="黑体"/>
          <w:color w:val="000000"/>
          <w:highlight w:val="none"/>
        </w:rPr>
        <w:t>3.5</w:t>
      </w:r>
      <w:r>
        <w:rPr>
          <w:rFonts w:ascii="黑体" w:hAnsi="黑体" w:eastAsia="黑体"/>
          <w:color w:val="000000"/>
          <w:highlight w:val="none"/>
        </w:rPr>
        <w:br w:type="textWrapping"/>
      </w:r>
      <w:r>
        <w:rPr>
          <w:rFonts w:ascii="黑体" w:hAnsi="黑体" w:eastAsia="黑体"/>
          <w:color w:val="000000"/>
          <w:highlight w:val="none"/>
        </w:rPr>
        <w:t>维护保养</w:t>
      </w:r>
      <w:bookmarkStart w:id="56" w:name="_Toc90843693"/>
      <w:r>
        <w:rPr>
          <w:rFonts w:hint="eastAsia" w:ascii="黑体" w:hAnsi="黑体" w:eastAsia="黑体"/>
          <w:color w:val="000000"/>
          <w:highlight w:val="none"/>
          <w:lang w:bidi="zh-CN"/>
        </w:rPr>
        <w:t>maintenance</w:t>
      </w:r>
      <w:bookmarkEnd w:id="56"/>
    </w:p>
    <w:p>
      <w:pPr>
        <w:pStyle w:val="44"/>
        <w:ind w:firstLine="420"/>
        <w:rPr>
          <w:rFonts w:hAnsi="宋体" w:cs="宋体"/>
          <w:color w:val="000000"/>
          <w:szCs w:val="21"/>
          <w:highlight w:val="none"/>
        </w:rPr>
      </w:pPr>
      <w:r>
        <w:rPr>
          <w:rFonts w:hint="eastAsia" w:hAnsi="宋体" w:cs="宋体"/>
          <w:color w:val="000000"/>
          <w:szCs w:val="21"/>
          <w:highlight w:val="none"/>
        </w:rPr>
        <w:t>通过设备部件拆解，进行检查、系统调试、更换易损件，但不改变大型游乐设施的主体结构、性能参数的活动，以及日常检查工作中紧固连接件、设备除尘、设备润滑等活动。</w:t>
      </w:r>
    </w:p>
    <w:p>
      <w:pPr>
        <w:pStyle w:val="200"/>
        <w:numPr>
          <w:ilvl w:val="0"/>
          <w:numId w:val="0"/>
        </w:numPr>
        <w:ind w:left="420" w:hanging="420" w:hangingChars="200"/>
        <w:rPr>
          <w:rFonts w:ascii="黑体" w:hAnsi="黑体" w:eastAsia="黑体"/>
          <w:color w:val="000000"/>
          <w:highlight w:val="none"/>
          <w:lang w:bidi="zh-CN"/>
        </w:rPr>
      </w:pPr>
      <w:r>
        <w:rPr>
          <w:rFonts w:hint="eastAsia" w:ascii="黑体" w:hAnsi="黑体" w:eastAsia="黑体"/>
          <w:color w:val="000000"/>
          <w:highlight w:val="none"/>
        </w:rPr>
        <w:t>3.6</w:t>
      </w:r>
      <w:r>
        <w:rPr>
          <w:rFonts w:ascii="黑体" w:hAnsi="黑体" w:eastAsia="黑体"/>
          <w:color w:val="000000"/>
          <w:highlight w:val="none"/>
        </w:rPr>
        <w:br w:type="textWrapping"/>
      </w:r>
      <w:bookmarkStart w:id="57" w:name="_Toc90843691"/>
      <w:r>
        <w:rPr>
          <w:rFonts w:hint="eastAsia" w:ascii="黑体" w:hAnsi="黑体" w:eastAsia="黑体"/>
          <w:color w:val="000000"/>
          <w:highlight w:val="none"/>
        </w:rPr>
        <w:t xml:space="preserve">维护保养单位 </w:t>
      </w:r>
      <w:r>
        <w:rPr>
          <w:rFonts w:hint="eastAsia" w:ascii="黑体" w:hAnsi="黑体" w:eastAsia="黑体"/>
          <w:color w:val="000000"/>
          <w:highlight w:val="none"/>
          <w:lang w:bidi="zh-CN"/>
        </w:rPr>
        <w:t>maintenance unit</w:t>
      </w:r>
      <w:bookmarkEnd w:id="57"/>
    </w:p>
    <w:p>
      <w:pPr>
        <w:pStyle w:val="44"/>
        <w:ind w:firstLine="420"/>
        <w:rPr>
          <w:rFonts w:hAnsi="宋体" w:cs="宋体"/>
          <w:color w:val="000000"/>
          <w:szCs w:val="21"/>
          <w:highlight w:val="none"/>
        </w:rPr>
      </w:pPr>
      <w:r>
        <w:rPr>
          <w:rFonts w:hint="eastAsia" w:hAnsi="宋体" w:cs="宋体"/>
          <w:color w:val="000000"/>
          <w:szCs w:val="21"/>
          <w:highlight w:val="none"/>
        </w:rPr>
        <w:t>对大型游乐设施实施维护保养作业，承担维护保养义务和权利的单位。</w:t>
      </w:r>
    </w:p>
    <w:p>
      <w:pPr>
        <w:pStyle w:val="200"/>
        <w:numPr>
          <w:ilvl w:val="0"/>
          <w:numId w:val="0"/>
        </w:numPr>
        <w:ind w:left="420" w:hanging="420" w:hangingChars="200"/>
        <w:rPr>
          <w:rFonts w:ascii="黑体" w:hAnsi="黑体" w:eastAsia="黑体"/>
          <w:color w:val="000000"/>
          <w:highlight w:val="none"/>
        </w:rPr>
      </w:pPr>
      <w:r>
        <w:rPr>
          <w:rFonts w:hint="eastAsia" w:ascii="黑体" w:hAnsi="黑体" w:eastAsia="黑体"/>
          <w:color w:val="000000"/>
          <w:highlight w:val="none"/>
        </w:rPr>
        <w:t>3.7</w:t>
      </w:r>
      <w:r>
        <w:rPr>
          <w:rFonts w:ascii="黑体" w:hAnsi="黑体" w:eastAsia="黑体"/>
          <w:color w:val="000000"/>
          <w:highlight w:val="none"/>
        </w:rPr>
        <w:br w:type="textWrapping"/>
      </w:r>
      <w:r>
        <w:rPr>
          <w:rFonts w:hint="eastAsia" w:ascii="黑体" w:hAnsi="黑体" w:eastAsia="黑体"/>
          <w:color w:val="000000"/>
          <w:highlight w:val="none"/>
        </w:rPr>
        <w:t>维护保养周期 maintenance interval</w:t>
      </w:r>
    </w:p>
    <w:p>
      <w:pPr>
        <w:pStyle w:val="44"/>
        <w:ind w:firstLine="420"/>
        <w:rPr>
          <w:rFonts w:hAnsi="宋体" w:cs="宋体"/>
          <w:color w:val="000000"/>
          <w:szCs w:val="21"/>
          <w:highlight w:val="none"/>
        </w:rPr>
      </w:pPr>
      <w:r>
        <w:rPr>
          <w:rFonts w:hint="eastAsia" w:hAnsi="宋体" w:cs="宋体"/>
          <w:color w:val="000000"/>
          <w:szCs w:val="21"/>
          <w:highlight w:val="none"/>
        </w:rPr>
        <w:t>实施大型游乐设施某项维护保养任务规定的时间间隔，如日、周、月、年。</w:t>
      </w:r>
    </w:p>
    <w:p>
      <w:pPr>
        <w:pStyle w:val="200"/>
        <w:numPr>
          <w:ilvl w:val="0"/>
          <w:numId w:val="0"/>
        </w:numPr>
        <w:ind w:left="420" w:hanging="420" w:hangingChars="200"/>
        <w:rPr>
          <w:rFonts w:ascii="黑体" w:hAnsi="黑体" w:eastAsia="黑体"/>
          <w:color w:val="000000"/>
          <w:highlight w:val="none"/>
        </w:rPr>
      </w:pPr>
      <w:r>
        <w:rPr>
          <w:rFonts w:hint="eastAsia" w:ascii="黑体" w:hAnsi="黑体" w:eastAsia="黑体"/>
          <w:color w:val="000000"/>
          <w:highlight w:val="none"/>
        </w:rPr>
        <w:t>3.8</w:t>
      </w:r>
      <w:r>
        <w:rPr>
          <w:rFonts w:ascii="黑体" w:hAnsi="黑体" w:eastAsia="黑体"/>
          <w:color w:val="000000"/>
          <w:highlight w:val="none"/>
        </w:rPr>
        <w:br w:type="textWrapping"/>
      </w:r>
      <w:bookmarkStart w:id="58" w:name="_Toc90843697"/>
      <w:r>
        <w:rPr>
          <w:rFonts w:hint="eastAsia" w:ascii="黑体" w:hAnsi="黑体" w:eastAsia="黑体"/>
          <w:color w:val="000000"/>
          <w:highlight w:val="none"/>
        </w:rPr>
        <w:t>改造 transformation</w:t>
      </w:r>
      <w:bookmarkEnd w:id="58"/>
    </w:p>
    <w:p>
      <w:pPr>
        <w:pStyle w:val="44"/>
        <w:ind w:firstLine="420"/>
        <w:rPr>
          <w:rFonts w:hAnsi="宋体" w:cs="宋体"/>
          <w:color w:val="000000"/>
          <w:szCs w:val="21"/>
          <w:highlight w:val="none"/>
        </w:rPr>
      </w:pPr>
      <w:r>
        <w:rPr>
          <w:rFonts w:hint="eastAsia" w:hAnsi="宋体" w:cs="宋体"/>
          <w:color w:val="000000"/>
          <w:szCs w:val="21"/>
          <w:highlight w:val="none"/>
        </w:rPr>
        <w:t>通过改变大型游乐设施主要受力部件、主要材料、设备运动形式、重要几何尺寸或主要控制系统等，致使大型游乐设施的主体结构、性能参数发生变化的活动。</w:t>
      </w:r>
    </w:p>
    <w:p>
      <w:pPr>
        <w:pStyle w:val="200"/>
        <w:numPr>
          <w:ilvl w:val="0"/>
          <w:numId w:val="0"/>
        </w:numPr>
        <w:ind w:left="420" w:hanging="420" w:hangingChars="200"/>
        <w:rPr>
          <w:rFonts w:ascii="黑体" w:hAnsi="黑体" w:eastAsia="黑体"/>
          <w:color w:val="000000"/>
          <w:highlight w:val="none"/>
        </w:rPr>
      </w:pPr>
      <w:r>
        <w:rPr>
          <w:rFonts w:hint="eastAsia" w:ascii="黑体" w:hAnsi="黑体" w:eastAsia="黑体"/>
          <w:color w:val="000000"/>
          <w:highlight w:val="none"/>
        </w:rPr>
        <w:t>3.9</w:t>
      </w:r>
      <w:r>
        <w:rPr>
          <w:rFonts w:ascii="黑体" w:hAnsi="黑体" w:eastAsia="黑体"/>
          <w:color w:val="000000"/>
          <w:highlight w:val="none"/>
        </w:rPr>
        <w:br w:type="textWrapping"/>
      </w:r>
      <w:r>
        <w:rPr>
          <w:rFonts w:hint="eastAsia" w:ascii="黑体" w:hAnsi="黑体" w:eastAsia="黑体"/>
          <w:color w:val="000000"/>
          <w:highlight w:val="none"/>
        </w:rPr>
        <w:t>修理 repair</w:t>
      </w:r>
    </w:p>
    <w:p>
      <w:pPr>
        <w:pStyle w:val="44"/>
        <w:ind w:firstLine="420"/>
        <w:rPr>
          <w:rFonts w:hAnsi="宋体" w:cs="宋体"/>
          <w:color w:val="000000"/>
          <w:szCs w:val="21"/>
          <w:highlight w:val="none"/>
        </w:rPr>
      </w:pPr>
      <w:r>
        <w:rPr>
          <w:rFonts w:hint="eastAsia" w:hAnsi="宋体" w:cs="宋体"/>
          <w:color w:val="000000"/>
          <w:szCs w:val="21"/>
          <w:highlight w:val="none"/>
        </w:rPr>
        <w:t>通过大型游乐设施部件拆解，进行更换或维修主要受力部件，但不改变大型游乐设施主体结构、性能参数的活动。</w:t>
      </w:r>
    </w:p>
    <w:p>
      <w:pPr>
        <w:pStyle w:val="200"/>
        <w:numPr>
          <w:ilvl w:val="0"/>
          <w:numId w:val="0"/>
        </w:numPr>
        <w:ind w:left="420" w:hanging="420" w:hangingChars="200"/>
        <w:rPr>
          <w:rFonts w:ascii="黑体" w:hAnsi="黑体" w:eastAsia="黑体"/>
          <w:color w:val="000000"/>
          <w:highlight w:val="none"/>
        </w:rPr>
      </w:pPr>
      <w:r>
        <w:rPr>
          <w:rFonts w:hint="eastAsia" w:ascii="黑体" w:hAnsi="黑体" w:eastAsia="黑体"/>
          <w:color w:val="000000"/>
          <w:highlight w:val="none"/>
        </w:rPr>
        <w:t>3.10</w:t>
      </w:r>
      <w:r>
        <w:rPr>
          <w:rFonts w:ascii="黑体" w:hAnsi="黑体" w:eastAsia="黑体"/>
          <w:color w:val="000000"/>
          <w:highlight w:val="none"/>
        </w:rPr>
        <w:br w:type="textWrapping"/>
      </w:r>
      <w:r>
        <w:rPr>
          <w:rFonts w:hint="eastAsia" w:ascii="黑体" w:hAnsi="黑体" w:eastAsia="黑体"/>
          <w:color w:val="000000"/>
          <w:highlight w:val="none"/>
        </w:rPr>
        <w:t>重大修理 major repair</w:t>
      </w:r>
    </w:p>
    <w:p>
      <w:pPr>
        <w:pStyle w:val="44"/>
        <w:ind w:firstLine="420"/>
        <w:rPr>
          <w:rFonts w:hAnsi="宋体" w:cs="宋体"/>
          <w:color w:val="000000"/>
          <w:szCs w:val="21"/>
          <w:highlight w:val="none"/>
        </w:rPr>
      </w:pPr>
      <w:r>
        <w:rPr>
          <w:rFonts w:hint="eastAsia" w:hAnsi="宋体" w:cs="宋体"/>
          <w:color w:val="000000"/>
          <w:szCs w:val="21"/>
          <w:highlight w:val="none"/>
        </w:rPr>
        <w:t>通过大型游乐设施整体拆解，进行检查、更换或维修主要受力部件、主要控制系统或安全装置功能，但不改变大型游乐设施的主体结构、性能参数的活动。</w:t>
      </w:r>
    </w:p>
    <w:p>
      <w:pPr>
        <w:pStyle w:val="87"/>
        <w:spacing w:before="312" w:after="312"/>
        <w:ind w:left="283" w:hanging="283" w:hangingChars="135"/>
        <w:rPr>
          <w:color w:val="000000"/>
          <w:highlight w:val="none"/>
        </w:rPr>
      </w:pPr>
      <w:bookmarkStart w:id="59" w:name="_Toc93485483"/>
      <w:bookmarkStart w:id="60" w:name="_Toc94252722"/>
      <w:bookmarkStart w:id="61" w:name="_Toc93485515"/>
      <w:r>
        <w:rPr>
          <w:color w:val="000000"/>
          <w:highlight w:val="none"/>
        </w:rPr>
        <w:t>运营使用管理</w:t>
      </w:r>
      <w:bookmarkEnd w:id="59"/>
      <w:bookmarkEnd w:id="60"/>
      <w:bookmarkEnd w:id="61"/>
    </w:p>
    <w:p>
      <w:pPr>
        <w:pStyle w:val="88"/>
        <w:numPr>
          <w:ilvl w:val="0"/>
          <w:numId w:val="0"/>
        </w:numPr>
        <w:spacing w:before="156" w:after="156"/>
        <w:ind w:left="283" w:hanging="283" w:hangingChars="135"/>
        <w:rPr>
          <w:rFonts w:hint="eastAsia"/>
          <w:color w:val="000000"/>
          <w:highlight w:val="none"/>
        </w:rPr>
      </w:pPr>
      <w:r>
        <w:rPr>
          <w:rFonts w:hint="eastAsia"/>
          <w:color w:val="000000"/>
          <w:highlight w:val="none"/>
        </w:rPr>
        <w:t>4.1一般要求</w:t>
      </w:r>
    </w:p>
    <w:p>
      <w:pPr>
        <w:pStyle w:val="44"/>
        <w:ind w:firstLine="420"/>
        <w:rPr>
          <w:rFonts w:hint="eastAsia"/>
          <w:color w:val="000000"/>
          <w:highlight w:val="none"/>
        </w:rPr>
      </w:pPr>
      <w:r>
        <w:rPr>
          <w:color w:val="000000"/>
          <w:highlight w:val="none"/>
        </w:rPr>
        <w:t>大型游乐设施</w:t>
      </w:r>
      <w:r>
        <w:rPr>
          <w:rFonts w:hint="eastAsia"/>
          <w:color w:val="000000"/>
          <w:highlight w:val="none"/>
        </w:rPr>
        <w:t>运营使用单位</w:t>
      </w:r>
      <w:r>
        <w:rPr>
          <w:color w:val="000000"/>
          <w:highlight w:val="none"/>
        </w:rPr>
        <w:t>的</w:t>
      </w:r>
      <w:r>
        <w:rPr>
          <w:rFonts w:hint="eastAsia"/>
          <w:color w:val="000000"/>
          <w:highlight w:val="none"/>
        </w:rPr>
        <w:t>机构与制度要求、人员与培训要求、使用管理要求、应急管理要求和维护保养要求等</w:t>
      </w:r>
      <w:r>
        <w:rPr>
          <w:color w:val="000000"/>
          <w:highlight w:val="none"/>
        </w:rPr>
        <w:t>应符合</w:t>
      </w:r>
      <w:r>
        <w:rPr>
          <w:rFonts w:hint="eastAsia" w:ascii="宋体" w:hAnsi="宋体" w:cs="宋体"/>
          <w:color w:val="000000"/>
          <w:kern w:val="2"/>
          <w:sz w:val="21"/>
          <w:szCs w:val="21"/>
          <w:highlight w:val="none"/>
        </w:rPr>
        <w:t>TSG 71</w:t>
      </w:r>
      <w:r>
        <w:rPr>
          <w:rFonts w:hint="eastAsia" w:hAnsi="宋体" w:cs="宋体"/>
          <w:color w:val="000000"/>
          <w:kern w:val="2"/>
          <w:sz w:val="21"/>
          <w:szCs w:val="21"/>
          <w:highlight w:val="none"/>
          <w:lang w:val="en-US" w:eastAsia="zh-CN"/>
        </w:rPr>
        <w:t>-2023</w:t>
      </w:r>
      <w:r>
        <w:rPr>
          <w:rFonts w:hint="eastAsia"/>
          <w:color w:val="000000"/>
          <w:highlight w:val="none"/>
          <w:lang w:eastAsia="zh-CN"/>
        </w:rPr>
        <w:t>、</w:t>
      </w:r>
      <w:r>
        <w:rPr>
          <w:rFonts w:hint="eastAsia"/>
          <w:color w:val="000000"/>
          <w:highlight w:val="none"/>
          <w:lang w:val="en-US" w:eastAsia="zh-CN"/>
        </w:rPr>
        <w:t>TSG 08等</w:t>
      </w:r>
      <w:r>
        <w:rPr>
          <w:rFonts w:hint="eastAsia"/>
          <w:color w:val="000000"/>
          <w:highlight w:val="none"/>
        </w:rPr>
        <w:t>相关法律法规的</w:t>
      </w:r>
      <w:r>
        <w:rPr>
          <w:color w:val="000000"/>
          <w:highlight w:val="none"/>
        </w:rPr>
        <w:t>相关规定</w:t>
      </w:r>
      <w:r>
        <w:rPr>
          <w:rFonts w:hint="eastAsia"/>
          <w:color w:val="000000"/>
          <w:highlight w:val="none"/>
        </w:rPr>
        <w:t>。</w:t>
      </w:r>
    </w:p>
    <w:p>
      <w:pPr>
        <w:pStyle w:val="44"/>
        <w:ind w:firstLine="420"/>
        <w:rPr>
          <w:rFonts w:hint="eastAsia"/>
          <w:color w:val="000000"/>
          <w:highlight w:val="none"/>
        </w:rPr>
      </w:pPr>
      <w:r>
        <w:rPr>
          <w:rFonts w:hint="eastAsia" w:hAnsi="宋体" w:cs="宋体"/>
          <w:color w:val="000000"/>
          <w:szCs w:val="21"/>
          <w:highlight w:val="none"/>
          <w:lang w:eastAsia="zh-CN"/>
        </w:rPr>
        <w:t>注：</w:t>
      </w:r>
      <w:r>
        <w:rPr>
          <w:rFonts w:hint="eastAsia" w:hAnsi="宋体" w:cs="宋体"/>
          <w:color w:val="000000"/>
          <w:szCs w:val="21"/>
          <w:highlight w:val="none"/>
        </w:rPr>
        <w:t>本文件中大型游乐设施还应符合TSG 71-2023</w:t>
      </w:r>
      <w:r>
        <w:rPr>
          <w:rFonts w:hint="eastAsia" w:hAnsi="宋体" w:cs="宋体"/>
          <w:color w:val="000000"/>
          <w:szCs w:val="21"/>
          <w:highlight w:val="none"/>
          <w:lang w:val="en-US" w:eastAsia="zh-CN"/>
        </w:rPr>
        <w:t xml:space="preserve"> </w:t>
      </w:r>
      <w:r>
        <w:rPr>
          <w:rFonts w:hint="eastAsia" w:hAnsi="宋体" w:cs="宋体"/>
          <w:color w:val="000000"/>
          <w:szCs w:val="21"/>
          <w:highlight w:val="none"/>
        </w:rPr>
        <w:t>中1.2条款</w:t>
      </w:r>
      <w:r>
        <w:rPr>
          <w:rFonts w:hint="eastAsia" w:hAnsi="宋体" w:cs="宋体"/>
          <w:color w:val="000000"/>
          <w:szCs w:val="21"/>
          <w:highlight w:val="none"/>
          <w:lang w:eastAsia="zh-CN"/>
        </w:rPr>
        <w:t>和</w:t>
      </w:r>
      <w:r>
        <w:rPr>
          <w:rFonts w:hint="eastAsia" w:hAnsi="宋体" w:cs="宋体"/>
          <w:color w:val="000000"/>
          <w:szCs w:val="21"/>
          <w:highlight w:val="none"/>
        </w:rPr>
        <w:t>附件A《大型游乐设施分类分级表》的规定。</w:t>
      </w:r>
    </w:p>
    <w:p>
      <w:pPr>
        <w:pStyle w:val="88"/>
        <w:numPr>
          <w:ilvl w:val="0"/>
          <w:numId w:val="0"/>
        </w:numPr>
        <w:spacing w:before="156" w:after="156"/>
        <w:ind w:left="283" w:hanging="283" w:hangingChars="135"/>
        <w:rPr>
          <w:color w:val="000000"/>
          <w:highlight w:val="none"/>
        </w:rPr>
      </w:pPr>
      <w:bookmarkStart w:id="62" w:name="_Toc94252723"/>
      <w:bookmarkStart w:id="63" w:name="_Toc93485516"/>
      <w:bookmarkStart w:id="64" w:name="_Toc93485484"/>
      <w:r>
        <w:rPr>
          <w:rFonts w:hint="eastAsia"/>
          <w:color w:val="000000"/>
          <w:highlight w:val="none"/>
        </w:rPr>
        <w:t>4.2</w:t>
      </w:r>
      <w:r>
        <w:rPr>
          <w:rFonts w:hint="eastAsia"/>
          <w:color w:val="000000"/>
          <w:highlight w:val="none"/>
          <w:lang w:val="en-US" w:eastAsia="zh-CN"/>
        </w:rPr>
        <w:t xml:space="preserve"> </w:t>
      </w:r>
      <w:r>
        <w:rPr>
          <w:color w:val="000000"/>
          <w:highlight w:val="none"/>
        </w:rPr>
        <w:t>机构与制度要求</w:t>
      </w:r>
      <w:bookmarkEnd w:id="62"/>
      <w:bookmarkEnd w:id="63"/>
      <w:bookmarkEnd w:id="64"/>
    </w:p>
    <w:p>
      <w:pPr>
        <w:pStyle w:val="146"/>
        <w:numPr>
          <w:ilvl w:val="0"/>
          <w:numId w:val="0"/>
        </w:numPr>
        <w:rPr>
          <w:color w:val="000000"/>
          <w:highlight w:val="none"/>
        </w:rPr>
      </w:pPr>
      <w:r>
        <w:rPr>
          <w:rFonts w:hint="eastAsia" w:ascii="黑体" w:hAnsi="黑体" w:eastAsia="黑体" w:cs="黑体"/>
          <w:color w:val="000000"/>
          <w:highlight w:val="none"/>
          <w:lang w:val="en-US" w:eastAsia="zh-CN"/>
        </w:rPr>
        <w:t xml:space="preserve">4.2.1  </w:t>
      </w:r>
      <w:r>
        <w:rPr>
          <w:rFonts w:hint="eastAsia"/>
          <w:color w:val="000000"/>
          <w:highlight w:val="none"/>
        </w:rPr>
        <w:t>运营使用单位租赁场地开展大型游乐设施经营的，应当与场地提供单位签订安全管理协议。场地提供单位应核实运营使用单位满足相关法律法规要求的管理制度、安全管理机构、安全管理人员、作业人员、使用登记、应急预案等运营使用条件。</w:t>
      </w:r>
    </w:p>
    <w:p>
      <w:pPr>
        <w:pStyle w:val="146"/>
        <w:numPr>
          <w:ilvl w:val="0"/>
          <w:numId w:val="0"/>
        </w:numPr>
        <w:rPr>
          <w:color w:val="000000"/>
          <w:highlight w:val="none"/>
        </w:rPr>
      </w:pPr>
      <w:r>
        <w:rPr>
          <w:rFonts w:hint="eastAsia" w:ascii="黑体" w:hAnsi="黑体" w:eastAsia="黑体" w:cs="黑体"/>
          <w:color w:val="000000"/>
          <w:highlight w:val="none"/>
          <w:lang w:val="en-US" w:eastAsia="zh-CN"/>
        </w:rPr>
        <w:t>4.2.2</w:t>
      </w:r>
      <w:r>
        <w:rPr>
          <w:rFonts w:hint="eastAsia"/>
          <w:color w:val="000000"/>
          <w:highlight w:val="none"/>
          <w:lang w:val="en-US" w:eastAsia="zh-CN"/>
        </w:rPr>
        <w:t xml:space="preserve">  </w:t>
      </w:r>
      <w:r>
        <w:rPr>
          <w:rFonts w:hint="eastAsia"/>
          <w:color w:val="000000"/>
          <w:highlight w:val="none"/>
        </w:rPr>
        <w:t>运营使用单位应根据本单位使用的大型游乐设施的类别、型式、级别、用途、数量等情况宜设置安全管理机构，使用 10 台以上(含 10 台)大型游乐设施的运营使用单位应设置安全管理机构。</w:t>
      </w:r>
    </w:p>
    <w:p>
      <w:pPr>
        <w:pStyle w:val="146"/>
        <w:numPr>
          <w:ilvl w:val="0"/>
          <w:numId w:val="0"/>
        </w:numPr>
        <w:ind w:leftChars="0"/>
        <w:rPr>
          <w:color w:val="000000"/>
          <w:highlight w:val="none"/>
        </w:rPr>
      </w:pPr>
      <w:r>
        <w:rPr>
          <w:rFonts w:hint="eastAsia" w:ascii="黑体" w:hAnsi="黑体" w:eastAsia="黑体" w:cs="黑体"/>
          <w:color w:val="000000"/>
          <w:highlight w:val="none"/>
          <w:lang w:val="en-US" w:eastAsia="zh-CN"/>
        </w:rPr>
        <w:t xml:space="preserve">4.2.3  </w:t>
      </w:r>
      <w:r>
        <w:rPr>
          <w:rFonts w:hint="eastAsia"/>
          <w:color w:val="000000"/>
          <w:highlight w:val="none"/>
        </w:rPr>
        <w:t>运营使用单位应依据本文件4.1以及设备维护保养说明书、设备运营环境等要求，开展风险评价，制定符合本单位实际的安全管理制度、机制和操作规程，包括但不限于：</w:t>
      </w:r>
    </w:p>
    <w:p>
      <w:pPr>
        <w:pStyle w:val="155"/>
        <w:numPr>
          <w:ilvl w:val="0"/>
          <w:numId w:val="0"/>
        </w:numPr>
        <w:ind w:left="425" w:leftChars="0"/>
        <w:rPr>
          <w:rFonts w:hint="eastAsia"/>
          <w:color w:val="000000"/>
          <w:highlight w:val="none"/>
        </w:rPr>
      </w:pPr>
      <w:r>
        <w:rPr>
          <w:rFonts w:hint="eastAsia"/>
          <w:color w:val="000000"/>
          <w:highlight w:val="none"/>
          <w:lang w:val="en-US" w:eastAsia="zh-CN"/>
        </w:rPr>
        <w:t>a）</w:t>
      </w:r>
      <w:r>
        <w:rPr>
          <w:rFonts w:hint="eastAsia"/>
          <w:color w:val="000000"/>
          <w:highlight w:val="none"/>
        </w:rPr>
        <w:t>技术档案管理制度；</w:t>
      </w:r>
    </w:p>
    <w:p>
      <w:pPr>
        <w:pStyle w:val="155"/>
        <w:numPr>
          <w:ilvl w:val="0"/>
          <w:numId w:val="0"/>
        </w:numPr>
        <w:ind w:left="425" w:leftChars="0"/>
        <w:rPr>
          <w:rFonts w:hint="eastAsia"/>
          <w:color w:val="000000"/>
          <w:highlight w:val="none"/>
        </w:rPr>
      </w:pPr>
      <w:r>
        <w:rPr>
          <w:rFonts w:hint="eastAsia"/>
          <w:color w:val="000000"/>
          <w:highlight w:val="none"/>
          <w:lang w:val="en-US" w:eastAsia="zh-CN"/>
        </w:rPr>
        <w:t>b）</w:t>
      </w:r>
      <w:r>
        <w:rPr>
          <w:rFonts w:hint="eastAsia"/>
          <w:color w:val="000000"/>
          <w:highlight w:val="none"/>
        </w:rPr>
        <w:t>使用登记、定期报检制度；</w:t>
      </w:r>
    </w:p>
    <w:p>
      <w:pPr>
        <w:pStyle w:val="155"/>
        <w:numPr>
          <w:ilvl w:val="0"/>
          <w:numId w:val="0"/>
        </w:numPr>
        <w:ind w:left="425" w:leftChars="0"/>
        <w:rPr>
          <w:color w:val="000000"/>
          <w:highlight w:val="none"/>
        </w:rPr>
      </w:pPr>
      <w:r>
        <w:rPr>
          <w:rFonts w:hint="eastAsia"/>
          <w:color w:val="000000"/>
          <w:highlight w:val="none"/>
          <w:lang w:val="en-US" w:eastAsia="zh-CN"/>
        </w:rPr>
        <w:t>c）</w:t>
      </w:r>
      <w:r>
        <w:rPr>
          <w:rFonts w:hint="eastAsia"/>
          <w:color w:val="000000"/>
          <w:highlight w:val="none"/>
        </w:rPr>
        <w:t>安全操作规程；</w:t>
      </w:r>
      <w:r>
        <w:rPr>
          <w:rFonts w:hint="eastAsia"/>
          <w:color w:val="000000"/>
          <w:highlight w:val="none"/>
        </w:rPr>
        <w:tab/>
      </w:r>
    </w:p>
    <w:p>
      <w:pPr>
        <w:pStyle w:val="155"/>
        <w:numPr>
          <w:ilvl w:val="0"/>
          <w:numId w:val="0"/>
        </w:numPr>
        <w:ind w:left="425" w:leftChars="0"/>
        <w:rPr>
          <w:color w:val="000000"/>
          <w:highlight w:val="none"/>
        </w:rPr>
      </w:pPr>
      <w:r>
        <w:rPr>
          <w:rFonts w:hint="eastAsia"/>
          <w:color w:val="000000"/>
          <w:highlight w:val="none"/>
          <w:lang w:val="en-US" w:eastAsia="zh-CN"/>
        </w:rPr>
        <w:t>d）</w:t>
      </w:r>
      <w:r>
        <w:rPr>
          <w:rFonts w:hint="eastAsia"/>
          <w:color w:val="000000"/>
          <w:highlight w:val="none"/>
        </w:rPr>
        <w:t>日常检查与定期自行检查制度；</w:t>
      </w:r>
    </w:p>
    <w:p>
      <w:pPr>
        <w:pStyle w:val="155"/>
        <w:numPr>
          <w:ilvl w:val="0"/>
          <w:numId w:val="0"/>
        </w:numPr>
        <w:ind w:left="425" w:leftChars="0"/>
        <w:rPr>
          <w:color w:val="000000"/>
          <w:highlight w:val="none"/>
        </w:rPr>
      </w:pPr>
      <w:r>
        <w:rPr>
          <w:rFonts w:hint="eastAsia"/>
          <w:color w:val="000000"/>
          <w:highlight w:val="none"/>
          <w:lang w:val="en-US" w:eastAsia="zh-CN"/>
        </w:rPr>
        <w:t>e）</w:t>
      </w:r>
      <w:r>
        <w:rPr>
          <w:rFonts w:hint="eastAsia"/>
          <w:color w:val="000000"/>
          <w:highlight w:val="none"/>
        </w:rPr>
        <w:t>维护保养制度；</w:t>
      </w:r>
    </w:p>
    <w:p>
      <w:pPr>
        <w:pStyle w:val="155"/>
        <w:numPr>
          <w:ilvl w:val="0"/>
          <w:numId w:val="0"/>
        </w:numPr>
        <w:ind w:left="425" w:leftChars="0"/>
        <w:rPr>
          <w:color w:val="000000"/>
          <w:highlight w:val="none"/>
        </w:rPr>
      </w:pPr>
      <w:r>
        <w:rPr>
          <w:rFonts w:hint="eastAsia"/>
          <w:color w:val="000000"/>
          <w:highlight w:val="none"/>
          <w:lang w:val="en-US" w:eastAsia="zh-CN"/>
        </w:rPr>
        <w:t>f）</w:t>
      </w:r>
      <w:r>
        <w:rPr>
          <w:rFonts w:hint="eastAsia"/>
          <w:color w:val="000000"/>
          <w:highlight w:val="none"/>
        </w:rPr>
        <w:t>作业人员及相关服务人员安全培训、考核制度；</w:t>
      </w:r>
    </w:p>
    <w:p>
      <w:pPr>
        <w:pStyle w:val="155"/>
        <w:numPr>
          <w:ilvl w:val="0"/>
          <w:numId w:val="0"/>
        </w:numPr>
        <w:ind w:left="425" w:leftChars="0"/>
        <w:rPr>
          <w:rFonts w:hint="eastAsia"/>
          <w:color w:val="000000"/>
          <w:highlight w:val="none"/>
        </w:rPr>
      </w:pPr>
      <w:r>
        <w:rPr>
          <w:rFonts w:hint="eastAsia"/>
          <w:color w:val="000000"/>
          <w:highlight w:val="none"/>
          <w:lang w:val="en-US" w:eastAsia="zh-CN"/>
        </w:rPr>
        <w:t>g）</w:t>
      </w:r>
      <w:r>
        <w:rPr>
          <w:rFonts w:hint="eastAsia"/>
          <w:color w:val="000000"/>
          <w:highlight w:val="none"/>
        </w:rPr>
        <w:t>应急救援演练制度；</w:t>
      </w:r>
    </w:p>
    <w:p>
      <w:pPr>
        <w:pStyle w:val="155"/>
        <w:numPr>
          <w:ilvl w:val="0"/>
          <w:numId w:val="0"/>
        </w:numPr>
        <w:ind w:left="425" w:leftChars="0"/>
        <w:rPr>
          <w:color w:val="000000"/>
          <w:highlight w:val="none"/>
        </w:rPr>
      </w:pPr>
      <w:r>
        <w:rPr>
          <w:rFonts w:hint="eastAsia"/>
          <w:color w:val="000000"/>
          <w:highlight w:val="none"/>
          <w:lang w:val="en-US" w:eastAsia="zh-CN"/>
        </w:rPr>
        <w:t>h）</w:t>
      </w:r>
      <w:r>
        <w:rPr>
          <w:rFonts w:hint="eastAsia"/>
          <w:color w:val="000000"/>
          <w:highlight w:val="none"/>
        </w:rPr>
        <w:t>突发故障、意外事件和事故报告和处理制度；</w:t>
      </w:r>
    </w:p>
    <w:p>
      <w:pPr>
        <w:pStyle w:val="155"/>
        <w:numPr>
          <w:ilvl w:val="0"/>
          <w:numId w:val="0"/>
        </w:numPr>
        <w:ind w:left="425" w:leftChars="0"/>
        <w:rPr>
          <w:color w:val="000000"/>
          <w:highlight w:val="none"/>
        </w:rPr>
      </w:pPr>
      <w:r>
        <w:rPr>
          <w:rFonts w:hint="eastAsia"/>
          <w:color w:val="000000"/>
          <w:highlight w:val="none"/>
          <w:lang w:val="en-US" w:eastAsia="zh-CN"/>
        </w:rPr>
        <w:t>i）</w:t>
      </w:r>
      <w:r>
        <w:rPr>
          <w:rFonts w:hint="eastAsia"/>
          <w:color w:val="000000"/>
          <w:highlight w:val="none"/>
        </w:rPr>
        <w:t>风险分级管控和隐患排查治理制度；</w:t>
      </w:r>
    </w:p>
    <w:p>
      <w:pPr>
        <w:pStyle w:val="155"/>
        <w:numPr>
          <w:ilvl w:val="0"/>
          <w:numId w:val="0"/>
        </w:numPr>
        <w:ind w:left="425" w:leftChars="0"/>
        <w:rPr>
          <w:rFonts w:hint="eastAsia"/>
          <w:color w:val="000000"/>
          <w:highlight w:val="none"/>
        </w:rPr>
      </w:pPr>
      <w:r>
        <w:rPr>
          <w:rFonts w:hint="eastAsia"/>
          <w:color w:val="000000"/>
          <w:highlight w:val="none"/>
          <w:lang w:val="en-US" w:eastAsia="zh-CN"/>
        </w:rPr>
        <w:t>j）</w:t>
      </w:r>
      <w:r>
        <w:rPr>
          <w:rFonts w:hint="eastAsia"/>
          <w:color w:val="000000"/>
          <w:highlight w:val="none"/>
        </w:rPr>
        <w:t>设备改造、修理、报废及零配件采购管理制度；</w:t>
      </w:r>
    </w:p>
    <w:p>
      <w:pPr>
        <w:pStyle w:val="155"/>
        <w:numPr>
          <w:ilvl w:val="0"/>
          <w:numId w:val="0"/>
        </w:numPr>
        <w:ind w:left="425" w:leftChars="0"/>
        <w:rPr>
          <w:rFonts w:hint="eastAsia"/>
          <w:color w:val="000000"/>
          <w:highlight w:val="none"/>
        </w:rPr>
      </w:pPr>
      <w:r>
        <w:rPr>
          <w:rFonts w:hint="eastAsia"/>
          <w:color w:val="000000"/>
          <w:highlight w:val="none"/>
          <w:lang w:val="en-US" w:eastAsia="zh-CN"/>
        </w:rPr>
        <w:t>k）</w:t>
      </w:r>
      <w:r>
        <w:rPr>
          <w:rFonts w:hint="eastAsia"/>
          <w:color w:val="000000"/>
          <w:highlight w:val="none"/>
        </w:rPr>
        <w:t>落实运营</w:t>
      </w:r>
      <w:r>
        <w:rPr>
          <w:rFonts w:hAnsi="宋体" w:cs="宋体"/>
          <w:color w:val="000000"/>
          <w:kern w:val="2"/>
          <w:szCs w:val="21"/>
          <w:highlight w:val="none"/>
        </w:rPr>
        <w:t>使用安全主体责任</w:t>
      </w:r>
      <w:r>
        <w:rPr>
          <w:rFonts w:hint="eastAsia" w:hAnsi="宋体" w:cs="宋体"/>
          <w:color w:val="000000"/>
          <w:kern w:val="2"/>
          <w:szCs w:val="21"/>
          <w:highlight w:val="none"/>
        </w:rPr>
        <w:t>相关制度和机制：</w:t>
      </w:r>
      <w:r>
        <w:rPr>
          <w:rFonts w:hint="eastAsia"/>
          <w:color w:val="000000"/>
          <w:highlight w:val="none"/>
        </w:rPr>
        <w:t>基于安全风险防控的动态管理机制、使用安全责任制度、对安全总监和安全员的激励约束机制（如有）和日管控、周排查、月调度工作制度。</w:t>
      </w:r>
    </w:p>
    <w:p>
      <w:pPr>
        <w:pStyle w:val="146"/>
        <w:numPr>
          <w:ilvl w:val="0"/>
          <w:numId w:val="0"/>
        </w:numPr>
        <w:ind w:leftChars="0"/>
        <w:rPr>
          <w:color w:val="000000"/>
          <w:highlight w:val="none"/>
        </w:rPr>
      </w:pPr>
      <w:r>
        <w:rPr>
          <w:rFonts w:hint="eastAsia" w:ascii="黑体" w:hAnsi="黑体" w:eastAsia="黑体" w:cs="黑体"/>
          <w:color w:val="000000"/>
          <w:highlight w:val="none"/>
          <w:lang w:val="en-US" w:eastAsia="zh-CN"/>
        </w:rPr>
        <w:t xml:space="preserve">4.2.4  </w:t>
      </w:r>
      <w:r>
        <w:rPr>
          <w:rFonts w:hint="eastAsia"/>
          <w:color w:val="000000"/>
          <w:highlight w:val="none"/>
        </w:rPr>
        <w:t>运营使用单位应根据本文件</w:t>
      </w:r>
      <w:r>
        <w:rPr>
          <w:rFonts w:hint="eastAsia"/>
          <w:color w:val="000000"/>
          <w:highlight w:val="none"/>
          <w:lang w:val="en-US" w:eastAsia="zh-CN"/>
        </w:rPr>
        <w:t>4.2.3</w:t>
      </w:r>
      <w:r>
        <w:rPr>
          <w:rFonts w:hint="eastAsia"/>
          <w:color w:val="000000"/>
          <w:highlight w:val="none"/>
        </w:rPr>
        <w:t>规定的各项管理制度对每台（套）大型游乐设施建立技术档案，并妥善保存。技术档案内容包括但不限于：</w:t>
      </w:r>
    </w:p>
    <w:p>
      <w:pPr>
        <w:pStyle w:val="155"/>
        <w:numPr>
          <w:ilvl w:val="0"/>
          <w:numId w:val="32"/>
        </w:numPr>
        <w:rPr>
          <w:color w:val="000000"/>
          <w:highlight w:val="none"/>
        </w:rPr>
      </w:pPr>
      <w:r>
        <w:rPr>
          <w:rFonts w:hint="eastAsia" w:hAnsi="宋体"/>
          <w:color w:val="000000"/>
          <w:szCs w:val="21"/>
          <w:highlight w:val="none"/>
        </w:rPr>
        <w:t>设计、制造和安装相关技术资料和文件，包括出厂文件、涉及文件鉴定报告复印件、型式试验报告复印件、主要受力部件及重要焊缝无损检测报告（含缺陷返修记录）、配套的机电产品合格证及说明书、设备自检报告、设备运行试验记录、安装质量证明、大型游乐设施产品质量合格证；</w:t>
      </w:r>
    </w:p>
    <w:p>
      <w:pPr>
        <w:pStyle w:val="155"/>
        <w:rPr>
          <w:color w:val="000000"/>
          <w:highlight w:val="none"/>
        </w:rPr>
      </w:pPr>
      <w:r>
        <w:rPr>
          <w:rFonts w:hint="eastAsia" w:hAnsi="宋体"/>
          <w:color w:val="000000"/>
          <w:szCs w:val="21"/>
          <w:highlight w:val="none"/>
        </w:rPr>
        <w:t>监督检验和定期检验报告；</w:t>
      </w:r>
    </w:p>
    <w:p>
      <w:pPr>
        <w:pStyle w:val="155"/>
        <w:rPr>
          <w:color w:val="000000"/>
          <w:highlight w:val="none"/>
        </w:rPr>
      </w:pPr>
      <w:r>
        <w:rPr>
          <w:rFonts w:hint="eastAsia"/>
          <w:color w:val="000000"/>
          <w:highlight w:val="none"/>
        </w:rPr>
        <w:t>特种设备使用登记证、使用登记表；</w:t>
      </w:r>
    </w:p>
    <w:p>
      <w:pPr>
        <w:pStyle w:val="155"/>
        <w:rPr>
          <w:color w:val="000000"/>
          <w:highlight w:val="none"/>
        </w:rPr>
      </w:pPr>
      <w:r>
        <w:rPr>
          <w:rFonts w:hint="eastAsia" w:hAnsi="宋体"/>
          <w:color w:val="000000"/>
          <w:szCs w:val="21"/>
          <w:highlight w:val="none"/>
        </w:rPr>
        <w:t>改造、修理方案、材料证明文件和施工质量证明文件，改造、重大修理监督检验报告（如有）；</w:t>
      </w:r>
    </w:p>
    <w:p>
      <w:pPr>
        <w:pStyle w:val="155"/>
        <w:rPr>
          <w:color w:val="000000"/>
          <w:highlight w:val="none"/>
        </w:rPr>
      </w:pPr>
      <w:r>
        <w:rPr>
          <w:rFonts w:hint="eastAsia" w:hAnsi="宋体"/>
          <w:color w:val="000000"/>
          <w:szCs w:val="21"/>
          <w:highlight w:val="none"/>
        </w:rPr>
        <w:t>年度自行检查记录（报告）；</w:t>
      </w:r>
    </w:p>
    <w:p>
      <w:pPr>
        <w:pStyle w:val="155"/>
        <w:rPr>
          <w:color w:val="000000"/>
          <w:highlight w:val="none"/>
        </w:rPr>
      </w:pPr>
      <w:r>
        <w:rPr>
          <w:rFonts w:hint="eastAsia" w:hAnsi="宋体"/>
          <w:color w:val="000000"/>
          <w:szCs w:val="21"/>
          <w:highlight w:val="none"/>
        </w:rPr>
        <w:t>应急预案和演练记录；</w:t>
      </w:r>
    </w:p>
    <w:p>
      <w:pPr>
        <w:pStyle w:val="155"/>
        <w:rPr>
          <w:color w:val="000000"/>
          <w:highlight w:val="none"/>
        </w:rPr>
      </w:pPr>
      <w:r>
        <w:rPr>
          <w:rFonts w:hint="eastAsia" w:hAnsi="宋体"/>
          <w:color w:val="000000"/>
          <w:szCs w:val="21"/>
          <w:highlight w:val="none"/>
        </w:rPr>
        <w:t>运行、维护保养、日常检查、设备故障与事故或事件处理记录；</w:t>
      </w:r>
    </w:p>
    <w:p>
      <w:pPr>
        <w:pStyle w:val="155"/>
        <w:rPr>
          <w:color w:val="000000"/>
          <w:highlight w:val="none"/>
        </w:rPr>
      </w:pPr>
      <w:r>
        <w:rPr>
          <w:rFonts w:hint="eastAsia" w:hAnsi="宋体"/>
          <w:color w:val="000000"/>
          <w:szCs w:val="21"/>
          <w:highlight w:val="none"/>
        </w:rPr>
        <w:t>作业人员培训、考核和资格证书管理记录；</w:t>
      </w:r>
    </w:p>
    <w:p>
      <w:pPr>
        <w:pStyle w:val="155"/>
        <w:rPr>
          <w:color w:val="000000"/>
          <w:highlight w:val="none"/>
        </w:rPr>
      </w:pPr>
      <w:r>
        <w:rPr>
          <w:rFonts w:hint="eastAsia" w:hAnsi="宋体"/>
          <w:color w:val="000000"/>
          <w:szCs w:val="21"/>
          <w:highlight w:val="none"/>
        </w:rPr>
        <w:t>操作规程和维护保养作业指导文件；</w:t>
      </w:r>
    </w:p>
    <w:p>
      <w:pPr>
        <w:pStyle w:val="155"/>
        <w:rPr>
          <w:color w:val="000000"/>
          <w:highlight w:val="none"/>
        </w:rPr>
      </w:pPr>
      <w:r>
        <w:rPr>
          <w:rFonts w:hint="eastAsia" w:hAnsi="宋体"/>
          <w:color w:val="000000"/>
          <w:szCs w:val="21"/>
          <w:highlight w:val="none"/>
        </w:rPr>
        <w:t>延长使用期限的安全评估报告（如有）；</w:t>
      </w:r>
    </w:p>
    <w:p>
      <w:pPr>
        <w:pStyle w:val="155"/>
        <w:rPr>
          <w:color w:val="000000"/>
          <w:highlight w:val="none"/>
        </w:rPr>
      </w:pPr>
      <w:r>
        <w:rPr>
          <w:rFonts w:hint="eastAsia"/>
          <w:color w:val="000000"/>
          <w:highlight w:val="none"/>
        </w:rPr>
        <w:t>风险分级管控和隐患排查治理记录</w:t>
      </w:r>
      <w:r>
        <w:rPr>
          <w:rFonts w:hint="eastAsia" w:hAnsi="宋体"/>
          <w:color w:val="000000"/>
          <w:szCs w:val="21"/>
          <w:highlight w:val="none"/>
        </w:rPr>
        <w:t>；</w:t>
      </w:r>
    </w:p>
    <w:p>
      <w:pPr>
        <w:pStyle w:val="155"/>
        <w:rPr>
          <w:color w:val="000000"/>
          <w:highlight w:val="none"/>
        </w:rPr>
      </w:pPr>
      <w:r>
        <w:rPr>
          <w:rFonts w:hint="eastAsia"/>
          <w:color w:val="000000"/>
          <w:highlight w:val="none"/>
        </w:rPr>
        <w:t>制造单位设计变更相关文件（如有）；</w:t>
      </w:r>
    </w:p>
    <w:p>
      <w:pPr>
        <w:pStyle w:val="155"/>
        <w:rPr>
          <w:color w:val="000000"/>
          <w:highlight w:val="none"/>
        </w:rPr>
      </w:pPr>
      <w:r>
        <w:rPr>
          <w:rFonts w:hint="eastAsia"/>
          <w:color w:val="000000"/>
          <w:highlight w:val="none"/>
        </w:rPr>
        <w:t>安全包络线图；</w:t>
      </w:r>
    </w:p>
    <w:p>
      <w:pPr>
        <w:pStyle w:val="155"/>
        <w:rPr>
          <w:color w:val="000000"/>
          <w:highlight w:val="none"/>
        </w:rPr>
      </w:pPr>
      <w:r>
        <w:rPr>
          <w:rFonts w:hint="eastAsia"/>
          <w:color w:val="000000"/>
          <w:highlight w:val="none"/>
        </w:rPr>
        <w:t>落实运营</w:t>
      </w:r>
      <w:r>
        <w:rPr>
          <w:rFonts w:hAnsi="宋体" w:cs="宋体"/>
          <w:color w:val="000000"/>
          <w:kern w:val="2"/>
          <w:szCs w:val="21"/>
          <w:highlight w:val="none"/>
        </w:rPr>
        <w:t>使用安全主体责任</w:t>
      </w:r>
      <w:r>
        <w:rPr>
          <w:rFonts w:hint="eastAsia" w:hAnsi="宋体" w:cs="宋体"/>
          <w:color w:val="000000"/>
          <w:kern w:val="2"/>
          <w:szCs w:val="21"/>
          <w:highlight w:val="none"/>
        </w:rPr>
        <w:t>相关记录（参照附录E）：《大型游乐设施安全风险管控清单》（参照附录E.1）、</w:t>
      </w:r>
      <w:r>
        <w:rPr>
          <w:rFonts w:hint="eastAsia"/>
          <w:color w:val="000000"/>
          <w:highlight w:val="none"/>
        </w:rPr>
        <w:t>《每日大型游乐设施安全检查记录》（</w:t>
      </w:r>
      <w:r>
        <w:rPr>
          <w:rFonts w:hint="eastAsia" w:hAnsi="宋体" w:cs="宋体"/>
          <w:color w:val="000000"/>
          <w:kern w:val="2"/>
          <w:szCs w:val="21"/>
          <w:highlight w:val="none"/>
        </w:rPr>
        <w:t>参照附录E.2</w:t>
      </w:r>
      <w:r>
        <w:rPr>
          <w:rFonts w:hint="eastAsia"/>
          <w:color w:val="000000"/>
          <w:highlight w:val="none"/>
        </w:rPr>
        <w:t>）、《每周大型游乐设施安全排查治理报告》（</w:t>
      </w:r>
      <w:r>
        <w:rPr>
          <w:rFonts w:hint="eastAsia" w:hAnsi="宋体" w:cs="宋体"/>
          <w:color w:val="000000"/>
          <w:kern w:val="2"/>
          <w:szCs w:val="21"/>
          <w:highlight w:val="none"/>
        </w:rPr>
        <w:t>参照附录E.3</w:t>
      </w:r>
      <w:r>
        <w:rPr>
          <w:rFonts w:hint="eastAsia"/>
          <w:color w:val="000000"/>
          <w:highlight w:val="none"/>
        </w:rPr>
        <w:t>）、《每月大型游乐设施安全调度会议纪要》（</w:t>
      </w:r>
      <w:r>
        <w:rPr>
          <w:rFonts w:hint="eastAsia" w:hAnsi="宋体" w:cs="宋体"/>
          <w:color w:val="000000"/>
          <w:kern w:val="2"/>
          <w:szCs w:val="21"/>
          <w:highlight w:val="none"/>
        </w:rPr>
        <w:t>参照附录E.4</w:t>
      </w:r>
      <w:r>
        <w:rPr>
          <w:rFonts w:hint="eastAsia"/>
          <w:color w:val="000000"/>
          <w:highlight w:val="none"/>
        </w:rPr>
        <w:t>）。</w:t>
      </w:r>
    </w:p>
    <w:p>
      <w:pPr>
        <w:pStyle w:val="88"/>
        <w:numPr>
          <w:ilvl w:val="0"/>
          <w:numId w:val="0"/>
        </w:numPr>
        <w:spacing w:before="156" w:after="156"/>
        <w:rPr>
          <w:rFonts w:hint="eastAsia" w:ascii="宋体" w:eastAsia="宋体"/>
          <w:color w:val="000000"/>
          <w:highlight w:val="none"/>
        </w:rPr>
      </w:pPr>
      <w:bookmarkStart w:id="65" w:name="_Toc91062829"/>
      <w:bookmarkStart w:id="66" w:name="_Toc93485517"/>
      <w:bookmarkStart w:id="67" w:name="_Toc93485485"/>
      <w:bookmarkStart w:id="68" w:name="_Toc94252724"/>
      <w:bookmarkStart w:id="69" w:name="_Toc90843708"/>
      <w:r>
        <w:rPr>
          <w:rFonts w:hint="eastAsia"/>
          <w:color w:val="000000"/>
          <w:highlight w:val="none"/>
          <w:lang w:val="en-US" w:eastAsia="zh-CN"/>
        </w:rPr>
        <w:t xml:space="preserve">4.3 </w:t>
      </w:r>
      <w:r>
        <w:rPr>
          <w:rFonts w:hint="eastAsia"/>
          <w:color w:val="000000"/>
          <w:highlight w:val="none"/>
        </w:rPr>
        <w:t>人员与培训要求</w:t>
      </w:r>
      <w:bookmarkEnd w:id="65"/>
      <w:bookmarkEnd w:id="66"/>
      <w:bookmarkEnd w:id="67"/>
      <w:bookmarkEnd w:id="68"/>
      <w:bookmarkEnd w:id="69"/>
    </w:p>
    <w:p>
      <w:pPr>
        <w:pStyle w:val="53"/>
        <w:numPr>
          <w:ilvl w:val="3"/>
          <w:numId w:val="0"/>
        </w:numPr>
        <w:spacing w:before="156" w:afterLines="0"/>
        <w:ind w:leftChars="0"/>
        <w:rPr>
          <w:rFonts w:hint="eastAsia"/>
          <w:color w:val="000000"/>
          <w:highlight w:val="none"/>
        </w:rPr>
      </w:pPr>
      <w:r>
        <w:rPr>
          <w:rFonts w:hint="eastAsia" w:ascii="黑体" w:hAnsi="黑体" w:eastAsia="黑体" w:cs="黑体"/>
          <w:color w:val="000000"/>
          <w:highlight w:val="none"/>
          <w:lang w:val="en-US" w:eastAsia="zh-CN"/>
        </w:rPr>
        <w:t>4.3.1</w:t>
      </w:r>
      <w:r>
        <w:rPr>
          <w:rFonts w:hint="eastAsia" w:ascii="宋体" w:hAnsi="宋体" w:eastAsia="宋体" w:cs="宋体"/>
          <w:color w:val="000000"/>
          <w:highlight w:val="none"/>
          <w:lang w:val="en-US" w:eastAsia="zh-CN"/>
        </w:rPr>
        <w:t xml:space="preserve">  </w:t>
      </w:r>
      <w:r>
        <w:rPr>
          <w:rFonts w:hint="eastAsia" w:ascii="宋体" w:hAnsi="宋体" w:eastAsia="宋体" w:cs="宋体"/>
          <w:color w:val="000000"/>
          <w:highlight w:val="none"/>
        </w:rPr>
        <w:t>运营使用单位应根据本单位使用大型游乐设施的类别、型式、级别、用途、数量</w:t>
      </w:r>
      <w:r>
        <w:rPr>
          <w:rFonts w:hint="eastAsia" w:ascii="宋体" w:hAnsi="宋体" w:eastAsia="宋体" w:cs="宋体"/>
          <w:color w:val="000000"/>
          <w:highlight w:val="none"/>
          <w:lang w:eastAsia="zh-CN"/>
        </w:rPr>
        <w:t>、特性和使用环境</w:t>
      </w:r>
      <w:r>
        <w:rPr>
          <w:rFonts w:hint="eastAsia" w:ascii="宋体" w:hAnsi="宋体" w:eastAsia="宋体" w:cs="宋体"/>
          <w:color w:val="000000"/>
          <w:highlight w:val="none"/>
        </w:rPr>
        <w:t>等情况，配备安全总监</w:t>
      </w:r>
      <w:r>
        <w:rPr>
          <w:rFonts w:hint="eastAsia" w:ascii="宋体" w:hAnsi="宋体" w:eastAsia="宋体" w:cs="宋体"/>
          <w:color w:val="000000"/>
          <w:highlight w:val="none"/>
          <w:lang w:eastAsia="zh-CN"/>
        </w:rPr>
        <w:t>、</w:t>
      </w:r>
      <w:r>
        <w:rPr>
          <w:rFonts w:hint="eastAsia" w:ascii="宋体" w:hAnsi="宋体" w:eastAsia="宋体" w:cs="宋体"/>
          <w:color w:val="000000"/>
          <w:highlight w:val="none"/>
        </w:rPr>
        <w:t>足够数量的安全员、特种设备作业人员和现场服务人员，明确岗位职责，按规定取得相应的特种设备作业人员资格证</w:t>
      </w:r>
      <w:r>
        <w:rPr>
          <w:rFonts w:hint="eastAsia" w:ascii="宋体" w:hAnsi="宋体" w:eastAsia="宋体" w:cs="宋体"/>
          <w:color w:val="000000"/>
          <w:highlight w:val="none"/>
          <w:lang w:eastAsia="zh-CN"/>
        </w:rPr>
        <w:t>，</w:t>
      </w:r>
      <w:r>
        <w:rPr>
          <w:rFonts w:hint="eastAsia" w:ascii="宋体" w:hAnsi="宋体" w:eastAsia="宋体" w:cs="宋体"/>
          <w:color w:val="000000"/>
          <w:highlight w:val="none"/>
        </w:rPr>
        <w:t>并逐台落实安全责任人。</w:t>
      </w:r>
    </w:p>
    <w:p>
      <w:pPr>
        <w:pStyle w:val="146"/>
        <w:numPr>
          <w:ilvl w:val="0"/>
          <w:numId w:val="0"/>
        </w:numPr>
        <w:ind w:leftChars="0"/>
        <w:rPr>
          <w:rFonts w:hAnsi="宋体" w:cs="宋体"/>
          <w:color w:val="000000"/>
          <w:szCs w:val="21"/>
          <w:highlight w:val="none"/>
        </w:rPr>
      </w:pPr>
      <w:r>
        <w:rPr>
          <w:rFonts w:hint="eastAsia" w:ascii="黑体" w:hAnsi="黑体" w:eastAsia="黑体" w:cs="黑体"/>
          <w:color w:val="000000"/>
          <w:highlight w:val="none"/>
          <w:lang w:val="en-US" w:eastAsia="zh-CN"/>
        </w:rPr>
        <w:t xml:space="preserve">4.3.2  </w:t>
      </w:r>
      <w:r>
        <w:rPr>
          <w:rFonts w:hint="eastAsia"/>
          <w:color w:val="000000"/>
          <w:highlight w:val="none"/>
        </w:rPr>
        <w:t>运营使用单位应按照安全技术规范和使用维护说明书要求，配备的在岗持证操作人员数量应满足实际运营需求，每台（套）</w:t>
      </w:r>
      <w:r>
        <w:rPr>
          <w:rFonts w:hint="eastAsia" w:hAnsi="宋体" w:cs="宋体"/>
          <w:color w:val="000000"/>
          <w:szCs w:val="21"/>
          <w:highlight w:val="none"/>
        </w:rPr>
        <w:t>大型游乐设施运行时</w:t>
      </w:r>
      <w:r>
        <w:rPr>
          <w:rFonts w:hint="eastAsia"/>
          <w:color w:val="000000"/>
          <w:highlight w:val="none"/>
        </w:rPr>
        <w:t>至少配备1名持证操作人员；涉及水上游乐设施的，还应配备救护设施及经过专业培训的救护人员，需持证的还应取得相应的资格证书；蹦极操作人员（包括教练员）应经过专业培训考核，取得相关资格证书。</w:t>
      </w:r>
    </w:p>
    <w:p>
      <w:pPr>
        <w:pStyle w:val="146"/>
        <w:numPr>
          <w:ilvl w:val="0"/>
          <w:numId w:val="0"/>
        </w:numPr>
        <w:ind w:leftChars="0"/>
        <w:rPr>
          <w:color w:val="000000"/>
          <w:highlight w:val="none"/>
        </w:rPr>
      </w:pPr>
      <w:r>
        <w:rPr>
          <w:rFonts w:hint="eastAsia" w:ascii="黑体" w:hAnsi="黑体" w:eastAsia="黑体" w:cs="黑体"/>
          <w:color w:val="000000"/>
          <w:highlight w:val="none"/>
          <w:lang w:val="en-US" w:eastAsia="zh-CN"/>
        </w:rPr>
        <w:t xml:space="preserve">4.3.3  </w:t>
      </w:r>
      <w:r>
        <w:rPr>
          <w:rFonts w:hint="eastAsia" w:hAnsi="宋体" w:cs="宋体"/>
          <w:color w:val="000000"/>
          <w:szCs w:val="21"/>
          <w:highlight w:val="none"/>
        </w:rPr>
        <w:t>运营使用单位应根据岗位职责和业务需求制定培训方案，定期对相关人员进行培训和（或）考核，经考核合格后方可上岗。主要负责人和安全生产管理人员初次安全培训时间不应少于32学时，每年再培训时间不应少于12学时。</w:t>
      </w:r>
      <w:r>
        <w:rPr>
          <w:rFonts w:hint="eastAsia" w:hAnsi="宋体"/>
          <w:color w:val="000000"/>
          <w:highlight w:val="none"/>
        </w:rPr>
        <w:t>采用包括但不限于笔试、实操等方式进行考核并保存记录，适时对培训效果进行评估并不断改进。</w:t>
      </w:r>
    </w:p>
    <w:p>
      <w:pPr>
        <w:pStyle w:val="146"/>
        <w:numPr>
          <w:ilvl w:val="0"/>
          <w:numId w:val="0"/>
        </w:numPr>
        <w:ind w:leftChars="0"/>
        <w:rPr>
          <w:color w:val="000000"/>
          <w:highlight w:val="none"/>
        </w:rPr>
      </w:pPr>
      <w:r>
        <w:rPr>
          <w:rFonts w:hint="eastAsia" w:ascii="黑体" w:hAnsi="黑体" w:eastAsia="黑体" w:cs="黑体"/>
          <w:color w:val="000000"/>
          <w:highlight w:val="none"/>
          <w:lang w:val="en-US" w:eastAsia="zh-CN"/>
        </w:rPr>
        <w:t xml:space="preserve">4.3.4  </w:t>
      </w:r>
      <w:r>
        <w:rPr>
          <w:rFonts w:hint="eastAsia"/>
          <w:color w:val="000000"/>
          <w:highlight w:val="none"/>
        </w:rPr>
        <w:t>运营使用单位应根据岗位职责在培训方案中明确培训的内容，其中安全总监和安全员培训和考核内容包括法律法规、标准和专业知识，操作人员、维护保养人员和服务人员岗前培训的内容至少包括大型游乐设施操作规程、相应的岗位责任、职业安全教育、应急操作流程和应急预案，维护保养人员培训内容包括检测和维护保养等内容。</w:t>
      </w:r>
    </w:p>
    <w:p>
      <w:pPr>
        <w:pStyle w:val="88"/>
        <w:numPr>
          <w:ilvl w:val="0"/>
          <w:numId w:val="0"/>
        </w:numPr>
        <w:spacing w:before="156" w:after="156"/>
        <w:ind w:leftChars="0"/>
        <w:rPr>
          <w:color w:val="000000"/>
          <w:highlight w:val="none"/>
        </w:rPr>
      </w:pPr>
      <w:bookmarkStart w:id="70" w:name="_Toc93485487"/>
      <w:bookmarkStart w:id="71" w:name="_Toc94252725"/>
      <w:bookmarkStart w:id="72" w:name="_Toc93485518"/>
      <w:r>
        <w:rPr>
          <w:rFonts w:hint="eastAsia"/>
          <w:color w:val="000000"/>
          <w:highlight w:val="none"/>
          <w:lang w:val="en-US" w:eastAsia="zh-CN"/>
        </w:rPr>
        <w:t xml:space="preserve">4.4 </w:t>
      </w:r>
      <w:r>
        <w:rPr>
          <w:color w:val="000000"/>
          <w:highlight w:val="none"/>
        </w:rPr>
        <w:t>使用管理要求</w:t>
      </w:r>
      <w:bookmarkEnd w:id="70"/>
      <w:bookmarkEnd w:id="71"/>
      <w:bookmarkEnd w:id="72"/>
    </w:p>
    <w:p>
      <w:pPr>
        <w:pStyle w:val="146"/>
        <w:numPr>
          <w:ilvl w:val="0"/>
          <w:numId w:val="0"/>
        </w:numPr>
        <w:ind w:leftChars="0"/>
        <w:rPr>
          <w:rFonts w:hAnsi="宋体" w:cs="宋体"/>
          <w:color w:val="000000"/>
          <w:highlight w:val="none"/>
        </w:rPr>
      </w:pPr>
      <w:r>
        <w:rPr>
          <w:rFonts w:hint="eastAsia" w:ascii="黑体" w:hAnsi="黑体" w:eastAsia="黑体" w:cs="黑体"/>
          <w:color w:val="000000"/>
          <w:szCs w:val="21"/>
          <w:highlight w:val="none"/>
          <w:lang w:val="en-US" w:eastAsia="zh-CN"/>
        </w:rPr>
        <w:t xml:space="preserve">4.4.1  </w:t>
      </w:r>
      <w:r>
        <w:rPr>
          <w:rFonts w:hint="eastAsia" w:ascii="Times New Roman"/>
          <w:color w:val="000000"/>
          <w:szCs w:val="21"/>
          <w:highlight w:val="none"/>
        </w:rPr>
        <w:t>大型游乐设施整机达到设计使用年限，仍有修理、改造价值的，应按照安全技术规范、相关产品标准及使用维护说明书的要求，经安全评估合格，且办理使用登记信息变更后，方可继续使用。</w:t>
      </w:r>
    </w:p>
    <w:p>
      <w:pPr>
        <w:pStyle w:val="146"/>
        <w:numPr>
          <w:ilvl w:val="0"/>
          <w:numId w:val="0"/>
        </w:numPr>
        <w:ind w:leftChars="0"/>
        <w:rPr>
          <w:rFonts w:hAnsi="宋体" w:cs="宋体"/>
          <w:color w:val="000000"/>
          <w:highlight w:val="none"/>
        </w:rPr>
      </w:pPr>
      <w:r>
        <w:rPr>
          <w:rFonts w:hint="eastAsia" w:ascii="黑体" w:hAnsi="黑体" w:eastAsia="黑体" w:cs="黑体"/>
          <w:color w:val="000000"/>
          <w:szCs w:val="21"/>
          <w:highlight w:val="none"/>
          <w:lang w:val="en-US" w:eastAsia="zh-CN"/>
        </w:rPr>
        <w:t xml:space="preserve">4.4.2  </w:t>
      </w:r>
      <w:r>
        <w:rPr>
          <w:rFonts w:hint="eastAsia" w:hAnsi="宋体" w:cs="宋体"/>
          <w:color w:val="000000"/>
          <w:highlight w:val="none"/>
        </w:rPr>
        <w:t>对于延长使用期限</w:t>
      </w:r>
      <w:r>
        <w:rPr>
          <w:rFonts w:hint="eastAsia" w:ascii="Times New Roman"/>
          <w:color w:val="000000"/>
          <w:szCs w:val="21"/>
          <w:highlight w:val="none"/>
        </w:rPr>
        <w:t>的大型游乐设施，其整机使用期限至多可延长1次，且延长期限不应超出原设计使用期限的一半。主要受力部件达到设计使用期限要求的，经安全评估单位对其进行检测和分析计算或测试验证，可以继续使用的，重新提出继续使用期限及继续使用条件，并确定其检查和维护保养要求，不符合使用要求的，应及时更换</w:t>
      </w:r>
      <w:r>
        <w:rPr>
          <w:rFonts w:hint="eastAsia" w:hAnsi="宋体" w:cs="宋体"/>
          <w:color w:val="000000"/>
          <w:highlight w:val="none"/>
        </w:rPr>
        <w:t>。</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4.4.3  </w:t>
      </w:r>
      <w:r>
        <w:rPr>
          <w:rFonts w:hint="eastAsia" w:hAnsi="宋体" w:cs="宋体"/>
          <w:color w:val="000000"/>
          <w:szCs w:val="21"/>
          <w:highlight w:val="none"/>
        </w:rPr>
        <w:t>运营使用单位应适时关注天气情况，对于室外大型游乐设施遇雨、雪、风、雹等极端天气，应按照使用维护说明书要求，采取必要措施，确保人员和设备安全。对于设备高度或运行高度20m以上的室外大型游乐设施在风速大于15m/s，以及承载索裹冰和风速大于8m/s的滑索，应停止运行。</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4.4.4  </w:t>
      </w:r>
      <w:r>
        <w:rPr>
          <w:rFonts w:hint="eastAsia" w:hAnsi="宋体" w:cs="宋体"/>
          <w:color w:val="000000"/>
          <w:szCs w:val="21"/>
          <w:highlight w:val="none"/>
        </w:rPr>
        <w:t>室内或夜间运行的大型游乐设施在操作和使用时，设备运行安全区域、安全通道和出入口处照明照度应符合GB 8408的要求，通道和出入口应保持通畅无阻碍。</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4.4.5  </w:t>
      </w:r>
      <w:r>
        <w:rPr>
          <w:rFonts w:hint="eastAsia" w:hAnsi="宋体" w:cs="宋体"/>
          <w:color w:val="000000"/>
          <w:szCs w:val="21"/>
          <w:highlight w:val="none"/>
        </w:rPr>
        <w:t>运营使用单位应在大型游乐设施的入口处等显著位置张贴在有效期内的特种设备使用标志、产品铭牌、安全注意事项和警示标识等，依据使用维护说明书要求注明大型游乐设施运动特点、偏载、禁忌事宜等，并对年龄、身高、体重、生理指标限定等提出明确要求。</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4.4.6  </w:t>
      </w:r>
      <w:r>
        <w:rPr>
          <w:rFonts w:hint="eastAsia" w:hAnsi="宋体" w:cs="宋体"/>
          <w:color w:val="000000"/>
          <w:szCs w:val="21"/>
          <w:highlight w:val="none"/>
        </w:rPr>
        <w:t>大型游乐设施的运行区域应用护栏或其他防护措施加以隔离，防止造成公众伤害和设备损坏。</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4.4.7  </w:t>
      </w:r>
      <w:r>
        <w:rPr>
          <w:rFonts w:hint="eastAsia" w:hAnsi="宋体"/>
          <w:color w:val="000000"/>
          <w:highlight w:val="none"/>
        </w:rPr>
        <w:t>运营使用单位应统计大型游乐设施在使用过程中发生的各类设备故障，填写大型游乐设施故障统计表（参照附录</w:t>
      </w:r>
      <w:r>
        <w:rPr>
          <w:rFonts w:hAnsi="宋体"/>
          <w:color w:val="000000"/>
          <w:highlight w:val="none"/>
        </w:rPr>
        <w:t>A表</w:t>
      </w:r>
      <w:r>
        <w:rPr>
          <w:rFonts w:hint="eastAsia" w:hAnsi="宋体"/>
          <w:color w:val="000000"/>
          <w:highlight w:val="none"/>
        </w:rPr>
        <w:t>A.1）。</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4.4.8  </w:t>
      </w:r>
      <w:r>
        <w:rPr>
          <w:rFonts w:hint="eastAsia" w:hAnsi="宋体" w:cs="宋体"/>
          <w:color w:val="000000"/>
          <w:szCs w:val="21"/>
          <w:highlight w:val="none"/>
        </w:rPr>
        <w:t>根据大型游乐设施日常维护保养、故障急修、安全管理、责任判定等需要，配备适宜数量的独立于设备供电线路的视频监控设备，监视范围宜覆盖大型游乐设施全域运行轨迹包络范围，记录操作人员、服务人员、乘客及设备运行情况，采集视频图像信息的保存期限不少于30天。</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4.4.9  </w:t>
      </w:r>
      <w:r>
        <w:rPr>
          <w:rFonts w:hint="eastAsia" w:hAnsi="宋体" w:cs="宋体"/>
          <w:color w:val="000000"/>
          <w:szCs w:val="21"/>
          <w:highlight w:val="none"/>
        </w:rPr>
        <w:t>运营使用单位应加强日常巡检，确保沿运行轨迹沿线、运行可触及附近区域的树木、涵洞等障碍物、装饰物与大型游乐设施运行轨迹可触及空间范围保持足够的安全距离。</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4.4.10  </w:t>
      </w:r>
      <w:r>
        <w:rPr>
          <w:rFonts w:hint="eastAsia" w:hAnsi="宋体" w:cs="宋体"/>
          <w:color w:val="000000"/>
          <w:szCs w:val="21"/>
          <w:highlight w:val="none"/>
        </w:rPr>
        <w:t>运营使用单位宜为大型游乐设施</w:t>
      </w:r>
      <w:r>
        <w:rPr>
          <w:rFonts w:hint="eastAsia" w:hAnsi="宋体"/>
          <w:color w:val="000000"/>
          <w:highlight w:val="none"/>
        </w:rPr>
        <w:t>及其使用人员</w:t>
      </w:r>
      <w:r>
        <w:rPr>
          <w:rFonts w:hint="eastAsia" w:hAnsi="宋体" w:cs="宋体"/>
          <w:color w:val="000000"/>
          <w:szCs w:val="21"/>
          <w:highlight w:val="none"/>
        </w:rPr>
        <w:t>投保安全责任保险，建立并完善赔偿机制。</w:t>
      </w:r>
    </w:p>
    <w:p>
      <w:pPr>
        <w:pStyle w:val="146"/>
        <w:numPr>
          <w:ilvl w:val="0"/>
          <w:numId w:val="0"/>
        </w:numPr>
        <w:ind w:leftChars="0"/>
        <w:rPr>
          <w:color w:val="000000"/>
          <w:highlight w:val="none"/>
        </w:rPr>
      </w:pPr>
      <w:r>
        <w:rPr>
          <w:rFonts w:hint="eastAsia" w:hAnsi="宋体" w:cs="宋体"/>
          <w:color w:val="000000"/>
          <w:szCs w:val="21"/>
          <w:highlight w:val="none"/>
        </w:rPr>
        <w:t>为应对重大突发卫生事件等突发事件的需要，运营使用单位</w:t>
      </w:r>
      <w:r>
        <w:rPr>
          <w:rFonts w:hint="eastAsia" w:hAnsi="宋体"/>
          <w:color w:val="000000"/>
          <w:highlight w:val="none"/>
        </w:rPr>
        <w:t>应按照相关规定</w:t>
      </w:r>
      <w:r>
        <w:rPr>
          <w:rFonts w:hint="eastAsia" w:hAnsi="宋体" w:cs="宋体"/>
          <w:color w:val="000000"/>
          <w:szCs w:val="21"/>
          <w:highlight w:val="none"/>
        </w:rPr>
        <w:t>积极采取限制客流量、人员接触设备部位消毒等防控措施。</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4.4.11  </w:t>
      </w:r>
      <w:r>
        <w:rPr>
          <w:rFonts w:hint="eastAsia" w:hAnsi="宋体" w:cs="宋体"/>
          <w:color w:val="000000"/>
          <w:szCs w:val="21"/>
          <w:highlight w:val="none"/>
        </w:rPr>
        <w:t>运营使用单位应</w:t>
      </w:r>
      <w:r>
        <w:rPr>
          <w:rFonts w:hint="eastAsia" w:hAnsi="宋体"/>
          <w:color w:val="000000"/>
          <w:highlight w:val="none"/>
        </w:rPr>
        <w:t>依</w:t>
      </w:r>
      <w:r>
        <w:rPr>
          <w:rFonts w:hint="eastAsia" w:hAnsi="宋体" w:cs="宋体"/>
          <w:color w:val="000000"/>
          <w:szCs w:val="21"/>
          <w:highlight w:val="none"/>
        </w:rPr>
        <w:t>据国家和本市风险分级管控和隐患排查治理相关要求，组织开展风险分级管控和隐患排查治理工作。</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4.4.12  </w:t>
      </w:r>
      <w:r>
        <w:rPr>
          <w:rFonts w:hint="eastAsia" w:hAnsi="宋体" w:cs="宋体"/>
          <w:color w:val="000000"/>
          <w:szCs w:val="21"/>
          <w:highlight w:val="none"/>
        </w:rPr>
        <w:t>在国家法定节假日或者开展大型活动等大型游乐设施乘坐人员高峰期前，运营使用单位应对大型游乐设施进行全面检查维护，并加强日常检查和安全值班。</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4.4.13  </w:t>
      </w:r>
      <w:r>
        <w:rPr>
          <w:rFonts w:hint="eastAsia" w:hAnsi="宋体" w:cs="宋体"/>
          <w:color w:val="000000"/>
          <w:szCs w:val="21"/>
          <w:highlight w:val="none"/>
        </w:rPr>
        <w:t>发生自然灾害危及大型游乐设施安全时，以及发生大型游乐设施安全事故后，运营使用单位应对大型游乐设施进行全面检查维护，并加强日常检查和安全值班。</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4.4.14  </w:t>
      </w:r>
      <w:r>
        <w:rPr>
          <w:rFonts w:hint="eastAsia" w:hAnsi="宋体" w:cs="宋体"/>
          <w:color w:val="000000"/>
          <w:szCs w:val="21"/>
          <w:highlight w:val="none"/>
        </w:rPr>
        <w:t>涉及到大型游乐设施移装、改造、重大修理、修理等施工的，应按照特种设备有关法律、法规和安全技术规范及相关标准的规定执行。</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4.4.15  </w:t>
      </w:r>
      <w:r>
        <w:rPr>
          <w:rFonts w:hint="eastAsia"/>
          <w:color w:val="000000"/>
          <w:highlight w:val="none"/>
        </w:rPr>
        <w:t>运营使用单位应当履行安全告知义务，每次运行前向乘客告知安全注意事项，引导乘客安全乘坐大型游乐设施，对乘客束缚装置进行检查确认，运行时密切注意乘客动态及设备运行状况，发现异常情况，应当立即采取有效措施，消除隐患。</w:t>
      </w:r>
    </w:p>
    <w:p>
      <w:pPr>
        <w:pStyle w:val="146"/>
        <w:numPr>
          <w:ilvl w:val="0"/>
          <w:numId w:val="0"/>
        </w:numPr>
        <w:ind w:leftChars="0"/>
        <w:rPr>
          <w:rFonts w:hint="eastAsia"/>
          <w:color w:val="000000"/>
          <w:highlight w:val="none"/>
        </w:rPr>
      </w:pPr>
      <w:r>
        <w:rPr>
          <w:rFonts w:hint="eastAsia" w:ascii="黑体" w:hAnsi="黑体" w:eastAsia="黑体" w:cs="黑体"/>
          <w:color w:val="000000"/>
          <w:szCs w:val="21"/>
          <w:highlight w:val="none"/>
          <w:lang w:val="en-US" w:eastAsia="zh-CN"/>
        </w:rPr>
        <w:t xml:space="preserve">4.4.16  </w:t>
      </w:r>
      <w:r>
        <w:rPr>
          <w:rFonts w:hint="eastAsia"/>
          <w:color w:val="000000"/>
          <w:highlight w:val="none"/>
        </w:rPr>
        <w:t>大型游乐设施运行期间，无关人员不应进入设备运行区域，操作人员和站台服务人员应有指定的工作区域；排队游客应与设备运行区域有效隔离。</w:t>
      </w:r>
    </w:p>
    <w:p>
      <w:pPr>
        <w:pStyle w:val="146"/>
        <w:numPr>
          <w:ilvl w:val="0"/>
          <w:numId w:val="0"/>
        </w:numPr>
        <w:ind w:leftChars="0"/>
        <w:rPr>
          <w:rFonts w:hint="eastAsia"/>
          <w:color w:val="000000"/>
          <w:highlight w:val="none"/>
        </w:rPr>
      </w:pPr>
      <w:r>
        <w:rPr>
          <w:rFonts w:hint="eastAsia" w:ascii="黑体" w:hAnsi="黑体" w:eastAsia="黑体" w:cs="黑体"/>
          <w:color w:val="000000"/>
          <w:szCs w:val="21"/>
          <w:highlight w:val="none"/>
          <w:lang w:val="en-US" w:eastAsia="zh-CN"/>
        </w:rPr>
        <w:t xml:space="preserve">4.4.17  </w:t>
      </w:r>
      <w:r>
        <w:rPr>
          <w:rFonts w:hint="eastAsia"/>
          <w:color w:val="000000"/>
          <w:highlight w:val="none"/>
          <w:lang w:eastAsia="zh-CN"/>
        </w:rPr>
        <w:t>大型游乐设施使用单位应积极主动配合监管部门监管数字化转型需求，积极配合完成智慧化监管平台的部署与应用工作，在日常工作落实数字化监管的各项要求；</w:t>
      </w:r>
    </w:p>
    <w:p>
      <w:pPr>
        <w:pStyle w:val="146"/>
        <w:numPr>
          <w:ilvl w:val="0"/>
          <w:numId w:val="0"/>
        </w:numPr>
        <w:ind w:leftChars="0"/>
        <w:rPr>
          <w:rFonts w:hint="eastAsia"/>
          <w:color w:val="000000"/>
          <w:highlight w:val="none"/>
        </w:rPr>
      </w:pPr>
      <w:r>
        <w:rPr>
          <w:rFonts w:hint="eastAsia" w:ascii="黑体" w:hAnsi="黑体" w:eastAsia="黑体" w:cs="黑体"/>
          <w:color w:val="000000"/>
          <w:szCs w:val="21"/>
          <w:highlight w:val="none"/>
          <w:lang w:val="en-US" w:eastAsia="zh-CN"/>
        </w:rPr>
        <w:t xml:space="preserve">4.4.18  </w:t>
      </w:r>
      <w:r>
        <w:rPr>
          <w:rFonts w:hint="eastAsia"/>
          <w:color w:val="000000"/>
          <w:highlight w:val="none"/>
          <w:lang w:eastAsia="zh-CN"/>
        </w:rPr>
        <w:t>大型游乐设施使用单位应主动对接设备制造单位，建立健全制造单位定期回访机制，明确回访周期，结合设备情况，每年至少回访一次，回访内容应包含机械结构安全性、电气控制系统稳定性、安全保护装置有效性等核心项目，并做好回访记录报告的归档。</w:t>
      </w:r>
    </w:p>
    <w:p>
      <w:pPr>
        <w:pStyle w:val="88"/>
        <w:numPr>
          <w:ilvl w:val="0"/>
          <w:numId w:val="0"/>
        </w:numPr>
        <w:spacing w:before="156" w:after="156"/>
        <w:ind w:leftChars="0"/>
        <w:rPr>
          <w:color w:val="000000"/>
          <w:highlight w:val="none"/>
        </w:rPr>
      </w:pPr>
      <w:bookmarkStart w:id="73" w:name="_Toc93485488"/>
      <w:bookmarkStart w:id="74" w:name="_Toc93485519"/>
      <w:bookmarkStart w:id="75" w:name="_Toc94252726"/>
      <w:r>
        <w:rPr>
          <w:rFonts w:hint="eastAsia"/>
          <w:color w:val="000000"/>
          <w:highlight w:val="none"/>
          <w:lang w:val="en-US" w:eastAsia="zh-CN"/>
        </w:rPr>
        <w:t xml:space="preserve">4.5 </w:t>
      </w:r>
      <w:r>
        <w:rPr>
          <w:color w:val="000000"/>
          <w:highlight w:val="none"/>
        </w:rPr>
        <w:t>应急管理要求</w:t>
      </w:r>
      <w:bookmarkEnd w:id="73"/>
      <w:bookmarkEnd w:id="74"/>
      <w:bookmarkEnd w:id="75"/>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4.5.1 </w:t>
      </w:r>
      <w:r>
        <w:rPr>
          <w:rFonts w:hint="eastAsia" w:hAnsi="宋体" w:cs="宋体"/>
          <w:color w:val="000000"/>
          <w:szCs w:val="21"/>
          <w:highlight w:val="none"/>
          <w:lang w:val="en-US" w:eastAsia="zh-CN"/>
        </w:rPr>
        <w:t xml:space="preserve"> </w:t>
      </w:r>
      <w:r>
        <w:rPr>
          <w:rFonts w:hint="eastAsia" w:hAnsi="宋体" w:cs="宋体"/>
          <w:color w:val="000000"/>
          <w:szCs w:val="21"/>
          <w:highlight w:val="none"/>
        </w:rPr>
        <w:t>运营使用单位应设置应急救援指挥机构，配备相应的救援人员、营救设备设施和急救物品，并确保营救设备设施和急救物品完好有效。</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4.5.2  </w:t>
      </w:r>
      <w:r>
        <w:rPr>
          <w:rFonts w:hint="eastAsia" w:hAnsi="宋体" w:cs="宋体"/>
          <w:color w:val="000000"/>
          <w:szCs w:val="21"/>
          <w:highlight w:val="none"/>
        </w:rPr>
        <w:t>运营使用单位应根据使用维护保养说明书有关要求，结合大型游乐设施的特性、使用情况，对每台（套）大型游乐设施</w:t>
      </w:r>
      <w:r>
        <w:rPr>
          <w:rFonts w:hint="eastAsia" w:hAnsi="宋体"/>
          <w:color w:val="000000"/>
          <w:highlight w:val="none"/>
        </w:rPr>
        <w:t>可能发生的故障或事故</w:t>
      </w:r>
      <w:r>
        <w:rPr>
          <w:rFonts w:hint="eastAsia" w:hAnsi="宋体" w:cs="宋体"/>
          <w:color w:val="000000"/>
          <w:szCs w:val="21"/>
          <w:highlight w:val="none"/>
        </w:rPr>
        <w:t>制定有效的应急预案，应急预案</w:t>
      </w:r>
      <w:r>
        <w:rPr>
          <w:rFonts w:hint="eastAsia" w:hAnsi="宋体"/>
          <w:color w:val="000000"/>
          <w:highlight w:val="none"/>
        </w:rPr>
        <w:t>风险识别</w:t>
      </w:r>
      <w:r>
        <w:rPr>
          <w:rFonts w:hint="eastAsia" w:hAnsi="宋体" w:cs="宋体"/>
          <w:color w:val="000000"/>
          <w:szCs w:val="21"/>
          <w:highlight w:val="none"/>
        </w:rPr>
        <w:t>内容包括但不限于以下几种情形：</w:t>
      </w:r>
    </w:p>
    <w:p>
      <w:pPr>
        <w:numPr>
          <w:ilvl w:val="0"/>
          <w:numId w:val="33"/>
        </w:numPr>
        <w:adjustRightInd/>
        <w:spacing w:line="320" w:lineRule="exact"/>
        <w:rPr>
          <w:rFonts w:ascii="宋体" w:hAnsi="宋体" w:cs="宋体"/>
          <w:color w:val="000000"/>
          <w:highlight w:val="none"/>
        </w:rPr>
      </w:pPr>
      <w:r>
        <w:rPr>
          <w:rFonts w:hint="eastAsia" w:ascii="宋体" w:hAnsi="宋体" w:cs="宋体"/>
          <w:color w:val="000000"/>
          <w:highlight w:val="none"/>
        </w:rPr>
        <w:t>动力电源断电或设备发生故障危及人员安全；</w:t>
      </w:r>
    </w:p>
    <w:p>
      <w:pPr>
        <w:numPr>
          <w:ilvl w:val="0"/>
          <w:numId w:val="33"/>
        </w:numPr>
        <w:adjustRightInd/>
        <w:spacing w:line="320" w:lineRule="exact"/>
        <w:rPr>
          <w:rFonts w:ascii="宋体" w:hAnsi="宋体" w:cs="宋体"/>
          <w:color w:val="000000"/>
          <w:highlight w:val="none"/>
        </w:rPr>
      </w:pPr>
      <w:r>
        <w:rPr>
          <w:rFonts w:hint="eastAsia" w:ascii="宋体" w:hAnsi="宋体" w:cs="宋体"/>
          <w:color w:val="000000"/>
          <w:highlight w:val="none"/>
        </w:rPr>
        <w:t>突遇大风、暴雨、雪灾、地震等自然灾害；</w:t>
      </w:r>
    </w:p>
    <w:p>
      <w:pPr>
        <w:numPr>
          <w:ilvl w:val="0"/>
          <w:numId w:val="33"/>
        </w:numPr>
        <w:adjustRightInd/>
        <w:spacing w:line="320" w:lineRule="exact"/>
        <w:rPr>
          <w:rFonts w:ascii="宋体" w:hAnsi="宋体" w:cs="宋体"/>
          <w:color w:val="000000"/>
          <w:highlight w:val="none"/>
        </w:rPr>
      </w:pPr>
      <w:r>
        <w:rPr>
          <w:rFonts w:hint="eastAsia" w:ascii="宋体" w:hAnsi="宋体" w:cs="宋体"/>
          <w:color w:val="000000"/>
          <w:highlight w:val="none"/>
        </w:rPr>
        <w:t>火灾、触电、溺亡、高空滞留（困人）等突发事件或事故；</w:t>
      </w:r>
    </w:p>
    <w:p>
      <w:pPr>
        <w:numPr>
          <w:ilvl w:val="0"/>
          <w:numId w:val="33"/>
        </w:numPr>
        <w:adjustRightInd/>
        <w:spacing w:line="320" w:lineRule="exact"/>
        <w:rPr>
          <w:rFonts w:ascii="宋体" w:hAnsi="宋体" w:cs="宋体"/>
          <w:color w:val="000000"/>
          <w:highlight w:val="none"/>
        </w:rPr>
      </w:pPr>
      <w:r>
        <w:rPr>
          <w:rFonts w:hint="eastAsia"/>
          <w:color w:val="000000"/>
          <w:highlight w:val="none"/>
        </w:rPr>
        <w:t>大型游乐设施运行过程人员突发疾病。</w:t>
      </w:r>
    </w:p>
    <w:p>
      <w:pPr>
        <w:pStyle w:val="146"/>
        <w:numPr>
          <w:ilvl w:val="0"/>
          <w:numId w:val="0"/>
        </w:numPr>
        <w:ind w:leftChars="0"/>
        <w:rPr>
          <w:rFonts w:hint="eastAsia" w:hAnsi="宋体" w:cs="宋体"/>
          <w:color w:val="000000"/>
          <w:szCs w:val="21"/>
          <w:highlight w:val="none"/>
        </w:rPr>
      </w:pPr>
      <w:r>
        <w:rPr>
          <w:rFonts w:hint="eastAsia" w:ascii="黑体" w:hAnsi="黑体" w:eastAsia="黑体" w:cs="黑体"/>
          <w:color w:val="000000"/>
          <w:szCs w:val="21"/>
          <w:highlight w:val="none"/>
          <w:lang w:val="en-US" w:eastAsia="zh-CN"/>
        </w:rPr>
        <w:t xml:space="preserve">4.5.3  </w:t>
      </w:r>
      <w:r>
        <w:rPr>
          <w:rFonts w:hint="eastAsia" w:hAnsi="宋体" w:cs="宋体"/>
          <w:color w:val="000000"/>
          <w:szCs w:val="21"/>
          <w:highlight w:val="none"/>
        </w:rPr>
        <w:t>运营使用单位应定期对救援人员进行安全教育和技能培训，内容至少包括应急故障排查、事件或事故处理、救援专业技能和安全操作方法等。</w:t>
      </w:r>
    </w:p>
    <w:p>
      <w:pPr>
        <w:pStyle w:val="146"/>
        <w:numPr>
          <w:ilvl w:val="0"/>
          <w:numId w:val="0"/>
        </w:numPr>
        <w:rPr>
          <w:color w:val="000000"/>
          <w:highlight w:val="none"/>
        </w:rPr>
      </w:pPr>
      <w:r>
        <w:rPr>
          <w:rFonts w:hint="eastAsia" w:ascii="黑体" w:hAnsi="黑体" w:eastAsia="黑体" w:cs="黑体"/>
          <w:color w:val="000000"/>
          <w:szCs w:val="21"/>
          <w:highlight w:val="none"/>
          <w:lang w:val="en-US" w:eastAsia="zh-CN"/>
        </w:rPr>
        <w:t xml:space="preserve">4.5.4 </w:t>
      </w:r>
      <w:r>
        <w:rPr>
          <w:rFonts w:hint="eastAsia" w:hAnsi="宋体" w:cs="宋体"/>
          <w:color w:val="000000"/>
          <w:szCs w:val="21"/>
          <w:highlight w:val="none"/>
          <w:lang w:val="en-US" w:eastAsia="zh-CN"/>
        </w:rPr>
        <w:t xml:space="preserve"> </w:t>
      </w:r>
      <w:r>
        <w:rPr>
          <w:rFonts w:hint="eastAsia" w:hAnsi="宋体" w:cs="宋体"/>
          <w:color w:val="000000"/>
          <w:szCs w:val="21"/>
          <w:highlight w:val="none"/>
        </w:rPr>
        <w:t>运营使用单位每年应针对每台（套）大型游乐设施可能出现的任意运行工况下的意外故障、事件或事故至少组织开展1次应急救援演练，做好记录并存档</w:t>
      </w:r>
      <w:r>
        <w:rPr>
          <w:rFonts w:hint="eastAsia" w:hAnsi="宋体"/>
          <w:color w:val="000000"/>
          <w:highlight w:val="none"/>
        </w:rPr>
        <w:t>。</w:t>
      </w:r>
      <w:r>
        <w:rPr>
          <w:rFonts w:hint="eastAsia" w:hAnsi="宋体" w:cs="宋体"/>
          <w:color w:val="000000"/>
          <w:szCs w:val="21"/>
          <w:highlight w:val="none"/>
        </w:rPr>
        <w:t>对于应急救援难度较大的大型游乐设施（如飞行塔类大型游乐实施中非液压提升的高空飞翔设备）或运营使用单位自身救援能力不足，应与消防救援等具备专业应急救援力量建立应急联动机制，制定联合应急预案，确保在规定时间内快速安全解救人员。</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4.5.5  </w:t>
      </w:r>
      <w:r>
        <w:rPr>
          <w:rFonts w:hint="eastAsia" w:hAnsi="宋体" w:cs="宋体"/>
          <w:color w:val="000000"/>
          <w:szCs w:val="21"/>
          <w:highlight w:val="none"/>
        </w:rPr>
        <w:t>应急救援演练结束后，运营使用单位应适时对救援预案的适宜性、有效性和可行性进行评估，填写大型游乐设施应急救援演练自查表（参照附录B表B.1），分析问题原因，总结提炼经验，并及时对应急救援制度和预案进行修订。</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4.5.6  </w:t>
      </w:r>
      <w:r>
        <w:rPr>
          <w:rFonts w:hint="eastAsia" w:hAnsi="宋体" w:cs="宋体"/>
          <w:color w:val="000000"/>
          <w:szCs w:val="21"/>
          <w:highlight w:val="none"/>
        </w:rPr>
        <w:t>运营使用单位</w:t>
      </w:r>
      <w:r>
        <w:rPr>
          <w:rFonts w:hint="eastAsia" w:hAnsi="宋体"/>
          <w:color w:val="000000"/>
          <w:highlight w:val="none"/>
        </w:rPr>
        <w:t>发现大型游乐设施存在故障或其他异常情况时，不得投入运行，组织相关人员排查并消除安全隐患。</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4.5.7  </w:t>
      </w:r>
      <w:r>
        <w:rPr>
          <w:rFonts w:hint="eastAsia" w:hAnsi="宋体"/>
          <w:color w:val="000000"/>
          <w:highlight w:val="none"/>
        </w:rPr>
        <w:t>运营中的大型游乐设施发生故障或事故时，</w:t>
      </w:r>
      <w:r>
        <w:rPr>
          <w:rFonts w:hint="eastAsia" w:hAnsi="宋体" w:cs="宋体"/>
          <w:color w:val="000000"/>
          <w:szCs w:val="21"/>
          <w:highlight w:val="none"/>
        </w:rPr>
        <w:t>运营使用单位</w:t>
      </w:r>
      <w:r>
        <w:rPr>
          <w:rFonts w:hint="eastAsia" w:hAnsi="宋体"/>
          <w:color w:val="000000"/>
          <w:highlight w:val="none"/>
        </w:rPr>
        <w:t>应立即启动应急救援程序，防止事故扩大，尽量减少人员伤亡和财产损失。</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4.5.8  </w:t>
      </w:r>
      <w:r>
        <w:rPr>
          <w:rFonts w:hint="eastAsia" w:hAnsi="宋体" w:cs="宋体"/>
          <w:color w:val="000000"/>
          <w:szCs w:val="21"/>
          <w:highlight w:val="none"/>
        </w:rPr>
        <w:t>运营使用单位在救援过程中应通过广播等媒介安抚乘客，简要说明救援步骤、救援安全须知等内容，防止救援过程中发生不必要的伤害事故。</w:t>
      </w:r>
    </w:p>
    <w:p>
      <w:pPr>
        <w:pStyle w:val="87"/>
        <w:numPr>
          <w:ilvl w:val="1"/>
          <w:numId w:val="0"/>
        </w:numPr>
        <w:spacing w:before="312" w:after="312"/>
        <w:rPr>
          <w:color w:val="000000"/>
          <w:highlight w:val="none"/>
        </w:rPr>
      </w:pPr>
      <w:bookmarkStart w:id="76" w:name="_Toc93485489"/>
      <w:bookmarkStart w:id="77" w:name="_Toc93485520"/>
      <w:bookmarkStart w:id="78" w:name="_Toc94252727"/>
      <w:r>
        <w:rPr>
          <w:rFonts w:hint="eastAsia"/>
          <w:color w:val="000000"/>
          <w:highlight w:val="none"/>
        </w:rPr>
        <w:t xml:space="preserve">5 </w:t>
      </w:r>
      <w:r>
        <w:rPr>
          <w:color w:val="000000"/>
          <w:highlight w:val="none"/>
        </w:rPr>
        <w:t>维护保养</w:t>
      </w:r>
      <w:bookmarkEnd w:id="76"/>
      <w:bookmarkEnd w:id="77"/>
      <w:bookmarkEnd w:id="78"/>
    </w:p>
    <w:p>
      <w:pPr>
        <w:pStyle w:val="88"/>
        <w:numPr>
          <w:ilvl w:val="0"/>
          <w:numId w:val="0"/>
        </w:numPr>
        <w:spacing w:before="156" w:after="156"/>
        <w:rPr>
          <w:color w:val="000000"/>
          <w:highlight w:val="none"/>
        </w:rPr>
      </w:pPr>
      <w:bookmarkStart w:id="79" w:name="_Toc93485490"/>
      <w:bookmarkStart w:id="80" w:name="_Toc94252728"/>
      <w:bookmarkStart w:id="81" w:name="_Toc93485521"/>
      <w:r>
        <w:rPr>
          <w:rFonts w:hint="eastAsia"/>
          <w:color w:val="000000"/>
          <w:highlight w:val="none"/>
        </w:rPr>
        <w:t>5.1</w:t>
      </w:r>
      <w:r>
        <w:rPr>
          <w:rFonts w:hint="eastAsia"/>
          <w:color w:val="000000"/>
          <w:highlight w:val="none"/>
          <w:lang w:val="en-US" w:eastAsia="zh-CN"/>
        </w:rPr>
        <w:t xml:space="preserve"> </w:t>
      </w:r>
      <w:r>
        <w:rPr>
          <w:color w:val="000000"/>
          <w:highlight w:val="none"/>
        </w:rPr>
        <w:t>一般要求</w:t>
      </w:r>
      <w:bookmarkEnd w:id="79"/>
      <w:bookmarkEnd w:id="80"/>
      <w:bookmarkEnd w:id="81"/>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 </w:t>
      </w:r>
      <w:r>
        <w:rPr>
          <w:rFonts w:hint="eastAsia" w:hAnsi="宋体" w:cs="宋体"/>
          <w:color w:val="000000"/>
          <w:szCs w:val="21"/>
          <w:highlight w:val="none"/>
          <w:lang w:val="en-US" w:eastAsia="zh-CN"/>
        </w:rPr>
        <w:t xml:space="preserve"> </w:t>
      </w:r>
      <w:r>
        <w:rPr>
          <w:rFonts w:hint="eastAsia" w:hAnsi="宋体" w:cs="宋体"/>
          <w:color w:val="000000"/>
          <w:szCs w:val="21"/>
          <w:highlight w:val="none"/>
        </w:rPr>
        <w:t>运营使用单位应建立大型游乐设施维护保养制度，按照相关安全技术规范、技术标准和使用维护说明书要求，结合设备特点和使用状况，对大型游乐设施进行经常性维护保养。按照使用维护保养说明书规定，及时更换达到失效或报废要求或到使用期限的易损件。</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5.1.2  </w:t>
      </w:r>
      <w:r>
        <w:rPr>
          <w:rFonts w:hint="eastAsia" w:hAnsi="宋体" w:cs="宋体"/>
          <w:color w:val="000000"/>
          <w:szCs w:val="21"/>
          <w:highlight w:val="none"/>
        </w:rPr>
        <w:t>运营使用单位委托第三方机构进行维护保养的，应委托具有相应能力的单位开展维护保养工作，双方应签订维护保养服务合同。</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5.1.3  </w:t>
      </w:r>
      <w:r>
        <w:rPr>
          <w:rFonts w:hint="eastAsia" w:hAnsi="宋体" w:cs="宋体"/>
          <w:color w:val="000000"/>
          <w:szCs w:val="21"/>
          <w:highlight w:val="none"/>
        </w:rPr>
        <w:t>维护保养单位应按照以下要求开展维护保养工作：</w:t>
      </w:r>
    </w:p>
    <w:p>
      <w:pPr>
        <w:pStyle w:val="155"/>
        <w:numPr>
          <w:ilvl w:val="0"/>
          <w:numId w:val="34"/>
        </w:numPr>
        <w:rPr>
          <w:color w:val="000000"/>
          <w:highlight w:val="none"/>
        </w:rPr>
      </w:pPr>
      <w:r>
        <w:rPr>
          <w:rFonts w:hint="eastAsia" w:hAnsi="宋体" w:cs="宋体"/>
          <w:color w:val="000000"/>
          <w:highlight w:val="none"/>
        </w:rPr>
        <w:t>按照维护保养制度、作业规程，制定并执行实施方案和计划；</w:t>
      </w:r>
    </w:p>
    <w:p>
      <w:pPr>
        <w:pStyle w:val="155"/>
        <w:rPr>
          <w:color w:val="000000"/>
          <w:highlight w:val="none"/>
        </w:rPr>
      </w:pPr>
      <w:r>
        <w:rPr>
          <w:rFonts w:hint="eastAsia" w:hAnsi="宋体" w:cs="宋体"/>
          <w:color w:val="000000"/>
          <w:highlight w:val="none"/>
        </w:rPr>
        <w:t>实施维护保养作业期间落实现场安全防护措施，涉及动火、用电、高空作业等特种作业的，做好现场安全监护，保证施工作业安全；</w:t>
      </w:r>
    </w:p>
    <w:p>
      <w:pPr>
        <w:pStyle w:val="155"/>
        <w:rPr>
          <w:color w:val="000000"/>
          <w:highlight w:val="none"/>
        </w:rPr>
      </w:pPr>
      <w:r>
        <w:rPr>
          <w:rFonts w:hint="eastAsia" w:hAnsi="宋体" w:cs="宋体"/>
          <w:color w:val="000000"/>
          <w:highlight w:val="none"/>
        </w:rPr>
        <w:t>配备满足实际维护保养作业需要的检测仪器、设备设施及工具，按规定进行检定或校准，并保证有效；</w:t>
      </w:r>
    </w:p>
    <w:p>
      <w:pPr>
        <w:pStyle w:val="155"/>
        <w:rPr>
          <w:color w:val="000000"/>
          <w:highlight w:val="none"/>
        </w:rPr>
      </w:pPr>
      <w:r>
        <w:rPr>
          <w:rFonts w:hint="eastAsia" w:hAnsi="宋体" w:cs="宋体"/>
          <w:color w:val="000000"/>
          <w:highlight w:val="none"/>
        </w:rPr>
        <w:t>设立与所维护保养大型游乐设施运营服务时长相适宜且至少覆盖运行时长的有效维护保养值班电话，接到故障、事件或事故报告后，维护保养人员及时抵达涉事大型游乐设施现场配合运营使用单位开展救援工作；</w:t>
      </w:r>
    </w:p>
    <w:p>
      <w:pPr>
        <w:pStyle w:val="155"/>
        <w:rPr>
          <w:color w:val="000000"/>
          <w:highlight w:val="none"/>
        </w:rPr>
      </w:pPr>
      <w:r>
        <w:rPr>
          <w:rFonts w:hint="eastAsia" w:hAnsi="宋体" w:cs="宋体"/>
          <w:color w:val="000000"/>
          <w:highlight w:val="none"/>
        </w:rPr>
        <w:t>建立每台（套）大型游乐设施维护保养记录，及时归入安全技术档案，且至少保存3个检验周期；</w:t>
      </w:r>
    </w:p>
    <w:p>
      <w:pPr>
        <w:pStyle w:val="155"/>
        <w:rPr>
          <w:color w:val="000000"/>
          <w:highlight w:val="none"/>
        </w:rPr>
      </w:pPr>
      <w:r>
        <w:rPr>
          <w:rFonts w:hint="eastAsia" w:hAnsi="宋体" w:cs="宋体"/>
          <w:color w:val="000000"/>
          <w:highlight w:val="none"/>
        </w:rPr>
        <w:t>定期对维护保养作业人员开展安全教育与业务培训，并将培训和考核记录存入人员技术档案；</w:t>
      </w:r>
    </w:p>
    <w:p>
      <w:pPr>
        <w:pStyle w:val="155"/>
        <w:rPr>
          <w:color w:val="000000"/>
          <w:highlight w:val="none"/>
        </w:rPr>
      </w:pPr>
      <w:r>
        <w:rPr>
          <w:rFonts w:hint="eastAsia" w:hAnsi="宋体" w:cs="宋体"/>
          <w:color w:val="000000"/>
          <w:highlight w:val="none"/>
        </w:rPr>
        <w:t>每年至少安排一次年度自行检查，年度自行检查应在实施定期检验前开展，年度自行检查项目及其内容根据有关安全技术规范、标准和使用维护保养说明书等确定；</w:t>
      </w:r>
    </w:p>
    <w:p>
      <w:pPr>
        <w:pStyle w:val="155"/>
        <w:rPr>
          <w:color w:val="000000"/>
          <w:highlight w:val="none"/>
        </w:rPr>
      </w:pPr>
      <w:r>
        <w:rPr>
          <w:rFonts w:hint="eastAsia" w:hAnsi="宋体" w:cs="宋体"/>
          <w:color w:val="000000"/>
          <w:highlight w:val="none"/>
        </w:rPr>
        <w:t>维护保养作业过程发现潜在风险和严重事故隐患应及时告知运营使用单位；</w:t>
      </w:r>
    </w:p>
    <w:p>
      <w:pPr>
        <w:pStyle w:val="155"/>
        <w:rPr>
          <w:color w:val="000000"/>
          <w:highlight w:val="none"/>
        </w:rPr>
      </w:pPr>
      <w:r>
        <w:rPr>
          <w:rFonts w:hint="eastAsia" w:hAnsi="宋体" w:cs="宋体"/>
          <w:color w:val="000000"/>
          <w:highlight w:val="none"/>
        </w:rPr>
        <w:t>按照相关要求，为风险分级管控和隐患排查治理提供必要的技术支持；</w:t>
      </w:r>
      <w:r>
        <w:rPr>
          <w:rFonts w:hint="eastAsia" w:hAnsi="宋体" w:cs="宋体"/>
          <w:color w:val="000000"/>
          <w:highlight w:val="none"/>
        </w:rPr>
        <w:tab/>
      </w:r>
    </w:p>
    <w:p>
      <w:pPr>
        <w:pStyle w:val="155"/>
        <w:rPr>
          <w:color w:val="000000"/>
          <w:highlight w:val="none"/>
        </w:rPr>
      </w:pPr>
      <w:r>
        <w:rPr>
          <w:rFonts w:hint="eastAsia" w:hAnsi="宋体" w:cs="宋体"/>
          <w:color w:val="000000"/>
          <w:highlight w:val="none"/>
        </w:rPr>
        <w:t>配合运营使用单位对检验机构提出的整改意见在规定时限内落实整改要求，并提供整改见证资料。</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5.1.4  </w:t>
      </w:r>
      <w:r>
        <w:rPr>
          <w:rFonts w:hint="eastAsia" w:hAnsi="宋体" w:cs="宋体"/>
          <w:color w:val="000000"/>
          <w:szCs w:val="21"/>
          <w:highlight w:val="none"/>
        </w:rPr>
        <w:t>现场维护保养作业时，宜至少2名作业人员配合作业，其中至少1名持特种设备作业人员资格证，落实包含但不限于如下现场作业安全防护措施：</w:t>
      </w:r>
    </w:p>
    <w:p>
      <w:pPr>
        <w:pStyle w:val="155"/>
        <w:numPr>
          <w:ilvl w:val="0"/>
          <w:numId w:val="35"/>
        </w:numPr>
        <w:rPr>
          <w:color w:val="000000"/>
          <w:highlight w:val="none"/>
        </w:rPr>
      </w:pPr>
      <w:r>
        <w:rPr>
          <w:rFonts w:hint="eastAsia"/>
          <w:color w:val="000000"/>
          <w:highlight w:val="none"/>
        </w:rPr>
        <w:t>确认检维修作业区域安全条件，安全作业区域应设置防护栅栏、安全警示标志；</w:t>
      </w:r>
    </w:p>
    <w:p>
      <w:pPr>
        <w:pStyle w:val="155"/>
        <w:rPr>
          <w:color w:val="000000"/>
          <w:highlight w:val="none"/>
        </w:rPr>
      </w:pPr>
      <w:r>
        <w:rPr>
          <w:rFonts w:hint="eastAsia"/>
          <w:color w:val="000000"/>
          <w:highlight w:val="none"/>
        </w:rPr>
        <w:t>涉及特种作业的，安全防护装备应配备、穿戴齐全；</w:t>
      </w:r>
    </w:p>
    <w:p>
      <w:pPr>
        <w:pStyle w:val="155"/>
        <w:rPr>
          <w:color w:val="000000"/>
          <w:highlight w:val="none"/>
        </w:rPr>
      </w:pPr>
      <w:r>
        <w:rPr>
          <w:rFonts w:hint="eastAsia"/>
          <w:color w:val="000000"/>
          <w:highlight w:val="none"/>
        </w:rPr>
        <w:t>检查电气部位的，应采取防触电措施，在主开关位置处悬挂禁止合闸标志并指定专业人员监护；</w:t>
      </w:r>
    </w:p>
    <w:p>
      <w:pPr>
        <w:pStyle w:val="155"/>
        <w:rPr>
          <w:color w:val="000000"/>
          <w:highlight w:val="none"/>
        </w:rPr>
      </w:pPr>
      <w:r>
        <w:rPr>
          <w:rFonts w:hint="eastAsia"/>
          <w:color w:val="000000"/>
          <w:highlight w:val="none"/>
        </w:rPr>
        <w:t>配备必要的消防设施，隐蔽作业空间应保证足够强度的照明；</w:t>
      </w:r>
    </w:p>
    <w:p>
      <w:pPr>
        <w:pStyle w:val="155"/>
        <w:rPr>
          <w:color w:val="000000"/>
          <w:highlight w:val="none"/>
        </w:rPr>
      </w:pPr>
      <w:r>
        <w:rPr>
          <w:rFonts w:hint="eastAsia"/>
          <w:color w:val="000000"/>
          <w:highlight w:val="none"/>
        </w:rPr>
        <w:t>严禁在大风、雷雨等极端天气条件下进行室外作业；</w:t>
      </w:r>
    </w:p>
    <w:p>
      <w:pPr>
        <w:pStyle w:val="155"/>
        <w:rPr>
          <w:color w:val="000000"/>
          <w:highlight w:val="none"/>
        </w:rPr>
      </w:pPr>
      <w:r>
        <w:rPr>
          <w:rFonts w:hint="eastAsia"/>
          <w:color w:val="000000"/>
          <w:highlight w:val="none"/>
        </w:rPr>
        <w:t>维护保养作业完成后，及时拆除临时设备设施，清理现场。</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5.1.5  </w:t>
      </w:r>
      <w:r>
        <w:rPr>
          <w:rFonts w:hint="eastAsia" w:hAnsi="宋体" w:cs="宋体"/>
          <w:color w:val="000000"/>
          <w:kern w:val="2"/>
          <w:szCs w:val="21"/>
          <w:highlight w:val="none"/>
        </w:rPr>
        <w:t>大型游乐设施生产（含制造、安装、改造、修理）单位的质量保证期服务不应代替运营使用单位的试运行、例行安全检查和日常维护保养。</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5.1.6  </w:t>
      </w:r>
      <w:r>
        <w:rPr>
          <w:rFonts w:hint="eastAsia" w:hAnsi="宋体" w:cs="宋体"/>
          <w:color w:val="000000"/>
          <w:szCs w:val="21"/>
          <w:highlight w:val="none"/>
        </w:rPr>
        <w:t>维护保养作业过程涉及到重要的轴、销轴和重要焊缝时，按照安全技术规范、技术标准和使用维护说明书要求进行无损检测。</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5.1.7  </w:t>
      </w:r>
      <w:r>
        <w:rPr>
          <w:rFonts w:hint="eastAsia" w:hAnsi="宋体" w:cs="宋体"/>
          <w:color w:val="000000"/>
          <w:szCs w:val="21"/>
          <w:highlight w:val="none"/>
        </w:rPr>
        <w:t>运营使用单位或原制造单位自行开展无损检测的，应具备无损检测资质或人员具有无损检测资质，出具的无损检测记录和报告应长期保存。</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5.1.8  </w:t>
      </w:r>
      <w:r>
        <w:rPr>
          <w:rFonts w:hint="eastAsia" w:hAnsi="宋体" w:cs="宋体"/>
          <w:color w:val="000000"/>
          <w:szCs w:val="21"/>
          <w:highlight w:val="none"/>
        </w:rPr>
        <w:t>运营使用单位或维护保养单位委托其它单位开展无损检测的，被委托单位应具备无损检测资质，由被委托单位出具的无损检测记录和报告应长期保存。</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5.1.9  </w:t>
      </w:r>
      <w:r>
        <w:rPr>
          <w:rFonts w:hint="eastAsia" w:hAnsi="宋体" w:cs="宋体"/>
          <w:color w:val="000000"/>
          <w:szCs w:val="21"/>
          <w:highlight w:val="none"/>
          <w:lang w:val="zh-CN" w:bidi="zh-CN"/>
        </w:rPr>
        <w:t>大型游乐设施维护保养记录可采用纸质或电子形式，</w:t>
      </w:r>
      <w:r>
        <w:rPr>
          <w:rFonts w:hint="eastAsia" w:hAnsi="宋体" w:cs="宋体"/>
          <w:color w:val="000000"/>
          <w:szCs w:val="21"/>
          <w:highlight w:val="none"/>
        </w:rPr>
        <w:t>维护保养记录格式、内容和要求应当符合法律法规、安全技术规范、标准和使用维护说明书的要求。</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5.1.10  </w:t>
      </w:r>
      <w:r>
        <w:rPr>
          <w:rFonts w:hint="eastAsia" w:hAnsi="宋体" w:cs="宋体"/>
          <w:color w:val="000000"/>
          <w:szCs w:val="21"/>
          <w:highlight w:val="none"/>
        </w:rPr>
        <w:t>采用信息化技术实现无纸化大型游乐设施维护保养记录系统的，其数据在保存过程中不得有任何程度和形式的更改，确保储存数据的公正、客观和安全，具有可追溯性，并可实时进行查询。</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5.1.11  </w:t>
      </w:r>
      <w:r>
        <w:rPr>
          <w:rFonts w:hint="eastAsia" w:hAnsi="宋体" w:cs="宋体"/>
          <w:color w:val="000000"/>
          <w:szCs w:val="21"/>
          <w:highlight w:val="none"/>
        </w:rPr>
        <w:t>大型游乐设施维护保养单位宜通过物联网等信息化技术手段实时在线监测大型游乐设施的运行参数、健康状况，分析诊断大型游乐设施的故障情况、劣化趋势、性能状态等，适时实施预测性维护保养，弥补计划性维护保养的不足。</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5.1.12  </w:t>
      </w:r>
      <w:r>
        <w:rPr>
          <w:rFonts w:hint="eastAsia" w:hAnsi="宋体" w:cs="宋体"/>
          <w:color w:val="000000"/>
          <w:szCs w:val="21"/>
          <w:highlight w:val="none"/>
        </w:rPr>
        <w:t>维护保养作业过程发现故障或异常情况时，</w:t>
      </w:r>
      <w:r>
        <w:rPr>
          <w:rFonts w:hint="eastAsia" w:hAnsi="宋体"/>
          <w:color w:val="000000"/>
          <w:highlight w:val="none"/>
        </w:rPr>
        <w:t>应立即停止使用，</w:t>
      </w:r>
      <w:r>
        <w:rPr>
          <w:rFonts w:hint="eastAsia" w:hAnsi="宋体" w:cs="宋体"/>
          <w:color w:val="000000"/>
          <w:szCs w:val="21"/>
          <w:highlight w:val="none"/>
        </w:rPr>
        <w:t>及时报告使用单位安全管理人员，组织相关人员分析查找原因，隐患未消除前不得投入使用。</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5.1.13  </w:t>
      </w:r>
      <w:r>
        <w:rPr>
          <w:rFonts w:hint="eastAsia" w:hAnsi="宋体" w:cs="宋体"/>
          <w:color w:val="000000"/>
          <w:szCs w:val="21"/>
          <w:highlight w:val="none"/>
        </w:rPr>
        <w:t>大型游乐设施维护保养项目(内容)和要求应根据安全技术规范、标准及使用维护保养说明书要求，结合本单位大型游乐设施使用情况、安全状况和运动特点，制定符合本单位实际的维护保养计划和实施方案。对于大型游乐设施滑行车类中单车滑行车系列和多车滑行车系列的A级设备，运营使用单位在每日设备运行前应对制动装置、驱动装置、提升或弹射装置、联锁保护装置的功能进行测试，对止逆行装置、侧轮间隙、制动板固定和位置、车轮磨损情况进行检查。</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5.1.14  </w:t>
      </w:r>
      <w:r>
        <w:rPr>
          <w:rFonts w:hint="eastAsia" w:hAnsi="宋体" w:cs="宋体"/>
          <w:color w:val="000000"/>
          <w:szCs w:val="21"/>
          <w:highlight w:val="none"/>
        </w:rPr>
        <w:t>维护保养单位应借鉴国内外已发生的大型游乐设施故障或事故产生原因，结合大型游乐设施先进技术的发展、应用趋势，</w:t>
      </w:r>
      <w:r>
        <w:rPr>
          <w:rFonts w:hint="eastAsia" w:hAnsi="宋体"/>
          <w:color w:val="000000"/>
          <w:highlight w:val="none"/>
        </w:rPr>
        <w:t>适时评估维护保养制度、操作规程、计划和实施方案的适宜性和有效性</w:t>
      </w:r>
      <w:r>
        <w:rPr>
          <w:rFonts w:hint="eastAsia" w:hAnsi="宋体" w:cs="宋体"/>
          <w:color w:val="000000"/>
          <w:szCs w:val="21"/>
          <w:highlight w:val="none"/>
        </w:rPr>
        <w:t>。</w:t>
      </w:r>
    </w:p>
    <w:p>
      <w:pPr>
        <w:pStyle w:val="146"/>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5.1.15  </w:t>
      </w:r>
      <w:r>
        <w:rPr>
          <w:rFonts w:hint="eastAsia" w:hAnsi="宋体" w:cs="宋体"/>
          <w:color w:val="000000"/>
          <w:szCs w:val="21"/>
          <w:highlight w:val="none"/>
        </w:rPr>
        <w:t>本文件5.1.13、5.1.14未涉及或未明确规定的，运营使用单位可以参照包括但不限于本文件5.2有关内容及要求，结合本单位不同类型大型游乐设施具体特点和使用情况，合理确定适合本单位大型游乐设施维护保养周期、频次、项目和内容，填写大型游乐设施基本信息（参照附录C表C.1）和大型游乐设施日常维护保养记录（参照附录D表D.1）。</w:t>
      </w:r>
    </w:p>
    <w:p>
      <w:pPr>
        <w:pStyle w:val="88"/>
        <w:numPr>
          <w:ilvl w:val="0"/>
          <w:numId w:val="0"/>
        </w:numPr>
        <w:spacing w:before="156" w:after="156"/>
        <w:rPr>
          <w:color w:val="000000"/>
          <w:highlight w:val="none"/>
        </w:rPr>
      </w:pPr>
      <w:bookmarkStart w:id="82" w:name="_Toc94252729"/>
      <w:bookmarkStart w:id="83" w:name="_Toc93485522"/>
      <w:bookmarkStart w:id="84" w:name="_Toc93485491"/>
      <w:r>
        <w:rPr>
          <w:rFonts w:hint="eastAsia"/>
          <w:color w:val="000000"/>
          <w:highlight w:val="none"/>
          <w:lang w:val="en-US" w:eastAsia="zh-CN"/>
        </w:rPr>
        <w:t xml:space="preserve">5.2  </w:t>
      </w:r>
      <w:r>
        <w:rPr>
          <w:color w:val="000000"/>
          <w:highlight w:val="none"/>
        </w:rPr>
        <w:t>维护保养内容及要求</w:t>
      </w:r>
      <w:bookmarkEnd w:id="82"/>
      <w:bookmarkEnd w:id="83"/>
      <w:bookmarkEnd w:id="84"/>
    </w:p>
    <w:p>
      <w:pPr>
        <w:pStyle w:val="53"/>
        <w:numPr>
          <w:ilvl w:val="3"/>
          <w:numId w:val="0"/>
        </w:numPr>
        <w:spacing w:before="156" w:after="156"/>
        <w:ind w:leftChars="0"/>
        <w:rPr>
          <w:color w:val="000000"/>
          <w:highlight w:val="none"/>
        </w:rPr>
      </w:pPr>
      <w:bookmarkStart w:id="85" w:name="_Toc93485492"/>
      <w:r>
        <w:rPr>
          <w:rFonts w:hint="eastAsia"/>
          <w:color w:val="000000"/>
          <w:highlight w:val="none"/>
          <w:lang w:val="en-US" w:eastAsia="zh-CN"/>
        </w:rPr>
        <w:t xml:space="preserve">5.2.1  </w:t>
      </w:r>
      <w:r>
        <w:rPr>
          <w:color w:val="000000"/>
          <w:highlight w:val="none"/>
        </w:rPr>
        <w:t>结构件</w:t>
      </w:r>
      <w:bookmarkEnd w:id="85"/>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5.1.1.1  </w:t>
      </w:r>
      <w:r>
        <w:rPr>
          <w:rFonts w:hint="eastAsia" w:hAnsi="宋体" w:cs="宋体"/>
          <w:color w:val="000000"/>
          <w:szCs w:val="21"/>
          <w:highlight w:val="none"/>
        </w:rPr>
        <w:t>柱、梁、桁架等钢结构件无严重锈蚀、变形、移位等，斜拉结构件拉紧适度、固定牢靠、无松脱，表面涂装无脱漆、开裂、起皮等。</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5.1.1.2  </w:t>
      </w:r>
      <w:r>
        <w:rPr>
          <w:rFonts w:hint="eastAsia" w:hAnsi="宋体" w:cs="宋体"/>
          <w:color w:val="000000"/>
          <w:szCs w:val="21"/>
          <w:highlight w:val="none"/>
        </w:rPr>
        <w:t>玻璃钢件无GB 8408规定的各类缺欠等。</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5.1.1.3  </w:t>
      </w:r>
      <w:r>
        <w:rPr>
          <w:rFonts w:hint="eastAsia" w:hAnsi="宋体" w:cs="宋体"/>
          <w:color w:val="000000"/>
          <w:szCs w:val="21"/>
          <w:highlight w:val="none"/>
        </w:rPr>
        <w:t>焊缝无裂纹、锈蚀、损伤等；立柱、连接法兰、底座等焊缝无裂纹等缺欠。</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5.1.1.4  </w:t>
      </w:r>
      <w:r>
        <w:rPr>
          <w:rFonts w:hint="eastAsia" w:hAnsi="宋体" w:cs="宋体"/>
          <w:color w:val="000000"/>
          <w:szCs w:val="21"/>
          <w:highlight w:val="none"/>
        </w:rPr>
        <w:t>螺栓、销等连接无松脱、锈蚀、变形，拧紧适度等；高强度螺栓预紧力符合要求。</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5.1.1.5  </w:t>
      </w:r>
      <w:r>
        <w:rPr>
          <w:rFonts w:hint="eastAsia" w:hAnsi="宋体" w:cs="宋体"/>
          <w:color w:val="000000"/>
          <w:szCs w:val="21"/>
          <w:highlight w:val="none"/>
        </w:rPr>
        <w:t>增强刚度用的可调节斜拉索张紧适度、无松弛、异常变形等，多根钢索张紧程度保持协调。</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5.1.1.6  </w:t>
      </w:r>
      <w:r>
        <w:rPr>
          <w:rFonts w:hint="eastAsia" w:hAnsi="宋体" w:cs="宋体"/>
          <w:color w:val="000000"/>
          <w:szCs w:val="21"/>
          <w:highlight w:val="none"/>
        </w:rPr>
        <w:t>钢结构件与低洼等隐蔽位置基础连接处无积水，防腐防锈措施完好。</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5.1.1.6  </w:t>
      </w:r>
      <w:r>
        <w:rPr>
          <w:rFonts w:hint="eastAsia" w:hAnsi="宋体" w:cs="宋体"/>
          <w:color w:val="000000"/>
          <w:szCs w:val="21"/>
          <w:highlight w:val="none"/>
        </w:rPr>
        <w:t>木材、工程塑料、橡胶、玻璃等无异常形式的失效。</w:t>
      </w:r>
    </w:p>
    <w:p>
      <w:pPr>
        <w:pStyle w:val="53"/>
        <w:numPr>
          <w:ilvl w:val="3"/>
          <w:numId w:val="0"/>
        </w:numPr>
        <w:spacing w:before="156" w:after="156"/>
        <w:ind w:leftChars="0"/>
        <w:rPr>
          <w:color w:val="000000"/>
          <w:highlight w:val="none"/>
        </w:rPr>
      </w:pPr>
      <w:bookmarkStart w:id="86" w:name="_Toc93485493"/>
      <w:r>
        <w:rPr>
          <w:rFonts w:hint="eastAsia"/>
          <w:color w:val="000000"/>
          <w:highlight w:val="none"/>
          <w:lang w:val="en-US" w:eastAsia="zh-CN"/>
        </w:rPr>
        <w:t xml:space="preserve">5.2.2  </w:t>
      </w:r>
      <w:r>
        <w:rPr>
          <w:color w:val="000000"/>
          <w:highlight w:val="none"/>
        </w:rPr>
        <w:t>连接件</w:t>
      </w:r>
      <w:bookmarkEnd w:id="86"/>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5.2.2.1  </w:t>
      </w:r>
      <w:r>
        <w:rPr>
          <w:rFonts w:hint="eastAsia" w:hAnsi="宋体" w:cs="宋体"/>
          <w:color w:val="000000"/>
          <w:szCs w:val="21"/>
          <w:highlight w:val="none"/>
        </w:rPr>
        <w:t>连接螺栓防松、防脱措施有效可靠，防松标记完好；无腐蚀、锈蚀、缺少等；高强度螺栓预紧力符合标准要求。</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5.2.2.2  </w:t>
      </w:r>
      <w:r>
        <w:rPr>
          <w:rFonts w:hint="eastAsia" w:hAnsi="宋体" w:cs="宋体"/>
          <w:color w:val="000000"/>
          <w:szCs w:val="21"/>
          <w:highlight w:val="none"/>
        </w:rPr>
        <w:t>销轴连接防脱落措施有效可靠；无严重磨损、疲劳裂纹迹象。</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5.2.2.3  </w:t>
      </w:r>
      <w:r>
        <w:rPr>
          <w:rFonts w:hint="eastAsia" w:hAnsi="宋体" w:cs="宋体"/>
          <w:color w:val="000000"/>
          <w:szCs w:val="21"/>
          <w:highlight w:val="none"/>
        </w:rPr>
        <w:t>重要轴、销轴磨损、锈蚀量应符合GB 8408规定。</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5.2.2.4  </w:t>
      </w:r>
      <w:r>
        <w:rPr>
          <w:rFonts w:hint="eastAsia" w:hAnsi="宋体" w:cs="宋体"/>
          <w:color w:val="000000"/>
          <w:szCs w:val="21"/>
          <w:highlight w:val="none"/>
        </w:rPr>
        <w:t>铆钉连接无松动、剪切移位现象。</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5.2.2.5  </w:t>
      </w:r>
      <w:r>
        <w:rPr>
          <w:rFonts w:hint="eastAsia" w:hAnsi="宋体" w:cs="宋体"/>
          <w:color w:val="000000"/>
          <w:szCs w:val="21"/>
          <w:highlight w:val="none"/>
        </w:rPr>
        <w:t>开口销无松脱、折断、脱槽、变形、缺失等。</w:t>
      </w:r>
    </w:p>
    <w:p>
      <w:pPr>
        <w:pStyle w:val="53"/>
        <w:numPr>
          <w:ilvl w:val="3"/>
          <w:numId w:val="0"/>
        </w:numPr>
        <w:spacing w:before="156" w:after="156"/>
        <w:ind w:leftChars="0"/>
        <w:rPr>
          <w:rFonts w:hAnsi="黑体" w:cs="宋体"/>
          <w:bCs/>
          <w:color w:val="000000"/>
          <w:szCs w:val="21"/>
          <w:highlight w:val="none"/>
        </w:rPr>
      </w:pPr>
      <w:bookmarkStart w:id="87" w:name="_Toc93485494"/>
      <w:bookmarkStart w:id="88" w:name="_Toc90843754"/>
      <w:r>
        <w:rPr>
          <w:rFonts w:hint="eastAsia" w:hAnsi="黑体" w:cs="宋体"/>
          <w:bCs/>
          <w:color w:val="000000"/>
          <w:szCs w:val="21"/>
          <w:highlight w:val="none"/>
          <w:lang w:val="en-US" w:eastAsia="zh-CN"/>
        </w:rPr>
        <w:t xml:space="preserve">5.2.3  </w:t>
      </w:r>
      <w:r>
        <w:rPr>
          <w:rFonts w:hint="eastAsia" w:hAnsi="黑体" w:cs="宋体"/>
          <w:bCs/>
          <w:color w:val="000000"/>
          <w:szCs w:val="21"/>
          <w:highlight w:val="none"/>
        </w:rPr>
        <w:t>机械驱动/传动系统</w:t>
      </w:r>
      <w:bookmarkEnd w:id="87"/>
      <w:bookmarkEnd w:id="88"/>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5.2.3.1 </w:t>
      </w:r>
      <w:r>
        <w:rPr>
          <w:rFonts w:hint="eastAsia" w:hAnsi="宋体" w:cs="宋体"/>
          <w:color w:val="000000"/>
          <w:szCs w:val="21"/>
          <w:highlight w:val="none"/>
        </w:rPr>
        <w:t>电机、减速器、联轴器、离合器等无异常温升，无异常振动、噪声，油箱油位正常，密封可靠、无渗漏；联轴器连接状态良好、无松动，轴向和端向间隙符合要求。</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5.2.3.2 </w:t>
      </w:r>
      <w:r>
        <w:rPr>
          <w:rFonts w:hint="eastAsia" w:hAnsi="宋体" w:cs="宋体"/>
          <w:color w:val="000000"/>
          <w:szCs w:val="21"/>
          <w:highlight w:val="none"/>
        </w:rPr>
        <w:t>齿轮表面无断齿、塑性变形、超标磨损等损伤及异常冲击现象，齿面润滑良好，无偏啮合、磨损。</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5.2.3.3  </w:t>
      </w:r>
      <w:r>
        <w:rPr>
          <w:rFonts w:hint="eastAsia" w:hAnsi="宋体" w:cs="宋体"/>
          <w:color w:val="000000"/>
          <w:szCs w:val="21"/>
          <w:highlight w:val="none"/>
        </w:rPr>
        <w:t>传动皮带（三角带、齿形带等）传动平稳，无打滑、超标磨损、老化、开裂、跑偏等，皮带弯折部门根部无剥离等损伤；多根皮带张紧应协调。</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5.2.3.4  </w:t>
      </w:r>
      <w:r>
        <w:rPr>
          <w:rFonts w:hint="eastAsia" w:hAnsi="宋体" w:cs="宋体"/>
          <w:color w:val="000000"/>
          <w:szCs w:val="21"/>
          <w:highlight w:val="none"/>
        </w:rPr>
        <w:t>链条润滑良好、运行平稳、无异常跳齿；链轮无断齿、缺失等；多根链条张紧应协调；链条、链轮及其附件磨损量符合要求。</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5.2.3.5  </w:t>
      </w:r>
      <w:r>
        <w:rPr>
          <w:rFonts w:hint="eastAsia" w:hAnsi="宋体" w:cs="宋体"/>
          <w:color w:val="000000"/>
          <w:szCs w:val="21"/>
          <w:highlight w:val="none"/>
        </w:rPr>
        <w:t>轴承润滑良好，润滑部位无渗漏油，运转无异常响声、振动；轴端和油孔处温升符合要求。</w:t>
      </w:r>
    </w:p>
    <w:p>
      <w:pPr>
        <w:pStyle w:val="53"/>
        <w:numPr>
          <w:ilvl w:val="3"/>
          <w:numId w:val="0"/>
        </w:numPr>
        <w:spacing w:before="156" w:after="156"/>
        <w:ind w:leftChars="0"/>
        <w:rPr>
          <w:rFonts w:hAnsi="黑体" w:cs="宋体"/>
          <w:bCs/>
          <w:color w:val="000000"/>
          <w:szCs w:val="21"/>
          <w:highlight w:val="none"/>
        </w:rPr>
      </w:pPr>
      <w:bookmarkStart w:id="89" w:name="_Toc90843755"/>
      <w:bookmarkStart w:id="90" w:name="_Toc93485495"/>
      <w:r>
        <w:rPr>
          <w:rFonts w:hint="eastAsia" w:hAnsi="黑体" w:cs="宋体"/>
          <w:bCs/>
          <w:color w:val="000000"/>
          <w:szCs w:val="21"/>
          <w:highlight w:val="none"/>
          <w:lang w:val="en-US" w:eastAsia="zh-CN"/>
        </w:rPr>
        <w:t xml:space="preserve">5.2.4  </w:t>
      </w:r>
      <w:r>
        <w:rPr>
          <w:rFonts w:hint="eastAsia" w:hAnsi="黑体" w:cs="宋体"/>
          <w:bCs/>
          <w:color w:val="000000"/>
          <w:szCs w:val="21"/>
          <w:highlight w:val="none"/>
        </w:rPr>
        <w:t>导轨导向系统</w:t>
      </w:r>
      <w:bookmarkEnd w:id="89"/>
      <w:bookmarkEnd w:id="90"/>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5.2.4.1 </w:t>
      </w:r>
      <w:r>
        <w:rPr>
          <w:rFonts w:hint="eastAsia" w:hAnsi="宋体" w:cs="宋体"/>
          <w:color w:val="000000"/>
          <w:szCs w:val="21"/>
          <w:highlight w:val="none"/>
          <w:lang w:val="en-US" w:eastAsia="zh-CN"/>
        </w:rPr>
        <w:t xml:space="preserve"> </w:t>
      </w:r>
      <w:r>
        <w:rPr>
          <w:rFonts w:hint="eastAsia" w:hAnsi="宋体" w:cs="宋体"/>
          <w:color w:val="000000"/>
          <w:szCs w:val="21"/>
          <w:highlight w:val="none"/>
        </w:rPr>
        <w:t>导向轨道无异常变形、划痕、啃轨等，表面润滑状态良好（如需润滑）、无卡阻</w:t>
      </w:r>
      <w:r>
        <w:rPr>
          <w:rFonts w:hint="eastAsia" w:hAnsi="宋体" w:cs="宋体"/>
          <w:b/>
          <w:color w:val="000000"/>
          <w:szCs w:val="21"/>
          <w:highlight w:val="none"/>
        </w:rPr>
        <w:t>。</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5.2.4.2  </w:t>
      </w:r>
      <w:r>
        <w:rPr>
          <w:rFonts w:hint="eastAsia" w:hAnsi="宋体" w:cs="宋体"/>
          <w:color w:val="000000"/>
          <w:szCs w:val="21"/>
          <w:highlight w:val="none"/>
        </w:rPr>
        <w:t>连接螺栓无松脱、缺失、锈蚀等；导向轮系（含行走轮、侧轮、导向轮、防侧倾轮等）。</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5.2.4.3  </w:t>
      </w:r>
      <w:r>
        <w:rPr>
          <w:rFonts w:hint="eastAsia" w:hAnsi="宋体" w:cs="宋体"/>
          <w:color w:val="000000"/>
          <w:szCs w:val="21"/>
          <w:highlight w:val="none"/>
        </w:rPr>
        <w:t>聚氨酯、尼龙、橡胶等材质轮圈无严重磨损、老化、损坏、老化等，与导轨间隙调整适当；轴承润滑状态良好，无卡滞、过热等；轮毂、轮架无裂纹、锈蚀等现象。</w:t>
      </w:r>
    </w:p>
    <w:p>
      <w:pPr>
        <w:pStyle w:val="53"/>
        <w:numPr>
          <w:ilvl w:val="3"/>
          <w:numId w:val="0"/>
        </w:numPr>
        <w:spacing w:before="156" w:after="156"/>
        <w:ind w:leftChars="0"/>
        <w:rPr>
          <w:color w:val="000000"/>
          <w:highlight w:val="none"/>
        </w:rPr>
      </w:pPr>
      <w:bookmarkStart w:id="91" w:name="_Toc93485496"/>
      <w:r>
        <w:rPr>
          <w:rFonts w:hint="eastAsia" w:ascii="黑体" w:hAnsi="黑体" w:eastAsia="黑体" w:cs="黑体"/>
          <w:color w:val="000000"/>
          <w:szCs w:val="21"/>
          <w:highlight w:val="none"/>
          <w:lang w:val="en-US" w:eastAsia="zh-CN"/>
        </w:rPr>
        <w:t>5.2.</w:t>
      </w:r>
      <w:r>
        <w:rPr>
          <w:rFonts w:hint="eastAsia" w:hAnsi="黑体" w:cs="黑体"/>
          <w:color w:val="000000"/>
          <w:szCs w:val="21"/>
          <w:highlight w:val="none"/>
          <w:lang w:val="en-US" w:eastAsia="zh-CN"/>
        </w:rPr>
        <w:t>5</w:t>
      </w:r>
      <w:r>
        <w:rPr>
          <w:rFonts w:hint="eastAsia" w:ascii="黑体" w:hAnsi="黑体" w:eastAsia="黑体" w:cs="黑体"/>
          <w:color w:val="000000"/>
          <w:szCs w:val="21"/>
          <w:highlight w:val="none"/>
          <w:lang w:val="en-US" w:eastAsia="zh-CN"/>
        </w:rPr>
        <w:t xml:space="preserve"> </w:t>
      </w:r>
      <w:r>
        <w:rPr>
          <w:color w:val="000000"/>
          <w:highlight w:val="none"/>
        </w:rPr>
        <w:t>提升系统</w:t>
      </w:r>
      <w:bookmarkEnd w:id="91"/>
    </w:p>
    <w:p>
      <w:pPr>
        <w:pStyle w:val="145"/>
        <w:numPr>
          <w:ilvl w:val="0"/>
          <w:numId w:val="0"/>
        </w:numPr>
        <w:ind w:leftChars="0"/>
        <w:rPr>
          <w:color w:val="000000"/>
          <w:highlight w:val="none"/>
        </w:rPr>
      </w:pPr>
      <w:r>
        <w:rPr>
          <w:rFonts w:hint="eastAsia" w:ascii="黑体" w:hAnsi="黑体" w:eastAsia="黑体" w:cs="黑体"/>
          <w:color w:val="000000"/>
          <w:sz w:val="21"/>
          <w:szCs w:val="21"/>
          <w:highlight w:val="none"/>
          <w:lang w:val="en-US" w:eastAsia="zh-CN" w:bidi="ar-SA"/>
        </w:rPr>
        <w:t>5.2.5.1</w:t>
      </w:r>
      <w:r>
        <w:rPr>
          <w:rFonts w:hint="eastAsia" w:hAnsi="黑体" w:cs="黑体"/>
          <w:color w:val="000000"/>
          <w:szCs w:val="21"/>
          <w:highlight w:val="none"/>
          <w:lang w:val="en-US" w:eastAsia="zh-CN"/>
        </w:rPr>
        <w:t xml:space="preserve">  </w:t>
      </w:r>
      <w:r>
        <w:rPr>
          <w:rFonts w:hint="eastAsia" w:hAnsi="宋体" w:cs="宋体"/>
          <w:color w:val="000000"/>
          <w:szCs w:val="21"/>
          <w:highlight w:val="none"/>
        </w:rPr>
        <w:t>摩擦轮表面无破损、超标磨损，张紧适度、无相对滑动。</w:t>
      </w:r>
    </w:p>
    <w:p>
      <w:pPr>
        <w:pStyle w:val="145"/>
        <w:numPr>
          <w:ilvl w:val="0"/>
          <w:numId w:val="0"/>
        </w:numPr>
        <w:ind w:leftChars="0"/>
        <w:rPr>
          <w:color w:val="000000"/>
          <w:highlight w:val="none"/>
        </w:rPr>
      </w:pPr>
      <w:r>
        <w:rPr>
          <w:rFonts w:hint="eastAsia" w:ascii="黑体" w:hAnsi="黑体" w:eastAsia="黑体" w:cs="黑体"/>
          <w:color w:val="000000"/>
          <w:sz w:val="21"/>
          <w:szCs w:val="21"/>
          <w:highlight w:val="none"/>
          <w:lang w:val="en-US" w:eastAsia="zh-CN" w:bidi="ar-SA"/>
        </w:rPr>
        <w:t>5.2.5.2</w:t>
      </w:r>
      <w:r>
        <w:rPr>
          <w:rFonts w:hint="eastAsia" w:hAnsi="黑体" w:cs="黑体"/>
          <w:color w:val="000000"/>
          <w:szCs w:val="21"/>
          <w:highlight w:val="none"/>
          <w:lang w:val="en-US" w:eastAsia="zh-CN"/>
        </w:rPr>
        <w:t xml:space="preserve">  </w:t>
      </w:r>
      <w:r>
        <w:rPr>
          <w:rFonts w:hint="eastAsia" w:hAnsi="宋体" w:cs="宋体"/>
          <w:color w:val="000000"/>
          <w:szCs w:val="21"/>
          <w:highlight w:val="none"/>
        </w:rPr>
        <w:t>依靠摩擦力驱动的曳引轮槽无缺损，无影响曳引能力的异常磨损；防跳装置固定可靠、有效；需添加指定摩擦剂以增大曳引力或摩擦力的，按规定及时添加。</w:t>
      </w:r>
    </w:p>
    <w:p>
      <w:pPr>
        <w:pStyle w:val="145"/>
        <w:numPr>
          <w:ilvl w:val="0"/>
          <w:numId w:val="0"/>
        </w:numPr>
        <w:ind w:leftChars="0"/>
        <w:rPr>
          <w:color w:val="000000"/>
          <w:highlight w:val="none"/>
        </w:rPr>
      </w:pPr>
      <w:r>
        <w:rPr>
          <w:rFonts w:hint="eastAsia" w:ascii="黑体" w:hAnsi="黑体" w:eastAsia="黑体" w:cs="黑体"/>
          <w:color w:val="000000"/>
          <w:sz w:val="21"/>
          <w:szCs w:val="21"/>
          <w:highlight w:val="none"/>
          <w:lang w:val="en-US" w:eastAsia="zh-CN" w:bidi="ar-SA"/>
        </w:rPr>
        <w:t>5.2.5.3</w:t>
      </w:r>
      <w:r>
        <w:rPr>
          <w:rFonts w:hint="eastAsia" w:hAnsi="黑体" w:cs="黑体"/>
          <w:color w:val="000000"/>
          <w:szCs w:val="21"/>
          <w:highlight w:val="none"/>
          <w:lang w:val="en-US" w:eastAsia="zh-CN"/>
        </w:rPr>
        <w:t xml:space="preserve">  </w:t>
      </w:r>
      <w:r>
        <w:rPr>
          <w:rFonts w:hint="eastAsia" w:hAnsi="宋体" w:cs="宋体"/>
          <w:color w:val="000000"/>
          <w:szCs w:val="21"/>
          <w:highlight w:val="none"/>
        </w:rPr>
        <w:t>钢丝绳无GB 8408中规定的各类报废现象；端部固定牢靠，绳卡无松脱、缺失等。</w:t>
      </w:r>
    </w:p>
    <w:p>
      <w:pPr>
        <w:pStyle w:val="145"/>
        <w:numPr>
          <w:ilvl w:val="0"/>
          <w:numId w:val="0"/>
        </w:numPr>
        <w:ind w:leftChars="0"/>
        <w:rPr>
          <w:color w:val="000000"/>
          <w:highlight w:val="none"/>
        </w:rPr>
      </w:pPr>
      <w:r>
        <w:rPr>
          <w:rFonts w:hint="eastAsia" w:ascii="黑体" w:hAnsi="黑体" w:eastAsia="黑体" w:cs="黑体"/>
          <w:color w:val="000000"/>
          <w:sz w:val="21"/>
          <w:szCs w:val="21"/>
          <w:highlight w:val="none"/>
          <w:lang w:val="en-US" w:eastAsia="zh-CN" w:bidi="ar-SA"/>
        </w:rPr>
        <w:t>5.2.5.4</w:t>
      </w:r>
      <w:r>
        <w:rPr>
          <w:rFonts w:hint="eastAsia" w:hAnsi="黑体" w:cs="黑体"/>
          <w:color w:val="000000"/>
          <w:szCs w:val="21"/>
          <w:highlight w:val="none"/>
          <w:lang w:val="en-US" w:eastAsia="zh-CN"/>
        </w:rPr>
        <w:t xml:space="preserve">  </w:t>
      </w:r>
      <w:r>
        <w:rPr>
          <w:rFonts w:hint="eastAsia" w:hAnsi="宋体" w:cs="宋体"/>
          <w:color w:val="000000"/>
          <w:szCs w:val="21"/>
          <w:highlight w:val="none"/>
        </w:rPr>
        <w:t>链条润滑良好、无过热等；无异常磨损、跳齿等。</w:t>
      </w:r>
    </w:p>
    <w:p>
      <w:pPr>
        <w:pStyle w:val="145"/>
        <w:numPr>
          <w:ilvl w:val="0"/>
          <w:numId w:val="0"/>
        </w:numPr>
        <w:ind w:leftChars="0"/>
        <w:rPr>
          <w:color w:val="000000"/>
          <w:highlight w:val="none"/>
        </w:rPr>
      </w:pPr>
      <w:r>
        <w:rPr>
          <w:rFonts w:hint="eastAsia" w:ascii="黑体" w:hAnsi="黑体" w:eastAsia="黑体" w:cs="黑体"/>
          <w:color w:val="000000"/>
          <w:sz w:val="21"/>
          <w:szCs w:val="21"/>
          <w:highlight w:val="none"/>
          <w:lang w:val="en-US" w:eastAsia="zh-CN" w:bidi="ar-SA"/>
        </w:rPr>
        <w:t>5.2.5.5</w:t>
      </w:r>
      <w:r>
        <w:rPr>
          <w:rFonts w:hint="eastAsia" w:hAnsi="黑体" w:cs="黑体"/>
          <w:color w:val="000000"/>
          <w:szCs w:val="21"/>
          <w:highlight w:val="none"/>
          <w:lang w:val="en-US" w:eastAsia="zh-CN"/>
        </w:rPr>
        <w:t xml:space="preserve">  </w:t>
      </w:r>
      <w:r>
        <w:rPr>
          <w:rFonts w:hint="eastAsia" w:hAnsi="宋体" w:cs="宋体"/>
          <w:color w:val="000000"/>
          <w:szCs w:val="21"/>
          <w:highlight w:val="none"/>
        </w:rPr>
        <w:t>配重（平衡重）无破损、缺失、变形等，固定牢靠。</w:t>
      </w:r>
    </w:p>
    <w:p>
      <w:pPr>
        <w:pStyle w:val="145"/>
        <w:numPr>
          <w:ilvl w:val="0"/>
          <w:numId w:val="0"/>
        </w:numPr>
        <w:ind w:leftChars="0"/>
        <w:rPr>
          <w:color w:val="000000"/>
          <w:highlight w:val="none"/>
        </w:rPr>
      </w:pPr>
      <w:r>
        <w:rPr>
          <w:rFonts w:hint="eastAsia" w:ascii="黑体" w:hAnsi="黑体" w:eastAsia="黑体" w:cs="黑体"/>
          <w:color w:val="000000"/>
          <w:sz w:val="21"/>
          <w:szCs w:val="21"/>
          <w:highlight w:val="none"/>
          <w:lang w:val="en-US" w:eastAsia="zh-CN" w:bidi="ar-SA"/>
        </w:rPr>
        <w:t>5.2.5.6</w:t>
      </w:r>
      <w:r>
        <w:rPr>
          <w:rFonts w:hint="eastAsia" w:hAnsi="黑体" w:cs="黑体"/>
          <w:color w:val="000000"/>
          <w:szCs w:val="21"/>
          <w:highlight w:val="none"/>
          <w:lang w:val="en-US" w:eastAsia="zh-CN"/>
        </w:rPr>
        <w:t xml:space="preserve">  </w:t>
      </w:r>
      <w:r>
        <w:rPr>
          <w:rFonts w:hint="eastAsia" w:hAnsi="宋体" w:cs="宋体"/>
          <w:color w:val="000000"/>
          <w:szCs w:val="21"/>
          <w:highlight w:val="none"/>
        </w:rPr>
        <w:t>防止过卷、松弛装置有效。</w:t>
      </w:r>
    </w:p>
    <w:p>
      <w:pPr>
        <w:pStyle w:val="53"/>
        <w:numPr>
          <w:ilvl w:val="3"/>
          <w:numId w:val="0"/>
        </w:numPr>
        <w:spacing w:before="156" w:after="156"/>
        <w:ind w:leftChars="0"/>
        <w:rPr>
          <w:color w:val="000000"/>
          <w:highlight w:val="none"/>
        </w:rPr>
      </w:pPr>
      <w:bookmarkStart w:id="92" w:name="_Toc93485497"/>
      <w:r>
        <w:rPr>
          <w:rFonts w:hint="eastAsia"/>
          <w:color w:val="000000"/>
          <w:highlight w:val="none"/>
          <w:lang w:val="en-US" w:eastAsia="zh-CN"/>
        </w:rPr>
        <w:t xml:space="preserve">5.2.6  </w:t>
      </w:r>
      <w:r>
        <w:rPr>
          <w:color w:val="000000"/>
          <w:highlight w:val="none"/>
        </w:rPr>
        <w:t>车辆系统</w:t>
      </w:r>
      <w:bookmarkEnd w:id="92"/>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5.2.6.1 </w:t>
      </w:r>
      <w:r>
        <w:rPr>
          <w:rFonts w:hint="eastAsia" w:hAnsi="宋体" w:cs="宋体"/>
          <w:color w:val="000000"/>
          <w:szCs w:val="21"/>
          <w:highlight w:val="none"/>
          <w:lang w:val="en-US" w:eastAsia="zh-CN"/>
        </w:rPr>
        <w:t xml:space="preserve"> </w:t>
      </w:r>
      <w:r>
        <w:rPr>
          <w:rFonts w:hint="eastAsia" w:hAnsi="宋体" w:cs="宋体"/>
          <w:color w:val="000000"/>
          <w:szCs w:val="21"/>
          <w:highlight w:val="none"/>
        </w:rPr>
        <w:t>轮系组件（含行走轮、侧轮、底轮、导向轮等）：转动灵活、无卡阻，无异响、跳动和晃动，间隙正常；橡胶充气轮胎充气压力应适度；轮系组件无超标磨损。</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5.2.6.2 </w:t>
      </w:r>
      <w:r>
        <w:rPr>
          <w:rFonts w:hint="eastAsia" w:hAnsi="宋体" w:cs="宋体"/>
          <w:color w:val="000000"/>
          <w:szCs w:val="21"/>
          <w:highlight w:val="none"/>
        </w:rPr>
        <w:t>油封缺失、无渗漏，轴承润滑良好、无渗漏油、卡滞、过热等。</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5.2.6.3 </w:t>
      </w:r>
      <w:r>
        <w:rPr>
          <w:rFonts w:hint="eastAsia" w:hAnsi="宋体" w:cs="宋体"/>
          <w:color w:val="000000"/>
          <w:szCs w:val="21"/>
          <w:highlight w:val="none"/>
        </w:rPr>
        <w:t>车体钢结构件（车架、前后桥、底架等）无变形、破损；焊缝无裂纹、损伤等。</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5.2.6.4 </w:t>
      </w:r>
      <w:r>
        <w:rPr>
          <w:rFonts w:hint="eastAsia" w:hAnsi="宋体" w:cs="宋体"/>
          <w:color w:val="000000"/>
          <w:szCs w:val="21"/>
          <w:highlight w:val="none"/>
        </w:rPr>
        <w:t>车辆连接器：连接件无松脱、缺失；二次保险钢丝绳无损伤、松紧程度适度，端部固定牢靠；卡板连接销完好。</w:t>
      </w:r>
    </w:p>
    <w:p>
      <w:pPr>
        <w:pStyle w:val="53"/>
        <w:numPr>
          <w:ilvl w:val="3"/>
          <w:numId w:val="0"/>
        </w:numPr>
        <w:spacing w:before="156" w:after="156"/>
        <w:ind w:leftChars="0"/>
        <w:rPr>
          <w:color w:val="000000"/>
          <w:highlight w:val="none"/>
        </w:rPr>
      </w:pPr>
      <w:bookmarkStart w:id="93" w:name="_Toc93485498"/>
      <w:r>
        <w:rPr>
          <w:rFonts w:hint="eastAsia" w:ascii="黑体" w:hAnsi="黑体" w:eastAsia="黑体" w:cs="黑体"/>
          <w:color w:val="000000"/>
          <w:szCs w:val="21"/>
          <w:highlight w:val="none"/>
          <w:lang w:val="en-US" w:eastAsia="zh-CN"/>
        </w:rPr>
        <w:t>5.2.</w:t>
      </w:r>
      <w:r>
        <w:rPr>
          <w:rFonts w:hint="eastAsia" w:hAnsi="黑体" w:cs="黑体"/>
          <w:color w:val="000000"/>
          <w:szCs w:val="21"/>
          <w:highlight w:val="none"/>
          <w:lang w:val="en-US" w:eastAsia="zh-CN"/>
        </w:rPr>
        <w:t>7</w:t>
      </w:r>
      <w:r>
        <w:rPr>
          <w:rFonts w:hint="eastAsia" w:ascii="黑体" w:hAnsi="黑体" w:eastAsia="黑体" w:cs="黑体"/>
          <w:color w:val="000000"/>
          <w:szCs w:val="21"/>
          <w:highlight w:val="none"/>
          <w:lang w:val="en-US" w:eastAsia="zh-CN"/>
        </w:rPr>
        <w:t xml:space="preserve"> </w:t>
      </w:r>
      <w:r>
        <w:rPr>
          <w:rFonts w:hint="eastAsia" w:hAnsi="黑体" w:cs="黑体"/>
          <w:color w:val="000000"/>
          <w:szCs w:val="21"/>
          <w:highlight w:val="none"/>
          <w:lang w:val="en-US" w:eastAsia="zh-CN"/>
        </w:rPr>
        <w:t xml:space="preserve"> </w:t>
      </w:r>
      <w:r>
        <w:rPr>
          <w:color w:val="000000"/>
          <w:highlight w:val="none"/>
        </w:rPr>
        <w:t>轨道系统</w:t>
      </w:r>
      <w:bookmarkEnd w:id="93"/>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5.2.7.1  </w:t>
      </w:r>
      <w:r>
        <w:rPr>
          <w:rFonts w:hint="eastAsia" w:hAnsi="宋体" w:cs="宋体"/>
          <w:color w:val="000000"/>
          <w:szCs w:val="21"/>
          <w:highlight w:val="none"/>
        </w:rPr>
        <w:t>轨道无超标磨损、变形等。</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5.2.7.2  </w:t>
      </w:r>
      <w:r>
        <w:rPr>
          <w:rFonts w:hint="eastAsia" w:hAnsi="宋体" w:cs="宋体"/>
          <w:color w:val="000000"/>
          <w:szCs w:val="21"/>
          <w:highlight w:val="none"/>
        </w:rPr>
        <w:t>轨道节间连接牢靠，间隙、高低差适当，连接螺栓、销轴等无松脱、严重锈蚀。</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5.2.7.3  </w:t>
      </w:r>
      <w:r>
        <w:rPr>
          <w:rFonts w:hint="eastAsia" w:hAnsi="宋体" w:cs="宋体"/>
          <w:color w:val="000000"/>
          <w:szCs w:val="21"/>
          <w:highlight w:val="none"/>
        </w:rPr>
        <w:t>连接焊缝无裂纹、开焊等损伤或缺欠等。</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5.2.7.4  </w:t>
      </w:r>
      <w:r>
        <w:rPr>
          <w:rFonts w:hint="eastAsia" w:hAnsi="宋体" w:cs="宋体"/>
          <w:color w:val="000000"/>
          <w:szCs w:val="21"/>
          <w:highlight w:val="none"/>
        </w:rPr>
        <w:t>轨道、轨枕、支撑结构件无变形、裂纹、锈蚀、腐蚀等。</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5.2.7.5  </w:t>
      </w:r>
      <w:r>
        <w:rPr>
          <w:rFonts w:hint="eastAsia" w:hAnsi="宋体" w:cs="宋体"/>
          <w:color w:val="000000"/>
          <w:szCs w:val="21"/>
          <w:highlight w:val="none"/>
        </w:rPr>
        <w:t>轨道与轨枕安装连接可靠、有效。</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5.2.7.6  </w:t>
      </w:r>
      <w:r>
        <w:rPr>
          <w:rFonts w:hint="eastAsia" w:hAnsi="宋体" w:cs="宋体"/>
          <w:color w:val="000000"/>
          <w:szCs w:val="21"/>
          <w:highlight w:val="none"/>
        </w:rPr>
        <w:t>轨距误差符合要求，轨道与车轮之间的间隙符合要求。</w:t>
      </w:r>
    </w:p>
    <w:p>
      <w:pPr>
        <w:pStyle w:val="145"/>
        <w:numPr>
          <w:ilvl w:val="0"/>
          <w:numId w:val="0"/>
        </w:numPr>
        <w:ind w:leftChars="0"/>
        <w:rPr>
          <w:color w:val="000000"/>
          <w:highlight w:val="none"/>
        </w:rPr>
      </w:pPr>
      <w:r>
        <w:rPr>
          <w:rFonts w:hint="eastAsia" w:ascii="黑体" w:hAnsi="黑体" w:eastAsia="黑体" w:cs="黑体"/>
          <w:color w:val="000000"/>
          <w:szCs w:val="21"/>
          <w:highlight w:val="none"/>
          <w:lang w:val="en-US" w:eastAsia="zh-CN"/>
        </w:rPr>
        <w:t xml:space="preserve">5.2.7.7  </w:t>
      </w:r>
      <w:r>
        <w:rPr>
          <w:rFonts w:hint="eastAsia" w:hAnsi="宋体" w:cs="宋体"/>
          <w:color w:val="000000"/>
          <w:szCs w:val="21"/>
          <w:highlight w:val="none"/>
        </w:rPr>
        <w:t>轨道无异常晃动。</w:t>
      </w:r>
    </w:p>
    <w:p>
      <w:pPr>
        <w:pStyle w:val="53"/>
        <w:numPr>
          <w:ilvl w:val="3"/>
          <w:numId w:val="0"/>
        </w:numPr>
        <w:spacing w:before="156" w:after="156"/>
        <w:ind w:leftChars="0"/>
        <w:rPr>
          <w:rFonts w:hAnsi="黑体" w:cs="宋体"/>
          <w:bCs/>
          <w:color w:val="000000"/>
          <w:szCs w:val="21"/>
          <w:highlight w:val="none"/>
        </w:rPr>
      </w:pPr>
      <w:bookmarkStart w:id="94" w:name="_Toc93485499"/>
      <w:bookmarkStart w:id="95" w:name="_Toc90843759"/>
      <w:r>
        <w:rPr>
          <w:rFonts w:hint="eastAsia" w:hAnsi="黑体" w:cs="宋体"/>
          <w:bCs/>
          <w:color w:val="000000"/>
          <w:szCs w:val="21"/>
          <w:highlight w:val="none"/>
          <w:lang w:val="en-US" w:eastAsia="zh-CN"/>
        </w:rPr>
        <w:t xml:space="preserve">5.2.8  </w:t>
      </w:r>
      <w:r>
        <w:rPr>
          <w:rFonts w:hint="eastAsia" w:hAnsi="黑体" w:cs="宋体"/>
          <w:bCs/>
          <w:color w:val="000000"/>
          <w:szCs w:val="21"/>
          <w:highlight w:val="none"/>
        </w:rPr>
        <w:t>液压与气动系统</w:t>
      </w:r>
      <w:bookmarkEnd w:id="94"/>
      <w:bookmarkEnd w:id="95"/>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5.2.8</w:t>
      </w:r>
      <w:r>
        <w:rPr>
          <w:rFonts w:hint="eastAsia" w:hAnsi="黑体" w:cs="宋体"/>
          <w:bCs/>
          <w:color w:val="000000"/>
          <w:szCs w:val="21"/>
          <w:highlight w:val="none"/>
          <w:lang w:val="en-US" w:eastAsia="zh-CN"/>
        </w:rPr>
        <w:t xml:space="preserve">  </w:t>
      </w:r>
      <w:r>
        <w:rPr>
          <w:rFonts w:hint="eastAsia" w:hAnsi="宋体" w:cs="宋体"/>
          <w:bCs/>
          <w:color w:val="000000"/>
          <w:szCs w:val="21"/>
          <w:highlight w:val="none"/>
        </w:rPr>
        <w:t>系统压力、油温正常；油液液位在正常范围内。</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5.2.8.1  </w:t>
      </w:r>
      <w:r>
        <w:rPr>
          <w:rFonts w:hint="eastAsia" w:hAnsi="宋体" w:cs="宋体"/>
          <w:bCs/>
          <w:color w:val="000000"/>
          <w:szCs w:val="21"/>
          <w:highlight w:val="none"/>
        </w:rPr>
        <w:t>管路、接头、油箱无泄漏（油/气），洁净、无污物。</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5.2.8.2  </w:t>
      </w:r>
      <w:r>
        <w:rPr>
          <w:rFonts w:hint="eastAsia" w:hAnsi="宋体" w:cs="宋体"/>
          <w:bCs/>
          <w:color w:val="000000"/>
          <w:szCs w:val="21"/>
          <w:highlight w:val="none"/>
        </w:rPr>
        <w:t>油泵、液压马达、空压机无异常振动、噪声、异常温升。</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5.2.8.3  </w:t>
      </w:r>
      <w:r>
        <w:rPr>
          <w:rFonts w:hint="eastAsia" w:hAnsi="宋体" w:cs="宋体"/>
          <w:bCs/>
          <w:color w:val="000000"/>
          <w:szCs w:val="21"/>
          <w:highlight w:val="none"/>
        </w:rPr>
        <w:t>油缸伸缩、升降动作灵活、无卡滞，无异常抖动、爬行、明显冲击等，速度均匀，密封良好、无渗漏。</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5.2.8.4  </w:t>
      </w:r>
      <w:r>
        <w:rPr>
          <w:rFonts w:hint="eastAsia" w:hAnsi="宋体" w:cs="宋体"/>
          <w:bCs/>
          <w:color w:val="000000"/>
          <w:szCs w:val="21"/>
          <w:highlight w:val="none"/>
        </w:rPr>
        <w:t>各类阀组动作应灵活可靠，无卡阻、异常声响现象，线圈温升应正常。</w:t>
      </w:r>
    </w:p>
    <w:p>
      <w:pPr>
        <w:pStyle w:val="53"/>
        <w:numPr>
          <w:ilvl w:val="3"/>
          <w:numId w:val="0"/>
        </w:numPr>
        <w:spacing w:before="156" w:after="156"/>
        <w:ind w:leftChars="0"/>
        <w:rPr>
          <w:rFonts w:hAnsi="黑体" w:cs="宋体"/>
          <w:bCs/>
          <w:color w:val="000000"/>
          <w:szCs w:val="21"/>
          <w:highlight w:val="none"/>
        </w:rPr>
      </w:pPr>
      <w:bookmarkStart w:id="96" w:name="_Toc93485500"/>
      <w:bookmarkStart w:id="97" w:name="_Toc90843760"/>
      <w:r>
        <w:rPr>
          <w:rFonts w:hint="eastAsia" w:hAnsi="黑体" w:cs="宋体"/>
          <w:bCs/>
          <w:color w:val="000000"/>
          <w:szCs w:val="21"/>
          <w:highlight w:val="none"/>
          <w:lang w:val="en-US" w:eastAsia="zh-CN"/>
        </w:rPr>
        <w:t xml:space="preserve">5.2.9  </w:t>
      </w:r>
      <w:r>
        <w:rPr>
          <w:rFonts w:hint="eastAsia" w:hAnsi="黑体" w:cs="宋体"/>
          <w:bCs/>
          <w:color w:val="000000"/>
          <w:szCs w:val="21"/>
          <w:highlight w:val="none"/>
        </w:rPr>
        <w:t>电气及控制系统</w:t>
      </w:r>
      <w:bookmarkEnd w:id="96"/>
      <w:bookmarkEnd w:id="97"/>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5.2.9.1 </w:t>
      </w:r>
      <w:r>
        <w:rPr>
          <w:rFonts w:hint="eastAsia" w:hAnsi="黑体" w:cs="宋体"/>
          <w:bCs/>
          <w:color w:val="000000"/>
          <w:szCs w:val="21"/>
          <w:highlight w:val="none"/>
          <w:lang w:val="en-US" w:eastAsia="zh-CN"/>
        </w:rPr>
        <w:t xml:space="preserve"> </w:t>
      </w:r>
      <w:r>
        <w:rPr>
          <w:rFonts w:hint="eastAsia" w:hAnsi="宋体" w:cs="宋体"/>
          <w:color w:val="000000"/>
          <w:szCs w:val="21"/>
          <w:highlight w:val="none"/>
        </w:rPr>
        <w:t>过压、过流、短路、漏电、断/错相保护装置功能有效，动作灵敏可靠。</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5.2.9.2  </w:t>
      </w:r>
      <w:r>
        <w:rPr>
          <w:rFonts w:hint="eastAsia" w:hAnsi="宋体" w:cs="宋体"/>
          <w:bCs/>
          <w:color w:val="000000"/>
          <w:szCs w:val="21"/>
          <w:highlight w:val="none"/>
        </w:rPr>
        <w:t>绝缘电阻、接地电阻值符合标准要求。</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5.2.9.3  </w:t>
      </w:r>
      <w:r>
        <w:rPr>
          <w:rFonts w:hint="eastAsia" w:hAnsi="宋体" w:cs="宋体"/>
          <w:bCs/>
          <w:color w:val="000000"/>
          <w:szCs w:val="21"/>
          <w:highlight w:val="none"/>
        </w:rPr>
        <w:t>避雷装置完好，引下线无严重锈蚀。</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5.2.9.4  </w:t>
      </w:r>
      <w:r>
        <w:rPr>
          <w:rFonts w:hint="eastAsia" w:hAnsi="宋体" w:cs="宋体"/>
          <w:bCs/>
          <w:color w:val="000000"/>
          <w:szCs w:val="21"/>
          <w:highlight w:val="none"/>
        </w:rPr>
        <w:t>电线电缆无破损、老化等现象，连接牢固。</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5.2.9.5  </w:t>
      </w:r>
      <w:r>
        <w:rPr>
          <w:rFonts w:hint="eastAsia" w:hAnsi="宋体" w:cs="宋体"/>
          <w:bCs/>
          <w:color w:val="000000"/>
          <w:szCs w:val="21"/>
          <w:highlight w:val="none"/>
        </w:rPr>
        <w:t>控制室、控制柜、操作台整洁卫生，无堆放杂物。</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5.2.9.6  </w:t>
      </w:r>
      <w:r>
        <w:rPr>
          <w:rFonts w:hint="eastAsia" w:hAnsi="宋体" w:cs="宋体"/>
          <w:bCs/>
          <w:color w:val="000000"/>
          <w:szCs w:val="21"/>
          <w:highlight w:val="none"/>
        </w:rPr>
        <w:t>控制面板按钮功能正常有效，指示灯正常，标识清楚；控制面板仪表应指示清晰、准确。</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5.2.9.7  </w:t>
      </w:r>
      <w:r>
        <w:rPr>
          <w:rFonts w:hint="eastAsia" w:hAnsi="宋体" w:cs="宋体"/>
          <w:bCs/>
          <w:color w:val="000000"/>
          <w:szCs w:val="21"/>
          <w:highlight w:val="none"/>
        </w:rPr>
        <w:t>接线端子排固定牢靠，接线功能唯一性标识清晰易辨识，电线接线牢靠、布线合理、走线规整，电线无破损裸露，无私自随意接拉现象。</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5.2.9.8  </w:t>
      </w:r>
      <w:r>
        <w:rPr>
          <w:rFonts w:hint="eastAsia" w:hAnsi="宋体" w:cs="宋体"/>
          <w:bCs/>
          <w:color w:val="000000"/>
          <w:szCs w:val="21"/>
          <w:highlight w:val="none"/>
        </w:rPr>
        <w:t>集电器外观完好、无异常磨损，防护措施完好。</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5.2.9.9  </w:t>
      </w:r>
      <w:r>
        <w:rPr>
          <w:rFonts w:hint="eastAsia" w:hAnsi="宋体" w:cs="宋体"/>
          <w:bCs/>
          <w:color w:val="000000"/>
          <w:szCs w:val="21"/>
          <w:highlight w:val="none"/>
        </w:rPr>
        <w:t>电气和电子元器件外观完好、固定牢靠、间距符合要求，动作灵敏可靠，标志明确。</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5.2.9.10  </w:t>
      </w:r>
      <w:r>
        <w:rPr>
          <w:rFonts w:hint="eastAsia" w:hAnsi="宋体" w:cs="宋体"/>
          <w:bCs/>
          <w:color w:val="000000"/>
          <w:szCs w:val="21"/>
          <w:highlight w:val="none"/>
        </w:rPr>
        <w:t>控制室内配备有效的防火器材和灭火工具。</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5.2.9.11  </w:t>
      </w:r>
      <w:r>
        <w:rPr>
          <w:rFonts w:hint="eastAsia" w:hAnsi="宋体" w:cs="宋体"/>
          <w:bCs/>
          <w:color w:val="000000"/>
          <w:szCs w:val="21"/>
          <w:highlight w:val="none"/>
        </w:rPr>
        <w:t>电气金属外壳接地良好，接地线和零线应分别装设，固定牢靠。</w:t>
      </w:r>
    </w:p>
    <w:p>
      <w:pPr>
        <w:pStyle w:val="53"/>
        <w:numPr>
          <w:ilvl w:val="3"/>
          <w:numId w:val="0"/>
        </w:numPr>
        <w:spacing w:before="156" w:after="156"/>
        <w:ind w:leftChars="0"/>
        <w:rPr>
          <w:rFonts w:hAnsi="黑体" w:cs="宋体"/>
          <w:bCs/>
          <w:color w:val="000000"/>
          <w:szCs w:val="21"/>
          <w:highlight w:val="none"/>
        </w:rPr>
      </w:pPr>
      <w:bookmarkStart w:id="98" w:name="_Toc90843761"/>
      <w:bookmarkStart w:id="99" w:name="_Toc93485501"/>
      <w:r>
        <w:rPr>
          <w:rFonts w:hint="eastAsia" w:hAnsi="黑体" w:cs="宋体"/>
          <w:bCs/>
          <w:color w:val="000000"/>
          <w:szCs w:val="21"/>
          <w:highlight w:val="none"/>
          <w:lang w:val="en-US" w:eastAsia="zh-CN"/>
        </w:rPr>
        <w:t xml:space="preserve">5.2.10  </w:t>
      </w:r>
      <w:r>
        <w:rPr>
          <w:rFonts w:hint="eastAsia" w:hAnsi="黑体" w:cs="宋体"/>
          <w:bCs/>
          <w:color w:val="000000"/>
          <w:szCs w:val="21"/>
          <w:highlight w:val="none"/>
        </w:rPr>
        <w:t>安全保护装置及防护措施</w:t>
      </w:r>
    </w:p>
    <w:p>
      <w:pPr>
        <w:pStyle w:val="53"/>
        <w:numPr>
          <w:ilvl w:val="3"/>
          <w:numId w:val="0"/>
        </w:numPr>
        <w:spacing w:before="156" w:after="156"/>
        <w:ind w:leftChars="0"/>
        <w:rPr>
          <w:rFonts w:hint="eastAsia" w:ascii="宋体" w:hAnsi="宋体" w:eastAsia="宋体" w:cs="宋体"/>
          <w:highlight w:val="none"/>
        </w:rPr>
      </w:pPr>
      <w:r>
        <w:rPr>
          <w:rFonts w:hint="eastAsia" w:hAnsi="黑体" w:cs="宋体"/>
          <w:bCs/>
          <w:color w:val="000000"/>
          <w:szCs w:val="21"/>
          <w:highlight w:val="none"/>
          <w:lang w:val="en-US" w:eastAsia="zh-CN"/>
        </w:rPr>
        <w:t xml:space="preserve">5.2.10.1 </w:t>
      </w:r>
      <w:bookmarkEnd w:id="98"/>
      <w:bookmarkEnd w:id="99"/>
      <w:r>
        <w:rPr>
          <w:rFonts w:hint="eastAsia" w:ascii="宋体" w:hAnsi="宋体" w:eastAsia="宋体" w:cs="宋体"/>
          <w:bCs/>
          <w:color w:val="000000"/>
          <w:szCs w:val="21"/>
          <w:highlight w:val="none"/>
        </w:rPr>
        <w:t>安全保护装置和防护措施功能状态完好，不应随意变更、拆除。</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5.2.10.2 </w:t>
      </w:r>
      <w:r>
        <w:rPr>
          <w:rFonts w:hint="eastAsia" w:hAnsi="黑体" w:cs="宋体"/>
          <w:bCs/>
          <w:color w:val="000000"/>
          <w:szCs w:val="21"/>
          <w:highlight w:val="none"/>
          <w:lang w:val="en-US" w:eastAsia="zh-CN"/>
        </w:rPr>
        <w:t xml:space="preserve"> </w:t>
      </w:r>
      <w:r>
        <w:rPr>
          <w:rFonts w:hint="eastAsia" w:hAnsi="宋体" w:cs="宋体"/>
          <w:color w:val="000000"/>
          <w:szCs w:val="21"/>
          <w:highlight w:val="none"/>
        </w:rPr>
        <w:t>制动装置：制动性能良好，制停位置准确，制停距离符合要求；动作平稳无异常冲击，间隙适当；制动闸衬磨损量未超标；液压或气压装置动作灵活可靠，无迟滞、爬行等现象；紧固螺栓无松动、锈蚀；弹簧无断裂，压力调整适当。设有两套独立的制动装置，均满足本条款要求，且任一套失效，另一套能保证安全。</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5.2.10.3  </w:t>
      </w:r>
      <w:r>
        <w:rPr>
          <w:rFonts w:hint="eastAsia" w:hAnsi="宋体" w:cs="宋体"/>
          <w:color w:val="000000"/>
          <w:szCs w:val="21"/>
          <w:highlight w:val="none"/>
        </w:rPr>
        <w:t>止逆装置及疏散乘客措施：功能可靠，无影响安全的冲击力；销轴和紧固件无松脱、异常磨损等现象；消音块无缺失、脱落；疏散通道畅通，牢固、无锈蚀和破损。</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5.2.10.4  </w:t>
      </w:r>
      <w:r>
        <w:rPr>
          <w:rFonts w:hint="eastAsia" w:hAnsi="宋体" w:cs="宋体"/>
          <w:color w:val="000000"/>
          <w:szCs w:val="21"/>
          <w:highlight w:val="none"/>
        </w:rPr>
        <w:t>位置限制装置：限位、极限开关固定牢靠，完好无破损，动作灵敏可靠。</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5.2.10.5  </w:t>
      </w:r>
      <w:r>
        <w:rPr>
          <w:rFonts w:hint="eastAsia" w:hAnsi="宋体" w:cs="宋体"/>
          <w:color w:val="000000"/>
          <w:szCs w:val="21"/>
          <w:highlight w:val="none"/>
        </w:rPr>
        <w:t>超速保护装置：完好无破损，动作可靠、有效；依据维护保养说明书要求进行规定周期的速度校准。</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5.2.10.6  </w:t>
      </w:r>
      <w:r>
        <w:rPr>
          <w:rFonts w:hint="eastAsia" w:hAnsi="宋体" w:cs="宋体"/>
          <w:color w:val="000000"/>
          <w:szCs w:val="21"/>
          <w:highlight w:val="none"/>
        </w:rPr>
        <w:t>缓冲和防碰撞装置：固定牢靠、无明显倾斜；无剥落、老化、破损、锈蚀、塑性变形等；耗能型缓冲器油液位置正常，验证复位的电气开关动作灵敏可靠，接线正确；缓冲垫或防护垫完好、无破损和老化。</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5.2.10.7  </w:t>
      </w:r>
      <w:r>
        <w:rPr>
          <w:rFonts w:hint="eastAsia" w:hAnsi="宋体" w:cs="宋体"/>
          <w:color w:val="000000"/>
          <w:szCs w:val="21"/>
          <w:highlight w:val="none"/>
        </w:rPr>
        <w:t>防雷装置：安装牢靠、无破损，接地阻值符合要求，功能有效。</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5.2.10.8  </w:t>
      </w:r>
      <w:r>
        <w:rPr>
          <w:rFonts w:hint="eastAsia" w:hAnsi="宋体" w:cs="宋体"/>
          <w:color w:val="000000"/>
          <w:szCs w:val="21"/>
          <w:highlight w:val="none"/>
        </w:rPr>
        <w:t>防坠落装置：安装牢靠、完好无破损，动作灵敏可靠。</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5.2.10.9  </w:t>
      </w:r>
      <w:r>
        <w:rPr>
          <w:rFonts w:hint="eastAsia" w:hAnsi="宋体" w:cs="宋体"/>
          <w:color w:val="000000"/>
          <w:szCs w:val="21"/>
          <w:highlight w:val="none"/>
        </w:rPr>
        <w:t>防断绳保护装置：完好无破损，动作有效。</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5.2.10.10  </w:t>
      </w:r>
      <w:r>
        <w:rPr>
          <w:rFonts w:hint="eastAsia" w:hAnsi="宋体" w:cs="宋体"/>
          <w:color w:val="000000"/>
          <w:szCs w:val="21"/>
          <w:highlight w:val="none"/>
        </w:rPr>
        <w:t>防跳绳装置：固定牢靠，功能有效。</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5.2.10.11  </w:t>
      </w:r>
      <w:r>
        <w:rPr>
          <w:rFonts w:hint="eastAsia" w:hAnsi="宋体" w:cs="宋体"/>
          <w:color w:val="000000"/>
          <w:szCs w:val="21"/>
          <w:highlight w:val="none"/>
        </w:rPr>
        <w:t>联锁装置：逻辑功能准确，动作可靠。</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5.2.10.12  </w:t>
      </w:r>
      <w:r>
        <w:rPr>
          <w:rFonts w:hint="eastAsia" w:hAnsi="宋体" w:cs="宋体"/>
          <w:color w:val="000000"/>
          <w:szCs w:val="21"/>
          <w:highlight w:val="none"/>
        </w:rPr>
        <w:t>保险装置：钢丝绳、连轴等车辆连接装置无变形、磨损，转动灵活，安全可靠。</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5.2.10.13  </w:t>
      </w:r>
      <w:r>
        <w:rPr>
          <w:rFonts w:hint="eastAsia" w:hAnsi="宋体" w:cs="宋体"/>
          <w:color w:val="000000"/>
          <w:szCs w:val="21"/>
          <w:highlight w:val="none"/>
        </w:rPr>
        <w:t>防倾翻装置工作安全可靠；座舱进出口锁紧装置、拦挡装置功能可靠有效。</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5.2.10.14  </w:t>
      </w:r>
      <w:r>
        <w:rPr>
          <w:rFonts w:hint="eastAsia" w:hAnsi="宋体" w:cs="宋体"/>
          <w:color w:val="000000"/>
          <w:szCs w:val="21"/>
          <w:highlight w:val="none"/>
        </w:rPr>
        <w:t>阻尼装置：结构无变形、损坏，功能有效。</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5.2.10.15  </w:t>
      </w:r>
      <w:r>
        <w:rPr>
          <w:rFonts w:hint="eastAsia" w:hAnsi="宋体" w:cs="宋体"/>
          <w:color w:val="000000"/>
          <w:szCs w:val="21"/>
          <w:highlight w:val="none"/>
        </w:rPr>
        <w:t>安全联锁装置：外观完好、无损坏，逻辑执行功能准确。</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5.2.10.16  </w:t>
      </w:r>
      <w:r>
        <w:rPr>
          <w:rFonts w:hint="eastAsia"/>
          <w:color w:val="000000"/>
          <w:highlight w:val="none"/>
        </w:rPr>
        <w:t>风速计状态完好，固定可靠。</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5.2.10.17  </w:t>
      </w:r>
      <w:r>
        <w:rPr>
          <w:rFonts w:hint="eastAsia" w:hAnsi="宋体" w:cs="宋体"/>
          <w:color w:val="000000"/>
          <w:szCs w:val="21"/>
          <w:highlight w:val="none"/>
        </w:rPr>
        <w:t>进出口引导栅栏和运行区域安全防护栅栏完好、无损坏，干涉设备运行时应联锁；安全网结实、完好无破损。</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5.2.10.18  </w:t>
      </w:r>
      <w:r>
        <w:rPr>
          <w:rFonts w:hint="eastAsia" w:hAnsi="宋体" w:cs="宋体"/>
          <w:color w:val="000000"/>
          <w:szCs w:val="21"/>
          <w:highlight w:val="none"/>
        </w:rPr>
        <w:t>装饰物固定结实、牢固，无脱落风险。</w:t>
      </w:r>
    </w:p>
    <w:p>
      <w:pPr>
        <w:pStyle w:val="145"/>
        <w:numPr>
          <w:ilvl w:val="0"/>
          <w:numId w:val="0"/>
        </w:numPr>
        <w:ind w:leftChars="0"/>
        <w:rPr>
          <w:color w:val="000000"/>
          <w:highlight w:val="none"/>
        </w:rPr>
      </w:pPr>
      <w:r>
        <w:rPr>
          <w:rFonts w:hint="eastAsia" w:ascii="黑体" w:hAnsi="黑体" w:eastAsia="黑体" w:cs="黑体"/>
          <w:bCs/>
          <w:color w:val="000000"/>
          <w:szCs w:val="21"/>
          <w:highlight w:val="none"/>
          <w:lang w:val="en-US" w:eastAsia="zh-CN"/>
        </w:rPr>
        <w:t xml:space="preserve">5.2.10.19  </w:t>
      </w:r>
      <w:r>
        <w:rPr>
          <w:rFonts w:hint="eastAsia" w:hAnsi="宋体" w:cs="宋体"/>
          <w:color w:val="000000"/>
          <w:szCs w:val="21"/>
          <w:highlight w:val="none"/>
        </w:rPr>
        <w:t>人员可触及运动部件（如齿轮、联轴器、车轮等）的防护措施完好无破损，固定可靠。</w:t>
      </w:r>
    </w:p>
    <w:p>
      <w:pPr>
        <w:pStyle w:val="145"/>
        <w:numPr>
          <w:ilvl w:val="0"/>
          <w:numId w:val="0"/>
        </w:numPr>
        <w:ind w:leftChars="0"/>
        <w:jc w:val="left"/>
        <w:rPr>
          <w:rFonts w:hint="eastAsia"/>
          <w:color w:val="000000"/>
          <w:highlight w:val="none"/>
        </w:rPr>
      </w:pPr>
      <w:r>
        <w:rPr>
          <w:rFonts w:hint="eastAsia" w:ascii="黑体" w:hAnsi="黑体" w:eastAsia="黑体" w:cs="黑体"/>
          <w:bCs/>
          <w:color w:val="000000"/>
          <w:szCs w:val="21"/>
          <w:highlight w:val="none"/>
          <w:lang w:val="en-US" w:eastAsia="zh-CN"/>
        </w:rPr>
        <w:t xml:space="preserve">5.2.10.20  </w:t>
      </w:r>
      <w:r>
        <w:rPr>
          <w:rFonts w:hint="eastAsia"/>
          <w:color w:val="000000"/>
          <w:highlight w:val="none"/>
        </w:rPr>
        <w:t>钢丝绳、链条等吊挂保险措施无失效或报废现象，端部固定有效。</w:t>
      </w:r>
    </w:p>
    <w:p>
      <w:pPr>
        <w:pStyle w:val="53"/>
        <w:numPr>
          <w:ilvl w:val="3"/>
          <w:numId w:val="0"/>
        </w:numPr>
        <w:spacing w:before="156" w:after="156"/>
        <w:ind w:leftChars="0"/>
        <w:rPr>
          <w:color w:val="000000"/>
          <w:highlight w:val="none"/>
        </w:rPr>
      </w:pPr>
      <w:bookmarkStart w:id="100" w:name="_Toc93485502"/>
      <w:r>
        <w:rPr>
          <w:rFonts w:hint="eastAsia"/>
          <w:color w:val="000000"/>
          <w:highlight w:val="none"/>
          <w:lang w:val="en-US" w:eastAsia="zh-CN"/>
        </w:rPr>
        <w:t xml:space="preserve">5.2.11 </w:t>
      </w:r>
      <w:r>
        <w:rPr>
          <w:color w:val="000000"/>
          <w:highlight w:val="none"/>
        </w:rPr>
        <w:t>承载系统</w:t>
      </w:r>
      <w:bookmarkEnd w:id="100"/>
    </w:p>
    <w:p>
      <w:pPr>
        <w:pStyle w:val="80"/>
        <w:numPr>
          <w:ilvl w:val="0"/>
          <w:numId w:val="0"/>
        </w:numPr>
        <w:spacing w:before="156" w:after="156"/>
        <w:ind w:leftChars="0"/>
        <w:rPr>
          <w:color w:val="000000"/>
          <w:highlight w:val="none"/>
        </w:rPr>
      </w:pPr>
      <w:r>
        <w:rPr>
          <w:rFonts w:hint="eastAsia"/>
          <w:color w:val="000000"/>
          <w:highlight w:val="none"/>
          <w:lang w:val="en-US" w:eastAsia="zh-CN"/>
        </w:rPr>
        <w:t xml:space="preserve">5.2.11.1 </w:t>
      </w:r>
      <w:r>
        <w:rPr>
          <w:color w:val="000000"/>
          <w:highlight w:val="none"/>
        </w:rPr>
        <w:t>乘人装置</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5.2.11.1.1</w:t>
      </w:r>
      <w:r>
        <w:rPr>
          <w:rFonts w:hint="eastAsia"/>
          <w:color w:val="000000"/>
          <w:highlight w:val="none"/>
          <w:lang w:val="en-US" w:eastAsia="zh-CN"/>
        </w:rPr>
        <w:t xml:space="preserve">  </w:t>
      </w:r>
      <w:r>
        <w:rPr>
          <w:rFonts w:hint="eastAsia" w:hAnsi="宋体" w:cs="宋体"/>
          <w:color w:val="000000"/>
          <w:szCs w:val="21"/>
          <w:highlight w:val="none"/>
        </w:rPr>
        <w:t>框架与设备本体固定牢靠，螺栓、销轴等连接件无松脱、缺失、锈蚀、开裂现象。</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5.2.11.1.</w:t>
      </w:r>
      <w:r>
        <w:rPr>
          <w:rFonts w:hint="eastAsia" w:ascii="黑体" w:eastAsia="黑体" w:cs="黑体"/>
          <w:color w:val="000000"/>
          <w:highlight w:val="none"/>
          <w:lang w:val="en-US" w:eastAsia="zh-CN"/>
        </w:rPr>
        <w:t xml:space="preserve">2  </w:t>
      </w:r>
      <w:r>
        <w:rPr>
          <w:rFonts w:hint="eastAsia" w:hAnsi="宋体" w:cs="宋体"/>
          <w:color w:val="000000"/>
          <w:szCs w:val="21"/>
          <w:highlight w:val="none"/>
        </w:rPr>
        <w:t>坐席表面无破损、老化、开裂，无影响人员安全锐边、突出异物等。</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5.2.11.1.</w:t>
      </w:r>
      <w:r>
        <w:rPr>
          <w:rFonts w:hint="eastAsia" w:ascii="黑体" w:eastAsia="黑体" w:cs="黑体"/>
          <w:color w:val="000000"/>
          <w:highlight w:val="none"/>
          <w:lang w:val="en-US" w:eastAsia="zh-CN"/>
        </w:rPr>
        <w:t xml:space="preserve">3  </w:t>
      </w:r>
      <w:r>
        <w:rPr>
          <w:rFonts w:hint="eastAsia" w:hAnsi="宋体" w:cs="宋体"/>
          <w:color w:val="000000"/>
          <w:szCs w:val="21"/>
          <w:highlight w:val="none"/>
        </w:rPr>
        <w:t>水上游乐设施的滑垫、浮圈、皮筏等无破损、裂纹、老化等，充气浮圈和皮筏无漏气、气压正常；扶手固定牢靠，无破损、缺失。</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5.2.11.1.</w:t>
      </w:r>
      <w:r>
        <w:rPr>
          <w:rFonts w:hint="eastAsia" w:ascii="黑体" w:eastAsia="黑体" w:cs="黑体"/>
          <w:color w:val="000000"/>
          <w:highlight w:val="none"/>
          <w:lang w:val="en-US" w:eastAsia="zh-CN"/>
        </w:rPr>
        <w:t xml:space="preserve">4  </w:t>
      </w:r>
      <w:r>
        <w:rPr>
          <w:rFonts w:hint="eastAsia" w:hAnsi="宋体" w:cs="宋体"/>
          <w:color w:val="000000"/>
          <w:szCs w:val="21"/>
          <w:highlight w:val="none"/>
        </w:rPr>
        <w:t>乘人吊挂装置：吊挂框架焊缝无裂纹、损伤、变形等；吊挂销轴无松脱；吊挂钢丝绳、链条无异常磨损、变形，钢丝绳无断丝、断股、超标磨损等，绳卡无松动、缺失等，端部固定牢靠。</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5.2.11.1.</w:t>
      </w:r>
      <w:r>
        <w:rPr>
          <w:rFonts w:hint="eastAsia" w:ascii="黑体" w:eastAsia="黑体" w:cs="黑体"/>
          <w:color w:val="000000"/>
          <w:highlight w:val="none"/>
          <w:lang w:val="en-US" w:eastAsia="zh-CN"/>
        </w:rPr>
        <w:t xml:space="preserve">5  </w:t>
      </w:r>
      <w:r>
        <w:rPr>
          <w:rFonts w:hint="eastAsia" w:hAnsi="宋体" w:cs="宋体"/>
          <w:color w:val="000000"/>
          <w:szCs w:val="21"/>
          <w:highlight w:val="none"/>
        </w:rPr>
        <w:t>乘人装置运行轨迹最大位置与周围物体安全距离、安全空间符合要求。</w:t>
      </w:r>
    </w:p>
    <w:p>
      <w:pPr>
        <w:pStyle w:val="80"/>
        <w:numPr>
          <w:ilvl w:val="0"/>
          <w:numId w:val="0"/>
        </w:numPr>
        <w:spacing w:before="156" w:after="156"/>
        <w:ind w:leftChars="0"/>
        <w:rPr>
          <w:rFonts w:hAnsi="黑体" w:cs="宋体"/>
          <w:color w:val="000000"/>
          <w:szCs w:val="21"/>
          <w:highlight w:val="none"/>
        </w:rPr>
      </w:pPr>
      <w:r>
        <w:rPr>
          <w:rFonts w:hint="eastAsia" w:hAnsi="黑体" w:cs="宋体"/>
          <w:color w:val="000000"/>
          <w:szCs w:val="21"/>
          <w:highlight w:val="none"/>
          <w:lang w:val="en-US" w:eastAsia="zh-CN"/>
        </w:rPr>
        <w:t xml:space="preserve">5.2.11.2  </w:t>
      </w:r>
      <w:r>
        <w:rPr>
          <w:rFonts w:hint="eastAsia" w:hAnsi="黑体" w:cs="宋体"/>
          <w:color w:val="000000"/>
          <w:szCs w:val="21"/>
          <w:highlight w:val="none"/>
        </w:rPr>
        <w:t>乘客束缚装置</w:t>
      </w:r>
    </w:p>
    <w:p>
      <w:pPr>
        <w:pStyle w:val="148"/>
        <w:numPr>
          <w:ilvl w:val="0"/>
          <w:numId w:val="0"/>
        </w:numPr>
        <w:ind w:leftChars="0"/>
        <w:rPr>
          <w:color w:val="000000"/>
          <w:highlight w:val="none"/>
        </w:rPr>
      </w:pPr>
      <w:r>
        <w:rPr>
          <w:rFonts w:hint="eastAsia" w:ascii="黑体" w:hAnsi="黑体" w:eastAsia="黑体" w:cs="黑体"/>
          <w:color w:val="000000"/>
          <w:szCs w:val="21"/>
          <w:highlight w:val="none"/>
          <w:lang w:val="en-US" w:eastAsia="zh-CN"/>
        </w:rPr>
        <w:t>5.2.11.2.1</w:t>
      </w:r>
      <w:r>
        <w:rPr>
          <w:rFonts w:hint="eastAsia" w:cs="宋体"/>
          <w:color w:val="000000"/>
          <w:szCs w:val="21"/>
          <w:highlight w:val="none"/>
          <w:lang w:val="en-US" w:eastAsia="zh-CN"/>
        </w:rPr>
        <w:t xml:space="preserve">  </w:t>
      </w:r>
      <w:r>
        <w:rPr>
          <w:rFonts w:hint="eastAsia" w:hAnsi="宋体" w:cs="宋体"/>
          <w:color w:val="000000"/>
          <w:szCs w:val="21"/>
          <w:highlight w:val="none"/>
        </w:rPr>
        <w:t>乘客束缚装置与设备启动的联锁功能（人工联锁或自动联锁）有效。</w:t>
      </w:r>
    </w:p>
    <w:p>
      <w:pPr>
        <w:pStyle w:val="148"/>
        <w:numPr>
          <w:ilvl w:val="0"/>
          <w:numId w:val="0"/>
        </w:numPr>
        <w:ind w:leftChars="0"/>
        <w:rPr>
          <w:color w:val="000000"/>
          <w:highlight w:val="none"/>
        </w:rPr>
      </w:pPr>
      <w:r>
        <w:rPr>
          <w:rFonts w:hint="eastAsia" w:ascii="黑体" w:hAnsi="黑体" w:eastAsia="黑体" w:cs="黑体"/>
          <w:color w:val="000000"/>
          <w:szCs w:val="21"/>
          <w:highlight w:val="none"/>
          <w:lang w:val="en-US" w:eastAsia="zh-CN"/>
        </w:rPr>
        <w:t>5.2.11.2.</w:t>
      </w:r>
      <w:r>
        <w:rPr>
          <w:rFonts w:hint="eastAsia" w:ascii="黑体" w:eastAsia="黑体" w:cs="黑体"/>
          <w:color w:val="000000"/>
          <w:szCs w:val="21"/>
          <w:highlight w:val="none"/>
          <w:lang w:val="en-US" w:eastAsia="zh-CN"/>
        </w:rPr>
        <w:t xml:space="preserve">2  </w:t>
      </w:r>
      <w:r>
        <w:rPr>
          <w:rFonts w:hint="eastAsia" w:hAnsi="宋体" w:cs="宋体"/>
          <w:color w:val="000000"/>
          <w:szCs w:val="21"/>
          <w:highlight w:val="none"/>
        </w:rPr>
        <w:t>防止乘客自行打开装置功能有效。</w:t>
      </w:r>
    </w:p>
    <w:p>
      <w:pPr>
        <w:pStyle w:val="148"/>
        <w:numPr>
          <w:ilvl w:val="0"/>
          <w:numId w:val="0"/>
        </w:numPr>
        <w:ind w:leftChars="0"/>
        <w:rPr>
          <w:color w:val="000000"/>
          <w:highlight w:val="none"/>
        </w:rPr>
      </w:pPr>
      <w:r>
        <w:rPr>
          <w:rFonts w:hint="eastAsia" w:ascii="黑体" w:hAnsi="黑体" w:eastAsia="黑体" w:cs="黑体"/>
          <w:color w:val="000000"/>
          <w:szCs w:val="21"/>
          <w:highlight w:val="none"/>
          <w:lang w:val="en-US" w:eastAsia="zh-CN"/>
        </w:rPr>
        <w:t>5.2.11.2.</w:t>
      </w:r>
      <w:r>
        <w:rPr>
          <w:rFonts w:hint="eastAsia" w:ascii="黑体" w:eastAsia="黑体" w:cs="黑体"/>
          <w:color w:val="000000"/>
          <w:szCs w:val="21"/>
          <w:highlight w:val="none"/>
          <w:lang w:val="en-US" w:eastAsia="zh-CN"/>
        </w:rPr>
        <w:t xml:space="preserve">3  </w:t>
      </w:r>
      <w:r>
        <w:rPr>
          <w:rFonts w:hint="eastAsia" w:hAnsi="宋体" w:cs="宋体"/>
          <w:color w:val="000000"/>
          <w:szCs w:val="21"/>
          <w:highlight w:val="none"/>
        </w:rPr>
        <w:t>与设备本体固定的螺栓等连接牢靠，无变形、锈蚀；焊缝无裂纹、毛刺。</w:t>
      </w:r>
    </w:p>
    <w:p>
      <w:pPr>
        <w:pStyle w:val="148"/>
        <w:numPr>
          <w:ilvl w:val="0"/>
          <w:numId w:val="0"/>
        </w:numPr>
        <w:ind w:leftChars="0"/>
        <w:rPr>
          <w:color w:val="000000"/>
          <w:highlight w:val="none"/>
        </w:rPr>
      </w:pPr>
      <w:r>
        <w:rPr>
          <w:rFonts w:hint="eastAsia" w:ascii="黑体" w:hAnsi="黑体" w:eastAsia="黑体" w:cs="黑体"/>
          <w:color w:val="000000"/>
          <w:szCs w:val="21"/>
          <w:highlight w:val="none"/>
          <w:lang w:val="en-US" w:eastAsia="zh-CN"/>
        </w:rPr>
        <w:t>5.2.11.2.</w:t>
      </w:r>
      <w:r>
        <w:rPr>
          <w:rFonts w:hint="eastAsia" w:ascii="黑体" w:eastAsia="黑体" w:cs="黑体"/>
          <w:color w:val="000000"/>
          <w:szCs w:val="21"/>
          <w:highlight w:val="none"/>
          <w:lang w:val="en-US" w:eastAsia="zh-CN"/>
        </w:rPr>
        <w:t xml:space="preserve">4  </w:t>
      </w:r>
      <w:r>
        <w:rPr>
          <w:rFonts w:hint="eastAsia" w:hAnsi="宋体" w:cs="宋体"/>
          <w:color w:val="000000"/>
          <w:szCs w:val="21"/>
          <w:highlight w:val="none"/>
        </w:rPr>
        <w:t>安全带带面及根部无破损、开线、撕裂等，卡扣组件功能有效。</w:t>
      </w:r>
    </w:p>
    <w:p>
      <w:pPr>
        <w:pStyle w:val="148"/>
        <w:numPr>
          <w:ilvl w:val="0"/>
          <w:numId w:val="0"/>
        </w:numPr>
        <w:ind w:leftChars="0"/>
        <w:rPr>
          <w:color w:val="000000"/>
          <w:highlight w:val="none"/>
        </w:rPr>
      </w:pPr>
      <w:r>
        <w:rPr>
          <w:rFonts w:hint="eastAsia" w:ascii="黑体" w:hAnsi="黑体" w:eastAsia="黑体" w:cs="黑体"/>
          <w:color w:val="000000"/>
          <w:szCs w:val="21"/>
          <w:highlight w:val="none"/>
          <w:lang w:val="en-US" w:eastAsia="zh-CN"/>
        </w:rPr>
        <w:t>5.2.11.2.</w:t>
      </w:r>
      <w:r>
        <w:rPr>
          <w:rFonts w:hint="eastAsia" w:ascii="黑体" w:eastAsia="黑体" w:cs="黑体"/>
          <w:color w:val="000000"/>
          <w:szCs w:val="21"/>
          <w:highlight w:val="none"/>
          <w:lang w:val="en-US" w:eastAsia="zh-CN"/>
        </w:rPr>
        <w:t xml:space="preserve">5  </w:t>
      </w:r>
      <w:r>
        <w:rPr>
          <w:rFonts w:hint="eastAsia" w:hAnsi="宋体" w:cs="宋体"/>
          <w:color w:val="000000"/>
          <w:szCs w:val="21"/>
          <w:highlight w:val="none"/>
        </w:rPr>
        <w:t>安全压杠系统打开、闭合、锁紧功能有效，限位准确，包裹物无破损、老化；焊缝无裂纹、锈蚀；液压/气动无泄漏，执行部件动作正常；端部游动量符合要求；释放机构转动灵活可靠，仅能由操作人员持专用工具操作；手动锁止装置完好，功能有效。</w:t>
      </w:r>
    </w:p>
    <w:p>
      <w:pPr>
        <w:pStyle w:val="148"/>
        <w:numPr>
          <w:ilvl w:val="0"/>
          <w:numId w:val="0"/>
        </w:numPr>
        <w:ind w:leftChars="0"/>
        <w:rPr>
          <w:color w:val="000000"/>
          <w:highlight w:val="none"/>
        </w:rPr>
      </w:pPr>
      <w:r>
        <w:rPr>
          <w:rFonts w:hint="eastAsia" w:ascii="黑体" w:hAnsi="黑体" w:eastAsia="黑体" w:cs="黑体"/>
          <w:color w:val="000000"/>
          <w:szCs w:val="21"/>
          <w:highlight w:val="none"/>
          <w:lang w:val="en-US" w:eastAsia="zh-CN"/>
        </w:rPr>
        <w:t>5.2.11.2.</w:t>
      </w:r>
      <w:r>
        <w:rPr>
          <w:rFonts w:hint="eastAsia" w:ascii="黑体" w:eastAsia="黑体" w:cs="黑体"/>
          <w:color w:val="000000"/>
          <w:szCs w:val="21"/>
          <w:highlight w:val="none"/>
          <w:lang w:val="en-US" w:eastAsia="zh-CN"/>
        </w:rPr>
        <w:t xml:space="preserve">6  </w:t>
      </w:r>
      <w:r>
        <w:rPr>
          <w:rFonts w:hint="eastAsia" w:hAnsi="宋体" w:cs="宋体"/>
          <w:color w:val="000000"/>
          <w:szCs w:val="21"/>
          <w:highlight w:val="none"/>
        </w:rPr>
        <w:t>安全把手、档杆固定牢靠，无锈蚀、变形，防磕碰包裹物无破损、脱落。</w:t>
      </w:r>
    </w:p>
    <w:p>
      <w:pPr>
        <w:pStyle w:val="53"/>
        <w:numPr>
          <w:ilvl w:val="3"/>
          <w:numId w:val="0"/>
        </w:numPr>
        <w:spacing w:before="156" w:after="156"/>
        <w:rPr>
          <w:color w:val="000000"/>
          <w:highlight w:val="none"/>
        </w:rPr>
      </w:pPr>
      <w:bookmarkStart w:id="101" w:name="_Toc93485503"/>
      <w:r>
        <w:rPr>
          <w:rFonts w:hint="eastAsia"/>
          <w:color w:val="000000"/>
          <w:highlight w:val="none"/>
          <w:lang w:val="en-US" w:eastAsia="zh-CN"/>
        </w:rPr>
        <w:t xml:space="preserve">5.2.12  </w:t>
      </w:r>
      <w:r>
        <w:rPr>
          <w:color w:val="000000"/>
          <w:highlight w:val="none"/>
        </w:rPr>
        <w:t>水上游乐设施</w:t>
      </w:r>
      <w:bookmarkEnd w:id="101"/>
    </w:p>
    <w:p>
      <w:pPr>
        <w:pStyle w:val="80"/>
        <w:numPr>
          <w:ilvl w:val="0"/>
          <w:numId w:val="0"/>
        </w:numPr>
        <w:spacing w:before="156" w:after="156"/>
        <w:rPr>
          <w:color w:val="000000"/>
          <w:highlight w:val="none"/>
        </w:rPr>
      </w:pPr>
      <w:r>
        <w:rPr>
          <w:rFonts w:hint="eastAsia"/>
          <w:color w:val="000000"/>
          <w:highlight w:val="none"/>
          <w:lang w:val="en-US" w:eastAsia="zh-CN"/>
        </w:rPr>
        <w:t xml:space="preserve">5.2.12.1  </w:t>
      </w:r>
      <w:r>
        <w:rPr>
          <w:color w:val="000000"/>
          <w:highlight w:val="none"/>
        </w:rPr>
        <w:t>滑道</w:t>
      </w:r>
    </w:p>
    <w:p>
      <w:pPr>
        <w:pStyle w:val="148"/>
        <w:numPr>
          <w:ilvl w:val="0"/>
          <w:numId w:val="0"/>
        </w:numPr>
        <w:ind w:leftChars="0"/>
        <w:rPr>
          <w:color w:val="000000"/>
          <w:highlight w:val="none"/>
        </w:rPr>
      </w:pPr>
      <w:r>
        <w:rPr>
          <w:rFonts w:hint="eastAsia" w:ascii="黑体" w:hAnsi="黑体" w:eastAsia="黑体" w:cs="黑体"/>
          <w:color w:val="000000"/>
          <w:szCs w:val="21"/>
          <w:highlight w:val="none"/>
          <w:lang w:val="en-US" w:eastAsia="zh-CN"/>
        </w:rPr>
        <w:t>5.2.1</w:t>
      </w:r>
      <w:r>
        <w:rPr>
          <w:rFonts w:hint="eastAsia" w:ascii="黑体" w:eastAsia="黑体" w:cs="黑体"/>
          <w:color w:val="000000"/>
          <w:szCs w:val="21"/>
          <w:highlight w:val="none"/>
          <w:lang w:val="en-US" w:eastAsia="zh-CN"/>
        </w:rPr>
        <w:t>2</w:t>
      </w:r>
      <w:r>
        <w:rPr>
          <w:rFonts w:hint="eastAsia" w:ascii="黑体" w:hAnsi="黑体" w:eastAsia="黑体" w:cs="黑体"/>
          <w:color w:val="000000"/>
          <w:szCs w:val="21"/>
          <w:highlight w:val="none"/>
          <w:lang w:val="en-US" w:eastAsia="zh-CN"/>
        </w:rPr>
        <w:t>.2.1</w:t>
      </w:r>
      <w:r>
        <w:rPr>
          <w:rFonts w:hint="eastAsia" w:ascii="黑体" w:eastAsia="黑体" w:cs="黑体"/>
          <w:color w:val="000000"/>
          <w:szCs w:val="21"/>
          <w:highlight w:val="none"/>
          <w:lang w:val="en-US" w:eastAsia="zh-CN"/>
        </w:rPr>
        <w:t xml:space="preserve">  </w:t>
      </w:r>
      <w:r>
        <w:rPr>
          <w:rFonts w:hint="eastAsia" w:hAnsi="宋体" w:cs="宋体"/>
          <w:color w:val="000000"/>
          <w:szCs w:val="21"/>
          <w:highlight w:val="none"/>
        </w:rPr>
        <w:t>滑道表面光滑、连续，无棱角、裂纹、老化、变形、剥落、尖角等。</w:t>
      </w:r>
    </w:p>
    <w:p>
      <w:pPr>
        <w:pStyle w:val="148"/>
        <w:numPr>
          <w:ilvl w:val="0"/>
          <w:numId w:val="0"/>
        </w:numPr>
        <w:ind w:leftChars="0"/>
        <w:rPr>
          <w:color w:val="000000"/>
          <w:highlight w:val="none"/>
        </w:rPr>
      </w:pPr>
      <w:r>
        <w:rPr>
          <w:rFonts w:hint="eastAsia" w:ascii="黑体" w:hAnsi="黑体" w:eastAsia="黑体" w:cs="黑体"/>
          <w:color w:val="000000"/>
          <w:szCs w:val="21"/>
          <w:highlight w:val="none"/>
          <w:lang w:val="en-US" w:eastAsia="zh-CN"/>
        </w:rPr>
        <w:t>5.2.1</w:t>
      </w:r>
      <w:r>
        <w:rPr>
          <w:rFonts w:hint="eastAsia" w:ascii="黑体" w:eastAsia="黑体" w:cs="黑体"/>
          <w:color w:val="000000"/>
          <w:szCs w:val="21"/>
          <w:highlight w:val="none"/>
          <w:lang w:val="en-US" w:eastAsia="zh-CN"/>
        </w:rPr>
        <w:t>2</w:t>
      </w:r>
      <w:r>
        <w:rPr>
          <w:rFonts w:hint="eastAsia" w:ascii="黑体" w:hAnsi="黑体" w:eastAsia="黑体" w:cs="黑体"/>
          <w:color w:val="000000"/>
          <w:szCs w:val="21"/>
          <w:highlight w:val="none"/>
          <w:lang w:val="en-US" w:eastAsia="zh-CN"/>
        </w:rPr>
        <w:t>.2.</w:t>
      </w:r>
      <w:r>
        <w:rPr>
          <w:rFonts w:hint="eastAsia" w:ascii="黑体" w:eastAsia="黑体" w:cs="黑体"/>
          <w:color w:val="000000"/>
          <w:szCs w:val="21"/>
          <w:highlight w:val="none"/>
          <w:lang w:val="en-US" w:eastAsia="zh-CN"/>
        </w:rPr>
        <w:t xml:space="preserve">2  </w:t>
      </w:r>
      <w:r>
        <w:rPr>
          <w:rFonts w:hint="eastAsia" w:hAnsi="宋体" w:cs="宋体"/>
          <w:color w:val="000000"/>
          <w:szCs w:val="21"/>
          <w:highlight w:val="none"/>
        </w:rPr>
        <w:t>连接处过度顺滑、无超标逆向阶差，接缝胶无松脱、漏水。</w:t>
      </w:r>
    </w:p>
    <w:p>
      <w:pPr>
        <w:pStyle w:val="148"/>
        <w:numPr>
          <w:ilvl w:val="0"/>
          <w:numId w:val="0"/>
        </w:numPr>
        <w:ind w:leftChars="0"/>
        <w:rPr>
          <w:color w:val="000000"/>
          <w:highlight w:val="none"/>
        </w:rPr>
      </w:pPr>
      <w:r>
        <w:rPr>
          <w:rFonts w:hint="eastAsia" w:ascii="黑体" w:hAnsi="黑体" w:eastAsia="黑体" w:cs="黑体"/>
          <w:color w:val="000000"/>
          <w:szCs w:val="21"/>
          <w:highlight w:val="none"/>
          <w:lang w:val="en-US" w:eastAsia="zh-CN"/>
        </w:rPr>
        <w:t>5.2.1</w:t>
      </w:r>
      <w:r>
        <w:rPr>
          <w:rFonts w:hint="eastAsia" w:ascii="黑体" w:eastAsia="黑体" w:cs="黑体"/>
          <w:color w:val="000000"/>
          <w:szCs w:val="21"/>
          <w:highlight w:val="none"/>
          <w:lang w:val="en-US" w:eastAsia="zh-CN"/>
        </w:rPr>
        <w:t>2</w:t>
      </w:r>
      <w:r>
        <w:rPr>
          <w:rFonts w:hint="eastAsia" w:ascii="黑体" w:hAnsi="黑体" w:eastAsia="黑体" w:cs="黑体"/>
          <w:color w:val="000000"/>
          <w:szCs w:val="21"/>
          <w:highlight w:val="none"/>
          <w:lang w:val="en-US" w:eastAsia="zh-CN"/>
        </w:rPr>
        <w:t>.2.</w:t>
      </w:r>
      <w:r>
        <w:rPr>
          <w:rFonts w:hint="eastAsia" w:ascii="黑体" w:eastAsia="黑体" w:cs="黑体"/>
          <w:color w:val="000000"/>
          <w:szCs w:val="21"/>
          <w:highlight w:val="none"/>
          <w:lang w:val="en-US" w:eastAsia="zh-CN"/>
        </w:rPr>
        <w:t xml:space="preserve">3  </w:t>
      </w:r>
      <w:r>
        <w:rPr>
          <w:rFonts w:hint="eastAsia" w:hAnsi="宋体" w:cs="宋体"/>
          <w:color w:val="000000"/>
          <w:szCs w:val="21"/>
          <w:highlight w:val="none"/>
        </w:rPr>
        <w:t>滑行工具在有效期内，无破损、老化现象，扶手牢固可靠；采用充气方式时（如皮筏等）应无漏气现象，充气压力符合维护保养说明书要求。</w:t>
      </w:r>
    </w:p>
    <w:p>
      <w:pPr>
        <w:pStyle w:val="80"/>
        <w:numPr>
          <w:ilvl w:val="0"/>
          <w:numId w:val="0"/>
        </w:numPr>
        <w:spacing w:before="156" w:after="156"/>
        <w:rPr>
          <w:color w:val="000000"/>
          <w:highlight w:val="none"/>
        </w:rPr>
      </w:pPr>
      <w:r>
        <w:rPr>
          <w:rFonts w:hint="eastAsia"/>
          <w:color w:val="000000"/>
          <w:highlight w:val="none"/>
          <w:lang w:val="en-US" w:eastAsia="zh-CN"/>
        </w:rPr>
        <w:t xml:space="preserve">5.2.12.2  </w:t>
      </w:r>
      <w:r>
        <w:rPr>
          <w:color w:val="000000"/>
          <w:highlight w:val="none"/>
        </w:rPr>
        <w:t>水池</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5.2.12.2.1</w:t>
      </w:r>
      <w:r>
        <w:rPr>
          <w:rFonts w:hint="eastAsia"/>
          <w:color w:val="000000"/>
          <w:highlight w:val="none"/>
          <w:lang w:val="en-US" w:eastAsia="zh-CN"/>
        </w:rPr>
        <w:t xml:space="preserve"> </w:t>
      </w:r>
      <w:r>
        <w:rPr>
          <w:rFonts w:hint="eastAsia" w:ascii="黑体" w:eastAsia="黑体" w:cs="黑体"/>
          <w:color w:val="000000"/>
          <w:szCs w:val="21"/>
          <w:highlight w:val="none"/>
          <w:lang w:val="en-US" w:eastAsia="zh-CN"/>
        </w:rPr>
        <w:t xml:space="preserve"> </w:t>
      </w:r>
      <w:r>
        <w:rPr>
          <w:rFonts w:hint="eastAsia" w:hAnsi="宋体" w:cs="宋体"/>
          <w:color w:val="000000"/>
          <w:szCs w:val="21"/>
          <w:highlight w:val="none"/>
        </w:rPr>
        <w:t>水池深度符合GB/T 18168要求。</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5.2.12.2.</w:t>
      </w:r>
      <w:r>
        <w:rPr>
          <w:rFonts w:hint="eastAsia" w:ascii="黑体" w:eastAsia="黑体" w:cs="黑体"/>
          <w:color w:val="000000"/>
          <w:highlight w:val="none"/>
          <w:lang w:val="en-US" w:eastAsia="zh-CN"/>
        </w:rPr>
        <w:t xml:space="preserve">2  </w:t>
      </w:r>
      <w:r>
        <w:rPr>
          <w:rFonts w:hint="eastAsia" w:hAnsi="宋体" w:cs="宋体"/>
          <w:color w:val="000000"/>
          <w:szCs w:val="21"/>
          <w:highlight w:val="none"/>
        </w:rPr>
        <w:t>水质干净、卫生，按规定周期更换，符合要求。</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5.2.12.2.</w:t>
      </w:r>
      <w:r>
        <w:rPr>
          <w:rFonts w:hint="eastAsia" w:ascii="黑体" w:eastAsia="黑体" w:cs="黑体"/>
          <w:color w:val="000000"/>
          <w:highlight w:val="none"/>
          <w:lang w:val="en-US" w:eastAsia="zh-CN"/>
        </w:rPr>
        <w:t xml:space="preserve">3  </w:t>
      </w:r>
      <w:r>
        <w:rPr>
          <w:rFonts w:hint="eastAsia" w:hAnsi="宋体" w:cs="宋体"/>
          <w:color w:val="000000"/>
          <w:szCs w:val="21"/>
          <w:highlight w:val="none"/>
        </w:rPr>
        <w:t>池壁四周无老化、破损等，瓷片、混凝土等无开裂、松脱、剥落、尖角锐边等。</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5.2.12.2.</w:t>
      </w:r>
      <w:r>
        <w:rPr>
          <w:rFonts w:hint="eastAsia" w:ascii="黑体" w:eastAsia="黑体" w:cs="黑体"/>
          <w:color w:val="000000"/>
          <w:highlight w:val="none"/>
          <w:lang w:val="en-US" w:eastAsia="zh-CN"/>
        </w:rPr>
        <w:t xml:space="preserve">4  </w:t>
      </w:r>
      <w:r>
        <w:rPr>
          <w:rFonts w:hint="eastAsia" w:hAnsi="宋体" w:cs="宋体"/>
          <w:color w:val="000000"/>
          <w:szCs w:val="21"/>
          <w:highlight w:val="none"/>
        </w:rPr>
        <w:t>回水口格栅无尖角锐边、无缺失、变形等。</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5.2.12.2.</w:t>
      </w:r>
      <w:r>
        <w:rPr>
          <w:rFonts w:hint="eastAsia" w:ascii="黑体" w:eastAsia="黑体" w:cs="黑体"/>
          <w:color w:val="000000"/>
          <w:highlight w:val="none"/>
          <w:lang w:val="en-US" w:eastAsia="zh-CN"/>
        </w:rPr>
        <w:t xml:space="preserve">5  </w:t>
      </w:r>
      <w:r>
        <w:rPr>
          <w:rFonts w:hint="eastAsia" w:hAnsi="宋体" w:cs="宋体"/>
          <w:color w:val="000000"/>
          <w:szCs w:val="21"/>
          <w:highlight w:val="none"/>
        </w:rPr>
        <w:t>水下照明安全、防护措施有效。</w:t>
      </w:r>
    </w:p>
    <w:p>
      <w:pPr>
        <w:pStyle w:val="80"/>
        <w:numPr>
          <w:ilvl w:val="0"/>
          <w:numId w:val="0"/>
        </w:numPr>
        <w:spacing w:before="156" w:after="156"/>
        <w:rPr>
          <w:color w:val="000000"/>
          <w:highlight w:val="none"/>
        </w:rPr>
      </w:pPr>
      <w:r>
        <w:rPr>
          <w:rFonts w:hint="eastAsia"/>
          <w:color w:val="000000"/>
          <w:highlight w:val="none"/>
          <w:lang w:val="en-US" w:eastAsia="zh-CN"/>
        </w:rPr>
        <w:t xml:space="preserve">5.2.12.3  </w:t>
      </w:r>
      <w:r>
        <w:rPr>
          <w:color w:val="000000"/>
          <w:highlight w:val="none"/>
        </w:rPr>
        <w:t>水循环系统</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5.2.12.3.1</w:t>
      </w:r>
      <w:r>
        <w:rPr>
          <w:rFonts w:hint="eastAsia"/>
          <w:color w:val="000000"/>
          <w:highlight w:val="none"/>
          <w:lang w:val="en-US" w:eastAsia="zh-CN"/>
        </w:rPr>
        <w:t xml:space="preserve">  </w:t>
      </w:r>
      <w:r>
        <w:rPr>
          <w:rFonts w:hint="eastAsia" w:hAnsi="宋体" w:cs="宋体"/>
          <w:color w:val="000000"/>
          <w:szCs w:val="21"/>
          <w:highlight w:val="none"/>
        </w:rPr>
        <w:t>泵房内通风良好，无杂物、积水。</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5.2.12.3.</w:t>
      </w:r>
      <w:r>
        <w:rPr>
          <w:rFonts w:hint="eastAsia" w:ascii="黑体" w:eastAsia="黑体" w:cs="黑体"/>
          <w:color w:val="000000"/>
          <w:highlight w:val="none"/>
          <w:lang w:val="en-US" w:eastAsia="zh-CN"/>
        </w:rPr>
        <w:t xml:space="preserve">2  </w:t>
      </w:r>
      <w:r>
        <w:rPr>
          <w:rFonts w:hint="eastAsia" w:hAnsi="宋体" w:cs="宋体"/>
          <w:color w:val="000000"/>
          <w:szCs w:val="21"/>
          <w:highlight w:val="none"/>
        </w:rPr>
        <w:t>过滤装置定期清理无污垢、更换。</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5.2.12.3.</w:t>
      </w:r>
      <w:r>
        <w:rPr>
          <w:rFonts w:hint="eastAsia" w:ascii="黑体" w:eastAsia="黑体" w:cs="黑体"/>
          <w:color w:val="000000"/>
          <w:highlight w:val="none"/>
          <w:lang w:val="en-US" w:eastAsia="zh-CN"/>
        </w:rPr>
        <w:t xml:space="preserve">3  </w:t>
      </w:r>
      <w:r>
        <w:rPr>
          <w:rFonts w:hint="eastAsia" w:hAnsi="宋体" w:cs="宋体"/>
          <w:color w:val="000000"/>
          <w:szCs w:val="21"/>
          <w:highlight w:val="none"/>
        </w:rPr>
        <w:t>水泵运转平稳良好，无异常声响、振动，管路无裂纹、接头无泄漏。</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5.2.12.3.</w:t>
      </w:r>
      <w:r>
        <w:rPr>
          <w:rFonts w:hint="eastAsia" w:ascii="黑体" w:eastAsia="黑体" w:cs="黑体"/>
          <w:color w:val="000000"/>
          <w:highlight w:val="none"/>
          <w:lang w:val="en-US" w:eastAsia="zh-CN"/>
        </w:rPr>
        <w:t xml:space="preserve">4  </w:t>
      </w:r>
      <w:r>
        <w:rPr>
          <w:rFonts w:hint="eastAsia" w:hAnsi="宋体" w:cs="宋体"/>
          <w:color w:val="000000"/>
          <w:szCs w:val="21"/>
          <w:highlight w:val="none"/>
        </w:rPr>
        <w:t>排污泵、止回阀及其管路正常工作，无堵塞、泄漏。</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5.2.12.3.</w:t>
      </w:r>
      <w:r>
        <w:rPr>
          <w:rFonts w:hint="eastAsia" w:ascii="黑体" w:eastAsia="黑体" w:cs="黑体"/>
          <w:color w:val="000000"/>
          <w:highlight w:val="none"/>
          <w:lang w:val="en-US" w:eastAsia="zh-CN"/>
        </w:rPr>
        <w:t xml:space="preserve">5  </w:t>
      </w:r>
      <w:r>
        <w:rPr>
          <w:rFonts w:hint="eastAsia" w:hAnsi="宋体" w:cs="宋体"/>
          <w:color w:val="000000"/>
          <w:szCs w:val="21"/>
          <w:highlight w:val="none"/>
        </w:rPr>
        <w:t>各类阀门组件动作灵活、可靠。</w:t>
      </w:r>
    </w:p>
    <w:p>
      <w:pPr>
        <w:pStyle w:val="80"/>
        <w:numPr>
          <w:ilvl w:val="0"/>
          <w:numId w:val="0"/>
        </w:numPr>
        <w:spacing w:before="156" w:after="156"/>
        <w:rPr>
          <w:rFonts w:hAnsi="黑体" w:cs="宋体"/>
          <w:color w:val="000000"/>
          <w:szCs w:val="21"/>
          <w:highlight w:val="none"/>
        </w:rPr>
      </w:pPr>
      <w:r>
        <w:rPr>
          <w:rFonts w:hint="eastAsia" w:ascii="黑体" w:hAnsi="黑体" w:eastAsia="黑体" w:cs="黑体"/>
          <w:color w:val="000000"/>
          <w:highlight w:val="none"/>
          <w:lang w:val="en-US" w:eastAsia="zh-CN"/>
        </w:rPr>
        <w:t>5.2.12.</w:t>
      </w:r>
      <w:r>
        <w:rPr>
          <w:rFonts w:hint="eastAsia" w:hAnsi="黑体" w:cs="黑体"/>
          <w:color w:val="000000"/>
          <w:highlight w:val="none"/>
          <w:lang w:val="en-US" w:eastAsia="zh-CN"/>
        </w:rPr>
        <w:t xml:space="preserve">4  </w:t>
      </w:r>
      <w:r>
        <w:rPr>
          <w:rFonts w:hint="eastAsia" w:hAnsi="黑体" w:cs="宋体"/>
          <w:color w:val="000000"/>
          <w:szCs w:val="21"/>
          <w:highlight w:val="none"/>
        </w:rPr>
        <w:t>输送设备（承托轮、回转轮、宽口传送带）</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5.2.12.4.1</w:t>
      </w:r>
      <w:r>
        <w:rPr>
          <w:rFonts w:hint="eastAsia" w:cs="黑体"/>
          <w:color w:val="000000"/>
          <w:highlight w:val="none"/>
          <w:lang w:val="en-US" w:eastAsia="zh-CN"/>
        </w:rPr>
        <w:t xml:space="preserve">  </w:t>
      </w:r>
      <w:r>
        <w:rPr>
          <w:rFonts w:hint="eastAsia" w:hAnsi="宋体" w:cs="宋体"/>
          <w:color w:val="000000"/>
          <w:szCs w:val="21"/>
          <w:highlight w:val="none"/>
        </w:rPr>
        <w:t>输送机器：电机、滚筒、托辊等工作正常，运行无异常噪声、振动、温升。</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5.2.12.4.</w:t>
      </w:r>
      <w:r>
        <w:rPr>
          <w:rFonts w:hint="eastAsia" w:ascii="黑体" w:eastAsia="黑体" w:cs="黑体"/>
          <w:color w:val="000000"/>
          <w:highlight w:val="none"/>
          <w:lang w:val="en-US" w:eastAsia="zh-CN"/>
        </w:rPr>
        <w:t xml:space="preserve">2  </w:t>
      </w:r>
      <w:r>
        <w:rPr>
          <w:rFonts w:hint="eastAsia" w:hAnsi="宋体" w:cs="宋体"/>
          <w:color w:val="000000"/>
          <w:szCs w:val="21"/>
          <w:highlight w:val="none"/>
        </w:rPr>
        <w:t>输送带：张紧适度、无跑偏，表面无裂纹、鼓包、断裂、磨损、破损等。</w:t>
      </w:r>
    </w:p>
    <w:p>
      <w:pPr>
        <w:pStyle w:val="80"/>
        <w:numPr>
          <w:ilvl w:val="0"/>
          <w:numId w:val="0"/>
        </w:numPr>
        <w:bidi w:val="0"/>
        <w:ind w:leftChars="0"/>
        <w:rPr>
          <w:highlight w:val="none"/>
        </w:rPr>
      </w:pPr>
      <w:bookmarkStart w:id="102" w:name="_Toc93485504"/>
      <w:bookmarkStart w:id="103" w:name="_Toc90843764"/>
      <w:r>
        <w:rPr>
          <w:rFonts w:hint="eastAsia"/>
          <w:highlight w:val="none"/>
          <w:lang w:val="en-US" w:eastAsia="zh-CN"/>
        </w:rPr>
        <w:t xml:space="preserve">5.2.13  </w:t>
      </w:r>
      <w:r>
        <w:rPr>
          <w:rFonts w:hint="eastAsia"/>
          <w:highlight w:val="none"/>
        </w:rPr>
        <w:t>基础及相关设备设施</w:t>
      </w:r>
      <w:bookmarkEnd w:id="102"/>
      <w:bookmarkEnd w:id="103"/>
    </w:p>
    <w:p>
      <w:pPr>
        <w:pStyle w:val="80"/>
        <w:numPr>
          <w:ilvl w:val="0"/>
          <w:numId w:val="0"/>
        </w:numPr>
        <w:bidi w:val="0"/>
        <w:ind w:leftChars="0"/>
        <w:rPr>
          <w:highlight w:val="none"/>
        </w:rPr>
      </w:pPr>
      <w:r>
        <w:rPr>
          <w:rFonts w:hint="eastAsia" w:ascii="黑体" w:hAnsi="黑体" w:eastAsia="黑体" w:cs="黑体"/>
          <w:color w:val="000000"/>
          <w:highlight w:val="none"/>
          <w:lang w:val="en-US" w:eastAsia="zh-CN"/>
        </w:rPr>
        <w:t>5.2.</w:t>
      </w:r>
      <w:r>
        <w:rPr>
          <w:rFonts w:hint="eastAsia" w:hAnsi="黑体" w:cs="黑体"/>
          <w:color w:val="000000"/>
          <w:highlight w:val="none"/>
          <w:lang w:val="en-US" w:eastAsia="zh-CN"/>
        </w:rPr>
        <w:t>13</w:t>
      </w:r>
      <w:r>
        <w:rPr>
          <w:rFonts w:hint="eastAsia" w:ascii="黑体" w:hAnsi="黑体" w:eastAsia="黑体" w:cs="黑体"/>
          <w:color w:val="000000"/>
          <w:highlight w:val="none"/>
          <w:lang w:val="en-US" w:eastAsia="zh-CN"/>
        </w:rPr>
        <w:t>.1</w:t>
      </w:r>
      <w:r>
        <w:rPr>
          <w:rFonts w:hint="eastAsia" w:hAnsi="黑体" w:cs="黑体"/>
          <w:color w:val="000000"/>
          <w:highlight w:val="none"/>
          <w:lang w:val="en-US" w:eastAsia="zh-CN"/>
        </w:rPr>
        <w:t xml:space="preserve">  </w:t>
      </w:r>
      <w:r>
        <w:rPr>
          <w:rFonts w:hint="eastAsia"/>
          <w:highlight w:val="none"/>
        </w:rPr>
        <w:t>基础</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5.2.13.</w:t>
      </w:r>
      <w:r>
        <w:rPr>
          <w:rFonts w:hint="eastAsia" w:ascii="黑体" w:eastAsia="黑体" w:cs="黑体"/>
          <w:color w:val="000000"/>
          <w:highlight w:val="none"/>
          <w:lang w:val="en-US" w:eastAsia="zh-CN"/>
        </w:rPr>
        <w:t xml:space="preserve">1.1  </w:t>
      </w:r>
      <w:r>
        <w:rPr>
          <w:rFonts w:hint="eastAsia" w:hAnsi="宋体" w:cs="宋体"/>
          <w:color w:val="000000"/>
          <w:szCs w:val="21"/>
          <w:highlight w:val="none"/>
        </w:rPr>
        <w:t>基础与设备底座连接牢靠，无不均匀沉降、开裂、滑移、积水、锈蚀等。</w:t>
      </w:r>
    </w:p>
    <w:p>
      <w:pPr>
        <w:pStyle w:val="148"/>
        <w:numPr>
          <w:ilvl w:val="0"/>
          <w:numId w:val="0"/>
        </w:numPr>
        <w:ind w:leftChars="0"/>
        <w:rPr>
          <w:color w:val="000000"/>
          <w:highlight w:val="none"/>
        </w:rPr>
      </w:pPr>
      <w:r>
        <w:rPr>
          <w:rFonts w:hint="eastAsia" w:ascii="黑体" w:hAnsi="黑体" w:eastAsia="黑体" w:cs="黑体"/>
          <w:color w:val="000000"/>
          <w:highlight w:val="none"/>
          <w:lang w:val="en-US" w:eastAsia="zh-CN"/>
        </w:rPr>
        <w:t>5.2.13.1.2</w:t>
      </w:r>
      <w:r>
        <w:rPr>
          <w:rFonts w:hint="eastAsia" w:ascii="黑体" w:eastAsia="黑体" w:cs="黑体"/>
          <w:color w:val="000000"/>
          <w:highlight w:val="none"/>
          <w:lang w:val="en-US" w:eastAsia="zh-CN"/>
        </w:rPr>
        <w:t xml:space="preserve">  </w:t>
      </w:r>
      <w:r>
        <w:rPr>
          <w:rFonts w:hint="eastAsia" w:hAnsi="宋体" w:cs="宋体"/>
          <w:color w:val="000000"/>
          <w:szCs w:val="21"/>
          <w:highlight w:val="none"/>
        </w:rPr>
        <w:t>地脚螺栓防松措施牢靠，符合GB 50231要求。</w:t>
      </w:r>
    </w:p>
    <w:p>
      <w:pPr>
        <w:pStyle w:val="80"/>
        <w:numPr>
          <w:ilvl w:val="0"/>
          <w:numId w:val="0"/>
        </w:numPr>
        <w:bidi w:val="0"/>
        <w:ind w:leftChars="0"/>
        <w:rPr>
          <w:highlight w:val="none"/>
        </w:rPr>
      </w:pPr>
      <w:r>
        <w:rPr>
          <w:rFonts w:hint="eastAsia"/>
          <w:highlight w:val="none"/>
          <w:lang w:val="en-US" w:eastAsia="zh-CN"/>
        </w:rPr>
        <w:t xml:space="preserve">5.2.13.2  </w:t>
      </w:r>
      <w:r>
        <w:rPr>
          <w:rFonts w:hint="eastAsia"/>
          <w:highlight w:val="none"/>
        </w:rPr>
        <w:t>辅助设备设施</w:t>
      </w:r>
    </w:p>
    <w:p>
      <w:pPr>
        <w:pStyle w:val="148"/>
        <w:numPr>
          <w:ilvl w:val="0"/>
          <w:numId w:val="0"/>
        </w:numPr>
        <w:ind w:leftChars="0"/>
        <w:rPr>
          <w:color w:val="000000"/>
          <w:highlight w:val="none"/>
        </w:rPr>
      </w:pPr>
      <w:r>
        <w:rPr>
          <w:rFonts w:hint="eastAsia" w:ascii="黑体" w:hAnsi="黑体" w:eastAsia="黑体" w:cs="黑体"/>
          <w:highlight w:val="none"/>
          <w:lang w:val="en-US" w:eastAsia="zh-CN"/>
        </w:rPr>
        <w:t>5.2.13.2.1</w:t>
      </w:r>
      <w:r>
        <w:rPr>
          <w:rFonts w:hint="eastAsia"/>
          <w:highlight w:val="none"/>
          <w:lang w:val="en-US" w:eastAsia="zh-CN"/>
        </w:rPr>
        <w:t xml:space="preserve">  </w:t>
      </w:r>
      <w:r>
        <w:rPr>
          <w:rFonts w:hint="eastAsia" w:hAnsi="宋体" w:cs="宋体"/>
          <w:color w:val="000000"/>
          <w:szCs w:val="21"/>
          <w:highlight w:val="none"/>
        </w:rPr>
        <w:t>应急疏散通道、高空平台畅通无阻碍。</w:t>
      </w:r>
    </w:p>
    <w:p>
      <w:pPr>
        <w:pStyle w:val="148"/>
        <w:numPr>
          <w:ilvl w:val="0"/>
          <w:numId w:val="0"/>
        </w:numPr>
        <w:ind w:leftChars="0"/>
        <w:rPr>
          <w:color w:val="000000"/>
          <w:highlight w:val="none"/>
        </w:rPr>
      </w:pPr>
      <w:r>
        <w:rPr>
          <w:rFonts w:hint="eastAsia" w:ascii="黑体" w:hAnsi="黑体" w:eastAsia="黑体" w:cs="黑体"/>
          <w:highlight w:val="none"/>
          <w:lang w:val="en-US" w:eastAsia="zh-CN"/>
        </w:rPr>
        <w:t>5.2.13.2.2</w:t>
      </w:r>
      <w:r>
        <w:rPr>
          <w:rFonts w:hint="eastAsia"/>
          <w:highlight w:val="none"/>
          <w:lang w:val="en-US" w:eastAsia="zh-CN"/>
        </w:rPr>
        <w:t xml:space="preserve">  </w:t>
      </w:r>
      <w:r>
        <w:rPr>
          <w:rFonts w:hint="eastAsia" w:hAnsi="宋体" w:cs="宋体"/>
          <w:color w:val="000000"/>
          <w:szCs w:val="21"/>
          <w:highlight w:val="none"/>
        </w:rPr>
        <w:t>栅栏、防护网等防护措施完好、无损坏。</w:t>
      </w:r>
    </w:p>
    <w:p>
      <w:pPr>
        <w:pStyle w:val="148"/>
        <w:numPr>
          <w:ilvl w:val="0"/>
          <w:numId w:val="0"/>
        </w:numPr>
        <w:ind w:leftChars="0"/>
        <w:rPr>
          <w:color w:val="000000"/>
          <w:highlight w:val="none"/>
        </w:rPr>
      </w:pPr>
      <w:r>
        <w:rPr>
          <w:rFonts w:hint="eastAsia" w:ascii="黑体" w:hAnsi="黑体" w:eastAsia="黑体" w:cs="黑体"/>
          <w:highlight w:val="none"/>
          <w:lang w:val="en-US" w:eastAsia="zh-CN"/>
        </w:rPr>
        <w:t>5.2.13.2.3</w:t>
      </w:r>
      <w:r>
        <w:rPr>
          <w:rFonts w:hint="eastAsia"/>
          <w:highlight w:val="none"/>
          <w:lang w:val="en-US" w:eastAsia="zh-CN"/>
        </w:rPr>
        <w:t xml:space="preserve">  </w:t>
      </w:r>
      <w:r>
        <w:rPr>
          <w:rFonts w:hint="eastAsia" w:hAnsi="宋体" w:cs="宋体"/>
          <w:color w:val="000000"/>
          <w:szCs w:val="21"/>
          <w:highlight w:val="none"/>
        </w:rPr>
        <w:t>扶梯、检修爬梯完好、无损坏，固定牢靠，防护措施。</w:t>
      </w:r>
    </w:p>
    <w:p>
      <w:pPr>
        <w:pStyle w:val="148"/>
        <w:numPr>
          <w:ilvl w:val="0"/>
          <w:numId w:val="0"/>
        </w:numPr>
        <w:ind w:leftChars="0"/>
        <w:rPr>
          <w:color w:val="000000"/>
          <w:highlight w:val="none"/>
        </w:rPr>
      </w:pPr>
      <w:r>
        <w:rPr>
          <w:rFonts w:hint="eastAsia" w:ascii="黑体" w:hAnsi="黑体" w:eastAsia="黑体" w:cs="黑体"/>
          <w:highlight w:val="none"/>
          <w:lang w:val="en-US" w:eastAsia="zh-CN"/>
        </w:rPr>
        <w:t>5.2.13.2.4</w:t>
      </w:r>
      <w:r>
        <w:rPr>
          <w:rFonts w:hint="eastAsia"/>
          <w:highlight w:val="none"/>
          <w:lang w:val="en-US" w:eastAsia="zh-CN"/>
        </w:rPr>
        <w:t xml:space="preserve">  </w:t>
      </w:r>
      <w:r>
        <w:rPr>
          <w:rFonts w:hint="eastAsia" w:hAnsi="宋体" w:cs="宋体"/>
          <w:color w:val="000000"/>
          <w:szCs w:val="21"/>
          <w:highlight w:val="none"/>
        </w:rPr>
        <w:t>监控检测装置（警铃、航空警示灯、流量监测等）正常工作，无损坏。</w:t>
      </w:r>
    </w:p>
    <w:p>
      <w:pPr>
        <w:pStyle w:val="148"/>
        <w:numPr>
          <w:ilvl w:val="0"/>
          <w:numId w:val="0"/>
        </w:numPr>
        <w:ind w:leftChars="0"/>
        <w:rPr>
          <w:color w:val="000000"/>
          <w:highlight w:val="none"/>
        </w:rPr>
      </w:pPr>
      <w:r>
        <w:rPr>
          <w:rFonts w:hint="eastAsia" w:ascii="黑体" w:hAnsi="黑体" w:eastAsia="黑体" w:cs="黑体"/>
          <w:highlight w:val="none"/>
          <w:lang w:val="en-US" w:eastAsia="zh-CN"/>
        </w:rPr>
        <w:t>5.2.13.2.5</w:t>
      </w:r>
      <w:r>
        <w:rPr>
          <w:rFonts w:hint="eastAsia"/>
          <w:highlight w:val="none"/>
          <w:lang w:val="en-US" w:eastAsia="zh-CN"/>
        </w:rPr>
        <w:t xml:space="preserve">  </w:t>
      </w:r>
      <w:r>
        <w:rPr>
          <w:rFonts w:hint="eastAsia" w:hAnsi="宋体" w:cs="宋体"/>
          <w:color w:val="000000"/>
          <w:szCs w:val="21"/>
          <w:highlight w:val="none"/>
        </w:rPr>
        <w:t>装饰灯具工作电压符合安全要求，安装牢靠、无损坏。</w:t>
      </w:r>
    </w:p>
    <w:p>
      <w:pPr>
        <w:pStyle w:val="148"/>
        <w:numPr>
          <w:ilvl w:val="0"/>
          <w:numId w:val="0"/>
        </w:numPr>
        <w:ind w:leftChars="0"/>
        <w:rPr>
          <w:color w:val="000000"/>
          <w:highlight w:val="none"/>
        </w:rPr>
      </w:pPr>
      <w:r>
        <w:rPr>
          <w:rFonts w:hint="eastAsia" w:ascii="黑体" w:hAnsi="黑体" w:eastAsia="黑体" w:cs="黑体"/>
          <w:highlight w:val="none"/>
          <w:lang w:val="en-US" w:eastAsia="zh-CN"/>
        </w:rPr>
        <w:t>5.2.13.2.6</w:t>
      </w:r>
      <w:r>
        <w:rPr>
          <w:rFonts w:hint="eastAsia"/>
          <w:highlight w:val="none"/>
          <w:lang w:val="en-US" w:eastAsia="zh-CN"/>
        </w:rPr>
        <w:t xml:space="preserve">  </w:t>
      </w:r>
      <w:r>
        <w:rPr>
          <w:rFonts w:hint="eastAsia" w:hAnsi="宋体" w:cs="宋体"/>
          <w:color w:val="000000"/>
          <w:szCs w:val="21"/>
          <w:highlight w:val="none"/>
        </w:rPr>
        <w:t>监控设备完好、安装牢靠，定期维护（含设备本体、数据备份等）符合要求。</w:t>
      </w:r>
    </w:p>
    <w:p>
      <w:pPr>
        <w:pStyle w:val="148"/>
        <w:numPr>
          <w:ilvl w:val="0"/>
          <w:numId w:val="0"/>
        </w:numPr>
        <w:ind w:leftChars="0"/>
        <w:rPr>
          <w:color w:val="000000"/>
          <w:highlight w:val="none"/>
        </w:rPr>
      </w:pPr>
      <w:r>
        <w:rPr>
          <w:rFonts w:hint="eastAsia" w:ascii="黑体" w:hAnsi="黑体" w:eastAsia="黑体" w:cs="黑体"/>
          <w:highlight w:val="none"/>
          <w:lang w:val="en-US" w:eastAsia="zh-CN"/>
        </w:rPr>
        <w:t>5.2.13.2.7</w:t>
      </w:r>
      <w:r>
        <w:rPr>
          <w:rFonts w:hint="eastAsia"/>
          <w:highlight w:val="none"/>
          <w:lang w:val="en-US" w:eastAsia="zh-CN"/>
        </w:rPr>
        <w:t xml:space="preserve">  </w:t>
      </w:r>
      <w:r>
        <w:rPr>
          <w:rFonts w:hint="eastAsia" w:hAnsi="宋体" w:cs="宋体"/>
          <w:color w:val="000000"/>
          <w:szCs w:val="21"/>
          <w:highlight w:val="none"/>
        </w:rPr>
        <w:t>各类旋转部件、电气裸露设备设施装设的防护装置无缺失、破损。</w:t>
      </w:r>
    </w:p>
    <w:p>
      <w:pPr>
        <w:pStyle w:val="148"/>
        <w:numPr>
          <w:ilvl w:val="0"/>
          <w:numId w:val="0"/>
        </w:numPr>
        <w:ind w:leftChars="0"/>
        <w:rPr>
          <w:color w:val="000000"/>
          <w:highlight w:val="none"/>
        </w:rPr>
      </w:pPr>
      <w:r>
        <w:rPr>
          <w:rFonts w:hint="eastAsia" w:ascii="黑体" w:hAnsi="黑体" w:eastAsia="黑体" w:cs="黑体"/>
          <w:highlight w:val="none"/>
          <w:lang w:val="en-US" w:eastAsia="zh-CN"/>
        </w:rPr>
        <w:t>5.2.13.2.8</w:t>
      </w:r>
      <w:r>
        <w:rPr>
          <w:rFonts w:hint="eastAsia"/>
          <w:highlight w:val="none"/>
          <w:lang w:val="en-US" w:eastAsia="zh-CN"/>
        </w:rPr>
        <w:t xml:space="preserve">  </w:t>
      </w:r>
      <w:r>
        <w:rPr>
          <w:rFonts w:hint="eastAsia" w:hAnsi="宋体" w:cs="宋体"/>
          <w:color w:val="000000"/>
          <w:szCs w:val="21"/>
          <w:highlight w:val="none"/>
        </w:rPr>
        <w:t>封闭座舱等配备有效的灭火器材，并按规定期限更换、维护和测试。</w:t>
      </w:r>
    </w:p>
    <w:p>
      <w:pPr>
        <w:pStyle w:val="148"/>
        <w:numPr>
          <w:ilvl w:val="0"/>
          <w:numId w:val="0"/>
        </w:numPr>
        <w:ind w:leftChars="0"/>
        <w:rPr>
          <w:color w:val="000000"/>
          <w:highlight w:val="none"/>
        </w:rPr>
      </w:pPr>
      <w:r>
        <w:rPr>
          <w:rFonts w:hint="eastAsia" w:ascii="黑体" w:hAnsi="黑体" w:eastAsia="黑体" w:cs="黑体"/>
          <w:highlight w:val="none"/>
          <w:lang w:val="en-US" w:eastAsia="zh-CN"/>
        </w:rPr>
        <w:t>5.2.13.2.9</w:t>
      </w:r>
      <w:r>
        <w:rPr>
          <w:rFonts w:hint="eastAsia"/>
          <w:highlight w:val="none"/>
          <w:lang w:val="en-US" w:eastAsia="zh-CN"/>
        </w:rPr>
        <w:t xml:space="preserve">  </w:t>
      </w:r>
      <w:r>
        <w:rPr>
          <w:rFonts w:hint="eastAsia" w:hAnsi="宋体" w:cs="宋体"/>
          <w:color w:val="000000"/>
          <w:szCs w:val="21"/>
          <w:highlight w:val="none"/>
        </w:rPr>
        <w:t>备用动力：应急电源工作正常；发电机工作正常，无异常振动、噪声；备用动力装置工作正常。</w:t>
      </w:r>
    </w:p>
    <w:p>
      <w:pPr>
        <w:pStyle w:val="148"/>
        <w:numPr>
          <w:ilvl w:val="0"/>
          <w:numId w:val="0"/>
        </w:numPr>
        <w:ind w:leftChars="0"/>
        <w:rPr>
          <w:color w:val="000000"/>
          <w:highlight w:val="none"/>
        </w:rPr>
      </w:pPr>
      <w:r>
        <w:rPr>
          <w:rFonts w:hint="eastAsia" w:ascii="黑体" w:hAnsi="黑体" w:eastAsia="黑体" w:cs="黑体"/>
          <w:highlight w:val="none"/>
          <w:lang w:val="en-US" w:eastAsia="zh-CN"/>
        </w:rPr>
        <w:t>5.2.13.2.10</w:t>
      </w:r>
      <w:r>
        <w:rPr>
          <w:rFonts w:hint="eastAsia"/>
          <w:highlight w:val="none"/>
          <w:lang w:val="en-US" w:eastAsia="zh-CN"/>
        </w:rPr>
        <w:t xml:space="preserve">  </w:t>
      </w:r>
      <w:r>
        <w:rPr>
          <w:rFonts w:hint="eastAsia" w:hAnsi="宋体" w:cs="宋体"/>
          <w:color w:val="000000"/>
          <w:szCs w:val="21"/>
          <w:highlight w:val="none"/>
        </w:rPr>
        <w:t>救援装备功能正常、有效，无破损、缺失，结构完好。</w:t>
      </w:r>
    </w:p>
    <w:p>
      <w:pPr>
        <w:pStyle w:val="148"/>
        <w:numPr>
          <w:ilvl w:val="0"/>
          <w:numId w:val="0"/>
        </w:numPr>
        <w:ind w:leftChars="0"/>
        <w:rPr>
          <w:color w:val="000000"/>
          <w:highlight w:val="none"/>
        </w:rPr>
      </w:pPr>
      <w:r>
        <w:rPr>
          <w:rFonts w:hint="eastAsia" w:ascii="黑体" w:hAnsi="黑体" w:eastAsia="黑体" w:cs="黑体"/>
          <w:highlight w:val="none"/>
          <w:lang w:val="en-US" w:eastAsia="zh-CN"/>
        </w:rPr>
        <w:t>5.2.13.2.11</w:t>
      </w:r>
      <w:r>
        <w:rPr>
          <w:rFonts w:hint="eastAsia"/>
          <w:highlight w:val="none"/>
          <w:lang w:val="en-US" w:eastAsia="zh-CN"/>
        </w:rPr>
        <w:t xml:space="preserve">  </w:t>
      </w:r>
      <w:r>
        <w:rPr>
          <w:rFonts w:hint="eastAsia" w:hAnsi="宋体" w:cs="宋体"/>
          <w:color w:val="000000"/>
          <w:highlight w:val="none"/>
        </w:rPr>
        <w:t>通讯设施功能有效、通话清晰。</w:t>
      </w:r>
    </w:p>
    <w:p>
      <w:pPr>
        <w:pStyle w:val="80"/>
        <w:numPr>
          <w:ilvl w:val="0"/>
          <w:numId w:val="0"/>
        </w:numPr>
        <w:bidi w:val="0"/>
        <w:ind w:leftChars="0"/>
        <w:rPr>
          <w:highlight w:val="none"/>
        </w:rPr>
      </w:pPr>
      <w:r>
        <w:rPr>
          <w:rFonts w:hint="eastAsia"/>
          <w:highlight w:val="none"/>
          <w:lang w:val="en-US" w:eastAsia="zh-CN"/>
        </w:rPr>
        <w:t xml:space="preserve">5.2.13.3  </w:t>
      </w:r>
      <w:r>
        <w:rPr>
          <w:rFonts w:hint="eastAsia"/>
          <w:highlight w:val="none"/>
        </w:rPr>
        <w:t>警示、指引和标识</w:t>
      </w:r>
    </w:p>
    <w:p>
      <w:pPr>
        <w:pStyle w:val="44"/>
        <w:ind w:firstLine="420"/>
        <w:rPr>
          <w:rFonts w:hAnsi="宋体" w:cs="宋体"/>
          <w:color w:val="000000"/>
          <w:highlight w:val="none"/>
        </w:rPr>
      </w:pPr>
      <w:r>
        <w:rPr>
          <w:rFonts w:hint="eastAsia" w:hAnsi="宋体" w:cs="宋体"/>
          <w:color w:val="000000"/>
          <w:highlight w:val="none"/>
        </w:rPr>
        <w:t>各类警示、指引和标识安装牢靠，无锈蚀、破损，载明的信息清晰可辨识。</w:t>
      </w:r>
    </w:p>
    <w:p>
      <w:pPr>
        <w:pStyle w:val="80"/>
        <w:numPr>
          <w:ilvl w:val="0"/>
          <w:numId w:val="0"/>
        </w:numPr>
        <w:bidi w:val="0"/>
        <w:ind w:leftChars="0"/>
        <w:rPr>
          <w:highlight w:val="none"/>
        </w:rPr>
      </w:pPr>
      <w:bookmarkStart w:id="104" w:name="_Toc93485505"/>
      <w:r>
        <w:rPr>
          <w:rFonts w:hint="eastAsia"/>
          <w:highlight w:val="none"/>
          <w:lang w:val="en-US" w:eastAsia="zh-CN"/>
        </w:rPr>
        <w:t xml:space="preserve">5.2.14  </w:t>
      </w:r>
      <w:r>
        <w:rPr>
          <w:rFonts w:hint="eastAsia"/>
          <w:highlight w:val="none"/>
        </w:rPr>
        <w:t>运行试验</w:t>
      </w:r>
      <w:bookmarkEnd w:id="104"/>
    </w:p>
    <w:p>
      <w:pPr>
        <w:pStyle w:val="145"/>
        <w:numPr>
          <w:ilvl w:val="0"/>
          <w:numId w:val="0"/>
        </w:numPr>
        <w:rPr>
          <w:color w:val="000000"/>
          <w:highlight w:val="none"/>
        </w:rPr>
      </w:pPr>
      <w:r>
        <w:rPr>
          <w:rFonts w:hint="eastAsia" w:ascii="黑体" w:hAnsi="黑体" w:eastAsia="黑体" w:cs="黑体"/>
          <w:color w:val="000000"/>
          <w:szCs w:val="21"/>
          <w:highlight w:val="none"/>
          <w:lang w:val="en-US" w:eastAsia="zh-CN"/>
        </w:rPr>
        <w:t xml:space="preserve">5.2.14.1 </w:t>
      </w:r>
      <w:r>
        <w:rPr>
          <w:rFonts w:hint="eastAsia" w:hAnsi="宋体" w:cs="宋体"/>
          <w:color w:val="000000"/>
          <w:szCs w:val="21"/>
          <w:highlight w:val="none"/>
          <w:lang w:val="en-US" w:eastAsia="zh-CN"/>
        </w:rPr>
        <w:t xml:space="preserve"> </w:t>
      </w:r>
      <w:r>
        <w:rPr>
          <w:rFonts w:hint="eastAsia" w:hAnsi="宋体" w:cs="宋体"/>
          <w:color w:val="000000"/>
          <w:szCs w:val="21"/>
          <w:highlight w:val="none"/>
        </w:rPr>
        <w:t>按要求对大型游乐设施进行周期性维护保养，需通过载荷试验检查设备安全状况的，选取符合要求的有效载荷物质载体及数量、加载方式和摆放位置等。</w:t>
      </w:r>
    </w:p>
    <w:p>
      <w:pPr>
        <w:pStyle w:val="145"/>
        <w:numPr>
          <w:ilvl w:val="0"/>
          <w:numId w:val="0"/>
        </w:numPr>
        <w:rPr>
          <w:color w:val="000000"/>
          <w:highlight w:val="none"/>
        </w:rPr>
      </w:pPr>
      <w:r>
        <w:rPr>
          <w:rFonts w:hint="eastAsia" w:ascii="黑体" w:hAnsi="黑体" w:eastAsia="黑体" w:cs="黑体"/>
          <w:color w:val="000000"/>
          <w:szCs w:val="21"/>
          <w:highlight w:val="none"/>
          <w:lang w:val="en-US" w:eastAsia="zh-CN"/>
        </w:rPr>
        <w:t>5.2.14.2</w:t>
      </w:r>
      <w:r>
        <w:rPr>
          <w:rFonts w:hint="eastAsia" w:hAnsi="宋体" w:cs="宋体"/>
          <w:color w:val="000000"/>
          <w:szCs w:val="21"/>
          <w:highlight w:val="none"/>
          <w:lang w:val="en-US" w:eastAsia="zh-CN"/>
        </w:rPr>
        <w:t xml:space="preserve">  </w:t>
      </w:r>
      <w:r>
        <w:rPr>
          <w:rFonts w:hint="eastAsia" w:hAnsi="宋体" w:cs="宋体"/>
          <w:color w:val="000000"/>
          <w:szCs w:val="21"/>
          <w:highlight w:val="none"/>
        </w:rPr>
        <w:t>无动力类游乐设施等特殊情形下，需通过乘人参与荷载试验的，在保证人员和设备安全的前提下，选择经训练有素的专业人员按照试验作业指导书要求进行试验。</w:t>
      </w:r>
    </w:p>
    <w:p>
      <w:pPr>
        <w:pStyle w:val="145"/>
        <w:numPr>
          <w:ilvl w:val="0"/>
          <w:numId w:val="0"/>
        </w:numPr>
        <w:rPr>
          <w:rFonts w:hint="eastAsia" w:hAnsi="宋体" w:cs="宋体"/>
          <w:color w:val="000000"/>
          <w:szCs w:val="21"/>
          <w:highlight w:val="none"/>
        </w:rPr>
      </w:pPr>
      <w:r>
        <w:rPr>
          <w:rFonts w:hint="eastAsia" w:ascii="黑体" w:hAnsi="黑体" w:eastAsia="黑体" w:cs="黑体"/>
          <w:color w:val="000000"/>
          <w:szCs w:val="21"/>
          <w:highlight w:val="none"/>
          <w:lang w:val="en-US" w:eastAsia="zh-CN"/>
        </w:rPr>
        <w:t>5.2.14.3</w:t>
      </w:r>
      <w:r>
        <w:rPr>
          <w:rFonts w:hint="eastAsia" w:hAnsi="宋体" w:cs="宋体"/>
          <w:color w:val="000000"/>
          <w:szCs w:val="21"/>
          <w:highlight w:val="none"/>
          <w:lang w:val="en-US" w:eastAsia="zh-CN"/>
        </w:rPr>
        <w:t xml:space="preserve">  </w:t>
      </w:r>
      <w:r>
        <w:rPr>
          <w:rFonts w:hint="eastAsia" w:hAnsi="宋体" w:cs="宋体"/>
          <w:color w:val="000000"/>
          <w:szCs w:val="21"/>
          <w:highlight w:val="none"/>
        </w:rPr>
        <w:t>整机试验过程中，如发生设备故障，应及时进行检修，待故障排除恢复正常状态后，重新进行试验。</w:t>
      </w:r>
    </w:p>
    <w:p>
      <w:pPr>
        <w:pStyle w:val="145"/>
        <w:numPr>
          <w:ilvl w:val="0"/>
          <w:numId w:val="0"/>
        </w:numPr>
        <w:rPr>
          <w:rFonts w:hAnsi="宋体" w:cs="宋体"/>
          <w:color w:val="000000"/>
          <w:szCs w:val="21"/>
          <w:highlight w:val="none"/>
        </w:rPr>
      </w:pPr>
      <w:r>
        <w:rPr>
          <w:rFonts w:hint="eastAsia" w:ascii="黑体" w:hAnsi="黑体" w:eastAsia="黑体" w:cs="黑体"/>
          <w:color w:val="000000"/>
          <w:szCs w:val="21"/>
          <w:highlight w:val="none"/>
          <w:lang w:val="en-US" w:eastAsia="zh-CN"/>
        </w:rPr>
        <w:t xml:space="preserve">5.2.14.4 </w:t>
      </w:r>
      <w:r>
        <w:rPr>
          <w:rFonts w:hint="eastAsia" w:hAnsi="宋体" w:cs="宋体"/>
          <w:color w:val="000000"/>
          <w:szCs w:val="21"/>
          <w:highlight w:val="none"/>
          <w:lang w:val="en-US" w:eastAsia="zh-CN"/>
        </w:rPr>
        <w:t xml:space="preserve"> </w:t>
      </w:r>
      <w:r>
        <w:rPr>
          <w:rFonts w:hint="eastAsia" w:hAnsi="宋体" w:cs="宋体"/>
          <w:color w:val="000000"/>
          <w:szCs w:val="21"/>
          <w:highlight w:val="none"/>
        </w:rPr>
        <w:t>载荷试验结束后，按要求对大型游乐设施本体进行全面检查，经确认无异常状况时方可投入正常运营、使用。</w:t>
      </w:r>
    </w:p>
    <w:p>
      <w:pPr>
        <w:pStyle w:val="44"/>
        <w:ind w:firstLine="0" w:firstLineChars="0"/>
        <w:rPr>
          <w:color w:val="000000"/>
          <w:highlight w:val="none"/>
        </w:rPr>
        <w:sectPr>
          <w:pgSz w:w="11906" w:h="16838"/>
          <w:pgMar w:top="2410" w:right="1134" w:bottom="1134" w:left="1134" w:header="1418" w:footer="1134" w:gutter="284"/>
          <w:pgBorders>
            <w:top w:val="none" w:sz="0" w:space="0"/>
            <w:left w:val="none" w:sz="0" w:space="0"/>
            <w:bottom w:val="none" w:sz="0" w:space="0"/>
            <w:right w:val="none" w:sz="0" w:space="0"/>
          </w:pgBorders>
          <w:pgNumType w:start="1"/>
          <w:cols w:space="720" w:num="1"/>
          <w:formProt w:val="0"/>
          <w:docGrid w:type="lines" w:linePitch="312" w:charSpace="0"/>
        </w:sectPr>
      </w:pPr>
    </w:p>
    <w:p>
      <w:pPr>
        <w:pStyle w:val="176"/>
        <w:rPr>
          <w:color w:val="000000"/>
          <w:highlight w:val="none"/>
        </w:rPr>
      </w:pPr>
      <w:bookmarkStart w:id="105" w:name="BookMark5"/>
    </w:p>
    <w:p>
      <w:pPr>
        <w:pStyle w:val="177"/>
        <w:rPr>
          <w:color w:val="000000"/>
          <w:highlight w:val="none"/>
        </w:rPr>
      </w:pPr>
    </w:p>
    <w:p>
      <w:pPr>
        <w:pStyle w:val="63"/>
        <w:spacing w:before="78" w:after="156"/>
        <w:rPr>
          <w:color w:val="000000"/>
          <w:highlight w:val="none"/>
        </w:rPr>
      </w:pPr>
      <w:r>
        <w:rPr>
          <w:color w:val="000000"/>
          <w:highlight w:val="none"/>
        </w:rPr>
        <w:br w:type="textWrapping"/>
      </w:r>
      <w:bookmarkStart w:id="106" w:name="_Toc93485523"/>
      <w:bookmarkStart w:id="107" w:name="_Toc93485506"/>
      <w:bookmarkStart w:id="108" w:name="_Toc94252730"/>
      <w:r>
        <w:rPr>
          <w:rFonts w:hint="eastAsia"/>
          <w:color w:val="000000"/>
          <w:highlight w:val="none"/>
        </w:rPr>
        <w:t>（资料性）</w:t>
      </w:r>
      <w:r>
        <w:rPr>
          <w:color w:val="000000"/>
          <w:highlight w:val="none"/>
        </w:rPr>
        <w:br w:type="textWrapping"/>
      </w:r>
      <w:r>
        <w:rPr>
          <w:rFonts w:hint="eastAsia"/>
          <w:color w:val="000000"/>
          <w:highlight w:val="none"/>
        </w:rPr>
        <w:t>大型游乐设施故障统计</w:t>
      </w:r>
      <w:bookmarkEnd w:id="106"/>
      <w:bookmarkEnd w:id="107"/>
      <w:bookmarkEnd w:id="108"/>
    </w:p>
    <w:p>
      <w:pPr>
        <w:pStyle w:val="44"/>
        <w:ind w:firstLine="0" w:firstLineChars="0"/>
        <w:jc w:val="center"/>
        <w:rPr>
          <w:rFonts w:ascii="黑体" w:hAnsi="黑体" w:eastAsia="黑体"/>
          <w:color w:val="000000"/>
          <w:highlight w:val="none"/>
        </w:rPr>
      </w:pPr>
      <w:r>
        <w:rPr>
          <w:rFonts w:hint="eastAsia" w:ascii="黑体" w:hAnsi="黑体" w:eastAsia="黑体"/>
          <w:color w:val="000000"/>
          <w:highlight w:val="none"/>
        </w:rPr>
        <w:t>表A.1 大型游乐设施故障统计表</w:t>
      </w:r>
    </w:p>
    <w:tbl>
      <w:tblPr>
        <w:tblStyle w:val="2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02"/>
        <w:gridCol w:w="1778"/>
        <w:gridCol w:w="64"/>
        <w:gridCol w:w="1017"/>
        <w:gridCol w:w="203"/>
        <w:gridCol w:w="7"/>
        <w:gridCol w:w="616"/>
        <w:gridCol w:w="281"/>
        <w:gridCol w:w="17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802"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使用单位名称</w:t>
            </w:r>
          </w:p>
        </w:tc>
        <w:tc>
          <w:tcPr>
            <w:tcW w:w="5677" w:type="dxa"/>
            <w:gridSpan w:val="8"/>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802"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设备名称</w:t>
            </w:r>
          </w:p>
        </w:tc>
        <w:tc>
          <w:tcPr>
            <w:tcW w:w="1842" w:type="dxa"/>
            <w:gridSpan w:val="2"/>
            <w:tcBorders>
              <w:right w:val="single" w:color="auto" w:sz="4" w:space="0"/>
            </w:tcBorders>
            <w:noWrap w:val="0"/>
            <w:vAlign w:val="center"/>
          </w:tcPr>
          <w:p>
            <w:pPr>
              <w:spacing w:line="320" w:lineRule="exact"/>
              <w:jc w:val="center"/>
              <w:rPr>
                <w:rFonts w:ascii="宋体" w:hAnsi="宋体" w:cs="宋体"/>
                <w:color w:val="000000"/>
                <w:sz w:val="18"/>
                <w:szCs w:val="18"/>
                <w:highlight w:val="none"/>
              </w:rPr>
            </w:pPr>
          </w:p>
        </w:tc>
        <w:tc>
          <w:tcPr>
            <w:tcW w:w="1227" w:type="dxa"/>
            <w:gridSpan w:val="3"/>
            <w:tcBorders>
              <w:left w:val="single" w:color="auto" w:sz="4" w:space="0"/>
              <w:right w:val="single" w:color="auto"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设备类别</w:t>
            </w:r>
          </w:p>
        </w:tc>
        <w:tc>
          <w:tcPr>
            <w:tcW w:w="2608" w:type="dxa"/>
            <w:gridSpan w:val="3"/>
            <w:tcBorders>
              <w:left w:val="single" w:color="auto" w:sz="4" w:space="0"/>
            </w:tcBorders>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802"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使用登记证编号</w:t>
            </w:r>
          </w:p>
        </w:tc>
        <w:tc>
          <w:tcPr>
            <w:tcW w:w="1842" w:type="dxa"/>
            <w:gridSpan w:val="2"/>
            <w:tcBorders>
              <w:right w:val="single" w:color="auto" w:sz="4" w:space="0"/>
            </w:tcBorders>
            <w:noWrap w:val="0"/>
            <w:vAlign w:val="center"/>
          </w:tcPr>
          <w:p>
            <w:pPr>
              <w:spacing w:line="320" w:lineRule="exact"/>
              <w:jc w:val="center"/>
              <w:rPr>
                <w:rFonts w:ascii="宋体" w:hAnsi="宋体" w:cs="宋体"/>
                <w:color w:val="000000"/>
                <w:sz w:val="18"/>
                <w:szCs w:val="18"/>
                <w:highlight w:val="none"/>
              </w:rPr>
            </w:pPr>
          </w:p>
        </w:tc>
        <w:tc>
          <w:tcPr>
            <w:tcW w:w="1220" w:type="dxa"/>
            <w:gridSpan w:val="2"/>
            <w:tcBorders>
              <w:left w:val="single" w:color="auto" w:sz="4" w:space="0"/>
              <w:right w:val="single" w:color="auto"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产品编号</w:t>
            </w:r>
          </w:p>
        </w:tc>
        <w:tc>
          <w:tcPr>
            <w:tcW w:w="2615" w:type="dxa"/>
            <w:gridSpan w:val="4"/>
            <w:tcBorders>
              <w:left w:val="single" w:color="auto" w:sz="4" w:space="0"/>
            </w:tcBorders>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802"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故障发生地点</w:t>
            </w:r>
          </w:p>
        </w:tc>
        <w:tc>
          <w:tcPr>
            <w:tcW w:w="5677" w:type="dxa"/>
            <w:gridSpan w:val="8"/>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802"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发生故障时间</w:t>
            </w:r>
          </w:p>
        </w:tc>
        <w:tc>
          <w:tcPr>
            <w:tcW w:w="1778" w:type="dxa"/>
            <w:noWrap w:val="0"/>
            <w:vAlign w:val="center"/>
          </w:tcPr>
          <w:p>
            <w:pPr>
              <w:spacing w:line="320" w:lineRule="exact"/>
              <w:jc w:val="center"/>
              <w:rPr>
                <w:rFonts w:ascii="宋体" w:hAnsi="宋体" w:cs="宋体"/>
                <w:color w:val="000000"/>
                <w:sz w:val="18"/>
                <w:szCs w:val="18"/>
                <w:highlight w:val="none"/>
              </w:rPr>
            </w:pPr>
          </w:p>
        </w:tc>
        <w:tc>
          <w:tcPr>
            <w:tcW w:w="1907" w:type="dxa"/>
            <w:gridSpan w:val="5"/>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被困游客数量</w:t>
            </w:r>
          </w:p>
        </w:tc>
        <w:tc>
          <w:tcPr>
            <w:tcW w:w="1992" w:type="dxa"/>
            <w:gridSpan w:val="2"/>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802"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故障排除时间</w:t>
            </w:r>
          </w:p>
        </w:tc>
        <w:tc>
          <w:tcPr>
            <w:tcW w:w="1778" w:type="dxa"/>
            <w:noWrap w:val="0"/>
            <w:vAlign w:val="center"/>
          </w:tcPr>
          <w:p>
            <w:pPr>
              <w:spacing w:line="320" w:lineRule="exact"/>
              <w:jc w:val="center"/>
              <w:rPr>
                <w:rFonts w:ascii="宋体" w:hAnsi="宋体" w:cs="宋体"/>
                <w:color w:val="000000"/>
                <w:sz w:val="18"/>
                <w:szCs w:val="18"/>
                <w:highlight w:val="none"/>
              </w:rPr>
            </w:pPr>
          </w:p>
        </w:tc>
        <w:tc>
          <w:tcPr>
            <w:tcW w:w="1907" w:type="dxa"/>
            <w:gridSpan w:val="5"/>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报告相关部门时间</w:t>
            </w:r>
          </w:p>
        </w:tc>
        <w:tc>
          <w:tcPr>
            <w:tcW w:w="1992" w:type="dxa"/>
            <w:gridSpan w:val="2"/>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8" w:hRule="atLeast"/>
        </w:trPr>
        <w:tc>
          <w:tcPr>
            <w:tcW w:w="2802"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发生故障原因</w:t>
            </w:r>
          </w:p>
        </w:tc>
        <w:tc>
          <w:tcPr>
            <w:tcW w:w="5677" w:type="dxa"/>
            <w:gridSpan w:val="8"/>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5" w:hRule="atLeast"/>
        </w:trPr>
        <w:tc>
          <w:tcPr>
            <w:tcW w:w="2802"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故障排除措施</w:t>
            </w:r>
          </w:p>
        </w:tc>
        <w:tc>
          <w:tcPr>
            <w:tcW w:w="5677" w:type="dxa"/>
            <w:gridSpan w:val="8"/>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9" w:hRule="atLeast"/>
        </w:trPr>
        <w:tc>
          <w:tcPr>
            <w:tcW w:w="2802"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预防故障措施</w:t>
            </w:r>
          </w:p>
        </w:tc>
        <w:tc>
          <w:tcPr>
            <w:tcW w:w="5677" w:type="dxa"/>
            <w:gridSpan w:val="8"/>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802"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维护保养人员签字（如有）</w:t>
            </w:r>
          </w:p>
        </w:tc>
        <w:tc>
          <w:tcPr>
            <w:tcW w:w="2859" w:type="dxa"/>
            <w:gridSpan w:val="3"/>
            <w:tcBorders>
              <w:right w:val="single" w:color="auto" w:sz="4" w:space="0"/>
            </w:tcBorders>
            <w:noWrap w:val="0"/>
            <w:vAlign w:val="center"/>
          </w:tcPr>
          <w:p>
            <w:pPr>
              <w:spacing w:line="320" w:lineRule="exact"/>
              <w:jc w:val="center"/>
              <w:rPr>
                <w:rFonts w:ascii="宋体" w:hAnsi="宋体" w:cs="宋体"/>
                <w:color w:val="000000"/>
                <w:sz w:val="18"/>
                <w:szCs w:val="18"/>
                <w:highlight w:val="none"/>
              </w:rPr>
            </w:pPr>
          </w:p>
        </w:tc>
        <w:tc>
          <w:tcPr>
            <w:tcW w:w="1107" w:type="dxa"/>
            <w:gridSpan w:val="4"/>
            <w:tcBorders>
              <w:left w:val="single" w:color="auto" w:sz="4" w:space="0"/>
              <w:right w:val="single" w:color="auto"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日期</w:t>
            </w:r>
          </w:p>
        </w:tc>
        <w:tc>
          <w:tcPr>
            <w:tcW w:w="1711" w:type="dxa"/>
            <w:tcBorders>
              <w:left w:val="single" w:color="auto" w:sz="4" w:space="0"/>
            </w:tcBorders>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802"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安全员签字</w:t>
            </w:r>
          </w:p>
        </w:tc>
        <w:tc>
          <w:tcPr>
            <w:tcW w:w="2859" w:type="dxa"/>
            <w:gridSpan w:val="3"/>
            <w:tcBorders>
              <w:top w:val="single" w:color="000000" w:sz="4" w:space="0"/>
              <w:left w:val="single" w:color="000000" w:sz="4" w:space="0"/>
              <w:bottom w:val="single" w:color="000000" w:sz="4" w:space="0"/>
              <w:right w:val="single" w:color="auto" w:sz="4" w:space="0"/>
            </w:tcBorders>
            <w:noWrap w:val="0"/>
            <w:vAlign w:val="center"/>
          </w:tcPr>
          <w:p>
            <w:pPr>
              <w:spacing w:line="320" w:lineRule="exact"/>
              <w:jc w:val="center"/>
              <w:rPr>
                <w:rFonts w:ascii="宋体" w:hAnsi="宋体" w:cs="宋体"/>
                <w:color w:val="000000"/>
                <w:sz w:val="18"/>
                <w:szCs w:val="18"/>
                <w:highlight w:val="none"/>
              </w:rPr>
            </w:pPr>
          </w:p>
        </w:tc>
        <w:tc>
          <w:tcPr>
            <w:tcW w:w="1107" w:type="dxa"/>
            <w:gridSpan w:val="4"/>
            <w:tcBorders>
              <w:top w:val="single" w:color="000000" w:sz="4" w:space="0"/>
              <w:left w:val="single" w:color="auto" w:sz="4" w:space="0"/>
              <w:bottom w:val="single" w:color="000000" w:sz="4" w:space="0"/>
              <w:right w:val="single" w:color="auto"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日期</w:t>
            </w:r>
          </w:p>
        </w:tc>
        <w:tc>
          <w:tcPr>
            <w:tcW w:w="1711" w:type="dxa"/>
            <w:tcBorders>
              <w:top w:val="single" w:color="000000" w:sz="4" w:space="0"/>
              <w:left w:val="single" w:color="auto" w:sz="4" w:space="0"/>
              <w:bottom w:val="single" w:color="000000" w:sz="4" w:space="0"/>
              <w:right w:val="single" w:color="000000" w:sz="4" w:space="0"/>
            </w:tcBorders>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802"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主要负责人签字</w:t>
            </w:r>
          </w:p>
        </w:tc>
        <w:tc>
          <w:tcPr>
            <w:tcW w:w="2859" w:type="dxa"/>
            <w:gridSpan w:val="3"/>
            <w:tcBorders>
              <w:top w:val="single" w:color="000000" w:sz="4" w:space="0"/>
              <w:left w:val="single" w:color="000000" w:sz="4" w:space="0"/>
              <w:bottom w:val="single" w:color="000000" w:sz="4" w:space="0"/>
              <w:right w:val="single" w:color="auto" w:sz="4" w:space="0"/>
            </w:tcBorders>
            <w:noWrap w:val="0"/>
            <w:vAlign w:val="center"/>
          </w:tcPr>
          <w:p>
            <w:pPr>
              <w:spacing w:line="320" w:lineRule="exact"/>
              <w:jc w:val="center"/>
              <w:rPr>
                <w:rFonts w:ascii="宋体" w:hAnsi="宋体" w:cs="宋体"/>
                <w:color w:val="000000"/>
                <w:sz w:val="18"/>
                <w:szCs w:val="18"/>
                <w:highlight w:val="none"/>
              </w:rPr>
            </w:pPr>
          </w:p>
        </w:tc>
        <w:tc>
          <w:tcPr>
            <w:tcW w:w="1107" w:type="dxa"/>
            <w:gridSpan w:val="4"/>
            <w:tcBorders>
              <w:top w:val="single" w:color="000000" w:sz="4" w:space="0"/>
              <w:left w:val="single" w:color="auto" w:sz="4" w:space="0"/>
              <w:bottom w:val="single" w:color="000000" w:sz="4" w:space="0"/>
              <w:right w:val="single" w:color="auto"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日期</w:t>
            </w:r>
          </w:p>
        </w:tc>
        <w:tc>
          <w:tcPr>
            <w:tcW w:w="1711" w:type="dxa"/>
            <w:tcBorders>
              <w:top w:val="single" w:color="000000" w:sz="4" w:space="0"/>
              <w:left w:val="single" w:color="auto" w:sz="4" w:space="0"/>
              <w:bottom w:val="single" w:color="000000" w:sz="4" w:space="0"/>
              <w:right w:val="single" w:color="000000" w:sz="4" w:space="0"/>
            </w:tcBorders>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04" w:hRule="atLeast"/>
        </w:trPr>
        <w:tc>
          <w:tcPr>
            <w:tcW w:w="2802" w:type="dxa"/>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备注</w:t>
            </w:r>
          </w:p>
        </w:tc>
        <w:tc>
          <w:tcPr>
            <w:tcW w:w="5677" w:type="dxa"/>
            <w:gridSpan w:val="8"/>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ascii="宋体" w:hAnsi="宋体" w:cs="宋体"/>
                <w:color w:val="000000"/>
                <w:sz w:val="18"/>
                <w:szCs w:val="18"/>
                <w:highlight w:val="none"/>
              </w:rPr>
            </w:pPr>
          </w:p>
        </w:tc>
      </w:tr>
    </w:tbl>
    <w:p>
      <w:pPr>
        <w:pStyle w:val="44"/>
        <w:ind w:firstLine="420"/>
        <w:jc w:val="center"/>
        <w:rPr>
          <w:color w:val="000000"/>
          <w:highlight w:val="none"/>
        </w:rPr>
      </w:pPr>
    </w:p>
    <w:p>
      <w:pPr>
        <w:pStyle w:val="44"/>
        <w:ind w:firstLine="420"/>
        <w:jc w:val="center"/>
        <w:rPr>
          <w:color w:val="000000"/>
          <w:highlight w:val="none"/>
        </w:rPr>
      </w:pPr>
    </w:p>
    <w:p>
      <w:pPr>
        <w:pStyle w:val="44"/>
        <w:ind w:firstLine="420"/>
        <w:jc w:val="center"/>
        <w:rPr>
          <w:color w:val="000000"/>
          <w:highlight w:val="none"/>
        </w:rPr>
        <w:sectPr>
          <w:pgSz w:w="11906" w:h="16838"/>
          <w:pgMar w:top="2410" w:right="1134" w:bottom="1134" w:left="1134" w:header="1418" w:footer="1134" w:gutter="284"/>
          <w:pgBorders>
            <w:top w:val="none" w:sz="0" w:space="0"/>
            <w:left w:val="none" w:sz="0" w:space="0"/>
            <w:bottom w:val="none" w:sz="0" w:space="0"/>
            <w:right w:val="none" w:sz="0" w:space="0"/>
          </w:pgBorders>
          <w:cols w:space="720" w:num="1"/>
          <w:formProt w:val="0"/>
          <w:docGrid w:type="lines" w:linePitch="312" w:charSpace="0"/>
        </w:sectPr>
      </w:pPr>
    </w:p>
    <w:p>
      <w:pPr>
        <w:pStyle w:val="176"/>
        <w:rPr>
          <w:color w:val="000000"/>
          <w:highlight w:val="none"/>
        </w:rPr>
      </w:pPr>
    </w:p>
    <w:p>
      <w:pPr>
        <w:pStyle w:val="177"/>
        <w:rPr>
          <w:color w:val="000000"/>
          <w:highlight w:val="none"/>
        </w:rPr>
      </w:pPr>
    </w:p>
    <w:p>
      <w:pPr>
        <w:pStyle w:val="63"/>
        <w:spacing w:before="78" w:after="156"/>
        <w:rPr>
          <w:color w:val="000000"/>
          <w:highlight w:val="none"/>
        </w:rPr>
      </w:pPr>
      <w:r>
        <w:rPr>
          <w:color w:val="000000"/>
          <w:highlight w:val="none"/>
        </w:rPr>
        <w:br w:type="textWrapping"/>
      </w:r>
      <w:bookmarkStart w:id="109" w:name="_Toc93485507"/>
      <w:bookmarkStart w:id="110" w:name="_Toc93485524"/>
      <w:bookmarkStart w:id="111" w:name="_Toc94252731"/>
      <w:r>
        <w:rPr>
          <w:rFonts w:hint="eastAsia"/>
          <w:color w:val="000000"/>
          <w:highlight w:val="none"/>
        </w:rPr>
        <w:t>（资料性）</w:t>
      </w:r>
      <w:r>
        <w:rPr>
          <w:color w:val="000000"/>
          <w:highlight w:val="none"/>
        </w:rPr>
        <w:br w:type="textWrapping"/>
      </w:r>
      <w:r>
        <w:rPr>
          <w:rFonts w:hint="eastAsia"/>
          <w:color w:val="000000"/>
          <w:highlight w:val="none"/>
        </w:rPr>
        <w:t>大型游乐设施应急救援演练自查</w:t>
      </w:r>
      <w:bookmarkEnd w:id="109"/>
      <w:bookmarkEnd w:id="110"/>
      <w:bookmarkEnd w:id="111"/>
    </w:p>
    <w:p>
      <w:pPr>
        <w:pStyle w:val="44"/>
        <w:ind w:firstLine="0" w:firstLineChars="0"/>
        <w:jc w:val="center"/>
        <w:rPr>
          <w:rFonts w:ascii="黑体" w:hAnsi="黑体" w:eastAsia="黑体"/>
          <w:b/>
          <w:color w:val="000000"/>
          <w:highlight w:val="none"/>
        </w:rPr>
      </w:pPr>
      <w:r>
        <w:rPr>
          <w:rFonts w:hint="eastAsia" w:ascii="黑体" w:hAnsi="黑体" w:eastAsia="黑体"/>
          <w:color w:val="000000"/>
          <w:highlight w:val="none"/>
        </w:rPr>
        <w:t>表B.1 大型游乐设施应急救援演练自查表</w:t>
      </w:r>
    </w:p>
    <w:tbl>
      <w:tblPr>
        <w:tblStyle w:val="28"/>
        <w:tblW w:w="0" w:type="auto"/>
        <w:jc w:val="center"/>
        <w:tblLayout w:type="fixed"/>
        <w:tblCellMar>
          <w:top w:w="0" w:type="dxa"/>
          <w:left w:w="0" w:type="dxa"/>
          <w:bottom w:w="0" w:type="dxa"/>
          <w:right w:w="0" w:type="dxa"/>
        </w:tblCellMar>
      </w:tblPr>
      <w:tblGrid>
        <w:gridCol w:w="483"/>
        <w:gridCol w:w="1815"/>
        <w:gridCol w:w="2389"/>
        <w:gridCol w:w="1532"/>
        <w:gridCol w:w="454"/>
        <w:gridCol w:w="20"/>
        <w:gridCol w:w="1587"/>
      </w:tblGrid>
      <w:tr>
        <w:tblPrEx>
          <w:tblCellMar>
            <w:top w:w="0" w:type="dxa"/>
            <w:left w:w="0" w:type="dxa"/>
            <w:bottom w:w="0" w:type="dxa"/>
            <w:right w:w="0" w:type="dxa"/>
          </w:tblCellMar>
        </w:tblPrEx>
        <w:trPr>
          <w:trHeight w:val="454" w:hRule="exact"/>
          <w:jc w:val="center"/>
        </w:trPr>
        <w:tc>
          <w:tcPr>
            <w:tcW w:w="2298" w:type="dxa"/>
            <w:gridSpan w:val="2"/>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设备名称</w:t>
            </w:r>
          </w:p>
        </w:tc>
        <w:tc>
          <w:tcPr>
            <w:tcW w:w="2389" w:type="dxa"/>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p>
        </w:tc>
        <w:tc>
          <w:tcPr>
            <w:tcW w:w="1986" w:type="dxa"/>
            <w:gridSpan w:val="2"/>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设备类别</w:t>
            </w:r>
          </w:p>
        </w:tc>
        <w:tc>
          <w:tcPr>
            <w:tcW w:w="1607" w:type="dxa"/>
            <w:gridSpan w:val="2"/>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r>
        <w:tblPrEx>
          <w:tblCellMar>
            <w:top w:w="0" w:type="dxa"/>
            <w:left w:w="0" w:type="dxa"/>
            <w:bottom w:w="0" w:type="dxa"/>
            <w:right w:w="0" w:type="dxa"/>
          </w:tblCellMar>
        </w:tblPrEx>
        <w:trPr>
          <w:trHeight w:val="454" w:hRule="exact"/>
          <w:jc w:val="center"/>
        </w:trPr>
        <w:tc>
          <w:tcPr>
            <w:tcW w:w="2298" w:type="dxa"/>
            <w:gridSpan w:val="2"/>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使用单位</w:t>
            </w:r>
          </w:p>
        </w:tc>
        <w:tc>
          <w:tcPr>
            <w:tcW w:w="2389" w:type="dxa"/>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p>
        </w:tc>
        <w:tc>
          <w:tcPr>
            <w:tcW w:w="1986" w:type="dxa"/>
            <w:gridSpan w:val="2"/>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使用登记证编号</w:t>
            </w:r>
          </w:p>
        </w:tc>
        <w:tc>
          <w:tcPr>
            <w:tcW w:w="1607" w:type="dxa"/>
            <w:gridSpan w:val="2"/>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r>
        <w:tblPrEx>
          <w:tblCellMar>
            <w:top w:w="0" w:type="dxa"/>
            <w:left w:w="0" w:type="dxa"/>
            <w:bottom w:w="0" w:type="dxa"/>
            <w:right w:w="0" w:type="dxa"/>
          </w:tblCellMar>
        </w:tblPrEx>
        <w:trPr>
          <w:trHeight w:val="454" w:hRule="exact"/>
          <w:jc w:val="center"/>
        </w:trPr>
        <w:tc>
          <w:tcPr>
            <w:tcW w:w="2298" w:type="dxa"/>
            <w:gridSpan w:val="2"/>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使用地址</w:t>
            </w:r>
          </w:p>
        </w:tc>
        <w:tc>
          <w:tcPr>
            <w:tcW w:w="5982" w:type="dxa"/>
            <w:gridSpan w:val="5"/>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r>
        <w:tblPrEx>
          <w:tblCellMar>
            <w:top w:w="0" w:type="dxa"/>
            <w:left w:w="0" w:type="dxa"/>
            <w:bottom w:w="0" w:type="dxa"/>
            <w:right w:w="0" w:type="dxa"/>
          </w:tblCellMar>
        </w:tblPrEx>
        <w:trPr>
          <w:trHeight w:val="454" w:hRule="exact"/>
          <w:jc w:val="center"/>
        </w:trPr>
        <w:tc>
          <w:tcPr>
            <w:tcW w:w="2298" w:type="dxa"/>
            <w:gridSpan w:val="2"/>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型号规格</w:t>
            </w:r>
          </w:p>
        </w:tc>
        <w:tc>
          <w:tcPr>
            <w:tcW w:w="2389" w:type="dxa"/>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p>
        </w:tc>
        <w:tc>
          <w:tcPr>
            <w:tcW w:w="1986" w:type="dxa"/>
            <w:gridSpan w:val="2"/>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产品编号</w:t>
            </w:r>
          </w:p>
        </w:tc>
        <w:tc>
          <w:tcPr>
            <w:tcW w:w="1607" w:type="dxa"/>
            <w:gridSpan w:val="2"/>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r>
        <w:tblPrEx>
          <w:tblCellMar>
            <w:top w:w="0" w:type="dxa"/>
            <w:left w:w="0" w:type="dxa"/>
            <w:bottom w:w="0" w:type="dxa"/>
            <w:right w:w="0" w:type="dxa"/>
          </w:tblCellMar>
        </w:tblPrEx>
        <w:trPr>
          <w:trHeight w:val="454" w:hRule="exact"/>
          <w:jc w:val="center"/>
        </w:trPr>
        <w:tc>
          <w:tcPr>
            <w:tcW w:w="2298" w:type="dxa"/>
            <w:gridSpan w:val="2"/>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安全总监</w:t>
            </w:r>
          </w:p>
        </w:tc>
        <w:tc>
          <w:tcPr>
            <w:tcW w:w="2389" w:type="dxa"/>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p>
        </w:tc>
        <w:tc>
          <w:tcPr>
            <w:tcW w:w="1986" w:type="dxa"/>
            <w:gridSpan w:val="2"/>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联系电话</w:t>
            </w:r>
          </w:p>
        </w:tc>
        <w:tc>
          <w:tcPr>
            <w:tcW w:w="1607" w:type="dxa"/>
            <w:gridSpan w:val="2"/>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r>
        <w:tblPrEx>
          <w:tblCellMar>
            <w:top w:w="0" w:type="dxa"/>
            <w:left w:w="0" w:type="dxa"/>
            <w:bottom w:w="0" w:type="dxa"/>
            <w:right w:w="0" w:type="dxa"/>
          </w:tblCellMar>
        </w:tblPrEx>
        <w:trPr>
          <w:trHeight w:val="454" w:hRule="exact"/>
          <w:jc w:val="center"/>
        </w:trPr>
        <w:tc>
          <w:tcPr>
            <w:tcW w:w="2298" w:type="dxa"/>
            <w:gridSpan w:val="2"/>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安全员</w:t>
            </w:r>
          </w:p>
        </w:tc>
        <w:tc>
          <w:tcPr>
            <w:tcW w:w="2389" w:type="dxa"/>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p>
        </w:tc>
        <w:tc>
          <w:tcPr>
            <w:tcW w:w="1986" w:type="dxa"/>
            <w:gridSpan w:val="2"/>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联系电话</w:t>
            </w:r>
          </w:p>
        </w:tc>
        <w:tc>
          <w:tcPr>
            <w:tcW w:w="1607" w:type="dxa"/>
            <w:gridSpan w:val="2"/>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r>
        <w:tblPrEx>
          <w:tblCellMar>
            <w:top w:w="0" w:type="dxa"/>
            <w:left w:w="0" w:type="dxa"/>
            <w:bottom w:w="0" w:type="dxa"/>
            <w:right w:w="0" w:type="dxa"/>
          </w:tblCellMar>
        </w:tblPrEx>
        <w:trPr>
          <w:trHeight w:val="886" w:hRule="exact"/>
          <w:jc w:val="center"/>
        </w:trPr>
        <w:tc>
          <w:tcPr>
            <w:tcW w:w="2298" w:type="dxa"/>
            <w:gridSpan w:val="2"/>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维护保养单位（如有）</w:t>
            </w:r>
          </w:p>
        </w:tc>
        <w:tc>
          <w:tcPr>
            <w:tcW w:w="2389" w:type="dxa"/>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c>
          <w:tcPr>
            <w:tcW w:w="1986" w:type="dxa"/>
            <w:gridSpan w:val="2"/>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维护保养单位</w:t>
            </w:r>
          </w:p>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资质证号（如有）</w:t>
            </w:r>
          </w:p>
        </w:tc>
        <w:tc>
          <w:tcPr>
            <w:tcW w:w="1607" w:type="dxa"/>
            <w:gridSpan w:val="2"/>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r>
        <w:tblPrEx>
          <w:tblCellMar>
            <w:top w:w="0" w:type="dxa"/>
            <w:left w:w="0" w:type="dxa"/>
            <w:bottom w:w="0" w:type="dxa"/>
            <w:right w:w="0" w:type="dxa"/>
          </w:tblCellMar>
        </w:tblPrEx>
        <w:trPr>
          <w:trHeight w:val="466" w:hRule="exact"/>
          <w:jc w:val="center"/>
        </w:trPr>
        <w:tc>
          <w:tcPr>
            <w:tcW w:w="483" w:type="dxa"/>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序号</w:t>
            </w:r>
          </w:p>
        </w:tc>
        <w:tc>
          <w:tcPr>
            <w:tcW w:w="1815" w:type="dxa"/>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演练内容</w:t>
            </w:r>
          </w:p>
        </w:tc>
        <w:tc>
          <w:tcPr>
            <w:tcW w:w="4395" w:type="dxa"/>
            <w:gridSpan w:val="4"/>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演练描述</w:t>
            </w:r>
          </w:p>
        </w:tc>
        <w:tc>
          <w:tcPr>
            <w:tcW w:w="1587" w:type="dxa"/>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演练日期</w:t>
            </w:r>
          </w:p>
        </w:tc>
      </w:tr>
      <w:tr>
        <w:tblPrEx>
          <w:tblCellMar>
            <w:top w:w="0" w:type="dxa"/>
            <w:left w:w="0" w:type="dxa"/>
            <w:bottom w:w="0" w:type="dxa"/>
            <w:right w:w="0" w:type="dxa"/>
          </w:tblCellMar>
        </w:tblPrEx>
        <w:trPr>
          <w:trHeight w:val="1021" w:hRule="exact"/>
          <w:jc w:val="center"/>
        </w:trPr>
        <w:tc>
          <w:tcPr>
            <w:tcW w:w="483" w:type="dxa"/>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1</w:t>
            </w:r>
          </w:p>
        </w:tc>
        <w:tc>
          <w:tcPr>
            <w:tcW w:w="1815" w:type="dxa"/>
            <w:tcBorders>
              <w:top w:val="single" w:color="auto" w:sz="4" w:space="0"/>
              <w:left w:val="single" w:color="auto" w:sz="4" w:space="0"/>
              <w:bottom w:val="nil"/>
              <w:right w:val="nil"/>
            </w:tcBorders>
            <w:shd w:val="clear" w:color="auto" w:fill="FFFFFF"/>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动力电源断电或</w:t>
            </w:r>
          </w:p>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设备故障事故状态</w:t>
            </w:r>
          </w:p>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紧急停车</w:t>
            </w:r>
          </w:p>
        </w:tc>
        <w:tc>
          <w:tcPr>
            <w:tcW w:w="4395" w:type="dxa"/>
            <w:gridSpan w:val="4"/>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p>
        </w:tc>
        <w:tc>
          <w:tcPr>
            <w:tcW w:w="1587" w:type="dxa"/>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r>
        <w:tblPrEx>
          <w:tblCellMar>
            <w:top w:w="0" w:type="dxa"/>
            <w:left w:w="0" w:type="dxa"/>
            <w:bottom w:w="0" w:type="dxa"/>
            <w:right w:w="0" w:type="dxa"/>
          </w:tblCellMar>
        </w:tblPrEx>
        <w:trPr>
          <w:trHeight w:val="1021" w:hRule="exact"/>
          <w:jc w:val="center"/>
        </w:trPr>
        <w:tc>
          <w:tcPr>
            <w:tcW w:w="483" w:type="dxa"/>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2</w:t>
            </w:r>
          </w:p>
        </w:tc>
        <w:tc>
          <w:tcPr>
            <w:tcW w:w="1815" w:type="dxa"/>
            <w:tcBorders>
              <w:top w:val="single" w:color="auto" w:sz="4" w:space="0"/>
              <w:left w:val="single" w:color="auto" w:sz="4" w:space="0"/>
              <w:bottom w:val="nil"/>
              <w:right w:val="nil"/>
            </w:tcBorders>
            <w:shd w:val="clear" w:color="auto" w:fill="FFFFFF"/>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紧急状态救至地面</w:t>
            </w:r>
          </w:p>
        </w:tc>
        <w:tc>
          <w:tcPr>
            <w:tcW w:w="4395" w:type="dxa"/>
            <w:gridSpan w:val="4"/>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p>
        </w:tc>
        <w:tc>
          <w:tcPr>
            <w:tcW w:w="1587" w:type="dxa"/>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r>
        <w:tblPrEx>
          <w:tblCellMar>
            <w:top w:w="0" w:type="dxa"/>
            <w:left w:w="0" w:type="dxa"/>
            <w:bottom w:w="0" w:type="dxa"/>
            <w:right w:w="0" w:type="dxa"/>
          </w:tblCellMar>
        </w:tblPrEx>
        <w:trPr>
          <w:trHeight w:val="1021" w:hRule="exact"/>
          <w:jc w:val="center"/>
        </w:trPr>
        <w:tc>
          <w:tcPr>
            <w:tcW w:w="483" w:type="dxa"/>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3</w:t>
            </w:r>
          </w:p>
        </w:tc>
        <w:tc>
          <w:tcPr>
            <w:tcW w:w="1815" w:type="dxa"/>
            <w:tcBorders>
              <w:top w:val="single" w:color="auto" w:sz="4" w:space="0"/>
              <w:left w:val="single" w:color="auto" w:sz="4" w:space="0"/>
              <w:bottom w:val="nil"/>
              <w:right w:val="nil"/>
            </w:tcBorders>
            <w:shd w:val="clear" w:color="auto" w:fill="FFFFFF"/>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人员事故及</w:t>
            </w:r>
          </w:p>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突发急病等</w:t>
            </w:r>
          </w:p>
        </w:tc>
        <w:tc>
          <w:tcPr>
            <w:tcW w:w="4395" w:type="dxa"/>
            <w:gridSpan w:val="4"/>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p>
        </w:tc>
        <w:tc>
          <w:tcPr>
            <w:tcW w:w="1587" w:type="dxa"/>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r>
        <w:tblPrEx>
          <w:tblCellMar>
            <w:top w:w="0" w:type="dxa"/>
            <w:left w:w="0" w:type="dxa"/>
            <w:bottom w:w="0" w:type="dxa"/>
            <w:right w:w="0" w:type="dxa"/>
          </w:tblCellMar>
        </w:tblPrEx>
        <w:trPr>
          <w:trHeight w:val="1021" w:hRule="exact"/>
          <w:jc w:val="center"/>
        </w:trPr>
        <w:tc>
          <w:tcPr>
            <w:tcW w:w="483" w:type="dxa"/>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4</w:t>
            </w:r>
          </w:p>
        </w:tc>
        <w:tc>
          <w:tcPr>
            <w:tcW w:w="1815" w:type="dxa"/>
            <w:tcBorders>
              <w:top w:val="single" w:color="auto" w:sz="4" w:space="0"/>
              <w:left w:val="single" w:color="auto" w:sz="4" w:space="0"/>
              <w:bottom w:val="nil"/>
              <w:right w:val="nil"/>
            </w:tcBorders>
            <w:shd w:val="clear" w:color="auto" w:fill="FFFFFF"/>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自然灾害</w:t>
            </w:r>
          </w:p>
        </w:tc>
        <w:tc>
          <w:tcPr>
            <w:tcW w:w="4395" w:type="dxa"/>
            <w:gridSpan w:val="4"/>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p>
        </w:tc>
        <w:tc>
          <w:tcPr>
            <w:tcW w:w="1587" w:type="dxa"/>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r>
        <w:tblPrEx>
          <w:tblCellMar>
            <w:top w:w="0" w:type="dxa"/>
            <w:left w:w="0" w:type="dxa"/>
            <w:bottom w:w="0" w:type="dxa"/>
            <w:right w:w="0" w:type="dxa"/>
          </w:tblCellMar>
        </w:tblPrEx>
        <w:trPr>
          <w:trHeight w:val="1021" w:hRule="exact"/>
          <w:jc w:val="center"/>
        </w:trPr>
        <w:tc>
          <w:tcPr>
            <w:tcW w:w="483" w:type="dxa"/>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5</w:t>
            </w:r>
          </w:p>
        </w:tc>
        <w:tc>
          <w:tcPr>
            <w:tcW w:w="1815" w:type="dxa"/>
            <w:tcBorders>
              <w:top w:val="single" w:color="auto" w:sz="4" w:space="0"/>
              <w:left w:val="single" w:color="auto" w:sz="4" w:space="0"/>
              <w:bottom w:val="nil"/>
              <w:right w:val="nil"/>
            </w:tcBorders>
            <w:shd w:val="clear" w:color="auto" w:fill="FFFFFF"/>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其他事故处理和</w:t>
            </w:r>
          </w:p>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救援相关信息</w:t>
            </w:r>
          </w:p>
        </w:tc>
        <w:tc>
          <w:tcPr>
            <w:tcW w:w="4395" w:type="dxa"/>
            <w:gridSpan w:val="4"/>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p>
        </w:tc>
        <w:tc>
          <w:tcPr>
            <w:tcW w:w="1587" w:type="dxa"/>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r>
        <w:tblPrEx>
          <w:tblCellMar>
            <w:top w:w="0" w:type="dxa"/>
            <w:left w:w="0" w:type="dxa"/>
            <w:bottom w:w="0" w:type="dxa"/>
            <w:right w:w="0" w:type="dxa"/>
          </w:tblCellMar>
        </w:tblPrEx>
        <w:trPr>
          <w:trHeight w:val="454" w:hRule="exact"/>
          <w:jc w:val="center"/>
        </w:trPr>
        <w:tc>
          <w:tcPr>
            <w:tcW w:w="2298" w:type="dxa"/>
            <w:gridSpan w:val="2"/>
            <w:tcBorders>
              <w:top w:val="single" w:color="auto" w:sz="4" w:space="0"/>
              <w:left w:val="single" w:color="auto" w:sz="4" w:space="0"/>
              <w:bottom w:val="nil"/>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参加救援人员</w:t>
            </w:r>
          </w:p>
        </w:tc>
        <w:tc>
          <w:tcPr>
            <w:tcW w:w="5982" w:type="dxa"/>
            <w:gridSpan w:val="5"/>
            <w:tcBorders>
              <w:top w:val="single" w:color="auto" w:sz="4" w:space="0"/>
              <w:left w:val="single" w:color="auto" w:sz="4" w:space="0"/>
              <w:bottom w:val="nil"/>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r>
        <w:tblPrEx>
          <w:tblCellMar>
            <w:top w:w="0" w:type="dxa"/>
            <w:left w:w="0" w:type="dxa"/>
            <w:bottom w:w="0" w:type="dxa"/>
            <w:right w:w="0" w:type="dxa"/>
          </w:tblCellMar>
        </w:tblPrEx>
        <w:trPr>
          <w:trHeight w:val="1128" w:hRule="exact"/>
          <w:jc w:val="center"/>
        </w:trPr>
        <w:tc>
          <w:tcPr>
            <w:tcW w:w="8280" w:type="dxa"/>
            <w:gridSpan w:val="7"/>
            <w:tcBorders>
              <w:top w:val="single" w:color="auto" w:sz="4" w:space="0"/>
              <w:left w:val="single" w:color="auto" w:sz="4" w:space="0"/>
              <w:bottom w:val="nil"/>
              <w:right w:val="single" w:color="auto" w:sz="4" w:space="0"/>
            </w:tcBorders>
            <w:shd w:val="clear" w:color="auto" w:fill="FFFFFF"/>
            <w:noWrap w:val="0"/>
            <w:vAlign w:val="top"/>
          </w:tcPr>
          <w:p>
            <w:pPr>
              <w:ind w:firstLine="180" w:firstLineChars="100"/>
              <w:jc w:val="left"/>
              <w:rPr>
                <w:rFonts w:ascii="宋体" w:hAnsi="宋体" w:cs="宋体"/>
                <w:color w:val="000000"/>
                <w:sz w:val="18"/>
                <w:szCs w:val="18"/>
                <w:highlight w:val="none"/>
              </w:rPr>
            </w:pPr>
            <w:r>
              <w:rPr>
                <w:rFonts w:hint="eastAsia" w:ascii="宋体" w:hAnsi="宋体" w:cs="宋体"/>
                <w:color w:val="000000"/>
                <w:sz w:val="18"/>
                <w:szCs w:val="18"/>
                <w:highlight w:val="none"/>
              </w:rPr>
              <w:t>评价及改进意见：</w:t>
            </w:r>
          </w:p>
        </w:tc>
      </w:tr>
      <w:tr>
        <w:tblPrEx>
          <w:tblCellMar>
            <w:top w:w="0" w:type="dxa"/>
            <w:left w:w="0" w:type="dxa"/>
            <w:bottom w:w="0" w:type="dxa"/>
            <w:right w:w="0" w:type="dxa"/>
          </w:tblCellMar>
        </w:tblPrEx>
        <w:trPr>
          <w:trHeight w:val="437" w:hRule="exact"/>
          <w:jc w:val="center"/>
        </w:trPr>
        <w:tc>
          <w:tcPr>
            <w:tcW w:w="2298" w:type="dxa"/>
            <w:gridSpan w:val="2"/>
            <w:tcBorders>
              <w:top w:val="single" w:color="auto" w:sz="4" w:space="0"/>
              <w:left w:val="single" w:color="auto" w:sz="4" w:space="0"/>
              <w:bottom w:val="single" w:color="auto" w:sz="4" w:space="0"/>
              <w:right w:val="nil"/>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lang w:eastAsia="zh-CN"/>
              </w:rPr>
              <w:t>主要</w:t>
            </w:r>
            <w:r>
              <w:rPr>
                <w:rFonts w:hint="eastAsia" w:ascii="宋体" w:hAnsi="宋体" w:cs="宋体"/>
                <w:color w:val="000000"/>
                <w:sz w:val="18"/>
                <w:szCs w:val="18"/>
                <w:highlight w:val="none"/>
              </w:rPr>
              <w:t>负责人</w:t>
            </w:r>
          </w:p>
        </w:tc>
        <w:tc>
          <w:tcPr>
            <w:tcW w:w="23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c>
          <w:tcPr>
            <w:tcW w:w="153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日期</w:t>
            </w:r>
          </w:p>
        </w:tc>
        <w:tc>
          <w:tcPr>
            <w:tcW w:w="2061" w:type="dxa"/>
            <w:gridSpan w:val="3"/>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ascii="宋体" w:hAnsi="宋体" w:cs="宋体"/>
                <w:color w:val="000000"/>
                <w:sz w:val="18"/>
                <w:szCs w:val="18"/>
                <w:highlight w:val="none"/>
              </w:rPr>
            </w:pPr>
          </w:p>
        </w:tc>
      </w:tr>
    </w:tbl>
    <w:p>
      <w:pPr>
        <w:pStyle w:val="44"/>
        <w:ind w:firstLine="420"/>
        <w:jc w:val="center"/>
        <w:rPr>
          <w:color w:val="000000"/>
          <w:highlight w:val="none"/>
        </w:rPr>
      </w:pPr>
    </w:p>
    <w:p>
      <w:pPr>
        <w:pStyle w:val="44"/>
        <w:ind w:firstLine="420"/>
        <w:jc w:val="center"/>
        <w:rPr>
          <w:color w:val="000000"/>
          <w:highlight w:val="none"/>
        </w:rPr>
        <w:sectPr>
          <w:pgSz w:w="11906" w:h="16838"/>
          <w:pgMar w:top="2410" w:right="1134" w:bottom="1134" w:left="1134" w:header="1418" w:footer="1134" w:gutter="284"/>
          <w:pgBorders>
            <w:top w:val="none" w:sz="0" w:space="0"/>
            <w:left w:val="none" w:sz="0" w:space="0"/>
            <w:bottom w:val="none" w:sz="0" w:space="0"/>
            <w:right w:val="none" w:sz="0" w:space="0"/>
          </w:pgBorders>
          <w:cols w:space="720" w:num="1"/>
          <w:formProt w:val="0"/>
          <w:docGrid w:type="lines" w:linePitch="312" w:charSpace="0"/>
        </w:sectPr>
      </w:pPr>
    </w:p>
    <w:p>
      <w:pPr>
        <w:pStyle w:val="176"/>
        <w:rPr>
          <w:color w:val="000000"/>
          <w:highlight w:val="none"/>
        </w:rPr>
      </w:pPr>
    </w:p>
    <w:p>
      <w:pPr>
        <w:pStyle w:val="177"/>
        <w:rPr>
          <w:color w:val="000000"/>
          <w:highlight w:val="none"/>
        </w:rPr>
      </w:pPr>
    </w:p>
    <w:p>
      <w:pPr>
        <w:pStyle w:val="63"/>
        <w:spacing w:before="78" w:after="156"/>
        <w:rPr>
          <w:color w:val="000000"/>
          <w:highlight w:val="none"/>
        </w:rPr>
      </w:pPr>
      <w:r>
        <w:rPr>
          <w:color w:val="000000"/>
          <w:highlight w:val="none"/>
        </w:rPr>
        <w:br w:type="textWrapping"/>
      </w:r>
      <w:bookmarkStart w:id="112" w:name="_Toc94252732"/>
      <w:bookmarkStart w:id="113" w:name="_Toc93485508"/>
      <w:bookmarkStart w:id="114" w:name="_Toc93485525"/>
      <w:r>
        <w:rPr>
          <w:rFonts w:hint="eastAsia"/>
          <w:color w:val="000000"/>
          <w:highlight w:val="none"/>
        </w:rPr>
        <w:t>（资料性）</w:t>
      </w:r>
      <w:r>
        <w:rPr>
          <w:color w:val="000000"/>
          <w:highlight w:val="none"/>
        </w:rPr>
        <w:br w:type="textWrapping"/>
      </w:r>
      <w:r>
        <w:rPr>
          <w:rFonts w:hint="eastAsia"/>
          <w:color w:val="000000"/>
          <w:highlight w:val="none"/>
        </w:rPr>
        <w:t>大型游乐设施基本信息</w:t>
      </w:r>
      <w:bookmarkEnd w:id="112"/>
      <w:bookmarkEnd w:id="113"/>
      <w:bookmarkEnd w:id="114"/>
    </w:p>
    <w:p>
      <w:pPr>
        <w:pStyle w:val="44"/>
        <w:ind w:firstLine="0" w:firstLineChars="0"/>
        <w:jc w:val="center"/>
        <w:rPr>
          <w:rFonts w:ascii="黑体" w:hAnsi="黑体" w:eastAsia="黑体"/>
          <w:color w:val="000000"/>
          <w:highlight w:val="none"/>
        </w:rPr>
      </w:pPr>
      <w:r>
        <w:rPr>
          <w:rFonts w:hint="eastAsia" w:ascii="黑体" w:hAnsi="黑体" w:eastAsia="黑体"/>
          <w:color w:val="000000"/>
          <w:highlight w:val="none"/>
        </w:rPr>
        <w:t>表 C.1 大型游乐设施基本信息</w:t>
      </w:r>
    </w:p>
    <w:tbl>
      <w:tblPr>
        <w:tblStyle w:val="28"/>
        <w:tblW w:w="0" w:type="auto"/>
        <w:tblInd w:w="-1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5"/>
        <w:gridCol w:w="2127"/>
        <w:gridCol w:w="1701"/>
        <w:gridCol w:w="1417"/>
        <w:gridCol w:w="14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985"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使用单位</w:t>
            </w:r>
          </w:p>
        </w:tc>
        <w:tc>
          <w:tcPr>
            <w:tcW w:w="2127" w:type="dxa"/>
            <w:noWrap w:val="0"/>
            <w:vAlign w:val="center"/>
          </w:tcPr>
          <w:p>
            <w:pPr>
              <w:spacing w:line="320" w:lineRule="exact"/>
              <w:jc w:val="center"/>
              <w:rPr>
                <w:rFonts w:ascii="宋体" w:hAnsi="宋体" w:cs="宋体"/>
                <w:color w:val="000000"/>
                <w:sz w:val="18"/>
                <w:szCs w:val="18"/>
                <w:highlight w:val="none"/>
              </w:rPr>
            </w:pPr>
          </w:p>
        </w:tc>
        <w:tc>
          <w:tcPr>
            <w:tcW w:w="1701"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使用登记证编号</w:t>
            </w:r>
          </w:p>
        </w:tc>
        <w:tc>
          <w:tcPr>
            <w:tcW w:w="2842" w:type="dxa"/>
            <w:gridSpan w:val="2"/>
            <w:noWrap w:val="0"/>
            <w:vAlign w:val="top"/>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985"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设备名称</w:t>
            </w:r>
          </w:p>
        </w:tc>
        <w:tc>
          <w:tcPr>
            <w:tcW w:w="2127" w:type="dxa"/>
            <w:noWrap w:val="0"/>
            <w:vAlign w:val="center"/>
          </w:tcPr>
          <w:p>
            <w:pPr>
              <w:spacing w:line="320" w:lineRule="exact"/>
              <w:jc w:val="center"/>
              <w:rPr>
                <w:rFonts w:ascii="宋体" w:hAnsi="宋体" w:cs="宋体"/>
                <w:color w:val="000000"/>
                <w:sz w:val="18"/>
                <w:szCs w:val="18"/>
                <w:highlight w:val="none"/>
              </w:rPr>
            </w:pPr>
          </w:p>
        </w:tc>
        <w:tc>
          <w:tcPr>
            <w:tcW w:w="1701"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设备类别</w:t>
            </w:r>
          </w:p>
        </w:tc>
        <w:tc>
          <w:tcPr>
            <w:tcW w:w="2842" w:type="dxa"/>
            <w:gridSpan w:val="2"/>
            <w:noWrap w:val="0"/>
            <w:vAlign w:val="top"/>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985"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型号规格</w:t>
            </w:r>
          </w:p>
        </w:tc>
        <w:tc>
          <w:tcPr>
            <w:tcW w:w="2127" w:type="dxa"/>
            <w:noWrap w:val="0"/>
            <w:vAlign w:val="center"/>
          </w:tcPr>
          <w:p>
            <w:pPr>
              <w:spacing w:line="320" w:lineRule="exact"/>
              <w:jc w:val="center"/>
              <w:rPr>
                <w:rFonts w:ascii="宋体" w:hAnsi="宋体" w:cs="宋体"/>
                <w:color w:val="000000"/>
                <w:sz w:val="18"/>
                <w:szCs w:val="18"/>
                <w:highlight w:val="none"/>
              </w:rPr>
            </w:pPr>
          </w:p>
        </w:tc>
        <w:tc>
          <w:tcPr>
            <w:tcW w:w="1701" w:type="dxa"/>
            <w:noWrap w:val="0"/>
            <w:vAlign w:val="center"/>
          </w:tcPr>
          <w:p>
            <w:pPr>
              <w:spacing w:line="320" w:lineRule="exact"/>
              <w:jc w:val="center"/>
              <w:rPr>
                <w:rFonts w:ascii="等线" w:hAnsi="等线" w:cs="宋体"/>
                <w:color w:val="000000"/>
                <w:sz w:val="18"/>
                <w:szCs w:val="18"/>
                <w:highlight w:val="none"/>
              </w:rPr>
            </w:pPr>
            <w:r>
              <w:rPr>
                <w:rFonts w:ascii="MS Mincho" w:hAnsi="MS Mincho" w:eastAsia="MS Mincho" w:cs="MS Mincho"/>
                <w:color w:val="000000"/>
                <w:sz w:val="18"/>
                <w:szCs w:val="18"/>
                <w:highlight w:val="none"/>
              </w:rPr>
              <w:t>☐</w:t>
            </w:r>
            <w:r>
              <w:rPr>
                <w:rFonts w:ascii="等线" w:hAnsi="等线" w:cs="宋体"/>
                <w:color w:val="000000"/>
                <w:sz w:val="18"/>
                <w:szCs w:val="18"/>
                <w:highlight w:val="none"/>
              </w:rPr>
              <w:t>制造</w:t>
            </w:r>
            <w:r>
              <w:rPr>
                <w:rFonts w:hint="eastAsia" w:ascii="等线" w:hAnsi="等线" w:cs="宋体"/>
                <w:color w:val="000000"/>
                <w:sz w:val="18"/>
                <w:szCs w:val="18"/>
                <w:highlight w:val="none"/>
              </w:rPr>
              <w:t>/</w:t>
            </w:r>
            <w:r>
              <w:rPr>
                <w:rFonts w:ascii="MS Mincho" w:hAnsi="MS Mincho" w:eastAsia="MS Mincho" w:cs="MS Mincho"/>
                <w:color w:val="000000"/>
                <w:sz w:val="18"/>
                <w:szCs w:val="18"/>
                <w:highlight w:val="none"/>
              </w:rPr>
              <w:t>☐</w:t>
            </w:r>
            <w:r>
              <w:rPr>
                <w:rFonts w:hint="eastAsia" w:ascii="等线" w:hAnsi="等线" w:cs="宋体"/>
                <w:color w:val="000000"/>
                <w:sz w:val="18"/>
                <w:szCs w:val="18"/>
                <w:highlight w:val="none"/>
              </w:rPr>
              <w:t>改造/</w:t>
            </w:r>
          </w:p>
          <w:p>
            <w:pPr>
              <w:spacing w:line="320" w:lineRule="exact"/>
              <w:jc w:val="center"/>
              <w:rPr>
                <w:rFonts w:ascii="宋体" w:hAnsi="宋体" w:cs="宋体"/>
                <w:color w:val="000000"/>
                <w:sz w:val="18"/>
                <w:szCs w:val="18"/>
                <w:highlight w:val="none"/>
              </w:rPr>
            </w:pPr>
            <w:r>
              <w:rPr>
                <w:rFonts w:ascii="MS Mincho" w:hAnsi="MS Mincho" w:eastAsia="MS Mincho" w:cs="MS Mincho"/>
                <w:color w:val="000000"/>
                <w:sz w:val="18"/>
                <w:szCs w:val="18"/>
                <w:highlight w:val="none"/>
              </w:rPr>
              <w:t>☐</w:t>
            </w:r>
            <w:r>
              <w:rPr>
                <w:rFonts w:hint="eastAsia" w:ascii="等线" w:hAnsi="等线" w:cs="宋体"/>
                <w:color w:val="000000"/>
                <w:sz w:val="18"/>
                <w:szCs w:val="18"/>
                <w:highlight w:val="none"/>
              </w:rPr>
              <w:t>修理</w:t>
            </w:r>
            <w:r>
              <w:rPr>
                <w:rFonts w:ascii="等线" w:hAnsi="等线" w:cs="宋体"/>
                <w:color w:val="000000"/>
                <w:sz w:val="18"/>
                <w:szCs w:val="18"/>
                <w:highlight w:val="none"/>
              </w:rPr>
              <w:t>单位</w:t>
            </w:r>
          </w:p>
        </w:tc>
        <w:tc>
          <w:tcPr>
            <w:tcW w:w="2842" w:type="dxa"/>
            <w:gridSpan w:val="2"/>
            <w:noWrap w:val="0"/>
            <w:vAlign w:val="top"/>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985" w:type="dxa"/>
            <w:noWrap w:val="0"/>
            <w:vAlign w:val="center"/>
          </w:tcPr>
          <w:p>
            <w:pPr>
              <w:spacing w:line="320" w:lineRule="exact"/>
              <w:jc w:val="center"/>
              <w:rPr>
                <w:rFonts w:ascii="等线" w:hAnsi="等线" w:cs="宋体"/>
                <w:color w:val="000000"/>
                <w:sz w:val="18"/>
                <w:szCs w:val="18"/>
                <w:highlight w:val="none"/>
              </w:rPr>
            </w:pPr>
            <w:r>
              <w:rPr>
                <w:rFonts w:ascii="MS Mincho" w:hAnsi="MS Mincho" w:eastAsia="MS Mincho" w:cs="MS Mincho"/>
                <w:color w:val="000000"/>
                <w:sz w:val="18"/>
                <w:szCs w:val="18"/>
                <w:highlight w:val="none"/>
              </w:rPr>
              <w:t>☐</w:t>
            </w:r>
            <w:r>
              <w:rPr>
                <w:rFonts w:ascii="等线" w:hAnsi="等线" w:cs="宋体"/>
                <w:color w:val="000000"/>
                <w:sz w:val="18"/>
                <w:szCs w:val="18"/>
                <w:highlight w:val="none"/>
              </w:rPr>
              <w:t>制造</w:t>
            </w:r>
            <w:r>
              <w:rPr>
                <w:rFonts w:hint="eastAsia" w:ascii="等线" w:hAnsi="等线" w:cs="宋体"/>
                <w:color w:val="000000"/>
                <w:sz w:val="18"/>
                <w:szCs w:val="18"/>
                <w:highlight w:val="none"/>
              </w:rPr>
              <w:t>/</w:t>
            </w:r>
            <w:r>
              <w:rPr>
                <w:rFonts w:ascii="MS Mincho" w:hAnsi="MS Mincho" w:eastAsia="MS Mincho" w:cs="MS Mincho"/>
                <w:color w:val="000000"/>
                <w:sz w:val="18"/>
                <w:szCs w:val="18"/>
                <w:highlight w:val="none"/>
              </w:rPr>
              <w:t>☐</w:t>
            </w:r>
            <w:r>
              <w:rPr>
                <w:rFonts w:hint="eastAsia" w:ascii="等线" w:hAnsi="等线" w:cs="宋体"/>
                <w:color w:val="000000"/>
                <w:sz w:val="18"/>
                <w:szCs w:val="18"/>
                <w:highlight w:val="none"/>
              </w:rPr>
              <w:t>改造/</w:t>
            </w:r>
          </w:p>
          <w:p>
            <w:pPr>
              <w:spacing w:line="320" w:lineRule="exact"/>
              <w:jc w:val="center"/>
              <w:rPr>
                <w:rFonts w:ascii="宋体" w:hAnsi="宋体" w:cs="宋体"/>
                <w:color w:val="000000"/>
                <w:sz w:val="18"/>
                <w:szCs w:val="18"/>
                <w:highlight w:val="none"/>
              </w:rPr>
            </w:pPr>
            <w:r>
              <w:rPr>
                <w:rFonts w:ascii="MS Mincho" w:hAnsi="MS Mincho" w:eastAsia="MS Mincho" w:cs="MS Mincho"/>
                <w:color w:val="000000"/>
                <w:sz w:val="18"/>
                <w:szCs w:val="18"/>
                <w:highlight w:val="none"/>
              </w:rPr>
              <w:t>☐</w:t>
            </w:r>
            <w:r>
              <w:rPr>
                <w:rFonts w:hint="eastAsia" w:ascii="等线" w:hAnsi="等线" w:cs="宋体"/>
                <w:color w:val="000000"/>
                <w:sz w:val="18"/>
                <w:szCs w:val="18"/>
                <w:highlight w:val="none"/>
              </w:rPr>
              <w:t>修理</w:t>
            </w:r>
            <w:r>
              <w:rPr>
                <w:rFonts w:ascii="等线" w:hAnsi="等线" w:cs="宋体"/>
                <w:color w:val="000000"/>
                <w:sz w:val="18"/>
                <w:szCs w:val="18"/>
                <w:highlight w:val="none"/>
              </w:rPr>
              <w:t>单位</w:t>
            </w:r>
          </w:p>
        </w:tc>
        <w:tc>
          <w:tcPr>
            <w:tcW w:w="2127" w:type="dxa"/>
            <w:noWrap w:val="0"/>
            <w:vAlign w:val="center"/>
          </w:tcPr>
          <w:p>
            <w:pPr>
              <w:spacing w:line="320" w:lineRule="exact"/>
              <w:jc w:val="center"/>
              <w:rPr>
                <w:rFonts w:ascii="宋体" w:hAnsi="宋体" w:cs="宋体"/>
                <w:color w:val="000000"/>
                <w:sz w:val="18"/>
                <w:szCs w:val="18"/>
                <w:highlight w:val="none"/>
              </w:rPr>
            </w:pPr>
          </w:p>
        </w:tc>
        <w:tc>
          <w:tcPr>
            <w:tcW w:w="1701"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使用地点</w:t>
            </w:r>
          </w:p>
        </w:tc>
        <w:tc>
          <w:tcPr>
            <w:tcW w:w="2842" w:type="dxa"/>
            <w:gridSpan w:val="2"/>
            <w:noWrap w:val="0"/>
            <w:vAlign w:val="top"/>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985"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安全总监</w:t>
            </w:r>
          </w:p>
        </w:tc>
        <w:tc>
          <w:tcPr>
            <w:tcW w:w="2127" w:type="dxa"/>
            <w:noWrap w:val="0"/>
            <w:vAlign w:val="center"/>
          </w:tcPr>
          <w:p>
            <w:pPr>
              <w:spacing w:line="320" w:lineRule="exact"/>
              <w:jc w:val="center"/>
              <w:rPr>
                <w:rFonts w:ascii="宋体" w:hAnsi="宋体" w:cs="宋体"/>
                <w:color w:val="000000"/>
                <w:sz w:val="18"/>
                <w:szCs w:val="18"/>
                <w:highlight w:val="none"/>
              </w:rPr>
            </w:pPr>
          </w:p>
        </w:tc>
        <w:tc>
          <w:tcPr>
            <w:tcW w:w="1701"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联系电话</w:t>
            </w:r>
          </w:p>
        </w:tc>
        <w:tc>
          <w:tcPr>
            <w:tcW w:w="2842" w:type="dxa"/>
            <w:gridSpan w:val="2"/>
            <w:noWrap w:val="0"/>
            <w:vAlign w:val="top"/>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985"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安全员</w:t>
            </w:r>
          </w:p>
        </w:tc>
        <w:tc>
          <w:tcPr>
            <w:tcW w:w="2127" w:type="dxa"/>
            <w:noWrap w:val="0"/>
            <w:vAlign w:val="center"/>
          </w:tcPr>
          <w:p>
            <w:pPr>
              <w:spacing w:line="320" w:lineRule="exact"/>
              <w:jc w:val="center"/>
              <w:rPr>
                <w:rFonts w:ascii="宋体" w:hAnsi="宋体" w:cs="宋体"/>
                <w:color w:val="000000"/>
                <w:sz w:val="18"/>
                <w:szCs w:val="18"/>
                <w:highlight w:val="none"/>
              </w:rPr>
            </w:pPr>
          </w:p>
        </w:tc>
        <w:tc>
          <w:tcPr>
            <w:tcW w:w="1701"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联系电话</w:t>
            </w:r>
          </w:p>
        </w:tc>
        <w:tc>
          <w:tcPr>
            <w:tcW w:w="2842" w:type="dxa"/>
            <w:gridSpan w:val="2"/>
            <w:noWrap w:val="0"/>
            <w:vAlign w:val="top"/>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985"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维护保养单位（如有）</w:t>
            </w:r>
          </w:p>
        </w:tc>
        <w:tc>
          <w:tcPr>
            <w:tcW w:w="2127" w:type="dxa"/>
            <w:noWrap w:val="0"/>
            <w:vAlign w:val="center"/>
          </w:tcPr>
          <w:p>
            <w:pPr>
              <w:spacing w:line="320" w:lineRule="exact"/>
              <w:jc w:val="center"/>
              <w:rPr>
                <w:rFonts w:ascii="宋体" w:hAnsi="宋体" w:cs="宋体"/>
                <w:color w:val="000000"/>
                <w:sz w:val="18"/>
                <w:szCs w:val="18"/>
                <w:highlight w:val="none"/>
              </w:rPr>
            </w:pPr>
          </w:p>
        </w:tc>
        <w:tc>
          <w:tcPr>
            <w:tcW w:w="1701"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维护保养人员电话</w:t>
            </w:r>
          </w:p>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（如有）</w:t>
            </w:r>
          </w:p>
        </w:tc>
        <w:tc>
          <w:tcPr>
            <w:tcW w:w="2842" w:type="dxa"/>
            <w:gridSpan w:val="2"/>
            <w:noWrap w:val="0"/>
            <w:vAlign w:val="top"/>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985" w:type="dxa"/>
            <w:vMerge w:val="restart"/>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设备性能参数</w:t>
            </w:r>
          </w:p>
        </w:tc>
        <w:tc>
          <w:tcPr>
            <w:tcW w:w="2127" w:type="dxa"/>
            <w:tcBorders>
              <w:right w:val="single" w:color="auto"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运行速度</w:t>
            </w:r>
          </w:p>
        </w:tc>
        <w:tc>
          <w:tcPr>
            <w:tcW w:w="1701" w:type="dxa"/>
            <w:tcBorders>
              <w:left w:val="single" w:color="auto" w:sz="4" w:space="0"/>
              <w:right w:val="single" w:color="auto" w:sz="4" w:space="0"/>
            </w:tcBorders>
            <w:noWrap w:val="0"/>
            <w:vAlign w:val="center"/>
          </w:tcPr>
          <w:p>
            <w:pPr>
              <w:spacing w:line="320" w:lineRule="exact"/>
              <w:jc w:val="center"/>
              <w:rPr>
                <w:rFonts w:ascii="宋体" w:hAnsi="宋体" w:cs="宋体"/>
                <w:color w:val="000000"/>
                <w:sz w:val="18"/>
                <w:szCs w:val="18"/>
                <w:highlight w:val="none"/>
              </w:rPr>
            </w:pPr>
          </w:p>
        </w:tc>
        <w:tc>
          <w:tcPr>
            <w:tcW w:w="1417" w:type="dxa"/>
            <w:tcBorders>
              <w:left w:val="single" w:color="auto" w:sz="4" w:space="0"/>
              <w:right w:val="single" w:color="auto"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运行高度</w:t>
            </w:r>
          </w:p>
        </w:tc>
        <w:tc>
          <w:tcPr>
            <w:tcW w:w="1425" w:type="dxa"/>
            <w:tcBorders>
              <w:left w:val="single" w:color="auto" w:sz="4" w:space="0"/>
            </w:tcBorders>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985" w:type="dxa"/>
            <w:vMerge w:val="continue"/>
            <w:noWrap w:val="0"/>
            <w:vAlign w:val="center"/>
          </w:tcPr>
          <w:p>
            <w:pPr>
              <w:spacing w:line="320" w:lineRule="exact"/>
              <w:jc w:val="center"/>
              <w:rPr>
                <w:rFonts w:ascii="宋体" w:hAnsi="宋体" w:cs="宋体"/>
                <w:color w:val="000000"/>
                <w:sz w:val="18"/>
                <w:szCs w:val="18"/>
                <w:highlight w:val="none"/>
              </w:rPr>
            </w:pPr>
          </w:p>
        </w:tc>
        <w:tc>
          <w:tcPr>
            <w:tcW w:w="2127" w:type="dxa"/>
            <w:tcBorders>
              <w:right w:val="single" w:color="auto"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w:t>
            </w:r>
          </w:p>
        </w:tc>
        <w:tc>
          <w:tcPr>
            <w:tcW w:w="1701" w:type="dxa"/>
            <w:tcBorders>
              <w:left w:val="single" w:color="auto" w:sz="4" w:space="0"/>
              <w:right w:val="single" w:color="auto" w:sz="4" w:space="0"/>
            </w:tcBorders>
            <w:noWrap w:val="0"/>
            <w:vAlign w:val="center"/>
          </w:tcPr>
          <w:p>
            <w:pPr>
              <w:spacing w:line="320" w:lineRule="exact"/>
              <w:jc w:val="center"/>
              <w:rPr>
                <w:rFonts w:ascii="宋体" w:hAnsi="宋体" w:cs="宋体"/>
                <w:color w:val="000000"/>
                <w:sz w:val="18"/>
                <w:szCs w:val="18"/>
                <w:highlight w:val="none"/>
              </w:rPr>
            </w:pPr>
          </w:p>
        </w:tc>
        <w:tc>
          <w:tcPr>
            <w:tcW w:w="1417" w:type="dxa"/>
            <w:tcBorders>
              <w:left w:val="single" w:color="auto" w:sz="4" w:space="0"/>
              <w:right w:val="single" w:color="auto"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w:t>
            </w:r>
          </w:p>
        </w:tc>
        <w:tc>
          <w:tcPr>
            <w:tcW w:w="1425" w:type="dxa"/>
            <w:tcBorders>
              <w:left w:val="single" w:color="auto" w:sz="4" w:space="0"/>
            </w:tcBorders>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985" w:type="dxa"/>
            <w:vMerge w:val="continue"/>
            <w:noWrap w:val="0"/>
            <w:vAlign w:val="center"/>
          </w:tcPr>
          <w:p>
            <w:pPr>
              <w:spacing w:line="320" w:lineRule="exact"/>
              <w:jc w:val="center"/>
              <w:rPr>
                <w:rFonts w:ascii="宋体" w:hAnsi="宋体" w:cs="宋体"/>
                <w:color w:val="000000"/>
                <w:sz w:val="18"/>
                <w:szCs w:val="18"/>
                <w:highlight w:val="none"/>
              </w:rPr>
            </w:pPr>
          </w:p>
        </w:tc>
        <w:tc>
          <w:tcPr>
            <w:tcW w:w="2127" w:type="dxa"/>
            <w:tcBorders>
              <w:right w:val="single" w:color="auto"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w:t>
            </w:r>
          </w:p>
        </w:tc>
        <w:tc>
          <w:tcPr>
            <w:tcW w:w="1701" w:type="dxa"/>
            <w:tcBorders>
              <w:left w:val="single" w:color="auto" w:sz="4" w:space="0"/>
              <w:right w:val="single" w:color="auto" w:sz="4" w:space="0"/>
            </w:tcBorders>
            <w:noWrap w:val="0"/>
            <w:vAlign w:val="center"/>
          </w:tcPr>
          <w:p>
            <w:pPr>
              <w:spacing w:line="320" w:lineRule="exact"/>
              <w:jc w:val="center"/>
              <w:rPr>
                <w:rFonts w:ascii="宋体" w:hAnsi="宋体" w:cs="宋体"/>
                <w:color w:val="000000"/>
                <w:sz w:val="18"/>
                <w:szCs w:val="18"/>
                <w:highlight w:val="none"/>
              </w:rPr>
            </w:pPr>
          </w:p>
        </w:tc>
        <w:tc>
          <w:tcPr>
            <w:tcW w:w="1417" w:type="dxa"/>
            <w:tcBorders>
              <w:left w:val="single" w:color="auto" w:sz="4" w:space="0"/>
              <w:right w:val="single" w:color="auto" w:sz="4" w:space="0"/>
            </w:tcBorders>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w:t>
            </w:r>
          </w:p>
        </w:tc>
        <w:tc>
          <w:tcPr>
            <w:tcW w:w="1425" w:type="dxa"/>
            <w:tcBorders>
              <w:left w:val="single" w:color="auto" w:sz="4" w:space="0"/>
            </w:tcBorders>
            <w:noWrap w:val="0"/>
            <w:vAlign w:val="center"/>
          </w:tcPr>
          <w:p>
            <w:pPr>
              <w:spacing w:line="320" w:lineRule="exact"/>
              <w:jc w:val="center"/>
              <w:rPr>
                <w:rFonts w:ascii="宋体" w:hAnsi="宋体" w:cs="宋体"/>
                <w:color w:val="000000"/>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62" w:hRule="atLeast"/>
        </w:trPr>
        <w:tc>
          <w:tcPr>
            <w:tcW w:w="1985" w:type="dxa"/>
            <w:noWrap w:val="0"/>
            <w:vAlign w:val="center"/>
          </w:tcPr>
          <w:p>
            <w:pPr>
              <w:spacing w:line="320" w:lineRule="exact"/>
              <w:jc w:val="center"/>
              <w:rPr>
                <w:rFonts w:ascii="宋体" w:hAnsi="宋体" w:cs="宋体"/>
                <w:color w:val="000000"/>
                <w:sz w:val="18"/>
                <w:szCs w:val="18"/>
                <w:highlight w:val="none"/>
              </w:rPr>
            </w:pPr>
            <w:r>
              <w:rPr>
                <w:rFonts w:hint="eastAsia" w:ascii="宋体" w:hAnsi="宋体" w:cs="宋体"/>
                <w:color w:val="000000"/>
                <w:sz w:val="18"/>
                <w:szCs w:val="18"/>
                <w:highlight w:val="none"/>
              </w:rPr>
              <w:t>备注</w:t>
            </w:r>
          </w:p>
        </w:tc>
        <w:tc>
          <w:tcPr>
            <w:tcW w:w="6670" w:type="dxa"/>
            <w:gridSpan w:val="4"/>
            <w:noWrap w:val="0"/>
            <w:vAlign w:val="center"/>
          </w:tcPr>
          <w:p>
            <w:pPr>
              <w:spacing w:line="320" w:lineRule="exact"/>
              <w:jc w:val="center"/>
              <w:rPr>
                <w:rFonts w:ascii="宋体" w:hAnsi="宋体" w:cs="宋体"/>
                <w:color w:val="000000"/>
                <w:sz w:val="18"/>
                <w:szCs w:val="18"/>
                <w:highlight w:val="none"/>
              </w:rPr>
            </w:pPr>
          </w:p>
        </w:tc>
      </w:tr>
    </w:tbl>
    <w:p>
      <w:pPr>
        <w:pStyle w:val="44"/>
        <w:ind w:firstLine="420"/>
        <w:jc w:val="center"/>
        <w:rPr>
          <w:color w:val="000000"/>
          <w:highlight w:val="none"/>
        </w:rPr>
      </w:pPr>
    </w:p>
    <w:p>
      <w:pPr>
        <w:pStyle w:val="44"/>
        <w:ind w:firstLine="420"/>
        <w:jc w:val="center"/>
        <w:rPr>
          <w:color w:val="000000"/>
          <w:highlight w:val="none"/>
        </w:rPr>
      </w:pPr>
    </w:p>
    <w:p>
      <w:pPr>
        <w:pStyle w:val="44"/>
        <w:ind w:firstLine="420"/>
        <w:jc w:val="center"/>
        <w:rPr>
          <w:color w:val="000000"/>
          <w:highlight w:val="none"/>
        </w:rPr>
      </w:pPr>
    </w:p>
    <w:p>
      <w:pPr>
        <w:pStyle w:val="44"/>
        <w:ind w:firstLine="420"/>
        <w:jc w:val="center"/>
        <w:rPr>
          <w:color w:val="000000"/>
          <w:highlight w:val="none"/>
        </w:rPr>
      </w:pPr>
    </w:p>
    <w:p>
      <w:pPr>
        <w:pStyle w:val="44"/>
        <w:ind w:firstLine="420"/>
        <w:rPr>
          <w:color w:val="000000"/>
          <w:highlight w:val="none"/>
        </w:rPr>
        <w:sectPr>
          <w:pgSz w:w="11906" w:h="16838"/>
          <w:pgMar w:top="2410" w:right="1134" w:bottom="1134" w:left="1134" w:header="1418" w:footer="1134" w:gutter="284"/>
          <w:pgBorders>
            <w:top w:val="none" w:sz="0" w:space="0"/>
            <w:left w:val="none" w:sz="0" w:space="0"/>
            <w:bottom w:val="none" w:sz="0" w:space="0"/>
            <w:right w:val="none" w:sz="0" w:space="0"/>
          </w:pgBorders>
          <w:cols w:space="720" w:num="1"/>
          <w:formProt w:val="0"/>
          <w:docGrid w:type="lines" w:linePitch="312" w:charSpace="0"/>
        </w:sectPr>
      </w:pPr>
    </w:p>
    <w:p>
      <w:pPr>
        <w:pStyle w:val="176"/>
        <w:rPr>
          <w:color w:val="000000"/>
          <w:highlight w:val="none"/>
        </w:rPr>
      </w:pPr>
    </w:p>
    <w:p>
      <w:pPr>
        <w:pStyle w:val="177"/>
        <w:rPr>
          <w:color w:val="000000"/>
          <w:highlight w:val="none"/>
        </w:rPr>
      </w:pPr>
    </w:p>
    <w:p>
      <w:pPr>
        <w:pStyle w:val="63"/>
        <w:spacing w:before="78" w:after="156"/>
        <w:rPr>
          <w:color w:val="000000"/>
          <w:highlight w:val="none"/>
        </w:rPr>
      </w:pPr>
      <w:r>
        <w:rPr>
          <w:color w:val="000000"/>
          <w:highlight w:val="none"/>
        </w:rPr>
        <w:br w:type="textWrapping"/>
      </w:r>
      <w:bookmarkStart w:id="115" w:name="_Toc94252733"/>
      <w:bookmarkStart w:id="116" w:name="_Toc93485526"/>
      <w:bookmarkStart w:id="117" w:name="_Toc93485509"/>
      <w:r>
        <w:rPr>
          <w:rFonts w:hint="eastAsia"/>
          <w:color w:val="000000"/>
          <w:highlight w:val="none"/>
        </w:rPr>
        <w:t>（资料性）</w:t>
      </w:r>
      <w:r>
        <w:rPr>
          <w:color w:val="000000"/>
          <w:highlight w:val="none"/>
        </w:rPr>
        <w:br w:type="textWrapping"/>
      </w:r>
      <w:r>
        <w:rPr>
          <w:rFonts w:hint="eastAsia"/>
          <w:color w:val="000000"/>
          <w:highlight w:val="none"/>
        </w:rPr>
        <w:t>大型游乐设施日常维护保养记录</w:t>
      </w:r>
      <w:bookmarkEnd w:id="115"/>
      <w:bookmarkEnd w:id="116"/>
      <w:bookmarkEnd w:id="117"/>
    </w:p>
    <w:p>
      <w:pPr>
        <w:pStyle w:val="44"/>
        <w:ind w:firstLine="0" w:firstLineChars="0"/>
        <w:jc w:val="center"/>
        <w:rPr>
          <w:rFonts w:ascii="黑体" w:hAnsi="黑体" w:eastAsia="黑体"/>
          <w:color w:val="000000"/>
          <w:highlight w:val="none"/>
        </w:rPr>
      </w:pPr>
      <w:r>
        <w:rPr>
          <w:rFonts w:hint="eastAsia" w:ascii="黑体" w:hAnsi="黑体" w:eastAsia="黑体"/>
          <w:color w:val="000000"/>
          <w:highlight w:val="none"/>
        </w:rPr>
        <w:t>表D.1 大型游乐设施日常维护保养记录</w:t>
      </w:r>
    </w:p>
    <w:tbl>
      <w:tblPr>
        <w:tblStyle w:val="28"/>
        <w:tblW w:w="0" w:type="auto"/>
        <w:tblInd w:w="-318" w:type="dxa"/>
        <w:tblLayout w:type="fixed"/>
        <w:tblCellMar>
          <w:top w:w="0" w:type="dxa"/>
          <w:left w:w="108" w:type="dxa"/>
          <w:bottom w:w="0" w:type="dxa"/>
          <w:right w:w="108" w:type="dxa"/>
        </w:tblCellMar>
      </w:tblPr>
      <w:tblGrid>
        <w:gridCol w:w="710"/>
        <w:gridCol w:w="992"/>
        <w:gridCol w:w="1418"/>
        <w:gridCol w:w="1842"/>
        <w:gridCol w:w="1709"/>
        <w:gridCol w:w="1560"/>
        <w:gridCol w:w="1275"/>
      </w:tblGrid>
      <w:tr>
        <w:tblPrEx>
          <w:tblCellMar>
            <w:top w:w="0" w:type="dxa"/>
            <w:left w:w="108" w:type="dxa"/>
            <w:bottom w:w="0" w:type="dxa"/>
            <w:right w:w="108" w:type="dxa"/>
          </w:tblCellMar>
        </w:tblPrEx>
        <w:trPr>
          <w:trHeight w:val="454"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r>
              <w:rPr>
                <w:rFonts w:hint="eastAsia" w:ascii="宋体" w:hAnsi="宋体" w:cs="宋体"/>
                <w:color w:val="000000"/>
                <w:sz w:val="18"/>
                <w:szCs w:val="18"/>
                <w:highlight w:val="none"/>
              </w:rPr>
              <w:t>使用单位</w:t>
            </w:r>
          </w:p>
        </w:tc>
        <w:tc>
          <w:tcPr>
            <w:tcW w:w="3260" w:type="dxa"/>
            <w:gridSpan w:val="2"/>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709"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r>
              <w:rPr>
                <w:rFonts w:hint="eastAsia" w:ascii="宋体" w:hAnsi="宋体" w:cs="宋体"/>
                <w:color w:val="000000"/>
                <w:sz w:val="18"/>
                <w:szCs w:val="18"/>
                <w:highlight w:val="none"/>
              </w:rPr>
              <w:t>使用登记证编号</w:t>
            </w:r>
          </w:p>
        </w:tc>
        <w:tc>
          <w:tcPr>
            <w:tcW w:w="2835" w:type="dxa"/>
            <w:gridSpan w:val="2"/>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454"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r>
              <w:rPr>
                <w:rFonts w:hint="eastAsia" w:ascii="宋体" w:hAnsi="宋体" w:cs="宋体"/>
                <w:color w:val="000000"/>
                <w:sz w:val="18"/>
                <w:szCs w:val="18"/>
                <w:highlight w:val="none"/>
              </w:rPr>
              <w:t>设备名称</w:t>
            </w:r>
          </w:p>
        </w:tc>
        <w:tc>
          <w:tcPr>
            <w:tcW w:w="3260" w:type="dxa"/>
            <w:gridSpan w:val="2"/>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p>
        </w:tc>
        <w:tc>
          <w:tcPr>
            <w:tcW w:w="1709"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r>
              <w:rPr>
                <w:rFonts w:hint="eastAsia" w:ascii="宋体" w:hAnsi="宋体" w:cs="宋体"/>
                <w:color w:val="000000"/>
                <w:sz w:val="18"/>
                <w:szCs w:val="18"/>
                <w:highlight w:val="none"/>
              </w:rPr>
              <w:t>设备类别</w:t>
            </w:r>
          </w:p>
        </w:tc>
        <w:tc>
          <w:tcPr>
            <w:tcW w:w="2835" w:type="dxa"/>
            <w:gridSpan w:val="2"/>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p>
        </w:tc>
      </w:tr>
      <w:tr>
        <w:tblPrEx>
          <w:tblCellMar>
            <w:top w:w="0" w:type="dxa"/>
            <w:left w:w="108" w:type="dxa"/>
            <w:bottom w:w="0" w:type="dxa"/>
            <w:right w:w="108" w:type="dxa"/>
          </w:tblCellMar>
        </w:tblPrEx>
        <w:trPr>
          <w:trHeight w:val="454"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r>
              <w:rPr>
                <w:rFonts w:hint="eastAsia" w:ascii="宋体" w:hAnsi="宋体" w:cs="宋体"/>
                <w:color w:val="000000"/>
                <w:sz w:val="18"/>
                <w:szCs w:val="18"/>
                <w:highlight w:val="none"/>
              </w:rPr>
              <w:t>使用地点</w:t>
            </w:r>
          </w:p>
        </w:tc>
        <w:tc>
          <w:tcPr>
            <w:tcW w:w="7804" w:type="dxa"/>
            <w:gridSpan w:val="5"/>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p>
        </w:tc>
      </w:tr>
      <w:tr>
        <w:tblPrEx>
          <w:tblCellMar>
            <w:top w:w="0" w:type="dxa"/>
            <w:left w:w="108" w:type="dxa"/>
            <w:bottom w:w="0" w:type="dxa"/>
            <w:right w:w="108" w:type="dxa"/>
          </w:tblCellMar>
        </w:tblPrEx>
        <w:trPr>
          <w:trHeight w:val="454"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等线" w:hAnsi="等线" w:cs="宋体"/>
                <w:color w:val="000000"/>
                <w:sz w:val="18"/>
                <w:szCs w:val="18"/>
                <w:highlight w:val="none"/>
              </w:rPr>
            </w:pPr>
            <w:r>
              <w:rPr>
                <w:rFonts w:ascii="MS Mincho" w:hAnsi="MS Mincho" w:eastAsia="MS Mincho" w:cs="MS Mincho"/>
                <w:color w:val="000000"/>
                <w:sz w:val="18"/>
                <w:szCs w:val="18"/>
                <w:highlight w:val="none"/>
              </w:rPr>
              <w:t>☐</w:t>
            </w:r>
            <w:r>
              <w:rPr>
                <w:rFonts w:ascii="等线" w:hAnsi="等线" w:cs="宋体"/>
                <w:color w:val="000000"/>
                <w:sz w:val="18"/>
                <w:szCs w:val="18"/>
                <w:highlight w:val="none"/>
              </w:rPr>
              <w:t>制造</w:t>
            </w:r>
            <w:r>
              <w:rPr>
                <w:rFonts w:hint="eastAsia" w:ascii="等线" w:hAnsi="等线" w:cs="宋体"/>
                <w:color w:val="000000"/>
                <w:sz w:val="18"/>
                <w:szCs w:val="18"/>
                <w:highlight w:val="none"/>
              </w:rPr>
              <w:t>/</w:t>
            </w:r>
            <w:r>
              <w:rPr>
                <w:rFonts w:ascii="MS Mincho" w:hAnsi="MS Mincho" w:eastAsia="MS Mincho" w:cs="MS Mincho"/>
                <w:color w:val="000000"/>
                <w:sz w:val="18"/>
                <w:szCs w:val="18"/>
                <w:highlight w:val="none"/>
              </w:rPr>
              <w:t>☐</w:t>
            </w:r>
            <w:r>
              <w:rPr>
                <w:rFonts w:hint="eastAsia" w:ascii="等线" w:hAnsi="等线" w:cs="宋体"/>
                <w:color w:val="000000"/>
                <w:sz w:val="18"/>
                <w:szCs w:val="18"/>
                <w:highlight w:val="none"/>
              </w:rPr>
              <w:t>改造/</w:t>
            </w:r>
          </w:p>
          <w:p>
            <w:pPr>
              <w:spacing w:line="240" w:lineRule="auto"/>
              <w:jc w:val="center"/>
              <w:rPr>
                <w:rFonts w:ascii="宋体" w:hAnsi="宋体" w:cs="宋体"/>
                <w:color w:val="000000"/>
                <w:sz w:val="18"/>
                <w:szCs w:val="18"/>
                <w:highlight w:val="none"/>
              </w:rPr>
            </w:pPr>
            <w:r>
              <w:rPr>
                <w:rFonts w:ascii="MS Mincho" w:hAnsi="MS Mincho" w:eastAsia="MS Mincho" w:cs="MS Mincho"/>
                <w:color w:val="000000"/>
                <w:sz w:val="18"/>
                <w:szCs w:val="18"/>
                <w:highlight w:val="none"/>
              </w:rPr>
              <w:t>☐</w:t>
            </w:r>
            <w:r>
              <w:rPr>
                <w:rFonts w:hint="eastAsia" w:ascii="等线" w:hAnsi="等线" w:cs="宋体"/>
                <w:color w:val="000000"/>
                <w:sz w:val="18"/>
                <w:szCs w:val="18"/>
                <w:highlight w:val="none"/>
              </w:rPr>
              <w:t>修理</w:t>
            </w:r>
            <w:r>
              <w:rPr>
                <w:rFonts w:ascii="等线" w:hAnsi="等线" w:cs="宋体"/>
                <w:color w:val="000000"/>
                <w:sz w:val="18"/>
                <w:szCs w:val="18"/>
                <w:highlight w:val="none"/>
              </w:rPr>
              <w:t>单位</w:t>
            </w:r>
          </w:p>
        </w:tc>
        <w:tc>
          <w:tcPr>
            <w:tcW w:w="3260" w:type="dxa"/>
            <w:gridSpan w:val="2"/>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p>
        </w:tc>
        <w:tc>
          <w:tcPr>
            <w:tcW w:w="1709"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等线" w:hAnsi="等线" w:cs="宋体"/>
                <w:color w:val="000000"/>
                <w:sz w:val="18"/>
                <w:szCs w:val="18"/>
                <w:highlight w:val="none"/>
              </w:rPr>
            </w:pPr>
            <w:r>
              <w:rPr>
                <w:rFonts w:ascii="MS Mincho" w:hAnsi="MS Mincho" w:eastAsia="MS Mincho" w:cs="MS Mincho"/>
                <w:color w:val="000000"/>
                <w:sz w:val="18"/>
                <w:szCs w:val="18"/>
                <w:highlight w:val="none"/>
              </w:rPr>
              <w:t>☐</w:t>
            </w:r>
            <w:r>
              <w:rPr>
                <w:rFonts w:ascii="等线" w:hAnsi="等线" w:cs="宋体"/>
                <w:color w:val="000000"/>
                <w:sz w:val="18"/>
                <w:szCs w:val="18"/>
                <w:highlight w:val="none"/>
              </w:rPr>
              <w:t>制造</w:t>
            </w:r>
            <w:r>
              <w:rPr>
                <w:rFonts w:hint="eastAsia" w:ascii="等线" w:hAnsi="等线" w:cs="宋体"/>
                <w:color w:val="000000"/>
                <w:sz w:val="18"/>
                <w:szCs w:val="18"/>
                <w:highlight w:val="none"/>
              </w:rPr>
              <w:t>/</w:t>
            </w:r>
            <w:r>
              <w:rPr>
                <w:rFonts w:ascii="MS Mincho" w:hAnsi="MS Mincho" w:eastAsia="MS Mincho" w:cs="MS Mincho"/>
                <w:color w:val="000000"/>
                <w:sz w:val="18"/>
                <w:szCs w:val="18"/>
                <w:highlight w:val="none"/>
              </w:rPr>
              <w:t>☐</w:t>
            </w:r>
            <w:r>
              <w:rPr>
                <w:rFonts w:hint="eastAsia" w:ascii="等线" w:hAnsi="等线" w:cs="宋体"/>
                <w:color w:val="000000"/>
                <w:sz w:val="18"/>
                <w:szCs w:val="18"/>
                <w:highlight w:val="none"/>
              </w:rPr>
              <w:t>改造/</w:t>
            </w:r>
          </w:p>
          <w:p>
            <w:pPr>
              <w:spacing w:line="240" w:lineRule="auto"/>
              <w:jc w:val="center"/>
              <w:rPr>
                <w:rFonts w:ascii="宋体" w:hAnsi="宋体" w:cs="宋体"/>
                <w:color w:val="000000"/>
                <w:sz w:val="18"/>
                <w:szCs w:val="18"/>
                <w:highlight w:val="none"/>
              </w:rPr>
            </w:pPr>
            <w:r>
              <w:rPr>
                <w:rFonts w:ascii="MS Mincho" w:hAnsi="MS Mincho" w:eastAsia="MS Mincho" w:cs="MS Mincho"/>
                <w:color w:val="000000"/>
                <w:sz w:val="18"/>
                <w:szCs w:val="18"/>
                <w:highlight w:val="none"/>
              </w:rPr>
              <w:t>☐</w:t>
            </w:r>
            <w:r>
              <w:rPr>
                <w:rFonts w:hint="eastAsia" w:ascii="等线" w:hAnsi="等线" w:cs="宋体"/>
                <w:color w:val="000000"/>
                <w:sz w:val="18"/>
                <w:szCs w:val="18"/>
                <w:highlight w:val="none"/>
              </w:rPr>
              <w:t>修理</w:t>
            </w:r>
            <w:r>
              <w:rPr>
                <w:rFonts w:ascii="等线" w:hAnsi="等线" w:cs="宋体"/>
                <w:color w:val="000000"/>
                <w:sz w:val="18"/>
                <w:szCs w:val="18"/>
                <w:highlight w:val="none"/>
              </w:rPr>
              <w:t>日期</w:t>
            </w:r>
          </w:p>
        </w:tc>
        <w:tc>
          <w:tcPr>
            <w:tcW w:w="2835" w:type="dxa"/>
            <w:gridSpan w:val="2"/>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p>
        </w:tc>
      </w:tr>
      <w:tr>
        <w:tblPrEx>
          <w:tblCellMar>
            <w:top w:w="0" w:type="dxa"/>
            <w:left w:w="108" w:type="dxa"/>
            <w:bottom w:w="0" w:type="dxa"/>
            <w:right w:w="108" w:type="dxa"/>
          </w:tblCellMar>
        </w:tblPrEx>
        <w:trPr>
          <w:trHeight w:val="454"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r>
              <w:rPr>
                <w:rFonts w:hint="eastAsia" w:ascii="宋体" w:hAnsi="宋体" w:cs="宋体"/>
                <w:color w:val="000000"/>
                <w:sz w:val="18"/>
                <w:szCs w:val="18"/>
                <w:highlight w:val="none"/>
              </w:rPr>
              <w:t>型号规格</w:t>
            </w:r>
          </w:p>
        </w:tc>
        <w:tc>
          <w:tcPr>
            <w:tcW w:w="3260" w:type="dxa"/>
            <w:gridSpan w:val="2"/>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p>
        </w:tc>
        <w:tc>
          <w:tcPr>
            <w:tcW w:w="1709" w:type="dxa"/>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r>
              <w:rPr>
                <w:rFonts w:hint="eastAsia" w:ascii="宋体" w:hAnsi="宋体" w:cs="宋体"/>
                <w:color w:val="000000"/>
                <w:sz w:val="18"/>
                <w:szCs w:val="18"/>
                <w:highlight w:val="none"/>
              </w:rPr>
              <w:t>出厂编号</w:t>
            </w:r>
          </w:p>
        </w:tc>
        <w:tc>
          <w:tcPr>
            <w:tcW w:w="2835" w:type="dxa"/>
            <w:gridSpan w:val="2"/>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p>
        </w:tc>
      </w:tr>
      <w:tr>
        <w:tblPrEx>
          <w:tblCellMar>
            <w:top w:w="0" w:type="dxa"/>
            <w:left w:w="108" w:type="dxa"/>
            <w:bottom w:w="0" w:type="dxa"/>
            <w:right w:w="108" w:type="dxa"/>
          </w:tblCellMar>
        </w:tblPrEx>
        <w:trPr>
          <w:trHeight w:val="454"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r>
              <w:rPr>
                <w:rFonts w:hint="eastAsia" w:ascii="宋体" w:hAnsi="宋体" w:cs="宋体"/>
                <w:color w:val="000000"/>
                <w:sz w:val="18"/>
                <w:szCs w:val="18"/>
                <w:highlight w:val="none"/>
              </w:rPr>
              <w:t>维护保养单位</w:t>
            </w:r>
          </w:p>
          <w:p>
            <w:pPr>
              <w:spacing w:line="240" w:lineRule="auto"/>
              <w:jc w:val="center"/>
              <w:rPr>
                <w:rFonts w:ascii="宋体" w:hAnsi="宋体" w:cs="宋体"/>
                <w:color w:val="000000"/>
                <w:sz w:val="18"/>
                <w:szCs w:val="18"/>
                <w:highlight w:val="none"/>
              </w:rPr>
            </w:pPr>
            <w:r>
              <w:rPr>
                <w:rFonts w:hint="eastAsia" w:ascii="宋体" w:hAnsi="宋体" w:cs="宋体"/>
                <w:color w:val="000000"/>
                <w:sz w:val="18"/>
                <w:szCs w:val="18"/>
                <w:highlight w:val="none"/>
              </w:rPr>
              <w:t>（如有）</w:t>
            </w:r>
          </w:p>
        </w:tc>
        <w:tc>
          <w:tcPr>
            <w:tcW w:w="3260" w:type="dxa"/>
            <w:gridSpan w:val="2"/>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p>
        </w:tc>
        <w:tc>
          <w:tcPr>
            <w:tcW w:w="1709" w:type="dxa"/>
            <w:tcBorders>
              <w:top w:val="nil"/>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r>
              <w:rPr>
                <w:rFonts w:hint="eastAsia" w:ascii="宋体" w:hAnsi="宋体" w:cs="宋体"/>
                <w:color w:val="000000"/>
                <w:sz w:val="18"/>
                <w:szCs w:val="18"/>
                <w:highlight w:val="none"/>
              </w:rPr>
              <w:t>维护保养单位资质证号（如有）</w:t>
            </w:r>
          </w:p>
        </w:tc>
        <w:tc>
          <w:tcPr>
            <w:tcW w:w="2835" w:type="dxa"/>
            <w:gridSpan w:val="2"/>
            <w:tcBorders>
              <w:top w:val="single" w:color="auto" w:sz="4" w:space="0"/>
              <w:left w:val="nil"/>
              <w:bottom w:val="single" w:color="auto" w:sz="4" w:space="0"/>
              <w:right w:val="single" w:color="auto" w:sz="4" w:space="0"/>
            </w:tcBorders>
            <w:noWrap w:val="0"/>
            <w:vAlign w:val="center"/>
          </w:tcPr>
          <w:p>
            <w:pPr>
              <w:spacing w:line="240" w:lineRule="auto"/>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454"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维护保养周期</w:t>
            </w:r>
          </w:p>
        </w:tc>
        <w:tc>
          <w:tcPr>
            <w:tcW w:w="3260" w:type="dxa"/>
            <w:gridSpan w:val="2"/>
            <w:tcBorders>
              <w:top w:val="single" w:color="auto" w:sz="4" w:space="0"/>
              <w:left w:val="nil"/>
              <w:bottom w:val="single" w:color="auto" w:sz="4" w:space="0"/>
              <w:right w:val="single" w:color="auto" w:sz="4" w:space="0"/>
            </w:tcBorders>
            <w:noWrap w:val="0"/>
            <w:vAlign w:val="center"/>
          </w:tcPr>
          <w:p>
            <w:pPr>
              <w:jc w:val="left"/>
              <w:rPr>
                <w:rFonts w:ascii="MS Mincho" w:hAnsi="MS Mincho" w:cs="MS Mincho"/>
                <w:color w:val="000000"/>
                <w:sz w:val="18"/>
                <w:szCs w:val="18"/>
                <w:highlight w:val="none"/>
                <w:u w:val="single"/>
              </w:rPr>
            </w:pPr>
            <w:r>
              <w:rPr>
                <w:rFonts w:hint="eastAsia" w:ascii="MS Mincho" w:hAnsi="MS Mincho" w:eastAsia="MS Mincho" w:cs="MS Mincho"/>
                <w:color w:val="000000"/>
                <w:sz w:val="18"/>
                <w:szCs w:val="18"/>
                <w:highlight w:val="none"/>
              </w:rPr>
              <w:t>☐</w:t>
            </w:r>
            <w:r>
              <w:rPr>
                <w:rFonts w:hint="eastAsia" w:ascii="宋体" w:hAnsi="宋体" w:cs="宋体"/>
                <w:color w:val="000000"/>
                <w:sz w:val="18"/>
                <w:szCs w:val="18"/>
                <w:highlight w:val="none"/>
              </w:rPr>
              <w:t xml:space="preserve">日  </w:t>
            </w:r>
            <w:r>
              <w:rPr>
                <w:rFonts w:hint="eastAsia" w:ascii="MS Mincho" w:hAnsi="MS Mincho" w:eastAsia="MS Mincho" w:cs="MS Mincho"/>
                <w:color w:val="000000"/>
                <w:sz w:val="18"/>
                <w:szCs w:val="18"/>
                <w:highlight w:val="none"/>
              </w:rPr>
              <w:t>☐</w:t>
            </w:r>
            <w:r>
              <w:rPr>
                <w:rFonts w:hint="eastAsia" w:ascii="宋体" w:hAnsi="宋体" w:cs="宋体"/>
                <w:color w:val="000000"/>
                <w:sz w:val="18"/>
                <w:szCs w:val="18"/>
                <w:highlight w:val="none"/>
              </w:rPr>
              <w:t xml:space="preserve">周  </w:t>
            </w:r>
            <w:r>
              <w:rPr>
                <w:rFonts w:hint="eastAsia" w:ascii="MS Mincho" w:hAnsi="MS Mincho" w:eastAsia="MS Mincho" w:cs="MS Mincho"/>
                <w:color w:val="000000"/>
                <w:sz w:val="18"/>
                <w:szCs w:val="18"/>
                <w:highlight w:val="none"/>
              </w:rPr>
              <w:t>☐</w:t>
            </w:r>
            <w:r>
              <w:rPr>
                <w:rFonts w:hint="eastAsia" w:ascii="宋体" w:hAnsi="宋体" w:cs="宋体"/>
                <w:color w:val="000000"/>
                <w:sz w:val="18"/>
                <w:szCs w:val="18"/>
                <w:highlight w:val="none"/>
              </w:rPr>
              <w:t xml:space="preserve">月  </w:t>
            </w:r>
            <w:r>
              <w:rPr>
                <w:rFonts w:hint="eastAsia" w:ascii="MS Mincho" w:hAnsi="MS Mincho" w:eastAsia="MS Mincho" w:cs="MS Mincho"/>
                <w:color w:val="000000"/>
                <w:sz w:val="18"/>
                <w:szCs w:val="18"/>
                <w:highlight w:val="none"/>
              </w:rPr>
              <w:t>☐</w:t>
            </w:r>
            <w:r>
              <w:rPr>
                <w:rFonts w:hint="eastAsia" w:ascii="宋体" w:hAnsi="宋体" w:cs="宋体"/>
                <w:color w:val="000000"/>
                <w:sz w:val="18"/>
                <w:szCs w:val="18"/>
                <w:highlight w:val="none"/>
              </w:rPr>
              <w:t>年</w:t>
            </w:r>
            <w:r>
              <w:rPr>
                <w:rFonts w:hint="eastAsia" w:ascii="宋体" w:hAnsi="宋体" w:cs="MS Mincho"/>
                <w:color w:val="000000"/>
                <w:sz w:val="18"/>
                <w:szCs w:val="18"/>
                <w:highlight w:val="none"/>
              </w:rPr>
              <w:t>，</w:t>
            </w:r>
            <w:r>
              <w:rPr>
                <w:rFonts w:hint="eastAsia" w:ascii="等线" w:hAnsi="等线" w:cs="宋体"/>
                <w:color w:val="000000"/>
                <w:sz w:val="18"/>
                <w:szCs w:val="18"/>
                <w:highlight w:val="none"/>
              </w:rPr>
              <w:t>其他</w:t>
            </w:r>
            <w:r>
              <w:rPr>
                <w:rFonts w:hint="eastAsia" w:ascii="等线" w:hAnsi="等线" w:cs="宋体"/>
                <w:color w:val="000000"/>
                <w:sz w:val="18"/>
                <w:szCs w:val="18"/>
                <w:highlight w:val="none"/>
                <w:u w:val="single"/>
              </w:rPr>
              <w:t xml:space="preserve">     </w:t>
            </w:r>
          </w:p>
        </w:tc>
        <w:tc>
          <w:tcPr>
            <w:tcW w:w="1709"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维护保养日期</w:t>
            </w:r>
          </w:p>
        </w:tc>
        <w:tc>
          <w:tcPr>
            <w:tcW w:w="2835"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454" w:hRule="atLeast"/>
        </w:trPr>
        <w:tc>
          <w:tcPr>
            <w:tcW w:w="710"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序号</w:t>
            </w:r>
          </w:p>
        </w:tc>
        <w:tc>
          <w:tcPr>
            <w:tcW w:w="241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项目内容</w:t>
            </w:r>
          </w:p>
        </w:tc>
        <w:tc>
          <w:tcPr>
            <w:tcW w:w="3551"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维护保养内容</w:t>
            </w:r>
          </w:p>
        </w:tc>
        <w:tc>
          <w:tcPr>
            <w:tcW w:w="1560"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维护保养结果</w:t>
            </w:r>
          </w:p>
        </w:tc>
        <w:tc>
          <w:tcPr>
            <w:tcW w:w="1275"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情况处理</w:t>
            </w:r>
          </w:p>
        </w:tc>
      </w:tr>
      <w:tr>
        <w:tblPrEx>
          <w:tblCellMar>
            <w:top w:w="0" w:type="dxa"/>
            <w:left w:w="108" w:type="dxa"/>
            <w:bottom w:w="0" w:type="dxa"/>
            <w:right w:w="108" w:type="dxa"/>
          </w:tblCellMar>
        </w:tblPrEx>
        <w:trPr>
          <w:trHeight w:val="454" w:hRule="atLeast"/>
        </w:trPr>
        <w:tc>
          <w:tcPr>
            <w:tcW w:w="710"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241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3551"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560"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275"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454" w:hRule="atLeast"/>
        </w:trPr>
        <w:tc>
          <w:tcPr>
            <w:tcW w:w="710"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241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3551"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560"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275"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454" w:hRule="atLeast"/>
        </w:trPr>
        <w:tc>
          <w:tcPr>
            <w:tcW w:w="710"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241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3551"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560"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275"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454" w:hRule="atLeast"/>
        </w:trPr>
        <w:tc>
          <w:tcPr>
            <w:tcW w:w="710"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241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3551"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560"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275"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454" w:hRule="atLeast"/>
        </w:trPr>
        <w:tc>
          <w:tcPr>
            <w:tcW w:w="710"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241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3551"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560"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275"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454" w:hRule="atLeast"/>
        </w:trPr>
        <w:tc>
          <w:tcPr>
            <w:tcW w:w="710"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241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3551"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560"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275"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454" w:hRule="atLeast"/>
        </w:trPr>
        <w:tc>
          <w:tcPr>
            <w:tcW w:w="710"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241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3551"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560"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275"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454" w:hRule="atLeast"/>
        </w:trPr>
        <w:tc>
          <w:tcPr>
            <w:tcW w:w="710"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241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3551"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560"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275"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454" w:hRule="atLeast"/>
        </w:trPr>
        <w:tc>
          <w:tcPr>
            <w:tcW w:w="710"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241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3551"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560"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275"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454" w:hRule="atLeast"/>
        </w:trPr>
        <w:tc>
          <w:tcPr>
            <w:tcW w:w="710"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241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3551"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560"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275"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454" w:hRule="atLeast"/>
        </w:trPr>
        <w:tc>
          <w:tcPr>
            <w:tcW w:w="710"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2410"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3551"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560"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c>
          <w:tcPr>
            <w:tcW w:w="1275" w:type="dxa"/>
            <w:tcBorders>
              <w:top w:val="nil"/>
              <w:left w:val="nil"/>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　</w:t>
            </w:r>
          </w:p>
        </w:tc>
      </w:tr>
      <w:tr>
        <w:tblPrEx>
          <w:tblCellMar>
            <w:top w:w="0" w:type="dxa"/>
            <w:left w:w="108" w:type="dxa"/>
            <w:bottom w:w="0" w:type="dxa"/>
            <w:right w:w="108" w:type="dxa"/>
          </w:tblCellMar>
        </w:tblPrEx>
        <w:trPr>
          <w:trHeight w:val="1017" w:hRule="atLeast"/>
        </w:trPr>
        <w:tc>
          <w:tcPr>
            <w:tcW w:w="9506" w:type="dxa"/>
            <w:gridSpan w:val="7"/>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维护保养人员(签字)：</w:t>
            </w:r>
          </w:p>
          <w:p>
            <w:pPr>
              <w:jc w:val="right"/>
              <w:rPr>
                <w:rFonts w:ascii="宋体" w:hAnsi="宋体" w:cs="宋体"/>
                <w:color w:val="000000"/>
                <w:sz w:val="18"/>
                <w:szCs w:val="18"/>
                <w:highlight w:val="none"/>
              </w:rPr>
            </w:pPr>
            <w:r>
              <w:rPr>
                <w:rFonts w:hint="eastAsia" w:ascii="宋体" w:hAnsi="宋体" w:cs="宋体"/>
                <w:color w:val="000000"/>
                <w:sz w:val="18"/>
                <w:szCs w:val="18"/>
                <w:highlight w:val="none"/>
              </w:rPr>
              <w:t>日期：    年    月   日</w:t>
            </w:r>
          </w:p>
        </w:tc>
      </w:tr>
      <w:tr>
        <w:tblPrEx>
          <w:tblCellMar>
            <w:top w:w="0" w:type="dxa"/>
            <w:left w:w="108" w:type="dxa"/>
            <w:bottom w:w="0" w:type="dxa"/>
            <w:right w:w="108" w:type="dxa"/>
          </w:tblCellMar>
        </w:tblPrEx>
        <w:trPr>
          <w:trHeight w:val="1102" w:hRule="atLeast"/>
        </w:trPr>
        <w:tc>
          <w:tcPr>
            <w:tcW w:w="9506" w:type="dxa"/>
            <w:gridSpan w:val="7"/>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color w:val="000000"/>
                <w:sz w:val="18"/>
                <w:szCs w:val="18"/>
                <w:highlight w:val="none"/>
              </w:rPr>
            </w:pPr>
            <w:r>
              <w:rPr>
                <w:rFonts w:hint="eastAsia" w:ascii="宋体" w:hAnsi="宋体" w:cs="宋体"/>
                <w:color w:val="000000"/>
                <w:sz w:val="18"/>
                <w:szCs w:val="18"/>
                <w:highlight w:val="none"/>
              </w:rPr>
              <w:t>安全员(签字)：</w:t>
            </w:r>
          </w:p>
          <w:p>
            <w:pPr>
              <w:jc w:val="right"/>
              <w:rPr>
                <w:rFonts w:ascii="宋体" w:hAnsi="宋体" w:cs="宋体"/>
                <w:color w:val="000000"/>
                <w:sz w:val="18"/>
                <w:szCs w:val="18"/>
                <w:highlight w:val="none"/>
              </w:rPr>
            </w:pPr>
            <w:r>
              <w:rPr>
                <w:rFonts w:hint="eastAsia" w:ascii="宋体" w:hAnsi="宋体" w:cs="宋体"/>
                <w:color w:val="000000"/>
                <w:sz w:val="18"/>
                <w:szCs w:val="18"/>
                <w:highlight w:val="none"/>
              </w:rPr>
              <w:t xml:space="preserve">   日期：    年    月   日</w:t>
            </w:r>
          </w:p>
        </w:tc>
      </w:tr>
      <w:bookmarkEnd w:id="105"/>
    </w:tbl>
    <w:p>
      <w:pPr>
        <w:pStyle w:val="44"/>
        <w:ind w:firstLine="0" w:firstLineChars="0"/>
        <w:rPr>
          <w:color w:val="000000"/>
          <w:highlight w:val="none"/>
        </w:rPr>
      </w:pPr>
      <w:bookmarkStart w:id="118" w:name="BookMark6"/>
    </w:p>
    <w:p>
      <w:pPr>
        <w:topLinePunct/>
        <w:snapToGrid w:val="0"/>
        <w:jc w:val="center"/>
        <w:rPr>
          <w:rFonts w:hint="eastAsia" w:ascii="黑体" w:hAnsi="黑体" w:eastAsia="黑体" w:cs="黑体"/>
          <w:color w:val="000000"/>
          <w:highlight w:val="none"/>
        </w:rPr>
      </w:pPr>
      <w:r>
        <w:rPr>
          <w:rFonts w:hint="eastAsia" w:ascii="黑体" w:hAnsi="黑体" w:eastAsia="黑体" w:cs="黑体"/>
          <w:color w:val="000000"/>
          <w:highlight w:val="none"/>
        </w:rPr>
        <w:t xml:space="preserve">附录E </w:t>
      </w:r>
    </w:p>
    <w:p>
      <w:pPr>
        <w:topLinePunct/>
        <w:snapToGrid w:val="0"/>
        <w:jc w:val="center"/>
        <w:rPr>
          <w:rFonts w:hint="eastAsia" w:ascii="黑体" w:hAnsi="黑体" w:eastAsia="黑体" w:cs="黑体"/>
          <w:color w:val="000000"/>
          <w:highlight w:val="none"/>
        </w:rPr>
      </w:pPr>
      <w:r>
        <w:rPr>
          <w:rFonts w:hint="eastAsia" w:ascii="黑体" w:hAnsi="黑体" w:eastAsia="黑体" w:cs="黑体"/>
          <w:color w:val="000000"/>
          <w:highlight w:val="none"/>
        </w:rPr>
        <w:t>（资料性）</w:t>
      </w:r>
      <w:r>
        <w:rPr>
          <w:rFonts w:hint="eastAsia" w:ascii="黑体" w:hAnsi="黑体" w:eastAsia="黑体" w:cs="黑体"/>
          <w:color w:val="000000"/>
          <w:highlight w:val="none"/>
        </w:rPr>
        <w:br w:type="textWrapping"/>
      </w:r>
      <w:r>
        <w:rPr>
          <w:rFonts w:hint="eastAsia" w:ascii="黑体" w:hAnsi="黑体" w:eastAsia="黑体" w:cs="黑体"/>
          <w:color w:val="000000"/>
          <w:highlight w:val="none"/>
        </w:rPr>
        <w:t>大型游乐设施运营使用单位落实使用安全主体责任监督管理规定相关记录</w:t>
      </w:r>
    </w:p>
    <w:p>
      <w:pPr>
        <w:jc w:val="center"/>
        <w:rPr>
          <w:rFonts w:hint="eastAsia" w:ascii="黑体" w:hAnsi="黑体" w:eastAsia="黑体" w:cs="黑体"/>
          <w:bCs/>
          <w:highlight w:val="none"/>
        </w:rPr>
      </w:pPr>
      <w:r>
        <w:rPr>
          <w:rFonts w:hint="eastAsia" w:ascii="黑体" w:hAnsi="黑体" w:eastAsia="黑体" w:cs="黑体"/>
          <w:bCs/>
          <w:highlight w:val="none"/>
        </w:rPr>
        <w:t>表E.1 大型游乐设施安全风险管控清单</w:t>
      </w:r>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0"/>
        <w:gridCol w:w="746"/>
        <w:gridCol w:w="2147"/>
        <w:gridCol w:w="3276"/>
        <w:gridCol w:w="894"/>
        <w:gridCol w:w="1216"/>
        <w:gridCol w:w="6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4" w:hRule="exact"/>
          <w:tblHeader/>
          <w:jc w:val="center"/>
        </w:trPr>
        <w:tc>
          <w:tcPr>
            <w:tcW w:w="670" w:type="dxa"/>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序号</w:t>
            </w:r>
          </w:p>
        </w:tc>
        <w:tc>
          <w:tcPr>
            <w:tcW w:w="746" w:type="dxa"/>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风险类别</w:t>
            </w:r>
          </w:p>
        </w:tc>
        <w:tc>
          <w:tcPr>
            <w:tcW w:w="2147" w:type="dxa"/>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风险指标</w:t>
            </w:r>
          </w:p>
        </w:tc>
        <w:tc>
          <w:tcPr>
            <w:tcW w:w="3276" w:type="dxa"/>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风险管控措施</w:t>
            </w:r>
          </w:p>
        </w:tc>
        <w:tc>
          <w:tcPr>
            <w:tcW w:w="894" w:type="dxa"/>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管控</w:t>
            </w:r>
          </w:p>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形式</w:t>
            </w:r>
          </w:p>
        </w:tc>
        <w:tc>
          <w:tcPr>
            <w:tcW w:w="1216" w:type="dxa"/>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责任人</w:t>
            </w:r>
          </w:p>
        </w:tc>
        <w:tc>
          <w:tcPr>
            <w:tcW w:w="621" w:type="dxa"/>
            <w:noWrap w:val="0"/>
            <w:vAlign w:val="top"/>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1"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1</w:t>
            </w:r>
          </w:p>
        </w:tc>
        <w:tc>
          <w:tcPr>
            <w:tcW w:w="746" w:type="dxa"/>
            <w:vMerge w:val="restart"/>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人员</w:t>
            </w: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未按规定配备安全管理人员和作业人员</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1.建立特种设备安全管理人员与作业人员管理制度；</w:t>
            </w:r>
          </w:p>
          <w:p>
            <w:pPr>
              <w:spacing w:line="240" w:lineRule="auto"/>
              <w:rPr>
                <w:rFonts w:hint="eastAsia" w:ascii="宋体" w:hAnsi="宋体" w:cs="宋体"/>
                <w:sz w:val="18"/>
                <w:szCs w:val="18"/>
                <w:highlight w:val="none"/>
              </w:rPr>
            </w:pPr>
            <w:r>
              <w:rPr>
                <w:rFonts w:hint="eastAsia" w:ascii="宋体" w:hAnsi="宋体" w:cs="宋体"/>
                <w:sz w:val="18"/>
                <w:szCs w:val="18"/>
                <w:highlight w:val="none"/>
              </w:rPr>
              <w:t>2.按规定配备相关人员</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月调度</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主要</w:t>
            </w:r>
          </w:p>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负责人</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2</w:t>
            </w:r>
          </w:p>
        </w:tc>
        <w:tc>
          <w:tcPr>
            <w:tcW w:w="746" w:type="dxa"/>
            <w:vMerge w:val="continue"/>
            <w:noWrap w:val="0"/>
            <w:vAlign w:val="center"/>
          </w:tcPr>
          <w:p>
            <w:pPr>
              <w:spacing w:line="240" w:lineRule="auto"/>
              <w:jc w:val="center"/>
              <w:rPr>
                <w:rFonts w:hint="eastAsia" w:ascii="宋体" w:hAnsi="宋体" w:cs="宋体"/>
                <w:sz w:val="18"/>
                <w:szCs w:val="18"/>
                <w:highlight w:val="none"/>
              </w:rPr>
            </w:pP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作业人员未持有相应资格证件</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配备具有相应职责资质的作业人员，加强资格证的换证管理</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周排查</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安全总监</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3</w:t>
            </w:r>
          </w:p>
        </w:tc>
        <w:tc>
          <w:tcPr>
            <w:tcW w:w="746" w:type="dxa"/>
            <w:vMerge w:val="continue"/>
            <w:noWrap w:val="0"/>
            <w:vAlign w:val="center"/>
          </w:tcPr>
          <w:p>
            <w:pPr>
              <w:spacing w:line="240" w:lineRule="auto"/>
              <w:jc w:val="center"/>
              <w:rPr>
                <w:rFonts w:hint="eastAsia" w:ascii="宋体" w:hAnsi="宋体" w:cs="宋体"/>
                <w:sz w:val="18"/>
                <w:szCs w:val="18"/>
                <w:highlight w:val="none"/>
              </w:rPr>
            </w:pP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未按规定对安全管理人员和作业人员开展安全教育培训</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按规定开展安全培训教育</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周排查</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安全总监</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4</w:t>
            </w:r>
          </w:p>
        </w:tc>
        <w:tc>
          <w:tcPr>
            <w:tcW w:w="746" w:type="dxa"/>
            <w:vMerge w:val="continue"/>
            <w:noWrap w:val="0"/>
            <w:vAlign w:val="center"/>
          </w:tcPr>
          <w:p>
            <w:pPr>
              <w:spacing w:line="240" w:lineRule="auto"/>
              <w:jc w:val="center"/>
              <w:rPr>
                <w:rFonts w:hint="eastAsia" w:ascii="宋体" w:hAnsi="宋体" w:cs="宋体"/>
                <w:sz w:val="18"/>
                <w:szCs w:val="18"/>
                <w:highlight w:val="none"/>
              </w:rPr>
            </w:pP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作业内容与证书项目不相符</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建立岗位责任制度</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日管控</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安全员</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7"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5</w:t>
            </w:r>
          </w:p>
        </w:tc>
        <w:tc>
          <w:tcPr>
            <w:tcW w:w="746" w:type="dxa"/>
            <w:vMerge w:val="restart"/>
            <w:noWrap w:val="0"/>
            <w:vAlign w:val="center"/>
          </w:tcPr>
          <w:p>
            <w:pPr>
              <w:spacing w:line="240" w:lineRule="auto"/>
              <w:jc w:val="center"/>
              <w:rPr>
                <w:rFonts w:hint="eastAsia" w:ascii="宋体" w:hAnsi="宋体" w:cs="宋体"/>
                <w:sz w:val="18"/>
                <w:szCs w:val="18"/>
                <w:highlight w:val="none"/>
              </w:rPr>
            </w:pPr>
            <w:r>
              <w:rPr>
                <w:rFonts w:hint="eastAsia" w:ascii="宋体" w:hAnsi="宋体" w:cs="宋体"/>
                <w:kern w:val="0"/>
                <w:sz w:val="18"/>
                <w:szCs w:val="18"/>
                <w:highlight w:val="none"/>
              </w:rPr>
              <w:t>管理</w:t>
            </w: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未按规定设置安全管理机构</w:t>
            </w:r>
          </w:p>
        </w:tc>
        <w:tc>
          <w:tcPr>
            <w:tcW w:w="3276" w:type="dxa"/>
            <w:noWrap w:val="0"/>
            <w:vAlign w:val="center"/>
          </w:tcPr>
          <w:p>
            <w:pPr>
              <w:pStyle w:val="234"/>
              <w:spacing w:line="240" w:lineRule="auto"/>
              <w:ind w:firstLine="0" w:firstLineChars="0"/>
              <w:rPr>
                <w:rFonts w:hint="eastAsia" w:ascii="宋体" w:hAnsi="宋体" w:cs="宋体"/>
                <w:sz w:val="18"/>
                <w:szCs w:val="18"/>
                <w:highlight w:val="none"/>
              </w:rPr>
            </w:pPr>
            <w:r>
              <w:rPr>
                <w:rFonts w:hint="eastAsia" w:ascii="宋体" w:hAnsi="宋体" w:cs="宋体"/>
                <w:sz w:val="18"/>
                <w:szCs w:val="18"/>
                <w:highlight w:val="none"/>
              </w:rPr>
              <w:t>根据使用的特种设备种类和数量，设置专门的安全管理机构</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月调度</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主要</w:t>
            </w:r>
          </w:p>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负责人</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6</w:t>
            </w:r>
          </w:p>
        </w:tc>
        <w:tc>
          <w:tcPr>
            <w:tcW w:w="746" w:type="dxa"/>
            <w:vMerge w:val="continue"/>
            <w:noWrap w:val="0"/>
            <w:vAlign w:val="center"/>
          </w:tcPr>
          <w:p>
            <w:pPr>
              <w:spacing w:line="240" w:lineRule="auto"/>
              <w:jc w:val="center"/>
              <w:rPr>
                <w:rFonts w:hint="eastAsia" w:ascii="宋体" w:hAnsi="宋体" w:cs="宋体"/>
                <w:kern w:val="0"/>
                <w:sz w:val="18"/>
                <w:szCs w:val="18"/>
                <w:highlight w:val="none"/>
              </w:rPr>
            </w:pP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未按有关规定制定操作规程或者未按规定执行操作规程</w:t>
            </w:r>
          </w:p>
        </w:tc>
        <w:tc>
          <w:tcPr>
            <w:tcW w:w="3276" w:type="dxa"/>
            <w:noWrap w:val="0"/>
            <w:vAlign w:val="center"/>
          </w:tcPr>
          <w:p>
            <w:pPr>
              <w:numPr>
                <w:ilvl w:val="0"/>
                <w:numId w:val="0"/>
              </w:numPr>
              <w:spacing w:line="240" w:lineRule="auto"/>
              <w:ind w:leftChars="0"/>
              <w:rPr>
                <w:rFonts w:hint="eastAsia" w:ascii="宋体" w:hAnsi="宋体" w:cs="宋体"/>
                <w:sz w:val="18"/>
                <w:szCs w:val="18"/>
                <w:highlight w:val="none"/>
              </w:rPr>
            </w:pPr>
            <w:r>
              <w:rPr>
                <w:rFonts w:hint="eastAsia" w:ascii="宋体" w:hAnsi="宋体" w:cs="宋体"/>
                <w:sz w:val="18"/>
                <w:szCs w:val="18"/>
                <w:highlight w:val="none"/>
                <w:lang w:val="en-US" w:eastAsia="zh-CN"/>
              </w:rPr>
              <w:t>1.</w:t>
            </w:r>
            <w:r>
              <w:rPr>
                <w:rFonts w:hint="eastAsia" w:ascii="宋体" w:hAnsi="宋体" w:cs="宋体"/>
                <w:sz w:val="18"/>
                <w:szCs w:val="18"/>
                <w:highlight w:val="none"/>
              </w:rPr>
              <w:t>制定大型游乐设施安全管理机构和相关人员岗位职责；</w:t>
            </w:r>
          </w:p>
          <w:p>
            <w:pPr>
              <w:numPr>
                <w:ilvl w:val="0"/>
                <w:numId w:val="0"/>
              </w:numPr>
              <w:spacing w:line="240" w:lineRule="auto"/>
              <w:ind w:leftChars="0"/>
              <w:rPr>
                <w:rFonts w:hint="eastAsia" w:ascii="宋体" w:hAnsi="宋体" w:cs="宋体"/>
                <w:sz w:val="18"/>
                <w:szCs w:val="18"/>
                <w:highlight w:val="none"/>
              </w:rPr>
            </w:pPr>
            <w:r>
              <w:rPr>
                <w:rFonts w:hint="eastAsia" w:ascii="宋体" w:hAnsi="宋体" w:cs="宋体"/>
                <w:sz w:val="18"/>
                <w:szCs w:val="18"/>
                <w:highlight w:val="none"/>
                <w:lang w:val="en-US" w:eastAsia="zh-CN"/>
              </w:rPr>
              <w:t>2.</w:t>
            </w:r>
            <w:r>
              <w:rPr>
                <w:rFonts w:hint="eastAsia" w:ascii="宋体" w:hAnsi="宋体" w:cs="宋体"/>
                <w:sz w:val="18"/>
                <w:szCs w:val="18"/>
                <w:highlight w:val="none"/>
              </w:rPr>
              <w:t>制定《大型游乐设施安全总监职责》《大型游乐设施安全员守则》《大型游乐设施安全日管控、周排查、月调度管理制度》</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周排查</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安全总监</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7"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7</w:t>
            </w:r>
          </w:p>
        </w:tc>
        <w:tc>
          <w:tcPr>
            <w:tcW w:w="746" w:type="dxa"/>
            <w:vMerge w:val="continue"/>
            <w:noWrap w:val="0"/>
            <w:vAlign w:val="center"/>
          </w:tcPr>
          <w:p>
            <w:pPr>
              <w:spacing w:line="240" w:lineRule="auto"/>
              <w:jc w:val="center"/>
              <w:rPr>
                <w:rFonts w:hint="eastAsia" w:ascii="宋体" w:hAnsi="宋体" w:cs="宋体"/>
                <w:sz w:val="18"/>
                <w:szCs w:val="18"/>
                <w:highlight w:val="none"/>
              </w:rPr>
            </w:pP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未建立安全技术档案</w:t>
            </w:r>
          </w:p>
        </w:tc>
        <w:tc>
          <w:tcPr>
            <w:tcW w:w="3276" w:type="dxa"/>
            <w:noWrap w:val="0"/>
            <w:vAlign w:val="center"/>
          </w:tcPr>
          <w:p>
            <w:pPr>
              <w:pStyle w:val="234"/>
              <w:spacing w:line="240" w:lineRule="auto"/>
              <w:ind w:firstLine="0" w:firstLineChars="0"/>
              <w:rPr>
                <w:rFonts w:hint="eastAsia" w:ascii="宋体" w:hAnsi="宋体" w:cs="宋体"/>
                <w:sz w:val="18"/>
                <w:szCs w:val="18"/>
                <w:highlight w:val="none"/>
              </w:rPr>
            </w:pPr>
            <w:r>
              <w:rPr>
                <w:rFonts w:hint="eastAsia" w:ascii="宋体" w:hAnsi="宋体" w:cs="宋体"/>
                <w:sz w:val="18"/>
                <w:szCs w:val="18"/>
                <w:highlight w:val="none"/>
              </w:rPr>
              <w:t>1.建立大型游乐设施安全技术档案管理制度，明确档案内容及管理要求；</w:t>
            </w:r>
          </w:p>
          <w:p>
            <w:pPr>
              <w:pStyle w:val="234"/>
              <w:spacing w:line="240" w:lineRule="auto"/>
              <w:ind w:firstLine="0" w:firstLineChars="0"/>
              <w:rPr>
                <w:rFonts w:hint="eastAsia" w:ascii="宋体" w:hAnsi="宋体" w:cs="宋体"/>
                <w:sz w:val="18"/>
                <w:szCs w:val="18"/>
                <w:highlight w:val="none"/>
              </w:rPr>
            </w:pPr>
            <w:r>
              <w:rPr>
                <w:rFonts w:hint="eastAsia" w:ascii="宋体" w:hAnsi="宋体" w:cs="宋体"/>
                <w:sz w:val="18"/>
                <w:szCs w:val="18"/>
                <w:highlight w:val="none"/>
              </w:rPr>
              <w:t>2.按规定逐台建立安全技术档案并及时更新安全技术档案</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周排查</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安全总监</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8</w:t>
            </w:r>
          </w:p>
        </w:tc>
        <w:tc>
          <w:tcPr>
            <w:tcW w:w="746" w:type="dxa"/>
            <w:vMerge w:val="continue"/>
            <w:noWrap w:val="0"/>
            <w:vAlign w:val="center"/>
          </w:tcPr>
          <w:p>
            <w:pPr>
              <w:spacing w:line="240" w:lineRule="auto"/>
              <w:jc w:val="center"/>
              <w:rPr>
                <w:rFonts w:hint="eastAsia" w:ascii="宋体" w:hAnsi="宋体" w:cs="宋体"/>
                <w:sz w:val="18"/>
                <w:szCs w:val="18"/>
                <w:highlight w:val="none"/>
              </w:rPr>
            </w:pP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未按规定办理使用登记、变更登记及停用、报废等手续</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1.建立使用管理制度和规程，明确相关内容及安全管理要求；</w:t>
            </w:r>
          </w:p>
          <w:p>
            <w:pPr>
              <w:spacing w:line="240" w:lineRule="auto"/>
              <w:rPr>
                <w:rFonts w:hint="eastAsia" w:ascii="宋体" w:hAnsi="宋体" w:cs="宋体"/>
                <w:sz w:val="18"/>
                <w:szCs w:val="18"/>
                <w:highlight w:val="none"/>
              </w:rPr>
            </w:pPr>
            <w:r>
              <w:rPr>
                <w:rFonts w:hint="eastAsia" w:ascii="宋体" w:hAnsi="宋体" w:cs="宋体"/>
                <w:sz w:val="18"/>
                <w:szCs w:val="18"/>
                <w:highlight w:val="none"/>
              </w:rPr>
              <w:t>2. 按规定办理使用登记、变更登记及停用、报废手续</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周排查</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安全总监</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3"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9</w:t>
            </w:r>
          </w:p>
        </w:tc>
        <w:tc>
          <w:tcPr>
            <w:tcW w:w="746" w:type="dxa"/>
            <w:vMerge w:val="continue"/>
            <w:noWrap w:val="0"/>
            <w:vAlign w:val="center"/>
          </w:tcPr>
          <w:p>
            <w:pPr>
              <w:spacing w:line="240" w:lineRule="auto"/>
              <w:jc w:val="center"/>
              <w:rPr>
                <w:rFonts w:hint="eastAsia" w:ascii="宋体" w:hAnsi="宋体" w:cs="宋体"/>
                <w:sz w:val="18"/>
                <w:szCs w:val="18"/>
                <w:highlight w:val="none"/>
              </w:rPr>
            </w:pP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未按规定制定大型游乐设施事故应急专项预案并定期演练</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制定大型游乐设施事故应急专项预案并每年至少开展1次演练</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月调度</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主要</w:t>
            </w:r>
          </w:p>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负责人</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10</w:t>
            </w:r>
          </w:p>
        </w:tc>
        <w:tc>
          <w:tcPr>
            <w:tcW w:w="746" w:type="dxa"/>
            <w:vMerge w:val="restart"/>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设备本体</w:t>
            </w: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未按要求使用符合要求的大型游乐设施或使用国家明令禁止的大型游乐设施</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建立采购管理制度，明确采购、验收要求</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月调度</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主要</w:t>
            </w:r>
          </w:p>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负责人</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9"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11</w:t>
            </w:r>
          </w:p>
        </w:tc>
        <w:tc>
          <w:tcPr>
            <w:tcW w:w="746" w:type="dxa"/>
            <w:vMerge w:val="continue"/>
            <w:noWrap w:val="0"/>
            <w:vAlign w:val="center"/>
          </w:tcPr>
          <w:p>
            <w:pPr>
              <w:spacing w:line="240" w:lineRule="auto"/>
              <w:jc w:val="center"/>
              <w:rPr>
                <w:rFonts w:hint="eastAsia" w:ascii="宋体" w:hAnsi="宋体" w:cs="宋体"/>
                <w:sz w:val="18"/>
                <w:szCs w:val="18"/>
                <w:highlight w:val="none"/>
              </w:rPr>
            </w:pP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未按规定进行维护保养和自行检查</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按规定制定维护保养制度和定期自行检查制度，组织开展维护保养和定期自行检查并做好相应记录</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日管控</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安全员</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2"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12</w:t>
            </w:r>
          </w:p>
        </w:tc>
        <w:tc>
          <w:tcPr>
            <w:tcW w:w="746" w:type="dxa"/>
            <w:vMerge w:val="continue"/>
            <w:noWrap w:val="0"/>
            <w:vAlign w:val="center"/>
          </w:tcPr>
          <w:p>
            <w:pPr>
              <w:spacing w:line="240" w:lineRule="auto"/>
              <w:jc w:val="center"/>
              <w:rPr>
                <w:rFonts w:hint="eastAsia" w:ascii="宋体" w:hAnsi="宋体" w:cs="宋体"/>
                <w:sz w:val="18"/>
                <w:szCs w:val="18"/>
                <w:highlight w:val="none"/>
              </w:rPr>
            </w:pP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 xml:space="preserve">未按规定进行定期检验、监督检验 </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制定定期检验、自行检测计划并组织实施，落实定期检验、自行检测的后续整改工作</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周排查</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安全总监</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13</w:t>
            </w:r>
          </w:p>
        </w:tc>
        <w:tc>
          <w:tcPr>
            <w:tcW w:w="746" w:type="dxa"/>
            <w:vMerge w:val="restart"/>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安全附件和</w:t>
            </w:r>
          </w:p>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安全保护装置</w:t>
            </w:r>
          </w:p>
        </w:tc>
        <w:tc>
          <w:tcPr>
            <w:tcW w:w="2147" w:type="dxa"/>
            <w:noWrap w:val="0"/>
            <w:vAlign w:val="center"/>
          </w:tcPr>
          <w:p>
            <w:pPr>
              <w:widowControl/>
              <w:spacing w:line="240" w:lineRule="auto"/>
              <w:jc w:val="left"/>
              <w:textAlignment w:val="center"/>
              <w:rPr>
                <w:rFonts w:hint="eastAsia" w:ascii="宋体" w:hAnsi="宋体" w:cs="宋体"/>
                <w:kern w:val="0"/>
                <w:sz w:val="18"/>
                <w:szCs w:val="18"/>
                <w:highlight w:val="none"/>
              </w:rPr>
            </w:pPr>
            <w:r>
              <w:rPr>
                <w:rFonts w:hint="eastAsia" w:ascii="宋体" w:hAnsi="宋体" w:cs="宋体"/>
                <w:kern w:val="0"/>
                <w:sz w:val="18"/>
                <w:szCs w:val="18"/>
                <w:highlight w:val="none"/>
              </w:rPr>
              <w:t>安全带、安全压杆等安全束缚装置失效</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每日检查</w:t>
            </w:r>
            <w:r>
              <w:rPr>
                <w:rFonts w:hint="eastAsia" w:ascii="宋体" w:hAnsi="宋体" w:cs="宋体"/>
                <w:kern w:val="0"/>
                <w:sz w:val="18"/>
                <w:szCs w:val="18"/>
                <w:highlight w:val="none"/>
              </w:rPr>
              <w:t>安全束缚装置</w:t>
            </w:r>
            <w:r>
              <w:rPr>
                <w:rFonts w:hint="eastAsia" w:ascii="宋体" w:hAnsi="宋体" w:cs="宋体"/>
                <w:sz w:val="18"/>
                <w:szCs w:val="18"/>
                <w:highlight w:val="none"/>
              </w:rPr>
              <w:t>情况</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日管控</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安全员</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5"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14</w:t>
            </w:r>
          </w:p>
        </w:tc>
        <w:tc>
          <w:tcPr>
            <w:tcW w:w="746" w:type="dxa"/>
            <w:vMerge w:val="continue"/>
            <w:noWrap w:val="0"/>
            <w:vAlign w:val="center"/>
          </w:tcPr>
          <w:p>
            <w:pPr>
              <w:spacing w:line="240" w:lineRule="auto"/>
              <w:jc w:val="center"/>
              <w:rPr>
                <w:rFonts w:hint="eastAsia" w:ascii="宋体" w:hAnsi="宋体" w:cs="宋体"/>
                <w:sz w:val="18"/>
                <w:szCs w:val="18"/>
                <w:highlight w:val="none"/>
              </w:rPr>
            </w:pPr>
          </w:p>
        </w:tc>
        <w:tc>
          <w:tcPr>
            <w:tcW w:w="2147" w:type="dxa"/>
            <w:noWrap w:val="0"/>
            <w:vAlign w:val="center"/>
          </w:tcPr>
          <w:p>
            <w:pPr>
              <w:widowControl/>
              <w:spacing w:line="240" w:lineRule="auto"/>
              <w:jc w:val="left"/>
              <w:textAlignment w:val="center"/>
              <w:rPr>
                <w:rFonts w:hint="eastAsia" w:ascii="宋体" w:hAnsi="宋体" w:cs="宋体"/>
                <w:sz w:val="18"/>
                <w:szCs w:val="18"/>
                <w:highlight w:val="none"/>
              </w:rPr>
            </w:pPr>
            <w:r>
              <w:rPr>
                <w:rFonts w:hint="eastAsia" w:ascii="宋体" w:hAnsi="宋体" w:cs="宋体"/>
                <w:kern w:val="0"/>
                <w:sz w:val="18"/>
                <w:szCs w:val="18"/>
                <w:highlight w:val="none"/>
              </w:rPr>
              <w:t>事故状态下座舱紧急降落装置故障或疏导乘客、救生措配备不足</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每日检查紧急降落装置等安全装置情况</w:t>
            </w:r>
          </w:p>
          <w:p>
            <w:pPr>
              <w:spacing w:line="240" w:lineRule="auto"/>
              <w:rPr>
                <w:rFonts w:hint="eastAsia" w:ascii="宋体" w:hAnsi="宋体" w:cs="宋体"/>
                <w:sz w:val="18"/>
                <w:szCs w:val="18"/>
                <w:highlight w:val="none"/>
              </w:rPr>
            </w:pP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日管控</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安全员</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8"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15</w:t>
            </w:r>
          </w:p>
        </w:tc>
        <w:tc>
          <w:tcPr>
            <w:tcW w:w="746" w:type="dxa"/>
            <w:vMerge w:val="continue"/>
            <w:noWrap w:val="0"/>
            <w:vAlign w:val="center"/>
          </w:tcPr>
          <w:p>
            <w:pPr>
              <w:spacing w:line="240" w:lineRule="auto"/>
              <w:jc w:val="center"/>
              <w:rPr>
                <w:rFonts w:hint="eastAsia" w:ascii="宋体" w:hAnsi="宋体" w:cs="宋体"/>
                <w:sz w:val="18"/>
                <w:szCs w:val="18"/>
                <w:highlight w:val="none"/>
              </w:rPr>
            </w:pP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kern w:val="0"/>
                <w:sz w:val="18"/>
                <w:szCs w:val="18"/>
                <w:highlight w:val="none"/>
              </w:rPr>
              <w:t>风速计故障及缺损，避雷装置缺损或接地电阻不符合规定</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每日检查风速仪、避雷装置等安全装置情况</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日管控</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安全员</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1"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16</w:t>
            </w:r>
          </w:p>
        </w:tc>
        <w:tc>
          <w:tcPr>
            <w:tcW w:w="746" w:type="dxa"/>
            <w:vMerge w:val="continue"/>
            <w:noWrap w:val="0"/>
            <w:vAlign w:val="center"/>
          </w:tcPr>
          <w:p>
            <w:pPr>
              <w:spacing w:line="240" w:lineRule="auto"/>
              <w:jc w:val="center"/>
              <w:rPr>
                <w:rFonts w:hint="eastAsia" w:ascii="宋体" w:hAnsi="宋体" w:cs="宋体"/>
                <w:sz w:val="18"/>
                <w:szCs w:val="18"/>
                <w:highlight w:val="none"/>
              </w:rPr>
            </w:pP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kern w:val="0"/>
                <w:sz w:val="18"/>
                <w:szCs w:val="18"/>
                <w:highlight w:val="none"/>
              </w:rPr>
              <w:t>安全标识缺损</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每日检查安全标示情况</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日管控</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安全员</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jc w:val="center"/>
        </w:trPr>
        <w:tc>
          <w:tcPr>
            <w:tcW w:w="670"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kern w:val="0"/>
                <w:sz w:val="18"/>
                <w:szCs w:val="18"/>
                <w:highlight w:val="none"/>
              </w:rPr>
              <w:t>17</w:t>
            </w:r>
          </w:p>
        </w:tc>
        <w:tc>
          <w:tcPr>
            <w:tcW w:w="746" w:type="dxa"/>
            <w:vMerge w:val="restart"/>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环境因素</w:t>
            </w: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大型游乐设施使用场所为易发生滑坡、泥石流等自然灾害的区域</w:t>
            </w:r>
          </w:p>
        </w:tc>
        <w:tc>
          <w:tcPr>
            <w:tcW w:w="3276" w:type="dxa"/>
            <w:noWrap w:val="0"/>
            <w:vAlign w:val="center"/>
          </w:tcPr>
          <w:p>
            <w:pPr>
              <w:numPr>
                <w:ilvl w:val="0"/>
                <w:numId w:val="36"/>
              </w:numPr>
              <w:spacing w:line="240" w:lineRule="auto"/>
              <w:ind w:firstLine="0"/>
              <w:rPr>
                <w:rFonts w:hint="eastAsia" w:ascii="宋体" w:hAnsi="宋体" w:cs="宋体"/>
                <w:sz w:val="18"/>
                <w:szCs w:val="18"/>
                <w:highlight w:val="none"/>
              </w:rPr>
            </w:pPr>
            <w:r>
              <w:rPr>
                <w:rFonts w:hint="eastAsia" w:ascii="宋体" w:hAnsi="宋体" w:cs="宋体"/>
                <w:sz w:val="18"/>
                <w:szCs w:val="18"/>
                <w:highlight w:val="none"/>
              </w:rPr>
              <w:t>检查大型游乐设施的场地是否在易发生自然灾害的场所；</w:t>
            </w:r>
          </w:p>
          <w:p>
            <w:pPr>
              <w:numPr>
                <w:ilvl w:val="0"/>
                <w:numId w:val="36"/>
              </w:numPr>
              <w:spacing w:line="240" w:lineRule="auto"/>
              <w:ind w:firstLine="0"/>
              <w:rPr>
                <w:rFonts w:hint="eastAsia" w:ascii="宋体" w:hAnsi="宋体" w:cs="宋体"/>
                <w:sz w:val="18"/>
                <w:szCs w:val="18"/>
                <w:highlight w:val="none"/>
              </w:rPr>
            </w:pPr>
            <w:r>
              <w:rPr>
                <w:rFonts w:hint="eastAsia" w:ascii="宋体" w:hAnsi="宋体" w:cs="宋体"/>
                <w:sz w:val="18"/>
                <w:szCs w:val="18"/>
                <w:highlight w:val="none"/>
              </w:rPr>
              <w:t>关注气象预报，及时采取防范措施</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周排查</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安全总监</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9" w:hRule="atLeast"/>
          <w:jc w:val="center"/>
        </w:trPr>
        <w:tc>
          <w:tcPr>
            <w:tcW w:w="670" w:type="dxa"/>
            <w:noWrap w:val="0"/>
            <w:vAlign w:val="center"/>
          </w:tcPr>
          <w:p>
            <w:pPr>
              <w:widowControl/>
              <w:spacing w:line="240" w:lineRule="auto"/>
              <w:ind w:firstLine="18" w:firstLineChars="10"/>
              <w:jc w:val="center"/>
              <w:rPr>
                <w:rFonts w:hint="eastAsia" w:ascii="宋体" w:hAnsi="宋体" w:cs="宋体"/>
                <w:kern w:val="0"/>
                <w:sz w:val="18"/>
                <w:szCs w:val="18"/>
                <w:highlight w:val="none"/>
              </w:rPr>
            </w:pPr>
            <w:r>
              <w:rPr>
                <w:rFonts w:hint="eastAsia" w:ascii="宋体" w:hAnsi="宋体" w:cs="宋体"/>
                <w:kern w:val="0"/>
                <w:sz w:val="18"/>
                <w:szCs w:val="18"/>
                <w:highlight w:val="none"/>
              </w:rPr>
              <w:t>18</w:t>
            </w:r>
          </w:p>
        </w:tc>
        <w:tc>
          <w:tcPr>
            <w:tcW w:w="746" w:type="dxa"/>
            <w:vMerge w:val="continue"/>
            <w:noWrap w:val="0"/>
            <w:vAlign w:val="center"/>
          </w:tcPr>
          <w:p>
            <w:pPr>
              <w:widowControl/>
              <w:spacing w:line="240" w:lineRule="auto"/>
              <w:jc w:val="center"/>
              <w:rPr>
                <w:rFonts w:hint="eastAsia" w:ascii="宋体" w:hAnsi="宋体" w:cs="宋体"/>
                <w:sz w:val="18"/>
                <w:szCs w:val="18"/>
                <w:highlight w:val="none"/>
              </w:rPr>
            </w:pP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大型游乐设施未按有关规定设置警示标志或说明</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每日检查安全警示标志的张贴情况</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日管控</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安全员</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9" w:hRule="atLeast"/>
          <w:jc w:val="center"/>
        </w:trPr>
        <w:tc>
          <w:tcPr>
            <w:tcW w:w="670" w:type="dxa"/>
            <w:noWrap w:val="0"/>
            <w:vAlign w:val="center"/>
          </w:tcPr>
          <w:p>
            <w:pPr>
              <w:widowControl/>
              <w:spacing w:line="240" w:lineRule="auto"/>
              <w:ind w:firstLine="18" w:firstLineChars="10"/>
              <w:jc w:val="center"/>
              <w:rPr>
                <w:rFonts w:hint="eastAsia" w:ascii="宋体" w:hAnsi="宋体" w:cs="宋体"/>
                <w:kern w:val="0"/>
                <w:sz w:val="18"/>
                <w:szCs w:val="18"/>
                <w:highlight w:val="none"/>
              </w:rPr>
            </w:pPr>
            <w:r>
              <w:rPr>
                <w:rFonts w:hint="eastAsia" w:ascii="宋体" w:hAnsi="宋体" w:cs="宋体"/>
                <w:kern w:val="0"/>
                <w:sz w:val="18"/>
                <w:szCs w:val="18"/>
                <w:highlight w:val="none"/>
              </w:rPr>
              <w:t>19</w:t>
            </w:r>
          </w:p>
        </w:tc>
        <w:tc>
          <w:tcPr>
            <w:tcW w:w="746" w:type="dxa"/>
            <w:vMerge w:val="continue"/>
            <w:noWrap w:val="0"/>
            <w:vAlign w:val="center"/>
          </w:tcPr>
          <w:p>
            <w:pPr>
              <w:widowControl/>
              <w:spacing w:line="240" w:lineRule="auto"/>
              <w:jc w:val="center"/>
              <w:rPr>
                <w:rFonts w:hint="eastAsia" w:ascii="宋体" w:hAnsi="宋体" w:cs="宋体"/>
                <w:sz w:val="18"/>
                <w:szCs w:val="18"/>
                <w:highlight w:val="none"/>
              </w:rPr>
            </w:pP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大型游乐设施运行存在不符合安全距离等要求的情况</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检查大型游乐设施与周边建筑物等设施设备保持安全距离</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日管控</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安全员</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9" w:hRule="atLeast"/>
          <w:jc w:val="center"/>
        </w:trPr>
        <w:tc>
          <w:tcPr>
            <w:tcW w:w="670" w:type="dxa"/>
            <w:noWrap w:val="0"/>
            <w:vAlign w:val="center"/>
          </w:tcPr>
          <w:p>
            <w:pPr>
              <w:widowControl/>
              <w:spacing w:line="240" w:lineRule="auto"/>
              <w:ind w:firstLine="18" w:firstLineChars="10"/>
              <w:jc w:val="center"/>
              <w:rPr>
                <w:rFonts w:hint="eastAsia" w:ascii="宋体" w:hAnsi="宋体" w:cs="宋体"/>
                <w:kern w:val="0"/>
                <w:sz w:val="18"/>
                <w:szCs w:val="18"/>
                <w:highlight w:val="none"/>
              </w:rPr>
            </w:pPr>
            <w:r>
              <w:rPr>
                <w:rFonts w:hint="eastAsia" w:ascii="宋体" w:hAnsi="宋体" w:cs="宋体"/>
                <w:kern w:val="0"/>
                <w:sz w:val="18"/>
                <w:szCs w:val="18"/>
                <w:highlight w:val="none"/>
              </w:rPr>
              <w:t>20</w:t>
            </w:r>
          </w:p>
        </w:tc>
        <w:tc>
          <w:tcPr>
            <w:tcW w:w="746" w:type="dxa"/>
            <w:noWrap w:val="0"/>
            <w:vAlign w:val="center"/>
          </w:tcPr>
          <w:p>
            <w:pPr>
              <w:widowControl/>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政府监督、通报、预警</w:t>
            </w: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发现不合格项</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记录，整改</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月调度</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主要</w:t>
            </w:r>
          </w:p>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负责人</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9" w:hRule="atLeast"/>
          <w:jc w:val="center"/>
        </w:trPr>
        <w:tc>
          <w:tcPr>
            <w:tcW w:w="670" w:type="dxa"/>
            <w:noWrap w:val="0"/>
            <w:vAlign w:val="center"/>
          </w:tcPr>
          <w:p>
            <w:pPr>
              <w:widowControl/>
              <w:spacing w:line="240" w:lineRule="auto"/>
              <w:ind w:firstLine="18" w:firstLineChars="10"/>
              <w:jc w:val="center"/>
              <w:rPr>
                <w:rFonts w:hint="eastAsia" w:ascii="宋体" w:hAnsi="宋体" w:cs="宋体"/>
                <w:kern w:val="0"/>
                <w:sz w:val="18"/>
                <w:szCs w:val="18"/>
                <w:highlight w:val="none"/>
              </w:rPr>
            </w:pPr>
            <w:r>
              <w:rPr>
                <w:rFonts w:hint="eastAsia" w:ascii="宋体" w:hAnsi="宋体" w:cs="宋体"/>
                <w:kern w:val="0"/>
                <w:sz w:val="18"/>
                <w:szCs w:val="18"/>
                <w:highlight w:val="none"/>
              </w:rPr>
              <w:t>21</w:t>
            </w:r>
          </w:p>
        </w:tc>
        <w:tc>
          <w:tcPr>
            <w:tcW w:w="746" w:type="dxa"/>
            <w:noWrap w:val="0"/>
            <w:vAlign w:val="center"/>
          </w:tcPr>
          <w:p>
            <w:pPr>
              <w:widowControl/>
              <w:spacing w:line="240" w:lineRule="auto"/>
              <w:jc w:val="center"/>
              <w:rPr>
                <w:rFonts w:hint="eastAsia" w:ascii="宋体" w:hAnsi="宋体" w:cs="宋体"/>
                <w:kern w:val="0"/>
                <w:sz w:val="18"/>
                <w:szCs w:val="18"/>
                <w:highlight w:val="none"/>
              </w:rPr>
            </w:pPr>
            <w:r>
              <w:rPr>
                <w:rFonts w:hint="eastAsia" w:ascii="宋体" w:hAnsi="宋体" w:cs="宋体"/>
                <w:sz w:val="18"/>
                <w:szCs w:val="18"/>
                <w:highlight w:val="none"/>
              </w:rPr>
              <w:t>投诉举报</w:t>
            </w: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发现不合格项</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记录，整改，消除安全隐患</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月调度</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主要</w:t>
            </w:r>
          </w:p>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负责人</w:t>
            </w:r>
          </w:p>
        </w:tc>
        <w:tc>
          <w:tcPr>
            <w:tcW w:w="621" w:type="dxa"/>
            <w:noWrap w:val="0"/>
            <w:vAlign w:val="top"/>
          </w:tcPr>
          <w:p>
            <w:pPr>
              <w:spacing w:line="240" w:lineRule="auto"/>
              <w:rPr>
                <w:rFonts w:hint="eastAsia" w:ascii="宋体" w:hAnsi="宋体" w:cs="宋体"/>
                <w:sz w:val="18"/>
                <w:szCs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3" w:hRule="atLeast"/>
          <w:jc w:val="center"/>
        </w:trPr>
        <w:tc>
          <w:tcPr>
            <w:tcW w:w="670" w:type="dxa"/>
            <w:noWrap w:val="0"/>
            <w:vAlign w:val="center"/>
          </w:tcPr>
          <w:p>
            <w:pPr>
              <w:widowControl/>
              <w:spacing w:line="240" w:lineRule="auto"/>
              <w:ind w:firstLine="18" w:firstLineChars="10"/>
              <w:jc w:val="center"/>
              <w:rPr>
                <w:rFonts w:hint="eastAsia" w:ascii="宋体" w:hAnsi="宋体" w:cs="宋体"/>
                <w:kern w:val="0"/>
                <w:sz w:val="18"/>
                <w:szCs w:val="18"/>
                <w:highlight w:val="none"/>
              </w:rPr>
            </w:pPr>
            <w:r>
              <w:rPr>
                <w:rFonts w:hint="eastAsia" w:ascii="宋体" w:hAnsi="宋体" w:cs="宋体"/>
                <w:kern w:val="0"/>
                <w:sz w:val="18"/>
                <w:szCs w:val="18"/>
                <w:highlight w:val="none"/>
              </w:rPr>
              <w:t>22</w:t>
            </w:r>
          </w:p>
        </w:tc>
        <w:tc>
          <w:tcPr>
            <w:tcW w:w="74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舆情信息</w:t>
            </w:r>
          </w:p>
        </w:tc>
        <w:tc>
          <w:tcPr>
            <w:tcW w:w="2147"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发现不合格项</w:t>
            </w:r>
          </w:p>
        </w:tc>
        <w:tc>
          <w:tcPr>
            <w:tcW w:w="3276" w:type="dxa"/>
            <w:noWrap w:val="0"/>
            <w:vAlign w:val="center"/>
          </w:tcPr>
          <w:p>
            <w:pPr>
              <w:spacing w:line="240" w:lineRule="auto"/>
              <w:rPr>
                <w:rFonts w:hint="eastAsia" w:ascii="宋体" w:hAnsi="宋体" w:cs="宋体"/>
                <w:sz w:val="18"/>
                <w:szCs w:val="18"/>
                <w:highlight w:val="none"/>
              </w:rPr>
            </w:pPr>
            <w:r>
              <w:rPr>
                <w:rFonts w:hint="eastAsia" w:ascii="宋体" w:hAnsi="宋体" w:cs="宋体"/>
                <w:sz w:val="18"/>
                <w:szCs w:val="18"/>
                <w:highlight w:val="none"/>
              </w:rPr>
              <w:t>记录，整改</w:t>
            </w:r>
          </w:p>
        </w:tc>
        <w:tc>
          <w:tcPr>
            <w:tcW w:w="894"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月调度</w:t>
            </w:r>
          </w:p>
        </w:tc>
        <w:tc>
          <w:tcPr>
            <w:tcW w:w="1216" w:type="dxa"/>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主要</w:t>
            </w:r>
          </w:p>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负责人</w:t>
            </w:r>
          </w:p>
        </w:tc>
        <w:tc>
          <w:tcPr>
            <w:tcW w:w="621" w:type="dxa"/>
            <w:noWrap w:val="0"/>
            <w:vAlign w:val="top"/>
          </w:tcPr>
          <w:p>
            <w:pPr>
              <w:spacing w:line="240" w:lineRule="auto"/>
              <w:rPr>
                <w:rFonts w:hint="eastAsia" w:ascii="宋体" w:hAnsi="宋体" w:cs="宋体"/>
                <w:sz w:val="18"/>
                <w:szCs w:val="18"/>
                <w:highlight w:val="none"/>
              </w:rPr>
            </w:pPr>
          </w:p>
        </w:tc>
      </w:tr>
    </w:tbl>
    <w:p>
      <w:pPr>
        <w:widowControl/>
        <w:spacing w:line="240" w:lineRule="auto"/>
        <w:rPr>
          <w:rFonts w:hint="eastAsia" w:ascii="宋体" w:hAnsi="宋体" w:cs="宋体"/>
          <w:bCs/>
          <w:color w:val="000000"/>
          <w:sz w:val="18"/>
          <w:szCs w:val="18"/>
          <w:highlight w:val="none"/>
        </w:rPr>
      </w:pPr>
      <w:r>
        <w:rPr>
          <w:rFonts w:hint="eastAsia" w:ascii="宋体" w:hAnsi="宋体" w:cs="宋体"/>
          <w:bCs/>
          <w:color w:val="000000"/>
          <w:sz w:val="18"/>
          <w:szCs w:val="18"/>
          <w:highlight w:val="none"/>
        </w:rPr>
        <w:t>注</w:t>
      </w:r>
      <w:r>
        <w:rPr>
          <w:rFonts w:hint="eastAsia" w:ascii="宋体" w:hAnsi="宋体" w:cs="宋体"/>
          <w:bCs/>
          <w:color w:val="000000"/>
          <w:kern w:val="0"/>
          <w:sz w:val="18"/>
          <w:szCs w:val="18"/>
          <w:highlight w:val="none"/>
        </w:rPr>
        <w:t>：</w:t>
      </w:r>
      <w:r>
        <w:rPr>
          <w:rFonts w:hint="eastAsia" w:ascii="宋体" w:hAnsi="宋体" w:cs="宋体"/>
          <w:bCs/>
          <w:color w:val="000000"/>
          <w:sz w:val="18"/>
          <w:szCs w:val="18"/>
          <w:highlight w:val="none"/>
        </w:rPr>
        <w:t>本清单为推荐性格式，仅规定了应当进行日管控、周排查、月调度的基本项目，大型游乐设施运营使用单位应当结合本单位实际情况和具体要求，细化风险管控清单，合理调整管控形式。</w:t>
      </w:r>
    </w:p>
    <w:p>
      <w:pPr>
        <w:pStyle w:val="2"/>
        <w:ind w:left="0" w:leftChars="0" w:firstLine="0" w:firstLineChars="0"/>
        <w:rPr>
          <w:rFonts w:hint="eastAsia" w:ascii="宋体" w:hAnsi="宋体" w:cs="宋体"/>
          <w:bCs/>
          <w:color w:val="000000"/>
          <w:sz w:val="18"/>
          <w:szCs w:val="18"/>
          <w:highlight w:val="none"/>
        </w:rPr>
      </w:pPr>
    </w:p>
    <w:p>
      <w:pPr>
        <w:topLinePunct/>
        <w:snapToGrid w:val="0"/>
        <w:spacing w:line="240" w:lineRule="auto"/>
        <w:jc w:val="center"/>
        <w:rPr>
          <w:rFonts w:hint="eastAsia" w:ascii="黑体" w:hAnsi="黑体" w:eastAsia="黑体" w:cs="黑体"/>
          <w:color w:val="000000"/>
          <w:highlight w:val="none"/>
        </w:rPr>
      </w:pPr>
      <w:r>
        <w:rPr>
          <w:rFonts w:hint="eastAsia" w:ascii="黑体" w:hAnsi="黑体" w:eastAsia="黑体" w:cs="黑体"/>
          <w:color w:val="000000"/>
          <w:highlight w:val="none"/>
        </w:rPr>
        <w:tab/>
      </w:r>
    </w:p>
    <w:p>
      <w:pPr>
        <w:topLinePunct/>
        <w:snapToGrid w:val="0"/>
        <w:spacing w:line="240" w:lineRule="auto"/>
        <w:jc w:val="center"/>
        <w:rPr>
          <w:rFonts w:hint="eastAsia" w:ascii="黑体" w:hAnsi="黑体" w:eastAsia="黑体" w:cs="黑体"/>
          <w:color w:val="000000"/>
          <w:highlight w:val="none"/>
        </w:rPr>
      </w:pPr>
      <w:r>
        <w:rPr>
          <w:rFonts w:hint="eastAsia" w:ascii="黑体" w:hAnsi="黑体" w:eastAsia="黑体" w:cs="黑体"/>
          <w:color w:val="000000"/>
          <w:highlight w:val="none"/>
        </w:rPr>
        <w:t>表E.2 每日大型游乐设施安全检查记录</w:t>
      </w:r>
    </w:p>
    <w:p>
      <w:pPr>
        <w:pStyle w:val="2"/>
        <w:ind w:firstLine="320"/>
        <w:rPr>
          <w:rFonts w:hint="eastAsia"/>
          <w:highlight w:val="none"/>
        </w:rPr>
      </w:pPr>
    </w:p>
    <w:p>
      <w:pPr>
        <w:spacing w:line="240" w:lineRule="auto"/>
        <w:ind w:firstLine="420" w:firstLineChars="200"/>
        <w:jc w:val="left"/>
        <w:rPr>
          <w:rFonts w:hint="eastAsia" w:ascii="宋体" w:hAnsi="宋体" w:cs="宋体"/>
          <w:highlight w:val="none"/>
        </w:rPr>
      </w:pPr>
      <w:r>
        <w:rPr>
          <w:rFonts w:hint="eastAsia" w:ascii="宋体" w:hAnsi="宋体" w:cs="宋体"/>
          <w:highlight w:val="none"/>
        </w:rPr>
        <w:t>检查日期：         年    月    日</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657"/>
        <w:gridCol w:w="2576"/>
        <w:gridCol w:w="1431"/>
        <w:gridCol w:w="1367"/>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序号</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检查项目</w:t>
            </w:r>
          </w:p>
        </w:tc>
        <w:tc>
          <w:tcPr>
            <w:tcW w:w="257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检查内容</w:t>
            </w:r>
          </w:p>
        </w:tc>
        <w:tc>
          <w:tcPr>
            <w:tcW w:w="143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检查结果</w:t>
            </w:r>
          </w:p>
        </w:tc>
        <w:tc>
          <w:tcPr>
            <w:tcW w:w="13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处理结果</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1</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人员</w:t>
            </w:r>
          </w:p>
        </w:tc>
        <w:tc>
          <w:tcPr>
            <w:tcW w:w="257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宋体" w:hAnsi="宋体" w:cs="宋体"/>
                <w:bCs/>
                <w:sz w:val="18"/>
                <w:szCs w:val="18"/>
                <w:highlight w:val="none"/>
              </w:rPr>
            </w:pPr>
          </w:p>
        </w:tc>
        <w:tc>
          <w:tcPr>
            <w:tcW w:w="143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3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bCs/>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2</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管理</w:t>
            </w:r>
          </w:p>
        </w:tc>
        <w:tc>
          <w:tcPr>
            <w:tcW w:w="257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宋体" w:hAnsi="宋体" w:cs="宋体"/>
                <w:bCs/>
                <w:sz w:val="18"/>
                <w:szCs w:val="18"/>
                <w:highlight w:val="none"/>
              </w:rPr>
            </w:pPr>
          </w:p>
        </w:tc>
        <w:tc>
          <w:tcPr>
            <w:tcW w:w="143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3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bCs/>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3</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设备本体</w:t>
            </w:r>
          </w:p>
        </w:tc>
        <w:tc>
          <w:tcPr>
            <w:tcW w:w="257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宋体" w:hAnsi="宋体" w:cs="宋体"/>
                <w:bCs/>
                <w:sz w:val="18"/>
                <w:szCs w:val="18"/>
                <w:highlight w:val="none"/>
              </w:rPr>
            </w:pPr>
          </w:p>
        </w:tc>
        <w:tc>
          <w:tcPr>
            <w:tcW w:w="143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3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bCs/>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4</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安全附件或安全保护装置</w:t>
            </w:r>
          </w:p>
        </w:tc>
        <w:tc>
          <w:tcPr>
            <w:tcW w:w="257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43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3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bCs/>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5</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环境</w:t>
            </w:r>
          </w:p>
        </w:tc>
        <w:tc>
          <w:tcPr>
            <w:tcW w:w="257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43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3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bCs/>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6</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政府监督、通报、预警</w:t>
            </w:r>
          </w:p>
        </w:tc>
        <w:tc>
          <w:tcPr>
            <w:tcW w:w="257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43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3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bCs/>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7</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投诉举报</w:t>
            </w:r>
          </w:p>
        </w:tc>
        <w:tc>
          <w:tcPr>
            <w:tcW w:w="257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43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3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bCs/>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8</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舆情信息</w:t>
            </w:r>
          </w:p>
        </w:tc>
        <w:tc>
          <w:tcPr>
            <w:tcW w:w="257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43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3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bCs/>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r>
              <w:rPr>
                <w:rFonts w:hint="eastAsia" w:ascii="宋体" w:hAnsi="宋体" w:cs="宋体"/>
                <w:bCs/>
                <w:sz w:val="18"/>
                <w:szCs w:val="18"/>
                <w:highlight w:val="none"/>
              </w:rPr>
              <w:t>9</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sz w:val="18"/>
                <w:szCs w:val="18"/>
                <w:highlight w:val="none"/>
              </w:rPr>
            </w:pPr>
            <w:r>
              <w:rPr>
                <w:rFonts w:hint="eastAsia" w:ascii="宋体" w:hAnsi="宋体" w:cs="宋体"/>
                <w:sz w:val="18"/>
                <w:szCs w:val="18"/>
                <w:highlight w:val="none"/>
              </w:rPr>
              <w:t>其他</w:t>
            </w:r>
          </w:p>
        </w:tc>
        <w:tc>
          <w:tcPr>
            <w:tcW w:w="2576"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431"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3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Cs/>
                <w:sz w:val="18"/>
                <w:szCs w:val="18"/>
                <w:highlight w:val="none"/>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b/>
                <w:bCs/>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2" w:hRule="atLeast"/>
          <w:jc w:val="center"/>
        </w:trPr>
        <w:tc>
          <w:tcPr>
            <w:tcW w:w="8937" w:type="dxa"/>
            <w:gridSpan w:val="6"/>
            <w:noWrap w:val="0"/>
            <w:vAlign w:val="center"/>
          </w:tcPr>
          <w:p>
            <w:pPr>
              <w:spacing w:line="240" w:lineRule="auto"/>
              <w:jc w:val="left"/>
              <w:rPr>
                <w:rFonts w:hint="eastAsia" w:ascii="宋体" w:hAnsi="宋体" w:cs="宋体"/>
                <w:sz w:val="18"/>
                <w:szCs w:val="18"/>
                <w:highlight w:val="none"/>
              </w:rPr>
            </w:pPr>
            <w:r>
              <w:rPr>
                <w:rFonts w:hint="eastAsia" w:ascii="宋体" w:hAnsi="宋体" w:cs="宋体"/>
                <w:sz w:val="18"/>
                <w:szCs w:val="18"/>
                <w:highlight w:val="none"/>
              </w:rPr>
              <w:t>采取的防范措施：</w:t>
            </w:r>
          </w:p>
          <w:p>
            <w:pPr>
              <w:spacing w:line="240" w:lineRule="auto"/>
              <w:rPr>
                <w:rFonts w:hint="eastAsia" w:ascii="宋体" w:hAnsi="宋体" w:cs="宋体"/>
                <w:sz w:val="18"/>
                <w:szCs w:val="18"/>
                <w:highlight w:val="none"/>
              </w:rPr>
            </w:pPr>
          </w:p>
          <w:p>
            <w:pPr>
              <w:spacing w:line="240" w:lineRule="auto"/>
              <w:ind w:firstLine="630" w:firstLineChars="350"/>
              <w:rPr>
                <w:rFonts w:ascii="宋体" w:hAnsi="宋体" w:cs="宋体"/>
                <w:sz w:val="18"/>
                <w:szCs w:val="18"/>
                <w:highlight w:val="none"/>
              </w:rPr>
            </w:pPr>
            <w:r>
              <w:rPr>
                <w:rFonts w:hint="eastAsia" w:ascii="宋体" w:hAnsi="宋体" w:cs="宋体"/>
                <w:bCs/>
                <w:sz w:val="18"/>
                <w:szCs w:val="18"/>
                <w:highlight w:val="none"/>
              </w:rPr>
              <w:t xml:space="preserve">安全员：                           </w:t>
            </w:r>
          </w:p>
        </w:tc>
      </w:tr>
    </w:tbl>
    <w:p>
      <w:pPr>
        <w:spacing w:line="240" w:lineRule="auto"/>
        <w:rPr>
          <w:rFonts w:hint="eastAsia" w:ascii="宋体" w:hAnsi="宋体" w:cs="宋体"/>
          <w:bCs/>
          <w:sz w:val="18"/>
          <w:szCs w:val="18"/>
          <w:highlight w:val="none"/>
        </w:rPr>
      </w:pPr>
      <w:r>
        <w:rPr>
          <w:rFonts w:hint="eastAsia" w:ascii="宋体" w:hAnsi="宋体" w:cs="宋体"/>
          <w:bCs/>
          <w:sz w:val="18"/>
          <w:szCs w:val="18"/>
          <w:highlight w:val="none"/>
        </w:rPr>
        <w:t>注：1.以上检查结果合格直接打“√”，若有不合格则在“检查结果”栏内填写不合格具体情况，同时填写处理结果。</w:t>
      </w:r>
    </w:p>
    <w:p>
      <w:pPr>
        <w:pStyle w:val="2"/>
        <w:spacing w:line="240" w:lineRule="auto"/>
        <w:ind w:firstLine="0" w:firstLineChars="0"/>
        <w:rPr>
          <w:rFonts w:hint="eastAsia" w:ascii="宋体" w:hAnsi="宋体"/>
          <w:color w:val="000000"/>
          <w:sz w:val="21"/>
          <w:szCs w:val="21"/>
          <w:highlight w:val="none"/>
        </w:rPr>
      </w:pPr>
      <w:r>
        <w:rPr>
          <w:rFonts w:hint="eastAsia" w:ascii="宋体" w:hAnsi="宋体"/>
          <w:bCs/>
          <w:sz w:val="18"/>
          <w:szCs w:val="18"/>
          <w:highlight w:val="none"/>
        </w:rPr>
        <w:t>2.大型游乐设施运营使用单位结合本单位设备实际情况，参照《大型游乐设施安全风险管控清单》，调整检查项目，细化检查内容。</w:t>
      </w:r>
    </w:p>
    <w:p>
      <w:pPr>
        <w:spacing w:line="560" w:lineRule="exact"/>
        <w:jc w:val="center"/>
        <w:outlineLvl w:val="0"/>
        <w:rPr>
          <w:rFonts w:hint="eastAsia" w:ascii="黑体" w:hAnsi="黑体" w:eastAsia="黑体" w:cs="黑体"/>
          <w:color w:val="000000"/>
          <w:highlight w:val="none"/>
        </w:rPr>
      </w:pPr>
    </w:p>
    <w:p>
      <w:pPr>
        <w:spacing w:line="560" w:lineRule="exact"/>
        <w:jc w:val="center"/>
        <w:outlineLvl w:val="0"/>
        <w:rPr>
          <w:rFonts w:hint="eastAsia" w:ascii="宋体" w:hAnsi="宋体" w:cs="宋体"/>
          <w:highlight w:val="none"/>
        </w:rPr>
      </w:pPr>
      <w:r>
        <w:rPr>
          <w:rFonts w:hint="eastAsia" w:ascii="黑体" w:hAnsi="黑体" w:eastAsia="黑体" w:cs="黑体"/>
          <w:color w:val="000000"/>
          <w:highlight w:val="none"/>
        </w:rPr>
        <w:t>E.3 每周大型游乐设施安全排查报告</w:t>
      </w:r>
    </w:p>
    <w:p>
      <w:pPr>
        <w:pStyle w:val="235"/>
        <w:ind w:firstLine="420" w:firstLineChars="200"/>
        <w:jc w:val="center"/>
        <w:rPr>
          <w:rFonts w:hint="eastAsia" w:ascii="宋体" w:hAnsi="宋体" w:cs="宋体"/>
          <w:sz w:val="21"/>
          <w:szCs w:val="21"/>
          <w:highlight w:val="none"/>
        </w:rPr>
      </w:pPr>
    </w:p>
    <w:p>
      <w:pPr>
        <w:pStyle w:val="235"/>
        <w:ind w:firstLine="420" w:firstLineChars="200"/>
        <w:rPr>
          <w:rFonts w:hint="eastAsia" w:ascii="宋体" w:hAnsi="宋体" w:cs="宋体"/>
          <w:sz w:val="21"/>
          <w:szCs w:val="21"/>
          <w:highlight w:val="none"/>
        </w:rPr>
      </w:pPr>
      <w:r>
        <w:rPr>
          <w:rFonts w:hint="eastAsia" w:ascii="宋体" w:hAnsi="宋体" w:cs="宋体"/>
          <w:sz w:val="21"/>
          <w:szCs w:val="21"/>
          <w:highlight w:val="none"/>
        </w:rPr>
        <w:t>日期:        年    月   日                             第    周</w:t>
      </w:r>
    </w:p>
    <w:p>
      <w:pPr>
        <w:pStyle w:val="235"/>
        <w:rPr>
          <w:rFonts w:hint="eastAsia" w:ascii="宋体" w:hAnsi="宋体" w:cs="宋体"/>
          <w:sz w:val="21"/>
          <w:szCs w:val="21"/>
          <w:highlight w:val="none"/>
        </w:rPr>
      </w:pPr>
    </w:p>
    <w:tbl>
      <w:tblPr>
        <w:tblStyle w:val="28"/>
        <w:tblW w:w="0" w:type="auto"/>
        <w:tblInd w:w="1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9"/>
        <w:gridCol w:w="6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atLeast"/>
        </w:trPr>
        <w:tc>
          <w:tcPr>
            <w:tcW w:w="2439" w:type="dxa"/>
            <w:noWrap w:val="0"/>
            <w:vAlign w:val="center"/>
          </w:tcPr>
          <w:p>
            <w:pPr>
              <w:widowControl/>
              <w:spacing w:line="320" w:lineRule="exact"/>
              <w:jc w:val="center"/>
              <w:textAlignment w:val="center"/>
              <w:rPr>
                <w:rFonts w:hint="eastAsia" w:ascii="宋体" w:hAnsi="宋体" w:cs="宋体"/>
                <w:sz w:val="18"/>
                <w:szCs w:val="18"/>
                <w:highlight w:val="none"/>
              </w:rPr>
            </w:pPr>
            <w:r>
              <w:rPr>
                <w:rFonts w:hint="eastAsia" w:ascii="宋体" w:hAnsi="宋体" w:cs="宋体"/>
                <w:sz w:val="18"/>
                <w:szCs w:val="18"/>
                <w:highlight w:val="none"/>
              </w:rPr>
              <w:t>上周安全风险隐患问题整改核实情况</w:t>
            </w:r>
          </w:p>
        </w:tc>
        <w:tc>
          <w:tcPr>
            <w:tcW w:w="6734" w:type="dxa"/>
            <w:noWrap w:val="0"/>
            <w:vAlign w:val="center"/>
          </w:tcPr>
          <w:p>
            <w:pPr>
              <w:spacing w:line="320" w:lineRule="exact"/>
              <w:jc w:val="center"/>
              <w:rPr>
                <w:rFonts w:hint="eastAsia" w:ascii="宋体" w:hAnsi="宋体" w:cs="宋体"/>
                <w:sz w:val="18"/>
                <w:szCs w:val="18"/>
                <w:highlight w:val="none"/>
              </w:rPr>
            </w:pPr>
          </w:p>
          <w:p>
            <w:pPr>
              <w:pStyle w:val="235"/>
              <w:spacing w:line="320" w:lineRule="exact"/>
              <w:rPr>
                <w:rFonts w:hint="eastAsia" w:ascii="宋体" w:hAnsi="宋体" w:cs="宋体"/>
                <w:sz w:val="18"/>
                <w:szCs w:val="18"/>
                <w:highlight w:val="none"/>
              </w:rPr>
            </w:pPr>
          </w:p>
          <w:p>
            <w:pPr>
              <w:pStyle w:val="235"/>
              <w:spacing w:line="320" w:lineRule="exact"/>
              <w:rPr>
                <w:rFonts w:hint="eastAsia" w:ascii="宋体" w:hAnsi="宋体" w:cs="宋体"/>
                <w:sz w:val="18"/>
                <w:szCs w:val="18"/>
                <w:highlight w:val="none"/>
              </w:rPr>
            </w:pPr>
          </w:p>
          <w:p>
            <w:pPr>
              <w:pStyle w:val="235"/>
              <w:spacing w:line="320" w:lineRule="exact"/>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2439" w:type="dxa"/>
            <w:noWrap w:val="0"/>
            <w:vAlign w:val="center"/>
          </w:tcPr>
          <w:p>
            <w:pPr>
              <w:widowControl/>
              <w:spacing w:line="320" w:lineRule="exact"/>
              <w:jc w:val="center"/>
              <w:textAlignment w:val="center"/>
              <w:rPr>
                <w:rFonts w:hint="eastAsia" w:ascii="宋体" w:hAnsi="宋体" w:cs="宋体"/>
                <w:sz w:val="18"/>
                <w:szCs w:val="18"/>
                <w:highlight w:val="none"/>
              </w:rPr>
            </w:pPr>
            <w:r>
              <w:rPr>
                <w:rFonts w:hint="eastAsia" w:ascii="宋体" w:hAnsi="宋体" w:cs="宋体"/>
                <w:sz w:val="18"/>
                <w:szCs w:val="18"/>
                <w:highlight w:val="none"/>
              </w:rPr>
              <w:t>本周主要安全风险隐患和整改情况</w:t>
            </w:r>
          </w:p>
        </w:tc>
        <w:tc>
          <w:tcPr>
            <w:tcW w:w="6734" w:type="dxa"/>
            <w:noWrap w:val="0"/>
            <w:vAlign w:val="center"/>
          </w:tcPr>
          <w:p>
            <w:pPr>
              <w:spacing w:line="320" w:lineRule="exact"/>
              <w:jc w:val="center"/>
              <w:rPr>
                <w:rFonts w:hint="eastAsia" w:ascii="宋体" w:hAnsi="宋体" w:cs="宋体"/>
                <w:sz w:val="18"/>
                <w:szCs w:val="18"/>
                <w:highlight w:val="none"/>
              </w:rPr>
            </w:pPr>
          </w:p>
          <w:p>
            <w:pPr>
              <w:pStyle w:val="235"/>
              <w:spacing w:line="320" w:lineRule="exact"/>
              <w:rPr>
                <w:rFonts w:hint="eastAsia" w:ascii="宋体" w:hAnsi="宋体" w:cs="宋体"/>
                <w:sz w:val="18"/>
                <w:szCs w:val="18"/>
                <w:highlight w:val="none"/>
              </w:rPr>
            </w:pPr>
          </w:p>
          <w:p>
            <w:pPr>
              <w:pStyle w:val="235"/>
              <w:spacing w:line="320" w:lineRule="exact"/>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2439" w:type="dxa"/>
            <w:noWrap w:val="0"/>
            <w:vAlign w:val="center"/>
          </w:tcPr>
          <w:p>
            <w:pPr>
              <w:widowControl/>
              <w:spacing w:line="320" w:lineRule="exact"/>
              <w:jc w:val="center"/>
              <w:textAlignment w:val="center"/>
              <w:rPr>
                <w:rFonts w:hint="eastAsia" w:ascii="宋体" w:hAnsi="宋体" w:cs="宋体"/>
                <w:sz w:val="18"/>
                <w:szCs w:val="18"/>
                <w:highlight w:val="none"/>
              </w:rPr>
            </w:pPr>
            <w:r>
              <w:rPr>
                <w:rFonts w:hint="eastAsia" w:ascii="宋体" w:hAnsi="宋体" w:cs="宋体"/>
                <w:sz w:val="18"/>
                <w:szCs w:val="18"/>
                <w:highlight w:val="none"/>
              </w:rPr>
              <w:t>本周安全管理情况评价</w:t>
            </w:r>
          </w:p>
        </w:tc>
        <w:tc>
          <w:tcPr>
            <w:tcW w:w="6734" w:type="dxa"/>
            <w:noWrap w:val="0"/>
            <w:vAlign w:val="center"/>
          </w:tcPr>
          <w:p>
            <w:pPr>
              <w:pStyle w:val="235"/>
              <w:spacing w:line="320" w:lineRule="exact"/>
              <w:rPr>
                <w:rFonts w:hint="eastAsia" w:ascii="宋体" w:hAnsi="宋体" w:cs="宋体"/>
                <w:sz w:val="18"/>
                <w:szCs w:val="18"/>
                <w:highlight w:val="none"/>
              </w:rPr>
            </w:pPr>
            <w:r>
              <w:rPr>
                <w:rFonts w:hint="eastAsia" w:ascii="宋体" w:hAnsi="宋体" w:cs="宋体"/>
                <w:sz w:val="18"/>
                <w:szCs w:val="18"/>
                <w:highlight w:val="none"/>
              </w:rPr>
              <w:t>☐ 安全风险可控，无较大安全风险隐患</w:t>
            </w:r>
          </w:p>
          <w:p>
            <w:pPr>
              <w:pStyle w:val="235"/>
              <w:spacing w:line="320" w:lineRule="exact"/>
              <w:rPr>
                <w:rFonts w:hint="eastAsia" w:ascii="宋体" w:hAnsi="宋体" w:cs="宋体"/>
                <w:sz w:val="18"/>
                <w:szCs w:val="18"/>
                <w:highlight w:val="none"/>
              </w:rPr>
            </w:pPr>
            <w:r>
              <w:rPr>
                <w:rFonts w:hint="eastAsia" w:ascii="宋体" w:hAnsi="宋体" w:cs="宋体"/>
                <w:sz w:val="18"/>
                <w:szCs w:val="18"/>
                <w:highlight w:val="none"/>
              </w:rPr>
              <w:t>☐ 存在安全风险隐患，需尽快采取防范措施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9" w:hRule="atLeast"/>
        </w:trPr>
        <w:tc>
          <w:tcPr>
            <w:tcW w:w="2439" w:type="dxa"/>
            <w:noWrap w:val="0"/>
            <w:vAlign w:val="center"/>
          </w:tcPr>
          <w:p>
            <w:pPr>
              <w:pStyle w:val="235"/>
              <w:tabs>
                <w:tab w:val="center" w:pos="1244"/>
              </w:tabs>
              <w:spacing w:line="320" w:lineRule="exact"/>
              <w:jc w:val="center"/>
              <w:rPr>
                <w:rFonts w:hint="eastAsia" w:ascii="宋体" w:hAnsi="宋体" w:cs="宋体"/>
                <w:sz w:val="18"/>
                <w:szCs w:val="18"/>
                <w:highlight w:val="none"/>
              </w:rPr>
            </w:pPr>
            <w:r>
              <w:rPr>
                <w:rFonts w:hint="eastAsia" w:ascii="宋体" w:hAnsi="宋体" w:cs="宋体"/>
                <w:sz w:val="18"/>
                <w:szCs w:val="18"/>
                <w:highlight w:val="none"/>
              </w:rPr>
              <w:t>下周工作重点</w:t>
            </w:r>
          </w:p>
        </w:tc>
        <w:tc>
          <w:tcPr>
            <w:tcW w:w="6734" w:type="dxa"/>
            <w:noWrap w:val="0"/>
            <w:vAlign w:val="center"/>
          </w:tcPr>
          <w:p>
            <w:pPr>
              <w:pStyle w:val="235"/>
              <w:spacing w:line="320" w:lineRule="exact"/>
              <w:rPr>
                <w:rFonts w:hint="eastAsia" w:ascii="宋体" w:hAnsi="宋体" w:cs="宋体"/>
                <w:sz w:val="18"/>
                <w:szCs w:val="18"/>
                <w:highlight w:val="none"/>
              </w:rPr>
            </w:pPr>
          </w:p>
          <w:p>
            <w:pPr>
              <w:pStyle w:val="235"/>
              <w:spacing w:line="320" w:lineRule="exact"/>
              <w:rPr>
                <w:rFonts w:hint="eastAsia" w:ascii="宋体" w:hAnsi="宋体" w:cs="宋体"/>
                <w:sz w:val="18"/>
                <w:szCs w:val="18"/>
                <w:highlight w:val="none"/>
              </w:rPr>
            </w:pPr>
          </w:p>
          <w:p>
            <w:pPr>
              <w:pStyle w:val="235"/>
              <w:spacing w:line="320" w:lineRule="exact"/>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trPr>
        <w:tc>
          <w:tcPr>
            <w:tcW w:w="9173" w:type="dxa"/>
            <w:gridSpan w:val="2"/>
            <w:noWrap w:val="0"/>
            <w:vAlign w:val="center"/>
          </w:tcPr>
          <w:p>
            <w:pPr>
              <w:pStyle w:val="235"/>
              <w:spacing w:line="320" w:lineRule="exact"/>
              <w:rPr>
                <w:rFonts w:hint="eastAsia" w:ascii="宋体" w:hAnsi="宋体" w:cs="宋体"/>
                <w:sz w:val="18"/>
                <w:szCs w:val="18"/>
                <w:highlight w:val="none"/>
              </w:rPr>
            </w:pPr>
            <w:r>
              <w:rPr>
                <w:rFonts w:hint="eastAsia" w:ascii="宋体" w:hAnsi="宋体" w:cs="宋体"/>
                <w:sz w:val="18"/>
                <w:szCs w:val="18"/>
                <w:highlight w:val="none"/>
              </w:rPr>
              <w:t xml:space="preserve">安全员意见：                  </w:t>
            </w:r>
          </w:p>
          <w:p>
            <w:pPr>
              <w:pStyle w:val="235"/>
              <w:spacing w:line="320" w:lineRule="exact"/>
              <w:rPr>
                <w:rFonts w:hint="eastAsia" w:ascii="宋体" w:hAnsi="宋体" w:cs="宋体"/>
                <w:sz w:val="18"/>
                <w:szCs w:val="18"/>
                <w:highlight w:val="none"/>
              </w:rPr>
            </w:pPr>
          </w:p>
          <w:p>
            <w:pPr>
              <w:pStyle w:val="235"/>
              <w:spacing w:line="320" w:lineRule="exact"/>
              <w:rPr>
                <w:rFonts w:hint="eastAsia" w:ascii="宋体" w:hAnsi="宋体" w:cs="宋体"/>
                <w:sz w:val="18"/>
                <w:szCs w:val="18"/>
                <w:highlight w:val="none"/>
              </w:rPr>
            </w:pPr>
          </w:p>
          <w:p>
            <w:pPr>
              <w:pStyle w:val="235"/>
              <w:spacing w:line="320" w:lineRule="exact"/>
              <w:ind w:firstLine="900" w:firstLineChars="500"/>
              <w:rPr>
                <w:rFonts w:hint="eastAsia" w:ascii="宋体" w:hAnsi="宋体" w:cs="宋体"/>
                <w:sz w:val="18"/>
                <w:szCs w:val="18"/>
                <w:highlight w:val="none"/>
              </w:rPr>
            </w:pPr>
            <w:r>
              <w:rPr>
                <w:rFonts w:hint="eastAsia" w:ascii="宋体" w:hAnsi="宋体" w:cs="宋体"/>
                <w:sz w:val="18"/>
                <w:szCs w:val="18"/>
                <w:highlight w:val="none"/>
              </w:rPr>
              <w:t>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4" w:hRule="atLeast"/>
        </w:trPr>
        <w:tc>
          <w:tcPr>
            <w:tcW w:w="9173" w:type="dxa"/>
            <w:gridSpan w:val="2"/>
            <w:noWrap w:val="0"/>
            <w:vAlign w:val="center"/>
          </w:tcPr>
          <w:p>
            <w:pPr>
              <w:pStyle w:val="235"/>
              <w:spacing w:line="320" w:lineRule="exact"/>
              <w:rPr>
                <w:rFonts w:hint="eastAsia" w:ascii="宋体" w:hAnsi="宋体" w:cs="宋体"/>
                <w:sz w:val="18"/>
                <w:szCs w:val="18"/>
                <w:highlight w:val="none"/>
              </w:rPr>
            </w:pPr>
            <w:r>
              <w:rPr>
                <w:rFonts w:hint="eastAsia" w:ascii="宋体" w:hAnsi="宋体" w:cs="宋体"/>
                <w:sz w:val="18"/>
                <w:szCs w:val="18"/>
                <w:highlight w:val="none"/>
              </w:rPr>
              <w:t>安全总监意见：</w:t>
            </w:r>
          </w:p>
          <w:p>
            <w:pPr>
              <w:pStyle w:val="235"/>
              <w:spacing w:line="320" w:lineRule="exact"/>
              <w:rPr>
                <w:rFonts w:hint="eastAsia" w:ascii="宋体" w:hAnsi="宋体" w:cs="宋体"/>
                <w:sz w:val="18"/>
                <w:szCs w:val="18"/>
                <w:highlight w:val="none"/>
              </w:rPr>
            </w:pPr>
          </w:p>
          <w:p>
            <w:pPr>
              <w:pStyle w:val="235"/>
              <w:spacing w:line="320" w:lineRule="exact"/>
              <w:ind w:firstLine="180" w:firstLineChars="100"/>
              <w:rPr>
                <w:rFonts w:hint="eastAsia" w:ascii="宋体" w:hAnsi="宋体" w:cs="宋体"/>
                <w:sz w:val="18"/>
                <w:szCs w:val="18"/>
                <w:highlight w:val="none"/>
              </w:rPr>
            </w:pPr>
          </w:p>
          <w:p>
            <w:pPr>
              <w:pStyle w:val="235"/>
              <w:spacing w:line="320" w:lineRule="exact"/>
              <w:ind w:firstLine="720" w:firstLineChars="400"/>
              <w:rPr>
                <w:rFonts w:hint="eastAsia" w:ascii="宋体" w:hAnsi="宋体" w:cs="宋体"/>
                <w:sz w:val="18"/>
                <w:szCs w:val="18"/>
                <w:highlight w:val="none"/>
              </w:rPr>
            </w:pPr>
            <w:r>
              <w:rPr>
                <w:rFonts w:hint="eastAsia" w:ascii="宋体" w:hAnsi="宋体" w:cs="宋体"/>
                <w:sz w:val="18"/>
                <w:szCs w:val="18"/>
                <w:highlight w:val="none"/>
              </w:rPr>
              <w:t>签名：                                  年   月   日</w:t>
            </w:r>
          </w:p>
        </w:tc>
      </w:tr>
    </w:tbl>
    <w:p>
      <w:pPr>
        <w:pStyle w:val="235"/>
        <w:spacing w:line="320" w:lineRule="exact"/>
        <w:rPr>
          <w:rFonts w:hint="eastAsia" w:ascii="宋体" w:hAnsi="宋体" w:cs="宋体"/>
          <w:sz w:val="21"/>
          <w:szCs w:val="21"/>
          <w:highlight w:val="none"/>
        </w:rPr>
      </w:pPr>
    </w:p>
    <w:p>
      <w:pPr>
        <w:spacing w:line="560" w:lineRule="exact"/>
        <w:jc w:val="center"/>
        <w:outlineLvl w:val="0"/>
        <w:rPr>
          <w:rFonts w:hint="eastAsia" w:ascii="黑体" w:hAnsi="黑体" w:eastAsia="黑体" w:cs="黑体"/>
          <w:color w:val="000000"/>
          <w:highlight w:val="none"/>
        </w:rPr>
      </w:pPr>
    </w:p>
    <w:p>
      <w:pPr>
        <w:spacing w:line="560" w:lineRule="exact"/>
        <w:jc w:val="center"/>
        <w:outlineLvl w:val="0"/>
        <w:rPr>
          <w:rFonts w:hint="eastAsia" w:ascii="宋体" w:hAnsi="宋体" w:cs="宋体"/>
          <w:bCs/>
          <w:highlight w:val="none"/>
        </w:rPr>
      </w:pPr>
      <w:r>
        <w:rPr>
          <w:rFonts w:hint="eastAsia" w:ascii="黑体" w:hAnsi="黑体" w:eastAsia="黑体" w:cs="黑体"/>
          <w:color w:val="000000"/>
          <w:highlight w:val="none"/>
        </w:rPr>
        <w:t>E.4 每月大型游乐设施安全调度会议纪要</w:t>
      </w:r>
    </w:p>
    <w:p>
      <w:pPr>
        <w:spacing w:line="560" w:lineRule="exact"/>
        <w:jc w:val="center"/>
        <w:outlineLvl w:val="0"/>
        <w:rPr>
          <w:rFonts w:hint="eastAsia" w:ascii="宋体" w:hAnsi="宋体" w:cs="宋体"/>
          <w:bCs/>
          <w:highlight w:val="none"/>
        </w:rPr>
      </w:pPr>
      <w:r>
        <w:rPr>
          <w:rFonts w:hint="eastAsia" w:ascii="宋体" w:hAnsi="宋体" w:cs="宋体"/>
          <w:bCs/>
          <w:highlight w:val="none"/>
        </w:rPr>
        <w:t>（  ）月</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3"/>
        <w:gridCol w:w="353"/>
        <w:gridCol w:w="2789"/>
        <w:gridCol w:w="1730"/>
        <w:gridCol w:w="3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jc w:val="center"/>
        </w:trPr>
        <w:tc>
          <w:tcPr>
            <w:tcW w:w="1726" w:type="dxa"/>
            <w:gridSpan w:val="2"/>
            <w:noWrap w:val="0"/>
            <w:vAlign w:val="center"/>
          </w:tcPr>
          <w:p>
            <w:pPr>
              <w:jc w:val="center"/>
              <w:rPr>
                <w:rFonts w:hint="eastAsia" w:ascii="宋体" w:hAnsi="宋体" w:cs="宋体"/>
                <w:sz w:val="18"/>
                <w:szCs w:val="18"/>
                <w:highlight w:val="none"/>
              </w:rPr>
            </w:pPr>
            <w:r>
              <w:rPr>
                <w:rFonts w:hint="eastAsia" w:ascii="宋体" w:hAnsi="宋体" w:cs="宋体"/>
                <w:sz w:val="18"/>
                <w:szCs w:val="18"/>
                <w:highlight w:val="none"/>
              </w:rPr>
              <w:t>会议时间</w:t>
            </w:r>
          </w:p>
        </w:tc>
        <w:tc>
          <w:tcPr>
            <w:tcW w:w="2789" w:type="dxa"/>
            <w:noWrap w:val="0"/>
            <w:vAlign w:val="center"/>
          </w:tcPr>
          <w:p>
            <w:pPr>
              <w:jc w:val="center"/>
              <w:rPr>
                <w:rFonts w:hint="eastAsia" w:ascii="宋体" w:hAnsi="宋体" w:cs="宋体"/>
                <w:sz w:val="18"/>
                <w:szCs w:val="18"/>
                <w:highlight w:val="none"/>
              </w:rPr>
            </w:pPr>
          </w:p>
        </w:tc>
        <w:tc>
          <w:tcPr>
            <w:tcW w:w="1730" w:type="dxa"/>
            <w:noWrap w:val="0"/>
            <w:vAlign w:val="center"/>
          </w:tcPr>
          <w:p>
            <w:pPr>
              <w:jc w:val="center"/>
              <w:rPr>
                <w:rFonts w:hint="eastAsia" w:ascii="宋体" w:hAnsi="宋体" w:cs="宋体"/>
                <w:sz w:val="18"/>
                <w:szCs w:val="18"/>
                <w:highlight w:val="none"/>
              </w:rPr>
            </w:pPr>
            <w:r>
              <w:rPr>
                <w:rFonts w:hint="eastAsia" w:ascii="宋体" w:hAnsi="宋体" w:cs="宋体"/>
                <w:sz w:val="18"/>
                <w:szCs w:val="18"/>
                <w:highlight w:val="none"/>
              </w:rPr>
              <w:t>会议地点</w:t>
            </w:r>
          </w:p>
        </w:tc>
        <w:tc>
          <w:tcPr>
            <w:tcW w:w="3407" w:type="dxa"/>
            <w:noWrap w:val="0"/>
            <w:vAlign w:val="center"/>
          </w:tcPr>
          <w:p>
            <w:pPr>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exact"/>
          <w:jc w:val="center"/>
        </w:trPr>
        <w:tc>
          <w:tcPr>
            <w:tcW w:w="1726" w:type="dxa"/>
            <w:gridSpan w:val="2"/>
            <w:noWrap w:val="0"/>
            <w:vAlign w:val="center"/>
          </w:tcPr>
          <w:p>
            <w:pPr>
              <w:jc w:val="center"/>
              <w:rPr>
                <w:rFonts w:hint="eastAsia" w:ascii="宋体" w:hAnsi="宋体" w:cs="宋体"/>
                <w:sz w:val="18"/>
                <w:szCs w:val="18"/>
                <w:highlight w:val="none"/>
              </w:rPr>
            </w:pPr>
            <w:r>
              <w:rPr>
                <w:rFonts w:hint="eastAsia" w:ascii="宋体" w:hAnsi="宋体" w:cs="宋体"/>
                <w:sz w:val="18"/>
                <w:szCs w:val="18"/>
                <w:highlight w:val="none"/>
              </w:rPr>
              <w:t>会议主持人</w:t>
            </w:r>
          </w:p>
        </w:tc>
        <w:tc>
          <w:tcPr>
            <w:tcW w:w="2789" w:type="dxa"/>
            <w:noWrap w:val="0"/>
            <w:vAlign w:val="center"/>
          </w:tcPr>
          <w:p>
            <w:pPr>
              <w:jc w:val="center"/>
              <w:rPr>
                <w:rFonts w:hint="eastAsia" w:ascii="宋体" w:hAnsi="宋体" w:cs="宋体"/>
                <w:sz w:val="18"/>
                <w:szCs w:val="18"/>
                <w:highlight w:val="none"/>
              </w:rPr>
            </w:pPr>
          </w:p>
        </w:tc>
        <w:tc>
          <w:tcPr>
            <w:tcW w:w="1730" w:type="dxa"/>
            <w:noWrap w:val="0"/>
            <w:vAlign w:val="center"/>
          </w:tcPr>
          <w:p>
            <w:pPr>
              <w:jc w:val="center"/>
              <w:rPr>
                <w:rFonts w:hint="eastAsia" w:ascii="宋体" w:hAnsi="宋体" w:cs="宋体"/>
                <w:sz w:val="18"/>
                <w:szCs w:val="18"/>
                <w:highlight w:val="none"/>
              </w:rPr>
            </w:pPr>
            <w:r>
              <w:rPr>
                <w:rFonts w:hint="eastAsia" w:ascii="宋体" w:hAnsi="宋体" w:cs="宋体"/>
                <w:sz w:val="18"/>
                <w:szCs w:val="18"/>
                <w:highlight w:val="none"/>
              </w:rPr>
              <w:t>会议记录人</w:t>
            </w:r>
          </w:p>
        </w:tc>
        <w:tc>
          <w:tcPr>
            <w:tcW w:w="3407" w:type="dxa"/>
            <w:noWrap w:val="0"/>
            <w:vAlign w:val="center"/>
          </w:tcPr>
          <w:p>
            <w:pPr>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8" w:hRule="exact"/>
          <w:jc w:val="center"/>
        </w:trPr>
        <w:tc>
          <w:tcPr>
            <w:tcW w:w="9652" w:type="dxa"/>
            <w:gridSpan w:val="5"/>
            <w:noWrap w:val="0"/>
            <w:vAlign w:val="center"/>
          </w:tcPr>
          <w:p>
            <w:pPr>
              <w:rPr>
                <w:rFonts w:hint="eastAsia" w:ascii="宋体" w:hAnsi="宋体" w:cs="宋体"/>
                <w:sz w:val="18"/>
                <w:szCs w:val="18"/>
                <w:highlight w:val="none"/>
              </w:rPr>
            </w:pPr>
            <w:r>
              <w:rPr>
                <w:rFonts w:hint="eastAsia" w:ascii="宋体" w:hAnsi="宋体" w:cs="宋体"/>
                <w:sz w:val="18"/>
                <w:szCs w:val="18"/>
                <w:highlight w:val="none"/>
              </w:rPr>
              <w:t>参会人员：</w:t>
            </w:r>
          </w:p>
          <w:p>
            <w:pPr>
              <w:pStyle w:val="6"/>
              <w:rPr>
                <w:rFonts w:cs="宋体"/>
                <w:sz w:val="18"/>
                <w:szCs w:val="18"/>
                <w:highlight w:val="none"/>
              </w:rPr>
            </w:pPr>
          </w:p>
          <w:p>
            <w:pPr>
              <w:rPr>
                <w:rFonts w:hint="eastAsia" w:ascii="宋体" w:hAnsi="宋体" w:cs="宋体"/>
                <w:sz w:val="18"/>
                <w:szCs w:val="18"/>
                <w:highlight w:val="none"/>
              </w:rPr>
            </w:pPr>
          </w:p>
          <w:p>
            <w:pPr>
              <w:pStyle w:val="6"/>
              <w:rPr>
                <w:rFonts w:cs="宋体"/>
                <w:sz w:val="18"/>
                <w:szCs w:val="18"/>
                <w:highlight w:val="none"/>
              </w:rPr>
            </w:pPr>
          </w:p>
          <w:p>
            <w:pPr>
              <w:ind w:firstLine="360" w:firstLineChars="200"/>
              <w:rPr>
                <w:rFonts w:hint="eastAsia"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7" w:hRule="atLeast"/>
          <w:jc w:val="center"/>
        </w:trPr>
        <w:tc>
          <w:tcPr>
            <w:tcW w:w="9652" w:type="dxa"/>
            <w:gridSpan w:val="5"/>
            <w:noWrap w:val="0"/>
            <w:vAlign w:val="top"/>
          </w:tcPr>
          <w:p>
            <w:pPr>
              <w:tabs>
                <w:tab w:val="left" w:pos="900"/>
              </w:tabs>
              <w:spacing w:line="440" w:lineRule="exact"/>
              <w:rPr>
                <w:rFonts w:hint="eastAsia" w:ascii="宋体" w:hAnsi="宋体" w:cs="宋体"/>
                <w:sz w:val="18"/>
                <w:szCs w:val="18"/>
                <w:highlight w:val="none"/>
              </w:rPr>
            </w:pPr>
            <w:r>
              <w:rPr>
                <w:rFonts w:hint="eastAsia" w:ascii="宋体" w:hAnsi="宋体" w:cs="宋体"/>
                <w:sz w:val="18"/>
                <w:szCs w:val="18"/>
                <w:highlight w:val="none"/>
              </w:rPr>
              <w:t>会议内容：</w:t>
            </w:r>
          </w:p>
          <w:p>
            <w:pPr>
              <w:numPr>
                <w:ilvl w:val="0"/>
                <w:numId w:val="37"/>
              </w:numPr>
              <w:rPr>
                <w:rFonts w:hint="eastAsia" w:ascii="宋体" w:hAnsi="宋体" w:cs="宋体"/>
                <w:sz w:val="18"/>
                <w:szCs w:val="18"/>
                <w:highlight w:val="none"/>
              </w:rPr>
            </w:pPr>
            <w:r>
              <w:rPr>
                <w:rFonts w:hint="eastAsia" w:ascii="宋体" w:hAnsi="宋体" w:cs="宋体"/>
                <w:sz w:val="18"/>
                <w:szCs w:val="18"/>
                <w:highlight w:val="none"/>
              </w:rPr>
              <w:t>本月巡查主要问题：</w:t>
            </w:r>
          </w:p>
          <w:p>
            <w:pPr>
              <w:pStyle w:val="2"/>
              <w:numPr>
                <w:ilvl w:val="0"/>
                <w:numId w:val="0"/>
              </w:numPr>
              <w:rPr>
                <w:sz w:val="18"/>
                <w:szCs w:val="18"/>
              </w:rPr>
            </w:pPr>
          </w:p>
          <w:p>
            <w:pPr>
              <w:numPr>
                <w:ilvl w:val="0"/>
                <w:numId w:val="37"/>
              </w:numPr>
              <w:ind w:left="0" w:leftChars="0" w:firstLine="0" w:firstLineChars="0"/>
              <w:rPr>
                <w:rFonts w:hint="eastAsia" w:ascii="宋体" w:hAnsi="宋体" w:cs="宋体"/>
                <w:sz w:val="18"/>
                <w:szCs w:val="18"/>
                <w:highlight w:val="none"/>
              </w:rPr>
            </w:pPr>
            <w:r>
              <w:rPr>
                <w:rFonts w:hint="eastAsia" w:ascii="宋体" w:hAnsi="宋体" w:cs="宋体"/>
                <w:sz w:val="18"/>
                <w:szCs w:val="18"/>
                <w:highlight w:val="none"/>
              </w:rPr>
              <w:t>本月整改方案落实情况：</w:t>
            </w:r>
          </w:p>
          <w:p>
            <w:pPr>
              <w:pStyle w:val="2"/>
              <w:numPr>
                <w:ilvl w:val="0"/>
                <w:numId w:val="0"/>
              </w:numPr>
              <w:ind w:leftChars="0"/>
              <w:rPr>
                <w:sz w:val="18"/>
                <w:szCs w:val="18"/>
              </w:rPr>
            </w:pPr>
          </w:p>
          <w:p>
            <w:pPr>
              <w:numPr>
                <w:ilvl w:val="0"/>
                <w:numId w:val="38"/>
              </w:numPr>
              <w:rPr>
                <w:rFonts w:hint="eastAsia" w:ascii="宋体" w:hAnsi="宋体" w:cs="宋体"/>
                <w:sz w:val="18"/>
                <w:szCs w:val="18"/>
                <w:highlight w:val="none"/>
              </w:rPr>
            </w:pPr>
            <w:r>
              <w:rPr>
                <w:rFonts w:hint="eastAsia" w:ascii="宋体" w:hAnsi="宋体" w:cs="宋体"/>
                <w:sz w:val="18"/>
                <w:szCs w:val="18"/>
                <w:highlight w:val="none"/>
              </w:rPr>
              <w:t>本月还未解决的问题：</w:t>
            </w:r>
          </w:p>
          <w:p>
            <w:pPr>
              <w:pStyle w:val="6"/>
              <w:jc w:val="both"/>
              <w:rPr>
                <w:rFonts w:cs="宋体"/>
                <w:sz w:val="18"/>
                <w:szCs w:val="18"/>
                <w:highlight w:val="none"/>
              </w:rPr>
            </w:pPr>
          </w:p>
          <w:p>
            <w:pPr>
              <w:rPr>
                <w:rFonts w:hint="eastAsia" w:ascii="宋体" w:hAnsi="宋体" w:cs="宋体"/>
                <w:sz w:val="18"/>
                <w:szCs w:val="18"/>
                <w:highlight w:val="none"/>
              </w:rPr>
            </w:pPr>
            <w:r>
              <w:rPr>
                <w:rFonts w:hint="eastAsia" w:ascii="宋体" w:hAnsi="宋体" w:cs="宋体"/>
                <w:sz w:val="18"/>
                <w:szCs w:val="18"/>
                <w:highlight w:val="none"/>
              </w:rPr>
              <w:t>4.月调度相关内容（如制度修订、人员岗位职责变化等）：</w:t>
            </w:r>
          </w:p>
          <w:p>
            <w:pPr>
              <w:rPr>
                <w:rFonts w:hint="eastAsia" w:ascii="宋体" w:hAnsi="宋体" w:cs="宋体"/>
                <w:sz w:val="18"/>
                <w:szCs w:val="18"/>
                <w:highlight w:val="none"/>
              </w:rPr>
            </w:pPr>
          </w:p>
          <w:p>
            <w:pPr>
              <w:rPr>
                <w:rFonts w:hint="eastAsia" w:ascii="宋体" w:hAnsi="宋体" w:cs="宋体"/>
                <w:sz w:val="18"/>
                <w:szCs w:val="18"/>
                <w:highlight w:val="none"/>
              </w:rPr>
            </w:pPr>
          </w:p>
          <w:p>
            <w:pPr>
              <w:rPr>
                <w:rFonts w:hint="eastAsia" w:ascii="宋体" w:hAnsi="宋体" w:cs="宋体"/>
                <w:sz w:val="18"/>
                <w:szCs w:val="18"/>
                <w:highlight w:val="none"/>
              </w:rPr>
            </w:pPr>
            <w:r>
              <w:rPr>
                <w:rFonts w:hint="eastAsia" w:ascii="宋体" w:hAnsi="宋体" w:cs="宋体"/>
                <w:sz w:val="18"/>
                <w:szCs w:val="18"/>
                <w:highlight w:val="none"/>
              </w:rPr>
              <w:t>5.其他安全事项：</w:t>
            </w:r>
          </w:p>
          <w:p>
            <w:pPr>
              <w:rPr>
                <w:rFonts w:hint="eastAsia" w:ascii="宋体" w:hAnsi="宋体" w:cs="宋体"/>
                <w:sz w:val="18"/>
                <w:szCs w:val="18"/>
                <w:highlight w:val="none"/>
              </w:rPr>
            </w:pPr>
          </w:p>
          <w:p>
            <w:pPr>
              <w:rPr>
                <w:rFonts w:hint="eastAsia" w:ascii="宋体" w:hAnsi="宋体" w:cs="宋体"/>
                <w:sz w:val="18"/>
                <w:szCs w:val="18"/>
                <w:highlight w:val="none"/>
              </w:rPr>
            </w:pPr>
          </w:p>
          <w:p>
            <w:pPr>
              <w:numPr>
                <w:ilvl w:val="0"/>
                <w:numId w:val="39"/>
              </w:numPr>
              <w:rPr>
                <w:rFonts w:hint="eastAsia" w:ascii="宋体" w:hAnsi="宋体" w:cs="宋体"/>
                <w:sz w:val="18"/>
                <w:szCs w:val="18"/>
                <w:highlight w:val="none"/>
              </w:rPr>
            </w:pPr>
            <w:r>
              <w:rPr>
                <w:rFonts w:hint="eastAsia" w:ascii="宋体" w:hAnsi="宋体" w:cs="宋体"/>
                <w:sz w:val="18"/>
                <w:szCs w:val="18"/>
                <w:highlight w:val="none"/>
              </w:rPr>
              <w:t>会议研究采取的措施：</w:t>
            </w:r>
          </w:p>
          <w:p>
            <w:pPr>
              <w:pStyle w:val="6"/>
              <w:spacing w:line="360" w:lineRule="auto"/>
              <w:jc w:val="both"/>
              <w:rPr>
                <w:rFonts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8" w:hRule="atLeast"/>
          <w:jc w:val="center"/>
        </w:trPr>
        <w:tc>
          <w:tcPr>
            <w:tcW w:w="1373" w:type="dxa"/>
            <w:noWrap w:val="0"/>
            <w:vAlign w:val="center"/>
          </w:tcPr>
          <w:p>
            <w:pPr>
              <w:rPr>
                <w:rFonts w:hint="eastAsia" w:ascii="宋体" w:hAnsi="宋体" w:cs="宋体"/>
                <w:sz w:val="18"/>
                <w:szCs w:val="18"/>
                <w:highlight w:val="none"/>
              </w:rPr>
            </w:pPr>
            <w:r>
              <w:rPr>
                <w:rFonts w:hint="eastAsia" w:ascii="宋体" w:hAnsi="宋体" w:cs="宋体"/>
                <w:sz w:val="18"/>
                <w:szCs w:val="18"/>
                <w:highlight w:val="none"/>
              </w:rPr>
              <w:t>备 注</w:t>
            </w:r>
          </w:p>
        </w:tc>
        <w:tc>
          <w:tcPr>
            <w:tcW w:w="8279" w:type="dxa"/>
            <w:gridSpan w:val="4"/>
            <w:noWrap w:val="0"/>
            <w:vAlign w:val="center"/>
          </w:tcPr>
          <w:p>
            <w:pPr>
              <w:pStyle w:val="6"/>
              <w:rPr>
                <w:rFonts w:cs="宋体"/>
                <w:sz w:val="18"/>
                <w:szCs w:val="18"/>
                <w:highlight w:val="none"/>
              </w:rPr>
            </w:pPr>
          </w:p>
        </w:tc>
      </w:tr>
    </w:tbl>
    <w:p>
      <w:pPr>
        <w:pStyle w:val="51"/>
        <w:spacing w:before="124" w:after="156"/>
        <w:rPr>
          <w:color w:val="000000"/>
          <w:highlight w:val="none"/>
        </w:rPr>
      </w:pPr>
      <w:bookmarkStart w:id="119" w:name="_Toc93485510"/>
      <w:bookmarkStart w:id="120" w:name="_Toc93485527"/>
      <w:bookmarkStart w:id="121" w:name="_Toc94252734"/>
      <w:r>
        <w:rPr>
          <w:rFonts w:hint="eastAsia"/>
          <w:color w:val="000000"/>
          <w:spacing w:val="105"/>
          <w:highlight w:val="none"/>
        </w:rPr>
        <w:t>参考文</w:t>
      </w:r>
      <w:r>
        <w:rPr>
          <w:rFonts w:hint="eastAsia"/>
          <w:color w:val="000000"/>
          <w:highlight w:val="none"/>
        </w:rPr>
        <w:t>献</w:t>
      </w:r>
      <w:bookmarkEnd w:id="119"/>
      <w:bookmarkEnd w:id="120"/>
      <w:bookmarkEnd w:id="121"/>
    </w:p>
    <w:p>
      <w:pPr>
        <w:pStyle w:val="44"/>
        <w:ind w:firstLine="420"/>
        <w:rPr>
          <w:rFonts w:hAnsi="宋体" w:cs="宋体"/>
          <w:color w:val="000000"/>
          <w:highlight w:val="none"/>
        </w:rPr>
      </w:pPr>
      <w:r>
        <w:rPr>
          <w:rFonts w:hint="eastAsia" w:hAnsi="宋体" w:cs="宋体"/>
          <w:color w:val="000000"/>
          <w:highlight w:val="none"/>
        </w:rPr>
        <w:t>[1] 大型游乐设施安全监察规定</w:t>
      </w:r>
    </w:p>
    <w:p>
      <w:pPr>
        <w:pStyle w:val="44"/>
        <w:ind w:firstLine="420"/>
        <w:rPr>
          <w:rFonts w:hAnsi="宋体" w:cs="宋体"/>
          <w:color w:val="000000"/>
          <w:highlight w:val="none"/>
        </w:rPr>
      </w:pPr>
      <w:r>
        <w:rPr>
          <w:rFonts w:hint="eastAsia" w:hAnsi="宋体" w:cs="宋体"/>
          <w:color w:val="000000"/>
          <w:highlight w:val="none"/>
        </w:rPr>
        <w:t>[2] TSG Z6001 特种设备作业人员考核规则</w:t>
      </w:r>
    </w:p>
    <w:p>
      <w:pPr>
        <w:pStyle w:val="44"/>
        <w:ind w:firstLine="420"/>
        <w:rPr>
          <w:rFonts w:hint="eastAsia" w:hAnsi="宋体" w:cs="宋体"/>
          <w:color w:val="000000"/>
          <w:highlight w:val="none"/>
        </w:rPr>
      </w:pPr>
      <w:r>
        <w:rPr>
          <w:rFonts w:hint="eastAsia" w:hAnsi="宋体" w:cs="宋体"/>
          <w:color w:val="000000"/>
          <w:highlight w:val="none"/>
        </w:rPr>
        <w:t xml:space="preserve">[3] </w:t>
      </w:r>
      <w:r>
        <w:rPr>
          <w:rFonts w:hint="eastAsia" w:hAnsi="宋体" w:cs="宋体"/>
          <w:color w:val="000000"/>
          <w:szCs w:val="21"/>
          <w:highlight w:val="none"/>
        </w:rPr>
        <w:t>特种设备事故报告和调查处理规</w:t>
      </w:r>
      <w:r>
        <w:rPr>
          <w:rFonts w:hint="eastAsia" w:hAnsi="宋体" w:cs="宋体"/>
          <w:color w:val="000000"/>
          <w:highlight w:val="none"/>
        </w:rPr>
        <w:t>定</w:t>
      </w:r>
    </w:p>
    <w:p>
      <w:pPr>
        <w:pStyle w:val="44"/>
        <w:ind w:firstLine="420"/>
        <w:rPr>
          <w:rFonts w:hAnsi="宋体" w:cs="宋体"/>
          <w:color w:val="000000"/>
          <w:highlight w:val="none"/>
        </w:rPr>
      </w:pPr>
      <w:r>
        <w:rPr>
          <w:rFonts w:hint="eastAsia" w:hAnsi="宋体" w:cs="宋体"/>
          <w:color w:val="000000"/>
          <w:highlight w:val="none"/>
        </w:rPr>
        <w:t>[</w:t>
      </w:r>
      <w:r>
        <w:rPr>
          <w:rFonts w:hint="eastAsia" w:hAnsi="宋体" w:cs="宋体"/>
          <w:color w:val="000000"/>
          <w:highlight w:val="none"/>
          <w:lang w:val="en-US" w:eastAsia="zh-CN"/>
        </w:rPr>
        <w:t>4</w:t>
      </w:r>
      <w:r>
        <w:rPr>
          <w:rFonts w:hint="eastAsia" w:hAnsi="宋体" w:cs="宋体"/>
          <w:color w:val="000000"/>
          <w:highlight w:val="none"/>
        </w:rPr>
        <w:t xml:space="preserve">] </w:t>
      </w:r>
      <w:r>
        <w:rPr>
          <w:rFonts w:hint="eastAsia" w:hAnsi="宋体" w:cs="宋体"/>
          <w:color w:val="000000"/>
          <w:szCs w:val="21"/>
          <w:highlight w:val="none"/>
        </w:rPr>
        <w:t>生产经营单位安全培训规定</w:t>
      </w:r>
    </w:p>
    <w:p>
      <w:pPr>
        <w:pStyle w:val="44"/>
        <w:ind w:firstLine="420"/>
        <w:rPr>
          <w:rFonts w:hAnsi="宋体" w:cs="宋体"/>
          <w:color w:val="000000"/>
          <w:highlight w:val="none"/>
        </w:rPr>
      </w:pPr>
      <w:r>
        <w:rPr>
          <w:rFonts w:hint="eastAsia"/>
          <w:color w:val="000000"/>
          <w:highlight w:val="none"/>
        </w:rPr>
        <w:t>[</w:t>
      </w:r>
      <w:r>
        <w:rPr>
          <w:rFonts w:hint="eastAsia"/>
          <w:color w:val="000000"/>
          <w:highlight w:val="none"/>
          <w:lang w:val="en-US" w:eastAsia="zh-CN"/>
        </w:rPr>
        <w:t>5</w:t>
      </w:r>
      <w:r>
        <w:rPr>
          <w:rFonts w:hint="eastAsia"/>
          <w:color w:val="000000"/>
          <w:highlight w:val="none"/>
        </w:rPr>
        <w:t xml:space="preserve">] </w:t>
      </w:r>
      <w:r>
        <w:rPr>
          <w:rFonts w:hint="eastAsia" w:hAnsi="宋体" w:cs="宋体"/>
          <w:color w:val="000000"/>
          <w:highlight w:val="none"/>
          <w:lang w:val="zh-CN"/>
        </w:rPr>
        <w:t>市场监管总局关于进一步加强特种设备安全风险分级管控和隐患排查治理双重预防工作的意见（国市监特设〔2020〕198号）</w:t>
      </w:r>
    </w:p>
    <w:p>
      <w:pPr>
        <w:pStyle w:val="44"/>
        <w:ind w:firstLine="420"/>
        <w:rPr>
          <w:rFonts w:hAnsi="宋体" w:cs="宋体"/>
          <w:color w:val="000000"/>
          <w:highlight w:val="none"/>
          <w:lang w:val="zh-CN"/>
        </w:rPr>
      </w:pPr>
      <w:r>
        <w:rPr>
          <w:rFonts w:hint="eastAsia" w:hAnsi="宋体" w:cs="宋体"/>
          <w:color w:val="000000"/>
          <w:highlight w:val="none"/>
        </w:rPr>
        <w:t>[</w:t>
      </w:r>
      <w:r>
        <w:rPr>
          <w:rFonts w:hint="eastAsia" w:hAnsi="宋体" w:cs="宋体"/>
          <w:color w:val="000000"/>
          <w:highlight w:val="none"/>
          <w:lang w:val="en-US" w:eastAsia="zh-CN"/>
        </w:rPr>
        <w:t>6</w:t>
      </w:r>
      <w:r>
        <w:rPr>
          <w:rFonts w:hint="eastAsia" w:hAnsi="宋体" w:cs="宋体"/>
          <w:color w:val="000000"/>
          <w:highlight w:val="none"/>
        </w:rPr>
        <w:t xml:space="preserve">] </w:t>
      </w:r>
      <w:r>
        <w:rPr>
          <w:rFonts w:hint="eastAsia" w:hAnsi="宋体" w:cs="宋体"/>
          <w:color w:val="000000"/>
          <w:szCs w:val="21"/>
          <w:highlight w:val="none"/>
        </w:rPr>
        <w:t>GB/T 18169 碰碰车类游艺机通用技术条件</w:t>
      </w:r>
    </w:p>
    <w:p>
      <w:pPr>
        <w:pStyle w:val="44"/>
        <w:ind w:firstLine="420"/>
        <w:rPr>
          <w:rFonts w:hAnsi="宋体" w:cs="宋体"/>
          <w:color w:val="000000"/>
          <w:highlight w:val="none"/>
          <w:lang w:val="zh-CN"/>
        </w:rPr>
      </w:pPr>
      <w:r>
        <w:rPr>
          <w:rFonts w:hint="eastAsia" w:hAnsi="宋体" w:cs="宋体"/>
          <w:color w:val="000000"/>
          <w:highlight w:val="none"/>
          <w:lang w:val="zh-CN"/>
        </w:rPr>
        <w:t>[</w:t>
      </w:r>
      <w:r>
        <w:rPr>
          <w:rFonts w:hint="eastAsia" w:hAnsi="宋体" w:cs="宋体"/>
          <w:color w:val="000000"/>
          <w:highlight w:val="none"/>
          <w:lang w:val="en-US" w:eastAsia="zh-CN"/>
        </w:rPr>
        <w:t>7</w:t>
      </w:r>
      <w:r>
        <w:rPr>
          <w:rFonts w:hint="eastAsia" w:hAnsi="宋体" w:cs="宋体"/>
          <w:color w:val="000000"/>
          <w:highlight w:val="none"/>
          <w:lang w:val="zh-CN"/>
        </w:rPr>
        <w:t xml:space="preserve">] </w:t>
      </w:r>
      <w:r>
        <w:rPr>
          <w:rFonts w:hint="eastAsia" w:hAnsi="宋体" w:cs="宋体"/>
          <w:color w:val="000000"/>
          <w:szCs w:val="21"/>
          <w:highlight w:val="none"/>
        </w:rPr>
        <w:t>GB/T 18879 滑道通用技术条件</w:t>
      </w:r>
    </w:p>
    <w:p>
      <w:pPr>
        <w:pStyle w:val="44"/>
        <w:ind w:firstLine="420"/>
        <w:rPr>
          <w:rFonts w:hAnsi="宋体" w:cs="宋体"/>
          <w:color w:val="000000"/>
          <w:highlight w:val="none"/>
          <w:lang w:val="zh-CN"/>
        </w:rPr>
      </w:pPr>
      <w:r>
        <w:rPr>
          <w:rFonts w:hint="eastAsia" w:hAnsi="宋体" w:cs="宋体"/>
          <w:color w:val="000000"/>
          <w:highlight w:val="none"/>
          <w:lang w:val="zh-CN"/>
        </w:rPr>
        <w:t>[</w:t>
      </w:r>
      <w:r>
        <w:rPr>
          <w:rFonts w:hint="eastAsia" w:hAnsi="宋体" w:cs="宋体"/>
          <w:color w:val="000000"/>
          <w:highlight w:val="none"/>
          <w:lang w:val="en-US" w:eastAsia="zh-CN"/>
        </w:rPr>
        <w:t>8</w:t>
      </w:r>
      <w:r>
        <w:rPr>
          <w:rFonts w:hint="eastAsia" w:hAnsi="宋体" w:cs="宋体"/>
          <w:color w:val="000000"/>
          <w:highlight w:val="none"/>
          <w:lang w:val="zh-CN"/>
        </w:rPr>
        <w:t xml:space="preserve">] </w:t>
      </w:r>
      <w:r>
        <w:rPr>
          <w:rFonts w:hint="eastAsia" w:hAnsi="宋体" w:cs="宋体"/>
          <w:color w:val="000000"/>
          <w:szCs w:val="21"/>
          <w:highlight w:val="none"/>
        </w:rPr>
        <w:t>GB/T 20051 无动力类游乐设施技术条件</w:t>
      </w:r>
    </w:p>
    <w:p>
      <w:pPr>
        <w:pStyle w:val="44"/>
        <w:ind w:firstLine="420"/>
        <w:rPr>
          <w:rFonts w:hAnsi="宋体" w:cs="宋体"/>
          <w:color w:val="000000"/>
          <w:highlight w:val="none"/>
          <w:lang w:val="zh-CN"/>
        </w:rPr>
      </w:pPr>
      <w:r>
        <w:rPr>
          <w:rFonts w:hint="eastAsia" w:hAnsi="宋体" w:cs="宋体"/>
          <w:color w:val="000000"/>
          <w:highlight w:val="none"/>
          <w:lang w:val="zh-CN"/>
        </w:rPr>
        <w:t>[</w:t>
      </w:r>
      <w:r>
        <w:rPr>
          <w:rFonts w:hint="eastAsia" w:hAnsi="宋体" w:cs="宋体"/>
          <w:color w:val="000000"/>
          <w:highlight w:val="none"/>
          <w:lang w:val="en-US" w:eastAsia="zh-CN"/>
        </w:rPr>
        <w:t>9</w:t>
      </w:r>
      <w:r>
        <w:rPr>
          <w:rFonts w:hint="eastAsia" w:hAnsi="宋体" w:cs="宋体"/>
          <w:color w:val="000000"/>
          <w:highlight w:val="none"/>
          <w:lang w:val="zh-CN"/>
        </w:rPr>
        <w:t xml:space="preserve">] </w:t>
      </w:r>
      <w:r>
        <w:rPr>
          <w:rFonts w:hint="eastAsia" w:hAnsi="宋体" w:cs="宋体"/>
          <w:color w:val="000000"/>
          <w:szCs w:val="21"/>
          <w:highlight w:val="none"/>
        </w:rPr>
        <w:t>GB/T 28265 游乐设施安全防护装置通用技术条件</w:t>
      </w:r>
    </w:p>
    <w:p>
      <w:pPr>
        <w:pStyle w:val="44"/>
        <w:ind w:firstLine="420"/>
        <w:rPr>
          <w:rFonts w:hAnsi="宋体" w:cs="宋体"/>
          <w:color w:val="000000"/>
          <w:highlight w:val="none"/>
          <w:lang w:val="zh-CN"/>
        </w:rPr>
      </w:pPr>
      <w:r>
        <w:rPr>
          <w:rFonts w:hint="eastAsia" w:hAnsi="宋体" w:cs="宋体"/>
          <w:color w:val="000000"/>
          <w:highlight w:val="none"/>
          <w:lang w:val="zh-CN"/>
        </w:rPr>
        <w:t>[1</w:t>
      </w:r>
      <w:r>
        <w:rPr>
          <w:rFonts w:hint="eastAsia" w:hAnsi="宋体" w:cs="宋体"/>
          <w:color w:val="000000"/>
          <w:highlight w:val="none"/>
          <w:lang w:val="en-US" w:eastAsia="zh-CN"/>
        </w:rPr>
        <w:t>0</w:t>
      </w:r>
      <w:r>
        <w:rPr>
          <w:rFonts w:hint="eastAsia" w:hAnsi="宋体" w:cs="宋体"/>
          <w:color w:val="000000"/>
          <w:highlight w:val="none"/>
          <w:lang w:val="zh-CN"/>
        </w:rPr>
        <w:t xml:space="preserve">] </w:t>
      </w:r>
      <w:r>
        <w:rPr>
          <w:rFonts w:hint="eastAsia" w:hAnsi="宋体" w:cs="宋体"/>
          <w:color w:val="000000"/>
          <w:szCs w:val="21"/>
          <w:highlight w:val="none"/>
        </w:rPr>
        <w:t>GB/T 31257 蹦极通用技术条件</w:t>
      </w:r>
    </w:p>
    <w:p>
      <w:pPr>
        <w:pStyle w:val="44"/>
        <w:ind w:firstLine="420"/>
        <w:rPr>
          <w:rFonts w:hAnsi="宋体" w:cs="宋体"/>
          <w:color w:val="000000"/>
          <w:highlight w:val="none"/>
          <w:lang w:val="zh-CN"/>
        </w:rPr>
      </w:pPr>
      <w:r>
        <w:rPr>
          <w:rFonts w:hint="eastAsia" w:hAnsi="宋体" w:cs="宋体"/>
          <w:color w:val="000000"/>
          <w:highlight w:val="none"/>
          <w:lang w:val="zh-CN"/>
        </w:rPr>
        <w:t>[1</w:t>
      </w:r>
      <w:r>
        <w:rPr>
          <w:rFonts w:hint="eastAsia" w:hAnsi="宋体" w:cs="宋体"/>
          <w:color w:val="000000"/>
          <w:highlight w:val="none"/>
          <w:lang w:val="en-US" w:eastAsia="zh-CN"/>
        </w:rPr>
        <w:t>1</w:t>
      </w:r>
      <w:r>
        <w:rPr>
          <w:rFonts w:hint="eastAsia" w:hAnsi="宋体" w:cs="宋体"/>
          <w:color w:val="000000"/>
          <w:highlight w:val="none"/>
          <w:lang w:val="zh-CN"/>
        </w:rPr>
        <w:t xml:space="preserve">] </w:t>
      </w:r>
      <w:r>
        <w:rPr>
          <w:rFonts w:hint="eastAsia" w:hAnsi="宋体" w:cs="宋体"/>
          <w:color w:val="000000"/>
          <w:szCs w:val="21"/>
          <w:highlight w:val="none"/>
        </w:rPr>
        <w:t>GB/T 31258 滑索通用技术条件</w:t>
      </w:r>
    </w:p>
    <w:p>
      <w:pPr>
        <w:pStyle w:val="44"/>
        <w:ind w:firstLine="420"/>
        <w:rPr>
          <w:rFonts w:hAnsi="宋体" w:cs="宋体"/>
          <w:color w:val="000000"/>
          <w:highlight w:val="none"/>
          <w:lang w:val="zh-CN"/>
        </w:rPr>
      </w:pPr>
      <w:r>
        <w:rPr>
          <w:rFonts w:hint="eastAsia" w:hAnsi="宋体" w:cs="宋体"/>
          <w:color w:val="000000"/>
          <w:highlight w:val="none"/>
          <w:lang w:val="zh-CN"/>
        </w:rPr>
        <w:t>[1</w:t>
      </w:r>
      <w:r>
        <w:rPr>
          <w:rFonts w:hint="eastAsia" w:hAnsi="宋体" w:cs="宋体"/>
          <w:color w:val="000000"/>
          <w:highlight w:val="none"/>
          <w:lang w:val="en-US" w:eastAsia="zh-CN"/>
        </w:rPr>
        <w:t>2</w:t>
      </w:r>
      <w:r>
        <w:rPr>
          <w:rFonts w:hint="eastAsia" w:hAnsi="宋体" w:cs="宋体"/>
          <w:color w:val="000000"/>
          <w:highlight w:val="none"/>
          <w:lang w:val="zh-CN"/>
        </w:rPr>
        <w:t>] GB/T 34370.1 游乐设施无损检测  第1部分：总则</w:t>
      </w:r>
    </w:p>
    <w:p>
      <w:pPr>
        <w:pStyle w:val="44"/>
        <w:ind w:firstLine="420"/>
        <w:rPr>
          <w:rFonts w:hAnsi="宋体" w:cs="宋体"/>
          <w:color w:val="000000"/>
          <w:highlight w:val="none"/>
          <w:lang w:val="zh-CN"/>
        </w:rPr>
      </w:pPr>
      <w:r>
        <w:rPr>
          <w:rFonts w:hint="eastAsia" w:hAnsi="宋体" w:cs="宋体"/>
          <w:color w:val="000000"/>
          <w:highlight w:val="none"/>
          <w:lang w:val="zh-CN"/>
        </w:rPr>
        <w:t>[1</w:t>
      </w:r>
      <w:r>
        <w:rPr>
          <w:rFonts w:hint="eastAsia" w:hAnsi="宋体" w:cs="宋体"/>
          <w:color w:val="000000"/>
          <w:highlight w:val="none"/>
          <w:lang w:val="en-US" w:eastAsia="zh-CN"/>
        </w:rPr>
        <w:t>3</w:t>
      </w:r>
      <w:r>
        <w:rPr>
          <w:rFonts w:hint="eastAsia" w:hAnsi="宋体" w:cs="宋体"/>
          <w:color w:val="000000"/>
          <w:highlight w:val="none"/>
          <w:lang w:val="zh-CN"/>
        </w:rPr>
        <w:t>] GB/T 34370.2 游乐设施无损检测  第2部分：目视检测</w:t>
      </w:r>
    </w:p>
    <w:p>
      <w:pPr>
        <w:pStyle w:val="44"/>
        <w:ind w:firstLine="420"/>
        <w:rPr>
          <w:rFonts w:hAnsi="宋体" w:cs="宋体"/>
          <w:color w:val="000000"/>
          <w:highlight w:val="none"/>
          <w:lang w:val="zh-CN"/>
        </w:rPr>
      </w:pPr>
      <w:r>
        <w:rPr>
          <w:rFonts w:hint="eastAsia" w:hAnsi="宋体" w:cs="宋体"/>
          <w:color w:val="000000"/>
          <w:highlight w:val="none"/>
          <w:lang w:val="zh-CN"/>
        </w:rPr>
        <w:t>[1</w:t>
      </w:r>
      <w:r>
        <w:rPr>
          <w:rFonts w:hint="eastAsia" w:hAnsi="宋体" w:cs="宋体"/>
          <w:color w:val="000000"/>
          <w:highlight w:val="none"/>
          <w:lang w:val="en-US" w:eastAsia="zh-CN"/>
        </w:rPr>
        <w:t>4</w:t>
      </w:r>
      <w:r>
        <w:rPr>
          <w:rFonts w:hint="eastAsia" w:hAnsi="宋体" w:cs="宋体"/>
          <w:color w:val="000000"/>
          <w:highlight w:val="none"/>
          <w:lang w:val="zh-CN"/>
        </w:rPr>
        <w:t>] GB/T 34370.3 游乐设施无损检测  第3部分：磁粉检测</w:t>
      </w:r>
    </w:p>
    <w:p>
      <w:pPr>
        <w:pStyle w:val="44"/>
        <w:ind w:firstLine="420"/>
        <w:rPr>
          <w:rFonts w:hAnsi="宋体" w:cs="宋体"/>
          <w:color w:val="000000"/>
          <w:highlight w:val="none"/>
          <w:lang w:val="zh-CN"/>
        </w:rPr>
      </w:pPr>
      <w:r>
        <w:rPr>
          <w:rFonts w:hint="eastAsia" w:hAnsi="宋体" w:cs="宋体"/>
          <w:color w:val="000000"/>
          <w:highlight w:val="none"/>
          <w:lang w:val="zh-CN"/>
        </w:rPr>
        <w:t>[1</w:t>
      </w:r>
      <w:r>
        <w:rPr>
          <w:rFonts w:hint="eastAsia" w:hAnsi="宋体" w:cs="宋体"/>
          <w:color w:val="000000"/>
          <w:highlight w:val="none"/>
          <w:lang w:val="en-US" w:eastAsia="zh-CN"/>
        </w:rPr>
        <w:t>5</w:t>
      </w:r>
      <w:r>
        <w:rPr>
          <w:rFonts w:hint="eastAsia" w:hAnsi="宋体" w:cs="宋体"/>
          <w:color w:val="000000"/>
          <w:highlight w:val="none"/>
          <w:lang w:val="zh-CN"/>
        </w:rPr>
        <w:t>] GB/T 34370.4 游乐设施无损检测  第4部分：渗透检测</w:t>
      </w:r>
    </w:p>
    <w:p>
      <w:pPr>
        <w:pStyle w:val="44"/>
        <w:ind w:firstLine="420"/>
        <w:rPr>
          <w:rFonts w:hAnsi="宋体" w:cs="宋体"/>
          <w:color w:val="000000"/>
          <w:highlight w:val="none"/>
          <w:lang w:val="zh-CN"/>
        </w:rPr>
      </w:pPr>
      <w:r>
        <w:rPr>
          <w:rFonts w:hint="eastAsia" w:hAnsi="宋体" w:cs="宋体"/>
          <w:color w:val="000000"/>
          <w:highlight w:val="none"/>
          <w:lang w:val="zh-CN"/>
        </w:rPr>
        <w:t>[</w:t>
      </w:r>
      <w:r>
        <w:rPr>
          <w:rFonts w:hint="eastAsia" w:hAnsi="宋体" w:cs="宋体"/>
          <w:color w:val="000000"/>
          <w:highlight w:val="none"/>
          <w:lang w:val="en-US" w:eastAsia="zh-CN"/>
        </w:rPr>
        <w:t>16</w:t>
      </w:r>
      <w:r>
        <w:rPr>
          <w:rFonts w:hint="eastAsia" w:hAnsi="宋体" w:cs="宋体"/>
          <w:color w:val="000000"/>
          <w:highlight w:val="none"/>
          <w:lang w:val="zh-CN"/>
        </w:rPr>
        <w:t>] GB/T 34370.5 游乐设施无损检测  第5部分：超声检测</w:t>
      </w:r>
    </w:p>
    <w:p>
      <w:pPr>
        <w:pStyle w:val="44"/>
        <w:ind w:firstLine="420"/>
        <w:rPr>
          <w:rFonts w:hAnsi="宋体" w:cs="宋体"/>
          <w:color w:val="000000"/>
          <w:highlight w:val="none"/>
          <w:lang w:val="zh-CN"/>
        </w:rPr>
      </w:pPr>
      <w:r>
        <w:rPr>
          <w:rFonts w:hint="eastAsia" w:hAnsi="宋体" w:cs="宋体"/>
          <w:color w:val="000000"/>
          <w:highlight w:val="none"/>
          <w:lang w:val="zh-CN"/>
        </w:rPr>
        <w:t>[</w:t>
      </w:r>
      <w:r>
        <w:rPr>
          <w:rFonts w:hint="eastAsia" w:hAnsi="宋体" w:cs="宋体"/>
          <w:color w:val="000000"/>
          <w:highlight w:val="none"/>
          <w:lang w:val="en-US" w:eastAsia="zh-CN"/>
        </w:rPr>
        <w:t>17</w:t>
      </w:r>
      <w:r>
        <w:rPr>
          <w:rFonts w:hint="eastAsia" w:hAnsi="宋体" w:cs="宋体"/>
          <w:color w:val="000000"/>
          <w:highlight w:val="none"/>
          <w:lang w:val="zh-CN"/>
        </w:rPr>
        <w:t>] GB/T 34370.6 游乐设施无损检测  第6部分：射线检测</w:t>
      </w:r>
    </w:p>
    <w:p>
      <w:pPr>
        <w:pStyle w:val="26"/>
        <w:shd w:val="clear" w:color="auto" w:fill="FFFFFF"/>
        <w:spacing w:before="0" w:beforeAutospacing="0" w:after="0" w:afterAutospacing="0" w:line="360" w:lineRule="exact"/>
        <w:ind w:firstLine="424" w:firstLineChars="202"/>
        <w:jc w:val="both"/>
        <w:rPr>
          <w:rFonts w:ascii="宋体" w:hAnsi="宋体" w:cs="宋体"/>
          <w:color w:val="000000"/>
          <w:sz w:val="21"/>
          <w:szCs w:val="21"/>
          <w:highlight w:val="none"/>
        </w:rPr>
      </w:pPr>
      <w:r>
        <w:rPr>
          <w:rFonts w:hint="eastAsia" w:ascii="宋体" w:hAnsi="宋体" w:cs="宋体"/>
          <w:color w:val="000000"/>
          <w:sz w:val="21"/>
          <w:szCs w:val="21"/>
          <w:highlight w:val="none"/>
        </w:rPr>
        <w:t>[</w:t>
      </w:r>
      <w:r>
        <w:rPr>
          <w:rFonts w:hint="eastAsia" w:ascii="宋体" w:hAnsi="宋体" w:cs="宋体"/>
          <w:color w:val="000000"/>
          <w:sz w:val="21"/>
          <w:szCs w:val="21"/>
          <w:highlight w:val="none"/>
          <w:lang w:val="en-US" w:eastAsia="zh-CN"/>
        </w:rPr>
        <w:t>18</w:t>
      </w:r>
      <w:r>
        <w:rPr>
          <w:rFonts w:hint="eastAsia" w:ascii="宋体" w:hAnsi="宋体" w:cs="宋体"/>
          <w:color w:val="000000"/>
          <w:sz w:val="21"/>
          <w:szCs w:val="21"/>
          <w:highlight w:val="none"/>
        </w:rPr>
        <w:t>] GB/T 18158 转马类游乐设施通用技术条件</w:t>
      </w:r>
    </w:p>
    <w:p>
      <w:pPr>
        <w:pStyle w:val="26"/>
        <w:shd w:val="clear" w:color="auto" w:fill="FFFFFF"/>
        <w:spacing w:before="0" w:beforeAutospacing="0" w:after="0" w:afterAutospacing="0" w:line="360" w:lineRule="exact"/>
        <w:ind w:firstLine="424" w:firstLineChars="202"/>
        <w:jc w:val="both"/>
        <w:rPr>
          <w:rFonts w:ascii="宋体" w:hAnsi="宋体" w:cs="宋体"/>
          <w:color w:val="000000"/>
          <w:sz w:val="21"/>
          <w:szCs w:val="21"/>
          <w:highlight w:val="none"/>
        </w:rPr>
      </w:pPr>
      <w:r>
        <w:rPr>
          <w:rFonts w:hint="eastAsia" w:ascii="宋体" w:hAnsi="宋体" w:cs="宋体"/>
          <w:color w:val="000000"/>
          <w:sz w:val="21"/>
          <w:szCs w:val="21"/>
          <w:highlight w:val="none"/>
        </w:rPr>
        <w:t>[</w:t>
      </w:r>
      <w:r>
        <w:rPr>
          <w:rFonts w:hint="eastAsia" w:ascii="宋体" w:hAnsi="宋体" w:cs="宋体"/>
          <w:color w:val="000000"/>
          <w:sz w:val="21"/>
          <w:szCs w:val="21"/>
          <w:highlight w:val="none"/>
          <w:lang w:val="en-US" w:eastAsia="zh-CN"/>
        </w:rPr>
        <w:t>19</w:t>
      </w:r>
      <w:r>
        <w:rPr>
          <w:rFonts w:hint="eastAsia" w:ascii="宋体" w:hAnsi="宋体" w:cs="宋体"/>
          <w:color w:val="000000"/>
          <w:sz w:val="21"/>
          <w:szCs w:val="21"/>
          <w:highlight w:val="none"/>
        </w:rPr>
        <w:t>] GB/T 18159 滑行类游乐设施通用技术条件</w:t>
      </w:r>
    </w:p>
    <w:p>
      <w:pPr>
        <w:pStyle w:val="26"/>
        <w:shd w:val="clear" w:color="auto" w:fill="FFFFFF"/>
        <w:spacing w:before="0" w:beforeAutospacing="0" w:after="0" w:afterAutospacing="0" w:line="360" w:lineRule="exact"/>
        <w:ind w:firstLine="424" w:firstLineChars="202"/>
        <w:jc w:val="both"/>
        <w:rPr>
          <w:rFonts w:ascii="宋体" w:hAnsi="宋体" w:cs="宋体"/>
          <w:color w:val="000000"/>
          <w:sz w:val="21"/>
          <w:szCs w:val="21"/>
          <w:highlight w:val="none"/>
        </w:rPr>
      </w:pPr>
      <w:r>
        <w:rPr>
          <w:rFonts w:hint="eastAsia" w:ascii="宋体" w:hAnsi="宋体" w:cs="宋体"/>
          <w:color w:val="000000"/>
          <w:sz w:val="21"/>
          <w:szCs w:val="21"/>
          <w:highlight w:val="none"/>
        </w:rPr>
        <w:t>[2</w:t>
      </w:r>
      <w:r>
        <w:rPr>
          <w:rFonts w:hint="eastAsia" w:ascii="宋体" w:hAnsi="宋体" w:cs="宋体"/>
          <w:color w:val="000000"/>
          <w:sz w:val="21"/>
          <w:szCs w:val="21"/>
          <w:highlight w:val="none"/>
          <w:lang w:val="en-US" w:eastAsia="zh-CN"/>
        </w:rPr>
        <w:t>0</w:t>
      </w:r>
      <w:r>
        <w:rPr>
          <w:rFonts w:hint="eastAsia" w:ascii="宋体" w:hAnsi="宋体" w:cs="宋体"/>
          <w:color w:val="000000"/>
          <w:sz w:val="21"/>
          <w:szCs w:val="21"/>
          <w:highlight w:val="none"/>
        </w:rPr>
        <w:t>] GB/T 18160 陀螺类游艺机通用技术条件</w:t>
      </w:r>
    </w:p>
    <w:p>
      <w:pPr>
        <w:pStyle w:val="26"/>
        <w:shd w:val="clear" w:color="auto" w:fill="FFFFFF"/>
        <w:spacing w:before="0" w:beforeAutospacing="0" w:after="0" w:afterAutospacing="0" w:line="360" w:lineRule="exact"/>
        <w:ind w:firstLine="424" w:firstLineChars="202"/>
        <w:jc w:val="both"/>
        <w:rPr>
          <w:rFonts w:ascii="宋体" w:hAnsi="宋体" w:cs="宋体"/>
          <w:color w:val="000000"/>
          <w:sz w:val="21"/>
          <w:szCs w:val="21"/>
          <w:highlight w:val="none"/>
        </w:rPr>
      </w:pPr>
      <w:r>
        <w:rPr>
          <w:rFonts w:hint="eastAsia" w:ascii="宋体" w:hAnsi="宋体" w:cs="宋体"/>
          <w:color w:val="000000"/>
          <w:sz w:val="21"/>
          <w:szCs w:val="21"/>
          <w:highlight w:val="none"/>
        </w:rPr>
        <w:t>[2</w:t>
      </w:r>
      <w:r>
        <w:rPr>
          <w:rFonts w:hint="eastAsia" w:ascii="宋体" w:hAnsi="宋体" w:cs="宋体"/>
          <w:color w:val="000000"/>
          <w:sz w:val="21"/>
          <w:szCs w:val="21"/>
          <w:highlight w:val="none"/>
          <w:lang w:val="en-US" w:eastAsia="zh-CN"/>
        </w:rPr>
        <w:t>1</w:t>
      </w:r>
      <w:r>
        <w:rPr>
          <w:rFonts w:hint="eastAsia" w:ascii="宋体" w:hAnsi="宋体" w:cs="宋体"/>
          <w:color w:val="000000"/>
          <w:sz w:val="21"/>
          <w:szCs w:val="21"/>
          <w:highlight w:val="none"/>
        </w:rPr>
        <w:t>] GB/T 18161 飞行塔类游乐设施通用技术条件</w:t>
      </w:r>
    </w:p>
    <w:p>
      <w:pPr>
        <w:pStyle w:val="26"/>
        <w:shd w:val="clear" w:color="auto" w:fill="FFFFFF"/>
        <w:spacing w:before="0" w:beforeAutospacing="0" w:after="0" w:afterAutospacing="0" w:line="360" w:lineRule="exact"/>
        <w:ind w:firstLine="424" w:firstLineChars="202"/>
        <w:jc w:val="both"/>
        <w:rPr>
          <w:rFonts w:ascii="宋体" w:hAnsi="宋体" w:cs="宋体"/>
          <w:color w:val="000000"/>
          <w:sz w:val="21"/>
          <w:szCs w:val="21"/>
          <w:highlight w:val="none"/>
        </w:rPr>
      </w:pPr>
      <w:r>
        <w:rPr>
          <w:rFonts w:hint="eastAsia" w:ascii="宋体" w:hAnsi="宋体" w:cs="宋体"/>
          <w:color w:val="000000"/>
          <w:sz w:val="21"/>
          <w:szCs w:val="21"/>
          <w:highlight w:val="none"/>
        </w:rPr>
        <w:t>[2</w:t>
      </w:r>
      <w:r>
        <w:rPr>
          <w:rFonts w:hint="eastAsia" w:ascii="宋体" w:hAnsi="宋体" w:cs="宋体"/>
          <w:color w:val="000000"/>
          <w:sz w:val="21"/>
          <w:szCs w:val="21"/>
          <w:highlight w:val="none"/>
          <w:lang w:val="en-US" w:eastAsia="zh-CN"/>
        </w:rPr>
        <w:t>2</w:t>
      </w:r>
      <w:r>
        <w:rPr>
          <w:rFonts w:hint="eastAsia" w:ascii="宋体" w:hAnsi="宋体" w:cs="宋体"/>
          <w:color w:val="000000"/>
          <w:sz w:val="21"/>
          <w:szCs w:val="21"/>
          <w:highlight w:val="none"/>
        </w:rPr>
        <w:t>] GB/T 18162 赛车类游艺机通用技术条件</w:t>
      </w:r>
    </w:p>
    <w:p>
      <w:pPr>
        <w:pStyle w:val="26"/>
        <w:shd w:val="clear" w:color="auto" w:fill="FFFFFF"/>
        <w:spacing w:before="0" w:beforeAutospacing="0" w:after="0" w:afterAutospacing="0" w:line="360" w:lineRule="exact"/>
        <w:ind w:firstLine="424" w:firstLineChars="202"/>
        <w:jc w:val="both"/>
        <w:rPr>
          <w:rFonts w:ascii="宋体" w:hAnsi="宋体" w:cs="宋体"/>
          <w:color w:val="000000"/>
          <w:sz w:val="21"/>
          <w:szCs w:val="21"/>
          <w:highlight w:val="none"/>
        </w:rPr>
      </w:pPr>
      <w:r>
        <w:rPr>
          <w:rFonts w:hint="eastAsia" w:ascii="宋体" w:hAnsi="宋体" w:cs="宋体"/>
          <w:color w:val="000000"/>
          <w:sz w:val="21"/>
          <w:szCs w:val="21"/>
          <w:highlight w:val="none"/>
        </w:rPr>
        <w:t>[2</w:t>
      </w:r>
      <w:r>
        <w:rPr>
          <w:rFonts w:hint="eastAsia" w:ascii="宋体" w:hAnsi="宋体" w:cs="宋体"/>
          <w:color w:val="000000"/>
          <w:sz w:val="21"/>
          <w:szCs w:val="21"/>
          <w:highlight w:val="none"/>
          <w:lang w:val="en-US" w:eastAsia="zh-CN"/>
        </w:rPr>
        <w:t>3</w:t>
      </w:r>
      <w:r>
        <w:rPr>
          <w:rFonts w:hint="eastAsia" w:ascii="宋体" w:hAnsi="宋体" w:cs="宋体"/>
          <w:color w:val="000000"/>
          <w:sz w:val="21"/>
          <w:szCs w:val="21"/>
          <w:highlight w:val="none"/>
        </w:rPr>
        <w:t>] GB/T 18163 自控飞机类游乐设施通用技术条件</w:t>
      </w:r>
    </w:p>
    <w:p>
      <w:pPr>
        <w:pStyle w:val="26"/>
        <w:shd w:val="clear" w:color="auto" w:fill="FFFFFF"/>
        <w:spacing w:before="0" w:beforeAutospacing="0" w:after="0" w:afterAutospacing="0" w:line="360" w:lineRule="exact"/>
        <w:ind w:firstLine="424" w:firstLineChars="202"/>
        <w:jc w:val="both"/>
        <w:rPr>
          <w:rFonts w:ascii="宋体" w:hAnsi="宋体" w:cs="宋体"/>
          <w:color w:val="000000"/>
          <w:sz w:val="21"/>
          <w:szCs w:val="21"/>
          <w:highlight w:val="none"/>
        </w:rPr>
      </w:pPr>
      <w:r>
        <w:rPr>
          <w:rFonts w:hint="eastAsia" w:ascii="宋体" w:hAnsi="宋体" w:cs="宋体"/>
          <w:color w:val="000000"/>
          <w:sz w:val="21"/>
          <w:szCs w:val="21"/>
          <w:highlight w:val="none"/>
        </w:rPr>
        <w:t>[2</w:t>
      </w:r>
      <w:r>
        <w:rPr>
          <w:rFonts w:hint="eastAsia" w:ascii="宋体" w:hAnsi="宋体" w:cs="宋体"/>
          <w:color w:val="000000"/>
          <w:sz w:val="21"/>
          <w:szCs w:val="21"/>
          <w:highlight w:val="none"/>
          <w:lang w:val="en-US" w:eastAsia="zh-CN"/>
        </w:rPr>
        <w:t>4</w:t>
      </w:r>
      <w:r>
        <w:rPr>
          <w:rFonts w:hint="eastAsia" w:ascii="宋体" w:hAnsi="宋体" w:cs="宋体"/>
          <w:color w:val="000000"/>
          <w:sz w:val="21"/>
          <w:szCs w:val="21"/>
          <w:highlight w:val="none"/>
        </w:rPr>
        <w:t>] GB/T 18164 观览车类游乐设施通用技术条件</w:t>
      </w:r>
    </w:p>
    <w:p>
      <w:pPr>
        <w:pStyle w:val="26"/>
        <w:shd w:val="clear" w:color="auto" w:fill="FFFFFF"/>
        <w:spacing w:before="0" w:beforeAutospacing="0" w:after="0" w:afterAutospacing="0" w:line="360" w:lineRule="exact"/>
        <w:ind w:firstLine="424" w:firstLineChars="202"/>
        <w:jc w:val="both"/>
        <w:rPr>
          <w:rFonts w:ascii="宋体" w:hAnsi="宋体" w:cs="宋体"/>
          <w:color w:val="000000"/>
          <w:sz w:val="21"/>
          <w:szCs w:val="21"/>
          <w:highlight w:val="none"/>
        </w:rPr>
      </w:pPr>
      <w:r>
        <w:rPr>
          <w:rFonts w:hint="eastAsia" w:ascii="宋体" w:hAnsi="宋体" w:cs="宋体"/>
          <w:color w:val="000000"/>
          <w:sz w:val="21"/>
          <w:szCs w:val="21"/>
          <w:highlight w:val="none"/>
        </w:rPr>
        <w:t>[2</w:t>
      </w:r>
      <w:r>
        <w:rPr>
          <w:rFonts w:hint="eastAsia" w:ascii="宋体" w:hAnsi="宋体" w:cs="宋体"/>
          <w:color w:val="000000"/>
          <w:sz w:val="21"/>
          <w:szCs w:val="21"/>
          <w:highlight w:val="none"/>
          <w:lang w:val="en-US" w:eastAsia="zh-CN"/>
        </w:rPr>
        <w:t>5</w:t>
      </w:r>
      <w:r>
        <w:rPr>
          <w:rFonts w:hint="eastAsia" w:ascii="宋体" w:hAnsi="宋体" w:cs="宋体"/>
          <w:color w:val="000000"/>
          <w:sz w:val="21"/>
          <w:szCs w:val="21"/>
          <w:highlight w:val="none"/>
        </w:rPr>
        <w:t>] GB/T 18165 小火车类游乐设施通用技术条件</w:t>
      </w:r>
    </w:p>
    <w:p>
      <w:pPr>
        <w:pStyle w:val="26"/>
        <w:shd w:val="clear" w:color="auto" w:fill="FFFFFF"/>
        <w:spacing w:before="0" w:beforeAutospacing="0" w:after="0" w:afterAutospacing="0" w:line="360" w:lineRule="exact"/>
        <w:ind w:firstLine="424" w:firstLineChars="202"/>
        <w:jc w:val="both"/>
        <w:rPr>
          <w:rFonts w:ascii="宋体" w:hAnsi="宋体" w:cs="宋体"/>
          <w:color w:val="000000"/>
          <w:sz w:val="21"/>
          <w:szCs w:val="21"/>
          <w:highlight w:val="none"/>
        </w:rPr>
      </w:pPr>
      <w:r>
        <w:rPr>
          <w:rFonts w:hint="eastAsia" w:ascii="宋体" w:hAnsi="宋体" w:cs="宋体"/>
          <w:color w:val="000000"/>
          <w:sz w:val="21"/>
          <w:szCs w:val="21"/>
          <w:highlight w:val="none"/>
        </w:rPr>
        <w:t>[</w:t>
      </w:r>
      <w:r>
        <w:rPr>
          <w:rFonts w:hint="eastAsia" w:ascii="宋体" w:hAnsi="宋体" w:cs="宋体"/>
          <w:color w:val="000000"/>
          <w:sz w:val="21"/>
          <w:szCs w:val="21"/>
          <w:highlight w:val="none"/>
          <w:lang w:val="en-US" w:eastAsia="zh-CN"/>
        </w:rPr>
        <w:t>26</w:t>
      </w:r>
      <w:r>
        <w:rPr>
          <w:rFonts w:hint="eastAsia" w:ascii="宋体" w:hAnsi="宋体" w:cs="宋体"/>
          <w:color w:val="000000"/>
          <w:sz w:val="21"/>
          <w:szCs w:val="21"/>
          <w:highlight w:val="none"/>
        </w:rPr>
        <w:t>] GB/T 18166 架空游览车类游艺机通用技术条件</w:t>
      </w:r>
    </w:p>
    <w:p>
      <w:pPr>
        <w:pStyle w:val="26"/>
        <w:shd w:val="clear" w:color="auto" w:fill="FFFFFF"/>
        <w:spacing w:before="0" w:beforeAutospacing="0" w:after="0" w:afterAutospacing="0" w:line="360" w:lineRule="exact"/>
        <w:jc w:val="both"/>
        <w:rPr>
          <w:rFonts w:ascii="宋体" w:hAnsi="宋体" w:cs="宋体"/>
          <w:color w:val="000000"/>
          <w:sz w:val="21"/>
          <w:szCs w:val="21"/>
          <w:highlight w:val="none"/>
        </w:rPr>
      </w:pPr>
      <w:r>
        <w:rPr>
          <w:rFonts w:hint="eastAsia" w:ascii="宋体" w:hAnsi="宋体" w:cs="宋体"/>
          <w:color w:val="000000"/>
          <w:sz w:val="21"/>
          <w:szCs w:val="21"/>
          <w:highlight w:val="none"/>
        </w:rPr>
        <w:t xml:space="preserve">    [</w:t>
      </w:r>
      <w:r>
        <w:rPr>
          <w:rFonts w:hint="eastAsia" w:ascii="宋体" w:hAnsi="宋体" w:cs="宋体"/>
          <w:color w:val="000000"/>
          <w:sz w:val="21"/>
          <w:szCs w:val="21"/>
          <w:highlight w:val="none"/>
          <w:lang w:val="en-US" w:eastAsia="zh-CN"/>
        </w:rPr>
        <w:t>27</w:t>
      </w:r>
      <w:r>
        <w:rPr>
          <w:rFonts w:hint="eastAsia" w:ascii="宋体" w:hAnsi="宋体" w:cs="宋体"/>
          <w:color w:val="000000"/>
          <w:sz w:val="21"/>
          <w:szCs w:val="21"/>
          <w:highlight w:val="none"/>
        </w:rPr>
        <w:t>] GB/T 34371 游乐设施风险评价总则</w:t>
      </w:r>
    </w:p>
    <w:p>
      <w:pPr>
        <w:pStyle w:val="26"/>
        <w:shd w:val="clear" w:color="auto" w:fill="FFFFFF"/>
        <w:spacing w:before="0" w:beforeAutospacing="0" w:after="0" w:afterAutospacing="0" w:line="360" w:lineRule="exact"/>
        <w:ind w:firstLine="424" w:firstLineChars="202"/>
        <w:jc w:val="both"/>
        <w:rPr>
          <w:rFonts w:ascii="宋体" w:hAnsi="宋体" w:cs="宋体"/>
          <w:color w:val="000000"/>
          <w:sz w:val="21"/>
          <w:szCs w:val="21"/>
          <w:highlight w:val="none"/>
        </w:rPr>
      </w:pPr>
      <w:r>
        <w:rPr>
          <w:rFonts w:hint="eastAsia" w:ascii="宋体" w:hAnsi="宋体" w:cs="宋体"/>
          <w:color w:val="000000"/>
          <w:sz w:val="21"/>
          <w:szCs w:val="21"/>
          <w:highlight w:val="none"/>
        </w:rPr>
        <w:t>[</w:t>
      </w:r>
      <w:r>
        <w:rPr>
          <w:rFonts w:hint="eastAsia" w:ascii="宋体" w:hAnsi="宋体" w:cs="宋体"/>
          <w:color w:val="000000"/>
          <w:sz w:val="21"/>
          <w:szCs w:val="21"/>
          <w:highlight w:val="none"/>
          <w:lang w:val="en-US" w:eastAsia="zh-CN"/>
        </w:rPr>
        <w:t>28</w:t>
      </w:r>
      <w:r>
        <w:rPr>
          <w:rFonts w:hint="eastAsia" w:ascii="宋体" w:hAnsi="宋体" w:cs="宋体"/>
          <w:color w:val="000000"/>
          <w:sz w:val="21"/>
          <w:szCs w:val="21"/>
          <w:highlight w:val="none"/>
        </w:rPr>
        <w:t>] GB/T 39043 游乐设施风险评价危险源</w:t>
      </w:r>
    </w:p>
    <w:p>
      <w:pPr>
        <w:pStyle w:val="44"/>
        <w:ind w:firstLine="420"/>
        <w:rPr>
          <w:rFonts w:hAnsi="宋体" w:cs="宋体"/>
          <w:szCs w:val="21"/>
          <w:highlight w:val="none"/>
        </w:rPr>
      </w:pPr>
      <w:r>
        <w:rPr>
          <w:rFonts w:hint="eastAsia" w:hAnsi="宋体" w:cs="宋体"/>
          <w:color w:val="000000"/>
          <w:szCs w:val="21"/>
          <w:highlight w:val="none"/>
        </w:rPr>
        <w:t>[</w:t>
      </w:r>
      <w:r>
        <w:rPr>
          <w:rFonts w:hint="eastAsia" w:hAnsi="宋体" w:cs="宋体"/>
          <w:color w:val="000000"/>
          <w:szCs w:val="21"/>
          <w:highlight w:val="none"/>
          <w:lang w:val="en-US" w:eastAsia="zh-CN"/>
        </w:rPr>
        <w:t>29</w:t>
      </w:r>
      <w:r>
        <w:rPr>
          <w:rFonts w:hint="eastAsia" w:hAnsi="宋体" w:cs="宋体"/>
          <w:color w:val="000000"/>
          <w:szCs w:val="21"/>
          <w:highlight w:val="none"/>
        </w:rPr>
        <w:t>] GB/T 20050 游乐设施检验检测通用要求</w:t>
      </w:r>
    </w:p>
    <w:bookmarkEnd w:id="118"/>
    <w:p>
      <w:pPr>
        <w:pStyle w:val="44"/>
        <w:ind w:firstLine="0" w:firstLineChars="0"/>
        <w:jc w:val="center"/>
        <w:rPr>
          <w:highlight w:val="none"/>
        </w:rPr>
      </w:pPr>
      <w:bookmarkStart w:id="122" w:name="BookMark8"/>
      <w:r>
        <w:rPr>
          <w:b/>
          <w:highlight w:val="none"/>
        </w:rPr>
        <w:drawing>
          <wp:inline distT="0" distB="0" distL="114300" distR="114300">
            <wp:extent cx="1504950" cy="314325"/>
            <wp:effectExtent l="0" t="0" r="0" b="952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16"/>
                    <a:stretch>
                      <a:fillRect/>
                    </a:stretch>
                  </pic:blipFill>
                  <pic:spPr>
                    <a:xfrm>
                      <a:off x="0" y="0"/>
                      <a:ext cx="1504950" cy="314325"/>
                    </a:xfrm>
                    <a:prstGeom prst="rect">
                      <a:avLst/>
                    </a:prstGeom>
                    <a:noFill/>
                    <a:ln>
                      <a:noFill/>
                    </a:ln>
                  </pic:spPr>
                </pic:pic>
              </a:graphicData>
            </a:graphic>
          </wp:inline>
        </w:drawing>
      </w:r>
      <w:bookmarkEnd w:id="122"/>
    </w:p>
    <w:p>
      <w:pPr>
        <w:pStyle w:val="44"/>
        <w:ind w:firstLine="0" w:firstLineChars="0"/>
        <w:jc w:val="center"/>
        <w:rPr>
          <w:b/>
        </w:rPr>
      </w:pPr>
    </w:p>
    <w:sectPr>
      <w:pgSz w:w="11906" w:h="16838"/>
      <w:pgMar w:top="2410" w:right="1134" w:bottom="1134" w:left="1134" w:header="1418" w:footer="1134" w:gutter="284"/>
      <w:cols w:space="720"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pPr>
    <w:r>
      <w:fldChar w:fldCharType="begin"/>
    </w:r>
    <w:r>
      <w:instrText xml:space="preserve">PAGE   \* MERGEFORMAT</w:instrText>
    </w:r>
    <w:r>
      <w:fldChar w:fldCharType="separate"/>
    </w:r>
    <w:r>
      <w:rPr>
        <w:lang w:val="zh-CN"/>
      </w:rPr>
      <w:t>14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r>
      <w:fldChar w:fldCharType="begin"/>
    </w:r>
    <w:r>
      <w:instrText xml:space="preserve"> STYLEREF  标准文件_文件编号  \* MERGEFORMAT </w:instrText>
    </w:r>
    <w:r>
      <w:fldChar w:fldCharType="separate"/>
    </w:r>
    <w:r>
      <w:t>DB13/T 3031—2025</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fldChar w:fldCharType="begin"/>
    </w:r>
    <w:r>
      <w:instrText xml:space="preserve"> STYLEREF  标准文件_文件编号  \* MERGEFORMAT </w:instrText>
    </w:r>
    <w:r>
      <w:fldChar w:fldCharType="separate"/>
    </w:r>
    <w:r>
      <w:t>DB13/T 3031—2025</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65924"/>
    <w:multiLevelType w:val="singleLevel"/>
    <w:tmpl w:val="9C565924"/>
    <w:lvl w:ilvl="0" w:tentative="0">
      <w:start w:val="3"/>
      <w:numFmt w:val="decimal"/>
      <w:suff w:val="nothing"/>
      <w:lvlText w:val="%1、"/>
      <w:lvlJc w:val="left"/>
    </w:lvl>
  </w:abstractNum>
  <w:abstractNum w:abstractNumId="1">
    <w:nsid w:val="EAC09E09"/>
    <w:multiLevelType w:val="singleLevel"/>
    <w:tmpl w:val="EAC09E09"/>
    <w:lvl w:ilvl="0" w:tentative="0">
      <w:start w:val="1"/>
      <w:numFmt w:val="decimal"/>
      <w:suff w:val="nothing"/>
      <w:lvlText w:val="%1．"/>
      <w:lvlJc w:val="left"/>
      <w:pPr>
        <w:ind w:left="0" w:firstLine="400"/>
      </w:pPr>
      <w:rPr>
        <w:rFonts w:hint="default"/>
      </w:rPr>
    </w:lvl>
  </w:abstractNum>
  <w:abstractNum w:abstractNumId="2">
    <w:nsid w:val="FE9F1B54"/>
    <w:multiLevelType w:val="singleLevel"/>
    <w:tmpl w:val="FE9F1B54"/>
    <w:lvl w:ilvl="0" w:tentative="0">
      <w:start w:val="1"/>
      <w:numFmt w:val="decimal"/>
      <w:lvlText w:val="%1."/>
      <w:lvlJc w:val="left"/>
      <w:pPr>
        <w:tabs>
          <w:tab w:val="left" w:pos="312"/>
        </w:tabs>
      </w:pPr>
    </w:lvl>
  </w:abstractNum>
  <w:abstractNum w:abstractNumId="3">
    <w:nsid w:val="02837933"/>
    <w:multiLevelType w:val="multilevel"/>
    <w:tmpl w:val="02837933"/>
    <w:lvl w:ilvl="0" w:tentative="0">
      <w:start w:val="1"/>
      <w:numFmt w:val="decimal"/>
      <w:pStyle w:val="52"/>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4">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40"/>
      <w:suff w:val="nothing"/>
      <w:lvlText w:val="%1%2.%3　"/>
      <w:lvlJc w:val="left"/>
      <w:pPr>
        <w:ind w:left="0" w:firstLine="0"/>
      </w:pPr>
    </w:lvl>
    <w:lvl w:ilvl="3" w:tentative="0">
      <w:start w:val="1"/>
      <w:numFmt w:val="decimal"/>
      <w:pStyle w:val="101"/>
      <w:suff w:val="nothing"/>
      <w:lvlText w:val="%1%2.%3.%4　"/>
      <w:lvlJc w:val="left"/>
      <w:pPr>
        <w:ind w:left="0" w:firstLine="0"/>
      </w:pPr>
    </w:lvl>
    <w:lvl w:ilvl="4" w:tentative="0">
      <w:start w:val="1"/>
      <w:numFmt w:val="decimal"/>
      <w:pStyle w:val="134"/>
      <w:suff w:val="nothing"/>
      <w:lvlText w:val="%1%2.%3.%4.%5　"/>
      <w:lvlJc w:val="left"/>
      <w:pPr>
        <w:ind w:left="0" w:firstLine="0"/>
      </w:pPr>
    </w:lvl>
    <w:lvl w:ilvl="5" w:tentative="0">
      <w:start w:val="1"/>
      <w:numFmt w:val="decimal"/>
      <w:pStyle w:val="136"/>
      <w:suff w:val="nothing"/>
      <w:lvlText w:val="%1%2.%3.%4.%5.%6　"/>
      <w:lvlJc w:val="left"/>
      <w:pPr>
        <w:ind w:left="0" w:firstLine="0"/>
      </w:pPr>
    </w:lvl>
    <w:lvl w:ilvl="6" w:tentative="0">
      <w:start w:val="1"/>
      <w:numFmt w:val="decimal"/>
      <w:pStyle w:val="13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5">
    <w:nsid w:val="079102AD"/>
    <w:multiLevelType w:val="multilevel"/>
    <w:tmpl w:val="079102AD"/>
    <w:lvl w:ilvl="0" w:tentative="0">
      <w:start w:val="1"/>
      <w:numFmt w:val="decimal"/>
      <w:pStyle w:val="16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6">
    <w:nsid w:val="07ED3FEA"/>
    <w:multiLevelType w:val="multilevel"/>
    <w:tmpl w:val="07ED3FEA"/>
    <w:lvl w:ilvl="0" w:tentative="0">
      <w:start w:val="1"/>
      <w:numFmt w:val="none"/>
      <w:pStyle w:val="75"/>
      <w:lvlText w:val="%1"/>
      <w:lvlJc w:val="left"/>
      <w:pPr>
        <w:ind w:left="425" w:hanging="425"/>
      </w:pPr>
      <w:rPr>
        <w:rFonts w:hint="eastAsia"/>
      </w:rPr>
    </w:lvl>
    <w:lvl w:ilvl="1" w:tentative="0">
      <w:start w:val="1"/>
      <w:numFmt w:val="decimal"/>
      <w:pStyle w:val="178"/>
      <w:suff w:val="nothing"/>
      <w:lvlText w:val="%10.%2 "/>
      <w:lvlJc w:val="left"/>
      <w:pPr>
        <w:ind w:left="0" w:firstLine="0"/>
      </w:pPr>
      <w:rPr>
        <w:rFonts w:hint="eastAsia" w:ascii="黑体" w:hAnsi="等线" w:eastAsia="黑体"/>
        <w:b w:val="0"/>
        <w:i w:val="0"/>
        <w:sz w:val="21"/>
      </w:rPr>
    </w:lvl>
    <w:lvl w:ilvl="2" w:tentative="0">
      <w:start w:val="1"/>
      <w:numFmt w:val="decimal"/>
      <w:pStyle w:val="179"/>
      <w:suff w:val="nothing"/>
      <w:lvlText w:val="%10.%2.%3 "/>
      <w:lvlJc w:val="left"/>
      <w:pPr>
        <w:ind w:left="0" w:firstLine="0"/>
      </w:pPr>
      <w:rPr>
        <w:rFonts w:hint="eastAsia" w:ascii="黑体" w:hAnsi="等线" w:eastAsia="黑体"/>
        <w:b w:val="0"/>
        <w:i w:val="0"/>
        <w:sz w:val="21"/>
      </w:rPr>
    </w:lvl>
    <w:lvl w:ilvl="3" w:tentative="0">
      <w:start w:val="1"/>
      <w:numFmt w:val="decimal"/>
      <w:pStyle w:val="180"/>
      <w:suff w:val="nothing"/>
      <w:lvlText w:val="%10.%2.%3.%4 "/>
      <w:lvlJc w:val="left"/>
      <w:pPr>
        <w:ind w:left="0" w:firstLine="0"/>
      </w:pPr>
      <w:rPr>
        <w:rFonts w:hint="eastAsia" w:ascii="黑体" w:hAnsi="等线" w:eastAsia="黑体"/>
        <w:b w:val="0"/>
        <w:i w:val="0"/>
        <w:sz w:val="21"/>
      </w:rPr>
    </w:lvl>
    <w:lvl w:ilvl="4" w:tentative="0">
      <w:start w:val="1"/>
      <w:numFmt w:val="decimal"/>
      <w:pStyle w:val="181"/>
      <w:suff w:val="nothing"/>
      <w:lvlText w:val="%10.%2.%3.%4.%5 "/>
      <w:lvlJc w:val="left"/>
      <w:pPr>
        <w:ind w:left="0" w:firstLine="0"/>
      </w:pPr>
      <w:rPr>
        <w:rFonts w:hint="eastAsia" w:ascii="黑体" w:hAnsi="等线" w:eastAsia="黑体"/>
        <w:b w:val="0"/>
        <w:i w:val="0"/>
        <w:sz w:val="21"/>
      </w:rPr>
    </w:lvl>
    <w:lvl w:ilvl="5" w:tentative="0">
      <w:start w:val="1"/>
      <w:numFmt w:val="decimal"/>
      <w:pStyle w:val="182"/>
      <w:suff w:val="nothing"/>
      <w:lvlText w:val="%10.%2.%3.%4.%5.%6 "/>
      <w:lvlJc w:val="left"/>
      <w:pPr>
        <w:ind w:left="0" w:firstLine="0"/>
      </w:pPr>
      <w:rPr>
        <w:rFonts w:hint="eastAsia" w:ascii="黑体" w:hAnsi="等线" w:eastAsia="黑体"/>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
    <w:nsid w:val="0AE367E9"/>
    <w:multiLevelType w:val="multilevel"/>
    <w:tmpl w:val="0AE367E9"/>
    <w:lvl w:ilvl="0" w:tentative="0">
      <w:start w:val="1"/>
      <w:numFmt w:val="none"/>
      <w:pStyle w:val="16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8">
    <w:nsid w:val="0BDC1670"/>
    <w:multiLevelType w:val="multilevel"/>
    <w:tmpl w:val="0BDC1670"/>
    <w:lvl w:ilvl="0" w:tentative="0">
      <w:start w:val="1"/>
      <w:numFmt w:val="decimal"/>
      <w:pStyle w:val="54"/>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D051F45"/>
    <w:multiLevelType w:val="multilevel"/>
    <w:tmpl w:val="0D051F45"/>
    <w:lvl w:ilvl="0" w:tentative="0">
      <w:start w:val="1"/>
      <w:numFmt w:val="lowerRoman"/>
      <w:pStyle w:val="15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10">
    <w:nsid w:val="1292DF91"/>
    <w:multiLevelType w:val="singleLevel"/>
    <w:tmpl w:val="1292DF91"/>
    <w:lvl w:ilvl="0" w:tentative="0">
      <w:start w:val="6"/>
      <w:numFmt w:val="decimal"/>
      <w:suff w:val="nothing"/>
      <w:lvlText w:val="%1、"/>
      <w:lvlJc w:val="left"/>
    </w:lvl>
  </w:abstractNum>
  <w:abstractNum w:abstractNumId="11">
    <w:nsid w:val="1AD20F90"/>
    <w:multiLevelType w:val="multilevel"/>
    <w:tmpl w:val="1AD20F90"/>
    <w:lvl w:ilvl="0" w:tentative="0">
      <w:start w:val="1"/>
      <w:numFmt w:val="none"/>
      <w:pStyle w:val="93"/>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1AF15012"/>
    <w:multiLevelType w:val="multilevel"/>
    <w:tmpl w:val="1AF15012"/>
    <w:lvl w:ilvl="0" w:tentative="0">
      <w:start w:val="1"/>
      <w:numFmt w:val="upperLetter"/>
      <w:pStyle w:val="72"/>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3">
    <w:nsid w:val="1EAA1992"/>
    <w:multiLevelType w:val="multilevel"/>
    <w:tmpl w:val="1EAA1992"/>
    <w:lvl w:ilvl="0" w:tentative="0">
      <w:start w:val="1"/>
      <w:numFmt w:val="none"/>
      <w:pStyle w:val="78"/>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4">
    <w:nsid w:val="2C5917C3"/>
    <w:multiLevelType w:val="multilevel"/>
    <w:tmpl w:val="2C5917C3"/>
    <w:lvl w:ilvl="0" w:tentative="0">
      <w:start w:val="1"/>
      <w:numFmt w:val="none"/>
      <w:pStyle w:val="115"/>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66"/>
      <w:lvlText w:val=""/>
      <w:lvlJc w:val="left"/>
      <w:pPr>
        <w:ind w:left="851" w:hanging="431"/>
      </w:pPr>
      <w:rPr>
        <w:rFonts w:hint="default" w:ascii="Symbol" w:hAnsi="Symbol"/>
        <w:sz w:val="21"/>
      </w:rPr>
    </w:lvl>
    <w:lvl w:ilvl="2" w:tentative="0">
      <w:start w:val="1"/>
      <w:numFmt w:val="bullet"/>
      <w:pStyle w:val="15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5">
    <w:nsid w:val="32F04FB2"/>
    <w:multiLevelType w:val="multilevel"/>
    <w:tmpl w:val="32F04FB2"/>
    <w:lvl w:ilvl="0" w:tentative="0">
      <w:start w:val="1"/>
      <w:numFmt w:val="lowerLetter"/>
      <w:pStyle w:val="85"/>
      <w:lvlText w:val="%1"/>
      <w:lvlJc w:val="left"/>
      <w:pPr>
        <w:tabs>
          <w:tab w:val="left" w:pos="539"/>
        </w:tabs>
        <w:ind w:left="539" w:hanging="119"/>
      </w:pPr>
      <w:rPr>
        <w:rFonts w:hint="eastAsia"/>
        <w:caps w:val="0"/>
        <w:strike w:val="0"/>
        <w:dstrike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6">
    <w:nsid w:val="333E00EC"/>
    <w:multiLevelType w:val="multilevel"/>
    <w:tmpl w:val="333E00EC"/>
    <w:lvl w:ilvl="0" w:tentative="0">
      <w:start w:val="1"/>
      <w:numFmt w:val="lowerLetter"/>
      <w:lvlText w:val="%1)"/>
      <w:lvlJc w:val="left"/>
      <w:pPr>
        <w:ind w:left="845" w:hanging="420"/>
      </w:p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7">
    <w:nsid w:val="44C50F90"/>
    <w:multiLevelType w:val="multilevel"/>
    <w:tmpl w:val="44C50F90"/>
    <w:lvl w:ilvl="0" w:tentative="0">
      <w:start w:val="1"/>
      <w:numFmt w:val="lowerLetter"/>
      <w:pStyle w:val="155"/>
      <w:lvlText w:val="%1)"/>
      <w:lvlJc w:val="left"/>
      <w:pPr>
        <w:tabs>
          <w:tab w:val="left" w:pos="851"/>
        </w:tabs>
        <w:ind w:left="851" w:hanging="426"/>
      </w:pPr>
      <w:rPr>
        <w:rFonts w:hint="eastAsia" w:ascii="宋体" w:hAnsi="Times New Roman" w:eastAsia="宋体"/>
        <w:sz w:val="21"/>
      </w:rPr>
    </w:lvl>
    <w:lvl w:ilvl="1" w:tentative="0">
      <w:start w:val="1"/>
      <w:numFmt w:val="decimal"/>
      <w:pStyle w:val="92"/>
      <w:lvlText w:val="%2)"/>
      <w:lvlJc w:val="left"/>
      <w:pPr>
        <w:tabs>
          <w:tab w:val="left" w:pos="1276"/>
        </w:tabs>
        <w:ind w:left="1276" w:hanging="425"/>
      </w:pPr>
      <w:rPr>
        <w:rFonts w:hint="eastAsia" w:ascii="宋体" w:hAnsi="Times New Roman" w:eastAsia="宋体"/>
        <w:sz w:val="21"/>
      </w:rPr>
    </w:lvl>
    <w:lvl w:ilvl="2" w:tentative="0">
      <w:start w:val="1"/>
      <w:numFmt w:val="decimal"/>
      <w:pStyle w:val="100"/>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8">
    <w:nsid w:val="48802D1C"/>
    <w:multiLevelType w:val="multilevel"/>
    <w:tmpl w:val="48802D1C"/>
    <w:lvl w:ilvl="0" w:tentative="0">
      <w:start w:val="1"/>
      <w:numFmt w:val="upperLetter"/>
      <w:pStyle w:val="176"/>
      <w:lvlText w:val="%1"/>
      <w:lvlJc w:val="left"/>
      <w:pPr>
        <w:ind w:left="420" w:hanging="420"/>
      </w:pPr>
      <w:rPr>
        <w:rFonts w:hint="eastAsia"/>
      </w:rPr>
    </w:lvl>
    <w:lvl w:ilvl="1" w:tentative="0">
      <w:start w:val="1"/>
      <w:numFmt w:val="decimal"/>
      <w:pStyle w:val="70"/>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9">
    <w:nsid w:val="4B733A5F"/>
    <w:multiLevelType w:val="multilevel"/>
    <w:tmpl w:val="4B733A5F"/>
    <w:lvl w:ilvl="0" w:tentative="0">
      <w:start w:val="1"/>
      <w:numFmt w:val="decimal"/>
      <w:pStyle w:val="16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0">
    <w:nsid w:val="4E5D0534"/>
    <w:multiLevelType w:val="multilevel"/>
    <w:tmpl w:val="4E5D0534"/>
    <w:lvl w:ilvl="0" w:tentative="0">
      <w:start w:val="1"/>
      <w:numFmt w:val="decimal"/>
      <w:pStyle w:val="99"/>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1">
    <w:nsid w:val="54632751"/>
    <w:multiLevelType w:val="multilevel"/>
    <w:tmpl w:val="54632751"/>
    <w:lvl w:ilvl="0" w:tentative="0">
      <w:start w:val="1"/>
      <w:numFmt w:val="none"/>
      <w:pStyle w:val="79"/>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22">
    <w:nsid w:val="557C2AF5"/>
    <w:multiLevelType w:val="multilevel"/>
    <w:tmpl w:val="557C2AF5"/>
    <w:lvl w:ilvl="0" w:tentative="0">
      <w:start w:val="1"/>
      <w:numFmt w:val="decimal"/>
      <w:pStyle w:val="97"/>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3">
    <w:nsid w:val="5603797C"/>
    <w:multiLevelType w:val="multilevel"/>
    <w:tmpl w:val="5603797C"/>
    <w:lvl w:ilvl="0" w:tentative="0">
      <w:start w:val="1"/>
      <w:numFmt w:val="upperLetter"/>
      <w:pStyle w:val="177"/>
      <w:suff w:val="space"/>
      <w:lvlText w:val="%1"/>
      <w:lvlJc w:val="left"/>
      <w:pPr>
        <w:ind w:left="425" w:hanging="425"/>
      </w:pPr>
      <w:rPr>
        <w:rFonts w:hint="eastAsia"/>
      </w:rPr>
    </w:lvl>
    <w:lvl w:ilvl="1" w:tentative="0">
      <w:start w:val="1"/>
      <w:numFmt w:val="decimal"/>
      <w:pStyle w:val="64"/>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4">
    <w:nsid w:val="564D2089"/>
    <w:multiLevelType w:val="multilevel"/>
    <w:tmpl w:val="564D2089"/>
    <w:lvl w:ilvl="0" w:tentative="0">
      <w:start w:val="1"/>
      <w:numFmt w:val="none"/>
      <w:pStyle w:val="94"/>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644622F9"/>
    <w:multiLevelType w:val="multilevel"/>
    <w:tmpl w:val="644622F9"/>
    <w:lvl w:ilvl="0" w:tentative="0">
      <w:start w:val="1"/>
      <w:numFmt w:val="upperRoman"/>
      <w:pStyle w:val="14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6">
    <w:nsid w:val="646260FA"/>
    <w:multiLevelType w:val="multilevel"/>
    <w:tmpl w:val="646260FA"/>
    <w:lvl w:ilvl="0" w:tentative="0">
      <w:start w:val="1"/>
      <w:numFmt w:val="decimal"/>
      <w:pStyle w:val="95"/>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7">
    <w:nsid w:val="654A26C9"/>
    <w:multiLevelType w:val="multilevel"/>
    <w:tmpl w:val="654A26C9"/>
    <w:lvl w:ilvl="0" w:tentative="0">
      <w:start w:val="1"/>
      <w:numFmt w:val="none"/>
      <w:pStyle w:val="168"/>
      <w:lvlText w:val="──"/>
      <w:lvlJc w:val="left"/>
      <w:pPr>
        <w:ind w:left="851" w:firstLine="0"/>
      </w:pPr>
      <w:rPr>
        <w:rFonts w:hint="eastAsia" w:ascii="宋体" w:hAnsi="等线 Light" w:eastAsia="宋体"/>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8">
    <w:nsid w:val="657D3FBC"/>
    <w:multiLevelType w:val="multilevel"/>
    <w:tmpl w:val="657D3FBC"/>
    <w:lvl w:ilvl="0" w:tentative="0">
      <w:start w:val="1"/>
      <w:numFmt w:val="upperLetter"/>
      <w:pStyle w:val="63"/>
      <w:suff w:val="nothing"/>
      <w:lvlText w:val="附录%1"/>
      <w:lvlJc w:val="left"/>
      <w:pPr>
        <w:ind w:left="0" w:firstLine="0"/>
      </w:pPr>
      <w:rPr>
        <w:rFonts w:hint="eastAsia"/>
        <w:spacing w:val="100"/>
      </w:rPr>
    </w:lvl>
    <w:lvl w:ilvl="1" w:tentative="0">
      <w:start w:val="1"/>
      <w:numFmt w:val="decimal"/>
      <w:pStyle w:val="65"/>
      <w:suff w:val="nothing"/>
      <w:lvlText w:val="%1.%2　"/>
      <w:lvlJc w:val="left"/>
      <w:pPr>
        <w:ind w:left="0" w:firstLine="0"/>
      </w:pPr>
      <w:rPr>
        <w:rFonts w:hint="eastAsia" w:ascii="黑体" w:eastAsia="黑体"/>
        <w:b w:val="0"/>
        <w:i w:val="0"/>
        <w:sz w:val="21"/>
      </w:rPr>
    </w:lvl>
    <w:lvl w:ilvl="2" w:tentative="0">
      <w:start w:val="1"/>
      <w:numFmt w:val="decimal"/>
      <w:pStyle w:val="66"/>
      <w:suff w:val="nothing"/>
      <w:lvlText w:val="%1.%2.%3　"/>
      <w:lvlJc w:val="left"/>
      <w:pPr>
        <w:ind w:left="0" w:firstLine="0"/>
      </w:pPr>
      <w:rPr>
        <w:rFonts w:hint="eastAsia" w:ascii="黑体" w:eastAsia="黑体"/>
        <w:b w:val="0"/>
        <w:i w:val="0"/>
        <w:sz w:val="21"/>
      </w:rPr>
    </w:lvl>
    <w:lvl w:ilvl="3" w:tentative="0">
      <w:start w:val="1"/>
      <w:numFmt w:val="decimal"/>
      <w:pStyle w:val="68"/>
      <w:suff w:val="nothing"/>
      <w:lvlText w:val="%1.%2.%3.%4　"/>
      <w:lvlJc w:val="left"/>
      <w:pPr>
        <w:ind w:left="0" w:firstLine="0"/>
      </w:pPr>
      <w:rPr>
        <w:rFonts w:hint="eastAsia" w:ascii="黑体" w:eastAsia="黑体"/>
        <w:b w:val="0"/>
        <w:i w:val="0"/>
        <w:sz w:val="21"/>
      </w:rPr>
    </w:lvl>
    <w:lvl w:ilvl="4" w:tentative="0">
      <w:start w:val="1"/>
      <w:numFmt w:val="decimal"/>
      <w:pStyle w:val="69"/>
      <w:suff w:val="nothing"/>
      <w:lvlText w:val="%1.%2.%3.%4.%5　"/>
      <w:lvlJc w:val="left"/>
      <w:pPr>
        <w:ind w:left="0" w:firstLine="0"/>
      </w:pPr>
      <w:rPr>
        <w:rFonts w:hint="eastAsia" w:ascii="黑体" w:eastAsia="黑体"/>
        <w:b w:val="0"/>
        <w:i w:val="0"/>
        <w:sz w:val="21"/>
      </w:rPr>
    </w:lvl>
    <w:lvl w:ilvl="5" w:tentative="0">
      <w:start w:val="1"/>
      <w:numFmt w:val="decimal"/>
      <w:pStyle w:val="71"/>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9">
    <w:nsid w:val="69506ABF"/>
    <w:multiLevelType w:val="multilevel"/>
    <w:tmpl w:val="69506ABF"/>
    <w:lvl w:ilvl="0" w:tentative="0">
      <w:start w:val="1"/>
      <w:numFmt w:val="bullet"/>
      <w:pStyle w:val="167"/>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30">
    <w:nsid w:val="6CA41985"/>
    <w:multiLevelType w:val="multilevel"/>
    <w:tmpl w:val="6CA41985"/>
    <w:lvl w:ilvl="0" w:tentative="0">
      <w:start w:val="1"/>
      <w:numFmt w:val="decimal"/>
      <w:pStyle w:val="82"/>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6CE42AC1"/>
    <w:multiLevelType w:val="multilevel"/>
    <w:tmpl w:val="6CE42AC1"/>
    <w:lvl w:ilvl="0" w:tentative="0">
      <w:start w:val="1"/>
      <w:numFmt w:val="lowerLetter"/>
      <w:pStyle w:val="15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6CEA2025"/>
    <w:multiLevelType w:val="multilevel"/>
    <w:tmpl w:val="6CEA2025"/>
    <w:lvl w:ilvl="0" w:tentative="0">
      <w:start w:val="1"/>
      <w:numFmt w:val="none"/>
      <w:pStyle w:val="133"/>
      <w:suff w:val="nothing"/>
      <w:lvlText w:val="%1"/>
      <w:lvlJc w:val="left"/>
      <w:pPr>
        <w:ind w:left="0" w:firstLine="0"/>
      </w:pPr>
      <w:rPr>
        <w:rFonts w:hint="eastAsia"/>
      </w:rPr>
    </w:lvl>
    <w:lvl w:ilvl="1" w:tentative="0">
      <w:start w:val="1"/>
      <w:numFmt w:val="decimal"/>
      <w:pStyle w:val="87"/>
      <w:suff w:val="nothing"/>
      <w:lvlText w:val="%1%2　"/>
      <w:lvlJc w:val="left"/>
      <w:pPr>
        <w:ind w:left="0" w:firstLine="0"/>
      </w:pPr>
      <w:rPr>
        <w:rFonts w:hint="eastAsia" w:ascii="黑体" w:eastAsia="黑体"/>
        <w:b w:val="0"/>
        <w:i w:val="0"/>
        <w:sz w:val="21"/>
      </w:rPr>
    </w:lvl>
    <w:lvl w:ilvl="2" w:tentative="0">
      <w:start w:val="1"/>
      <w:numFmt w:val="decimal"/>
      <w:pStyle w:val="88"/>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color w:val="000000"/>
        <w:spacing w:val="0"/>
        <w:kern w:val="0"/>
        <w:position w:val="0"/>
        <w:sz w:val="21"/>
        <w:u w:val="none"/>
      </w:rPr>
    </w:lvl>
    <w:lvl w:ilvl="3" w:tentative="0">
      <w:start w:val="1"/>
      <w:numFmt w:val="decimal"/>
      <w:pStyle w:val="53"/>
      <w:suff w:val="nothing"/>
      <w:lvlText w:val="%1%2.%3.%4　"/>
      <w:lvlJc w:val="left"/>
      <w:pPr>
        <w:ind w:left="1418" w:firstLine="0"/>
      </w:pPr>
      <w:rPr>
        <w:rFonts w:hint="eastAsia" w:ascii="黑体" w:eastAsia="黑体"/>
        <w:b w:val="0"/>
        <w:i w:val="0"/>
        <w:sz w:val="21"/>
      </w:rPr>
    </w:lvl>
    <w:lvl w:ilvl="4" w:tentative="0">
      <w:start w:val="1"/>
      <w:numFmt w:val="decimal"/>
      <w:pStyle w:val="80"/>
      <w:suff w:val="nothing"/>
      <w:lvlText w:val="%1%2.%3.%4.%5　"/>
      <w:lvlJc w:val="left"/>
      <w:pPr>
        <w:ind w:left="0" w:firstLine="0"/>
      </w:pPr>
      <w:rPr>
        <w:rFonts w:hint="eastAsia" w:ascii="黑体" w:eastAsia="黑体"/>
        <w:b w:val="0"/>
        <w:i w:val="0"/>
        <w:sz w:val="21"/>
      </w:rPr>
    </w:lvl>
    <w:lvl w:ilvl="5" w:tentative="0">
      <w:start w:val="1"/>
      <w:numFmt w:val="decimal"/>
      <w:pStyle w:val="83"/>
      <w:suff w:val="nothing"/>
      <w:lvlText w:val="%1%2.%3.%4.%5.%6　"/>
      <w:lvlJc w:val="left"/>
      <w:pPr>
        <w:ind w:left="0" w:firstLine="0"/>
      </w:pPr>
      <w:rPr>
        <w:rFonts w:hint="eastAsia" w:ascii="黑体" w:eastAsia="黑体"/>
        <w:b w:val="0"/>
        <w:i w:val="0"/>
        <w:sz w:val="21"/>
      </w:rPr>
    </w:lvl>
    <w:lvl w:ilvl="6" w:tentative="0">
      <w:start w:val="1"/>
      <w:numFmt w:val="decimal"/>
      <w:pStyle w:val="86"/>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3">
    <w:nsid w:val="6DBF04F4"/>
    <w:multiLevelType w:val="multilevel"/>
    <w:tmpl w:val="6DBF04F4"/>
    <w:lvl w:ilvl="0" w:tentative="0">
      <w:start w:val="1"/>
      <w:numFmt w:val="none"/>
      <w:pStyle w:val="16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4">
    <w:nsid w:val="6DF35F19"/>
    <w:multiLevelType w:val="multilevel"/>
    <w:tmpl w:val="6DF35F19"/>
    <w:lvl w:ilvl="0" w:tentative="0">
      <w:start w:val="1"/>
      <w:numFmt w:val="decimal"/>
      <w:pStyle w:val="98"/>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5">
    <w:nsid w:val="76933334"/>
    <w:multiLevelType w:val="multilevel"/>
    <w:tmpl w:val="76933334"/>
    <w:lvl w:ilvl="0" w:tentative="0">
      <w:start w:val="1"/>
      <w:numFmt w:val="none"/>
      <w:pStyle w:val="12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32"/>
  </w:num>
  <w:num w:numId="3">
    <w:abstractNumId w:val="8"/>
  </w:num>
  <w:num w:numId="4">
    <w:abstractNumId w:val="28"/>
  </w:num>
  <w:num w:numId="5">
    <w:abstractNumId w:val="23"/>
  </w:num>
  <w:num w:numId="6">
    <w:abstractNumId w:val="18"/>
  </w:num>
  <w:num w:numId="7">
    <w:abstractNumId w:val="12"/>
  </w:num>
  <w:num w:numId="8">
    <w:abstractNumId w:val="6"/>
  </w:num>
  <w:num w:numId="9">
    <w:abstractNumId w:val="13"/>
  </w:num>
  <w:num w:numId="10">
    <w:abstractNumId w:val="21"/>
  </w:num>
  <w:num w:numId="11">
    <w:abstractNumId w:val="30"/>
  </w:num>
  <w:num w:numId="12">
    <w:abstractNumId w:val="15"/>
  </w:num>
  <w:num w:numId="13">
    <w:abstractNumId w:val="17"/>
  </w:num>
  <w:num w:numId="14">
    <w:abstractNumId w:val="11"/>
  </w:num>
  <w:num w:numId="15">
    <w:abstractNumId w:val="24"/>
  </w:num>
  <w:num w:numId="16">
    <w:abstractNumId w:val="26"/>
  </w:num>
  <w:num w:numId="17">
    <w:abstractNumId w:val="22"/>
  </w:num>
  <w:num w:numId="18">
    <w:abstractNumId w:val="34"/>
  </w:num>
  <w:num w:numId="19">
    <w:abstractNumId w:val="20"/>
  </w:num>
  <w:num w:numId="20">
    <w:abstractNumId w:val="4"/>
  </w:num>
  <w:num w:numId="21">
    <w:abstractNumId w:val="14"/>
  </w:num>
  <w:num w:numId="22">
    <w:abstractNumId w:val="35"/>
  </w:num>
  <w:num w:numId="23">
    <w:abstractNumId w:val="25"/>
  </w:num>
  <w:num w:numId="24">
    <w:abstractNumId w:val="9"/>
  </w:num>
  <w:num w:numId="25">
    <w:abstractNumId w:val="31"/>
  </w:num>
  <w:num w:numId="26">
    <w:abstractNumId w:val="33"/>
  </w:num>
  <w:num w:numId="27">
    <w:abstractNumId w:val="5"/>
  </w:num>
  <w:num w:numId="28">
    <w:abstractNumId w:val="7"/>
  </w:num>
  <w:num w:numId="29">
    <w:abstractNumId w:val="19"/>
  </w:num>
  <w:num w:numId="30">
    <w:abstractNumId w:val="29"/>
  </w:num>
  <w:num w:numId="31">
    <w:abstractNumId w:val="27"/>
  </w:num>
  <w:num w:numId="32">
    <w:abstractNumId w:val="17"/>
    <w:lvlOverride w:ilvl="0">
      <w:startOverride w:val="1"/>
    </w:lvlOverride>
  </w:num>
  <w:num w:numId="33">
    <w:abstractNumId w:val="16"/>
  </w:num>
  <w:num w:numId="34">
    <w:abstractNumId w:val="17"/>
    <w:lvlOverride w:ilvl="0">
      <w:startOverride w:val="1"/>
    </w:lvlOverride>
  </w:num>
  <w:num w:numId="35">
    <w:abstractNumId w:val="17"/>
    <w:lvlOverride w:ilvl="0">
      <w:startOverride w:val="1"/>
    </w:lvlOverride>
  </w:num>
  <w:num w:numId="36">
    <w:abstractNumId w:val="1"/>
  </w:num>
  <w:num w:numId="37">
    <w:abstractNumId w:val="2"/>
  </w:num>
  <w:num w:numId="38">
    <w:abstractNumId w:val="0"/>
  </w:num>
  <w:num w:numId="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Full" w:cryptAlgorithmClass="hash" w:cryptAlgorithmType="typeAny" w:cryptAlgorithmSid="4" w:cryptSpinCount="100000" w:hash="YIp6Y8p/5cbIOGT0FqZ1ptNymD0=" w:salt="75RtdOCVwCnUN9v10KgwCA=="/>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2ZDgzNWMwMmE2Y2Y5ZjcwNWM0M2YwMzZhM2JhMGQifQ=="/>
  </w:docVars>
  <w:rsids>
    <w:rsidRoot w:val="00A45B16"/>
    <w:rsid w:val="0000040A"/>
    <w:rsid w:val="00000A94"/>
    <w:rsid w:val="00001972"/>
    <w:rsid w:val="00001D9A"/>
    <w:rsid w:val="000079B9"/>
    <w:rsid w:val="00007B3A"/>
    <w:rsid w:val="000107E0"/>
    <w:rsid w:val="0001197F"/>
    <w:rsid w:val="00011FDE"/>
    <w:rsid w:val="00012FFD"/>
    <w:rsid w:val="00014162"/>
    <w:rsid w:val="00014340"/>
    <w:rsid w:val="00016661"/>
    <w:rsid w:val="00016A9C"/>
    <w:rsid w:val="00022184"/>
    <w:rsid w:val="000226B5"/>
    <w:rsid w:val="00022762"/>
    <w:rsid w:val="000238E0"/>
    <w:rsid w:val="000249DB"/>
    <w:rsid w:val="0002595E"/>
    <w:rsid w:val="000303C3"/>
    <w:rsid w:val="000315A3"/>
    <w:rsid w:val="000331D3"/>
    <w:rsid w:val="000346A5"/>
    <w:rsid w:val="000359C3"/>
    <w:rsid w:val="00035A7D"/>
    <w:rsid w:val="000365ED"/>
    <w:rsid w:val="00040D99"/>
    <w:rsid w:val="0004249A"/>
    <w:rsid w:val="00043282"/>
    <w:rsid w:val="00044286"/>
    <w:rsid w:val="00045792"/>
    <w:rsid w:val="000466E9"/>
    <w:rsid w:val="00047F28"/>
    <w:rsid w:val="000503AA"/>
    <w:rsid w:val="000506A1"/>
    <w:rsid w:val="000515DD"/>
    <w:rsid w:val="0005265A"/>
    <w:rsid w:val="000537D7"/>
    <w:rsid w:val="000539DD"/>
    <w:rsid w:val="00053BD3"/>
    <w:rsid w:val="00054354"/>
    <w:rsid w:val="000556ED"/>
    <w:rsid w:val="00055FE2"/>
    <w:rsid w:val="0005616F"/>
    <w:rsid w:val="00060C2E"/>
    <w:rsid w:val="00061033"/>
    <w:rsid w:val="000619E9"/>
    <w:rsid w:val="000622D4"/>
    <w:rsid w:val="0006357D"/>
    <w:rsid w:val="00064449"/>
    <w:rsid w:val="00067F1E"/>
    <w:rsid w:val="00071CC0"/>
    <w:rsid w:val="00073C8C"/>
    <w:rsid w:val="00074353"/>
    <w:rsid w:val="00077B64"/>
    <w:rsid w:val="00080A1C"/>
    <w:rsid w:val="000811FA"/>
    <w:rsid w:val="00082317"/>
    <w:rsid w:val="00083D2C"/>
    <w:rsid w:val="0008407F"/>
    <w:rsid w:val="00086AA1"/>
    <w:rsid w:val="00086DB1"/>
    <w:rsid w:val="00087A77"/>
    <w:rsid w:val="00090CA6"/>
    <w:rsid w:val="00090D65"/>
    <w:rsid w:val="00092B8A"/>
    <w:rsid w:val="00092FB0"/>
    <w:rsid w:val="000934C5"/>
    <w:rsid w:val="00093D25"/>
    <w:rsid w:val="00093DAB"/>
    <w:rsid w:val="00094D73"/>
    <w:rsid w:val="00094E3E"/>
    <w:rsid w:val="000953C8"/>
    <w:rsid w:val="00096D63"/>
    <w:rsid w:val="00096DCE"/>
    <w:rsid w:val="000A0B60"/>
    <w:rsid w:val="000A0EB8"/>
    <w:rsid w:val="000A19FC"/>
    <w:rsid w:val="000A296B"/>
    <w:rsid w:val="000A2A26"/>
    <w:rsid w:val="000A4D40"/>
    <w:rsid w:val="000A7311"/>
    <w:rsid w:val="000B060F"/>
    <w:rsid w:val="000B1592"/>
    <w:rsid w:val="000B1FF2"/>
    <w:rsid w:val="000B3CDA"/>
    <w:rsid w:val="000B6A0B"/>
    <w:rsid w:val="000C0F6C"/>
    <w:rsid w:val="000C11DB"/>
    <w:rsid w:val="000C131D"/>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06BB1"/>
    <w:rsid w:val="00113B1E"/>
    <w:rsid w:val="0011711C"/>
    <w:rsid w:val="0012059C"/>
    <w:rsid w:val="00120770"/>
    <w:rsid w:val="001221AD"/>
    <w:rsid w:val="00124E4F"/>
    <w:rsid w:val="001260B7"/>
    <w:rsid w:val="001265CB"/>
    <w:rsid w:val="00127D3B"/>
    <w:rsid w:val="001321C6"/>
    <w:rsid w:val="001325C4"/>
    <w:rsid w:val="00133010"/>
    <w:rsid w:val="001338EE"/>
    <w:rsid w:val="00133AAE"/>
    <w:rsid w:val="00135323"/>
    <w:rsid w:val="001356C3"/>
    <w:rsid w:val="001356C4"/>
    <w:rsid w:val="00141114"/>
    <w:rsid w:val="00141852"/>
    <w:rsid w:val="001423F2"/>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405E"/>
    <w:rsid w:val="00176DFD"/>
    <w:rsid w:val="001852C9"/>
    <w:rsid w:val="00190087"/>
    <w:rsid w:val="001913C4"/>
    <w:rsid w:val="0019227A"/>
    <w:rsid w:val="0019348F"/>
    <w:rsid w:val="00193A07"/>
    <w:rsid w:val="00194C95"/>
    <w:rsid w:val="00195C34"/>
    <w:rsid w:val="001963D8"/>
    <w:rsid w:val="00196EF5"/>
    <w:rsid w:val="001973E2"/>
    <w:rsid w:val="001A0FEC"/>
    <w:rsid w:val="001A1A53"/>
    <w:rsid w:val="001A234A"/>
    <w:rsid w:val="001A4CF3"/>
    <w:rsid w:val="001B06E8"/>
    <w:rsid w:val="001B0A2D"/>
    <w:rsid w:val="001B71D0"/>
    <w:rsid w:val="001B71EE"/>
    <w:rsid w:val="001B73F3"/>
    <w:rsid w:val="001C04A8"/>
    <w:rsid w:val="001C2C03"/>
    <w:rsid w:val="001C42F7"/>
    <w:rsid w:val="001C49E5"/>
    <w:rsid w:val="001C680C"/>
    <w:rsid w:val="001C7FEA"/>
    <w:rsid w:val="001D0499"/>
    <w:rsid w:val="001D06DA"/>
    <w:rsid w:val="001D0BBE"/>
    <w:rsid w:val="001D0ED4"/>
    <w:rsid w:val="001D212F"/>
    <w:rsid w:val="001D29D7"/>
    <w:rsid w:val="001D2DE7"/>
    <w:rsid w:val="001D411C"/>
    <w:rsid w:val="001D5262"/>
    <w:rsid w:val="001D7591"/>
    <w:rsid w:val="001E1B6A"/>
    <w:rsid w:val="001E2484"/>
    <w:rsid w:val="001E3CC4"/>
    <w:rsid w:val="001E4882"/>
    <w:rsid w:val="001E73AB"/>
    <w:rsid w:val="001E7F8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431"/>
    <w:rsid w:val="00205F2C"/>
    <w:rsid w:val="00210B15"/>
    <w:rsid w:val="0021353A"/>
    <w:rsid w:val="002142EA"/>
    <w:rsid w:val="002204BB"/>
    <w:rsid w:val="00221B79"/>
    <w:rsid w:val="00221C6B"/>
    <w:rsid w:val="002253A1"/>
    <w:rsid w:val="00225CF8"/>
    <w:rsid w:val="0022794E"/>
    <w:rsid w:val="00233D64"/>
    <w:rsid w:val="0023482A"/>
    <w:rsid w:val="00234A30"/>
    <w:rsid w:val="00234B99"/>
    <w:rsid w:val="002359CB"/>
    <w:rsid w:val="00242149"/>
    <w:rsid w:val="00243540"/>
    <w:rsid w:val="0024497B"/>
    <w:rsid w:val="0024515B"/>
    <w:rsid w:val="0024517D"/>
    <w:rsid w:val="00246021"/>
    <w:rsid w:val="0024666E"/>
    <w:rsid w:val="00247F52"/>
    <w:rsid w:val="00250B25"/>
    <w:rsid w:val="00250BBE"/>
    <w:rsid w:val="002515C2"/>
    <w:rsid w:val="0025194F"/>
    <w:rsid w:val="00252DB4"/>
    <w:rsid w:val="00255E7C"/>
    <w:rsid w:val="0026148A"/>
    <w:rsid w:val="00262696"/>
    <w:rsid w:val="00263D25"/>
    <w:rsid w:val="002643C3"/>
    <w:rsid w:val="00264A0C"/>
    <w:rsid w:val="00266EEB"/>
    <w:rsid w:val="00267EF4"/>
    <w:rsid w:val="00270CB8"/>
    <w:rsid w:val="00272137"/>
    <w:rsid w:val="00272B08"/>
    <w:rsid w:val="00281BB8"/>
    <w:rsid w:val="00281E9E"/>
    <w:rsid w:val="00282405"/>
    <w:rsid w:val="00285170"/>
    <w:rsid w:val="00285361"/>
    <w:rsid w:val="0029096C"/>
    <w:rsid w:val="00292D60"/>
    <w:rsid w:val="00293B30"/>
    <w:rsid w:val="00294D34"/>
    <w:rsid w:val="00294E3B"/>
    <w:rsid w:val="00296193"/>
    <w:rsid w:val="002961E2"/>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BA9"/>
    <w:rsid w:val="002C3F07"/>
    <w:rsid w:val="002C5278"/>
    <w:rsid w:val="002C7EBB"/>
    <w:rsid w:val="002D06C1"/>
    <w:rsid w:val="002D42B5"/>
    <w:rsid w:val="002D4F1A"/>
    <w:rsid w:val="002D6EC6"/>
    <w:rsid w:val="002D79AC"/>
    <w:rsid w:val="002E039D"/>
    <w:rsid w:val="002E4D5A"/>
    <w:rsid w:val="002E5869"/>
    <w:rsid w:val="002E6326"/>
    <w:rsid w:val="002F0B26"/>
    <w:rsid w:val="002F30E0"/>
    <w:rsid w:val="002F35E4"/>
    <w:rsid w:val="002F3730"/>
    <w:rsid w:val="002F38E1"/>
    <w:rsid w:val="002F7AF6"/>
    <w:rsid w:val="00300E63"/>
    <w:rsid w:val="00302F5F"/>
    <w:rsid w:val="0030441D"/>
    <w:rsid w:val="00306063"/>
    <w:rsid w:val="00306D32"/>
    <w:rsid w:val="0031181F"/>
    <w:rsid w:val="00313B85"/>
    <w:rsid w:val="00317988"/>
    <w:rsid w:val="003221B4"/>
    <w:rsid w:val="0032258D"/>
    <w:rsid w:val="00322E62"/>
    <w:rsid w:val="00324D13"/>
    <w:rsid w:val="00324D2A"/>
    <w:rsid w:val="00324EDD"/>
    <w:rsid w:val="00332DEB"/>
    <w:rsid w:val="003331E4"/>
    <w:rsid w:val="00336C64"/>
    <w:rsid w:val="00337162"/>
    <w:rsid w:val="0034194F"/>
    <w:rsid w:val="00344605"/>
    <w:rsid w:val="00344C7F"/>
    <w:rsid w:val="003474AA"/>
    <w:rsid w:val="00350CCE"/>
    <w:rsid w:val="00350D1D"/>
    <w:rsid w:val="00351A31"/>
    <w:rsid w:val="00352C83"/>
    <w:rsid w:val="0035375E"/>
    <w:rsid w:val="00360FA9"/>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008"/>
    <w:rsid w:val="0039118F"/>
    <w:rsid w:val="00392AD7"/>
    <w:rsid w:val="003938D9"/>
    <w:rsid w:val="00394376"/>
    <w:rsid w:val="003943FF"/>
    <w:rsid w:val="00395700"/>
    <w:rsid w:val="003974EB"/>
    <w:rsid w:val="00397988"/>
    <w:rsid w:val="00397CC5"/>
    <w:rsid w:val="003A1582"/>
    <w:rsid w:val="003A4077"/>
    <w:rsid w:val="003A5995"/>
    <w:rsid w:val="003A60D7"/>
    <w:rsid w:val="003B09AD"/>
    <w:rsid w:val="003B1F18"/>
    <w:rsid w:val="003B5BF0"/>
    <w:rsid w:val="003B60BF"/>
    <w:rsid w:val="003B6BE3"/>
    <w:rsid w:val="003C010C"/>
    <w:rsid w:val="003C0A6C"/>
    <w:rsid w:val="003C14F8"/>
    <w:rsid w:val="003C3383"/>
    <w:rsid w:val="003C5A43"/>
    <w:rsid w:val="003D0519"/>
    <w:rsid w:val="003D0FF6"/>
    <w:rsid w:val="003D262C"/>
    <w:rsid w:val="003D6D61"/>
    <w:rsid w:val="003E091D"/>
    <w:rsid w:val="003E11F6"/>
    <w:rsid w:val="003E1C53"/>
    <w:rsid w:val="003E2A69"/>
    <w:rsid w:val="003E2D49"/>
    <w:rsid w:val="003E2FD4"/>
    <w:rsid w:val="003E49F6"/>
    <w:rsid w:val="003E660F"/>
    <w:rsid w:val="003F0841"/>
    <w:rsid w:val="003F0B8D"/>
    <w:rsid w:val="003F0E5F"/>
    <w:rsid w:val="003F1A80"/>
    <w:rsid w:val="003F23D3"/>
    <w:rsid w:val="003F2EBF"/>
    <w:rsid w:val="003F3F08"/>
    <w:rsid w:val="003F49F1"/>
    <w:rsid w:val="003F6272"/>
    <w:rsid w:val="003F6986"/>
    <w:rsid w:val="00400E72"/>
    <w:rsid w:val="00401400"/>
    <w:rsid w:val="004028EE"/>
    <w:rsid w:val="00404869"/>
    <w:rsid w:val="00405884"/>
    <w:rsid w:val="00407D39"/>
    <w:rsid w:val="004104D3"/>
    <w:rsid w:val="0041477A"/>
    <w:rsid w:val="004167A3"/>
    <w:rsid w:val="004218A3"/>
    <w:rsid w:val="004320B1"/>
    <w:rsid w:val="00432DAA"/>
    <w:rsid w:val="004337DA"/>
    <w:rsid w:val="00434305"/>
    <w:rsid w:val="00435DF7"/>
    <w:rsid w:val="00435FBA"/>
    <w:rsid w:val="0044083F"/>
    <w:rsid w:val="00441AE7"/>
    <w:rsid w:val="00445574"/>
    <w:rsid w:val="004467FB"/>
    <w:rsid w:val="00451292"/>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15F8"/>
    <w:rsid w:val="004D2253"/>
    <w:rsid w:val="004D4406"/>
    <w:rsid w:val="004D4B15"/>
    <w:rsid w:val="004D7C42"/>
    <w:rsid w:val="004E0465"/>
    <w:rsid w:val="004E127B"/>
    <w:rsid w:val="004E1C0A"/>
    <w:rsid w:val="004E2B06"/>
    <w:rsid w:val="004E30C5"/>
    <w:rsid w:val="004E4AA5"/>
    <w:rsid w:val="004E4AEE"/>
    <w:rsid w:val="004E59E3"/>
    <w:rsid w:val="004E67C0"/>
    <w:rsid w:val="004F391A"/>
    <w:rsid w:val="004F3CFB"/>
    <w:rsid w:val="004F4CD2"/>
    <w:rsid w:val="004F6456"/>
    <w:rsid w:val="004F696E"/>
    <w:rsid w:val="004F6C71"/>
    <w:rsid w:val="00501139"/>
    <w:rsid w:val="0050363E"/>
    <w:rsid w:val="005039BC"/>
    <w:rsid w:val="005043BB"/>
    <w:rsid w:val="00504642"/>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4B37"/>
    <w:rsid w:val="005479DA"/>
    <w:rsid w:val="00547BCC"/>
    <w:rsid w:val="0055013B"/>
    <w:rsid w:val="00551F6F"/>
    <w:rsid w:val="00555044"/>
    <w:rsid w:val="00556D8C"/>
    <w:rsid w:val="00561475"/>
    <w:rsid w:val="0056487B"/>
    <w:rsid w:val="00564FB9"/>
    <w:rsid w:val="00573D9E"/>
    <w:rsid w:val="005752A4"/>
    <w:rsid w:val="00575AB4"/>
    <w:rsid w:val="005801E3"/>
    <w:rsid w:val="00581802"/>
    <w:rsid w:val="0058198F"/>
    <w:rsid w:val="005836A8"/>
    <w:rsid w:val="0058409C"/>
    <w:rsid w:val="00584262"/>
    <w:rsid w:val="005847F2"/>
    <w:rsid w:val="00586630"/>
    <w:rsid w:val="00587ADD"/>
    <w:rsid w:val="00591E27"/>
    <w:rsid w:val="005933FB"/>
    <w:rsid w:val="00596160"/>
    <w:rsid w:val="005966E2"/>
    <w:rsid w:val="00597007"/>
    <w:rsid w:val="005A0966"/>
    <w:rsid w:val="005A11B7"/>
    <w:rsid w:val="005A260B"/>
    <w:rsid w:val="005A4A1B"/>
    <w:rsid w:val="005A7830"/>
    <w:rsid w:val="005A7B17"/>
    <w:rsid w:val="005A7FCE"/>
    <w:rsid w:val="005B0F3F"/>
    <w:rsid w:val="005B47CF"/>
    <w:rsid w:val="005B4903"/>
    <w:rsid w:val="005B51CE"/>
    <w:rsid w:val="005B56E1"/>
    <w:rsid w:val="005B5885"/>
    <w:rsid w:val="005B5CD7"/>
    <w:rsid w:val="005B6CF6"/>
    <w:rsid w:val="005B7422"/>
    <w:rsid w:val="005C29B8"/>
    <w:rsid w:val="005C5F21"/>
    <w:rsid w:val="005C7156"/>
    <w:rsid w:val="005D0C75"/>
    <w:rsid w:val="005D4171"/>
    <w:rsid w:val="005D6A95"/>
    <w:rsid w:val="005D6B2C"/>
    <w:rsid w:val="005D6D9C"/>
    <w:rsid w:val="005E2335"/>
    <w:rsid w:val="005E2AB4"/>
    <w:rsid w:val="005E31BA"/>
    <w:rsid w:val="005E34CA"/>
    <w:rsid w:val="005E3C18"/>
    <w:rsid w:val="005E565A"/>
    <w:rsid w:val="005E6812"/>
    <w:rsid w:val="005E7881"/>
    <w:rsid w:val="005E78E0"/>
    <w:rsid w:val="005E7B69"/>
    <w:rsid w:val="005F0D9C"/>
    <w:rsid w:val="005F284E"/>
    <w:rsid w:val="005F4712"/>
    <w:rsid w:val="006015CE"/>
    <w:rsid w:val="00604784"/>
    <w:rsid w:val="00606419"/>
    <w:rsid w:val="00607D29"/>
    <w:rsid w:val="006122BF"/>
    <w:rsid w:val="00612952"/>
    <w:rsid w:val="00613193"/>
    <w:rsid w:val="00614CC1"/>
    <w:rsid w:val="00615A9D"/>
    <w:rsid w:val="00617387"/>
    <w:rsid w:val="006175D5"/>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379"/>
    <w:rsid w:val="00654EC0"/>
    <w:rsid w:val="0065525B"/>
    <w:rsid w:val="00655D4F"/>
    <w:rsid w:val="00656D29"/>
    <w:rsid w:val="00661749"/>
    <w:rsid w:val="006640E5"/>
    <w:rsid w:val="006646F1"/>
    <w:rsid w:val="00664929"/>
    <w:rsid w:val="00664F62"/>
    <w:rsid w:val="006655E1"/>
    <w:rsid w:val="00672060"/>
    <w:rsid w:val="00672BFD"/>
    <w:rsid w:val="00675A93"/>
    <w:rsid w:val="006770F4"/>
    <w:rsid w:val="006776ED"/>
    <w:rsid w:val="00677A84"/>
    <w:rsid w:val="0068026D"/>
    <w:rsid w:val="00680A27"/>
    <w:rsid w:val="006816A4"/>
    <w:rsid w:val="006819B8"/>
    <w:rsid w:val="006840A6"/>
    <w:rsid w:val="006850CD"/>
    <w:rsid w:val="00685AAB"/>
    <w:rsid w:val="0068620A"/>
    <w:rsid w:val="00695D22"/>
    <w:rsid w:val="006A07AA"/>
    <w:rsid w:val="006A25E5"/>
    <w:rsid w:val="006A2B46"/>
    <w:rsid w:val="006A336D"/>
    <w:rsid w:val="006A37B9"/>
    <w:rsid w:val="006B2672"/>
    <w:rsid w:val="006B54BF"/>
    <w:rsid w:val="006B5F44"/>
    <w:rsid w:val="006B5F90"/>
    <w:rsid w:val="006B62E4"/>
    <w:rsid w:val="006B6950"/>
    <w:rsid w:val="006B6973"/>
    <w:rsid w:val="006C1BBA"/>
    <w:rsid w:val="006C2079"/>
    <w:rsid w:val="006C43F6"/>
    <w:rsid w:val="006C5A62"/>
    <w:rsid w:val="006C5D68"/>
    <w:rsid w:val="006C6976"/>
    <w:rsid w:val="006C6DD0"/>
    <w:rsid w:val="006C7BD1"/>
    <w:rsid w:val="006D04EA"/>
    <w:rsid w:val="006D16C4"/>
    <w:rsid w:val="006D3702"/>
    <w:rsid w:val="006D3BD0"/>
    <w:rsid w:val="006D3E96"/>
    <w:rsid w:val="006D4515"/>
    <w:rsid w:val="006D4BB1"/>
    <w:rsid w:val="006D5E53"/>
    <w:rsid w:val="006D6593"/>
    <w:rsid w:val="006E23EA"/>
    <w:rsid w:val="006F03A8"/>
    <w:rsid w:val="006F2ACA"/>
    <w:rsid w:val="006F2ADC"/>
    <w:rsid w:val="006F2BFE"/>
    <w:rsid w:val="006F31E9"/>
    <w:rsid w:val="006F6284"/>
    <w:rsid w:val="006F6EE7"/>
    <w:rsid w:val="007002C5"/>
    <w:rsid w:val="0070262A"/>
    <w:rsid w:val="00704387"/>
    <w:rsid w:val="00707669"/>
    <w:rsid w:val="00711CBA"/>
    <w:rsid w:val="00711FB5"/>
    <w:rsid w:val="00712A01"/>
    <w:rsid w:val="00713D21"/>
    <w:rsid w:val="00714F58"/>
    <w:rsid w:val="007205C7"/>
    <w:rsid w:val="00722D8D"/>
    <w:rsid w:val="00722FBF"/>
    <w:rsid w:val="00722FC2"/>
    <w:rsid w:val="00724879"/>
    <w:rsid w:val="00724E1B"/>
    <w:rsid w:val="00725949"/>
    <w:rsid w:val="00727FA2"/>
    <w:rsid w:val="007322D9"/>
    <w:rsid w:val="00732BC0"/>
    <w:rsid w:val="00736843"/>
    <w:rsid w:val="0073720F"/>
    <w:rsid w:val="00737796"/>
    <w:rsid w:val="007403EE"/>
    <w:rsid w:val="0074165C"/>
    <w:rsid w:val="007427FE"/>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5F0A"/>
    <w:rsid w:val="00756B26"/>
    <w:rsid w:val="00756EDF"/>
    <w:rsid w:val="007600E3"/>
    <w:rsid w:val="00765C43"/>
    <w:rsid w:val="00765EFB"/>
    <w:rsid w:val="007671CA"/>
    <w:rsid w:val="00767C61"/>
    <w:rsid w:val="0077008A"/>
    <w:rsid w:val="00773C1F"/>
    <w:rsid w:val="00774DA4"/>
    <w:rsid w:val="00776599"/>
    <w:rsid w:val="00777390"/>
    <w:rsid w:val="0078114B"/>
    <w:rsid w:val="00781DD2"/>
    <w:rsid w:val="00783ECF"/>
    <w:rsid w:val="0078413A"/>
    <w:rsid w:val="00785F1D"/>
    <w:rsid w:val="007959E8"/>
    <w:rsid w:val="00795E9C"/>
    <w:rsid w:val="007A0521"/>
    <w:rsid w:val="007A2E12"/>
    <w:rsid w:val="007A3475"/>
    <w:rsid w:val="007A41C8"/>
    <w:rsid w:val="007A514C"/>
    <w:rsid w:val="007A54CE"/>
    <w:rsid w:val="007A6FD9"/>
    <w:rsid w:val="007A7FFA"/>
    <w:rsid w:val="007B04EB"/>
    <w:rsid w:val="007B0D4F"/>
    <w:rsid w:val="007B5A3D"/>
    <w:rsid w:val="007B5B95"/>
    <w:rsid w:val="007B68EA"/>
    <w:rsid w:val="007B70D8"/>
    <w:rsid w:val="007B7453"/>
    <w:rsid w:val="007C1E8B"/>
    <w:rsid w:val="007C2D89"/>
    <w:rsid w:val="007C4593"/>
    <w:rsid w:val="007C47F2"/>
    <w:rsid w:val="007C5309"/>
    <w:rsid w:val="007C6069"/>
    <w:rsid w:val="007D06C4"/>
    <w:rsid w:val="007D1352"/>
    <w:rsid w:val="007D225E"/>
    <w:rsid w:val="007D2508"/>
    <w:rsid w:val="007D346A"/>
    <w:rsid w:val="007D3C28"/>
    <w:rsid w:val="007D6518"/>
    <w:rsid w:val="007D76BD"/>
    <w:rsid w:val="007E0BF1"/>
    <w:rsid w:val="007E3B4A"/>
    <w:rsid w:val="007E730C"/>
    <w:rsid w:val="007F00C3"/>
    <w:rsid w:val="007F0ED8"/>
    <w:rsid w:val="007F0F63"/>
    <w:rsid w:val="007F43FC"/>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C12"/>
    <w:rsid w:val="00884DB3"/>
    <w:rsid w:val="00885A9D"/>
    <w:rsid w:val="008864F6"/>
    <w:rsid w:val="0089049D"/>
    <w:rsid w:val="008928C9"/>
    <w:rsid w:val="008930CB"/>
    <w:rsid w:val="008938DC"/>
    <w:rsid w:val="00893FD1"/>
    <w:rsid w:val="00894836"/>
    <w:rsid w:val="00895172"/>
    <w:rsid w:val="00895680"/>
    <w:rsid w:val="0089666A"/>
    <w:rsid w:val="00896DFF"/>
    <w:rsid w:val="0089762C"/>
    <w:rsid w:val="008A1893"/>
    <w:rsid w:val="008A3215"/>
    <w:rsid w:val="008A57E6"/>
    <w:rsid w:val="008A61B5"/>
    <w:rsid w:val="008A6F81"/>
    <w:rsid w:val="008A769A"/>
    <w:rsid w:val="008B0C9C"/>
    <w:rsid w:val="008B166D"/>
    <w:rsid w:val="008B17F4"/>
    <w:rsid w:val="008B3615"/>
    <w:rsid w:val="008B4AC4"/>
    <w:rsid w:val="008B50C8"/>
    <w:rsid w:val="008B5281"/>
    <w:rsid w:val="008B7E05"/>
    <w:rsid w:val="008C1797"/>
    <w:rsid w:val="008C219C"/>
    <w:rsid w:val="008C3F08"/>
    <w:rsid w:val="008C475E"/>
    <w:rsid w:val="008C619A"/>
    <w:rsid w:val="008C6895"/>
    <w:rsid w:val="008D0CE8"/>
    <w:rsid w:val="008D2D1D"/>
    <w:rsid w:val="008D453D"/>
    <w:rsid w:val="008D53AD"/>
    <w:rsid w:val="008D562B"/>
    <w:rsid w:val="008D5733"/>
    <w:rsid w:val="008D622B"/>
    <w:rsid w:val="008D666C"/>
    <w:rsid w:val="008D7B54"/>
    <w:rsid w:val="008E0C9D"/>
    <w:rsid w:val="008E1648"/>
    <w:rsid w:val="008E1B3E"/>
    <w:rsid w:val="008E20E6"/>
    <w:rsid w:val="008E2319"/>
    <w:rsid w:val="008E4BB6"/>
    <w:rsid w:val="008E5518"/>
    <w:rsid w:val="008E6A84"/>
    <w:rsid w:val="008E72A1"/>
    <w:rsid w:val="008F0CDC"/>
    <w:rsid w:val="008F17A3"/>
    <w:rsid w:val="008F1ED3"/>
    <w:rsid w:val="008F23A5"/>
    <w:rsid w:val="008F4C29"/>
    <w:rsid w:val="008F5125"/>
    <w:rsid w:val="008F70BD"/>
    <w:rsid w:val="008F788F"/>
    <w:rsid w:val="008F7EA2"/>
    <w:rsid w:val="00902722"/>
    <w:rsid w:val="009027BC"/>
    <w:rsid w:val="009062E6"/>
    <w:rsid w:val="00911BE5"/>
    <w:rsid w:val="00913CA9"/>
    <w:rsid w:val="009145AE"/>
    <w:rsid w:val="009146CE"/>
    <w:rsid w:val="00914CA7"/>
    <w:rsid w:val="00915C3E"/>
    <w:rsid w:val="009161A8"/>
    <w:rsid w:val="00920D29"/>
    <w:rsid w:val="0092341C"/>
    <w:rsid w:val="009245F5"/>
    <w:rsid w:val="009249EC"/>
    <w:rsid w:val="009273B3"/>
    <w:rsid w:val="009305B5"/>
    <w:rsid w:val="009429D5"/>
    <w:rsid w:val="00942BF1"/>
    <w:rsid w:val="00944B2E"/>
    <w:rsid w:val="00945180"/>
    <w:rsid w:val="00945428"/>
    <w:rsid w:val="0094607B"/>
    <w:rsid w:val="00950213"/>
    <w:rsid w:val="00953604"/>
    <w:rsid w:val="0095496B"/>
    <w:rsid w:val="009600E3"/>
    <w:rsid w:val="009610DC"/>
    <w:rsid w:val="00961490"/>
    <w:rsid w:val="00962EAC"/>
    <w:rsid w:val="0096381A"/>
    <w:rsid w:val="00965E04"/>
    <w:rsid w:val="00965F4E"/>
    <w:rsid w:val="009674AD"/>
    <w:rsid w:val="00970CDC"/>
    <w:rsid w:val="0097223A"/>
    <w:rsid w:val="00977010"/>
    <w:rsid w:val="00977D02"/>
    <w:rsid w:val="009809BB"/>
    <w:rsid w:val="0098364B"/>
    <w:rsid w:val="0098630B"/>
    <w:rsid w:val="009911AF"/>
    <w:rsid w:val="00991875"/>
    <w:rsid w:val="00991F92"/>
    <w:rsid w:val="00992985"/>
    <w:rsid w:val="00993889"/>
    <w:rsid w:val="009938B8"/>
    <w:rsid w:val="0099551B"/>
    <w:rsid w:val="00997BF1"/>
    <w:rsid w:val="009A089C"/>
    <w:rsid w:val="009A118E"/>
    <w:rsid w:val="009A21CD"/>
    <w:rsid w:val="009A278C"/>
    <w:rsid w:val="009A2BC2"/>
    <w:rsid w:val="009A42C1"/>
    <w:rsid w:val="009A493A"/>
    <w:rsid w:val="009A5429"/>
    <w:rsid w:val="009A5778"/>
    <w:rsid w:val="009A72AD"/>
    <w:rsid w:val="009B09E0"/>
    <w:rsid w:val="009B0BC5"/>
    <w:rsid w:val="009B1247"/>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9F0DA8"/>
    <w:rsid w:val="00A0096C"/>
    <w:rsid w:val="00A01757"/>
    <w:rsid w:val="00A028C0"/>
    <w:rsid w:val="00A02BAE"/>
    <w:rsid w:val="00A06A6B"/>
    <w:rsid w:val="00A07E47"/>
    <w:rsid w:val="00A129D0"/>
    <w:rsid w:val="00A12C33"/>
    <w:rsid w:val="00A138BA"/>
    <w:rsid w:val="00A14C8E"/>
    <w:rsid w:val="00A14D27"/>
    <w:rsid w:val="00A153D9"/>
    <w:rsid w:val="00A159A9"/>
    <w:rsid w:val="00A15F09"/>
    <w:rsid w:val="00A169B6"/>
    <w:rsid w:val="00A210A2"/>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584C"/>
    <w:rsid w:val="00A45B16"/>
    <w:rsid w:val="00A4661E"/>
    <w:rsid w:val="00A54C8C"/>
    <w:rsid w:val="00A55BD6"/>
    <w:rsid w:val="00A55D50"/>
    <w:rsid w:val="00A56A1B"/>
    <w:rsid w:val="00A57142"/>
    <w:rsid w:val="00A648CD"/>
    <w:rsid w:val="00A6537A"/>
    <w:rsid w:val="00A66611"/>
    <w:rsid w:val="00A67866"/>
    <w:rsid w:val="00A70B07"/>
    <w:rsid w:val="00A723F8"/>
    <w:rsid w:val="00A72898"/>
    <w:rsid w:val="00A7531A"/>
    <w:rsid w:val="00A77CCB"/>
    <w:rsid w:val="00A806AA"/>
    <w:rsid w:val="00A83D8D"/>
    <w:rsid w:val="00A8446B"/>
    <w:rsid w:val="00A8473F"/>
    <w:rsid w:val="00A862D6"/>
    <w:rsid w:val="00A8715E"/>
    <w:rsid w:val="00A90758"/>
    <w:rsid w:val="00A9295B"/>
    <w:rsid w:val="00A93B09"/>
    <w:rsid w:val="00A94247"/>
    <w:rsid w:val="00A952D7"/>
    <w:rsid w:val="00A963F7"/>
    <w:rsid w:val="00A96AD8"/>
    <w:rsid w:val="00AA052C"/>
    <w:rsid w:val="00AA1E45"/>
    <w:rsid w:val="00AA4286"/>
    <w:rsid w:val="00AA44CF"/>
    <w:rsid w:val="00AA456B"/>
    <w:rsid w:val="00AA57F5"/>
    <w:rsid w:val="00AA672E"/>
    <w:rsid w:val="00AA6EC9"/>
    <w:rsid w:val="00AA7A8F"/>
    <w:rsid w:val="00AB41D5"/>
    <w:rsid w:val="00AB6309"/>
    <w:rsid w:val="00AB6C5F"/>
    <w:rsid w:val="00AB7129"/>
    <w:rsid w:val="00AC27A6"/>
    <w:rsid w:val="00AC2BC8"/>
    <w:rsid w:val="00AC30F7"/>
    <w:rsid w:val="00AC3A5A"/>
    <w:rsid w:val="00AC4D95"/>
    <w:rsid w:val="00AC5DF4"/>
    <w:rsid w:val="00AD0AEF"/>
    <w:rsid w:val="00AD11B7"/>
    <w:rsid w:val="00AD1A94"/>
    <w:rsid w:val="00AD1C05"/>
    <w:rsid w:val="00AD32CE"/>
    <w:rsid w:val="00AD4126"/>
    <w:rsid w:val="00AD421C"/>
    <w:rsid w:val="00AD44FA"/>
    <w:rsid w:val="00AD6912"/>
    <w:rsid w:val="00AE070A"/>
    <w:rsid w:val="00AE101C"/>
    <w:rsid w:val="00AE37E5"/>
    <w:rsid w:val="00AE5EB4"/>
    <w:rsid w:val="00AF0C18"/>
    <w:rsid w:val="00AF47C5"/>
    <w:rsid w:val="00AF5398"/>
    <w:rsid w:val="00AF78C4"/>
    <w:rsid w:val="00B049AF"/>
    <w:rsid w:val="00B07242"/>
    <w:rsid w:val="00B10534"/>
    <w:rsid w:val="00B113DB"/>
    <w:rsid w:val="00B11D8A"/>
    <w:rsid w:val="00B12981"/>
    <w:rsid w:val="00B147DD"/>
    <w:rsid w:val="00B156FD"/>
    <w:rsid w:val="00B175E6"/>
    <w:rsid w:val="00B20B9D"/>
    <w:rsid w:val="00B21F61"/>
    <w:rsid w:val="00B261F1"/>
    <w:rsid w:val="00B265BC"/>
    <w:rsid w:val="00B31FB1"/>
    <w:rsid w:val="00B33952"/>
    <w:rsid w:val="00B33C5E"/>
    <w:rsid w:val="00B342F4"/>
    <w:rsid w:val="00B34369"/>
    <w:rsid w:val="00B34DC2"/>
    <w:rsid w:val="00B378E5"/>
    <w:rsid w:val="00B4346D"/>
    <w:rsid w:val="00B440F4"/>
    <w:rsid w:val="00B446B9"/>
    <w:rsid w:val="00B447A5"/>
    <w:rsid w:val="00B4654C"/>
    <w:rsid w:val="00B47293"/>
    <w:rsid w:val="00B50E50"/>
    <w:rsid w:val="00B52120"/>
    <w:rsid w:val="00B52C21"/>
    <w:rsid w:val="00B53DAB"/>
    <w:rsid w:val="00B54ABC"/>
    <w:rsid w:val="00B54DDE"/>
    <w:rsid w:val="00B56FBE"/>
    <w:rsid w:val="00B60ACF"/>
    <w:rsid w:val="00B62B58"/>
    <w:rsid w:val="00B65149"/>
    <w:rsid w:val="00B66567"/>
    <w:rsid w:val="00B66F52"/>
    <w:rsid w:val="00B66FE5"/>
    <w:rsid w:val="00B72880"/>
    <w:rsid w:val="00B758BF"/>
    <w:rsid w:val="00B77EC8"/>
    <w:rsid w:val="00B80F87"/>
    <w:rsid w:val="00B827A6"/>
    <w:rsid w:val="00B831CE"/>
    <w:rsid w:val="00B86677"/>
    <w:rsid w:val="00B87131"/>
    <w:rsid w:val="00B92463"/>
    <w:rsid w:val="00B939B1"/>
    <w:rsid w:val="00B96D40"/>
    <w:rsid w:val="00B97386"/>
    <w:rsid w:val="00BA263B"/>
    <w:rsid w:val="00BA42B2"/>
    <w:rsid w:val="00BA58D4"/>
    <w:rsid w:val="00BA5B9E"/>
    <w:rsid w:val="00BA7C9A"/>
    <w:rsid w:val="00BB5F8F"/>
    <w:rsid w:val="00BB657A"/>
    <w:rsid w:val="00BB7A8E"/>
    <w:rsid w:val="00BC1A4E"/>
    <w:rsid w:val="00BC5DC7"/>
    <w:rsid w:val="00BC6B8B"/>
    <w:rsid w:val="00BC73D8"/>
    <w:rsid w:val="00BC7A64"/>
    <w:rsid w:val="00BD52D7"/>
    <w:rsid w:val="00BD5AD2"/>
    <w:rsid w:val="00BE22F3"/>
    <w:rsid w:val="00BE413E"/>
    <w:rsid w:val="00BE5B52"/>
    <w:rsid w:val="00BE7B8D"/>
    <w:rsid w:val="00BF0993"/>
    <w:rsid w:val="00BF10A9"/>
    <w:rsid w:val="00BF1703"/>
    <w:rsid w:val="00BF231C"/>
    <w:rsid w:val="00BF51E5"/>
    <w:rsid w:val="00BF70B7"/>
    <w:rsid w:val="00BF74A6"/>
    <w:rsid w:val="00BF7A4B"/>
    <w:rsid w:val="00C013AD"/>
    <w:rsid w:val="00C04904"/>
    <w:rsid w:val="00C056B3"/>
    <w:rsid w:val="00C103E5"/>
    <w:rsid w:val="00C10424"/>
    <w:rsid w:val="00C13319"/>
    <w:rsid w:val="00C13EE9"/>
    <w:rsid w:val="00C21540"/>
    <w:rsid w:val="00C21906"/>
    <w:rsid w:val="00C21BFA"/>
    <w:rsid w:val="00C21F98"/>
    <w:rsid w:val="00C22148"/>
    <w:rsid w:val="00C24C8D"/>
    <w:rsid w:val="00C25FE2"/>
    <w:rsid w:val="00C26B53"/>
    <w:rsid w:val="00C279B2"/>
    <w:rsid w:val="00C33E50"/>
    <w:rsid w:val="00C34C20"/>
    <w:rsid w:val="00C35A3E"/>
    <w:rsid w:val="00C41C43"/>
    <w:rsid w:val="00C42130"/>
    <w:rsid w:val="00C423A4"/>
    <w:rsid w:val="00C44BF5"/>
    <w:rsid w:val="00C521D6"/>
    <w:rsid w:val="00C55232"/>
    <w:rsid w:val="00C553A4"/>
    <w:rsid w:val="00C55A06"/>
    <w:rsid w:val="00C55D03"/>
    <w:rsid w:val="00C562A2"/>
    <w:rsid w:val="00C601BC"/>
    <w:rsid w:val="00C63271"/>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329D"/>
    <w:rsid w:val="00C9435D"/>
    <w:rsid w:val="00C94DF2"/>
    <w:rsid w:val="00C96741"/>
    <w:rsid w:val="00C9764C"/>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659"/>
    <w:rsid w:val="00CF7BCA"/>
    <w:rsid w:val="00CF7BEB"/>
    <w:rsid w:val="00D008FD"/>
    <w:rsid w:val="00D0321C"/>
    <w:rsid w:val="00D035EC"/>
    <w:rsid w:val="00D06AB1"/>
    <w:rsid w:val="00D072ED"/>
    <w:rsid w:val="00D07A16"/>
    <w:rsid w:val="00D1067E"/>
    <w:rsid w:val="00D10F50"/>
    <w:rsid w:val="00D11272"/>
    <w:rsid w:val="00D126F5"/>
    <w:rsid w:val="00D1489E"/>
    <w:rsid w:val="00D152B2"/>
    <w:rsid w:val="00D176F8"/>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2EB6"/>
    <w:rsid w:val="00D77031"/>
    <w:rsid w:val="00D84941"/>
    <w:rsid w:val="00D84FA1"/>
    <w:rsid w:val="00D851F0"/>
    <w:rsid w:val="00D862EF"/>
    <w:rsid w:val="00D86DB7"/>
    <w:rsid w:val="00D926D0"/>
    <w:rsid w:val="00D93030"/>
    <w:rsid w:val="00D950E1"/>
    <w:rsid w:val="00D952A6"/>
    <w:rsid w:val="00D97F99"/>
    <w:rsid w:val="00DA1E08"/>
    <w:rsid w:val="00DA24F8"/>
    <w:rsid w:val="00DA28E8"/>
    <w:rsid w:val="00DA38D3"/>
    <w:rsid w:val="00DA3932"/>
    <w:rsid w:val="00DA3AFC"/>
    <w:rsid w:val="00DA5FF5"/>
    <w:rsid w:val="00DA64F8"/>
    <w:rsid w:val="00DA6C15"/>
    <w:rsid w:val="00DA7901"/>
    <w:rsid w:val="00DB0258"/>
    <w:rsid w:val="00DB310E"/>
    <w:rsid w:val="00DB38EE"/>
    <w:rsid w:val="00DB498B"/>
    <w:rsid w:val="00DB66CA"/>
    <w:rsid w:val="00DB6BCA"/>
    <w:rsid w:val="00DB73F7"/>
    <w:rsid w:val="00DC0321"/>
    <w:rsid w:val="00DC3067"/>
    <w:rsid w:val="00DC345E"/>
    <w:rsid w:val="00DC370B"/>
    <w:rsid w:val="00DC4312"/>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098"/>
    <w:rsid w:val="00DF1961"/>
    <w:rsid w:val="00DF44DE"/>
    <w:rsid w:val="00DF5F11"/>
    <w:rsid w:val="00E01138"/>
    <w:rsid w:val="00E02DFB"/>
    <w:rsid w:val="00E030F9"/>
    <w:rsid w:val="00E0311A"/>
    <w:rsid w:val="00E03138"/>
    <w:rsid w:val="00E03802"/>
    <w:rsid w:val="00E06404"/>
    <w:rsid w:val="00E11A85"/>
    <w:rsid w:val="00E12495"/>
    <w:rsid w:val="00E15CCD"/>
    <w:rsid w:val="00E202EF"/>
    <w:rsid w:val="00E210B5"/>
    <w:rsid w:val="00E23D99"/>
    <w:rsid w:val="00E2552F"/>
    <w:rsid w:val="00E25AAD"/>
    <w:rsid w:val="00E3137A"/>
    <w:rsid w:val="00E32CCF"/>
    <w:rsid w:val="00E34A98"/>
    <w:rsid w:val="00E35D1E"/>
    <w:rsid w:val="00E364F9"/>
    <w:rsid w:val="00E365FA"/>
    <w:rsid w:val="00E36789"/>
    <w:rsid w:val="00E40C70"/>
    <w:rsid w:val="00E44A83"/>
    <w:rsid w:val="00E476F9"/>
    <w:rsid w:val="00E502C1"/>
    <w:rsid w:val="00E502DD"/>
    <w:rsid w:val="00E50D3A"/>
    <w:rsid w:val="00E51387"/>
    <w:rsid w:val="00E51E68"/>
    <w:rsid w:val="00E52EFD"/>
    <w:rsid w:val="00E53DD7"/>
    <w:rsid w:val="00E5408A"/>
    <w:rsid w:val="00E56800"/>
    <w:rsid w:val="00E60C63"/>
    <w:rsid w:val="00E62FF9"/>
    <w:rsid w:val="00E635D6"/>
    <w:rsid w:val="00E639BC"/>
    <w:rsid w:val="00E664CC"/>
    <w:rsid w:val="00E70388"/>
    <w:rsid w:val="00E70F92"/>
    <w:rsid w:val="00E74C33"/>
    <w:rsid w:val="00E74C54"/>
    <w:rsid w:val="00E77A03"/>
    <w:rsid w:val="00E822E8"/>
    <w:rsid w:val="00E82554"/>
    <w:rsid w:val="00E82606"/>
    <w:rsid w:val="00E846C8"/>
    <w:rsid w:val="00E84957"/>
    <w:rsid w:val="00E84A55"/>
    <w:rsid w:val="00E85BFF"/>
    <w:rsid w:val="00E90391"/>
    <w:rsid w:val="00E906C2"/>
    <w:rsid w:val="00E91977"/>
    <w:rsid w:val="00E91B01"/>
    <w:rsid w:val="00E9311F"/>
    <w:rsid w:val="00E934D1"/>
    <w:rsid w:val="00E9395A"/>
    <w:rsid w:val="00E94AF0"/>
    <w:rsid w:val="00E952E8"/>
    <w:rsid w:val="00E95D13"/>
    <w:rsid w:val="00E95DD3"/>
    <w:rsid w:val="00E969D5"/>
    <w:rsid w:val="00EA330F"/>
    <w:rsid w:val="00EA58D1"/>
    <w:rsid w:val="00EA61BC"/>
    <w:rsid w:val="00EA681A"/>
    <w:rsid w:val="00EA735B"/>
    <w:rsid w:val="00EB17DE"/>
    <w:rsid w:val="00EB1E69"/>
    <w:rsid w:val="00EB2086"/>
    <w:rsid w:val="00EB5EDF"/>
    <w:rsid w:val="00EB60FE"/>
    <w:rsid w:val="00EB74DB"/>
    <w:rsid w:val="00EC5359"/>
    <w:rsid w:val="00EC562A"/>
    <w:rsid w:val="00ED067A"/>
    <w:rsid w:val="00ED23B0"/>
    <w:rsid w:val="00ED2B50"/>
    <w:rsid w:val="00EE0233"/>
    <w:rsid w:val="00EE0350"/>
    <w:rsid w:val="00EE0719"/>
    <w:rsid w:val="00EE0E80"/>
    <w:rsid w:val="00EE3BB4"/>
    <w:rsid w:val="00EE5000"/>
    <w:rsid w:val="00EE54A6"/>
    <w:rsid w:val="00EE613F"/>
    <w:rsid w:val="00EE6370"/>
    <w:rsid w:val="00EE6B47"/>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5C4B"/>
    <w:rsid w:val="00F211B2"/>
    <w:rsid w:val="00F25418"/>
    <w:rsid w:val="00F25BB6"/>
    <w:rsid w:val="00F26B7E"/>
    <w:rsid w:val="00F27A3B"/>
    <w:rsid w:val="00F33054"/>
    <w:rsid w:val="00F33817"/>
    <w:rsid w:val="00F420D5"/>
    <w:rsid w:val="00F451EA"/>
    <w:rsid w:val="00F45447"/>
    <w:rsid w:val="00F456C6"/>
    <w:rsid w:val="00F4577B"/>
    <w:rsid w:val="00F46496"/>
    <w:rsid w:val="00F474D0"/>
    <w:rsid w:val="00F50179"/>
    <w:rsid w:val="00F50502"/>
    <w:rsid w:val="00F50DFC"/>
    <w:rsid w:val="00F515EE"/>
    <w:rsid w:val="00F51DFB"/>
    <w:rsid w:val="00F56511"/>
    <w:rsid w:val="00F56FCD"/>
    <w:rsid w:val="00F60430"/>
    <w:rsid w:val="00F6194E"/>
    <w:rsid w:val="00F61E75"/>
    <w:rsid w:val="00F623AC"/>
    <w:rsid w:val="00F6412A"/>
    <w:rsid w:val="00F6519F"/>
    <w:rsid w:val="00F65893"/>
    <w:rsid w:val="00F66A4A"/>
    <w:rsid w:val="00F66F57"/>
    <w:rsid w:val="00F71E22"/>
    <w:rsid w:val="00F72142"/>
    <w:rsid w:val="00F72AE7"/>
    <w:rsid w:val="00F73ED8"/>
    <w:rsid w:val="00F80D03"/>
    <w:rsid w:val="00F81141"/>
    <w:rsid w:val="00F833BA"/>
    <w:rsid w:val="00F84FD0"/>
    <w:rsid w:val="00F859A8"/>
    <w:rsid w:val="00F86D87"/>
    <w:rsid w:val="00F9108B"/>
    <w:rsid w:val="00F91349"/>
    <w:rsid w:val="00F93A8A"/>
    <w:rsid w:val="00F94440"/>
    <w:rsid w:val="00F95248"/>
    <w:rsid w:val="00F956A9"/>
    <w:rsid w:val="00F963ED"/>
    <w:rsid w:val="00F966CF"/>
    <w:rsid w:val="00F96CAE"/>
    <w:rsid w:val="00F97C99"/>
    <w:rsid w:val="00FA0FD0"/>
    <w:rsid w:val="00FA4DAC"/>
    <w:rsid w:val="00FA662D"/>
    <w:rsid w:val="00FA701C"/>
    <w:rsid w:val="00FA73B1"/>
    <w:rsid w:val="00FB0CB9"/>
    <w:rsid w:val="00FB1892"/>
    <w:rsid w:val="00FB231D"/>
    <w:rsid w:val="00FB45F1"/>
    <w:rsid w:val="00FB4A72"/>
    <w:rsid w:val="00FB5468"/>
    <w:rsid w:val="00FB54E8"/>
    <w:rsid w:val="00FB7054"/>
    <w:rsid w:val="00FC17B7"/>
    <w:rsid w:val="00FC2CB7"/>
    <w:rsid w:val="00FC4090"/>
    <w:rsid w:val="00FC55B4"/>
    <w:rsid w:val="00FC624C"/>
    <w:rsid w:val="00FD00E6"/>
    <w:rsid w:val="00FD09A1"/>
    <w:rsid w:val="00FD1A1A"/>
    <w:rsid w:val="00FD2A7C"/>
    <w:rsid w:val="00FD59EB"/>
    <w:rsid w:val="00FD7299"/>
    <w:rsid w:val="00FE1FBE"/>
    <w:rsid w:val="00FE3901"/>
    <w:rsid w:val="00FE39D3"/>
    <w:rsid w:val="00FE4BCE"/>
    <w:rsid w:val="00FE54AE"/>
    <w:rsid w:val="00FE576A"/>
    <w:rsid w:val="00FE7E79"/>
    <w:rsid w:val="00FF2362"/>
    <w:rsid w:val="00FF3E7D"/>
    <w:rsid w:val="00FF5B99"/>
    <w:rsid w:val="00FF730C"/>
    <w:rsid w:val="00FF73F4"/>
    <w:rsid w:val="00FF7CAD"/>
    <w:rsid w:val="00FF7CE4"/>
    <w:rsid w:val="00FF7E39"/>
    <w:rsid w:val="05F5472B"/>
    <w:rsid w:val="073E47A4"/>
    <w:rsid w:val="0B1D1984"/>
    <w:rsid w:val="0CA8519D"/>
    <w:rsid w:val="0CC4511D"/>
    <w:rsid w:val="0D3037CB"/>
    <w:rsid w:val="0F202B2F"/>
    <w:rsid w:val="10E70A61"/>
    <w:rsid w:val="14171240"/>
    <w:rsid w:val="14943583"/>
    <w:rsid w:val="1B0B599D"/>
    <w:rsid w:val="1CC932F4"/>
    <w:rsid w:val="1ED85A70"/>
    <w:rsid w:val="1EFF124F"/>
    <w:rsid w:val="22431452"/>
    <w:rsid w:val="23241284"/>
    <w:rsid w:val="23775858"/>
    <w:rsid w:val="290556B4"/>
    <w:rsid w:val="2C1C1DA5"/>
    <w:rsid w:val="2C2A00BB"/>
    <w:rsid w:val="2DD40344"/>
    <w:rsid w:val="34843111"/>
    <w:rsid w:val="38DE382B"/>
    <w:rsid w:val="3B89264E"/>
    <w:rsid w:val="3D8D585B"/>
    <w:rsid w:val="3D927662"/>
    <w:rsid w:val="3DDC2A2F"/>
    <w:rsid w:val="415D3E87"/>
    <w:rsid w:val="425E5AE9"/>
    <w:rsid w:val="485853A8"/>
    <w:rsid w:val="49F34DC2"/>
    <w:rsid w:val="4B814C16"/>
    <w:rsid w:val="4CAF5A0A"/>
    <w:rsid w:val="4D0729D4"/>
    <w:rsid w:val="4F7C0D98"/>
    <w:rsid w:val="53B042EA"/>
    <w:rsid w:val="55161B72"/>
    <w:rsid w:val="593B7B26"/>
    <w:rsid w:val="59ED5387"/>
    <w:rsid w:val="5B544870"/>
    <w:rsid w:val="5ECE394B"/>
    <w:rsid w:val="5F661E0C"/>
    <w:rsid w:val="65750DCD"/>
    <w:rsid w:val="661E3335"/>
    <w:rsid w:val="668B0A78"/>
    <w:rsid w:val="672524A2"/>
    <w:rsid w:val="674C5C80"/>
    <w:rsid w:val="68A1024E"/>
    <w:rsid w:val="69472BA3"/>
    <w:rsid w:val="6A287590"/>
    <w:rsid w:val="6AB46016"/>
    <w:rsid w:val="71974935"/>
    <w:rsid w:val="722C6DDA"/>
    <w:rsid w:val="78BD69DE"/>
    <w:rsid w:val="7A8772A3"/>
    <w:rsid w:val="7AF1207E"/>
    <w:rsid w:val="7C887303"/>
    <w:rsid w:val="7CEA1D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semiHidden="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35" w:name="caption"/>
    <w:lsdException w:qFormat="1" w:unhideWhenUsed="0"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qFormat="1"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4">
    <w:name w:val="heading 1"/>
    <w:basedOn w:val="1"/>
    <w:next w:val="1"/>
    <w:link w:val="208"/>
    <w:autoRedefine/>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209"/>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210"/>
    <w:autoRedefine/>
    <w:qFormat/>
    <w:uiPriority w:val="0"/>
    <w:pPr>
      <w:keepNext/>
      <w:keepLines/>
      <w:spacing w:before="260" w:after="260" w:line="416" w:lineRule="auto"/>
      <w:outlineLvl w:val="2"/>
    </w:pPr>
    <w:rPr>
      <w:b/>
      <w:bCs/>
      <w:sz w:val="32"/>
      <w:szCs w:val="32"/>
    </w:rPr>
  </w:style>
  <w:style w:type="paragraph" w:styleId="7">
    <w:name w:val="heading 4"/>
    <w:basedOn w:val="1"/>
    <w:next w:val="1"/>
    <w:link w:val="21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212"/>
    <w:qFormat/>
    <w:uiPriority w:val="0"/>
    <w:pPr>
      <w:keepNext/>
      <w:keepLines/>
      <w:adjustRightInd/>
      <w:spacing w:before="280" w:after="290" w:line="376" w:lineRule="auto"/>
      <w:outlineLvl w:val="4"/>
    </w:pPr>
    <w:rPr>
      <w:b/>
      <w:bCs/>
      <w:sz w:val="28"/>
      <w:szCs w:val="28"/>
    </w:rPr>
  </w:style>
  <w:style w:type="paragraph" w:styleId="9">
    <w:name w:val="heading 6"/>
    <w:basedOn w:val="1"/>
    <w:next w:val="1"/>
    <w:link w:val="213"/>
    <w:qFormat/>
    <w:uiPriority w:val="0"/>
    <w:pPr>
      <w:keepNext/>
      <w:keepLines/>
      <w:adjustRightInd/>
      <w:spacing w:before="240" w:after="64" w:line="320" w:lineRule="auto"/>
      <w:outlineLvl w:val="5"/>
    </w:pPr>
    <w:rPr>
      <w:rFonts w:ascii="Arial" w:hAnsi="Arial" w:eastAsia="黑体"/>
      <w:b/>
      <w:bCs/>
      <w:sz w:val="24"/>
      <w:szCs w:val="24"/>
    </w:rPr>
  </w:style>
  <w:style w:type="paragraph" w:styleId="10">
    <w:name w:val="heading 7"/>
    <w:basedOn w:val="1"/>
    <w:next w:val="1"/>
    <w:link w:val="214"/>
    <w:qFormat/>
    <w:uiPriority w:val="0"/>
    <w:pPr>
      <w:keepNext/>
      <w:keepLines/>
      <w:adjustRightInd/>
      <w:spacing w:before="240" w:after="64" w:line="320" w:lineRule="auto"/>
      <w:outlineLvl w:val="6"/>
    </w:pPr>
    <w:rPr>
      <w:b/>
      <w:bCs/>
      <w:sz w:val="24"/>
      <w:szCs w:val="24"/>
    </w:rPr>
  </w:style>
  <w:style w:type="paragraph" w:styleId="11">
    <w:name w:val="heading 8"/>
    <w:basedOn w:val="1"/>
    <w:next w:val="1"/>
    <w:link w:val="215"/>
    <w:autoRedefine/>
    <w:qFormat/>
    <w:uiPriority w:val="0"/>
    <w:pPr>
      <w:keepNext/>
      <w:keepLines/>
      <w:adjustRightInd/>
      <w:spacing w:before="240" w:after="64" w:line="320" w:lineRule="auto"/>
      <w:outlineLvl w:val="7"/>
    </w:pPr>
    <w:rPr>
      <w:rFonts w:ascii="Arial" w:hAnsi="Arial" w:eastAsia="黑体"/>
      <w:sz w:val="24"/>
      <w:szCs w:val="24"/>
    </w:rPr>
  </w:style>
  <w:style w:type="paragraph" w:styleId="12">
    <w:name w:val="heading 9"/>
    <w:basedOn w:val="1"/>
    <w:next w:val="1"/>
    <w:link w:val="216"/>
    <w:autoRedefine/>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autoRedefine/>
    <w:semiHidden/>
    <w:unhideWhenUsed/>
    <w:qFormat/>
    <w:uiPriority w:val="1"/>
  </w:style>
  <w:style w:type="table" w:default="1" w:styleId="28">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unhideWhenUsed/>
    <w:qFormat/>
    <w:uiPriority w:val="99"/>
    <w:pPr>
      <w:widowControl/>
      <w:spacing w:after="120"/>
      <w:ind w:firstLine="100" w:firstLineChars="100"/>
    </w:pPr>
    <w:rPr>
      <w:rFonts w:ascii="Calibri" w:hAnsi="Calibri"/>
    </w:rPr>
  </w:style>
  <w:style w:type="paragraph" w:styleId="3">
    <w:name w:val="Body Text"/>
    <w:basedOn w:val="1"/>
    <w:next w:val="1"/>
    <w:link w:val="223"/>
    <w:autoRedefine/>
    <w:qFormat/>
    <w:uiPriority w:val="0"/>
    <w:pPr>
      <w:spacing w:after="120"/>
    </w:pPr>
  </w:style>
  <w:style w:type="paragraph" w:styleId="13">
    <w:name w:val="toc 7"/>
    <w:basedOn w:val="1"/>
    <w:next w:val="1"/>
    <w:autoRedefine/>
    <w:unhideWhenUsed/>
    <w:qFormat/>
    <w:uiPriority w:val="39"/>
    <w:pPr>
      <w:tabs>
        <w:tab w:val="right" w:leader="dot" w:pos="9344"/>
      </w:tabs>
      <w:spacing w:line="300" w:lineRule="exact"/>
      <w:ind w:left="1259"/>
    </w:pPr>
    <w:rPr>
      <w:rFonts w:ascii="宋体"/>
    </w:rPr>
  </w:style>
  <w:style w:type="paragraph" w:styleId="14">
    <w:name w:val="Normal Indent"/>
    <w:basedOn w:val="1"/>
    <w:qFormat/>
    <w:uiPriority w:val="0"/>
    <w:pPr>
      <w:ind w:firstLine="420"/>
    </w:pPr>
  </w:style>
  <w:style w:type="paragraph" w:styleId="15">
    <w:name w:val="toc 5"/>
    <w:basedOn w:val="1"/>
    <w:next w:val="1"/>
    <w:autoRedefine/>
    <w:unhideWhenUsed/>
    <w:qFormat/>
    <w:uiPriority w:val="39"/>
    <w:pPr>
      <w:ind w:left="839"/>
    </w:pPr>
    <w:rPr>
      <w:rFonts w:ascii="宋体"/>
    </w:rPr>
  </w:style>
  <w:style w:type="paragraph" w:styleId="16">
    <w:name w:val="toc 3"/>
    <w:basedOn w:val="1"/>
    <w:next w:val="1"/>
    <w:autoRedefine/>
    <w:unhideWhenUsed/>
    <w:qFormat/>
    <w:uiPriority w:val="39"/>
    <w:pPr>
      <w:spacing w:line="300" w:lineRule="exact"/>
      <w:ind w:left="420"/>
    </w:pPr>
    <w:rPr>
      <w:rFonts w:ascii="宋体"/>
    </w:rPr>
  </w:style>
  <w:style w:type="paragraph" w:styleId="17">
    <w:name w:val="Balloon Text"/>
    <w:basedOn w:val="1"/>
    <w:link w:val="219"/>
    <w:autoRedefine/>
    <w:unhideWhenUsed/>
    <w:qFormat/>
    <w:uiPriority w:val="99"/>
    <w:rPr>
      <w:sz w:val="18"/>
      <w:szCs w:val="18"/>
    </w:rPr>
  </w:style>
  <w:style w:type="paragraph" w:styleId="18">
    <w:name w:val="footer"/>
    <w:basedOn w:val="1"/>
    <w:link w:val="218"/>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217"/>
    <w:autoRedefine/>
    <w:qFormat/>
    <w:uiPriority w:val="99"/>
    <w:pPr>
      <w:tabs>
        <w:tab w:val="center" w:pos="4153"/>
        <w:tab w:val="right" w:pos="8306"/>
      </w:tabs>
      <w:adjustRightInd/>
      <w:snapToGrid w:val="0"/>
      <w:jc w:val="center"/>
    </w:pPr>
    <w:rPr>
      <w:sz w:val="18"/>
      <w:szCs w:val="18"/>
    </w:rPr>
  </w:style>
  <w:style w:type="paragraph" w:styleId="20">
    <w:name w:val="toc 1"/>
    <w:basedOn w:val="1"/>
    <w:next w:val="1"/>
    <w:autoRedefine/>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225"/>
    <w:autoRedefine/>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autoRedefine/>
    <w:unhideWhenUsed/>
    <w:qFormat/>
    <w:uiPriority w:val="39"/>
    <w:pPr>
      <w:spacing w:line="300" w:lineRule="exact"/>
      <w:ind w:left="1049"/>
    </w:pPr>
    <w:rPr>
      <w:rFonts w:ascii="宋体"/>
    </w:rPr>
  </w:style>
  <w:style w:type="paragraph" w:styleId="24">
    <w:name w:val="table of figures"/>
    <w:basedOn w:val="1"/>
    <w:next w:val="1"/>
    <w:autoRedefine/>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Normal (Web)"/>
    <w:basedOn w:val="1"/>
    <w:autoRedefine/>
    <w:qFormat/>
    <w:uiPriority w:val="0"/>
    <w:pPr>
      <w:adjustRightInd/>
      <w:spacing w:before="100" w:beforeAutospacing="1" w:after="100" w:afterAutospacing="1" w:line="240" w:lineRule="auto"/>
      <w:jc w:val="left"/>
    </w:pPr>
    <w:rPr>
      <w:rFonts w:ascii="Times New Roman" w:hAnsi="Times New Roman"/>
      <w:kern w:val="0"/>
      <w:sz w:val="24"/>
      <w:szCs w:val="24"/>
    </w:rPr>
  </w:style>
  <w:style w:type="paragraph" w:styleId="27">
    <w:name w:val="Title"/>
    <w:basedOn w:val="1"/>
    <w:link w:val="221"/>
    <w:autoRedefine/>
    <w:qFormat/>
    <w:uiPriority w:val="0"/>
    <w:pPr>
      <w:spacing w:before="240" w:after="60"/>
      <w:jc w:val="center"/>
      <w:outlineLvl w:val="0"/>
    </w:pPr>
    <w:rPr>
      <w:rFonts w:ascii="Arial" w:hAnsi="Arial" w:cs="Arial"/>
      <w:b/>
      <w:bCs/>
      <w:sz w:val="32"/>
      <w:szCs w:val="32"/>
    </w:rPr>
  </w:style>
  <w:style w:type="table" w:styleId="29">
    <w:name w:val="Table Grid"/>
    <w:basedOn w:val="2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Strong"/>
    <w:autoRedefine/>
    <w:qFormat/>
    <w:uiPriority w:val="22"/>
    <w:rPr>
      <w:b/>
      <w:bCs/>
    </w:rPr>
  </w:style>
  <w:style w:type="character" w:styleId="32">
    <w:name w:val="page number"/>
    <w:autoRedefine/>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rPr>
  </w:style>
  <w:style w:type="character" w:styleId="35">
    <w:name w:val="footnote reference"/>
    <w:semiHidden/>
    <w:qFormat/>
    <w:uiPriority w:val="0"/>
    <w:rPr>
      <w:rFonts w:ascii="宋体" w:hAnsi="宋体" w:eastAsia="宋体" w:cs="Times New Roman"/>
      <w:spacing w:val="0"/>
      <w:sz w:val="18"/>
      <w:vertAlign w:val="superscript"/>
    </w:rPr>
  </w:style>
  <w:style w:type="paragraph" w:customStyle="1" w:styleId="36">
    <w:name w:val="引用1"/>
    <w:basedOn w:val="1"/>
    <w:next w:val="1"/>
    <w:link w:val="220"/>
    <w:autoRedefine/>
    <w:qFormat/>
    <w:uiPriority w:val="29"/>
    <w:rPr>
      <w:i/>
      <w:iCs/>
      <w:color w:val="000000"/>
    </w:rPr>
  </w:style>
  <w:style w:type="paragraph" w:customStyle="1" w:styleId="37">
    <w:name w:val="标准标志"/>
    <w:next w:val="1"/>
    <w:autoRedefine/>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38">
    <w:name w:val="标准称谓"/>
    <w:next w:val="1"/>
    <w:autoRedefine/>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39">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40">
    <w:name w:val="标准文件_页脚奇数页"/>
    <w:autoRedefine/>
    <w:qFormat/>
    <w:uiPriority w:val="0"/>
    <w:pPr>
      <w:ind w:right="227"/>
      <w:jc w:val="right"/>
    </w:pPr>
    <w:rPr>
      <w:rFonts w:ascii="宋体" w:hAnsi="Times New Roman" w:eastAsia="宋体" w:cs="Times New Roman"/>
      <w:sz w:val="18"/>
      <w:lang w:val="en-US" w:eastAsia="zh-CN" w:bidi="ar-SA"/>
    </w:rPr>
  </w:style>
  <w:style w:type="paragraph" w:customStyle="1" w:styleId="41">
    <w:name w:val="标准书眉一"/>
    <w:uiPriority w:val="0"/>
    <w:pPr>
      <w:jc w:val="both"/>
    </w:pPr>
    <w:rPr>
      <w:rFonts w:ascii="Times New Roman" w:hAnsi="Times New Roman" w:eastAsia="宋体" w:cs="Times New Roman"/>
      <w:lang w:val="en-US" w:eastAsia="zh-CN" w:bidi="ar-SA"/>
    </w:rPr>
  </w:style>
  <w:style w:type="paragraph" w:customStyle="1" w:styleId="42">
    <w:name w:val="标准文件_ICS"/>
    <w:basedOn w:val="1"/>
    <w:autoRedefine/>
    <w:qFormat/>
    <w:uiPriority w:val="0"/>
    <w:pPr>
      <w:spacing w:line="0" w:lineRule="atLeast"/>
    </w:pPr>
    <w:rPr>
      <w:rFonts w:ascii="黑体" w:hAnsi="宋体" w:eastAsia="黑体"/>
    </w:rPr>
  </w:style>
  <w:style w:type="paragraph" w:customStyle="1" w:styleId="43">
    <w:name w:val="标准文件_标准正文"/>
    <w:basedOn w:val="1"/>
    <w:next w:val="44"/>
    <w:autoRedefine/>
    <w:qFormat/>
    <w:uiPriority w:val="0"/>
    <w:pPr>
      <w:snapToGrid w:val="0"/>
      <w:ind w:firstLine="200" w:firstLineChars="200"/>
    </w:pPr>
    <w:rPr>
      <w:kern w:val="0"/>
    </w:rPr>
  </w:style>
  <w:style w:type="paragraph" w:customStyle="1" w:styleId="44">
    <w:name w:val="标准文件_段"/>
    <w:link w:val="229"/>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5">
    <w:name w:val="标准文件_版本"/>
    <w:basedOn w:val="43"/>
    <w:qFormat/>
    <w:uiPriority w:val="0"/>
    <w:pPr>
      <w:adjustRightInd/>
      <w:snapToGrid/>
      <w:ind w:firstLine="0" w:firstLineChars="0"/>
    </w:pPr>
    <w:rPr>
      <w:rFonts w:ascii="宋体" w:hAnsi="宋体"/>
      <w:kern w:val="2"/>
    </w:rPr>
  </w:style>
  <w:style w:type="paragraph" w:customStyle="1" w:styleId="46">
    <w:name w:val="标准文件_标准部门"/>
    <w:basedOn w:val="1"/>
    <w:qFormat/>
    <w:uiPriority w:val="0"/>
    <w:pPr>
      <w:jc w:val="center"/>
    </w:pPr>
    <w:rPr>
      <w:rFonts w:ascii="黑体" w:eastAsia="黑体"/>
      <w:kern w:val="0"/>
      <w:sz w:val="44"/>
    </w:rPr>
  </w:style>
  <w:style w:type="paragraph" w:customStyle="1" w:styleId="47">
    <w:name w:val="标准文件_标准代替"/>
    <w:basedOn w:val="1"/>
    <w:next w:val="1"/>
    <w:autoRedefine/>
    <w:qFormat/>
    <w:uiPriority w:val="0"/>
    <w:pPr>
      <w:spacing w:line="310" w:lineRule="exact"/>
      <w:jc w:val="right"/>
    </w:pPr>
    <w:rPr>
      <w:rFonts w:ascii="宋体" w:hAnsi="宋体"/>
      <w:kern w:val="0"/>
    </w:rPr>
  </w:style>
  <w:style w:type="paragraph" w:customStyle="1" w:styleId="48">
    <w:name w:val="标准文件_标准名称标题"/>
    <w:basedOn w:val="1"/>
    <w:next w:val="1"/>
    <w:autoRedefine/>
    <w:qFormat/>
    <w:uiPriority w:val="0"/>
    <w:pPr>
      <w:widowControl/>
      <w:shd w:val="clear" w:color="FFFFFF" w:fill="FFFFFF"/>
      <w:adjustRightInd/>
      <w:spacing w:before="640" w:after="100"/>
      <w:jc w:val="center"/>
    </w:pPr>
    <w:rPr>
      <w:rFonts w:ascii="黑体" w:eastAsia="黑体"/>
      <w:kern w:val="0"/>
      <w:sz w:val="32"/>
    </w:rPr>
  </w:style>
  <w:style w:type="paragraph" w:customStyle="1" w:styleId="49">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50">
    <w:name w:val="标准文件_页眉偶数页"/>
    <w:basedOn w:val="49"/>
    <w:next w:val="1"/>
    <w:autoRedefine/>
    <w:qFormat/>
    <w:uiPriority w:val="0"/>
    <w:pPr>
      <w:jc w:val="left"/>
    </w:pPr>
  </w:style>
  <w:style w:type="paragraph" w:customStyle="1" w:styleId="51">
    <w:name w:val="标准文件_参考文献标题"/>
    <w:basedOn w:val="1"/>
    <w:next w:val="1"/>
    <w:autoRedefine/>
    <w:qFormat/>
    <w:uiPriority w:val="0"/>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52">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53">
    <w:name w:val="标准文件_二级条标题"/>
    <w:next w:val="44"/>
    <w:autoRedefine/>
    <w:qFormat/>
    <w:uiPriority w:val="0"/>
    <w:pPr>
      <w:widowControl w:val="0"/>
      <w:numPr>
        <w:ilvl w:val="3"/>
        <w:numId w:val="2"/>
      </w:numPr>
      <w:spacing w:beforeLines="50" w:afterLines="50"/>
      <w:ind w:left="0"/>
      <w:jc w:val="both"/>
      <w:outlineLvl w:val="2"/>
    </w:pPr>
    <w:rPr>
      <w:rFonts w:ascii="黑体" w:hAnsi="Times New Roman" w:eastAsia="黑体" w:cs="Times New Roman"/>
      <w:sz w:val="21"/>
      <w:lang w:val="en-US" w:eastAsia="zh-CN" w:bidi="ar-SA"/>
    </w:rPr>
  </w:style>
  <w:style w:type="paragraph" w:customStyle="1" w:styleId="54">
    <w:name w:val="标准文件_方框数字列项"/>
    <w:basedOn w:val="44"/>
    <w:autoRedefine/>
    <w:qFormat/>
    <w:uiPriority w:val="0"/>
    <w:pPr>
      <w:numPr>
        <w:ilvl w:val="0"/>
        <w:numId w:val="3"/>
      </w:numPr>
      <w:ind w:firstLine="0" w:firstLineChars="0"/>
    </w:pPr>
  </w:style>
  <w:style w:type="paragraph" w:customStyle="1" w:styleId="55">
    <w:name w:val="标准文件_封面标准编号"/>
    <w:basedOn w:val="1"/>
    <w:next w:val="47"/>
    <w:autoRedefine/>
    <w:qFormat/>
    <w:uiPriority w:val="0"/>
    <w:pPr>
      <w:spacing w:line="310" w:lineRule="exact"/>
      <w:jc w:val="right"/>
    </w:pPr>
    <w:rPr>
      <w:rFonts w:ascii="黑体" w:eastAsia="黑体"/>
      <w:kern w:val="0"/>
      <w:sz w:val="28"/>
    </w:rPr>
  </w:style>
  <w:style w:type="paragraph" w:customStyle="1" w:styleId="56">
    <w:name w:val="标准文件_封面标准分类号"/>
    <w:basedOn w:val="1"/>
    <w:autoRedefine/>
    <w:qFormat/>
    <w:uiPriority w:val="0"/>
    <w:rPr>
      <w:rFonts w:ascii="黑体" w:eastAsia="黑体"/>
      <w:b/>
      <w:kern w:val="0"/>
      <w:sz w:val="28"/>
    </w:rPr>
  </w:style>
  <w:style w:type="paragraph" w:customStyle="1" w:styleId="57">
    <w:name w:val="标准文件_封面标准名称"/>
    <w:basedOn w:val="1"/>
    <w:autoRedefine/>
    <w:qFormat/>
    <w:uiPriority w:val="0"/>
    <w:pPr>
      <w:spacing w:line="240" w:lineRule="auto"/>
      <w:jc w:val="center"/>
    </w:pPr>
    <w:rPr>
      <w:rFonts w:ascii="黑体" w:eastAsia="黑体"/>
      <w:kern w:val="0"/>
      <w:sz w:val="52"/>
    </w:rPr>
  </w:style>
  <w:style w:type="paragraph" w:customStyle="1" w:styleId="58">
    <w:name w:val="标准文件_封面标准英文名称"/>
    <w:basedOn w:val="1"/>
    <w:autoRedefine/>
    <w:qFormat/>
    <w:uiPriority w:val="0"/>
    <w:pPr>
      <w:spacing w:line="240" w:lineRule="auto"/>
      <w:jc w:val="center"/>
    </w:pPr>
    <w:rPr>
      <w:rFonts w:ascii="黑体" w:eastAsia="黑体"/>
      <w:b/>
      <w:sz w:val="28"/>
    </w:rPr>
  </w:style>
  <w:style w:type="paragraph" w:customStyle="1" w:styleId="59">
    <w:name w:val="标准文件_封面发布日期"/>
    <w:basedOn w:val="1"/>
    <w:autoRedefine/>
    <w:qFormat/>
    <w:uiPriority w:val="0"/>
    <w:pPr>
      <w:spacing w:line="310" w:lineRule="exact"/>
    </w:pPr>
    <w:rPr>
      <w:rFonts w:ascii="黑体" w:eastAsia="黑体"/>
      <w:kern w:val="0"/>
      <w:sz w:val="28"/>
    </w:rPr>
  </w:style>
  <w:style w:type="paragraph" w:customStyle="1" w:styleId="60">
    <w:name w:val="标准文件_封面密级"/>
    <w:basedOn w:val="1"/>
    <w:autoRedefine/>
    <w:qFormat/>
    <w:uiPriority w:val="0"/>
    <w:rPr>
      <w:rFonts w:eastAsia="黑体"/>
      <w:sz w:val="32"/>
    </w:rPr>
  </w:style>
  <w:style w:type="paragraph" w:customStyle="1" w:styleId="61">
    <w:name w:val="标准文件_封面实施日期"/>
    <w:basedOn w:val="1"/>
    <w:autoRedefine/>
    <w:qFormat/>
    <w:uiPriority w:val="0"/>
    <w:pPr>
      <w:spacing w:line="310" w:lineRule="exact"/>
      <w:jc w:val="right"/>
    </w:pPr>
    <w:rPr>
      <w:rFonts w:ascii="黑体" w:eastAsia="黑体"/>
      <w:sz w:val="28"/>
    </w:rPr>
  </w:style>
  <w:style w:type="paragraph" w:customStyle="1" w:styleId="62">
    <w:name w:val="标准文件_封面抬头"/>
    <w:basedOn w:val="44"/>
    <w:autoRedefine/>
    <w:qFormat/>
    <w:uiPriority w:val="0"/>
    <w:pPr>
      <w:adjustRightInd w:val="0"/>
      <w:spacing w:line="800" w:lineRule="exact"/>
      <w:ind w:firstLine="0" w:firstLineChars="0"/>
      <w:jc w:val="distribute"/>
    </w:pPr>
    <w:rPr>
      <w:rFonts w:ascii="黑体" w:eastAsia="黑体"/>
      <w:b/>
      <w:sz w:val="64"/>
    </w:rPr>
  </w:style>
  <w:style w:type="paragraph" w:customStyle="1" w:styleId="63">
    <w:name w:val="标准文件_附录标识"/>
    <w:next w:val="44"/>
    <w:autoRedefine/>
    <w:qFormat/>
    <w:uiPriority w:val="0"/>
    <w:pPr>
      <w:numPr>
        <w:ilvl w:val="0"/>
        <w:numId w:val="4"/>
      </w:numPr>
      <w:shd w:val="clear" w:color="FFFFFF" w:fill="FFFFFF"/>
      <w:tabs>
        <w:tab w:val="left" w:pos="6406"/>
      </w:tabs>
      <w:spacing w:beforeLines="25" w:afterLines="50"/>
      <w:jc w:val="center"/>
      <w:outlineLvl w:val="0"/>
    </w:pPr>
    <w:rPr>
      <w:rFonts w:ascii="黑体" w:hAnsi="Times New Roman" w:eastAsia="黑体" w:cs="Times New Roman"/>
      <w:sz w:val="21"/>
      <w:lang w:val="en-US" w:eastAsia="zh-CN" w:bidi="ar-SA"/>
    </w:rPr>
  </w:style>
  <w:style w:type="paragraph" w:customStyle="1" w:styleId="64">
    <w:name w:val="标准文件_附录表标题"/>
    <w:next w:val="44"/>
    <w:qFormat/>
    <w:uiPriority w:val="0"/>
    <w:pPr>
      <w:numPr>
        <w:ilvl w:val="1"/>
        <w:numId w:val="5"/>
      </w:numPr>
      <w:adjustRightInd w:val="0"/>
      <w:snapToGrid w:val="0"/>
      <w:spacing w:beforeLines="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65">
    <w:name w:val="标准文件_附录一级条标题"/>
    <w:next w:val="44"/>
    <w:autoRedefine/>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66">
    <w:name w:val="标准文件_附录二级条标题"/>
    <w:basedOn w:val="65"/>
    <w:next w:val="44"/>
    <w:autoRedefine/>
    <w:qFormat/>
    <w:uiPriority w:val="0"/>
    <w:pPr>
      <w:widowControl/>
      <w:numPr>
        <w:ilvl w:val="2"/>
      </w:numPr>
      <w:wordWrap w:val="0"/>
      <w:overflowPunct w:val="0"/>
      <w:autoSpaceDE w:val="0"/>
      <w:autoSpaceDN w:val="0"/>
      <w:textAlignment w:val="baseline"/>
      <w:outlineLvl w:val="3"/>
    </w:pPr>
  </w:style>
  <w:style w:type="paragraph" w:customStyle="1" w:styleId="67">
    <w:name w:val="标准文件_附录公式"/>
    <w:basedOn w:val="43"/>
    <w:next w:val="43"/>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68">
    <w:name w:val="标准文件_附录三级条标题"/>
    <w:next w:val="44"/>
    <w:autoRedefine/>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69">
    <w:name w:val="标准文件_附录四级条标题"/>
    <w:next w:val="44"/>
    <w:autoRedefine/>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70">
    <w:name w:val="标准文件_附录图标题"/>
    <w:next w:val="44"/>
    <w:autoRedefine/>
    <w:qFormat/>
    <w:uiPriority w:val="0"/>
    <w:pPr>
      <w:numPr>
        <w:ilvl w:val="1"/>
        <w:numId w:val="6"/>
      </w:numPr>
      <w:adjustRightInd w:val="0"/>
      <w:snapToGrid w:val="0"/>
      <w:spacing w:beforeLines="50" w:afterLines="50"/>
      <w:ind w:firstLine="420"/>
      <w:jc w:val="center"/>
    </w:pPr>
    <w:rPr>
      <w:rFonts w:ascii="黑体" w:hAnsi="Times New Roman" w:eastAsia="黑体" w:cs="Times New Roman"/>
      <w:sz w:val="21"/>
      <w:lang w:val="en-US" w:eastAsia="zh-CN" w:bidi="ar-SA"/>
    </w:rPr>
  </w:style>
  <w:style w:type="paragraph" w:customStyle="1" w:styleId="71">
    <w:name w:val="标准文件_附录五级条标题"/>
    <w:next w:val="44"/>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72">
    <w:name w:val="标准文件_附录英文标识"/>
    <w:next w:val="3"/>
    <w:autoRedefine/>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paragraph" w:customStyle="1" w:styleId="73">
    <w:name w:val="标准文件_附录章标题"/>
    <w:next w:val="44"/>
    <w:autoRedefine/>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74">
    <w:name w:val="标准文件_公式后的破折号"/>
    <w:basedOn w:val="44"/>
    <w:next w:val="44"/>
    <w:autoRedefine/>
    <w:qFormat/>
    <w:uiPriority w:val="0"/>
    <w:pPr>
      <w:ind w:left="488" w:leftChars="200" w:hanging="289" w:hangingChars="290"/>
    </w:pPr>
  </w:style>
  <w:style w:type="paragraph" w:customStyle="1" w:styleId="75">
    <w:name w:val="标准文件_前言、引言标题"/>
    <w:next w:val="1"/>
    <w:autoRedefine/>
    <w:qFormat/>
    <w:uiPriority w:val="0"/>
    <w:pPr>
      <w:numPr>
        <w:ilvl w:val="0"/>
        <w:numId w:val="8"/>
      </w:numPr>
      <w:shd w:val="clear" w:color="FFFFFF" w:fill="FFFFFF"/>
      <w:spacing w:afterLines="150"/>
      <w:ind w:left="0" w:firstLine="0"/>
      <w:jc w:val="center"/>
      <w:outlineLvl w:val="0"/>
    </w:pPr>
    <w:rPr>
      <w:rFonts w:ascii="黑体" w:hAnsi="Times New Roman" w:eastAsia="黑体" w:cs="Times New Roman"/>
      <w:sz w:val="32"/>
      <w:lang w:val="en-US" w:eastAsia="zh-CN" w:bidi="ar-SA"/>
    </w:rPr>
  </w:style>
  <w:style w:type="paragraph" w:customStyle="1" w:styleId="76">
    <w:name w:val="标准文件_目次、标准名称标题"/>
    <w:basedOn w:val="75"/>
    <w:next w:val="44"/>
    <w:autoRedefine/>
    <w:qFormat/>
    <w:uiPriority w:val="0"/>
    <w:pPr>
      <w:spacing w:line="460" w:lineRule="exact"/>
    </w:pPr>
  </w:style>
  <w:style w:type="paragraph" w:customStyle="1" w:styleId="77">
    <w:name w:val="标准文件_目录标题"/>
    <w:basedOn w:val="1"/>
    <w:autoRedefine/>
    <w:qFormat/>
    <w:uiPriority w:val="0"/>
    <w:pPr>
      <w:spacing w:afterLines="150" w:line="240" w:lineRule="auto"/>
      <w:jc w:val="center"/>
    </w:pPr>
    <w:rPr>
      <w:rFonts w:ascii="黑体" w:eastAsia="黑体"/>
      <w:sz w:val="32"/>
    </w:rPr>
  </w:style>
  <w:style w:type="paragraph" w:customStyle="1" w:styleId="78">
    <w:name w:val="标准文件_破折号列项"/>
    <w:autoRedefine/>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79">
    <w:name w:val="标准文件_破折号列项（二级）"/>
    <w:basedOn w:val="78"/>
    <w:autoRedefine/>
    <w:qFormat/>
    <w:uiPriority w:val="0"/>
    <w:pPr>
      <w:numPr>
        <w:numId w:val="10"/>
      </w:numPr>
      <w:ind w:left="0" w:firstLine="200"/>
    </w:pPr>
  </w:style>
  <w:style w:type="paragraph" w:customStyle="1" w:styleId="80">
    <w:name w:val="标准文件_三级条标题"/>
    <w:basedOn w:val="53"/>
    <w:next w:val="44"/>
    <w:autoRedefine/>
    <w:qFormat/>
    <w:uiPriority w:val="0"/>
    <w:pPr>
      <w:widowControl/>
      <w:numPr>
        <w:ilvl w:val="4"/>
      </w:numPr>
      <w:outlineLvl w:val="3"/>
    </w:pPr>
  </w:style>
  <w:style w:type="paragraph" w:customStyle="1" w:styleId="81">
    <w:name w:val="标准文件_示例后续"/>
    <w:basedOn w:val="1"/>
    <w:autoRedefine/>
    <w:qFormat/>
    <w:uiPriority w:val="0"/>
    <w:pPr>
      <w:adjustRightInd/>
      <w:spacing w:line="240" w:lineRule="auto"/>
      <w:ind w:firstLine="200" w:firstLineChars="200"/>
    </w:pPr>
    <w:rPr>
      <w:sz w:val="18"/>
      <w:szCs w:val="24"/>
    </w:rPr>
  </w:style>
  <w:style w:type="paragraph" w:customStyle="1" w:styleId="82">
    <w:name w:val="标准文件_数字编号列项"/>
    <w:autoRedefine/>
    <w:qFormat/>
    <w:uiPriority w:val="0"/>
    <w:pPr>
      <w:numPr>
        <w:ilvl w:val="0"/>
        <w:numId w:val="11"/>
      </w:numPr>
      <w:jc w:val="both"/>
    </w:pPr>
    <w:rPr>
      <w:rFonts w:ascii="宋体" w:hAnsi="宋体" w:eastAsia="宋体" w:cs="Times New Roman"/>
      <w:sz w:val="21"/>
      <w:lang w:val="en-US" w:eastAsia="zh-CN" w:bidi="ar-SA"/>
    </w:rPr>
  </w:style>
  <w:style w:type="paragraph" w:customStyle="1" w:styleId="83">
    <w:name w:val="标准文件_四级条标题"/>
    <w:next w:val="44"/>
    <w:autoRedefine/>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paragraph" w:customStyle="1" w:styleId="84">
    <w:name w:val="标准文件_条文脚注"/>
    <w:basedOn w:val="22"/>
    <w:autoRedefine/>
    <w:qFormat/>
    <w:uiPriority w:val="0"/>
    <w:pPr>
      <w:adjustRightInd w:val="0"/>
      <w:spacing w:line="240" w:lineRule="auto"/>
      <w:ind w:left="0" w:leftChars="0" w:firstLine="200" w:firstLineChars="200"/>
      <w:jc w:val="both"/>
    </w:pPr>
    <w:rPr>
      <w:rFonts w:hAnsi="宋体"/>
    </w:rPr>
  </w:style>
  <w:style w:type="paragraph" w:customStyle="1" w:styleId="85">
    <w:name w:val="标准文件_图表脚注"/>
    <w:basedOn w:val="1"/>
    <w:next w:val="44"/>
    <w:autoRedefine/>
    <w:qFormat/>
    <w:uiPriority w:val="0"/>
    <w:pPr>
      <w:numPr>
        <w:ilvl w:val="0"/>
        <w:numId w:val="12"/>
      </w:numPr>
      <w:spacing w:line="240" w:lineRule="auto"/>
      <w:jc w:val="left"/>
    </w:pPr>
    <w:rPr>
      <w:rFonts w:ascii="宋体" w:hAnsi="宋体"/>
      <w:sz w:val="18"/>
    </w:rPr>
  </w:style>
  <w:style w:type="paragraph" w:customStyle="1" w:styleId="86">
    <w:name w:val="标准文件_五级条标题"/>
    <w:next w:val="44"/>
    <w:autoRedefine/>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87">
    <w:name w:val="标准文件_章标题"/>
    <w:next w:val="44"/>
    <w:autoRedefine/>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88">
    <w:name w:val="标准文件_一级条标题"/>
    <w:basedOn w:val="87"/>
    <w:next w:val="44"/>
    <w:qFormat/>
    <w:uiPriority w:val="0"/>
    <w:pPr>
      <w:numPr>
        <w:ilvl w:val="2"/>
      </w:numPr>
      <w:spacing w:beforeLines="50" w:afterLines="50"/>
      <w:outlineLvl w:val="1"/>
    </w:pPr>
  </w:style>
  <w:style w:type="paragraph" w:customStyle="1" w:styleId="89">
    <w:name w:val="标准文件_一致程度"/>
    <w:basedOn w:val="1"/>
    <w:autoRedefine/>
    <w:qFormat/>
    <w:uiPriority w:val="0"/>
    <w:pPr>
      <w:spacing w:line="440" w:lineRule="exact"/>
      <w:jc w:val="center"/>
    </w:pPr>
    <w:rPr>
      <w:sz w:val="28"/>
    </w:rPr>
  </w:style>
  <w:style w:type="paragraph" w:customStyle="1" w:styleId="90">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91">
    <w:name w:val="标准文件_英文图表脚注"/>
    <w:basedOn w:val="43"/>
    <w:autoRedefine/>
    <w:qFormat/>
    <w:uiPriority w:val="0"/>
    <w:pPr>
      <w:widowControl/>
      <w:adjustRightInd/>
      <w:snapToGrid/>
      <w:spacing w:line="240" w:lineRule="auto"/>
      <w:ind w:left="79" w:hanging="79" w:hangingChars="80"/>
    </w:pPr>
    <w:rPr>
      <w:rFonts w:ascii="宋体" w:hAnsi="宋体"/>
    </w:rPr>
  </w:style>
  <w:style w:type="paragraph" w:customStyle="1" w:styleId="92">
    <w:name w:val="标准文件_数字编号列项（二级）"/>
    <w:autoRedefine/>
    <w:qFormat/>
    <w:uiPriority w:val="0"/>
    <w:pPr>
      <w:numPr>
        <w:ilvl w:val="1"/>
        <w:numId w:val="13"/>
      </w:numPr>
      <w:tabs>
        <w:tab w:val="left" w:pos="851"/>
      </w:tabs>
      <w:jc w:val="both"/>
    </w:pPr>
    <w:rPr>
      <w:rFonts w:ascii="宋体" w:hAnsi="Times New Roman" w:eastAsia="宋体" w:cs="Times New Roman"/>
      <w:sz w:val="21"/>
      <w:lang w:val="en-US" w:eastAsia="zh-CN" w:bidi="ar-SA"/>
    </w:rPr>
  </w:style>
  <w:style w:type="paragraph" w:customStyle="1" w:styleId="93">
    <w:name w:val="标准文件_英文注："/>
    <w:basedOn w:val="1"/>
    <w:next w:val="44"/>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94">
    <w:name w:val="标准文件_英文注×："/>
    <w:basedOn w:val="1"/>
    <w:autoRedefine/>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95">
    <w:name w:val="标准文件_正文表标题"/>
    <w:next w:val="44"/>
    <w:autoRedefine/>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96">
    <w:name w:val="标准文件_正文公式"/>
    <w:basedOn w:val="1"/>
    <w:next w:val="43"/>
    <w:autoRedefine/>
    <w:qFormat/>
    <w:uiPriority w:val="0"/>
    <w:pPr>
      <w:tabs>
        <w:tab w:val="center" w:pos="4678"/>
        <w:tab w:val="right" w:leader="middleDot" w:pos="9356"/>
      </w:tabs>
      <w:spacing w:line="240" w:lineRule="auto"/>
    </w:pPr>
    <w:rPr>
      <w:rFonts w:ascii="宋体" w:hAnsi="宋体"/>
    </w:rPr>
  </w:style>
  <w:style w:type="paragraph" w:customStyle="1" w:styleId="97">
    <w:name w:val="标准文件_正文图标题"/>
    <w:next w:val="44"/>
    <w:autoRedefine/>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98">
    <w:name w:val="标准文件_正文英文表标题"/>
    <w:next w:val="44"/>
    <w:autoRedefine/>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99">
    <w:name w:val="标准文件_正文英文图标题"/>
    <w:next w:val="44"/>
    <w:autoRedefine/>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00">
    <w:name w:val="标准文件_编号列项（三级）"/>
    <w:autoRedefine/>
    <w:qFormat/>
    <w:uiPriority w:val="0"/>
    <w:pPr>
      <w:numPr>
        <w:ilvl w:val="2"/>
        <w:numId w:val="13"/>
      </w:numPr>
      <w:tabs>
        <w:tab w:val="left" w:pos="851"/>
      </w:tabs>
    </w:pPr>
    <w:rPr>
      <w:rFonts w:ascii="宋体" w:hAnsi="Times New Roman" w:eastAsia="宋体" w:cs="Times New Roman"/>
      <w:sz w:val="21"/>
      <w:lang w:val="en-US" w:eastAsia="zh-CN" w:bidi="ar-SA"/>
    </w:rPr>
  </w:style>
  <w:style w:type="paragraph" w:customStyle="1" w:styleId="101">
    <w:name w:val="二级无标题条"/>
    <w:basedOn w:val="1"/>
    <w:autoRedefine/>
    <w:qFormat/>
    <w:uiPriority w:val="0"/>
    <w:pPr>
      <w:numPr>
        <w:ilvl w:val="3"/>
        <w:numId w:val="20"/>
      </w:numPr>
      <w:adjustRightInd/>
      <w:spacing w:line="240" w:lineRule="auto"/>
    </w:pPr>
    <w:rPr>
      <w:rFonts w:ascii="宋体" w:hAnsi="宋体"/>
      <w:szCs w:val="24"/>
    </w:rPr>
  </w:style>
  <w:style w:type="paragraph" w:customStyle="1" w:styleId="102">
    <w:name w:val="发布部门"/>
    <w:next w:val="44"/>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03">
    <w:name w:val="发布日期"/>
    <w:autoRedefine/>
    <w:qFormat/>
    <w:uiPriority w:val="0"/>
    <w:rPr>
      <w:rFonts w:ascii="Times New Roman" w:hAnsi="Times New Roman" w:eastAsia="黑体" w:cs="Times New Roman"/>
      <w:sz w:val="28"/>
      <w:lang w:val="en-US" w:eastAsia="zh-CN" w:bidi="ar-SA"/>
    </w:rPr>
  </w:style>
  <w:style w:type="paragraph" w:customStyle="1" w:styleId="104">
    <w:name w:val="封面标准代替信息"/>
    <w:basedOn w:val="1"/>
    <w:autoRedefine/>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05">
    <w:name w:val="封面标准名称"/>
    <w:autoRedefine/>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06">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07">
    <w:name w:val="封面标准文稿类别"/>
    <w:autoRedefine/>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08">
    <w:name w:val="封面标准英文名称"/>
    <w:autoRedefine/>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09">
    <w:name w:val="封面一致性程度标识"/>
    <w:autoRedefine/>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10">
    <w:name w:val="封面正文"/>
    <w:autoRedefine/>
    <w:qFormat/>
    <w:uiPriority w:val="0"/>
    <w:pPr>
      <w:jc w:val="both"/>
    </w:pPr>
    <w:rPr>
      <w:rFonts w:ascii="Times New Roman" w:hAnsi="Times New Roman" w:eastAsia="宋体" w:cs="Times New Roman"/>
      <w:lang w:val="en-US" w:eastAsia="zh-CN" w:bidi="ar-SA"/>
    </w:rPr>
  </w:style>
  <w:style w:type="paragraph" w:customStyle="1" w:styleId="111">
    <w:name w:val="附录二级无标题条"/>
    <w:basedOn w:val="1"/>
    <w:next w:val="44"/>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12">
    <w:name w:val="附录三级无标题条"/>
    <w:basedOn w:val="111"/>
    <w:next w:val="44"/>
    <w:autoRedefine/>
    <w:qFormat/>
    <w:uiPriority w:val="0"/>
    <w:pPr>
      <w:outlineLvl w:val="4"/>
    </w:pPr>
  </w:style>
  <w:style w:type="paragraph" w:customStyle="1" w:styleId="113">
    <w:name w:val="附录四级无标题条"/>
    <w:basedOn w:val="112"/>
    <w:next w:val="44"/>
    <w:autoRedefine/>
    <w:qFormat/>
    <w:uiPriority w:val="0"/>
    <w:pPr>
      <w:outlineLvl w:val="5"/>
    </w:pPr>
  </w:style>
  <w:style w:type="paragraph" w:customStyle="1" w:styleId="114">
    <w:name w:val="附录图"/>
    <w:next w:val="44"/>
    <w:autoRedefine/>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15">
    <w:name w:val="标准文件_一级项"/>
    <w:autoRedefine/>
    <w:qFormat/>
    <w:uiPriority w:val="0"/>
    <w:pPr>
      <w:numPr>
        <w:ilvl w:val="0"/>
        <w:numId w:val="21"/>
      </w:numPr>
    </w:pPr>
    <w:rPr>
      <w:rFonts w:ascii="宋体" w:hAnsi="Times New Roman" w:eastAsia="宋体" w:cs="Times New Roman"/>
      <w:sz w:val="21"/>
      <w:lang w:val="en-US" w:eastAsia="zh-CN" w:bidi="ar-SA"/>
    </w:rPr>
  </w:style>
  <w:style w:type="paragraph" w:customStyle="1" w:styleId="116">
    <w:name w:val="附录五级无标题条"/>
    <w:basedOn w:val="113"/>
    <w:next w:val="44"/>
    <w:autoRedefine/>
    <w:qFormat/>
    <w:uiPriority w:val="0"/>
    <w:pPr>
      <w:outlineLvl w:val="6"/>
    </w:pPr>
  </w:style>
  <w:style w:type="paragraph" w:customStyle="1" w:styleId="117">
    <w:name w:val="附录性质"/>
    <w:basedOn w:val="1"/>
    <w:autoRedefine/>
    <w:qFormat/>
    <w:uiPriority w:val="0"/>
    <w:pPr>
      <w:widowControl/>
      <w:adjustRightInd/>
      <w:jc w:val="center"/>
    </w:pPr>
    <w:rPr>
      <w:rFonts w:ascii="黑体" w:eastAsia="黑体"/>
    </w:rPr>
  </w:style>
  <w:style w:type="paragraph" w:customStyle="1" w:styleId="118">
    <w:name w:val="附录一级无标题条"/>
    <w:basedOn w:val="73"/>
    <w:next w:val="44"/>
    <w:autoRedefine/>
    <w:qFormat/>
    <w:uiPriority w:val="0"/>
    <w:pPr>
      <w:autoSpaceDN w:val="0"/>
      <w:outlineLvl w:val="2"/>
    </w:pPr>
    <w:rPr>
      <w:rFonts w:ascii="宋体" w:hAnsi="宋体" w:eastAsia="宋体"/>
    </w:rPr>
  </w:style>
  <w:style w:type="paragraph" w:customStyle="1" w:styleId="119">
    <w:name w:val="脚注后续"/>
    <w:autoRedefine/>
    <w:qFormat/>
    <w:uiPriority w:val="0"/>
    <w:pPr>
      <w:ind w:left="350" w:leftChars="350"/>
      <w:jc w:val="both"/>
    </w:pPr>
    <w:rPr>
      <w:rFonts w:ascii="宋体" w:hAnsi="Times New Roman" w:eastAsia="宋体" w:cs="Times New Roman"/>
      <w:sz w:val="18"/>
      <w:lang w:val="en-US" w:eastAsia="zh-CN" w:bidi="ar-SA"/>
    </w:rPr>
  </w:style>
  <w:style w:type="paragraph" w:customStyle="1" w:styleId="120">
    <w:name w:val="列项——"/>
    <w:autoRedefine/>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21">
    <w:name w:val="列项·"/>
    <w:basedOn w:val="44"/>
    <w:autoRedefine/>
    <w:qFormat/>
    <w:uiPriority w:val="0"/>
    <w:pPr>
      <w:tabs>
        <w:tab w:val="left" w:pos="840"/>
      </w:tabs>
    </w:pPr>
  </w:style>
  <w:style w:type="paragraph" w:customStyle="1" w:styleId="122">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23">
    <w:name w:val="目录 21"/>
    <w:basedOn w:val="1"/>
    <w:next w:val="1"/>
    <w:autoRedefine/>
    <w:semiHidden/>
    <w:qFormat/>
    <w:uiPriority w:val="0"/>
    <w:pPr>
      <w:adjustRightInd/>
      <w:spacing w:line="240" w:lineRule="auto"/>
      <w:jc w:val="left"/>
    </w:pPr>
    <w:rPr>
      <w:bCs/>
      <w:iCs/>
    </w:rPr>
  </w:style>
  <w:style w:type="paragraph" w:customStyle="1" w:styleId="124">
    <w:name w:val="目录 31"/>
    <w:basedOn w:val="1"/>
    <w:next w:val="1"/>
    <w:autoRedefine/>
    <w:semiHidden/>
    <w:qFormat/>
    <w:uiPriority w:val="0"/>
    <w:pPr>
      <w:spacing w:line="240" w:lineRule="auto"/>
    </w:pPr>
    <w:rPr>
      <w:rFonts w:ascii="宋体" w:hAnsi="宋体"/>
      <w:iCs/>
    </w:rPr>
  </w:style>
  <w:style w:type="paragraph" w:customStyle="1" w:styleId="125">
    <w:name w:val="目录 41"/>
    <w:basedOn w:val="1"/>
    <w:next w:val="1"/>
    <w:autoRedefine/>
    <w:semiHidden/>
    <w:qFormat/>
    <w:uiPriority w:val="0"/>
    <w:pPr>
      <w:adjustRightInd/>
      <w:spacing w:line="240" w:lineRule="auto"/>
      <w:jc w:val="left"/>
    </w:pPr>
  </w:style>
  <w:style w:type="paragraph" w:customStyle="1" w:styleId="126">
    <w:name w:val="目录 51"/>
    <w:basedOn w:val="1"/>
    <w:next w:val="1"/>
    <w:autoRedefine/>
    <w:semiHidden/>
    <w:qFormat/>
    <w:uiPriority w:val="0"/>
    <w:pPr>
      <w:spacing w:line="240" w:lineRule="auto"/>
    </w:pPr>
    <w:rPr>
      <w:rFonts w:ascii="宋体" w:hAnsi="宋体"/>
    </w:rPr>
  </w:style>
  <w:style w:type="paragraph" w:customStyle="1" w:styleId="127">
    <w:name w:val="目录 61"/>
    <w:basedOn w:val="1"/>
    <w:next w:val="1"/>
    <w:autoRedefine/>
    <w:semiHidden/>
    <w:qFormat/>
    <w:uiPriority w:val="0"/>
    <w:pPr>
      <w:adjustRightInd/>
      <w:spacing w:line="240" w:lineRule="auto"/>
      <w:jc w:val="left"/>
    </w:pPr>
  </w:style>
  <w:style w:type="paragraph" w:customStyle="1" w:styleId="128">
    <w:name w:val="目录 71"/>
    <w:basedOn w:val="127"/>
    <w:autoRedefine/>
    <w:semiHidden/>
    <w:qFormat/>
    <w:uiPriority w:val="0"/>
    <w:pPr>
      <w:ind w:left="1260"/>
    </w:pPr>
  </w:style>
  <w:style w:type="paragraph" w:customStyle="1" w:styleId="129">
    <w:name w:val="目录 81"/>
    <w:basedOn w:val="128"/>
    <w:autoRedefine/>
    <w:semiHidden/>
    <w:qFormat/>
    <w:uiPriority w:val="0"/>
    <w:pPr>
      <w:ind w:left="1470"/>
    </w:pPr>
  </w:style>
  <w:style w:type="paragraph" w:customStyle="1" w:styleId="130">
    <w:name w:val="目录 91"/>
    <w:basedOn w:val="129"/>
    <w:autoRedefine/>
    <w:semiHidden/>
    <w:qFormat/>
    <w:uiPriority w:val="0"/>
    <w:pPr>
      <w:ind w:left="1680"/>
    </w:pPr>
  </w:style>
  <w:style w:type="paragraph" w:customStyle="1" w:styleId="131">
    <w:name w:val="其他标准称谓"/>
    <w:autoRedefine/>
    <w:qFormat/>
    <w:uiPriority w:val="0"/>
    <w:pPr>
      <w:spacing w:line="0" w:lineRule="atLeast"/>
      <w:jc w:val="distribute"/>
    </w:pPr>
    <w:rPr>
      <w:rFonts w:ascii="黑体" w:hAnsi="宋体" w:eastAsia="黑体" w:cs="Times New Roman"/>
      <w:sz w:val="52"/>
      <w:lang w:val="en-US" w:eastAsia="zh-CN" w:bidi="ar-SA"/>
    </w:rPr>
  </w:style>
  <w:style w:type="paragraph" w:customStyle="1" w:styleId="132">
    <w:name w:val="其他发布部门"/>
    <w:basedOn w:val="102"/>
    <w:qFormat/>
    <w:uiPriority w:val="0"/>
    <w:pPr>
      <w:framePr w:wrap="around"/>
      <w:spacing w:line="0" w:lineRule="atLeast"/>
    </w:pPr>
    <w:rPr>
      <w:rFonts w:ascii="黑体" w:eastAsia="黑体"/>
      <w:b w:val="0"/>
    </w:rPr>
  </w:style>
  <w:style w:type="paragraph" w:customStyle="1" w:styleId="133">
    <w:name w:val="前言标题"/>
    <w:next w:val="1"/>
    <w:autoRedefine/>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34">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35">
    <w:name w:val="实施日期"/>
    <w:basedOn w:val="103"/>
    <w:uiPriority w:val="0"/>
    <w:pPr>
      <w:framePr w:wrap="around" w:vAnchor="margin" w:hAnchor="text" w:xAlign="right" w:y="1"/>
      <w:jc w:val="right"/>
    </w:pPr>
  </w:style>
  <w:style w:type="paragraph" w:customStyle="1" w:styleId="13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37">
    <w:name w:val="文献分类号"/>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138">
    <w:name w:val="无标题条"/>
    <w:next w:val="44"/>
    <w:autoRedefine/>
    <w:qFormat/>
    <w:uiPriority w:val="0"/>
    <w:pPr>
      <w:jc w:val="both"/>
    </w:pPr>
    <w:rPr>
      <w:rFonts w:ascii="宋体" w:hAnsi="宋体" w:eastAsia="宋体" w:cs="Times New Roman"/>
      <w:sz w:val="21"/>
      <w:lang w:val="en-US" w:eastAsia="zh-CN" w:bidi="ar-SA"/>
    </w:rPr>
  </w:style>
  <w:style w:type="paragraph" w:customStyle="1" w:styleId="139">
    <w:name w:val="五级无标题条"/>
    <w:basedOn w:val="1"/>
    <w:autoRedefine/>
    <w:qFormat/>
    <w:uiPriority w:val="0"/>
    <w:pPr>
      <w:numPr>
        <w:ilvl w:val="6"/>
        <w:numId w:val="20"/>
      </w:numPr>
      <w:adjustRightInd/>
    </w:pPr>
    <w:rPr>
      <w:szCs w:val="24"/>
    </w:rPr>
  </w:style>
  <w:style w:type="paragraph" w:customStyle="1" w:styleId="14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4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42">
    <w:name w:val="注×:后续"/>
    <w:basedOn w:val="141"/>
    <w:uiPriority w:val="0"/>
    <w:pPr>
      <w:ind w:left="1406" w:leftChars="0" w:hanging="499" w:firstLineChars="0"/>
    </w:pPr>
  </w:style>
  <w:style w:type="paragraph" w:customStyle="1" w:styleId="143">
    <w:name w:val="标准文件_一级无标题"/>
    <w:basedOn w:val="88"/>
    <w:autoRedefine/>
    <w:qFormat/>
    <w:uiPriority w:val="0"/>
    <w:pPr>
      <w:spacing w:beforeLines="0" w:afterLines="0"/>
      <w:outlineLvl w:val="9"/>
    </w:pPr>
    <w:rPr>
      <w:rFonts w:ascii="宋体" w:eastAsia="宋体"/>
    </w:rPr>
  </w:style>
  <w:style w:type="paragraph" w:customStyle="1" w:styleId="144">
    <w:name w:val="标准文件_五级无标题"/>
    <w:basedOn w:val="86"/>
    <w:autoRedefine/>
    <w:qFormat/>
    <w:uiPriority w:val="0"/>
    <w:pPr>
      <w:spacing w:beforeLines="0" w:afterLines="0"/>
      <w:outlineLvl w:val="9"/>
    </w:pPr>
    <w:rPr>
      <w:rFonts w:ascii="宋体" w:eastAsia="宋体"/>
    </w:rPr>
  </w:style>
  <w:style w:type="paragraph" w:customStyle="1" w:styleId="145">
    <w:name w:val="标准文件_三级无标题"/>
    <w:basedOn w:val="80"/>
    <w:autoRedefine/>
    <w:qFormat/>
    <w:uiPriority w:val="0"/>
    <w:pPr>
      <w:spacing w:beforeLines="0" w:afterLines="0"/>
      <w:outlineLvl w:val="9"/>
    </w:pPr>
    <w:rPr>
      <w:rFonts w:ascii="宋体" w:eastAsia="宋体"/>
    </w:rPr>
  </w:style>
  <w:style w:type="paragraph" w:customStyle="1" w:styleId="146">
    <w:name w:val="标准文件_二级无标题"/>
    <w:basedOn w:val="53"/>
    <w:autoRedefine/>
    <w:qFormat/>
    <w:uiPriority w:val="0"/>
    <w:pPr>
      <w:spacing w:beforeLines="0" w:afterLines="0"/>
      <w:outlineLvl w:val="9"/>
    </w:pPr>
    <w:rPr>
      <w:rFonts w:ascii="宋体" w:eastAsia="宋体"/>
    </w:rPr>
  </w:style>
  <w:style w:type="paragraph" w:customStyle="1" w:styleId="147">
    <w:name w:val="标准_四级无标题"/>
    <w:basedOn w:val="83"/>
    <w:next w:val="44"/>
    <w:qFormat/>
    <w:uiPriority w:val="0"/>
    <w:rPr>
      <w:rFonts w:eastAsia="宋体"/>
    </w:rPr>
  </w:style>
  <w:style w:type="paragraph" w:customStyle="1" w:styleId="148">
    <w:name w:val="标准文件_四级无标题"/>
    <w:basedOn w:val="83"/>
    <w:qFormat/>
    <w:uiPriority w:val="0"/>
    <w:pPr>
      <w:spacing w:beforeLines="0" w:afterLines="0"/>
      <w:outlineLvl w:val="9"/>
    </w:pPr>
    <w:rPr>
      <w:rFonts w:ascii="宋体" w:hAnsi="黑体" w:eastAsia="宋体"/>
      <w:szCs w:val="52"/>
    </w:rPr>
  </w:style>
  <w:style w:type="paragraph" w:customStyle="1" w:styleId="149">
    <w:name w:val="标准文件_大写罗马数字编号列项"/>
    <w:basedOn w:val="44"/>
    <w:qFormat/>
    <w:uiPriority w:val="0"/>
    <w:pPr>
      <w:numPr>
        <w:ilvl w:val="0"/>
        <w:numId w:val="23"/>
      </w:numPr>
      <w:ind w:firstLine="0" w:firstLineChars="0"/>
    </w:pPr>
    <w:rPr>
      <w:rFonts w:ascii="Times New Roman" w:cs="Arial"/>
      <w:szCs w:val="28"/>
    </w:rPr>
  </w:style>
  <w:style w:type="paragraph" w:customStyle="1" w:styleId="150">
    <w:name w:val="标准文件_小写罗马数字编号列项"/>
    <w:basedOn w:val="44"/>
    <w:qFormat/>
    <w:uiPriority w:val="0"/>
    <w:pPr>
      <w:numPr>
        <w:ilvl w:val="0"/>
        <w:numId w:val="24"/>
      </w:numPr>
      <w:ind w:firstLine="0" w:firstLineChars="0"/>
    </w:pPr>
    <w:rPr>
      <w:rFonts w:cs="Arial"/>
      <w:szCs w:val="28"/>
    </w:rPr>
  </w:style>
  <w:style w:type="paragraph" w:customStyle="1" w:styleId="151">
    <w:name w:val="标准文件_附录标题"/>
    <w:basedOn w:val="63"/>
    <w:qFormat/>
    <w:uiPriority w:val="0"/>
    <w:pPr>
      <w:numPr>
        <w:numId w:val="0"/>
      </w:numPr>
      <w:spacing w:after="280"/>
      <w:outlineLvl w:val="9"/>
    </w:pPr>
  </w:style>
  <w:style w:type="paragraph" w:customStyle="1" w:styleId="152">
    <w:name w:val="标准文件_二级项"/>
    <w:autoRedefine/>
    <w:qFormat/>
    <w:uiPriority w:val="0"/>
    <w:rPr>
      <w:rFonts w:ascii="宋体" w:hAnsi="Times New Roman" w:eastAsia="宋体" w:cs="Times New Roman"/>
      <w:sz w:val="21"/>
      <w:lang w:val="en-US" w:eastAsia="zh-CN" w:bidi="ar-SA"/>
    </w:rPr>
  </w:style>
  <w:style w:type="paragraph" w:customStyle="1" w:styleId="153">
    <w:name w:val="标准文件_三级项"/>
    <w:basedOn w:val="1"/>
    <w:autoRedefine/>
    <w:qFormat/>
    <w:uiPriority w:val="0"/>
    <w:pPr>
      <w:numPr>
        <w:ilvl w:val="2"/>
        <w:numId w:val="21"/>
      </w:numPr>
      <w:tabs>
        <w:tab w:val="left" w:pos="851"/>
      </w:tabs>
      <w:spacing w:line="300" w:lineRule="exact"/>
    </w:pPr>
    <w:rPr>
      <w:rFonts w:ascii="Times New Roman" w:hAnsi="Times New Roman"/>
    </w:rPr>
  </w:style>
  <w:style w:type="paragraph" w:customStyle="1" w:styleId="154">
    <w:name w:val="图表脚注说明"/>
    <w:basedOn w:val="1"/>
    <w:next w:val="44"/>
    <w:uiPriority w:val="0"/>
    <w:pPr>
      <w:numPr>
        <w:ilvl w:val="0"/>
        <w:numId w:val="25"/>
      </w:numPr>
      <w:adjustRightInd/>
      <w:spacing w:line="240" w:lineRule="auto"/>
      <w:ind w:left="783"/>
    </w:pPr>
    <w:rPr>
      <w:rFonts w:ascii="宋体" w:hAnsi="Times New Roman"/>
      <w:sz w:val="18"/>
      <w:szCs w:val="18"/>
    </w:rPr>
  </w:style>
  <w:style w:type="paragraph" w:customStyle="1" w:styleId="155">
    <w:name w:val="标准文件_字母编号列项（一级）"/>
    <w:autoRedefine/>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56">
    <w:name w:val="标准文件_索引字母"/>
    <w:next w:val="44"/>
    <w:autoRedefine/>
    <w:qFormat/>
    <w:uiPriority w:val="0"/>
    <w:pPr>
      <w:jc w:val="center"/>
    </w:pPr>
    <w:rPr>
      <w:rFonts w:ascii="宋体" w:hAnsi="宋体" w:eastAsia="Times New Roman" w:cs="Times New Roman"/>
      <w:b/>
      <w:kern w:val="2"/>
      <w:sz w:val="21"/>
      <w:lang w:val="en-US" w:eastAsia="zh-CN" w:bidi="ar-SA"/>
    </w:rPr>
  </w:style>
  <w:style w:type="paragraph" w:customStyle="1" w:styleId="157">
    <w:name w:val="标准文件_附录前"/>
    <w:next w:val="44"/>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58">
    <w:name w:val="标准文件_正文标准名称"/>
    <w:qFormat/>
    <w:uiPriority w:val="0"/>
    <w:pPr>
      <w:spacing w:beforeLines="20" w:after="640" w:line="400" w:lineRule="exact"/>
      <w:jc w:val="center"/>
    </w:pPr>
    <w:rPr>
      <w:rFonts w:ascii="黑体" w:hAnsi="黑体" w:eastAsia="黑体" w:cs="Times New Roman"/>
      <w:kern w:val="2"/>
      <w:sz w:val="32"/>
      <w:szCs w:val="32"/>
      <w:lang w:val="en-US" w:eastAsia="zh-CN" w:bidi="ar-SA"/>
    </w:rPr>
  </w:style>
  <w:style w:type="paragraph" w:customStyle="1" w:styleId="159">
    <w:name w:val="标准文件_表格"/>
    <w:basedOn w:val="44"/>
    <w:qFormat/>
    <w:uiPriority w:val="0"/>
    <w:pPr>
      <w:ind w:firstLine="0" w:firstLineChars="0"/>
      <w:jc w:val="center"/>
    </w:pPr>
    <w:rPr>
      <w:sz w:val="18"/>
    </w:rPr>
  </w:style>
  <w:style w:type="paragraph" w:customStyle="1" w:styleId="160">
    <w:name w:val="标准文件_注："/>
    <w:next w:val="44"/>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61">
    <w:name w:val="标准文件_注×："/>
    <w:autoRedefine/>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62">
    <w:name w:val="标准文件_示例："/>
    <w:next w:val="163"/>
    <w:autoRedefine/>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63">
    <w:name w:val="标准文件_示例内容"/>
    <w:basedOn w:val="44"/>
    <w:autoRedefine/>
    <w:qFormat/>
    <w:uiPriority w:val="0"/>
    <w:pPr>
      <w:ind w:firstLine="420"/>
    </w:pPr>
    <w:rPr>
      <w:sz w:val="18"/>
    </w:rPr>
  </w:style>
  <w:style w:type="paragraph" w:customStyle="1" w:styleId="164">
    <w:name w:val="标准文件_示例×："/>
    <w:basedOn w:val="1"/>
    <w:next w:val="163"/>
    <w:autoRedefine/>
    <w:qFormat/>
    <w:uiPriority w:val="0"/>
    <w:pPr>
      <w:widowControl/>
      <w:numPr>
        <w:ilvl w:val="0"/>
        <w:numId w:val="29"/>
      </w:numPr>
      <w:adjustRightInd/>
      <w:spacing w:line="240" w:lineRule="auto"/>
    </w:pPr>
    <w:rPr>
      <w:rFonts w:ascii="宋体" w:hAnsi="Times New Roman"/>
      <w:kern w:val="0"/>
      <w:sz w:val="18"/>
      <w:szCs w:val="18"/>
    </w:rPr>
  </w:style>
  <w:style w:type="paragraph" w:customStyle="1" w:styleId="165">
    <w:name w:val="标准文件_表格续"/>
    <w:basedOn w:val="44"/>
    <w:next w:val="44"/>
    <w:autoRedefine/>
    <w:qFormat/>
    <w:uiPriority w:val="0"/>
    <w:pPr>
      <w:jc w:val="center"/>
    </w:pPr>
    <w:rPr>
      <w:rFonts w:ascii="黑体" w:hAnsi="黑体" w:eastAsia="黑体"/>
    </w:rPr>
  </w:style>
  <w:style w:type="paragraph" w:customStyle="1" w:styleId="166">
    <w:name w:val="标准文件_二级项2"/>
    <w:basedOn w:val="44"/>
    <w:qFormat/>
    <w:uiPriority w:val="0"/>
    <w:pPr>
      <w:numPr>
        <w:ilvl w:val="1"/>
        <w:numId w:val="21"/>
      </w:numPr>
      <w:tabs>
        <w:tab w:val="left" w:pos="851"/>
      </w:tabs>
      <w:ind w:left="1271" w:hanging="420" w:firstLineChars="0"/>
    </w:pPr>
  </w:style>
  <w:style w:type="paragraph" w:customStyle="1" w:styleId="167">
    <w:name w:val="标准文件_三级项2"/>
    <w:basedOn w:val="44"/>
    <w:qFormat/>
    <w:uiPriority w:val="0"/>
    <w:pPr>
      <w:numPr>
        <w:ilvl w:val="0"/>
        <w:numId w:val="30"/>
      </w:numPr>
      <w:spacing w:line="300" w:lineRule="exact"/>
      <w:ind w:left="1276" w:hanging="425" w:firstLineChars="0"/>
    </w:pPr>
    <w:rPr>
      <w:rFonts w:ascii="Times New Roman"/>
    </w:rPr>
  </w:style>
  <w:style w:type="paragraph" w:customStyle="1" w:styleId="168">
    <w:name w:val="标准文件_一级项2"/>
    <w:basedOn w:val="44"/>
    <w:qFormat/>
    <w:uiPriority w:val="0"/>
    <w:pPr>
      <w:numPr>
        <w:ilvl w:val="0"/>
        <w:numId w:val="31"/>
      </w:numPr>
      <w:spacing w:line="300" w:lineRule="exact"/>
      <w:ind w:left="1271" w:hanging="420" w:firstLineChars="0"/>
    </w:pPr>
    <w:rPr>
      <w:rFonts w:ascii="Times New Roman"/>
    </w:rPr>
  </w:style>
  <w:style w:type="paragraph" w:customStyle="1" w:styleId="169">
    <w:name w:val="标准文件_提示"/>
    <w:basedOn w:val="44"/>
    <w:next w:val="44"/>
    <w:qFormat/>
    <w:uiPriority w:val="0"/>
    <w:pPr>
      <w:ind w:firstLine="420"/>
    </w:pPr>
    <w:rPr>
      <w:rFonts w:ascii="黑体" w:eastAsia="黑体"/>
    </w:rPr>
  </w:style>
  <w:style w:type="paragraph" w:customStyle="1" w:styleId="170">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71">
    <w:name w:val="其他发布日期"/>
    <w:basedOn w:val="103"/>
    <w:qFormat/>
    <w:uiPriority w:val="0"/>
    <w:pPr>
      <w:framePr w:w="3997" w:h="471" w:hRule="exact" w:vSpace="181" w:wrap="around" w:vAnchor="page" w:hAnchor="page" w:x="1419" w:y="14097"/>
    </w:pPr>
  </w:style>
  <w:style w:type="paragraph" w:customStyle="1" w:styleId="172">
    <w:name w:val="其他实施日期"/>
    <w:basedOn w:val="135"/>
    <w:qFormat/>
    <w:uiPriority w:val="0"/>
    <w:pPr>
      <w:framePr w:w="3997" w:h="471" w:hRule="exact" w:vSpace="181" w:wrap="around" w:vAnchor="page" w:hAnchor="page" w:x="7089" w:y="14097"/>
    </w:pPr>
  </w:style>
  <w:style w:type="paragraph" w:customStyle="1" w:styleId="173">
    <w:name w:val="标准文件_文件编号"/>
    <w:basedOn w:val="44"/>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74">
    <w:name w:val="标准文件_替换文件编号"/>
    <w:basedOn w:val="173"/>
    <w:qFormat/>
    <w:uiPriority w:val="0"/>
    <w:pPr>
      <w:framePr w:wrap="around"/>
      <w:spacing w:before="57"/>
    </w:pPr>
    <w:rPr>
      <w:sz w:val="21"/>
    </w:rPr>
  </w:style>
  <w:style w:type="paragraph" w:customStyle="1" w:styleId="175">
    <w:name w:val="标准文件_文件名称"/>
    <w:basedOn w:val="44"/>
    <w:next w:val="44"/>
    <w:autoRedefine/>
    <w:qFormat/>
    <w:uiPriority w:val="0"/>
    <w:pPr>
      <w:framePr w:w="9639" w:h="6976" w:hRule="exact" w:wrap="around" w:vAnchor="page" w:hAnchor="page" w:y="6408"/>
      <w:spacing w:line="700" w:lineRule="exact"/>
      <w:ind w:firstLine="0" w:firstLineChars="0"/>
      <w:jc w:val="center"/>
    </w:pPr>
    <w:rPr>
      <w:rFonts w:ascii="黑体" w:hAnsi="黑体" w:eastAsia="黑体"/>
      <w:bCs/>
      <w:sz w:val="52"/>
    </w:rPr>
  </w:style>
  <w:style w:type="paragraph" w:customStyle="1" w:styleId="176">
    <w:name w:val="标准文件_附录图标号"/>
    <w:basedOn w:val="44"/>
    <w:next w:val="44"/>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77">
    <w:name w:val="标准文件_附录表标号"/>
    <w:basedOn w:val="44"/>
    <w:next w:val="44"/>
    <w:autoRedefine/>
    <w:qFormat/>
    <w:uiPriority w:val="0"/>
    <w:pPr>
      <w:numPr>
        <w:ilvl w:val="0"/>
        <w:numId w:val="5"/>
      </w:numPr>
      <w:spacing w:line="14" w:lineRule="exact"/>
      <w:ind w:firstLine="0" w:firstLineChars="0"/>
      <w:jc w:val="center"/>
    </w:pPr>
    <w:rPr>
      <w:rFonts w:eastAsia="黑体"/>
      <w:vanish/>
      <w:sz w:val="2"/>
    </w:rPr>
  </w:style>
  <w:style w:type="paragraph" w:customStyle="1" w:styleId="178">
    <w:name w:val="标准文件_引言一级条标题"/>
    <w:basedOn w:val="44"/>
    <w:next w:val="44"/>
    <w:autoRedefine/>
    <w:qFormat/>
    <w:uiPriority w:val="0"/>
    <w:pPr>
      <w:numPr>
        <w:ilvl w:val="1"/>
        <w:numId w:val="8"/>
      </w:numPr>
      <w:spacing w:beforeLines="50" w:afterLines="50"/>
      <w:ind w:firstLineChars="0"/>
    </w:pPr>
    <w:rPr>
      <w:rFonts w:ascii="黑体" w:eastAsia="黑体"/>
    </w:rPr>
  </w:style>
  <w:style w:type="paragraph" w:customStyle="1" w:styleId="179">
    <w:name w:val="标准文件_引言二级条标题"/>
    <w:basedOn w:val="44"/>
    <w:next w:val="44"/>
    <w:autoRedefine/>
    <w:qFormat/>
    <w:uiPriority w:val="0"/>
    <w:pPr>
      <w:numPr>
        <w:ilvl w:val="2"/>
        <w:numId w:val="8"/>
      </w:numPr>
      <w:spacing w:beforeLines="50" w:afterLines="50"/>
      <w:ind w:firstLineChars="0"/>
    </w:pPr>
    <w:rPr>
      <w:rFonts w:ascii="黑体" w:eastAsia="黑体"/>
    </w:rPr>
  </w:style>
  <w:style w:type="paragraph" w:customStyle="1" w:styleId="180">
    <w:name w:val="标准文件_引言三级条标题"/>
    <w:basedOn w:val="44"/>
    <w:next w:val="44"/>
    <w:qFormat/>
    <w:uiPriority w:val="0"/>
    <w:pPr>
      <w:numPr>
        <w:ilvl w:val="3"/>
        <w:numId w:val="8"/>
      </w:numPr>
      <w:spacing w:beforeLines="50" w:afterLines="50"/>
      <w:ind w:firstLineChars="0"/>
    </w:pPr>
    <w:rPr>
      <w:rFonts w:ascii="黑体" w:eastAsia="黑体"/>
    </w:rPr>
  </w:style>
  <w:style w:type="paragraph" w:customStyle="1" w:styleId="181">
    <w:name w:val="标准文件_引言四级条标题"/>
    <w:basedOn w:val="44"/>
    <w:next w:val="44"/>
    <w:qFormat/>
    <w:uiPriority w:val="0"/>
    <w:pPr>
      <w:numPr>
        <w:ilvl w:val="4"/>
        <w:numId w:val="8"/>
      </w:numPr>
      <w:spacing w:beforeLines="50" w:afterLines="50"/>
      <w:ind w:firstLineChars="0"/>
    </w:pPr>
    <w:rPr>
      <w:rFonts w:ascii="黑体" w:eastAsia="黑体"/>
    </w:rPr>
  </w:style>
  <w:style w:type="paragraph" w:customStyle="1" w:styleId="182">
    <w:name w:val="标准文件_引言五级条标题"/>
    <w:basedOn w:val="44"/>
    <w:next w:val="44"/>
    <w:autoRedefine/>
    <w:qFormat/>
    <w:uiPriority w:val="0"/>
    <w:pPr>
      <w:numPr>
        <w:ilvl w:val="5"/>
        <w:numId w:val="8"/>
      </w:numPr>
      <w:spacing w:beforeLines="50" w:afterLines="50"/>
      <w:ind w:firstLineChars="0"/>
    </w:pPr>
    <w:rPr>
      <w:rFonts w:ascii="黑体" w:eastAsia="黑体"/>
    </w:rPr>
  </w:style>
  <w:style w:type="paragraph" w:customStyle="1" w:styleId="183">
    <w:name w:val="标准文件_注后"/>
    <w:basedOn w:val="44"/>
    <w:autoRedefine/>
    <w:qFormat/>
    <w:uiPriority w:val="0"/>
    <w:pPr>
      <w:ind w:left="811" w:firstLine="0" w:firstLineChars="0"/>
    </w:pPr>
    <w:rPr>
      <w:sz w:val="18"/>
    </w:rPr>
  </w:style>
  <w:style w:type="paragraph" w:customStyle="1" w:styleId="184">
    <w:name w:val="标准文件_注X后"/>
    <w:basedOn w:val="44"/>
    <w:autoRedefine/>
    <w:qFormat/>
    <w:uiPriority w:val="0"/>
    <w:pPr>
      <w:ind w:left="811" w:firstLine="0" w:firstLineChars="0"/>
    </w:pPr>
    <w:rPr>
      <w:sz w:val="18"/>
    </w:rPr>
  </w:style>
  <w:style w:type="paragraph" w:customStyle="1" w:styleId="185">
    <w:name w:val="标准文件_示例后"/>
    <w:basedOn w:val="44"/>
    <w:qFormat/>
    <w:uiPriority w:val="0"/>
    <w:pPr>
      <w:ind w:left="964" w:firstLine="0" w:firstLineChars="0"/>
    </w:pPr>
    <w:rPr>
      <w:sz w:val="18"/>
    </w:rPr>
  </w:style>
  <w:style w:type="paragraph" w:customStyle="1" w:styleId="186">
    <w:name w:val="标准文件_示例X后"/>
    <w:basedOn w:val="44"/>
    <w:link w:val="232"/>
    <w:autoRedefine/>
    <w:qFormat/>
    <w:uiPriority w:val="0"/>
    <w:pPr>
      <w:ind w:left="1049" w:firstLine="0" w:firstLineChars="0"/>
    </w:pPr>
    <w:rPr>
      <w:sz w:val="18"/>
    </w:rPr>
  </w:style>
  <w:style w:type="paragraph" w:customStyle="1" w:styleId="187">
    <w:name w:val="标准文件_索引项"/>
    <w:basedOn w:val="44"/>
    <w:next w:val="44"/>
    <w:qFormat/>
    <w:uiPriority w:val="0"/>
    <w:pPr>
      <w:tabs>
        <w:tab w:val="right" w:leader="dot" w:pos="9356"/>
      </w:tabs>
      <w:ind w:left="210" w:hanging="210" w:firstLineChars="0"/>
      <w:jc w:val="left"/>
    </w:pPr>
  </w:style>
  <w:style w:type="paragraph" w:customStyle="1" w:styleId="188">
    <w:name w:val="标准文件_附录一级无标题"/>
    <w:basedOn w:val="65"/>
    <w:autoRedefine/>
    <w:qFormat/>
    <w:uiPriority w:val="0"/>
    <w:pPr>
      <w:spacing w:beforeLines="0" w:afterLines="0" w:line="276" w:lineRule="auto"/>
      <w:outlineLvl w:val="9"/>
    </w:pPr>
    <w:rPr>
      <w:rFonts w:ascii="宋体" w:eastAsia="宋体"/>
    </w:rPr>
  </w:style>
  <w:style w:type="paragraph" w:customStyle="1" w:styleId="189">
    <w:name w:val="标准文件_附录二级无标题"/>
    <w:basedOn w:val="66"/>
    <w:autoRedefine/>
    <w:qFormat/>
    <w:uiPriority w:val="0"/>
    <w:pPr>
      <w:spacing w:beforeLines="0" w:afterLines="0" w:line="276" w:lineRule="auto"/>
      <w:outlineLvl w:val="9"/>
    </w:pPr>
    <w:rPr>
      <w:rFonts w:ascii="宋体" w:eastAsia="宋体"/>
    </w:rPr>
  </w:style>
  <w:style w:type="paragraph" w:customStyle="1" w:styleId="190">
    <w:name w:val="标准文件_附录三级无标题"/>
    <w:basedOn w:val="68"/>
    <w:qFormat/>
    <w:uiPriority w:val="0"/>
    <w:pPr>
      <w:spacing w:beforeLines="0" w:afterLines="0" w:line="276" w:lineRule="auto"/>
      <w:outlineLvl w:val="9"/>
    </w:pPr>
    <w:rPr>
      <w:rFonts w:ascii="宋体" w:eastAsia="宋体"/>
    </w:rPr>
  </w:style>
  <w:style w:type="paragraph" w:customStyle="1" w:styleId="191">
    <w:name w:val="标准文件_附录四级无标题"/>
    <w:basedOn w:val="69"/>
    <w:autoRedefine/>
    <w:qFormat/>
    <w:uiPriority w:val="0"/>
    <w:pPr>
      <w:spacing w:beforeLines="0" w:afterLines="0" w:line="276" w:lineRule="auto"/>
      <w:outlineLvl w:val="9"/>
    </w:pPr>
    <w:rPr>
      <w:rFonts w:ascii="宋体" w:eastAsia="宋体"/>
    </w:rPr>
  </w:style>
  <w:style w:type="paragraph" w:customStyle="1" w:styleId="192">
    <w:name w:val="标准文件_附录五级无标题"/>
    <w:basedOn w:val="71"/>
    <w:autoRedefine/>
    <w:qFormat/>
    <w:uiPriority w:val="0"/>
    <w:pPr>
      <w:spacing w:beforeLines="0" w:afterLines="0" w:line="276" w:lineRule="auto"/>
      <w:outlineLvl w:val="9"/>
    </w:pPr>
    <w:rPr>
      <w:rFonts w:ascii="宋体" w:eastAsia="宋体"/>
    </w:rPr>
  </w:style>
  <w:style w:type="paragraph" w:customStyle="1" w:styleId="193">
    <w:name w:val="标准文件_引言一级无标题"/>
    <w:basedOn w:val="178"/>
    <w:next w:val="44"/>
    <w:qFormat/>
    <w:uiPriority w:val="0"/>
    <w:pPr>
      <w:spacing w:beforeLines="0" w:afterLines="0" w:line="276" w:lineRule="auto"/>
    </w:pPr>
    <w:rPr>
      <w:rFonts w:ascii="宋体" w:eastAsia="宋体"/>
    </w:rPr>
  </w:style>
  <w:style w:type="paragraph" w:customStyle="1" w:styleId="194">
    <w:name w:val="标准文件_引言二级无标题"/>
    <w:basedOn w:val="179"/>
    <w:next w:val="44"/>
    <w:autoRedefine/>
    <w:qFormat/>
    <w:uiPriority w:val="0"/>
    <w:pPr>
      <w:spacing w:beforeLines="0" w:afterLines="0" w:line="276" w:lineRule="auto"/>
    </w:pPr>
    <w:rPr>
      <w:rFonts w:ascii="宋体" w:eastAsia="宋体"/>
    </w:rPr>
  </w:style>
  <w:style w:type="paragraph" w:customStyle="1" w:styleId="195">
    <w:name w:val="标准文件_引言三级无标题"/>
    <w:basedOn w:val="180"/>
    <w:next w:val="44"/>
    <w:autoRedefine/>
    <w:qFormat/>
    <w:uiPriority w:val="0"/>
    <w:pPr>
      <w:spacing w:beforeLines="0" w:afterLines="0" w:line="276" w:lineRule="auto"/>
    </w:pPr>
    <w:rPr>
      <w:rFonts w:ascii="宋体" w:eastAsia="宋体"/>
    </w:rPr>
  </w:style>
  <w:style w:type="paragraph" w:customStyle="1" w:styleId="196">
    <w:name w:val="标准文件_引言四级无标题"/>
    <w:basedOn w:val="181"/>
    <w:next w:val="44"/>
    <w:qFormat/>
    <w:uiPriority w:val="0"/>
    <w:pPr>
      <w:spacing w:beforeLines="0" w:afterLines="0" w:line="276" w:lineRule="auto"/>
    </w:pPr>
    <w:rPr>
      <w:rFonts w:ascii="宋体" w:eastAsia="宋体"/>
    </w:rPr>
  </w:style>
  <w:style w:type="paragraph" w:customStyle="1" w:styleId="197">
    <w:name w:val="标准文件_引言五级无标题"/>
    <w:basedOn w:val="182"/>
    <w:next w:val="44"/>
    <w:autoRedefine/>
    <w:qFormat/>
    <w:uiPriority w:val="0"/>
    <w:pPr>
      <w:spacing w:beforeLines="0" w:afterLines="0" w:line="276" w:lineRule="auto"/>
    </w:pPr>
    <w:rPr>
      <w:rFonts w:ascii="宋体" w:eastAsia="宋体"/>
    </w:rPr>
  </w:style>
  <w:style w:type="paragraph" w:customStyle="1" w:styleId="198">
    <w:name w:val="标准文件_索引标题"/>
    <w:basedOn w:val="51"/>
    <w:next w:val="44"/>
    <w:autoRedefine/>
    <w:qFormat/>
    <w:uiPriority w:val="0"/>
    <w:rPr>
      <w:rFonts w:hAnsi="黑体"/>
    </w:rPr>
  </w:style>
  <w:style w:type="paragraph" w:customStyle="1" w:styleId="199">
    <w:name w:val="标准文件_脚注内容"/>
    <w:basedOn w:val="44"/>
    <w:autoRedefine/>
    <w:qFormat/>
    <w:uiPriority w:val="0"/>
    <w:pPr>
      <w:ind w:left="400" w:leftChars="200" w:hanging="200" w:hangingChars="200"/>
    </w:pPr>
    <w:rPr>
      <w:sz w:val="15"/>
    </w:rPr>
  </w:style>
  <w:style w:type="paragraph" w:customStyle="1" w:styleId="200">
    <w:name w:val="标准文件_术语条一"/>
    <w:basedOn w:val="143"/>
    <w:next w:val="44"/>
    <w:autoRedefine/>
    <w:qFormat/>
    <w:uiPriority w:val="0"/>
  </w:style>
  <w:style w:type="paragraph" w:customStyle="1" w:styleId="201">
    <w:name w:val="标准文件_术语条二"/>
    <w:basedOn w:val="146"/>
    <w:next w:val="44"/>
    <w:autoRedefine/>
    <w:qFormat/>
    <w:uiPriority w:val="0"/>
  </w:style>
  <w:style w:type="paragraph" w:customStyle="1" w:styleId="202">
    <w:name w:val="标准文件_术语条三"/>
    <w:basedOn w:val="145"/>
    <w:next w:val="44"/>
    <w:autoRedefine/>
    <w:qFormat/>
    <w:uiPriority w:val="0"/>
  </w:style>
  <w:style w:type="paragraph" w:customStyle="1" w:styleId="203">
    <w:name w:val="标准文件_术语条四"/>
    <w:basedOn w:val="148"/>
    <w:next w:val="44"/>
    <w:autoRedefine/>
    <w:qFormat/>
    <w:uiPriority w:val="0"/>
  </w:style>
  <w:style w:type="paragraph" w:customStyle="1" w:styleId="204">
    <w:name w:val="标准文件_术语条五"/>
    <w:basedOn w:val="144"/>
    <w:next w:val="44"/>
    <w:autoRedefine/>
    <w:qFormat/>
    <w:uiPriority w:val="0"/>
  </w:style>
  <w:style w:type="paragraph" w:customStyle="1" w:styleId="20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06">
    <w:name w:val="标准书脚_奇数页"/>
    <w:autoRedefine/>
    <w:qFormat/>
    <w:uiPriority w:val="0"/>
    <w:pPr>
      <w:spacing w:before="120"/>
      <w:ind w:right="198"/>
      <w:jc w:val="right"/>
    </w:pPr>
    <w:rPr>
      <w:rFonts w:ascii="宋体" w:hAnsi="Calibri" w:eastAsia="宋体" w:cs="Calibri"/>
      <w:sz w:val="18"/>
      <w:szCs w:val="18"/>
      <w:lang w:val="en-US" w:eastAsia="zh-CN" w:bidi="ar-SA"/>
    </w:rPr>
  </w:style>
  <w:style w:type="paragraph" w:customStyle="1" w:styleId="207">
    <w:name w:val="标准书眉_奇数页"/>
    <w:next w:val="1"/>
    <w:autoRedefine/>
    <w:qFormat/>
    <w:uiPriority w:val="0"/>
    <w:pPr>
      <w:tabs>
        <w:tab w:val="center" w:pos="4154"/>
        <w:tab w:val="right" w:pos="8306"/>
      </w:tabs>
      <w:spacing w:after="220"/>
      <w:jc w:val="right"/>
    </w:pPr>
    <w:rPr>
      <w:rFonts w:ascii="黑体" w:hAnsi="Calibri" w:eastAsia="黑体" w:cs="Calibri"/>
      <w:sz w:val="21"/>
      <w:szCs w:val="21"/>
      <w:lang w:val="en-US" w:eastAsia="zh-CN" w:bidi="ar-SA"/>
    </w:rPr>
  </w:style>
  <w:style w:type="character" w:customStyle="1" w:styleId="208">
    <w:name w:val="标题 1 Char"/>
    <w:link w:val="4"/>
    <w:autoRedefine/>
    <w:qFormat/>
    <w:uiPriority w:val="0"/>
    <w:rPr>
      <w:rFonts w:ascii="Times New Roman" w:hAnsi="Times New Roman" w:eastAsia="宋体" w:cs="Times New Roman"/>
      <w:b/>
      <w:bCs/>
      <w:kern w:val="44"/>
      <w:sz w:val="44"/>
      <w:szCs w:val="44"/>
    </w:rPr>
  </w:style>
  <w:style w:type="character" w:customStyle="1" w:styleId="209">
    <w:name w:val="标题 2 Char"/>
    <w:link w:val="5"/>
    <w:qFormat/>
    <w:uiPriority w:val="0"/>
    <w:rPr>
      <w:rFonts w:ascii="Arial" w:hAnsi="Arial" w:eastAsia="黑体" w:cs="Times New Roman"/>
      <w:b/>
      <w:bCs/>
      <w:sz w:val="32"/>
      <w:szCs w:val="32"/>
    </w:rPr>
  </w:style>
  <w:style w:type="character" w:customStyle="1" w:styleId="210">
    <w:name w:val="标题 3 Char"/>
    <w:link w:val="6"/>
    <w:autoRedefine/>
    <w:qFormat/>
    <w:uiPriority w:val="0"/>
    <w:rPr>
      <w:rFonts w:ascii="Times New Roman" w:hAnsi="Times New Roman" w:eastAsia="宋体" w:cs="Times New Roman"/>
      <w:b/>
      <w:bCs/>
      <w:sz w:val="32"/>
      <w:szCs w:val="32"/>
    </w:rPr>
  </w:style>
  <w:style w:type="character" w:customStyle="1" w:styleId="211">
    <w:name w:val="标题 4 Char"/>
    <w:link w:val="7"/>
    <w:autoRedefine/>
    <w:qFormat/>
    <w:uiPriority w:val="0"/>
    <w:rPr>
      <w:rFonts w:ascii="Arial" w:hAnsi="Arial" w:eastAsia="黑体" w:cs="Times New Roman"/>
      <w:b/>
      <w:bCs/>
      <w:sz w:val="28"/>
      <w:szCs w:val="28"/>
    </w:rPr>
  </w:style>
  <w:style w:type="character" w:customStyle="1" w:styleId="212">
    <w:name w:val="标题 5 Char"/>
    <w:link w:val="8"/>
    <w:autoRedefine/>
    <w:qFormat/>
    <w:uiPriority w:val="0"/>
    <w:rPr>
      <w:rFonts w:ascii="Times New Roman" w:hAnsi="Times New Roman" w:eastAsia="宋体" w:cs="Times New Roman"/>
      <w:b/>
      <w:bCs/>
      <w:sz w:val="28"/>
      <w:szCs w:val="28"/>
    </w:rPr>
  </w:style>
  <w:style w:type="character" w:customStyle="1" w:styleId="213">
    <w:name w:val="标题 6 Char"/>
    <w:link w:val="9"/>
    <w:autoRedefine/>
    <w:qFormat/>
    <w:uiPriority w:val="0"/>
    <w:rPr>
      <w:rFonts w:ascii="Arial" w:hAnsi="Arial" w:eastAsia="黑体" w:cs="Times New Roman"/>
      <w:b/>
      <w:bCs/>
      <w:sz w:val="24"/>
      <w:szCs w:val="24"/>
    </w:rPr>
  </w:style>
  <w:style w:type="character" w:customStyle="1" w:styleId="214">
    <w:name w:val="标题 7 Char"/>
    <w:link w:val="10"/>
    <w:autoRedefine/>
    <w:qFormat/>
    <w:uiPriority w:val="0"/>
    <w:rPr>
      <w:rFonts w:ascii="Times New Roman" w:hAnsi="Times New Roman" w:eastAsia="宋体" w:cs="Times New Roman"/>
      <w:b/>
      <w:bCs/>
      <w:sz w:val="24"/>
      <w:szCs w:val="24"/>
    </w:rPr>
  </w:style>
  <w:style w:type="character" w:customStyle="1" w:styleId="215">
    <w:name w:val="标题 8 Char"/>
    <w:link w:val="11"/>
    <w:autoRedefine/>
    <w:qFormat/>
    <w:uiPriority w:val="0"/>
    <w:rPr>
      <w:rFonts w:ascii="Arial" w:hAnsi="Arial" w:eastAsia="黑体" w:cs="Times New Roman"/>
      <w:sz w:val="24"/>
      <w:szCs w:val="24"/>
    </w:rPr>
  </w:style>
  <w:style w:type="character" w:customStyle="1" w:styleId="216">
    <w:name w:val="标题 9 Char"/>
    <w:link w:val="12"/>
    <w:autoRedefine/>
    <w:qFormat/>
    <w:uiPriority w:val="0"/>
    <w:rPr>
      <w:rFonts w:ascii="Arial" w:hAnsi="Arial" w:eastAsia="黑体" w:cs="Times New Roman"/>
      <w:szCs w:val="21"/>
    </w:rPr>
  </w:style>
  <w:style w:type="character" w:customStyle="1" w:styleId="217">
    <w:name w:val="页眉 Char"/>
    <w:link w:val="19"/>
    <w:autoRedefine/>
    <w:qFormat/>
    <w:uiPriority w:val="99"/>
    <w:rPr>
      <w:rFonts w:ascii="Times New Roman" w:hAnsi="Times New Roman" w:eastAsia="宋体" w:cs="Times New Roman"/>
      <w:sz w:val="18"/>
      <w:szCs w:val="18"/>
    </w:rPr>
  </w:style>
  <w:style w:type="character" w:customStyle="1" w:styleId="218">
    <w:name w:val="页脚 Char"/>
    <w:link w:val="18"/>
    <w:autoRedefine/>
    <w:qFormat/>
    <w:uiPriority w:val="99"/>
    <w:rPr>
      <w:rFonts w:ascii="宋体" w:hAnsi="Times New Roman" w:eastAsia="宋体" w:cs="Times New Roman"/>
      <w:sz w:val="18"/>
      <w:szCs w:val="18"/>
    </w:rPr>
  </w:style>
  <w:style w:type="character" w:customStyle="1" w:styleId="219">
    <w:name w:val="批注框文本 Char"/>
    <w:link w:val="17"/>
    <w:autoRedefine/>
    <w:semiHidden/>
    <w:qFormat/>
    <w:uiPriority w:val="99"/>
    <w:rPr>
      <w:sz w:val="18"/>
      <w:szCs w:val="18"/>
    </w:rPr>
  </w:style>
  <w:style w:type="character" w:customStyle="1" w:styleId="220">
    <w:name w:val="引用 Char"/>
    <w:link w:val="36"/>
    <w:autoRedefine/>
    <w:qFormat/>
    <w:uiPriority w:val="29"/>
    <w:rPr>
      <w:i/>
      <w:iCs/>
      <w:color w:val="000000"/>
    </w:rPr>
  </w:style>
  <w:style w:type="character" w:customStyle="1" w:styleId="221">
    <w:name w:val="标题 Char"/>
    <w:link w:val="27"/>
    <w:autoRedefine/>
    <w:qFormat/>
    <w:uiPriority w:val="0"/>
    <w:rPr>
      <w:rFonts w:ascii="Arial" w:hAnsi="Arial" w:eastAsia="宋体" w:cs="Arial"/>
      <w:b/>
      <w:bCs/>
      <w:sz w:val="32"/>
      <w:szCs w:val="32"/>
    </w:rPr>
  </w:style>
  <w:style w:type="character" w:customStyle="1" w:styleId="222">
    <w:name w:val="标准文件_发布"/>
    <w:autoRedefine/>
    <w:qFormat/>
    <w:uiPriority w:val="0"/>
    <w:rPr>
      <w:rFonts w:ascii="黑体" w:eastAsia="黑体"/>
      <w:spacing w:val="0"/>
      <w:w w:val="100"/>
      <w:position w:val="3"/>
      <w:sz w:val="28"/>
    </w:rPr>
  </w:style>
  <w:style w:type="character" w:customStyle="1" w:styleId="223">
    <w:name w:val="正文文本 Char"/>
    <w:link w:val="3"/>
    <w:autoRedefine/>
    <w:qFormat/>
    <w:uiPriority w:val="0"/>
    <w:rPr>
      <w:rFonts w:ascii="Times New Roman" w:hAnsi="Times New Roman" w:eastAsia="宋体" w:cs="Times New Roman"/>
      <w:szCs w:val="20"/>
    </w:rPr>
  </w:style>
  <w:style w:type="character" w:customStyle="1" w:styleId="224">
    <w:name w:val="不明显参考1"/>
    <w:autoRedefine/>
    <w:qFormat/>
    <w:uiPriority w:val="31"/>
    <w:rPr>
      <w:smallCaps/>
      <w:color w:val="C0504D"/>
      <w:u w:val="single"/>
    </w:rPr>
  </w:style>
  <w:style w:type="character" w:customStyle="1" w:styleId="225">
    <w:name w:val="脚注文本 Char"/>
    <w:link w:val="22"/>
    <w:autoRedefine/>
    <w:semiHidden/>
    <w:qFormat/>
    <w:uiPriority w:val="0"/>
    <w:rPr>
      <w:rFonts w:ascii="宋体" w:hAnsi="Times New Roman" w:eastAsia="宋体" w:cs="Times New Roman"/>
      <w:sz w:val="18"/>
      <w:szCs w:val="18"/>
    </w:rPr>
  </w:style>
  <w:style w:type="character" w:customStyle="1" w:styleId="226">
    <w:name w:val="标准文件_图表脚注内容"/>
    <w:autoRedefine/>
    <w:qFormat/>
    <w:uiPriority w:val="0"/>
    <w:rPr>
      <w:rFonts w:ascii="宋体" w:hAnsi="宋体" w:eastAsia="宋体" w:cs="Times New Roman"/>
      <w:spacing w:val="0"/>
      <w:sz w:val="18"/>
      <w:vertAlign w:val="superscript"/>
    </w:rPr>
  </w:style>
  <w:style w:type="character" w:customStyle="1" w:styleId="227">
    <w:name w:val="个人答复风格"/>
    <w:qFormat/>
    <w:uiPriority w:val="0"/>
    <w:rPr>
      <w:rFonts w:ascii="Arial" w:hAnsi="Arial" w:eastAsia="宋体" w:cs="Arial"/>
      <w:color w:val="auto"/>
      <w:spacing w:val="0"/>
      <w:sz w:val="20"/>
    </w:rPr>
  </w:style>
  <w:style w:type="character" w:customStyle="1" w:styleId="228">
    <w:name w:val="个人撰写风格"/>
    <w:qFormat/>
    <w:uiPriority w:val="0"/>
    <w:rPr>
      <w:rFonts w:ascii="Arial" w:hAnsi="Arial" w:eastAsia="宋体" w:cs="Arial"/>
      <w:color w:val="auto"/>
      <w:spacing w:val="0"/>
      <w:sz w:val="20"/>
    </w:rPr>
  </w:style>
  <w:style w:type="character" w:customStyle="1" w:styleId="229">
    <w:name w:val="标准文件_段 Char"/>
    <w:link w:val="44"/>
    <w:autoRedefine/>
    <w:qFormat/>
    <w:uiPriority w:val="0"/>
    <w:rPr>
      <w:rFonts w:ascii="宋体" w:hAnsi="Times New Roman"/>
      <w:sz w:val="21"/>
    </w:rPr>
  </w:style>
  <w:style w:type="character" w:customStyle="1" w:styleId="230">
    <w:name w:val="占位符文本1"/>
    <w:basedOn w:val="30"/>
    <w:autoRedefine/>
    <w:semiHidden/>
    <w:qFormat/>
    <w:uiPriority w:val="99"/>
    <w:rPr>
      <w:color w:val="808080"/>
    </w:rPr>
  </w:style>
  <w:style w:type="character" w:customStyle="1" w:styleId="231">
    <w:name w:val="标准文件_来源"/>
    <w:basedOn w:val="30"/>
    <w:autoRedefine/>
    <w:qFormat/>
    <w:uiPriority w:val="1"/>
    <w:rPr>
      <w:rFonts w:eastAsia="宋体"/>
      <w:sz w:val="21"/>
    </w:rPr>
  </w:style>
  <w:style w:type="character" w:customStyle="1" w:styleId="232">
    <w:name w:val="标准文件_示例X后 字符"/>
    <w:basedOn w:val="229"/>
    <w:link w:val="186"/>
    <w:autoRedefine/>
    <w:qFormat/>
    <w:uiPriority w:val="0"/>
    <w:rPr>
      <w:rFonts w:ascii="宋体" w:hAnsi="Times New Roman"/>
      <w:sz w:val="18"/>
    </w:rPr>
  </w:style>
  <w:style w:type="character" w:customStyle="1" w:styleId="233">
    <w:name w:val="发布"/>
    <w:basedOn w:val="30"/>
    <w:qFormat/>
    <w:uiPriority w:val="0"/>
    <w:rPr>
      <w:rFonts w:ascii="黑体" w:eastAsia="黑体"/>
      <w:spacing w:val="85"/>
      <w:w w:val="100"/>
      <w:position w:val="3"/>
      <w:sz w:val="28"/>
      <w:szCs w:val="28"/>
    </w:rPr>
  </w:style>
  <w:style w:type="paragraph" w:styleId="234">
    <w:name w:val="List Paragraph"/>
    <w:basedOn w:val="1"/>
    <w:qFormat/>
    <w:uiPriority w:val="34"/>
    <w:pPr>
      <w:ind w:firstLine="420" w:firstLineChars="200"/>
    </w:pPr>
  </w:style>
  <w:style w:type="paragraph" w:customStyle="1" w:styleId="235">
    <w:name w:val="_Style 1"/>
    <w:autoRedefine/>
    <w:qFormat/>
    <w:uiPriority w:val="99"/>
    <w:pPr>
      <w:widowControl w:val="0"/>
      <w:jc w:val="both"/>
    </w:pPr>
    <w:rPr>
      <w:rFonts w:ascii="Times New Roman" w:hAnsi="Times New Roman" w:eastAsia="宋体"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jpe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27</Pages>
  <Words>16122</Words>
  <Characters>18337</Characters>
  <Lines>101</Lines>
  <Paragraphs>28</Paragraphs>
  <TotalTime>1</TotalTime>
  <ScaleCrop>false</ScaleCrop>
  <LinksUpToDate>false</LinksUpToDate>
  <CharactersWithSpaces>19206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2022-01-19T01:15:00Z</dcterms:created>
  <dc:creator>user</dc:creator>
  <dc:description>&lt;config cover="true" show_menu="true" version="1.0.0" doctype="SDKXY"&gt;_x000d_
&lt;/config&gt;</dc:description>
  <cp:lastModifiedBy>张世亮</cp:lastModifiedBy>
  <cp:lastPrinted>2022-01-26T00:05:00Z</cp:lastPrinted>
  <dcterms:modified xsi:type="dcterms:W3CDTF">2025-07-29T08:35:59Z</dcterms:modified>
  <dc:title>地方标准</dc:title>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True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2052-12.1.0.16120</vt:lpwstr>
  </property>
  <property fmtid="{D5CDD505-2E9C-101B-9397-08002B2CF9AE}" pid="15" name="ICV">
    <vt:lpwstr>043CEEE524264AA7AE703F6A88E06344_13</vt:lpwstr>
  </property>
</Properties>
</file>