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47985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169935BB">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716F90BA">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XXX</w:t>
            </w:r>
            <w:r>
              <w:rPr>
                <w:rFonts w:ascii="黑体" w:hAnsi="黑体" w:eastAsia="黑体"/>
                <w:sz w:val="21"/>
                <w:szCs w:val="21"/>
              </w:rPr>
              <w:fldChar w:fldCharType="end"/>
            </w:r>
            <w:bookmarkEnd w:id="0"/>
          </w:p>
        </w:tc>
      </w:tr>
      <w:tr w14:paraId="703C1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48F20283">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10BABDFB">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XXX</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6661"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61"/>
      </w:tblGrid>
      <w:tr w14:paraId="1D4C7D8E">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61" w:type="dxa"/>
          </w:tcPr>
          <w:p w14:paraId="44A8C65D">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12</w:t>
            </w:r>
            <w:r>
              <w:fldChar w:fldCharType="end"/>
            </w:r>
            <w:bookmarkEnd w:id="3"/>
          </w:p>
        </w:tc>
      </w:tr>
    </w:tbl>
    <w:p w14:paraId="394F782C">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4A937522">
      <w:pPr>
        <w:pStyle w:val="195"/>
      </w:pPr>
      <w:r>
        <w:t>DB</w:t>
      </w:r>
      <w:r>
        <w:fldChar w:fldCharType="begin">
          <w:ffData>
            <w:name w:val="文字1"/>
            <w:enabled/>
            <w:calcOnExit w:val="0"/>
            <w:textInput>
              <w:default w:val="XX"/>
            </w:textInput>
          </w:ffData>
        </w:fldChar>
      </w:r>
      <w:bookmarkStart w:id="5" w:name="文字1"/>
      <w:r>
        <w:instrText xml:space="preserve"> FORMTEXT </w:instrText>
      </w:r>
      <w:r>
        <w:fldChar w:fldCharType="separate"/>
      </w:r>
      <w:r>
        <w:rPr>
          <w:rFonts w:hint="eastAsia"/>
        </w:rPr>
        <w:t>1</w:t>
      </w:r>
      <w:r>
        <w:rPr>
          <w:rFonts w:hint="eastAsia"/>
          <w:lang w:val="en-US" w:eastAsia="zh-CN"/>
        </w:rPr>
        <w:t>3</w:t>
      </w:r>
      <w:r>
        <w:fldChar w:fldCharType="end"/>
      </w:r>
      <w:bookmarkEnd w:id="5"/>
      <w:r>
        <w:rPr>
          <w:rFonts w:hint="eastAsia"/>
        </w:rPr>
        <w:t>/T</w:t>
      </w:r>
      <w:r>
        <w:t xml:space="preserve"> </w:t>
      </w:r>
      <w:r>
        <w:fldChar w:fldCharType="begin">
          <w:ffData>
            <w:name w:val="NSTD_CODE_F"/>
            <w:enabled/>
            <w:calcOnExit w:val="0"/>
            <w:textInput>
              <w:default w:val="XXXXX"/>
            </w:textInput>
          </w:ffData>
        </w:fldChar>
      </w:r>
      <w:bookmarkStart w:id="6" w:name="NSTD_CODE_F"/>
      <w:r>
        <w:instrText xml:space="preserve"> FORMTEXT </w:instrText>
      </w:r>
      <w:r>
        <w:fldChar w:fldCharType="separate"/>
      </w:r>
      <w:r>
        <w:t>XXXXX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14:paraId="339F783A">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2A7E19C3">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3D863E6A">
      <w:pPr>
        <w:pStyle w:val="50"/>
        <w:framePr w:w="9639" w:h="6976" w:hRule="exact" w:hSpace="0" w:vSpace="0" w:hAnchor="page" w:y="6408"/>
        <w:jc w:val="center"/>
        <w:rPr>
          <w:rFonts w:ascii="黑体" w:hAnsi="黑体" w:eastAsia="黑体"/>
          <w:b w:val="0"/>
          <w:bCs w:val="0"/>
          <w:w w:val="100"/>
        </w:rPr>
      </w:pPr>
    </w:p>
    <w:p w14:paraId="78BA70D0">
      <w:pPr>
        <w:pStyle w:val="197"/>
        <w:framePr w:h="6974" w:hRule="exact"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lang w:eastAsia="zh-CN"/>
        </w:rPr>
        <w:t xml:space="preserve"> 突发职业中毒现场调查及监测技术规范</w:t>
      </w:r>
      <w:r>
        <w:fldChar w:fldCharType="end"/>
      </w:r>
      <w:bookmarkEnd w:id="9"/>
    </w:p>
    <w:p w14:paraId="19E0CF28">
      <w:pPr>
        <w:framePr w:w="9639" w:h="6974" w:hRule="exact" w:wrap="around" w:vAnchor="page" w:hAnchor="page" w:x="1419" w:y="6408" w:anchorLock="1"/>
        <w:ind w:left="-1418"/>
      </w:pPr>
    </w:p>
    <w:p w14:paraId="10638FB5">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 xml:space="preserve">Technical specification for </w:t>
      </w:r>
      <w:r>
        <w:rPr>
          <w:rFonts w:hint="eastAsia" w:eastAsia="黑体"/>
          <w:szCs w:val="28"/>
          <w:lang w:val="en-US" w:eastAsia="zh-CN"/>
        </w:rPr>
        <w:t xml:space="preserve">field </w:t>
      </w:r>
      <w:r>
        <w:rPr>
          <w:rFonts w:hint="eastAsia" w:eastAsia="黑体"/>
          <w:szCs w:val="28"/>
        </w:rPr>
        <w:t xml:space="preserve">investigation and monitoring of </w:t>
      </w:r>
      <w:r>
        <w:rPr>
          <w:rFonts w:hint="eastAsia" w:eastAsia="黑体"/>
          <w:szCs w:val="28"/>
          <w:lang w:val="en-US" w:eastAsia="zh-CN"/>
        </w:rPr>
        <w:t>emergent</w:t>
      </w:r>
      <w:r>
        <w:rPr>
          <w:rFonts w:hint="eastAsia" w:eastAsia="黑体"/>
          <w:szCs w:val="28"/>
        </w:rPr>
        <w:t xml:space="preserve"> occupational poisoning</w:t>
      </w:r>
      <w:r>
        <w:rPr>
          <w:rFonts w:eastAsia="黑体"/>
          <w:szCs w:val="28"/>
        </w:rPr>
        <w:fldChar w:fldCharType="end"/>
      </w:r>
      <w:bookmarkEnd w:id="10"/>
    </w:p>
    <w:p w14:paraId="2342F5A5">
      <w:pPr>
        <w:framePr w:w="9639" w:h="6974" w:hRule="exact" w:wrap="around" w:vAnchor="page" w:hAnchor="page" w:x="1419" w:y="6408" w:anchorLock="1"/>
        <w:spacing w:line="760" w:lineRule="exact"/>
        <w:ind w:left="-1418"/>
      </w:pPr>
    </w:p>
    <w:p w14:paraId="75BBCAC2">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11" w:name="IN_STD_CODE"/>
      <w:r>
        <w:rPr>
          <w:rFonts w:eastAsia="黑体"/>
          <w:szCs w:val="28"/>
        </w:rPr>
        <w:instrText xml:space="preserve"> FORMTEXT </w:instrText>
      </w:r>
      <w:r>
        <w:rPr>
          <w:rFonts w:eastAsia="黑体"/>
          <w:szCs w:val="28"/>
        </w:rPr>
        <w:fldChar w:fldCharType="separate"/>
      </w:r>
      <w:r>
        <w:rPr>
          <w:rFonts w:hint="eastAsia" w:eastAsia="黑体"/>
          <w:szCs w:val="28"/>
        </w:rPr>
        <w:t>(点击此处添加与国际标准一致性程度的标识)</w:t>
      </w:r>
      <w:r>
        <w:rPr>
          <w:rFonts w:eastAsia="黑体"/>
          <w:szCs w:val="28"/>
        </w:rPr>
        <w:fldChar w:fldCharType="end"/>
      </w:r>
      <w:bookmarkEnd w:id="11"/>
    </w:p>
    <w:p w14:paraId="7F7C1A05">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1"/>
              <w:listEntry w:val=" "/>
              <w:listEntry w:val="草案版次选择"/>
              <w:listEntry w:val="（工作组讨论稿）"/>
              <w:listEntry w:val="（征求意见稿）"/>
              <w:listEntry w:val="（送审讨论稿）"/>
              <w:listEntry w:val="（送审稿）"/>
              <w:listEntry w:val="（报批稿）"/>
            </w:ddList>
          </w:ffData>
        </w:fldChar>
      </w:r>
      <w:bookmarkStart w:id="12" w:name="下拉1"/>
      <w:r>
        <w:rPr>
          <w:sz w:val="24"/>
          <w:szCs w:val="28"/>
        </w:rPr>
        <w:instrText xml:space="preserve"> FORMDROPDOWN </w:instrText>
      </w:r>
      <w:r>
        <w:rPr>
          <w:sz w:val="24"/>
          <w:szCs w:val="28"/>
        </w:rPr>
        <w:fldChar w:fldCharType="separate"/>
      </w:r>
      <w:r>
        <w:rPr>
          <w:sz w:val="24"/>
          <w:szCs w:val="28"/>
        </w:rPr>
        <w:fldChar w:fldCharType="end"/>
      </w:r>
      <w:bookmarkEnd w:id="12"/>
    </w:p>
    <w:p w14:paraId="2A7C561E">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3"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3"/>
    </w:p>
    <w:p w14:paraId="7488BFBA">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4" w:name="下拉2"/>
      <w:r>
        <w:rPr>
          <w:b/>
          <w:sz w:val="21"/>
          <w:szCs w:val="28"/>
        </w:rPr>
        <w:instrText xml:space="preserve"> FORMDROPDOWN </w:instrText>
      </w:r>
      <w:r>
        <w:rPr>
          <w:b/>
          <w:sz w:val="21"/>
          <w:szCs w:val="28"/>
        </w:rPr>
        <w:fldChar w:fldCharType="separate"/>
      </w:r>
      <w:r>
        <w:rPr>
          <w:b/>
          <w:sz w:val="21"/>
          <w:szCs w:val="28"/>
        </w:rPr>
        <w:fldChar w:fldCharType="end"/>
      </w:r>
      <w:bookmarkEnd w:id="14"/>
    </w:p>
    <w:p w14:paraId="72CD76A2">
      <w:pPr>
        <w:pStyle w:val="193"/>
        <w:framePr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发布</w:t>
      </w:r>
    </w:p>
    <w:p w14:paraId="488A5BF4">
      <w:pPr>
        <w:pStyle w:val="194"/>
        <w:framePr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8"/>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20"/>
      <w:r>
        <w:rPr>
          <w:rFonts w:hint="eastAsia"/>
        </w:rPr>
        <w:t>实施</w:t>
      </w:r>
    </w:p>
    <w:p w14:paraId="27CEBEF5">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1"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Ansi="黑体"/>
          <w:w w:val="100"/>
          <w:sz w:val="28"/>
        </w:rPr>
        <w:t>市场监督管理委员会</w:t>
      </w:r>
      <w:r>
        <w:rPr>
          <w:rFonts w:hAnsi="黑体"/>
          <w:w w:val="100"/>
          <w:sz w:val="28"/>
        </w:rPr>
        <w:fldChar w:fldCharType="end"/>
      </w:r>
      <w:bookmarkEnd w:id="21"/>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45C14252">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3040414E">
      <w:pPr>
        <w:pStyle w:val="253"/>
        <w:rPr>
          <w:rFonts w:hint="eastAsia"/>
        </w:rPr>
      </w:pPr>
      <w:bookmarkStart w:id="22" w:name="BookMark2"/>
      <w:r>
        <w:rPr>
          <w:rFonts w:hint="eastAsia"/>
        </w:rPr>
        <w:t>目</w:t>
      </w:r>
      <w:bookmarkStart w:id="23" w:name="BKML"/>
      <w:r>
        <w:t>  </w:t>
      </w:r>
      <w:r>
        <w:rPr>
          <w:rFonts w:hint="eastAsia"/>
        </w:rPr>
        <w:t>次</w:t>
      </w:r>
      <w:bookmarkEnd w:id="23"/>
    </w:p>
    <w:p w14:paraId="5A4030DC">
      <w:pPr>
        <w:pStyle w:val="19"/>
        <w:tabs>
          <w:tab w:val="right" w:leader="dot" w:pos="9241"/>
        </w:tabs>
        <w:spacing w:before="0" w:beforeLines="0" w:after="0" w:afterLines="0"/>
        <w:rPr>
          <w:rFonts w:ascii="Calibri" w:hAnsi="Calibri"/>
          <w:szCs w:val="22"/>
        </w:rPr>
      </w:pPr>
      <w:r>
        <w:fldChar w:fldCharType="begin" w:fldLock="1"/>
      </w:r>
      <w:r>
        <w:instrText xml:space="preserve"> </w:instrText>
      </w:r>
      <w:r>
        <w:rPr>
          <w:rFonts w:hint="eastAsia"/>
        </w:rPr>
        <w:instrText xml:space="preserve">TOC \h \z \t"前言、引言标题,1,参考文献、索引标题,1,章标题,1,参考文献,1,附录标识,1" \* MERGEFORMAT</w:instrText>
      </w:r>
      <w:r>
        <w:instrText xml:space="preserve"> </w:instrText>
      </w:r>
      <w:r>
        <w:fldChar w:fldCharType="separate"/>
      </w:r>
      <w:r>
        <w:rPr>
          <w:rStyle w:val="32"/>
        </w:rPr>
        <w:fldChar w:fldCharType="begin" w:fldLock="1"/>
      </w:r>
      <w:r>
        <w:rPr>
          <w:rStyle w:val="32"/>
        </w:rPr>
        <w:instrText xml:space="preserve"> </w:instrText>
      </w:r>
      <w:r>
        <w:instrText xml:space="preserve">HYPERLINK \l "_Toc515628715"</w:instrText>
      </w:r>
      <w:r>
        <w:rPr>
          <w:rStyle w:val="32"/>
        </w:rPr>
        <w:instrText xml:space="preserve"> </w:instrText>
      </w:r>
      <w:r>
        <w:rPr>
          <w:rStyle w:val="32"/>
        </w:rPr>
        <w:fldChar w:fldCharType="separate"/>
      </w:r>
      <w:r>
        <w:rPr>
          <w:rStyle w:val="32"/>
          <w:rFonts w:hint="eastAsia"/>
        </w:rPr>
        <w:t>前言</w:t>
      </w:r>
      <w:r>
        <w:tab/>
      </w:r>
      <w:r>
        <w:fldChar w:fldCharType="begin" w:fldLock="1"/>
      </w:r>
      <w:r>
        <w:instrText xml:space="preserve"> PAGEREF _Toc515628715 \h </w:instrText>
      </w:r>
      <w:r>
        <w:fldChar w:fldCharType="separate"/>
      </w:r>
      <w:r>
        <w:t>II</w:t>
      </w:r>
      <w:r>
        <w:fldChar w:fldCharType="end"/>
      </w:r>
      <w:r>
        <w:rPr>
          <w:rStyle w:val="32"/>
        </w:rPr>
        <w:fldChar w:fldCharType="end"/>
      </w:r>
    </w:p>
    <w:p w14:paraId="3CBB5F29">
      <w:pPr>
        <w:pStyle w:val="19"/>
        <w:tabs>
          <w:tab w:val="right" w:leader="dot" w:pos="9241"/>
        </w:tabs>
        <w:spacing w:before="0" w:beforeLines="0" w:after="0" w:afterLines="0"/>
        <w:rPr>
          <w:rFonts w:ascii="Calibri" w:hAnsi="Calibri"/>
          <w:szCs w:val="22"/>
        </w:rPr>
      </w:pPr>
      <w:r>
        <w:rPr>
          <w:rStyle w:val="32"/>
        </w:rPr>
        <w:fldChar w:fldCharType="begin" w:fldLock="1"/>
      </w:r>
      <w:r>
        <w:rPr>
          <w:rStyle w:val="32"/>
        </w:rPr>
        <w:instrText xml:space="preserve"> </w:instrText>
      </w:r>
      <w:r>
        <w:instrText xml:space="preserve">HYPERLINK \l "_Toc515628716"</w:instrText>
      </w:r>
      <w:r>
        <w:rPr>
          <w:rStyle w:val="32"/>
        </w:rPr>
        <w:instrText xml:space="preserve"> </w:instrText>
      </w:r>
      <w:r>
        <w:rPr>
          <w:rStyle w:val="32"/>
        </w:rPr>
        <w:fldChar w:fldCharType="separate"/>
      </w:r>
      <w:r>
        <w:rPr>
          <w:rStyle w:val="32"/>
        </w:rPr>
        <w:t>1</w:t>
      </w:r>
      <w:r>
        <w:rPr>
          <w:rStyle w:val="32"/>
          <w:rFonts w:hint="eastAsia"/>
        </w:rPr>
        <w:t>　范围</w:t>
      </w:r>
      <w:r>
        <w:tab/>
      </w:r>
      <w:r>
        <w:fldChar w:fldCharType="begin" w:fldLock="1"/>
      </w:r>
      <w:r>
        <w:instrText xml:space="preserve"> PAGEREF _Toc515628716 \h </w:instrText>
      </w:r>
      <w:r>
        <w:fldChar w:fldCharType="separate"/>
      </w:r>
      <w:r>
        <w:t>1</w:t>
      </w:r>
      <w:r>
        <w:fldChar w:fldCharType="end"/>
      </w:r>
      <w:r>
        <w:rPr>
          <w:rStyle w:val="32"/>
        </w:rPr>
        <w:fldChar w:fldCharType="end"/>
      </w:r>
    </w:p>
    <w:p w14:paraId="373A6EF2">
      <w:pPr>
        <w:pStyle w:val="19"/>
        <w:tabs>
          <w:tab w:val="right" w:leader="dot" w:pos="9241"/>
        </w:tabs>
        <w:spacing w:before="0" w:beforeLines="0" w:after="0" w:afterLines="0"/>
        <w:rPr>
          <w:rFonts w:ascii="Calibri" w:hAnsi="Calibri"/>
          <w:szCs w:val="22"/>
        </w:rPr>
      </w:pPr>
      <w:r>
        <w:rPr>
          <w:rStyle w:val="32"/>
        </w:rPr>
        <w:fldChar w:fldCharType="begin" w:fldLock="1"/>
      </w:r>
      <w:r>
        <w:rPr>
          <w:rStyle w:val="32"/>
        </w:rPr>
        <w:instrText xml:space="preserve"> </w:instrText>
      </w:r>
      <w:r>
        <w:instrText xml:space="preserve">HYPERLINK \l "_Toc515628717"</w:instrText>
      </w:r>
      <w:r>
        <w:rPr>
          <w:rStyle w:val="32"/>
        </w:rPr>
        <w:instrText xml:space="preserve"> </w:instrText>
      </w:r>
      <w:r>
        <w:rPr>
          <w:rStyle w:val="32"/>
        </w:rPr>
        <w:fldChar w:fldCharType="separate"/>
      </w:r>
      <w:r>
        <w:rPr>
          <w:rStyle w:val="32"/>
        </w:rPr>
        <w:t>2</w:t>
      </w:r>
      <w:r>
        <w:rPr>
          <w:rStyle w:val="32"/>
          <w:rFonts w:hint="eastAsia"/>
        </w:rPr>
        <w:t>　规范性引用文件</w:t>
      </w:r>
      <w:r>
        <w:tab/>
      </w:r>
      <w:r>
        <w:fldChar w:fldCharType="begin" w:fldLock="1"/>
      </w:r>
      <w:r>
        <w:instrText xml:space="preserve"> PAGEREF _Toc515628717 \h </w:instrText>
      </w:r>
      <w:r>
        <w:fldChar w:fldCharType="separate"/>
      </w:r>
      <w:r>
        <w:t>1</w:t>
      </w:r>
      <w:r>
        <w:fldChar w:fldCharType="end"/>
      </w:r>
      <w:r>
        <w:rPr>
          <w:rStyle w:val="32"/>
        </w:rPr>
        <w:fldChar w:fldCharType="end"/>
      </w:r>
    </w:p>
    <w:p w14:paraId="55D7FE64">
      <w:pPr>
        <w:pStyle w:val="19"/>
        <w:tabs>
          <w:tab w:val="right" w:leader="dot" w:pos="9241"/>
        </w:tabs>
        <w:spacing w:before="0" w:beforeLines="0" w:after="0" w:afterLines="0"/>
        <w:rPr>
          <w:rFonts w:ascii="Calibri" w:hAnsi="Calibri"/>
          <w:szCs w:val="22"/>
        </w:rPr>
      </w:pPr>
      <w:r>
        <w:rPr>
          <w:rStyle w:val="32"/>
        </w:rPr>
        <w:fldChar w:fldCharType="begin" w:fldLock="1"/>
      </w:r>
      <w:r>
        <w:rPr>
          <w:rStyle w:val="32"/>
        </w:rPr>
        <w:instrText xml:space="preserve"> </w:instrText>
      </w:r>
      <w:r>
        <w:instrText xml:space="preserve">HYPERLINK \l "_Toc515628718"</w:instrText>
      </w:r>
      <w:r>
        <w:rPr>
          <w:rStyle w:val="32"/>
        </w:rPr>
        <w:instrText xml:space="preserve"> </w:instrText>
      </w:r>
      <w:r>
        <w:rPr>
          <w:rStyle w:val="32"/>
        </w:rPr>
        <w:fldChar w:fldCharType="separate"/>
      </w:r>
      <w:r>
        <w:rPr>
          <w:rStyle w:val="32"/>
        </w:rPr>
        <w:t>3</w:t>
      </w:r>
      <w:r>
        <w:rPr>
          <w:rStyle w:val="32"/>
          <w:rFonts w:hint="eastAsia"/>
        </w:rPr>
        <w:t>　术语和定义</w:t>
      </w:r>
      <w:r>
        <w:tab/>
      </w:r>
      <w:r>
        <w:fldChar w:fldCharType="begin" w:fldLock="1"/>
      </w:r>
      <w:r>
        <w:instrText xml:space="preserve"> PAGEREF _Toc515628718 \h </w:instrText>
      </w:r>
      <w:r>
        <w:fldChar w:fldCharType="separate"/>
      </w:r>
      <w:r>
        <w:t>1</w:t>
      </w:r>
      <w:r>
        <w:fldChar w:fldCharType="end"/>
      </w:r>
      <w:r>
        <w:rPr>
          <w:rStyle w:val="32"/>
        </w:rPr>
        <w:fldChar w:fldCharType="end"/>
      </w:r>
    </w:p>
    <w:p w14:paraId="2CEA2901">
      <w:pPr>
        <w:pStyle w:val="19"/>
        <w:tabs>
          <w:tab w:val="right" w:leader="dot" w:pos="9241"/>
        </w:tabs>
        <w:spacing w:before="0" w:beforeLines="0" w:after="0" w:afterLines="0"/>
        <w:rPr>
          <w:rStyle w:val="32"/>
        </w:rPr>
      </w:pPr>
      <w:r>
        <w:rPr>
          <w:rStyle w:val="32"/>
        </w:rPr>
        <w:fldChar w:fldCharType="begin" w:fldLock="1"/>
      </w:r>
      <w:r>
        <w:rPr>
          <w:rStyle w:val="32"/>
        </w:rPr>
        <w:instrText xml:space="preserve"> </w:instrText>
      </w:r>
      <w:r>
        <w:instrText xml:space="preserve">HYPERLINK \l "_Toc515628719"</w:instrText>
      </w:r>
      <w:r>
        <w:rPr>
          <w:rStyle w:val="32"/>
        </w:rPr>
        <w:instrText xml:space="preserve"> </w:instrText>
      </w:r>
      <w:r>
        <w:rPr>
          <w:rStyle w:val="32"/>
        </w:rPr>
        <w:fldChar w:fldCharType="separate"/>
      </w:r>
      <w:r>
        <w:rPr>
          <w:rStyle w:val="32"/>
        </w:rPr>
        <w:t>4</w:t>
      </w:r>
      <w:r>
        <w:rPr>
          <w:rStyle w:val="32"/>
          <w:rFonts w:hint="eastAsia"/>
        </w:rPr>
        <w:t>　基本要</w:t>
      </w:r>
      <w:bookmarkStart w:id="24" w:name="_Hlt529479164"/>
      <w:r>
        <w:rPr>
          <w:rStyle w:val="32"/>
          <w:rFonts w:hint="eastAsia"/>
        </w:rPr>
        <w:t>求</w:t>
      </w:r>
      <w:bookmarkEnd w:id="24"/>
      <w:r>
        <w:tab/>
      </w:r>
      <w:r>
        <w:fldChar w:fldCharType="begin" w:fldLock="1"/>
      </w:r>
      <w:r>
        <w:instrText xml:space="preserve"> PAGEREF _Toc515628719 \h </w:instrText>
      </w:r>
      <w:r>
        <w:fldChar w:fldCharType="separate"/>
      </w:r>
      <w:r>
        <w:t>2</w:t>
      </w:r>
      <w:r>
        <w:fldChar w:fldCharType="end"/>
      </w:r>
      <w:r>
        <w:rPr>
          <w:rStyle w:val="32"/>
        </w:rPr>
        <w:fldChar w:fldCharType="end"/>
      </w:r>
    </w:p>
    <w:p w14:paraId="4D542AED">
      <w:pPr>
        <w:pStyle w:val="19"/>
        <w:tabs>
          <w:tab w:val="right" w:leader="dot" w:pos="9241"/>
        </w:tabs>
        <w:spacing w:before="0" w:beforeLines="0" w:after="0" w:afterLines="0"/>
        <w:rPr>
          <w:rFonts w:hint="eastAsia"/>
          <w:color w:val="0000FF"/>
          <w:u w:val="single"/>
        </w:rPr>
      </w:pPr>
      <w:r>
        <w:rPr>
          <w:rStyle w:val="32"/>
        </w:rPr>
        <w:fldChar w:fldCharType="begin" w:fldLock="1"/>
      </w:r>
      <w:r>
        <w:rPr>
          <w:rStyle w:val="32"/>
        </w:rPr>
        <w:instrText xml:space="preserve"> </w:instrText>
      </w:r>
      <w:r>
        <w:instrText xml:space="preserve">HYPERLINK \l "_Toc515628719"</w:instrText>
      </w:r>
      <w:r>
        <w:rPr>
          <w:rStyle w:val="32"/>
        </w:rPr>
        <w:instrText xml:space="preserve"> </w:instrText>
      </w:r>
      <w:r>
        <w:rPr>
          <w:rStyle w:val="32"/>
        </w:rPr>
        <w:fldChar w:fldCharType="separate"/>
      </w:r>
      <w:r>
        <w:rPr>
          <w:rStyle w:val="32"/>
          <w:rFonts w:hint="eastAsia"/>
        </w:rPr>
        <w:t>5　</w:t>
      </w:r>
      <w:r>
        <w:rPr>
          <w:rStyle w:val="32"/>
          <w:rFonts w:hint="eastAsia"/>
          <w:lang w:eastAsia="zh-CN"/>
        </w:rPr>
        <w:t>前期</w:t>
      </w:r>
      <w:r>
        <w:rPr>
          <w:rStyle w:val="32"/>
          <w:rFonts w:hint="eastAsia"/>
        </w:rPr>
        <w:t>准备</w:t>
      </w:r>
      <w:r>
        <w:tab/>
      </w:r>
      <w:r>
        <w:fldChar w:fldCharType="begin" w:fldLock="1"/>
      </w:r>
      <w:r>
        <w:instrText xml:space="preserve"> PAGEREF _Toc515628719 \h </w:instrText>
      </w:r>
      <w:r>
        <w:fldChar w:fldCharType="separate"/>
      </w:r>
      <w:r>
        <w:t>2</w:t>
      </w:r>
      <w:r>
        <w:fldChar w:fldCharType="end"/>
      </w:r>
      <w:r>
        <w:rPr>
          <w:rStyle w:val="32"/>
        </w:rPr>
        <w:fldChar w:fldCharType="end"/>
      </w:r>
    </w:p>
    <w:p w14:paraId="0FFA3E50">
      <w:pPr>
        <w:pStyle w:val="19"/>
        <w:tabs>
          <w:tab w:val="right" w:leader="dot" w:pos="9241"/>
        </w:tabs>
        <w:spacing w:before="0" w:beforeLines="0" w:after="0" w:afterLines="0"/>
        <w:rPr>
          <w:rFonts w:hint="eastAsia"/>
          <w:color w:val="0000FF"/>
          <w:u w:val="single"/>
        </w:rPr>
      </w:pPr>
      <w:r>
        <w:rPr>
          <w:rStyle w:val="32"/>
        </w:rPr>
        <w:fldChar w:fldCharType="begin" w:fldLock="1"/>
      </w:r>
      <w:r>
        <w:rPr>
          <w:rStyle w:val="32"/>
        </w:rPr>
        <w:instrText xml:space="preserve"> </w:instrText>
      </w:r>
      <w:r>
        <w:instrText xml:space="preserve">HYPERLINK \l "_Toc515628720"</w:instrText>
      </w:r>
      <w:r>
        <w:rPr>
          <w:rStyle w:val="32"/>
        </w:rPr>
        <w:instrText xml:space="preserve"> </w:instrText>
      </w:r>
      <w:r>
        <w:rPr>
          <w:rStyle w:val="32"/>
        </w:rPr>
        <w:fldChar w:fldCharType="separate"/>
      </w:r>
      <w:r>
        <w:rPr>
          <w:rStyle w:val="32"/>
          <w:rFonts w:hint="eastAsia"/>
        </w:rPr>
        <w:t>6　现场</w:t>
      </w:r>
      <w:r>
        <w:rPr>
          <w:rStyle w:val="32"/>
          <w:rFonts w:hint="eastAsia"/>
          <w:lang w:eastAsia="zh-CN"/>
        </w:rPr>
        <w:t>流行病学调查</w:t>
      </w:r>
      <w:r>
        <w:tab/>
      </w:r>
      <w:r>
        <w:rPr>
          <w:rFonts w:hint="eastAsia"/>
          <w:lang w:val="en-US" w:eastAsia="zh-CN"/>
        </w:rPr>
        <w:t>2</w:t>
      </w:r>
      <w:r>
        <w:rPr>
          <w:rStyle w:val="32"/>
        </w:rPr>
        <w:fldChar w:fldCharType="end"/>
      </w:r>
    </w:p>
    <w:p w14:paraId="2368B58A">
      <w:pPr>
        <w:pStyle w:val="19"/>
        <w:tabs>
          <w:tab w:val="right" w:leader="dot" w:pos="9241"/>
        </w:tabs>
        <w:spacing w:before="0" w:beforeLines="0" w:after="0" w:afterLines="0"/>
        <w:rPr>
          <w:rFonts w:ascii="Calibri" w:hAnsi="Calibri"/>
          <w:szCs w:val="22"/>
        </w:rPr>
      </w:pPr>
      <w:r>
        <w:rPr>
          <w:rStyle w:val="32"/>
        </w:rPr>
        <w:fldChar w:fldCharType="begin" w:fldLock="1"/>
      </w:r>
      <w:r>
        <w:rPr>
          <w:rStyle w:val="32"/>
        </w:rPr>
        <w:instrText xml:space="preserve"> </w:instrText>
      </w:r>
      <w:r>
        <w:instrText xml:space="preserve">HYPERLINK \l "_Toc515628721"</w:instrText>
      </w:r>
      <w:r>
        <w:rPr>
          <w:rStyle w:val="32"/>
        </w:rPr>
        <w:instrText xml:space="preserve"> </w:instrText>
      </w:r>
      <w:r>
        <w:rPr>
          <w:rStyle w:val="32"/>
        </w:rPr>
        <w:fldChar w:fldCharType="separate"/>
      </w:r>
      <w:r>
        <w:rPr>
          <w:rStyle w:val="32"/>
          <w:rFonts w:hint="eastAsia"/>
        </w:rPr>
        <w:t>7　</w:t>
      </w:r>
      <w:r>
        <w:rPr>
          <w:rStyle w:val="32"/>
          <w:rFonts w:hint="eastAsia"/>
          <w:lang w:eastAsia="zh-CN"/>
        </w:rPr>
        <w:t>监测方案</w:t>
      </w:r>
      <w:r>
        <w:tab/>
      </w:r>
      <w:r>
        <w:rPr>
          <w:rFonts w:hint="eastAsia"/>
          <w:lang w:val="en-US" w:eastAsia="zh-CN"/>
        </w:rPr>
        <w:t>3</w:t>
      </w:r>
      <w:r>
        <w:rPr>
          <w:rStyle w:val="32"/>
        </w:rPr>
        <w:fldChar w:fldCharType="end"/>
      </w:r>
    </w:p>
    <w:p w14:paraId="1E42DA9E">
      <w:pPr>
        <w:pStyle w:val="19"/>
        <w:tabs>
          <w:tab w:val="right" w:leader="dot" w:pos="9241"/>
        </w:tabs>
        <w:spacing w:before="0" w:beforeLines="0" w:after="0" w:afterLines="0"/>
        <w:rPr>
          <w:rFonts w:ascii="Calibri" w:hAnsi="Calibri"/>
          <w:szCs w:val="22"/>
        </w:rPr>
      </w:pPr>
      <w:r>
        <w:rPr>
          <w:rStyle w:val="32"/>
        </w:rPr>
        <w:fldChar w:fldCharType="begin" w:fldLock="1"/>
      </w:r>
      <w:r>
        <w:rPr>
          <w:rStyle w:val="32"/>
        </w:rPr>
        <w:instrText xml:space="preserve"> </w:instrText>
      </w:r>
      <w:r>
        <w:instrText xml:space="preserve">HYPERLINK \l "_Toc515628722"</w:instrText>
      </w:r>
      <w:r>
        <w:rPr>
          <w:rStyle w:val="32"/>
        </w:rPr>
        <w:instrText xml:space="preserve"> </w:instrText>
      </w:r>
      <w:r>
        <w:rPr>
          <w:rStyle w:val="32"/>
        </w:rPr>
        <w:fldChar w:fldCharType="separate"/>
      </w:r>
      <w:r>
        <w:rPr>
          <w:rStyle w:val="32"/>
          <w:rFonts w:hint="eastAsia"/>
        </w:rPr>
        <w:t>8　</w:t>
      </w:r>
      <w:r>
        <w:rPr>
          <w:rStyle w:val="32"/>
          <w:rFonts w:hint="eastAsia"/>
          <w:lang w:eastAsia="zh-CN"/>
        </w:rPr>
        <w:t>样品采集与检测</w:t>
      </w:r>
      <w:r>
        <w:tab/>
      </w:r>
      <w:r>
        <w:rPr>
          <w:rFonts w:hint="eastAsia"/>
          <w:lang w:val="en-US" w:eastAsia="zh-CN"/>
        </w:rPr>
        <w:t>4</w:t>
      </w:r>
      <w:r>
        <w:rPr>
          <w:rStyle w:val="32"/>
        </w:rPr>
        <w:fldChar w:fldCharType="end"/>
      </w:r>
    </w:p>
    <w:p w14:paraId="69CD7FAF">
      <w:pPr>
        <w:pStyle w:val="19"/>
        <w:tabs>
          <w:tab w:val="right" w:leader="dot" w:pos="9241"/>
        </w:tabs>
        <w:spacing w:before="0" w:beforeLines="0" w:after="0" w:afterLines="0"/>
        <w:rPr>
          <w:rFonts w:ascii="Calibri" w:hAnsi="Calibri"/>
          <w:szCs w:val="22"/>
        </w:rPr>
      </w:pPr>
      <w:r>
        <w:rPr>
          <w:rStyle w:val="32"/>
        </w:rPr>
        <w:fldChar w:fldCharType="begin" w:fldLock="1"/>
      </w:r>
      <w:r>
        <w:rPr>
          <w:rStyle w:val="32"/>
        </w:rPr>
        <w:instrText xml:space="preserve"> </w:instrText>
      </w:r>
      <w:r>
        <w:instrText xml:space="preserve">HYPERLINK \l "_Toc515628722"</w:instrText>
      </w:r>
      <w:r>
        <w:rPr>
          <w:rStyle w:val="32"/>
        </w:rPr>
        <w:instrText xml:space="preserve"> </w:instrText>
      </w:r>
      <w:r>
        <w:rPr>
          <w:rStyle w:val="32"/>
        </w:rPr>
        <w:fldChar w:fldCharType="separate"/>
      </w:r>
      <w:r>
        <w:rPr>
          <w:rStyle w:val="32"/>
          <w:rFonts w:hint="eastAsia"/>
          <w:lang w:val="en-US" w:eastAsia="zh-CN"/>
        </w:rPr>
        <w:t>9</w:t>
      </w:r>
      <w:r>
        <w:rPr>
          <w:rStyle w:val="32"/>
          <w:rFonts w:hint="eastAsia"/>
        </w:rPr>
        <w:t>　</w:t>
      </w:r>
      <w:r>
        <w:rPr>
          <w:rStyle w:val="32"/>
          <w:rFonts w:hint="eastAsia"/>
          <w:lang w:eastAsia="zh-CN"/>
        </w:rPr>
        <w:t>应急监测报告</w:t>
      </w:r>
      <w:r>
        <w:tab/>
      </w:r>
      <w:r>
        <w:rPr>
          <w:rFonts w:hint="eastAsia"/>
          <w:lang w:val="en-US" w:eastAsia="zh-CN"/>
        </w:rPr>
        <w:t>6</w:t>
      </w:r>
      <w:r>
        <w:rPr>
          <w:rStyle w:val="32"/>
        </w:rPr>
        <w:fldChar w:fldCharType="end"/>
      </w:r>
    </w:p>
    <w:p w14:paraId="60F0E8EE">
      <w:pPr>
        <w:pStyle w:val="19"/>
        <w:tabs>
          <w:tab w:val="right" w:leader="dot" w:pos="9241"/>
        </w:tabs>
        <w:spacing w:before="0" w:beforeLines="0" w:after="0" w:afterLines="0"/>
        <w:rPr>
          <w:rFonts w:ascii="Calibri" w:hAnsi="Calibri"/>
          <w:szCs w:val="22"/>
        </w:rPr>
      </w:pPr>
      <w:r>
        <w:rPr>
          <w:rStyle w:val="32"/>
        </w:rPr>
        <w:fldChar w:fldCharType="begin" w:fldLock="1"/>
      </w:r>
      <w:r>
        <w:rPr>
          <w:rStyle w:val="32"/>
        </w:rPr>
        <w:instrText xml:space="preserve"> </w:instrText>
      </w:r>
      <w:r>
        <w:instrText xml:space="preserve">HYPERLINK \l "_Toc515628724"</w:instrText>
      </w:r>
      <w:r>
        <w:rPr>
          <w:rStyle w:val="32"/>
        </w:rPr>
        <w:instrText xml:space="preserve"> </w:instrText>
      </w:r>
      <w:r>
        <w:rPr>
          <w:rStyle w:val="32"/>
        </w:rPr>
        <w:fldChar w:fldCharType="separate"/>
      </w:r>
      <w:r>
        <w:rPr>
          <w:rStyle w:val="32"/>
          <w:rFonts w:hint="eastAsia"/>
        </w:rPr>
        <w:t>附录A（资料性）</w:t>
      </w:r>
      <w:r>
        <w:rPr>
          <w:rStyle w:val="32"/>
        </w:rPr>
        <w:t>　</w:t>
      </w:r>
      <w:r>
        <w:rPr>
          <w:rStyle w:val="32"/>
          <w:rFonts w:hint="eastAsia"/>
          <w:lang w:eastAsia="zh-CN"/>
        </w:rPr>
        <w:t>应急监测</w:t>
      </w:r>
      <w:r>
        <w:rPr>
          <w:rStyle w:val="32"/>
          <w:rFonts w:hint="eastAsia"/>
        </w:rPr>
        <w:t>仪器设备配备清单</w:t>
      </w:r>
      <w:r>
        <w:tab/>
      </w:r>
      <w:r>
        <w:rPr>
          <w:rFonts w:hint="eastAsia"/>
          <w:lang w:val="en-US" w:eastAsia="zh-CN"/>
        </w:rPr>
        <w:t>7</w:t>
      </w:r>
      <w:r>
        <w:rPr>
          <w:rStyle w:val="32"/>
        </w:rPr>
        <w:fldChar w:fldCharType="end"/>
      </w:r>
    </w:p>
    <w:p w14:paraId="5C0EA3A2">
      <w:pPr>
        <w:pStyle w:val="19"/>
        <w:tabs>
          <w:tab w:val="right" w:leader="dot" w:pos="9241"/>
        </w:tabs>
        <w:spacing w:before="0" w:beforeLines="0" w:after="0" w:afterLines="0"/>
        <w:rPr>
          <w:rFonts w:ascii="Calibri" w:hAnsi="Calibri"/>
          <w:szCs w:val="22"/>
        </w:rPr>
      </w:pPr>
      <w:r>
        <w:rPr>
          <w:rStyle w:val="32"/>
        </w:rPr>
        <w:fldChar w:fldCharType="begin" w:fldLock="1"/>
      </w:r>
      <w:r>
        <w:rPr>
          <w:rStyle w:val="32"/>
        </w:rPr>
        <w:instrText xml:space="preserve"> </w:instrText>
      </w:r>
      <w:r>
        <w:instrText xml:space="preserve">HYPERLINK \l "_Toc515628725"</w:instrText>
      </w:r>
      <w:r>
        <w:rPr>
          <w:rStyle w:val="32"/>
        </w:rPr>
        <w:instrText xml:space="preserve"> </w:instrText>
      </w:r>
      <w:r>
        <w:rPr>
          <w:rStyle w:val="32"/>
        </w:rPr>
        <w:fldChar w:fldCharType="separate"/>
      </w:r>
      <w:r>
        <w:rPr>
          <w:rStyle w:val="32"/>
          <w:rFonts w:hint="eastAsia"/>
        </w:rPr>
        <w:t>附录B（资料性）</w:t>
      </w:r>
      <w:r>
        <w:rPr>
          <w:rStyle w:val="32"/>
        </w:rPr>
        <w:t>　</w:t>
      </w:r>
      <w:r>
        <w:rPr>
          <w:rStyle w:val="32"/>
          <w:rFonts w:hint="eastAsia"/>
          <w:lang w:eastAsia="zh-CN"/>
        </w:rPr>
        <w:t>突发职业中毒现场调查表</w:t>
      </w:r>
      <w:r>
        <w:tab/>
      </w:r>
      <w:r>
        <w:rPr>
          <w:rFonts w:hint="eastAsia"/>
          <w:lang w:val="en-US" w:eastAsia="zh-CN"/>
        </w:rPr>
        <w:t>8</w:t>
      </w:r>
      <w:r>
        <w:rPr>
          <w:rStyle w:val="32"/>
        </w:rPr>
        <w:fldChar w:fldCharType="end"/>
      </w:r>
    </w:p>
    <w:p w14:paraId="67DDD098">
      <w:pPr>
        <w:pStyle w:val="19"/>
        <w:tabs>
          <w:tab w:val="right" w:leader="dot" w:pos="9241"/>
        </w:tabs>
        <w:spacing w:before="0" w:beforeLines="0" w:after="0" w:afterLines="0"/>
        <w:rPr>
          <w:rStyle w:val="32"/>
          <w:rFonts w:hint="eastAsia" w:eastAsia="宋体"/>
          <w:lang w:val="en-US" w:eastAsia="zh-CN"/>
        </w:rPr>
      </w:pPr>
      <w:r>
        <w:rPr>
          <w:rStyle w:val="32"/>
        </w:rPr>
        <w:fldChar w:fldCharType="begin" w:fldLock="1"/>
      </w:r>
      <w:r>
        <w:rPr>
          <w:rStyle w:val="32"/>
        </w:rPr>
        <w:instrText xml:space="preserve"> </w:instrText>
      </w:r>
      <w:r>
        <w:instrText xml:space="preserve">HYPERLINK \l "_Toc515628726"</w:instrText>
      </w:r>
      <w:r>
        <w:rPr>
          <w:rStyle w:val="32"/>
        </w:rPr>
        <w:instrText xml:space="preserve"> </w:instrText>
      </w:r>
      <w:r>
        <w:rPr>
          <w:rStyle w:val="32"/>
        </w:rPr>
        <w:fldChar w:fldCharType="separate"/>
      </w:r>
      <w:r>
        <w:rPr>
          <w:rStyle w:val="32"/>
          <w:rFonts w:hint="eastAsia"/>
        </w:rPr>
        <w:t>附录C（资料性）</w:t>
      </w:r>
      <w:r>
        <w:rPr>
          <w:rStyle w:val="32"/>
        </w:rPr>
        <w:t>　</w:t>
      </w:r>
      <w:r>
        <w:rPr>
          <w:rStyle w:val="32"/>
          <w:rFonts w:hint="eastAsia"/>
          <w:lang w:eastAsia="zh-CN"/>
        </w:rPr>
        <w:t>突发职业中毒个案调查表</w:t>
      </w:r>
      <w:r>
        <w:tab/>
      </w:r>
      <w:r>
        <w:rPr>
          <w:rFonts w:hint="eastAsia"/>
          <w:lang w:val="en-US" w:eastAsia="zh-CN"/>
        </w:rPr>
        <w:t>1</w:t>
      </w:r>
      <w:r>
        <w:rPr>
          <w:rStyle w:val="32"/>
        </w:rPr>
        <w:fldChar w:fldCharType="end"/>
      </w:r>
      <w:r>
        <w:rPr>
          <w:rStyle w:val="32"/>
          <w:rFonts w:hint="eastAsia"/>
          <w:lang w:val="en-US" w:eastAsia="zh-CN"/>
        </w:rPr>
        <w:t>0</w:t>
      </w:r>
    </w:p>
    <w:p w14:paraId="1ABA3F57">
      <w:pPr>
        <w:pStyle w:val="19"/>
        <w:tabs>
          <w:tab w:val="right" w:leader="dot" w:pos="9241"/>
        </w:tabs>
        <w:spacing w:before="0" w:beforeLines="0" w:after="0" w:afterLines="0"/>
        <w:rPr>
          <w:rStyle w:val="32"/>
          <w:rFonts w:hint="eastAsia" w:eastAsia="宋体"/>
          <w:lang w:val="en-US" w:eastAsia="zh-CN"/>
        </w:rPr>
      </w:pPr>
      <w:r>
        <w:rPr>
          <w:rStyle w:val="32"/>
        </w:rPr>
        <w:fldChar w:fldCharType="begin" w:fldLock="1"/>
      </w:r>
      <w:r>
        <w:rPr>
          <w:rStyle w:val="32"/>
        </w:rPr>
        <w:instrText xml:space="preserve"> </w:instrText>
      </w:r>
      <w:r>
        <w:instrText xml:space="preserve">HYPERLINK \l "_Toc515628726"</w:instrText>
      </w:r>
      <w:r>
        <w:rPr>
          <w:rStyle w:val="32"/>
        </w:rPr>
        <w:instrText xml:space="preserve"> </w:instrText>
      </w:r>
      <w:r>
        <w:rPr>
          <w:rStyle w:val="32"/>
        </w:rPr>
        <w:fldChar w:fldCharType="separate"/>
      </w:r>
      <w:r>
        <w:rPr>
          <w:rStyle w:val="32"/>
          <w:rFonts w:hint="eastAsia"/>
        </w:rPr>
        <w:t>附录</w:t>
      </w:r>
      <w:r>
        <w:rPr>
          <w:rStyle w:val="32"/>
          <w:rFonts w:hint="eastAsia"/>
          <w:lang w:val="en-US" w:eastAsia="zh-CN"/>
        </w:rPr>
        <w:t>D</w:t>
      </w:r>
      <w:r>
        <w:rPr>
          <w:rStyle w:val="32"/>
          <w:rFonts w:hint="eastAsia"/>
        </w:rPr>
        <w:t>（资料性）</w:t>
      </w:r>
      <w:r>
        <w:rPr>
          <w:rStyle w:val="32"/>
        </w:rPr>
        <w:t>　</w:t>
      </w:r>
      <w:r>
        <w:rPr>
          <w:rStyle w:val="32"/>
          <w:rFonts w:hint="eastAsia"/>
          <w:lang w:eastAsia="zh-CN"/>
        </w:rPr>
        <w:t>环境样品检测方法</w:t>
      </w:r>
      <w:r>
        <w:tab/>
      </w:r>
      <w:r>
        <w:rPr>
          <w:rFonts w:hint="eastAsia"/>
          <w:lang w:val="en-US" w:eastAsia="zh-CN"/>
        </w:rPr>
        <w:t>1</w:t>
      </w:r>
      <w:r>
        <w:rPr>
          <w:rStyle w:val="32"/>
        </w:rPr>
        <w:fldChar w:fldCharType="end"/>
      </w:r>
      <w:r>
        <w:rPr>
          <w:rStyle w:val="32"/>
          <w:rFonts w:hint="eastAsia"/>
          <w:lang w:val="en-US" w:eastAsia="zh-CN"/>
        </w:rPr>
        <w:t>2</w:t>
      </w:r>
    </w:p>
    <w:p w14:paraId="6663E6F6">
      <w:pPr>
        <w:pStyle w:val="19"/>
        <w:tabs>
          <w:tab w:val="right" w:leader="dot" w:pos="9241"/>
        </w:tabs>
        <w:spacing w:before="0" w:beforeLines="0" w:after="0" w:afterLines="0"/>
        <w:rPr>
          <w:rStyle w:val="32"/>
          <w:rFonts w:hint="eastAsia" w:eastAsia="宋体"/>
          <w:lang w:val="en-US" w:eastAsia="zh-CN"/>
        </w:rPr>
      </w:pPr>
      <w:r>
        <w:rPr>
          <w:rStyle w:val="32"/>
        </w:rPr>
        <w:fldChar w:fldCharType="begin" w:fldLock="1"/>
      </w:r>
      <w:r>
        <w:rPr>
          <w:rStyle w:val="32"/>
        </w:rPr>
        <w:instrText xml:space="preserve"> </w:instrText>
      </w:r>
      <w:r>
        <w:instrText xml:space="preserve">HYPERLINK \l "_Toc515628726"</w:instrText>
      </w:r>
      <w:r>
        <w:rPr>
          <w:rStyle w:val="32"/>
        </w:rPr>
        <w:instrText xml:space="preserve"> </w:instrText>
      </w:r>
      <w:r>
        <w:rPr>
          <w:rStyle w:val="32"/>
        </w:rPr>
        <w:fldChar w:fldCharType="separate"/>
      </w:r>
      <w:r>
        <w:rPr>
          <w:rStyle w:val="32"/>
          <w:rFonts w:hint="eastAsia"/>
        </w:rPr>
        <w:t>附录</w:t>
      </w:r>
      <w:r>
        <w:rPr>
          <w:rStyle w:val="32"/>
          <w:rFonts w:hint="eastAsia"/>
          <w:lang w:val="en-US" w:eastAsia="zh-CN"/>
        </w:rPr>
        <w:t>E</w:t>
      </w:r>
      <w:r>
        <w:rPr>
          <w:rStyle w:val="32"/>
          <w:rFonts w:hint="eastAsia"/>
        </w:rPr>
        <w:t>（资料性）</w:t>
      </w:r>
      <w:r>
        <w:rPr>
          <w:rStyle w:val="32"/>
        </w:rPr>
        <w:t>　</w:t>
      </w:r>
      <w:r>
        <w:rPr>
          <w:rStyle w:val="32"/>
          <w:rFonts w:hint="eastAsia"/>
          <w:lang w:eastAsia="zh-CN"/>
        </w:rPr>
        <w:t>生物样品检测方法</w:t>
      </w:r>
      <w:r>
        <w:tab/>
      </w:r>
      <w:r>
        <w:rPr>
          <w:rFonts w:hint="eastAsia"/>
          <w:lang w:val="en-US" w:eastAsia="zh-CN"/>
        </w:rPr>
        <w:t>1</w:t>
      </w:r>
      <w:r>
        <w:rPr>
          <w:rStyle w:val="32"/>
        </w:rPr>
        <w:fldChar w:fldCharType="end"/>
      </w:r>
      <w:r>
        <w:rPr>
          <w:rStyle w:val="32"/>
          <w:rFonts w:hint="eastAsia"/>
          <w:lang w:val="en-US" w:eastAsia="zh-CN"/>
        </w:rPr>
        <w:t>4</w:t>
      </w:r>
    </w:p>
    <w:p w14:paraId="295CC589">
      <w:pPr>
        <w:pStyle w:val="19"/>
        <w:tabs>
          <w:tab w:val="right" w:leader="dot" w:pos="9241"/>
        </w:tabs>
        <w:spacing w:before="0" w:beforeLines="0" w:after="0" w:afterLines="0"/>
        <w:rPr>
          <w:rFonts w:hint="eastAsia" w:ascii="Calibri" w:hAnsi="Calibri" w:eastAsia="宋体"/>
          <w:szCs w:val="22"/>
          <w:lang w:val="en-US" w:eastAsia="zh-CN"/>
        </w:rPr>
      </w:pPr>
      <w:r>
        <w:rPr>
          <w:rStyle w:val="32"/>
        </w:rPr>
        <w:fldChar w:fldCharType="begin" w:fldLock="1"/>
      </w:r>
      <w:r>
        <w:rPr>
          <w:rStyle w:val="32"/>
        </w:rPr>
        <w:instrText xml:space="preserve"> </w:instrText>
      </w:r>
      <w:r>
        <w:instrText xml:space="preserve">HYPERLINK \l "_Toc515628721"</w:instrText>
      </w:r>
      <w:r>
        <w:rPr>
          <w:rStyle w:val="32"/>
        </w:rPr>
        <w:instrText xml:space="preserve"> </w:instrText>
      </w:r>
      <w:r>
        <w:rPr>
          <w:rStyle w:val="32"/>
        </w:rPr>
        <w:fldChar w:fldCharType="separate"/>
      </w:r>
      <w:r>
        <w:rPr>
          <w:rStyle w:val="32"/>
          <w:rFonts w:hint="eastAsia"/>
          <w:lang w:eastAsia="zh-CN"/>
        </w:rPr>
        <w:t>附录</w:t>
      </w:r>
      <w:r>
        <w:rPr>
          <w:rStyle w:val="32"/>
          <w:rFonts w:hint="eastAsia"/>
          <w:lang w:val="en-US" w:eastAsia="zh-CN"/>
        </w:rPr>
        <w:t xml:space="preserve">F（资料性）  </w:t>
      </w:r>
      <w:r>
        <w:rPr>
          <w:rStyle w:val="32"/>
          <w:rFonts w:hint="eastAsia"/>
        </w:rPr>
        <w:t>现场</w:t>
      </w:r>
      <w:r>
        <w:rPr>
          <w:rStyle w:val="32"/>
          <w:rFonts w:hint="eastAsia"/>
          <w:lang w:eastAsia="zh-CN"/>
        </w:rPr>
        <w:t>快速检测记录表</w:t>
      </w:r>
      <w:r>
        <w:tab/>
      </w:r>
      <w:r>
        <w:rPr>
          <w:rFonts w:hint="eastAsia"/>
          <w:lang w:val="en-US" w:eastAsia="zh-CN"/>
        </w:rPr>
        <w:t>1</w:t>
      </w:r>
      <w:r>
        <w:rPr>
          <w:rStyle w:val="32"/>
        </w:rPr>
        <w:fldChar w:fldCharType="end"/>
      </w:r>
      <w:r>
        <w:rPr>
          <w:rStyle w:val="32"/>
          <w:rFonts w:hint="eastAsia"/>
          <w:lang w:val="en-US" w:eastAsia="zh-CN"/>
        </w:rPr>
        <w:t>5</w:t>
      </w:r>
    </w:p>
    <w:p w14:paraId="02F36A29">
      <w:pPr>
        <w:pStyle w:val="19"/>
        <w:tabs>
          <w:tab w:val="right" w:leader="dot" w:pos="9241"/>
        </w:tabs>
        <w:spacing w:before="0" w:beforeLines="0" w:after="0" w:afterLines="0"/>
        <w:rPr>
          <w:rFonts w:hint="eastAsia" w:eastAsia="宋体"/>
          <w:color w:val="0000FF"/>
          <w:u w:val="single"/>
          <w:lang w:val="en-US" w:eastAsia="zh-CN"/>
        </w:rPr>
      </w:pPr>
      <w:r>
        <w:rPr>
          <w:rStyle w:val="32"/>
        </w:rPr>
        <w:fldChar w:fldCharType="begin" w:fldLock="1"/>
      </w:r>
      <w:r>
        <w:rPr>
          <w:rStyle w:val="32"/>
        </w:rPr>
        <w:instrText xml:space="preserve"> </w:instrText>
      </w:r>
      <w:r>
        <w:instrText xml:space="preserve">HYPERLINK \l "_Toc515628720"</w:instrText>
      </w:r>
      <w:r>
        <w:rPr>
          <w:rStyle w:val="32"/>
        </w:rPr>
        <w:instrText xml:space="preserve"> </w:instrText>
      </w:r>
      <w:r>
        <w:rPr>
          <w:rStyle w:val="32"/>
        </w:rPr>
        <w:fldChar w:fldCharType="separate"/>
      </w:r>
      <w:r>
        <w:rPr>
          <w:rStyle w:val="32"/>
          <w:rFonts w:hint="eastAsia"/>
          <w:lang w:eastAsia="zh-CN"/>
        </w:rPr>
        <w:t>附录</w:t>
      </w:r>
      <w:r>
        <w:rPr>
          <w:rStyle w:val="32"/>
          <w:rFonts w:hint="eastAsia"/>
          <w:lang w:val="en-US" w:eastAsia="zh-CN"/>
        </w:rPr>
        <w:t>G（资料性）</w:t>
      </w:r>
      <w:r>
        <w:rPr>
          <w:rStyle w:val="32"/>
          <w:rFonts w:hint="eastAsia"/>
        </w:rPr>
        <w:t>　空气中15种有毒物质的测定 便携式气相色谱-光离子检测器法</w:t>
      </w:r>
      <w:r>
        <w:tab/>
      </w:r>
      <w:r>
        <w:rPr>
          <w:rFonts w:hint="eastAsia"/>
          <w:lang w:val="en-US" w:eastAsia="zh-CN"/>
        </w:rPr>
        <w:t>1</w:t>
      </w:r>
      <w:r>
        <w:rPr>
          <w:rStyle w:val="32"/>
        </w:rPr>
        <w:fldChar w:fldCharType="end"/>
      </w:r>
      <w:r>
        <w:rPr>
          <w:rStyle w:val="32"/>
          <w:rFonts w:hint="eastAsia"/>
          <w:lang w:val="en-US" w:eastAsia="zh-CN"/>
        </w:rPr>
        <w:t>6</w:t>
      </w:r>
    </w:p>
    <w:p w14:paraId="7E129300">
      <w:pPr>
        <w:pStyle w:val="19"/>
        <w:tabs>
          <w:tab w:val="right" w:leader="dot" w:pos="9241"/>
        </w:tabs>
        <w:spacing w:before="0" w:beforeLines="0" w:after="0" w:afterLines="0"/>
        <w:rPr>
          <w:rFonts w:hint="eastAsia" w:eastAsia="宋体"/>
          <w:color w:val="0000FF"/>
          <w:u w:val="single"/>
          <w:lang w:val="en-US" w:eastAsia="zh-CN"/>
        </w:rPr>
      </w:pPr>
      <w:r>
        <w:rPr>
          <w:rStyle w:val="32"/>
        </w:rPr>
        <w:fldChar w:fldCharType="begin" w:fldLock="1"/>
      </w:r>
      <w:r>
        <w:rPr>
          <w:rStyle w:val="32"/>
        </w:rPr>
        <w:instrText xml:space="preserve"> </w:instrText>
      </w:r>
      <w:r>
        <w:instrText xml:space="preserve">HYPERLINK \l "_Toc515628720"</w:instrText>
      </w:r>
      <w:r>
        <w:rPr>
          <w:rStyle w:val="32"/>
        </w:rPr>
        <w:instrText xml:space="preserve"> </w:instrText>
      </w:r>
      <w:r>
        <w:rPr>
          <w:rStyle w:val="32"/>
        </w:rPr>
        <w:fldChar w:fldCharType="separate"/>
      </w:r>
      <w:r>
        <w:rPr>
          <w:rStyle w:val="32"/>
          <w:rFonts w:hint="eastAsia"/>
          <w:lang w:eastAsia="zh-CN"/>
        </w:rPr>
        <w:t>参考文献</w:t>
      </w:r>
      <w:r>
        <w:tab/>
      </w:r>
      <w:r>
        <w:rPr>
          <w:rFonts w:hint="eastAsia"/>
          <w:lang w:val="en-US" w:eastAsia="zh-CN"/>
        </w:rPr>
        <w:t>2</w:t>
      </w:r>
      <w:r>
        <w:rPr>
          <w:rStyle w:val="32"/>
        </w:rPr>
        <w:fldChar w:fldCharType="end"/>
      </w:r>
      <w:r>
        <w:rPr>
          <w:rStyle w:val="32"/>
          <w:rFonts w:hint="eastAsia"/>
          <w:lang w:val="en-US" w:eastAsia="zh-CN"/>
        </w:rPr>
        <w:t>1</w:t>
      </w:r>
    </w:p>
    <w:p w14:paraId="0B85A729">
      <w:pPr>
        <w:rPr>
          <w:rFonts w:hint="eastAsia"/>
        </w:rPr>
      </w:pPr>
    </w:p>
    <w:p w14:paraId="1CB03ECF">
      <w:pPr>
        <w:pStyle w:val="56"/>
      </w:pPr>
      <w:r>
        <w:fldChar w:fldCharType="end"/>
      </w:r>
    </w:p>
    <w:p w14:paraId="30B6672C">
      <w:pPr>
        <w:pStyle w:val="56"/>
        <w:ind w:firstLine="420"/>
        <w:sectPr>
          <w:headerReference r:id="rId11" w:type="default"/>
          <w:footerReference r:id="rId13" w:type="default"/>
          <w:headerReference r:id="rId12" w:type="even"/>
          <w:pgSz w:w="11906" w:h="16838"/>
          <w:pgMar w:top="567" w:right="1134" w:bottom="1134" w:left="1134" w:header="1418" w:footer="1134" w:gutter="284"/>
          <w:pgNumType w:fmt="upperRoman" w:start="1"/>
          <w:cols w:space="425" w:num="1"/>
          <w:formProt w:val="0"/>
          <w:docGrid w:type="lines" w:linePitch="312" w:charSpace="0"/>
        </w:sectPr>
      </w:pPr>
    </w:p>
    <w:bookmarkEnd w:id="22"/>
    <w:p w14:paraId="43FA91AD">
      <w:pPr>
        <w:pStyle w:val="254"/>
        <w:rPr>
          <w:rFonts w:hint="eastAsia"/>
        </w:rPr>
      </w:pPr>
      <w:bookmarkStart w:id="25" w:name="_Toc515628715"/>
      <w:bookmarkStart w:id="26" w:name="BookMark3"/>
      <w:r>
        <w:rPr>
          <w:rFonts w:hint="eastAsia"/>
        </w:rPr>
        <w:t>前</w:t>
      </w:r>
      <w:bookmarkStart w:id="27" w:name="BKQY"/>
      <w:r>
        <w:t>  </w:t>
      </w:r>
      <w:r>
        <w:rPr>
          <w:rFonts w:hint="eastAsia"/>
        </w:rPr>
        <w:t>言</w:t>
      </w:r>
      <w:bookmarkEnd w:id="25"/>
      <w:bookmarkEnd w:id="27"/>
    </w:p>
    <w:p w14:paraId="3A213B4B">
      <w:pPr>
        <w:pStyle w:val="234"/>
        <w:ind w:firstLine="420" w:firstLineChars="200"/>
        <w:rPr>
          <w:rFonts w:hint="eastAsia" w:hAnsi="宋体"/>
        </w:rPr>
      </w:pPr>
      <w:r>
        <w:rPr>
          <w:rFonts w:hint="eastAsia" w:ascii="宋体" w:hAnsi="Times New Roman" w:eastAsia="宋体" w:cs="Times New Roman"/>
          <w:sz w:val="21"/>
          <w:lang w:val="en-US" w:eastAsia="zh-CN" w:bidi="ar-SA"/>
        </w:rPr>
        <w:t>为推进京津冀协同发展战略实施，天津市市场监督管理委员会、北京市市场监督管理局、河北省市场监督管理局共同组织制定本地方标准，在京津冀区域内适用。</w:t>
      </w:r>
    </w:p>
    <w:p w14:paraId="4EDAD9BF">
      <w:pPr>
        <w:pStyle w:val="234"/>
        <w:rPr>
          <w:rFonts w:hint="eastAsia" w:hAnsi="宋体"/>
        </w:rPr>
      </w:pPr>
      <w:r>
        <w:rPr>
          <w:rFonts w:hint="eastAsia" w:hAnsi="宋体"/>
        </w:rPr>
        <w:t>本文件按照G</w:t>
      </w:r>
      <w:r>
        <w:rPr>
          <w:rFonts w:hAnsi="宋体"/>
        </w:rPr>
        <w:t>B/T 1.1</w:t>
      </w:r>
      <w:r>
        <w:rPr>
          <w:rFonts w:hint="eastAsia" w:hAnsi="宋体"/>
        </w:rPr>
        <w:t>—2020《标准化工作导则  第1部分：标准化文件的结构和起草规则》的规定起草。</w:t>
      </w:r>
    </w:p>
    <w:p w14:paraId="7C975F9D">
      <w:pPr>
        <w:pStyle w:val="234"/>
        <w:rPr>
          <w:rFonts w:hAnsi="宋体"/>
        </w:rPr>
      </w:pPr>
      <w:r>
        <w:rPr>
          <w:rFonts w:hint="eastAsia" w:hAnsi="宋体"/>
        </w:rPr>
        <w:t>本文件由天津市卫生健康委员会提出并归口。</w:t>
      </w:r>
    </w:p>
    <w:p w14:paraId="0C3C255D">
      <w:pPr>
        <w:pStyle w:val="234"/>
        <w:rPr>
          <w:rFonts w:hint="eastAsia" w:hAnsi="宋体"/>
        </w:rPr>
      </w:pPr>
      <w:r>
        <w:rPr>
          <w:rFonts w:hint="eastAsia" w:hAnsi="宋体"/>
        </w:rPr>
        <w:t>本文件</w:t>
      </w:r>
      <w:r>
        <w:rPr>
          <w:rFonts w:hint="eastAsia" w:hAnsi="宋体"/>
          <w:lang w:eastAsia="zh-CN"/>
        </w:rPr>
        <w:t>起草单位：</w:t>
      </w:r>
    </w:p>
    <w:p w14:paraId="6B3FB191">
      <w:pPr>
        <w:pStyle w:val="234"/>
        <w:rPr>
          <w:rFonts w:hint="eastAsia" w:hAnsi="宋体"/>
          <w:lang w:eastAsia="zh-CN"/>
        </w:rPr>
      </w:pPr>
      <w:r>
        <w:rPr>
          <w:rFonts w:hint="eastAsia" w:hAnsi="宋体"/>
          <w:lang w:eastAsia="zh-CN"/>
        </w:rPr>
        <w:t>（河北组）河北省疾病预防控制中心。</w:t>
      </w:r>
    </w:p>
    <w:p w14:paraId="1B815B8C">
      <w:pPr>
        <w:pStyle w:val="234"/>
        <w:rPr>
          <w:rFonts w:hint="eastAsia" w:hAnsi="宋体"/>
          <w:lang w:eastAsia="zh-CN"/>
        </w:rPr>
      </w:pPr>
      <w:r>
        <w:rPr>
          <w:rFonts w:hint="eastAsia" w:hAnsi="宋体"/>
          <w:lang w:eastAsia="zh-CN"/>
        </w:rPr>
        <w:t>（天津组）天津市疾病预防控制中心、天</w:t>
      </w:r>
      <w:r>
        <w:rPr>
          <w:rFonts w:hint="eastAsia" w:hAnsi="宋体"/>
        </w:rPr>
        <w:t>津市职业病防治院、天津市滨海新区疾病预防控制中心</w:t>
      </w:r>
      <w:r>
        <w:rPr>
          <w:rFonts w:hint="eastAsia" w:hAnsi="宋体"/>
          <w:lang w:eastAsia="zh-CN"/>
        </w:rPr>
        <w:t>。</w:t>
      </w:r>
    </w:p>
    <w:p w14:paraId="7498A84A">
      <w:pPr>
        <w:pStyle w:val="234"/>
        <w:rPr>
          <w:rFonts w:hint="eastAsia" w:hAnsi="宋体"/>
        </w:rPr>
      </w:pPr>
      <w:r>
        <w:rPr>
          <w:rFonts w:hint="eastAsia" w:hAnsi="宋体"/>
          <w:lang w:eastAsia="zh-CN"/>
        </w:rPr>
        <w:t>（北京组）</w:t>
      </w:r>
      <w:r>
        <w:rPr>
          <w:rFonts w:hint="eastAsia" w:hAnsi="宋体"/>
        </w:rPr>
        <w:t>北京市科学技术研究院分析测试研究所（北京市理化分析测试中心）、北京市应急管理局</w:t>
      </w:r>
      <w:r>
        <w:rPr>
          <w:rFonts w:hint="eastAsia" w:hAnsi="宋体"/>
          <w:lang w:eastAsia="zh-CN"/>
        </w:rPr>
        <w:t>、</w:t>
      </w:r>
      <w:r>
        <w:rPr>
          <w:rFonts w:hint="eastAsia" w:hAnsi="宋体"/>
        </w:rPr>
        <w:t>首都医科大学附属北京朝阳医院、北京市昌平区环境保护监测站、北京市海淀区疾病预防控制中心、</w:t>
      </w:r>
      <w:r>
        <w:rPr>
          <w:rFonts w:hint="eastAsia" w:hAnsi="宋体"/>
          <w:highlight w:val="none"/>
        </w:rPr>
        <w:t>天津华翼</w:t>
      </w:r>
      <w:r>
        <w:rPr>
          <w:rFonts w:hint="eastAsia" w:hAnsi="宋体"/>
        </w:rPr>
        <w:t>科技有限公司。</w:t>
      </w:r>
      <w:bookmarkStart w:id="94" w:name="_GoBack"/>
      <w:bookmarkEnd w:id="94"/>
    </w:p>
    <w:p w14:paraId="2C62E0EC">
      <w:pPr>
        <w:pStyle w:val="234"/>
        <w:rPr>
          <w:rFonts w:hint="eastAsia" w:hAnsi="宋体"/>
        </w:rPr>
      </w:pPr>
      <w:r>
        <w:rPr>
          <w:rFonts w:hint="eastAsia" w:hAnsi="宋体"/>
        </w:rPr>
        <w:t>本文件主要起草人：</w:t>
      </w:r>
    </w:p>
    <w:p w14:paraId="58FCFB46">
      <w:pPr>
        <w:pStyle w:val="234"/>
        <w:rPr>
          <w:rFonts w:hint="eastAsia" w:hAnsi="宋体"/>
        </w:rPr>
      </w:pPr>
      <w:r>
        <w:rPr>
          <w:rFonts w:hint="eastAsia" w:hAnsi="宋体"/>
          <w:lang w:eastAsia="zh-CN"/>
        </w:rPr>
        <w:t>（河北组）杨立新、赵俊琴、白广义、董秋颖、李军、高俊卿、李莎、尹晓芳。</w:t>
      </w:r>
    </w:p>
    <w:p w14:paraId="4913F76C">
      <w:pPr>
        <w:pStyle w:val="234"/>
        <w:rPr>
          <w:rFonts w:hint="eastAsia" w:hAnsi="宋体"/>
          <w:lang w:eastAsia="zh-CN"/>
        </w:rPr>
      </w:pPr>
      <w:r>
        <w:rPr>
          <w:rFonts w:hint="eastAsia" w:hAnsi="宋体"/>
          <w:lang w:eastAsia="zh-CN"/>
        </w:rPr>
        <w:t>（天津组）刘保峰、秦汝男、刘蒙蒙、史军、曾强、赵春蕾、李旭东、陈慧婷、刘颖、唐慧晶。</w:t>
      </w:r>
    </w:p>
    <w:p w14:paraId="4BF014EE">
      <w:pPr>
        <w:pStyle w:val="234"/>
        <w:rPr>
          <w:rFonts w:hint="default" w:hAnsi="宋体"/>
          <w:lang w:val="en-US" w:eastAsia="zh-CN"/>
        </w:rPr>
      </w:pPr>
      <w:r>
        <w:rPr>
          <w:rFonts w:hint="eastAsia" w:hAnsi="宋体"/>
          <w:lang w:eastAsia="zh-CN"/>
        </w:rPr>
        <w:t>（北京组）</w:t>
      </w:r>
      <w:r>
        <w:rPr>
          <w:rFonts w:hint="eastAsia" w:hAnsi="宋体"/>
          <w:highlight w:val="none"/>
          <w:lang w:eastAsia="zh-CN"/>
        </w:rPr>
        <w:t>李晨、王晓杰、静国佳、李璇、徐涛、叶俏、马婧、崔悦、王宇飞、杨键、王东、陈海平、陈岳溪、张文隽、孙风界、陈晨。</w:t>
      </w:r>
    </w:p>
    <w:p w14:paraId="68B61C2F">
      <w:pPr>
        <w:pStyle w:val="56"/>
        <w:ind w:firstLine="420"/>
        <w:sectPr>
          <w:pgSz w:w="11906" w:h="16838"/>
          <w:pgMar w:top="567" w:right="1134" w:bottom="1134" w:left="1134" w:header="1418" w:footer="1134" w:gutter="284"/>
          <w:pgNumType w:fmt="upperRoman"/>
          <w:cols w:space="425" w:num="1"/>
          <w:formProt w:val="0"/>
          <w:docGrid w:type="lines" w:linePitch="312" w:charSpace="0"/>
        </w:sectPr>
      </w:pPr>
    </w:p>
    <w:bookmarkEnd w:id="26"/>
    <w:p w14:paraId="31313451">
      <w:pPr>
        <w:spacing w:line="20" w:lineRule="exact"/>
        <w:jc w:val="center"/>
        <w:rPr>
          <w:rFonts w:ascii="黑体" w:hAnsi="黑体" w:eastAsia="黑体"/>
          <w:sz w:val="32"/>
          <w:szCs w:val="32"/>
        </w:rPr>
      </w:pPr>
      <w:bookmarkStart w:id="28" w:name="BookMark4"/>
    </w:p>
    <w:p w14:paraId="2E0A6343">
      <w:pPr>
        <w:spacing w:line="20" w:lineRule="exact"/>
        <w:jc w:val="center"/>
        <w:rPr>
          <w:rFonts w:ascii="黑体" w:hAnsi="黑体" w:eastAsia="黑体"/>
          <w:sz w:val="32"/>
          <w:szCs w:val="32"/>
        </w:rPr>
      </w:pPr>
    </w:p>
    <w:sdt>
      <w:sdtPr>
        <w:tag w:val="NEW_STAND_NAME"/>
        <w:id w:val="595910757"/>
        <w:lock w:val="sdtLocked"/>
        <w:placeholder>
          <w:docPart w:val="93F1F6BE9F8B49B582C0C938A0B20B27"/>
        </w:placeholder>
      </w:sdtPr>
      <w:sdtContent>
        <w:p w14:paraId="7171104C">
          <w:pPr>
            <w:pStyle w:val="177"/>
            <w:spacing w:before="312" w:beforeLines="100" w:after="686" w:afterLines="220"/>
          </w:pPr>
          <w:bookmarkStart w:id="29" w:name="NEW_STAND_NAME"/>
          <w:r>
            <w:rPr>
              <w:rFonts w:hint="eastAsia"/>
              <w:lang w:eastAsia="zh-CN"/>
            </w:rPr>
            <w:t>突发</w:t>
          </w:r>
          <w:r>
            <w:rPr>
              <w:rFonts w:hint="eastAsia"/>
            </w:rPr>
            <w:t>职业中毒</w:t>
          </w:r>
          <w:r>
            <w:rPr>
              <w:rFonts w:hint="eastAsia"/>
              <w:lang w:eastAsia="zh-CN"/>
            </w:rPr>
            <w:t>现场</w:t>
          </w:r>
          <w:r>
            <w:rPr>
              <w:rFonts w:hint="eastAsia"/>
            </w:rPr>
            <w:t>调查及监测技术规范</w:t>
          </w:r>
        </w:p>
      </w:sdtContent>
    </w:sdt>
    <w:bookmarkEnd w:id="29"/>
    <w:p w14:paraId="7FDD9828">
      <w:pPr>
        <w:pStyle w:val="104"/>
        <w:spacing w:before="312" w:after="312"/>
      </w:pPr>
      <w:bookmarkStart w:id="30" w:name="_Toc17233325"/>
      <w:bookmarkStart w:id="31" w:name="_Toc26986771"/>
      <w:bookmarkStart w:id="32" w:name="_Toc17233333"/>
      <w:bookmarkStart w:id="33" w:name="_Toc26648465"/>
      <w:bookmarkStart w:id="34" w:name="_Toc26986530"/>
      <w:bookmarkStart w:id="35" w:name="_Toc24884218"/>
      <w:bookmarkStart w:id="36" w:name="_Toc24884211"/>
      <w:bookmarkStart w:id="37" w:name="_Toc26718930"/>
      <w:r>
        <w:rPr>
          <w:rFonts w:hint="eastAsia"/>
        </w:rPr>
        <w:t>范围</w:t>
      </w:r>
      <w:bookmarkEnd w:id="30"/>
      <w:bookmarkEnd w:id="31"/>
      <w:bookmarkEnd w:id="32"/>
      <w:bookmarkEnd w:id="33"/>
      <w:bookmarkEnd w:id="34"/>
      <w:bookmarkEnd w:id="35"/>
      <w:bookmarkEnd w:id="36"/>
      <w:bookmarkEnd w:id="37"/>
    </w:p>
    <w:p w14:paraId="78C2A674">
      <w:pPr>
        <w:pStyle w:val="56"/>
        <w:ind w:firstLine="420"/>
        <w:rPr>
          <w:rFonts w:hint="eastAsia"/>
        </w:rPr>
      </w:pPr>
      <w:bookmarkStart w:id="38" w:name="_Toc24884212"/>
      <w:bookmarkStart w:id="39" w:name="_Toc17233334"/>
      <w:bookmarkStart w:id="40" w:name="_Toc26648466"/>
      <w:bookmarkStart w:id="41" w:name="_Toc24884219"/>
      <w:bookmarkStart w:id="42" w:name="_Toc17233326"/>
      <w:r>
        <w:rPr>
          <w:rFonts w:hint="eastAsia"/>
        </w:rPr>
        <w:t>本文件规定了突发职业中毒调查的基本要求、前期准备、现场流行病学调查、监测方案、样品采集与检测、应急监测报告要求。</w:t>
      </w:r>
    </w:p>
    <w:p w14:paraId="4E00E934">
      <w:pPr>
        <w:pStyle w:val="56"/>
        <w:ind w:firstLine="420"/>
        <w:rPr>
          <w:rFonts w:hint="eastAsia"/>
          <w:lang w:eastAsia="zh-CN"/>
        </w:rPr>
      </w:pPr>
      <w:r>
        <w:rPr>
          <w:rFonts w:hint="eastAsia"/>
        </w:rPr>
        <w:t>本文件适用于突发职业中毒现场流行病学调查和应急监测，环境污染事件调查及监测可参照本文件执行。</w:t>
      </w:r>
    </w:p>
    <w:p w14:paraId="2A041B78">
      <w:pPr>
        <w:pStyle w:val="104"/>
        <w:spacing w:before="312" w:after="312"/>
      </w:pPr>
      <w:bookmarkStart w:id="43" w:name="_Toc26718931"/>
      <w:bookmarkStart w:id="44" w:name="_Toc26986531"/>
      <w:bookmarkStart w:id="45" w:name="_Toc26986772"/>
      <w:r>
        <w:rPr>
          <w:rFonts w:hint="eastAsia"/>
        </w:rPr>
        <w:t>规范性引用文件</w:t>
      </w:r>
      <w:bookmarkEnd w:id="38"/>
      <w:bookmarkEnd w:id="39"/>
      <w:bookmarkEnd w:id="40"/>
      <w:bookmarkEnd w:id="41"/>
      <w:bookmarkEnd w:id="42"/>
      <w:bookmarkEnd w:id="43"/>
      <w:bookmarkEnd w:id="44"/>
      <w:bookmarkEnd w:id="45"/>
    </w:p>
    <w:sdt>
      <w:sdtPr>
        <w:rPr>
          <w:rFonts w:hint="eastAsia"/>
        </w:rPr>
        <w:id w:val="715848253"/>
        <w:placeholder>
          <w:docPart w:val="D1D951B898FE4B6FB6E1526A40F63AA1"/>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78EC8442">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087FB82">
      <w:pPr>
        <w:pStyle w:val="56"/>
        <w:ind w:firstLine="420"/>
        <w:rPr>
          <w:rFonts w:hint="eastAsia" w:eastAsia="宋体"/>
          <w:color w:val="auto"/>
          <w:lang w:val="en-US" w:eastAsia="zh-CN"/>
        </w:rPr>
      </w:pPr>
      <w:r>
        <w:rPr>
          <w:rFonts w:hint="eastAsia"/>
          <w:color w:val="auto"/>
        </w:rPr>
        <w:t>WS/T 6</w:t>
      </w:r>
      <w:r>
        <w:rPr>
          <w:rFonts w:hint="eastAsia"/>
          <w:color w:val="auto"/>
          <w:lang w:val="en-US" w:eastAsia="zh-CN"/>
        </w:rPr>
        <w:t>79</w:t>
      </w:r>
      <w:r>
        <w:rPr>
          <w:rFonts w:hint="eastAsia"/>
          <w:color w:val="auto"/>
        </w:rPr>
        <w:t xml:space="preserve"> 突发中毒事件卫生应急处置技术规范</w:t>
      </w:r>
      <w:r>
        <w:rPr>
          <w:rFonts w:hint="eastAsia"/>
          <w:color w:val="auto"/>
          <w:lang w:val="en-US" w:eastAsia="zh-CN"/>
        </w:rPr>
        <w:t xml:space="preserve"> 总则</w:t>
      </w:r>
    </w:p>
    <w:p w14:paraId="0F57BDCD">
      <w:pPr>
        <w:pStyle w:val="56"/>
        <w:ind w:firstLine="420"/>
        <w:rPr>
          <w:rFonts w:hint="eastAsia"/>
          <w:color w:val="auto"/>
        </w:rPr>
      </w:pPr>
      <w:r>
        <w:rPr>
          <w:rFonts w:hint="eastAsia"/>
          <w:color w:val="auto"/>
        </w:rPr>
        <w:t>WS/T 680 突发中毒事件卫生应急处置人员防护导则</w:t>
      </w:r>
    </w:p>
    <w:p w14:paraId="62978213">
      <w:pPr>
        <w:pStyle w:val="56"/>
        <w:ind w:firstLine="420"/>
        <w:rPr>
          <w:rFonts w:hint="eastAsia"/>
          <w:color w:val="auto"/>
          <w:lang w:val="en-US" w:eastAsia="zh-CN"/>
        </w:rPr>
      </w:pPr>
      <w:r>
        <w:rPr>
          <w:rFonts w:hint="eastAsia"/>
          <w:color w:val="auto"/>
          <w:lang w:val="en-US" w:eastAsia="zh-CN"/>
        </w:rPr>
        <w:t>GBZ 331 职业卫生技术服务工作规范</w:t>
      </w:r>
    </w:p>
    <w:p w14:paraId="3939E088">
      <w:pPr>
        <w:pStyle w:val="56"/>
        <w:ind w:firstLine="420"/>
        <w:rPr>
          <w:rFonts w:hint="eastAsia"/>
          <w:color w:val="auto"/>
        </w:rPr>
      </w:pPr>
      <w:r>
        <w:rPr>
          <w:rFonts w:hint="eastAsia"/>
          <w:color w:val="auto"/>
          <w:lang w:val="en-US" w:eastAsia="zh-CN"/>
        </w:rPr>
        <w:t>HJ 493 水质 样品的保存和管理技术规范</w:t>
      </w:r>
    </w:p>
    <w:p w14:paraId="45C32926">
      <w:pPr>
        <w:pStyle w:val="104"/>
        <w:spacing w:before="312" w:after="312"/>
      </w:pPr>
      <w:r>
        <w:rPr>
          <w:rFonts w:hint="eastAsia"/>
          <w:szCs w:val="21"/>
        </w:rPr>
        <w:t>术语和定义</w:t>
      </w:r>
    </w:p>
    <w:sdt>
      <w:sdtPr>
        <w:id w:val="-1909835108"/>
        <w:placeholder>
          <w:docPart w:val="11473134F4764430993982BC40448A1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7413112B">
          <w:pPr>
            <w:pStyle w:val="56"/>
            <w:ind w:firstLine="420"/>
          </w:pPr>
          <w:bookmarkStart w:id="46" w:name="_Toc26986532"/>
          <w:bookmarkEnd w:id="46"/>
          <w:r>
            <w:t>下列术语和定义适用于本文件。</w:t>
          </w:r>
        </w:p>
      </w:sdtContent>
    </w:sdt>
    <w:p w14:paraId="4BA0D9FB">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lang w:eastAsia="zh-CN"/>
        </w:rPr>
        <w:t>生产性毒物</w:t>
      </w:r>
      <w:r>
        <w:rPr>
          <w:rFonts w:hint="eastAsia" w:ascii="黑体" w:hAnsi="黑体" w:eastAsia="黑体"/>
        </w:rPr>
        <w:t xml:space="preserve"> </w:t>
      </w:r>
      <w:r>
        <w:rPr>
          <w:rFonts w:hint="eastAsia" w:ascii="黑体" w:hAnsi="黑体" w:eastAsia="黑体"/>
          <w:lang w:val="en-US" w:eastAsia="zh-CN"/>
        </w:rPr>
        <w:t>productive toxicant</w:t>
      </w:r>
    </w:p>
    <w:p w14:paraId="62410C50">
      <w:pPr>
        <w:pStyle w:val="234"/>
        <w:rPr>
          <w:rFonts w:hint="eastAsia"/>
          <w:lang w:eastAsia="zh-CN"/>
        </w:rPr>
      </w:pPr>
      <w:r>
        <w:rPr>
          <w:rFonts w:hint="eastAsia"/>
          <w:lang w:eastAsia="zh-CN"/>
        </w:rPr>
        <w:t>指在生产过程中产生的存在于工作环境中的，摄入较小剂量即可引起劳动者机体暂时或永久性病理改变，甚至危及生命的化学物质。</w:t>
      </w:r>
    </w:p>
    <w:p w14:paraId="3C4ADE58">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lang w:eastAsia="zh-CN"/>
        </w:rPr>
        <w:t>突发职业中毒事件</w:t>
      </w:r>
      <w:r>
        <w:rPr>
          <w:rFonts w:hint="eastAsia" w:ascii="黑体" w:hAnsi="黑体" w:eastAsia="黑体"/>
        </w:rPr>
        <w:t xml:space="preserve"> occupational poisoning</w:t>
      </w:r>
      <w:r>
        <w:rPr>
          <w:rFonts w:hint="eastAsia" w:ascii="黑体" w:hAnsi="黑体" w:eastAsia="黑体"/>
          <w:lang w:val="en-US" w:eastAsia="zh-CN"/>
        </w:rPr>
        <w:t xml:space="preserve"> incident</w:t>
      </w:r>
    </w:p>
    <w:p w14:paraId="4C5F1146">
      <w:pPr>
        <w:pStyle w:val="234"/>
        <w:rPr>
          <w:rFonts w:hint="eastAsia"/>
          <w:lang w:eastAsia="zh-CN"/>
        </w:rPr>
      </w:pPr>
      <w:r>
        <w:rPr>
          <w:rFonts w:hint="eastAsia"/>
          <w:lang w:eastAsia="zh-CN"/>
        </w:rPr>
        <w:t>生产性</w:t>
      </w:r>
      <w:r>
        <w:rPr>
          <w:rFonts w:hint="eastAsia"/>
        </w:rPr>
        <w:t>毒物一次或短时间内，通过一定条件作用于</w:t>
      </w:r>
      <w:r>
        <w:rPr>
          <w:rFonts w:hint="eastAsia"/>
          <w:lang w:eastAsia="zh-CN"/>
        </w:rPr>
        <w:t>职业人群造成</w:t>
      </w:r>
      <w:r>
        <w:rPr>
          <w:rFonts w:hint="eastAsia"/>
        </w:rPr>
        <w:t>的</w:t>
      </w:r>
      <w:r>
        <w:rPr>
          <w:rFonts w:hint="eastAsia"/>
          <w:lang w:eastAsia="zh-CN"/>
        </w:rPr>
        <w:t>群发性</w:t>
      </w:r>
      <w:r>
        <w:rPr>
          <w:rFonts w:hint="eastAsia"/>
        </w:rPr>
        <w:t>健康影响事件</w:t>
      </w:r>
      <w:r>
        <w:rPr>
          <w:rFonts w:hint="eastAsia"/>
          <w:lang w:eastAsia="zh-CN"/>
        </w:rPr>
        <w:t>。</w:t>
      </w:r>
    </w:p>
    <w:p w14:paraId="39C7E536">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lang w:eastAsia="zh-CN"/>
        </w:rPr>
        <w:t>现场流行病学调查</w:t>
      </w:r>
      <w:r>
        <w:rPr>
          <w:rFonts w:hint="eastAsia" w:ascii="黑体" w:hAnsi="黑体" w:eastAsia="黑体"/>
        </w:rPr>
        <w:t xml:space="preserve"> field epidemiological investigation</w:t>
      </w:r>
    </w:p>
    <w:p w14:paraId="7544ABD3">
      <w:pPr>
        <w:pStyle w:val="234"/>
        <w:rPr>
          <w:rFonts w:hint="eastAsia" w:eastAsia="宋体"/>
          <w:lang w:eastAsia="zh-CN"/>
        </w:rPr>
      </w:pPr>
      <w:r>
        <w:rPr>
          <w:rFonts w:hint="eastAsia"/>
          <w:lang w:eastAsia="zh-CN"/>
        </w:rPr>
        <w:t>用流行病学方法，对急性职业中毒事件概况、相关场所、中毒病例及其损伤情况进行调查研究，为病因判定、事件现场控制措施、救援人员个体防护及人员疏散等提出合理建议。</w:t>
      </w:r>
    </w:p>
    <w:p w14:paraId="2DA2C9E2">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lang w:eastAsia="zh-CN"/>
        </w:rPr>
        <w:t>应急监测</w:t>
      </w:r>
      <w:r>
        <w:rPr>
          <w:rFonts w:hint="eastAsia" w:ascii="黑体" w:hAnsi="黑体" w:eastAsia="黑体"/>
        </w:rPr>
        <w:t xml:space="preserve"> emergency monitoring</w:t>
      </w:r>
    </w:p>
    <w:p w14:paraId="6DCB16E9">
      <w:pPr>
        <w:pStyle w:val="56"/>
        <w:ind w:firstLine="420"/>
        <w:rPr>
          <w:rFonts w:hint="eastAsia" w:eastAsia="宋体"/>
          <w:lang w:eastAsia="zh-CN"/>
        </w:rPr>
      </w:pPr>
      <w:r>
        <w:rPr>
          <w:rFonts w:hint="eastAsia"/>
          <w:lang w:eastAsia="zh-CN"/>
        </w:rPr>
        <w:t>突发</w:t>
      </w:r>
      <w:r>
        <w:rPr>
          <w:rFonts w:hint="eastAsia"/>
        </w:rPr>
        <w:t>职业中毒事件发生后至应急响应终止前，对中毒现场</w:t>
      </w:r>
      <w:r>
        <w:rPr>
          <w:rFonts w:hint="eastAsia"/>
          <w:lang w:eastAsia="zh-CN"/>
        </w:rPr>
        <w:t>环境样品</w:t>
      </w:r>
      <w:r>
        <w:rPr>
          <w:rFonts w:hint="eastAsia"/>
          <w:highlight w:val="none"/>
          <w:lang w:eastAsia="zh-CN"/>
        </w:rPr>
        <w:t>及中毒人员生物样品</w:t>
      </w:r>
      <w:r>
        <w:rPr>
          <w:rFonts w:hint="eastAsia"/>
        </w:rPr>
        <w:t>进行的检测鉴定</w:t>
      </w:r>
      <w:r>
        <w:rPr>
          <w:rFonts w:hint="eastAsia"/>
          <w:lang w:eastAsia="zh-CN"/>
        </w:rPr>
        <w:t>。</w:t>
      </w:r>
    </w:p>
    <w:p w14:paraId="3CEEC548">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lang w:eastAsia="zh-CN"/>
        </w:rPr>
        <w:t>监测报告</w:t>
      </w:r>
      <w:r>
        <w:rPr>
          <w:rFonts w:hint="eastAsia" w:ascii="黑体" w:hAnsi="黑体" w:eastAsia="黑体"/>
        </w:rPr>
        <w:t xml:space="preserve"> </w:t>
      </w:r>
      <w:r>
        <w:rPr>
          <w:rFonts w:hint="eastAsia" w:ascii="黑体" w:hAnsi="黑体" w:eastAsia="黑体"/>
          <w:lang w:val="en-US" w:eastAsia="zh-CN"/>
        </w:rPr>
        <w:t>m</w:t>
      </w:r>
      <w:r>
        <w:rPr>
          <w:rFonts w:hint="eastAsia" w:ascii="黑体" w:hAnsi="黑体" w:eastAsia="黑体"/>
        </w:rPr>
        <w:t xml:space="preserve">onitoring </w:t>
      </w:r>
      <w:r>
        <w:rPr>
          <w:rFonts w:hint="eastAsia" w:ascii="黑体" w:hAnsi="黑体" w:eastAsia="黑体"/>
          <w:lang w:val="en-US" w:eastAsia="zh-CN"/>
        </w:rPr>
        <w:t>r</w:t>
      </w:r>
      <w:r>
        <w:rPr>
          <w:rFonts w:hint="eastAsia" w:ascii="黑体" w:hAnsi="黑体" w:eastAsia="黑体"/>
        </w:rPr>
        <w:t>eport</w:t>
      </w:r>
    </w:p>
    <w:p w14:paraId="672A2980">
      <w:pPr>
        <w:pStyle w:val="56"/>
        <w:ind w:firstLine="420"/>
      </w:pPr>
      <w:r>
        <w:rPr>
          <w:rFonts w:hint="eastAsia"/>
          <w:lang w:eastAsia="zh-CN"/>
        </w:rPr>
        <w:t>在急性职业中毒事件应急监测过程中撰写的包含中毒事件概述、现场快速检测数据、现场采样记录、实验室检测数据及检测结果评估的报告。</w:t>
      </w:r>
    </w:p>
    <w:p w14:paraId="52B4FC4A">
      <w:pPr>
        <w:pStyle w:val="104"/>
        <w:spacing w:before="312" w:after="312"/>
      </w:pPr>
      <w:r>
        <w:rPr>
          <w:rFonts w:hint="eastAsia"/>
          <w:lang w:eastAsia="zh-CN"/>
        </w:rPr>
        <w:t>基本要求</w:t>
      </w:r>
    </w:p>
    <w:p w14:paraId="57ED134E">
      <w:pPr>
        <w:pStyle w:val="164"/>
        <w:numPr>
          <w:ilvl w:val="4"/>
          <w:numId w:val="0"/>
        </w:numPr>
        <w:ind w:leftChars="0"/>
      </w:pPr>
      <w:r>
        <w:rPr>
          <w:rFonts w:hint="eastAsia" w:ascii="黑体" w:hAnsi="黑体" w:eastAsia="黑体" w:cs="黑体"/>
          <w:sz w:val="21"/>
          <w:szCs w:val="22"/>
          <w:lang w:val="en-US" w:eastAsia="zh-CN" w:bidi="ar-SA"/>
        </w:rPr>
        <w:t xml:space="preserve">4.1 </w:t>
      </w:r>
      <w:r>
        <w:rPr>
          <w:rFonts w:hint="eastAsia" w:ascii="宋体" w:hAnsi="宋体" w:eastAsia="宋体" w:cs="宋体"/>
          <w:sz w:val="21"/>
          <w:szCs w:val="22"/>
          <w:lang w:val="en-US" w:eastAsia="zh-CN" w:bidi="ar-SA"/>
        </w:rPr>
        <w:t xml:space="preserve"> 进入</w:t>
      </w:r>
      <w:r>
        <w:rPr>
          <w:rFonts w:hint="eastAsia"/>
          <w:lang w:val="en-US" w:eastAsia="zh-CN"/>
        </w:rPr>
        <w:t>突发职业中毒事件</w:t>
      </w:r>
      <w:r>
        <w:rPr>
          <w:rFonts w:hint="eastAsia" w:ascii="宋体" w:hAnsi="宋体" w:eastAsia="宋体" w:cs="宋体"/>
          <w:sz w:val="21"/>
          <w:szCs w:val="22"/>
          <w:lang w:val="en-US" w:eastAsia="zh-CN" w:bidi="ar-SA"/>
        </w:rPr>
        <w:t>现场前，应初步了解事件发生经过、波及范围、周边地理情况和气象条件、可疑毒物及所涉及的生产工艺环节等，</w:t>
      </w:r>
      <w:r>
        <w:rPr>
          <w:rFonts w:hint="eastAsia" w:hAnsi="宋体" w:cs="宋体"/>
          <w:sz w:val="21"/>
          <w:szCs w:val="22"/>
          <w:lang w:val="en-US" w:eastAsia="zh-CN" w:bidi="ar-SA"/>
        </w:rPr>
        <w:t>迅速通过各种渠道搜集急性职业中毒相关信息，</w:t>
      </w:r>
      <w:r>
        <w:rPr>
          <w:rFonts w:hint="eastAsia" w:ascii="宋体" w:hAnsi="宋体" w:eastAsia="宋体" w:cs="宋体"/>
          <w:sz w:val="21"/>
          <w:szCs w:val="22"/>
          <w:lang w:val="en-US" w:eastAsia="zh-CN" w:bidi="ar-SA"/>
        </w:rPr>
        <w:t>初步辨识危害因素，准备人员及装备，明确任务分工</w:t>
      </w:r>
      <w:r>
        <w:rPr>
          <w:rFonts w:hint="eastAsia"/>
        </w:rPr>
        <w:t>。</w:t>
      </w:r>
    </w:p>
    <w:p w14:paraId="0578AAF5">
      <w:pPr>
        <w:pStyle w:val="164"/>
        <w:numPr>
          <w:ilvl w:val="4"/>
          <w:numId w:val="0"/>
        </w:numPr>
        <w:ind w:leftChars="0"/>
        <w:rPr>
          <w:rFonts w:hint="default" w:eastAsia="宋体"/>
          <w:lang w:val="en-US" w:eastAsia="zh-CN"/>
        </w:rPr>
      </w:pPr>
      <w:r>
        <w:rPr>
          <w:rFonts w:hint="eastAsia" w:ascii="黑体" w:hAnsi="黑体" w:eastAsia="黑体" w:cs="黑体"/>
          <w:lang w:val="en-US" w:eastAsia="zh-CN"/>
        </w:rPr>
        <w:t xml:space="preserve">4.2 </w:t>
      </w:r>
      <w:r>
        <w:rPr>
          <w:rFonts w:hint="eastAsia"/>
          <w:lang w:val="en-US" w:eastAsia="zh-CN"/>
        </w:rPr>
        <w:t xml:space="preserve"> 现场调查及检测人员应由具有 2 年以上现场流行病学调查、化学毒物检测等工作经验的专业技术人员担任</w:t>
      </w:r>
      <w:r>
        <w:rPr>
          <w:rFonts w:hint="eastAsia"/>
        </w:rPr>
        <w:t>。</w:t>
      </w:r>
      <w:r>
        <w:rPr>
          <w:rFonts w:hint="eastAsia"/>
          <w:lang w:eastAsia="zh-CN"/>
        </w:rPr>
        <w:t>成立现场调查组和毒物检测组，每组成员不少于</w:t>
      </w:r>
      <w:r>
        <w:rPr>
          <w:rFonts w:hint="eastAsia"/>
          <w:lang w:val="en-US" w:eastAsia="zh-CN"/>
        </w:rPr>
        <w:t>3人。</w:t>
      </w:r>
    </w:p>
    <w:p w14:paraId="613CAE93">
      <w:pPr>
        <w:pStyle w:val="164"/>
        <w:numPr>
          <w:ilvl w:val="4"/>
          <w:numId w:val="0"/>
        </w:numPr>
        <w:ind w:leftChars="0"/>
        <w:rPr>
          <w:rFonts w:hint="default"/>
          <w:lang w:val="en-US" w:eastAsia="zh-CN"/>
        </w:rPr>
      </w:pPr>
      <w:r>
        <w:rPr>
          <w:rFonts w:hint="eastAsia" w:ascii="黑体" w:hAnsi="黑体" w:eastAsia="黑体" w:cs="黑体"/>
          <w:lang w:val="en-US" w:eastAsia="zh-CN"/>
        </w:rPr>
        <w:t>4.3</w:t>
      </w:r>
      <w:r>
        <w:rPr>
          <w:rFonts w:hint="eastAsia"/>
          <w:lang w:val="en-US" w:eastAsia="zh-CN"/>
        </w:rPr>
        <w:t xml:space="preserve">  现场检测和采样设备应便于携带，并配备通讯、照明、储存等基本工作保障设备。</w:t>
      </w:r>
    </w:p>
    <w:p w14:paraId="4D6007F6">
      <w:pPr>
        <w:pStyle w:val="164"/>
        <w:numPr>
          <w:ilvl w:val="4"/>
          <w:numId w:val="0"/>
        </w:numPr>
        <w:ind w:leftChars="0"/>
        <w:rPr>
          <w:rFonts w:hint="eastAsia"/>
          <w:lang w:val="en-US" w:eastAsia="zh-CN"/>
        </w:rPr>
      </w:pPr>
      <w:r>
        <w:rPr>
          <w:rFonts w:hint="eastAsia" w:ascii="黑体" w:hAnsi="黑体" w:eastAsia="黑体" w:cs="黑体"/>
          <w:lang w:val="en-US" w:eastAsia="zh-CN"/>
        </w:rPr>
        <w:t>4.4</w:t>
      </w:r>
      <w:r>
        <w:rPr>
          <w:rFonts w:hint="eastAsia"/>
          <w:lang w:val="en-US" w:eastAsia="zh-CN"/>
        </w:rPr>
        <w:t xml:space="preserve">  </w:t>
      </w:r>
      <w:r>
        <w:rPr>
          <w:rFonts w:hint="eastAsia" w:ascii="宋体" w:hAnsi="宋体" w:eastAsia="宋体" w:cs="宋体"/>
          <w:sz w:val="21"/>
          <w:szCs w:val="22"/>
          <w:lang w:val="en-US" w:eastAsia="zh-CN" w:bidi="ar-SA"/>
        </w:rPr>
        <w:t>进入</w:t>
      </w:r>
      <w:r>
        <w:rPr>
          <w:rFonts w:hint="eastAsia"/>
          <w:lang w:val="en-US" w:eastAsia="zh-CN"/>
        </w:rPr>
        <w:t>突发职业中毒事件</w:t>
      </w:r>
      <w:r>
        <w:rPr>
          <w:rFonts w:hint="eastAsia" w:ascii="宋体" w:hAnsi="宋体" w:eastAsia="宋体" w:cs="宋体"/>
          <w:sz w:val="21"/>
          <w:szCs w:val="22"/>
          <w:lang w:val="en-US" w:eastAsia="zh-CN" w:bidi="ar-SA"/>
        </w:rPr>
        <w:t>现场前</w:t>
      </w:r>
      <w:r>
        <w:rPr>
          <w:rFonts w:hint="eastAsia"/>
          <w:lang w:val="en-US" w:eastAsia="zh-CN"/>
        </w:rPr>
        <w:t>，应按氧气测定、可燃性气体测定、有毒气体测定、总挥发性有机物测定的顺序对工作场所内空气进行快速检测，评估现场安全状态。</w:t>
      </w:r>
    </w:p>
    <w:p w14:paraId="01E50D94">
      <w:pPr>
        <w:pStyle w:val="164"/>
        <w:numPr>
          <w:ilvl w:val="4"/>
          <w:numId w:val="0"/>
        </w:numPr>
        <w:ind w:leftChars="0"/>
        <w:rPr>
          <w:rFonts w:hint="eastAsia"/>
          <w:lang w:val="en-US" w:eastAsia="zh-CN"/>
        </w:rPr>
      </w:pPr>
      <w:r>
        <w:rPr>
          <w:rFonts w:hint="eastAsia" w:ascii="黑体" w:hAnsi="黑体" w:eastAsia="黑体" w:cs="黑体"/>
          <w:lang w:val="en-US" w:eastAsia="zh-CN"/>
        </w:rPr>
        <w:t>4.5</w:t>
      </w:r>
      <w:r>
        <w:rPr>
          <w:rFonts w:hint="eastAsia"/>
          <w:lang w:val="en-US" w:eastAsia="zh-CN"/>
        </w:rPr>
        <w:t xml:space="preserve">  开展现场流行病学调查时，应首先了解突发职业中毒事件概况，然后再对中毒相关场所和人员等进行调查。</w:t>
      </w:r>
    </w:p>
    <w:p w14:paraId="5E5A3E86">
      <w:pPr>
        <w:pStyle w:val="164"/>
        <w:numPr>
          <w:ilvl w:val="4"/>
          <w:numId w:val="0"/>
        </w:numPr>
        <w:ind w:leftChars="0"/>
        <w:rPr>
          <w:rFonts w:hint="eastAsia"/>
          <w:lang w:val="en-US" w:eastAsia="zh-CN"/>
        </w:rPr>
      </w:pPr>
      <w:r>
        <w:rPr>
          <w:rFonts w:hint="eastAsia" w:ascii="黑体" w:hAnsi="黑体" w:eastAsia="黑体" w:cs="黑体"/>
          <w:lang w:val="en-US" w:eastAsia="zh-CN"/>
        </w:rPr>
        <w:t xml:space="preserve">4.6 </w:t>
      </w:r>
      <w:r>
        <w:rPr>
          <w:rFonts w:hint="eastAsia"/>
          <w:lang w:val="en-US" w:eastAsia="zh-CN"/>
        </w:rPr>
        <w:t xml:space="preserve"> 样品采集过程中应避免交叉污染，样品应独立保存。每份样品的采集应使用清洁无污染的采样工具和独立的保存介质。</w:t>
      </w:r>
    </w:p>
    <w:p w14:paraId="7DBBC673">
      <w:pPr>
        <w:pStyle w:val="164"/>
        <w:numPr>
          <w:ilvl w:val="4"/>
          <w:numId w:val="0"/>
        </w:numPr>
        <w:ind w:leftChars="0"/>
        <w:rPr>
          <w:rFonts w:hint="eastAsia"/>
          <w:lang w:val="en-US" w:eastAsia="zh-CN"/>
        </w:rPr>
      </w:pPr>
      <w:r>
        <w:rPr>
          <w:rFonts w:hint="eastAsia" w:ascii="黑体" w:hAnsi="黑体" w:eastAsia="黑体" w:cs="黑体"/>
          <w:lang w:val="en-US" w:eastAsia="zh-CN"/>
        </w:rPr>
        <w:t>4.7</w:t>
      </w:r>
      <w:r>
        <w:rPr>
          <w:rFonts w:hint="eastAsia"/>
          <w:lang w:val="en-US" w:eastAsia="zh-CN"/>
        </w:rPr>
        <w:t xml:space="preserve">  进入现场开展调查和检测的专业技术人员，应采取合适的个体防护措施，保证人员安全。</w:t>
      </w:r>
    </w:p>
    <w:p w14:paraId="508A5EC9">
      <w:pPr>
        <w:pStyle w:val="164"/>
        <w:numPr>
          <w:ilvl w:val="4"/>
          <w:numId w:val="0"/>
        </w:numPr>
        <w:ind w:leftChars="0"/>
        <w:rPr>
          <w:rFonts w:hint="default"/>
          <w:b w:val="0"/>
          <w:bCs w:val="0"/>
          <w:szCs w:val="22"/>
          <w:lang w:val="en-US" w:eastAsia="zh-CN"/>
        </w:rPr>
      </w:pPr>
      <w:r>
        <w:rPr>
          <w:rFonts w:hint="eastAsia" w:ascii="黑体" w:hAnsi="黑体" w:eastAsia="黑体" w:cs="黑体"/>
          <w:lang w:val="en-US" w:eastAsia="zh-CN"/>
        </w:rPr>
        <w:t>4.8</w:t>
      </w:r>
      <w:r>
        <w:rPr>
          <w:rFonts w:hint="eastAsia"/>
          <w:lang w:val="en-US" w:eastAsia="zh-CN"/>
        </w:rPr>
        <w:t xml:space="preserve">  当中毒现场为有限空间时，有限空间外应设有监护人员。监护人员应密切监视现场处置人员的工作状态，不得擅自离开，发生异常状况时，应及时采取有效措施。现场处置人员与监护人员应明确联络信号，并保持有效联络。</w:t>
      </w:r>
    </w:p>
    <w:p w14:paraId="37F9E673">
      <w:pPr>
        <w:pStyle w:val="104"/>
        <w:spacing w:before="312" w:after="312"/>
      </w:pPr>
      <w:r>
        <w:rPr>
          <w:rFonts w:hint="eastAsia"/>
          <w:lang w:eastAsia="zh-CN"/>
        </w:rPr>
        <w:t>前期准备</w:t>
      </w:r>
    </w:p>
    <w:p w14:paraId="09856947">
      <w:pPr>
        <w:pStyle w:val="164"/>
        <w:numPr>
          <w:ilvl w:val="4"/>
          <w:numId w:val="0"/>
        </w:numPr>
        <w:ind w:leftChars="0"/>
        <w:rPr>
          <w:rFonts w:hint="eastAsia"/>
          <w:lang w:val="en-US" w:eastAsia="zh-CN"/>
        </w:rPr>
      </w:pPr>
      <w:r>
        <w:rPr>
          <w:rFonts w:hint="eastAsia" w:ascii="黑体" w:hAnsi="黑体" w:eastAsia="黑体" w:cs="黑体"/>
          <w:lang w:val="en-US" w:eastAsia="zh-CN"/>
        </w:rPr>
        <w:t>5.1</w:t>
      </w:r>
      <w:r>
        <w:rPr>
          <w:rFonts w:hint="eastAsia"/>
          <w:lang w:val="en-US" w:eastAsia="zh-CN"/>
        </w:rPr>
        <w:t xml:space="preserve">  应准备采样记录表、快速检测记录表、调查表、记号笔、样品标签、样品转运单等记录用品。</w:t>
      </w:r>
    </w:p>
    <w:p w14:paraId="2CC35586">
      <w:pPr>
        <w:pStyle w:val="164"/>
        <w:numPr>
          <w:ilvl w:val="4"/>
          <w:numId w:val="0"/>
        </w:numPr>
        <w:ind w:leftChars="0"/>
        <w:rPr>
          <w:rFonts w:hint="eastAsia"/>
          <w:lang w:val="en-US" w:eastAsia="zh-CN"/>
        </w:rPr>
      </w:pPr>
      <w:r>
        <w:rPr>
          <w:rFonts w:hint="eastAsia" w:ascii="黑体" w:hAnsi="黑体" w:eastAsia="黑体" w:cs="黑体"/>
          <w:lang w:val="en-US" w:eastAsia="zh-CN"/>
        </w:rPr>
        <w:t>5.2</w:t>
      </w:r>
      <w:r>
        <w:rPr>
          <w:rFonts w:hint="eastAsia"/>
          <w:lang w:val="en-US" w:eastAsia="zh-CN"/>
        </w:rPr>
        <w:t>　应准备能够记录事件现场声音、影像等数据的采集设备。</w:t>
      </w:r>
    </w:p>
    <w:p w14:paraId="113427B9">
      <w:pPr>
        <w:pStyle w:val="164"/>
        <w:numPr>
          <w:ilvl w:val="4"/>
          <w:numId w:val="0"/>
        </w:numPr>
        <w:ind w:leftChars="0"/>
        <w:rPr>
          <w:rFonts w:hint="eastAsia"/>
          <w:lang w:val="en-US" w:eastAsia="zh-CN"/>
        </w:rPr>
      </w:pPr>
      <w:r>
        <w:rPr>
          <w:rFonts w:hint="eastAsia" w:ascii="黑体" w:hAnsi="黑体" w:eastAsia="黑体" w:cs="黑体"/>
          <w:lang w:val="en-US" w:eastAsia="zh-CN"/>
        </w:rPr>
        <w:t>5.3</w:t>
      </w:r>
      <w:r>
        <w:rPr>
          <w:rFonts w:hint="eastAsia"/>
          <w:lang w:val="en-US" w:eastAsia="zh-CN"/>
        </w:rPr>
        <w:t>　应准备快速检测设备用于事件现场气体检测，仪器应配有延长采集管或具有无线传输功能。</w:t>
      </w:r>
    </w:p>
    <w:p w14:paraId="62046F99">
      <w:pPr>
        <w:pStyle w:val="164"/>
        <w:numPr>
          <w:ilvl w:val="4"/>
          <w:numId w:val="0"/>
        </w:numPr>
        <w:ind w:leftChars="0"/>
        <w:rPr>
          <w:rFonts w:hint="eastAsia"/>
          <w:lang w:val="en-US" w:eastAsia="zh-CN"/>
        </w:rPr>
      </w:pPr>
      <w:r>
        <w:rPr>
          <w:rFonts w:hint="eastAsia" w:ascii="黑体" w:hAnsi="黑体" w:eastAsia="黑体" w:cs="黑体"/>
          <w:lang w:val="en-US" w:eastAsia="zh-CN"/>
        </w:rPr>
        <w:t>5.4</w:t>
      </w:r>
      <w:r>
        <w:rPr>
          <w:rFonts w:hint="eastAsia"/>
          <w:lang w:val="en-US" w:eastAsia="zh-CN"/>
        </w:rPr>
        <w:t>　</w:t>
      </w:r>
      <w:r>
        <w:rPr>
          <w:rFonts w:hint="eastAsia"/>
          <w:color w:val="auto"/>
          <w:lang w:val="en-US" w:eastAsia="zh-CN"/>
        </w:rPr>
        <w:t>应准备能够采集中毒现场环境样品和人体生物样品的设备和容器，其</w:t>
      </w:r>
      <w:r>
        <w:rPr>
          <w:rFonts w:hint="eastAsia"/>
          <w:lang w:val="en-US" w:eastAsia="zh-CN"/>
        </w:rPr>
        <w:t>中现场气体采集应满足主动（泵吸式或真空负压式）全空气采样。</w:t>
      </w:r>
    </w:p>
    <w:p w14:paraId="66F06163">
      <w:pPr>
        <w:pStyle w:val="164"/>
        <w:numPr>
          <w:ilvl w:val="4"/>
          <w:numId w:val="0"/>
        </w:numPr>
        <w:ind w:leftChars="0"/>
        <w:rPr>
          <w:rFonts w:hint="eastAsia"/>
          <w:lang w:val="en-US" w:eastAsia="zh-CN"/>
        </w:rPr>
      </w:pPr>
      <w:r>
        <w:rPr>
          <w:rFonts w:hint="eastAsia" w:ascii="黑体" w:hAnsi="黑体" w:eastAsia="黑体" w:cs="黑体"/>
          <w:lang w:val="en-US" w:eastAsia="zh-CN"/>
        </w:rPr>
        <w:t>5.5</w:t>
      </w:r>
      <w:r>
        <w:rPr>
          <w:rFonts w:hint="eastAsia"/>
          <w:lang w:val="en-US" w:eastAsia="zh-CN"/>
        </w:rPr>
        <w:t>　应准备符合WS/T 680标准规定的个体防护装备。</w:t>
      </w:r>
    </w:p>
    <w:p w14:paraId="5B9670F4">
      <w:pPr>
        <w:pStyle w:val="164"/>
        <w:numPr>
          <w:ilvl w:val="4"/>
          <w:numId w:val="0"/>
        </w:numPr>
        <w:ind w:leftChars="0"/>
        <w:rPr>
          <w:rFonts w:hint="eastAsia" w:eastAsia="宋体"/>
          <w:lang w:eastAsia="zh-CN"/>
        </w:rPr>
      </w:pPr>
      <w:r>
        <w:rPr>
          <w:rFonts w:hint="eastAsia" w:ascii="黑体" w:hAnsi="黑体" w:eastAsia="黑体" w:cs="黑体"/>
          <w:lang w:val="en-US" w:eastAsia="zh-CN"/>
        </w:rPr>
        <w:t>5.6</w:t>
      </w:r>
      <w:r>
        <w:rPr>
          <w:rFonts w:hint="eastAsia"/>
          <w:lang w:val="en-US" w:eastAsia="zh-CN"/>
        </w:rPr>
        <w:t>　应准备的应急监测仪器设备及要求参见附录A</w:t>
      </w:r>
      <w:r>
        <w:rPr>
          <w:rFonts w:hint="eastAsia"/>
        </w:rPr>
        <w:t>。</w:t>
      </w:r>
    </w:p>
    <w:p w14:paraId="69E0EE02">
      <w:pPr>
        <w:pStyle w:val="104"/>
        <w:spacing w:before="312" w:after="312"/>
      </w:pPr>
      <w:r>
        <w:rPr>
          <w:rFonts w:hint="eastAsia"/>
          <w:lang w:eastAsia="zh-CN"/>
        </w:rPr>
        <w:t>现场流行病学调查</w:t>
      </w:r>
    </w:p>
    <w:p w14:paraId="10930D56">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ascii="黑体" w:hAnsi="Times New Roman" w:eastAsia="黑体" w:cs="Times New Roman"/>
          <w:sz w:val="21"/>
          <w:szCs w:val="21"/>
          <w:lang w:val="en-US" w:eastAsia="zh-CN" w:bidi="ar-SA"/>
        </w:rPr>
      </w:pPr>
      <w:r>
        <w:rPr>
          <w:rFonts w:hint="eastAsia" w:ascii="黑体" w:hAnsi="Times New Roman" w:eastAsia="黑体" w:cs="Times New Roman"/>
          <w:sz w:val="21"/>
          <w:szCs w:val="21"/>
          <w:lang w:val="en-US" w:eastAsia="zh-CN" w:bidi="ar-SA"/>
        </w:rPr>
        <w:t>调查目的</w:t>
      </w:r>
    </w:p>
    <w:p w14:paraId="255CC5F1">
      <w:pPr>
        <w:pStyle w:val="56"/>
        <w:rPr>
          <w:rFonts w:hint="eastAsia" w:ascii="宋体" w:hAnsi="宋体" w:eastAsia="宋体" w:cs="宋体"/>
          <w:sz w:val="21"/>
          <w:szCs w:val="22"/>
          <w:lang w:val="en-US" w:eastAsia="zh-CN" w:bidi="ar-SA"/>
        </w:rPr>
      </w:pPr>
      <w:r>
        <w:rPr>
          <w:rFonts w:hint="eastAsia" w:hAnsi="宋体" w:cs="宋体"/>
          <w:sz w:val="21"/>
          <w:szCs w:val="22"/>
          <w:lang w:val="en-US" w:eastAsia="zh-CN" w:bidi="ar-SA"/>
        </w:rPr>
        <w:t>现场流行病学调查目的包括但不限于以下内容：核实事件，掌握生产工艺流程，确定毒物泄漏原因，掌握毒物人群接触史和中毒临床症状体征，为中毒病因判定和采样检测目标毒物提供证据支持。评估毒物泄露波及范围，研判事件发展趋势，为制订现场处置措施和调整响应级别提供建议，评估控制效果，预防类似中毒事件再次发生。</w:t>
      </w:r>
    </w:p>
    <w:p w14:paraId="2AC8A170">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ascii="黑体" w:hAnsi="Times New Roman" w:eastAsia="黑体" w:cs="Times New Roman"/>
          <w:sz w:val="21"/>
          <w:szCs w:val="21"/>
          <w:lang w:val="en-US" w:eastAsia="zh-CN" w:bidi="ar-SA"/>
        </w:rPr>
      </w:pPr>
      <w:r>
        <w:rPr>
          <w:rFonts w:hint="eastAsia" w:ascii="黑体" w:hAnsi="Times New Roman" w:eastAsia="黑体" w:cs="Times New Roman"/>
          <w:sz w:val="21"/>
          <w:szCs w:val="21"/>
          <w:lang w:val="en-US" w:eastAsia="zh-CN" w:bidi="ar-SA"/>
        </w:rPr>
        <w:t>中毒现场调查</w:t>
      </w:r>
    </w:p>
    <w:p w14:paraId="52FFFBEE">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rPr>
        <w:t>调查人员到达中毒现场后，应首先与事件现场负责人联系，获取配合，</w:t>
      </w:r>
      <w:r>
        <w:rPr>
          <w:rFonts w:hint="eastAsia" w:ascii="宋体" w:hAnsi="宋体" w:eastAsia="宋体" w:cs="宋体"/>
          <w:lang w:eastAsia="zh-CN"/>
        </w:rPr>
        <w:t>详细</w:t>
      </w:r>
      <w:r>
        <w:rPr>
          <w:rFonts w:hint="eastAsia" w:ascii="宋体" w:hAnsi="宋体" w:eastAsia="宋体" w:cs="宋体"/>
        </w:rPr>
        <w:t>了解中毒事件发生经过。</w:t>
      </w:r>
    </w:p>
    <w:p w14:paraId="3042C44D">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rPr>
        <w:t>调查</w:t>
      </w:r>
      <w:r>
        <w:rPr>
          <w:rFonts w:hint="eastAsia" w:ascii="宋体" w:hAnsi="宋体" w:eastAsia="宋体" w:cs="宋体"/>
          <w:lang w:eastAsia="zh-CN"/>
        </w:rPr>
        <w:t>事件现场环境状况、气象条件，可疑毒物及储存保管方式等</w:t>
      </w:r>
      <w:r>
        <w:rPr>
          <w:rFonts w:hint="eastAsia" w:ascii="宋体" w:hAnsi="宋体" w:eastAsia="宋体" w:cs="宋体"/>
        </w:rPr>
        <w:t>。</w:t>
      </w:r>
    </w:p>
    <w:p w14:paraId="1A11BC09">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rPr>
        <w:t>调查职业中毒事件所涉及的工作岗位、生产工艺、生产方式和物料使用情况，是否使用新技术新工艺、是否有设备故障、是否违规操作</w:t>
      </w:r>
      <w:r>
        <w:rPr>
          <w:rFonts w:hint="eastAsia" w:ascii="宋体" w:hAnsi="宋体" w:eastAsia="宋体" w:cs="宋体"/>
          <w:lang w:eastAsia="zh-CN"/>
        </w:rPr>
        <w:t>、</w:t>
      </w:r>
      <w:r>
        <w:rPr>
          <w:rFonts w:hint="eastAsia" w:ascii="宋体" w:hAnsi="宋体" w:eastAsia="宋体" w:cs="宋体"/>
        </w:rPr>
        <w:t>应急救援防护设施运行状态。</w:t>
      </w:r>
    </w:p>
    <w:p w14:paraId="25B21FAA">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rPr>
        <w:t>调查</w:t>
      </w:r>
      <w:r>
        <w:rPr>
          <w:rFonts w:hint="eastAsia" w:ascii="宋体" w:hAnsi="宋体" w:eastAsia="宋体" w:cs="宋体"/>
          <w:lang w:eastAsia="zh-CN"/>
        </w:rPr>
        <w:t>毒物接触人员情况、受累人数</w:t>
      </w:r>
      <w:r>
        <w:rPr>
          <w:rFonts w:hint="eastAsia" w:ascii="宋体" w:hAnsi="宋体" w:eastAsia="宋体" w:cs="宋体"/>
        </w:rPr>
        <w:t>、现场已采取的控制措施。</w:t>
      </w:r>
    </w:p>
    <w:p w14:paraId="708605DD">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rPr>
        <w:t>现场调查内容详细记录在</w:t>
      </w:r>
      <w:r>
        <w:rPr>
          <w:rFonts w:hint="eastAsia" w:ascii="宋体" w:hAnsi="宋体" w:eastAsia="宋体" w:cs="宋体"/>
          <w:lang w:eastAsia="zh-CN"/>
        </w:rPr>
        <w:t>突发</w:t>
      </w:r>
      <w:r>
        <w:rPr>
          <w:rFonts w:hint="eastAsia" w:ascii="宋体" w:hAnsi="宋体" w:eastAsia="宋体" w:cs="宋体"/>
        </w:rPr>
        <w:t>职业中毒现场调查表中，现场调查表参见附录B。</w:t>
      </w:r>
    </w:p>
    <w:p w14:paraId="249C9BE3">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ascii="黑体" w:hAnsi="Times New Roman" w:eastAsia="黑体" w:cs="Times New Roman"/>
          <w:sz w:val="21"/>
          <w:szCs w:val="21"/>
          <w:lang w:val="en-US" w:eastAsia="zh-CN" w:bidi="ar-SA"/>
        </w:rPr>
      </w:pPr>
      <w:r>
        <w:rPr>
          <w:rFonts w:hint="eastAsia" w:ascii="黑体" w:hAnsi="Times New Roman" w:eastAsia="黑体" w:cs="Times New Roman"/>
          <w:sz w:val="21"/>
          <w:szCs w:val="21"/>
          <w:lang w:val="en-US" w:eastAsia="zh-CN" w:bidi="ar-SA"/>
        </w:rPr>
        <w:t>中毒</w:t>
      </w:r>
      <w:r>
        <w:rPr>
          <w:rFonts w:hint="eastAsia" w:ascii="黑体" w:eastAsia="黑体" w:cs="Times New Roman"/>
          <w:sz w:val="21"/>
          <w:szCs w:val="21"/>
          <w:lang w:val="en-US" w:eastAsia="zh-CN" w:bidi="ar-SA"/>
        </w:rPr>
        <w:t>个案</w:t>
      </w:r>
      <w:r>
        <w:rPr>
          <w:rFonts w:hint="eastAsia" w:ascii="黑体" w:hAnsi="Times New Roman" w:eastAsia="黑体" w:cs="Times New Roman"/>
          <w:sz w:val="21"/>
          <w:szCs w:val="21"/>
          <w:lang w:val="en-US" w:eastAsia="zh-CN" w:bidi="ar-SA"/>
        </w:rPr>
        <w:t>调查</w:t>
      </w:r>
    </w:p>
    <w:p w14:paraId="1DD65661">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rPr>
        <w:t>调查中毒人员姓名、性别、年龄、工龄等</w:t>
      </w:r>
      <w:r>
        <w:rPr>
          <w:rFonts w:hint="eastAsia" w:ascii="宋体" w:hAnsi="宋体" w:eastAsia="宋体" w:cs="宋体"/>
          <w:lang w:eastAsia="zh-CN"/>
        </w:rPr>
        <w:t>基本</w:t>
      </w:r>
      <w:r>
        <w:rPr>
          <w:rFonts w:hint="eastAsia" w:ascii="宋体" w:hAnsi="宋体" w:eastAsia="宋体" w:cs="宋体"/>
        </w:rPr>
        <w:t>信息</w:t>
      </w:r>
      <w:r>
        <w:rPr>
          <w:rFonts w:hint="eastAsia" w:ascii="宋体" w:hAnsi="宋体" w:eastAsia="宋体" w:cs="宋体"/>
          <w:lang w:eastAsia="zh-CN"/>
        </w:rPr>
        <w:t>。</w:t>
      </w:r>
    </w:p>
    <w:p w14:paraId="0996FA63">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lang w:eastAsia="zh-CN"/>
        </w:rPr>
        <w:t>调查中毒人员的毒物暴露情况</w:t>
      </w:r>
      <w:r>
        <w:rPr>
          <w:rFonts w:hint="eastAsia" w:ascii="宋体" w:hAnsi="宋体" w:eastAsia="宋体" w:cs="宋体"/>
        </w:rPr>
        <w:t>。</w:t>
      </w:r>
    </w:p>
    <w:p w14:paraId="3E4C0625">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rPr>
        <w:t>调查中毒人员在接触职业病危害因素的作业过程中，是否规范佩戴了符合要求的个体防护用品。</w:t>
      </w:r>
    </w:p>
    <w:p w14:paraId="156BAC7D">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rPr>
        <w:t>调查中毒人员的主要</w:t>
      </w:r>
      <w:r>
        <w:rPr>
          <w:rFonts w:hint="eastAsia" w:ascii="宋体" w:hAnsi="宋体" w:eastAsia="宋体" w:cs="宋体"/>
          <w:lang w:eastAsia="zh-CN"/>
        </w:rPr>
        <w:t>临床表现和</w:t>
      </w:r>
      <w:r>
        <w:rPr>
          <w:rFonts w:hint="eastAsia" w:ascii="宋体" w:hAnsi="宋体" w:eastAsia="宋体" w:cs="宋体"/>
        </w:rPr>
        <w:t>症状体征。同时向临床救治单位进一步了解诊疗过程、实验室检查结果和临床治疗措施等相关资料，</w:t>
      </w:r>
      <w:r>
        <w:rPr>
          <w:rFonts w:hint="eastAsia" w:ascii="宋体" w:hAnsi="宋体" w:eastAsia="宋体" w:cs="宋体"/>
          <w:lang w:eastAsia="zh-CN"/>
        </w:rPr>
        <w:t>必要时可组织具有生物标本采集经验或资质的工作人员，采集生物标本进行毒物及生物指标分析</w:t>
      </w:r>
      <w:r>
        <w:rPr>
          <w:rFonts w:hint="eastAsia" w:ascii="宋体" w:hAnsi="宋体" w:eastAsia="宋体" w:cs="宋体"/>
        </w:rPr>
        <w:t>。</w:t>
      </w:r>
    </w:p>
    <w:p w14:paraId="7857B3C9">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黑体" w:hAnsi="Times New Roman" w:eastAsia="黑体" w:cs="Times New Roman"/>
          <w:sz w:val="21"/>
          <w:szCs w:val="21"/>
          <w:lang w:val="en-US" w:eastAsia="zh-CN" w:bidi="ar-SA"/>
        </w:rPr>
      </w:pPr>
      <w:r>
        <w:rPr>
          <w:rFonts w:hint="eastAsia" w:ascii="宋体" w:hAnsi="宋体" w:eastAsia="宋体" w:cs="宋体"/>
        </w:rPr>
        <w:t>个案调查内容详细记录在</w:t>
      </w:r>
      <w:r>
        <w:rPr>
          <w:rFonts w:hint="eastAsia" w:ascii="宋体" w:hAnsi="宋体" w:eastAsia="宋体" w:cs="宋体"/>
          <w:lang w:eastAsia="zh-CN"/>
        </w:rPr>
        <w:t>突发</w:t>
      </w:r>
      <w:r>
        <w:rPr>
          <w:rFonts w:hint="eastAsia" w:ascii="宋体" w:hAnsi="宋体" w:eastAsia="宋体" w:cs="宋体"/>
        </w:rPr>
        <w:t>职业中毒个案调查表中，个案调查表参见附录C。</w:t>
      </w:r>
    </w:p>
    <w:p w14:paraId="51F724DB">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ascii="黑体" w:hAnsi="Times New Roman" w:eastAsia="黑体" w:cs="Times New Roman"/>
          <w:sz w:val="21"/>
          <w:szCs w:val="21"/>
          <w:lang w:val="en-US" w:eastAsia="zh-CN" w:bidi="ar-SA"/>
        </w:rPr>
      </w:pPr>
      <w:r>
        <w:rPr>
          <w:rFonts w:hint="eastAsia" w:ascii="黑体" w:eastAsia="黑体" w:cs="Times New Roman"/>
          <w:sz w:val="21"/>
          <w:szCs w:val="21"/>
          <w:lang w:val="en-US" w:eastAsia="zh-CN" w:bidi="ar-SA"/>
        </w:rPr>
        <w:t>调查注意事项</w:t>
      </w:r>
    </w:p>
    <w:p w14:paraId="7DD8AF3F">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lang w:eastAsia="zh-CN"/>
        </w:rPr>
        <w:t>根据调查规模，可成立多个现场调查组，同时开展现场流行病学调查工作。</w:t>
      </w:r>
    </w:p>
    <w:p w14:paraId="6B542EE2">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lang w:eastAsia="zh-CN"/>
        </w:rPr>
        <w:t>突发职业中毒事件相关人员的调查除中毒人员个案调查外，还应包括其他受累人员、目击证人等，调查内容应详细记录。</w:t>
      </w:r>
    </w:p>
    <w:p w14:paraId="5CC0DDC4">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rPr>
      </w:pPr>
      <w:r>
        <w:rPr>
          <w:rFonts w:hint="eastAsia" w:ascii="宋体" w:hAnsi="宋体" w:eastAsia="宋体" w:cs="宋体"/>
          <w:lang w:eastAsia="zh-CN"/>
        </w:rPr>
        <w:t>除采集中毒人员的生物样品外，必要时也应采集相关暴露人群的生物样品送检分析。</w:t>
      </w:r>
    </w:p>
    <w:p w14:paraId="24179C9B">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val="en-US" w:eastAsia="zh-CN"/>
        </w:rPr>
      </w:pPr>
      <w:r>
        <w:rPr>
          <w:rFonts w:hint="eastAsia" w:ascii="宋体" w:hAnsi="宋体" w:eastAsia="宋体" w:cs="宋体"/>
          <w:szCs w:val="22"/>
          <w:lang w:val="en-US" w:eastAsia="zh-CN"/>
        </w:rPr>
        <w:t>现场流行病学调查应采取面访方式，如无法开展面访调查或情况紧急时，也可采取电话、视频方式，并如实填写调查表，对音频、视频等材料进行留存。</w:t>
      </w:r>
    </w:p>
    <w:p w14:paraId="4C871ED8">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lang w:val="en-US" w:eastAsia="zh-CN"/>
        </w:rPr>
      </w:pPr>
      <w:r>
        <w:rPr>
          <w:rFonts w:hint="eastAsia" w:ascii="宋体" w:hAnsi="宋体" w:eastAsia="宋体" w:cs="宋体"/>
          <w:lang w:eastAsia="zh-CN"/>
        </w:rPr>
        <w:t>调查结束后，根据调查表内容逐项检查调查项目，若不能一次调查完整，可后续根据事件进展及时完善补充。</w:t>
      </w:r>
    </w:p>
    <w:p w14:paraId="730D4942">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lang w:val="en-US" w:eastAsia="zh-CN"/>
        </w:rPr>
      </w:pPr>
      <w:r>
        <w:rPr>
          <w:rFonts w:hint="eastAsia" w:ascii="宋体" w:hAnsi="宋体" w:eastAsia="宋体" w:cs="宋体"/>
          <w:lang w:eastAsia="zh-CN"/>
        </w:rPr>
        <w:t>现场调查应与实验检测及时沟通，相互配合，动态调整调查目的和调查重点，为中毒事件的病因判定提供证据支持。</w:t>
      </w:r>
    </w:p>
    <w:p w14:paraId="23C00771">
      <w:pPr>
        <w:pStyle w:val="104"/>
        <w:spacing w:before="312" w:after="312"/>
      </w:pPr>
      <w:r>
        <w:rPr>
          <w:rFonts w:hint="eastAsia"/>
          <w:lang w:eastAsia="zh-CN"/>
        </w:rPr>
        <w:t>监测方案</w:t>
      </w:r>
    </w:p>
    <w:p w14:paraId="63F2CD4E">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ascii="黑体" w:eastAsia="黑体" w:cs="Times New Roman"/>
          <w:sz w:val="21"/>
          <w:szCs w:val="21"/>
          <w:lang w:val="en-US" w:eastAsia="zh-CN" w:bidi="ar-SA"/>
        </w:rPr>
      </w:pPr>
      <w:r>
        <w:rPr>
          <w:rFonts w:hint="eastAsia" w:ascii="黑体" w:eastAsia="黑体" w:cs="Times New Roman"/>
          <w:sz w:val="21"/>
          <w:szCs w:val="21"/>
          <w:lang w:val="en-US" w:eastAsia="zh-CN" w:bidi="ar-SA"/>
        </w:rPr>
        <w:t>方案制定</w:t>
      </w:r>
    </w:p>
    <w:p w14:paraId="709F4AF8">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r>
        <w:rPr>
          <w:rFonts w:hint="eastAsia" w:ascii="宋体" w:hAnsi="宋体" w:eastAsia="宋体" w:cs="宋体"/>
          <w:szCs w:val="22"/>
          <w:lang w:eastAsia="zh-CN"/>
        </w:rPr>
        <w:t>应依据突发职业中毒事件现场流行病学调查结果制定监测方案。</w:t>
      </w:r>
    </w:p>
    <w:p w14:paraId="3905968C">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r>
        <w:rPr>
          <w:rFonts w:hint="eastAsia" w:ascii="宋体" w:hAnsi="宋体" w:eastAsia="宋体" w:cs="宋体"/>
          <w:szCs w:val="22"/>
          <w:lang w:eastAsia="zh-CN"/>
        </w:rPr>
        <w:t>监测方案应包括以下内容：事件概况、监测点位、监测项目、监测方法、人员分工、安全防护、质量保证和质量控制等。</w:t>
      </w:r>
    </w:p>
    <w:p w14:paraId="79765864">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pPr>
      <w:r>
        <w:rPr>
          <w:rFonts w:hint="eastAsia" w:ascii="宋体" w:hAnsi="宋体" w:eastAsia="宋体" w:cs="宋体"/>
          <w:szCs w:val="22"/>
          <w:lang w:eastAsia="zh-CN"/>
        </w:rPr>
        <w:t>监测方案实施过程中，可根据现场毒物演变及应急处置动态及时调整。</w:t>
      </w:r>
    </w:p>
    <w:p w14:paraId="61D494C8">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ascii="黑体" w:eastAsia="黑体" w:cs="Times New Roman"/>
          <w:sz w:val="21"/>
          <w:szCs w:val="21"/>
          <w:lang w:val="en-US" w:eastAsia="zh-CN" w:bidi="ar-SA"/>
        </w:rPr>
      </w:pPr>
      <w:r>
        <w:rPr>
          <w:rFonts w:hint="eastAsia" w:ascii="黑体" w:eastAsia="黑体" w:cs="Times New Roman"/>
          <w:sz w:val="21"/>
          <w:szCs w:val="21"/>
          <w:lang w:val="en-US" w:eastAsia="zh-CN" w:bidi="ar-SA"/>
        </w:rPr>
        <w:t>监测项目</w:t>
      </w:r>
    </w:p>
    <w:p w14:paraId="1D02E66D">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r>
        <w:rPr>
          <w:rFonts w:hint="eastAsia" w:ascii="宋体" w:hAnsi="宋体" w:eastAsia="宋体" w:cs="宋体"/>
          <w:szCs w:val="22"/>
          <w:lang w:eastAsia="zh-CN"/>
        </w:rPr>
        <w:t>根据现场流行病学调查结果，识别的可能引起急性职业中毒的已知毒物，及可能在生产过程中产生的副产物、衍生物等作为监测项目。中毒人员生物样品的生物指标测定也是重要的应急监测项目。</w:t>
      </w:r>
    </w:p>
    <w:p w14:paraId="7DA474B4">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r>
        <w:rPr>
          <w:rFonts w:hint="eastAsia" w:ascii="宋体" w:hAnsi="宋体" w:eastAsia="宋体" w:cs="宋体"/>
          <w:szCs w:val="22"/>
          <w:lang w:eastAsia="zh-CN"/>
        </w:rPr>
        <w:t>未知毒物可通过以下方法确认：毒物的特征气味、颜色、挥发性和遇水反应特征；累及人员或动物中毒反应的特征症状；使用检测试纸、快速检测管、便携（直读）式气体检测仪等现场快速检测手段。根据收集的信息，初步判断可疑毒物类别，然后再精准分析确定。难以现场快速确认毒物类别时，应及时采集样品送实验室定性分析。</w:t>
      </w:r>
      <w:r>
        <w:rPr>
          <w:rFonts w:hint="eastAsia" w:ascii="宋体" w:hAnsi="宋体" w:eastAsia="宋体" w:cs="宋体"/>
          <w:szCs w:val="22"/>
          <w:lang w:val="en-US" w:eastAsia="zh-CN"/>
        </w:rPr>
        <w:t xml:space="preserve"> </w:t>
      </w:r>
    </w:p>
    <w:p w14:paraId="3992138D">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pPr>
      <w:r>
        <w:rPr>
          <w:rFonts w:hint="eastAsia" w:ascii="宋体" w:hAnsi="宋体" w:eastAsia="宋体" w:cs="宋体"/>
          <w:szCs w:val="22"/>
          <w:lang w:eastAsia="zh-CN"/>
        </w:rPr>
        <w:t>难以识别目标毒物时，可充分利用信息网络，收集已有报道的相关职业中毒案例或文献，例如专业数据库、杂志、书籍和网上资料，必要时可向相关专家咨询。</w:t>
      </w:r>
    </w:p>
    <w:p w14:paraId="258D6794">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ascii="黑体" w:eastAsia="黑体" w:cs="Times New Roman"/>
          <w:sz w:val="21"/>
          <w:szCs w:val="21"/>
          <w:lang w:val="en-US" w:eastAsia="zh-CN" w:bidi="ar-SA"/>
        </w:rPr>
      </w:pPr>
      <w:r>
        <w:rPr>
          <w:rFonts w:hint="eastAsia" w:ascii="黑体" w:eastAsia="黑体" w:cs="Times New Roman"/>
          <w:sz w:val="21"/>
          <w:szCs w:val="21"/>
          <w:lang w:val="en-US" w:eastAsia="zh-CN" w:bidi="ar-SA"/>
        </w:rPr>
        <w:t>监测点位</w:t>
      </w:r>
    </w:p>
    <w:p w14:paraId="3C9B3BFD">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r>
        <w:rPr>
          <w:rFonts w:hint="eastAsia" w:ascii="宋体" w:hAnsi="宋体" w:eastAsia="宋体" w:cs="宋体"/>
          <w:szCs w:val="22"/>
          <w:lang w:eastAsia="zh-CN"/>
        </w:rPr>
        <w:t>应对突发职业中毒事件发生地具体情况进行综合评估，迅速划定监测区域，确定监测点数量和位置。</w:t>
      </w:r>
    </w:p>
    <w:p w14:paraId="1FD54441">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r>
        <w:rPr>
          <w:rFonts w:hint="eastAsia" w:ascii="宋体" w:hAnsi="宋体" w:eastAsia="宋体" w:cs="宋体"/>
          <w:szCs w:val="22"/>
          <w:lang w:eastAsia="zh-CN"/>
        </w:rPr>
        <w:t>尽可能以最少的监测点位获取足够的有代表性的所需信息，点位设置一般以中毒发生地及其附近区域为主，以掌握事件发生地毒物浓度及其扩散范围。</w:t>
      </w:r>
    </w:p>
    <w:p w14:paraId="30D26394">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ascii="黑体" w:eastAsia="黑体" w:cs="Times New Roman"/>
          <w:sz w:val="21"/>
          <w:szCs w:val="21"/>
          <w:lang w:val="en-US" w:eastAsia="zh-CN" w:bidi="ar-SA"/>
        </w:rPr>
      </w:pPr>
      <w:r>
        <w:rPr>
          <w:rFonts w:hint="eastAsia" w:ascii="黑体" w:eastAsia="黑体" w:cs="Times New Roman"/>
          <w:sz w:val="21"/>
          <w:szCs w:val="21"/>
          <w:lang w:val="en-US" w:eastAsia="zh-CN" w:bidi="ar-SA"/>
        </w:rPr>
        <w:t>监测频次</w:t>
      </w:r>
    </w:p>
    <w:p w14:paraId="7D4FE4CC">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r>
        <w:rPr>
          <w:rFonts w:hint="eastAsia" w:ascii="宋体" w:hAnsi="宋体" w:eastAsia="宋体" w:cs="宋体"/>
          <w:szCs w:val="22"/>
          <w:lang w:eastAsia="zh-CN"/>
        </w:rPr>
        <w:t>事件发生初期应适当增加监测频次。</w:t>
      </w:r>
    </w:p>
    <w:p w14:paraId="408E9E09">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r>
        <w:rPr>
          <w:rFonts w:hint="eastAsia" w:ascii="宋体" w:hAnsi="宋体" w:eastAsia="宋体" w:cs="宋体"/>
          <w:szCs w:val="22"/>
          <w:lang w:eastAsia="zh-CN"/>
        </w:rPr>
        <w:t>摸清毒物变化规律或浓度趋于稳定后，可逐步减少监测频次。</w:t>
      </w:r>
    </w:p>
    <w:p w14:paraId="771D2A21">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ascii="黑体" w:eastAsia="黑体" w:cs="Times New Roman"/>
          <w:sz w:val="21"/>
          <w:szCs w:val="21"/>
          <w:lang w:val="en-US" w:eastAsia="zh-CN" w:bidi="ar-SA"/>
        </w:rPr>
      </w:pPr>
      <w:r>
        <w:rPr>
          <w:rFonts w:hint="eastAsia" w:ascii="黑体" w:eastAsia="黑体" w:cs="Times New Roman"/>
          <w:sz w:val="21"/>
          <w:szCs w:val="21"/>
          <w:lang w:val="en-US" w:eastAsia="zh-CN" w:bidi="ar-SA"/>
        </w:rPr>
        <w:t>监测方法</w:t>
      </w:r>
    </w:p>
    <w:p w14:paraId="20622F60">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r>
        <w:rPr>
          <w:rFonts w:hint="eastAsia" w:ascii="宋体" w:hAnsi="宋体" w:eastAsia="宋体" w:cs="宋体"/>
          <w:szCs w:val="22"/>
          <w:lang w:eastAsia="zh-CN"/>
        </w:rPr>
        <w:t>首选国家标准/行业标准的快速检测鉴定方法，结果直接用于中毒事件的病因判定和现场应急处置，同一应急监测阶段尽量统一监测方法。</w:t>
      </w:r>
    </w:p>
    <w:p w14:paraId="3A8C218B">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r>
        <w:rPr>
          <w:rFonts w:hint="eastAsia" w:ascii="宋体" w:hAnsi="宋体" w:eastAsia="宋体" w:cs="宋体"/>
          <w:szCs w:val="22"/>
          <w:lang w:eastAsia="zh-CN"/>
        </w:rPr>
        <w:t>无国家标准/行业标准的快速检测鉴定方法时，优先选择检测结果准确程度高的快速检测方法和仪器，其结果可以作为现场应急处置的参考依据。</w:t>
      </w:r>
    </w:p>
    <w:p w14:paraId="700314F7">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default" w:ascii="宋体" w:hAnsi="宋体" w:eastAsia="宋体" w:cs="宋体"/>
          <w:szCs w:val="22"/>
          <w:lang w:val="en-US" w:eastAsia="zh-CN"/>
        </w:rPr>
      </w:pPr>
      <w:r>
        <w:rPr>
          <w:rFonts w:hint="eastAsia" w:ascii="宋体" w:hAnsi="宋体" w:eastAsia="宋体" w:cs="宋体"/>
          <w:szCs w:val="22"/>
          <w:lang w:eastAsia="zh-CN"/>
        </w:rPr>
        <w:t>现场有样品采集条件时，应采集足够的样品，尽快送至实验室检测分析。</w:t>
      </w:r>
    </w:p>
    <w:p w14:paraId="65C9FA01">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default" w:ascii="宋体" w:hAnsi="宋体" w:eastAsia="宋体" w:cs="宋体"/>
          <w:szCs w:val="22"/>
          <w:lang w:val="en-US" w:eastAsia="zh-CN"/>
        </w:rPr>
      </w:pPr>
      <w:r>
        <w:rPr>
          <w:rFonts w:hint="eastAsia" w:ascii="宋体" w:hAnsi="宋体" w:eastAsia="宋体" w:cs="宋体"/>
          <w:szCs w:val="22"/>
          <w:lang w:eastAsia="zh-CN"/>
        </w:rPr>
        <w:t>当京津冀区域多地多部门联合监测时，各监测方应统一采取中毒应急指挥机构或上级监测部门确定的应急监测方法。</w:t>
      </w:r>
    </w:p>
    <w:p w14:paraId="03E85514">
      <w:pPr>
        <w:pStyle w:val="104"/>
        <w:spacing w:before="312" w:after="312"/>
      </w:pPr>
      <w:r>
        <w:rPr>
          <w:rFonts w:hint="eastAsia"/>
          <w:lang w:eastAsia="zh-CN"/>
        </w:rPr>
        <w:t>样品采集与检测</w:t>
      </w:r>
    </w:p>
    <w:p w14:paraId="7EA35510">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ascii="黑体" w:eastAsia="黑体" w:cs="Times New Roman"/>
          <w:sz w:val="21"/>
          <w:szCs w:val="21"/>
          <w:lang w:val="en-US" w:eastAsia="zh-CN" w:bidi="ar-SA"/>
        </w:rPr>
      </w:pPr>
      <w:r>
        <w:rPr>
          <w:rFonts w:hint="eastAsia" w:ascii="黑体" w:eastAsia="黑体" w:cs="Times New Roman"/>
          <w:sz w:val="21"/>
          <w:szCs w:val="21"/>
          <w:lang w:val="en-US" w:eastAsia="zh-CN" w:bidi="ar-SA"/>
        </w:rPr>
        <w:t>环境样品采集与检测</w:t>
      </w:r>
    </w:p>
    <w:p w14:paraId="761C11D7">
      <w:pPr>
        <w:pStyle w:val="65"/>
        <w:spacing w:before="156" w:after="156"/>
        <w:rPr>
          <w:rFonts w:hint="eastAsia"/>
          <w:szCs w:val="22"/>
          <w:lang w:val="en-US" w:eastAsia="zh-CN"/>
        </w:rPr>
      </w:pPr>
      <w:r>
        <w:rPr>
          <w:rFonts w:hint="eastAsia"/>
          <w:szCs w:val="22"/>
          <w:lang w:val="en-US" w:eastAsia="zh-CN"/>
        </w:rPr>
        <w:t>环境样品布点与采集</w:t>
      </w:r>
    </w:p>
    <w:p w14:paraId="5BE65ED1">
      <w:pPr>
        <w:pStyle w:val="164"/>
        <w:rPr>
          <w:rFonts w:hint="eastAsia"/>
          <w:szCs w:val="22"/>
        </w:rPr>
      </w:pPr>
      <w:r>
        <w:rPr>
          <w:rFonts w:hint="eastAsia"/>
          <w:szCs w:val="22"/>
          <w:lang w:eastAsia="zh-CN"/>
        </w:rPr>
        <w:t>布点应以使采集的样品具有代表性和能满足检测目的为原则。布点范围一般以发生职业中毒的工作地点及可能受影响的区域为主。</w:t>
      </w:r>
    </w:p>
    <w:p w14:paraId="50377FA3">
      <w:pPr>
        <w:pStyle w:val="164"/>
        <w:rPr>
          <w:rFonts w:hint="eastAsia"/>
          <w:szCs w:val="22"/>
        </w:rPr>
      </w:pPr>
      <w:r>
        <w:rPr>
          <w:rFonts w:hint="eastAsia"/>
          <w:szCs w:val="22"/>
          <w:lang w:eastAsia="zh-CN"/>
        </w:rPr>
        <w:t>气体样品采集高度一般在劳动者呼吸带高度，也可视中毒现场实际情况而定。</w:t>
      </w:r>
    </w:p>
    <w:p w14:paraId="156687EF">
      <w:pPr>
        <w:pStyle w:val="164"/>
        <w:rPr>
          <w:rFonts w:hint="eastAsia"/>
          <w:szCs w:val="22"/>
        </w:rPr>
      </w:pPr>
      <w:r>
        <w:rPr>
          <w:rFonts w:hint="eastAsia"/>
          <w:szCs w:val="22"/>
          <w:lang w:val="en-US" w:eastAsia="zh-CN"/>
        </w:rPr>
        <w:t>气体样品采集应在正常工况下或模拟事故发生时的作业状态下进行，若不能满足时，应在监测报告中说明。</w:t>
      </w:r>
    </w:p>
    <w:p w14:paraId="503D9138">
      <w:pPr>
        <w:pStyle w:val="164"/>
        <w:rPr>
          <w:rFonts w:hint="eastAsia"/>
          <w:szCs w:val="22"/>
          <w:lang w:val="en-US" w:eastAsia="zh-CN"/>
        </w:rPr>
      </w:pPr>
      <w:r>
        <w:rPr>
          <w:rFonts w:hint="eastAsia"/>
          <w:szCs w:val="22"/>
          <w:lang w:val="en-US" w:eastAsia="zh-CN"/>
        </w:rPr>
        <w:t>液态样品采集应包含职业中毒现场各个代表性点位。应采集液态污染物的泄漏源中的样品,如水管道、水桶、水箱（井）等。</w:t>
      </w:r>
    </w:p>
    <w:p w14:paraId="49BABB9C">
      <w:pPr>
        <w:pStyle w:val="164"/>
        <w:rPr>
          <w:rFonts w:hint="eastAsia"/>
          <w:szCs w:val="22"/>
          <w:lang w:val="en-US" w:eastAsia="zh-CN"/>
        </w:rPr>
      </w:pPr>
      <w:r>
        <w:rPr>
          <w:rFonts w:hint="eastAsia"/>
          <w:szCs w:val="22"/>
          <w:lang w:val="en-US" w:eastAsia="zh-CN"/>
        </w:rPr>
        <w:t>采集受污染的固态土壤样品时，应根据事件现场调查结果，综合考虑毒物印渍、现场地势和风向等信息，初步界定污染范围，可直接采集表层5cm土样，采样点不少于3~5个，同时采集2~3个对照点。</w:t>
      </w:r>
    </w:p>
    <w:p w14:paraId="13C18E76">
      <w:pPr>
        <w:pStyle w:val="164"/>
        <w:rPr>
          <w:rFonts w:hint="eastAsia"/>
          <w:szCs w:val="22"/>
          <w:lang w:val="en-US" w:eastAsia="zh-CN"/>
        </w:rPr>
      </w:pPr>
      <w:r>
        <w:rPr>
          <w:rFonts w:hint="eastAsia"/>
          <w:szCs w:val="22"/>
          <w:lang w:val="en-US" w:eastAsia="zh-CN"/>
        </w:rPr>
        <w:t>环境样品的采集方法按照WS/T 679的要求执行。</w:t>
      </w:r>
    </w:p>
    <w:p w14:paraId="5E0F0CE1">
      <w:pPr>
        <w:pStyle w:val="65"/>
        <w:spacing w:before="156" w:after="156"/>
        <w:rPr>
          <w:rFonts w:hint="eastAsia"/>
          <w:szCs w:val="22"/>
          <w:lang w:val="en-US" w:eastAsia="zh-CN"/>
        </w:rPr>
      </w:pPr>
      <w:bookmarkStart w:id="47" w:name="_Toc515628625"/>
      <w:r>
        <w:rPr>
          <w:rFonts w:hint="eastAsia"/>
          <w:szCs w:val="22"/>
          <w:lang w:val="en-US" w:eastAsia="zh-CN"/>
        </w:rPr>
        <w:t>环境样品检测</w:t>
      </w:r>
      <w:bookmarkEnd w:id="47"/>
    </w:p>
    <w:p w14:paraId="7BDD4B1B">
      <w:pPr>
        <w:pStyle w:val="164"/>
        <w:rPr>
          <w:rFonts w:hint="eastAsia"/>
          <w:szCs w:val="22"/>
          <w:lang w:val="en-US" w:eastAsia="zh-CN"/>
        </w:rPr>
      </w:pPr>
      <w:r>
        <w:rPr>
          <w:rFonts w:hint="eastAsia"/>
          <w:szCs w:val="22"/>
          <w:lang w:val="en-US" w:eastAsia="zh-CN"/>
        </w:rPr>
        <w:t>环境样品中常见毒物的现场快速检测方法和实验室检测方法参见</w:t>
      </w:r>
      <w:r>
        <w:rPr>
          <w:rFonts w:hint="eastAsia"/>
          <w:szCs w:val="22"/>
          <w:highlight w:val="none"/>
          <w:lang w:val="en-US" w:eastAsia="zh-CN"/>
        </w:rPr>
        <w:t>附录D。</w:t>
      </w:r>
      <w:bookmarkStart w:id="48" w:name="_Toc515628654"/>
    </w:p>
    <w:p w14:paraId="65A51470">
      <w:pPr>
        <w:pStyle w:val="164"/>
        <w:rPr>
          <w:rFonts w:hint="eastAsia"/>
          <w:szCs w:val="22"/>
          <w:lang w:val="en-US" w:eastAsia="zh-CN"/>
        </w:rPr>
      </w:pPr>
      <w:r>
        <w:rPr>
          <w:rFonts w:hint="eastAsia"/>
          <w:szCs w:val="22"/>
          <w:lang w:val="en-US" w:eastAsia="zh-CN"/>
        </w:rPr>
        <w:t>使用直读式气体检测仪检测时，每个检测点应进行三次相同检测后进行评估并记录。</w:t>
      </w:r>
      <w:bookmarkEnd w:id="48"/>
    </w:p>
    <w:p w14:paraId="0BD7B466">
      <w:pPr>
        <w:pStyle w:val="65"/>
        <w:spacing w:before="156" w:after="156"/>
        <w:rPr>
          <w:rFonts w:hint="eastAsia"/>
          <w:szCs w:val="22"/>
          <w:lang w:val="en-US" w:eastAsia="zh-CN"/>
        </w:rPr>
      </w:pPr>
      <w:r>
        <w:rPr>
          <w:rFonts w:hint="eastAsia"/>
          <w:szCs w:val="22"/>
          <w:lang w:val="en-US" w:eastAsia="zh-CN"/>
        </w:rPr>
        <w:t>质量控制</w:t>
      </w:r>
    </w:p>
    <w:p w14:paraId="4BB675F0">
      <w:pPr>
        <w:pStyle w:val="164"/>
        <w:rPr>
          <w:rFonts w:hint="eastAsia"/>
          <w:szCs w:val="22"/>
          <w:lang w:val="en-US" w:eastAsia="zh-CN"/>
        </w:rPr>
      </w:pPr>
      <w:bookmarkStart w:id="49" w:name="_Toc515628658"/>
      <w:bookmarkStart w:id="50" w:name="_Toc515628653"/>
      <w:r>
        <w:rPr>
          <w:rFonts w:hint="eastAsia"/>
          <w:szCs w:val="22"/>
          <w:lang w:val="en-US" w:eastAsia="zh-CN"/>
        </w:rPr>
        <w:t>使用空气采样器采集气体前后应用流量计对采样流量进行校准，流量校准方法及要求参照GBZ 331的附录E执行。</w:t>
      </w:r>
      <w:bookmarkEnd w:id="49"/>
    </w:p>
    <w:p w14:paraId="09D3D371">
      <w:pPr>
        <w:pStyle w:val="164"/>
        <w:rPr>
          <w:rFonts w:hint="eastAsia"/>
          <w:szCs w:val="22"/>
          <w:lang w:val="en-US" w:eastAsia="zh-CN"/>
        </w:rPr>
      </w:pPr>
      <w:bookmarkStart w:id="51" w:name="_Toc515628659"/>
      <w:r>
        <w:rPr>
          <w:rFonts w:hint="eastAsia"/>
          <w:szCs w:val="22"/>
          <w:lang w:val="en-US" w:eastAsia="zh-CN"/>
        </w:rPr>
        <w:t>采集样品的气袋（瓶、罐）应及时密封，给予唯一标识并记录采样信息，在运输过程中避免颠簸、挤压、碰撞等外力影响。液体吸收瓶应根据待测物质特性，避免高温高压、光照等影响，尽快送至实验室分析。</w:t>
      </w:r>
      <w:bookmarkEnd w:id="51"/>
    </w:p>
    <w:p w14:paraId="704A9248">
      <w:pPr>
        <w:pStyle w:val="164"/>
        <w:rPr>
          <w:rFonts w:hint="eastAsia"/>
          <w:szCs w:val="22"/>
          <w:lang w:val="en-US" w:eastAsia="zh-CN"/>
        </w:rPr>
      </w:pPr>
      <w:r>
        <w:rPr>
          <w:rFonts w:hint="eastAsia"/>
          <w:szCs w:val="22"/>
          <w:lang w:val="en-US" w:eastAsia="zh-CN"/>
        </w:rPr>
        <w:t>直读式气体检测仪应在有效的计量检定日期内，并经期间核查后确认在合格准用状态下方可使用。</w:t>
      </w:r>
      <w:bookmarkEnd w:id="50"/>
    </w:p>
    <w:p w14:paraId="2D9B5581">
      <w:pPr>
        <w:pStyle w:val="164"/>
        <w:rPr>
          <w:rFonts w:hint="eastAsia"/>
          <w:szCs w:val="22"/>
          <w:lang w:val="en-US" w:eastAsia="zh-CN"/>
        </w:rPr>
      </w:pPr>
      <w:bookmarkStart w:id="52" w:name="_Toc515628655"/>
      <w:r>
        <w:rPr>
          <w:rFonts w:hint="eastAsia"/>
          <w:szCs w:val="22"/>
          <w:lang w:val="en-US" w:eastAsia="zh-CN"/>
        </w:rPr>
        <w:t>使用直读式气体检测仪检测时，每次检测的通气时间要大于仪器的响应时间，两次测定的间隔时间要大于仪器的恢复时间。</w:t>
      </w:r>
      <w:bookmarkEnd w:id="52"/>
    </w:p>
    <w:p w14:paraId="11B4B243">
      <w:pPr>
        <w:pStyle w:val="164"/>
        <w:rPr>
          <w:rFonts w:hint="eastAsia"/>
          <w:szCs w:val="22"/>
          <w:lang w:val="en-US" w:eastAsia="zh-CN"/>
        </w:rPr>
      </w:pPr>
      <w:bookmarkStart w:id="53" w:name="_Toc515628661"/>
      <w:r>
        <w:rPr>
          <w:rFonts w:hint="eastAsia"/>
          <w:szCs w:val="22"/>
          <w:lang w:val="en-US" w:eastAsia="zh-CN"/>
        </w:rPr>
        <w:t>液态样品采集后，如不能及时分析，应根据不同测定项目采取不同保存方法，尽量减少样品组分变化。不同测定项目所用容器、样品量及保存方法参照HJ 493规定的方法执行。</w:t>
      </w:r>
      <w:bookmarkEnd w:id="53"/>
    </w:p>
    <w:p w14:paraId="6E77EAD1">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ascii="黑体" w:eastAsia="黑体" w:cs="Times New Roman"/>
          <w:sz w:val="21"/>
          <w:szCs w:val="21"/>
          <w:lang w:val="en-US" w:eastAsia="zh-CN" w:bidi="ar-SA"/>
        </w:rPr>
      </w:pPr>
      <w:r>
        <w:rPr>
          <w:rFonts w:hint="eastAsia" w:ascii="黑体" w:eastAsia="黑体" w:cs="Times New Roman"/>
          <w:sz w:val="21"/>
          <w:szCs w:val="21"/>
          <w:lang w:val="en-US" w:eastAsia="zh-CN" w:bidi="ar-SA"/>
        </w:rPr>
        <w:t>生物样品采集与检测</w:t>
      </w:r>
    </w:p>
    <w:p w14:paraId="713BDEFE">
      <w:pPr>
        <w:pStyle w:val="65"/>
        <w:spacing w:before="156" w:after="156"/>
        <w:rPr>
          <w:rFonts w:hint="eastAsia"/>
          <w:szCs w:val="22"/>
          <w:lang w:val="en-US" w:eastAsia="zh-CN"/>
        </w:rPr>
      </w:pPr>
      <w:r>
        <w:rPr>
          <w:rFonts w:hint="eastAsia"/>
          <w:szCs w:val="22"/>
          <w:lang w:val="en-US" w:eastAsia="zh-CN"/>
        </w:rPr>
        <w:t>生物样品采集</w:t>
      </w:r>
    </w:p>
    <w:p w14:paraId="4C40FA45">
      <w:pPr>
        <w:pStyle w:val="164"/>
        <w:rPr>
          <w:rFonts w:hint="eastAsia"/>
          <w:szCs w:val="22"/>
        </w:rPr>
      </w:pPr>
      <w:r>
        <w:rPr>
          <w:rFonts w:hint="eastAsia"/>
          <w:szCs w:val="22"/>
          <w:lang w:eastAsia="zh-CN"/>
        </w:rPr>
        <w:t>突发职业中毒的生物样品应急检测，可采集中毒人员的呕吐物、胃内容物、血液、尿液、呼出气等人体生物样品。</w:t>
      </w:r>
    </w:p>
    <w:p w14:paraId="62DC0F3A">
      <w:pPr>
        <w:pStyle w:val="164"/>
        <w:rPr>
          <w:rFonts w:hint="eastAsia"/>
          <w:szCs w:val="22"/>
          <w:lang w:val="en-US" w:eastAsia="zh-CN"/>
        </w:rPr>
      </w:pPr>
      <w:r>
        <w:rPr>
          <w:rFonts w:hint="eastAsia"/>
          <w:szCs w:val="22"/>
          <w:lang w:val="en-US" w:eastAsia="zh-CN"/>
        </w:rPr>
        <w:t>中毒现场采集血液样品前，应先清洗采集部位的皮肤。血液样品应使用具塞采血管采集。原因不明职业中毒事件中的血液样品应分为抗凝全血和血清两种方式采集。</w:t>
      </w:r>
    </w:p>
    <w:p w14:paraId="21A8A220">
      <w:pPr>
        <w:pStyle w:val="164"/>
        <w:rPr>
          <w:rFonts w:hint="eastAsia"/>
          <w:szCs w:val="22"/>
          <w:lang w:val="en-US" w:eastAsia="zh-CN"/>
        </w:rPr>
      </w:pPr>
      <w:r>
        <w:rPr>
          <w:rFonts w:hint="eastAsia"/>
          <w:szCs w:val="22"/>
          <w:lang w:val="en-US" w:eastAsia="zh-CN"/>
        </w:rPr>
        <w:t>尿液可通过直接收集、导出或注射器抽取，无尿者也可收集膀胱冲洗液。中毒人员自行留取尿液样品时，应先清洗双手，清除污染衣物，尿液样品应使用具塞的惰性塑料或玻璃容器盛装。</w:t>
      </w:r>
    </w:p>
    <w:p w14:paraId="214305F6">
      <w:pPr>
        <w:pStyle w:val="164"/>
        <w:rPr>
          <w:rFonts w:hint="eastAsia"/>
          <w:szCs w:val="22"/>
          <w:lang w:val="en-US" w:eastAsia="zh-CN"/>
        </w:rPr>
      </w:pPr>
      <w:r>
        <w:rPr>
          <w:rFonts w:hint="eastAsia"/>
          <w:szCs w:val="22"/>
          <w:lang w:val="en-US" w:eastAsia="zh-CN"/>
        </w:rPr>
        <w:t>不能稳定混匀的液体样品（如呕吐物等），应选用密闭性好的大容器整体采集，分别装入不同采样容器中。胃内容物和呕吐物等生物样品可用玻璃、聚乙烯或聚四氟乙烯容器盛装，避免使用金属器皿。</w:t>
      </w:r>
    </w:p>
    <w:p w14:paraId="5BB6BF80">
      <w:pPr>
        <w:pStyle w:val="164"/>
        <w:rPr>
          <w:rFonts w:hint="eastAsia"/>
          <w:szCs w:val="22"/>
          <w:lang w:val="en-US" w:eastAsia="zh-CN"/>
        </w:rPr>
      </w:pPr>
      <w:r>
        <w:rPr>
          <w:rFonts w:hint="eastAsia"/>
          <w:szCs w:val="22"/>
          <w:lang w:val="en-US" w:eastAsia="zh-CN"/>
        </w:rPr>
        <w:t>采集呼出气用的采气管（袋）应具有密闭性好，吸附性和阻力小的特性。常用的采气器为铝塑复合膜采气袋和两端有三通活塞的玻璃管。</w:t>
      </w:r>
    </w:p>
    <w:p w14:paraId="48E1AE5E">
      <w:pPr>
        <w:pStyle w:val="164"/>
        <w:rPr>
          <w:rFonts w:hint="eastAsia"/>
          <w:lang w:val="en-US" w:eastAsia="zh-CN"/>
        </w:rPr>
      </w:pPr>
      <w:r>
        <w:rPr>
          <w:rFonts w:hint="eastAsia"/>
          <w:szCs w:val="22"/>
          <w:lang w:val="en-US" w:eastAsia="zh-CN"/>
        </w:rPr>
        <w:t>血液样品采样量应在5mL以上，尿液样品采样量应在50mL以上，不能稳定混匀的液体样品（如 呕吐物等）采样量最好在200mL以上，呼出气样品采样量应在100mL以上。</w:t>
      </w:r>
    </w:p>
    <w:p w14:paraId="49110022">
      <w:pPr>
        <w:pStyle w:val="65"/>
        <w:spacing w:before="156" w:after="156"/>
        <w:rPr>
          <w:rFonts w:hint="eastAsia"/>
          <w:szCs w:val="22"/>
          <w:lang w:val="en-US" w:eastAsia="zh-CN"/>
        </w:rPr>
      </w:pPr>
      <w:r>
        <w:rPr>
          <w:rFonts w:hint="eastAsia"/>
          <w:szCs w:val="22"/>
          <w:lang w:val="en-US" w:eastAsia="zh-CN"/>
        </w:rPr>
        <w:t>生物样品检测</w:t>
      </w:r>
    </w:p>
    <w:p w14:paraId="426CB73E">
      <w:pPr>
        <w:pStyle w:val="56"/>
        <w:rPr>
          <w:rFonts w:hint="eastAsia"/>
          <w:lang w:val="en-US" w:eastAsia="zh-CN"/>
        </w:rPr>
      </w:pPr>
      <w:r>
        <w:rPr>
          <w:rFonts w:hint="eastAsia"/>
          <w:szCs w:val="22"/>
          <w:lang w:val="en-US" w:eastAsia="zh-CN"/>
        </w:rPr>
        <w:t>常见毒物中毒的人体生物样品检测方法参见</w:t>
      </w:r>
      <w:r>
        <w:rPr>
          <w:rFonts w:hint="eastAsia"/>
          <w:szCs w:val="22"/>
          <w:highlight w:val="none"/>
          <w:lang w:val="en-US" w:eastAsia="zh-CN"/>
        </w:rPr>
        <w:t>附录E。</w:t>
      </w:r>
    </w:p>
    <w:p w14:paraId="68D935B4">
      <w:pPr>
        <w:pStyle w:val="65"/>
        <w:spacing w:before="156" w:after="156"/>
        <w:rPr>
          <w:rFonts w:hint="eastAsia"/>
          <w:szCs w:val="22"/>
          <w:lang w:val="en-US" w:eastAsia="zh-CN"/>
        </w:rPr>
      </w:pPr>
      <w:r>
        <w:rPr>
          <w:rFonts w:hint="eastAsia"/>
          <w:szCs w:val="22"/>
          <w:lang w:val="en-US" w:eastAsia="zh-CN"/>
        </w:rPr>
        <w:t>质量控制</w:t>
      </w:r>
    </w:p>
    <w:p w14:paraId="23DAABCD">
      <w:pPr>
        <w:pStyle w:val="164"/>
        <w:rPr>
          <w:rFonts w:hint="eastAsia"/>
          <w:szCs w:val="22"/>
          <w:lang w:val="en-US" w:eastAsia="zh-CN"/>
        </w:rPr>
      </w:pPr>
      <w:r>
        <w:rPr>
          <w:rFonts w:hint="eastAsia"/>
          <w:szCs w:val="22"/>
          <w:lang w:val="en-US" w:eastAsia="zh-CN"/>
        </w:rPr>
        <w:t>应根据不同毒物在血液中的半衰期确定最佳采样时间，例如一氧化碳中毒，应尽快采集中毒人员血液测量其碳氧血红蛋白量，如果停止接触8h以上，则血液中碳氧血红蛋白量可能下降。</w:t>
      </w:r>
    </w:p>
    <w:p w14:paraId="63993D1C">
      <w:pPr>
        <w:pStyle w:val="164"/>
        <w:rPr>
          <w:rFonts w:hint="eastAsia"/>
          <w:szCs w:val="22"/>
          <w:lang w:val="en-US" w:eastAsia="zh-CN"/>
        </w:rPr>
      </w:pPr>
      <w:r>
        <w:rPr>
          <w:rFonts w:hint="eastAsia"/>
          <w:szCs w:val="22"/>
          <w:lang w:val="en-US" w:eastAsia="zh-CN"/>
        </w:rPr>
        <w:t>尿液的采集要注意采集时间，一些毒物在中毒初期尿检呈阴性。</w:t>
      </w:r>
    </w:p>
    <w:p w14:paraId="76F6DD78">
      <w:pPr>
        <w:pStyle w:val="164"/>
        <w:rPr>
          <w:rFonts w:hint="eastAsia"/>
          <w:szCs w:val="22"/>
          <w:lang w:val="en-US" w:eastAsia="zh-CN"/>
        </w:rPr>
      </w:pPr>
      <w:r>
        <w:rPr>
          <w:rFonts w:hint="eastAsia"/>
          <w:szCs w:val="22"/>
          <w:lang w:val="en-US" w:eastAsia="zh-CN"/>
        </w:rPr>
        <w:t>生物样品采集后应立即置于适宜条件下保存和运输。对于易从样品中逸出的毒物要注意密封保存，并尽快测定。血液和尿液等生物样品应在4℃条件下冷藏保存和运输。</w:t>
      </w:r>
    </w:p>
    <w:p w14:paraId="3902C39B">
      <w:pPr>
        <w:pStyle w:val="164"/>
        <w:rPr>
          <w:rFonts w:hint="eastAsia"/>
          <w:szCs w:val="22"/>
          <w:lang w:val="en-US" w:eastAsia="zh-CN"/>
        </w:rPr>
      </w:pPr>
      <w:r>
        <w:rPr>
          <w:rFonts w:hint="eastAsia"/>
          <w:szCs w:val="22"/>
          <w:lang w:val="en-US" w:eastAsia="zh-CN"/>
        </w:rPr>
        <w:t>肺功能不正常者一般不宜采集呼出气作为生物监测样品。</w:t>
      </w:r>
    </w:p>
    <w:p w14:paraId="5C2C7FCF">
      <w:pPr>
        <w:pStyle w:val="164"/>
        <w:rPr>
          <w:rFonts w:hint="eastAsia"/>
          <w:szCs w:val="22"/>
          <w:lang w:val="en-US" w:eastAsia="zh-CN"/>
        </w:rPr>
      </w:pPr>
      <w:r>
        <w:rPr>
          <w:rFonts w:hint="eastAsia"/>
          <w:szCs w:val="22"/>
          <w:lang w:val="en-US" w:eastAsia="zh-CN"/>
        </w:rPr>
        <w:t>采样用的容器应具有唯一性编号，编号区域不得被覆盖，不得涂写，保持编号清晰完整。</w:t>
      </w:r>
    </w:p>
    <w:p w14:paraId="6DE9EA52">
      <w:pPr>
        <w:pStyle w:val="164"/>
        <w:rPr>
          <w:rFonts w:hint="eastAsia"/>
          <w:lang w:val="en-US" w:eastAsia="zh-CN"/>
        </w:rPr>
      </w:pPr>
      <w:r>
        <w:rPr>
          <w:rFonts w:hint="eastAsia"/>
          <w:szCs w:val="22"/>
          <w:lang w:val="en-US" w:eastAsia="zh-CN"/>
        </w:rPr>
        <w:t>应急检测完毕的生物样品，应在不改变样品中毒物性质的条件下至少保存一周，以备实验室复核。</w:t>
      </w:r>
    </w:p>
    <w:p w14:paraId="53DBB365">
      <w:pPr>
        <w:pStyle w:val="223"/>
        <w:keepNext w:val="0"/>
        <w:keepLines w:val="0"/>
        <w:pageBreakBefore w:val="0"/>
        <w:widowControl/>
        <w:kinsoku/>
        <w:wordWrap/>
        <w:overflowPunct/>
        <w:topLinePunct w:val="0"/>
        <w:autoSpaceDE/>
        <w:autoSpaceDN/>
        <w:bidi w:val="0"/>
        <w:adjustRightInd/>
        <w:snapToGrid/>
        <w:spacing w:before="313" w:beforeLines="100" w:after="313" w:afterLines="100"/>
        <w:ind w:left="0" w:hanging="420" w:hangingChars="200"/>
        <w:textAlignment w:val="auto"/>
        <w:outlineLvl w:val="9"/>
        <w:rPr>
          <w:rFonts w:hint="eastAsia"/>
          <w:szCs w:val="22"/>
          <w:lang w:val="en-US" w:eastAsia="zh-CN"/>
        </w:rPr>
      </w:pPr>
      <w:r>
        <w:rPr>
          <w:rFonts w:hint="eastAsia" w:ascii="黑体" w:eastAsia="黑体" w:cs="Times New Roman"/>
          <w:sz w:val="21"/>
          <w:szCs w:val="21"/>
          <w:lang w:val="en-US" w:eastAsia="zh-CN" w:bidi="ar-SA"/>
        </w:rPr>
        <w:t>现场监测记录</w:t>
      </w:r>
    </w:p>
    <w:p w14:paraId="5B2F8627">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bookmarkStart w:id="54" w:name="_Toc515628634"/>
      <w:r>
        <w:rPr>
          <w:rFonts w:hint="eastAsia" w:ascii="宋体" w:hAnsi="宋体" w:eastAsia="宋体" w:cs="宋体"/>
          <w:szCs w:val="22"/>
          <w:lang w:eastAsia="zh-CN"/>
        </w:rPr>
        <w:t>应准确记录中毒现场环境条件，包括温度、湿度、气压、风速、热辐射等</w:t>
      </w:r>
      <w:bookmarkEnd w:id="54"/>
      <w:r>
        <w:rPr>
          <w:rFonts w:hint="eastAsia" w:ascii="宋体" w:hAnsi="宋体" w:eastAsia="宋体" w:cs="宋体"/>
          <w:szCs w:val="22"/>
          <w:lang w:eastAsia="zh-CN"/>
        </w:rPr>
        <w:t>。有限空间中毒和窒息事故还应记录空间结构。</w:t>
      </w:r>
    </w:p>
    <w:p w14:paraId="58A3B738">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bookmarkStart w:id="55" w:name="_Toc515628637"/>
      <w:r>
        <w:rPr>
          <w:rFonts w:hint="eastAsia" w:ascii="宋体" w:hAnsi="宋体" w:eastAsia="宋体" w:cs="宋体"/>
          <w:szCs w:val="22"/>
          <w:lang w:eastAsia="zh-CN"/>
        </w:rPr>
        <w:t>现场快速检测记录和采样记录均应在现场完成，内容全面、清晰、完整，由现场检测</w:t>
      </w:r>
      <w:r>
        <w:rPr>
          <w:rFonts w:hint="eastAsia" w:ascii="宋体" w:hAnsi="宋体" w:eastAsia="宋体" w:cs="宋体"/>
          <w:szCs w:val="22"/>
          <w:lang w:val="en-US" w:eastAsia="zh-CN"/>
        </w:rPr>
        <w:t>/采样</w:t>
      </w:r>
      <w:r>
        <w:rPr>
          <w:rFonts w:hint="eastAsia" w:ascii="宋体" w:hAnsi="宋体" w:eastAsia="宋体" w:cs="宋体"/>
          <w:szCs w:val="22"/>
          <w:lang w:eastAsia="zh-CN"/>
        </w:rPr>
        <w:t>人员、审核人、陪同人逐一签字确认。</w:t>
      </w:r>
      <w:bookmarkEnd w:id="55"/>
      <w:r>
        <w:rPr>
          <w:rFonts w:hint="eastAsia" w:ascii="宋体" w:hAnsi="宋体" w:eastAsia="宋体" w:cs="宋体"/>
          <w:szCs w:val="22"/>
          <w:highlight w:val="none"/>
          <w:lang w:eastAsia="zh-CN"/>
        </w:rPr>
        <w:t>现场快速检测记录表见附录</w:t>
      </w:r>
      <w:r>
        <w:rPr>
          <w:rFonts w:hint="eastAsia" w:ascii="宋体" w:hAnsi="宋体" w:eastAsia="宋体" w:cs="宋体"/>
          <w:szCs w:val="22"/>
          <w:highlight w:val="none"/>
          <w:lang w:val="en-US" w:eastAsia="zh-CN"/>
        </w:rPr>
        <w:t>F，现场采样记录表可充分利用常规监测的采样表格进行记录。</w:t>
      </w:r>
    </w:p>
    <w:p w14:paraId="63CEF244">
      <w:pPr>
        <w:pStyle w:val="65"/>
        <w:keepNext w:val="0"/>
        <w:keepLines w:val="0"/>
        <w:pageBreakBefore w:val="0"/>
        <w:widowControl w:val="0"/>
        <w:kinsoku/>
        <w:wordWrap/>
        <w:overflowPunct/>
        <w:topLinePunct w:val="0"/>
        <w:autoSpaceDE/>
        <w:autoSpaceDN/>
        <w:bidi w:val="0"/>
        <w:adjustRightInd/>
        <w:snapToGrid/>
        <w:spacing w:before="0" w:beforeLines="0" w:after="0" w:afterLines="0"/>
        <w:textAlignment w:val="auto"/>
        <w:outlineLvl w:val="2"/>
        <w:rPr>
          <w:rFonts w:hint="eastAsia" w:ascii="宋体" w:hAnsi="宋体" w:eastAsia="宋体" w:cs="宋体"/>
          <w:szCs w:val="22"/>
          <w:lang w:eastAsia="zh-CN"/>
        </w:rPr>
      </w:pPr>
      <w:r>
        <w:rPr>
          <w:rFonts w:hint="eastAsia" w:ascii="宋体" w:hAnsi="宋体" w:eastAsia="宋体" w:cs="宋体"/>
          <w:szCs w:val="22"/>
          <w:highlight w:val="none"/>
          <w:lang w:val="en-US" w:eastAsia="zh-CN"/>
        </w:rPr>
        <w:t>应</w:t>
      </w:r>
      <w:r>
        <w:rPr>
          <w:rFonts w:hint="eastAsia" w:ascii="宋体" w:hAnsi="宋体" w:eastAsia="宋体" w:cs="宋体"/>
          <w:szCs w:val="22"/>
          <w:lang w:eastAsia="zh-CN"/>
        </w:rPr>
        <w:t>绘制现场检测位置或采样布点示意图，并且标记准确、清晰。</w:t>
      </w:r>
    </w:p>
    <w:p w14:paraId="2B648ECF">
      <w:pPr>
        <w:pStyle w:val="104"/>
        <w:spacing w:before="312" w:after="312"/>
        <w:rPr>
          <w:rFonts w:hint="eastAsia"/>
          <w:szCs w:val="22"/>
          <w:lang w:val="en-US" w:eastAsia="zh-CN"/>
        </w:rPr>
      </w:pPr>
      <w:r>
        <w:rPr>
          <w:rFonts w:hint="eastAsia"/>
          <w:lang w:eastAsia="zh-CN"/>
        </w:rPr>
        <w:t>应急监测报告</w:t>
      </w:r>
    </w:p>
    <w:p w14:paraId="7DB96C89">
      <w:pPr>
        <w:pStyle w:val="236"/>
        <w:numPr>
          <w:ilvl w:val="1"/>
          <w:numId w:val="0"/>
        </w:numPr>
        <w:spacing w:before="0" w:beforeLines="0" w:after="0" w:afterLines="0"/>
        <w:ind w:leftChars="0"/>
        <w:rPr>
          <w:rFonts w:hint="eastAsia" w:ascii="宋体" w:hAnsi="宋体" w:eastAsia="宋体"/>
          <w:lang w:val="en-US" w:eastAsia="zh-CN"/>
        </w:rPr>
      </w:pPr>
      <w:bookmarkStart w:id="56" w:name="_Toc515628642"/>
      <w:bookmarkStart w:id="57" w:name="_Toc515628695"/>
      <w:r>
        <w:rPr>
          <w:rFonts w:hint="eastAsia" w:ascii="黑体" w:hAnsi="黑体" w:eastAsia="黑体" w:cs="黑体"/>
          <w:sz w:val="21"/>
          <w:szCs w:val="22"/>
          <w:lang w:val="en-US" w:eastAsia="zh-CN" w:bidi="ar-SA"/>
        </w:rPr>
        <w:t xml:space="preserve">9.1 </w:t>
      </w:r>
      <w:r>
        <w:rPr>
          <w:rFonts w:hint="eastAsia" w:ascii="宋体" w:hAnsi="宋体" w:eastAsia="宋体"/>
          <w:lang w:val="en-US" w:eastAsia="zh-CN"/>
        </w:rPr>
        <w:t xml:space="preserve"> 应急监测快报应第一时间报出。主要内容包括：监测时间、监测点位、监测项目、监测方法、监测结果、结果初步判定和下一步工作建议等。应急监测快报中应附中毒现场及监测点位示意图。</w:t>
      </w:r>
    </w:p>
    <w:p w14:paraId="190A1236">
      <w:pPr>
        <w:pStyle w:val="236"/>
        <w:numPr>
          <w:ilvl w:val="1"/>
          <w:numId w:val="0"/>
        </w:numPr>
        <w:spacing w:before="0" w:beforeLines="0" w:after="0" w:afterLines="0"/>
        <w:ind w:leftChars="0"/>
        <w:rPr>
          <w:rFonts w:hint="eastAsia" w:ascii="宋体" w:hAnsi="宋体" w:eastAsia="宋体"/>
          <w:lang w:val="en-US" w:eastAsia="zh-CN"/>
        </w:rPr>
      </w:pPr>
      <w:r>
        <w:rPr>
          <w:rFonts w:hint="eastAsia" w:ascii="黑体" w:hAnsi="黑体" w:eastAsia="黑体" w:cs="黑体"/>
          <w:sz w:val="21"/>
          <w:szCs w:val="22"/>
          <w:lang w:val="en-US" w:eastAsia="zh-CN" w:bidi="ar-SA"/>
        </w:rPr>
        <w:t xml:space="preserve">9.2 </w:t>
      </w:r>
      <w:r>
        <w:rPr>
          <w:rFonts w:hint="eastAsia" w:ascii="宋体" w:hAnsi="宋体" w:eastAsia="宋体"/>
          <w:lang w:val="en-US" w:eastAsia="zh-CN"/>
        </w:rPr>
        <w:t xml:space="preserve"> 应急监测报告是在汇总应急监测快报结果基础上编制完成，并对监测结果进行评估，说明毒物种类及可能的变化趋势。符合终止应急监测条件的，建议中毒应急指挥机构终止现场应急监测。</w:t>
      </w:r>
    </w:p>
    <w:bookmarkEnd w:id="56"/>
    <w:bookmarkEnd w:id="57"/>
    <w:p w14:paraId="65AC0731">
      <w:pPr>
        <w:pStyle w:val="164"/>
        <w:numPr>
          <w:ilvl w:val="4"/>
          <w:numId w:val="0"/>
        </w:numPr>
        <w:ind w:leftChars="0"/>
        <w:rPr>
          <w:rFonts w:hint="eastAsia" w:hAnsi="宋体" w:cs="宋体"/>
          <w:sz w:val="21"/>
          <w:szCs w:val="22"/>
          <w:highlight w:val="none"/>
          <w:lang w:val="en-US" w:eastAsia="zh-CN" w:bidi="ar-SA"/>
        </w:rPr>
      </w:pPr>
      <w:bookmarkStart w:id="58" w:name="_Toc515628700"/>
      <w:bookmarkStart w:id="59" w:name="_Toc515628647"/>
      <w:r>
        <w:rPr>
          <w:rFonts w:hint="eastAsia" w:ascii="黑体" w:hAnsi="黑体" w:eastAsia="黑体" w:cs="黑体"/>
          <w:sz w:val="21"/>
          <w:szCs w:val="22"/>
          <w:lang w:val="en-US" w:eastAsia="zh-CN" w:bidi="ar-SA"/>
        </w:rPr>
        <w:t xml:space="preserve">9.3 </w:t>
      </w:r>
      <w:r>
        <w:rPr>
          <w:rFonts w:hint="eastAsia" w:hAnsi="宋体" w:cs="宋体"/>
          <w:sz w:val="21"/>
          <w:szCs w:val="22"/>
          <w:lang w:val="en-US" w:eastAsia="zh-CN" w:bidi="ar-SA"/>
        </w:rPr>
        <w:t xml:space="preserve"> </w:t>
      </w:r>
      <w:r>
        <w:rPr>
          <w:rFonts w:hint="eastAsia" w:hAnsi="宋体" w:cs="宋体"/>
          <w:sz w:val="21"/>
          <w:szCs w:val="22"/>
          <w:highlight w:val="none"/>
          <w:lang w:val="en-US" w:eastAsia="zh-CN" w:bidi="ar-SA"/>
        </w:rPr>
        <w:t>应急监测</w:t>
      </w:r>
      <w:r>
        <w:rPr>
          <w:rFonts w:hint="eastAsia" w:ascii="宋体" w:hAnsi="宋体" w:eastAsia="宋体" w:cs="宋体"/>
          <w:sz w:val="21"/>
          <w:szCs w:val="22"/>
          <w:highlight w:val="none"/>
          <w:lang w:val="en-US" w:eastAsia="zh-CN" w:bidi="ar-SA"/>
        </w:rPr>
        <w:t>报告</w:t>
      </w:r>
      <w:r>
        <w:rPr>
          <w:rFonts w:hint="eastAsia" w:hAnsi="宋体" w:cs="宋体"/>
          <w:sz w:val="21"/>
          <w:szCs w:val="22"/>
          <w:highlight w:val="none"/>
          <w:lang w:val="en-US" w:eastAsia="zh-CN" w:bidi="ar-SA"/>
        </w:rPr>
        <w:t>应按照监测单位质量管理体系相关程序文件的要求完成审核签字后报送。</w:t>
      </w:r>
    </w:p>
    <w:p w14:paraId="711657DA">
      <w:pPr>
        <w:pStyle w:val="164"/>
        <w:numPr>
          <w:ilvl w:val="4"/>
          <w:numId w:val="0"/>
        </w:numPr>
        <w:ind w:leftChars="0"/>
        <w:rPr>
          <w:rFonts w:hint="default" w:ascii="宋体" w:hAnsi="宋体" w:eastAsia="宋体" w:cs="宋体"/>
          <w:sz w:val="21"/>
          <w:szCs w:val="22"/>
          <w:highlight w:val="none"/>
          <w:lang w:val="en-US" w:eastAsia="zh-CN" w:bidi="ar-SA"/>
        </w:rPr>
      </w:pPr>
      <w:r>
        <w:rPr>
          <w:rFonts w:hint="eastAsia" w:ascii="黑体" w:hAnsi="黑体" w:eastAsia="黑体" w:cs="黑体"/>
          <w:sz w:val="21"/>
          <w:szCs w:val="22"/>
          <w:lang w:val="en-US" w:eastAsia="zh-CN" w:bidi="ar-SA"/>
        </w:rPr>
        <w:t xml:space="preserve">9.4  </w:t>
      </w:r>
      <w:r>
        <w:rPr>
          <w:rFonts w:hint="eastAsia" w:ascii="宋体" w:hAnsi="宋体" w:eastAsia="宋体" w:cs="宋体"/>
          <w:sz w:val="21"/>
          <w:szCs w:val="22"/>
          <w:lang w:val="en-US" w:eastAsia="zh-CN" w:bidi="ar-SA"/>
        </w:rPr>
        <w:t>应急监测报告</w:t>
      </w:r>
      <w:r>
        <w:rPr>
          <w:rFonts w:hint="eastAsia" w:hAnsi="宋体" w:cs="宋体"/>
          <w:sz w:val="21"/>
          <w:szCs w:val="22"/>
          <w:lang w:val="en-US" w:eastAsia="zh-CN" w:bidi="ar-SA"/>
        </w:rPr>
        <w:t>相关材料的</w:t>
      </w:r>
      <w:r>
        <w:rPr>
          <w:rFonts w:hint="eastAsia" w:ascii="宋体" w:hAnsi="宋体" w:eastAsia="宋体" w:cs="宋体"/>
          <w:sz w:val="21"/>
          <w:szCs w:val="22"/>
          <w:lang w:val="en-US" w:eastAsia="zh-CN" w:bidi="ar-SA"/>
        </w:rPr>
        <w:t>原始记录、照片、录像、平面图等信息</w:t>
      </w:r>
      <w:bookmarkEnd w:id="58"/>
      <w:bookmarkEnd w:id="59"/>
      <w:r>
        <w:rPr>
          <w:rFonts w:hint="eastAsia" w:hAnsi="宋体" w:cs="宋体"/>
          <w:sz w:val="21"/>
          <w:szCs w:val="22"/>
          <w:highlight w:val="none"/>
          <w:lang w:val="en-US" w:eastAsia="zh-CN" w:bidi="ar-SA"/>
        </w:rPr>
        <w:t>保存至少2年。</w:t>
      </w:r>
    </w:p>
    <w:p w14:paraId="4767AA33">
      <w:pPr>
        <w:pStyle w:val="56"/>
        <w:ind w:left="0" w:leftChars="0" w:firstLine="0" w:firstLineChars="0"/>
        <w:rPr>
          <w:rFonts w:hint="eastAsia"/>
          <w:szCs w:val="22"/>
          <w:lang w:val="en-US" w:eastAsia="zh-CN"/>
        </w:rPr>
        <w:sectPr>
          <w:pgSz w:w="11906" w:h="16838"/>
          <w:pgMar w:top="567" w:right="1134" w:bottom="1134" w:left="1134" w:header="1418" w:footer="1134" w:gutter="284"/>
          <w:pgNumType w:start="1"/>
          <w:cols w:space="425" w:num="1"/>
          <w:formProt w:val="0"/>
          <w:docGrid w:type="lines" w:linePitch="312" w:charSpace="0"/>
        </w:sectPr>
      </w:pPr>
    </w:p>
    <w:bookmarkEnd w:id="28"/>
    <w:p w14:paraId="32E420DC">
      <w:pPr>
        <w:pStyle w:val="198"/>
        <w:rPr>
          <w:vanish w:val="0"/>
        </w:rPr>
      </w:pPr>
      <w:bookmarkStart w:id="60" w:name="BookMark5"/>
    </w:p>
    <w:p w14:paraId="6059E66E">
      <w:pPr>
        <w:pStyle w:val="199"/>
        <w:rPr>
          <w:vanish w:val="0"/>
        </w:rPr>
      </w:pPr>
    </w:p>
    <w:p w14:paraId="659300BD">
      <w:pPr>
        <w:pStyle w:val="76"/>
        <w:spacing w:before="78" w:after="156"/>
      </w:pPr>
      <w:r>
        <w:br w:type="textWrapping"/>
      </w:r>
      <w:r>
        <w:rPr>
          <w:rFonts w:hint="eastAsia"/>
        </w:rPr>
        <w:t>（规范性）</w:t>
      </w:r>
      <w:r>
        <w:br w:type="textWrapping"/>
      </w:r>
      <w:r>
        <w:rPr>
          <w:rFonts w:hint="eastAsia"/>
        </w:rPr>
        <w:t>应急监测仪器设备配备清单</w:t>
      </w:r>
    </w:p>
    <w:p w14:paraId="7913BD21">
      <w:pPr>
        <w:pStyle w:val="56"/>
        <w:rPr>
          <w:rFonts w:hint="eastAsia" w:eastAsia="宋体"/>
          <w:lang w:eastAsia="zh-CN"/>
        </w:rPr>
      </w:pPr>
      <w:r>
        <w:rPr>
          <w:rFonts w:hint="eastAsia"/>
          <w:lang w:eastAsia="zh-CN"/>
        </w:rPr>
        <w:t>突发职业中毒应急监测应该配备的仪器设备可根据实际需要参照</w:t>
      </w:r>
      <w:r>
        <w:t>表</w:t>
      </w:r>
      <w:r>
        <w:rPr>
          <w:rFonts w:hint="eastAsia"/>
        </w:rPr>
        <w:t>A.1</w:t>
      </w:r>
      <w:r>
        <w:rPr>
          <w:rFonts w:hint="eastAsia"/>
          <w:lang w:eastAsia="zh-CN"/>
        </w:rPr>
        <w:t>确定。</w:t>
      </w:r>
    </w:p>
    <w:p w14:paraId="2DFBADE9">
      <w:pPr>
        <w:pStyle w:val="77"/>
        <w:spacing w:before="156" w:after="156"/>
      </w:pPr>
      <w:r>
        <w:rPr>
          <w:rFonts w:hint="eastAsia"/>
        </w:rPr>
        <w:t>应急监测仪器设备配备清单</w:t>
      </w:r>
    </w:p>
    <w:tbl>
      <w:tblPr>
        <w:tblStyle w:val="26"/>
        <w:tblW w:w="867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61"/>
        <w:gridCol w:w="2759"/>
        <w:gridCol w:w="3756"/>
      </w:tblGrid>
      <w:tr w14:paraId="668418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Align w:val="top"/>
          </w:tcPr>
          <w:p w14:paraId="4B95A650">
            <w:pPr>
              <w:pStyle w:val="234"/>
              <w:ind w:firstLine="0" w:firstLineChars="0"/>
              <w:jc w:val="center"/>
              <w:rPr>
                <w:rFonts w:hint="eastAsia"/>
                <w:b/>
                <w:bCs/>
                <w:sz w:val="21"/>
                <w:szCs w:val="21"/>
              </w:rPr>
            </w:pPr>
            <w:r>
              <w:rPr>
                <w:rFonts w:hint="eastAsia"/>
                <w:b/>
                <w:bCs/>
                <w:sz w:val="21"/>
                <w:szCs w:val="21"/>
              </w:rPr>
              <w:t>物品类别</w:t>
            </w:r>
          </w:p>
        </w:tc>
        <w:tc>
          <w:tcPr>
            <w:tcW w:w="2759" w:type="dxa"/>
            <w:vAlign w:val="top"/>
          </w:tcPr>
          <w:p w14:paraId="48DE2C4C">
            <w:pPr>
              <w:pStyle w:val="234"/>
              <w:ind w:firstLine="0" w:firstLineChars="0"/>
              <w:jc w:val="center"/>
              <w:rPr>
                <w:b/>
                <w:bCs/>
                <w:sz w:val="21"/>
                <w:szCs w:val="21"/>
              </w:rPr>
            </w:pPr>
            <w:r>
              <w:rPr>
                <w:rFonts w:hint="eastAsia"/>
                <w:b/>
                <w:bCs/>
                <w:sz w:val="21"/>
                <w:szCs w:val="21"/>
              </w:rPr>
              <w:t>设备名称</w:t>
            </w:r>
          </w:p>
        </w:tc>
        <w:tc>
          <w:tcPr>
            <w:tcW w:w="3756" w:type="dxa"/>
            <w:vAlign w:val="top"/>
          </w:tcPr>
          <w:p w14:paraId="48403A2D">
            <w:pPr>
              <w:pStyle w:val="234"/>
              <w:ind w:firstLine="0" w:firstLineChars="0"/>
              <w:jc w:val="center"/>
              <w:rPr>
                <w:b/>
                <w:bCs/>
                <w:sz w:val="21"/>
                <w:szCs w:val="21"/>
              </w:rPr>
            </w:pPr>
            <w:r>
              <w:rPr>
                <w:rFonts w:hint="eastAsia"/>
                <w:b/>
                <w:bCs/>
                <w:sz w:val="21"/>
                <w:szCs w:val="21"/>
              </w:rPr>
              <w:t>技术性能要求</w:t>
            </w:r>
          </w:p>
        </w:tc>
      </w:tr>
      <w:tr w14:paraId="2296D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restart"/>
            <w:vAlign w:val="center"/>
          </w:tcPr>
          <w:p w14:paraId="1A592939">
            <w:pPr>
              <w:pStyle w:val="234"/>
              <w:ind w:firstLine="0" w:firstLineChars="0"/>
              <w:jc w:val="center"/>
              <w:rPr>
                <w:rFonts w:hint="eastAsia"/>
                <w:sz w:val="21"/>
                <w:szCs w:val="21"/>
              </w:rPr>
            </w:pPr>
            <w:r>
              <w:rPr>
                <w:rFonts w:hint="eastAsia"/>
                <w:sz w:val="21"/>
                <w:szCs w:val="21"/>
              </w:rPr>
              <w:t>工作保障</w:t>
            </w:r>
          </w:p>
        </w:tc>
        <w:tc>
          <w:tcPr>
            <w:tcW w:w="2759" w:type="dxa"/>
            <w:vAlign w:val="top"/>
          </w:tcPr>
          <w:p w14:paraId="7432399C">
            <w:pPr>
              <w:pStyle w:val="234"/>
              <w:ind w:firstLine="0" w:firstLineChars="0"/>
              <w:jc w:val="center"/>
              <w:rPr>
                <w:sz w:val="21"/>
                <w:szCs w:val="21"/>
              </w:rPr>
            </w:pPr>
            <w:r>
              <w:rPr>
                <w:rFonts w:hint="eastAsia"/>
                <w:sz w:val="21"/>
                <w:szCs w:val="21"/>
              </w:rPr>
              <w:t>移动电源</w:t>
            </w:r>
          </w:p>
        </w:tc>
        <w:tc>
          <w:tcPr>
            <w:tcW w:w="3756" w:type="dxa"/>
            <w:vAlign w:val="top"/>
          </w:tcPr>
          <w:p w14:paraId="647729C0">
            <w:pPr>
              <w:pStyle w:val="234"/>
              <w:ind w:firstLine="0" w:firstLineChars="0"/>
              <w:jc w:val="center"/>
              <w:rPr>
                <w:rFonts w:hint="eastAsia"/>
                <w:sz w:val="21"/>
                <w:szCs w:val="21"/>
              </w:rPr>
            </w:pPr>
            <w:r>
              <w:rPr>
                <w:rFonts w:hint="eastAsia"/>
                <w:sz w:val="21"/>
                <w:szCs w:val="21"/>
              </w:rPr>
              <w:t>防爆型直流电源</w:t>
            </w:r>
          </w:p>
        </w:tc>
      </w:tr>
      <w:tr w14:paraId="71FB3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2A139CCB">
            <w:pPr>
              <w:pStyle w:val="234"/>
              <w:ind w:firstLine="0" w:firstLineChars="0"/>
              <w:jc w:val="center"/>
              <w:rPr>
                <w:rFonts w:hint="eastAsia"/>
                <w:sz w:val="21"/>
                <w:szCs w:val="21"/>
              </w:rPr>
            </w:pPr>
          </w:p>
        </w:tc>
        <w:tc>
          <w:tcPr>
            <w:tcW w:w="2759" w:type="dxa"/>
            <w:vAlign w:val="top"/>
          </w:tcPr>
          <w:p w14:paraId="53136A3E">
            <w:pPr>
              <w:pStyle w:val="234"/>
              <w:ind w:firstLine="0" w:firstLineChars="0"/>
              <w:jc w:val="center"/>
              <w:rPr>
                <w:sz w:val="21"/>
                <w:szCs w:val="21"/>
              </w:rPr>
            </w:pPr>
            <w:r>
              <w:rPr>
                <w:rFonts w:hint="eastAsia"/>
                <w:sz w:val="21"/>
                <w:szCs w:val="21"/>
              </w:rPr>
              <w:t>防爆头灯</w:t>
            </w:r>
          </w:p>
        </w:tc>
        <w:tc>
          <w:tcPr>
            <w:tcW w:w="3756" w:type="dxa"/>
            <w:vAlign w:val="top"/>
          </w:tcPr>
          <w:p w14:paraId="0A0CD781">
            <w:pPr>
              <w:pStyle w:val="234"/>
              <w:ind w:firstLine="0" w:firstLineChars="0"/>
              <w:jc w:val="center"/>
              <w:rPr>
                <w:sz w:val="21"/>
                <w:szCs w:val="21"/>
              </w:rPr>
            </w:pPr>
            <w:r>
              <w:rPr>
                <w:rFonts w:hint="eastAsia"/>
                <w:sz w:val="21"/>
                <w:szCs w:val="21"/>
              </w:rPr>
              <w:t>防爆型、亮度大于200流明</w:t>
            </w:r>
          </w:p>
        </w:tc>
      </w:tr>
      <w:tr w14:paraId="416198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3848975C">
            <w:pPr>
              <w:pStyle w:val="234"/>
              <w:ind w:firstLine="0" w:firstLineChars="0"/>
              <w:jc w:val="center"/>
              <w:rPr>
                <w:rFonts w:hint="eastAsia"/>
                <w:sz w:val="21"/>
                <w:szCs w:val="21"/>
              </w:rPr>
            </w:pPr>
          </w:p>
        </w:tc>
        <w:tc>
          <w:tcPr>
            <w:tcW w:w="2759" w:type="dxa"/>
            <w:vAlign w:val="top"/>
          </w:tcPr>
          <w:p w14:paraId="1EBE7E64">
            <w:pPr>
              <w:pStyle w:val="234"/>
              <w:ind w:firstLine="0" w:firstLineChars="0"/>
              <w:jc w:val="center"/>
              <w:rPr>
                <w:rFonts w:hint="eastAsia" w:eastAsia="宋体"/>
                <w:sz w:val="21"/>
                <w:szCs w:val="21"/>
                <w:lang w:eastAsia="zh-CN"/>
              </w:rPr>
            </w:pPr>
            <w:r>
              <w:rPr>
                <w:rFonts w:hint="eastAsia"/>
                <w:sz w:val="21"/>
                <w:szCs w:val="21"/>
                <w:lang w:eastAsia="zh-CN"/>
              </w:rPr>
              <w:t>通讯设备</w:t>
            </w:r>
          </w:p>
        </w:tc>
        <w:tc>
          <w:tcPr>
            <w:tcW w:w="3756" w:type="dxa"/>
            <w:vAlign w:val="top"/>
          </w:tcPr>
          <w:p w14:paraId="34FC2632">
            <w:pPr>
              <w:pStyle w:val="234"/>
              <w:ind w:firstLine="0" w:firstLineChars="0"/>
              <w:jc w:val="center"/>
              <w:rPr>
                <w:rFonts w:hint="eastAsia" w:eastAsia="宋体"/>
                <w:sz w:val="21"/>
                <w:szCs w:val="21"/>
                <w:lang w:eastAsia="zh-CN"/>
              </w:rPr>
            </w:pPr>
            <w:r>
              <w:rPr>
                <w:rFonts w:hint="eastAsia"/>
                <w:sz w:val="21"/>
                <w:szCs w:val="21"/>
                <w:lang w:eastAsia="zh-CN"/>
              </w:rPr>
              <w:t>对讲机、移动电话等</w:t>
            </w:r>
          </w:p>
        </w:tc>
      </w:tr>
      <w:tr w14:paraId="2D47F5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3A09B447">
            <w:pPr>
              <w:pStyle w:val="234"/>
              <w:ind w:firstLine="0" w:firstLineChars="0"/>
              <w:jc w:val="center"/>
              <w:rPr>
                <w:rFonts w:hint="eastAsia"/>
                <w:sz w:val="21"/>
                <w:szCs w:val="21"/>
              </w:rPr>
            </w:pPr>
          </w:p>
        </w:tc>
        <w:tc>
          <w:tcPr>
            <w:tcW w:w="2759" w:type="dxa"/>
            <w:vAlign w:val="top"/>
          </w:tcPr>
          <w:p w14:paraId="7F60CA01">
            <w:pPr>
              <w:pStyle w:val="234"/>
              <w:ind w:firstLine="0" w:firstLineChars="0"/>
              <w:jc w:val="center"/>
              <w:rPr>
                <w:rFonts w:hint="eastAsia" w:eastAsia="宋体"/>
                <w:sz w:val="21"/>
                <w:szCs w:val="21"/>
                <w:lang w:eastAsia="zh-CN"/>
              </w:rPr>
            </w:pPr>
            <w:r>
              <w:rPr>
                <w:rFonts w:hint="eastAsia"/>
                <w:sz w:val="21"/>
                <w:szCs w:val="21"/>
                <w:lang w:eastAsia="zh-CN"/>
              </w:rPr>
              <w:t>查毒用笔记本电脑</w:t>
            </w:r>
          </w:p>
        </w:tc>
        <w:tc>
          <w:tcPr>
            <w:tcW w:w="3756" w:type="dxa"/>
            <w:vAlign w:val="top"/>
          </w:tcPr>
          <w:p w14:paraId="00F2F5AB">
            <w:pPr>
              <w:pStyle w:val="234"/>
              <w:ind w:firstLine="0" w:firstLineChars="0"/>
              <w:jc w:val="center"/>
              <w:rPr>
                <w:rFonts w:hint="default" w:eastAsia="宋体"/>
                <w:sz w:val="21"/>
                <w:szCs w:val="21"/>
                <w:lang w:val="en-US" w:eastAsia="zh-CN"/>
              </w:rPr>
            </w:pPr>
            <w:r>
              <w:rPr>
                <w:rFonts w:hint="eastAsia"/>
                <w:sz w:val="21"/>
                <w:szCs w:val="21"/>
                <w:lang w:eastAsia="zh-CN"/>
              </w:rPr>
              <w:t>含</w:t>
            </w:r>
            <w:r>
              <w:rPr>
                <w:rFonts w:hint="eastAsia"/>
                <w:sz w:val="21"/>
                <w:szCs w:val="21"/>
                <w:lang w:val="en-US" w:eastAsia="zh-CN"/>
              </w:rPr>
              <w:t>Tomes plus、化救通、MSDS库等软件</w:t>
            </w:r>
          </w:p>
        </w:tc>
      </w:tr>
      <w:tr w14:paraId="49EF92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restart"/>
            <w:vAlign w:val="center"/>
          </w:tcPr>
          <w:p w14:paraId="512ED632">
            <w:pPr>
              <w:pStyle w:val="234"/>
              <w:ind w:firstLine="0" w:firstLineChars="0"/>
              <w:jc w:val="center"/>
              <w:rPr>
                <w:rFonts w:hint="eastAsia"/>
                <w:sz w:val="21"/>
                <w:szCs w:val="21"/>
              </w:rPr>
            </w:pPr>
            <w:r>
              <w:rPr>
                <w:rFonts w:hint="eastAsia"/>
                <w:sz w:val="21"/>
                <w:szCs w:val="21"/>
                <w:lang w:eastAsia="zh-CN"/>
              </w:rPr>
              <w:t>样品采集仪器设备</w:t>
            </w:r>
          </w:p>
        </w:tc>
        <w:tc>
          <w:tcPr>
            <w:tcW w:w="2759" w:type="dxa"/>
            <w:vAlign w:val="center"/>
          </w:tcPr>
          <w:p w14:paraId="40198DD0">
            <w:pPr>
              <w:pStyle w:val="234"/>
              <w:ind w:firstLine="0" w:firstLineChars="0"/>
              <w:jc w:val="center"/>
              <w:rPr>
                <w:rFonts w:hint="eastAsia" w:eastAsia="宋体"/>
                <w:sz w:val="21"/>
                <w:szCs w:val="21"/>
                <w:lang w:eastAsia="zh-CN"/>
              </w:rPr>
            </w:pPr>
            <w:r>
              <w:rPr>
                <w:rFonts w:hint="eastAsia"/>
                <w:sz w:val="21"/>
                <w:szCs w:val="21"/>
              </w:rPr>
              <w:t>恒流空气采样器</w:t>
            </w:r>
          </w:p>
        </w:tc>
        <w:tc>
          <w:tcPr>
            <w:tcW w:w="3756" w:type="dxa"/>
            <w:vAlign w:val="top"/>
          </w:tcPr>
          <w:p w14:paraId="28B2C40E">
            <w:pPr>
              <w:pStyle w:val="234"/>
              <w:ind w:firstLine="0" w:firstLineChars="0"/>
              <w:jc w:val="center"/>
              <w:rPr>
                <w:sz w:val="21"/>
                <w:szCs w:val="21"/>
              </w:rPr>
            </w:pPr>
            <w:r>
              <w:rPr>
                <w:rFonts w:hint="eastAsia"/>
                <w:sz w:val="21"/>
                <w:szCs w:val="21"/>
              </w:rPr>
              <w:t>防爆型，</w:t>
            </w:r>
            <w:r>
              <w:rPr>
                <w:rFonts w:hint="eastAsia"/>
                <w:sz w:val="21"/>
                <w:szCs w:val="21"/>
                <w:lang w:eastAsia="zh-CN"/>
              </w:rPr>
              <w:t>内含气体采样泵、收集装置</w:t>
            </w:r>
          </w:p>
        </w:tc>
      </w:tr>
      <w:tr w14:paraId="65579E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30F6D616">
            <w:pPr>
              <w:pStyle w:val="234"/>
              <w:ind w:firstLine="0" w:firstLineChars="0"/>
              <w:jc w:val="center"/>
              <w:rPr>
                <w:rFonts w:hint="eastAsia"/>
                <w:sz w:val="21"/>
                <w:szCs w:val="21"/>
              </w:rPr>
            </w:pPr>
          </w:p>
        </w:tc>
        <w:tc>
          <w:tcPr>
            <w:tcW w:w="2759" w:type="dxa"/>
            <w:vAlign w:val="top"/>
          </w:tcPr>
          <w:p w14:paraId="34F8DC33">
            <w:pPr>
              <w:pStyle w:val="234"/>
              <w:ind w:firstLine="0" w:firstLineChars="0"/>
              <w:jc w:val="center"/>
              <w:rPr>
                <w:rFonts w:hint="eastAsia" w:eastAsia="宋体"/>
                <w:sz w:val="21"/>
                <w:szCs w:val="21"/>
                <w:lang w:eastAsia="zh-CN"/>
              </w:rPr>
            </w:pPr>
            <w:r>
              <w:rPr>
                <w:rFonts w:hint="eastAsia"/>
                <w:sz w:val="21"/>
                <w:szCs w:val="21"/>
              </w:rPr>
              <w:t>储水瓶</w:t>
            </w:r>
          </w:p>
        </w:tc>
        <w:tc>
          <w:tcPr>
            <w:tcW w:w="3756" w:type="dxa"/>
            <w:vAlign w:val="top"/>
          </w:tcPr>
          <w:p w14:paraId="67F22817">
            <w:pPr>
              <w:pStyle w:val="234"/>
              <w:ind w:firstLine="0" w:firstLineChars="0"/>
              <w:jc w:val="center"/>
              <w:rPr>
                <w:rFonts w:hint="eastAsia"/>
                <w:sz w:val="21"/>
                <w:szCs w:val="21"/>
              </w:rPr>
            </w:pPr>
            <w:r>
              <w:rPr>
                <w:rFonts w:hint="eastAsia"/>
                <w:sz w:val="21"/>
                <w:szCs w:val="21"/>
              </w:rPr>
              <w:t>玻璃瓶体，聚四氟乙烯瓶盖</w:t>
            </w:r>
          </w:p>
        </w:tc>
      </w:tr>
      <w:tr w14:paraId="3710E6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00CD5710">
            <w:pPr>
              <w:pStyle w:val="234"/>
              <w:ind w:firstLine="0" w:firstLineChars="0"/>
              <w:jc w:val="center"/>
              <w:rPr>
                <w:rFonts w:hint="eastAsia"/>
                <w:sz w:val="21"/>
                <w:szCs w:val="21"/>
              </w:rPr>
            </w:pPr>
          </w:p>
        </w:tc>
        <w:tc>
          <w:tcPr>
            <w:tcW w:w="2759" w:type="dxa"/>
            <w:vAlign w:val="top"/>
          </w:tcPr>
          <w:p w14:paraId="563EE4A2">
            <w:pPr>
              <w:pStyle w:val="234"/>
              <w:ind w:firstLine="0" w:firstLineChars="0"/>
              <w:jc w:val="center"/>
              <w:rPr>
                <w:rFonts w:hint="eastAsia" w:eastAsia="宋体"/>
                <w:sz w:val="21"/>
                <w:szCs w:val="21"/>
                <w:lang w:eastAsia="zh-CN"/>
              </w:rPr>
            </w:pPr>
            <w:r>
              <w:rPr>
                <w:rFonts w:hint="eastAsia"/>
                <w:sz w:val="21"/>
                <w:szCs w:val="21"/>
                <w:lang w:eastAsia="zh-CN"/>
              </w:rPr>
              <w:t>土壤收集瓶、收集袋</w:t>
            </w:r>
          </w:p>
        </w:tc>
        <w:tc>
          <w:tcPr>
            <w:tcW w:w="3756" w:type="dxa"/>
            <w:vAlign w:val="top"/>
          </w:tcPr>
          <w:p w14:paraId="23A20C67">
            <w:pPr>
              <w:pStyle w:val="234"/>
              <w:ind w:firstLine="0" w:firstLineChars="0"/>
              <w:jc w:val="center"/>
              <w:rPr>
                <w:rFonts w:hint="eastAsia" w:eastAsia="宋体"/>
                <w:sz w:val="21"/>
                <w:szCs w:val="21"/>
                <w:lang w:eastAsia="zh-CN"/>
              </w:rPr>
            </w:pPr>
            <w:r>
              <w:rPr>
                <w:rFonts w:hint="eastAsia"/>
                <w:sz w:val="21"/>
                <w:szCs w:val="21"/>
                <w:lang w:eastAsia="zh-CN"/>
              </w:rPr>
              <w:t>耐腐蚀、密封</w:t>
            </w:r>
          </w:p>
        </w:tc>
      </w:tr>
      <w:tr w14:paraId="1AD8D4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2161" w:type="dxa"/>
            <w:vMerge w:val="continue"/>
            <w:vAlign w:val="center"/>
          </w:tcPr>
          <w:p w14:paraId="1A4EF58A">
            <w:pPr>
              <w:pStyle w:val="234"/>
              <w:ind w:firstLine="0" w:firstLineChars="0"/>
              <w:jc w:val="center"/>
              <w:rPr>
                <w:rFonts w:hint="eastAsia"/>
                <w:sz w:val="21"/>
                <w:szCs w:val="21"/>
              </w:rPr>
            </w:pPr>
          </w:p>
        </w:tc>
        <w:tc>
          <w:tcPr>
            <w:tcW w:w="2759" w:type="dxa"/>
            <w:vAlign w:val="top"/>
          </w:tcPr>
          <w:p w14:paraId="55E46844">
            <w:pPr>
              <w:pStyle w:val="234"/>
              <w:ind w:firstLine="0" w:firstLineChars="0"/>
              <w:jc w:val="center"/>
              <w:rPr>
                <w:rFonts w:hint="eastAsia" w:eastAsia="宋体"/>
                <w:sz w:val="21"/>
                <w:szCs w:val="21"/>
                <w:lang w:eastAsia="zh-CN"/>
              </w:rPr>
            </w:pPr>
            <w:r>
              <w:rPr>
                <w:rFonts w:hint="eastAsia"/>
                <w:sz w:val="21"/>
                <w:szCs w:val="21"/>
              </w:rPr>
              <w:t>采水器</w:t>
            </w:r>
          </w:p>
        </w:tc>
        <w:tc>
          <w:tcPr>
            <w:tcW w:w="3756" w:type="dxa"/>
            <w:vAlign w:val="top"/>
          </w:tcPr>
          <w:p w14:paraId="236E44E0">
            <w:pPr>
              <w:pStyle w:val="234"/>
              <w:ind w:firstLine="0" w:firstLineChars="0"/>
              <w:jc w:val="center"/>
              <w:rPr>
                <w:rFonts w:hint="eastAsia"/>
                <w:sz w:val="21"/>
                <w:szCs w:val="21"/>
              </w:rPr>
            </w:pPr>
            <w:r>
              <w:rPr>
                <w:rFonts w:hint="eastAsia"/>
                <w:sz w:val="21"/>
                <w:szCs w:val="21"/>
              </w:rPr>
              <w:t>不锈钢材质</w:t>
            </w:r>
          </w:p>
        </w:tc>
      </w:tr>
      <w:tr w14:paraId="354B3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16829424">
            <w:pPr>
              <w:pStyle w:val="234"/>
              <w:ind w:firstLine="0" w:firstLineChars="0"/>
              <w:jc w:val="center"/>
              <w:rPr>
                <w:rFonts w:hint="eastAsia"/>
                <w:sz w:val="21"/>
                <w:szCs w:val="21"/>
              </w:rPr>
            </w:pPr>
          </w:p>
        </w:tc>
        <w:tc>
          <w:tcPr>
            <w:tcW w:w="2759" w:type="dxa"/>
            <w:vAlign w:val="top"/>
          </w:tcPr>
          <w:p w14:paraId="2BBB87E7">
            <w:pPr>
              <w:pStyle w:val="234"/>
              <w:ind w:firstLine="0" w:firstLineChars="0"/>
              <w:jc w:val="center"/>
              <w:rPr>
                <w:rFonts w:hint="eastAsia" w:eastAsia="宋体"/>
                <w:sz w:val="21"/>
                <w:szCs w:val="21"/>
                <w:lang w:eastAsia="zh-CN"/>
              </w:rPr>
            </w:pPr>
            <w:r>
              <w:rPr>
                <w:rFonts w:hint="eastAsia"/>
                <w:sz w:val="21"/>
                <w:szCs w:val="21"/>
                <w:lang w:eastAsia="zh-CN"/>
              </w:rPr>
              <w:t>化学品采集容器</w:t>
            </w:r>
          </w:p>
        </w:tc>
        <w:tc>
          <w:tcPr>
            <w:tcW w:w="3756" w:type="dxa"/>
            <w:vAlign w:val="top"/>
          </w:tcPr>
          <w:p w14:paraId="502A7F9E">
            <w:pPr>
              <w:pStyle w:val="234"/>
              <w:ind w:firstLine="0" w:firstLineChars="0"/>
              <w:jc w:val="center"/>
              <w:rPr>
                <w:rFonts w:hint="eastAsia" w:eastAsia="宋体"/>
                <w:sz w:val="21"/>
                <w:szCs w:val="21"/>
                <w:lang w:eastAsia="zh-CN"/>
              </w:rPr>
            </w:pPr>
            <w:r>
              <w:rPr>
                <w:rFonts w:hint="eastAsia"/>
                <w:sz w:val="21"/>
                <w:szCs w:val="21"/>
                <w:lang w:eastAsia="zh-CN"/>
              </w:rPr>
              <w:t>耐腐蚀、耐高温</w:t>
            </w:r>
          </w:p>
        </w:tc>
      </w:tr>
      <w:tr w14:paraId="76E152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0E4FCD0F">
            <w:pPr>
              <w:pStyle w:val="234"/>
              <w:ind w:firstLine="0" w:firstLineChars="0"/>
              <w:jc w:val="center"/>
              <w:rPr>
                <w:rFonts w:hint="eastAsia"/>
                <w:sz w:val="21"/>
                <w:szCs w:val="21"/>
              </w:rPr>
            </w:pPr>
          </w:p>
        </w:tc>
        <w:tc>
          <w:tcPr>
            <w:tcW w:w="2759" w:type="dxa"/>
            <w:vAlign w:val="top"/>
          </w:tcPr>
          <w:p w14:paraId="631C06D0">
            <w:pPr>
              <w:pStyle w:val="234"/>
              <w:ind w:firstLine="0" w:firstLineChars="0"/>
              <w:jc w:val="center"/>
              <w:rPr>
                <w:rFonts w:hint="eastAsia" w:eastAsia="宋体"/>
                <w:sz w:val="21"/>
                <w:szCs w:val="21"/>
                <w:lang w:eastAsia="zh-CN"/>
              </w:rPr>
            </w:pPr>
            <w:r>
              <w:rPr>
                <w:rFonts w:hint="eastAsia"/>
                <w:sz w:val="21"/>
                <w:szCs w:val="21"/>
              </w:rPr>
              <w:t>导气管</w:t>
            </w:r>
          </w:p>
        </w:tc>
        <w:tc>
          <w:tcPr>
            <w:tcW w:w="3756" w:type="dxa"/>
            <w:vAlign w:val="top"/>
          </w:tcPr>
          <w:p w14:paraId="6A04A57F">
            <w:pPr>
              <w:pStyle w:val="234"/>
              <w:ind w:firstLine="0" w:firstLineChars="0"/>
              <w:jc w:val="center"/>
              <w:rPr>
                <w:rFonts w:hint="eastAsia"/>
                <w:sz w:val="21"/>
                <w:szCs w:val="21"/>
              </w:rPr>
            </w:pPr>
            <w:r>
              <w:rPr>
                <w:rFonts w:hint="eastAsia"/>
                <w:sz w:val="21"/>
                <w:szCs w:val="21"/>
              </w:rPr>
              <w:t>聚四氟乙烯材质</w:t>
            </w:r>
          </w:p>
        </w:tc>
      </w:tr>
      <w:tr w14:paraId="6C5A80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4" w:hRule="atLeast"/>
          <w:jc w:val="center"/>
        </w:trPr>
        <w:tc>
          <w:tcPr>
            <w:tcW w:w="2161" w:type="dxa"/>
            <w:vMerge w:val="continue"/>
            <w:vAlign w:val="center"/>
          </w:tcPr>
          <w:p w14:paraId="10D440EC">
            <w:pPr>
              <w:pStyle w:val="234"/>
              <w:ind w:firstLine="0" w:firstLineChars="0"/>
              <w:jc w:val="center"/>
              <w:rPr>
                <w:rFonts w:hint="eastAsia"/>
                <w:sz w:val="21"/>
                <w:szCs w:val="21"/>
              </w:rPr>
            </w:pPr>
          </w:p>
        </w:tc>
        <w:tc>
          <w:tcPr>
            <w:tcW w:w="2759" w:type="dxa"/>
            <w:vAlign w:val="top"/>
          </w:tcPr>
          <w:p w14:paraId="13868AA4">
            <w:pPr>
              <w:pStyle w:val="234"/>
              <w:ind w:firstLine="0" w:firstLineChars="0"/>
              <w:jc w:val="center"/>
              <w:rPr>
                <w:rFonts w:hint="eastAsia" w:eastAsia="宋体"/>
                <w:sz w:val="21"/>
                <w:szCs w:val="21"/>
                <w:lang w:eastAsia="zh-CN"/>
              </w:rPr>
            </w:pPr>
            <w:r>
              <w:rPr>
                <w:rFonts w:hint="eastAsia"/>
                <w:sz w:val="21"/>
                <w:szCs w:val="21"/>
                <w:lang w:eastAsia="zh-CN"/>
              </w:rPr>
              <w:t>呕吐物、血、尿、便等生物样品采集容器</w:t>
            </w:r>
          </w:p>
        </w:tc>
        <w:tc>
          <w:tcPr>
            <w:tcW w:w="3756" w:type="dxa"/>
            <w:vAlign w:val="top"/>
          </w:tcPr>
          <w:p w14:paraId="1B91C24C">
            <w:pPr>
              <w:pStyle w:val="234"/>
              <w:ind w:firstLine="0" w:firstLineChars="0"/>
              <w:jc w:val="center"/>
              <w:rPr>
                <w:rFonts w:hint="eastAsia" w:eastAsia="宋体"/>
                <w:sz w:val="21"/>
                <w:szCs w:val="21"/>
                <w:lang w:eastAsia="zh-CN"/>
              </w:rPr>
            </w:pPr>
            <w:r>
              <w:rPr>
                <w:rFonts w:hint="eastAsia"/>
                <w:sz w:val="21"/>
                <w:szCs w:val="21"/>
                <w:lang w:eastAsia="zh-CN"/>
              </w:rPr>
              <w:t>无菌、密封，玻璃或特定塑料材质</w:t>
            </w:r>
          </w:p>
        </w:tc>
      </w:tr>
      <w:tr w14:paraId="11CF18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10D4C04D">
            <w:pPr>
              <w:pStyle w:val="234"/>
              <w:ind w:firstLine="0" w:firstLineChars="0"/>
              <w:jc w:val="center"/>
              <w:rPr>
                <w:rFonts w:hint="eastAsia"/>
                <w:sz w:val="21"/>
                <w:szCs w:val="21"/>
              </w:rPr>
            </w:pPr>
          </w:p>
        </w:tc>
        <w:tc>
          <w:tcPr>
            <w:tcW w:w="2759" w:type="dxa"/>
            <w:vAlign w:val="top"/>
          </w:tcPr>
          <w:p w14:paraId="125DA241">
            <w:pPr>
              <w:pStyle w:val="234"/>
              <w:ind w:firstLine="0" w:firstLineChars="0"/>
              <w:jc w:val="center"/>
              <w:rPr>
                <w:rFonts w:hint="eastAsia"/>
                <w:sz w:val="21"/>
                <w:szCs w:val="21"/>
              </w:rPr>
            </w:pPr>
            <w:r>
              <w:rPr>
                <w:rFonts w:hint="eastAsia"/>
                <w:sz w:val="21"/>
                <w:szCs w:val="21"/>
              </w:rPr>
              <w:t>Summa</w:t>
            </w:r>
            <w:r>
              <w:rPr>
                <w:rFonts w:hint="eastAsia"/>
                <w:sz w:val="21"/>
                <w:szCs w:val="21"/>
                <w:lang w:eastAsia="zh-CN"/>
              </w:rPr>
              <w:t>采样</w:t>
            </w:r>
            <w:r>
              <w:rPr>
                <w:rFonts w:hint="eastAsia"/>
                <w:sz w:val="21"/>
                <w:szCs w:val="21"/>
              </w:rPr>
              <w:t>罐</w:t>
            </w:r>
          </w:p>
        </w:tc>
        <w:tc>
          <w:tcPr>
            <w:tcW w:w="3756" w:type="dxa"/>
            <w:vAlign w:val="top"/>
          </w:tcPr>
          <w:p w14:paraId="77BF7414">
            <w:pPr>
              <w:pStyle w:val="234"/>
              <w:ind w:firstLine="0" w:firstLineChars="0"/>
              <w:jc w:val="center"/>
              <w:rPr>
                <w:rFonts w:hint="eastAsia"/>
                <w:sz w:val="21"/>
                <w:szCs w:val="21"/>
              </w:rPr>
            </w:pPr>
            <w:r>
              <w:rPr>
                <w:rFonts w:hint="eastAsia"/>
                <w:sz w:val="21"/>
                <w:szCs w:val="21"/>
              </w:rPr>
              <w:t>不锈钢材质，气密性完好</w:t>
            </w:r>
          </w:p>
        </w:tc>
      </w:tr>
      <w:tr w14:paraId="7FB090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574CDCCD">
            <w:pPr>
              <w:pStyle w:val="234"/>
              <w:ind w:firstLine="0" w:firstLineChars="0"/>
              <w:jc w:val="center"/>
              <w:rPr>
                <w:rFonts w:hint="eastAsia"/>
                <w:sz w:val="21"/>
                <w:szCs w:val="21"/>
              </w:rPr>
            </w:pPr>
          </w:p>
        </w:tc>
        <w:tc>
          <w:tcPr>
            <w:tcW w:w="2759" w:type="dxa"/>
            <w:vAlign w:val="center"/>
          </w:tcPr>
          <w:p w14:paraId="6420916C">
            <w:pPr>
              <w:pStyle w:val="234"/>
              <w:ind w:firstLine="0" w:firstLineChars="0"/>
              <w:jc w:val="center"/>
              <w:rPr>
                <w:rFonts w:hint="eastAsia"/>
                <w:sz w:val="21"/>
                <w:szCs w:val="21"/>
                <w:lang w:eastAsia="zh-CN"/>
              </w:rPr>
            </w:pPr>
            <w:r>
              <w:rPr>
                <w:rFonts w:hint="eastAsia"/>
                <w:sz w:val="21"/>
                <w:szCs w:val="21"/>
                <w:lang w:eastAsia="zh-CN"/>
              </w:rPr>
              <w:t>样品保存箱</w:t>
            </w:r>
          </w:p>
        </w:tc>
        <w:tc>
          <w:tcPr>
            <w:tcW w:w="3756" w:type="dxa"/>
            <w:vAlign w:val="top"/>
          </w:tcPr>
          <w:p w14:paraId="7037C200">
            <w:pPr>
              <w:pStyle w:val="234"/>
              <w:ind w:firstLine="0" w:firstLineChars="0"/>
              <w:jc w:val="center"/>
              <w:rPr>
                <w:rFonts w:hint="eastAsia" w:eastAsia="宋体"/>
                <w:sz w:val="21"/>
                <w:szCs w:val="21"/>
                <w:lang w:eastAsia="zh-CN"/>
              </w:rPr>
            </w:pPr>
            <w:r>
              <w:rPr>
                <w:rFonts w:hint="eastAsia"/>
                <w:sz w:val="21"/>
                <w:szCs w:val="21"/>
                <w:lang w:eastAsia="zh-CN"/>
              </w:rPr>
              <w:t>避光、密封、清洁、具有安全锁定功能</w:t>
            </w:r>
          </w:p>
        </w:tc>
      </w:tr>
      <w:tr w14:paraId="43481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6DDC0AF7">
            <w:pPr>
              <w:pStyle w:val="234"/>
              <w:ind w:firstLine="0" w:firstLineChars="0"/>
              <w:jc w:val="center"/>
              <w:rPr>
                <w:rFonts w:hint="eastAsia"/>
                <w:sz w:val="21"/>
                <w:szCs w:val="21"/>
              </w:rPr>
            </w:pPr>
          </w:p>
        </w:tc>
        <w:tc>
          <w:tcPr>
            <w:tcW w:w="2759" w:type="dxa"/>
            <w:vAlign w:val="center"/>
          </w:tcPr>
          <w:p w14:paraId="433678FB">
            <w:pPr>
              <w:pStyle w:val="234"/>
              <w:ind w:firstLine="0" w:firstLineChars="0"/>
              <w:jc w:val="center"/>
              <w:rPr>
                <w:rFonts w:hint="eastAsia"/>
                <w:sz w:val="21"/>
                <w:szCs w:val="21"/>
              </w:rPr>
            </w:pPr>
            <w:r>
              <w:rPr>
                <w:rFonts w:hint="eastAsia"/>
                <w:sz w:val="21"/>
                <w:szCs w:val="21"/>
                <w:lang w:eastAsia="zh-CN"/>
              </w:rPr>
              <w:t>低温保存</w:t>
            </w:r>
            <w:r>
              <w:rPr>
                <w:rFonts w:hint="eastAsia"/>
                <w:sz w:val="21"/>
                <w:szCs w:val="21"/>
              </w:rPr>
              <w:t>箱</w:t>
            </w:r>
          </w:p>
        </w:tc>
        <w:tc>
          <w:tcPr>
            <w:tcW w:w="3756" w:type="dxa"/>
            <w:vAlign w:val="top"/>
          </w:tcPr>
          <w:p w14:paraId="57E0C911">
            <w:pPr>
              <w:pStyle w:val="234"/>
              <w:ind w:firstLine="0" w:firstLineChars="0"/>
              <w:jc w:val="center"/>
              <w:rPr>
                <w:rFonts w:hint="eastAsia"/>
                <w:sz w:val="21"/>
                <w:szCs w:val="21"/>
              </w:rPr>
            </w:pPr>
            <w:r>
              <w:rPr>
                <w:rFonts w:hint="eastAsia"/>
                <w:sz w:val="21"/>
                <w:szCs w:val="21"/>
              </w:rPr>
              <w:t>保持箱内样品低温（不大于4℃）2小时以上</w:t>
            </w:r>
          </w:p>
        </w:tc>
      </w:tr>
      <w:tr w14:paraId="4E2547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8" w:hRule="atLeast"/>
          <w:jc w:val="center"/>
        </w:trPr>
        <w:tc>
          <w:tcPr>
            <w:tcW w:w="2161" w:type="dxa"/>
            <w:vMerge w:val="continue"/>
            <w:vAlign w:val="center"/>
          </w:tcPr>
          <w:p w14:paraId="63983EDC">
            <w:pPr>
              <w:pStyle w:val="234"/>
              <w:ind w:firstLine="0" w:firstLineChars="0"/>
              <w:jc w:val="center"/>
              <w:rPr>
                <w:rFonts w:hint="eastAsia"/>
                <w:sz w:val="21"/>
                <w:szCs w:val="21"/>
              </w:rPr>
            </w:pPr>
          </w:p>
        </w:tc>
        <w:tc>
          <w:tcPr>
            <w:tcW w:w="2759" w:type="dxa"/>
            <w:vAlign w:val="center"/>
          </w:tcPr>
          <w:p w14:paraId="10788D1E">
            <w:pPr>
              <w:pStyle w:val="234"/>
              <w:ind w:firstLine="0" w:firstLineChars="0"/>
              <w:jc w:val="center"/>
              <w:rPr>
                <w:rFonts w:hint="eastAsia"/>
                <w:sz w:val="21"/>
                <w:szCs w:val="21"/>
              </w:rPr>
            </w:pPr>
            <w:r>
              <w:rPr>
                <w:rFonts w:hint="eastAsia"/>
                <w:sz w:val="21"/>
                <w:szCs w:val="21"/>
              </w:rPr>
              <w:t>真空采样箱</w:t>
            </w:r>
          </w:p>
        </w:tc>
        <w:tc>
          <w:tcPr>
            <w:tcW w:w="3756" w:type="dxa"/>
            <w:vMerge w:val="restart"/>
            <w:vAlign w:val="top"/>
          </w:tcPr>
          <w:p w14:paraId="6F7F3C87">
            <w:pPr>
              <w:pStyle w:val="234"/>
              <w:ind w:firstLine="0" w:firstLineChars="0"/>
              <w:rPr>
                <w:rFonts w:hint="eastAsia"/>
                <w:sz w:val="21"/>
                <w:szCs w:val="21"/>
              </w:rPr>
            </w:pPr>
            <w:r>
              <w:rPr>
                <w:rFonts w:hint="eastAsia"/>
                <w:sz w:val="21"/>
                <w:szCs w:val="21"/>
              </w:rPr>
              <w:t>透明或有观察孔，具备足够强度的有机玻璃或不锈钢材质的密封容器，真空箱上盖可开启，盖底四边有密封条</w:t>
            </w:r>
          </w:p>
        </w:tc>
      </w:tr>
      <w:tr w14:paraId="0D04AC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restart"/>
            <w:vAlign w:val="center"/>
          </w:tcPr>
          <w:p w14:paraId="43622060">
            <w:pPr>
              <w:pStyle w:val="234"/>
              <w:ind w:firstLine="0" w:firstLineChars="0"/>
              <w:jc w:val="center"/>
              <w:rPr>
                <w:rFonts w:hint="eastAsia" w:eastAsia="宋体"/>
                <w:sz w:val="21"/>
                <w:szCs w:val="21"/>
                <w:lang w:eastAsia="zh-CN"/>
              </w:rPr>
            </w:pPr>
            <w:r>
              <w:rPr>
                <w:rFonts w:hint="eastAsia"/>
                <w:sz w:val="21"/>
                <w:szCs w:val="21"/>
                <w:lang w:eastAsia="zh-CN"/>
              </w:rPr>
              <w:t>现场检测仪器设备</w:t>
            </w:r>
          </w:p>
        </w:tc>
        <w:tc>
          <w:tcPr>
            <w:tcW w:w="2759" w:type="dxa"/>
            <w:vAlign w:val="top"/>
          </w:tcPr>
          <w:p w14:paraId="15254CD0">
            <w:pPr>
              <w:pStyle w:val="234"/>
              <w:ind w:firstLine="0" w:firstLineChars="0"/>
              <w:jc w:val="center"/>
              <w:rPr>
                <w:rFonts w:hint="eastAsia"/>
                <w:sz w:val="21"/>
                <w:szCs w:val="21"/>
                <w:lang w:eastAsia="zh-CN"/>
              </w:rPr>
            </w:pPr>
            <w:r>
              <w:rPr>
                <w:rFonts w:hint="eastAsia"/>
                <w:sz w:val="21"/>
                <w:szCs w:val="21"/>
                <w:lang w:eastAsia="zh-CN"/>
              </w:rPr>
              <w:t>气体检测仪</w:t>
            </w:r>
          </w:p>
          <w:p w14:paraId="3C6D684D">
            <w:pPr>
              <w:pStyle w:val="234"/>
              <w:ind w:firstLine="0" w:firstLineChars="0"/>
              <w:jc w:val="center"/>
              <w:rPr>
                <w:rFonts w:hint="eastAsia"/>
                <w:sz w:val="21"/>
                <w:szCs w:val="21"/>
              </w:rPr>
            </w:pPr>
            <w:r>
              <w:rPr>
                <w:rFonts w:hint="eastAsia"/>
                <w:sz w:val="21"/>
                <w:szCs w:val="21"/>
                <w:lang w:eastAsia="zh-CN"/>
              </w:rPr>
              <w:t>（配置相关有毒气体传感器）</w:t>
            </w:r>
          </w:p>
        </w:tc>
        <w:tc>
          <w:tcPr>
            <w:tcW w:w="3756" w:type="dxa"/>
            <w:vAlign w:val="top"/>
          </w:tcPr>
          <w:p w14:paraId="7369769F">
            <w:pPr>
              <w:pStyle w:val="234"/>
              <w:ind w:firstLine="0" w:firstLineChars="0"/>
              <w:jc w:val="center"/>
              <w:rPr>
                <w:rFonts w:hint="default" w:eastAsia="宋体"/>
                <w:sz w:val="21"/>
                <w:szCs w:val="21"/>
                <w:lang w:val="en-US" w:eastAsia="zh-CN"/>
              </w:rPr>
            </w:pPr>
            <w:r>
              <w:rPr>
                <w:rFonts w:hint="eastAsia"/>
                <w:sz w:val="21"/>
                <w:szCs w:val="21"/>
                <w:lang w:eastAsia="zh-CN"/>
              </w:rPr>
              <w:t>包括硫化氢、一氧化碳、二氧化碳、磷化氢、氯气、氨气、氰化物、氮氧化物、光气、甲醛、苯蒸气、总挥发性有机化合物等多种有毒气体的检测器，其中氧气的测量</w:t>
            </w:r>
            <w:r>
              <w:rPr>
                <w:rFonts w:hint="eastAsia"/>
                <w:sz w:val="21"/>
                <w:szCs w:val="21"/>
              </w:rPr>
              <w:t>范围（0</w:t>
            </w:r>
            <w:r>
              <w:rPr>
                <w:rFonts w:hint="eastAsia" w:hAnsi="宋体"/>
                <w:sz w:val="21"/>
                <w:szCs w:val="21"/>
              </w:rPr>
              <w:t>～50</w:t>
            </w:r>
            <w:r>
              <w:rPr>
                <w:rFonts w:hint="eastAsia"/>
                <w:sz w:val="21"/>
                <w:szCs w:val="21"/>
              </w:rPr>
              <w:t>）%</w:t>
            </w:r>
            <w:r>
              <w:rPr>
                <w:rFonts w:hint="eastAsia"/>
                <w:sz w:val="21"/>
                <w:szCs w:val="21"/>
                <w:lang w:eastAsia="zh-CN"/>
              </w:rPr>
              <w:t>，其他毒物的测量范围应大于各类气体</w:t>
            </w:r>
            <w:r>
              <w:rPr>
                <w:rFonts w:hint="eastAsia"/>
                <w:sz w:val="21"/>
                <w:szCs w:val="21"/>
                <w:lang w:val="en-US" w:eastAsia="zh-CN"/>
              </w:rPr>
              <w:t>IDLH值</w:t>
            </w:r>
          </w:p>
        </w:tc>
      </w:tr>
      <w:tr w14:paraId="4542A6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796BC1E0">
            <w:pPr>
              <w:pStyle w:val="234"/>
              <w:ind w:firstLine="0" w:firstLineChars="0"/>
              <w:jc w:val="center"/>
              <w:rPr>
                <w:rFonts w:hint="eastAsia"/>
                <w:sz w:val="21"/>
                <w:szCs w:val="21"/>
              </w:rPr>
            </w:pPr>
          </w:p>
        </w:tc>
        <w:tc>
          <w:tcPr>
            <w:tcW w:w="2759" w:type="dxa"/>
            <w:vAlign w:val="top"/>
          </w:tcPr>
          <w:p w14:paraId="3B5141B1">
            <w:pPr>
              <w:pStyle w:val="234"/>
              <w:ind w:firstLine="0" w:firstLineChars="0"/>
              <w:jc w:val="center"/>
              <w:rPr>
                <w:rFonts w:hint="eastAsia" w:eastAsia="宋体"/>
                <w:sz w:val="21"/>
                <w:szCs w:val="21"/>
                <w:lang w:eastAsia="zh-CN"/>
              </w:rPr>
            </w:pPr>
            <w:r>
              <w:rPr>
                <w:rFonts w:hint="eastAsia"/>
                <w:sz w:val="21"/>
                <w:szCs w:val="21"/>
              </w:rPr>
              <w:t>比长式气体检测管</w:t>
            </w:r>
          </w:p>
        </w:tc>
        <w:tc>
          <w:tcPr>
            <w:tcW w:w="3756" w:type="dxa"/>
            <w:vAlign w:val="top"/>
          </w:tcPr>
          <w:p w14:paraId="2E4590F4">
            <w:pPr>
              <w:pStyle w:val="234"/>
              <w:ind w:firstLine="0" w:firstLineChars="0"/>
              <w:jc w:val="center"/>
              <w:rPr>
                <w:rFonts w:hint="eastAsia" w:eastAsia="宋体"/>
                <w:sz w:val="21"/>
                <w:szCs w:val="21"/>
                <w:lang w:val="en-US" w:eastAsia="zh-CN"/>
              </w:rPr>
            </w:pPr>
            <w:r>
              <w:rPr>
                <w:rFonts w:hint="eastAsia"/>
                <w:sz w:val="21"/>
                <w:szCs w:val="21"/>
              </w:rPr>
              <w:t>配有采样器</w:t>
            </w:r>
          </w:p>
        </w:tc>
      </w:tr>
      <w:tr w14:paraId="4964CD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041CCE5E">
            <w:pPr>
              <w:pStyle w:val="234"/>
              <w:ind w:firstLine="0" w:firstLineChars="0"/>
              <w:jc w:val="center"/>
              <w:rPr>
                <w:rFonts w:hint="eastAsia"/>
                <w:sz w:val="21"/>
                <w:szCs w:val="21"/>
              </w:rPr>
            </w:pPr>
          </w:p>
        </w:tc>
        <w:tc>
          <w:tcPr>
            <w:tcW w:w="2759" w:type="dxa"/>
            <w:vAlign w:val="top"/>
          </w:tcPr>
          <w:p w14:paraId="6CFF2BA5">
            <w:pPr>
              <w:pStyle w:val="234"/>
              <w:ind w:firstLine="0" w:firstLineChars="0"/>
              <w:jc w:val="center"/>
              <w:rPr>
                <w:rFonts w:hint="eastAsia" w:eastAsia="宋体"/>
                <w:sz w:val="21"/>
                <w:szCs w:val="21"/>
                <w:lang w:eastAsia="zh-CN"/>
              </w:rPr>
            </w:pPr>
            <w:r>
              <w:rPr>
                <w:rFonts w:hint="eastAsia"/>
                <w:sz w:val="21"/>
                <w:szCs w:val="21"/>
                <w:lang w:eastAsia="zh-CN"/>
              </w:rPr>
              <w:t>气相色谱</w:t>
            </w:r>
            <w:r>
              <w:rPr>
                <w:rFonts w:hint="eastAsia"/>
                <w:sz w:val="21"/>
                <w:szCs w:val="21"/>
                <w:lang w:val="en-US" w:eastAsia="zh-CN"/>
              </w:rPr>
              <w:t>/质谱仪</w:t>
            </w:r>
          </w:p>
        </w:tc>
        <w:tc>
          <w:tcPr>
            <w:tcW w:w="3756" w:type="dxa"/>
            <w:vAlign w:val="top"/>
          </w:tcPr>
          <w:p w14:paraId="4CECA5FE">
            <w:pPr>
              <w:pStyle w:val="234"/>
              <w:ind w:firstLine="0" w:firstLineChars="0"/>
              <w:jc w:val="center"/>
              <w:rPr>
                <w:rFonts w:hint="eastAsia" w:eastAsia="宋体"/>
                <w:sz w:val="21"/>
                <w:szCs w:val="21"/>
                <w:lang w:eastAsia="zh-CN"/>
              </w:rPr>
            </w:pPr>
            <w:r>
              <w:rPr>
                <w:rFonts w:hint="eastAsia"/>
                <w:sz w:val="21"/>
                <w:szCs w:val="21"/>
                <w:lang w:eastAsia="zh-CN"/>
              </w:rPr>
              <w:t>便携</w:t>
            </w:r>
            <w:r>
              <w:rPr>
                <w:rFonts w:hint="eastAsia"/>
                <w:sz w:val="21"/>
                <w:szCs w:val="21"/>
                <w:lang w:val="en-US" w:eastAsia="zh-CN"/>
              </w:rPr>
              <w:t>/车载式</w:t>
            </w:r>
          </w:p>
        </w:tc>
      </w:tr>
      <w:tr w14:paraId="5536C8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2161" w:type="dxa"/>
            <w:vMerge w:val="continue"/>
            <w:vAlign w:val="center"/>
          </w:tcPr>
          <w:p w14:paraId="2066653E">
            <w:pPr>
              <w:pStyle w:val="234"/>
              <w:ind w:firstLine="0" w:firstLineChars="0"/>
              <w:jc w:val="center"/>
              <w:rPr>
                <w:rFonts w:hint="eastAsia"/>
                <w:sz w:val="21"/>
                <w:szCs w:val="21"/>
              </w:rPr>
            </w:pPr>
          </w:p>
        </w:tc>
        <w:tc>
          <w:tcPr>
            <w:tcW w:w="2759" w:type="dxa"/>
            <w:vAlign w:val="top"/>
          </w:tcPr>
          <w:p w14:paraId="2C4BFADD">
            <w:pPr>
              <w:pStyle w:val="234"/>
              <w:ind w:firstLine="0" w:firstLineChars="0"/>
              <w:jc w:val="center"/>
              <w:rPr>
                <w:rFonts w:hint="default" w:eastAsia="宋体"/>
                <w:sz w:val="21"/>
                <w:szCs w:val="21"/>
                <w:lang w:val="en-US" w:eastAsia="zh-CN"/>
              </w:rPr>
            </w:pPr>
            <w:r>
              <w:rPr>
                <w:rFonts w:hint="eastAsia"/>
                <w:sz w:val="21"/>
                <w:szCs w:val="21"/>
                <w:lang w:eastAsia="zh-CN"/>
              </w:rPr>
              <w:t>水质快速检测仪</w:t>
            </w:r>
          </w:p>
        </w:tc>
        <w:tc>
          <w:tcPr>
            <w:tcW w:w="3756" w:type="dxa"/>
            <w:vAlign w:val="top"/>
          </w:tcPr>
          <w:p w14:paraId="5438E241">
            <w:pPr>
              <w:pStyle w:val="234"/>
              <w:ind w:firstLine="0" w:firstLineChars="0"/>
              <w:jc w:val="center"/>
              <w:rPr>
                <w:rFonts w:hint="default" w:eastAsia="宋体"/>
                <w:sz w:val="21"/>
                <w:szCs w:val="21"/>
                <w:lang w:val="en-US" w:eastAsia="zh-CN"/>
              </w:rPr>
            </w:pPr>
            <w:r>
              <w:rPr>
                <w:rFonts w:hint="eastAsia"/>
                <w:sz w:val="21"/>
                <w:szCs w:val="21"/>
                <w:lang w:eastAsia="zh-CN"/>
              </w:rPr>
              <w:t>余氯比色计、</w:t>
            </w:r>
            <w:r>
              <w:rPr>
                <w:rFonts w:hint="eastAsia"/>
                <w:sz w:val="21"/>
                <w:szCs w:val="21"/>
                <w:lang w:val="en-US" w:eastAsia="zh-CN"/>
              </w:rPr>
              <w:t>PH计、色度计、浊度计、温度计</w:t>
            </w:r>
          </w:p>
        </w:tc>
      </w:tr>
      <w:tr w14:paraId="442C4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3885265F">
            <w:pPr>
              <w:pStyle w:val="234"/>
              <w:ind w:firstLine="0" w:firstLineChars="0"/>
              <w:jc w:val="center"/>
              <w:rPr>
                <w:rFonts w:hint="eastAsia"/>
                <w:sz w:val="21"/>
                <w:szCs w:val="21"/>
              </w:rPr>
            </w:pPr>
          </w:p>
        </w:tc>
        <w:tc>
          <w:tcPr>
            <w:tcW w:w="2759" w:type="dxa"/>
            <w:vAlign w:val="top"/>
          </w:tcPr>
          <w:p w14:paraId="7E313ED7">
            <w:pPr>
              <w:pStyle w:val="234"/>
              <w:ind w:firstLine="0" w:firstLineChars="0"/>
              <w:jc w:val="center"/>
              <w:rPr>
                <w:rFonts w:hint="eastAsia" w:eastAsia="宋体"/>
                <w:sz w:val="21"/>
                <w:szCs w:val="21"/>
                <w:lang w:eastAsia="zh-CN"/>
              </w:rPr>
            </w:pPr>
            <w:r>
              <w:rPr>
                <w:rFonts w:hint="eastAsia"/>
                <w:sz w:val="21"/>
                <w:szCs w:val="21"/>
                <w:lang w:eastAsia="zh-CN"/>
              </w:rPr>
              <w:t>温湿度计</w:t>
            </w:r>
          </w:p>
        </w:tc>
        <w:tc>
          <w:tcPr>
            <w:tcW w:w="3756" w:type="dxa"/>
            <w:vAlign w:val="top"/>
          </w:tcPr>
          <w:p w14:paraId="1CCA267E">
            <w:pPr>
              <w:pStyle w:val="234"/>
              <w:ind w:firstLine="0" w:firstLineChars="0"/>
              <w:jc w:val="center"/>
              <w:rPr>
                <w:rFonts w:hint="default" w:eastAsia="宋体"/>
                <w:sz w:val="21"/>
                <w:szCs w:val="21"/>
                <w:lang w:val="en-US" w:eastAsia="zh-CN"/>
              </w:rPr>
            </w:pPr>
            <w:r>
              <w:rPr>
                <w:rFonts w:hint="eastAsia"/>
                <w:sz w:val="21"/>
                <w:szCs w:val="21"/>
                <w:lang w:eastAsia="zh-CN"/>
              </w:rPr>
              <w:t>计量等级不低于</w:t>
            </w:r>
            <w:r>
              <w:rPr>
                <w:rFonts w:hint="eastAsia"/>
                <w:sz w:val="21"/>
                <w:szCs w:val="21"/>
                <w:lang w:val="en-US" w:eastAsia="zh-CN"/>
              </w:rPr>
              <w:t>1.0级</w:t>
            </w:r>
          </w:p>
        </w:tc>
      </w:tr>
      <w:tr w14:paraId="71EF2B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61" w:type="dxa"/>
            <w:vMerge w:val="continue"/>
            <w:vAlign w:val="center"/>
          </w:tcPr>
          <w:p w14:paraId="2DD37AC3">
            <w:pPr>
              <w:pStyle w:val="234"/>
              <w:ind w:firstLine="0" w:firstLineChars="0"/>
              <w:jc w:val="center"/>
              <w:rPr>
                <w:rFonts w:hint="eastAsia"/>
                <w:sz w:val="21"/>
                <w:szCs w:val="21"/>
              </w:rPr>
            </w:pPr>
          </w:p>
        </w:tc>
        <w:tc>
          <w:tcPr>
            <w:tcW w:w="2759" w:type="dxa"/>
            <w:vAlign w:val="top"/>
          </w:tcPr>
          <w:p w14:paraId="76083909">
            <w:pPr>
              <w:pStyle w:val="234"/>
              <w:ind w:firstLine="0" w:firstLineChars="0"/>
              <w:jc w:val="center"/>
              <w:rPr>
                <w:rFonts w:hint="eastAsia" w:eastAsia="宋体"/>
                <w:sz w:val="21"/>
                <w:szCs w:val="21"/>
                <w:lang w:eastAsia="zh-CN"/>
              </w:rPr>
            </w:pPr>
            <w:r>
              <w:rPr>
                <w:rFonts w:hint="eastAsia"/>
                <w:sz w:val="21"/>
                <w:szCs w:val="21"/>
                <w:lang w:eastAsia="zh-CN"/>
              </w:rPr>
              <w:t>风速计</w:t>
            </w:r>
          </w:p>
        </w:tc>
        <w:tc>
          <w:tcPr>
            <w:tcW w:w="3756" w:type="dxa"/>
            <w:vAlign w:val="top"/>
          </w:tcPr>
          <w:p w14:paraId="5917D87E">
            <w:pPr>
              <w:pStyle w:val="234"/>
              <w:ind w:firstLine="0" w:firstLineChars="0"/>
              <w:jc w:val="center"/>
              <w:rPr>
                <w:rFonts w:hint="eastAsia"/>
                <w:sz w:val="21"/>
                <w:szCs w:val="21"/>
              </w:rPr>
            </w:pPr>
            <w:r>
              <w:rPr>
                <w:rFonts w:hint="eastAsia"/>
                <w:sz w:val="21"/>
                <w:szCs w:val="21"/>
                <w:lang w:eastAsia="zh-CN"/>
              </w:rPr>
              <w:t>计量等级不低于</w:t>
            </w:r>
            <w:r>
              <w:rPr>
                <w:rFonts w:hint="eastAsia"/>
                <w:sz w:val="21"/>
                <w:szCs w:val="21"/>
                <w:lang w:val="en-US" w:eastAsia="zh-CN"/>
              </w:rPr>
              <w:t>1.0级</w:t>
            </w:r>
          </w:p>
        </w:tc>
      </w:tr>
      <w:tr w14:paraId="0C7F41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jc w:val="center"/>
        </w:trPr>
        <w:tc>
          <w:tcPr>
            <w:tcW w:w="2161" w:type="dxa"/>
            <w:vMerge w:val="continue"/>
            <w:vAlign w:val="center"/>
          </w:tcPr>
          <w:p w14:paraId="3E0563E6">
            <w:pPr>
              <w:pStyle w:val="234"/>
              <w:ind w:firstLine="0" w:firstLineChars="0"/>
              <w:jc w:val="center"/>
              <w:rPr>
                <w:rFonts w:hint="eastAsia"/>
                <w:sz w:val="21"/>
                <w:szCs w:val="21"/>
              </w:rPr>
            </w:pPr>
          </w:p>
        </w:tc>
        <w:tc>
          <w:tcPr>
            <w:tcW w:w="2759" w:type="dxa"/>
            <w:vAlign w:val="top"/>
          </w:tcPr>
          <w:p w14:paraId="7ABA7ED7">
            <w:pPr>
              <w:pStyle w:val="234"/>
              <w:ind w:firstLine="0" w:firstLineChars="0"/>
              <w:jc w:val="center"/>
              <w:rPr>
                <w:rFonts w:hint="eastAsia" w:eastAsia="宋体"/>
                <w:sz w:val="21"/>
                <w:szCs w:val="21"/>
                <w:lang w:eastAsia="zh-CN"/>
              </w:rPr>
            </w:pPr>
            <w:r>
              <w:rPr>
                <w:rFonts w:hint="eastAsia"/>
                <w:sz w:val="21"/>
                <w:szCs w:val="21"/>
                <w:lang w:eastAsia="zh-CN"/>
              </w:rPr>
              <w:t>空盒气压表</w:t>
            </w:r>
          </w:p>
        </w:tc>
        <w:tc>
          <w:tcPr>
            <w:tcW w:w="3756" w:type="dxa"/>
            <w:vAlign w:val="top"/>
          </w:tcPr>
          <w:p w14:paraId="7F8683B5">
            <w:pPr>
              <w:pStyle w:val="234"/>
              <w:ind w:firstLine="0" w:firstLineChars="0"/>
              <w:jc w:val="center"/>
              <w:rPr>
                <w:rFonts w:hint="default" w:eastAsia="宋体"/>
                <w:sz w:val="21"/>
                <w:szCs w:val="21"/>
                <w:lang w:val="en-US" w:eastAsia="zh-CN"/>
              </w:rPr>
            </w:pPr>
            <w:r>
              <w:rPr>
                <w:rFonts w:hint="eastAsia"/>
                <w:sz w:val="21"/>
                <w:szCs w:val="21"/>
                <w:lang w:eastAsia="zh-CN"/>
              </w:rPr>
              <w:t>计量等级不低于</w:t>
            </w:r>
            <w:r>
              <w:rPr>
                <w:rFonts w:hint="eastAsia"/>
                <w:sz w:val="21"/>
                <w:szCs w:val="21"/>
                <w:lang w:val="en-US" w:eastAsia="zh-CN"/>
              </w:rPr>
              <w:t>1.0级</w:t>
            </w:r>
          </w:p>
        </w:tc>
      </w:tr>
    </w:tbl>
    <w:p w14:paraId="6A334CEE">
      <w:pPr>
        <w:pStyle w:val="56"/>
        <w:ind w:firstLine="420"/>
        <w:sectPr>
          <w:pgSz w:w="11906" w:h="16838"/>
          <w:pgMar w:top="567" w:right="1134" w:bottom="1134" w:left="1134" w:header="1418" w:footer="1134" w:gutter="284"/>
          <w:cols w:space="425" w:num="1"/>
          <w:formProt w:val="0"/>
          <w:docGrid w:type="lines" w:linePitch="312" w:charSpace="0"/>
        </w:sectPr>
      </w:pPr>
    </w:p>
    <w:p w14:paraId="07BE77F5">
      <w:pPr>
        <w:pStyle w:val="198"/>
        <w:rPr>
          <w:vanish w:val="0"/>
        </w:rPr>
      </w:pPr>
    </w:p>
    <w:p w14:paraId="2B7CAF03">
      <w:pPr>
        <w:pStyle w:val="199"/>
        <w:rPr>
          <w:vanish w:val="0"/>
        </w:rPr>
      </w:pPr>
    </w:p>
    <w:p w14:paraId="08F4E130">
      <w:pPr>
        <w:pStyle w:val="76"/>
        <w:spacing w:before="78" w:after="156"/>
        <w:rPr>
          <w:rFonts w:hint="eastAsia"/>
        </w:rPr>
      </w:pPr>
      <w:r>
        <w:br w:type="textWrapping"/>
      </w:r>
      <w:r>
        <w:rPr>
          <w:rFonts w:hint="eastAsia"/>
        </w:rPr>
        <w:t>（资料性）</w:t>
      </w:r>
      <w:r>
        <w:br w:type="textWrapping"/>
      </w:r>
      <w:r>
        <w:rPr>
          <w:rFonts w:hint="eastAsia"/>
          <w:lang w:eastAsia="zh-CN"/>
        </w:rPr>
        <w:t>突发职业中毒现场调查表</w:t>
      </w:r>
    </w:p>
    <w:p w14:paraId="49AA2CEE">
      <w:pPr>
        <w:pStyle w:val="56"/>
        <w:ind w:firstLine="420"/>
        <w:rPr>
          <w:rFonts w:hint="eastAsia"/>
        </w:rPr>
      </w:pPr>
      <w:r>
        <w:rPr>
          <w:rFonts w:hint="eastAsia"/>
          <w:lang w:eastAsia="zh-CN"/>
        </w:rPr>
        <w:t>突发职业中毒现场调查表</w:t>
      </w:r>
      <w:r>
        <w:rPr>
          <w:rFonts w:hint="eastAsia"/>
        </w:rPr>
        <w:t>见</w:t>
      </w:r>
      <w:r>
        <w:rPr>
          <w:rFonts w:hint="eastAsia"/>
          <w:lang w:eastAsia="zh-CN"/>
        </w:rPr>
        <w:t>表</w:t>
      </w:r>
      <w:r>
        <w:rPr>
          <w:rFonts w:hint="eastAsia"/>
        </w:rPr>
        <w:t>B.1。</w:t>
      </w:r>
    </w:p>
    <w:p w14:paraId="3803474B">
      <w:pPr>
        <w:pStyle w:val="77"/>
        <w:spacing w:before="156" w:after="156"/>
        <w:rPr>
          <w:rFonts w:hint="eastAsia"/>
        </w:rPr>
      </w:pPr>
      <w:r>
        <w:rPr>
          <w:rFonts w:hint="eastAsia"/>
          <w:lang w:eastAsia="zh-CN"/>
        </w:rPr>
        <w:t>突发职业中毒现场调查表</w:t>
      </w:r>
    </w:p>
    <w:tbl>
      <w:tblPr>
        <w:tblStyle w:val="26"/>
        <w:tblW w:w="953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0"/>
        <w:gridCol w:w="134"/>
        <w:gridCol w:w="444"/>
        <w:gridCol w:w="172"/>
        <w:gridCol w:w="230"/>
        <w:gridCol w:w="549"/>
        <w:gridCol w:w="1048"/>
        <w:gridCol w:w="114"/>
        <w:gridCol w:w="486"/>
        <w:gridCol w:w="1394"/>
        <w:gridCol w:w="148"/>
        <w:gridCol w:w="143"/>
        <w:gridCol w:w="127"/>
        <w:gridCol w:w="311"/>
        <w:gridCol w:w="665"/>
        <w:gridCol w:w="471"/>
        <w:gridCol w:w="1579"/>
      </w:tblGrid>
      <w:tr w14:paraId="09386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35" w:type="dxa"/>
            <w:gridSpan w:val="17"/>
            <w:tcBorders>
              <w:top w:val="single" w:color="000000" w:sz="8" w:space="0"/>
              <w:left w:val="single" w:color="000000" w:sz="8" w:space="0"/>
              <w:bottom w:val="single" w:color="auto" w:sz="4" w:space="0"/>
              <w:right w:val="single" w:color="000000" w:sz="8" w:space="0"/>
            </w:tcBorders>
          </w:tcPr>
          <w:p w14:paraId="72EE4FED">
            <w:pPr>
              <w:widowControl/>
              <w:tabs>
                <w:tab w:val="center" w:pos="4201"/>
                <w:tab w:val="right" w:leader="dot" w:pos="9298"/>
              </w:tabs>
              <w:autoSpaceDE w:val="0"/>
              <w:autoSpaceDN w:val="0"/>
              <w:rPr>
                <w:rFonts w:ascii="宋体"/>
                <w:kern w:val="0"/>
                <w:szCs w:val="18"/>
              </w:rPr>
            </w:pPr>
            <w:r>
              <w:rPr>
                <w:rFonts w:hint="eastAsia" w:ascii="宋体"/>
                <w:b/>
                <w:bCs/>
                <w:kern w:val="0"/>
                <w:szCs w:val="18"/>
                <w:lang w:eastAsia="zh-CN"/>
              </w:rPr>
              <w:t>一、现场基本情况</w:t>
            </w:r>
          </w:p>
        </w:tc>
      </w:tr>
      <w:tr w14:paraId="1D987E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3049" w:type="dxa"/>
            <w:gridSpan w:val="6"/>
            <w:tcBorders>
              <w:top w:val="single" w:color="auto" w:sz="4" w:space="0"/>
              <w:left w:val="single" w:color="auto" w:sz="4" w:space="0"/>
              <w:bottom w:val="nil"/>
              <w:right w:val="nil"/>
            </w:tcBorders>
          </w:tcPr>
          <w:p w14:paraId="15B61545">
            <w:pPr>
              <w:widowControl/>
              <w:tabs>
                <w:tab w:val="center" w:pos="4201"/>
                <w:tab w:val="right" w:leader="dot" w:pos="9298"/>
              </w:tabs>
              <w:autoSpaceDE w:val="0"/>
              <w:autoSpaceDN w:val="0"/>
              <w:rPr>
                <w:rFonts w:hint="default" w:ascii="宋体"/>
                <w:kern w:val="0"/>
                <w:szCs w:val="18"/>
                <w:lang w:val="en-US"/>
              </w:rPr>
            </w:pPr>
            <w:r>
              <w:rPr>
                <w:rFonts w:hint="eastAsia" w:ascii="宋体"/>
                <w:kern w:val="0"/>
                <w:szCs w:val="18"/>
                <w:lang w:eastAsia="zh-CN"/>
              </w:rPr>
              <w:t>用人单位名称：</w:t>
            </w:r>
            <w:r>
              <w:rPr>
                <w:rFonts w:hint="eastAsia" w:ascii="宋体"/>
                <w:kern w:val="0"/>
                <w:szCs w:val="18"/>
                <w:u w:val="single"/>
                <w:lang w:val="en-US" w:eastAsia="zh-CN"/>
              </w:rPr>
              <w:t xml:space="preserve">            </w:t>
            </w:r>
          </w:p>
        </w:tc>
        <w:tc>
          <w:tcPr>
            <w:tcW w:w="3190" w:type="dxa"/>
            <w:gridSpan w:val="5"/>
            <w:tcBorders>
              <w:top w:val="single" w:color="auto" w:sz="4" w:space="0"/>
              <w:left w:val="nil"/>
              <w:bottom w:val="nil"/>
              <w:right w:val="nil"/>
            </w:tcBorders>
          </w:tcPr>
          <w:p w14:paraId="57C1D861">
            <w:pPr>
              <w:widowControl/>
              <w:tabs>
                <w:tab w:val="center" w:pos="4201"/>
                <w:tab w:val="right" w:leader="dot" w:pos="9298"/>
              </w:tabs>
              <w:autoSpaceDE w:val="0"/>
              <w:autoSpaceDN w:val="0"/>
              <w:rPr>
                <w:rFonts w:hint="default" w:ascii="宋体"/>
                <w:kern w:val="0"/>
                <w:szCs w:val="18"/>
                <w:lang w:val="en-US"/>
              </w:rPr>
            </w:pPr>
            <w:r>
              <w:rPr>
                <w:rFonts w:hint="eastAsia" w:ascii="宋体"/>
                <w:kern w:val="0"/>
                <w:szCs w:val="18"/>
                <w:lang w:eastAsia="zh-CN"/>
              </w:rPr>
              <w:t>单位地址：</w:t>
            </w:r>
            <w:r>
              <w:rPr>
                <w:rFonts w:hint="eastAsia" w:ascii="宋体"/>
                <w:kern w:val="0"/>
                <w:szCs w:val="18"/>
                <w:u w:val="single"/>
                <w:lang w:val="en-US" w:eastAsia="zh-CN"/>
              </w:rPr>
              <w:t xml:space="preserve">                  </w:t>
            </w:r>
          </w:p>
        </w:tc>
        <w:tc>
          <w:tcPr>
            <w:tcW w:w="3296" w:type="dxa"/>
            <w:gridSpan w:val="6"/>
            <w:tcBorders>
              <w:top w:val="single" w:color="auto" w:sz="4" w:space="0"/>
              <w:left w:val="nil"/>
              <w:bottom w:val="nil"/>
              <w:right w:val="single" w:color="auto" w:sz="4" w:space="0"/>
            </w:tcBorders>
          </w:tcPr>
          <w:p w14:paraId="6C04C9D5">
            <w:pPr>
              <w:widowControl/>
              <w:tabs>
                <w:tab w:val="center" w:pos="4201"/>
                <w:tab w:val="right" w:leader="dot" w:pos="9298"/>
              </w:tabs>
              <w:autoSpaceDE w:val="0"/>
              <w:autoSpaceDN w:val="0"/>
              <w:ind w:firstLine="210" w:firstLineChars="100"/>
              <w:rPr>
                <w:rFonts w:hint="default" w:ascii="宋体"/>
                <w:kern w:val="0"/>
                <w:szCs w:val="18"/>
                <w:lang w:val="en-US" w:eastAsia="zh-CN"/>
              </w:rPr>
            </w:pPr>
            <w:r>
              <w:rPr>
                <w:rFonts w:hint="eastAsia" w:ascii="宋体"/>
                <w:kern w:val="0"/>
                <w:szCs w:val="18"/>
                <w:lang w:eastAsia="zh-CN"/>
              </w:rPr>
              <w:t>联系人及电话：</w:t>
            </w:r>
            <w:r>
              <w:rPr>
                <w:rFonts w:hint="eastAsia" w:ascii="宋体"/>
                <w:kern w:val="0"/>
                <w:szCs w:val="18"/>
                <w:u w:val="single"/>
                <w:lang w:val="en-US" w:eastAsia="zh-CN"/>
              </w:rPr>
              <w:t xml:space="preserve">             </w:t>
            </w:r>
          </w:p>
        </w:tc>
      </w:tr>
      <w:tr w14:paraId="44D7FE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1654" w:type="dxa"/>
            <w:gridSpan w:val="2"/>
            <w:tcBorders>
              <w:top w:val="nil"/>
              <w:left w:val="single" w:color="auto" w:sz="4" w:space="0"/>
              <w:bottom w:val="nil"/>
              <w:right w:val="nil"/>
            </w:tcBorders>
            <w:vAlign w:val="top"/>
          </w:tcPr>
          <w:p w14:paraId="3D22DE9B">
            <w:pPr>
              <w:widowControl/>
              <w:tabs>
                <w:tab w:val="center" w:pos="4201"/>
                <w:tab w:val="right" w:leader="dot" w:pos="9298"/>
              </w:tabs>
              <w:autoSpaceDE w:val="0"/>
              <w:autoSpaceDN w:val="0"/>
              <w:rPr>
                <w:rFonts w:hint="default" w:ascii="宋体"/>
                <w:kern w:val="0"/>
                <w:szCs w:val="18"/>
                <w:lang w:val="en-US" w:eastAsia="zh-CN"/>
              </w:rPr>
            </w:pPr>
            <w:r>
              <w:rPr>
                <w:rFonts w:hint="eastAsia" w:ascii="宋体"/>
                <w:kern w:val="0"/>
                <w:szCs w:val="18"/>
                <w:lang w:eastAsia="zh-CN"/>
              </w:rPr>
              <w:t>单位所属行业：</w:t>
            </w:r>
          </w:p>
        </w:tc>
        <w:tc>
          <w:tcPr>
            <w:tcW w:w="1395" w:type="dxa"/>
            <w:gridSpan w:val="4"/>
            <w:tcBorders>
              <w:top w:val="nil"/>
              <w:left w:val="nil"/>
              <w:bottom w:val="nil"/>
              <w:right w:val="nil"/>
            </w:tcBorders>
            <w:vAlign w:val="top"/>
          </w:tcPr>
          <w:p w14:paraId="172E412C">
            <w:pPr>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ind w:left="-105" w:leftChars="-50" w:right="-105" w:rightChars="-50"/>
              <w:textAlignment w:val="auto"/>
              <w:outlineLvl w:val="9"/>
              <w:rPr>
                <w:rFonts w:hint="default" w:ascii="宋体" w:eastAsia="宋体"/>
                <w:kern w:val="0"/>
                <w:szCs w:val="18"/>
                <w:lang w:val="en-US" w:eastAsia="zh-CN"/>
              </w:rPr>
            </w:pPr>
            <w:r>
              <w:rPr>
                <w:rFonts w:hint="eastAsia" w:ascii="宋体"/>
                <w:kern w:val="0"/>
                <w:szCs w:val="18"/>
                <w:u w:val="single"/>
                <w:lang w:val="en-US" w:eastAsia="zh-CN"/>
              </w:rPr>
              <w:t xml:space="preserve">           </w:t>
            </w:r>
          </w:p>
        </w:tc>
        <w:tc>
          <w:tcPr>
            <w:tcW w:w="1162" w:type="dxa"/>
            <w:gridSpan w:val="2"/>
            <w:tcBorders>
              <w:top w:val="nil"/>
              <w:left w:val="nil"/>
              <w:bottom w:val="nil"/>
              <w:right w:val="nil"/>
            </w:tcBorders>
            <w:vAlign w:val="top"/>
          </w:tcPr>
          <w:p w14:paraId="05488B3A">
            <w:pPr>
              <w:widowControl/>
              <w:tabs>
                <w:tab w:val="center" w:pos="4201"/>
                <w:tab w:val="right" w:leader="dot" w:pos="9298"/>
              </w:tabs>
              <w:autoSpaceDE w:val="0"/>
              <w:autoSpaceDN w:val="0"/>
              <w:rPr>
                <w:rFonts w:hint="default" w:ascii="宋体"/>
                <w:kern w:val="0"/>
                <w:szCs w:val="18"/>
                <w:lang w:val="en-US" w:eastAsia="zh-CN"/>
              </w:rPr>
            </w:pPr>
            <w:r>
              <w:rPr>
                <w:rFonts w:hint="eastAsia" w:ascii="宋体"/>
                <w:kern w:val="0"/>
                <w:szCs w:val="18"/>
                <w:lang w:val="en-US" w:eastAsia="zh-CN"/>
              </w:rPr>
              <w:t>中毒时间：</w:t>
            </w:r>
          </w:p>
        </w:tc>
        <w:tc>
          <w:tcPr>
            <w:tcW w:w="2171" w:type="dxa"/>
            <w:gridSpan w:val="4"/>
            <w:tcBorders>
              <w:top w:val="nil"/>
              <w:left w:val="nil"/>
              <w:bottom w:val="nil"/>
              <w:right w:val="nil"/>
            </w:tcBorders>
            <w:vAlign w:val="top"/>
          </w:tcPr>
          <w:p w14:paraId="154EB7E0">
            <w:pPr>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spacing w:line="320" w:lineRule="exact"/>
              <w:ind w:left="315" w:leftChars="-50" w:right="-105" w:rightChars="-50" w:hanging="420" w:hangingChars="200"/>
              <w:jc w:val="left"/>
              <w:textAlignment w:val="auto"/>
              <w:outlineLvl w:val="9"/>
              <w:rPr>
                <w:rFonts w:hint="eastAsia" w:ascii="宋体"/>
                <w:kern w:val="0"/>
                <w:szCs w:val="18"/>
                <w:u w:val="single"/>
                <w:lang w:val="en-US" w:eastAsia="zh-CN"/>
              </w:rPr>
            </w:pPr>
            <w:r>
              <w:rPr>
                <w:rFonts w:hint="eastAsia" w:ascii="宋体"/>
                <w:kern w:val="0"/>
                <w:szCs w:val="18"/>
                <w:u w:val="single"/>
                <w:lang w:val="en-US" w:eastAsia="zh-CN"/>
              </w:rPr>
              <w:t xml:space="preserve">    年    月   日  </w:t>
            </w:r>
          </w:p>
          <w:p w14:paraId="45560DE6">
            <w:pPr>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spacing w:line="320" w:lineRule="exact"/>
              <w:ind w:left="315" w:leftChars="-50" w:right="-105" w:rightChars="-50" w:hanging="420" w:hangingChars="200"/>
              <w:jc w:val="left"/>
              <w:textAlignment w:val="auto"/>
              <w:outlineLvl w:val="9"/>
              <w:rPr>
                <w:rFonts w:hint="default" w:ascii="宋体" w:eastAsia="宋体"/>
                <w:kern w:val="0"/>
                <w:szCs w:val="18"/>
                <w:lang w:val="en-US" w:eastAsia="zh-CN"/>
              </w:rPr>
            </w:pPr>
            <w:r>
              <w:rPr>
                <w:rFonts w:hint="eastAsia" w:ascii="宋体"/>
                <w:kern w:val="0"/>
                <w:szCs w:val="18"/>
                <w:u w:val="single"/>
                <w:lang w:val="en-US" w:eastAsia="zh-CN"/>
              </w:rPr>
              <w:t xml:space="preserve">    时    分       </w:t>
            </w:r>
          </w:p>
        </w:tc>
        <w:tc>
          <w:tcPr>
            <w:tcW w:w="1574" w:type="dxa"/>
            <w:gridSpan w:val="4"/>
            <w:tcBorders>
              <w:top w:val="nil"/>
              <w:left w:val="nil"/>
              <w:bottom w:val="nil"/>
              <w:right w:val="nil"/>
            </w:tcBorders>
            <w:vAlign w:val="top"/>
          </w:tcPr>
          <w:p w14:paraId="51644399">
            <w:pPr>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ind w:left="105" w:leftChars="50" w:right="-210" w:rightChars="-100"/>
              <w:textAlignment w:val="auto"/>
              <w:outlineLvl w:val="9"/>
              <w:rPr>
                <w:rFonts w:hint="eastAsia" w:ascii="宋体"/>
                <w:kern w:val="0"/>
                <w:szCs w:val="18"/>
                <w:lang w:eastAsia="zh-CN"/>
              </w:rPr>
            </w:pPr>
            <w:r>
              <w:rPr>
                <w:rFonts w:hint="eastAsia" w:ascii="宋体"/>
                <w:kern w:val="0"/>
                <w:szCs w:val="18"/>
                <w:lang w:eastAsia="zh-CN"/>
              </w:rPr>
              <w:t>现场调查时间：</w:t>
            </w:r>
          </w:p>
        </w:tc>
        <w:tc>
          <w:tcPr>
            <w:tcW w:w="1579" w:type="dxa"/>
            <w:tcBorders>
              <w:top w:val="nil"/>
              <w:left w:val="nil"/>
              <w:bottom w:val="nil"/>
              <w:right w:val="single" w:color="auto" w:sz="4" w:space="0"/>
            </w:tcBorders>
            <w:vAlign w:val="top"/>
          </w:tcPr>
          <w:p w14:paraId="52672373">
            <w:pPr>
              <w:widowControl/>
              <w:tabs>
                <w:tab w:val="center" w:pos="4201"/>
                <w:tab w:val="right" w:leader="dot" w:pos="9298"/>
              </w:tabs>
              <w:autoSpaceDE w:val="0"/>
              <w:autoSpaceDN w:val="0"/>
              <w:rPr>
                <w:rFonts w:hint="default" w:ascii="宋体"/>
                <w:kern w:val="0"/>
                <w:szCs w:val="18"/>
                <w:lang w:val="en-US" w:eastAsia="zh-CN"/>
              </w:rPr>
            </w:pPr>
            <w:r>
              <w:rPr>
                <w:rFonts w:hint="eastAsia" w:ascii="宋体"/>
                <w:kern w:val="0"/>
                <w:szCs w:val="18"/>
                <w:u w:val="single"/>
                <w:lang w:val="en-US" w:eastAsia="zh-CN"/>
              </w:rPr>
              <w:t xml:space="preserve">             </w:t>
            </w:r>
          </w:p>
        </w:tc>
      </w:tr>
      <w:tr w14:paraId="1BB2EA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 w:hRule="atLeast"/>
        </w:trPr>
        <w:tc>
          <w:tcPr>
            <w:tcW w:w="1654" w:type="dxa"/>
            <w:gridSpan w:val="2"/>
            <w:tcBorders>
              <w:top w:val="nil"/>
              <w:left w:val="single" w:color="auto" w:sz="4" w:space="0"/>
              <w:bottom w:val="nil"/>
              <w:right w:val="nil"/>
            </w:tcBorders>
          </w:tcPr>
          <w:p w14:paraId="39ECCE03">
            <w:pPr>
              <w:widowControl/>
              <w:tabs>
                <w:tab w:val="center" w:pos="4201"/>
                <w:tab w:val="right" w:leader="dot" w:pos="9298"/>
              </w:tabs>
              <w:autoSpaceDE w:val="0"/>
              <w:autoSpaceDN w:val="0"/>
              <w:rPr>
                <w:rFonts w:hint="eastAsia" w:ascii="宋体"/>
                <w:kern w:val="0"/>
                <w:szCs w:val="18"/>
                <w:lang w:eastAsia="zh-CN"/>
              </w:rPr>
            </w:pPr>
            <w:r>
              <w:rPr>
                <w:rFonts w:hint="eastAsia" w:ascii="宋体"/>
                <w:kern w:val="0"/>
                <w:szCs w:val="18"/>
                <w:lang w:eastAsia="zh-CN"/>
              </w:rPr>
              <w:t>现场气象条件：</w:t>
            </w:r>
          </w:p>
        </w:tc>
        <w:tc>
          <w:tcPr>
            <w:tcW w:w="7881" w:type="dxa"/>
            <w:gridSpan w:val="15"/>
            <w:tcBorders>
              <w:top w:val="nil"/>
              <w:left w:val="nil"/>
              <w:bottom w:val="nil"/>
              <w:right w:val="single" w:color="auto" w:sz="4" w:space="0"/>
            </w:tcBorders>
          </w:tcPr>
          <w:p w14:paraId="614D6CB1">
            <w:pPr>
              <w:widowControl/>
              <w:tabs>
                <w:tab w:val="center" w:pos="4201"/>
                <w:tab w:val="right" w:leader="dot" w:pos="9298"/>
              </w:tabs>
              <w:autoSpaceDE w:val="0"/>
              <w:autoSpaceDN w:val="0"/>
              <w:rPr>
                <w:rFonts w:hint="default" w:ascii="宋体"/>
                <w:kern w:val="0"/>
                <w:szCs w:val="18"/>
                <w:lang w:val="en-US" w:eastAsia="zh-CN"/>
              </w:rPr>
            </w:pPr>
            <w:r>
              <w:rPr>
                <w:rFonts w:hint="eastAsia" w:ascii="宋体"/>
                <w:kern w:val="0"/>
                <w:szCs w:val="18"/>
                <w:lang w:eastAsia="zh-CN"/>
              </w:rPr>
              <w:t>气温</w:t>
            </w:r>
            <w:r>
              <w:rPr>
                <w:rFonts w:hint="eastAsia" w:ascii="宋体"/>
                <w:kern w:val="0"/>
                <w:szCs w:val="18"/>
                <w:u w:val="single"/>
                <w:lang w:val="en-US" w:eastAsia="zh-CN"/>
              </w:rPr>
              <w:t xml:space="preserve">     </w:t>
            </w:r>
            <w:r>
              <w:rPr>
                <w:rFonts w:hint="eastAsia" w:ascii="宋体" w:hAnsi="宋体" w:cs="宋体"/>
                <w:lang w:val="en-US" w:eastAsia="zh-CN"/>
              </w:rPr>
              <w:t>(℃)   气压</w:t>
            </w:r>
            <w:r>
              <w:rPr>
                <w:rFonts w:hint="eastAsia" w:ascii="宋体" w:hAnsi="宋体" w:cs="宋体"/>
                <w:u w:val="single"/>
                <w:lang w:val="en-US" w:eastAsia="zh-CN"/>
              </w:rPr>
              <w:t xml:space="preserve">     </w:t>
            </w:r>
            <w:r>
              <w:rPr>
                <w:rFonts w:hint="eastAsia" w:ascii="宋体" w:hAnsi="宋体" w:cs="宋体"/>
                <w:lang w:val="en-US" w:eastAsia="zh-CN"/>
              </w:rPr>
              <w:t>(kPa)   湿度</w:t>
            </w:r>
            <w:r>
              <w:rPr>
                <w:rFonts w:hint="eastAsia" w:ascii="宋体" w:hAnsi="宋体" w:cs="宋体"/>
                <w:u w:val="single"/>
                <w:lang w:val="en-US" w:eastAsia="zh-CN"/>
              </w:rPr>
              <w:t xml:space="preserve">     </w:t>
            </w:r>
            <w:r>
              <w:rPr>
                <w:rFonts w:hint="eastAsia" w:ascii="宋体" w:hAnsi="宋体" w:cs="宋体"/>
                <w:lang w:val="en-US" w:eastAsia="zh-CN"/>
              </w:rPr>
              <w:t>(%)  风向</w:t>
            </w:r>
            <w:r>
              <w:rPr>
                <w:rFonts w:hint="eastAsia" w:ascii="宋体" w:hAnsi="宋体" w:cs="宋体"/>
                <w:u w:val="single"/>
                <w:lang w:val="en-US" w:eastAsia="zh-CN"/>
              </w:rPr>
              <w:t xml:space="preserve">       </w:t>
            </w:r>
            <w:r>
              <w:rPr>
                <w:rFonts w:hint="eastAsia" w:ascii="宋体" w:hAnsi="宋体" w:cs="宋体"/>
                <w:lang w:val="en-US" w:eastAsia="zh-CN"/>
              </w:rPr>
              <w:t xml:space="preserve"> 风速</w:t>
            </w:r>
            <w:r>
              <w:rPr>
                <w:rFonts w:hint="eastAsia" w:ascii="宋体" w:hAnsi="宋体" w:cs="宋体"/>
                <w:u w:val="single"/>
                <w:lang w:val="en-US" w:eastAsia="zh-CN"/>
              </w:rPr>
              <w:t xml:space="preserve">        </w:t>
            </w:r>
          </w:p>
        </w:tc>
      </w:tr>
      <w:tr w14:paraId="30D09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trPr>
        <w:tc>
          <w:tcPr>
            <w:tcW w:w="2270" w:type="dxa"/>
            <w:gridSpan w:val="4"/>
            <w:tcBorders>
              <w:top w:val="nil"/>
              <w:left w:val="single" w:color="auto" w:sz="4" w:space="0"/>
              <w:bottom w:val="nil"/>
              <w:right w:val="nil"/>
            </w:tcBorders>
          </w:tcPr>
          <w:p w14:paraId="077DBABE">
            <w:pPr>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ind w:left="0" w:leftChars="0" w:right="0" w:rightChars="0"/>
              <w:textAlignment w:val="auto"/>
              <w:outlineLvl w:val="9"/>
              <w:rPr>
                <w:rFonts w:hint="eastAsia" w:ascii="宋体" w:eastAsia="宋体"/>
                <w:kern w:val="0"/>
                <w:szCs w:val="18"/>
                <w:lang w:eastAsia="zh-CN"/>
              </w:rPr>
            </w:pPr>
            <w:r>
              <w:rPr>
                <w:rFonts w:hint="eastAsia" w:ascii="宋体"/>
                <w:kern w:val="0"/>
                <w:szCs w:val="18"/>
                <w:lang w:eastAsia="zh-CN"/>
              </w:rPr>
              <w:t>可疑毒物及存在状态：</w:t>
            </w:r>
          </w:p>
        </w:tc>
        <w:tc>
          <w:tcPr>
            <w:tcW w:w="2427" w:type="dxa"/>
            <w:gridSpan w:val="5"/>
            <w:tcBorders>
              <w:top w:val="nil"/>
              <w:left w:val="nil"/>
              <w:bottom w:val="nil"/>
              <w:right w:val="nil"/>
            </w:tcBorders>
          </w:tcPr>
          <w:p w14:paraId="6BFDB7B3">
            <w:pPr>
              <w:widowControl/>
              <w:tabs>
                <w:tab w:val="center" w:pos="4201"/>
                <w:tab w:val="right" w:leader="dot" w:pos="9298"/>
              </w:tabs>
              <w:autoSpaceDE w:val="0"/>
              <w:autoSpaceDN w:val="0"/>
              <w:rPr>
                <w:rFonts w:hint="default" w:ascii="宋体" w:eastAsia="宋体"/>
                <w:kern w:val="0"/>
                <w:szCs w:val="18"/>
                <w:lang w:val="en-US" w:eastAsia="zh-CN"/>
              </w:rPr>
            </w:pPr>
            <w:r>
              <w:rPr>
                <w:rFonts w:hint="eastAsia" w:ascii="宋体"/>
                <w:kern w:val="0"/>
                <w:szCs w:val="18"/>
                <w:u w:val="single"/>
                <w:lang w:val="en-US" w:eastAsia="zh-CN"/>
              </w:rPr>
              <w:t xml:space="preserve">                  </w:t>
            </w:r>
          </w:p>
        </w:tc>
        <w:tc>
          <w:tcPr>
            <w:tcW w:w="1812" w:type="dxa"/>
            <w:gridSpan w:val="4"/>
            <w:tcBorders>
              <w:top w:val="nil"/>
              <w:left w:val="nil"/>
              <w:bottom w:val="nil"/>
              <w:right w:val="nil"/>
            </w:tcBorders>
          </w:tcPr>
          <w:p w14:paraId="72832F82">
            <w:pPr>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ind w:left="0" w:leftChars="0" w:right="0" w:rightChars="0"/>
              <w:textAlignment w:val="auto"/>
              <w:outlineLvl w:val="9"/>
              <w:rPr>
                <w:rFonts w:hint="eastAsia" w:ascii="宋体" w:eastAsia="宋体"/>
                <w:kern w:val="0"/>
                <w:szCs w:val="18"/>
                <w:lang w:val="en-US" w:eastAsia="zh-CN"/>
              </w:rPr>
            </w:pPr>
            <w:r>
              <w:rPr>
                <w:rFonts w:hint="eastAsia" w:ascii="宋体"/>
                <w:kern w:val="0"/>
                <w:szCs w:val="18"/>
                <w:lang w:val="en-US" w:eastAsia="zh-CN"/>
              </w:rPr>
              <w:t>涉及岗位和工种：</w:t>
            </w:r>
          </w:p>
        </w:tc>
        <w:tc>
          <w:tcPr>
            <w:tcW w:w="3026" w:type="dxa"/>
            <w:gridSpan w:val="4"/>
            <w:tcBorders>
              <w:top w:val="nil"/>
              <w:left w:val="nil"/>
              <w:bottom w:val="nil"/>
              <w:right w:val="single" w:color="auto" w:sz="4" w:space="0"/>
            </w:tcBorders>
          </w:tcPr>
          <w:p w14:paraId="2D5FEBBF">
            <w:pPr>
              <w:widowControl/>
              <w:tabs>
                <w:tab w:val="center" w:pos="4201"/>
                <w:tab w:val="right" w:leader="dot" w:pos="9298"/>
              </w:tabs>
              <w:autoSpaceDE w:val="0"/>
              <w:autoSpaceDN w:val="0"/>
              <w:rPr>
                <w:rFonts w:hint="default" w:ascii="宋体" w:eastAsia="宋体"/>
                <w:kern w:val="0"/>
                <w:szCs w:val="18"/>
                <w:lang w:val="en-US" w:eastAsia="zh-CN"/>
              </w:rPr>
            </w:pPr>
            <w:r>
              <w:rPr>
                <w:rFonts w:hint="eastAsia" w:ascii="宋体"/>
                <w:kern w:val="0"/>
                <w:szCs w:val="18"/>
                <w:u w:val="single"/>
                <w:lang w:val="en-US" w:eastAsia="zh-CN"/>
              </w:rPr>
              <w:t xml:space="preserve">                         </w:t>
            </w:r>
          </w:p>
        </w:tc>
      </w:tr>
      <w:tr w14:paraId="06DFBE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8" w:hRule="atLeast"/>
        </w:trPr>
        <w:tc>
          <w:tcPr>
            <w:tcW w:w="1520" w:type="dxa"/>
            <w:tcBorders>
              <w:top w:val="nil"/>
              <w:left w:val="single" w:color="auto" w:sz="4" w:space="0"/>
              <w:bottom w:val="single" w:color="auto" w:sz="4" w:space="0"/>
              <w:right w:val="nil"/>
            </w:tcBorders>
            <w:vAlign w:val="bottom"/>
          </w:tcPr>
          <w:p w14:paraId="088D526E">
            <w:pPr>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ind w:left="0" w:leftChars="0" w:right="-105" w:rightChars="-50"/>
              <w:jc w:val="both"/>
              <w:textAlignment w:val="auto"/>
              <w:outlineLvl w:val="9"/>
              <w:rPr>
                <w:rFonts w:hint="eastAsia" w:ascii="宋体"/>
                <w:kern w:val="0"/>
                <w:szCs w:val="18"/>
                <w:lang w:eastAsia="zh-CN"/>
              </w:rPr>
            </w:pPr>
            <w:r>
              <w:rPr>
                <w:rFonts w:hint="eastAsia" w:ascii="宋体"/>
                <w:kern w:val="0"/>
                <w:szCs w:val="18"/>
                <w:lang w:eastAsia="zh-CN"/>
              </w:rPr>
              <w:t>毒物暴露人数：</w:t>
            </w:r>
          </w:p>
        </w:tc>
        <w:tc>
          <w:tcPr>
            <w:tcW w:w="980" w:type="dxa"/>
            <w:gridSpan w:val="4"/>
            <w:tcBorders>
              <w:top w:val="nil"/>
              <w:left w:val="nil"/>
              <w:bottom w:val="single" w:color="auto" w:sz="4" w:space="0"/>
              <w:right w:val="nil"/>
            </w:tcBorders>
            <w:vAlign w:val="bottom"/>
          </w:tcPr>
          <w:p w14:paraId="5392543B">
            <w:pPr>
              <w:widowControl/>
              <w:tabs>
                <w:tab w:val="center" w:pos="4201"/>
                <w:tab w:val="right" w:leader="dot" w:pos="9298"/>
              </w:tabs>
              <w:autoSpaceDE w:val="0"/>
              <w:autoSpaceDN w:val="0"/>
              <w:jc w:val="both"/>
              <w:rPr>
                <w:rFonts w:hint="eastAsia" w:ascii="宋体"/>
                <w:kern w:val="0"/>
                <w:szCs w:val="18"/>
                <w:lang w:eastAsia="zh-CN"/>
              </w:rPr>
            </w:pPr>
            <w:r>
              <w:rPr>
                <w:rFonts w:hint="eastAsia" w:ascii="宋体"/>
                <w:kern w:val="0"/>
                <w:szCs w:val="18"/>
                <w:u w:val="single"/>
                <w:lang w:val="en-US" w:eastAsia="zh-CN"/>
              </w:rPr>
              <w:t xml:space="preserve">     </w:t>
            </w:r>
            <w:r>
              <w:rPr>
                <w:rFonts w:hint="eastAsia" w:ascii="宋体" w:hAnsi="宋体" w:cs="宋体"/>
                <w:lang w:val="en-US" w:eastAsia="zh-CN"/>
              </w:rPr>
              <w:t>人</w:t>
            </w:r>
          </w:p>
        </w:tc>
        <w:tc>
          <w:tcPr>
            <w:tcW w:w="1597" w:type="dxa"/>
            <w:gridSpan w:val="2"/>
            <w:tcBorders>
              <w:top w:val="nil"/>
              <w:left w:val="nil"/>
              <w:bottom w:val="single" w:color="auto" w:sz="4" w:space="0"/>
              <w:right w:val="nil"/>
            </w:tcBorders>
            <w:vAlign w:val="bottom"/>
          </w:tcPr>
          <w:p w14:paraId="4581B770">
            <w:pPr>
              <w:widowControl/>
              <w:tabs>
                <w:tab w:val="center" w:pos="4201"/>
                <w:tab w:val="right" w:leader="dot" w:pos="9298"/>
              </w:tabs>
              <w:autoSpaceDE w:val="0"/>
              <w:autoSpaceDN w:val="0"/>
              <w:jc w:val="both"/>
              <w:rPr>
                <w:rFonts w:hint="eastAsia" w:ascii="宋体"/>
                <w:kern w:val="0"/>
                <w:szCs w:val="18"/>
                <w:lang w:eastAsia="zh-CN"/>
              </w:rPr>
            </w:pPr>
            <w:r>
              <w:rPr>
                <w:rFonts w:hint="eastAsia" w:ascii="宋体"/>
                <w:kern w:val="0"/>
                <w:szCs w:val="18"/>
                <w:lang w:eastAsia="zh-CN"/>
              </w:rPr>
              <w:t>中毒累及人数：</w:t>
            </w:r>
          </w:p>
        </w:tc>
        <w:tc>
          <w:tcPr>
            <w:tcW w:w="1994" w:type="dxa"/>
            <w:gridSpan w:val="3"/>
            <w:tcBorders>
              <w:top w:val="nil"/>
              <w:left w:val="nil"/>
              <w:bottom w:val="single" w:color="auto" w:sz="4" w:space="0"/>
              <w:right w:val="nil"/>
            </w:tcBorders>
            <w:vAlign w:val="bottom"/>
          </w:tcPr>
          <w:p w14:paraId="641ED9D8">
            <w:pPr>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ind w:left="-105" w:leftChars="-50" w:right="-105" w:rightChars="-50"/>
              <w:jc w:val="both"/>
              <w:textAlignment w:val="auto"/>
              <w:outlineLvl w:val="9"/>
              <w:rPr>
                <w:rFonts w:hint="eastAsia" w:ascii="宋体" w:hAnsi="宋体" w:cs="宋体"/>
                <w:lang w:val="en-US" w:eastAsia="zh-CN"/>
              </w:rPr>
            </w:pPr>
            <w:r>
              <w:rPr>
                <w:rFonts w:hint="eastAsia" w:ascii="宋体"/>
                <w:kern w:val="0"/>
                <w:szCs w:val="18"/>
                <w:u w:val="single"/>
                <w:lang w:val="en-US" w:eastAsia="zh-CN"/>
              </w:rPr>
              <w:t xml:space="preserve">    </w:t>
            </w:r>
            <w:r>
              <w:rPr>
                <w:rFonts w:hint="eastAsia" w:ascii="宋体" w:hAnsi="宋体" w:cs="宋体"/>
                <w:lang w:val="en-US" w:eastAsia="zh-CN"/>
              </w:rPr>
              <w:t>人(</w:t>
            </w:r>
            <w:r>
              <w:rPr>
                <w:rFonts w:hint="eastAsia" w:ascii="宋体"/>
                <w:kern w:val="0"/>
                <w:szCs w:val="18"/>
                <w:u w:val="single"/>
                <w:lang w:val="en-US" w:eastAsia="zh-CN"/>
              </w:rPr>
              <w:t xml:space="preserve">   </w:t>
            </w:r>
            <w:r>
              <w:rPr>
                <w:rFonts w:hint="eastAsia" w:ascii="宋体" w:hAnsi="宋体" w:cs="宋体"/>
                <w:lang w:val="en-US" w:eastAsia="zh-CN"/>
              </w:rPr>
              <w:t>死</w:t>
            </w:r>
            <w:r>
              <w:rPr>
                <w:rFonts w:hint="eastAsia" w:ascii="宋体"/>
                <w:kern w:val="0"/>
                <w:szCs w:val="18"/>
                <w:u w:val="single"/>
                <w:lang w:val="en-US" w:eastAsia="zh-CN"/>
              </w:rPr>
              <w:t xml:space="preserve">   </w:t>
            </w:r>
            <w:r>
              <w:rPr>
                <w:rFonts w:hint="eastAsia" w:ascii="宋体" w:hAnsi="宋体" w:cs="宋体"/>
                <w:lang w:val="en-US" w:eastAsia="zh-CN"/>
              </w:rPr>
              <w:t>伤)</w:t>
            </w:r>
          </w:p>
        </w:tc>
        <w:tc>
          <w:tcPr>
            <w:tcW w:w="1394" w:type="dxa"/>
            <w:gridSpan w:val="5"/>
            <w:tcBorders>
              <w:top w:val="nil"/>
              <w:left w:val="nil"/>
              <w:bottom w:val="single" w:color="auto" w:sz="4" w:space="0"/>
              <w:right w:val="nil"/>
            </w:tcBorders>
            <w:vAlign w:val="bottom"/>
          </w:tcPr>
          <w:p w14:paraId="1C7ABD64">
            <w:pPr>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ind w:left="-105" w:leftChars="-50" w:right="-105" w:rightChars="-50"/>
              <w:jc w:val="both"/>
              <w:textAlignment w:val="auto"/>
              <w:outlineLvl w:val="9"/>
              <w:rPr>
                <w:rFonts w:hint="eastAsia" w:ascii="宋体"/>
                <w:kern w:val="0"/>
                <w:szCs w:val="18"/>
                <w:lang w:val="en-US" w:eastAsia="zh-CN"/>
              </w:rPr>
            </w:pPr>
            <w:r>
              <w:rPr>
                <w:rFonts w:hint="eastAsia" w:ascii="宋体" w:hAnsi="宋体" w:cs="宋体"/>
                <w:lang w:val="en-US" w:eastAsia="zh-CN"/>
              </w:rPr>
              <w:t>救治医疗机构：</w:t>
            </w:r>
          </w:p>
        </w:tc>
        <w:tc>
          <w:tcPr>
            <w:tcW w:w="2050" w:type="dxa"/>
            <w:gridSpan w:val="2"/>
            <w:tcBorders>
              <w:top w:val="nil"/>
              <w:left w:val="nil"/>
              <w:bottom w:val="single" w:color="auto" w:sz="4" w:space="0"/>
              <w:right w:val="single" w:color="auto" w:sz="4" w:space="0"/>
            </w:tcBorders>
            <w:vAlign w:val="bottom"/>
          </w:tcPr>
          <w:p w14:paraId="45CEC235">
            <w:pPr>
              <w:widowControl/>
              <w:tabs>
                <w:tab w:val="center" w:pos="4201"/>
                <w:tab w:val="right" w:leader="dot" w:pos="9298"/>
              </w:tabs>
              <w:autoSpaceDE w:val="0"/>
              <w:autoSpaceDN w:val="0"/>
              <w:jc w:val="both"/>
              <w:rPr>
                <w:rFonts w:hint="eastAsia" w:ascii="宋体" w:hAnsi="宋体" w:cs="宋体"/>
                <w:lang w:val="en-US" w:eastAsia="zh-CN"/>
              </w:rPr>
            </w:pPr>
            <w:r>
              <w:rPr>
                <w:rFonts w:hint="eastAsia" w:ascii="宋体"/>
                <w:kern w:val="0"/>
                <w:szCs w:val="18"/>
                <w:u w:val="single"/>
                <w:lang w:val="en-US" w:eastAsia="zh-CN"/>
              </w:rPr>
              <w:t xml:space="preserve">                </w:t>
            </w:r>
          </w:p>
        </w:tc>
      </w:tr>
      <w:tr w14:paraId="4924F5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6" w:hRule="atLeast"/>
        </w:trPr>
        <w:tc>
          <w:tcPr>
            <w:tcW w:w="9535" w:type="dxa"/>
            <w:gridSpan w:val="17"/>
            <w:tcBorders>
              <w:top w:val="single" w:color="auto" w:sz="4" w:space="0"/>
              <w:left w:val="single" w:color="000000" w:sz="8" w:space="0"/>
              <w:right w:val="single" w:color="000000" w:sz="8" w:space="0"/>
            </w:tcBorders>
          </w:tcPr>
          <w:p w14:paraId="60C12334">
            <w:pPr>
              <w:widowControl/>
              <w:tabs>
                <w:tab w:val="center" w:pos="4201"/>
                <w:tab w:val="right" w:leader="dot" w:pos="9298"/>
              </w:tabs>
              <w:autoSpaceDE w:val="0"/>
              <w:autoSpaceDN w:val="0"/>
              <w:rPr>
                <w:rFonts w:hint="eastAsia" w:ascii="宋体" w:eastAsia="宋体"/>
                <w:kern w:val="0"/>
                <w:szCs w:val="18"/>
                <w:lang w:eastAsia="zh-CN"/>
              </w:rPr>
            </w:pPr>
            <w:r>
              <w:rPr>
                <w:rFonts w:hint="eastAsia" w:ascii="宋体"/>
                <w:kern w:val="0"/>
                <w:szCs w:val="18"/>
                <w:lang w:eastAsia="zh-CN"/>
              </w:rPr>
              <w:t>现场环境描述：</w:t>
            </w:r>
          </w:p>
        </w:tc>
      </w:tr>
      <w:tr w14:paraId="20F1F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2" w:hRule="atLeast"/>
        </w:trPr>
        <w:tc>
          <w:tcPr>
            <w:tcW w:w="9535" w:type="dxa"/>
            <w:gridSpan w:val="17"/>
            <w:tcBorders>
              <w:left w:val="single" w:color="000000" w:sz="8" w:space="0"/>
              <w:right w:val="single" w:color="000000" w:sz="8" w:space="0"/>
            </w:tcBorders>
          </w:tcPr>
          <w:p w14:paraId="067A730F">
            <w:pPr>
              <w:widowControl/>
              <w:tabs>
                <w:tab w:val="center" w:pos="4201"/>
                <w:tab w:val="right" w:leader="dot" w:pos="9298"/>
              </w:tabs>
              <w:autoSpaceDE w:val="0"/>
              <w:autoSpaceDN w:val="0"/>
              <w:rPr>
                <w:rFonts w:hint="eastAsia" w:ascii="宋体" w:eastAsia="宋体"/>
                <w:kern w:val="0"/>
                <w:szCs w:val="18"/>
                <w:lang w:eastAsia="zh-CN"/>
              </w:rPr>
            </w:pPr>
            <w:r>
              <w:rPr>
                <w:rFonts w:hint="eastAsia" w:ascii="宋体"/>
                <w:kern w:val="0"/>
                <w:szCs w:val="18"/>
                <w:lang w:eastAsia="zh-CN"/>
              </w:rPr>
              <w:t>事件概述：</w:t>
            </w:r>
          </w:p>
        </w:tc>
      </w:tr>
      <w:tr w14:paraId="51EB7D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9" w:hRule="atLeast"/>
        </w:trPr>
        <w:tc>
          <w:tcPr>
            <w:tcW w:w="9535" w:type="dxa"/>
            <w:gridSpan w:val="17"/>
            <w:tcBorders>
              <w:left w:val="single" w:color="000000" w:sz="8" w:space="0"/>
              <w:right w:val="single" w:color="000000" w:sz="8" w:space="0"/>
            </w:tcBorders>
            <w:vAlign w:val="top"/>
          </w:tcPr>
          <w:p w14:paraId="2DA0E208">
            <w:pPr>
              <w:widowControl/>
              <w:tabs>
                <w:tab w:val="center" w:pos="4201"/>
                <w:tab w:val="right" w:leader="dot" w:pos="9298"/>
              </w:tabs>
              <w:autoSpaceDE w:val="0"/>
              <w:autoSpaceDN w:val="0"/>
              <w:rPr>
                <w:rFonts w:ascii="宋体"/>
                <w:kern w:val="0"/>
                <w:szCs w:val="18"/>
              </w:rPr>
            </w:pPr>
            <w:r>
              <w:rPr>
                <w:rFonts w:hint="eastAsia" w:ascii="宋体"/>
                <w:kern w:val="0"/>
                <w:szCs w:val="18"/>
                <w:lang w:eastAsia="zh-CN"/>
              </w:rPr>
              <w:t>已经采取的现场控制措施：</w:t>
            </w:r>
          </w:p>
        </w:tc>
      </w:tr>
      <w:tr w14:paraId="4DAFD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 w:hRule="atLeast"/>
        </w:trPr>
        <w:tc>
          <w:tcPr>
            <w:tcW w:w="9535" w:type="dxa"/>
            <w:gridSpan w:val="17"/>
            <w:tcBorders>
              <w:left w:val="single" w:color="000000" w:sz="8" w:space="0"/>
              <w:right w:val="single" w:color="000000" w:sz="8" w:space="0"/>
            </w:tcBorders>
            <w:vAlign w:val="top"/>
          </w:tcPr>
          <w:p w14:paraId="3CD27B37">
            <w:pPr>
              <w:widowControl/>
              <w:tabs>
                <w:tab w:val="center" w:pos="4201"/>
                <w:tab w:val="right" w:leader="dot" w:pos="9298"/>
              </w:tabs>
              <w:autoSpaceDE w:val="0"/>
              <w:autoSpaceDN w:val="0"/>
              <w:rPr>
                <w:rFonts w:hint="eastAsia" w:ascii="宋体" w:eastAsia="宋体"/>
                <w:kern w:val="0"/>
                <w:szCs w:val="18"/>
                <w:lang w:eastAsia="zh-CN"/>
              </w:rPr>
            </w:pPr>
            <w:r>
              <w:rPr>
                <w:rFonts w:hint="eastAsia" w:ascii="宋体"/>
                <w:kern w:val="0"/>
                <w:szCs w:val="18"/>
                <w:lang w:eastAsia="zh-CN"/>
              </w:rPr>
              <w:t>已经采取的现场医疗救治措施：</w:t>
            </w:r>
          </w:p>
        </w:tc>
      </w:tr>
      <w:tr w14:paraId="0D4C8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35" w:type="dxa"/>
            <w:gridSpan w:val="17"/>
            <w:tcBorders>
              <w:left w:val="single" w:color="000000" w:sz="8" w:space="0"/>
              <w:right w:val="single" w:color="000000" w:sz="8" w:space="0"/>
            </w:tcBorders>
          </w:tcPr>
          <w:p w14:paraId="4FFC28E3">
            <w:pPr>
              <w:widowControl/>
              <w:tabs>
                <w:tab w:val="center" w:pos="4201"/>
                <w:tab w:val="right" w:leader="dot" w:pos="9298"/>
              </w:tabs>
              <w:autoSpaceDE w:val="0"/>
              <w:autoSpaceDN w:val="0"/>
              <w:rPr>
                <w:rFonts w:ascii="宋体"/>
                <w:kern w:val="0"/>
                <w:szCs w:val="18"/>
              </w:rPr>
            </w:pPr>
            <w:r>
              <w:rPr>
                <w:rFonts w:hint="eastAsia" w:ascii="宋体"/>
                <w:b/>
                <w:bCs/>
                <w:kern w:val="0"/>
                <w:szCs w:val="18"/>
                <w:lang w:val="en-US" w:eastAsia="zh-CN"/>
              </w:rPr>
              <w:t>二、劳动卫生学调查</w:t>
            </w:r>
          </w:p>
        </w:tc>
      </w:tr>
      <w:tr w14:paraId="39787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6" w:hRule="atLeast"/>
        </w:trPr>
        <w:tc>
          <w:tcPr>
            <w:tcW w:w="9535" w:type="dxa"/>
            <w:gridSpan w:val="17"/>
            <w:tcBorders>
              <w:left w:val="single" w:color="000000" w:sz="8" w:space="0"/>
              <w:right w:val="single" w:color="000000" w:sz="8" w:space="0"/>
            </w:tcBorders>
          </w:tcPr>
          <w:p w14:paraId="1078447E">
            <w:pPr>
              <w:widowControl/>
              <w:tabs>
                <w:tab w:val="center" w:pos="4201"/>
                <w:tab w:val="right" w:leader="dot" w:pos="9298"/>
              </w:tabs>
              <w:autoSpaceDE w:val="0"/>
              <w:autoSpaceDN w:val="0"/>
              <w:rPr>
                <w:rFonts w:ascii="宋体"/>
                <w:kern w:val="0"/>
                <w:szCs w:val="18"/>
              </w:rPr>
            </w:pPr>
            <w:r>
              <w:rPr>
                <w:rFonts w:hint="eastAsia" w:ascii="宋体"/>
                <w:kern w:val="0"/>
                <w:szCs w:val="18"/>
                <w:lang w:eastAsia="zh-CN"/>
              </w:rPr>
              <w:t>原辅料、产品、副产品和中间产物描述：</w:t>
            </w:r>
          </w:p>
        </w:tc>
      </w:tr>
      <w:tr w14:paraId="6B37F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9" w:hRule="atLeast"/>
        </w:trPr>
        <w:tc>
          <w:tcPr>
            <w:tcW w:w="9535" w:type="dxa"/>
            <w:gridSpan w:val="17"/>
            <w:tcBorders>
              <w:left w:val="single" w:color="000000" w:sz="8" w:space="0"/>
              <w:right w:val="single" w:color="000000" w:sz="8" w:space="0"/>
            </w:tcBorders>
          </w:tcPr>
          <w:p w14:paraId="7FD20F89">
            <w:pPr>
              <w:widowControl/>
              <w:tabs>
                <w:tab w:val="center" w:pos="4201"/>
                <w:tab w:val="right" w:leader="dot" w:pos="9298"/>
              </w:tabs>
              <w:autoSpaceDE w:val="0"/>
              <w:autoSpaceDN w:val="0"/>
              <w:rPr>
                <w:rFonts w:ascii="宋体"/>
                <w:kern w:val="0"/>
                <w:szCs w:val="18"/>
              </w:rPr>
            </w:pPr>
            <w:r>
              <w:rPr>
                <w:rFonts w:hint="eastAsia" w:ascii="宋体"/>
                <w:kern w:val="0"/>
                <w:szCs w:val="18"/>
                <w:lang w:eastAsia="zh-CN"/>
              </w:rPr>
              <w:t>中毒岗位的生产工艺、原料投入方式、生产方式及生产设备情况描述：</w:t>
            </w:r>
          </w:p>
        </w:tc>
      </w:tr>
      <w:tr w14:paraId="0820D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6" w:hRule="atLeast"/>
        </w:trPr>
        <w:tc>
          <w:tcPr>
            <w:tcW w:w="9535" w:type="dxa"/>
            <w:gridSpan w:val="17"/>
            <w:tcBorders>
              <w:left w:val="single" w:color="000000" w:sz="8" w:space="0"/>
              <w:bottom w:val="single" w:color="auto" w:sz="4" w:space="0"/>
              <w:right w:val="single" w:color="000000" w:sz="8" w:space="0"/>
            </w:tcBorders>
          </w:tcPr>
          <w:p w14:paraId="77B5EB66">
            <w:pPr>
              <w:widowControl/>
              <w:tabs>
                <w:tab w:val="center" w:pos="4201"/>
                <w:tab w:val="right" w:leader="dot" w:pos="9298"/>
              </w:tabs>
              <w:autoSpaceDE w:val="0"/>
              <w:autoSpaceDN w:val="0"/>
              <w:rPr>
                <w:rFonts w:ascii="宋体"/>
                <w:kern w:val="0"/>
                <w:szCs w:val="18"/>
              </w:rPr>
            </w:pPr>
            <w:r>
              <w:rPr>
                <w:rFonts w:hint="eastAsia" w:ascii="宋体"/>
                <w:kern w:val="0"/>
                <w:szCs w:val="18"/>
                <w:lang w:eastAsia="zh-CN"/>
              </w:rPr>
              <w:t>中毒发生地点临近岗位的生产工艺、原料投入方式、生产方式及生产设备情况描述：</w:t>
            </w:r>
          </w:p>
        </w:tc>
      </w:tr>
      <w:tr w14:paraId="2A0473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2098" w:type="dxa"/>
            <w:gridSpan w:val="3"/>
            <w:tcBorders>
              <w:top w:val="single" w:color="auto" w:sz="4" w:space="0"/>
              <w:left w:val="single" w:color="auto" w:sz="4" w:space="0"/>
              <w:bottom w:val="nil"/>
              <w:right w:val="nil"/>
            </w:tcBorders>
          </w:tcPr>
          <w:p w14:paraId="79958FA9">
            <w:pPr>
              <w:widowControl/>
              <w:tabs>
                <w:tab w:val="center" w:pos="4201"/>
                <w:tab w:val="right" w:leader="dot" w:pos="9298"/>
              </w:tabs>
              <w:autoSpaceDE w:val="0"/>
              <w:autoSpaceDN w:val="0"/>
              <w:rPr>
                <w:rFonts w:hint="eastAsia" w:ascii="宋体"/>
                <w:kern w:val="0"/>
                <w:szCs w:val="18"/>
                <w:lang w:eastAsia="zh-CN"/>
              </w:rPr>
            </w:pPr>
            <w:r>
              <w:rPr>
                <w:rFonts w:hint="eastAsia" w:ascii="宋体"/>
                <w:kern w:val="0"/>
                <w:szCs w:val="18"/>
                <w:lang w:eastAsia="zh-CN"/>
              </w:rPr>
              <w:t>是否存在设备故障：</w:t>
            </w:r>
          </w:p>
        </w:tc>
        <w:tc>
          <w:tcPr>
            <w:tcW w:w="2599" w:type="dxa"/>
            <w:gridSpan w:val="6"/>
            <w:tcBorders>
              <w:top w:val="single" w:color="auto" w:sz="4" w:space="0"/>
              <w:left w:val="nil"/>
              <w:bottom w:val="nil"/>
              <w:right w:val="nil"/>
            </w:tcBorders>
          </w:tcPr>
          <w:p w14:paraId="09FC2AC6">
            <w:pPr>
              <w:widowControl/>
              <w:tabs>
                <w:tab w:val="center" w:pos="4201"/>
                <w:tab w:val="right" w:leader="dot" w:pos="9298"/>
              </w:tabs>
              <w:autoSpaceDE w:val="0"/>
              <w:autoSpaceDN w:val="0"/>
              <w:rPr>
                <w:rFonts w:hint="eastAsia" w:ascii="宋体"/>
                <w:kern w:val="0"/>
                <w:szCs w:val="18"/>
                <w:lang w:eastAsia="zh-CN"/>
              </w:rPr>
            </w:pPr>
            <w:r>
              <w:rPr>
                <w:rFonts w:hint="eastAsia" w:ascii="宋体" w:hAnsi="宋体" w:cs="宋体"/>
                <w:u w:val="none"/>
                <w:lang w:val="en-US" w:eastAsia="zh-CN"/>
              </w:rPr>
              <w:t>（</w:t>
            </w:r>
            <w:r>
              <w:rPr>
                <w:rFonts w:hint="eastAsia" w:ascii="宋体" w:hAnsi="宋体" w:cs="宋体"/>
                <w:u w:val="single"/>
              </w:rPr>
              <w:t xml:space="preserve">    </w:t>
            </w:r>
            <w:r>
              <w:rPr>
                <w:rFonts w:hint="eastAsia" w:ascii="宋体" w:hAnsi="宋体" w:cs="宋体"/>
                <w:u w:val="none"/>
                <w:lang w:eastAsia="zh-CN"/>
              </w:rPr>
              <w:t>是</w:t>
            </w:r>
            <w:r>
              <w:rPr>
                <w:rFonts w:hint="eastAsia" w:ascii="宋体" w:hAnsi="宋体" w:cs="宋体"/>
                <w:u w:val="none"/>
                <w:lang w:val="en-US" w:eastAsia="zh-CN"/>
              </w:rPr>
              <w:t xml:space="preserve"> </w:t>
            </w:r>
            <w:r>
              <w:rPr>
                <w:rFonts w:hint="eastAsia" w:ascii="宋体" w:hAnsi="宋体" w:cs="宋体"/>
                <w:u w:val="single"/>
              </w:rPr>
              <w:t xml:space="preserve">    </w:t>
            </w:r>
            <w:r>
              <w:rPr>
                <w:rFonts w:hint="eastAsia" w:ascii="宋体" w:hAnsi="宋体" w:cs="宋体"/>
                <w:u w:val="none"/>
                <w:lang w:eastAsia="zh-CN"/>
              </w:rPr>
              <w:t>否）</w:t>
            </w:r>
          </w:p>
        </w:tc>
        <w:tc>
          <w:tcPr>
            <w:tcW w:w="2123" w:type="dxa"/>
            <w:gridSpan w:val="5"/>
            <w:tcBorders>
              <w:top w:val="single" w:color="auto" w:sz="4" w:space="0"/>
              <w:left w:val="nil"/>
              <w:bottom w:val="nil"/>
              <w:right w:val="nil"/>
            </w:tcBorders>
          </w:tcPr>
          <w:p w14:paraId="6F52547E">
            <w:pPr>
              <w:widowControl/>
              <w:tabs>
                <w:tab w:val="center" w:pos="4201"/>
                <w:tab w:val="right" w:leader="dot" w:pos="9298"/>
              </w:tabs>
              <w:autoSpaceDE w:val="0"/>
              <w:autoSpaceDN w:val="0"/>
              <w:rPr>
                <w:rFonts w:hint="eastAsia" w:ascii="宋体"/>
                <w:kern w:val="0"/>
                <w:szCs w:val="18"/>
                <w:lang w:eastAsia="zh-CN"/>
              </w:rPr>
            </w:pPr>
            <w:r>
              <w:rPr>
                <w:rFonts w:hint="eastAsia" w:ascii="宋体"/>
                <w:kern w:val="0"/>
                <w:szCs w:val="18"/>
                <w:lang w:eastAsia="zh-CN"/>
              </w:rPr>
              <w:t>是否存在违规操作：</w:t>
            </w:r>
          </w:p>
        </w:tc>
        <w:tc>
          <w:tcPr>
            <w:tcW w:w="2715" w:type="dxa"/>
            <w:gridSpan w:val="3"/>
            <w:tcBorders>
              <w:top w:val="single" w:color="auto" w:sz="4" w:space="0"/>
              <w:left w:val="nil"/>
              <w:bottom w:val="nil"/>
              <w:right w:val="single" w:color="auto" w:sz="4" w:space="0"/>
            </w:tcBorders>
          </w:tcPr>
          <w:p w14:paraId="7C6D7A95">
            <w:pPr>
              <w:widowControl/>
              <w:tabs>
                <w:tab w:val="center" w:pos="4201"/>
                <w:tab w:val="right" w:leader="dot" w:pos="9298"/>
              </w:tabs>
              <w:autoSpaceDE w:val="0"/>
              <w:autoSpaceDN w:val="0"/>
              <w:rPr>
                <w:rFonts w:hint="eastAsia" w:ascii="宋体"/>
                <w:kern w:val="0"/>
                <w:szCs w:val="18"/>
                <w:lang w:eastAsia="zh-CN"/>
              </w:rPr>
            </w:pPr>
            <w:r>
              <w:rPr>
                <w:rFonts w:hint="eastAsia" w:ascii="宋体" w:hAnsi="宋体" w:cs="宋体"/>
                <w:u w:val="none"/>
                <w:lang w:val="en-US" w:eastAsia="zh-CN"/>
              </w:rPr>
              <w:t>（</w:t>
            </w:r>
            <w:r>
              <w:rPr>
                <w:rFonts w:hint="eastAsia" w:ascii="宋体" w:hAnsi="宋体" w:cs="宋体"/>
                <w:u w:val="single"/>
              </w:rPr>
              <w:t xml:space="preserve">    </w:t>
            </w:r>
            <w:r>
              <w:rPr>
                <w:rFonts w:hint="eastAsia" w:ascii="宋体" w:hAnsi="宋体" w:cs="宋体"/>
                <w:u w:val="none"/>
                <w:lang w:eastAsia="zh-CN"/>
              </w:rPr>
              <w:t>是</w:t>
            </w:r>
            <w:r>
              <w:rPr>
                <w:rFonts w:hint="eastAsia" w:ascii="宋体" w:hAnsi="宋体" w:cs="宋体"/>
                <w:u w:val="none"/>
                <w:lang w:val="en-US" w:eastAsia="zh-CN"/>
              </w:rPr>
              <w:t xml:space="preserve"> </w:t>
            </w:r>
            <w:r>
              <w:rPr>
                <w:rFonts w:hint="eastAsia" w:ascii="宋体" w:hAnsi="宋体" w:cs="宋体"/>
                <w:u w:val="single"/>
              </w:rPr>
              <w:t xml:space="preserve">    </w:t>
            </w:r>
            <w:r>
              <w:rPr>
                <w:rFonts w:hint="eastAsia" w:ascii="宋体" w:hAnsi="宋体" w:cs="宋体"/>
                <w:u w:val="none"/>
                <w:lang w:eastAsia="zh-CN"/>
              </w:rPr>
              <w:t>否）</w:t>
            </w:r>
          </w:p>
        </w:tc>
      </w:tr>
      <w:tr w14:paraId="64B3A1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atLeast"/>
        </w:trPr>
        <w:tc>
          <w:tcPr>
            <w:tcW w:w="2098" w:type="dxa"/>
            <w:gridSpan w:val="3"/>
            <w:tcBorders>
              <w:top w:val="nil"/>
              <w:left w:val="single" w:color="auto" w:sz="4" w:space="0"/>
              <w:bottom w:val="single" w:color="auto" w:sz="4" w:space="0"/>
              <w:right w:val="nil"/>
            </w:tcBorders>
          </w:tcPr>
          <w:p w14:paraId="6E296F33">
            <w:pPr>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spacing w:line="280" w:lineRule="exact"/>
              <w:textAlignment w:val="auto"/>
              <w:outlineLvl w:val="9"/>
              <w:rPr>
                <w:rFonts w:hint="eastAsia" w:ascii="宋体"/>
                <w:kern w:val="0"/>
                <w:szCs w:val="18"/>
                <w:lang w:eastAsia="zh-CN"/>
              </w:rPr>
            </w:pPr>
            <w:r>
              <w:rPr>
                <w:rFonts w:hint="eastAsia" w:ascii="宋体" w:hAnsi="宋体" w:cs="宋体"/>
                <w:u w:val="none"/>
                <w:lang w:val="en-US" w:eastAsia="zh-CN"/>
              </w:rPr>
              <w:t>应急救援设施运行是否正常：</w:t>
            </w:r>
          </w:p>
        </w:tc>
        <w:tc>
          <w:tcPr>
            <w:tcW w:w="2599" w:type="dxa"/>
            <w:gridSpan w:val="6"/>
            <w:tcBorders>
              <w:top w:val="nil"/>
              <w:left w:val="nil"/>
              <w:bottom w:val="single" w:color="auto" w:sz="4" w:space="0"/>
              <w:right w:val="nil"/>
            </w:tcBorders>
            <w:vAlign w:val="bottom"/>
          </w:tcPr>
          <w:p w14:paraId="6360343A">
            <w:pPr>
              <w:widowControl/>
              <w:tabs>
                <w:tab w:val="center" w:pos="4201"/>
                <w:tab w:val="right" w:leader="dot" w:pos="9298"/>
              </w:tabs>
              <w:autoSpaceDE w:val="0"/>
              <w:autoSpaceDN w:val="0"/>
              <w:jc w:val="both"/>
              <w:rPr>
                <w:rFonts w:hint="eastAsia" w:ascii="宋体"/>
                <w:kern w:val="0"/>
                <w:szCs w:val="18"/>
                <w:lang w:eastAsia="zh-CN"/>
              </w:rPr>
            </w:pPr>
            <w:r>
              <w:rPr>
                <w:rFonts w:hint="eastAsia" w:ascii="宋体" w:hAnsi="宋体" w:cs="宋体"/>
                <w:u w:val="none"/>
                <w:lang w:val="en-US" w:eastAsia="zh-CN"/>
              </w:rPr>
              <w:t>（</w:t>
            </w:r>
            <w:r>
              <w:rPr>
                <w:rFonts w:hint="eastAsia" w:ascii="宋体" w:hAnsi="宋体" w:cs="宋体"/>
                <w:u w:val="single"/>
              </w:rPr>
              <w:t xml:space="preserve">    </w:t>
            </w:r>
            <w:r>
              <w:rPr>
                <w:rFonts w:hint="eastAsia" w:ascii="宋体" w:hAnsi="宋体" w:cs="宋体"/>
                <w:u w:val="none"/>
                <w:lang w:eastAsia="zh-CN"/>
              </w:rPr>
              <w:t>是</w:t>
            </w:r>
            <w:r>
              <w:rPr>
                <w:rFonts w:hint="eastAsia" w:ascii="宋体" w:hAnsi="宋体" w:cs="宋体"/>
                <w:u w:val="none"/>
                <w:lang w:val="en-US" w:eastAsia="zh-CN"/>
              </w:rPr>
              <w:t xml:space="preserve"> </w:t>
            </w:r>
            <w:r>
              <w:rPr>
                <w:rFonts w:hint="eastAsia" w:ascii="宋体" w:hAnsi="宋体" w:cs="宋体"/>
                <w:u w:val="single"/>
              </w:rPr>
              <w:t xml:space="preserve">    </w:t>
            </w:r>
            <w:r>
              <w:rPr>
                <w:rFonts w:hint="eastAsia" w:ascii="宋体" w:hAnsi="宋体" w:cs="宋体"/>
                <w:u w:val="none"/>
                <w:lang w:eastAsia="zh-CN"/>
              </w:rPr>
              <w:t>否）</w:t>
            </w:r>
          </w:p>
        </w:tc>
        <w:tc>
          <w:tcPr>
            <w:tcW w:w="2123" w:type="dxa"/>
            <w:gridSpan w:val="5"/>
            <w:tcBorders>
              <w:top w:val="nil"/>
              <w:left w:val="nil"/>
              <w:bottom w:val="single" w:color="auto" w:sz="4" w:space="0"/>
              <w:right w:val="nil"/>
            </w:tcBorders>
          </w:tcPr>
          <w:p w14:paraId="0A16FA20">
            <w:pPr>
              <w:keepNext w:val="0"/>
              <w:keepLines w:val="0"/>
              <w:pageBreakBefore w:val="0"/>
              <w:widowControl/>
              <w:tabs>
                <w:tab w:val="center" w:pos="4201"/>
                <w:tab w:val="right" w:leader="dot" w:pos="9298"/>
              </w:tabs>
              <w:kinsoku/>
              <w:wordWrap/>
              <w:overflowPunct/>
              <w:topLinePunct w:val="0"/>
              <w:autoSpaceDE w:val="0"/>
              <w:autoSpaceDN w:val="0"/>
              <w:bidi w:val="0"/>
              <w:adjustRightInd w:val="0"/>
              <w:snapToGrid/>
              <w:spacing w:line="280" w:lineRule="exact"/>
              <w:textAlignment w:val="auto"/>
              <w:outlineLvl w:val="9"/>
              <w:rPr>
                <w:rFonts w:hint="eastAsia" w:ascii="宋体"/>
                <w:kern w:val="0"/>
                <w:szCs w:val="18"/>
                <w:lang w:eastAsia="zh-CN"/>
              </w:rPr>
            </w:pPr>
            <w:r>
              <w:rPr>
                <w:rFonts w:hint="eastAsia" w:ascii="宋体" w:hAnsi="宋体" w:cs="宋体"/>
                <w:u w:val="none"/>
                <w:lang w:val="en-US" w:eastAsia="zh-CN"/>
              </w:rPr>
              <w:t>是否发放符合要求的个体防护用品：</w:t>
            </w:r>
          </w:p>
        </w:tc>
        <w:tc>
          <w:tcPr>
            <w:tcW w:w="2715" w:type="dxa"/>
            <w:gridSpan w:val="3"/>
            <w:tcBorders>
              <w:top w:val="nil"/>
              <w:left w:val="nil"/>
              <w:bottom w:val="single" w:color="auto" w:sz="4" w:space="0"/>
              <w:right w:val="single" w:color="auto" w:sz="4" w:space="0"/>
            </w:tcBorders>
            <w:vAlign w:val="bottom"/>
          </w:tcPr>
          <w:p w14:paraId="69728FD5">
            <w:pPr>
              <w:widowControl/>
              <w:tabs>
                <w:tab w:val="center" w:pos="4201"/>
                <w:tab w:val="right" w:leader="dot" w:pos="9298"/>
              </w:tabs>
              <w:autoSpaceDE w:val="0"/>
              <w:autoSpaceDN w:val="0"/>
              <w:jc w:val="both"/>
              <w:rPr>
                <w:rFonts w:hint="eastAsia" w:ascii="宋体"/>
                <w:kern w:val="0"/>
                <w:szCs w:val="18"/>
                <w:lang w:eastAsia="zh-CN"/>
              </w:rPr>
            </w:pPr>
            <w:r>
              <w:rPr>
                <w:rFonts w:hint="eastAsia" w:ascii="宋体" w:hAnsi="宋体" w:cs="宋体"/>
                <w:u w:val="none"/>
                <w:lang w:val="en-US" w:eastAsia="zh-CN"/>
              </w:rPr>
              <w:t>（</w:t>
            </w:r>
            <w:r>
              <w:rPr>
                <w:rFonts w:hint="eastAsia" w:ascii="宋体" w:hAnsi="宋体" w:cs="宋体"/>
                <w:u w:val="single"/>
              </w:rPr>
              <w:t xml:space="preserve">    </w:t>
            </w:r>
            <w:r>
              <w:rPr>
                <w:rFonts w:hint="eastAsia" w:ascii="宋体" w:hAnsi="宋体" w:cs="宋体"/>
                <w:u w:val="none"/>
                <w:lang w:eastAsia="zh-CN"/>
              </w:rPr>
              <w:t>是</w:t>
            </w:r>
            <w:r>
              <w:rPr>
                <w:rFonts w:hint="eastAsia" w:ascii="宋体" w:hAnsi="宋体" w:cs="宋体"/>
                <w:u w:val="none"/>
                <w:lang w:val="en-US" w:eastAsia="zh-CN"/>
              </w:rPr>
              <w:t xml:space="preserve"> </w:t>
            </w:r>
            <w:r>
              <w:rPr>
                <w:rFonts w:hint="eastAsia" w:ascii="宋体" w:hAnsi="宋体" w:cs="宋体"/>
                <w:u w:val="single"/>
              </w:rPr>
              <w:t xml:space="preserve">    </w:t>
            </w:r>
            <w:r>
              <w:rPr>
                <w:rFonts w:hint="eastAsia" w:ascii="宋体" w:hAnsi="宋体" w:cs="宋体"/>
                <w:u w:val="none"/>
                <w:lang w:eastAsia="zh-CN"/>
              </w:rPr>
              <w:t>否）</w:t>
            </w:r>
          </w:p>
        </w:tc>
      </w:tr>
      <w:tr w14:paraId="4D382B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27" w:hRule="atLeast"/>
        </w:trPr>
        <w:tc>
          <w:tcPr>
            <w:tcW w:w="9535" w:type="dxa"/>
            <w:gridSpan w:val="17"/>
            <w:tcBorders>
              <w:top w:val="single" w:color="auto" w:sz="4" w:space="0"/>
              <w:left w:val="single" w:color="000000" w:sz="8" w:space="0"/>
              <w:right w:val="single" w:color="000000" w:sz="8" w:space="0"/>
            </w:tcBorders>
          </w:tcPr>
          <w:p w14:paraId="629630B2">
            <w:pPr>
              <w:widowControl/>
              <w:tabs>
                <w:tab w:val="center" w:pos="4201"/>
                <w:tab w:val="right" w:leader="dot" w:pos="9298"/>
              </w:tabs>
              <w:autoSpaceDE w:val="0"/>
              <w:autoSpaceDN w:val="0"/>
              <w:rPr>
                <w:rFonts w:hint="eastAsia" w:ascii="宋体" w:hAnsi="宋体" w:cs="宋体"/>
                <w:u w:val="none"/>
                <w:lang w:val="en-US" w:eastAsia="zh-CN"/>
              </w:rPr>
            </w:pPr>
            <w:r>
              <w:rPr>
                <w:rFonts w:hint="eastAsia" w:ascii="宋体" w:hAnsi="宋体" w:cs="宋体"/>
                <w:u w:val="none"/>
                <w:lang w:val="en-US" w:eastAsia="zh-CN"/>
              </w:rPr>
              <w:t>毒物接触情况：</w:t>
            </w:r>
          </w:p>
          <w:tbl>
            <w:tblPr>
              <w:tblStyle w:val="26"/>
              <w:tblW w:w="84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676"/>
              <w:gridCol w:w="935"/>
              <w:gridCol w:w="596"/>
              <w:gridCol w:w="585"/>
              <w:gridCol w:w="794"/>
              <w:gridCol w:w="708"/>
              <w:gridCol w:w="1257"/>
              <w:gridCol w:w="2086"/>
            </w:tblGrid>
            <w:tr w14:paraId="34184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6" w:type="dxa"/>
                  <w:vMerge w:val="restart"/>
                  <w:vAlign w:val="center"/>
                </w:tcPr>
                <w:p w14:paraId="430C39D0">
                  <w:pPr>
                    <w:spacing w:line="300" w:lineRule="exact"/>
                    <w:jc w:val="center"/>
                    <w:rPr>
                      <w:rFonts w:ascii="宋体" w:hAnsi="宋体" w:cs="宋体"/>
                      <w:kern w:val="0"/>
                    </w:rPr>
                  </w:pPr>
                  <w:r>
                    <w:rPr>
                      <w:rFonts w:hint="eastAsia" w:ascii="宋体" w:hAnsi="宋体" w:cs="宋体"/>
                      <w:kern w:val="0"/>
                    </w:rPr>
                    <w:t>工种</w:t>
                  </w:r>
                </w:p>
              </w:tc>
              <w:tc>
                <w:tcPr>
                  <w:tcW w:w="676" w:type="dxa"/>
                  <w:vMerge w:val="restart"/>
                  <w:vAlign w:val="center"/>
                </w:tcPr>
                <w:p w14:paraId="6B85B7A9">
                  <w:pPr>
                    <w:spacing w:line="300" w:lineRule="exact"/>
                    <w:jc w:val="center"/>
                    <w:rPr>
                      <w:rFonts w:ascii="宋体" w:hAnsi="宋体" w:cs="宋体"/>
                      <w:kern w:val="0"/>
                    </w:rPr>
                  </w:pPr>
                  <w:r>
                    <w:rPr>
                      <w:rFonts w:hint="eastAsia" w:ascii="宋体" w:hAnsi="宋体" w:cs="宋体"/>
                      <w:kern w:val="0"/>
                    </w:rPr>
                    <w:t>岗位</w:t>
                  </w:r>
                </w:p>
              </w:tc>
              <w:tc>
                <w:tcPr>
                  <w:tcW w:w="935" w:type="dxa"/>
                  <w:vMerge w:val="restart"/>
                  <w:vAlign w:val="center"/>
                </w:tcPr>
                <w:p w14:paraId="2E355583">
                  <w:pPr>
                    <w:spacing w:line="300" w:lineRule="exact"/>
                    <w:jc w:val="center"/>
                    <w:rPr>
                      <w:rFonts w:hint="eastAsia" w:ascii="宋体" w:hAnsi="宋体" w:eastAsia="宋体" w:cs="宋体"/>
                      <w:kern w:val="0"/>
                      <w:lang w:eastAsia="zh-CN"/>
                    </w:rPr>
                  </w:pPr>
                  <w:r>
                    <w:rPr>
                      <w:rFonts w:hint="eastAsia" w:ascii="宋体" w:hAnsi="宋体" w:cs="宋体"/>
                      <w:kern w:val="0"/>
                      <w:lang w:eastAsia="zh-CN"/>
                    </w:rPr>
                    <w:t>接触毒物名称</w:t>
                  </w:r>
                </w:p>
              </w:tc>
              <w:tc>
                <w:tcPr>
                  <w:tcW w:w="1181" w:type="dxa"/>
                  <w:gridSpan w:val="2"/>
                  <w:vAlign w:val="center"/>
                </w:tcPr>
                <w:p w14:paraId="796CB722">
                  <w:pPr>
                    <w:spacing w:line="300" w:lineRule="exact"/>
                    <w:ind w:left="-105" w:leftChars="-50" w:right="-105" w:rightChars="-50"/>
                    <w:jc w:val="center"/>
                    <w:rPr>
                      <w:rFonts w:ascii="宋体" w:hAnsi="宋体" w:cs="宋体"/>
                      <w:kern w:val="0"/>
                    </w:rPr>
                  </w:pPr>
                  <w:r>
                    <w:rPr>
                      <w:rFonts w:hint="eastAsia" w:ascii="宋体" w:hAnsi="宋体" w:cs="宋体"/>
                      <w:kern w:val="0"/>
                    </w:rPr>
                    <w:t>接触人数</w:t>
                  </w:r>
                </w:p>
              </w:tc>
              <w:tc>
                <w:tcPr>
                  <w:tcW w:w="794" w:type="dxa"/>
                  <w:vMerge w:val="restart"/>
                  <w:vAlign w:val="center"/>
                </w:tcPr>
                <w:p w14:paraId="4B306EC6">
                  <w:pPr>
                    <w:spacing w:line="300" w:lineRule="exact"/>
                    <w:jc w:val="center"/>
                    <w:rPr>
                      <w:rFonts w:ascii="宋体" w:hAnsi="宋体" w:cs="宋体"/>
                      <w:kern w:val="0"/>
                    </w:rPr>
                  </w:pPr>
                  <w:r>
                    <w:rPr>
                      <w:rFonts w:hint="eastAsia" w:ascii="宋体" w:hAnsi="宋体" w:cs="宋体"/>
                      <w:kern w:val="0"/>
                    </w:rPr>
                    <w:t>接触</w:t>
                  </w:r>
                </w:p>
                <w:p w14:paraId="05A34B6A">
                  <w:pPr>
                    <w:spacing w:line="300" w:lineRule="exact"/>
                    <w:jc w:val="center"/>
                    <w:rPr>
                      <w:rFonts w:hint="eastAsia" w:ascii="宋体" w:hAnsi="宋体" w:eastAsia="宋体" w:cs="宋体"/>
                      <w:kern w:val="0"/>
                      <w:lang w:val="en-US" w:eastAsia="zh-CN"/>
                    </w:rPr>
                  </w:pPr>
                  <w:r>
                    <w:rPr>
                      <w:rFonts w:hint="eastAsia" w:ascii="宋体" w:hAnsi="宋体" w:cs="宋体"/>
                      <w:kern w:val="0"/>
                      <w:lang w:val="en-US" w:eastAsia="zh-CN"/>
                    </w:rPr>
                    <w:t>h/班</w:t>
                  </w:r>
                </w:p>
              </w:tc>
              <w:tc>
                <w:tcPr>
                  <w:tcW w:w="708" w:type="dxa"/>
                  <w:vMerge w:val="restart"/>
                  <w:vAlign w:val="center"/>
                </w:tcPr>
                <w:p w14:paraId="645E3F95">
                  <w:pPr>
                    <w:spacing w:line="300" w:lineRule="exact"/>
                    <w:jc w:val="center"/>
                    <w:rPr>
                      <w:rFonts w:ascii="宋体" w:hAnsi="宋体" w:cs="宋体"/>
                      <w:kern w:val="0"/>
                    </w:rPr>
                  </w:pPr>
                  <w:r>
                    <w:rPr>
                      <w:rFonts w:hint="eastAsia" w:ascii="宋体" w:hAnsi="宋体" w:cs="宋体"/>
                      <w:kern w:val="0"/>
                    </w:rPr>
                    <w:t>接触</w:t>
                  </w:r>
                </w:p>
                <w:p w14:paraId="4F0FFE9B">
                  <w:pPr>
                    <w:spacing w:line="300" w:lineRule="exact"/>
                    <w:jc w:val="center"/>
                    <w:rPr>
                      <w:rFonts w:ascii="宋体" w:hAnsi="宋体" w:cs="宋体"/>
                      <w:kern w:val="0"/>
                    </w:rPr>
                  </w:pPr>
                  <w:r>
                    <w:rPr>
                      <w:rFonts w:hint="eastAsia" w:ascii="宋体" w:hAnsi="宋体" w:cs="宋体"/>
                      <w:kern w:val="0"/>
                    </w:rPr>
                    <w:t>方式</w:t>
                  </w:r>
                </w:p>
              </w:tc>
              <w:tc>
                <w:tcPr>
                  <w:tcW w:w="1257" w:type="dxa"/>
                  <w:vMerge w:val="restart"/>
                  <w:vAlign w:val="center"/>
                </w:tcPr>
                <w:p w14:paraId="0F632BD7">
                  <w:pPr>
                    <w:spacing w:line="300" w:lineRule="exact"/>
                    <w:jc w:val="center"/>
                    <w:rPr>
                      <w:rFonts w:ascii="宋体" w:hAnsi="宋体" w:cs="宋体"/>
                      <w:kern w:val="0"/>
                    </w:rPr>
                  </w:pPr>
                  <w:r>
                    <w:rPr>
                      <w:rFonts w:hint="eastAsia" w:ascii="宋体" w:hAnsi="宋体" w:cs="宋体"/>
                      <w:kern w:val="0"/>
                    </w:rPr>
                    <w:t>个体防护</w:t>
                  </w:r>
                </w:p>
                <w:p w14:paraId="32284DD7">
                  <w:pPr>
                    <w:spacing w:line="300" w:lineRule="exact"/>
                    <w:jc w:val="center"/>
                    <w:rPr>
                      <w:rFonts w:ascii="宋体" w:hAnsi="宋体" w:cs="宋体"/>
                      <w:kern w:val="0"/>
                    </w:rPr>
                  </w:pPr>
                  <w:r>
                    <w:rPr>
                      <w:rFonts w:hint="eastAsia" w:ascii="宋体" w:hAnsi="宋体" w:cs="宋体"/>
                      <w:kern w:val="0"/>
                    </w:rPr>
                    <w:t>措施</w:t>
                  </w:r>
                </w:p>
              </w:tc>
              <w:tc>
                <w:tcPr>
                  <w:tcW w:w="2086" w:type="dxa"/>
                  <w:vMerge w:val="restart"/>
                  <w:vAlign w:val="center"/>
                </w:tcPr>
                <w:p w14:paraId="125A2C39">
                  <w:pPr>
                    <w:spacing w:line="260" w:lineRule="exact"/>
                    <w:jc w:val="center"/>
                    <w:rPr>
                      <w:rFonts w:ascii="宋体" w:hAnsi="宋体" w:cs="宋体"/>
                      <w:kern w:val="0"/>
                    </w:rPr>
                  </w:pPr>
                  <w:r>
                    <w:rPr>
                      <w:rFonts w:hint="eastAsia" w:ascii="宋体" w:hAnsi="宋体" w:cs="宋体"/>
                      <w:kern w:val="0"/>
                    </w:rPr>
                    <w:t>应急救援措施</w:t>
                  </w:r>
                </w:p>
                <w:p w14:paraId="6995803B">
                  <w:pPr>
                    <w:spacing w:line="260" w:lineRule="exact"/>
                    <w:jc w:val="center"/>
                    <w:rPr>
                      <w:rFonts w:ascii="宋体" w:hAnsi="宋体" w:cs="宋体"/>
                      <w:kern w:val="0"/>
                    </w:rPr>
                  </w:pPr>
                  <w:r>
                    <w:rPr>
                      <w:rFonts w:hint="eastAsia" w:ascii="宋体" w:hAnsi="宋体" w:cs="宋体"/>
                      <w:kern w:val="0"/>
                    </w:rPr>
                    <w:t>（事故通风、喷淋洗眼、监测报警等）</w:t>
                  </w:r>
                </w:p>
              </w:tc>
            </w:tr>
            <w:tr w14:paraId="56612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766" w:type="dxa"/>
                  <w:vMerge w:val="continue"/>
                  <w:vAlign w:val="center"/>
                </w:tcPr>
                <w:p w14:paraId="035AC989">
                  <w:pPr>
                    <w:jc w:val="center"/>
                    <w:rPr>
                      <w:rFonts w:ascii="宋体" w:hAnsi="宋体" w:cs="宋体"/>
                      <w:kern w:val="0"/>
                    </w:rPr>
                  </w:pPr>
                </w:p>
              </w:tc>
              <w:tc>
                <w:tcPr>
                  <w:tcW w:w="676" w:type="dxa"/>
                  <w:vMerge w:val="continue"/>
                  <w:vAlign w:val="center"/>
                </w:tcPr>
                <w:p w14:paraId="7D9ABDA3">
                  <w:pPr>
                    <w:jc w:val="center"/>
                    <w:rPr>
                      <w:rFonts w:ascii="宋体" w:hAnsi="宋体" w:cs="宋体"/>
                      <w:kern w:val="0"/>
                    </w:rPr>
                  </w:pPr>
                </w:p>
              </w:tc>
              <w:tc>
                <w:tcPr>
                  <w:tcW w:w="935" w:type="dxa"/>
                  <w:vMerge w:val="continue"/>
                  <w:vAlign w:val="center"/>
                </w:tcPr>
                <w:p w14:paraId="55D2CF56">
                  <w:pPr>
                    <w:jc w:val="center"/>
                    <w:rPr>
                      <w:rFonts w:ascii="宋体" w:hAnsi="宋体" w:cs="宋体"/>
                      <w:kern w:val="0"/>
                    </w:rPr>
                  </w:pPr>
                </w:p>
              </w:tc>
              <w:tc>
                <w:tcPr>
                  <w:tcW w:w="596" w:type="dxa"/>
                  <w:vAlign w:val="center"/>
                </w:tcPr>
                <w:p w14:paraId="36466E55">
                  <w:pPr>
                    <w:ind w:left="-105" w:leftChars="-50" w:right="-105" w:rightChars="-50"/>
                    <w:jc w:val="center"/>
                    <w:rPr>
                      <w:rFonts w:ascii="宋体" w:hAnsi="宋体" w:cs="宋体"/>
                      <w:kern w:val="0"/>
                    </w:rPr>
                  </w:pPr>
                  <w:r>
                    <w:rPr>
                      <w:rFonts w:hint="eastAsia" w:ascii="宋体" w:hAnsi="宋体" w:cs="宋体"/>
                      <w:kern w:val="0"/>
                    </w:rPr>
                    <w:t>总数</w:t>
                  </w:r>
                </w:p>
              </w:tc>
              <w:tc>
                <w:tcPr>
                  <w:tcW w:w="585" w:type="dxa"/>
                  <w:vAlign w:val="center"/>
                </w:tcPr>
                <w:p w14:paraId="5E5132EE">
                  <w:pPr>
                    <w:ind w:left="-105" w:leftChars="-50" w:right="-105" w:rightChars="-50"/>
                    <w:jc w:val="center"/>
                    <w:rPr>
                      <w:rFonts w:ascii="宋体" w:hAnsi="宋体" w:cs="宋体"/>
                      <w:kern w:val="0"/>
                    </w:rPr>
                  </w:pPr>
                  <w:r>
                    <w:rPr>
                      <w:rFonts w:hint="eastAsia" w:ascii="宋体" w:hAnsi="宋体" w:cs="宋体"/>
                      <w:kern w:val="0"/>
                    </w:rPr>
                    <w:t>数/班</w:t>
                  </w:r>
                </w:p>
              </w:tc>
              <w:tc>
                <w:tcPr>
                  <w:tcW w:w="794" w:type="dxa"/>
                  <w:vMerge w:val="continue"/>
                  <w:vAlign w:val="center"/>
                </w:tcPr>
                <w:p w14:paraId="61DADDBD">
                  <w:pPr>
                    <w:jc w:val="center"/>
                    <w:rPr>
                      <w:rFonts w:ascii="宋体" w:hAnsi="宋体" w:cs="宋体"/>
                      <w:kern w:val="0"/>
                    </w:rPr>
                  </w:pPr>
                </w:p>
              </w:tc>
              <w:tc>
                <w:tcPr>
                  <w:tcW w:w="708" w:type="dxa"/>
                  <w:vMerge w:val="continue"/>
                  <w:vAlign w:val="center"/>
                </w:tcPr>
                <w:p w14:paraId="2B5EC2FA">
                  <w:pPr>
                    <w:jc w:val="center"/>
                    <w:rPr>
                      <w:rFonts w:ascii="宋体" w:hAnsi="宋体" w:cs="宋体"/>
                      <w:kern w:val="0"/>
                    </w:rPr>
                  </w:pPr>
                </w:p>
              </w:tc>
              <w:tc>
                <w:tcPr>
                  <w:tcW w:w="1257" w:type="dxa"/>
                  <w:vMerge w:val="continue"/>
                  <w:vAlign w:val="center"/>
                </w:tcPr>
                <w:p w14:paraId="6740CC24">
                  <w:pPr>
                    <w:jc w:val="center"/>
                    <w:rPr>
                      <w:rFonts w:ascii="宋体" w:hAnsi="宋体" w:cs="宋体"/>
                      <w:kern w:val="0"/>
                    </w:rPr>
                  </w:pPr>
                </w:p>
              </w:tc>
              <w:tc>
                <w:tcPr>
                  <w:tcW w:w="2086" w:type="dxa"/>
                  <w:vMerge w:val="continue"/>
                  <w:vAlign w:val="center"/>
                </w:tcPr>
                <w:p w14:paraId="2D060378">
                  <w:pPr>
                    <w:jc w:val="center"/>
                    <w:rPr>
                      <w:rFonts w:ascii="宋体" w:hAnsi="宋体" w:cs="宋体"/>
                      <w:kern w:val="0"/>
                    </w:rPr>
                  </w:pPr>
                </w:p>
              </w:tc>
            </w:tr>
            <w:tr w14:paraId="33416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66" w:type="dxa"/>
                  <w:vAlign w:val="top"/>
                </w:tcPr>
                <w:p w14:paraId="16877BC1">
                  <w:pPr>
                    <w:spacing w:line="360" w:lineRule="auto"/>
                    <w:jc w:val="center"/>
                    <w:rPr>
                      <w:rFonts w:ascii="宋体" w:hAnsi="宋体" w:cs="宋体"/>
                      <w:kern w:val="0"/>
                    </w:rPr>
                  </w:pPr>
                </w:p>
              </w:tc>
              <w:tc>
                <w:tcPr>
                  <w:tcW w:w="676" w:type="dxa"/>
                  <w:vAlign w:val="center"/>
                </w:tcPr>
                <w:p w14:paraId="7BCC7F63">
                  <w:pPr>
                    <w:spacing w:line="360" w:lineRule="auto"/>
                    <w:jc w:val="center"/>
                    <w:rPr>
                      <w:rFonts w:ascii="宋体" w:hAnsi="宋体" w:cs="宋体"/>
                      <w:kern w:val="0"/>
                    </w:rPr>
                  </w:pPr>
                </w:p>
              </w:tc>
              <w:tc>
                <w:tcPr>
                  <w:tcW w:w="935" w:type="dxa"/>
                  <w:vAlign w:val="center"/>
                </w:tcPr>
                <w:p w14:paraId="6CB96F7F">
                  <w:pPr>
                    <w:spacing w:line="360" w:lineRule="auto"/>
                    <w:jc w:val="center"/>
                    <w:rPr>
                      <w:rFonts w:ascii="宋体" w:hAnsi="宋体" w:cs="宋体"/>
                      <w:kern w:val="0"/>
                    </w:rPr>
                  </w:pPr>
                </w:p>
              </w:tc>
              <w:tc>
                <w:tcPr>
                  <w:tcW w:w="596" w:type="dxa"/>
                  <w:vAlign w:val="center"/>
                </w:tcPr>
                <w:p w14:paraId="61CCBBE8">
                  <w:pPr>
                    <w:spacing w:line="360" w:lineRule="auto"/>
                    <w:jc w:val="center"/>
                    <w:rPr>
                      <w:rFonts w:ascii="宋体" w:hAnsi="宋体" w:cs="宋体"/>
                      <w:kern w:val="0"/>
                    </w:rPr>
                  </w:pPr>
                </w:p>
              </w:tc>
              <w:tc>
                <w:tcPr>
                  <w:tcW w:w="585" w:type="dxa"/>
                  <w:vAlign w:val="center"/>
                </w:tcPr>
                <w:p w14:paraId="2CA3D185">
                  <w:pPr>
                    <w:spacing w:line="360" w:lineRule="auto"/>
                    <w:jc w:val="center"/>
                    <w:rPr>
                      <w:rFonts w:ascii="宋体" w:hAnsi="宋体" w:cs="宋体"/>
                      <w:kern w:val="0"/>
                    </w:rPr>
                  </w:pPr>
                </w:p>
              </w:tc>
              <w:tc>
                <w:tcPr>
                  <w:tcW w:w="794" w:type="dxa"/>
                  <w:vAlign w:val="center"/>
                </w:tcPr>
                <w:p w14:paraId="37B5A7B1">
                  <w:pPr>
                    <w:spacing w:line="360" w:lineRule="auto"/>
                    <w:jc w:val="center"/>
                    <w:rPr>
                      <w:rFonts w:ascii="宋体" w:hAnsi="宋体" w:cs="宋体"/>
                      <w:kern w:val="0"/>
                    </w:rPr>
                  </w:pPr>
                </w:p>
              </w:tc>
              <w:tc>
                <w:tcPr>
                  <w:tcW w:w="708" w:type="dxa"/>
                  <w:vAlign w:val="center"/>
                </w:tcPr>
                <w:p w14:paraId="6EB7FC1D">
                  <w:pPr>
                    <w:spacing w:line="360" w:lineRule="auto"/>
                    <w:jc w:val="center"/>
                    <w:rPr>
                      <w:rFonts w:ascii="宋体" w:hAnsi="宋体" w:cs="宋体"/>
                      <w:kern w:val="0"/>
                    </w:rPr>
                  </w:pPr>
                </w:p>
              </w:tc>
              <w:tc>
                <w:tcPr>
                  <w:tcW w:w="1257" w:type="dxa"/>
                  <w:vAlign w:val="center"/>
                </w:tcPr>
                <w:p w14:paraId="6CD943A5">
                  <w:pPr>
                    <w:spacing w:line="360" w:lineRule="auto"/>
                    <w:jc w:val="center"/>
                    <w:rPr>
                      <w:rFonts w:ascii="宋体" w:hAnsi="宋体" w:cs="宋体"/>
                      <w:kern w:val="0"/>
                    </w:rPr>
                  </w:pPr>
                </w:p>
              </w:tc>
              <w:tc>
                <w:tcPr>
                  <w:tcW w:w="2086" w:type="dxa"/>
                  <w:vAlign w:val="center"/>
                </w:tcPr>
                <w:p w14:paraId="6712E142">
                  <w:pPr>
                    <w:spacing w:line="360" w:lineRule="auto"/>
                    <w:jc w:val="center"/>
                    <w:rPr>
                      <w:rFonts w:ascii="宋体" w:hAnsi="宋体" w:cs="宋体"/>
                      <w:kern w:val="0"/>
                    </w:rPr>
                  </w:pPr>
                </w:p>
              </w:tc>
            </w:tr>
            <w:tr w14:paraId="3A167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66" w:type="dxa"/>
                  <w:vAlign w:val="top"/>
                </w:tcPr>
                <w:p w14:paraId="1675D52D">
                  <w:pPr>
                    <w:spacing w:line="360" w:lineRule="auto"/>
                    <w:jc w:val="center"/>
                    <w:rPr>
                      <w:rFonts w:ascii="宋体" w:hAnsi="宋体" w:cs="宋体"/>
                      <w:kern w:val="0"/>
                    </w:rPr>
                  </w:pPr>
                </w:p>
              </w:tc>
              <w:tc>
                <w:tcPr>
                  <w:tcW w:w="676" w:type="dxa"/>
                  <w:vAlign w:val="center"/>
                </w:tcPr>
                <w:p w14:paraId="6B49003C">
                  <w:pPr>
                    <w:spacing w:line="360" w:lineRule="auto"/>
                    <w:jc w:val="center"/>
                    <w:rPr>
                      <w:rFonts w:ascii="宋体" w:hAnsi="宋体" w:cs="宋体"/>
                      <w:kern w:val="0"/>
                    </w:rPr>
                  </w:pPr>
                </w:p>
              </w:tc>
              <w:tc>
                <w:tcPr>
                  <w:tcW w:w="935" w:type="dxa"/>
                  <w:vAlign w:val="center"/>
                </w:tcPr>
                <w:p w14:paraId="2D02380E">
                  <w:pPr>
                    <w:spacing w:line="360" w:lineRule="auto"/>
                    <w:jc w:val="center"/>
                    <w:rPr>
                      <w:rFonts w:ascii="宋体" w:hAnsi="宋体" w:cs="宋体"/>
                      <w:kern w:val="0"/>
                    </w:rPr>
                  </w:pPr>
                </w:p>
              </w:tc>
              <w:tc>
                <w:tcPr>
                  <w:tcW w:w="596" w:type="dxa"/>
                  <w:vAlign w:val="center"/>
                </w:tcPr>
                <w:p w14:paraId="1FB41C6F">
                  <w:pPr>
                    <w:spacing w:line="360" w:lineRule="auto"/>
                    <w:jc w:val="center"/>
                    <w:rPr>
                      <w:rFonts w:ascii="宋体" w:hAnsi="宋体" w:cs="宋体"/>
                      <w:kern w:val="0"/>
                    </w:rPr>
                  </w:pPr>
                </w:p>
              </w:tc>
              <w:tc>
                <w:tcPr>
                  <w:tcW w:w="585" w:type="dxa"/>
                  <w:vAlign w:val="center"/>
                </w:tcPr>
                <w:p w14:paraId="2C7149FF">
                  <w:pPr>
                    <w:spacing w:line="360" w:lineRule="auto"/>
                    <w:jc w:val="center"/>
                    <w:rPr>
                      <w:rFonts w:ascii="宋体" w:hAnsi="宋体" w:cs="宋体"/>
                      <w:kern w:val="0"/>
                    </w:rPr>
                  </w:pPr>
                </w:p>
              </w:tc>
              <w:tc>
                <w:tcPr>
                  <w:tcW w:w="794" w:type="dxa"/>
                  <w:vAlign w:val="center"/>
                </w:tcPr>
                <w:p w14:paraId="2FCD534E">
                  <w:pPr>
                    <w:spacing w:line="360" w:lineRule="auto"/>
                    <w:jc w:val="center"/>
                    <w:rPr>
                      <w:rFonts w:ascii="宋体" w:hAnsi="宋体" w:cs="宋体"/>
                      <w:kern w:val="0"/>
                    </w:rPr>
                  </w:pPr>
                </w:p>
              </w:tc>
              <w:tc>
                <w:tcPr>
                  <w:tcW w:w="708" w:type="dxa"/>
                  <w:vAlign w:val="center"/>
                </w:tcPr>
                <w:p w14:paraId="160A2CCB">
                  <w:pPr>
                    <w:spacing w:line="360" w:lineRule="auto"/>
                    <w:jc w:val="center"/>
                    <w:rPr>
                      <w:rFonts w:ascii="宋体" w:hAnsi="宋体" w:cs="宋体"/>
                      <w:kern w:val="0"/>
                    </w:rPr>
                  </w:pPr>
                </w:p>
              </w:tc>
              <w:tc>
                <w:tcPr>
                  <w:tcW w:w="1257" w:type="dxa"/>
                  <w:vAlign w:val="center"/>
                </w:tcPr>
                <w:p w14:paraId="1D1E8AB1">
                  <w:pPr>
                    <w:spacing w:line="360" w:lineRule="auto"/>
                    <w:jc w:val="center"/>
                    <w:rPr>
                      <w:rFonts w:ascii="宋体" w:hAnsi="宋体" w:cs="宋体"/>
                      <w:kern w:val="0"/>
                    </w:rPr>
                  </w:pPr>
                </w:p>
              </w:tc>
              <w:tc>
                <w:tcPr>
                  <w:tcW w:w="2086" w:type="dxa"/>
                  <w:vAlign w:val="center"/>
                </w:tcPr>
                <w:p w14:paraId="3CEA2F8C">
                  <w:pPr>
                    <w:spacing w:line="360" w:lineRule="auto"/>
                    <w:jc w:val="center"/>
                    <w:rPr>
                      <w:rFonts w:ascii="宋体" w:hAnsi="宋体" w:cs="宋体"/>
                      <w:kern w:val="0"/>
                    </w:rPr>
                  </w:pPr>
                </w:p>
              </w:tc>
            </w:tr>
            <w:tr w14:paraId="1E70C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66" w:type="dxa"/>
                  <w:vAlign w:val="top"/>
                </w:tcPr>
                <w:p w14:paraId="4AA44F65">
                  <w:pPr>
                    <w:spacing w:line="360" w:lineRule="auto"/>
                    <w:jc w:val="center"/>
                    <w:rPr>
                      <w:rFonts w:ascii="宋体" w:hAnsi="宋体" w:cs="宋体"/>
                      <w:kern w:val="0"/>
                    </w:rPr>
                  </w:pPr>
                </w:p>
              </w:tc>
              <w:tc>
                <w:tcPr>
                  <w:tcW w:w="676" w:type="dxa"/>
                  <w:vAlign w:val="center"/>
                </w:tcPr>
                <w:p w14:paraId="39DF9679">
                  <w:pPr>
                    <w:spacing w:line="360" w:lineRule="auto"/>
                    <w:jc w:val="center"/>
                    <w:rPr>
                      <w:rFonts w:ascii="宋体" w:hAnsi="宋体" w:cs="宋体"/>
                      <w:kern w:val="0"/>
                    </w:rPr>
                  </w:pPr>
                </w:p>
              </w:tc>
              <w:tc>
                <w:tcPr>
                  <w:tcW w:w="935" w:type="dxa"/>
                  <w:vAlign w:val="center"/>
                </w:tcPr>
                <w:p w14:paraId="188C291B">
                  <w:pPr>
                    <w:spacing w:line="360" w:lineRule="auto"/>
                    <w:jc w:val="center"/>
                    <w:rPr>
                      <w:rFonts w:ascii="宋体" w:hAnsi="宋体" w:cs="宋体"/>
                      <w:kern w:val="0"/>
                    </w:rPr>
                  </w:pPr>
                </w:p>
              </w:tc>
              <w:tc>
                <w:tcPr>
                  <w:tcW w:w="596" w:type="dxa"/>
                  <w:vAlign w:val="center"/>
                </w:tcPr>
                <w:p w14:paraId="7DC8AB79">
                  <w:pPr>
                    <w:spacing w:line="360" w:lineRule="auto"/>
                    <w:jc w:val="center"/>
                    <w:rPr>
                      <w:rFonts w:ascii="宋体" w:hAnsi="宋体" w:cs="宋体"/>
                      <w:kern w:val="0"/>
                    </w:rPr>
                  </w:pPr>
                </w:p>
              </w:tc>
              <w:tc>
                <w:tcPr>
                  <w:tcW w:w="585" w:type="dxa"/>
                  <w:vAlign w:val="center"/>
                </w:tcPr>
                <w:p w14:paraId="2C94A4D4">
                  <w:pPr>
                    <w:spacing w:line="360" w:lineRule="auto"/>
                    <w:jc w:val="center"/>
                    <w:rPr>
                      <w:rFonts w:ascii="宋体" w:hAnsi="宋体" w:cs="宋体"/>
                      <w:kern w:val="0"/>
                    </w:rPr>
                  </w:pPr>
                </w:p>
              </w:tc>
              <w:tc>
                <w:tcPr>
                  <w:tcW w:w="794" w:type="dxa"/>
                  <w:vAlign w:val="center"/>
                </w:tcPr>
                <w:p w14:paraId="6F8F7878">
                  <w:pPr>
                    <w:spacing w:line="360" w:lineRule="auto"/>
                    <w:jc w:val="center"/>
                    <w:rPr>
                      <w:rFonts w:ascii="宋体" w:hAnsi="宋体" w:cs="宋体"/>
                      <w:kern w:val="0"/>
                    </w:rPr>
                  </w:pPr>
                </w:p>
              </w:tc>
              <w:tc>
                <w:tcPr>
                  <w:tcW w:w="708" w:type="dxa"/>
                  <w:vAlign w:val="center"/>
                </w:tcPr>
                <w:p w14:paraId="1F68B6D6">
                  <w:pPr>
                    <w:spacing w:line="360" w:lineRule="auto"/>
                    <w:jc w:val="center"/>
                    <w:rPr>
                      <w:rFonts w:ascii="宋体" w:hAnsi="宋体" w:cs="宋体"/>
                      <w:kern w:val="0"/>
                    </w:rPr>
                  </w:pPr>
                </w:p>
              </w:tc>
              <w:tc>
                <w:tcPr>
                  <w:tcW w:w="1257" w:type="dxa"/>
                  <w:vAlign w:val="center"/>
                </w:tcPr>
                <w:p w14:paraId="2E2B6CC8">
                  <w:pPr>
                    <w:spacing w:line="360" w:lineRule="auto"/>
                    <w:jc w:val="center"/>
                    <w:rPr>
                      <w:rFonts w:ascii="宋体" w:hAnsi="宋体" w:cs="宋体"/>
                      <w:kern w:val="0"/>
                    </w:rPr>
                  </w:pPr>
                </w:p>
              </w:tc>
              <w:tc>
                <w:tcPr>
                  <w:tcW w:w="2086" w:type="dxa"/>
                  <w:vAlign w:val="center"/>
                </w:tcPr>
                <w:p w14:paraId="7572B8CB">
                  <w:pPr>
                    <w:spacing w:line="360" w:lineRule="auto"/>
                    <w:jc w:val="center"/>
                    <w:rPr>
                      <w:rFonts w:ascii="宋体" w:hAnsi="宋体" w:cs="宋体"/>
                      <w:kern w:val="0"/>
                    </w:rPr>
                  </w:pPr>
                </w:p>
              </w:tc>
            </w:tr>
          </w:tbl>
          <w:p w14:paraId="57676C42">
            <w:pPr>
              <w:widowControl/>
              <w:tabs>
                <w:tab w:val="center" w:pos="4201"/>
                <w:tab w:val="right" w:leader="dot" w:pos="9298"/>
              </w:tabs>
              <w:autoSpaceDE w:val="0"/>
              <w:autoSpaceDN w:val="0"/>
              <w:rPr>
                <w:rFonts w:hint="eastAsia" w:ascii="宋体" w:hAnsi="宋体" w:cs="宋体"/>
                <w:u w:val="none"/>
                <w:lang w:val="en-US" w:eastAsia="zh-CN"/>
              </w:rPr>
            </w:pPr>
          </w:p>
        </w:tc>
      </w:tr>
      <w:tr w14:paraId="7D0BE6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4" w:hRule="atLeast"/>
        </w:trPr>
        <w:tc>
          <w:tcPr>
            <w:tcW w:w="9535" w:type="dxa"/>
            <w:gridSpan w:val="17"/>
            <w:tcBorders>
              <w:left w:val="single" w:color="000000" w:sz="8" w:space="0"/>
              <w:right w:val="single" w:color="000000" w:sz="8" w:space="0"/>
            </w:tcBorders>
          </w:tcPr>
          <w:p w14:paraId="6839C584">
            <w:pPr>
              <w:widowControl/>
              <w:tabs>
                <w:tab w:val="center" w:pos="4201"/>
                <w:tab w:val="right" w:leader="dot" w:pos="9298"/>
              </w:tabs>
              <w:autoSpaceDE w:val="0"/>
              <w:autoSpaceDN w:val="0"/>
              <w:rPr>
                <w:rFonts w:hint="eastAsia" w:ascii="宋体" w:hAnsi="宋体" w:cs="宋体"/>
                <w:u w:val="none"/>
                <w:lang w:val="en-US" w:eastAsia="zh-CN"/>
              </w:rPr>
            </w:pPr>
            <w:r>
              <w:rPr>
                <w:rFonts w:hint="eastAsia" w:ascii="宋体" w:hAnsi="宋体" w:cs="宋体"/>
                <w:b/>
                <w:bCs/>
                <w:u w:val="none"/>
                <w:lang w:val="en-US" w:eastAsia="zh-CN"/>
              </w:rPr>
              <w:t>三、事件初步研判</w:t>
            </w:r>
            <w:r>
              <w:rPr>
                <w:rFonts w:hint="eastAsia" w:ascii="宋体" w:hAnsi="宋体" w:cs="宋体"/>
                <w:u w:val="none"/>
                <w:lang w:val="en-US" w:eastAsia="zh-CN"/>
              </w:rPr>
              <w:t>（事件起因、毒物暴露情况分析、可疑毒物判别等。可加附页）：</w:t>
            </w:r>
          </w:p>
        </w:tc>
      </w:tr>
      <w:tr w14:paraId="17F82F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1" w:hRule="atLeast"/>
        </w:trPr>
        <w:tc>
          <w:tcPr>
            <w:tcW w:w="9535" w:type="dxa"/>
            <w:gridSpan w:val="17"/>
            <w:tcBorders>
              <w:left w:val="single" w:color="000000" w:sz="8" w:space="0"/>
              <w:right w:val="single" w:color="000000" w:sz="8" w:space="0"/>
            </w:tcBorders>
          </w:tcPr>
          <w:p w14:paraId="117754B4">
            <w:pPr>
              <w:widowControl/>
              <w:tabs>
                <w:tab w:val="center" w:pos="4201"/>
                <w:tab w:val="right" w:leader="dot" w:pos="9298"/>
              </w:tabs>
              <w:autoSpaceDE w:val="0"/>
              <w:autoSpaceDN w:val="0"/>
              <w:rPr>
                <w:rFonts w:hint="eastAsia" w:ascii="宋体" w:hAnsi="宋体" w:cs="宋体"/>
                <w:b/>
                <w:bCs/>
                <w:i w:val="0"/>
                <w:iCs w:val="0"/>
                <w:lang w:eastAsia="zh-CN"/>
              </w:rPr>
            </w:pPr>
            <w:r>
              <w:rPr>
                <w:rFonts w:hint="eastAsia" w:ascii="宋体" w:hAnsi="宋体" w:cs="宋体"/>
                <w:b/>
                <w:bCs/>
                <w:i w:val="0"/>
                <w:iCs w:val="0"/>
                <w:lang w:eastAsia="zh-CN"/>
              </w:rPr>
              <w:t>四、既往职业中毒发生情况：</w:t>
            </w:r>
          </w:p>
        </w:tc>
      </w:tr>
      <w:tr w14:paraId="64C487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1" w:hRule="atLeast"/>
        </w:trPr>
        <w:tc>
          <w:tcPr>
            <w:tcW w:w="9535" w:type="dxa"/>
            <w:gridSpan w:val="17"/>
            <w:tcBorders>
              <w:left w:val="single" w:color="000000" w:sz="8" w:space="0"/>
              <w:right w:val="single" w:color="000000" w:sz="8" w:space="0"/>
            </w:tcBorders>
          </w:tcPr>
          <w:p w14:paraId="7D72EBB0">
            <w:pPr>
              <w:widowControl/>
              <w:tabs>
                <w:tab w:val="center" w:pos="4201"/>
                <w:tab w:val="right" w:leader="dot" w:pos="9298"/>
              </w:tabs>
              <w:autoSpaceDE w:val="0"/>
              <w:autoSpaceDN w:val="0"/>
              <w:rPr>
                <w:rFonts w:hint="eastAsia" w:ascii="宋体" w:hAnsi="宋体" w:cs="宋体"/>
                <w:u w:val="none"/>
                <w:lang w:val="en-US" w:eastAsia="zh-CN"/>
              </w:rPr>
            </w:pPr>
            <w:r>
              <w:rPr>
                <w:rFonts w:hint="eastAsia" w:ascii="宋体" w:hAnsi="宋体" w:cs="宋体"/>
                <w:b/>
                <w:bCs/>
                <w:i w:val="0"/>
                <w:iCs w:val="0"/>
                <w:lang w:eastAsia="zh-CN"/>
              </w:rPr>
              <w:t>五、</w:t>
            </w:r>
            <w:r>
              <w:rPr>
                <w:rFonts w:hint="eastAsia" w:ascii="宋体" w:hAnsi="宋体" w:cs="宋体"/>
                <w:b/>
                <w:bCs/>
                <w:i w:val="0"/>
                <w:iCs w:val="0"/>
              </w:rPr>
              <w:t>其他</w:t>
            </w:r>
            <w:r>
              <w:rPr>
                <w:rFonts w:hint="eastAsia" w:ascii="宋体" w:hAnsi="宋体" w:cs="宋体"/>
                <w:b/>
                <w:bCs/>
                <w:i w:val="0"/>
                <w:iCs w:val="0"/>
                <w:lang w:eastAsia="zh-CN"/>
              </w:rPr>
              <w:t>需要补充的</w:t>
            </w:r>
            <w:r>
              <w:rPr>
                <w:rFonts w:hint="eastAsia" w:ascii="宋体" w:hAnsi="宋体" w:cs="宋体"/>
                <w:b/>
                <w:bCs/>
                <w:i w:val="0"/>
                <w:iCs w:val="0"/>
              </w:rPr>
              <w:t>信息：</w:t>
            </w:r>
          </w:p>
        </w:tc>
      </w:tr>
      <w:tr w14:paraId="01F0E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9535" w:type="dxa"/>
            <w:gridSpan w:val="17"/>
            <w:tcBorders>
              <w:left w:val="single" w:color="000000" w:sz="8" w:space="0"/>
              <w:right w:val="single" w:color="000000" w:sz="8" w:space="0"/>
            </w:tcBorders>
          </w:tcPr>
          <w:p w14:paraId="28C5A67E">
            <w:pPr>
              <w:spacing w:line="460" w:lineRule="exact"/>
              <w:rPr>
                <w:rFonts w:hint="eastAsia" w:ascii="宋体" w:hAnsi="宋体" w:cs="宋体"/>
                <w:u w:val="none"/>
                <w:lang w:val="en-US" w:eastAsia="zh-CN"/>
              </w:rPr>
            </w:pPr>
            <w:r>
              <w:rPr>
                <w:rFonts w:hint="eastAsia" w:ascii="宋体" w:hAnsi="宋体" w:cs="宋体"/>
                <w:b/>
                <w:bCs/>
              </w:rPr>
              <w:t>附：</w:t>
            </w:r>
            <w:r>
              <w:rPr>
                <w:rFonts w:hint="eastAsia" w:ascii="宋体" w:hAnsi="宋体" w:cs="宋体"/>
              </w:rPr>
              <w:t>事件现场示意图（标示中毒发生地点、监测点、警戒区域等）</w:t>
            </w:r>
          </w:p>
        </w:tc>
      </w:tr>
      <w:tr w14:paraId="4B2EEB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1" w:hRule="atLeast"/>
        </w:trPr>
        <w:tc>
          <w:tcPr>
            <w:tcW w:w="9535" w:type="dxa"/>
            <w:gridSpan w:val="17"/>
            <w:tcBorders>
              <w:left w:val="single" w:color="000000" w:sz="8" w:space="0"/>
              <w:bottom w:val="single" w:color="000000" w:sz="8" w:space="0"/>
              <w:right w:val="single" w:color="000000" w:sz="8" w:space="0"/>
            </w:tcBorders>
          </w:tcPr>
          <w:p w14:paraId="665E072D">
            <w:pPr>
              <w:widowControl/>
              <w:tabs>
                <w:tab w:val="center" w:pos="4201"/>
                <w:tab w:val="right" w:leader="dot" w:pos="9298"/>
              </w:tabs>
              <w:autoSpaceDE w:val="0"/>
              <w:autoSpaceDN w:val="0"/>
              <w:ind w:firstLine="6510" w:firstLineChars="3100"/>
              <w:rPr>
                <w:rFonts w:hint="eastAsia" w:ascii="宋体" w:hAnsi="宋体" w:cs="宋体"/>
                <w:u w:val="none"/>
                <w:lang w:val="en-US" w:eastAsia="zh-CN"/>
              </w:rPr>
            </w:pPr>
            <w:r>
              <w:rPr>
                <w:rFonts w:hint="eastAsia" w:ascii="宋体" w:hAnsi="宋体" w:cs="宋体"/>
                <w:u w:val="none"/>
                <w:lang w:val="en-US" w:eastAsia="zh-CN"/>
              </w:rPr>
              <w:t>填表日期：   年  月  日</w:t>
            </w:r>
          </w:p>
          <w:p w14:paraId="22E0BAD6">
            <w:pPr>
              <w:widowControl/>
              <w:tabs>
                <w:tab w:val="center" w:pos="4201"/>
                <w:tab w:val="right" w:leader="dot" w:pos="9298"/>
              </w:tabs>
              <w:autoSpaceDE w:val="0"/>
              <w:autoSpaceDN w:val="0"/>
              <w:ind w:firstLine="6510" w:firstLineChars="3100"/>
              <w:rPr>
                <w:rFonts w:hint="eastAsia" w:ascii="宋体" w:hAnsi="宋体" w:cs="宋体"/>
                <w:u w:val="none"/>
                <w:lang w:val="en-US" w:eastAsia="zh-CN"/>
              </w:rPr>
            </w:pPr>
            <w:r>
              <w:rPr>
                <w:rFonts w:hint="eastAsia" w:ascii="宋体" w:hAnsi="宋体" w:cs="宋体"/>
                <w:u w:val="none"/>
                <w:lang w:val="en-US" w:eastAsia="zh-CN"/>
              </w:rPr>
              <w:t>调查单位：</w:t>
            </w:r>
          </w:p>
          <w:p w14:paraId="3E81F3E0">
            <w:pPr>
              <w:widowControl/>
              <w:tabs>
                <w:tab w:val="center" w:pos="4201"/>
                <w:tab w:val="right" w:leader="dot" w:pos="9298"/>
              </w:tabs>
              <w:autoSpaceDE w:val="0"/>
              <w:autoSpaceDN w:val="0"/>
              <w:ind w:firstLine="6510" w:firstLineChars="3100"/>
              <w:rPr>
                <w:rFonts w:hint="eastAsia" w:ascii="宋体" w:hAnsi="宋体" w:cs="宋体"/>
                <w:u w:val="none"/>
                <w:lang w:val="en-US" w:eastAsia="zh-CN"/>
              </w:rPr>
            </w:pPr>
            <w:r>
              <w:rPr>
                <w:rFonts w:hint="eastAsia" w:ascii="宋体" w:hAnsi="宋体" w:cs="宋体"/>
                <w:u w:val="none"/>
                <w:lang w:val="en-US" w:eastAsia="zh-CN"/>
              </w:rPr>
              <w:t>调查人员：</w:t>
            </w:r>
          </w:p>
          <w:p w14:paraId="65815AEA">
            <w:pPr>
              <w:widowControl/>
              <w:tabs>
                <w:tab w:val="center" w:pos="4201"/>
                <w:tab w:val="right" w:leader="dot" w:pos="9298"/>
              </w:tabs>
              <w:autoSpaceDE w:val="0"/>
              <w:autoSpaceDN w:val="0"/>
              <w:ind w:firstLine="6510" w:firstLineChars="3100"/>
              <w:rPr>
                <w:rFonts w:hint="eastAsia" w:ascii="宋体" w:hAnsi="宋体" w:cs="宋体"/>
                <w:u w:val="none"/>
                <w:lang w:val="en-US" w:eastAsia="zh-CN"/>
              </w:rPr>
            </w:pPr>
            <w:r>
              <w:rPr>
                <w:rFonts w:hint="eastAsia" w:ascii="宋体" w:hAnsi="宋体" w:cs="宋体"/>
                <w:u w:val="none"/>
                <w:lang w:val="en-US" w:eastAsia="zh-CN"/>
              </w:rPr>
              <w:t>陪同人：</w:t>
            </w:r>
          </w:p>
        </w:tc>
      </w:tr>
    </w:tbl>
    <w:p w14:paraId="730776B2">
      <w:pPr>
        <w:pStyle w:val="56"/>
        <w:ind w:firstLine="420"/>
        <w:jc w:val="center"/>
      </w:pPr>
    </w:p>
    <w:bookmarkEnd w:id="60"/>
    <w:p w14:paraId="591730A9">
      <w:pPr>
        <w:pStyle w:val="56"/>
        <w:ind w:firstLine="420"/>
        <w:sectPr>
          <w:pgSz w:w="11906" w:h="16838"/>
          <w:pgMar w:top="567" w:right="1134" w:bottom="1134" w:left="1134" w:header="1418" w:footer="1134" w:gutter="284"/>
          <w:cols w:space="425" w:num="1"/>
          <w:formProt w:val="0"/>
          <w:docGrid w:type="lines" w:linePitch="312" w:charSpace="0"/>
        </w:sectPr>
      </w:pPr>
      <w:bookmarkStart w:id="61" w:name="BookMark6"/>
    </w:p>
    <w:p w14:paraId="443738A2">
      <w:pPr>
        <w:pStyle w:val="76"/>
        <w:spacing w:before="78" w:after="156"/>
        <w:rPr>
          <w:rFonts w:hint="eastAsia"/>
        </w:rPr>
      </w:pPr>
    </w:p>
    <w:p w14:paraId="3BE3C684">
      <w:pPr>
        <w:pStyle w:val="76"/>
        <w:numPr>
          <w:ilvl w:val="0"/>
          <w:numId w:val="0"/>
        </w:numPr>
        <w:spacing w:before="78" w:after="156"/>
        <w:ind w:leftChars="0"/>
        <w:jc w:val="center"/>
        <w:rPr>
          <w:rFonts w:hint="eastAsia"/>
        </w:rPr>
      </w:pPr>
      <w:r>
        <w:rPr>
          <w:rFonts w:hint="eastAsia"/>
        </w:rPr>
        <w:t>（资料性）</w:t>
      </w:r>
      <w:r>
        <w:br w:type="textWrapping"/>
      </w:r>
      <w:r>
        <w:rPr>
          <w:rFonts w:hint="eastAsia"/>
          <w:lang w:eastAsia="zh-CN"/>
        </w:rPr>
        <w:t>突发职业中毒个案调查表</w:t>
      </w:r>
    </w:p>
    <w:p w14:paraId="48CD3628">
      <w:pPr>
        <w:pStyle w:val="56"/>
        <w:ind w:firstLine="420"/>
        <w:rPr>
          <w:rFonts w:hint="eastAsia"/>
        </w:rPr>
      </w:pPr>
      <w:r>
        <w:rPr>
          <w:rFonts w:hint="eastAsia"/>
          <w:lang w:eastAsia="zh-CN"/>
        </w:rPr>
        <w:t>突发职业中毒个案调查表</w:t>
      </w:r>
      <w:r>
        <w:rPr>
          <w:rFonts w:hint="eastAsia"/>
        </w:rPr>
        <w:t>见</w:t>
      </w:r>
      <w:r>
        <w:rPr>
          <w:rFonts w:hint="eastAsia"/>
          <w:lang w:eastAsia="zh-CN"/>
        </w:rPr>
        <w:t>表</w:t>
      </w:r>
      <w:r>
        <w:rPr>
          <w:rFonts w:hint="eastAsia"/>
          <w:lang w:val="en-US" w:eastAsia="zh-CN"/>
        </w:rPr>
        <w:t>C</w:t>
      </w:r>
      <w:r>
        <w:rPr>
          <w:rFonts w:hint="eastAsia"/>
        </w:rPr>
        <w:t>.1。</w:t>
      </w:r>
    </w:p>
    <w:p w14:paraId="4E542F9E">
      <w:pPr>
        <w:pStyle w:val="77"/>
        <w:numPr>
          <w:ilvl w:val="1"/>
          <w:numId w:val="0"/>
        </w:numPr>
        <w:spacing w:before="156" w:after="156"/>
        <w:ind w:left="420" w:leftChars="0"/>
        <w:jc w:val="center"/>
        <w:rPr>
          <w:rFonts w:hint="eastAsia"/>
        </w:rPr>
      </w:pPr>
      <w:r>
        <w:rPr>
          <w:rFonts w:hint="eastAsia"/>
          <w:szCs w:val="22"/>
          <w:lang w:eastAsia="zh-CN"/>
        </w:rPr>
        <w:t>表</w:t>
      </w:r>
      <w:r>
        <w:rPr>
          <w:rFonts w:hint="eastAsia"/>
          <w:szCs w:val="22"/>
          <w:lang w:val="en-US" w:eastAsia="zh-CN"/>
        </w:rPr>
        <w:t>C.1 突发</w:t>
      </w:r>
      <w:r>
        <w:rPr>
          <w:rFonts w:hint="eastAsia"/>
          <w:szCs w:val="22"/>
          <w:lang w:eastAsia="zh-CN"/>
        </w:rPr>
        <w:t>职业中毒个案调查表</w:t>
      </w:r>
    </w:p>
    <w:tbl>
      <w:tblPr>
        <w:tblStyle w:val="26"/>
        <w:tblW w:w="95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3"/>
        <w:gridCol w:w="1661"/>
        <w:gridCol w:w="494"/>
        <w:gridCol w:w="352"/>
        <w:gridCol w:w="1159"/>
        <w:gridCol w:w="418"/>
        <w:gridCol w:w="385"/>
        <w:gridCol w:w="454"/>
        <w:gridCol w:w="877"/>
        <w:gridCol w:w="322"/>
        <w:gridCol w:w="935"/>
        <w:gridCol w:w="1593"/>
      </w:tblGrid>
      <w:tr w14:paraId="619AA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2" w:hRule="atLeast"/>
        </w:trPr>
        <w:tc>
          <w:tcPr>
            <w:tcW w:w="9533" w:type="dxa"/>
            <w:gridSpan w:val="12"/>
            <w:tcBorders>
              <w:top w:val="single" w:color="000000" w:sz="8" w:space="0"/>
              <w:left w:val="single" w:color="000000" w:sz="8" w:space="0"/>
              <w:bottom w:val="single" w:color="auto" w:sz="4" w:space="0"/>
              <w:right w:val="single" w:color="000000" w:sz="8" w:space="0"/>
            </w:tcBorders>
          </w:tcPr>
          <w:p w14:paraId="1D1E299D">
            <w:pPr>
              <w:pStyle w:val="234"/>
              <w:ind w:firstLine="0" w:firstLineChars="0"/>
              <w:rPr>
                <w:szCs w:val="18"/>
              </w:rPr>
            </w:pPr>
            <w:r>
              <w:rPr>
                <w:rFonts w:hint="eastAsia"/>
                <w:b/>
                <w:bCs/>
                <w:szCs w:val="18"/>
                <w:lang w:eastAsia="zh-CN"/>
              </w:rPr>
              <w:t>一、基本信息调查</w:t>
            </w:r>
          </w:p>
        </w:tc>
      </w:tr>
      <w:tr w14:paraId="31DB77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trPr>
        <w:tc>
          <w:tcPr>
            <w:tcW w:w="883" w:type="dxa"/>
            <w:tcBorders>
              <w:top w:val="nil"/>
              <w:left w:val="single" w:color="auto" w:sz="4" w:space="0"/>
              <w:bottom w:val="nil"/>
              <w:right w:val="nil"/>
            </w:tcBorders>
            <w:vAlign w:val="bottom"/>
          </w:tcPr>
          <w:p w14:paraId="7013E98D">
            <w:pPr>
              <w:pStyle w:val="234"/>
              <w:ind w:firstLine="0" w:firstLineChars="0"/>
              <w:jc w:val="both"/>
              <w:rPr>
                <w:rFonts w:hint="default" w:eastAsia="宋体"/>
                <w:szCs w:val="18"/>
                <w:lang w:val="en-US" w:eastAsia="zh-CN"/>
              </w:rPr>
            </w:pPr>
            <w:r>
              <w:rPr>
                <w:rFonts w:hint="eastAsia"/>
                <w:szCs w:val="18"/>
                <w:lang w:eastAsia="zh-CN"/>
              </w:rPr>
              <w:t>姓名：</w:t>
            </w:r>
          </w:p>
        </w:tc>
        <w:tc>
          <w:tcPr>
            <w:tcW w:w="1661" w:type="dxa"/>
            <w:tcBorders>
              <w:top w:val="nil"/>
              <w:left w:val="nil"/>
              <w:bottom w:val="nil"/>
              <w:right w:val="nil"/>
            </w:tcBorders>
            <w:vAlign w:val="bottom"/>
          </w:tcPr>
          <w:p w14:paraId="7ECE2F8A">
            <w:pPr>
              <w:pStyle w:val="234"/>
              <w:ind w:firstLine="0" w:firstLineChars="0"/>
              <w:jc w:val="both"/>
              <w:rPr>
                <w:rFonts w:hint="default" w:eastAsia="宋体"/>
                <w:szCs w:val="18"/>
                <w:lang w:val="en-US" w:eastAsia="zh-CN"/>
              </w:rPr>
            </w:pPr>
            <w:r>
              <w:rPr>
                <w:rFonts w:hint="eastAsia" w:ascii="宋体" w:hAnsi="宋体" w:cs="宋体"/>
                <w:u w:val="single"/>
              </w:rPr>
              <w:t xml:space="preserve">    </w:t>
            </w:r>
            <w:r>
              <w:rPr>
                <w:rFonts w:hint="eastAsia" w:hAnsi="宋体" w:cs="宋体"/>
                <w:u w:val="single"/>
                <w:lang w:val="en-US" w:eastAsia="zh-CN"/>
              </w:rPr>
              <w:t xml:space="preserve">         </w:t>
            </w:r>
          </w:p>
        </w:tc>
        <w:tc>
          <w:tcPr>
            <w:tcW w:w="846" w:type="dxa"/>
            <w:gridSpan w:val="2"/>
            <w:tcBorders>
              <w:top w:val="nil"/>
              <w:left w:val="nil"/>
              <w:bottom w:val="nil"/>
              <w:right w:val="nil"/>
            </w:tcBorders>
            <w:vAlign w:val="bottom"/>
          </w:tcPr>
          <w:p w14:paraId="5187B87D">
            <w:pPr>
              <w:pStyle w:val="234"/>
              <w:ind w:firstLine="0" w:firstLineChars="0"/>
              <w:jc w:val="both"/>
              <w:rPr>
                <w:rFonts w:hint="eastAsia" w:eastAsia="宋体"/>
                <w:szCs w:val="18"/>
                <w:lang w:eastAsia="zh-CN"/>
              </w:rPr>
            </w:pPr>
            <w:r>
              <w:rPr>
                <w:rFonts w:hint="eastAsia"/>
                <w:szCs w:val="18"/>
                <w:lang w:eastAsia="zh-CN"/>
              </w:rPr>
              <w:t>性别：</w:t>
            </w:r>
          </w:p>
        </w:tc>
        <w:tc>
          <w:tcPr>
            <w:tcW w:w="1159" w:type="dxa"/>
            <w:tcBorders>
              <w:top w:val="nil"/>
              <w:left w:val="nil"/>
              <w:bottom w:val="nil"/>
              <w:right w:val="nil"/>
            </w:tcBorders>
            <w:vAlign w:val="bottom"/>
          </w:tcPr>
          <w:p w14:paraId="5C3CA8AB">
            <w:pPr>
              <w:pStyle w:val="234"/>
              <w:ind w:firstLine="0" w:firstLineChars="0"/>
              <w:jc w:val="both"/>
              <w:rPr>
                <w:rFonts w:hint="default" w:eastAsia="宋体"/>
                <w:szCs w:val="18"/>
                <w:lang w:val="en-US" w:eastAsia="zh-CN"/>
              </w:rPr>
            </w:pPr>
            <w:r>
              <w:rPr>
                <w:rFonts w:hint="eastAsia" w:ascii="宋体" w:hAnsi="宋体" w:cs="宋体"/>
                <w:u w:val="single"/>
              </w:rPr>
              <w:t xml:space="preserve"> </w:t>
            </w:r>
            <w:r>
              <w:rPr>
                <w:rFonts w:hint="eastAsia" w:hAnsi="宋体" w:cs="宋体"/>
                <w:u w:val="single"/>
                <w:lang w:val="en-US" w:eastAsia="zh-CN"/>
              </w:rPr>
              <w:t xml:space="preserve">  </w:t>
            </w:r>
            <w:r>
              <w:rPr>
                <w:rFonts w:hint="eastAsia" w:ascii="宋体" w:hAnsi="宋体" w:cs="宋体"/>
                <w:u w:val="single"/>
              </w:rPr>
              <w:t xml:space="preserve">   </w:t>
            </w:r>
          </w:p>
        </w:tc>
        <w:tc>
          <w:tcPr>
            <w:tcW w:w="803" w:type="dxa"/>
            <w:gridSpan w:val="2"/>
            <w:tcBorders>
              <w:top w:val="nil"/>
              <w:left w:val="nil"/>
              <w:bottom w:val="nil"/>
              <w:right w:val="nil"/>
            </w:tcBorders>
            <w:vAlign w:val="bottom"/>
          </w:tcPr>
          <w:p w14:paraId="2BA84942">
            <w:pPr>
              <w:pStyle w:val="234"/>
              <w:ind w:firstLine="0" w:firstLineChars="0"/>
              <w:jc w:val="both"/>
              <w:rPr>
                <w:rFonts w:hint="eastAsia" w:eastAsia="宋体"/>
                <w:szCs w:val="18"/>
                <w:lang w:eastAsia="zh-CN"/>
              </w:rPr>
            </w:pPr>
            <w:r>
              <w:rPr>
                <w:rFonts w:hint="eastAsia"/>
                <w:szCs w:val="18"/>
                <w:lang w:eastAsia="zh-CN"/>
              </w:rPr>
              <w:t>年龄：</w:t>
            </w:r>
          </w:p>
        </w:tc>
        <w:tc>
          <w:tcPr>
            <w:tcW w:w="1331" w:type="dxa"/>
            <w:gridSpan w:val="2"/>
            <w:tcBorders>
              <w:top w:val="nil"/>
              <w:left w:val="nil"/>
              <w:bottom w:val="nil"/>
              <w:right w:val="nil"/>
            </w:tcBorders>
            <w:vAlign w:val="bottom"/>
          </w:tcPr>
          <w:p w14:paraId="70330508">
            <w:pPr>
              <w:pStyle w:val="234"/>
              <w:ind w:firstLine="0" w:firstLineChars="0"/>
              <w:jc w:val="both"/>
              <w:rPr>
                <w:rFonts w:hint="default"/>
                <w:szCs w:val="18"/>
                <w:lang w:val="en-US" w:eastAsia="zh-CN"/>
              </w:rPr>
            </w:pPr>
            <w:r>
              <w:rPr>
                <w:rFonts w:hint="eastAsia" w:ascii="宋体" w:hAnsi="宋体" w:cs="宋体"/>
                <w:u w:val="single"/>
              </w:rPr>
              <w:t xml:space="preserve">  </w:t>
            </w:r>
            <w:r>
              <w:rPr>
                <w:rFonts w:hint="eastAsia" w:hAnsi="宋体" w:cs="宋体"/>
                <w:u w:val="single"/>
                <w:lang w:val="en-US" w:eastAsia="zh-CN"/>
              </w:rPr>
              <w:t xml:space="preserve">     </w:t>
            </w:r>
            <w:r>
              <w:rPr>
                <w:rFonts w:hint="eastAsia" w:ascii="宋体" w:hAnsi="宋体" w:cs="宋体"/>
                <w:u w:val="single"/>
              </w:rPr>
              <w:t xml:space="preserve">  </w:t>
            </w:r>
          </w:p>
        </w:tc>
        <w:tc>
          <w:tcPr>
            <w:tcW w:w="1257" w:type="dxa"/>
            <w:gridSpan w:val="2"/>
            <w:tcBorders>
              <w:top w:val="nil"/>
              <w:left w:val="nil"/>
              <w:bottom w:val="nil"/>
              <w:right w:val="nil"/>
            </w:tcBorders>
            <w:vAlign w:val="bottom"/>
          </w:tcPr>
          <w:p w14:paraId="7C214E11">
            <w:pPr>
              <w:pStyle w:val="234"/>
              <w:ind w:firstLine="0" w:firstLineChars="0"/>
              <w:jc w:val="both"/>
              <w:rPr>
                <w:rFonts w:hint="eastAsia"/>
                <w:szCs w:val="18"/>
                <w:lang w:eastAsia="zh-CN"/>
              </w:rPr>
            </w:pPr>
            <w:r>
              <w:rPr>
                <w:rFonts w:hint="eastAsia"/>
                <w:szCs w:val="18"/>
                <w:lang w:eastAsia="zh-CN"/>
              </w:rPr>
              <w:t>联系方式：</w:t>
            </w:r>
          </w:p>
        </w:tc>
        <w:tc>
          <w:tcPr>
            <w:tcW w:w="1593" w:type="dxa"/>
            <w:tcBorders>
              <w:top w:val="nil"/>
              <w:left w:val="nil"/>
              <w:bottom w:val="nil"/>
              <w:right w:val="single" w:color="auto" w:sz="4" w:space="0"/>
            </w:tcBorders>
            <w:vAlign w:val="bottom"/>
          </w:tcPr>
          <w:p w14:paraId="3A4BF4DA">
            <w:pPr>
              <w:pStyle w:val="234"/>
              <w:ind w:firstLine="0" w:firstLineChars="0"/>
              <w:jc w:val="both"/>
              <w:rPr>
                <w:rFonts w:hint="default"/>
                <w:szCs w:val="18"/>
                <w:lang w:val="en-US" w:eastAsia="zh-CN"/>
              </w:rPr>
            </w:pPr>
            <w:r>
              <w:rPr>
                <w:rFonts w:hint="eastAsia" w:ascii="宋体" w:hAnsi="宋体" w:cs="宋体"/>
                <w:u w:val="single"/>
              </w:rPr>
              <w:t xml:space="preserve">  </w:t>
            </w:r>
            <w:r>
              <w:rPr>
                <w:rFonts w:hint="eastAsia" w:hAnsi="宋体" w:cs="宋体"/>
                <w:u w:val="single"/>
                <w:lang w:val="en-US" w:eastAsia="zh-CN"/>
              </w:rPr>
              <w:t xml:space="preserve">          </w:t>
            </w:r>
            <w:r>
              <w:rPr>
                <w:rFonts w:hint="eastAsia" w:ascii="宋体" w:hAnsi="宋体" w:cs="宋体"/>
                <w:u w:val="single"/>
              </w:rPr>
              <w:t xml:space="preserve">  </w:t>
            </w:r>
          </w:p>
        </w:tc>
      </w:tr>
      <w:tr w14:paraId="4B2EE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3038" w:type="dxa"/>
            <w:gridSpan w:val="3"/>
            <w:tcBorders>
              <w:top w:val="nil"/>
              <w:left w:val="single" w:color="auto" w:sz="4" w:space="0"/>
              <w:bottom w:val="nil"/>
              <w:right w:val="nil"/>
            </w:tcBorders>
            <w:vAlign w:val="bottom"/>
          </w:tcPr>
          <w:p w14:paraId="37EFA470">
            <w:pPr>
              <w:pStyle w:val="234"/>
              <w:ind w:firstLine="0" w:firstLineChars="0"/>
              <w:jc w:val="both"/>
              <w:rPr>
                <w:rFonts w:hint="default" w:eastAsia="宋体"/>
                <w:szCs w:val="18"/>
                <w:lang w:val="en-US" w:eastAsia="zh-CN"/>
              </w:rPr>
            </w:pPr>
            <w:r>
              <w:rPr>
                <w:rFonts w:hint="eastAsia"/>
                <w:szCs w:val="18"/>
                <w:lang w:eastAsia="zh-CN"/>
              </w:rPr>
              <w:t>家庭住址：</w:t>
            </w:r>
            <w:r>
              <w:rPr>
                <w:rFonts w:hint="eastAsia" w:ascii="宋体" w:hAnsi="宋体" w:cs="宋体"/>
                <w:u w:val="single"/>
              </w:rPr>
              <w:t xml:space="preserve">  </w:t>
            </w:r>
            <w:r>
              <w:rPr>
                <w:rFonts w:hint="eastAsia" w:hAnsi="宋体" w:cs="宋体"/>
                <w:u w:val="single"/>
                <w:lang w:val="en-US" w:eastAsia="zh-CN"/>
              </w:rPr>
              <w:t xml:space="preserve">     </w:t>
            </w:r>
            <w:r>
              <w:rPr>
                <w:rFonts w:hint="eastAsia" w:ascii="宋体" w:hAnsi="宋体" w:cs="宋体"/>
                <w:u w:val="single"/>
              </w:rPr>
              <w:t xml:space="preserve">  </w:t>
            </w:r>
            <w:r>
              <w:rPr>
                <w:rFonts w:hint="eastAsia" w:hAnsi="宋体" w:cs="宋体"/>
                <w:u w:val="single"/>
                <w:lang w:val="en-US" w:eastAsia="zh-CN"/>
              </w:rPr>
              <w:t xml:space="preserve">        </w:t>
            </w:r>
          </w:p>
        </w:tc>
        <w:tc>
          <w:tcPr>
            <w:tcW w:w="2768" w:type="dxa"/>
            <w:gridSpan w:val="5"/>
            <w:tcBorders>
              <w:top w:val="nil"/>
              <w:left w:val="nil"/>
              <w:bottom w:val="nil"/>
              <w:right w:val="nil"/>
            </w:tcBorders>
            <w:vAlign w:val="bottom"/>
          </w:tcPr>
          <w:p w14:paraId="5902BFFE">
            <w:pPr>
              <w:pStyle w:val="234"/>
              <w:ind w:firstLine="0" w:firstLineChars="0"/>
              <w:jc w:val="both"/>
              <w:rPr>
                <w:rFonts w:hint="default" w:eastAsia="宋体"/>
                <w:szCs w:val="18"/>
                <w:lang w:val="en-US" w:eastAsia="zh-CN"/>
              </w:rPr>
            </w:pPr>
            <w:r>
              <w:rPr>
                <w:rFonts w:hint="eastAsia"/>
                <w:szCs w:val="18"/>
                <w:lang w:val="en-US" w:eastAsia="zh-CN"/>
              </w:rPr>
              <w:t>调查地点：</w:t>
            </w:r>
            <w:r>
              <w:rPr>
                <w:rFonts w:hint="eastAsia" w:ascii="宋体" w:hAnsi="宋体" w:cs="宋体"/>
                <w:u w:val="single"/>
              </w:rPr>
              <w:t xml:space="preserve">  </w:t>
            </w:r>
            <w:r>
              <w:rPr>
                <w:rFonts w:hint="eastAsia" w:hAnsi="宋体" w:cs="宋体"/>
                <w:u w:val="single"/>
                <w:lang w:val="en-US" w:eastAsia="zh-CN"/>
              </w:rPr>
              <w:t xml:space="preserve">     </w:t>
            </w:r>
            <w:r>
              <w:rPr>
                <w:rFonts w:hint="eastAsia" w:ascii="宋体" w:hAnsi="宋体" w:cs="宋体"/>
                <w:u w:val="single"/>
              </w:rPr>
              <w:t xml:space="preserve">  </w:t>
            </w:r>
            <w:r>
              <w:rPr>
                <w:rFonts w:hint="eastAsia" w:hAnsi="宋体" w:cs="宋体"/>
                <w:u w:val="single"/>
                <w:lang w:val="en-US" w:eastAsia="zh-CN"/>
              </w:rPr>
              <w:t xml:space="preserve">     </w:t>
            </w:r>
          </w:p>
        </w:tc>
        <w:tc>
          <w:tcPr>
            <w:tcW w:w="3727" w:type="dxa"/>
            <w:gridSpan w:val="4"/>
            <w:tcBorders>
              <w:top w:val="nil"/>
              <w:left w:val="nil"/>
              <w:bottom w:val="nil"/>
              <w:right w:val="single" w:color="auto" w:sz="4" w:space="0"/>
            </w:tcBorders>
            <w:vAlign w:val="bottom"/>
          </w:tcPr>
          <w:p w14:paraId="201EF13C">
            <w:pPr>
              <w:pStyle w:val="234"/>
              <w:ind w:firstLine="0" w:firstLineChars="0"/>
              <w:jc w:val="both"/>
              <w:rPr>
                <w:rFonts w:hint="eastAsia"/>
                <w:szCs w:val="18"/>
                <w:lang w:val="en-US" w:eastAsia="zh-CN"/>
              </w:rPr>
            </w:pPr>
            <w:r>
              <w:rPr>
                <w:rFonts w:hint="eastAsia"/>
                <w:szCs w:val="18"/>
                <w:lang w:eastAsia="zh-CN"/>
              </w:rPr>
              <w:t>调查时间：</w:t>
            </w:r>
            <w:r>
              <w:rPr>
                <w:rFonts w:hint="eastAsia" w:ascii="宋体" w:hAnsi="宋体" w:cs="宋体"/>
                <w:u w:val="single"/>
              </w:rPr>
              <w:t xml:space="preserve">    </w:t>
            </w:r>
            <w:r>
              <w:rPr>
                <w:rFonts w:hint="eastAsia" w:ascii="宋体" w:hAnsi="宋体" w:cs="宋体"/>
                <w:lang w:val="en-US" w:eastAsia="zh-CN"/>
              </w:rPr>
              <w:t>年</w:t>
            </w:r>
            <w:r>
              <w:rPr>
                <w:rFonts w:hint="eastAsia" w:ascii="宋体" w:hAnsi="宋体" w:cs="宋体"/>
                <w:u w:val="single"/>
              </w:rPr>
              <w:t xml:space="preserve">  </w:t>
            </w:r>
            <w:r>
              <w:rPr>
                <w:rFonts w:hint="eastAsia" w:hAnsi="宋体" w:cs="宋体"/>
                <w:u w:val="single"/>
                <w:lang w:val="en-US" w:eastAsia="zh-CN"/>
              </w:rPr>
              <w:t xml:space="preserve"> </w:t>
            </w:r>
            <w:r>
              <w:rPr>
                <w:rFonts w:hint="eastAsia" w:ascii="宋体" w:hAnsi="宋体" w:cs="宋体"/>
                <w:lang w:val="en-US" w:eastAsia="zh-CN"/>
              </w:rPr>
              <w:t>月</w:t>
            </w:r>
            <w:r>
              <w:rPr>
                <w:rFonts w:hint="eastAsia" w:ascii="宋体" w:hAnsi="宋体" w:cs="宋体"/>
                <w:u w:val="single"/>
              </w:rPr>
              <w:t xml:space="preserve">   </w:t>
            </w:r>
            <w:r>
              <w:rPr>
                <w:rFonts w:hint="eastAsia" w:ascii="宋体" w:hAnsi="宋体" w:cs="宋体"/>
                <w:lang w:val="en-US" w:eastAsia="zh-CN"/>
              </w:rPr>
              <w:t>日</w:t>
            </w:r>
            <w:r>
              <w:rPr>
                <w:rFonts w:hint="eastAsia" w:ascii="宋体" w:hAnsi="宋体" w:cs="宋体"/>
                <w:u w:val="single"/>
              </w:rPr>
              <w:t xml:space="preserve">   </w:t>
            </w:r>
            <w:r>
              <w:rPr>
                <w:rFonts w:hint="eastAsia" w:ascii="宋体" w:hAnsi="宋体" w:cs="宋体"/>
                <w:lang w:val="en-US" w:eastAsia="zh-CN"/>
              </w:rPr>
              <w:t>时</w:t>
            </w:r>
          </w:p>
        </w:tc>
      </w:tr>
      <w:tr w14:paraId="406BC7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94" w:hRule="atLeast"/>
        </w:trPr>
        <w:tc>
          <w:tcPr>
            <w:tcW w:w="9533" w:type="dxa"/>
            <w:gridSpan w:val="12"/>
            <w:tcBorders>
              <w:top w:val="nil"/>
              <w:left w:val="single" w:color="000000" w:sz="8" w:space="0"/>
              <w:right w:val="single" w:color="000000" w:sz="8" w:space="0"/>
            </w:tcBorders>
          </w:tcPr>
          <w:p w14:paraId="01CC6C1A">
            <w:pPr>
              <w:pStyle w:val="234"/>
              <w:keepNext w:val="0"/>
              <w:keepLines w:val="0"/>
              <w:pageBreakBefore w:val="0"/>
              <w:widowControl/>
              <w:kinsoku/>
              <w:wordWrap/>
              <w:overflowPunct/>
              <w:topLinePunct w:val="0"/>
              <w:autoSpaceDE w:val="0"/>
              <w:autoSpaceDN w:val="0"/>
              <w:bidi w:val="0"/>
              <w:adjustRightInd/>
              <w:snapToGrid/>
              <w:spacing w:line="240" w:lineRule="auto"/>
              <w:ind w:firstLine="0" w:firstLineChars="0"/>
              <w:textAlignment w:val="auto"/>
              <w:outlineLvl w:val="9"/>
              <w:rPr>
                <w:rFonts w:hint="eastAsia"/>
                <w:szCs w:val="18"/>
                <w:lang w:eastAsia="zh-CN"/>
              </w:rPr>
            </w:pPr>
            <w:r>
              <w:rPr>
                <w:rFonts w:hint="eastAsia"/>
                <w:szCs w:val="18"/>
                <w:lang w:eastAsia="zh-CN"/>
              </w:rPr>
              <w:t>职业病危害接触史：</w:t>
            </w:r>
          </w:p>
          <w:tbl>
            <w:tblPr>
              <w:tblStyle w:val="26"/>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7"/>
              <w:gridCol w:w="1387"/>
              <w:gridCol w:w="1069"/>
              <w:gridCol w:w="1141"/>
              <w:gridCol w:w="1067"/>
              <w:gridCol w:w="1278"/>
              <w:gridCol w:w="1371"/>
            </w:tblGrid>
            <w:tr w14:paraId="19454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987" w:type="dxa"/>
                  <w:vAlign w:val="center"/>
                </w:tcPr>
                <w:p w14:paraId="67DF8739">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eastAsia" w:ascii="宋体" w:hAnsi="宋体" w:eastAsia="宋体" w:cs="宋体"/>
                      <w:kern w:val="0"/>
                      <w:lang w:eastAsia="zh-CN"/>
                    </w:rPr>
                  </w:pPr>
                  <w:r>
                    <w:rPr>
                      <w:rFonts w:hint="eastAsia" w:ascii="宋体" w:hAnsi="宋体" w:cs="宋体"/>
                      <w:kern w:val="0"/>
                      <w:lang w:eastAsia="zh-CN"/>
                    </w:rPr>
                    <w:t>起止时间</w:t>
                  </w:r>
                </w:p>
              </w:tc>
              <w:tc>
                <w:tcPr>
                  <w:tcW w:w="1387" w:type="dxa"/>
                  <w:vAlign w:val="center"/>
                </w:tcPr>
                <w:p w14:paraId="6D9BD461">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eastAsia" w:ascii="宋体" w:hAnsi="宋体" w:eastAsia="宋体" w:cs="宋体"/>
                      <w:kern w:val="0"/>
                      <w:lang w:eastAsia="zh-CN"/>
                    </w:rPr>
                  </w:pPr>
                  <w:r>
                    <w:rPr>
                      <w:rFonts w:hint="eastAsia" w:ascii="宋体" w:hAnsi="宋体" w:cs="宋体"/>
                      <w:kern w:val="0"/>
                      <w:lang w:eastAsia="zh-CN"/>
                    </w:rPr>
                    <w:t>用人单位</w:t>
                  </w:r>
                </w:p>
              </w:tc>
              <w:tc>
                <w:tcPr>
                  <w:tcW w:w="1069" w:type="dxa"/>
                  <w:vAlign w:val="center"/>
                </w:tcPr>
                <w:p w14:paraId="7A0E53AB">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eastAsia" w:ascii="宋体" w:hAnsi="宋体" w:cs="宋体"/>
                      <w:kern w:val="0"/>
                      <w:lang w:val="en-US" w:eastAsia="zh-CN"/>
                    </w:rPr>
                  </w:pPr>
                  <w:r>
                    <w:rPr>
                      <w:rFonts w:hint="eastAsia" w:ascii="宋体" w:hAnsi="宋体" w:cs="宋体"/>
                      <w:kern w:val="0"/>
                      <w:lang w:eastAsia="zh-CN"/>
                    </w:rPr>
                    <w:t>车间</w:t>
                  </w:r>
                  <w:r>
                    <w:rPr>
                      <w:rFonts w:hint="eastAsia" w:ascii="宋体" w:hAnsi="宋体" w:cs="宋体"/>
                      <w:kern w:val="0"/>
                      <w:lang w:val="en-US" w:eastAsia="zh-CN"/>
                    </w:rPr>
                    <w:t>/</w:t>
                  </w:r>
                </w:p>
                <w:p w14:paraId="0FE218FA">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default" w:ascii="宋体" w:hAnsi="宋体" w:eastAsia="宋体" w:cs="宋体"/>
                      <w:kern w:val="0"/>
                      <w:lang w:val="en-US" w:eastAsia="zh-CN"/>
                    </w:rPr>
                  </w:pPr>
                  <w:r>
                    <w:rPr>
                      <w:rFonts w:hint="eastAsia" w:ascii="宋体" w:hAnsi="宋体" w:cs="宋体"/>
                      <w:kern w:val="0"/>
                      <w:lang w:val="en-US" w:eastAsia="zh-CN"/>
                    </w:rPr>
                    <w:t>部门</w:t>
                  </w:r>
                </w:p>
              </w:tc>
              <w:tc>
                <w:tcPr>
                  <w:tcW w:w="1141" w:type="dxa"/>
                  <w:vAlign w:val="center"/>
                </w:tcPr>
                <w:p w14:paraId="63617C3D">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eastAsia" w:ascii="宋体" w:hAnsi="宋体" w:cs="宋体"/>
                      <w:kern w:val="0"/>
                      <w:lang w:val="en-US" w:eastAsia="zh-CN"/>
                    </w:rPr>
                  </w:pPr>
                  <w:r>
                    <w:rPr>
                      <w:rFonts w:hint="eastAsia" w:ascii="宋体" w:hAnsi="宋体" w:cs="宋体"/>
                      <w:kern w:val="0"/>
                      <w:lang w:eastAsia="zh-CN"/>
                    </w:rPr>
                    <w:t>工种</w:t>
                  </w:r>
                  <w:r>
                    <w:rPr>
                      <w:rFonts w:hint="eastAsia" w:ascii="宋体" w:hAnsi="宋体" w:cs="宋体"/>
                      <w:kern w:val="0"/>
                      <w:lang w:val="en-US" w:eastAsia="zh-CN"/>
                    </w:rPr>
                    <w:t>/</w:t>
                  </w:r>
                </w:p>
                <w:p w14:paraId="1EDF55B9">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default" w:ascii="宋体" w:hAnsi="宋体" w:eastAsia="宋体" w:cs="宋体"/>
                      <w:kern w:val="0"/>
                      <w:lang w:val="en-US" w:eastAsia="zh-CN"/>
                    </w:rPr>
                  </w:pPr>
                  <w:r>
                    <w:rPr>
                      <w:rFonts w:hint="eastAsia" w:ascii="宋体" w:hAnsi="宋体" w:cs="宋体"/>
                      <w:kern w:val="0"/>
                      <w:lang w:val="en-US" w:eastAsia="zh-CN"/>
                    </w:rPr>
                    <w:t>岗位</w:t>
                  </w:r>
                </w:p>
              </w:tc>
              <w:tc>
                <w:tcPr>
                  <w:tcW w:w="1067" w:type="dxa"/>
                  <w:vAlign w:val="center"/>
                </w:tcPr>
                <w:p w14:paraId="240B9EB1">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eastAsia" w:ascii="宋体" w:hAnsi="宋体" w:cs="宋体"/>
                      <w:kern w:val="0"/>
                      <w:lang w:eastAsia="zh-CN"/>
                    </w:rPr>
                  </w:pPr>
                  <w:r>
                    <w:rPr>
                      <w:rFonts w:hint="eastAsia" w:ascii="宋体" w:hAnsi="宋体" w:cs="宋体"/>
                      <w:kern w:val="0"/>
                      <w:lang w:eastAsia="zh-CN"/>
                    </w:rPr>
                    <w:t>每天工作</w:t>
                  </w:r>
                </w:p>
                <w:p w14:paraId="3DEA485A">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eastAsia" w:ascii="宋体" w:hAnsi="宋体" w:cs="宋体"/>
                      <w:kern w:val="0"/>
                      <w:lang w:eastAsia="zh-CN"/>
                    </w:rPr>
                  </w:pPr>
                  <w:r>
                    <w:rPr>
                      <w:rFonts w:hint="eastAsia" w:ascii="宋体" w:hAnsi="宋体" w:cs="宋体"/>
                      <w:kern w:val="0"/>
                      <w:lang w:eastAsia="zh-CN"/>
                    </w:rPr>
                    <w:t>时间</w:t>
                  </w:r>
                </w:p>
              </w:tc>
              <w:tc>
                <w:tcPr>
                  <w:tcW w:w="1278" w:type="dxa"/>
                  <w:vAlign w:val="center"/>
                </w:tcPr>
                <w:p w14:paraId="32BE1860">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eastAsia" w:ascii="宋体" w:hAnsi="宋体" w:cs="宋体"/>
                      <w:kern w:val="0"/>
                      <w:lang w:eastAsia="zh-CN"/>
                    </w:rPr>
                  </w:pPr>
                  <w:r>
                    <w:rPr>
                      <w:rFonts w:hint="eastAsia" w:ascii="宋体" w:hAnsi="宋体" w:cs="宋体"/>
                      <w:kern w:val="0"/>
                      <w:lang w:eastAsia="zh-CN"/>
                    </w:rPr>
                    <w:t>接触的职业病危害因素</w:t>
                  </w:r>
                </w:p>
              </w:tc>
              <w:tc>
                <w:tcPr>
                  <w:tcW w:w="1371" w:type="dxa"/>
                  <w:vAlign w:val="center"/>
                </w:tcPr>
                <w:p w14:paraId="46D3D574">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eastAsia" w:ascii="宋体" w:hAnsi="宋体" w:cs="宋体"/>
                      <w:kern w:val="0"/>
                      <w:lang w:eastAsia="zh-CN"/>
                    </w:rPr>
                  </w:pPr>
                  <w:r>
                    <w:rPr>
                      <w:rFonts w:hint="eastAsia" w:ascii="宋体" w:hAnsi="宋体" w:cs="宋体"/>
                      <w:kern w:val="0"/>
                      <w:lang w:eastAsia="zh-CN"/>
                    </w:rPr>
                    <w:t>个体防护用品使用情况</w:t>
                  </w:r>
                </w:p>
              </w:tc>
            </w:tr>
            <w:tr w14:paraId="721EB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7" w:type="dxa"/>
                  <w:vAlign w:val="center"/>
                </w:tcPr>
                <w:p w14:paraId="56AAEF5A">
                  <w:pPr>
                    <w:keepNext w:val="0"/>
                    <w:keepLines w:val="0"/>
                    <w:pageBreakBefore w:val="0"/>
                    <w:widowControl w:val="0"/>
                    <w:kinsoku/>
                    <w:wordWrap/>
                    <w:overflowPunct/>
                    <w:topLinePunct w:val="0"/>
                    <w:autoSpaceDE/>
                    <w:autoSpaceDN/>
                    <w:bidi w:val="0"/>
                    <w:adjustRightInd w:val="0"/>
                    <w:snapToGrid/>
                    <w:spacing w:line="240" w:lineRule="auto"/>
                    <w:ind w:left="-105" w:leftChars="-50" w:right="-105" w:rightChars="-50"/>
                    <w:jc w:val="center"/>
                    <w:textAlignment w:val="auto"/>
                    <w:outlineLvl w:val="9"/>
                    <w:rPr>
                      <w:rFonts w:hint="default" w:ascii="宋体" w:hAnsi="宋体" w:eastAsia="宋体" w:cs="宋体"/>
                      <w:kern w:val="0"/>
                      <w:lang w:val="en-US" w:eastAsia="zh-CN"/>
                    </w:rPr>
                  </w:pPr>
                  <w:r>
                    <w:rPr>
                      <w:rFonts w:hint="eastAsia" w:ascii="宋体" w:hAnsi="宋体" w:cs="宋体"/>
                      <w:kern w:val="0"/>
                      <w:lang w:val="en-US" w:eastAsia="zh-CN"/>
                    </w:rPr>
                    <w:t xml:space="preserve"> </w:t>
                  </w:r>
                  <w:r>
                    <w:rPr>
                      <w:rFonts w:hint="eastAsia" w:ascii="宋体" w:hAnsi="宋体" w:cs="宋体"/>
                      <w:kern w:val="0"/>
                      <w:lang w:eastAsia="zh-CN"/>
                    </w:rPr>
                    <w:t>年</w:t>
                  </w:r>
                  <w:r>
                    <w:rPr>
                      <w:rFonts w:hint="eastAsia" w:ascii="宋体" w:hAnsi="宋体" w:cs="宋体"/>
                      <w:kern w:val="0"/>
                      <w:lang w:val="en-US" w:eastAsia="zh-CN"/>
                    </w:rPr>
                    <w:t xml:space="preserve">  月至   年  月</w:t>
                  </w:r>
                </w:p>
              </w:tc>
              <w:tc>
                <w:tcPr>
                  <w:tcW w:w="1387" w:type="dxa"/>
                  <w:vAlign w:val="center"/>
                </w:tcPr>
                <w:p w14:paraId="6B6A21FB">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069" w:type="dxa"/>
                  <w:vAlign w:val="center"/>
                </w:tcPr>
                <w:p w14:paraId="41882D81">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141" w:type="dxa"/>
                  <w:vAlign w:val="center"/>
                </w:tcPr>
                <w:p w14:paraId="3704AC62">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067" w:type="dxa"/>
                  <w:vAlign w:val="center"/>
                </w:tcPr>
                <w:p w14:paraId="39213B94">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278" w:type="dxa"/>
                  <w:vAlign w:val="center"/>
                </w:tcPr>
                <w:p w14:paraId="361039E8">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371" w:type="dxa"/>
                  <w:vAlign w:val="center"/>
                </w:tcPr>
                <w:p w14:paraId="77E837FE">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r>
            <w:tr w14:paraId="151ED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7" w:type="dxa"/>
                  <w:vAlign w:val="center"/>
                </w:tcPr>
                <w:p w14:paraId="3BACAE4F">
                  <w:pPr>
                    <w:keepNext w:val="0"/>
                    <w:keepLines w:val="0"/>
                    <w:pageBreakBefore w:val="0"/>
                    <w:widowControl w:val="0"/>
                    <w:kinsoku/>
                    <w:wordWrap/>
                    <w:overflowPunct/>
                    <w:topLinePunct w:val="0"/>
                    <w:autoSpaceDE/>
                    <w:autoSpaceDN/>
                    <w:bidi w:val="0"/>
                    <w:adjustRightInd w:val="0"/>
                    <w:snapToGrid/>
                    <w:spacing w:line="240" w:lineRule="auto"/>
                    <w:ind w:left="-105" w:leftChars="-50" w:right="-105" w:rightChars="-50"/>
                    <w:jc w:val="center"/>
                    <w:textAlignment w:val="auto"/>
                    <w:outlineLvl w:val="9"/>
                    <w:rPr>
                      <w:rFonts w:ascii="宋体" w:hAnsi="宋体" w:cs="宋体"/>
                      <w:kern w:val="0"/>
                    </w:rPr>
                  </w:pPr>
                  <w:r>
                    <w:rPr>
                      <w:rFonts w:hint="eastAsia" w:ascii="宋体" w:hAnsi="宋体" w:cs="宋体"/>
                      <w:kern w:val="0"/>
                      <w:lang w:val="en-US" w:eastAsia="zh-CN"/>
                    </w:rPr>
                    <w:t xml:space="preserve"> </w:t>
                  </w:r>
                  <w:r>
                    <w:rPr>
                      <w:rFonts w:hint="eastAsia" w:ascii="宋体" w:hAnsi="宋体" w:cs="宋体"/>
                      <w:kern w:val="0"/>
                      <w:lang w:eastAsia="zh-CN"/>
                    </w:rPr>
                    <w:t>年</w:t>
                  </w:r>
                  <w:r>
                    <w:rPr>
                      <w:rFonts w:hint="eastAsia" w:ascii="宋体" w:hAnsi="宋体" w:cs="宋体"/>
                      <w:kern w:val="0"/>
                      <w:lang w:val="en-US" w:eastAsia="zh-CN"/>
                    </w:rPr>
                    <w:t xml:space="preserve">  月至   年  月</w:t>
                  </w:r>
                </w:p>
              </w:tc>
              <w:tc>
                <w:tcPr>
                  <w:tcW w:w="1387" w:type="dxa"/>
                  <w:vAlign w:val="center"/>
                </w:tcPr>
                <w:p w14:paraId="15F4CDEC">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069" w:type="dxa"/>
                  <w:vAlign w:val="center"/>
                </w:tcPr>
                <w:p w14:paraId="56C3CAD0">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141" w:type="dxa"/>
                  <w:vAlign w:val="center"/>
                </w:tcPr>
                <w:p w14:paraId="4CE47943">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067" w:type="dxa"/>
                  <w:vAlign w:val="center"/>
                </w:tcPr>
                <w:p w14:paraId="6EF8C66D">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278" w:type="dxa"/>
                  <w:vAlign w:val="center"/>
                </w:tcPr>
                <w:p w14:paraId="3021D85B">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371" w:type="dxa"/>
                  <w:vAlign w:val="center"/>
                </w:tcPr>
                <w:p w14:paraId="002569BE">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r>
            <w:tr w14:paraId="607E1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7" w:type="dxa"/>
                  <w:vAlign w:val="center"/>
                </w:tcPr>
                <w:p w14:paraId="236D790B">
                  <w:pPr>
                    <w:keepNext w:val="0"/>
                    <w:keepLines w:val="0"/>
                    <w:pageBreakBefore w:val="0"/>
                    <w:widowControl w:val="0"/>
                    <w:kinsoku/>
                    <w:wordWrap/>
                    <w:overflowPunct/>
                    <w:topLinePunct w:val="0"/>
                    <w:autoSpaceDE/>
                    <w:autoSpaceDN/>
                    <w:bidi w:val="0"/>
                    <w:adjustRightInd w:val="0"/>
                    <w:snapToGrid/>
                    <w:spacing w:line="240" w:lineRule="auto"/>
                    <w:ind w:left="-105" w:leftChars="-50" w:right="-105" w:rightChars="-50"/>
                    <w:jc w:val="center"/>
                    <w:textAlignment w:val="auto"/>
                    <w:outlineLvl w:val="9"/>
                    <w:rPr>
                      <w:rFonts w:ascii="宋体" w:hAnsi="宋体" w:cs="宋体"/>
                      <w:kern w:val="0"/>
                    </w:rPr>
                  </w:pPr>
                  <w:r>
                    <w:rPr>
                      <w:rFonts w:hint="eastAsia" w:ascii="宋体" w:hAnsi="宋体" w:cs="宋体"/>
                      <w:kern w:val="0"/>
                      <w:lang w:val="en-US" w:eastAsia="zh-CN"/>
                    </w:rPr>
                    <w:t xml:space="preserve"> </w:t>
                  </w:r>
                  <w:r>
                    <w:rPr>
                      <w:rFonts w:hint="eastAsia" w:ascii="宋体" w:hAnsi="宋体" w:cs="宋体"/>
                      <w:kern w:val="0"/>
                      <w:lang w:eastAsia="zh-CN"/>
                    </w:rPr>
                    <w:t>年</w:t>
                  </w:r>
                  <w:r>
                    <w:rPr>
                      <w:rFonts w:hint="eastAsia" w:ascii="宋体" w:hAnsi="宋体" w:cs="宋体"/>
                      <w:kern w:val="0"/>
                      <w:lang w:val="en-US" w:eastAsia="zh-CN"/>
                    </w:rPr>
                    <w:t xml:space="preserve">  月至   年  月</w:t>
                  </w:r>
                </w:p>
              </w:tc>
              <w:tc>
                <w:tcPr>
                  <w:tcW w:w="1387" w:type="dxa"/>
                  <w:vAlign w:val="center"/>
                </w:tcPr>
                <w:p w14:paraId="2496B59C">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069" w:type="dxa"/>
                  <w:vAlign w:val="center"/>
                </w:tcPr>
                <w:p w14:paraId="4127B50B">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141" w:type="dxa"/>
                  <w:vAlign w:val="center"/>
                </w:tcPr>
                <w:p w14:paraId="7DE86215">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067" w:type="dxa"/>
                  <w:vAlign w:val="center"/>
                </w:tcPr>
                <w:p w14:paraId="2332D0A1">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278" w:type="dxa"/>
                  <w:vAlign w:val="center"/>
                </w:tcPr>
                <w:p w14:paraId="05A36693">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371" w:type="dxa"/>
                  <w:vAlign w:val="center"/>
                </w:tcPr>
                <w:p w14:paraId="7BA80510">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r>
          </w:tbl>
          <w:p w14:paraId="490EFC7E">
            <w:pPr>
              <w:pStyle w:val="234"/>
              <w:ind w:firstLine="0" w:firstLineChars="0"/>
              <w:rPr>
                <w:rFonts w:hint="eastAsia"/>
                <w:szCs w:val="18"/>
                <w:lang w:eastAsia="zh-CN"/>
              </w:rPr>
            </w:pPr>
          </w:p>
        </w:tc>
      </w:tr>
      <w:tr w14:paraId="350B3B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9" w:hRule="atLeast"/>
        </w:trPr>
        <w:tc>
          <w:tcPr>
            <w:tcW w:w="9533" w:type="dxa"/>
            <w:gridSpan w:val="12"/>
            <w:tcBorders>
              <w:left w:val="single" w:color="000000" w:sz="8" w:space="0"/>
              <w:right w:val="single" w:color="000000" w:sz="8" w:space="0"/>
            </w:tcBorders>
          </w:tcPr>
          <w:p w14:paraId="76521A09">
            <w:pPr>
              <w:pStyle w:val="234"/>
              <w:ind w:firstLine="0" w:firstLineChars="0"/>
              <w:rPr>
                <w:szCs w:val="18"/>
              </w:rPr>
            </w:pPr>
            <w:r>
              <w:rPr>
                <w:rFonts w:hint="eastAsia"/>
                <w:b/>
                <w:bCs/>
                <w:szCs w:val="18"/>
                <w:lang w:eastAsia="zh-CN"/>
              </w:rPr>
              <w:t>二、中毒信息调查</w:t>
            </w:r>
          </w:p>
        </w:tc>
      </w:tr>
      <w:tr w14:paraId="0CFFB0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2" w:hRule="atLeast"/>
        </w:trPr>
        <w:tc>
          <w:tcPr>
            <w:tcW w:w="4967" w:type="dxa"/>
            <w:gridSpan w:val="6"/>
            <w:tcBorders>
              <w:left w:val="single" w:color="000000" w:sz="8" w:space="0"/>
              <w:right w:val="nil"/>
            </w:tcBorders>
            <w:vAlign w:val="bottom"/>
          </w:tcPr>
          <w:p w14:paraId="624C1C09">
            <w:pPr>
              <w:pStyle w:val="234"/>
              <w:keepNext w:val="0"/>
              <w:keepLines w:val="0"/>
              <w:pageBreakBefore w:val="0"/>
              <w:widowControl/>
              <w:kinsoku/>
              <w:wordWrap/>
              <w:overflowPunct/>
              <w:topLinePunct w:val="0"/>
              <w:autoSpaceDE w:val="0"/>
              <w:autoSpaceDN w:val="0"/>
              <w:bidi w:val="0"/>
              <w:adjustRightInd/>
              <w:snapToGrid/>
              <w:ind w:right="-105" w:rightChars="-50" w:firstLine="0" w:firstLineChars="0"/>
              <w:jc w:val="both"/>
              <w:textAlignment w:val="auto"/>
              <w:outlineLvl w:val="9"/>
              <w:rPr>
                <w:szCs w:val="18"/>
              </w:rPr>
            </w:pPr>
            <w:r>
              <w:rPr>
                <w:rFonts w:hint="eastAsia"/>
                <w:szCs w:val="18"/>
                <w:lang w:eastAsia="zh-CN"/>
              </w:rPr>
              <w:t>发病时间：</w:t>
            </w:r>
            <w:r>
              <w:rPr>
                <w:rFonts w:hint="eastAsia" w:ascii="宋体" w:hAnsi="宋体" w:cs="宋体"/>
                <w:u w:val="single"/>
              </w:rPr>
              <w:t xml:space="preserve">  </w:t>
            </w:r>
            <w:r>
              <w:rPr>
                <w:rFonts w:hint="eastAsia" w:hAnsi="宋体" w:cs="宋体"/>
                <w:u w:val="single"/>
                <w:lang w:val="en-US" w:eastAsia="zh-CN"/>
              </w:rPr>
              <w:t xml:space="preserve"> </w:t>
            </w:r>
            <w:r>
              <w:rPr>
                <w:rFonts w:hint="eastAsia" w:ascii="宋体" w:hAnsi="宋体" w:cs="宋体"/>
                <w:lang w:val="en-US" w:eastAsia="zh-CN"/>
              </w:rPr>
              <w:t>年</w:t>
            </w:r>
            <w:r>
              <w:rPr>
                <w:rFonts w:hint="eastAsia" w:ascii="宋体" w:hAnsi="宋体" w:cs="宋体"/>
                <w:u w:val="single"/>
              </w:rPr>
              <w:t xml:space="preserve">  </w:t>
            </w:r>
            <w:r>
              <w:rPr>
                <w:rFonts w:hint="eastAsia" w:hAnsi="宋体" w:cs="宋体"/>
                <w:u w:val="single"/>
                <w:lang w:val="en-US" w:eastAsia="zh-CN"/>
              </w:rPr>
              <w:t xml:space="preserve"> </w:t>
            </w:r>
            <w:r>
              <w:rPr>
                <w:rFonts w:hint="eastAsia" w:ascii="宋体" w:hAnsi="宋体" w:cs="宋体"/>
                <w:lang w:val="en-US" w:eastAsia="zh-CN"/>
              </w:rPr>
              <w:t>月</w:t>
            </w:r>
            <w:r>
              <w:rPr>
                <w:rFonts w:hint="eastAsia" w:ascii="宋体" w:hAnsi="宋体" w:cs="宋体"/>
                <w:u w:val="single"/>
              </w:rPr>
              <w:t xml:space="preserve">  </w:t>
            </w:r>
            <w:r>
              <w:rPr>
                <w:rFonts w:hint="eastAsia" w:hAnsi="宋体" w:cs="宋体"/>
                <w:u w:val="single"/>
                <w:lang w:val="en-US" w:eastAsia="zh-CN"/>
              </w:rPr>
              <w:t xml:space="preserve"> </w:t>
            </w:r>
            <w:r>
              <w:rPr>
                <w:rFonts w:hint="eastAsia" w:ascii="宋体" w:hAnsi="宋体" w:cs="宋体"/>
                <w:lang w:val="en-US" w:eastAsia="zh-CN"/>
              </w:rPr>
              <w:t>日</w:t>
            </w:r>
            <w:r>
              <w:rPr>
                <w:rFonts w:hint="eastAsia" w:ascii="宋体" w:hAnsi="宋体" w:cs="宋体"/>
                <w:u w:val="single"/>
              </w:rPr>
              <w:t xml:space="preserve">  </w:t>
            </w:r>
            <w:r>
              <w:rPr>
                <w:rFonts w:hint="eastAsia" w:hAnsi="宋体" w:cs="宋体"/>
                <w:u w:val="single"/>
                <w:lang w:val="en-US" w:eastAsia="zh-CN"/>
              </w:rPr>
              <w:t xml:space="preserve"> </w:t>
            </w:r>
            <w:r>
              <w:rPr>
                <w:rFonts w:hint="eastAsia" w:ascii="宋体" w:hAnsi="宋体" w:cs="宋体"/>
                <w:lang w:val="en-US" w:eastAsia="zh-CN"/>
              </w:rPr>
              <w:t>时</w:t>
            </w:r>
            <w:r>
              <w:rPr>
                <w:rFonts w:hint="eastAsia" w:hAnsi="宋体" w:cs="宋体"/>
                <w:lang w:val="en-US" w:eastAsia="zh-CN"/>
              </w:rPr>
              <w:t>，</w:t>
            </w:r>
            <w:r>
              <w:rPr>
                <w:rFonts w:hint="eastAsia"/>
                <w:szCs w:val="18"/>
                <w:lang w:val="en-US" w:eastAsia="zh-CN"/>
              </w:rPr>
              <w:t>于上班后</w:t>
            </w:r>
            <w:r>
              <w:rPr>
                <w:rFonts w:hint="eastAsia" w:ascii="宋体" w:hAnsi="宋体" w:cs="宋体"/>
                <w:u w:val="single"/>
              </w:rPr>
              <w:t xml:space="preserve">  </w:t>
            </w:r>
            <w:r>
              <w:rPr>
                <w:rFonts w:hint="eastAsia" w:hAnsi="宋体" w:cs="宋体"/>
                <w:u w:val="single"/>
                <w:lang w:val="en-US" w:eastAsia="zh-CN"/>
              </w:rPr>
              <w:t xml:space="preserve"> </w:t>
            </w:r>
            <w:r>
              <w:rPr>
                <w:rFonts w:hint="eastAsia"/>
                <w:szCs w:val="18"/>
                <w:lang w:val="en-US" w:eastAsia="zh-CN"/>
              </w:rPr>
              <w:t>小时</w:t>
            </w:r>
          </w:p>
        </w:tc>
        <w:tc>
          <w:tcPr>
            <w:tcW w:w="2038" w:type="dxa"/>
            <w:gridSpan w:val="4"/>
            <w:tcBorders>
              <w:left w:val="nil"/>
              <w:right w:val="nil"/>
            </w:tcBorders>
            <w:vAlign w:val="bottom"/>
          </w:tcPr>
          <w:p w14:paraId="5128E557">
            <w:pPr>
              <w:pStyle w:val="234"/>
              <w:ind w:firstLine="0" w:firstLineChars="0"/>
              <w:jc w:val="both"/>
              <w:rPr>
                <w:rFonts w:hint="default"/>
                <w:szCs w:val="18"/>
                <w:lang w:val="en-US"/>
              </w:rPr>
            </w:pPr>
            <w:r>
              <w:rPr>
                <w:rFonts w:hint="eastAsia"/>
                <w:szCs w:val="18"/>
                <w:lang w:eastAsia="zh-CN"/>
              </w:rPr>
              <w:t>疑似毒物：</w:t>
            </w:r>
            <w:r>
              <w:rPr>
                <w:rFonts w:hint="eastAsia" w:ascii="宋体" w:hAnsi="宋体" w:cs="宋体"/>
                <w:u w:val="single"/>
              </w:rPr>
              <w:t xml:space="preserve">  </w:t>
            </w:r>
            <w:r>
              <w:rPr>
                <w:rFonts w:hint="eastAsia" w:hAnsi="宋体" w:cs="宋体"/>
                <w:u w:val="single"/>
                <w:lang w:val="en-US" w:eastAsia="zh-CN"/>
              </w:rPr>
              <w:t xml:space="preserve">     </w:t>
            </w:r>
          </w:p>
        </w:tc>
        <w:tc>
          <w:tcPr>
            <w:tcW w:w="2528" w:type="dxa"/>
            <w:gridSpan w:val="2"/>
            <w:tcBorders>
              <w:left w:val="nil"/>
              <w:right w:val="single" w:color="000000" w:sz="8" w:space="0"/>
            </w:tcBorders>
            <w:vAlign w:val="bottom"/>
          </w:tcPr>
          <w:p w14:paraId="4EBF9883">
            <w:pPr>
              <w:pStyle w:val="234"/>
              <w:keepNext w:val="0"/>
              <w:keepLines w:val="0"/>
              <w:pageBreakBefore w:val="0"/>
              <w:widowControl/>
              <w:kinsoku/>
              <w:wordWrap/>
              <w:overflowPunct/>
              <w:topLinePunct w:val="0"/>
              <w:autoSpaceDE w:val="0"/>
              <w:autoSpaceDN w:val="0"/>
              <w:bidi w:val="0"/>
              <w:adjustRightInd/>
              <w:snapToGrid/>
              <w:ind w:left="-105" w:leftChars="-50" w:right="-105" w:rightChars="-50" w:firstLine="0" w:firstLineChars="0"/>
              <w:jc w:val="both"/>
              <w:textAlignment w:val="auto"/>
              <w:outlineLvl w:val="9"/>
              <w:rPr>
                <w:rFonts w:hint="default"/>
                <w:szCs w:val="18"/>
                <w:lang w:val="en-US"/>
              </w:rPr>
            </w:pPr>
            <w:r>
              <w:rPr>
                <w:rFonts w:hint="eastAsia"/>
                <w:szCs w:val="18"/>
                <w:lang w:eastAsia="zh-CN"/>
              </w:rPr>
              <w:t>中毒地点：</w:t>
            </w:r>
            <w:r>
              <w:rPr>
                <w:rFonts w:hint="eastAsia" w:ascii="宋体" w:hAnsi="宋体" w:cs="宋体"/>
                <w:u w:val="single"/>
              </w:rPr>
              <w:t xml:space="preserve">  </w:t>
            </w:r>
            <w:r>
              <w:rPr>
                <w:rFonts w:hint="eastAsia" w:hAnsi="宋体" w:cs="宋体"/>
                <w:u w:val="single"/>
                <w:lang w:val="en-US" w:eastAsia="zh-CN"/>
              </w:rPr>
              <w:t xml:space="preserve">          </w:t>
            </w:r>
          </w:p>
        </w:tc>
      </w:tr>
      <w:tr w14:paraId="081F2F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2" w:hRule="atLeast"/>
        </w:trPr>
        <w:tc>
          <w:tcPr>
            <w:tcW w:w="9533" w:type="dxa"/>
            <w:gridSpan w:val="12"/>
            <w:tcBorders>
              <w:left w:val="single" w:color="000000" w:sz="8" w:space="0"/>
              <w:right w:val="single" w:color="000000" w:sz="8" w:space="0"/>
            </w:tcBorders>
          </w:tcPr>
          <w:p w14:paraId="5F8D8269">
            <w:pPr>
              <w:pStyle w:val="234"/>
              <w:ind w:firstLine="0" w:firstLineChars="0"/>
              <w:rPr>
                <w:szCs w:val="18"/>
              </w:rPr>
            </w:pPr>
            <w:r>
              <w:rPr>
                <w:rFonts w:hint="eastAsia"/>
                <w:szCs w:val="18"/>
                <w:lang w:eastAsia="zh-CN"/>
              </w:rPr>
              <w:t>发生中毒有关工序的操作流程简述：</w:t>
            </w:r>
          </w:p>
        </w:tc>
      </w:tr>
      <w:tr w14:paraId="5E8A8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trPr>
        <w:tc>
          <w:tcPr>
            <w:tcW w:w="9533" w:type="dxa"/>
            <w:gridSpan w:val="12"/>
            <w:tcBorders>
              <w:left w:val="single" w:color="000000" w:sz="8" w:space="0"/>
              <w:right w:val="single" w:color="000000" w:sz="8" w:space="0"/>
            </w:tcBorders>
          </w:tcPr>
          <w:p w14:paraId="3DC9BA10">
            <w:pPr>
              <w:pStyle w:val="234"/>
              <w:ind w:firstLine="0" w:firstLineChars="0"/>
              <w:rPr>
                <w:szCs w:val="18"/>
              </w:rPr>
            </w:pPr>
            <w:r>
              <w:rPr>
                <w:rFonts w:hint="eastAsia"/>
                <w:szCs w:val="18"/>
                <w:lang w:eastAsia="zh-CN"/>
              </w:rPr>
              <w:t>中毒发生经过简述：</w:t>
            </w:r>
          </w:p>
        </w:tc>
      </w:tr>
      <w:tr w14:paraId="5C5E42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9533" w:type="dxa"/>
            <w:gridSpan w:val="12"/>
            <w:tcBorders>
              <w:left w:val="single" w:color="000000" w:sz="8" w:space="0"/>
              <w:right w:val="single" w:color="000000" w:sz="8" w:space="0"/>
            </w:tcBorders>
          </w:tcPr>
          <w:p w14:paraId="409A54E1">
            <w:pPr>
              <w:pStyle w:val="234"/>
              <w:ind w:firstLine="0" w:firstLineChars="0"/>
              <w:rPr>
                <w:szCs w:val="18"/>
              </w:rPr>
            </w:pPr>
            <w:r>
              <w:rPr>
                <w:rFonts w:hint="eastAsia"/>
                <w:szCs w:val="18"/>
                <w:lang w:eastAsia="zh-CN"/>
              </w:rPr>
              <w:t>中毒主要症状和体征：</w:t>
            </w:r>
          </w:p>
        </w:tc>
      </w:tr>
      <w:tr w14:paraId="1AE35A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8" w:hRule="atLeast"/>
        </w:trPr>
        <w:tc>
          <w:tcPr>
            <w:tcW w:w="9533" w:type="dxa"/>
            <w:gridSpan w:val="12"/>
            <w:tcBorders>
              <w:left w:val="single" w:color="000000" w:sz="8" w:space="0"/>
              <w:bottom w:val="single" w:color="auto" w:sz="4" w:space="0"/>
              <w:right w:val="single" w:color="000000" w:sz="8" w:space="0"/>
            </w:tcBorders>
          </w:tcPr>
          <w:p w14:paraId="49A70D89">
            <w:pPr>
              <w:pStyle w:val="234"/>
              <w:ind w:firstLine="0" w:firstLineChars="0"/>
              <w:rPr>
                <w:szCs w:val="18"/>
              </w:rPr>
            </w:pPr>
            <w:r>
              <w:rPr>
                <w:rFonts w:hint="eastAsia"/>
                <w:szCs w:val="18"/>
                <w:lang w:eastAsia="zh-CN"/>
              </w:rPr>
              <w:t>同工种发病情况简述：</w:t>
            </w:r>
          </w:p>
        </w:tc>
      </w:tr>
      <w:tr w14:paraId="0A377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3038" w:type="dxa"/>
            <w:gridSpan w:val="3"/>
            <w:tcBorders>
              <w:top w:val="single" w:color="auto" w:sz="4" w:space="0"/>
              <w:left w:val="single" w:color="auto" w:sz="4" w:space="0"/>
              <w:bottom w:val="single" w:color="auto" w:sz="4" w:space="0"/>
              <w:right w:val="nil"/>
            </w:tcBorders>
            <w:vAlign w:val="center"/>
          </w:tcPr>
          <w:p w14:paraId="6EAF42EC">
            <w:pPr>
              <w:pStyle w:val="234"/>
              <w:ind w:firstLine="0" w:firstLineChars="0"/>
              <w:jc w:val="both"/>
              <w:rPr>
                <w:rFonts w:hint="eastAsia" w:eastAsia="宋体"/>
                <w:szCs w:val="18"/>
                <w:lang w:eastAsia="zh-CN"/>
              </w:rPr>
            </w:pPr>
            <w:r>
              <w:rPr>
                <w:rFonts w:hint="eastAsia"/>
                <w:szCs w:val="18"/>
                <w:lang w:eastAsia="zh-CN"/>
              </w:rPr>
              <w:t>中毒现场急救：</w:t>
            </w:r>
            <w:r>
              <w:rPr>
                <w:rFonts w:hint="eastAsia" w:hAnsi="宋体" w:cs="宋体"/>
                <w:u w:val="none"/>
                <w:lang w:eastAsia="zh-CN"/>
              </w:rPr>
              <w:t>有</w:t>
            </w:r>
            <w:r>
              <w:rPr>
                <w:rFonts w:hint="eastAsia" w:ascii="宋体" w:hAnsi="宋体" w:cs="宋体"/>
                <w:u w:val="single"/>
              </w:rPr>
              <w:t xml:space="preserve"> </w:t>
            </w:r>
            <w:r>
              <w:rPr>
                <w:rFonts w:hint="eastAsia" w:hAnsi="宋体" w:cs="宋体"/>
                <w:u w:val="single"/>
                <w:lang w:val="en-US" w:eastAsia="zh-CN"/>
              </w:rPr>
              <w:t xml:space="preserve"> </w:t>
            </w:r>
            <w:r>
              <w:rPr>
                <w:rFonts w:hint="eastAsia" w:ascii="宋体" w:hAnsi="宋体" w:cs="宋体"/>
                <w:u w:val="single"/>
              </w:rPr>
              <w:t xml:space="preserve"> </w:t>
            </w:r>
            <w:r>
              <w:rPr>
                <w:rFonts w:hint="eastAsia" w:hAnsi="宋体" w:cs="宋体"/>
                <w:u w:val="none"/>
                <w:lang w:eastAsia="zh-CN"/>
              </w:rPr>
              <w:t>无</w:t>
            </w:r>
            <w:r>
              <w:rPr>
                <w:rFonts w:hint="eastAsia" w:ascii="宋体" w:hAnsi="宋体" w:cs="宋体"/>
                <w:u w:val="none"/>
                <w:lang w:val="en-US" w:eastAsia="zh-CN"/>
              </w:rPr>
              <w:t xml:space="preserve"> </w:t>
            </w:r>
            <w:r>
              <w:rPr>
                <w:rFonts w:hint="eastAsia" w:ascii="宋体" w:hAnsi="宋体" w:cs="宋体"/>
                <w:u w:val="single"/>
              </w:rPr>
              <w:t xml:space="preserve">    </w:t>
            </w:r>
            <w:r>
              <w:rPr>
                <w:rFonts w:hint="eastAsia" w:hAnsi="宋体" w:cs="宋体"/>
                <w:u w:val="none"/>
                <w:lang w:eastAsia="zh-CN"/>
              </w:rPr>
              <w:t>；</w:t>
            </w:r>
          </w:p>
        </w:tc>
        <w:tc>
          <w:tcPr>
            <w:tcW w:w="6495" w:type="dxa"/>
            <w:gridSpan w:val="9"/>
            <w:tcBorders>
              <w:top w:val="single" w:color="auto" w:sz="4" w:space="0"/>
              <w:left w:val="nil"/>
              <w:bottom w:val="single" w:color="auto" w:sz="4" w:space="0"/>
              <w:right w:val="single" w:color="auto" w:sz="4" w:space="0"/>
            </w:tcBorders>
            <w:vAlign w:val="center"/>
          </w:tcPr>
          <w:p w14:paraId="746C37D6">
            <w:pPr>
              <w:pStyle w:val="234"/>
              <w:keepNext w:val="0"/>
              <w:keepLines w:val="0"/>
              <w:pageBreakBefore w:val="0"/>
              <w:widowControl/>
              <w:kinsoku/>
              <w:wordWrap/>
              <w:overflowPunct/>
              <w:topLinePunct w:val="0"/>
              <w:autoSpaceDE w:val="0"/>
              <w:autoSpaceDN w:val="0"/>
              <w:bidi w:val="0"/>
              <w:adjustRightInd/>
              <w:snapToGrid/>
              <w:spacing w:line="360" w:lineRule="auto"/>
              <w:ind w:firstLine="0" w:firstLineChars="0"/>
              <w:jc w:val="both"/>
              <w:textAlignment w:val="auto"/>
              <w:outlineLvl w:val="9"/>
              <w:rPr>
                <w:rFonts w:hint="default"/>
                <w:szCs w:val="18"/>
                <w:lang w:val="en-US" w:eastAsia="zh-CN"/>
              </w:rPr>
            </w:pPr>
            <w:r>
              <w:rPr>
                <w:rFonts w:hint="eastAsia"/>
                <w:szCs w:val="18"/>
                <w:lang w:eastAsia="zh-CN"/>
              </w:rPr>
              <w:t>主要急救措施：</w:t>
            </w:r>
            <w:r>
              <w:rPr>
                <w:rFonts w:hint="eastAsia" w:ascii="宋体" w:hAnsi="宋体" w:cs="宋体"/>
                <w:u w:val="single"/>
              </w:rPr>
              <w:t xml:space="preserve">  </w:t>
            </w:r>
            <w:r>
              <w:rPr>
                <w:rFonts w:hint="eastAsia" w:hAnsi="宋体" w:cs="宋体"/>
                <w:u w:val="single"/>
                <w:lang w:val="en-US" w:eastAsia="zh-CN"/>
              </w:rPr>
              <w:t xml:space="preserve">                                          </w:t>
            </w:r>
          </w:p>
          <w:p w14:paraId="7EE7E4B8">
            <w:pPr>
              <w:pStyle w:val="234"/>
              <w:keepNext w:val="0"/>
              <w:keepLines w:val="0"/>
              <w:pageBreakBefore w:val="0"/>
              <w:widowControl/>
              <w:kinsoku/>
              <w:wordWrap/>
              <w:overflowPunct/>
              <w:topLinePunct w:val="0"/>
              <w:autoSpaceDE w:val="0"/>
              <w:autoSpaceDN w:val="0"/>
              <w:bidi w:val="0"/>
              <w:adjustRightInd/>
              <w:snapToGrid/>
              <w:spacing w:line="360" w:lineRule="auto"/>
              <w:ind w:firstLine="0" w:firstLineChars="0"/>
              <w:jc w:val="both"/>
              <w:textAlignment w:val="auto"/>
              <w:outlineLvl w:val="9"/>
              <w:rPr>
                <w:rFonts w:hint="default"/>
                <w:szCs w:val="18"/>
                <w:lang w:val="en-US" w:eastAsia="zh-CN"/>
              </w:rPr>
            </w:pPr>
            <w:r>
              <w:rPr>
                <w:rFonts w:hint="eastAsia"/>
                <w:szCs w:val="18"/>
                <w:lang w:val="en-US" w:eastAsia="zh-CN"/>
              </w:rPr>
              <w:t xml:space="preserve"> </w:t>
            </w:r>
            <w:r>
              <w:rPr>
                <w:rFonts w:hint="eastAsia" w:ascii="宋体" w:hAnsi="宋体" w:cs="宋体"/>
                <w:u w:val="none"/>
              </w:rPr>
              <w:t xml:space="preserve">  </w:t>
            </w:r>
            <w:r>
              <w:rPr>
                <w:rFonts w:hint="eastAsia" w:hAnsi="宋体" w:cs="宋体"/>
                <w:u w:val="none"/>
                <w:lang w:val="en-US" w:eastAsia="zh-CN"/>
              </w:rPr>
              <w:t xml:space="preserve">           </w:t>
            </w:r>
            <w:r>
              <w:rPr>
                <w:rFonts w:hint="eastAsia" w:hAnsi="宋体" w:cs="宋体"/>
                <w:u w:val="single"/>
                <w:lang w:val="en-US" w:eastAsia="zh-CN"/>
              </w:rPr>
              <w:t xml:space="preserve">                                            </w:t>
            </w:r>
          </w:p>
        </w:tc>
      </w:tr>
      <w:tr w14:paraId="54F312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33" w:type="dxa"/>
            <w:gridSpan w:val="12"/>
            <w:tcBorders>
              <w:top w:val="single" w:color="auto" w:sz="4" w:space="0"/>
              <w:left w:val="single" w:color="000000" w:sz="8" w:space="0"/>
              <w:right w:val="single" w:color="000000" w:sz="8" w:space="0"/>
            </w:tcBorders>
          </w:tcPr>
          <w:p w14:paraId="786B2E07">
            <w:pPr>
              <w:pStyle w:val="234"/>
              <w:ind w:firstLine="0" w:firstLineChars="0"/>
              <w:rPr>
                <w:rFonts w:hint="eastAsia"/>
                <w:szCs w:val="18"/>
                <w:lang w:eastAsia="zh-CN"/>
              </w:rPr>
            </w:pPr>
            <w:r>
              <w:rPr>
                <w:rFonts w:hint="eastAsia"/>
                <w:b/>
                <w:bCs/>
                <w:szCs w:val="18"/>
                <w:lang w:eastAsia="zh-CN"/>
              </w:rPr>
              <w:t>三、临床信息调查</w:t>
            </w:r>
          </w:p>
        </w:tc>
      </w:tr>
      <w:tr w14:paraId="4797D4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11" w:hRule="atLeast"/>
        </w:trPr>
        <w:tc>
          <w:tcPr>
            <w:tcW w:w="9533" w:type="dxa"/>
            <w:gridSpan w:val="12"/>
            <w:tcBorders>
              <w:top w:val="single" w:color="auto" w:sz="4" w:space="0"/>
              <w:left w:val="single" w:color="000000" w:sz="8" w:space="0"/>
              <w:right w:val="single" w:color="000000" w:sz="8" w:space="0"/>
            </w:tcBorders>
          </w:tcPr>
          <w:p w14:paraId="48628676">
            <w:pPr>
              <w:pStyle w:val="234"/>
              <w:ind w:firstLine="0" w:firstLineChars="0"/>
              <w:rPr>
                <w:rFonts w:hint="eastAsia"/>
                <w:szCs w:val="18"/>
                <w:lang w:val="en-US" w:eastAsia="zh-CN"/>
              </w:rPr>
            </w:pPr>
            <w:r>
              <w:rPr>
                <w:rFonts w:hint="eastAsia"/>
                <w:szCs w:val="18"/>
                <w:lang w:eastAsia="zh-CN"/>
              </w:rPr>
              <w:t>就诊医疗机构：</w:t>
            </w:r>
            <w:r>
              <w:rPr>
                <w:rFonts w:hint="eastAsia" w:ascii="宋体" w:hAnsi="宋体" w:cs="宋体"/>
                <w:u w:val="single"/>
              </w:rPr>
              <w:t xml:space="preserve">  </w:t>
            </w:r>
            <w:r>
              <w:rPr>
                <w:rFonts w:hint="eastAsia" w:hAnsi="宋体" w:cs="宋体"/>
                <w:u w:val="single"/>
                <w:lang w:val="en-US" w:eastAsia="zh-CN"/>
              </w:rPr>
              <w:t xml:space="preserve">                 </w:t>
            </w:r>
            <w:r>
              <w:rPr>
                <w:rFonts w:hint="eastAsia"/>
                <w:szCs w:val="18"/>
                <w:lang w:val="en-US" w:eastAsia="zh-CN"/>
              </w:rPr>
              <w:t xml:space="preserve">；             </w:t>
            </w:r>
            <w:r>
              <w:rPr>
                <w:rFonts w:hint="eastAsia"/>
                <w:szCs w:val="18"/>
                <w:lang w:eastAsia="zh-CN"/>
              </w:rPr>
              <w:t>临床诊断意见：</w:t>
            </w:r>
            <w:r>
              <w:rPr>
                <w:rFonts w:hint="eastAsia" w:ascii="宋体" w:hAnsi="宋体" w:cs="宋体"/>
                <w:u w:val="single"/>
              </w:rPr>
              <w:t xml:space="preserve">  </w:t>
            </w:r>
            <w:r>
              <w:rPr>
                <w:rFonts w:hint="eastAsia" w:hAnsi="宋体" w:cs="宋体"/>
                <w:u w:val="single"/>
                <w:lang w:val="en-US" w:eastAsia="zh-CN"/>
              </w:rPr>
              <w:t xml:space="preserve">                 </w:t>
            </w:r>
            <w:r>
              <w:rPr>
                <w:rFonts w:hint="eastAsia"/>
                <w:szCs w:val="18"/>
                <w:lang w:val="en-US" w:eastAsia="zh-CN"/>
              </w:rPr>
              <w:t>；</w:t>
            </w:r>
          </w:p>
          <w:p w14:paraId="30E0C382">
            <w:pPr>
              <w:pStyle w:val="234"/>
              <w:ind w:firstLine="0" w:firstLineChars="0"/>
              <w:rPr>
                <w:rFonts w:hint="default"/>
                <w:szCs w:val="18"/>
                <w:lang w:val="en-US" w:eastAsia="zh-CN"/>
              </w:rPr>
            </w:pPr>
            <w:r>
              <w:rPr>
                <w:rFonts w:hint="eastAsia"/>
                <w:szCs w:val="18"/>
                <w:lang w:eastAsia="zh-CN"/>
              </w:rPr>
              <w:t>临床检查：</w:t>
            </w:r>
          </w:p>
          <w:tbl>
            <w:tblPr>
              <w:tblStyle w:val="26"/>
              <w:tblW w:w="80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3"/>
              <w:gridCol w:w="1519"/>
              <w:gridCol w:w="1830"/>
              <w:gridCol w:w="1742"/>
            </w:tblGrid>
            <w:tr w14:paraId="089D3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963" w:type="dxa"/>
                  <w:vAlign w:val="center"/>
                </w:tcPr>
                <w:p w14:paraId="3A440788">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eastAsia" w:ascii="宋体" w:hAnsi="宋体" w:eastAsia="宋体" w:cs="宋体"/>
                      <w:kern w:val="0"/>
                      <w:lang w:eastAsia="zh-CN"/>
                    </w:rPr>
                  </w:pPr>
                  <w:r>
                    <w:rPr>
                      <w:rFonts w:hint="eastAsia" w:ascii="宋体" w:hAnsi="宋体" w:cs="宋体"/>
                      <w:kern w:val="0"/>
                      <w:lang w:eastAsia="zh-CN"/>
                    </w:rPr>
                    <w:t>生物样品名称及检查项</w:t>
                  </w:r>
                </w:p>
              </w:tc>
              <w:tc>
                <w:tcPr>
                  <w:tcW w:w="1519" w:type="dxa"/>
                  <w:vAlign w:val="center"/>
                </w:tcPr>
                <w:p w14:paraId="6E8D0238">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default" w:ascii="宋体" w:hAnsi="宋体" w:eastAsia="宋体" w:cs="宋体"/>
                      <w:kern w:val="0"/>
                      <w:lang w:val="en-US" w:eastAsia="zh-CN"/>
                    </w:rPr>
                  </w:pPr>
                  <w:r>
                    <w:rPr>
                      <w:rFonts w:hint="eastAsia" w:ascii="宋体" w:hAnsi="宋体" w:cs="宋体"/>
                      <w:kern w:val="0"/>
                      <w:lang w:val="en-US" w:eastAsia="zh-CN"/>
                    </w:rPr>
                    <w:t>采样日期</w:t>
                  </w:r>
                </w:p>
              </w:tc>
              <w:tc>
                <w:tcPr>
                  <w:tcW w:w="1830" w:type="dxa"/>
                  <w:vAlign w:val="center"/>
                </w:tcPr>
                <w:p w14:paraId="2D76FCC2">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default" w:ascii="宋体" w:hAnsi="宋体" w:eastAsia="宋体" w:cs="宋体"/>
                      <w:kern w:val="0"/>
                      <w:lang w:val="en-US" w:eastAsia="zh-CN"/>
                    </w:rPr>
                  </w:pPr>
                  <w:r>
                    <w:rPr>
                      <w:rFonts w:hint="eastAsia" w:ascii="宋体" w:hAnsi="宋体" w:cs="宋体"/>
                      <w:kern w:val="0"/>
                      <w:lang w:val="en-US" w:eastAsia="zh-CN"/>
                    </w:rPr>
                    <w:t>检验结果</w:t>
                  </w:r>
                </w:p>
              </w:tc>
              <w:tc>
                <w:tcPr>
                  <w:tcW w:w="1742" w:type="dxa"/>
                  <w:vAlign w:val="center"/>
                </w:tcPr>
                <w:p w14:paraId="25F8DB62">
                  <w:pPr>
                    <w:keepNext w:val="0"/>
                    <w:keepLines w:val="0"/>
                    <w:pageBreakBefore w:val="0"/>
                    <w:widowControl w:val="0"/>
                    <w:kinsoku/>
                    <w:wordWrap/>
                    <w:overflowPunct/>
                    <w:topLinePunct w:val="0"/>
                    <w:autoSpaceDE/>
                    <w:autoSpaceDN/>
                    <w:bidi w:val="0"/>
                    <w:adjustRightInd w:val="0"/>
                    <w:snapToGrid/>
                    <w:spacing w:line="240" w:lineRule="exact"/>
                    <w:jc w:val="center"/>
                    <w:textAlignment w:val="auto"/>
                    <w:outlineLvl w:val="9"/>
                    <w:rPr>
                      <w:rFonts w:hint="eastAsia" w:ascii="宋体" w:hAnsi="宋体" w:cs="宋体"/>
                      <w:kern w:val="0"/>
                      <w:lang w:eastAsia="zh-CN"/>
                    </w:rPr>
                  </w:pPr>
                  <w:r>
                    <w:rPr>
                      <w:rFonts w:hint="eastAsia" w:ascii="宋体" w:hAnsi="宋体" w:cs="宋体"/>
                      <w:kern w:val="0"/>
                      <w:lang w:eastAsia="zh-CN"/>
                    </w:rPr>
                    <w:t>结果评估</w:t>
                  </w:r>
                </w:p>
              </w:tc>
            </w:tr>
            <w:tr w14:paraId="70496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63" w:type="dxa"/>
                  <w:vAlign w:val="center"/>
                </w:tcPr>
                <w:p w14:paraId="4BA6EBAD">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519" w:type="dxa"/>
                  <w:vAlign w:val="center"/>
                </w:tcPr>
                <w:p w14:paraId="2C95D2AF">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830" w:type="dxa"/>
                  <w:vAlign w:val="center"/>
                </w:tcPr>
                <w:p w14:paraId="7DEFE21D">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742" w:type="dxa"/>
                  <w:vAlign w:val="center"/>
                </w:tcPr>
                <w:p w14:paraId="1A61CFD3">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r>
            <w:tr w14:paraId="03C43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63" w:type="dxa"/>
                  <w:vAlign w:val="center"/>
                </w:tcPr>
                <w:p w14:paraId="1644A0A6">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519" w:type="dxa"/>
                  <w:vAlign w:val="center"/>
                </w:tcPr>
                <w:p w14:paraId="6C463CFC">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830" w:type="dxa"/>
                  <w:vAlign w:val="center"/>
                </w:tcPr>
                <w:p w14:paraId="22111721">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742" w:type="dxa"/>
                  <w:vAlign w:val="center"/>
                </w:tcPr>
                <w:p w14:paraId="17AE7174">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r>
            <w:tr w14:paraId="70741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63" w:type="dxa"/>
                  <w:vAlign w:val="center"/>
                </w:tcPr>
                <w:p w14:paraId="783B03D5">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519" w:type="dxa"/>
                  <w:vAlign w:val="center"/>
                </w:tcPr>
                <w:p w14:paraId="286AF049">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830" w:type="dxa"/>
                  <w:vAlign w:val="center"/>
                </w:tcPr>
                <w:p w14:paraId="224F3422">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c>
                <w:tcPr>
                  <w:tcW w:w="1742" w:type="dxa"/>
                  <w:vAlign w:val="center"/>
                </w:tcPr>
                <w:p w14:paraId="24CACB97">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ascii="宋体" w:hAnsi="宋体" w:cs="宋体"/>
                      <w:kern w:val="0"/>
                    </w:rPr>
                  </w:pPr>
                </w:p>
              </w:tc>
            </w:tr>
          </w:tbl>
          <w:p w14:paraId="30D9A1FE">
            <w:pPr>
              <w:pStyle w:val="234"/>
              <w:ind w:firstLine="0" w:firstLineChars="0"/>
              <w:rPr>
                <w:rFonts w:hint="eastAsia"/>
                <w:b/>
                <w:bCs/>
                <w:szCs w:val="18"/>
                <w:lang w:eastAsia="zh-CN"/>
              </w:rPr>
            </w:pPr>
          </w:p>
        </w:tc>
      </w:tr>
      <w:tr w14:paraId="5C0AAC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9" w:hRule="atLeast"/>
        </w:trPr>
        <w:tc>
          <w:tcPr>
            <w:tcW w:w="9533" w:type="dxa"/>
            <w:gridSpan w:val="12"/>
            <w:tcBorders>
              <w:left w:val="single" w:color="000000" w:sz="8" w:space="0"/>
              <w:right w:val="single" w:color="000000" w:sz="8" w:space="0"/>
            </w:tcBorders>
          </w:tcPr>
          <w:p w14:paraId="1BDD8EFC">
            <w:pPr>
              <w:pStyle w:val="234"/>
              <w:ind w:firstLine="0" w:firstLineChars="0"/>
              <w:rPr>
                <w:rFonts w:hint="eastAsia"/>
                <w:szCs w:val="18"/>
                <w:lang w:eastAsia="zh-CN"/>
              </w:rPr>
            </w:pPr>
          </w:p>
          <w:p w14:paraId="1C6CD610">
            <w:pPr>
              <w:pStyle w:val="234"/>
              <w:ind w:firstLine="0" w:firstLineChars="0"/>
              <w:rPr>
                <w:rFonts w:hint="eastAsia"/>
                <w:szCs w:val="18"/>
                <w:lang w:eastAsia="zh-CN"/>
              </w:rPr>
            </w:pPr>
            <w:r>
              <w:rPr>
                <w:rFonts w:hint="eastAsia"/>
                <w:szCs w:val="18"/>
                <w:lang w:eastAsia="zh-CN"/>
              </w:rPr>
              <w:t>临床治疗用药情况：</w:t>
            </w:r>
          </w:p>
          <w:tbl>
            <w:tblPr>
              <w:tblStyle w:val="26"/>
              <w:tblW w:w="61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2"/>
              <w:gridCol w:w="1635"/>
              <w:gridCol w:w="1869"/>
            </w:tblGrid>
            <w:tr w14:paraId="7FED2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2" w:type="dxa"/>
                  <w:vAlign w:val="center"/>
                </w:tcPr>
                <w:p w14:paraId="595005CA">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hint="eastAsia" w:ascii="宋体" w:hAnsi="宋体" w:eastAsia="宋体" w:cs="宋体"/>
                      <w:kern w:val="0"/>
                      <w:lang w:eastAsia="zh-CN"/>
                    </w:rPr>
                  </w:pPr>
                  <w:r>
                    <w:rPr>
                      <w:rFonts w:hint="eastAsia" w:ascii="宋体" w:hAnsi="宋体" w:cs="宋体"/>
                      <w:kern w:val="0"/>
                      <w:lang w:eastAsia="zh-CN"/>
                    </w:rPr>
                    <w:t>药物名称</w:t>
                  </w:r>
                </w:p>
              </w:tc>
              <w:tc>
                <w:tcPr>
                  <w:tcW w:w="1635" w:type="dxa"/>
                  <w:vAlign w:val="center"/>
                </w:tcPr>
                <w:p w14:paraId="32D87D74">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hint="default" w:ascii="宋体" w:hAnsi="宋体" w:eastAsia="宋体" w:cs="宋体"/>
                      <w:kern w:val="0"/>
                      <w:lang w:val="en-US" w:eastAsia="zh-CN"/>
                    </w:rPr>
                  </w:pPr>
                  <w:r>
                    <w:rPr>
                      <w:rFonts w:hint="eastAsia" w:ascii="宋体" w:hAnsi="宋体" w:cs="宋体"/>
                      <w:kern w:val="0"/>
                      <w:lang w:val="en-US" w:eastAsia="zh-CN"/>
                    </w:rPr>
                    <w:t>药物剂量</w:t>
                  </w:r>
                </w:p>
              </w:tc>
              <w:tc>
                <w:tcPr>
                  <w:tcW w:w="1869" w:type="dxa"/>
                  <w:vAlign w:val="center"/>
                </w:tcPr>
                <w:p w14:paraId="3B149F65">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hint="default" w:ascii="宋体" w:hAnsi="宋体" w:eastAsia="宋体" w:cs="宋体"/>
                      <w:kern w:val="0"/>
                      <w:lang w:val="en-US" w:eastAsia="zh-CN"/>
                    </w:rPr>
                  </w:pPr>
                  <w:r>
                    <w:rPr>
                      <w:rFonts w:hint="eastAsia" w:ascii="宋体" w:hAnsi="宋体" w:cs="宋体"/>
                      <w:kern w:val="0"/>
                      <w:lang w:val="en-US" w:eastAsia="zh-CN"/>
                    </w:rPr>
                    <w:t>用药时间</w:t>
                  </w:r>
                </w:p>
              </w:tc>
            </w:tr>
            <w:tr w14:paraId="5B90A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2" w:type="dxa"/>
                  <w:vAlign w:val="center"/>
                </w:tcPr>
                <w:p w14:paraId="751903BE">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635" w:type="dxa"/>
                  <w:vAlign w:val="center"/>
                </w:tcPr>
                <w:p w14:paraId="52A20C8B">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869" w:type="dxa"/>
                  <w:vAlign w:val="center"/>
                </w:tcPr>
                <w:p w14:paraId="6F6C40F8">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r>
            <w:tr w14:paraId="4CC15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2" w:type="dxa"/>
                  <w:vAlign w:val="center"/>
                </w:tcPr>
                <w:p w14:paraId="3115DAD2">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635" w:type="dxa"/>
                  <w:vAlign w:val="center"/>
                </w:tcPr>
                <w:p w14:paraId="413B18CA">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869" w:type="dxa"/>
                  <w:vAlign w:val="center"/>
                </w:tcPr>
                <w:p w14:paraId="090672E8">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r>
            <w:tr w14:paraId="0CACB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2" w:type="dxa"/>
                  <w:vAlign w:val="center"/>
                </w:tcPr>
                <w:p w14:paraId="32497F8E">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635" w:type="dxa"/>
                  <w:vAlign w:val="center"/>
                </w:tcPr>
                <w:p w14:paraId="538FA59A">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869" w:type="dxa"/>
                  <w:vAlign w:val="center"/>
                </w:tcPr>
                <w:p w14:paraId="61C037A6">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r>
          </w:tbl>
          <w:p w14:paraId="1887BF2D">
            <w:pPr>
              <w:pStyle w:val="234"/>
              <w:ind w:firstLine="0" w:firstLineChars="0"/>
              <w:rPr>
                <w:rFonts w:hint="eastAsia"/>
                <w:szCs w:val="18"/>
                <w:lang w:eastAsia="zh-CN"/>
              </w:rPr>
            </w:pPr>
          </w:p>
          <w:p w14:paraId="5992F3AE">
            <w:pPr>
              <w:pStyle w:val="234"/>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outlineLvl w:val="9"/>
              <w:rPr>
                <w:rFonts w:hint="default"/>
                <w:szCs w:val="18"/>
                <w:lang w:val="en-US" w:eastAsia="zh-CN"/>
              </w:rPr>
            </w:pPr>
            <w:r>
              <w:rPr>
                <w:rFonts w:hint="eastAsia"/>
                <w:szCs w:val="18"/>
                <w:lang w:eastAsia="zh-CN"/>
              </w:rPr>
              <w:t>其他治疗措施：</w:t>
            </w:r>
            <w:r>
              <w:rPr>
                <w:rFonts w:hint="eastAsia" w:ascii="宋体" w:hAnsi="宋体" w:cs="宋体"/>
                <w:u w:val="single"/>
              </w:rPr>
              <w:t xml:space="preserve">  </w:t>
            </w:r>
            <w:r>
              <w:rPr>
                <w:rFonts w:hint="eastAsia" w:hAnsi="宋体" w:cs="宋体"/>
                <w:u w:val="single"/>
                <w:lang w:val="en-US" w:eastAsia="zh-CN"/>
              </w:rPr>
              <w:t xml:space="preserve">                                                                    </w:t>
            </w:r>
          </w:p>
          <w:p w14:paraId="5CCF1F9C">
            <w:pPr>
              <w:pStyle w:val="234"/>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outlineLvl w:val="9"/>
              <w:rPr>
                <w:rFonts w:hint="default"/>
                <w:szCs w:val="18"/>
                <w:lang w:val="en-US" w:eastAsia="zh-CN"/>
              </w:rPr>
            </w:pPr>
            <w:r>
              <w:rPr>
                <w:rFonts w:hint="eastAsia"/>
                <w:szCs w:val="18"/>
                <w:lang w:val="en-US" w:eastAsia="zh-CN"/>
              </w:rPr>
              <w:t xml:space="preserve">              </w:t>
            </w:r>
            <w:r>
              <w:rPr>
                <w:rFonts w:hint="eastAsia" w:ascii="宋体" w:hAnsi="宋体" w:cs="宋体"/>
                <w:u w:val="single"/>
              </w:rPr>
              <w:t xml:space="preserve"> </w:t>
            </w:r>
            <w:r>
              <w:rPr>
                <w:rFonts w:hint="eastAsia" w:hAnsi="宋体" w:cs="宋体"/>
                <w:u w:val="single"/>
                <w:lang w:val="en-US" w:eastAsia="zh-CN"/>
              </w:rPr>
              <w:t xml:space="preserve">                                                                     </w:t>
            </w:r>
          </w:p>
        </w:tc>
      </w:tr>
      <w:tr w14:paraId="7C3C2A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33" w:type="dxa"/>
            <w:gridSpan w:val="12"/>
            <w:tcBorders>
              <w:left w:val="single" w:color="000000" w:sz="8" w:space="0"/>
              <w:right w:val="single" w:color="000000" w:sz="8" w:space="0"/>
            </w:tcBorders>
          </w:tcPr>
          <w:p w14:paraId="02962145">
            <w:pPr>
              <w:pStyle w:val="234"/>
              <w:ind w:firstLine="0" w:firstLineChars="0"/>
              <w:rPr>
                <w:szCs w:val="18"/>
              </w:rPr>
            </w:pPr>
            <w:r>
              <w:rPr>
                <w:rFonts w:hint="eastAsia"/>
                <w:b/>
                <w:bCs/>
                <w:szCs w:val="18"/>
                <w:lang w:val="en-US" w:eastAsia="zh-CN"/>
              </w:rPr>
              <w:t>四、疾病史调查</w:t>
            </w:r>
          </w:p>
        </w:tc>
      </w:tr>
      <w:tr w14:paraId="5C4C43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7" w:hRule="atLeast"/>
        </w:trPr>
        <w:tc>
          <w:tcPr>
            <w:tcW w:w="9533" w:type="dxa"/>
            <w:gridSpan w:val="12"/>
            <w:tcBorders>
              <w:left w:val="single" w:color="000000" w:sz="8" w:space="0"/>
              <w:right w:val="single" w:color="000000" w:sz="8" w:space="0"/>
            </w:tcBorders>
          </w:tcPr>
          <w:p w14:paraId="3A3559E7">
            <w:pPr>
              <w:pStyle w:val="234"/>
              <w:ind w:firstLine="0" w:firstLineChars="0"/>
              <w:rPr>
                <w:szCs w:val="18"/>
              </w:rPr>
            </w:pPr>
            <w:r>
              <w:rPr>
                <w:rFonts w:hint="eastAsia"/>
                <w:b w:val="0"/>
                <w:bCs w:val="0"/>
                <w:szCs w:val="18"/>
                <w:lang w:eastAsia="zh-CN"/>
              </w:rPr>
              <w:t>既往疾病史：</w:t>
            </w:r>
          </w:p>
        </w:tc>
      </w:tr>
      <w:tr w14:paraId="6E68DC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8" w:hRule="atLeast"/>
        </w:trPr>
        <w:tc>
          <w:tcPr>
            <w:tcW w:w="9533" w:type="dxa"/>
            <w:gridSpan w:val="12"/>
            <w:tcBorders>
              <w:left w:val="single" w:color="000000" w:sz="8" w:space="0"/>
              <w:right w:val="single" w:color="000000" w:sz="8" w:space="0"/>
            </w:tcBorders>
          </w:tcPr>
          <w:p w14:paraId="66D4EF43">
            <w:pPr>
              <w:pStyle w:val="234"/>
              <w:ind w:firstLine="0" w:firstLineChars="0"/>
              <w:rPr>
                <w:rFonts w:hint="eastAsia"/>
                <w:b w:val="0"/>
                <w:bCs w:val="0"/>
                <w:szCs w:val="18"/>
                <w:lang w:eastAsia="zh-CN"/>
              </w:rPr>
            </w:pPr>
            <w:r>
              <w:rPr>
                <w:rFonts w:hint="eastAsia"/>
                <w:b w:val="0"/>
                <w:bCs w:val="0"/>
                <w:szCs w:val="18"/>
                <w:lang w:eastAsia="zh-CN"/>
              </w:rPr>
              <w:t>既往发生急性中毒情况：</w:t>
            </w:r>
          </w:p>
          <w:tbl>
            <w:tblPr>
              <w:tblStyle w:val="26"/>
              <w:tblW w:w="8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2"/>
              <w:gridCol w:w="1635"/>
              <w:gridCol w:w="1869"/>
              <w:gridCol w:w="1860"/>
            </w:tblGrid>
            <w:tr w14:paraId="5E9B4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2" w:type="dxa"/>
                  <w:vAlign w:val="center"/>
                </w:tcPr>
                <w:p w14:paraId="3E0797B8">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hint="eastAsia" w:ascii="宋体" w:hAnsi="宋体" w:eastAsia="宋体" w:cs="宋体"/>
                      <w:kern w:val="0"/>
                      <w:lang w:eastAsia="zh-CN"/>
                    </w:rPr>
                  </w:pPr>
                  <w:r>
                    <w:rPr>
                      <w:rFonts w:hint="eastAsia" w:ascii="宋体" w:hAnsi="宋体" w:cs="宋体"/>
                      <w:kern w:val="0"/>
                      <w:lang w:eastAsia="zh-CN"/>
                    </w:rPr>
                    <w:t>中毒时间</w:t>
                  </w:r>
                </w:p>
              </w:tc>
              <w:tc>
                <w:tcPr>
                  <w:tcW w:w="1635" w:type="dxa"/>
                  <w:vAlign w:val="center"/>
                </w:tcPr>
                <w:p w14:paraId="5437A86A">
                  <w:pPr>
                    <w:keepNext w:val="0"/>
                    <w:keepLines w:val="0"/>
                    <w:pageBreakBefore w:val="0"/>
                    <w:widowControl w:val="0"/>
                    <w:kinsoku/>
                    <w:wordWrap/>
                    <w:overflowPunct/>
                    <w:topLinePunct w:val="0"/>
                    <w:autoSpaceDE/>
                    <w:autoSpaceDN/>
                    <w:bidi w:val="0"/>
                    <w:adjustRightInd w:val="0"/>
                    <w:snapToGrid/>
                    <w:spacing w:line="240" w:lineRule="auto"/>
                    <w:jc w:val="both"/>
                    <w:textAlignment w:val="auto"/>
                    <w:outlineLvl w:val="9"/>
                    <w:rPr>
                      <w:rFonts w:hint="default" w:ascii="宋体" w:hAnsi="宋体" w:eastAsia="宋体" w:cs="宋体"/>
                      <w:kern w:val="0"/>
                      <w:lang w:val="en-US" w:eastAsia="zh-CN"/>
                    </w:rPr>
                  </w:pPr>
                  <w:r>
                    <w:rPr>
                      <w:rFonts w:hint="eastAsia" w:ascii="宋体" w:hAnsi="宋体" w:cs="宋体"/>
                      <w:kern w:val="0"/>
                      <w:lang w:val="en-US" w:eastAsia="zh-CN"/>
                    </w:rPr>
                    <w:t>中毒地点</w:t>
                  </w:r>
                </w:p>
              </w:tc>
              <w:tc>
                <w:tcPr>
                  <w:tcW w:w="1869" w:type="dxa"/>
                  <w:vAlign w:val="center"/>
                </w:tcPr>
                <w:p w14:paraId="196B2659">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hint="default" w:ascii="宋体" w:hAnsi="宋体" w:eastAsia="宋体" w:cs="宋体"/>
                      <w:kern w:val="0"/>
                      <w:lang w:val="en-US" w:eastAsia="zh-CN"/>
                    </w:rPr>
                  </w:pPr>
                  <w:r>
                    <w:rPr>
                      <w:rFonts w:hint="eastAsia" w:ascii="宋体" w:hAnsi="宋体" w:cs="宋体"/>
                      <w:kern w:val="0"/>
                      <w:lang w:val="en-US" w:eastAsia="zh-CN"/>
                    </w:rPr>
                    <w:t>涉及毒物</w:t>
                  </w:r>
                </w:p>
              </w:tc>
              <w:tc>
                <w:tcPr>
                  <w:tcW w:w="1860" w:type="dxa"/>
                  <w:vAlign w:val="center"/>
                </w:tcPr>
                <w:p w14:paraId="331CBA1A">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outlineLvl w:val="9"/>
                    <w:rPr>
                      <w:rFonts w:hint="eastAsia" w:ascii="宋体" w:hAnsi="宋体" w:cs="宋体"/>
                      <w:kern w:val="0"/>
                      <w:lang w:val="en-US" w:eastAsia="zh-CN"/>
                    </w:rPr>
                  </w:pPr>
                  <w:r>
                    <w:rPr>
                      <w:rFonts w:hint="eastAsia" w:ascii="宋体" w:hAnsi="宋体" w:cs="宋体"/>
                      <w:kern w:val="0"/>
                      <w:lang w:val="en-US" w:eastAsia="zh-CN"/>
                    </w:rPr>
                    <w:t>中毒诊断</w:t>
                  </w:r>
                </w:p>
              </w:tc>
            </w:tr>
            <w:tr w14:paraId="7B7D2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2" w:type="dxa"/>
                  <w:vAlign w:val="center"/>
                </w:tcPr>
                <w:p w14:paraId="4000ABB3">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635" w:type="dxa"/>
                  <w:vAlign w:val="center"/>
                </w:tcPr>
                <w:p w14:paraId="70801865">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869" w:type="dxa"/>
                  <w:vAlign w:val="center"/>
                </w:tcPr>
                <w:p w14:paraId="44DDD06D">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860" w:type="dxa"/>
                  <w:vAlign w:val="center"/>
                </w:tcPr>
                <w:p w14:paraId="183B8A18">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r>
            <w:tr w14:paraId="175DB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2" w:type="dxa"/>
                  <w:vAlign w:val="center"/>
                </w:tcPr>
                <w:p w14:paraId="2F885102">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635" w:type="dxa"/>
                  <w:vAlign w:val="center"/>
                </w:tcPr>
                <w:p w14:paraId="3B4B792A">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869" w:type="dxa"/>
                  <w:vAlign w:val="center"/>
                </w:tcPr>
                <w:p w14:paraId="3D7ED65F">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860" w:type="dxa"/>
                  <w:vAlign w:val="center"/>
                </w:tcPr>
                <w:p w14:paraId="0959D9E1">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r>
            <w:tr w14:paraId="7F0EC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2" w:type="dxa"/>
                  <w:vAlign w:val="center"/>
                </w:tcPr>
                <w:p w14:paraId="30450578">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635" w:type="dxa"/>
                  <w:vAlign w:val="center"/>
                </w:tcPr>
                <w:p w14:paraId="7A70C1DF">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869" w:type="dxa"/>
                  <w:vAlign w:val="center"/>
                </w:tcPr>
                <w:p w14:paraId="1F3AC66D">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860" w:type="dxa"/>
                  <w:vAlign w:val="center"/>
                </w:tcPr>
                <w:p w14:paraId="588028B6">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r>
          </w:tbl>
          <w:p w14:paraId="20F7873C">
            <w:pPr>
              <w:pStyle w:val="234"/>
              <w:ind w:firstLine="0" w:firstLineChars="0"/>
              <w:rPr>
                <w:rFonts w:hint="eastAsia"/>
                <w:b w:val="0"/>
                <w:bCs w:val="0"/>
                <w:szCs w:val="18"/>
                <w:lang w:eastAsia="zh-CN"/>
              </w:rPr>
            </w:pPr>
          </w:p>
        </w:tc>
      </w:tr>
      <w:tr w14:paraId="15151D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2" w:hRule="atLeast"/>
        </w:trPr>
        <w:tc>
          <w:tcPr>
            <w:tcW w:w="9533" w:type="dxa"/>
            <w:gridSpan w:val="12"/>
            <w:tcBorders>
              <w:left w:val="single" w:color="000000" w:sz="8" w:space="0"/>
              <w:right w:val="single" w:color="000000" w:sz="8" w:space="0"/>
            </w:tcBorders>
          </w:tcPr>
          <w:p w14:paraId="7A0953DF">
            <w:pPr>
              <w:pStyle w:val="234"/>
              <w:ind w:firstLine="0" w:firstLineChars="0"/>
              <w:rPr>
                <w:rFonts w:hint="eastAsia"/>
                <w:b w:val="0"/>
                <w:bCs w:val="0"/>
                <w:szCs w:val="18"/>
                <w:lang w:eastAsia="zh-CN"/>
              </w:rPr>
            </w:pPr>
            <w:r>
              <w:rPr>
                <w:rFonts w:hint="eastAsia"/>
                <w:b/>
                <w:bCs/>
                <w:szCs w:val="18"/>
                <w:lang w:eastAsia="zh-CN"/>
              </w:rPr>
              <w:t>五、近三年职业性健康检查调查</w:t>
            </w:r>
          </w:p>
        </w:tc>
      </w:tr>
      <w:tr w14:paraId="504957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0" w:hRule="atLeast"/>
        </w:trPr>
        <w:tc>
          <w:tcPr>
            <w:tcW w:w="9533" w:type="dxa"/>
            <w:gridSpan w:val="12"/>
            <w:tcBorders>
              <w:left w:val="single" w:color="000000" w:sz="8" w:space="0"/>
              <w:right w:val="single" w:color="000000" w:sz="8" w:space="0"/>
            </w:tcBorders>
          </w:tcPr>
          <w:p w14:paraId="5FD2F660">
            <w:pPr>
              <w:pStyle w:val="234"/>
              <w:ind w:firstLine="0" w:firstLineChars="0"/>
              <w:rPr>
                <w:rFonts w:hint="eastAsia"/>
                <w:b w:val="0"/>
                <w:bCs w:val="0"/>
                <w:szCs w:val="18"/>
                <w:lang w:eastAsia="zh-CN"/>
              </w:rPr>
            </w:pPr>
          </w:p>
          <w:tbl>
            <w:tblPr>
              <w:tblStyle w:val="26"/>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194"/>
              <w:gridCol w:w="1183"/>
              <w:gridCol w:w="1362"/>
              <w:gridCol w:w="1651"/>
              <w:gridCol w:w="2020"/>
            </w:tblGrid>
            <w:tr w14:paraId="3040E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668" w:type="dxa"/>
                  <w:vAlign w:val="center"/>
                </w:tcPr>
                <w:p w14:paraId="403647D1">
                  <w:pPr>
                    <w:keepNext w:val="0"/>
                    <w:keepLines w:val="0"/>
                    <w:pageBreakBefore w:val="0"/>
                    <w:widowControl w:val="0"/>
                    <w:kinsoku/>
                    <w:wordWrap/>
                    <w:overflowPunct/>
                    <w:topLinePunct w:val="0"/>
                    <w:autoSpaceDE/>
                    <w:autoSpaceDN/>
                    <w:bidi w:val="0"/>
                    <w:adjustRightInd w:val="0"/>
                    <w:snapToGrid/>
                    <w:spacing w:line="300" w:lineRule="exact"/>
                    <w:jc w:val="center"/>
                    <w:textAlignment w:val="auto"/>
                    <w:outlineLvl w:val="9"/>
                    <w:rPr>
                      <w:rFonts w:hint="eastAsia" w:ascii="宋体" w:hAnsi="宋体" w:cs="宋体"/>
                      <w:kern w:val="0"/>
                      <w:lang w:eastAsia="zh-CN"/>
                    </w:rPr>
                  </w:pPr>
                  <w:r>
                    <w:rPr>
                      <w:rFonts w:hint="eastAsia" w:ascii="宋体" w:hAnsi="宋体" w:cs="宋体"/>
                      <w:kern w:val="0"/>
                      <w:lang w:eastAsia="zh-CN"/>
                    </w:rPr>
                    <w:t>用人单位名称</w:t>
                  </w:r>
                </w:p>
              </w:tc>
              <w:tc>
                <w:tcPr>
                  <w:tcW w:w="1194" w:type="dxa"/>
                  <w:vAlign w:val="center"/>
                </w:tcPr>
                <w:p w14:paraId="7B5B78BB">
                  <w:pPr>
                    <w:keepNext w:val="0"/>
                    <w:keepLines w:val="0"/>
                    <w:pageBreakBefore w:val="0"/>
                    <w:widowControl w:val="0"/>
                    <w:kinsoku/>
                    <w:wordWrap/>
                    <w:overflowPunct/>
                    <w:topLinePunct w:val="0"/>
                    <w:autoSpaceDE/>
                    <w:autoSpaceDN/>
                    <w:bidi w:val="0"/>
                    <w:adjustRightInd w:val="0"/>
                    <w:snapToGrid/>
                    <w:spacing w:line="300" w:lineRule="exact"/>
                    <w:jc w:val="center"/>
                    <w:textAlignment w:val="auto"/>
                    <w:outlineLvl w:val="9"/>
                    <w:rPr>
                      <w:rFonts w:hint="eastAsia" w:ascii="宋体" w:hAnsi="宋体" w:eastAsia="宋体" w:cs="宋体"/>
                      <w:kern w:val="0"/>
                      <w:lang w:eastAsia="zh-CN"/>
                    </w:rPr>
                  </w:pPr>
                  <w:r>
                    <w:rPr>
                      <w:rFonts w:hint="eastAsia" w:ascii="宋体" w:hAnsi="宋体" w:cs="宋体"/>
                      <w:kern w:val="0"/>
                      <w:lang w:eastAsia="zh-CN"/>
                    </w:rPr>
                    <w:t>接触毒物名称</w:t>
                  </w:r>
                </w:p>
              </w:tc>
              <w:tc>
                <w:tcPr>
                  <w:tcW w:w="1183" w:type="dxa"/>
                  <w:vAlign w:val="center"/>
                </w:tcPr>
                <w:p w14:paraId="29A735DA">
                  <w:pPr>
                    <w:keepNext w:val="0"/>
                    <w:keepLines w:val="0"/>
                    <w:pageBreakBefore w:val="0"/>
                    <w:widowControl w:val="0"/>
                    <w:kinsoku/>
                    <w:wordWrap/>
                    <w:overflowPunct/>
                    <w:topLinePunct w:val="0"/>
                    <w:autoSpaceDE/>
                    <w:autoSpaceDN/>
                    <w:bidi w:val="0"/>
                    <w:adjustRightInd w:val="0"/>
                    <w:snapToGrid/>
                    <w:spacing w:line="300" w:lineRule="exact"/>
                    <w:jc w:val="center"/>
                    <w:textAlignment w:val="auto"/>
                    <w:outlineLvl w:val="9"/>
                    <w:rPr>
                      <w:rFonts w:hint="default" w:ascii="宋体" w:hAnsi="宋体" w:eastAsia="宋体" w:cs="宋体"/>
                      <w:kern w:val="0"/>
                      <w:lang w:val="en-US" w:eastAsia="zh-CN"/>
                    </w:rPr>
                  </w:pPr>
                  <w:r>
                    <w:rPr>
                      <w:rFonts w:hint="eastAsia" w:ascii="宋体" w:hAnsi="宋体" w:cs="宋体"/>
                      <w:kern w:val="0"/>
                      <w:lang w:eastAsia="zh-CN"/>
                    </w:rPr>
                    <w:t>体检日期</w:t>
                  </w:r>
                </w:p>
              </w:tc>
              <w:tc>
                <w:tcPr>
                  <w:tcW w:w="1362" w:type="dxa"/>
                  <w:vAlign w:val="center"/>
                </w:tcPr>
                <w:p w14:paraId="68D26A80">
                  <w:pPr>
                    <w:keepNext w:val="0"/>
                    <w:keepLines w:val="0"/>
                    <w:pageBreakBefore w:val="0"/>
                    <w:widowControl w:val="0"/>
                    <w:kinsoku/>
                    <w:wordWrap/>
                    <w:overflowPunct/>
                    <w:topLinePunct w:val="0"/>
                    <w:autoSpaceDE/>
                    <w:autoSpaceDN/>
                    <w:bidi w:val="0"/>
                    <w:adjustRightInd w:val="0"/>
                    <w:snapToGrid/>
                    <w:spacing w:line="300" w:lineRule="exact"/>
                    <w:jc w:val="center"/>
                    <w:textAlignment w:val="auto"/>
                    <w:outlineLvl w:val="9"/>
                    <w:rPr>
                      <w:rFonts w:hint="default" w:ascii="宋体" w:hAnsi="宋体" w:eastAsia="宋体" w:cs="宋体"/>
                      <w:kern w:val="0"/>
                      <w:lang w:val="en-US" w:eastAsia="zh-CN"/>
                    </w:rPr>
                  </w:pPr>
                  <w:r>
                    <w:rPr>
                      <w:rFonts w:hint="eastAsia" w:ascii="宋体" w:hAnsi="宋体" w:cs="宋体"/>
                      <w:kern w:val="0"/>
                      <w:lang w:val="en-US" w:eastAsia="zh-CN"/>
                    </w:rPr>
                    <w:t>体检类型</w:t>
                  </w:r>
                </w:p>
              </w:tc>
              <w:tc>
                <w:tcPr>
                  <w:tcW w:w="1651" w:type="dxa"/>
                  <w:vAlign w:val="center"/>
                </w:tcPr>
                <w:p w14:paraId="2C37FC52">
                  <w:pPr>
                    <w:keepNext w:val="0"/>
                    <w:keepLines w:val="0"/>
                    <w:pageBreakBefore w:val="0"/>
                    <w:widowControl w:val="0"/>
                    <w:kinsoku/>
                    <w:wordWrap/>
                    <w:overflowPunct/>
                    <w:topLinePunct w:val="0"/>
                    <w:autoSpaceDE/>
                    <w:autoSpaceDN/>
                    <w:bidi w:val="0"/>
                    <w:adjustRightInd w:val="0"/>
                    <w:snapToGrid/>
                    <w:spacing w:line="300" w:lineRule="exact"/>
                    <w:jc w:val="center"/>
                    <w:textAlignment w:val="auto"/>
                    <w:outlineLvl w:val="9"/>
                    <w:rPr>
                      <w:rFonts w:hint="eastAsia" w:ascii="宋体" w:hAnsi="宋体" w:cs="宋体"/>
                      <w:kern w:val="0"/>
                      <w:lang w:val="en-US" w:eastAsia="zh-CN"/>
                    </w:rPr>
                  </w:pPr>
                  <w:r>
                    <w:rPr>
                      <w:rFonts w:hint="eastAsia" w:ascii="宋体" w:hAnsi="宋体" w:cs="宋体"/>
                      <w:kern w:val="0"/>
                      <w:lang w:val="en-US" w:eastAsia="zh-CN"/>
                    </w:rPr>
                    <w:t>体检单位名称</w:t>
                  </w:r>
                </w:p>
              </w:tc>
              <w:tc>
                <w:tcPr>
                  <w:tcW w:w="2020" w:type="dxa"/>
                  <w:vAlign w:val="center"/>
                </w:tcPr>
                <w:p w14:paraId="6FBB430D">
                  <w:pPr>
                    <w:keepNext w:val="0"/>
                    <w:keepLines w:val="0"/>
                    <w:pageBreakBefore w:val="0"/>
                    <w:widowControl w:val="0"/>
                    <w:kinsoku/>
                    <w:wordWrap/>
                    <w:overflowPunct/>
                    <w:topLinePunct w:val="0"/>
                    <w:autoSpaceDE/>
                    <w:autoSpaceDN/>
                    <w:bidi w:val="0"/>
                    <w:adjustRightInd w:val="0"/>
                    <w:snapToGrid/>
                    <w:spacing w:line="300" w:lineRule="exact"/>
                    <w:jc w:val="center"/>
                    <w:textAlignment w:val="auto"/>
                    <w:outlineLvl w:val="9"/>
                    <w:rPr>
                      <w:rFonts w:hint="eastAsia" w:ascii="宋体" w:hAnsi="宋体" w:cs="宋体"/>
                      <w:kern w:val="0"/>
                      <w:lang w:val="en-US" w:eastAsia="zh-CN"/>
                    </w:rPr>
                  </w:pPr>
                  <w:r>
                    <w:rPr>
                      <w:rFonts w:hint="eastAsia" w:ascii="宋体" w:hAnsi="宋体" w:cs="宋体"/>
                      <w:kern w:val="0"/>
                      <w:lang w:val="en-US" w:eastAsia="zh-CN"/>
                    </w:rPr>
                    <w:t>体检结果</w:t>
                  </w:r>
                </w:p>
              </w:tc>
            </w:tr>
            <w:tr w14:paraId="65123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668" w:type="dxa"/>
                  <w:vAlign w:val="center"/>
                </w:tcPr>
                <w:p w14:paraId="6FAE33CC">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194" w:type="dxa"/>
                  <w:vAlign w:val="center"/>
                </w:tcPr>
                <w:p w14:paraId="6CCF7337">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183" w:type="dxa"/>
                  <w:vAlign w:val="center"/>
                </w:tcPr>
                <w:p w14:paraId="03C83511">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362" w:type="dxa"/>
                  <w:vAlign w:val="center"/>
                </w:tcPr>
                <w:p w14:paraId="2C87F9E6">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651" w:type="dxa"/>
                  <w:vAlign w:val="center"/>
                </w:tcPr>
                <w:p w14:paraId="09D729C2">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2020" w:type="dxa"/>
                  <w:vAlign w:val="center"/>
                </w:tcPr>
                <w:p w14:paraId="01EF12B4">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r>
            <w:tr w14:paraId="358D0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668" w:type="dxa"/>
                  <w:vAlign w:val="center"/>
                </w:tcPr>
                <w:p w14:paraId="077407C7">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194" w:type="dxa"/>
                  <w:vAlign w:val="center"/>
                </w:tcPr>
                <w:p w14:paraId="11EFADAE">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183" w:type="dxa"/>
                  <w:vAlign w:val="center"/>
                </w:tcPr>
                <w:p w14:paraId="645DEB5D">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362" w:type="dxa"/>
                  <w:vAlign w:val="center"/>
                </w:tcPr>
                <w:p w14:paraId="37C1D570">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651" w:type="dxa"/>
                  <w:vAlign w:val="center"/>
                </w:tcPr>
                <w:p w14:paraId="475BC21C">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2020" w:type="dxa"/>
                  <w:vAlign w:val="center"/>
                </w:tcPr>
                <w:p w14:paraId="3EE57BC1">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r>
            <w:tr w14:paraId="00690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1668" w:type="dxa"/>
                  <w:vAlign w:val="center"/>
                </w:tcPr>
                <w:p w14:paraId="5D596CF1">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194" w:type="dxa"/>
                  <w:vAlign w:val="center"/>
                </w:tcPr>
                <w:p w14:paraId="56D9CDC7">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183" w:type="dxa"/>
                  <w:vAlign w:val="center"/>
                </w:tcPr>
                <w:p w14:paraId="251733E5">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362" w:type="dxa"/>
                  <w:vAlign w:val="center"/>
                </w:tcPr>
                <w:p w14:paraId="08D8E0BF">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1651" w:type="dxa"/>
                  <w:vAlign w:val="center"/>
                </w:tcPr>
                <w:p w14:paraId="260DBCC9">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c>
                <w:tcPr>
                  <w:tcW w:w="2020" w:type="dxa"/>
                  <w:vAlign w:val="center"/>
                </w:tcPr>
                <w:p w14:paraId="3D8E0A47">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宋体" w:hAnsi="宋体" w:cs="宋体"/>
                      <w:kern w:val="0"/>
                    </w:rPr>
                  </w:pPr>
                </w:p>
              </w:tc>
            </w:tr>
          </w:tbl>
          <w:p w14:paraId="4AB7B717">
            <w:pPr>
              <w:widowControl/>
              <w:tabs>
                <w:tab w:val="center" w:pos="4201"/>
                <w:tab w:val="right" w:leader="dot" w:pos="9298"/>
              </w:tabs>
              <w:autoSpaceDE w:val="0"/>
              <w:autoSpaceDN w:val="0"/>
              <w:rPr>
                <w:rFonts w:hint="eastAsia"/>
                <w:b w:val="0"/>
                <w:bCs w:val="0"/>
                <w:szCs w:val="18"/>
                <w:lang w:eastAsia="zh-CN"/>
              </w:rPr>
            </w:pPr>
          </w:p>
        </w:tc>
      </w:tr>
      <w:tr w14:paraId="2B684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533" w:type="dxa"/>
            <w:gridSpan w:val="12"/>
            <w:tcBorders>
              <w:left w:val="single" w:color="000000" w:sz="8" w:space="0"/>
              <w:right w:val="single" w:color="000000" w:sz="8" w:space="0"/>
            </w:tcBorders>
          </w:tcPr>
          <w:p w14:paraId="7AE057FF">
            <w:pPr>
              <w:widowControl/>
              <w:tabs>
                <w:tab w:val="center" w:pos="4201"/>
                <w:tab w:val="right" w:leader="dot" w:pos="9298"/>
              </w:tabs>
              <w:autoSpaceDE w:val="0"/>
              <w:autoSpaceDN w:val="0"/>
              <w:rPr>
                <w:rFonts w:hint="eastAsia" w:ascii="宋体" w:hAnsi="宋体" w:cs="宋体"/>
                <w:u w:val="none"/>
                <w:lang w:val="en-US" w:eastAsia="zh-CN"/>
              </w:rPr>
            </w:pPr>
            <w:r>
              <w:rPr>
                <w:rFonts w:hint="eastAsia" w:ascii="宋体" w:hAnsi="宋体" w:cs="宋体"/>
                <w:b/>
                <w:bCs/>
                <w:u w:val="none"/>
                <w:lang w:val="en-US" w:eastAsia="zh-CN"/>
              </w:rPr>
              <w:t>注：</w:t>
            </w:r>
            <w:r>
              <w:rPr>
                <w:rFonts w:hint="eastAsia" w:ascii="宋体" w:hAnsi="宋体" w:cs="宋体"/>
                <w:u w:val="none"/>
                <w:lang w:val="en-US" w:eastAsia="zh-CN"/>
              </w:rPr>
              <w:t>如该调查表有后续补充内容，请在相应位置标注补充调查时间。</w:t>
            </w:r>
          </w:p>
        </w:tc>
      </w:tr>
      <w:tr w14:paraId="1B79BF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8" w:hRule="atLeast"/>
        </w:trPr>
        <w:tc>
          <w:tcPr>
            <w:tcW w:w="9533" w:type="dxa"/>
            <w:gridSpan w:val="12"/>
            <w:tcBorders>
              <w:left w:val="single" w:color="000000" w:sz="8" w:space="0"/>
              <w:bottom w:val="single" w:color="000000" w:sz="8" w:space="0"/>
              <w:right w:val="single" w:color="000000" w:sz="8" w:space="0"/>
            </w:tcBorders>
          </w:tcPr>
          <w:p w14:paraId="48BBB527">
            <w:pPr>
              <w:widowControl/>
              <w:tabs>
                <w:tab w:val="center" w:pos="4201"/>
                <w:tab w:val="right" w:leader="dot" w:pos="9298"/>
              </w:tabs>
              <w:autoSpaceDE w:val="0"/>
              <w:autoSpaceDN w:val="0"/>
              <w:ind w:firstLine="6510" w:firstLineChars="3100"/>
              <w:rPr>
                <w:rFonts w:hint="eastAsia" w:ascii="宋体" w:hAnsi="宋体" w:cs="宋体"/>
                <w:u w:val="none"/>
                <w:lang w:val="en-US" w:eastAsia="zh-CN"/>
              </w:rPr>
            </w:pPr>
            <w:r>
              <w:rPr>
                <w:rFonts w:hint="eastAsia" w:ascii="宋体" w:hAnsi="宋体" w:cs="宋体"/>
                <w:u w:val="none"/>
                <w:lang w:val="en-US" w:eastAsia="zh-CN"/>
              </w:rPr>
              <w:t>填表日期：   年  月  日</w:t>
            </w:r>
          </w:p>
          <w:p w14:paraId="221533F6">
            <w:pPr>
              <w:widowControl/>
              <w:tabs>
                <w:tab w:val="center" w:pos="4201"/>
                <w:tab w:val="right" w:leader="dot" w:pos="9298"/>
              </w:tabs>
              <w:autoSpaceDE w:val="0"/>
              <w:autoSpaceDN w:val="0"/>
              <w:ind w:firstLine="6510" w:firstLineChars="3100"/>
              <w:rPr>
                <w:rFonts w:hint="eastAsia" w:ascii="宋体" w:hAnsi="宋体" w:cs="宋体"/>
                <w:u w:val="none"/>
                <w:lang w:val="en-US" w:eastAsia="zh-CN"/>
              </w:rPr>
            </w:pPr>
            <w:r>
              <w:rPr>
                <w:rFonts w:hint="eastAsia" w:ascii="宋体" w:hAnsi="宋体" w:cs="宋体"/>
                <w:u w:val="none"/>
                <w:lang w:val="en-US" w:eastAsia="zh-CN"/>
              </w:rPr>
              <w:t>调查单位：</w:t>
            </w:r>
          </w:p>
          <w:p w14:paraId="24C3A590">
            <w:pPr>
              <w:widowControl/>
              <w:tabs>
                <w:tab w:val="center" w:pos="4201"/>
                <w:tab w:val="right" w:leader="dot" w:pos="9298"/>
              </w:tabs>
              <w:autoSpaceDE w:val="0"/>
              <w:autoSpaceDN w:val="0"/>
              <w:ind w:firstLine="6510" w:firstLineChars="3100"/>
              <w:rPr>
                <w:rFonts w:hint="eastAsia" w:ascii="宋体" w:hAnsi="宋体" w:cs="宋体"/>
                <w:u w:val="none"/>
                <w:lang w:val="en-US" w:eastAsia="zh-CN"/>
              </w:rPr>
            </w:pPr>
            <w:r>
              <w:rPr>
                <w:rFonts w:hint="eastAsia" w:ascii="宋体" w:hAnsi="宋体" w:cs="宋体"/>
                <w:u w:val="none"/>
                <w:lang w:val="en-US" w:eastAsia="zh-CN"/>
              </w:rPr>
              <w:t>调查人员：</w:t>
            </w:r>
          </w:p>
          <w:p w14:paraId="11F86B2F">
            <w:pPr>
              <w:widowControl/>
              <w:tabs>
                <w:tab w:val="center" w:pos="4201"/>
                <w:tab w:val="right" w:leader="dot" w:pos="9298"/>
              </w:tabs>
              <w:autoSpaceDE w:val="0"/>
              <w:autoSpaceDN w:val="0"/>
              <w:ind w:firstLine="6510" w:firstLineChars="3100"/>
              <w:rPr>
                <w:rFonts w:hint="eastAsia" w:ascii="宋体" w:hAnsi="宋体" w:cs="宋体"/>
                <w:u w:val="none"/>
                <w:lang w:val="en-US" w:eastAsia="zh-CN"/>
              </w:rPr>
            </w:pPr>
            <w:r>
              <w:rPr>
                <w:rFonts w:hint="eastAsia" w:ascii="宋体" w:hAnsi="宋体" w:cs="宋体"/>
                <w:u w:val="none"/>
                <w:lang w:val="en-US" w:eastAsia="zh-CN"/>
              </w:rPr>
              <w:t>被调查人：</w:t>
            </w:r>
          </w:p>
        </w:tc>
      </w:tr>
    </w:tbl>
    <w:p w14:paraId="4E9A2F65">
      <w:pPr>
        <w:pStyle w:val="56"/>
        <w:ind w:firstLine="420"/>
        <w:rPr>
          <w:rFonts w:hint="eastAsia"/>
        </w:rPr>
      </w:pPr>
    </w:p>
    <w:p w14:paraId="5EBA6CAA">
      <w:pPr>
        <w:pStyle w:val="56"/>
        <w:ind w:firstLine="420"/>
        <w:rPr>
          <w:rFonts w:hint="eastAsia"/>
        </w:rPr>
      </w:pPr>
    </w:p>
    <w:p w14:paraId="469555BF">
      <w:pPr>
        <w:pStyle w:val="56"/>
        <w:ind w:firstLine="420"/>
        <w:rPr>
          <w:rFonts w:hint="eastAsia"/>
        </w:rPr>
      </w:pPr>
    </w:p>
    <w:p w14:paraId="140A7E3C">
      <w:pPr>
        <w:pStyle w:val="56"/>
        <w:ind w:left="0" w:leftChars="0" w:firstLine="0" w:firstLineChars="0"/>
        <w:jc w:val="both"/>
        <w:rPr>
          <w:rFonts w:hint="eastAsia" w:ascii="黑体" w:hAnsi="Times New Roman" w:eastAsia="黑体" w:cs="Times New Roman"/>
          <w:kern w:val="0"/>
          <w:sz w:val="21"/>
          <w:szCs w:val="20"/>
          <w:lang w:val="en-US" w:eastAsia="zh-CN" w:bidi="ar-SA"/>
        </w:rPr>
      </w:pPr>
    </w:p>
    <w:p w14:paraId="2ADABACD">
      <w:pPr>
        <w:pStyle w:val="76"/>
        <w:spacing w:before="78" w:after="156"/>
        <w:rPr>
          <w:rFonts w:hint="eastAsia"/>
        </w:rPr>
      </w:pPr>
    </w:p>
    <w:p w14:paraId="5FC2C2FE">
      <w:pPr>
        <w:pStyle w:val="56"/>
        <w:ind w:left="0" w:leftChars="0" w:firstLine="0" w:firstLineChars="0"/>
        <w:jc w:val="center"/>
        <w:rPr>
          <w:rFonts w:hint="eastAsia" w:ascii="黑体" w:hAnsi="Times New Roman" w:eastAsia="黑体" w:cs="Times New Roman"/>
          <w:kern w:val="0"/>
          <w:sz w:val="21"/>
          <w:szCs w:val="20"/>
          <w:lang w:val="en-US" w:eastAsia="zh-CN" w:bidi="ar-SA"/>
        </w:rPr>
      </w:pPr>
      <w:r>
        <w:rPr>
          <w:rFonts w:hint="eastAsia" w:ascii="黑体" w:hAnsi="Times New Roman" w:eastAsia="黑体" w:cs="Times New Roman"/>
          <w:kern w:val="0"/>
          <w:sz w:val="21"/>
          <w:szCs w:val="20"/>
          <w:lang w:val="en-US" w:eastAsia="zh-CN" w:bidi="ar-SA"/>
        </w:rPr>
        <w:t>（资料性）</w:t>
      </w:r>
    </w:p>
    <w:p w14:paraId="28541676">
      <w:pPr>
        <w:pStyle w:val="56"/>
        <w:keepNext w:val="0"/>
        <w:keepLines w:val="0"/>
        <w:pageBreakBefore w:val="0"/>
        <w:widowControl/>
        <w:kinsoku/>
        <w:wordWrap/>
        <w:overflowPunct/>
        <w:topLinePunct w:val="0"/>
        <w:autoSpaceDE w:val="0"/>
        <w:autoSpaceDN w:val="0"/>
        <w:bidi w:val="0"/>
        <w:adjustRightInd/>
        <w:snapToGrid/>
        <w:spacing w:before="157" w:beforeLines="50" w:after="157" w:afterLines="50"/>
        <w:ind w:left="0" w:leftChars="0" w:firstLine="0" w:firstLineChars="0"/>
        <w:jc w:val="center"/>
        <w:textAlignment w:val="auto"/>
        <w:outlineLvl w:val="9"/>
        <w:rPr>
          <w:rFonts w:hint="eastAsia" w:ascii="黑体" w:hAnsi="Times New Roman" w:eastAsia="黑体" w:cs="Times New Roman"/>
          <w:kern w:val="0"/>
          <w:sz w:val="21"/>
          <w:szCs w:val="20"/>
          <w:highlight w:val="none"/>
          <w:lang w:val="en-US" w:eastAsia="zh-CN" w:bidi="ar-SA"/>
        </w:rPr>
      </w:pPr>
      <w:r>
        <w:rPr>
          <w:rFonts w:hint="eastAsia" w:ascii="黑体" w:eastAsia="黑体" w:cs="Times New Roman"/>
          <w:kern w:val="0"/>
          <w:sz w:val="21"/>
          <w:szCs w:val="20"/>
          <w:highlight w:val="none"/>
          <w:lang w:val="en-US" w:eastAsia="zh-CN" w:bidi="ar-SA"/>
        </w:rPr>
        <w:t>环境样品检测方法</w:t>
      </w:r>
    </w:p>
    <w:p w14:paraId="5B6D81D8">
      <w:pPr>
        <w:pStyle w:val="56"/>
        <w:keepNext w:val="0"/>
        <w:keepLines w:val="0"/>
        <w:pageBreakBefore w:val="0"/>
        <w:widowControl/>
        <w:kinsoku/>
        <w:wordWrap/>
        <w:overflowPunct/>
        <w:topLinePunct w:val="0"/>
        <w:autoSpaceDE w:val="0"/>
        <w:autoSpaceDN w:val="0"/>
        <w:bidi w:val="0"/>
        <w:adjustRightInd/>
        <w:snapToGrid/>
        <w:ind w:left="0" w:leftChars="0" w:firstLine="420" w:firstLineChars="200"/>
        <w:jc w:val="left"/>
        <w:textAlignment w:val="auto"/>
        <w:outlineLvl w:val="9"/>
        <w:rPr>
          <w:rFonts w:hint="eastAsia" w:ascii="黑体" w:hAnsi="Times New Roman" w:eastAsia="黑体" w:cs="Times New Roman"/>
          <w:kern w:val="0"/>
          <w:sz w:val="21"/>
          <w:szCs w:val="20"/>
          <w:lang w:val="en-US" w:eastAsia="zh-CN" w:bidi="ar-SA"/>
        </w:rPr>
      </w:pPr>
      <w:r>
        <w:rPr>
          <w:rFonts w:hint="eastAsia"/>
          <w:lang w:eastAsia="zh-CN"/>
        </w:rPr>
        <w:t>职业中毒环境样品中常见毒物的检测方法</w:t>
      </w:r>
      <w:r>
        <w:rPr>
          <w:rFonts w:hint="eastAsia"/>
        </w:rPr>
        <w:t>见</w:t>
      </w:r>
      <w:r>
        <w:rPr>
          <w:rFonts w:hint="eastAsia"/>
          <w:lang w:eastAsia="zh-CN"/>
        </w:rPr>
        <w:t>表</w:t>
      </w:r>
      <w:r>
        <w:rPr>
          <w:rFonts w:hint="eastAsia"/>
          <w:lang w:val="en-US" w:eastAsia="zh-CN"/>
        </w:rPr>
        <w:t>D</w:t>
      </w:r>
      <w:r>
        <w:rPr>
          <w:rFonts w:hint="eastAsia"/>
        </w:rPr>
        <w:t>.1。</w:t>
      </w:r>
    </w:p>
    <w:p w14:paraId="4E0232F3">
      <w:pPr>
        <w:pStyle w:val="56"/>
        <w:keepNext w:val="0"/>
        <w:keepLines w:val="0"/>
        <w:pageBreakBefore w:val="0"/>
        <w:widowControl/>
        <w:kinsoku/>
        <w:wordWrap/>
        <w:overflowPunct/>
        <w:topLinePunct w:val="0"/>
        <w:autoSpaceDE w:val="0"/>
        <w:autoSpaceDN w:val="0"/>
        <w:bidi w:val="0"/>
        <w:adjustRightInd/>
        <w:snapToGrid/>
        <w:spacing w:before="157" w:beforeLines="50" w:after="157" w:afterLines="50"/>
        <w:ind w:left="0" w:leftChars="0" w:firstLine="0" w:firstLineChars="0"/>
        <w:jc w:val="center"/>
        <w:textAlignment w:val="auto"/>
        <w:outlineLvl w:val="9"/>
        <w:rPr>
          <w:rFonts w:hint="eastAsia" w:ascii="黑体" w:hAnsi="黑体" w:eastAsia="黑体" w:cs="黑体"/>
          <w:kern w:val="0"/>
          <w:sz w:val="21"/>
          <w:szCs w:val="20"/>
          <w:lang w:val="en-US" w:eastAsia="zh-CN" w:bidi="ar-SA"/>
        </w:rPr>
      </w:pPr>
      <w:r>
        <w:rPr>
          <w:rFonts w:hint="eastAsia" w:ascii="黑体" w:hAnsi="黑体" w:eastAsia="黑体" w:cs="黑体"/>
          <w:szCs w:val="22"/>
          <w:lang w:eastAsia="zh-CN"/>
        </w:rPr>
        <w:t>表</w:t>
      </w:r>
      <w:r>
        <w:rPr>
          <w:rFonts w:hint="eastAsia" w:ascii="黑体" w:hAnsi="黑体" w:eastAsia="黑体" w:cs="黑体"/>
          <w:szCs w:val="22"/>
          <w:lang w:val="en-US" w:eastAsia="zh-CN"/>
        </w:rPr>
        <w:t xml:space="preserve">D.1 </w:t>
      </w:r>
      <w:r>
        <w:rPr>
          <w:rFonts w:hint="eastAsia" w:ascii="黑体" w:hAnsi="黑体" w:eastAsia="黑体" w:cs="黑体"/>
          <w:szCs w:val="22"/>
          <w:lang w:eastAsia="zh-CN"/>
        </w:rPr>
        <w:t>环境样品中常见毒物检测方法</w:t>
      </w:r>
    </w:p>
    <w:tbl>
      <w:tblPr>
        <w:tblStyle w:val="26"/>
        <w:tblW w:w="9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1568"/>
        <w:gridCol w:w="3614"/>
        <w:gridCol w:w="3426"/>
      </w:tblGrid>
      <w:tr w14:paraId="721DA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208" w:type="dxa"/>
            <w:shd w:val="clear" w:color="auto" w:fill="auto"/>
            <w:vAlign w:val="center"/>
          </w:tcPr>
          <w:p w14:paraId="4A19DC8F">
            <w:pPr>
              <w:adjustRightInd/>
              <w:spacing w:line="300" w:lineRule="exact"/>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环境样品</w:t>
            </w:r>
          </w:p>
        </w:tc>
        <w:tc>
          <w:tcPr>
            <w:tcW w:w="1568" w:type="dxa"/>
            <w:shd w:val="clear" w:color="auto" w:fill="auto"/>
            <w:vAlign w:val="center"/>
          </w:tcPr>
          <w:p w14:paraId="57F66FB2">
            <w:pPr>
              <w:adjustRightInd/>
              <w:spacing w:line="300" w:lineRule="exact"/>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毒物名称</w:t>
            </w:r>
          </w:p>
        </w:tc>
        <w:tc>
          <w:tcPr>
            <w:tcW w:w="3614" w:type="dxa"/>
            <w:shd w:val="clear" w:color="auto" w:fill="auto"/>
            <w:vAlign w:val="center"/>
          </w:tcPr>
          <w:p w14:paraId="5D476F10">
            <w:pPr>
              <w:adjustRightInd/>
              <w:spacing w:line="300" w:lineRule="exact"/>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现场快速检测</w:t>
            </w:r>
          </w:p>
        </w:tc>
        <w:tc>
          <w:tcPr>
            <w:tcW w:w="3426" w:type="dxa"/>
            <w:shd w:val="clear" w:color="auto" w:fill="auto"/>
            <w:vAlign w:val="center"/>
          </w:tcPr>
          <w:p w14:paraId="0C15015A">
            <w:pPr>
              <w:adjustRightInd/>
              <w:spacing w:line="300" w:lineRule="exact"/>
              <w:jc w:val="center"/>
              <w:rPr>
                <w:rFonts w:hint="eastAsia" w:ascii="宋体" w:hAnsi="宋体" w:eastAsia="宋体" w:cs="宋体"/>
                <w:b/>
                <w:bCs/>
                <w:sz w:val="21"/>
                <w:szCs w:val="21"/>
                <w:lang w:eastAsia="zh-CN"/>
              </w:rPr>
            </w:pPr>
            <w:r>
              <w:rPr>
                <w:rFonts w:hint="eastAsia" w:ascii="宋体" w:hAnsi="宋体" w:cs="宋体"/>
                <w:b/>
                <w:bCs/>
                <w:sz w:val="21"/>
                <w:szCs w:val="21"/>
                <w:lang w:eastAsia="zh-CN"/>
              </w:rPr>
              <w:t>实验室检测</w:t>
            </w:r>
          </w:p>
        </w:tc>
      </w:tr>
      <w:tr w14:paraId="6B7A4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8" w:type="dxa"/>
            <w:vMerge w:val="restart"/>
            <w:shd w:val="clear" w:color="auto" w:fill="auto"/>
            <w:vAlign w:val="center"/>
          </w:tcPr>
          <w:p w14:paraId="7DE9FF3F">
            <w:pPr>
              <w:adjustRightInd/>
              <w:spacing w:line="300" w:lineRule="exact"/>
              <w:jc w:val="center"/>
              <w:rPr>
                <w:rFonts w:hint="eastAsia" w:ascii="宋体" w:hAnsi="宋体" w:eastAsia="宋体" w:cs="宋体"/>
                <w:sz w:val="21"/>
                <w:szCs w:val="21"/>
                <w:lang w:eastAsia="zh-CN"/>
              </w:rPr>
            </w:pPr>
            <w:r>
              <w:rPr>
                <w:rFonts w:hint="eastAsia" w:ascii="宋体" w:hAnsi="宋体" w:cs="宋体"/>
                <w:sz w:val="21"/>
                <w:szCs w:val="21"/>
                <w:lang w:eastAsia="zh-CN"/>
              </w:rPr>
              <w:t>空气</w:t>
            </w:r>
          </w:p>
        </w:tc>
        <w:tc>
          <w:tcPr>
            <w:tcW w:w="1568" w:type="dxa"/>
            <w:shd w:val="clear" w:color="auto" w:fill="auto"/>
            <w:vAlign w:val="center"/>
          </w:tcPr>
          <w:p w14:paraId="2EE2E070">
            <w:pPr>
              <w:widowControl/>
              <w:adjustRightInd/>
              <w:spacing w:line="240" w:lineRule="auto"/>
              <w:jc w:val="center"/>
              <w:textAlignment w:val="center"/>
              <w:rPr>
                <w:rFonts w:hint="eastAsia" w:ascii="宋体" w:hAnsi="宋体" w:eastAsia="宋体" w:cs="宋体"/>
                <w:sz w:val="21"/>
                <w:szCs w:val="21"/>
                <w:lang w:eastAsia="zh-CN"/>
              </w:rPr>
            </w:pPr>
            <w:r>
              <w:rPr>
                <w:rFonts w:hint="eastAsia" w:ascii="宋体" w:hAnsi="宋体" w:cs="宋体"/>
                <w:sz w:val="21"/>
                <w:szCs w:val="21"/>
                <w:lang w:eastAsia="zh-CN"/>
              </w:rPr>
              <w:t>硫化氢</w:t>
            </w:r>
          </w:p>
        </w:tc>
        <w:tc>
          <w:tcPr>
            <w:tcW w:w="3614" w:type="dxa"/>
            <w:shd w:val="clear" w:color="auto" w:fill="auto"/>
            <w:vAlign w:val="center"/>
          </w:tcPr>
          <w:p w14:paraId="7B6245D1">
            <w:pPr>
              <w:tabs>
                <w:tab w:val="left" w:pos="2471"/>
              </w:tabs>
              <w:jc w:val="both"/>
              <w:rPr>
                <w:rFonts w:hint="eastAsia"/>
                <w:szCs w:val="24"/>
                <w:lang w:val="en-US" w:eastAsia="zh-CN"/>
              </w:rPr>
            </w:pPr>
            <w:r>
              <w:rPr>
                <w:rFonts w:hint="eastAsia"/>
                <w:szCs w:val="24"/>
                <w:lang w:eastAsia="zh-CN"/>
              </w:rPr>
              <w:t>便携式气相色谱</w:t>
            </w:r>
            <w:r>
              <w:rPr>
                <w:rFonts w:hint="eastAsia"/>
                <w:szCs w:val="24"/>
                <w:lang w:val="en-US" w:eastAsia="zh-CN"/>
              </w:rPr>
              <w:t>-光离子检测器法（附录G）</w:t>
            </w:r>
          </w:p>
          <w:p w14:paraId="1D0512A4">
            <w:pPr>
              <w:tabs>
                <w:tab w:val="left" w:pos="2471"/>
              </w:tabs>
              <w:jc w:val="both"/>
              <w:rPr>
                <w:rFonts w:hint="eastAsia"/>
                <w:szCs w:val="24"/>
                <w:lang w:eastAsia="zh-CN"/>
              </w:rPr>
            </w:pPr>
            <w:r>
              <w:rPr>
                <w:rFonts w:hint="eastAsia"/>
                <w:szCs w:val="24"/>
                <w:lang w:eastAsia="zh-CN"/>
              </w:rPr>
              <w:t>比长式</w:t>
            </w:r>
            <w:r>
              <w:rPr>
                <w:rFonts w:hint="eastAsia"/>
                <w:szCs w:val="24"/>
              </w:rPr>
              <w:t>检测管法（HJ 871）</w:t>
            </w:r>
          </w:p>
          <w:p w14:paraId="125BC30C">
            <w:pPr>
              <w:tabs>
                <w:tab w:val="left" w:pos="2471"/>
              </w:tabs>
              <w:jc w:val="both"/>
              <w:rPr>
                <w:rFonts w:hint="eastAsia" w:ascii="宋体" w:hAnsi="宋体" w:eastAsia="宋体" w:cs="宋体"/>
                <w:color w:val="000000"/>
                <w:kern w:val="0"/>
                <w:sz w:val="21"/>
                <w:szCs w:val="21"/>
                <w:lang w:eastAsia="zh-CN" w:bidi="ar"/>
              </w:rPr>
            </w:pPr>
            <w:r>
              <w:rPr>
                <w:rFonts w:hint="eastAsia"/>
                <w:szCs w:val="24"/>
              </w:rPr>
              <w:t>电化学传感器法（HJ 872</w:t>
            </w:r>
            <w:r>
              <w:rPr>
                <w:rFonts w:hint="eastAsia"/>
                <w:szCs w:val="24"/>
                <w:lang w:eastAsia="zh-CN"/>
              </w:rPr>
              <w:t>、</w:t>
            </w:r>
            <w:r>
              <w:rPr>
                <w:rFonts w:hint="eastAsia"/>
                <w:szCs w:val="24"/>
                <w:lang w:val="en-US" w:eastAsia="zh-CN"/>
              </w:rPr>
              <w:t>CJ/T 307</w:t>
            </w:r>
            <w:r>
              <w:rPr>
                <w:rFonts w:hint="eastAsia"/>
                <w:szCs w:val="24"/>
              </w:rPr>
              <w:t>）</w:t>
            </w:r>
          </w:p>
        </w:tc>
        <w:tc>
          <w:tcPr>
            <w:tcW w:w="3426" w:type="dxa"/>
            <w:shd w:val="clear" w:color="auto" w:fill="auto"/>
            <w:vAlign w:val="center"/>
          </w:tcPr>
          <w:p w14:paraId="40F16EA7">
            <w:pPr>
              <w:widowControl/>
              <w:adjustRightInd/>
              <w:spacing w:line="240" w:lineRule="auto"/>
              <w:jc w:val="both"/>
              <w:textAlignment w:val="center"/>
              <w:rPr>
                <w:rFonts w:hint="eastAsia"/>
                <w:lang w:eastAsia="zh-CN"/>
              </w:rPr>
            </w:pPr>
            <w:r>
              <w:t>硝酸银比色法</w:t>
            </w:r>
            <w:r>
              <w:rPr>
                <w:rFonts w:hint="eastAsia"/>
              </w:rPr>
              <w:t>（</w:t>
            </w:r>
            <w:r>
              <w:rPr>
                <w:rFonts w:hint="eastAsia"/>
                <w:szCs w:val="24"/>
              </w:rPr>
              <w:t>GBZ/T 160.33</w:t>
            </w:r>
            <w:r>
              <w:rPr>
                <w:rFonts w:hint="eastAsia"/>
              </w:rPr>
              <w:t>）</w:t>
            </w:r>
            <w:r>
              <w:rPr>
                <w:rFonts w:hint="eastAsia"/>
                <w:lang w:eastAsia="zh-CN"/>
              </w:rPr>
              <w:t>；</w:t>
            </w:r>
          </w:p>
          <w:p w14:paraId="2935233C">
            <w:pPr>
              <w:widowControl/>
              <w:adjustRightInd/>
              <w:spacing w:line="240" w:lineRule="auto"/>
              <w:jc w:val="both"/>
              <w:textAlignment w:val="center"/>
              <w:rPr>
                <w:rFonts w:hint="eastAsia"/>
                <w:lang w:eastAsia="zh-CN"/>
              </w:rPr>
            </w:pPr>
            <w:r>
              <w:rPr>
                <w:rFonts w:hint="eastAsia"/>
                <w:lang w:eastAsia="zh-CN"/>
              </w:rPr>
              <w:t>亚甲基蓝分光光度法（</w:t>
            </w:r>
            <w:r>
              <w:rPr>
                <w:rFonts w:hint="eastAsia"/>
                <w:szCs w:val="24"/>
                <w:lang w:val="en-US" w:eastAsia="zh-CN"/>
              </w:rPr>
              <w:t>HJ 1388</w:t>
            </w:r>
            <w:r>
              <w:rPr>
                <w:rFonts w:hint="eastAsia"/>
                <w:lang w:eastAsia="zh-CN"/>
              </w:rPr>
              <w:t>）</w:t>
            </w:r>
          </w:p>
        </w:tc>
      </w:tr>
      <w:tr w14:paraId="3D6FB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8" w:type="dxa"/>
            <w:vMerge w:val="continue"/>
            <w:shd w:val="clear" w:color="auto" w:fill="auto"/>
            <w:vAlign w:val="center"/>
          </w:tcPr>
          <w:p w14:paraId="27DE3C6B">
            <w:pPr>
              <w:adjustRightInd/>
              <w:spacing w:line="300" w:lineRule="exact"/>
              <w:jc w:val="center"/>
              <w:rPr>
                <w:rFonts w:hint="eastAsia" w:ascii="宋体" w:hAnsi="宋体" w:eastAsia="宋体" w:cs="宋体"/>
                <w:sz w:val="21"/>
                <w:szCs w:val="21"/>
              </w:rPr>
            </w:pPr>
          </w:p>
        </w:tc>
        <w:tc>
          <w:tcPr>
            <w:tcW w:w="1568" w:type="dxa"/>
            <w:shd w:val="clear" w:color="auto" w:fill="auto"/>
            <w:vAlign w:val="center"/>
          </w:tcPr>
          <w:p w14:paraId="10213432">
            <w:pPr>
              <w:widowControl/>
              <w:adjustRightInd/>
              <w:spacing w:line="240" w:lineRule="auto"/>
              <w:jc w:val="center"/>
              <w:textAlignment w:val="center"/>
              <w:rPr>
                <w:rFonts w:hint="eastAsia" w:ascii="宋体" w:hAnsi="宋体" w:eastAsia="宋体" w:cs="宋体"/>
                <w:sz w:val="21"/>
                <w:szCs w:val="21"/>
                <w:lang w:eastAsia="zh-CN"/>
              </w:rPr>
            </w:pPr>
            <w:r>
              <w:rPr>
                <w:rFonts w:hint="eastAsia" w:ascii="宋体" w:hAnsi="宋体" w:cs="宋体"/>
                <w:sz w:val="21"/>
                <w:szCs w:val="21"/>
                <w:lang w:eastAsia="zh-CN"/>
              </w:rPr>
              <w:t>氨气</w:t>
            </w:r>
          </w:p>
        </w:tc>
        <w:tc>
          <w:tcPr>
            <w:tcW w:w="3614" w:type="dxa"/>
            <w:shd w:val="clear" w:color="auto" w:fill="auto"/>
            <w:vAlign w:val="center"/>
          </w:tcPr>
          <w:p w14:paraId="7F4E4B9F">
            <w:pPr>
              <w:numPr>
                <w:ilvl w:val="0"/>
                <w:numId w:val="0"/>
              </w:numPr>
              <w:tabs>
                <w:tab w:val="left" w:pos="2471"/>
              </w:tabs>
              <w:jc w:val="both"/>
              <w:rPr>
                <w:rFonts w:hint="eastAsia"/>
                <w:szCs w:val="24"/>
                <w:lang w:eastAsia="zh-CN"/>
              </w:rPr>
            </w:pPr>
            <w:r>
              <w:rPr>
                <w:rFonts w:hint="eastAsia"/>
                <w:szCs w:val="24"/>
              </w:rPr>
              <w:t>电化学传感器法（HJ 872</w:t>
            </w:r>
            <w:r>
              <w:rPr>
                <w:rFonts w:hint="eastAsia"/>
                <w:szCs w:val="24"/>
                <w:lang w:eastAsia="zh-CN"/>
              </w:rPr>
              <w:t>、</w:t>
            </w:r>
            <w:r>
              <w:rPr>
                <w:rFonts w:hint="eastAsia"/>
                <w:szCs w:val="24"/>
                <w:lang w:val="en-US" w:eastAsia="zh-CN"/>
              </w:rPr>
              <w:t>CJ/T 307</w:t>
            </w:r>
            <w:r>
              <w:rPr>
                <w:rFonts w:hint="eastAsia"/>
                <w:szCs w:val="24"/>
              </w:rPr>
              <w:t>）</w:t>
            </w:r>
          </w:p>
          <w:p w14:paraId="0E0CA7C2">
            <w:pPr>
              <w:numPr>
                <w:ilvl w:val="0"/>
                <w:numId w:val="0"/>
              </w:numPr>
              <w:tabs>
                <w:tab w:val="left" w:pos="2471"/>
              </w:tabs>
              <w:jc w:val="both"/>
              <w:rPr>
                <w:rFonts w:hint="eastAsia" w:ascii="宋体" w:hAnsi="宋体" w:eastAsia="宋体" w:cs="宋体"/>
                <w:color w:val="000000"/>
                <w:kern w:val="0"/>
                <w:sz w:val="21"/>
                <w:szCs w:val="21"/>
                <w:lang w:eastAsia="zh-CN" w:bidi="ar"/>
              </w:rPr>
            </w:pPr>
            <w:r>
              <w:rPr>
                <w:rFonts w:hint="eastAsia"/>
                <w:szCs w:val="24"/>
                <w:lang w:eastAsia="zh-CN"/>
              </w:rPr>
              <w:t>比长式</w:t>
            </w:r>
            <w:r>
              <w:rPr>
                <w:rFonts w:hint="eastAsia"/>
                <w:szCs w:val="24"/>
              </w:rPr>
              <w:t>检测管法（HJ 871</w:t>
            </w:r>
            <w:r>
              <w:rPr>
                <w:rFonts w:hint="eastAsia"/>
                <w:szCs w:val="24"/>
                <w:lang w:eastAsia="zh-CN"/>
              </w:rPr>
              <w:t>）</w:t>
            </w:r>
          </w:p>
          <w:p w14:paraId="0C9A4B32">
            <w:pPr>
              <w:numPr>
                <w:ilvl w:val="0"/>
                <w:numId w:val="0"/>
              </w:numPr>
              <w:tabs>
                <w:tab w:val="left" w:pos="2471"/>
              </w:tabs>
              <w:jc w:val="both"/>
              <w:rPr>
                <w:rFonts w:hint="eastAsia" w:ascii="宋体" w:hAnsi="宋体" w:eastAsia="宋体" w:cs="宋体"/>
                <w:color w:val="000000"/>
                <w:kern w:val="0"/>
                <w:sz w:val="21"/>
                <w:szCs w:val="21"/>
                <w:lang w:eastAsia="zh-CN" w:bidi="ar"/>
              </w:rPr>
            </w:pPr>
            <w:r>
              <w:rPr>
                <w:rFonts w:hint="eastAsia"/>
                <w:szCs w:val="24"/>
              </w:rPr>
              <w:t>便携式傅里叶红外仪法（HJ 920）</w:t>
            </w:r>
          </w:p>
        </w:tc>
        <w:tc>
          <w:tcPr>
            <w:tcW w:w="3426" w:type="dxa"/>
            <w:shd w:val="clear" w:color="auto" w:fill="auto"/>
            <w:vAlign w:val="center"/>
          </w:tcPr>
          <w:p w14:paraId="43C1E4BA">
            <w:pPr>
              <w:widowControl/>
              <w:adjustRightInd/>
              <w:spacing w:line="240" w:lineRule="auto"/>
              <w:jc w:val="both"/>
              <w:textAlignment w:val="center"/>
              <w:rPr>
                <w:rFonts w:hint="default" w:ascii="宋体" w:hAnsi="宋体" w:eastAsia="宋体" w:cs="宋体"/>
                <w:color w:val="000000"/>
                <w:kern w:val="0"/>
                <w:sz w:val="21"/>
                <w:szCs w:val="21"/>
                <w:lang w:val="en-US" w:eastAsia="zh-CN" w:bidi="ar"/>
              </w:rPr>
            </w:pPr>
            <w:r>
              <w:t>纳氏试剂分光光度法</w:t>
            </w:r>
            <w:r>
              <w:rPr>
                <w:rFonts w:hint="eastAsia"/>
              </w:rPr>
              <w:t>（</w:t>
            </w:r>
            <w:r>
              <w:rPr>
                <w:rFonts w:ascii="Times New Roman" w:hAnsi="Times New Roman"/>
              </w:rPr>
              <w:t>GBZ/T 160.29</w:t>
            </w:r>
            <w:r>
              <w:rPr>
                <w:rFonts w:hint="eastAsia"/>
              </w:rPr>
              <w:t>）</w:t>
            </w:r>
          </w:p>
        </w:tc>
      </w:tr>
      <w:tr w14:paraId="3703A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8" w:type="dxa"/>
            <w:vMerge w:val="continue"/>
            <w:shd w:val="clear" w:color="auto" w:fill="auto"/>
            <w:vAlign w:val="center"/>
          </w:tcPr>
          <w:p w14:paraId="32CA7759">
            <w:pPr>
              <w:adjustRightInd/>
              <w:spacing w:line="300" w:lineRule="exact"/>
              <w:jc w:val="center"/>
              <w:rPr>
                <w:rFonts w:hint="eastAsia" w:ascii="宋体" w:hAnsi="宋体" w:eastAsia="宋体" w:cs="宋体"/>
                <w:sz w:val="21"/>
                <w:szCs w:val="21"/>
                <w:lang w:eastAsia="zh-CN"/>
              </w:rPr>
            </w:pPr>
          </w:p>
        </w:tc>
        <w:tc>
          <w:tcPr>
            <w:tcW w:w="1568" w:type="dxa"/>
            <w:shd w:val="clear" w:color="auto" w:fill="auto"/>
            <w:vAlign w:val="center"/>
          </w:tcPr>
          <w:p w14:paraId="570894B5">
            <w:pPr>
              <w:widowControl/>
              <w:adjustRightInd/>
              <w:spacing w:line="240" w:lineRule="auto"/>
              <w:jc w:val="center"/>
              <w:textAlignment w:val="center"/>
              <w:rPr>
                <w:rFonts w:hint="eastAsia" w:ascii="宋体" w:hAnsi="宋体" w:eastAsia="宋体" w:cs="宋体"/>
                <w:sz w:val="21"/>
                <w:szCs w:val="21"/>
                <w:lang w:eastAsia="zh-CN"/>
              </w:rPr>
            </w:pPr>
            <w:r>
              <w:rPr>
                <w:rFonts w:hint="eastAsia" w:ascii="宋体" w:hAnsi="宋体" w:cs="宋体"/>
                <w:sz w:val="21"/>
                <w:szCs w:val="21"/>
                <w:lang w:eastAsia="zh-CN"/>
              </w:rPr>
              <w:t>二氧化硫</w:t>
            </w:r>
          </w:p>
        </w:tc>
        <w:tc>
          <w:tcPr>
            <w:tcW w:w="3614" w:type="dxa"/>
            <w:shd w:val="clear" w:color="auto" w:fill="auto"/>
            <w:vAlign w:val="center"/>
          </w:tcPr>
          <w:p w14:paraId="32266DAF">
            <w:pPr>
              <w:numPr>
                <w:ilvl w:val="0"/>
                <w:numId w:val="0"/>
              </w:numPr>
              <w:tabs>
                <w:tab w:val="left" w:pos="2471"/>
              </w:tabs>
              <w:jc w:val="both"/>
              <w:rPr>
                <w:rFonts w:hint="eastAsia"/>
                <w:szCs w:val="24"/>
                <w:lang w:eastAsia="zh-CN"/>
              </w:rPr>
            </w:pPr>
            <w:r>
              <w:rPr>
                <w:rFonts w:hint="eastAsia"/>
                <w:szCs w:val="24"/>
              </w:rPr>
              <w:t>电化学传感器法（HJ 872</w:t>
            </w:r>
            <w:r>
              <w:rPr>
                <w:rFonts w:hint="eastAsia"/>
                <w:szCs w:val="24"/>
                <w:lang w:eastAsia="zh-CN"/>
              </w:rPr>
              <w:t>、</w:t>
            </w:r>
            <w:r>
              <w:rPr>
                <w:rFonts w:hint="eastAsia"/>
                <w:szCs w:val="24"/>
                <w:lang w:val="en-US" w:eastAsia="zh-CN"/>
              </w:rPr>
              <w:t>CJ/T 307</w:t>
            </w:r>
            <w:r>
              <w:rPr>
                <w:rFonts w:hint="eastAsia"/>
                <w:szCs w:val="24"/>
              </w:rPr>
              <w:t>）</w:t>
            </w:r>
          </w:p>
          <w:p w14:paraId="20AE88DA">
            <w:pPr>
              <w:numPr>
                <w:ilvl w:val="0"/>
                <w:numId w:val="0"/>
              </w:numPr>
              <w:tabs>
                <w:tab w:val="left" w:pos="2471"/>
              </w:tabs>
              <w:jc w:val="both"/>
              <w:rPr>
                <w:rFonts w:hint="eastAsia" w:ascii="宋体" w:hAnsi="宋体" w:eastAsia="宋体" w:cs="宋体"/>
                <w:color w:val="000000"/>
                <w:kern w:val="0"/>
                <w:sz w:val="21"/>
                <w:szCs w:val="21"/>
                <w:lang w:eastAsia="zh-CN" w:bidi="ar"/>
              </w:rPr>
            </w:pPr>
            <w:r>
              <w:rPr>
                <w:rFonts w:hint="eastAsia"/>
                <w:szCs w:val="24"/>
                <w:lang w:eastAsia="zh-CN"/>
              </w:rPr>
              <w:t>比长式</w:t>
            </w:r>
            <w:r>
              <w:rPr>
                <w:rFonts w:hint="eastAsia"/>
                <w:szCs w:val="24"/>
              </w:rPr>
              <w:t>检测管法（HJ 871）</w:t>
            </w:r>
          </w:p>
          <w:p w14:paraId="56FF5D0B">
            <w:pPr>
              <w:numPr>
                <w:ilvl w:val="0"/>
                <w:numId w:val="0"/>
              </w:numPr>
              <w:tabs>
                <w:tab w:val="left" w:pos="2471"/>
              </w:tabs>
              <w:jc w:val="both"/>
              <w:rPr>
                <w:rFonts w:hint="eastAsia" w:ascii="宋体" w:hAnsi="宋体" w:eastAsia="宋体" w:cs="宋体"/>
                <w:color w:val="000000"/>
                <w:kern w:val="0"/>
                <w:sz w:val="21"/>
                <w:szCs w:val="21"/>
                <w:lang w:eastAsia="zh-CN" w:bidi="ar"/>
              </w:rPr>
            </w:pPr>
            <w:r>
              <w:rPr>
                <w:rFonts w:hint="eastAsia"/>
                <w:szCs w:val="24"/>
              </w:rPr>
              <w:t>便携式傅里叶红外仪法（HJ 920）</w:t>
            </w:r>
          </w:p>
        </w:tc>
        <w:tc>
          <w:tcPr>
            <w:tcW w:w="3426" w:type="dxa"/>
            <w:shd w:val="clear" w:color="auto" w:fill="auto"/>
            <w:vAlign w:val="center"/>
          </w:tcPr>
          <w:p w14:paraId="62A2F45B">
            <w:pPr>
              <w:snapToGrid w:val="0"/>
              <w:jc w:val="both"/>
              <w:rPr>
                <w:rFonts w:hint="eastAsia" w:ascii="宋体" w:hAnsi="宋体" w:eastAsia="宋体" w:cs="宋体"/>
                <w:color w:val="000000"/>
                <w:kern w:val="0"/>
                <w:sz w:val="21"/>
                <w:szCs w:val="21"/>
                <w:lang w:bidi="ar"/>
              </w:rPr>
            </w:pPr>
            <w:r>
              <w:t>甲醛缓冲液-盐酸副玫瑰苯胺分光光度法</w:t>
            </w:r>
            <w:r>
              <w:rPr>
                <w:rFonts w:hint="eastAsia"/>
                <w:lang w:eastAsia="zh-CN"/>
              </w:rPr>
              <w:t>、四氯汞钾</w:t>
            </w:r>
            <w:r>
              <w:rPr>
                <w:rFonts w:hint="eastAsia"/>
                <w:lang w:val="en-US" w:eastAsia="zh-CN"/>
              </w:rPr>
              <w:t>-盐酸</w:t>
            </w:r>
            <w:r>
              <w:t>副玫瑰苯胺分光光度法</w:t>
            </w:r>
            <w:r>
              <w:rPr>
                <w:rFonts w:hint="eastAsia"/>
              </w:rPr>
              <w:t>（</w:t>
            </w:r>
            <w:r>
              <w:rPr>
                <w:rFonts w:eastAsia="楷体"/>
                <w:kern w:val="0"/>
              </w:rPr>
              <w:t>GBZ/T 160.33</w:t>
            </w:r>
            <w:r>
              <w:rPr>
                <w:rFonts w:hint="eastAsia"/>
              </w:rPr>
              <w:t>）</w:t>
            </w:r>
          </w:p>
        </w:tc>
      </w:tr>
      <w:tr w14:paraId="0AC4C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8" w:type="dxa"/>
            <w:vMerge w:val="continue"/>
            <w:shd w:val="clear" w:color="auto" w:fill="auto"/>
            <w:vAlign w:val="center"/>
          </w:tcPr>
          <w:p w14:paraId="5C4CD2CC">
            <w:pPr>
              <w:adjustRightInd/>
              <w:spacing w:line="300" w:lineRule="exact"/>
              <w:jc w:val="center"/>
              <w:rPr>
                <w:rFonts w:hint="eastAsia" w:ascii="宋体" w:hAnsi="宋体" w:eastAsia="宋体" w:cs="宋体"/>
                <w:sz w:val="21"/>
                <w:szCs w:val="21"/>
              </w:rPr>
            </w:pPr>
          </w:p>
        </w:tc>
        <w:tc>
          <w:tcPr>
            <w:tcW w:w="1568" w:type="dxa"/>
            <w:shd w:val="clear" w:color="auto" w:fill="auto"/>
            <w:vAlign w:val="center"/>
          </w:tcPr>
          <w:p w14:paraId="0F9F3E11">
            <w:pPr>
              <w:widowControl/>
              <w:adjustRightInd/>
              <w:spacing w:line="240" w:lineRule="auto"/>
              <w:jc w:val="center"/>
              <w:textAlignment w:val="center"/>
              <w:rPr>
                <w:rFonts w:hint="eastAsia" w:ascii="宋体" w:hAnsi="宋体" w:eastAsia="宋体" w:cs="宋体"/>
                <w:sz w:val="21"/>
                <w:szCs w:val="21"/>
                <w:lang w:eastAsia="zh-CN"/>
              </w:rPr>
            </w:pPr>
            <w:r>
              <w:rPr>
                <w:rFonts w:hint="eastAsia" w:ascii="宋体" w:hAnsi="宋体" w:cs="宋体"/>
                <w:sz w:val="21"/>
                <w:szCs w:val="21"/>
                <w:lang w:eastAsia="zh-CN"/>
              </w:rPr>
              <w:t>一氧化碳</w:t>
            </w:r>
          </w:p>
        </w:tc>
        <w:tc>
          <w:tcPr>
            <w:tcW w:w="3614" w:type="dxa"/>
            <w:shd w:val="clear" w:color="auto" w:fill="auto"/>
            <w:vAlign w:val="center"/>
          </w:tcPr>
          <w:p w14:paraId="423DEADE">
            <w:pPr>
              <w:numPr>
                <w:ilvl w:val="0"/>
                <w:numId w:val="0"/>
              </w:numPr>
              <w:tabs>
                <w:tab w:val="left" w:pos="2471"/>
              </w:tabs>
              <w:jc w:val="both"/>
              <w:rPr>
                <w:rFonts w:hint="eastAsia"/>
              </w:rPr>
            </w:pPr>
            <w:r>
              <w:t>不分光红外线气体分析仪法</w:t>
            </w:r>
            <w:r>
              <w:rPr>
                <w:rFonts w:hint="eastAsia"/>
              </w:rPr>
              <w:t>（</w:t>
            </w:r>
            <w:r>
              <w:rPr>
                <w:rFonts w:hint="eastAsia" w:eastAsia="楷体"/>
                <w:kern w:val="0"/>
              </w:rPr>
              <w:t>GBZ/T 300.37</w:t>
            </w:r>
            <w:r>
              <w:rPr>
                <w:rFonts w:hint="eastAsia"/>
              </w:rPr>
              <w:t>）</w:t>
            </w:r>
          </w:p>
          <w:p w14:paraId="1AE71144">
            <w:pPr>
              <w:numPr>
                <w:ilvl w:val="0"/>
                <w:numId w:val="0"/>
              </w:numPr>
              <w:tabs>
                <w:tab w:val="left" w:pos="2471"/>
              </w:tabs>
              <w:jc w:val="both"/>
              <w:rPr>
                <w:rFonts w:hint="eastAsia"/>
                <w:szCs w:val="24"/>
              </w:rPr>
            </w:pPr>
            <w:r>
              <w:rPr>
                <w:rFonts w:hint="eastAsia"/>
                <w:szCs w:val="24"/>
              </w:rPr>
              <w:t>电化学传感器法（HJ 872</w:t>
            </w:r>
            <w:r>
              <w:rPr>
                <w:rFonts w:hint="eastAsia"/>
                <w:szCs w:val="24"/>
                <w:lang w:eastAsia="zh-CN"/>
              </w:rPr>
              <w:t>、</w:t>
            </w:r>
            <w:r>
              <w:rPr>
                <w:rFonts w:hint="eastAsia"/>
                <w:szCs w:val="24"/>
                <w:lang w:val="en-US" w:eastAsia="zh-CN"/>
              </w:rPr>
              <w:t>CJ/T 307</w:t>
            </w:r>
            <w:r>
              <w:rPr>
                <w:rFonts w:hint="eastAsia"/>
                <w:szCs w:val="24"/>
              </w:rPr>
              <w:t>）</w:t>
            </w:r>
          </w:p>
          <w:p w14:paraId="4E3DDCF6">
            <w:pPr>
              <w:numPr>
                <w:ilvl w:val="0"/>
                <w:numId w:val="0"/>
              </w:numPr>
              <w:tabs>
                <w:tab w:val="left" w:pos="2471"/>
              </w:tabs>
              <w:jc w:val="both"/>
              <w:rPr>
                <w:rFonts w:hint="eastAsia"/>
                <w:szCs w:val="24"/>
                <w:lang w:eastAsia="zh-CN"/>
              </w:rPr>
            </w:pPr>
            <w:r>
              <w:rPr>
                <w:rFonts w:hint="eastAsia"/>
                <w:szCs w:val="24"/>
                <w:lang w:eastAsia="zh-CN"/>
              </w:rPr>
              <w:t>比长式</w:t>
            </w:r>
            <w:r>
              <w:rPr>
                <w:rFonts w:hint="eastAsia"/>
                <w:szCs w:val="24"/>
              </w:rPr>
              <w:t>检测管法（HJ 871）</w:t>
            </w:r>
          </w:p>
          <w:p w14:paraId="5DD5801B">
            <w:pPr>
              <w:numPr>
                <w:ilvl w:val="0"/>
                <w:numId w:val="0"/>
              </w:numPr>
              <w:tabs>
                <w:tab w:val="left" w:pos="2471"/>
              </w:tabs>
              <w:jc w:val="both"/>
              <w:rPr>
                <w:rFonts w:hint="eastAsia" w:ascii="宋体" w:hAnsi="宋体" w:eastAsia="宋体" w:cs="宋体"/>
                <w:color w:val="000000"/>
                <w:kern w:val="0"/>
                <w:sz w:val="21"/>
                <w:szCs w:val="21"/>
                <w:lang w:eastAsia="zh-CN" w:bidi="ar"/>
              </w:rPr>
            </w:pPr>
            <w:r>
              <w:rPr>
                <w:rFonts w:hint="eastAsia"/>
                <w:szCs w:val="24"/>
              </w:rPr>
              <w:t>便携式傅里叶红外仪法（HJ 920）</w:t>
            </w:r>
          </w:p>
        </w:tc>
        <w:tc>
          <w:tcPr>
            <w:tcW w:w="3426" w:type="dxa"/>
            <w:shd w:val="clear" w:color="auto" w:fill="auto"/>
            <w:vAlign w:val="center"/>
          </w:tcPr>
          <w:p w14:paraId="7FABB315">
            <w:pPr>
              <w:widowControl/>
              <w:adjustRightInd/>
              <w:spacing w:line="240" w:lineRule="auto"/>
              <w:jc w:val="both"/>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eastAsia="zh-CN" w:bidi="ar"/>
              </w:rPr>
              <w:t>直接进样-气相色谱法</w:t>
            </w:r>
            <w:r>
              <w:rPr>
                <w:rFonts w:hint="eastAsia"/>
              </w:rPr>
              <w:t>（</w:t>
            </w:r>
            <w:r>
              <w:rPr>
                <w:rFonts w:hint="eastAsia" w:eastAsia="楷体"/>
                <w:kern w:val="0"/>
              </w:rPr>
              <w:t>GBZ/T 300.37</w:t>
            </w:r>
            <w:r>
              <w:rPr>
                <w:rFonts w:hint="eastAsia"/>
              </w:rPr>
              <w:t>）</w:t>
            </w:r>
          </w:p>
        </w:tc>
      </w:tr>
      <w:tr w14:paraId="7A123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8" w:type="dxa"/>
            <w:vMerge w:val="continue"/>
            <w:shd w:val="clear" w:color="auto" w:fill="auto"/>
            <w:vAlign w:val="center"/>
          </w:tcPr>
          <w:p w14:paraId="5B211384">
            <w:pPr>
              <w:adjustRightInd/>
              <w:spacing w:line="300" w:lineRule="exact"/>
              <w:jc w:val="center"/>
              <w:rPr>
                <w:rFonts w:hint="eastAsia" w:ascii="宋体" w:hAnsi="宋体" w:eastAsia="宋体" w:cs="宋体"/>
                <w:sz w:val="21"/>
                <w:szCs w:val="21"/>
              </w:rPr>
            </w:pPr>
          </w:p>
        </w:tc>
        <w:tc>
          <w:tcPr>
            <w:tcW w:w="1568" w:type="dxa"/>
            <w:shd w:val="clear" w:color="auto" w:fill="auto"/>
            <w:vAlign w:val="center"/>
          </w:tcPr>
          <w:p w14:paraId="5061C5F6">
            <w:pPr>
              <w:widowControl/>
              <w:adjustRightInd/>
              <w:spacing w:line="240" w:lineRule="auto"/>
              <w:jc w:val="center"/>
              <w:textAlignment w:val="center"/>
              <w:rPr>
                <w:rFonts w:hint="eastAsia" w:ascii="宋体" w:hAnsi="宋体" w:eastAsia="宋体" w:cs="宋体"/>
                <w:sz w:val="21"/>
                <w:szCs w:val="21"/>
                <w:lang w:eastAsia="zh-CN"/>
              </w:rPr>
            </w:pPr>
            <w:r>
              <w:rPr>
                <w:rFonts w:hint="eastAsia" w:ascii="宋体" w:hAnsi="宋体" w:cs="宋体"/>
                <w:sz w:val="21"/>
                <w:szCs w:val="21"/>
                <w:lang w:eastAsia="zh-CN"/>
              </w:rPr>
              <w:t>氯气</w:t>
            </w:r>
          </w:p>
        </w:tc>
        <w:tc>
          <w:tcPr>
            <w:tcW w:w="3614" w:type="dxa"/>
            <w:shd w:val="clear" w:color="auto" w:fill="auto"/>
            <w:vAlign w:val="center"/>
          </w:tcPr>
          <w:p w14:paraId="4C0C633F">
            <w:pPr>
              <w:numPr>
                <w:ilvl w:val="0"/>
                <w:numId w:val="0"/>
              </w:numPr>
              <w:tabs>
                <w:tab w:val="left" w:pos="2471"/>
              </w:tabs>
              <w:jc w:val="both"/>
              <w:rPr>
                <w:rFonts w:hint="eastAsia"/>
                <w:szCs w:val="24"/>
              </w:rPr>
            </w:pPr>
            <w:r>
              <w:rPr>
                <w:rFonts w:hint="eastAsia"/>
                <w:szCs w:val="24"/>
              </w:rPr>
              <w:t>电化学传感器法（HJ 872</w:t>
            </w:r>
            <w:r>
              <w:rPr>
                <w:rFonts w:hint="eastAsia"/>
                <w:szCs w:val="24"/>
                <w:lang w:eastAsia="zh-CN"/>
              </w:rPr>
              <w:t>、</w:t>
            </w:r>
            <w:r>
              <w:rPr>
                <w:rFonts w:hint="eastAsia"/>
                <w:szCs w:val="24"/>
                <w:lang w:val="en-US" w:eastAsia="zh-CN"/>
              </w:rPr>
              <w:t>CJ/T 307</w:t>
            </w:r>
            <w:r>
              <w:rPr>
                <w:rFonts w:hint="eastAsia"/>
                <w:szCs w:val="24"/>
              </w:rPr>
              <w:t>）</w:t>
            </w:r>
          </w:p>
          <w:p w14:paraId="70C79A19">
            <w:pPr>
              <w:numPr>
                <w:ilvl w:val="0"/>
                <w:numId w:val="0"/>
              </w:numPr>
              <w:tabs>
                <w:tab w:val="left" w:pos="2471"/>
              </w:tabs>
              <w:jc w:val="both"/>
              <w:rPr>
                <w:rFonts w:hint="eastAsia" w:ascii="宋体" w:hAnsi="宋体" w:eastAsia="宋体" w:cs="宋体"/>
                <w:color w:val="000000"/>
                <w:kern w:val="0"/>
                <w:sz w:val="21"/>
                <w:szCs w:val="21"/>
                <w:lang w:eastAsia="zh-CN" w:bidi="ar"/>
              </w:rPr>
            </w:pPr>
            <w:r>
              <w:rPr>
                <w:rFonts w:hint="eastAsia"/>
                <w:szCs w:val="24"/>
                <w:lang w:eastAsia="zh-CN"/>
              </w:rPr>
              <w:t>比长式</w:t>
            </w:r>
            <w:r>
              <w:rPr>
                <w:rFonts w:hint="eastAsia"/>
                <w:szCs w:val="24"/>
              </w:rPr>
              <w:t>检测管法（HJ 871）</w:t>
            </w:r>
          </w:p>
        </w:tc>
        <w:tc>
          <w:tcPr>
            <w:tcW w:w="3426" w:type="dxa"/>
            <w:shd w:val="clear" w:color="auto" w:fill="auto"/>
            <w:vAlign w:val="center"/>
          </w:tcPr>
          <w:p w14:paraId="264B7C69">
            <w:pPr>
              <w:widowControl/>
              <w:adjustRightInd/>
              <w:spacing w:line="240" w:lineRule="auto"/>
              <w:jc w:val="both"/>
              <w:textAlignment w:val="center"/>
              <w:rPr>
                <w:rFonts w:hint="eastAsia" w:ascii="宋体" w:hAnsi="宋体" w:eastAsia="宋体" w:cs="宋体"/>
                <w:color w:val="000000"/>
                <w:kern w:val="0"/>
                <w:sz w:val="21"/>
                <w:szCs w:val="21"/>
                <w:lang w:bidi="ar"/>
              </w:rPr>
            </w:pPr>
            <w:r>
              <w:t>甲</w:t>
            </w:r>
            <w:r>
              <w:rPr>
                <w:rFonts w:hint="eastAsia"/>
              </w:rPr>
              <w:t>基</w:t>
            </w:r>
            <w:r>
              <w:t>橙分光光度法</w:t>
            </w:r>
            <w:r>
              <w:rPr>
                <w:rFonts w:hint="eastAsia"/>
              </w:rPr>
              <w:t>（</w:t>
            </w:r>
            <w:r>
              <w:rPr>
                <w:rFonts w:hint="eastAsia" w:eastAsia="楷体"/>
                <w:kern w:val="0"/>
              </w:rPr>
              <w:t>GBZ/T 160.37</w:t>
            </w:r>
            <w:r>
              <w:rPr>
                <w:rFonts w:hint="eastAsia" w:eastAsia="楷体"/>
                <w:kern w:val="0"/>
                <w:lang w:eastAsia="zh-CN"/>
              </w:rPr>
              <w:t>、</w:t>
            </w:r>
            <w:r>
              <w:rPr>
                <w:rFonts w:hint="eastAsia"/>
                <w:szCs w:val="24"/>
                <w:lang w:val="en-US" w:eastAsia="zh-CN"/>
              </w:rPr>
              <w:t>CJ/T 307</w:t>
            </w:r>
            <w:r>
              <w:rPr>
                <w:rFonts w:hint="eastAsia"/>
              </w:rPr>
              <w:t>）</w:t>
            </w:r>
          </w:p>
        </w:tc>
      </w:tr>
      <w:tr w14:paraId="7642A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8" w:type="dxa"/>
            <w:vMerge w:val="continue"/>
            <w:shd w:val="clear" w:color="auto" w:fill="auto"/>
            <w:vAlign w:val="center"/>
          </w:tcPr>
          <w:p w14:paraId="541136A6">
            <w:pPr>
              <w:adjustRightInd/>
              <w:spacing w:line="300" w:lineRule="exact"/>
              <w:jc w:val="center"/>
              <w:rPr>
                <w:rFonts w:hint="eastAsia" w:ascii="宋体" w:hAnsi="宋体" w:eastAsia="宋体" w:cs="宋体"/>
                <w:sz w:val="21"/>
                <w:szCs w:val="21"/>
                <w:lang w:eastAsia="zh-CN"/>
              </w:rPr>
            </w:pPr>
          </w:p>
        </w:tc>
        <w:tc>
          <w:tcPr>
            <w:tcW w:w="1568" w:type="dxa"/>
            <w:shd w:val="clear" w:color="auto" w:fill="auto"/>
            <w:vAlign w:val="center"/>
          </w:tcPr>
          <w:p w14:paraId="4CCD02E4">
            <w:pPr>
              <w:widowControl/>
              <w:adjustRightInd/>
              <w:spacing w:line="240" w:lineRule="auto"/>
              <w:jc w:val="center"/>
              <w:textAlignment w:val="center"/>
              <w:rPr>
                <w:rFonts w:hint="eastAsia" w:ascii="宋体" w:hAnsi="宋体" w:eastAsia="宋体" w:cs="宋体"/>
                <w:sz w:val="21"/>
                <w:szCs w:val="21"/>
                <w:lang w:eastAsia="zh-CN"/>
              </w:rPr>
            </w:pPr>
            <w:r>
              <w:rPr>
                <w:rFonts w:hint="eastAsia" w:ascii="宋体" w:hAnsi="宋体" w:cs="宋体"/>
                <w:sz w:val="21"/>
                <w:szCs w:val="21"/>
                <w:lang w:eastAsia="zh-CN"/>
              </w:rPr>
              <w:t>氟化氢</w:t>
            </w:r>
          </w:p>
        </w:tc>
        <w:tc>
          <w:tcPr>
            <w:tcW w:w="3614" w:type="dxa"/>
            <w:shd w:val="clear" w:color="auto" w:fill="auto"/>
            <w:vAlign w:val="center"/>
          </w:tcPr>
          <w:p w14:paraId="0C236C22">
            <w:pPr>
              <w:numPr>
                <w:ilvl w:val="0"/>
                <w:numId w:val="0"/>
              </w:numPr>
              <w:tabs>
                <w:tab w:val="left" w:pos="2471"/>
              </w:tabs>
              <w:jc w:val="both"/>
              <w:rPr>
                <w:rFonts w:hint="eastAsia"/>
                <w:szCs w:val="24"/>
                <w:lang w:eastAsia="zh-CN"/>
              </w:rPr>
            </w:pPr>
            <w:r>
              <w:rPr>
                <w:rFonts w:hint="eastAsia"/>
                <w:szCs w:val="24"/>
              </w:rPr>
              <w:t>电化学传感器法（HJ 872）</w:t>
            </w:r>
          </w:p>
          <w:p w14:paraId="7A903B06">
            <w:pPr>
              <w:numPr>
                <w:ilvl w:val="0"/>
                <w:numId w:val="0"/>
              </w:numPr>
              <w:tabs>
                <w:tab w:val="left" w:pos="2471"/>
              </w:tabs>
              <w:jc w:val="both"/>
              <w:rPr>
                <w:rFonts w:hint="eastAsia" w:ascii="宋体" w:hAnsi="宋体" w:eastAsia="宋体" w:cs="宋体"/>
                <w:color w:val="000000"/>
                <w:kern w:val="0"/>
                <w:sz w:val="21"/>
                <w:szCs w:val="21"/>
                <w:lang w:eastAsia="zh-CN" w:bidi="ar"/>
              </w:rPr>
            </w:pPr>
            <w:r>
              <w:rPr>
                <w:rFonts w:hint="eastAsia"/>
                <w:szCs w:val="24"/>
                <w:lang w:eastAsia="zh-CN"/>
              </w:rPr>
              <w:t>比长式</w:t>
            </w:r>
            <w:r>
              <w:rPr>
                <w:rFonts w:hint="eastAsia"/>
                <w:szCs w:val="24"/>
              </w:rPr>
              <w:t>检测管法（HJ 871）</w:t>
            </w:r>
          </w:p>
          <w:p w14:paraId="158AACF6">
            <w:pPr>
              <w:numPr>
                <w:ilvl w:val="0"/>
                <w:numId w:val="0"/>
              </w:numPr>
              <w:tabs>
                <w:tab w:val="left" w:pos="2471"/>
              </w:tabs>
              <w:jc w:val="both"/>
              <w:rPr>
                <w:rFonts w:hint="eastAsia" w:ascii="宋体" w:hAnsi="宋体" w:eastAsia="宋体" w:cs="宋体"/>
                <w:color w:val="000000"/>
                <w:kern w:val="0"/>
                <w:sz w:val="21"/>
                <w:szCs w:val="21"/>
                <w:lang w:eastAsia="zh-CN" w:bidi="ar"/>
              </w:rPr>
            </w:pPr>
            <w:r>
              <w:rPr>
                <w:rFonts w:hint="eastAsia"/>
                <w:szCs w:val="24"/>
              </w:rPr>
              <w:t>便携式傅里叶红外仪法（HJ 920）</w:t>
            </w:r>
          </w:p>
        </w:tc>
        <w:tc>
          <w:tcPr>
            <w:tcW w:w="3426" w:type="dxa"/>
            <w:shd w:val="clear" w:color="auto" w:fill="auto"/>
            <w:vAlign w:val="center"/>
          </w:tcPr>
          <w:p w14:paraId="2C7F628A">
            <w:pPr>
              <w:widowControl/>
              <w:adjustRightInd/>
              <w:spacing w:line="240" w:lineRule="auto"/>
              <w:jc w:val="both"/>
              <w:textAlignment w:val="center"/>
              <w:rPr>
                <w:rFonts w:hint="default" w:ascii="宋体" w:hAnsi="宋体" w:eastAsia="宋体" w:cs="宋体"/>
                <w:color w:val="000000"/>
                <w:kern w:val="0"/>
                <w:sz w:val="21"/>
                <w:szCs w:val="21"/>
                <w:lang w:val="en-US" w:eastAsia="zh-CN" w:bidi="ar"/>
              </w:rPr>
            </w:pPr>
            <w:r>
              <w:rPr>
                <w:rFonts w:hint="eastAsia"/>
                <w:lang w:eastAsia="zh-CN"/>
              </w:rPr>
              <w:t>离子选择电极法、</w:t>
            </w:r>
            <w:r>
              <w:t>离子色谱法</w:t>
            </w:r>
            <w:r>
              <w:rPr>
                <w:rFonts w:hint="eastAsia"/>
              </w:rPr>
              <w:t>（</w:t>
            </w:r>
            <w:r>
              <w:rPr>
                <w:rFonts w:hint="eastAsia" w:ascii="Times New Roman" w:hAnsi="Times New Roman"/>
              </w:rPr>
              <w:t>GBZ/T</w:t>
            </w:r>
            <w:r>
              <w:rPr>
                <w:rFonts w:hint="eastAsia"/>
              </w:rPr>
              <w:t xml:space="preserve"> </w:t>
            </w:r>
            <w:r>
              <w:rPr>
                <w:rFonts w:hint="eastAsia" w:ascii="Times New Roman" w:hAnsi="Times New Roman"/>
              </w:rPr>
              <w:t>160.36</w:t>
            </w:r>
            <w:r>
              <w:rPr>
                <w:rFonts w:hint="eastAsia"/>
              </w:rPr>
              <w:t>）</w:t>
            </w:r>
          </w:p>
        </w:tc>
      </w:tr>
      <w:tr w14:paraId="16E4C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8" w:type="dxa"/>
            <w:vMerge w:val="continue"/>
            <w:shd w:val="clear" w:color="auto" w:fill="auto"/>
            <w:vAlign w:val="center"/>
          </w:tcPr>
          <w:p w14:paraId="79193F1A">
            <w:pPr>
              <w:adjustRightInd/>
              <w:spacing w:line="300" w:lineRule="exact"/>
              <w:jc w:val="center"/>
              <w:rPr>
                <w:rFonts w:hint="eastAsia" w:ascii="宋体" w:hAnsi="宋体" w:cs="宋体"/>
                <w:sz w:val="21"/>
                <w:szCs w:val="21"/>
                <w:lang w:eastAsia="zh-CN"/>
              </w:rPr>
            </w:pPr>
          </w:p>
        </w:tc>
        <w:tc>
          <w:tcPr>
            <w:tcW w:w="1568" w:type="dxa"/>
            <w:shd w:val="clear" w:color="auto" w:fill="auto"/>
            <w:vAlign w:val="center"/>
          </w:tcPr>
          <w:p w14:paraId="39C93768">
            <w:pPr>
              <w:widowControl/>
              <w:adjustRightInd/>
              <w:spacing w:line="240" w:lineRule="auto"/>
              <w:jc w:val="center"/>
              <w:textAlignment w:val="center"/>
              <w:rPr>
                <w:rFonts w:hint="eastAsia" w:ascii="宋体" w:hAnsi="宋体" w:cs="宋体"/>
                <w:sz w:val="21"/>
                <w:szCs w:val="21"/>
                <w:lang w:eastAsia="zh-CN"/>
              </w:rPr>
            </w:pPr>
            <w:r>
              <w:rPr>
                <w:rFonts w:hint="eastAsia" w:ascii="宋体" w:hAnsi="宋体" w:cs="宋体"/>
                <w:sz w:val="21"/>
                <w:szCs w:val="21"/>
                <w:lang w:eastAsia="zh-CN"/>
              </w:rPr>
              <w:t>砷化氢</w:t>
            </w:r>
          </w:p>
        </w:tc>
        <w:tc>
          <w:tcPr>
            <w:tcW w:w="3614" w:type="dxa"/>
            <w:shd w:val="clear" w:color="auto" w:fill="auto"/>
            <w:vAlign w:val="center"/>
          </w:tcPr>
          <w:p w14:paraId="65BE3E01">
            <w:pPr>
              <w:tabs>
                <w:tab w:val="left" w:pos="2471"/>
              </w:tabs>
              <w:jc w:val="both"/>
              <w:rPr>
                <w:rFonts w:hint="eastAsia" w:ascii="宋体" w:hAnsi="宋体" w:cs="宋体"/>
                <w:sz w:val="21"/>
                <w:szCs w:val="21"/>
                <w:lang w:eastAsia="zh-CN"/>
              </w:rPr>
            </w:pPr>
            <w:r>
              <w:rPr>
                <w:rFonts w:hint="eastAsia"/>
                <w:szCs w:val="24"/>
                <w:lang w:eastAsia="zh-CN"/>
              </w:rPr>
              <w:t>比长式</w:t>
            </w:r>
            <w:r>
              <w:rPr>
                <w:rFonts w:hint="eastAsia"/>
                <w:szCs w:val="24"/>
              </w:rPr>
              <w:t>检测管法（HJ 871）</w:t>
            </w:r>
          </w:p>
        </w:tc>
        <w:tc>
          <w:tcPr>
            <w:tcW w:w="3426" w:type="dxa"/>
            <w:shd w:val="clear" w:color="auto" w:fill="auto"/>
            <w:vAlign w:val="center"/>
          </w:tcPr>
          <w:p w14:paraId="07AC661A">
            <w:pPr>
              <w:widowControl/>
              <w:adjustRightInd/>
              <w:spacing w:line="240" w:lineRule="auto"/>
              <w:jc w:val="both"/>
              <w:textAlignment w:val="center"/>
              <w:rPr>
                <w:rFonts w:hint="default" w:ascii="宋体" w:hAnsi="宋体" w:eastAsia="宋体" w:cs="宋体"/>
                <w:color w:val="000000"/>
                <w:kern w:val="0"/>
                <w:sz w:val="21"/>
                <w:szCs w:val="21"/>
                <w:lang w:val="en-US" w:eastAsia="zh-CN" w:bidi="ar"/>
              </w:rPr>
            </w:pPr>
            <w:r>
              <w:t>溶液吸收-二乙氨基二硫代甲酸银分光光度法</w:t>
            </w:r>
            <w:r>
              <w:rPr>
                <w:rFonts w:hint="eastAsia"/>
              </w:rPr>
              <w:t>（</w:t>
            </w:r>
            <w:r>
              <w:rPr>
                <w:rFonts w:hint="eastAsia" w:eastAsia="楷体"/>
                <w:kern w:val="0"/>
              </w:rPr>
              <w:t>GBZ/T 300.47</w:t>
            </w:r>
            <w:r>
              <w:rPr>
                <w:rFonts w:hint="eastAsia"/>
              </w:rPr>
              <w:t>）</w:t>
            </w:r>
          </w:p>
        </w:tc>
      </w:tr>
      <w:tr w14:paraId="4037A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8" w:type="dxa"/>
            <w:vMerge w:val="continue"/>
            <w:shd w:val="clear" w:color="auto" w:fill="auto"/>
            <w:vAlign w:val="center"/>
          </w:tcPr>
          <w:p w14:paraId="02DFF8FA">
            <w:pPr>
              <w:adjustRightInd/>
              <w:spacing w:line="300" w:lineRule="exact"/>
              <w:jc w:val="center"/>
              <w:rPr>
                <w:rFonts w:hint="eastAsia" w:ascii="宋体" w:hAnsi="宋体" w:cs="宋体"/>
                <w:sz w:val="21"/>
                <w:szCs w:val="21"/>
                <w:lang w:eastAsia="zh-CN"/>
              </w:rPr>
            </w:pPr>
          </w:p>
        </w:tc>
        <w:tc>
          <w:tcPr>
            <w:tcW w:w="1568" w:type="dxa"/>
            <w:shd w:val="clear" w:color="auto" w:fill="auto"/>
            <w:vAlign w:val="center"/>
          </w:tcPr>
          <w:p w14:paraId="0675F6E6">
            <w:pPr>
              <w:widowControl/>
              <w:adjustRightInd/>
              <w:spacing w:line="240" w:lineRule="auto"/>
              <w:jc w:val="center"/>
              <w:textAlignment w:val="center"/>
              <w:rPr>
                <w:rFonts w:hint="eastAsia" w:ascii="宋体" w:hAnsi="宋体" w:cs="宋体"/>
                <w:sz w:val="21"/>
                <w:szCs w:val="21"/>
                <w:lang w:eastAsia="zh-CN"/>
              </w:rPr>
            </w:pPr>
            <w:r>
              <w:rPr>
                <w:rFonts w:hint="eastAsia" w:ascii="宋体" w:hAnsi="宋体" w:cs="宋体"/>
                <w:sz w:val="21"/>
                <w:szCs w:val="21"/>
                <w:lang w:eastAsia="zh-CN"/>
              </w:rPr>
              <w:t>氰化氢</w:t>
            </w:r>
          </w:p>
        </w:tc>
        <w:tc>
          <w:tcPr>
            <w:tcW w:w="3614" w:type="dxa"/>
            <w:shd w:val="clear" w:color="auto" w:fill="auto"/>
            <w:vAlign w:val="center"/>
          </w:tcPr>
          <w:p w14:paraId="565B40E5">
            <w:pPr>
              <w:numPr>
                <w:ilvl w:val="0"/>
                <w:numId w:val="0"/>
              </w:numPr>
              <w:tabs>
                <w:tab w:val="left" w:pos="2471"/>
              </w:tabs>
              <w:jc w:val="both"/>
              <w:rPr>
                <w:rFonts w:hint="eastAsia"/>
                <w:szCs w:val="24"/>
              </w:rPr>
            </w:pPr>
            <w:r>
              <w:rPr>
                <w:rFonts w:hint="eastAsia"/>
                <w:szCs w:val="24"/>
              </w:rPr>
              <w:t>电化学传感器法（HJ 872</w:t>
            </w:r>
            <w:r>
              <w:rPr>
                <w:rFonts w:hint="eastAsia"/>
                <w:szCs w:val="24"/>
                <w:lang w:eastAsia="zh-CN"/>
              </w:rPr>
              <w:t>）</w:t>
            </w:r>
          </w:p>
          <w:p w14:paraId="205CD1BD">
            <w:pPr>
              <w:numPr>
                <w:ilvl w:val="0"/>
                <w:numId w:val="0"/>
              </w:numPr>
              <w:tabs>
                <w:tab w:val="left" w:pos="2471"/>
              </w:tabs>
              <w:jc w:val="both"/>
              <w:rPr>
                <w:rFonts w:hint="eastAsia" w:ascii="宋体" w:hAnsi="宋体" w:eastAsia="宋体" w:cs="宋体"/>
                <w:sz w:val="21"/>
                <w:szCs w:val="21"/>
                <w:lang w:eastAsia="zh-CN"/>
              </w:rPr>
            </w:pPr>
            <w:r>
              <w:rPr>
                <w:rFonts w:hint="eastAsia"/>
                <w:szCs w:val="24"/>
              </w:rPr>
              <w:t>比长</w:t>
            </w:r>
            <w:r>
              <w:rPr>
                <w:rFonts w:hint="eastAsia"/>
                <w:szCs w:val="24"/>
                <w:lang w:eastAsia="zh-CN"/>
              </w:rPr>
              <w:t>式</w:t>
            </w:r>
            <w:r>
              <w:rPr>
                <w:rFonts w:hint="eastAsia"/>
                <w:szCs w:val="24"/>
              </w:rPr>
              <w:t>检测管法（HJ 871）</w:t>
            </w:r>
          </w:p>
          <w:p w14:paraId="7816F458">
            <w:pPr>
              <w:numPr>
                <w:ilvl w:val="0"/>
                <w:numId w:val="0"/>
              </w:numPr>
              <w:tabs>
                <w:tab w:val="left" w:pos="2471"/>
              </w:tabs>
              <w:jc w:val="both"/>
              <w:rPr>
                <w:rFonts w:hint="eastAsia" w:ascii="宋体" w:hAnsi="宋体" w:eastAsia="宋体" w:cs="宋体"/>
                <w:sz w:val="21"/>
                <w:szCs w:val="21"/>
                <w:lang w:eastAsia="zh-CN"/>
              </w:rPr>
            </w:pPr>
            <w:r>
              <w:rPr>
                <w:rFonts w:hint="eastAsia"/>
                <w:szCs w:val="24"/>
              </w:rPr>
              <w:t>便携式傅里叶红外仪法（HJ 920）</w:t>
            </w:r>
          </w:p>
        </w:tc>
        <w:tc>
          <w:tcPr>
            <w:tcW w:w="3426" w:type="dxa"/>
            <w:shd w:val="clear" w:color="auto" w:fill="auto"/>
            <w:vAlign w:val="center"/>
          </w:tcPr>
          <w:p w14:paraId="1B541BCC">
            <w:pPr>
              <w:widowControl/>
              <w:adjustRightInd/>
              <w:spacing w:line="240" w:lineRule="auto"/>
              <w:jc w:val="both"/>
              <w:textAlignment w:val="center"/>
              <w:rPr>
                <w:rFonts w:hint="default" w:ascii="宋体" w:hAnsi="宋体" w:eastAsia="宋体" w:cs="宋体"/>
                <w:color w:val="000000"/>
                <w:kern w:val="0"/>
                <w:sz w:val="21"/>
                <w:szCs w:val="21"/>
                <w:lang w:val="en-US" w:eastAsia="zh-CN" w:bidi="ar"/>
              </w:rPr>
            </w:pPr>
            <w:r>
              <w:t>异菸酸钠-巴比妥酸钠分光光度法</w:t>
            </w:r>
            <w:r>
              <w:rPr>
                <w:rFonts w:hint="eastAsia"/>
              </w:rPr>
              <w:t>（</w:t>
            </w:r>
            <w:r>
              <w:rPr>
                <w:rFonts w:eastAsia="楷体"/>
                <w:kern w:val="0"/>
              </w:rPr>
              <w:t>GBZ/T 160.29</w:t>
            </w:r>
            <w:r>
              <w:rPr>
                <w:rFonts w:hint="eastAsia"/>
              </w:rPr>
              <w:t>）</w:t>
            </w:r>
          </w:p>
        </w:tc>
      </w:tr>
      <w:tr w14:paraId="5594B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1208" w:type="dxa"/>
            <w:vMerge w:val="continue"/>
            <w:shd w:val="clear" w:color="auto" w:fill="auto"/>
            <w:vAlign w:val="center"/>
          </w:tcPr>
          <w:p w14:paraId="128E794F">
            <w:pPr>
              <w:adjustRightInd/>
              <w:spacing w:line="300" w:lineRule="exact"/>
              <w:jc w:val="center"/>
              <w:rPr>
                <w:rFonts w:hint="eastAsia" w:ascii="宋体" w:hAnsi="宋体" w:cs="宋体"/>
                <w:sz w:val="21"/>
                <w:szCs w:val="21"/>
                <w:lang w:eastAsia="zh-CN"/>
              </w:rPr>
            </w:pPr>
          </w:p>
        </w:tc>
        <w:tc>
          <w:tcPr>
            <w:tcW w:w="1568" w:type="dxa"/>
            <w:shd w:val="clear" w:color="auto" w:fill="auto"/>
            <w:vAlign w:val="center"/>
          </w:tcPr>
          <w:p w14:paraId="2E03F6F3">
            <w:pPr>
              <w:widowControl/>
              <w:adjustRightInd/>
              <w:spacing w:line="240" w:lineRule="auto"/>
              <w:jc w:val="center"/>
              <w:textAlignment w:val="center"/>
              <w:rPr>
                <w:rFonts w:hint="default" w:ascii="宋体" w:hAnsi="宋体" w:cs="宋体"/>
                <w:sz w:val="21"/>
                <w:szCs w:val="21"/>
                <w:lang w:val="en-US" w:eastAsia="zh-CN"/>
              </w:rPr>
            </w:pPr>
            <w:r>
              <w:rPr>
                <w:rFonts w:hint="eastAsia" w:ascii="宋体" w:hAnsi="宋体" w:cs="宋体"/>
                <w:sz w:val="21"/>
                <w:szCs w:val="21"/>
                <w:lang w:val="en-US" w:eastAsia="zh-CN"/>
              </w:rPr>
              <w:t>苯、甲苯、乙苯、间二甲苯、对二甲苯、邻二甲苯、苯乙烯、异丙苯</w:t>
            </w:r>
          </w:p>
        </w:tc>
        <w:tc>
          <w:tcPr>
            <w:tcW w:w="3614" w:type="dxa"/>
            <w:shd w:val="clear" w:color="auto" w:fill="auto"/>
            <w:vAlign w:val="center"/>
          </w:tcPr>
          <w:p w14:paraId="01FA65B6">
            <w:pPr>
              <w:numPr>
                <w:ilvl w:val="0"/>
                <w:numId w:val="0"/>
              </w:numPr>
              <w:tabs>
                <w:tab w:val="left" w:pos="2471"/>
              </w:tabs>
              <w:jc w:val="both"/>
              <w:rPr>
                <w:rFonts w:hint="eastAsia"/>
                <w:szCs w:val="24"/>
                <w:lang w:val="en-US" w:eastAsia="zh-CN"/>
              </w:rPr>
            </w:pPr>
            <w:r>
              <w:rPr>
                <w:rFonts w:hint="eastAsia"/>
                <w:szCs w:val="24"/>
                <w:lang w:eastAsia="zh-CN"/>
              </w:rPr>
              <w:t>便携式气相色谱</w:t>
            </w:r>
            <w:r>
              <w:rPr>
                <w:rFonts w:hint="eastAsia"/>
                <w:szCs w:val="24"/>
                <w:lang w:val="en-US" w:eastAsia="zh-CN"/>
              </w:rPr>
              <w:t>-光离子检测器法（附录G）</w:t>
            </w:r>
          </w:p>
          <w:p w14:paraId="797C6BB1">
            <w:pPr>
              <w:numPr>
                <w:ilvl w:val="0"/>
                <w:numId w:val="0"/>
              </w:numPr>
              <w:tabs>
                <w:tab w:val="left" w:pos="2471"/>
              </w:tabs>
              <w:jc w:val="both"/>
              <w:rPr>
                <w:rFonts w:hint="default" w:ascii="宋体" w:hAnsi="宋体" w:eastAsia="宋体" w:cs="宋体"/>
                <w:sz w:val="21"/>
                <w:szCs w:val="21"/>
                <w:lang w:val="en-US" w:eastAsia="zh-CN"/>
              </w:rPr>
            </w:pPr>
            <w:r>
              <w:rPr>
                <w:rFonts w:hint="eastAsia"/>
                <w:szCs w:val="24"/>
              </w:rPr>
              <w:t>比长管检测管法（HJ 871</w:t>
            </w:r>
            <w:r>
              <w:rPr>
                <w:rFonts w:hint="eastAsia"/>
                <w:szCs w:val="24"/>
                <w:lang w:eastAsia="zh-CN"/>
              </w:rPr>
              <w:t>）</w:t>
            </w:r>
          </w:p>
          <w:p w14:paraId="2A31B826">
            <w:pPr>
              <w:numPr>
                <w:ilvl w:val="0"/>
                <w:numId w:val="0"/>
              </w:numPr>
              <w:tabs>
                <w:tab w:val="left" w:pos="2471"/>
              </w:tabs>
              <w:jc w:val="both"/>
              <w:rPr>
                <w:rFonts w:hint="default" w:ascii="宋体" w:hAnsi="宋体" w:eastAsia="宋体" w:cs="宋体"/>
                <w:sz w:val="21"/>
                <w:szCs w:val="21"/>
                <w:lang w:val="en-US" w:eastAsia="zh-CN"/>
              </w:rPr>
            </w:pPr>
            <w:r>
              <w:rPr>
                <w:rFonts w:hint="eastAsia"/>
                <w:szCs w:val="24"/>
              </w:rPr>
              <w:t>便携式傅里叶红外仪法（HJ 9</w:t>
            </w:r>
            <w:r>
              <w:rPr>
                <w:rFonts w:hint="eastAsia"/>
                <w:szCs w:val="24"/>
                <w:lang w:val="en-US" w:eastAsia="zh-CN"/>
              </w:rPr>
              <w:t>19</w:t>
            </w:r>
            <w:r>
              <w:rPr>
                <w:rFonts w:hint="eastAsia"/>
                <w:szCs w:val="24"/>
              </w:rPr>
              <w:t>）</w:t>
            </w:r>
          </w:p>
        </w:tc>
        <w:tc>
          <w:tcPr>
            <w:tcW w:w="3426" w:type="dxa"/>
            <w:shd w:val="clear" w:color="auto" w:fill="auto"/>
            <w:vAlign w:val="center"/>
          </w:tcPr>
          <w:p w14:paraId="75049326">
            <w:pPr>
              <w:widowControl/>
              <w:adjustRightInd/>
              <w:spacing w:line="240" w:lineRule="auto"/>
              <w:jc w:val="both"/>
              <w:textAlignment w:val="center"/>
              <w:rPr>
                <w:rFonts w:hint="eastAsia"/>
                <w:color w:val="000000"/>
                <w:lang w:eastAsia="zh-CN"/>
              </w:rPr>
            </w:pPr>
            <w:r>
              <w:rPr>
                <w:color w:val="000000"/>
              </w:rPr>
              <w:t>溶剂解吸-气相色谱</w:t>
            </w:r>
            <w:r>
              <w:rPr>
                <w:rFonts w:hint="eastAsia"/>
                <w:color w:val="000000"/>
                <w:lang w:eastAsia="zh-CN"/>
              </w:rPr>
              <w:t>法</w:t>
            </w:r>
            <w:r>
              <w:rPr>
                <w:rFonts w:hint="eastAsia"/>
                <w:color w:val="000000"/>
              </w:rPr>
              <w:t>、</w:t>
            </w:r>
            <w:r>
              <w:rPr>
                <w:color w:val="000000"/>
              </w:rPr>
              <w:t>热解吸-气相色谱法</w:t>
            </w:r>
            <w:r>
              <w:rPr>
                <w:rFonts w:hint="eastAsia"/>
                <w:color w:val="000000"/>
              </w:rPr>
              <w:t>（</w:t>
            </w:r>
            <w:r>
              <w:rPr>
                <w:rFonts w:eastAsia="楷体"/>
                <w:kern w:val="0"/>
              </w:rPr>
              <w:t>GBZ/T</w:t>
            </w:r>
            <w:r>
              <w:rPr>
                <w:rFonts w:hint="eastAsia" w:eastAsia="楷体"/>
                <w:kern w:val="0"/>
              </w:rPr>
              <w:t xml:space="preserve"> </w:t>
            </w:r>
            <w:r>
              <w:rPr>
                <w:rFonts w:eastAsia="楷体"/>
                <w:kern w:val="0"/>
              </w:rPr>
              <w:t>300.66</w:t>
            </w:r>
            <w:r>
              <w:rPr>
                <w:rFonts w:hint="eastAsia" w:eastAsia="楷体"/>
                <w:kern w:val="0"/>
                <w:lang w:eastAsia="zh-CN"/>
              </w:rPr>
              <w:t>、</w:t>
            </w:r>
            <w:r>
              <w:rPr>
                <w:rFonts w:hint="eastAsia"/>
                <w:color w:val="000000"/>
                <w:lang w:val="en-US" w:eastAsia="zh-CN"/>
              </w:rPr>
              <w:t>GBZ/T 300.68</w:t>
            </w:r>
            <w:r>
              <w:rPr>
                <w:rFonts w:hint="eastAsia"/>
                <w:color w:val="000000"/>
              </w:rPr>
              <w:t>）</w:t>
            </w:r>
            <w:r>
              <w:rPr>
                <w:rFonts w:hint="eastAsia"/>
                <w:color w:val="000000"/>
                <w:lang w:eastAsia="zh-CN"/>
              </w:rPr>
              <w:t>；</w:t>
            </w:r>
          </w:p>
          <w:p w14:paraId="0D78D783">
            <w:pPr>
              <w:widowControl/>
              <w:adjustRightInd/>
              <w:spacing w:line="240" w:lineRule="auto"/>
              <w:jc w:val="both"/>
              <w:textAlignment w:val="center"/>
              <w:rPr>
                <w:rFonts w:hint="default" w:eastAsia="楷体"/>
                <w:color w:val="000000"/>
                <w:lang w:val="en-US" w:eastAsia="zh-CN"/>
              </w:rPr>
            </w:pPr>
            <w:r>
              <w:rPr>
                <w:rFonts w:hint="eastAsia"/>
                <w:color w:val="000000"/>
                <w:lang w:val="en-US" w:eastAsia="zh-CN"/>
              </w:rPr>
              <w:t>溶剂解吸-气相色谱-质谱法</w:t>
            </w:r>
            <w:r>
              <w:rPr>
                <w:rFonts w:hint="eastAsia"/>
                <w:color w:val="000000"/>
              </w:rPr>
              <w:t>（</w:t>
            </w:r>
            <w:r>
              <w:rPr>
                <w:rFonts w:eastAsia="楷体"/>
                <w:kern w:val="0"/>
              </w:rPr>
              <w:t>GBZ/T</w:t>
            </w:r>
            <w:r>
              <w:rPr>
                <w:rFonts w:hint="eastAsia" w:eastAsia="楷体"/>
                <w:kern w:val="0"/>
              </w:rPr>
              <w:t xml:space="preserve"> </w:t>
            </w:r>
            <w:r>
              <w:rPr>
                <w:rFonts w:eastAsia="楷体"/>
                <w:kern w:val="0"/>
              </w:rPr>
              <w:t>300.</w:t>
            </w:r>
            <w:r>
              <w:rPr>
                <w:rFonts w:hint="eastAsia" w:eastAsia="楷体"/>
                <w:kern w:val="0"/>
                <w:lang w:val="en-US" w:eastAsia="zh-CN"/>
              </w:rPr>
              <w:t>59）</w:t>
            </w:r>
          </w:p>
        </w:tc>
      </w:tr>
      <w:tr w14:paraId="186BA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1208" w:type="dxa"/>
            <w:vMerge w:val="continue"/>
            <w:shd w:val="clear" w:color="auto" w:fill="auto"/>
            <w:vAlign w:val="center"/>
          </w:tcPr>
          <w:p w14:paraId="6718D707">
            <w:pPr>
              <w:adjustRightInd/>
              <w:spacing w:line="300" w:lineRule="exact"/>
              <w:jc w:val="center"/>
              <w:rPr>
                <w:rFonts w:hint="eastAsia" w:ascii="宋体" w:hAnsi="宋体" w:cs="宋体"/>
                <w:sz w:val="21"/>
                <w:szCs w:val="21"/>
                <w:lang w:eastAsia="zh-CN"/>
              </w:rPr>
            </w:pPr>
          </w:p>
        </w:tc>
        <w:tc>
          <w:tcPr>
            <w:tcW w:w="1568" w:type="dxa"/>
            <w:shd w:val="clear" w:color="auto" w:fill="auto"/>
            <w:vAlign w:val="center"/>
          </w:tcPr>
          <w:p w14:paraId="54E63407">
            <w:pPr>
              <w:adjustRightInd/>
              <w:spacing w:line="300" w:lineRule="exact"/>
              <w:jc w:val="center"/>
              <w:rPr>
                <w:rFonts w:hint="eastAsia" w:ascii="宋体" w:hAnsi="宋体" w:cs="宋体"/>
                <w:sz w:val="21"/>
                <w:szCs w:val="21"/>
                <w:lang w:val="en-US" w:eastAsia="zh-CN"/>
              </w:rPr>
            </w:pPr>
            <w:r>
              <w:rPr>
                <w:rFonts w:hint="eastAsia" w:ascii="宋体" w:hAnsi="宋体" w:cs="宋体"/>
                <w:sz w:val="21"/>
                <w:szCs w:val="21"/>
                <w:lang w:eastAsia="zh-CN"/>
              </w:rPr>
              <w:t>甲硫醇、乙硫醇、甲硫醚、二硫化碳、正丁硫醇、二甲二硫</w:t>
            </w:r>
          </w:p>
        </w:tc>
        <w:tc>
          <w:tcPr>
            <w:tcW w:w="3614" w:type="dxa"/>
            <w:shd w:val="clear" w:color="auto" w:fill="auto"/>
            <w:vAlign w:val="center"/>
          </w:tcPr>
          <w:p w14:paraId="429A44F1">
            <w:pPr>
              <w:numPr>
                <w:ilvl w:val="0"/>
                <w:numId w:val="0"/>
              </w:numPr>
              <w:tabs>
                <w:tab w:val="left" w:pos="2471"/>
              </w:tabs>
              <w:ind w:left="0" w:leftChars="0" w:firstLine="0" w:firstLineChars="0"/>
              <w:jc w:val="both"/>
              <w:rPr>
                <w:rFonts w:hint="eastAsia"/>
                <w:szCs w:val="24"/>
                <w:lang w:val="en-US" w:eastAsia="zh-CN"/>
              </w:rPr>
            </w:pPr>
            <w:r>
              <w:rPr>
                <w:rFonts w:hint="eastAsia"/>
                <w:szCs w:val="24"/>
                <w:lang w:eastAsia="zh-CN"/>
              </w:rPr>
              <w:t>便携式气相色谱</w:t>
            </w:r>
            <w:r>
              <w:rPr>
                <w:rFonts w:hint="eastAsia"/>
                <w:szCs w:val="24"/>
                <w:lang w:val="en-US" w:eastAsia="zh-CN"/>
              </w:rPr>
              <w:t>-光离子检测器法（附录G）</w:t>
            </w:r>
          </w:p>
        </w:tc>
        <w:tc>
          <w:tcPr>
            <w:tcW w:w="3426" w:type="dxa"/>
            <w:shd w:val="clear" w:color="auto" w:fill="auto"/>
            <w:vAlign w:val="center"/>
          </w:tcPr>
          <w:p w14:paraId="1C980308">
            <w:pPr>
              <w:widowControl/>
              <w:adjustRightInd/>
              <w:spacing w:line="240" w:lineRule="auto"/>
              <w:jc w:val="both"/>
              <w:textAlignment w:val="center"/>
              <w:rPr>
                <w:rFonts w:hint="default" w:eastAsia="宋体"/>
                <w:color w:val="000000"/>
                <w:lang w:val="en-US" w:eastAsia="zh-CN"/>
              </w:rPr>
            </w:pPr>
            <w:r>
              <w:rPr>
                <w:rFonts w:hint="eastAsia"/>
                <w:color w:val="000000"/>
                <w:lang w:eastAsia="zh-CN"/>
              </w:rPr>
              <w:t>二硫化碳的溶剂解吸</w:t>
            </w:r>
            <w:r>
              <w:rPr>
                <w:rFonts w:hint="eastAsia"/>
                <w:color w:val="000000"/>
                <w:lang w:val="en-US" w:eastAsia="zh-CN"/>
              </w:rPr>
              <w:t>-</w:t>
            </w:r>
            <w:r>
              <w:rPr>
                <w:rFonts w:hint="eastAsia"/>
                <w:color w:val="000000"/>
                <w:lang w:eastAsia="zh-CN"/>
              </w:rPr>
              <w:t>二乙胺分光光度法、溶剂解吸</w:t>
            </w:r>
            <w:r>
              <w:rPr>
                <w:rFonts w:hint="eastAsia"/>
                <w:color w:val="000000"/>
                <w:lang w:val="en-US" w:eastAsia="zh-CN"/>
              </w:rPr>
              <w:t>-气相色谱法</w:t>
            </w:r>
            <w:r>
              <w:rPr>
                <w:rFonts w:hint="eastAsia"/>
              </w:rPr>
              <w:t>（</w:t>
            </w:r>
            <w:r>
              <w:rPr>
                <w:rFonts w:hint="eastAsia"/>
                <w:szCs w:val="24"/>
              </w:rPr>
              <w:t xml:space="preserve">GBZ/T </w:t>
            </w:r>
            <w:r>
              <w:rPr>
                <w:rFonts w:hint="eastAsia"/>
                <w:szCs w:val="24"/>
                <w:lang w:val="en-US" w:eastAsia="zh-CN"/>
              </w:rPr>
              <w:t>300</w:t>
            </w:r>
            <w:r>
              <w:rPr>
                <w:rFonts w:hint="eastAsia"/>
                <w:szCs w:val="24"/>
              </w:rPr>
              <w:t>.3</w:t>
            </w:r>
            <w:r>
              <w:rPr>
                <w:rFonts w:hint="eastAsia"/>
                <w:szCs w:val="24"/>
                <w:lang w:val="en-US" w:eastAsia="zh-CN"/>
              </w:rPr>
              <w:t>8</w:t>
            </w:r>
            <w:r>
              <w:rPr>
                <w:rFonts w:hint="eastAsia"/>
              </w:rPr>
              <w:t>）</w:t>
            </w:r>
            <w:r>
              <w:rPr>
                <w:rFonts w:hint="eastAsia"/>
                <w:lang w:eastAsia="zh-CN"/>
              </w:rPr>
              <w:t>；甲硫醇和乙硫醇的溶剂洗脱</w:t>
            </w:r>
            <w:r>
              <w:rPr>
                <w:rFonts w:hint="eastAsia"/>
                <w:lang w:val="en-US" w:eastAsia="zh-CN"/>
              </w:rPr>
              <w:t>-气相色谱法、乙硫醇的对氨基二甲基苯胺分光光度法</w:t>
            </w:r>
            <w:r>
              <w:rPr>
                <w:rFonts w:hint="eastAsia"/>
              </w:rPr>
              <w:t>（</w:t>
            </w:r>
            <w:r>
              <w:rPr>
                <w:rFonts w:hint="eastAsia"/>
                <w:szCs w:val="24"/>
              </w:rPr>
              <w:t xml:space="preserve">GBZ/T </w:t>
            </w:r>
            <w:r>
              <w:rPr>
                <w:rFonts w:hint="eastAsia"/>
                <w:szCs w:val="24"/>
                <w:lang w:val="en-US" w:eastAsia="zh-CN"/>
              </w:rPr>
              <w:t>160</w:t>
            </w:r>
            <w:r>
              <w:rPr>
                <w:rFonts w:hint="eastAsia"/>
                <w:szCs w:val="24"/>
              </w:rPr>
              <w:t>.</w:t>
            </w:r>
            <w:r>
              <w:rPr>
                <w:rFonts w:hint="eastAsia"/>
                <w:szCs w:val="24"/>
                <w:lang w:val="en-US" w:eastAsia="zh-CN"/>
              </w:rPr>
              <w:t>49</w:t>
            </w:r>
            <w:r>
              <w:rPr>
                <w:rFonts w:hint="eastAsia"/>
              </w:rPr>
              <w:t>）</w:t>
            </w:r>
          </w:p>
        </w:tc>
      </w:tr>
      <w:tr w14:paraId="1A70F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8" w:type="dxa"/>
            <w:vMerge w:val="restart"/>
            <w:shd w:val="clear" w:color="auto" w:fill="auto"/>
            <w:vAlign w:val="center"/>
          </w:tcPr>
          <w:p w14:paraId="1A872137">
            <w:pPr>
              <w:adjustRightInd/>
              <w:spacing w:line="300" w:lineRule="exact"/>
              <w:jc w:val="center"/>
              <w:rPr>
                <w:rFonts w:hint="eastAsia" w:ascii="宋体" w:hAnsi="宋体" w:cs="宋体"/>
                <w:sz w:val="21"/>
                <w:szCs w:val="21"/>
                <w:lang w:eastAsia="zh-CN"/>
              </w:rPr>
            </w:pPr>
            <w:r>
              <w:rPr>
                <w:rFonts w:hint="eastAsia" w:ascii="宋体" w:hAnsi="宋体" w:cs="宋体"/>
                <w:sz w:val="21"/>
                <w:szCs w:val="21"/>
                <w:lang w:eastAsia="zh-CN"/>
              </w:rPr>
              <w:t>液体</w:t>
            </w:r>
          </w:p>
        </w:tc>
        <w:tc>
          <w:tcPr>
            <w:tcW w:w="1568" w:type="dxa"/>
            <w:shd w:val="clear" w:color="auto" w:fill="auto"/>
            <w:vAlign w:val="center"/>
          </w:tcPr>
          <w:p w14:paraId="0BD5221D">
            <w:pPr>
              <w:widowControl/>
              <w:adjustRightInd/>
              <w:spacing w:line="240" w:lineRule="auto"/>
              <w:jc w:val="center"/>
              <w:textAlignment w:val="center"/>
              <w:rPr>
                <w:rFonts w:hint="eastAsia" w:ascii="宋体" w:hAnsi="宋体" w:cs="宋体"/>
                <w:sz w:val="21"/>
                <w:szCs w:val="21"/>
                <w:lang w:eastAsia="zh-CN"/>
              </w:rPr>
            </w:pPr>
            <w:r>
              <w:rPr>
                <w:rFonts w:hint="eastAsia" w:ascii="宋体" w:hAnsi="宋体" w:cs="宋体"/>
                <w:sz w:val="21"/>
                <w:szCs w:val="21"/>
                <w:lang w:eastAsia="zh-CN"/>
              </w:rPr>
              <w:t>硫化物</w:t>
            </w:r>
          </w:p>
        </w:tc>
        <w:tc>
          <w:tcPr>
            <w:tcW w:w="3614" w:type="dxa"/>
            <w:shd w:val="clear" w:color="auto" w:fill="auto"/>
            <w:vAlign w:val="center"/>
          </w:tcPr>
          <w:p w14:paraId="1F304D75">
            <w:pPr>
              <w:tabs>
                <w:tab w:val="left" w:pos="2471"/>
              </w:tabs>
              <w:jc w:val="both"/>
              <w:rPr>
                <w:rFonts w:hint="eastAsia" w:eastAsia="宋体"/>
                <w:szCs w:val="24"/>
                <w:lang w:eastAsia="zh-CN"/>
              </w:rPr>
            </w:pPr>
            <w:r>
              <w:rPr>
                <w:rFonts w:hint="eastAsia"/>
                <w:szCs w:val="24"/>
                <w:lang w:eastAsia="zh-CN"/>
              </w:rPr>
              <w:t>——</w:t>
            </w:r>
          </w:p>
        </w:tc>
        <w:tc>
          <w:tcPr>
            <w:tcW w:w="3426" w:type="dxa"/>
            <w:shd w:val="clear" w:color="auto" w:fill="auto"/>
            <w:vAlign w:val="center"/>
          </w:tcPr>
          <w:p w14:paraId="489FC1FA">
            <w:pPr>
              <w:widowControl/>
              <w:adjustRightInd/>
              <w:spacing w:line="240" w:lineRule="auto"/>
              <w:jc w:val="both"/>
              <w:textAlignment w:val="center"/>
              <w:rPr>
                <w:rFonts w:hint="default" w:eastAsia="宋体"/>
                <w:color w:val="000000"/>
                <w:lang w:val="en-US" w:eastAsia="zh-CN"/>
              </w:rPr>
            </w:pPr>
            <w:r>
              <w:rPr>
                <w:rFonts w:hint="eastAsia"/>
                <w:color w:val="000000"/>
                <w:lang w:val="en-US" w:eastAsia="zh-CN"/>
              </w:rPr>
              <w:t>碘量法</w:t>
            </w:r>
            <w:r>
              <w:rPr>
                <w:rFonts w:hint="eastAsia"/>
              </w:rPr>
              <w:t>（</w:t>
            </w:r>
            <w:r>
              <w:rPr>
                <w:rFonts w:hint="eastAsia" w:eastAsia="楷体"/>
                <w:kern w:val="0"/>
                <w:lang w:val="en-US" w:eastAsia="zh-CN"/>
              </w:rPr>
              <w:t>HJ</w:t>
            </w:r>
            <w:r>
              <w:rPr>
                <w:rFonts w:eastAsia="楷体"/>
                <w:kern w:val="0"/>
              </w:rPr>
              <w:t>/T 60</w:t>
            </w:r>
            <w:r>
              <w:rPr>
                <w:rFonts w:hint="eastAsia"/>
              </w:rPr>
              <w:t>）</w:t>
            </w:r>
          </w:p>
        </w:tc>
      </w:tr>
      <w:tr w14:paraId="25C5F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8" w:type="dxa"/>
            <w:vMerge w:val="continue"/>
            <w:shd w:val="clear" w:color="auto" w:fill="auto"/>
            <w:vAlign w:val="center"/>
          </w:tcPr>
          <w:p w14:paraId="7875EA3C">
            <w:pPr>
              <w:adjustRightInd/>
              <w:spacing w:line="300" w:lineRule="exact"/>
              <w:jc w:val="center"/>
              <w:rPr>
                <w:rFonts w:hint="eastAsia" w:ascii="宋体" w:hAnsi="宋体" w:cs="宋体"/>
                <w:sz w:val="21"/>
                <w:szCs w:val="21"/>
                <w:lang w:eastAsia="zh-CN"/>
              </w:rPr>
            </w:pPr>
          </w:p>
        </w:tc>
        <w:tc>
          <w:tcPr>
            <w:tcW w:w="1568" w:type="dxa"/>
            <w:shd w:val="clear" w:color="auto" w:fill="auto"/>
            <w:vAlign w:val="center"/>
          </w:tcPr>
          <w:p w14:paraId="7F1004B8">
            <w:pPr>
              <w:widowControl/>
              <w:adjustRightInd/>
              <w:spacing w:line="240" w:lineRule="auto"/>
              <w:jc w:val="center"/>
              <w:textAlignment w:val="center"/>
              <w:rPr>
                <w:rFonts w:hint="eastAsia" w:ascii="宋体" w:hAnsi="宋体" w:cs="宋体"/>
                <w:sz w:val="21"/>
                <w:szCs w:val="21"/>
                <w:lang w:eastAsia="zh-CN"/>
              </w:rPr>
            </w:pPr>
            <w:r>
              <w:rPr>
                <w:rFonts w:hint="eastAsia" w:ascii="宋体" w:hAnsi="宋体" w:cs="宋体"/>
                <w:sz w:val="21"/>
                <w:szCs w:val="21"/>
                <w:lang w:eastAsia="zh-CN"/>
              </w:rPr>
              <w:t>挥发性有机物</w:t>
            </w:r>
          </w:p>
        </w:tc>
        <w:tc>
          <w:tcPr>
            <w:tcW w:w="3614" w:type="dxa"/>
            <w:shd w:val="clear" w:color="auto" w:fill="auto"/>
            <w:vAlign w:val="center"/>
          </w:tcPr>
          <w:p w14:paraId="4B11A655">
            <w:pPr>
              <w:tabs>
                <w:tab w:val="left" w:pos="2471"/>
              </w:tabs>
              <w:jc w:val="both"/>
              <w:rPr>
                <w:rFonts w:hint="eastAsia" w:eastAsia="宋体"/>
                <w:szCs w:val="24"/>
                <w:lang w:eastAsia="zh-CN"/>
              </w:rPr>
            </w:pPr>
            <w:r>
              <w:rPr>
                <w:rFonts w:hint="eastAsia"/>
                <w:szCs w:val="24"/>
                <w:lang w:eastAsia="zh-CN"/>
              </w:rPr>
              <w:t>——</w:t>
            </w:r>
          </w:p>
        </w:tc>
        <w:tc>
          <w:tcPr>
            <w:tcW w:w="3426" w:type="dxa"/>
            <w:shd w:val="clear" w:color="auto" w:fill="auto"/>
            <w:vAlign w:val="center"/>
          </w:tcPr>
          <w:p w14:paraId="707FC6F5">
            <w:pPr>
              <w:widowControl/>
              <w:adjustRightInd/>
              <w:spacing w:line="240" w:lineRule="auto"/>
              <w:jc w:val="both"/>
              <w:textAlignment w:val="center"/>
              <w:rPr>
                <w:rFonts w:hint="eastAsia"/>
                <w:color w:val="000000"/>
                <w:lang w:eastAsia="zh-CN"/>
              </w:rPr>
            </w:pPr>
            <w:r>
              <w:rPr>
                <w:rFonts w:hint="eastAsia"/>
                <w:color w:val="000000"/>
                <w:lang w:eastAsia="zh-CN"/>
              </w:rPr>
              <w:t>有机质谱分析方法通则（JY/T 003）；</w:t>
            </w:r>
          </w:p>
          <w:p w14:paraId="3C158F77">
            <w:pPr>
              <w:widowControl/>
              <w:adjustRightInd/>
              <w:spacing w:line="240" w:lineRule="auto"/>
              <w:jc w:val="both"/>
              <w:textAlignment w:val="center"/>
              <w:rPr>
                <w:rFonts w:hint="default" w:eastAsia="宋体"/>
                <w:color w:val="000000"/>
                <w:lang w:val="en-US" w:eastAsia="zh-CN"/>
              </w:rPr>
            </w:pPr>
            <w:r>
              <w:rPr>
                <w:rFonts w:hint="eastAsia"/>
                <w:color w:val="000000"/>
                <w:lang w:val="en-US" w:eastAsia="zh-CN"/>
              </w:rPr>
              <w:t>吹扫捕集/气相色谱法（HJ 686）</w:t>
            </w:r>
          </w:p>
        </w:tc>
      </w:tr>
      <w:tr w14:paraId="7672D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08" w:type="dxa"/>
            <w:vMerge w:val="restart"/>
            <w:shd w:val="clear" w:color="auto" w:fill="auto"/>
            <w:vAlign w:val="center"/>
          </w:tcPr>
          <w:p w14:paraId="722123C7">
            <w:pPr>
              <w:adjustRightInd/>
              <w:spacing w:line="300" w:lineRule="exact"/>
              <w:jc w:val="center"/>
              <w:rPr>
                <w:rFonts w:hint="eastAsia" w:ascii="宋体" w:hAnsi="宋体" w:cs="宋体"/>
                <w:sz w:val="21"/>
                <w:szCs w:val="21"/>
                <w:lang w:eastAsia="zh-CN"/>
              </w:rPr>
            </w:pPr>
            <w:r>
              <w:rPr>
                <w:rFonts w:hint="eastAsia" w:ascii="宋体" w:hAnsi="宋体" w:cs="宋体"/>
                <w:sz w:val="21"/>
                <w:szCs w:val="21"/>
                <w:lang w:eastAsia="zh-CN"/>
              </w:rPr>
              <w:t>沉积物</w:t>
            </w:r>
          </w:p>
        </w:tc>
        <w:tc>
          <w:tcPr>
            <w:tcW w:w="1568" w:type="dxa"/>
            <w:shd w:val="clear" w:color="auto" w:fill="auto"/>
            <w:vAlign w:val="center"/>
          </w:tcPr>
          <w:p w14:paraId="1F5AB2AF">
            <w:pPr>
              <w:widowControl/>
              <w:adjustRightInd/>
              <w:spacing w:line="240" w:lineRule="auto"/>
              <w:jc w:val="center"/>
              <w:textAlignment w:val="center"/>
              <w:rPr>
                <w:rFonts w:hint="eastAsia" w:ascii="宋体" w:hAnsi="宋体" w:cs="宋体"/>
                <w:sz w:val="21"/>
                <w:szCs w:val="21"/>
                <w:lang w:eastAsia="zh-CN"/>
              </w:rPr>
            </w:pPr>
            <w:r>
              <w:rPr>
                <w:rFonts w:hint="eastAsia" w:ascii="宋体" w:hAnsi="宋体" w:cs="宋体"/>
                <w:sz w:val="21"/>
                <w:szCs w:val="21"/>
                <w:lang w:eastAsia="zh-CN"/>
              </w:rPr>
              <w:t>硫化物</w:t>
            </w:r>
          </w:p>
        </w:tc>
        <w:tc>
          <w:tcPr>
            <w:tcW w:w="3614" w:type="dxa"/>
            <w:shd w:val="clear" w:color="auto" w:fill="auto"/>
            <w:vAlign w:val="center"/>
          </w:tcPr>
          <w:p w14:paraId="64A13D8F">
            <w:pPr>
              <w:tabs>
                <w:tab w:val="left" w:pos="2471"/>
              </w:tabs>
              <w:jc w:val="both"/>
              <w:rPr>
                <w:rFonts w:hint="eastAsia" w:eastAsia="宋体"/>
                <w:szCs w:val="24"/>
                <w:lang w:eastAsia="zh-CN"/>
              </w:rPr>
            </w:pPr>
            <w:r>
              <w:rPr>
                <w:rFonts w:hint="eastAsia"/>
                <w:szCs w:val="24"/>
                <w:lang w:eastAsia="zh-CN"/>
              </w:rPr>
              <w:t>——</w:t>
            </w:r>
          </w:p>
        </w:tc>
        <w:tc>
          <w:tcPr>
            <w:tcW w:w="3426" w:type="dxa"/>
            <w:shd w:val="clear" w:color="auto" w:fill="auto"/>
            <w:vAlign w:val="center"/>
          </w:tcPr>
          <w:p w14:paraId="6266B346">
            <w:pPr>
              <w:widowControl/>
              <w:adjustRightInd/>
              <w:spacing w:line="240" w:lineRule="auto"/>
              <w:jc w:val="both"/>
              <w:textAlignment w:val="center"/>
              <w:rPr>
                <w:rFonts w:hint="eastAsia" w:eastAsia="宋体"/>
                <w:color w:val="000000"/>
                <w:lang w:eastAsia="zh-CN"/>
              </w:rPr>
            </w:pPr>
            <w:r>
              <w:rPr>
                <w:rFonts w:hint="eastAsia"/>
                <w:color w:val="000000"/>
              </w:rPr>
              <w:t>海洋监测规范 第5部分：沉积物分析</w:t>
            </w:r>
            <w:r>
              <w:rPr>
                <w:rFonts w:hint="eastAsia"/>
                <w:color w:val="000000"/>
                <w:lang w:eastAsia="zh-CN"/>
              </w:rPr>
              <w:t>（GB 17378.5）</w:t>
            </w:r>
          </w:p>
        </w:tc>
      </w:tr>
      <w:tr w14:paraId="4BEBB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208" w:type="dxa"/>
            <w:vMerge w:val="continue"/>
            <w:shd w:val="clear" w:color="auto" w:fill="auto"/>
            <w:vAlign w:val="center"/>
          </w:tcPr>
          <w:p w14:paraId="4407CD01">
            <w:pPr>
              <w:adjustRightInd/>
              <w:spacing w:line="300" w:lineRule="exact"/>
              <w:jc w:val="center"/>
              <w:rPr>
                <w:rFonts w:hint="eastAsia" w:ascii="宋体" w:hAnsi="宋体" w:cs="宋体"/>
                <w:sz w:val="21"/>
                <w:szCs w:val="21"/>
                <w:lang w:eastAsia="zh-CN"/>
              </w:rPr>
            </w:pPr>
          </w:p>
        </w:tc>
        <w:tc>
          <w:tcPr>
            <w:tcW w:w="1568" w:type="dxa"/>
            <w:shd w:val="clear" w:color="auto" w:fill="auto"/>
            <w:vAlign w:val="center"/>
          </w:tcPr>
          <w:p w14:paraId="1767F18D">
            <w:pPr>
              <w:widowControl/>
              <w:adjustRightInd/>
              <w:spacing w:line="240" w:lineRule="auto"/>
              <w:jc w:val="center"/>
              <w:textAlignment w:val="center"/>
              <w:rPr>
                <w:rFonts w:hint="eastAsia" w:ascii="宋体" w:hAnsi="宋体" w:cs="宋体"/>
                <w:sz w:val="21"/>
                <w:szCs w:val="21"/>
                <w:lang w:eastAsia="zh-CN"/>
              </w:rPr>
            </w:pPr>
            <w:r>
              <w:rPr>
                <w:rFonts w:hint="eastAsia" w:ascii="宋体" w:hAnsi="宋体" w:cs="宋体"/>
                <w:sz w:val="21"/>
                <w:szCs w:val="21"/>
                <w:lang w:eastAsia="zh-CN"/>
              </w:rPr>
              <w:t>挥发性有机物</w:t>
            </w:r>
          </w:p>
        </w:tc>
        <w:tc>
          <w:tcPr>
            <w:tcW w:w="3614" w:type="dxa"/>
            <w:shd w:val="clear" w:color="auto" w:fill="auto"/>
            <w:vAlign w:val="center"/>
          </w:tcPr>
          <w:p w14:paraId="72952E68">
            <w:pPr>
              <w:tabs>
                <w:tab w:val="left" w:pos="2471"/>
              </w:tabs>
              <w:jc w:val="both"/>
              <w:rPr>
                <w:rFonts w:hint="eastAsia" w:eastAsia="宋体"/>
                <w:szCs w:val="24"/>
                <w:lang w:eastAsia="zh-CN"/>
              </w:rPr>
            </w:pPr>
            <w:r>
              <w:rPr>
                <w:rFonts w:hint="eastAsia"/>
                <w:szCs w:val="24"/>
                <w:lang w:eastAsia="zh-CN"/>
              </w:rPr>
              <w:t>——</w:t>
            </w:r>
          </w:p>
        </w:tc>
        <w:tc>
          <w:tcPr>
            <w:tcW w:w="3426" w:type="dxa"/>
            <w:shd w:val="clear" w:color="auto" w:fill="auto"/>
            <w:vAlign w:val="center"/>
          </w:tcPr>
          <w:p w14:paraId="24C61BDF">
            <w:pPr>
              <w:widowControl/>
              <w:adjustRightInd/>
              <w:spacing w:line="240" w:lineRule="auto"/>
              <w:jc w:val="both"/>
              <w:textAlignment w:val="center"/>
              <w:rPr>
                <w:rFonts w:hint="eastAsia"/>
                <w:color w:val="000000"/>
              </w:rPr>
            </w:pPr>
            <w:r>
              <w:rPr>
                <w:rFonts w:hint="eastAsia"/>
                <w:color w:val="000000"/>
              </w:rPr>
              <w:t>顶空</w:t>
            </w:r>
            <w:r>
              <w:rPr>
                <w:rFonts w:hint="eastAsia"/>
                <w:color w:val="000000"/>
                <w:lang w:val="en-US" w:eastAsia="zh-CN"/>
              </w:rPr>
              <w:t>/</w:t>
            </w:r>
            <w:r>
              <w:rPr>
                <w:rFonts w:hint="eastAsia"/>
                <w:color w:val="000000"/>
              </w:rPr>
              <w:t>气相色谱法</w:t>
            </w:r>
            <w:r>
              <w:rPr>
                <w:rFonts w:hint="eastAsia"/>
                <w:color w:val="000000"/>
                <w:lang w:val="en-US" w:eastAsia="zh-CN"/>
              </w:rPr>
              <w:t>（HJ 741）</w:t>
            </w:r>
          </w:p>
        </w:tc>
      </w:tr>
    </w:tbl>
    <w:p w14:paraId="642866D3">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7A6BFA19">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4C0C4839">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657D2D6E">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558CE1F8">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40359ACE">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17EDE21A">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7AA21CC1">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785815A8">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22443DE1">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1BF75127">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6D43E363">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677912FE">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308629DE">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50C7A867">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76E5F952">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6A480C38">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32A2AD2F">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6C114AA7">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294DF6BB">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23C69601">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4B28A39B">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7D34468A">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3ED3B14C">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2B9F0789">
      <w:pPr>
        <w:pStyle w:val="56"/>
        <w:ind w:left="0" w:leftChars="0" w:firstLine="0" w:firstLineChars="0"/>
        <w:jc w:val="center"/>
        <w:rPr>
          <w:rFonts w:hint="eastAsia" w:ascii="黑体" w:hAnsi="Times New Roman" w:eastAsia="黑体" w:cs="Times New Roman"/>
          <w:kern w:val="0"/>
          <w:sz w:val="21"/>
          <w:szCs w:val="20"/>
          <w:lang w:val="en-US" w:eastAsia="zh-CN" w:bidi="ar-SA"/>
        </w:rPr>
      </w:pPr>
    </w:p>
    <w:p w14:paraId="2099EB22">
      <w:pPr>
        <w:pStyle w:val="76"/>
        <w:spacing w:before="78" w:after="156"/>
        <w:rPr>
          <w:rFonts w:hint="eastAsia"/>
        </w:rPr>
      </w:pPr>
    </w:p>
    <w:p w14:paraId="2DEE5DB0">
      <w:pPr>
        <w:pStyle w:val="56"/>
        <w:ind w:left="0" w:leftChars="0" w:firstLine="0" w:firstLineChars="0"/>
        <w:jc w:val="center"/>
        <w:rPr>
          <w:rFonts w:hint="eastAsia" w:ascii="黑体" w:hAnsi="Times New Roman" w:eastAsia="黑体" w:cs="Times New Roman"/>
          <w:kern w:val="0"/>
          <w:sz w:val="21"/>
          <w:szCs w:val="20"/>
          <w:lang w:val="en-US" w:eastAsia="zh-CN" w:bidi="ar-SA"/>
        </w:rPr>
      </w:pPr>
      <w:r>
        <w:rPr>
          <w:rFonts w:hint="eastAsia" w:ascii="黑体" w:hAnsi="Times New Roman" w:eastAsia="黑体" w:cs="Times New Roman"/>
          <w:kern w:val="0"/>
          <w:sz w:val="21"/>
          <w:szCs w:val="20"/>
          <w:lang w:val="en-US" w:eastAsia="zh-CN" w:bidi="ar-SA"/>
        </w:rPr>
        <w:t>（资料性）</w:t>
      </w:r>
    </w:p>
    <w:p w14:paraId="25DC01B8">
      <w:pPr>
        <w:pStyle w:val="56"/>
        <w:keepNext w:val="0"/>
        <w:keepLines w:val="0"/>
        <w:pageBreakBefore w:val="0"/>
        <w:widowControl/>
        <w:kinsoku/>
        <w:wordWrap/>
        <w:overflowPunct/>
        <w:topLinePunct w:val="0"/>
        <w:autoSpaceDE w:val="0"/>
        <w:autoSpaceDN w:val="0"/>
        <w:bidi w:val="0"/>
        <w:adjustRightInd/>
        <w:snapToGrid/>
        <w:spacing w:before="79" w:beforeLines="25" w:after="157" w:afterLines="50"/>
        <w:ind w:left="0" w:leftChars="0" w:right="0" w:rightChars="0" w:firstLine="0" w:firstLineChars="0"/>
        <w:jc w:val="center"/>
        <w:textAlignment w:val="auto"/>
        <w:outlineLvl w:val="9"/>
        <w:rPr>
          <w:rFonts w:hint="eastAsia" w:ascii="黑体" w:hAnsi="Times New Roman" w:eastAsia="黑体" w:cs="Times New Roman"/>
          <w:b/>
          <w:bCs/>
          <w:kern w:val="0"/>
          <w:sz w:val="21"/>
          <w:szCs w:val="20"/>
          <w:highlight w:val="none"/>
          <w:lang w:val="en-US" w:eastAsia="zh-CN" w:bidi="ar-SA"/>
        </w:rPr>
      </w:pPr>
      <w:r>
        <w:rPr>
          <w:rFonts w:hint="eastAsia" w:ascii="黑体" w:hAnsi="Times New Roman" w:eastAsia="黑体" w:cs="Times New Roman"/>
          <w:sz w:val="21"/>
          <w:szCs w:val="22"/>
          <w:lang w:val="en-US" w:eastAsia="zh-CN" w:bidi="ar-SA"/>
        </w:rPr>
        <w:t>生物样品检测方法</w:t>
      </w:r>
    </w:p>
    <w:p w14:paraId="576825C4">
      <w:pPr>
        <w:pStyle w:val="56"/>
        <w:ind w:firstLine="420"/>
        <w:rPr>
          <w:rFonts w:hint="eastAsia"/>
        </w:rPr>
      </w:pPr>
      <w:r>
        <w:rPr>
          <w:rFonts w:hint="eastAsia"/>
          <w:lang w:eastAsia="zh-CN"/>
        </w:rPr>
        <w:t>常见毒物职业中毒的生物样品检测方法</w:t>
      </w:r>
      <w:r>
        <w:rPr>
          <w:rFonts w:hint="eastAsia"/>
        </w:rPr>
        <w:t>见</w:t>
      </w:r>
      <w:r>
        <w:rPr>
          <w:rFonts w:hint="eastAsia"/>
          <w:lang w:eastAsia="zh-CN"/>
        </w:rPr>
        <w:t>表</w:t>
      </w:r>
      <w:r>
        <w:rPr>
          <w:rFonts w:hint="eastAsia"/>
          <w:lang w:val="en-US" w:eastAsia="zh-CN"/>
        </w:rPr>
        <w:t>E</w:t>
      </w:r>
      <w:r>
        <w:rPr>
          <w:rFonts w:hint="eastAsia"/>
        </w:rPr>
        <w:t>.1。</w:t>
      </w:r>
    </w:p>
    <w:p w14:paraId="2571CDF0">
      <w:pPr>
        <w:pStyle w:val="56"/>
        <w:keepNext w:val="0"/>
        <w:keepLines w:val="0"/>
        <w:pageBreakBefore w:val="0"/>
        <w:widowControl/>
        <w:kinsoku/>
        <w:wordWrap/>
        <w:overflowPunct/>
        <w:topLinePunct w:val="0"/>
        <w:autoSpaceDE w:val="0"/>
        <w:autoSpaceDN w:val="0"/>
        <w:bidi w:val="0"/>
        <w:adjustRightInd/>
        <w:snapToGrid/>
        <w:spacing w:before="157" w:beforeLines="50" w:after="157" w:afterLines="50"/>
        <w:ind w:left="0" w:leftChars="0" w:firstLine="0" w:firstLineChars="0"/>
        <w:jc w:val="center"/>
        <w:textAlignment w:val="auto"/>
        <w:outlineLvl w:val="9"/>
        <w:rPr>
          <w:rFonts w:hint="eastAsia" w:ascii="黑体" w:hAnsi="黑体" w:eastAsia="黑体" w:cs="黑体"/>
          <w:kern w:val="0"/>
          <w:sz w:val="21"/>
          <w:szCs w:val="20"/>
          <w:lang w:val="en-US" w:eastAsia="zh-CN" w:bidi="ar-SA"/>
        </w:rPr>
      </w:pPr>
      <w:r>
        <w:rPr>
          <w:rFonts w:hint="eastAsia" w:ascii="黑体" w:hAnsi="黑体" w:eastAsia="黑体" w:cs="黑体"/>
          <w:szCs w:val="22"/>
          <w:lang w:eastAsia="zh-CN"/>
        </w:rPr>
        <w:t>表</w:t>
      </w:r>
      <w:r>
        <w:rPr>
          <w:rFonts w:hint="eastAsia" w:ascii="黑体" w:hAnsi="黑体" w:eastAsia="黑体" w:cs="黑体"/>
          <w:szCs w:val="22"/>
          <w:lang w:val="en-US" w:eastAsia="zh-CN"/>
        </w:rPr>
        <w:t xml:space="preserve">E.1 </w:t>
      </w:r>
      <w:r>
        <w:rPr>
          <w:rFonts w:hint="eastAsia" w:ascii="黑体" w:hAnsi="黑体" w:eastAsia="黑体" w:cs="黑体"/>
          <w:szCs w:val="22"/>
          <w:lang w:eastAsia="zh-CN"/>
        </w:rPr>
        <w:t>常见毒物职业中毒的生物样品检测方法</w:t>
      </w:r>
    </w:p>
    <w:tbl>
      <w:tblPr>
        <w:tblStyle w:val="26"/>
        <w:tblW w:w="8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1181"/>
        <w:gridCol w:w="2363"/>
        <w:gridCol w:w="3750"/>
      </w:tblGrid>
      <w:tr w14:paraId="54828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335" w:type="dxa"/>
            <w:shd w:val="clear" w:color="auto" w:fill="auto"/>
            <w:vAlign w:val="center"/>
          </w:tcPr>
          <w:p w14:paraId="4A229FD4">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b/>
                <w:bCs/>
                <w:sz w:val="21"/>
                <w:szCs w:val="21"/>
              </w:rPr>
            </w:pPr>
            <w:r>
              <w:rPr>
                <w:rFonts w:hint="eastAsia" w:ascii="宋体" w:hAnsi="宋体" w:cs="宋体"/>
                <w:b/>
                <w:bCs/>
                <w:sz w:val="21"/>
                <w:szCs w:val="21"/>
                <w:lang w:eastAsia="zh-CN"/>
              </w:rPr>
              <w:t>毒物名称</w:t>
            </w:r>
          </w:p>
        </w:tc>
        <w:tc>
          <w:tcPr>
            <w:tcW w:w="1181" w:type="dxa"/>
            <w:shd w:val="clear" w:color="auto" w:fill="auto"/>
            <w:vAlign w:val="center"/>
          </w:tcPr>
          <w:p w14:paraId="5AAB1951">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b/>
                <w:bCs/>
                <w:sz w:val="21"/>
                <w:szCs w:val="21"/>
                <w:lang w:eastAsia="zh-CN"/>
              </w:rPr>
            </w:pPr>
            <w:r>
              <w:rPr>
                <w:rFonts w:hint="eastAsia" w:ascii="宋体" w:hAnsi="宋体" w:cs="宋体"/>
                <w:b/>
                <w:bCs/>
                <w:sz w:val="21"/>
                <w:szCs w:val="21"/>
                <w:lang w:eastAsia="zh-CN"/>
              </w:rPr>
              <w:t>生物样品</w:t>
            </w:r>
          </w:p>
        </w:tc>
        <w:tc>
          <w:tcPr>
            <w:tcW w:w="2363" w:type="dxa"/>
            <w:shd w:val="clear" w:color="auto" w:fill="auto"/>
            <w:vAlign w:val="center"/>
          </w:tcPr>
          <w:p w14:paraId="49F8A89D">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b/>
                <w:bCs/>
                <w:sz w:val="21"/>
                <w:szCs w:val="21"/>
                <w:lang w:eastAsia="zh-CN"/>
              </w:rPr>
            </w:pPr>
            <w:r>
              <w:rPr>
                <w:rFonts w:hint="eastAsia" w:ascii="宋体" w:hAnsi="宋体" w:cs="宋体"/>
                <w:b/>
                <w:bCs/>
                <w:sz w:val="21"/>
                <w:szCs w:val="21"/>
                <w:lang w:eastAsia="zh-CN"/>
              </w:rPr>
              <w:t>监测指标</w:t>
            </w:r>
          </w:p>
        </w:tc>
        <w:tc>
          <w:tcPr>
            <w:tcW w:w="3750" w:type="dxa"/>
            <w:shd w:val="clear" w:color="auto" w:fill="auto"/>
            <w:vAlign w:val="center"/>
          </w:tcPr>
          <w:p w14:paraId="57A0B724">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b/>
                <w:bCs/>
                <w:sz w:val="21"/>
                <w:szCs w:val="21"/>
                <w:lang w:eastAsia="zh-CN"/>
              </w:rPr>
            </w:pPr>
            <w:r>
              <w:rPr>
                <w:rFonts w:hint="eastAsia" w:ascii="宋体" w:hAnsi="宋体" w:cs="宋体"/>
                <w:b/>
                <w:bCs/>
                <w:sz w:val="21"/>
                <w:szCs w:val="21"/>
                <w:lang w:eastAsia="zh-CN"/>
              </w:rPr>
              <w:t>检测方法</w:t>
            </w:r>
          </w:p>
        </w:tc>
      </w:tr>
      <w:tr w14:paraId="73D47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5" w:type="dxa"/>
            <w:vMerge w:val="restart"/>
            <w:shd w:val="clear" w:color="auto" w:fill="auto"/>
            <w:vAlign w:val="center"/>
          </w:tcPr>
          <w:p w14:paraId="2936F7EC">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sz w:val="21"/>
                <w:szCs w:val="21"/>
                <w:lang w:eastAsia="zh-CN"/>
              </w:rPr>
            </w:pPr>
            <w:r>
              <w:rPr>
                <w:rFonts w:hint="eastAsia" w:ascii="宋体" w:hAnsi="宋体" w:cs="宋体"/>
                <w:sz w:val="21"/>
                <w:szCs w:val="21"/>
                <w:lang w:eastAsia="zh-CN"/>
              </w:rPr>
              <w:t>二硫化碳</w:t>
            </w:r>
          </w:p>
        </w:tc>
        <w:tc>
          <w:tcPr>
            <w:tcW w:w="1181" w:type="dxa"/>
            <w:shd w:val="clear" w:color="auto" w:fill="auto"/>
            <w:vAlign w:val="center"/>
          </w:tcPr>
          <w:p w14:paraId="1977680D">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sz w:val="21"/>
                <w:szCs w:val="21"/>
                <w:lang w:eastAsia="zh-CN"/>
              </w:rPr>
            </w:pPr>
            <w:r>
              <w:rPr>
                <w:rFonts w:hint="eastAsia" w:ascii="宋体" w:hAnsi="宋体" w:cs="宋体"/>
                <w:sz w:val="21"/>
                <w:szCs w:val="21"/>
                <w:lang w:eastAsia="zh-CN"/>
              </w:rPr>
              <w:t>尿液</w:t>
            </w:r>
          </w:p>
        </w:tc>
        <w:tc>
          <w:tcPr>
            <w:tcW w:w="2363" w:type="dxa"/>
            <w:shd w:val="clear" w:color="auto" w:fill="auto"/>
            <w:vAlign w:val="center"/>
          </w:tcPr>
          <w:p w14:paraId="1934B0F2">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2-硫代噻唑烷-4-羧酸</w:t>
            </w:r>
          </w:p>
        </w:tc>
        <w:tc>
          <w:tcPr>
            <w:tcW w:w="3750" w:type="dxa"/>
            <w:shd w:val="clear" w:color="auto" w:fill="auto"/>
            <w:vAlign w:val="center"/>
          </w:tcPr>
          <w:p w14:paraId="689A63DB">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eastAsia="zh-CN" w:bidi="ar"/>
              </w:rPr>
            </w:pPr>
            <w:r>
              <w:rPr>
                <w:rFonts w:hint="eastAsia" w:ascii="宋体" w:hAnsi="宋体" w:cs="宋体"/>
                <w:color w:val="000000"/>
                <w:kern w:val="0"/>
                <w:sz w:val="21"/>
                <w:szCs w:val="21"/>
                <w:lang w:eastAsia="zh-CN" w:bidi="ar"/>
              </w:rPr>
              <w:t>尿中</w:t>
            </w:r>
            <w:r>
              <w:rPr>
                <w:rFonts w:hint="eastAsia" w:ascii="宋体" w:hAnsi="宋体" w:eastAsia="宋体" w:cs="宋体"/>
                <w:color w:val="000000"/>
                <w:kern w:val="0"/>
                <w:sz w:val="21"/>
                <w:szCs w:val="21"/>
                <w:lang w:bidi="ar"/>
              </w:rPr>
              <w:t>2-硫代噻唑烷-4-羧酸</w:t>
            </w:r>
            <w:r>
              <w:rPr>
                <w:rFonts w:hint="eastAsia" w:ascii="宋体" w:hAnsi="宋体" w:cs="宋体"/>
                <w:color w:val="000000"/>
                <w:kern w:val="0"/>
                <w:sz w:val="21"/>
                <w:szCs w:val="21"/>
                <w:lang w:eastAsia="zh-CN" w:bidi="ar"/>
              </w:rPr>
              <w:t>的高效液相色谱测定方法（</w:t>
            </w:r>
            <w:r>
              <w:rPr>
                <w:rFonts w:hint="eastAsia" w:ascii="宋体" w:hAnsi="宋体" w:cs="宋体"/>
                <w:color w:val="000000"/>
                <w:kern w:val="0"/>
                <w:sz w:val="21"/>
                <w:szCs w:val="21"/>
                <w:lang w:val="en-US" w:eastAsia="zh-CN" w:bidi="ar"/>
              </w:rPr>
              <w:t>WS/T 40-1996</w:t>
            </w:r>
            <w:r>
              <w:rPr>
                <w:rFonts w:hint="eastAsia" w:ascii="宋体" w:hAnsi="宋体" w:cs="宋体"/>
                <w:color w:val="000000"/>
                <w:kern w:val="0"/>
                <w:sz w:val="21"/>
                <w:szCs w:val="21"/>
                <w:lang w:eastAsia="zh-CN" w:bidi="ar"/>
              </w:rPr>
              <w:t>）</w:t>
            </w:r>
          </w:p>
        </w:tc>
      </w:tr>
      <w:tr w14:paraId="72043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5" w:type="dxa"/>
            <w:vMerge w:val="continue"/>
            <w:shd w:val="clear" w:color="auto" w:fill="auto"/>
            <w:vAlign w:val="center"/>
          </w:tcPr>
          <w:p w14:paraId="2B177779">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sz w:val="21"/>
                <w:szCs w:val="21"/>
              </w:rPr>
            </w:pPr>
          </w:p>
        </w:tc>
        <w:tc>
          <w:tcPr>
            <w:tcW w:w="1181" w:type="dxa"/>
            <w:shd w:val="clear" w:color="auto" w:fill="auto"/>
            <w:vAlign w:val="center"/>
          </w:tcPr>
          <w:p w14:paraId="673996D6">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sz w:val="21"/>
                <w:szCs w:val="21"/>
                <w:lang w:eastAsia="zh-CN"/>
              </w:rPr>
            </w:pPr>
            <w:r>
              <w:rPr>
                <w:rFonts w:hint="eastAsia" w:ascii="宋体" w:hAnsi="宋体" w:cs="宋体"/>
                <w:sz w:val="21"/>
                <w:szCs w:val="21"/>
                <w:lang w:eastAsia="zh-CN"/>
              </w:rPr>
              <w:t>呼出气</w:t>
            </w:r>
          </w:p>
        </w:tc>
        <w:tc>
          <w:tcPr>
            <w:tcW w:w="2363" w:type="dxa"/>
            <w:shd w:val="clear" w:color="auto" w:fill="auto"/>
            <w:vAlign w:val="center"/>
          </w:tcPr>
          <w:p w14:paraId="37713CB5">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bidi="ar"/>
              </w:rPr>
            </w:pPr>
            <w:r>
              <w:rPr>
                <w:rFonts w:hint="eastAsia" w:ascii="宋体" w:hAnsi="宋体" w:cs="宋体"/>
                <w:sz w:val="21"/>
                <w:szCs w:val="21"/>
                <w:lang w:eastAsia="zh-CN"/>
              </w:rPr>
              <w:t>二硫化碳</w:t>
            </w:r>
          </w:p>
        </w:tc>
        <w:tc>
          <w:tcPr>
            <w:tcW w:w="3750" w:type="dxa"/>
            <w:shd w:val="clear" w:color="auto" w:fill="auto"/>
            <w:vAlign w:val="center"/>
          </w:tcPr>
          <w:p w14:paraId="1B36C33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呼出气中二硫化碳的气相色谱测定方法</w:t>
            </w:r>
            <w:r>
              <w:rPr>
                <w:rFonts w:hint="eastAsia" w:ascii="宋体" w:hAnsi="宋体" w:cs="宋体"/>
                <w:color w:val="000000"/>
                <w:kern w:val="0"/>
                <w:sz w:val="21"/>
                <w:szCs w:val="21"/>
                <w:lang w:eastAsia="zh-CN" w:bidi="ar"/>
              </w:rPr>
              <w:t>（</w:t>
            </w:r>
            <w:r>
              <w:rPr>
                <w:rFonts w:hint="eastAsia" w:ascii="宋体" w:hAnsi="宋体" w:cs="宋体"/>
                <w:color w:val="000000"/>
                <w:kern w:val="0"/>
                <w:sz w:val="21"/>
                <w:szCs w:val="21"/>
                <w:lang w:val="en-US" w:eastAsia="zh-CN" w:bidi="ar"/>
              </w:rPr>
              <w:t>WS/T 41-1996</w:t>
            </w:r>
            <w:r>
              <w:rPr>
                <w:rFonts w:hint="eastAsia" w:ascii="宋体" w:hAnsi="宋体" w:cs="宋体"/>
                <w:color w:val="000000"/>
                <w:kern w:val="0"/>
                <w:sz w:val="21"/>
                <w:szCs w:val="21"/>
                <w:lang w:eastAsia="zh-CN" w:bidi="ar"/>
              </w:rPr>
              <w:t>）</w:t>
            </w:r>
          </w:p>
        </w:tc>
      </w:tr>
      <w:tr w14:paraId="21728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5" w:type="dxa"/>
            <w:vMerge w:val="restart"/>
            <w:shd w:val="clear" w:color="auto" w:fill="auto"/>
            <w:vAlign w:val="center"/>
          </w:tcPr>
          <w:p w14:paraId="761D3586">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cs="宋体"/>
                <w:sz w:val="21"/>
                <w:szCs w:val="21"/>
                <w:lang w:eastAsia="zh-CN"/>
              </w:rPr>
            </w:pPr>
            <w:r>
              <w:rPr>
                <w:rFonts w:hint="eastAsia" w:ascii="宋体" w:hAnsi="宋体" w:cs="宋体"/>
                <w:sz w:val="21"/>
                <w:szCs w:val="21"/>
                <w:lang w:eastAsia="zh-CN"/>
              </w:rPr>
              <w:t>苯、甲苯、</w:t>
            </w:r>
          </w:p>
          <w:p w14:paraId="78B28524">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sz w:val="21"/>
                <w:szCs w:val="21"/>
                <w:lang w:eastAsia="zh-CN"/>
              </w:rPr>
            </w:pPr>
            <w:r>
              <w:rPr>
                <w:rFonts w:hint="eastAsia" w:ascii="宋体" w:hAnsi="宋体" w:cs="宋体"/>
                <w:sz w:val="21"/>
                <w:szCs w:val="21"/>
                <w:lang w:eastAsia="zh-CN"/>
              </w:rPr>
              <w:t>二甲苯</w:t>
            </w:r>
          </w:p>
        </w:tc>
        <w:tc>
          <w:tcPr>
            <w:tcW w:w="1181" w:type="dxa"/>
            <w:shd w:val="clear" w:color="auto" w:fill="auto"/>
            <w:vAlign w:val="center"/>
          </w:tcPr>
          <w:p w14:paraId="563DD85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sz w:val="21"/>
                <w:szCs w:val="21"/>
                <w:lang w:eastAsia="zh-CN"/>
              </w:rPr>
            </w:pPr>
            <w:r>
              <w:rPr>
                <w:rFonts w:hint="eastAsia" w:ascii="宋体" w:hAnsi="宋体" w:cs="宋体"/>
                <w:sz w:val="21"/>
                <w:szCs w:val="21"/>
                <w:lang w:eastAsia="zh-CN"/>
              </w:rPr>
              <w:t>呼出气</w:t>
            </w:r>
          </w:p>
        </w:tc>
        <w:tc>
          <w:tcPr>
            <w:tcW w:w="2363" w:type="dxa"/>
            <w:shd w:val="clear" w:color="auto" w:fill="auto"/>
            <w:vAlign w:val="center"/>
          </w:tcPr>
          <w:p w14:paraId="392A7DA0">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eastAsia="zh-CN" w:bidi="ar"/>
              </w:rPr>
            </w:pPr>
            <w:r>
              <w:rPr>
                <w:rFonts w:hint="eastAsia" w:ascii="宋体" w:hAnsi="宋体" w:cs="宋体"/>
                <w:color w:val="000000"/>
                <w:kern w:val="0"/>
                <w:sz w:val="21"/>
                <w:szCs w:val="21"/>
                <w:lang w:eastAsia="zh-CN" w:bidi="ar"/>
              </w:rPr>
              <w:t>苯</w:t>
            </w:r>
          </w:p>
        </w:tc>
        <w:tc>
          <w:tcPr>
            <w:tcW w:w="3750" w:type="dxa"/>
            <w:shd w:val="clear" w:color="auto" w:fill="auto"/>
            <w:vAlign w:val="center"/>
          </w:tcPr>
          <w:p w14:paraId="23750F1E">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呼出气中苯的气相色谱测定方法</w:t>
            </w:r>
            <w:r>
              <w:rPr>
                <w:rFonts w:hint="eastAsia" w:ascii="宋体" w:hAnsi="宋体" w:cs="宋体"/>
                <w:color w:val="000000"/>
                <w:kern w:val="0"/>
                <w:sz w:val="21"/>
                <w:szCs w:val="21"/>
                <w:lang w:eastAsia="zh-CN" w:bidi="ar"/>
              </w:rPr>
              <w:t>（</w:t>
            </w:r>
            <w:r>
              <w:rPr>
                <w:rFonts w:hint="eastAsia" w:ascii="宋体" w:hAnsi="宋体" w:cs="宋体"/>
                <w:color w:val="000000"/>
                <w:kern w:val="0"/>
                <w:sz w:val="21"/>
                <w:szCs w:val="21"/>
                <w:lang w:val="en-US" w:eastAsia="zh-CN" w:bidi="ar"/>
              </w:rPr>
              <w:t>WS/T 51-1996</w:t>
            </w:r>
            <w:r>
              <w:rPr>
                <w:rFonts w:hint="eastAsia" w:ascii="宋体" w:hAnsi="宋体" w:cs="宋体"/>
                <w:color w:val="000000"/>
                <w:kern w:val="0"/>
                <w:sz w:val="21"/>
                <w:szCs w:val="21"/>
                <w:lang w:eastAsia="zh-CN" w:bidi="ar"/>
              </w:rPr>
              <w:t>）</w:t>
            </w:r>
          </w:p>
        </w:tc>
      </w:tr>
      <w:tr w14:paraId="0DE1C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335" w:type="dxa"/>
            <w:vMerge w:val="continue"/>
            <w:shd w:val="clear" w:color="auto" w:fill="auto"/>
            <w:vAlign w:val="center"/>
          </w:tcPr>
          <w:p w14:paraId="55596DA8">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sz w:val="21"/>
                <w:szCs w:val="21"/>
              </w:rPr>
            </w:pPr>
          </w:p>
        </w:tc>
        <w:tc>
          <w:tcPr>
            <w:tcW w:w="1181" w:type="dxa"/>
            <w:shd w:val="clear" w:color="auto" w:fill="auto"/>
            <w:vAlign w:val="center"/>
          </w:tcPr>
          <w:p w14:paraId="5F5D460B">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sz w:val="21"/>
                <w:szCs w:val="21"/>
                <w:lang w:eastAsia="zh-CN"/>
              </w:rPr>
            </w:pPr>
            <w:r>
              <w:rPr>
                <w:rFonts w:hint="eastAsia" w:ascii="宋体" w:hAnsi="宋体" w:cs="宋体"/>
                <w:sz w:val="21"/>
                <w:szCs w:val="21"/>
                <w:lang w:eastAsia="zh-CN"/>
              </w:rPr>
              <w:t>尿液</w:t>
            </w:r>
          </w:p>
        </w:tc>
        <w:tc>
          <w:tcPr>
            <w:tcW w:w="2363" w:type="dxa"/>
            <w:shd w:val="clear" w:color="auto" w:fill="auto"/>
            <w:vAlign w:val="center"/>
          </w:tcPr>
          <w:p w14:paraId="568EF0B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马尿酸、甲基马尿酸</w:t>
            </w:r>
          </w:p>
        </w:tc>
        <w:tc>
          <w:tcPr>
            <w:tcW w:w="3750" w:type="dxa"/>
            <w:shd w:val="clear" w:color="auto" w:fill="auto"/>
            <w:vAlign w:val="center"/>
          </w:tcPr>
          <w:p w14:paraId="00582B04">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eastAsia="zh-CN" w:bidi="ar"/>
              </w:rPr>
            </w:pPr>
            <w:r>
              <w:rPr>
                <w:rFonts w:hint="eastAsia" w:ascii="宋体" w:hAnsi="宋体" w:cs="宋体"/>
                <w:color w:val="000000"/>
                <w:kern w:val="0"/>
                <w:sz w:val="21"/>
                <w:szCs w:val="21"/>
                <w:lang w:eastAsia="zh-CN" w:bidi="ar"/>
              </w:rPr>
              <w:t>尿中</w:t>
            </w:r>
            <w:r>
              <w:rPr>
                <w:rFonts w:hint="eastAsia" w:ascii="宋体" w:hAnsi="宋体" w:eastAsia="宋体" w:cs="宋体"/>
                <w:color w:val="000000"/>
                <w:kern w:val="0"/>
                <w:sz w:val="21"/>
                <w:szCs w:val="21"/>
                <w:lang w:bidi="ar"/>
              </w:rPr>
              <w:t>马尿酸、甲基马尿酸</w:t>
            </w:r>
            <w:r>
              <w:rPr>
                <w:rFonts w:hint="eastAsia" w:ascii="宋体" w:hAnsi="宋体" w:cs="宋体"/>
                <w:color w:val="000000"/>
                <w:kern w:val="0"/>
                <w:sz w:val="21"/>
                <w:szCs w:val="21"/>
                <w:lang w:eastAsia="zh-CN" w:bidi="ar"/>
              </w:rPr>
              <w:t>的高效液相色谱测定方法（</w:t>
            </w:r>
            <w:r>
              <w:rPr>
                <w:rFonts w:hint="eastAsia" w:ascii="宋体" w:hAnsi="宋体" w:cs="宋体"/>
                <w:color w:val="000000"/>
                <w:kern w:val="0"/>
                <w:sz w:val="21"/>
                <w:szCs w:val="21"/>
                <w:lang w:val="en-US" w:eastAsia="zh-CN" w:bidi="ar"/>
              </w:rPr>
              <w:t>WS/T 53-1996</w:t>
            </w:r>
            <w:r>
              <w:rPr>
                <w:rFonts w:hint="eastAsia" w:ascii="宋体" w:hAnsi="宋体" w:cs="宋体"/>
                <w:color w:val="000000"/>
                <w:kern w:val="0"/>
                <w:sz w:val="21"/>
                <w:szCs w:val="21"/>
                <w:lang w:eastAsia="zh-CN" w:bidi="ar"/>
              </w:rPr>
              <w:t>）</w:t>
            </w:r>
          </w:p>
        </w:tc>
      </w:tr>
      <w:tr w14:paraId="1BC37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35" w:type="dxa"/>
            <w:vMerge w:val="continue"/>
            <w:shd w:val="clear" w:color="auto" w:fill="auto"/>
            <w:vAlign w:val="center"/>
          </w:tcPr>
          <w:p w14:paraId="1E78CEEB">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sz w:val="21"/>
                <w:szCs w:val="21"/>
              </w:rPr>
            </w:pPr>
          </w:p>
        </w:tc>
        <w:tc>
          <w:tcPr>
            <w:tcW w:w="1181" w:type="dxa"/>
            <w:vMerge w:val="restart"/>
            <w:shd w:val="clear" w:color="auto" w:fill="auto"/>
            <w:vAlign w:val="center"/>
          </w:tcPr>
          <w:p w14:paraId="6F7830EA">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sz w:val="21"/>
                <w:szCs w:val="21"/>
                <w:lang w:eastAsia="zh-CN"/>
              </w:rPr>
            </w:pPr>
            <w:r>
              <w:rPr>
                <w:rFonts w:hint="eastAsia" w:ascii="宋体" w:hAnsi="宋体" w:cs="宋体"/>
                <w:sz w:val="21"/>
                <w:szCs w:val="21"/>
                <w:lang w:eastAsia="zh-CN"/>
              </w:rPr>
              <w:t>尿液</w:t>
            </w:r>
          </w:p>
        </w:tc>
        <w:tc>
          <w:tcPr>
            <w:tcW w:w="2363" w:type="dxa"/>
            <w:vMerge w:val="restart"/>
            <w:shd w:val="clear" w:color="auto" w:fill="auto"/>
            <w:vAlign w:val="center"/>
          </w:tcPr>
          <w:p w14:paraId="24363F76">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eastAsia="zh-CN" w:bidi="ar"/>
              </w:rPr>
            </w:pPr>
            <w:r>
              <w:rPr>
                <w:rFonts w:hint="eastAsia" w:ascii="宋体" w:hAnsi="宋体" w:cs="宋体"/>
                <w:color w:val="000000"/>
                <w:kern w:val="0"/>
                <w:sz w:val="21"/>
                <w:szCs w:val="21"/>
                <w:lang w:eastAsia="zh-CN" w:bidi="ar"/>
              </w:rPr>
              <w:t>苯酚</w:t>
            </w:r>
          </w:p>
        </w:tc>
        <w:tc>
          <w:tcPr>
            <w:tcW w:w="3750" w:type="dxa"/>
            <w:shd w:val="clear" w:color="auto" w:fill="auto"/>
            <w:vAlign w:val="center"/>
          </w:tcPr>
          <w:p w14:paraId="417A7644">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尿中苯酚的气相色谱测定方法</w:t>
            </w:r>
            <w:r>
              <w:rPr>
                <w:rFonts w:hint="eastAsia" w:ascii="宋体" w:hAnsi="宋体" w:cs="宋体"/>
                <w:color w:val="000000"/>
                <w:kern w:val="0"/>
                <w:sz w:val="21"/>
                <w:szCs w:val="21"/>
                <w:lang w:eastAsia="zh-CN" w:bidi="ar"/>
              </w:rPr>
              <w:t>（一）液晶柱法（</w:t>
            </w:r>
            <w:r>
              <w:rPr>
                <w:rFonts w:hint="eastAsia" w:ascii="宋体" w:hAnsi="宋体" w:cs="宋体"/>
                <w:color w:val="000000"/>
                <w:kern w:val="0"/>
                <w:sz w:val="21"/>
                <w:szCs w:val="21"/>
                <w:lang w:val="en-US" w:eastAsia="zh-CN" w:bidi="ar"/>
              </w:rPr>
              <w:t>WS/T 49-1996</w:t>
            </w:r>
            <w:r>
              <w:rPr>
                <w:rFonts w:hint="eastAsia" w:ascii="宋体" w:hAnsi="宋体" w:cs="宋体"/>
                <w:color w:val="000000"/>
                <w:kern w:val="0"/>
                <w:sz w:val="21"/>
                <w:szCs w:val="21"/>
                <w:lang w:eastAsia="zh-CN" w:bidi="ar"/>
              </w:rPr>
              <w:t>）</w:t>
            </w:r>
          </w:p>
        </w:tc>
      </w:tr>
      <w:tr w14:paraId="36182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335" w:type="dxa"/>
            <w:vMerge w:val="continue"/>
            <w:shd w:val="clear" w:color="auto" w:fill="auto"/>
            <w:vAlign w:val="center"/>
          </w:tcPr>
          <w:p w14:paraId="32179107">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sz w:val="21"/>
                <w:szCs w:val="21"/>
              </w:rPr>
            </w:pPr>
          </w:p>
        </w:tc>
        <w:tc>
          <w:tcPr>
            <w:tcW w:w="1181" w:type="dxa"/>
            <w:vMerge w:val="continue"/>
            <w:shd w:val="clear" w:color="auto" w:fill="auto"/>
            <w:vAlign w:val="center"/>
          </w:tcPr>
          <w:p w14:paraId="762953B5">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p>
        </w:tc>
        <w:tc>
          <w:tcPr>
            <w:tcW w:w="2363" w:type="dxa"/>
            <w:vMerge w:val="continue"/>
            <w:shd w:val="clear" w:color="auto" w:fill="auto"/>
            <w:vAlign w:val="center"/>
          </w:tcPr>
          <w:p w14:paraId="1CD95DCA">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color w:val="000000"/>
                <w:kern w:val="0"/>
                <w:sz w:val="21"/>
                <w:szCs w:val="21"/>
                <w:lang w:eastAsia="zh-CN" w:bidi="ar"/>
              </w:rPr>
            </w:pPr>
          </w:p>
        </w:tc>
        <w:tc>
          <w:tcPr>
            <w:tcW w:w="3750" w:type="dxa"/>
            <w:shd w:val="clear" w:color="auto" w:fill="auto"/>
            <w:vAlign w:val="center"/>
          </w:tcPr>
          <w:p w14:paraId="31A4492A">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尿中苯酚的气相色谱测定方法</w:t>
            </w:r>
            <w:r>
              <w:rPr>
                <w:rFonts w:hint="eastAsia" w:ascii="宋体" w:hAnsi="宋体" w:cs="宋体"/>
                <w:color w:val="000000"/>
                <w:kern w:val="0"/>
                <w:sz w:val="21"/>
                <w:szCs w:val="21"/>
                <w:lang w:eastAsia="zh-CN" w:bidi="ar"/>
              </w:rPr>
              <w:t>（二）</w:t>
            </w:r>
            <w:r>
              <w:rPr>
                <w:rFonts w:hint="eastAsia" w:ascii="宋体" w:hAnsi="宋体" w:cs="宋体"/>
                <w:color w:val="000000"/>
                <w:kern w:val="0"/>
                <w:sz w:val="21"/>
                <w:szCs w:val="21"/>
                <w:lang w:val="en-US" w:eastAsia="zh-CN" w:bidi="ar"/>
              </w:rPr>
              <w:t>FFAP</w:t>
            </w:r>
            <w:r>
              <w:rPr>
                <w:rFonts w:hint="eastAsia" w:ascii="宋体" w:hAnsi="宋体" w:cs="宋体"/>
                <w:color w:val="000000"/>
                <w:kern w:val="0"/>
                <w:sz w:val="21"/>
                <w:szCs w:val="21"/>
                <w:lang w:eastAsia="zh-CN" w:bidi="ar"/>
              </w:rPr>
              <w:t>柱法（</w:t>
            </w:r>
            <w:r>
              <w:rPr>
                <w:rFonts w:hint="eastAsia" w:ascii="宋体" w:hAnsi="宋体" w:cs="宋体"/>
                <w:color w:val="000000"/>
                <w:kern w:val="0"/>
                <w:sz w:val="21"/>
                <w:szCs w:val="21"/>
                <w:lang w:val="en-US" w:eastAsia="zh-CN" w:bidi="ar"/>
              </w:rPr>
              <w:t>WS/T 50-1996</w:t>
            </w:r>
            <w:r>
              <w:rPr>
                <w:rFonts w:hint="eastAsia" w:ascii="宋体" w:hAnsi="宋体" w:cs="宋体"/>
                <w:color w:val="000000"/>
                <w:kern w:val="0"/>
                <w:sz w:val="21"/>
                <w:szCs w:val="21"/>
                <w:lang w:eastAsia="zh-CN" w:bidi="ar"/>
              </w:rPr>
              <w:t>）</w:t>
            </w:r>
          </w:p>
        </w:tc>
      </w:tr>
      <w:tr w14:paraId="6F5F4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335" w:type="dxa"/>
            <w:vMerge w:val="continue"/>
            <w:shd w:val="clear" w:color="auto" w:fill="auto"/>
            <w:vAlign w:val="center"/>
          </w:tcPr>
          <w:p w14:paraId="0E7750C5">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sz w:val="21"/>
                <w:szCs w:val="21"/>
              </w:rPr>
            </w:pPr>
          </w:p>
        </w:tc>
        <w:tc>
          <w:tcPr>
            <w:tcW w:w="1181" w:type="dxa"/>
            <w:shd w:val="clear" w:color="auto" w:fill="auto"/>
            <w:vAlign w:val="center"/>
          </w:tcPr>
          <w:p w14:paraId="24F4CE88">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sz w:val="21"/>
                <w:szCs w:val="21"/>
                <w:lang w:eastAsia="zh-CN"/>
              </w:rPr>
            </w:pPr>
            <w:r>
              <w:rPr>
                <w:rFonts w:hint="eastAsia" w:ascii="宋体" w:hAnsi="宋体" w:cs="宋体"/>
                <w:sz w:val="21"/>
                <w:szCs w:val="21"/>
                <w:lang w:eastAsia="zh-CN"/>
              </w:rPr>
              <w:t>尿液</w:t>
            </w:r>
          </w:p>
        </w:tc>
        <w:tc>
          <w:tcPr>
            <w:tcW w:w="2363" w:type="dxa"/>
            <w:shd w:val="clear" w:color="auto" w:fill="auto"/>
            <w:vAlign w:val="center"/>
          </w:tcPr>
          <w:p w14:paraId="70F184ED">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bidi="ar"/>
              </w:rPr>
            </w:pPr>
            <w:r>
              <w:rPr>
                <w:rFonts w:hint="eastAsia" w:ascii="宋体" w:hAnsi="宋体" w:cs="宋体"/>
                <w:color w:val="000000"/>
                <w:kern w:val="0"/>
                <w:sz w:val="21"/>
                <w:szCs w:val="21"/>
                <w:lang w:eastAsia="zh-CN" w:bidi="ar"/>
              </w:rPr>
              <w:t>苯巯基尿酸</w:t>
            </w:r>
          </w:p>
        </w:tc>
        <w:tc>
          <w:tcPr>
            <w:tcW w:w="3750" w:type="dxa"/>
            <w:shd w:val="clear" w:color="auto" w:fill="auto"/>
            <w:vAlign w:val="center"/>
          </w:tcPr>
          <w:p w14:paraId="469EC730">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尿中苯巯基尿酸的高效液相色谱测定方法</w:t>
            </w:r>
            <w:r>
              <w:rPr>
                <w:rFonts w:hint="eastAsia" w:ascii="宋体" w:hAnsi="宋体" w:cs="宋体"/>
                <w:color w:val="000000"/>
                <w:kern w:val="0"/>
                <w:sz w:val="21"/>
                <w:szCs w:val="21"/>
                <w:lang w:eastAsia="zh-CN" w:bidi="ar"/>
              </w:rPr>
              <w:t>（</w:t>
            </w:r>
            <w:r>
              <w:rPr>
                <w:rFonts w:hint="eastAsia" w:ascii="宋体" w:hAnsi="宋体" w:cs="宋体"/>
                <w:color w:val="000000"/>
                <w:kern w:val="0"/>
                <w:sz w:val="21"/>
                <w:szCs w:val="21"/>
                <w:lang w:val="en-US" w:eastAsia="zh-CN" w:bidi="ar"/>
              </w:rPr>
              <w:t>GBZ/T 254-2014</w:t>
            </w:r>
            <w:r>
              <w:rPr>
                <w:rFonts w:hint="eastAsia" w:ascii="宋体" w:hAnsi="宋体" w:cs="宋体"/>
                <w:color w:val="000000"/>
                <w:kern w:val="0"/>
                <w:sz w:val="21"/>
                <w:szCs w:val="21"/>
                <w:lang w:eastAsia="zh-CN" w:bidi="ar"/>
              </w:rPr>
              <w:t>）</w:t>
            </w:r>
          </w:p>
        </w:tc>
      </w:tr>
      <w:tr w14:paraId="3A614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335" w:type="dxa"/>
            <w:shd w:val="clear" w:color="auto" w:fill="auto"/>
            <w:vAlign w:val="center"/>
          </w:tcPr>
          <w:p w14:paraId="5F730B14">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eastAsia="宋体" w:cs="宋体"/>
                <w:sz w:val="21"/>
                <w:szCs w:val="21"/>
                <w:lang w:eastAsia="zh-CN"/>
              </w:rPr>
            </w:pPr>
            <w:r>
              <w:rPr>
                <w:rFonts w:hint="eastAsia" w:ascii="宋体" w:hAnsi="宋体" w:cs="宋体"/>
                <w:sz w:val="21"/>
                <w:szCs w:val="21"/>
                <w:lang w:eastAsia="zh-CN"/>
              </w:rPr>
              <w:t>二氯甲烷</w:t>
            </w:r>
          </w:p>
        </w:tc>
        <w:tc>
          <w:tcPr>
            <w:tcW w:w="1181" w:type="dxa"/>
            <w:shd w:val="clear" w:color="auto" w:fill="auto"/>
            <w:vAlign w:val="center"/>
          </w:tcPr>
          <w:p w14:paraId="0097CB14">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sz w:val="21"/>
                <w:szCs w:val="21"/>
                <w:lang w:eastAsia="zh-CN"/>
              </w:rPr>
            </w:pPr>
            <w:r>
              <w:rPr>
                <w:rFonts w:hint="eastAsia" w:ascii="宋体" w:hAnsi="宋体" w:cs="宋体"/>
                <w:sz w:val="21"/>
                <w:szCs w:val="21"/>
                <w:lang w:eastAsia="zh-CN"/>
              </w:rPr>
              <w:t>尿液</w:t>
            </w:r>
          </w:p>
        </w:tc>
        <w:tc>
          <w:tcPr>
            <w:tcW w:w="2363" w:type="dxa"/>
            <w:shd w:val="clear" w:color="auto" w:fill="auto"/>
            <w:vAlign w:val="center"/>
          </w:tcPr>
          <w:p w14:paraId="3783A2E7">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color w:val="000000"/>
                <w:kern w:val="0"/>
                <w:sz w:val="21"/>
                <w:szCs w:val="21"/>
                <w:lang w:bidi="ar"/>
              </w:rPr>
            </w:pPr>
            <w:r>
              <w:rPr>
                <w:rFonts w:hint="eastAsia" w:ascii="宋体" w:hAnsi="宋体" w:cs="宋体"/>
                <w:sz w:val="21"/>
                <w:szCs w:val="21"/>
                <w:lang w:eastAsia="zh-CN"/>
              </w:rPr>
              <w:t>二氯甲烷</w:t>
            </w:r>
          </w:p>
        </w:tc>
        <w:tc>
          <w:tcPr>
            <w:tcW w:w="3750" w:type="dxa"/>
            <w:shd w:val="clear" w:color="auto" w:fill="auto"/>
            <w:vAlign w:val="center"/>
          </w:tcPr>
          <w:p w14:paraId="341B5F7A">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default" w:ascii="宋体" w:hAnsi="宋体" w:eastAsia="宋体" w:cs="宋体"/>
                <w:color w:val="000000"/>
                <w:kern w:val="0"/>
                <w:sz w:val="21"/>
                <w:szCs w:val="21"/>
                <w:lang w:val="en-US" w:eastAsia="zh-CN" w:bidi="ar"/>
              </w:rPr>
            </w:pPr>
            <w:r>
              <w:rPr>
                <w:rFonts w:hint="default" w:ascii="宋体" w:hAnsi="宋体" w:eastAsia="宋体" w:cs="宋体"/>
                <w:color w:val="000000"/>
                <w:kern w:val="0"/>
                <w:sz w:val="21"/>
                <w:szCs w:val="21"/>
                <w:lang w:val="en-US" w:eastAsia="zh-CN" w:bidi="ar"/>
              </w:rPr>
              <w:t>尿中二氯甲烷测定标准 气相色谱法</w:t>
            </w:r>
            <w:r>
              <w:rPr>
                <w:rFonts w:hint="eastAsia" w:ascii="宋体" w:hAnsi="宋体" w:cs="宋体"/>
                <w:color w:val="000000"/>
                <w:kern w:val="0"/>
                <w:sz w:val="21"/>
                <w:szCs w:val="21"/>
                <w:lang w:eastAsia="zh-CN" w:bidi="ar"/>
              </w:rPr>
              <w:t>（</w:t>
            </w:r>
            <w:r>
              <w:rPr>
                <w:rFonts w:hint="eastAsia" w:ascii="宋体" w:hAnsi="宋体" w:cs="宋体"/>
                <w:color w:val="000000"/>
                <w:kern w:val="0"/>
                <w:sz w:val="21"/>
                <w:szCs w:val="21"/>
                <w:lang w:val="en-US" w:eastAsia="zh-CN" w:bidi="ar"/>
              </w:rPr>
              <w:t>GBZ/T 326-2022</w:t>
            </w:r>
            <w:r>
              <w:rPr>
                <w:rFonts w:hint="eastAsia" w:ascii="宋体" w:hAnsi="宋体" w:cs="宋体"/>
                <w:color w:val="000000"/>
                <w:kern w:val="0"/>
                <w:sz w:val="21"/>
                <w:szCs w:val="21"/>
                <w:lang w:eastAsia="zh-CN" w:bidi="ar"/>
              </w:rPr>
              <w:t>）</w:t>
            </w:r>
          </w:p>
        </w:tc>
      </w:tr>
      <w:tr w14:paraId="74862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335" w:type="dxa"/>
            <w:shd w:val="clear" w:color="auto" w:fill="auto"/>
            <w:vAlign w:val="center"/>
          </w:tcPr>
          <w:p w14:paraId="205C4286">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cs="宋体"/>
                <w:sz w:val="21"/>
                <w:szCs w:val="21"/>
                <w:lang w:eastAsia="zh-CN"/>
              </w:rPr>
            </w:pPr>
            <w:r>
              <w:rPr>
                <w:rFonts w:hint="eastAsia" w:ascii="宋体" w:hAnsi="宋体" w:cs="宋体"/>
                <w:sz w:val="21"/>
                <w:szCs w:val="21"/>
                <w:lang w:eastAsia="zh-CN"/>
              </w:rPr>
              <w:t>二氯乙烷</w:t>
            </w:r>
          </w:p>
        </w:tc>
        <w:tc>
          <w:tcPr>
            <w:tcW w:w="1181" w:type="dxa"/>
            <w:shd w:val="clear" w:color="auto" w:fill="auto"/>
            <w:vAlign w:val="center"/>
          </w:tcPr>
          <w:p w14:paraId="7EAD091C">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血液</w:t>
            </w:r>
          </w:p>
        </w:tc>
        <w:tc>
          <w:tcPr>
            <w:tcW w:w="2363" w:type="dxa"/>
            <w:shd w:val="clear" w:color="auto" w:fill="auto"/>
            <w:vAlign w:val="center"/>
          </w:tcPr>
          <w:p w14:paraId="5FE62DF4">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1,2—二氯乙烷</w:t>
            </w:r>
          </w:p>
        </w:tc>
        <w:tc>
          <w:tcPr>
            <w:tcW w:w="3750" w:type="dxa"/>
            <w:shd w:val="clear" w:color="auto" w:fill="auto"/>
            <w:vAlign w:val="center"/>
          </w:tcPr>
          <w:p w14:paraId="4CEE2877">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default" w:ascii="宋体" w:hAnsi="宋体" w:eastAsia="宋体" w:cs="宋体"/>
                <w:color w:val="000000"/>
                <w:kern w:val="0"/>
                <w:sz w:val="21"/>
                <w:szCs w:val="21"/>
                <w:lang w:val="en-US" w:eastAsia="zh-CN" w:bidi="ar"/>
              </w:rPr>
            </w:pPr>
            <w:r>
              <w:rPr>
                <w:rFonts w:hint="default" w:ascii="宋体" w:hAnsi="宋体" w:eastAsia="宋体" w:cs="宋体"/>
                <w:color w:val="000000"/>
                <w:kern w:val="0"/>
                <w:sz w:val="21"/>
                <w:szCs w:val="21"/>
                <w:lang w:val="en-US" w:eastAsia="zh-CN" w:bidi="ar"/>
              </w:rPr>
              <w:t>血中1,2—二氯乙烷的气相色谱-质谱测定方法</w:t>
            </w:r>
            <w:r>
              <w:rPr>
                <w:rFonts w:hint="eastAsia" w:ascii="宋体" w:hAnsi="宋体" w:cs="宋体"/>
                <w:color w:val="000000"/>
                <w:kern w:val="0"/>
                <w:sz w:val="21"/>
                <w:szCs w:val="21"/>
                <w:lang w:eastAsia="zh-CN" w:bidi="ar"/>
              </w:rPr>
              <w:t>（</w:t>
            </w:r>
            <w:r>
              <w:rPr>
                <w:rFonts w:hint="eastAsia" w:ascii="宋体" w:hAnsi="宋体" w:cs="宋体"/>
                <w:color w:val="000000"/>
                <w:kern w:val="0"/>
                <w:sz w:val="21"/>
                <w:szCs w:val="21"/>
                <w:lang w:val="en-US" w:eastAsia="zh-CN" w:bidi="ar"/>
              </w:rPr>
              <w:t>GBZ/T 286-2016</w:t>
            </w:r>
            <w:r>
              <w:rPr>
                <w:rFonts w:hint="eastAsia" w:ascii="宋体" w:hAnsi="宋体" w:cs="宋体"/>
                <w:color w:val="000000"/>
                <w:kern w:val="0"/>
                <w:sz w:val="21"/>
                <w:szCs w:val="21"/>
                <w:lang w:eastAsia="zh-CN" w:bidi="ar"/>
              </w:rPr>
              <w:t>）</w:t>
            </w:r>
          </w:p>
        </w:tc>
      </w:tr>
      <w:tr w14:paraId="4A1ED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335" w:type="dxa"/>
            <w:shd w:val="clear" w:color="auto" w:fill="auto"/>
            <w:vAlign w:val="center"/>
          </w:tcPr>
          <w:p w14:paraId="0CAB20D1">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cs="宋体"/>
                <w:sz w:val="21"/>
                <w:szCs w:val="21"/>
                <w:lang w:eastAsia="zh-CN"/>
              </w:rPr>
            </w:pPr>
            <w:r>
              <w:rPr>
                <w:rFonts w:hint="eastAsia" w:ascii="宋体" w:hAnsi="宋体" w:cs="宋体"/>
                <w:sz w:val="21"/>
                <w:szCs w:val="21"/>
                <w:lang w:eastAsia="zh-CN"/>
              </w:rPr>
              <w:t>氰化物</w:t>
            </w:r>
          </w:p>
        </w:tc>
        <w:tc>
          <w:tcPr>
            <w:tcW w:w="1181" w:type="dxa"/>
            <w:shd w:val="clear" w:color="auto" w:fill="auto"/>
            <w:vAlign w:val="center"/>
          </w:tcPr>
          <w:p w14:paraId="6CA2A3C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尿液</w:t>
            </w:r>
          </w:p>
        </w:tc>
        <w:tc>
          <w:tcPr>
            <w:tcW w:w="2363" w:type="dxa"/>
            <w:shd w:val="clear" w:color="auto" w:fill="auto"/>
            <w:vAlign w:val="center"/>
          </w:tcPr>
          <w:p w14:paraId="480D5064">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硫氰酸根</w:t>
            </w:r>
          </w:p>
        </w:tc>
        <w:tc>
          <w:tcPr>
            <w:tcW w:w="3750" w:type="dxa"/>
            <w:shd w:val="clear" w:color="auto" w:fill="auto"/>
            <w:vAlign w:val="center"/>
          </w:tcPr>
          <w:p w14:paraId="41571E5B">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default" w:ascii="宋体" w:hAnsi="宋体" w:eastAsia="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尿中</w:t>
            </w:r>
            <w:r>
              <w:rPr>
                <w:rFonts w:hint="eastAsia" w:ascii="宋体" w:hAnsi="宋体" w:cs="宋体"/>
                <w:sz w:val="21"/>
                <w:szCs w:val="21"/>
                <w:lang w:eastAsia="zh-CN"/>
              </w:rPr>
              <w:t>硫氰酸根测定标准</w:t>
            </w:r>
            <w:r>
              <w:rPr>
                <w:rFonts w:hint="eastAsia" w:ascii="宋体" w:hAnsi="宋体" w:cs="宋体"/>
                <w:sz w:val="21"/>
                <w:szCs w:val="21"/>
                <w:lang w:val="en-US" w:eastAsia="zh-CN"/>
              </w:rPr>
              <w:t xml:space="preserve"> 离子色谱法</w:t>
            </w:r>
            <w:r>
              <w:rPr>
                <w:rFonts w:hint="eastAsia" w:ascii="宋体" w:hAnsi="宋体" w:cs="宋体"/>
                <w:color w:val="000000"/>
                <w:kern w:val="0"/>
                <w:sz w:val="21"/>
                <w:szCs w:val="21"/>
                <w:lang w:eastAsia="zh-CN" w:bidi="ar"/>
              </w:rPr>
              <w:t>（</w:t>
            </w:r>
            <w:r>
              <w:rPr>
                <w:rFonts w:hint="eastAsia" w:ascii="宋体" w:hAnsi="宋体" w:cs="宋体"/>
                <w:color w:val="000000"/>
                <w:kern w:val="0"/>
                <w:sz w:val="21"/>
                <w:szCs w:val="21"/>
                <w:lang w:val="en-US" w:eastAsia="zh-CN" w:bidi="ar"/>
              </w:rPr>
              <w:t>GBZ/T 332-2024</w:t>
            </w:r>
            <w:r>
              <w:rPr>
                <w:rFonts w:hint="eastAsia" w:ascii="宋体" w:hAnsi="宋体" w:cs="宋体"/>
                <w:color w:val="000000"/>
                <w:kern w:val="0"/>
                <w:sz w:val="21"/>
                <w:szCs w:val="21"/>
                <w:lang w:eastAsia="zh-CN" w:bidi="ar"/>
              </w:rPr>
              <w:t>）</w:t>
            </w:r>
          </w:p>
        </w:tc>
      </w:tr>
      <w:tr w14:paraId="1FD20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335" w:type="dxa"/>
            <w:vMerge w:val="restart"/>
            <w:shd w:val="clear" w:color="auto" w:fill="auto"/>
            <w:vAlign w:val="center"/>
          </w:tcPr>
          <w:p w14:paraId="5BBD6D3F">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cs="宋体"/>
                <w:sz w:val="21"/>
                <w:szCs w:val="21"/>
                <w:lang w:eastAsia="zh-CN"/>
              </w:rPr>
            </w:pPr>
            <w:r>
              <w:rPr>
                <w:rFonts w:hint="eastAsia" w:ascii="宋体" w:hAnsi="宋体" w:cs="宋体"/>
                <w:sz w:val="21"/>
                <w:szCs w:val="21"/>
                <w:lang w:eastAsia="zh-CN"/>
              </w:rPr>
              <w:t>砷化氢</w:t>
            </w:r>
          </w:p>
        </w:tc>
        <w:tc>
          <w:tcPr>
            <w:tcW w:w="1181" w:type="dxa"/>
            <w:shd w:val="clear" w:color="auto" w:fill="auto"/>
            <w:vAlign w:val="center"/>
          </w:tcPr>
          <w:p w14:paraId="416A480D">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尿液</w:t>
            </w:r>
          </w:p>
        </w:tc>
        <w:tc>
          <w:tcPr>
            <w:tcW w:w="2363" w:type="dxa"/>
            <w:shd w:val="clear" w:color="auto" w:fill="auto"/>
            <w:vAlign w:val="center"/>
          </w:tcPr>
          <w:p w14:paraId="404C6D6F">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砷</w:t>
            </w:r>
          </w:p>
        </w:tc>
        <w:tc>
          <w:tcPr>
            <w:tcW w:w="3750" w:type="dxa"/>
            <w:shd w:val="clear" w:color="auto" w:fill="auto"/>
            <w:vAlign w:val="center"/>
          </w:tcPr>
          <w:p w14:paraId="20CB22AA">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default" w:ascii="宋体" w:hAnsi="宋体" w:eastAsia="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尿中砷的测定 氢化物发生原子荧光法</w:t>
            </w:r>
            <w:r>
              <w:rPr>
                <w:rFonts w:hint="eastAsia" w:ascii="宋体" w:hAnsi="宋体" w:cs="宋体"/>
                <w:color w:val="000000"/>
                <w:kern w:val="0"/>
                <w:sz w:val="21"/>
                <w:szCs w:val="21"/>
                <w:lang w:eastAsia="zh-CN" w:bidi="ar"/>
              </w:rPr>
              <w:t>（</w:t>
            </w:r>
            <w:r>
              <w:rPr>
                <w:rFonts w:hint="eastAsia" w:ascii="宋体" w:hAnsi="宋体" w:cs="宋体"/>
                <w:color w:val="000000"/>
                <w:kern w:val="0"/>
                <w:sz w:val="21"/>
                <w:szCs w:val="21"/>
                <w:lang w:val="en-US" w:eastAsia="zh-CN" w:bidi="ar"/>
              </w:rPr>
              <w:t>WS/T 474-2015</w:t>
            </w:r>
            <w:r>
              <w:rPr>
                <w:rFonts w:hint="eastAsia" w:ascii="宋体" w:hAnsi="宋体" w:cs="宋体"/>
                <w:color w:val="000000"/>
                <w:kern w:val="0"/>
                <w:sz w:val="21"/>
                <w:szCs w:val="21"/>
                <w:lang w:eastAsia="zh-CN" w:bidi="ar"/>
              </w:rPr>
              <w:t>）</w:t>
            </w:r>
          </w:p>
        </w:tc>
      </w:tr>
      <w:tr w14:paraId="0E22C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1335" w:type="dxa"/>
            <w:vMerge w:val="continue"/>
            <w:shd w:val="clear" w:color="auto" w:fill="auto"/>
            <w:vAlign w:val="center"/>
          </w:tcPr>
          <w:p w14:paraId="0A928C8D">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cs="宋体"/>
                <w:sz w:val="21"/>
                <w:szCs w:val="21"/>
                <w:lang w:eastAsia="zh-CN"/>
              </w:rPr>
            </w:pPr>
          </w:p>
        </w:tc>
        <w:tc>
          <w:tcPr>
            <w:tcW w:w="1181" w:type="dxa"/>
            <w:shd w:val="clear" w:color="auto" w:fill="auto"/>
            <w:vAlign w:val="center"/>
          </w:tcPr>
          <w:p w14:paraId="7CB7575A">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尿液</w:t>
            </w:r>
          </w:p>
        </w:tc>
        <w:tc>
          <w:tcPr>
            <w:tcW w:w="2363" w:type="dxa"/>
            <w:shd w:val="clear" w:color="auto" w:fill="auto"/>
            <w:vAlign w:val="center"/>
          </w:tcPr>
          <w:p w14:paraId="32942F45">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砷形态（亚砷酸盐</w:t>
            </w:r>
            <w:r>
              <w:rPr>
                <w:rFonts w:hint="eastAsia" w:ascii="宋体" w:hAnsi="宋体" w:cs="宋体"/>
                <w:sz w:val="21"/>
                <w:szCs w:val="21"/>
                <w:lang w:val="en-US" w:eastAsia="zh-CN"/>
              </w:rPr>
              <w:t>[As(Ⅲ)]、</w:t>
            </w:r>
            <w:r>
              <w:rPr>
                <w:rFonts w:hint="eastAsia" w:ascii="宋体" w:hAnsi="宋体" w:cs="宋体"/>
                <w:sz w:val="21"/>
                <w:szCs w:val="21"/>
                <w:lang w:eastAsia="zh-CN"/>
              </w:rPr>
              <w:t>砷酸盐</w:t>
            </w:r>
            <w:r>
              <w:rPr>
                <w:rFonts w:hint="eastAsia" w:ascii="宋体" w:hAnsi="宋体" w:cs="宋体"/>
                <w:sz w:val="21"/>
                <w:szCs w:val="21"/>
                <w:lang w:val="en-US" w:eastAsia="zh-CN"/>
              </w:rPr>
              <w:t>[As(Ⅴ)]、一甲基砷(MMA)、二甲基砷(DMA)</w:t>
            </w:r>
            <w:r>
              <w:rPr>
                <w:rFonts w:hint="eastAsia" w:ascii="宋体" w:hAnsi="宋体" w:cs="宋体"/>
                <w:sz w:val="21"/>
                <w:szCs w:val="21"/>
                <w:lang w:eastAsia="zh-CN"/>
              </w:rPr>
              <w:t>）</w:t>
            </w:r>
          </w:p>
        </w:tc>
        <w:tc>
          <w:tcPr>
            <w:tcW w:w="3750" w:type="dxa"/>
            <w:shd w:val="clear" w:color="auto" w:fill="auto"/>
            <w:vAlign w:val="center"/>
          </w:tcPr>
          <w:p w14:paraId="7D6E5D0B">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default" w:ascii="宋体" w:hAnsi="宋体" w:eastAsia="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尿中砷形态测定 液相色谱-原子荧光法</w:t>
            </w:r>
            <w:r>
              <w:rPr>
                <w:rFonts w:hint="eastAsia" w:ascii="宋体" w:hAnsi="宋体" w:cs="宋体"/>
                <w:color w:val="000000"/>
                <w:kern w:val="0"/>
                <w:sz w:val="21"/>
                <w:szCs w:val="21"/>
                <w:lang w:eastAsia="zh-CN" w:bidi="ar"/>
              </w:rPr>
              <w:t>（</w:t>
            </w:r>
            <w:r>
              <w:rPr>
                <w:rFonts w:hint="eastAsia" w:ascii="宋体" w:hAnsi="宋体" w:cs="宋体"/>
                <w:color w:val="000000"/>
                <w:kern w:val="0"/>
                <w:sz w:val="21"/>
                <w:szCs w:val="21"/>
                <w:lang w:val="en-US" w:eastAsia="zh-CN" w:bidi="ar"/>
              </w:rPr>
              <w:t>WS/T 635-2018</w:t>
            </w:r>
            <w:r>
              <w:rPr>
                <w:rFonts w:hint="eastAsia" w:ascii="宋体" w:hAnsi="宋体" w:cs="宋体"/>
                <w:color w:val="000000"/>
                <w:kern w:val="0"/>
                <w:sz w:val="21"/>
                <w:szCs w:val="21"/>
                <w:lang w:eastAsia="zh-CN" w:bidi="ar"/>
              </w:rPr>
              <w:t>）</w:t>
            </w:r>
          </w:p>
        </w:tc>
      </w:tr>
      <w:tr w14:paraId="61785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5" w:type="dxa"/>
            <w:shd w:val="clear" w:color="auto" w:fill="auto"/>
            <w:vAlign w:val="center"/>
          </w:tcPr>
          <w:p w14:paraId="40FF1A95">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cs="宋体"/>
                <w:sz w:val="21"/>
                <w:szCs w:val="21"/>
                <w:lang w:eastAsia="zh-CN"/>
              </w:rPr>
            </w:pPr>
            <w:r>
              <w:rPr>
                <w:rFonts w:hint="eastAsia" w:ascii="宋体" w:hAnsi="宋体" w:cs="宋体"/>
                <w:sz w:val="21"/>
                <w:szCs w:val="21"/>
                <w:lang w:eastAsia="zh-CN"/>
              </w:rPr>
              <w:t>一氧化碳</w:t>
            </w:r>
          </w:p>
        </w:tc>
        <w:tc>
          <w:tcPr>
            <w:tcW w:w="1181" w:type="dxa"/>
            <w:shd w:val="clear" w:color="auto" w:fill="auto"/>
            <w:vAlign w:val="center"/>
          </w:tcPr>
          <w:p w14:paraId="06701752">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血液</w:t>
            </w:r>
          </w:p>
        </w:tc>
        <w:tc>
          <w:tcPr>
            <w:tcW w:w="2363" w:type="dxa"/>
            <w:shd w:val="clear" w:color="auto" w:fill="auto"/>
            <w:vAlign w:val="center"/>
          </w:tcPr>
          <w:p w14:paraId="20ADAF1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碳氧血红蛋白</w:t>
            </w:r>
          </w:p>
        </w:tc>
        <w:tc>
          <w:tcPr>
            <w:tcW w:w="3750" w:type="dxa"/>
            <w:shd w:val="clear" w:color="auto" w:fill="auto"/>
            <w:vAlign w:val="center"/>
          </w:tcPr>
          <w:p w14:paraId="07B2048B">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color w:val="C00000"/>
                <w:kern w:val="0"/>
                <w:sz w:val="21"/>
                <w:szCs w:val="21"/>
                <w:highlight w:val="yellow"/>
                <w:lang w:val="en-US" w:eastAsia="zh-CN" w:bidi="ar"/>
              </w:rPr>
            </w:pPr>
            <w:r>
              <w:rPr>
                <w:rFonts w:hint="eastAsia" w:ascii="宋体" w:hAnsi="宋体" w:cs="宋体"/>
                <w:color w:val="000000"/>
                <w:kern w:val="0"/>
                <w:sz w:val="21"/>
                <w:szCs w:val="21"/>
                <w:lang w:val="en-US" w:eastAsia="zh-CN" w:bidi="ar"/>
              </w:rPr>
              <w:t>血中碳氧血红蛋白的分光光度测定方法</w:t>
            </w:r>
            <w:r>
              <w:rPr>
                <w:rFonts w:hint="eastAsia" w:ascii="宋体" w:hAnsi="宋体" w:cs="宋体"/>
                <w:color w:val="000000"/>
                <w:kern w:val="0"/>
                <w:sz w:val="21"/>
                <w:szCs w:val="21"/>
                <w:lang w:eastAsia="zh-CN" w:bidi="ar"/>
              </w:rPr>
              <w:t>（</w:t>
            </w:r>
            <w:r>
              <w:rPr>
                <w:rFonts w:hint="eastAsia" w:ascii="宋体" w:hAnsi="宋体" w:cs="宋体"/>
                <w:color w:val="000000"/>
                <w:kern w:val="0"/>
                <w:sz w:val="21"/>
                <w:szCs w:val="21"/>
                <w:lang w:val="en-US" w:eastAsia="zh-CN" w:bidi="ar"/>
              </w:rPr>
              <w:t>WS/T 42-1996</w:t>
            </w:r>
            <w:r>
              <w:rPr>
                <w:rFonts w:hint="eastAsia" w:ascii="宋体" w:hAnsi="宋体" w:cs="宋体"/>
                <w:color w:val="000000"/>
                <w:kern w:val="0"/>
                <w:sz w:val="21"/>
                <w:szCs w:val="21"/>
                <w:lang w:eastAsia="zh-CN" w:bidi="ar"/>
              </w:rPr>
              <w:t>）</w:t>
            </w:r>
          </w:p>
        </w:tc>
      </w:tr>
      <w:tr w14:paraId="614AC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5" w:type="dxa"/>
            <w:vMerge w:val="restart"/>
            <w:shd w:val="clear" w:color="auto" w:fill="auto"/>
            <w:vAlign w:val="center"/>
          </w:tcPr>
          <w:p w14:paraId="36A6003A">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cs="宋体"/>
                <w:sz w:val="21"/>
                <w:szCs w:val="21"/>
                <w:lang w:eastAsia="zh-CN"/>
              </w:rPr>
            </w:pPr>
            <w:r>
              <w:rPr>
                <w:rFonts w:hint="eastAsia" w:ascii="宋体" w:hAnsi="宋体" w:cs="宋体"/>
                <w:sz w:val="21"/>
                <w:szCs w:val="21"/>
                <w:lang w:eastAsia="zh-CN"/>
              </w:rPr>
              <w:t>氟化氢</w:t>
            </w:r>
          </w:p>
        </w:tc>
        <w:tc>
          <w:tcPr>
            <w:tcW w:w="1181" w:type="dxa"/>
            <w:shd w:val="clear" w:color="auto" w:fill="auto"/>
            <w:vAlign w:val="center"/>
          </w:tcPr>
          <w:p w14:paraId="2951848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sz w:val="21"/>
                <w:szCs w:val="21"/>
                <w:lang w:val="en-US" w:eastAsia="zh-CN"/>
              </w:rPr>
            </w:pPr>
            <w:r>
              <w:rPr>
                <w:rFonts w:hint="eastAsia" w:ascii="宋体" w:hAnsi="宋体" w:cs="宋体"/>
                <w:sz w:val="21"/>
                <w:szCs w:val="21"/>
                <w:lang w:val="en-US" w:eastAsia="zh-CN"/>
              </w:rPr>
              <w:t>尿液</w:t>
            </w:r>
          </w:p>
        </w:tc>
        <w:tc>
          <w:tcPr>
            <w:tcW w:w="2363" w:type="dxa"/>
            <w:shd w:val="clear" w:color="auto" w:fill="auto"/>
            <w:vAlign w:val="center"/>
          </w:tcPr>
          <w:p w14:paraId="52EF922E">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氟</w:t>
            </w:r>
          </w:p>
        </w:tc>
        <w:tc>
          <w:tcPr>
            <w:tcW w:w="3750" w:type="dxa"/>
            <w:shd w:val="clear" w:color="auto" w:fill="auto"/>
            <w:vAlign w:val="center"/>
          </w:tcPr>
          <w:p w14:paraId="429EE91F">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尿中氟的离子选择电极测定方法（WS/T 30-1996）</w:t>
            </w:r>
          </w:p>
        </w:tc>
      </w:tr>
      <w:tr w14:paraId="59830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5" w:type="dxa"/>
            <w:vMerge w:val="continue"/>
            <w:shd w:val="clear" w:color="auto" w:fill="auto"/>
            <w:vAlign w:val="center"/>
          </w:tcPr>
          <w:p w14:paraId="04BB8EE4">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cs="宋体"/>
                <w:sz w:val="18"/>
                <w:szCs w:val="18"/>
                <w:highlight w:val="yellow"/>
                <w:lang w:eastAsia="zh-CN"/>
              </w:rPr>
            </w:pPr>
          </w:p>
        </w:tc>
        <w:tc>
          <w:tcPr>
            <w:tcW w:w="1181" w:type="dxa"/>
            <w:shd w:val="clear" w:color="auto" w:fill="auto"/>
            <w:vAlign w:val="center"/>
          </w:tcPr>
          <w:p w14:paraId="2DAD4E1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val="en-US" w:eastAsia="zh-CN"/>
              </w:rPr>
              <w:t>尿液</w:t>
            </w:r>
          </w:p>
        </w:tc>
        <w:tc>
          <w:tcPr>
            <w:tcW w:w="2363" w:type="dxa"/>
            <w:shd w:val="clear" w:color="auto" w:fill="auto"/>
            <w:vAlign w:val="center"/>
          </w:tcPr>
          <w:p w14:paraId="478BDE9C">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氟化物</w:t>
            </w:r>
          </w:p>
        </w:tc>
        <w:tc>
          <w:tcPr>
            <w:tcW w:w="3750" w:type="dxa"/>
            <w:shd w:val="clear" w:color="auto" w:fill="auto"/>
            <w:vAlign w:val="center"/>
          </w:tcPr>
          <w:p w14:paraId="0B803F84">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尿中氟化物测定 离子选择电极法（WS/T89-2015）</w:t>
            </w:r>
          </w:p>
        </w:tc>
      </w:tr>
      <w:tr w14:paraId="54C79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5" w:type="dxa"/>
            <w:vMerge w:val="continue"/>
            <w:shd w:val="clear" w:color="auto" w:fill="auto"/>
            <w:vAlign w:val="center"/>
          </w:tcPr>
          <w:p w14:paraId="2B774B3F">
            <w:pPr>
              <w:keepNext w:val="0"/>
              <w:keepLines w:val="0"/>
              <w:pageBreakBefore w:val="0"/>
              <w:kinsoku/>
              <w:wordWrap/>
              <w:overflowPunct/>
              <w:topLinePunct w:val="0"/>
              <w:autoSpaceDE/>
              <w:autoSpaceDN/>
              <w:bidi w:val="0"/>
              <w:adjustRightInd/>
              <w:snapToGrid/>
              <w:spacing w:line="300" w:lineRule="exact"/>
              <w:jc w:val="center"/>
              <w:outlineLvl w:val="9"/>
              <w:rPr>
                <w:rFonts w:hint="eastAsia" w:ascii="宋体" w:hAnsi="宋体" w:cs="宋体"/>
                <w:sz w:val="18"/>
                <w:szCs w:val="18"/>
                <w:highlight w:val="yellow"/>
                <w:lang w:eastAsia="zh-CN"/>
              </w:rPr>
            </w:pPr>
          </w:p>
        </w:tc>
        <w:tc>
          <w:tcPr>
            <w:tcW w:w="1181" w:type="dxa"/>
            <w:shd w:val="clear" w:color="auto" w:fill="auto"/>
            <w:vAlign w:val="center"/>
          </w:tcPr>
          <w:p w14:paraId="689FFA85">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val="en-US" w:eastAsia="zh-CN"/>
              </w:rPr>
            </w:pPr>
            <w:r>
              <w:rPr>
                <w:rFonts w:hint="eastAsia" w:ascii="宋体" w:hAnsi="宋体" w:cs="宋体"/>
                <w:sz w:val="21"/>
                <w:szCs w:val="21"/>
                <w:lang w:val="en-US" w:eastAsia="zh-CN"/>
              </w:rPr>
              <w:t>血液</w:t>
            </w:r>
          </w:p>
        </w:tc>
        <w:tc>
          <w:tcPr>
            <w:tcW w:w="2363" w:type="dxa"/>
            <w:shd w:val="clear" w:color="auto" w:fill="auto"/>
            <w:vAlign w:val="center"/>
          </w:tcPr>
          <w:p w14:paraId="233A24EC">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sz w:val="21"/>
                <w:szCs w:val="21"/>
                <w:lang w:eastAsia="zh-CN"/>
              </w:rPr>
            </w:pPr>
            <w:r>
              <w:rPr>
                <w:rFonts w:hint="eastAsia" w:ascii="宋体" w:hAnsi="宋体" w:cs="宋体"/>
                <w:sz w:val="21"/>
                <w:szCs w:val="21"/>
                <w:lang w:eastAsia="zh-CN"/>
              </w:rPr>
              <w:t>氟化物</w:t>
            </w:r>
          </w:p>
        </w:tc>
        <w:tc>
          <w:tcPr>
            <w:tcW w:w="3750" w:type="dxa"/>
            <w:shd w:val="clear" w:color="auto" w:fill="auto"/>
            <w:vAlign w:val="center"/>
          </w:tcPr>
          <w:p w14:paraId="1746B842">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宋体" w:hAnsi="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血清中氟化物的测定 离子选择电极法（WS/T 212-2001）</w:t>
            </w:r>
          </w:p>
        </w:tc>
      </w:tr>
    </w:tbl>
    <w:p w14:paraId="71F0EB5F">
      <w:pPr>
        <w:pStyle w:val="76"/>
        <w:spacing w:before="78" w:after="156"/>
        <w:rPr>
          <w:rFonts w:hint="eastAsia"/>
        </w:rPr>
      </w:pPr>
    </w:p>
    <w:p w14:paraId="75CB6BB6">
      <w:pPr>
        <w:pStyle w:val="56"/>
        <w:ind w:left="0" w:leftChars="0" w:firstLine="0" w:firstLineChars="0"/>
        <w:jc w:val="center"/>
        <w:rPr>
          <w:rFonts w:hint="eastAsia" w:ascii="黑体" w:hAnsi="Times New Roman" w:eastAsia="黑体" w:cs="Times New Roman"/>
          <w:kern w:val="0"/>
          <w:sz w:val="21"/>
          <w:szCs w:val="20"/>
          <w:lang w:val="en-US" w:eastAsia="zh-CN" w:bidi="ar-SA"/>
        </w:rPr>
      </w:pPr>
      <w:r>
        <w:rPr>
          <w:rFonts w:hint="eastAsia" w:ascii="黑体" w:hAnsi="Times New Roman" w:eastAsia="黑体" w:cs="Times New Roman"/>
          <w:kern w:val="0"/>
          <w:sz w:val="21"/>
          <w:szCs w:val="20"/>
          <w:lang w:val="en-US" w:eastAsia="zh-CN" w:bidi="ar-SA"/>
        </w:rPr>
        <w:t>（资料性）</w:t>
      </w:r>
    </w:p>
    <w:p w14:paraId="0E11AA47">
      <w:pPr>
        <w:pStyle w:val="76"/>
        <w:numPr>
          <w:ilvl w:val="0"/>
          <w:numId w:val="0"/>
        </w:numPr>
        <w:spacing w:before="78" w:after="156"/>
        <w:ind w:leftChars="0"/>
        <w:jc w:val="center"/>
        <w:rPr>
          <w:rFonts w:hint="eastAsia"/>
        </w:rPr>
      </w:pPr>
      <w:r>
        <w:rPr>
          <w:rFonts w:hint="eastAsia"/>
          <w:lang w:eastAsia="zh-CN"/>
        </w:rPr>
        <w:t>现场快速检测记录表</w:t>
      </w:r>
    </w:p>
    <w:p w14:paraId="7C27DAF7">
      <w:pPr>
        <w:pStyle w:val="56"/>
        <w:ind w:firstLine="420"/>
        <w:rPr>
          <w:rFonts w:hint="eastAsia"/>
        </w:rPr>
      </w:pPr>
      <w:r>
        <w:rPr>
          <w:rFonts w:hint="eastAsia"/>
          <w:lang w:eastAsia="zh-CN"/>
        </w:rPr>
        <w:t>突发职业中毒现场快速检测记录表参</w:t>
      </w:r>
      <w:r>
        <w:rPr>
          <w:rFonts w:hint="eastAsia"/>
        </w:rPr>
        <w:t>见</w:t>
      </w:r>
      <w:r>
        <w:rPr>
          <w:rFonts w:hint="eastAsia"/>
          <w:lang w:eastAsia="zh-CN"/>
        </w:rPr>
        <w:t>表</w:t>
      </w:r>
      <w:r>
        <w:rPr>
          <w:rFonts w:hint="eastAsia"/>
          <w:lang w:val="en-US" w:eastAsia="zh-CN"/>
        </w:rPr>
        <w:t>F</w:t>
      </w:r>
      <w:r>
        <w:rPr>
          <w:rFonts w:hint="eastAsia"/>
        </w:rPr>
        <w:t>.1。</w:t>
      </w:r>
    </w:p>
    <w:p w14:paraId="43D1CB3D">
      <w:pPr>
        <w:pStyle w:val="77"/>
        <w:numPr>
          <w:ilvl w:val="1"/>
          <w:numId w:val="0"/>
        </w:numPr>
        <w:spacing w:before="156" w:after="156"/>
        <w:ind w:left="420" w:leftChars="0"/>
        <w:jc w:val="center"/>
        <w:rPr>
          <w:rFonts w:hint="eastAsia"/>
        </w:rPr>
      </w:pPr>
      <w:r>
        <w:rPr>
          <w:rFonts w:hint="eastAsia"/>
          <w:szCs w:val="22"/>
          <w:lang w:eastAsia="zh-CN"/>
        </w:rPr>
        <w:t>表</w:t>
      </w:r>
      <w:r>
        <w:rPr>
          <w:rFonts w:hint="eastAsia"/>
          <w:szCs w:val="22"/>
          <w:lang w:val="en-US" w:eastAsia="zh-CN"/>
        </w:rPr>
        <w:t xml:space="preserve">F.1 </w:t>
      </w:r>
      <w:r>
        <w:rPr>
          <w:rFonts w:hint="eastAsia"/>
          <w:szCs w:val="22"/>
          <w:lang w:eastAsia="zh-CN"/>
        </w:rPr>
        <w:t>现场快速检测记录表</w:t>
      </w:r>
    </w:p>
    <w:tbl>
      <w:tblPr>
        <w:tblStyle w:val="27"/>
        <w:tblW w:w="11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129"/>
        <w:gridCol w:w="1557"/>
        <w:gridCol w:w="1532"/>
        <w:gridCol w:w="1416"/>
        <w:gridCol w:w="1331"/>
        <w:gridCol w:w="1401"/>
        <w:gridCol w:w="1138"/>
      </w:tblGrid>
      <w:tr w14:paraId="28274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695" w:type="dxa"/>
            <w:tcBorders>
              <w:top w:val="single" w:color="auto" w:sz="12" w:space="0"/>
              <w:left w:val="nil"/>
            </w:tcBorders>
            <w:vAlign w:val="center"/>
          </w:tcPr>
          <w:p w14:paraId="4C5115C2">
            <w:pPr>
              <w:jc w:val="center"/>
              <w:rPr>
                <w:rFonts w:ascii="宋体" w:hAnsi="宋体" w:cs="宋体"/>
                <w:bCs/>
                <w:kern w:val="0"/>
              </w:rPr>
            </w:pPr>
            <w:r>
              <w:rPr>
                <w:rFonts w:hint="eastAsia" w:ascii="宋体" w:hAnsi="宋体" w:cs="宋体"/>
                <w:bCs/>
                <w:kern w:val="0"/>
              </w:rPr>
              <w:t>用人</w:t>
            </w:r>
            <w:r>
              <w:rPr>
                <w:rFonts w:ascii="宋体" w:hAnsi="宋体" w:cs="宋体"/>
                <w:bCs/>
                <w:kern w:val="0"/>
              </w:rPr>
              <w:t>单位</w:t>
            </w:r>
            <w:r>
              <w:rPr>
                <w:rFonts w:hint="eastAsia" w:ascii="宋体" w:hAnsi="宋体" w:cs="宋体"/>
                <w:bCs/>
                <w:kern w:val="0"/>
              </w:rPr>
              <w:t>名称</w:t>
            </w:r>
          </w:p>
        </w:tc>
        <w:tc>
          <w:tcPr>
            <w:tcW w:w="4218" w:type="dxa"/>
            <w:gridSpan w:val="3"/>
            <w:tcBorders>
              <w:top w:val="single" w:color="auto" w:sz="12" w:space="0"/>
              <w:right w:val="nil"/>
            </w:tcBorders>
            <w:vAlign w:val="center"/>
          </w:tcPr>
          <w:p w14:paraId="13F9AF43">
            <w:pPr>
              <w:widowControl/>
              <w:ind w:left="-107" w:leftChars="-51" w:right="-107" w:rightChars="-51"/>
              <w:jc w:val="center"/>
              <w:rPr>
                <w:rFonts w:ascii="宋体" w:hAnsi="宋体" w:cs="宋体"/>
                <w:bCs/>
                <w:kern w:val="0"/>
              </w:rPr>
            </w:pPr>
          </w:p>
        </w:tc>
        <w:tc>
          <w:tcPr>
            <w:tcW w:w="1416" w:type="dxa"/>
            <w:tcBorders>
              <w:top w:val="single" w:color="auto" w:sz="12" w:space="0"/>
              <w:right w:val="nil"/>
            </w:tcBorders>
            <w:vAlign w:val="center"/>
          </w:tcPr>
          <w:p w14:paraId="7B1BB80A">
            <w:pPr>
              <w:widowControl/>
              <w:ind w:left="-107" w:leftChars="-51" w:right="-107" w:rightChars="-51"/>
              <w:jc w:val="center"/>
              <w:rPr>
                <w:rFonts w:ascii="宋体" w:hAnsi="宋体" w:cs="宋体"/>
                <w:bCs/>
                <w:kern w:val="0"/>
              </w:rPr>
            </w:pPr>
            <w:r>
              <w:rPr>
                <w:rFonts w:hint="eastAsia" w:ascii="宋体" w:hAnsi="宋体" w:cs="宋体"/>
                <w:bCs/>
                <w:kern w:val="0"/>
                <w:lang w:eastAsia="zh-CN"/>
              </w:rPr>
              <w:t>检测任务编号</w:t>
            </w:r>
          </w:p>
        </w:tc>
        <w:tc>
          <w:tcPr>
            <w:tcW w:w="3870" w:type="dxa"/>
            <w:gridSpan w:val="3"/>
            <w:tcBorders>
              <w:top w:val="single" w:color="auto" w:sz="12" w:space="0"/>
              <w:right w:val="nil"/>
            </w:tcBorders>
            <w:vAlign w:val="center"/>
          </w:tcPr>
          <w:p w14:paraId="7910F756">
            <w:pPr>
              <w:widowControl/>
              <w:ind w:left="-107" w:leftChars="-51" w:right="-107" w:rightChars="-51"/>
              <w:jc w:val="center"/>
              <w:rPr>
                <w:rFonts w:hint="default" w:ascii="宋体" w:hAnsi="宋体" w:eastAsia="宋体" w:cs="宋体"/>
                <w:bCs/>
                <w:kern w:val="0"/>
                <w:lang w:val="en-US" w:eastAsia="zh-CN"/>
              </w:rPr>
            </w:pPr>
          </w:p>
        </w:tc>
      </w:tr>
      <w:tr w14:paraId="3FDE6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695" w:type="dxa"/>
            <w:tcBorders>
              <w:left w:val="nil"/>
            </w:tcBorders>
            <w:vAlign w:val="center"/>
          </w:tcPr>
          <w:p w14:paraId="68ADAC89">
            <w:pPr>
              <w:widowControl/>
              <w:ind w:left="-107" w:leftChars="-51" w:right="-107" w:rightChars="-51"/>
              <w:jc w:val="center"/>
              <w:rPr>
                <w:rFonts w:hint="eastAsia" w:ascii="宋体" w:hAnsi="宋体" w:eastAsia="宋体" w:cs="宋体"/>
                <w:bCs/>
                <w:kern w:val="0"/>
                <w:lang w:eastAsia="zh-CN"/>
              </w:rPr>
            </w:pPr>
            <w:r>
              <w:rPr>
                <w:rFonts w:hint="eastAsia" w:ascii="宋体" w:hAnsi="宋体" w:cs="宋体"/>
                <w:bCs/>
                <w:kern w:val="0"/>
                <w:lang w:eastAsia="zh-CN"/>
              </w:rPr>
              <w:t>现场地址</w:t>
            </w:r>
          </w:p>
        </w:tc>
        <w:tc>
          <w:tcPr>
            <w:tcW w:w="4218" w:type="dxa"/>
            <w:gridSpan w:val="3"/>
            <w:tcBorders>
              <w:right w:val="nil"/>
            </w:tcBorders>
            <w:vAlign w:val="center"/>
          </w:tcPr>
          <w:p w14:paraId="4259360F">
            <w:pPr>
              <w:widowControl/>
              <w:ind w:left="-107" w:leftChars="-51" w:right="-107" w:rightChars="-51"/>
              <w:jc w:val="left"/>
              <w:rPr>
                <w:rFonts w:hint="default" w:ascii="宋体" w:hAnsi="宋体" w:eastAsia="宋体" w:cs="宋体"/>
                <w:bCs/>
                <w:kern w:val="0"/>
                <w:lang w:val="en-US" w:eastAsia="zh-CN"/>
              </w:rPr>
            </w:pPr>
            <w:r>
              <w:rPr>
                <w:rFonts w:hint="eastAsia" w:ascii="宋体" w:hAnsi="宋体" w:cs="宋体"/>
                <w:bCs/>
                <w:kern w:val="0"/>
                <w:u w:val="single"/>
                <w:lang w:val="en-US" w:eastAsia="zh-CN"/>
              </w:rPr>
              <w:t xml:space="preserve">     </w:t>
            </w:r>
            <w:r>
              <w:rPr>
                <w:rFonts w:hint="eastAsia" w:ascii="宋体" w:hAnsi="宋体" w:cs="宋体"/>
                <w:bCs/>
                <w:kern w:val="0"/>
                <w:lang w:val="en-US" w:eastAsia="zh-CN"/>
              </w:rPr>
              <w:t>省</w:t>
            </w:r>
            <w:r>
              <w:rPr>
                <w:rFonts w:hint="eastAsia" w:ascii="宋体" w:hAnsi="宋体" w:cs="宋体"/>
                <w:bCs/>
                <w:i/>
                <w:iCs/>
                <w:kern w:val="0"/>
                <w:u w:val="single"/>
                <w:lang w:val="en-US" w:eastAsia="zh-CN"/>
              </w:rPr>
              <w:t xml:space="preserve">    </w:t>
            </w:r>
            <w:r>
              <w:rPr>
                <w:rFonts w:hint="eastAsia" w:ascii="宋体" w:hAnsi="宋体" w:cs="宋体"/>
                <w:bCs/>
                <w:kern w:val="0"/>
                <w:lang w:val="en-US" w:eastAsia="zh-CN"/>
              </w:rPr>
              <w:t>市</w:t>
            </w:r>
            <w:r>
              <w:rPr>
                <w:rFonts w:hint="eastAsia" w:ascii="宋体" w:hAnsi="宋体" w:cs="宋体"/>
                <w:bCs/>
                <w:kern w:val="0"/>
                <w:u w:val="single"/>
                <w:lang w:val="en-US" w:eastAsia="zh-CN"/>
              </w:rPr>
              <w:t xml:space="preserve">    </w:t>
            </w:r>
            <w:r>
              <w:rPr>
                <w:rFonts w:hint="eastAsia" w:ascii="宋体" w:hAnsi="宋体" w:cs="宋体"/>
                <w:bCs/>
                <w:kern w:val="0"/>
                <w:lang w:val="en-US" w:eastAsia="zh-CN"/>
              </w:rPr>
              <w:t>区（县）</w:t>
            </w:r>
            <w:r>
              <w:rPr>
                <w:rFonts w:hint="eastAsia" w:ascii="宋体" w:hAnsi="宋体" w:cs="宋体"/>
                <w:bCs/>
                <w:kern w:val="0"/>
                <w:u w:val="single"/>
                <w:lang w:val="en-US" w:eastAsia="zh-CN"/>
              </w:rPr>
              <w:t xml:space="preserve">    </w:t>
            </w:r>
            <w:r>
              <w:rPr>
                <w:rFonts w:hint="eastAsia" w:ascii="宋体" w:hAnsi="宋体" w:cs="宋体"/>
                <w:bCs/>
                <w:kern w:val="0"/>
                <w:lang w:val="en-US" w:eastAsia="zh-CN"/>
              </w:rPr>
              <w:t>街（乡)</w:t>
            </w:r>
            <w:r>
              <w:rPr>
                <w:rFonts w:hint="eastAsia" w:ascii="宋体" w:hAnsi="宋体" w:cs="宋体"/>
                <w:bCs/>
                <w:kern w:val="0"/>
                <w:u w:val="single"/>
                <w:lang w:val="en-US" w:eastAsia="zh-CN"/>
              </w:rPr>
              <w:t xml:space="preserve">    </w:t>
            </w:r>
            <w:r>
              <w:rPr>
                <w:rFonts w:hint="eastAsia" w:ascii="宋体" w:hAnsi="宋体" w:cs="宋体"/>
                <w:bCs/>
                <w:kern w:val="0"/>
                <w:lang w:val="en-US" w:eastAsia="zh-CN"/>
              </w:rPr>
              <w:t xml:space="preserve">  </w:t>
            </w:r>
          </w:p>
        </w:tc>
        <w:tc>
          <w:tcPr>
            <w:tcW w:w="1416" w:type="dxa"/>
            <w:tcBorders>
              <w:right w:val="nil"/>
            </w:tcBorders>
            <w:vAlign w:val="center"/>
          </w:tcPr>
          <w:p w14:paraId="0781E264">
            <w:pPr>
              <w:widowControl/>
              <w:ind w:left="-107" w:leftChars="-51" w:right="-107" w:rightChars="-51"/>
              <w:jc w:val="center"/>
              <w:rPr>
                <w:rFonts w:hint="eastAsia" w:ascii="宋体" w:hAnsi="宋体" w:cs="宋体"/>
                <w:bCs/>
                <w:kern w:val="0"/>
                <w:lang w:eastAsia="zh-CN"/>
              </w:rPr>
            </w:pPr>
            <w:r>
              <w:rPr>
                <w:rFonts w:hint="eastAsia" w:ascii="宋体" w:hAnsi="宋体" w:cs="宋体"/>
                <w:bCs/>
                <w:kern w:val="0"/>
                <w:lang w:eastAsia="zh-CN"/>
              </w:rPr>
              <w:t>样品类型</w:t>
            </w:r>
          </w:p>
        </w:tc>
        <w:tc>
          <w:tcPr>
            <w:tcW w:w="1331" w:type="dxa"/>
            <w:tcBorders>
              <w:right w:val="nil"/>
            </w:tcBorders>
            <w:vAlign w:val="center"/>
          </w:tcPr>
          <w:p w14:paraId="3327D441">
            <w:pPr>
              <w:widowControl/>
              <w:ind w:left="-107" w:leftChars="-51" w:right="-107" w:rightChars="-51"/>
              <w:jc w:val="center"/>
              <w:rPr>
                <w:rFonts w:ascii="宋体" w:hAnsi="宋体" w:cs="宋体"/>
                <w:bCs/>
                <w:kern w:val="0"/>
              </w:rPr>
            </w:pPr>
          </w:p>
        </w:tc>
        <w:tc>
          <w:tcPr>
            <w:tcW w:w="1401" w:type="dxa"/>
            <w:tcBorders>
              <w:right w:val="nil"/>
            </w:tcBorders>
            <w:vAlign w:val="center"/>
          </w:tcPr>
          <w:p w14:paraId="135DF889">
            <w:pPr>
              <w:widowControl/>
              <w:ind w:left="-107" w:leftChars="-51" w:right="-107" w:rightChars="-51"/>
              <w:jc w:val="center"/>
              <w:rPr>
                <w:rFonts w:hint="eastAsia" w:ascii="宋体" w:hAnsi="宋体" w:eastAsia="宋体" w:cs="宋体"/>
                <w:bCs/>
                <w:kern w:val="0"/>
                <w:lang w:eastAsia="zh-CN"/>
              </w:rPr>
            </w:pPr>
            <w:r>
              <w:rPr>
                <w:rFonts w:hint="eastAsia" w:ascii="宋体" w:hAnsi="宋体" w:cs="宋体"/>
                <w:bCs/>
                <w:kern w:val="0"/>
                <w:lang w:eastAsia="zh-CN"/>
              </w:rPr>
              <w:t>待测物</w:t>
            </w:r>
          </w:p>
        </w:tc>
        <w:tc>
          <w:tcPr>
            <w:tcW w:w="1138" w:type="dxa"/>
            <w:tcBorders>
              <w:right w:val="nil"/>
            </w:tcBorders>
            <w:vAlign w:val="center"/>
          </w:tcPr>
          <w:p w14:paraId="2906310B">
            <w:pPr>
              <w:widowControl/>
              <w:ind w:left="-107" w:leftChars="-51" w:right="-107" w:rightChars="-51"/>
              <w:jc w:val="center"/>
              <w:rPr>
                <w:rFonts w:ascii="宋体" w:hAnsi="宋体" w:cs="宋体"/>
                <w:bCs/>
                <w:kern w:val="0"/>
              </w:rPr>
            </w:pPr>
          </w:p>
        </w:tc>
      </w:tr>
      <w:tr w14:paraId="7D90F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695" w:type="dxa"/>
            <w:tcBorders>
              <w:left w:val="nil"/>
            </w:tcBorders>
            <w:vAlign w:val="center"/>
          </w:tcPr>
          <w:p w14:paraId="5AA4BD64">
            <w:pPr>
              <w:widowControl/>
              <w:ind w:left="-107" w:leftChars="-51" w:right="-107" w:rightChars="-51"/>
              <w:jc w:val="center"/>
              <w:rPr>
                <w:rFonts w:ascii="宋体" w:hAnsi="宋体" w:cs="宋体"/>
                <w:bCs/>
                <w:kern w:val="0"/>
              </w:rPr>
            </w:pPr>
            <w:r>
              <w:rPr>
                <w:rFonts w:hint="eastAsia" w:ascii="宋体" w:hAnsi="宋体" w:cs="宋体"/>
                <w:bCs/>
                <w:kern w:val="0"/>
              </w:rPr>
              <w:t>风速（m/s</w:t>
            </w:r>
            <w:r>
              <w:rPr>
                <w:rFonts w:ascii="宋体" w:hAnsi="宋体" w:cs="宋体"/>
                <w:bCs/>
                <w:kern w:val="0"/>
              </w:rPr>
              <w:t>）</w:t>
            </w:r>
          </w:p>
        </w:tc>
        <w:tc>
          <w:tcPr>
            <w:tcW w:w="1129" w:type="dxa"/>
            <w:tcBorders>
              <w:right w:val="nil"/>
            </w:tcBorders>
            <w:vAlign w:val="center"/>
          </w:tcPr>
          <w:p w14:paraId="0E95402F">
            <w:pPr>
              <w:widowControl/>
              <w:ind w:left="-107" w:leftChars="-51" w:right="-107" w:rightChars="-51"/>
              <w:jc w:val="center"/>
              <w:rPr>
                <w:rFonts w:ascii="宋体" w:hAnsi="宋体" w:cs="宋体"/>
                <w:bCs/>
                <w:kern w:val="0"/>
              </w:rPr>
            </w:pPr>
          </w:p>
        </w:tc>
        <w:tc>
          <w:tcPr>
            <w:tcW w:w="1557" w:type="dxa"/>
            <w:tcBorders>
              <w:right w:val="nil"/>
            </w:tcBorders>
            <w:vAlign w:val="center"/>
          </w:tcPr>
          <w:p w14:paraId="5E1C3DCE">
            <w:pPr>
              <w:widowControl/>
              <w:ind w:left="-107" w:leftChars="-51" w:right="-107" w:rightChars="-51"/>
              <w:jc w:val="center"/>
              <w:rPr>
                <w:rFonts w:ascii="宋体" w:hAnsi="宋体" w:cs="宋体"/>
                <w:bCs/>
                <w:kern w:val="0"/>
              </w:rPr>
            </w:pPr>
            <w:r>
              <w:rPr>
                <w:rFonts w:hint="eastAsia" w:ascii="宋体" w:hAnsi="宋体" w:cs="宋体"/>
                <w:bCs/>
                <w:kern w:val="0"/>
              </w:rPr>
              <w:t>气压</w:t>
            </w:r>
            <w:r>
              <w:rPr>
                <w:rFonts w:ascii="宋体" w:hAnsi="宋体" w:cs="宋体"/>
                <w:bCs/>
                <w:kern w:val="0"/>
              </w:rPr>
              <w:t>（</w:t>
            </w:r>
            <w:r>
              <w:rPr>
                <w:rFonts w:hint="eastAsia" w:ascii="宋体" w:hAnsi="宋体" w:cs="宋体"/>
                <w:bCs/>
                <w:kern w:val="0"/>
              </w:rPr>
              <w:t>kPa</w:t>
            </w:r>
            <w:r>
              <w:rPr>
                <w:rFonts w:ascii="宋体" w:hAnsi="宋体" w:cs="宋体"/>
                <w:bCs/>
                <w:kern w:val="0"/>
              </w:rPr>
              <w:t>）</w:t>
            </w:r>
          </w:p>
        </w:tc>
        <w:tc>
          <w:tcPr>
            <w:tcW w:w="1532" w:type="dxa"/>
            <w:tcBorders>
              <w:right w:val="nil"/>
            </w:tcBorders>
            <w:vAlign w:val="center"/>
          </w:tcPr>
          <w:p w14:paraId="71044F3B">
            <w:pPr>
              <w:widowControl/>
              <w:ind w:left="-107" w:leftChars="-51" w:right="-107" w:rightChars="-51"/>
              <w:jc w:val="center"/>
              <w:rPr>
                <w:rFonts w:ascii="宋体" w:hAnsi="宋体" w:cs="宋体"/>
                <w:bCs/>
                <w:kern w:val="0"/>
              </w:rPr>
            </w:pPr>
          </w:p>
        </w:tc>
        <w:tc>
          <w:tcPr>
            <w:tcW w:w="1416" w:type="dxa"/>
            <w:tcBorders>
              <w:right w:val="nil"/>
            </w:tcBorders>
            <w:vAlign w:val="center"/>
          </w:tcPr>
          <w:p w14:paraId="51E24044">
            <w:pPr>
              <w:widowControl/>
              <w:ind w:left="-107" w:leftChars="-51" w:right="-107" w:rightChars="-51"/>
              <w:jc w:val="center"/>
              <w:rPr>
                <w:rFonts w:ascii="宋体" w:hAnsi="宋体" w:cs="宋体"/>
                <w:bCs/>
                <w:kern w:val="0"/>
              </w:rPr>
            </w:pPr>
            <w:r>
              <w:rPr>
                <w:rFonts w:hint="eastAsia" w:ascii="宋体" w:hAnsi="宋体" w:cs="宋体"/>
                <w:bCs/>
                <w:kern w:val="0"/>
              </w:rPr>
              <w:t>温度（℃</w:t>
            </w:r>
            <w:r>
              <w:rPr>
                <w:rFonts w:ascii="宋体" w:hAnsi="宋体" w:cs="宋体"/>
                <w:bCs/>
                <w:kern w:val="0"/>
              </w:rPr>
              <w:t>）</w:t>
            </w:r>
          </w:p>
        </w:tc>
        <w:tc>
          <w:tcPr>
            <w:tcW w:w="1331" w:type="dxa"/>
            <w:tcBorders>
              <w:right w:val="nil"/>
            </w:tcBorders>
            <w:vAlign w:val="center"/>
          </w:tcPr>
          <w:p w14:paraId="7240EA64">
            <w:pPr>
              <w:widowControl/>
              <w:ind w:left="-107" w:leftChars="-51" w:right="-107" w:rightChars="-51"/>
              <w:jc w:val="center"/>
              <w:rPr>
                <w:rFonts w:ascii="宋体" w:hAnsi="宋体" w:cs="宋体"/>
                <w:bCs/>
                <w:kern w:val="0"/>
              </w:rPr>
            </w:pPr>
          </w:p>
        </w:tc>
        <w:tc>
          <w:tcPr>
            <w:tcW w:w="1401" w:type="dxa"/>
            <w:tcBorders>
              <w:right w:val="nil"/>
            </w:tcBorders>
            <w:vAlign w:val="center"/>
          </w:tcPr>
          <w:p w14:paraId="630A4651">
            <w:pPr>
              <w:widowControl/>
              <w:ind w:left="-158" w:leftChars="-75" w:right="-158" w:rightChars="-75" w:firstLine="210" w:firstLineChars="100"/>
              <w:rPr>
                <w:rFonts w:ascii="宋体" w:hAnsi="宋体" w:cs="宋体"/>
                <w:bCs/>
                <w:kern w:val="0"/>
              </w:rPr>
            </w:pPr>
            <w:r>
              <w:rPr>
                <w:rFonts w:hint="eastAsia" w:ascii="宋体" w:hAnsi="宋体" w:cs="宋体"/>
                <w:bCs/>
                <w:kern w:val="0"/>
              </w:rPr>
              <w:t>相对</w:t>
            </w:r>
            <w:r>
              <w:rPr>
                <w:rFonts w:ascii="宋体" w:hAnsi="宋体" w:cs="宋体"/>
                <w:bCs/>
                <w:kern w:val="0"/>
              </w:rPr>
              <w:t>湿度</w:t>
            </w:r>
            <w:r>
              <w:rPr>
                <w:rFonts w:hint="eastAsia" w:ascii="宋体" w:hAnsi="宋体" w:cs="宋体"/>
                <w:bCs/>
                <w:kern w:val="0"/>
              </w:rPr>
              <w:t>（%</w:t>
            </w:r>
            <w:r>
              <w:rPr>
                <w:rFonts w:ascii="宋体" w:hAnsi="宋体" w:cs="宋体"/>
                <w:bCs/>
                <w:kern w:val="0"/>
              </w:rPr>
              <w:t>）</w:t>
            </w:r>
          </w:p>
        </w:tc>
        <w:tc>
          <w:tcPr>
            <w:tcW w:w="1138" w:type="dxa"/>
            <w:tcBorders>
              <w:right w:val="nil"/>
            </w:tcBorders>
            <w:vAlign w:val="center"/>
          </w:tcPr>
          <w:p w14:paraId="503F7EB2">
            <w:pPr>
              <w:widowControl/>
              <w:ind w:left="-107" w:leftChars="-51" w:right="-107" w:rightChars="-51"/>
              <w:jc w:val="center"/>
              <w:rPr>
                <w:rFonts w:ascii="宋体" w:hAnsi="宋体" w:cs="宋体"/>
                <w:kern w:val="0"/>
                <w:sz w:val="24"/>
                <w:szCs w:val="24"/>
              </w:rPr>
            </w:pPr>
          </w:p>
        </w:tc>
      </w:tr>
      <w:tr w14:paraId="24976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695" w:type="dxa"/>
            <w:tcBorders>
              <w:left w:val="nil"/>
            </w:tcBorders>
            <w:vAlign w:val="center"/>
          </w:tcPr>
          <w:p w14:paraId="5DDDE848">
            <w:pPr>
              <w:jc w:val="center"/>
              <w:rPr>
                <w:rFonts w:ascii="宋体" w:hAnsi="宋体"/>
                <w:bCs/>
                <w:color w:val="000000"/>
              </w:rPr>
            </w:pPr>
            <w:r>
              <w:rPr>
                <w:rFonts w:hint="eastAsia" w:ascii="宋体" w:hAnsi="宋体"/>
                <w:bCs/>
                <w:color w:val="000000"/>
              </w:rPr>
              <w:t>检测方法</w:t>
            </w:r>
          </w:p>
        </w:tc>
        <w:tc>
          <w:tcPr>
            <w:tcW w:w="4218" w:type="dxa"/>
            <w:gridSpan w:val="3"/>
            <w:tcBorders>
              <w:right w:val="nil"/>
            </w:tcBorders>
            <w:vAlign w:val="center"/>
          </w:tcPr>
          <w:p w14:paraId="4D5A0F08">
            <w:pPr>
              <w:pStyle w:val="258"/>
              <w:widowControl/>
              <w:ind w:right="-107" w:rightChars="-51" w:firstLine="0" w:firstLineChars="0"/>
              <w:jc w:val="left"/>
              <w:rPr>
                <w:rFonts w:ascii="宋体" w:hAnsi="宋体" w:cs="宋体"/>
                <w:bCs/>
                <w:kern w:val="0"/>
              </w:rPr>
            </w:pPr>
            <w:r>
              <w:rPr>
                <w:rFonts w:hint="eastAsia" w:ascii="宋体" w:hAnsi="宋体" w:cs="宋体"/>
                <w:bCs/>
                <w:kern w:val="0"/>
              </w:rPr>
              <w:t xml:space="preserve">  </w:t>
            </w:r>
          </w:p>
        </w:tc>
        <w:tc>
          <w:tcPr>
            <w:tcW w:w="1416" w:type="dxa"/>
            <w:tcBorders>
              <w:right w:val="nil"/>
            </w:tcBorders>
            <w:vAlign w:val="center"/>
          </w:tcPr>
          <w:p w14:paraId="276C6E11">
            <w:pPr>
              <w:pStyle w:val="258"/>
              <w:widowControl/>
              <w:ind w:right="-107" w:rightChars="-51" w:firstLine="0" w:firstLineChars="0"/>
              <w:jc w:val="center"/>
              <w:rPr>
                <w:rFonts w:ascii="宋体" w:hAnsi="宋体" w:cs="宋体"/>
                <w:bCs/>
                <w:kern w:val="0"/>
              </w:rPr>
            </w:pPr>
            <w:r>
              <w:rPr>
                <w:rFonts w:hint="eastAsia" w:ascii="宋体" w:hAnsi="宋体" w:cs="宋体"/>
                <w:bCs/>
                <w:kern w:val="0"/>
              </w:rPr>
              <w:t>干扰物</w:t>
            </w:r>
          </w:p>
        </w:tc>
        <w:tc>
          <w:tcPr>
            <w:tcW w:w="1331" w:type="dxa"/>
            <w:tcBorders>
              <w:right w:val="nil"/>
            </w:tcBorders>
            <w:vAlign w:val="center"/>
          </w:tcPr>
          <w:p w14:paraId="4033CE91">
            <w:pPr>
              <w:pStyle w:val="258"/>
              <w:widowControl/>
              <w:ind w:right="-107" w:rightChars="-51" w:firstLine="0" w:firstLineChars="0"/>
              <w:jc w:val="left"/>
              <w:rPr>
                <w:rFonts w:ascii="宋体" w:hAnsi="宋体" w:cs="宋体"/>
                <w:bCs/>
                <w:kern w:val="0"/>
              </w:rPr>
            </w:pPr>
          </w:p>
        </w:tc>
        <w:tc>
          <w:tcPr>
            <w:tcW w:w="1401" w:type="dxa"/>
            <w:tcBorders>
              <w:right w:val="nil"/>
            </w:tcBorders>
            <w:vAlign w:val="center"/>
          </w:tcPr>
          <w:p w14:paraId="5C167680">
            <w:pPr>
              <w:pStyle w:val="258"/>
              <w:widowControl/>
              <w:ind w:right="-107" w:rightChars="-51" w:firstLine="210" w:firstLineChars="100"/>
              <w:rPr>
                <w:rFonts w:ascii="宋体" w:hAnsi="宋体" w:cs="宋体"/>
                <w:bCs/>
                <w:kern w:val="0"/>
              </w:rPr>
            </w:pPr>
            <w:r>
              <w:rPr>
                <w:rFonts w:hint="eastAsia" w:ascii="宋体" w:hAnsi="宋体" w:cs="宋体"/>
                <w:bCs/>
                <w:kern w:val="0"/>
              </w:rPr>
              <w:t>消除方法</w:t>
            </w:r>
          </w:p>
        </w:tc>
        <w:tc>
          <w:tcPr>
            <w:tcW w:w="1138" w:type="dxa"/>
            <w:tcBorders>
              <w:right w:val="nil"/>
            </w:tcBorders>
            <w:vAlign w:val="center"/>
          </w:tcPr>
          <w:p w14:paraId="79A31F7A">
            <w:pPr>
              <w:pStyle w:val="258"/>
              <w:widowControl/>
              <w:ind w:right="-107" w:rightChars="-51" w:firstLine="0" w:firstLineChars="0"/>
              <w:jc w:val="left"/>
              <w:rPr>
                <w:rFonts w:ascii="宋体" w:hAnsi="宋体" w:cs="宋体"/>
                <w:b/>
                <w:kern w:val="0"/>
              </w:rPr>
            </w:pPr>
          </w:p>
        </w:tc>
      </w:tr>
      <w:tr w14:paraId="454DD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695" w:type="dxa"/>
            <w:tcBorders>
              <w:left w:val="nil"/>
              <w:bottom w:val="single" w:color="auto" w:sz="12" w:space="0"/>
            </w:tcBorders>
            <w:vAlign w:val="center"/>
          </w:tcPr>
          <w:p w14:paraId="0A29E581">
            <w:pPr>
              <w:jc w:val="center"/>
              <w:rPr>
                <w:rFonts w:ascii="宋体" w:hAnsi="宋体"/>
                <w:bCs/>
                <w:color w:val="000000"/>
              </w:rPr>
            </w:pPr>
            <w:r>
              <w:rPr>
                <w:rFonts w:hint="eastAsia" w:ascii="宋体" w:hAnsi="宋体"/>
                <w:bCs/>
                <w:color w:val="000000"/>
              </w:rPr>
              <w:t>仪器名称</w:t>
            </w:r>
          </w:p>
        </w:tc>
        <w:tc>
          <w:tcPr>
            <w:tcW w:w="1129" w:type="dxa"/>
            <w:tcBorders>
              <w:bottom w:val="single" w:color="auto" w:sz="12" w:space="0"/>
            </w:tcBorders>
            <w:vAlign w:val="center"/>
          </w:tcPr>
          <w:p w14:paraId="2B38C740">
            <w:pPr>
              <w:widowControl/>
              <w:ind w:left="-107" w:leftChars="-51" w:right="-107" w:rightChars="-51"/>
              <w:jc w:val="center"/>
              <w:rPr>
                <w:rFonts w:ascii="宋体" w:hAnsi="宋体" w:cs="宋体"/>
                <w:bCs/>
                <w:kern w:val="0"/>
              </w:rPr>
            </w:pPr>
          </w:p>
        </w:tc>
        <w:tc>
          <w:tcPr>
            <w:tcW w:w="1557" w:type="dxa"/>
            <w:tcBorders>
              <w:bottom w:val="single" w:color="auto" w:sz="12" w:space="0"/>
            </w:tcBorders>
            <w:vAlign w:val="center"/>
          </w:tcPr>
          <w:p w14:paraId="3E07DC97">
            <w:pPr>
              <w:widowControl/>
              <w:ind w:left="-107" w:leftChars="-51" w:right="-107" w:rightChars="-51"/>
              <w:jc w:val="center"/>
              <w:rPr>
                <w:rFonts w:hint="eastAsia" w:ascii="宋体" w:hAnsi="宋体" w:eastAsia="宋体" w:cs="宋体"/>
                <w:bCs/>
                <w:kern w:val="0"/>
                <w:lang w:val="en-US" w:eastAsia="zh-CN"/>
              </w:rPr>
            </w:pPr>
            <w:r>
              <w:rPr>
                <w:rFonts w:hint="eastAsia" w:ascii="宋体" w:hAnsi="宋体" w:cs="宋体"/>
                <w:bCs/>
                <w:kern w:val="0"/>
              </w:rPr>
              <w:t>仪器</w:t>
            </w:r>
            <w:r>
              <w:rPr>
                <w:rFonts w:ascii="宋体" w:hAnsi="宋体" w:cs="宋体"/>
                <w:bCs/>
                <w:kern w:val="0"/>
              </w:rPr>
              <w:t>型号</w:t>
            </w:r>
          </w:p>
        </w:tc>
        <w:tc>
          <w:tcPr>
            <w:tcW w:w="1532" w:type="dxa"/>
            <w:tcBorders>
              <w:bottom w:val="single" w:color="auto" w:sz="12" w:space="0"/>
            </w:tcBorders>
            <w:vAlign w:val="center"/>
          </w:tcPr>
          <w:p w14:paraId="31BE7DD4">
            <w:pPr>
              <w:widowControl/>
              <w:ind w:left="-107" w:leftChars="-51" w:right="-107" w:rightChars="-51"/>
              <w:jc w:val="center"/>
              <w:rPr>
                <w:rFonts w:ascii="宋体" w:hAnsi="宋体" w:cs="宋体"/>
                <w:bCs/>
                <w:kern w:val="0"/>
              </w:rPr>
            </w:pPr>
          </w:p>
        </w:tc>
        <w:tc>
          <w:tcPr>
            <w:tcW w:w="1416" w:type="dxa"/>
            <w:tcBorders>
              <w:bottom w:val="single" w:color="auto" w:sz="12" w:space="0"/>
            </w:tcBorders>
            <w:vAlign w:val="center"/>
          </w:tcPr>
          <w:p w14:paraId="62070A71">
            <w:pPr>
              <w:widowControl/>
              <w:ind w:left="-107" w:leftChars="-51" w:right="-107" w:rightChars="-51"/>
              <w:jc w:val="center"/>
              <w:rPr>
                <w:rFonts w:ascii="宋体" w:hAnsi="宋体" w:cs="宋体"/>
                <w:bCs/>
                <w:kern w:val="0"/>
              </w:rPr>
            </w:pPr>
            <w:r>
              <w:rPr>
                <w:rFonts w:hint="eastAsia" w:ascii="宋体" w:hAnsi="宋体" w:cs="宋体"/>
                <w:bCs/>
                <w:kern w:val="0"/>
              </w:rPr>
              <w:t>仪器校准时间</w:t>
            </w:r>
          </w:p>
        </w:tc>
        <w:tc>
          <w:tcPr>
            <w:tcW w:w="1331" w:type="dxa"/>
            <w:tcBorders>
              <w:bottom w:val="single" w:color="auto" w:sz="12" w:space="0"/>
              <w:right w:val="nil"/>
            </w:tcBorders>
            <w:vAlign w:val="center"/>
          </w:tcPr>
          <w:p w14:paraId="5DC33330">
            <w:pPr>
              <w:widowControl/>
              <w:ind w:left="-107" w:leftChars="-51" w:right="-107" w:rightChars="-51"/>
              <w:jc w:val="center"/>
              <w:rPr>
                <w:rFonts w:ascii="宋体" w:hAnsi="宋体" w:cs="宋体"/>
                <w:bCs/>
                <w:kern w:val="0"/>
              </w:rPr>
            </w:pPr>
          </w:p>
        </w:tc>
        <w:tc>
          <w:tcPr>
            <w:tcW w:w="1401" w:type="dxa"/>
            <w:tcBorders>
              <w:bottom w:val="single" w:color="auto" w:sz="12" w:space="0"/>
              <w:right w:val="nil"/>
            </w:tcBorders>
            <w:vAlign w:val="center"/>
          </w:tcPr>
          <w:p w14:paraId="56393D25">
            <w:pPr>
              <w:widowControl/>
              <w:ind w:left="-107" w:leftChars="-51" w:right="-107" w:rightChars="-51"/>
              <w:jc w:val="center"/>
              <w:rPr>
                <w:rFonts w:ascii="宋体" w:hAnsi="宋体" w:cs="宋体"/>
                <w:bCs/>
                <w:kern w:val="0"/>
              </w:rPr>
            </w:pPr>
            <w:r>
              <w:rPr>
                <w:rFonts w:hint="eastAsia" w:ascii="宋体" w:hAnsi="宋体"/>
                <w:bCs/>
                <w:color w:val="000000"/>
              </w:rPr>
              <w:t>仪器</w:t>
            </w:r>
            <w:r>
              <w:rPr>
                <w:rFonts w:ascii="宋体" w:hAnsi="宋体"/>
                <w:bCs/>
                <w:color w:val="000000"/>
              </w:rPr>
              <w:t>修正系数</w:t>
            </w:r>
          </w:p>
        </w:tc>
        <w:tc>
          <w:tcPr>
            <w:tcW w:w="1138" w:type="dxa"/>
            <w:tcBorders>
              <w:bottom w:val="single" w:color="auto" w:sz="12" w:space="0"/>
              <w:right w:val="nil"/>
            </w:tcBorders>
            <w:vAlign w:val="center"/>
          </w:tcPr>
          <w:p w14:paraId="30E2526E">
            <w:pPr>
              <w:widowControl/>
              <w:ind w:left="-107" w:leftChars="-51" w:right="-107" w:rightChars="-51"/>
              <w:jc w:val="center"/>
              <w:rPr>
                <w:rFonts w:ascii="宋体" w:hAnsi="宋体" w:cs="宋体"/>
                <w:b/>
                <w:kern w:val="0"/>
                <w:sz w:val="24"/>
                <w:szCs w:val="24"/>
              </w:rPr>
            </w:pPr>
          </w:p>
        </w:tc>
      </w:tr>
    </w:tbl>
    <w:tbl>
      <w:tblPr>
        <w:tblStyle w:val="27"/>
        <w:tblpPr w:leftFromText="180" w:rightFromText="180" w:vertAnchor="text" w:horzAnchor="page" w:tblpX="493" w:tblpY="455"/>
        <w:tblOverlap w:val="never"/>
        <w:tblW w:w="11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610"/>
        <w:gridCol w:w="860"/>
        <w:gridCol w:w="1970"/>
        <w:gridCol w:w="1218"/>
        <w:gridCol w:w="1305"/>
        <w:gridCol w:w="1344"/>
        <w:gridCol w:w="1301"/>
        <w:gridCol w:w="851"/>
      </w:tblGrid>
      <w:tr w14:paraId="5BD46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40" w:type="dxa"/>
            <w:tcBorders>
              <w:top w:val="single" w:color="auto" w:sz="12" w:space="0"/>
              <w:left w:val="nil"/>
            </w:tcBorders>
            <w:vAlign w:val="center"/>
          </w:tcPr>
          <w:p w14:paraId="6827064D">
            <w:pPr>
              <w:adjustRightInd/>
              <w:spacing w:line="240" w:lineRule="exact"/>
              <w:jc w:val="center"/>
              <w:rPr>
                <w:rFonts w:hint="eastAsia" w:eastAsia="宋体"/>
                <w:bCs/>
                <w:lang w:eastAsia="zh-CN"/>
              </w:rPr>
            </w:pPr>
            <w:r>
              <w:rPr>
                <w:rFonts w:hint="eastAsia"/>
                <w:bCs/>
                <w:lang w:eastAsia="zh-CN"/>
              </w:rPr>
              <w:t>样品编号</w:t>
            </w:r>
          </w:p>
        </w:tc>
        <w:tc>
          <w:tcPr>
            <w:tcW w:w="1610" w:type="dxa"/>
            <w:tcBorders>
              <w:top w:val="single" w:color="auto" w:sz="12" w:space="0"/>
            </w:tcBorders>
            <w:vAlign w:val="center"/>
          </w:tcPr>
          <w:p w14:paraId="490701FE">
            <w:pPr>
              <w:adjustRightInd/>
              <w:spacing w:line="240" w:lineRule="exact"/>
              <w:jc w:val="center"/>
              <w:rPr>
                <w:bCs/>
              </w:rPr>
            </w:pPr>
            <w:r>
              <w:rPr>
                <w:rFonts w:hint="eastAsia"/>
                <w:bCs/>
              </w:rPr>
              <w:t>检测</w:t>
            </w:r>
            <w:r>
              <w:rPr>
                <w:bCs/>
              </w:rPr>
              <w:t>地点</w:t>
            </w:r>
          </w:p>
        </w:tc>
        <w:tc>
          <w:tcPr>
            <w:tcW w:w="860" w:type="dxa"/>
            <w:tcBorders>
              <w:top w:val="single" w:color="auto" w:sz="12" w:space="0"/>
            </w:tcBorders>
            <w:vAlign w:val="center"/>
          </w:tcPr>
          <w:p w14:paraId="45919003">
            <w:pPr>
              <w:adjustRightInd/>
              <w:spacing w:line="240" w:lineRule="exact"/>
              <w:jc w:val="center"/>
              <w:rPr>
                <w:bCs/>
              </w:rPr>
            </w:pPr>
            <w:r>
              <w:rPr>
                <w:rFonts w:hint="eastAsia"/>
                <w:bCs/>
              </w:rPr>
              <w:t>仪器</w:t>
            </w:r>
          </w:p>
          <w:p w14:paraId="61FB50A9">
            <w:pPr>
              <w:adjustRightInd/>
              <w:spacing w:line="240" w:lineRule="exact"/>
              <w:jc w:val="center"/>
              <w:rPr>
                <w:bCs/>
              </w:rPr>
            </w:pPr>
            <w:r>
              <w:rPr>
                <w:bCs/>
              </w:rPr>
              <w:t>编号</w:t>
            </w:r>
          </w:p>
        </w:tc>
        <w:tc>
          <w:tcPr>
            <w:tcW w:w="1970" w:type="dxa"/>
            <w:tcBorders>
              <w:top w:val="single" w:color="auto" w:sz="12" w:space="0"/>
            </w:tcBorders>
            <w:vAlign w:val="center"/>
          </w:tcPr>
          <w:p w14:paraId="4E193F55">
            <w:pPr>
              <w:adjustRightInd/>
              <w:spacing w:line="240" w:lineRule="exact"/>
              <w:jc w:val="center"/>
              <w:rPr>
                <w:bCs/>
              </w:rPr>
            </w:pPr>
            <w:r>
              <w:rPr>
                <w:rFonts w:hint="eastAsia"/>
                <w:bCs/>
              </w:rPr>
              <w:t>生产</w:t>
            </w:r>
            <w:r>
              <w:rPr>
                <w:bCs/>
              </w:rPr>
              <w:t>情况、</w:t>
            </w:r>
            <w:r>
              <w:rPr>
                <w:rFonts w:hint="eastAsia"/>
                <w:bCs/>
              </w:rPr>
              <w:t>职业病</w:t>
            </w:r>
            <w:r>
              <w:rPr>
                <w:bCs/>
              </w:rPr>
              <w:t>防护设施</w:t>
            </w:r>
            <w:r>
              <w:rPr>
                <w:rFonts w:hint="eastAsia"/>
                <w:bCs/>
              </w:rPr>
              <w:t>运行情况</w:t>
            </w:r>
          </w:p>
        </w:tc>
        <w:tc>
          <w:tcPr>
            <w:tcW w:w="1218" w:type="dxa"/>
            <w:tcBorders>
              <w:top w:val="single" w:color="auto" w:sz="12" w:space="0"/>
            </w:tcBorders>
            <w:vAlign w:val="center"/>
          </w:tcPr>
          <w:p w14:paraId="6B822263">
            <w:pPr>
              <w:adjustRightInd/>
              <w:spacing w:line="240" w:lineRule="exact"/>
              <w:jc w:val="center"/>
              <w:rPr>
                <w:bCs/>
              </w:rPr>
            </w:pPr>
            <w:r>
              <w:rPr>
                <w:rFonts w:hint="eastAsia"/>
                <w:bCs/>
              </w:rPr>
              <w:t>检测</w:t>
            </w:r>
            <w:r>
              <w:rPr>
                <w:bCs/>
              </w:rPr>
              <w:t>时间</w:t>
            </w:r>
          </w:p>
        </w:tc>
        <w:tc>
          <w:tcPr>
            <w:tcW w:w="1305" w:type="dxa"/>
            <w:tcBorders>
              <w:top w:val="single" w:color="auto" w:sz="12" w:space="0"/>
            </w:tcBorders>
            <w:vAlign w:val="center"/>
          </w:tcPr>
          <w:p w14:paraId="340CE638">
            <w:pPr>
              <w:adjustRightInd/>
              <w:spacing w:line="240" w:lineRule="exact"/>
              <w:jc w:val="center"/>
              <w:rPr>
                <w:bCs/>
              </w:rPr>
            </w:pPr>
            <w:r>
              <w:rPr>
                <w:rFonts w:hint="eastAsia"/>
                <w:bCs/>
              </w:rPr>
              <w:t>测定值（mg/m</w:t>
            </w:r>
            <w:r>
              <w:rPr>
                <w:rFonts w:hint="eastAsia"/>
                <w:bCs/>
                <w:vertAlign w:val="superscript"/>
              </w:rPr>
              <w:t>3</w:t>
            </w:r>
            <w:r>
              <w:rPr>
                <w:rFonts w:hint="eastAsia"/>
                <w:bCs/>
              </w:rPr>
              <w:t>）</w:t>
            </w:r>
          </w:p>
        </w:tc>
        <w:tc>
          <w:tcPr>
            <w:tcW w:w="1344" w:type="dxa"/>
            <w:tcBorders>
              <w:top w:val="single" w:color="auto" w:sz="12" w:space="0"/>
            </w:tcBorders>
            <w:vAlign w:val="center"/>
          </w:tcPr>
          <w:p w14:paraId="4DBEEB4F">
            <w:pPr>
              <w:adjustRightInd/>
              <w:spacing w:line="240" w:lineRule="exact"/>
              <w:jc w:val="center"/>
              <w:rPr>
                <w:bCs/>
              </w:rPr>
            </w:pPr>
            <w:r>
              <w:rPr>
                <w:rFonts w:hint="eastAsia"/>
                <w:bCs/>
              </w:rPr>
              <w:t>修正值</w:t>
            </w:r>
          </w:p>
          <w:p w14:paraId="6A860B50">
            <w:pPr>
              <w:adjustRightInd/>
              <w:spacing w:line="240" w:lineRule="exact"/>
              <w:jc w:val="center"/>
              <w:rPr>
                <w:bCs/>
              </w:rPr>
            </w:pPr>
            <w:r>
              <w:rPr>
                <w:rFonts w:hint="eastAsia"/>
                <w:bCs/>
              </w:rPr>
              <w:t>（mg/m</w:t>
            </w:r>
            <w:r>
              <w:rPr>
                <w:rFonts w:hint="eastAsia"/>
                <w:bCs/>
                <w:vertAlign w:val="superscript"/>
              </w:rPr>
              <w:t>3</w:t>
            </w:r>
            <w:r>
              <w:rPr>
                <w:rFonts w:hint="eastAsia"/>
                <w:bCs/>
              </w:rPr>
              <w:t>）</w:t>
            </w:r>
          </w:p>
        </w:tc>
        <w:tc>
          <w:tcPr>
            <w:tcW w:w="1301" w:type="dxa"/>
            <w:tcBorders>
              <w:top w:val="single" w:color="auto" w:sz="12" w:space="0"/>
            </w:tcBorders>
            <w:vAlign w:val="center"/>
          </w:tcPr>
          <w:p w14:paraId="177FBB1C">
            <w:pPr>
              <w:adjustRightInd/>
              <w:spacing w:line="240" w:lineRule="exact"/>
              <w:jc w:val="center"/>
              <w:rPr>
                <w:bCs/>
              </w:rPr>
            </w:pPr>
            <w:r>
              <w:rPr>
                <w:rFonts w:hint="eastAsia"/>
                <w:bCs/>
              </w:rPr>
              <w:t>平均值</w:t>
            </w:r>
          </w:p>
          <w:p w14:paraId="16C0B2D3">
            <w:pPr>
              <w:adjustRightInd/>
              <w:spacing w:line="240" w:lineRule="exact"/>
              <w:jc w:val="center"/>
              <w:rPr>
                <w:bCs/>
              </w:rPr>
            </w:pPr>
            <w:r>
              <w:rPr>
                <w:rFonts w:hint="eastAsia"/>
                <w:bCs/>
              </w:rPr>
              <w:t>（mg/m</w:t>
            </w:r>
            <w:r>
              <w:rPr>
                <w:rFonts w:hint="eastAsia"/>
                <w:bCs/>
                <w:vertAlign w:val="superscript"/>
              </w:rPr>
              <w:t>3</w:t>
            </w:r>
            <w:r>
              <w:rPr>
                <w:rFonts w:hint="eastAsia"/>
                <w:bCs/>
              </w:rPr>
              <w:t>）</w:t>
            </w:r>
          </w:p>
        </w:tc>
        <w:tc>
          <w:tcPr>
            <w:tcW w:w="851" w:type="dxa"/>
            <w:tcBorders>
              <w:top w:val="single" w:color="auto" w:sz="12" w:space="0"/>
              <w:right w:val="nil"/>
            </w:tcBorders>
            <w:vAlign w:val="center"/>
          </w:tcPr>
          <w:p w14:paraId="4A83D488">
            <w:pPr>
              <w:adjustRightInd/>
              <w:spacing w:line="240" w:lineRule="exact"/>
              <w:jc w:val="center"/>
              <w:rPr>
                <w:bCs/>
              </w:rPr>
            </w:pPr>
            <w:r>
              <w:rPr>
                <w:rFonts w:hint="eastAsia"/>
                <w:bCs/>
              </w:rPr>
              <w:t>备注</w:t>
            </w:r>
          </w:p>
        </w:tc>
      </w:tr>
      <w:tr w14:paraId="12A2E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tcBorders>
            <w:vAlign w:val="center"/>
          </w:tcPr>
          <w:p w14:paraId="29C14F15">
            <w:pPr>
              <w:jc w:val="center"/>
            </w:pPr>
          </w:p>
        </w:tc>
        <w:tc>
          <w:tcPr>
            <w:tcW w:w="1610" w:type="dxa"/>
            <w:vMerge w:val="restart"/>
            <w:vAlign w:val="center"/>
          </w:tcPr>
          <w:p w14:paraId="68C9AD37">
            <w:pPr>
              <w:jc w:val="center"/>
            </w:pPr>
          </w:p>
        </w:tc>
        <w:tc>
          <w:tcPr>
            <w:tcW w:w="860" w:type="dxa"/>
            <w:vMerge w:val="restart"/>
            <w:vAlign w:val="center"/>
          </w:tcPr>
          <w:p w14:paraId="0E06401B">
            <w:pPr>
              <w:jc w:val="center"/>
            </w:pPr>
          </w:p>
        </w:tc>
        <w:tc>
          <w:tcPr>
            <w:tcW w:w="1970" w:type="dxa"/>
            <w:vMerge w:val="restart"/>
            <w:vAlign w:val="center"/>
          </w:tcPr>
          <w:p w14:paraId="4606D564">
            <w:pPr>
              <w:jc w:val="center"/>
            </w:pPr>
          </w:p>
        </w:tc>
        <w:tc>
          <w:tcPr>
            <w:tcW w:w="1218" w:type="dxa"/>
            <w:vMerge w:val="restart"/>
            <w:vAlign w:val="center"/>
          </w:tcPr>
          <w:p w14:paraId="0D04CA02">
            <w:pPr>
              <w:jc w:val="center"/>
            </w:pPr>
            <w:r>
              <w:rPr>
                <w:rFonts w:hint="eastAsia"/>
              </w:rPr>
              <w:t>：</w:t>
            </w:r>
          </w:p>
        </w:tc>
        <w:tc>
          <w:tcPr>
            <w:tcW w:w="1305" w:type="dxa"/>
            <w:vAlign w:val="center"/>
          </w:tcPr>
          <w:p w14:paraId="5B9819E4">
            <w:pPr>
              <w:jc w:val="center"/>
            </w:pPr>
          </w:p>
        </w:tc>
        <w:tc>
          <w:tcPr>
            <w:tcW w:w="1344" w:type="dxa"/>
            <w:vAlign w:val="center"/>
          </w:tcPr>
          <w:p w14:paraId="2709035C">
            <w:pPr>
              <w:jc w:val="center"/>
            </w:pPr>
          </w:p>
        </w:tc>
        <w:tc>
          <w:tcPr>
            <w:tcW w:w="1301" w:type="dxa"/>
            <w:vMerge w:val="restart"/>
            <w:vAlign w:val="center"/>
          </w:tcPr>
          <w:p w14:paraId="5024FBB4">
            <w:pPr>
              <w:jc w:val="center"/>
            </w:pPr>
          </w:p>
        </w:tc>
        <w:tc>
          <w:tcPr>
            <w:tcW w:w="851" w:type="dxa"/>
            <w:vMerge w:val="restart"/>
            <w:tcBorders>
              <w:right w:val="nil"/>
            </w:tcBorders>
            <w:vAlign w:val="center"/>
          </w:tcPr>
          <w:p w14:paraId="3085588A">
            <w:pPr>
              <w:jc w:val="center"/>
            </w:pPr>
          </w:p>
        </w:tc>
      </w:tr>
      <w:tr w14:paraId="44E9B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tcBorders>
            <w:vAlign w:val="center"/>
          </w:tcPr>
          <w:p w14:paraId="42117D58">
            <w:pPr>
              <w:jc w:val="center"/>
            </w:pPr>
          </w:p>
        </w:tc>
        <w:tc>
          <w:tcPr>
            <w:tcW w:w="1610" w:type="dxa"/>
            <w:vMerge w:val="continue"/>
            <w:vAlign w:val="center"/>
          </w:tcPr>
          <w:p w14:paraId="4E60B80A">
            <w:pPr>
              <w:jc w:val="center"/>
            </w:pPr>
          </w:p>
        </w:tc>
        <w:tc>
          <w:tcPr>
            <w:tcW w:w="860" w:type="dxa"/>
            <w:vMerge w:val="continue"/>
            <w:vAlign w:val="center"/>
          </w:tcPr>
          <w:p w14:paraId="345A601E">
            <w:pPr>
              <w:jc w:val="center"/>
            </w:pPr>
          </w:p>
        </w:tc>
        <w:tc>
          <w:tcPr>
            <w:tcW w:w="1970" w:type="dxa"/>
            <w:vMerge w:val="continue"/>
            <w:vAlign w:val="center"/>
          </w:tcPr>
          <w:p w14:paraId="5CAD64C8">
            <w:pPr>
              <w:jc w:val="center"/>
            </w:pPr>
          </w:p>
        </w:tc>
        <w:tc>
          <w:tcPr>
            <w:tcW w:w="1218" w:type="dxa"/>
            <w:vMerge w:val="continue"/>
            <w:vAlign w:val="center"/>
          </w:tcPr>
          <w:p w14:paraId="42757938">
            <w:pPr>
              <w:jc w:val="center"/>
            </w:pPr>
          </w:p>
        </w:tc>
        <w:tc>
          <w:tcPr>
            <w:tcW w:w="1305" w:type="dxa"/>
            <w:vAlign w:val="center"/>
          </w:tcPr>
          <w:p w14:paraId="2D2A711F">
            <w:pPr>
              <w:jc w:val="center"/>
            </w:pPr>
          </w:p>
        </w:tc>
        <w:tc>
          <w:tcPr>
            <w:tcW w:w="1344" w:type="dxa"/>
            <w:vAlign w:val="center"/>
          </w:tcPr>
          <w:p w14:paraId="612B3031">
            <w:pPr>
              <w:jc w:val="center"/>
            </w:pPr>
          </w:p>
        </w:tc>
        <w:tc>
          <w:tcPr>
            <w:tcW w:w="1301" w:type="dxa"/>
            <w:vMerge w:val="continue"/>
            <w:vAlign w:val="center"/>
          </w:tcPr>
          <w:p w14:paraId="178487B5">
            <w:pPr>
              <w:jc w:val="center"/>
            </w:pPr>
          </w:p>
        </w:tc>
        <w:tc>
          <w:tcPr>
            <w:tcW w:w="851" w:type="dxa"/>
            <w:vMerge w:val="continue"/>
            <w:tcBorders>
              <w:right w:val="nil"/>
            </w:tcBorders>
            <w:vAlign w:val="center"/>
          </w:tcPr>
          <w:p w14:paraId="52D39B9B">
            <w:pPr>
              <w:jc w:val="center"/>
            </w:pPr>
          </w:p>
        </w:tc>
      </w:tr>
      <w:tr w14:paraId="5D829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tcBorders>
            <w:vAlign w:val="center"/>
          </w:tcPr>
          <w:p w14:paraId="7D27F7C2">
            <w:pPr>
              <w:jc w:val="center"/>
            </w:pPr>
          </w:p>
        </w:tc>
        <w:tc>
          <w:tcPr>
            <w:tcW w:w="1610" w:type="dxa"/>
            <w:vMerge w:val="continue"/>
            <w:vAlign w:val="center"/>
          </w:tcPr>
          <w:p w14:paraId="19F00E34">
            <w:pPr>
              <w:jc w:val="center"/>
            </w:pPr>
          </w:p>
        </w:tc>
        <w:tc>
          <w:tcPr>
            <w:tcW w:w="860" w:type="dxa"/>
            <w:vMerge w:val="continue"/>
            <w:vAlign w:val="center"/>
          </w:tcPr>
          <w:p w14:paraId="3F43A7C3">
            <w:pPr>
              <w:jc w:val="center"/>
            </w:pPr>
          </w:p>
        </w:tc>
        <w:tc>
          <w:tcPr>
            <w:tcW w:w="1970" w:type="dxa"/>
            <w:vMerge w:val="continue"/>
            <w:vAlign w:val="center"/>
          </w:tcPr>
          <w:p w14:paraId="2ECB9270">
            <w:pPr>
              <w:jc w:val="center"/>
            </w:pPr>
          </w:p>
        </w:tc>
        <w:tc>
          <w:tcPr>
            <w:tcW w:w="1218" w:type="dxa"/>
            <w:vMerge w:val="continue"/>
            <w:vAlign w:val="center"/>
          </w:tcPr>
          <w:p w14:paraId="392CF0F2">
            <w:pPr>
              <w:jc w:val="center"/>
            </w:pPr>
          </w:p>
        </w:tc>
        <w:tc>
          <w:tcPr>
            <w:tcW w:w="1305" w:type="dxa"/>
            <w:vAlign w:val="center"/>
          </w:tcPr>
          <w:p w14:paraId="4A79E3E7">
            <w:pPr>
              <w:jc w:val="center"/>
            </w:pPr>
          </w:p>
        </w:tc>
        <w:tc>
          <w:tcPr>
            <w:tcW w:w="1344" w:type="dxa"/>
            <w:vAlign w:val="center"/>
          </w:tcPr>
          <w:p w14:paraId="42ED06D8">
            <w:pPr>
              <w:jc w:val="center"/>
            </w:pPr>
          </w:p>
        </w:tc>
        <w:tc>
          <w:tcPr>
            <w:tcW w:w="1301" w:type="dxa"/>
            <w:vMerge w:val="continue"/>
            <w:vAlign w:val="center"/>
          </w:tcPr>
          <w:p w14:paraId="26BF1B91">
            <w:pPr>
              <w:jc w:val="center"/>
            </w:pPr>
          </w:p>
        </w:tc>
        <w:tc>
          <w:tcPr>
            <w:tcW w:w="851" w:type="dxa"/>
            <w:vMerge w:val="continue"/>
            <w:tcBorders>
              <w:right w:val="nil"/>
            </w:tcBorders>
            <w:vAlign w:val="center"/>
          </w:tcPr>
          <w:p w14:paraId="55D3AD42">
            <w:pPr>
              <w:jc w:val="center"/>
            </w:pPr>
          </w:p>
        </w:tc>
      </w:tr>
      <w:tr w14:paraId="09FB6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tcBorders>
            <w:vAlign w:val="center"/>
          </w:tcPr>
          <w:p w14:paraId="5CF05C7E">
            <w:pPr>
              <w:jc w:val="center"/>
            </w:pPr>
          </w:p>
        </w:tc>
        <w:tc>
          <w:tcPr>
            <w:tcW w:w="1610" w:type="dxa"/>
            <w:vMerge w:val="restart"/>
            <w:vAlign w:val="center"/>
          </w:tcPr>
          <w:p w14:paraId="5E38582B">
            <w:pPr>
              <w:jc w:val="center"/>
            </w:pPr>
          </w:p>
        </w:tc>
        <w:tc>
          <w:tcPr>
            <w:tcW w:w="860" w:type="dxa"/>
            <w:vMerge w:val="restart"/>
            <w:vAlign w:val="center"/>
          </w:tcPr>
          <w:p w14:paraId="31FF26C0">
            <w:pPr>
              <w:jc w:val="center"/>
            </w:pPr>
          </w:p>
        </w:tc>
        <w:tc>
          <w:tcPr>
            <w:tcW w:w="1970" w:type="dxa"/>
            <w:vMerge w:val="restart"/>
            <w:vAlign w:val="center"/>
          </w:tcPr>
          <w:p w14:paraId="37374956">
            <w:pPr>
              <w:jc w:val="center"/>
            </w:pPr>
          </w:p>
        </w:tc>
        <w:tc>
          <w:tcPr>
            <w:tcW w:w="1218" w:type="dxa"/>
            <w:vMerge w:val="restart"/>
            <w:vAlign w:val="center"/>
          </w:tcPr>
          <w:p w14:paraId="13E46D5A">
            <w:pPr>
              <w:jc w:val="center"/>
            </w:pPr>
            <w:r>
              <w:rPr>
                <w:rFonts w:hint="eastAsia"/>
              </w:rPr>
              <w:t>：</w:t>
            </w:r>
          </w:p>
        </w:tc>
        <w:tc>
          <w:tcPr>
            <w:tcW w:w="1305" w:type="dxa"/>
            <w:vAlign w:val="center"/>
          </w:tcPr>
          <w:p w14:paraId="7667C887">
            <w:pPr>
              <w:jc w:val="center"/>
            </w:pPr>
          </w:p>
        </w:tc>
        <w:tc>
          <w:tcPr>
            <w:tcW w:w="1344" w:type="dxa"/>
            <w:vAlign w:val="center"/>
          </w:tcPr>
          <w:p w14:paraId="34630945">
            <w:pPr>
              <w:jc w:val="center"/>
            </w:pPr>
          </w:p>
        </w:tc>
        <w:tc>
          <w:tcPr>
            <w:tcW w:w="1301" w:type="dxa"/>
            <w:vMerge w:val="restart"/>
            <w:vAlign w:val="center"/>
          </w:tcPr>
          <w:p w14:paraId="3E24D315">
            <w:pPr>
              <w:jc w:val="center"/>
            </w:pPr>
          </w:p>
        </w:tc>
        <w:tc>
          <w:tcPr>
            <w:tcW w:w="851" w:type="dxa"/>
            <w:vMerge w:val="restart"/>
            <w:tcBorders>
              <w:right w:val="nil"/>
            </w:tcBorders>
            <w:vAlign w:val="center"/>
          </w:tcPr>
          <w:p w14:paraId="0166D229">
            <w:pPr>
              <w:jc w:val="center"/>
            </w:pPr>
          </w:p>
        </w:tc>
      </w:tr>
      <w:tr w14:paraId="7770D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tcBorders>
            <w:vAlign w:val="center"/>
          </w:tcPr>
          <w:p w14:paraId="2A43C661">
            <w:pPr>
              <w:jc w:val="center"/>
            </w:pPr>
          </w:p>
        </w:tc>
        <w:tc>
          <w:tcPr>
            <w:tcW w:w="1610" w:type="dxa"/>
            <w:vMerge w:val="continue"/>
            <w:vAlign w:val="center"/>
          </w:tcPr>
          <w:p w14:paraId="44BEA6D3">
            <w:pPr>
              <w:jc w:val="center"/>
            </w:pPr>
          </w:p>
        </w:tc>
        <w:tc>
          <w:tcPr>
            <w:tcW w:w="860" w:type="dxa"/>
            <w:vMerge w:val="continue"/>
            <w:vAlign w:val="center"/>
          </w:tcPr>
          <w:p w14:paraId="61A03C7D">
            <w:pPr>
              <w:jc w:val="center"/>
            </w:pPr>
          </w:p>
        </w:tc>
        <w:tc>
          <w:tcPr>
            <w:tcW w:w="1970" w:type="dxa"/>
            <w:vMerge w:val="continue"/>
            <w:vAlign w:val="center"/>
          </w:tcPr>
          <w:p w14:paraId="511D9B00">
            <w:pPr>
              <w:jc w:val="center"/>
            </w:pPr>
          </w:p>
        </w:tc>
        <w:tc>
          <w:tcPr>
            <w:tcW w:w="1218" w:type="dxa"/>
            <w:vMerge w:val="continue"/>
            <w:vAlign w:val="center"/>
          </w:tcPr>
          <w:p w14:paraId="42981E34">
            <w:pPr>
              <w:jc w:val="center"/>
            </w:pPr>
          </w:p>
        </w:tc>
        <w:tc>
          <w:tcPr>
            <w:tcW w:w="1305" w:type="dxa"/>
            <w:vAlign w:val="center"/>
          </w:tcPr>
          <w:p w14:paraId="32338DED">
            <w:pPr>
              <w:jc w:val="center"/>
            </w:pPr>
          </w:p>
        </w:tc>
        <w:tc>
          <w:tcPr>
            <w:tcW w:w="1344" w:type="dxa"/>
            <w:vAlign w:val="center"/>
          </w:tcPr>
          <w:p w14:paraId="38AEDBCC">
            <w:pPr>
              <w:jc w:val="center"/>
            </w:pPr>
          </w:p>
        </w:tc>
        <w:tc>
          <w:tcPr>
            <w:tcW w:w="1301" w:type="dxa"/>
            <w:vMerge w:val="continue"/>
            <w:vAlign w:val="center"/>
          </w:tcPr>
          <w:p w14:paraId="1BA9A77D">
            <w:pPr>
              <w:jc w:val="center"/>
            </w:pPr>
          </w:p>
        </w:tc>
        <w:tc>
          <w:tcPr>
            <w:tcW w:w="851" w:type="dxa"/>
            <w:vMerge w:val="continue"/>
            <w:tcBorders>
              <w:right w:val="nil"/>
            </w:tcBorders>
            <w:vAlign w:val="center"/>
          </w:tcPr>
          <w:p w14:paraId="32E8BAD5">
            <w:pPr>
              <w:jc w:val="center"/>
            </w:pPr>
          </w:p>
        </w:tc>
      </w:tr>
      <w:tr w14:paraId="4CC88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tcBorders>
            <w:vAlign w:val="center"/>
          </w:tcPr>
          <w:p w14:paraId="6AD42369">
            <w:pPr>
              <w:jc w:val="center"/>
            </w:pPr>
          </w:p>
        </w:tc>
        <w:tc>
          <w:tcPr>
            <w:tcW w:w="1610" w:type="dxa"/>
            <w:vMerge w:val="continue"/>
            <w:vAlign w:val="center"/>
          </w:tcPr>
          <w:p w14:paraId="2DD7912D">
            <w:pPr>
              <w:jc w:val="center"/>
            </w:pPr>
          </w:p>
        </w:tc>
        <w:tc>
          <w:tcPr>
            <w:tcW w:w="860" w:type="dxa"/>
            <w:vMerge w:val="continue"/>
            <w:vAlign w:val="center"/>
          </w:tcPr>
          <w:p w14:paraId="74D122FA">
            <w:pPr>
              <w:jc w:val="center"/>
            </w:pPr>
          </w:p>
        </w:tc>
        <w:tc>
          <w:tcPr>
            <w:tcW w:w="1970" w:type="dxa"/>
            <w:vMerge w:val="continue"/>
            <w:vAlign w:val="center"/>
          </w:tcPr>
          <w:p w14:paraId="774CC413">
            <w:pPr>
              <w:jc w:val="center"/>
            </w:pPr>
          </w:p>
        </w:tc>
        <w:tc>
          <w:tcPr>
            <w:tcW w:w="1218" w:type="dxa"/>
            <w:vMerge w:val="continue"/>
            <w:vAlign w:val="center"/>
          </w:tcPr>
          <w:p w14:paraId="6CD72440">
            <w:pPr>
              <w:jc w:val="center"/>
            </w:pPr>
          </w:p>
        </w:tc>
        <w:tc>
          <w:tcPr>
            <w:tcW w:w="1305" w:type="dxa"/>
            <w:vAlign w:val="center"/>
          </w:tcPr>
          <w:p w14:paraId="7815B8EB">
            <w:pPr>
              <w:jc w:val="center"/>
            </w:pPr>
          </w:p>
        </w:tc>
        <w:tc>
          <w:tcPr>
            <w:tcW w:w="1344" w:type="dxa"/>
            <w:vAlign w:val="center"/>
          </w:tcPr>
          <w:p w14:paraId="02785DB6">
            <w:pPr>
              <w:jc w:val="center"/>
            </w:pPr>
          </w:p>
        </w:tc>
        <w:tc>
          <w:tcPr>
            <w:tcW w:w="1301" w:type="dxa"/>
            <w:vMerge w:val="continue"/>
            <w:vAlign w:val="center"/>
          </w:tcPr>
          <w:p w14:paraId="4AC538CF">
            <w:pPr>
              <w:jc w:val="center"/>
            </w:pPr>
          </w:p>
        </w:tc>
        <w:tc>
          <w:tcPr>
            <w:tcW w:w="851" w:type="dxa"/>
            <w:vMerge w:val="continue"/>
            <w:tcBorders>
              <w:right w:val="nil"/>
            </w:tcBorders>
            <w:vAlign w:val="center"/>
          </w:tcPr>
          <w:p w14:paraId="10FB35B6">
            <w:pPr>
              <w:jc w:val="center"/>
            </w:pPr>
          </w:p>
        </w:tc>
      </w:tr>
      <w:tr w14:paraId="42DE4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tcBorders>
            <w:vAlign w:val="center"/>
          </w:tcPr>
          <w:p w14:paraId="3AD03B1C">
            <w:pPr>
              <w:jc w:val="center"/>
            </w:pPr>
          </w:p>
        </w:tc>
        <w:tc>
          <w:tcPr>
            <w:tcW w:w="1610" w:type="dxa"/>
            <w:vMerge w:val="restart"/>
            <w:vAlign w:val="center"/>
          </w:tcPr>
          <w:p w14:paraId="4409FF27">
            <w:pPr>
              <w:jc w:val="center"/>
            </w:pPr>
          </w:p>
        </w:tc>
        <w:tc>
          <w:tcPr>
            <w:tcW w:w="860" w:type="dxa"/>
            <w:vMerge w:val="restart"/>
            <w:vAlign w:val="center"/>
          </w:tcPr>
          <w:p w14:paraId="7B7A9475">
            <w:pPr>
              <w:jc w:val="center"/>
            </w:pPr>
          </w:p>
        </w:tc>
        <w:tc>
          <w:tcPr>
            <w:tcW w:w="1970" w:type="dxa"/>
            <w:vMerge w:val="restart"/>
            <w:vAlign w:val="center"/>
          </w:tcPr>
          <w:p w14:paraId="6322136F">
            <w:pPr>
              <w:jc w:val="center"/>
            </w:pPr>
          </w:p>
        </w:tc>
        <w:tc>
          <w:tcPr>
            <w:tcW w:w="1218" w:type="dxa"/>
            <w:vMerge w:val="restart"/>
            <w:vAlign w:val="center"/>
          </w:tcPr>
          <w:p w14:paraId="308B8950">
            <w:pPr>
              <w:jc w:val="center"/>
            </w:pPr>
            <w:r>
              <w:rPr>
                <w:rFonts w:hint="eastAsia"/>
              </w:rPr>
              <w:t>：</w:t>
            </w:r>
          </w:p>
        </w:tc>
        <w:tc>
          <w:tcPr>
            <w:tcW w:w="1305" w:type="dxa"/>
            <w:vAlign w:val="center"/>
          </w:tcPr>
          <w:p w14:paraId="72916268">
            <w:pPr>
              <w:jc w:val="center"/>
            </w:pPr>
          </w:p>
        </w:tc>
        <w:tc>
          <w:tcPr>
            <w:tcW w:w="1344" w:type="dxa"/>
            <w:vAlign w:val="center"/>
          </w:tcPr>
          <w:p w14:paraId="0138B67A">
            <w:pPr>
              <w:jc w:val="center"/>
            </w:pPr>
          </w:p>
        </w:tc>
        <w:tc>
          <w:tcPr>
            <w:tcW w:w="1301" w:type="dxa"/>
            <w:vMerge w:val="restart"/>
            <w:vAlign w:val="center"/>
          </w:tcPr>
          <w:p w14:paraId="44178C07">
            <w:pPr>
              <w:jc w:val="center"/>
            </w:pPr>
          </w:p>
        </w:tc>
        <w:tc>
          <w:tcPr>
            <w:tcW w:w="851" w:type="dxa"/>
            <w:vMerge w:val="restart"/>
            <w:tcBorders>
              <w:right w:val="nil"/>
            </w:tcBorders>
            <w:vAlign w:val="center"/>
          </w:tcPr>
          <w:p w14:paraId="07CC80A7">
            <w:pPr>
              <w:jc w:val="center"/>
            </w:pPr>
          </w:p>
        </w:tc>
      </w:tr>
      <w:tr w14:paraId="0543F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tcBorders>
            <w:vAlign w:val="center"/>
          </w:tcPr>
          <w:p w14:paraId="2E47AA39">
            <w:pPr>
              <w:jc w:val="center"/>
            </w:pPr>
          </w:p>
        </w:tc>
        <w:tc>
          <w:tcPr>
            <w:tcW w:w="1610" w:type="dxa"/>
            <w:vMerge w:val="continue"/>
            <w:vAlign w:val="center"/>
          </w:tcPr>
          <w:p w14:paraId="1D5ECE8A">
            <w:pPr>
              <w:jc w:val="center"/>
            </w:pPr>
          </w:p>
        </w:tc>
        <w:tc>
          <w:tcPr>
            <w:tcW w:w="860" w:type="dxa"/>
            <w:vMerge w:val="continue"/>
            <w:vAlign w:val="center"/>
          </w:tcPr>
          <w:p w14:paraId="233CC35C">
            <w:pPr>
              <w:jc w:val="center"/>
            </w:pPr>
          </w:p>
        </w:tc>
        <w:tc>
          <w:tcPr>
            <w:tcW w:w="1970" w:type="dxa"/>
            <w:vMerge w:val="continue"/>
            <w:vAlign w:val="center"/>
          </w:tcPr>
          <w:p w14:paraId="1BA12B9E">
            <w:pPr>
              <w:jc w:val="center"/>
            </w:pPr>
          </w:p>
        </w:tc>
        <w:tc>
          <w:tcPr>
            <w:tcW w:w="1218" w:type="dxa"/>
            <w:vMerge w:val="continue"/>
            <w:vAlign w:val="center"/>
          </w:tcPr>
          <w:p w14:paraId="2874DF94">
            <w:pPr>
              <w:jc w:val="center"/>
            </w:pPr>
          </w:p>
        </w:tc>
        <w:tc>
          <w:tcPr>
            <w:tcW w:w="1305" w:type="dxa"/>
            <w:vAlign w:val="center"/>
          </w:tcPr>
          <w:p w14:paraId="112AD8F3">
            <w:pPr>
              <w:jc w:val="center"/>
            </w:pPr>
          </w:p>
        </w:tc>
        <w:tc>
          <w:tcPr>
            <w:tcW w:w="1344" w:type="dxa"/>
            <w:vAlign w:val="center"/>
          </w:tcPr>
          <w:p w14:paraId="4E7EA948">
            <w:pPr>
              <w:jc w:val="center"/>
            </w:pPr>
          </w:p>
        </w:tc>
        <w:tc>
          <w:tcPr>
            <w:tcW w:w="1301" w:type="dxa"/>
            <w:vMerge w:val="continue"/>
            <w:vAlign w:val="center"/>
          </w:tcPr>
          <w:p w14:paraId="6858C665">
            <w:pPr>
              <w:jc w:val="center"/>
            </w:pPr>
          </w:p>
        </w:tc>
        <w:tc>
          <w:tcPr>
            <w:tcW w:w="851" w:type="dxa"/>
            <w:vMerge w:val="continue"/>
            <w:tcBorders>
              <w:right w:val="nil"/>
            </w:tcBorders>
            <w:vAlign w:val="center"/>
          </w:tcPr>
          <w:p w14:paraId="3226D0BE">
            <w:pPr>
              <w:jc w:val="center"/>
            </w:pPr>
          </w:p>
        </w:tc>
      </w:tr>
      <w:tr w14:paraId="25132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tcBorders>
            <w:vAlign w:val="center"/>
          </w:tcPr>
          <w:p w14:paraId="34F392A5">
            <w:pPr>
              <w:jc w:val="center"/>
            </w:pPr>
          </w:p>
        </w:tc>
        <w:tc>
          <w:tcPr>
            <w:tcW w:w="1610" w:type="dxa"/>
            <w:vMerge w:val="continue"/>
            <w:vAlign w:val="center"/>
          </w:tcPr>
          <w:p w14:paraId="7629F675">
            <w:pPr>
              <w:jc w:val="center"/>
            </w:pPr>
          </w:p>
        </w:tc>
        <w:tc>
          <w:tcPr>
            <w:tcW w:w="860" w:type="dxa"/>
            <w:vMerge w:val="continue"/>
            <w:vAlign w:val="center"/>
          </w:tcPr>
          <w:p w14:paraId="4A730672">
            <w:pPr>
              <w:jc w:val="center"/>
            </w:pPr>
          </w:p>
        </w:tc>
        <w:tc>
          <w:tcPr>
            <w:tcW w:w="1970" w:type="dxa"/>
            <w:vMerge w:val="continue"/>
            <w:vAlign w:val="center"/>
          </w:tcPr>
          <w:p w14:paraId="162080AC">
            <w:pPr>
              <w:jc w:val="center"/>
            </w:pPr>
          </w:p>
        </w:tc>
        <w:tc>
          <w:tcPr>
            <w:tcW w:w="1218" w:type="dxa"/>
            <w:vMerge w:val="continue"/>
            <w:vAlign w:val="center"/>
          </w:tcPr>
          <w:p w14:paraId="2389431E">
            <w:pPr>
              <w:jc w:val="center"/>
            </w:pPr>
          </w:p>
        </w:tc>
        <w:tc>
          <w:tcPr>
            <w:tcW w:w="1305" w:type="dxa"/>
            <w:vAlign w:val="center"/>
          </w:tcPr>
          <w:p w14:paraId="7325B24E">
            <w:pPr>
              <w:jc w:val="center"/>
            </w:pPr>
          </w:p>
        </w:tc>
        <w:tc>
          <w:tcPr>
            <w:tcW w:w="1344" w:type="dxa"/>
            <w:vAlign w:val="center"/>
          </w:tcPr>
          <w:p w14:paraId="78369D30">
            <w:pPr>
              <w:jc w:val="center"/>
            </w:pPr>
          </w:p>
        </w:tc>
        <w:tc>
          <w:tcPr>
            <w:tcW w:w="1301" w:type="dxa"/>
            <w:vMerge w:val="continue"/>
            <w:vAlign w:val="center"/>
          </w:tcPr>
          <w:p w14:paraId="3064B35C">
            <w:pPr>
              <w:jc w:val="center"/>
            </w:pPr>
          </w:p>
        </w:tc>
        <w:tc>
          <w:tcPr>
            <w:tcW w:w="851" w:type="dxa"/>
            <w:vMerge w:val="continue"/>
            <w:tcBorders>
              <w:right w:val="nil"/>
            </w:tcBorders>
            <w:vAlign w:val="center"/>
          </w:tcPr>
          <w:p w14:paraId="73FA2728">
            <w:pPr>
              <w:jc w:val="center"/>
            </w:pPr>
          </w:p>
        </w:tc>
      </w:tr>
      <w:tr w14:paraId="189F1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tcBorders>
            <w:vAlign w:val="center"/>
          </w:tcPr>
          <w:p w14:paraId="6AF44577">
            <w:pPr>
              <w:jc w:val="center"/>
            </w:pPr>
          </w:p>
        </w:tc>
        <w:tc>
          <w:tcPr>
            <w:tcW w:w="1610" w:type="dxa"/>
            <w:vMerge w:val="restart"/>
            <w:vAlign w:val="center"/>
          </w:tcPr>
          <w:p w14:paraId="5BBC86B2">
            <w:pPr>
              <w:jc w:val="center"/>
            </w:pPr>
          </w:p>
        </w:tc>
        <w:tc>
          <w:tcPr>
            <w:tcW w:w="860" w:type="dxa"/>
            <w:vMerge w:val="restart"/>
            <w:vAlign w:val="center"/>
          </w:tcPr>
          <w:p w14:paraId="325B7D4A">
            <w:pPr>
              <w:jc w:val="center"/>
            </w:pPr>
          </w:p>
        </w:tc>
        <w:tc>
          <w:tcPr>
            <w:tcW w:w="1970" w:type="dxa"/>
            <w:vMerge w:val="restart"/>
            <w:vAlign w:val="center"/>
          </w:tcPr>
          <w:p w14:paraId="64F75CD5">
            <w:pPr>
              <w:jc w:val="center"/>
            </w:pPr>
          </w:p>
        </w:tc>
        <w:tc>
          <w:tcPr>
            <w:tcW w:w="1218" w:type="dxa"/>
            <w:vMerge w:val="restart"/>
            <w:vAlign w:val="center"/>
          </w:tcPr>
          <w:p w14:paraId="7E24A3AC">
            <w:pPr>
              <w:jc w:val="center"/>
            </w:pPr>
            <w:r>
              <w:rPr>
                <w:rFonts w:hint="eastAsia"/>
              </w:rPr>
              <w:t>：</w:t>
            </w:r>
          </w:p>
        </w:tc>
        <w:tc>
          <w:tcPr>
            <w:tcW w:w="1305" w:type="dxa"/>
            <w:vAlign w:val="center"/>
          </w:tcPr>
          <w:p w14:paraId="169D0028">
            <w:pPr>
              <w:jc w:val="center"/>
            </w:pPr>
          </w:p>
        </w:tc>
        <w:tc>
          <w:tcPr>
            <w:tcW w:w="1344" w:type="dxa"/>
            <w:vAlign w:val="center"/>
          </w:tcPr>
          <w:p w14:paraId="0B62A009">
            <w:pPr>
              <w:jc w:val="center"/>
            </w:pPr>
          </w:p>
        </w:tc>
        <w:tc>
          <w:tcPr>
            <w:tcW w:w="1301" w:type="dxa"/>
            <w:vMerge w:val="restart"/>
            <w:vAlign w:val="center"/>
          </w:tcPr>
          <w:p w14:paraId="57A768AC">
            <w:pPr>
              <w:jc w:val="center"/>
            </w:pPr>
          </w:p>
        </w:tc>
        <w:tc>
          <w:tcPr>
            <w:tcW w:w="851" w:type="dxa"/>
            <w:vMerge w:val="restart"/>
            <w:tcBorders>
              <w:right w:val="nil"/>
            </w:tcBorders>
            <w:vAlign w:val="center"/>
          </w:tcPr>
          <w:p w14:paraId="2B79B35D">
            <w:pPr>
              <w:jc w:val="center"/>
            </w:pPr>
          </w:p>
        </w:tc>
      </w:tr>
      <w:tr w14:paraId="2FE58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tcBorders>
            <w:vAlign w:val="center"/>
          </w:tcPr>
          <w:p w14:paraId="30E2D562">
            <w:pPr>
              <w:jc w:val="center"/>
            </w:pPr>
          </w:p>
        </w:tc>
        <w:tc>
          <w:tcPr>
            <w:tcW w:w="1610" w:type="dxa"/>
            <w:vMerge w:val="continue"/>
            <w:vAlign w:val="center"/>
          </w:tcPr>
          <w:p w14:paraId="7F9F114D">
            <w:pPr>
              <w:jc w:val="center"/>
            </w:pPr>
          </w:p>
        </w:tc>
        <w:tc>
          <w:tcPr>
            <w:tcW w:w="860" w:type="dxa"/>
            <w:vMerge w:val="continue"/>
            <w:vAlign w:val="center"/>
          </w:tcPr>
          <w:p w14:paraId="6F36E800">
            <w:pPr>
              <w:jc w:val="center"/>
            </w:pPr>
          </w:p>
        </w:tc>
        <w:tc>
          <w:tcPr>
            <w:tcW w:w="1970" w:type="dxa"/>
            <w:vMerge w:val="continue"/>
            <w:vAlign w:val="center"/>
          </w:tcPr>
          <w:p w14:paraId="3A5E7B32">
            <w:pPr>
              <w:jc w:val="center"/>
            </w:pPr>
          </w:p>
        </w:tc>
        <w:tc>
          <w:tcPr>
            <w:tcW w:w="1218" w:type="dxa"/>
            <w:vMerge w:val="continue"/>
            <w:vAlign w:val="center"/>
          </w:tcPr>
          <w:p w14:paraId="33A4EFFF">
            <w:pPr>
              <w:jc w:val="center"/>
            </w:pPr>
          </w:p>
        </w:tc>
        <w:tc>
          <w:tcPr>
            <w:tcW w:w="1305" w:type="dxa"/>
            <w:vAlign w:val="center"/>
          </w:tcPr>
          <w:p w14:paraId="5BDAD1E0">
            <w:pPr>
              <w:jc w:val="center"/>
            </w:pPr>
          </w:p>
        </w:tc>
        <w:tc>
          <w:tcPr>
            <w:tcW w:w="1344" w:type="dxa"/>
            <w:vAlign w:val="center"/>
          </w:tcPr>
          <w:p w14:paraId="32CB1729">
            <w:pPr>
              <w:jc w:val="center"/>
            </w:pPr>
          </w:p>
        </w:tc>
        <w:tc>
          <w:tcPr>
            <w:tcW w:w="1301" w:type="dxa"/>
            <w:vMerge w:val="continue"/>
            <w:vAlign w:val="center"/>
          </w:tcPr>
          <w:p w14:paraId="7F2FE3B6">
            <w:pPr>
              <w:jc w:val="center"/>
            </w:pPr>
          </w:p>
        </w:tc>
        <w:tc>
          <w:tcPr>
            <w:tcW w:w="851" w:type="dxa"/>
            <w:vMerge w:val="continue"/>
            <w:tcBorders>
              <w:right w:val="nil"/>
            </w:tcBorders>
            <w:vAlign w:val="center"/>
          </w:tcPr>
          <w:p w14:paraId="54D13897">
            <w:pPr>
              <w:jc w:val="center"/>
            </w:pPr>
          </w:p>
        </w:tc>
      </w:tr>
      <w:tr w14:paraId="285A6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40" w:type="dxa"/>
            <w:tcBorders>
              <w:left w:val="nil"/>
              <w:bottom w:val="single" w:color="auto" w:sz="12" w:space="0"/>
            </w:tcBorders>
            <w:vAlign w:val="center"/>
          </w:tcPr>
          <w:p w14:paraId="4750B2A3">
            <w:pPr>
              <w:jc w:val="center"/>
            </w:pPr>
          </w:p>
        </w:tc>
        <w:tc>
          <w:tcPr>
            <w:tcW w:w="1610" w:type="dxa"/>
            <w:vMerge w:val="continue"/>
            <w:tcBorders>
              <w:bottom w:val="single" w:color="auto" w:sz="12" w:space="0"/>
            </w:tcBorders>
            <w:vAlign w:val="center"/>
          </w:tcPr>
          <w:p w14:paraId="62155877">
            <w:pPr>
              <w:jc w:val="center"/>
            </w:pPr>
          </w:p>
        </w:tc>
        <w:tc>
          <w:tcPr>
            <w:tcW w:w="860" w:type="dxa"/>
            <w:vMerge w:val="continue"/>
            <w:tcBorders>
              <w:bottom w:val="single" w:color="auto" w:sz="12" w:space="0"/>
            </w:tcBorders>
            <w:vAlign w:val="center"/>
          </w:tcPr>
          <w:p w14:paraId="5E8D2571">
            <w:pPr>
              <w:jc w:val="center"/>
            </w:pPr>
          </w:p>
        </w:tc>
        <w:tc>
          <w:tcPr>
            <w:tcW w:w="1970" w:type="dxa"/>
            <w:vMerge w:val="continue"/>
            <w:tcBorders>
              <w:bottom w:val="single" w:color="auto" w:sz="12" w:space="0"/>
            </w:tcBorders>
            <w:vAlign w:val="center"/>
          </w:tcPr>
          <w:p w14:paraId="5CC3E5AF">
            <w:pPr>
              <w:jc w:val="center"/>
            </w:pPr>
          </w:p>
        </w:tc>
        <w:tc>
          <w:tcPr>
            <w:tcW w:w="1218" w:type="dxa"/>
            <w:vMerge w:val="continue"/>
            <w:tcBorders>
              <w:bottom w:val="single" w:color="auto" w:sz="12" w:space="0"/>
            </w:tcBorders>
            <w:vAlign w:val="center"/>
          </w:tcPr>
          <w:p w14:paraId="67A76FEB">
            <w:pPr>
              <w:jc w:val="center"/>
            </w:pPr>
          </w:p>
        </w:tc>
        <w:tc>
          <w:tcPr>
            <w:tcW w:w="1305" w:type="dxa"/>
            <w:tcBorders>
              <w:bottom w:val="single" w:color="auto" w:sz="12" w:space="0"/>
            </w:tcBorders>
            <w:vAlign w:val="center"/>
          </w:tcPr>
          <w:p w14:paraId="7F84E602">
            <w:pPr>
              <w:jc w:val="center"/>
            </w:pPr>
          </w:p>
        </w:tc>
        <w:tc>
          <w:tcPr>
            <w:tcW w:w="1344" w:type="dxa"/>
            <w:tcBorders>
              <w:bottom w:val="single" w:color="auto" w:sz="12" w:space="0"/>
            </w:tcBorders>
            <w:vAlign w:val="center"/>
          </w:tcPr>
          <w:p w14:paraId="290531EC">
            <w:pPr>
              <w:jc w:val="center"/>
            </w:pPr>
          </w:p>
        </w:tc>
        <w:tc>
          <w:tcPr>
            <w:tcW w:w="1301" w:type="dxa"/>
            <w:vMerge w:val="continue"/>
            <w:tcBorders>
              <w:bottom w:val="single" w:color="auto" w:sz="12" w:space="0"/>
            </w:tcBorders>
            <w:vAlign w:val="center"/>
          </w:tcPr>
          <w:p w14:paraId="61D765E9">
            <w:pPr>
              <w:jc w:val="center"/>
            </w:pPr>
          </w:p>
        </w:tc>
        <w:tc>
          <w:tcPr>
            <w:tcW w:w="851" w:type="dxa"/>
            <w:vMerge w:val="continue"/>
            <w:tcBorders>
              <w:bottom w:val="single" w:color="auto" w:sz="12" w:space="0"/>
              <w:right w:val="nil"/>
            </w:tcBorders>
            <w:vAlign w:val="center"/>
          </w:tcPr>
          <w:p w14:paraId="2651F381">
            <w:pPr>
              <w:jc w:val="center"/>
            </w:pPr>
          </w:p>
        </w:tc>
      </w:tr>
    </w:tbl>
    <w:p w14:paraId="45D27C02">
      <w:pPr>
        <w:adjustRightInd/>
        <w:spacing w:line="240" w:lineRule="auto"/>
        <w:ind w:left="-1050" w:leftChars="-500"/>
        <w:rPr>
          <w:rFonts w:ascii="Times New Roman" w:hAnsi="Times New Roman"/>
          <w:b/>
          <w:bCs/>
          <w:szCs w:val="24"/>
        </w:rPr>
      </w:pPr>
      <w:r>
        <w:rPr>
          <w:rFonts w:hint="eastAsia" w:ascii="Times New Roman" w:hAnsi="Times New Roman"/>
          <w:b/>
          <w:bCs/>
          <w:szCs w:val="24"/>
        </w:rPr>
        <w:t>注：附检测点位图</w:t>
      </w:r>
    </w:p>
    <w:p w14:paraId="6FA1D2CB">
      <w:pPr>
        <w:rPr>
          <w:spacing w:val="105"/>
        </w:rPr>
      </w:pPr>
      <w:r>
        <w:rPr>
          <w:rFonts w:hint="eastAsia"/>
          <w:bCs/>
        </w:rPr>
        <w:t>检测人</w:t>
      </w:r>
      <w:r>
        <w:rPr>
          <w:bCs/>
        </w:rPr>
        <w:t>：</w:t>
      </w:r>
      <w:r>
        <w:rPr>
          <w:rFonts w:hint="eastAsia"/>
          <w:bCs/>
        </w:rPr>
        <w:t xml:space="preserve"> </w:t>
      </w:r>
      <w:r>
        <w:rPr>
          <w:bCs/>
        </w:rPr>
        <w:t xml:space="preserve">                </w:t>
      </w:r>
      <w:r>
        <w:rPr>
          <w:rFonts w:hint="eastAsia"/>
          <w:bCs/>
        </w:rPr>
        <w:t>审核人：</w:t>
      </w:r>
      <w:r>
        <w:rPr>
          <w:bCs/>
        </w:rPr>
        <w:t xml:space="preserve">           </w:t>
      </w:r>
      <w:r>
        <w:rPr>
          <w:rFonts w:hint="eastAsia"/>
          <w:bCs/>
        </w:rPr>
        <w:t xml:space="preserve"> </w:t>
      </w:r>
      <w:r>
        <w:rPr>
          <w:bCs/>
        </w:rPr>
        <w:t xml:space="preserve">    </w:t>
      </w:r>
      <w:r>
        <w:rPr>
          <w:rFonts w:hint="eastAsia"/>
          <w:bCs/>
        </w:rPr>
        <w:t xml:space="preserve">陪同人：        </w:t>
      </w:r>
      <w:r>
        <w:rPr>
          <w:bCs/>
        </w:rPr>
        <w:t xml:space="preserve">           </w:t>
      </w:r>
      <w:r>
        <w:rPr>
          <w:rFonts w:hint="eastAsia"/>
          <w:bCs/>
        </w:rPr>
        <w:t>年     月     日</w:t>
      </w:r>
    </w:p>
    <w:p w14:paraId="0312E326">
      <w:pPr>
        <w:rPr>
          <w:spacing w:val="105"/>
        </w:rPr>
      </w:pPr>
    </w:p>
    <w:p w14:paraId="38F3F7E6">
      <w:pPr>
        <w:pStyle w:val="76"/>
        <w:numPr>
          <w:ilvl w:val="0"/>
          <w:numId w:val="0"/>
        </w:numPr>
        <w:spacing w:before="78" w:after="156"/>
        <w:ind w:leftChars="0"/>
        <w:jc w:val="both"/>
        <w:rPr>
          <w:rFonts w:hint="eastAsia"/>
        </w:rPr>
      </w:pPr>
    </w:p>
    <w:p w14:paraId="12D6F631">
      <w:pPr>
        <w:pStyle w:val="56"/>
        <w:rPr>
          <w:rFonts w:hint="eastAsia"/>
        </w:rPr>
      </w:pPr>
    </w:p>
    <w:p w14:paraId="1AB50EC8">
      <w:pPr>
        <w:pStyle w:val="56"/>
        <w:ind w:firstLine="420"/>
        <w:rPr>
          <w:rFonts w:hint="eastAsia"/>
        </w:rPr>
      </w:pPr>
    </w:p>
    <w:p w14:paraId="60392ABD">
      <w:pPr>
        <w:pStyle w:val="63"/>
        <w:spacing w:before="124" w:after="156"/>
        <w:rPr>
          <w:rFonts w:hint="eastAsia"/>
          <w:spacing w:val="105"/>
        </w:rPr>
      </w:pPr>
    </w:p>
    <w:p w14:paraId="319766FF">
      <w:pPr>
        <w:rPr>
          <w:rFonts w:hint="eastAsia"/>
        </w:rPr>
      </w:pPr>
    </w:p>
    <w:p w14:paraId="2F5CAFF4">
      <w:pPr>
        <w:pStyle w:val="56"/>
        <w:ind w:left="0" w:leftChars="0" w:firstLine="0" w:firstLineChars="0"/>
        <w:jc w:val="both"/>
        <w:rPr>
          <w:rFonts w:hint="eastAsia" w:ascii="黑体" w:hAnsi="Times New Roman" w:eastAsia="黑体" w:cs="Times New Roman"/>
          <w:kern w:val="0"/>
          <w:sz w:val="21"/>
          <w:szCs w:val="20"/>
          <w:lang w:val="en-US" w:eastAsia="zh-CN" w:bidi="ar-SA"/>
        </w:rPr>
      </w:pPr>
    </w:p>
    <w:p w14:paraId="4FFAF03B">
      <w:pPr>
        <w:pStyle w:val="76"/>
        <w:spacing w:before="78" w:after="156"/>
        <w:rPr>
          <w:rFonts w:hint="eastAsia"/>
        </w:rPr>
      </w:pPr>
    </w:p>
    <w:p w14:paraId="1D092D2E">
      <w:pPr>
        <w:pStyle w:val="56"/>
        <w:ind w:left="0" w:leftChars="0" w:firstLine="0" w:firstLineChars="0"/>
        <w:jc w:val="center"/>
        <w:rPr>
          <w:rFonts w:hint="eastAsia" w:ascii="黑体" w:hAnsi="Times New Roman" w:eastAsia="黑体" w:cs="Times New Roman"/>
          <w:sz w:val="21"/>
          <w:szCs w:val="22"/>
          <w:lang w:val="en-US" w:eastAsia="zh-CN" w:bidi="ar-SA"/>
        </w:rPr>
      </w:pPr>
      <w:r>
        <w:rPr>
          <w:rFonts w:hint="eastAsia" w:ascii="黑体" w:hAnsi="Times New Roman" w:eastAsia="黑体" w:cs="Times New Roman"/>
          <w:kern w:val="0"/>
          <w:sz w:val="21"/>
          <w:szCs w:val="20"/>
          <w:lang w:val="en-US" w:eastAsia="zh-CN" w:bidi="ar-SA"/>
        </w:rPr>
        <w:t>（资料性）</w:t>
      </w:r>
      <w:r>
        <w:rPr>
          <w:rFonts w:hint="eastAsia" w:ascii="黑体" w:hAnsi="Times New Roman" w:eastAsia="黑体" w:cs="Times New Roman"/>
          <w:kern w:val="0"/>
          <w:sz w:val="21"/>
          <w:szCs w:val="20"/>
          <w:highlight w:val="yellow"/>
          <w:lang w:val="en-US" w:eastAsia="zh-CN" w:bidi="ar-SA"/>
        </w:rPr>
        <w:br w:type="textWrapping"/>
      </w:r>
      <w:r>
        <w:rPr>
          <w:rFonts w:hint="eastAsia" w:ascii="黑体" w:hAnsi="Times New Roman" w:eastAsia="黑体" w:cs="Times New Roman"/>
          <w:sz w:val="21"/>
          <w:szCs w:val="22"/>
          <w:lang w:val="en-US" w:eastAsia="zh-CN" w:bidi="ar-SA"/>
        </w:rPr>
        <w:t>空气中15种有毒物质的测定 便携式气相色谱-光离子检测器法</w:t>
      </w:r>
    </w:p>
    <w:p w14:paraId="16526B1E">
      <w:pPr>
        <w:pStyle w:val="56"/>
        <w:ind w:left="0" w:leftChars="0" w:firstLine="0" w:firstLineChars="0"/>
        <w:jc w:val="center"/>
        <w:rPr>
          <w:rFonts w:hint="eastAsia" w:ascii="黑体" w:hAnsi="Times New Roman" w:eastAsia="黑体" w:cs="Times New Roman"/>
          <w:b/>
          <w:bCs/>
          <w:kern w:val="0"/>
          <w:sz w:val="21"/>
          <w:szCs w:val="20"/>
          <w:highlight w:val="yellow"/>
          <w:lang w:val="en-US" w:eastAsia="zh-CN" w:bidi="ar-SA"/>
        </w:rPr>
      </w:pPr>
    </w:p>
    <w:p w14:paraId="04D27A0D">
      <w:pPr>
        <w:pStyle w:val="250"/>
        <w:numPr>
          <w:ilvl w:val="1"/>
          <w:numId w:val="4"/>
        </w:numPr>
        <w:spacing w:before="156" w:beforeLines="50" w:after="156" w:afterLines="50"/>
        <w:rPr>
          <w:rFonts w:hint="eastAsia" w:hAnsi="黑体"/>
          <w:szCs w:val="22"/>
          <w:lang w:val="en-US" w:eastAsia="zh-CN"/>
        </w:rPr>
      </w:pPr>
      <w:r>
        <w:rPr>
          <w:rFonts w:hint="eastAsia" w:hAnsi="黑体"/>
          <w:szCs w:val="22"/>
          <w:lang w:val="en-US" w:eastAsia="zh-CN"/>
        </w:rPr>
        <w:t>适用范围</w:t>
      </w:r>
    </w:p>
    <w:p w14:paraId="1D3AC66F">
      <w:pPr>
        <w:pStyle w:val="234"/>
        <w:rPr>
          <w:rFonts w:ascii="Times New Roman" w:hAnsi="Times New Roman"/>
          <w:sz w:val="21"/>
        </w:rPr>
      </w:pPr>
      <w:r>
        <w:rPr>
          <w:rFonts w:hint="eastAsia" w:ascii="Times New Roman" w:hAnsi="Times New Roman"/>
          <w:sz w:val="21"/>
        </w:rPr>
        <w:t>本</w:t>
      </w:r>
      <w:r>
        <w:rPr>
          <w:rFonts w:hint="eastAsia" w:ascii="Times New Roman"/>
          <w:sz w:val="21"/>
          <w:lang w:val="en-US" w:eastAsia="zh-CN"/>
        </w:rPr>
        <w:t>方法</w:t>
      </w:r>
      <w:r>
        <w:rPr>
          <w:rFonts w:hint="eastAsia" w:ascii="Times New Roman" w:hAnsi="Times New Roman"/>
          <w:sz w:val="21"/>
        </w:rPr>
        <w:t>规定了测定空气中</w:t>
      </w:r>
      <w:bookmarkStart w:id="62" w:name="OLE_LINK18"/>
      <w:r>
        <w:rPr>
          <w:rFonts w:hint="eastAsia" w:ascii="Times New Roman" w:hAnsi="Times New Roman"/>
          <w:sz w:val="21"/>
        </w:rPr>
        <w:t>硫化氢</w:t>
      </w:r>
      <w:r>
        <w:rPr>
          <w:rFonts w:hint="eastAsia" w:ascii="Times New Roman" w:hAnsi="Times New Roman"/>
          <w:sz w:val="21"/>
          <w:lang w:val="en-US" w:eastAsia="zh-CN"/>
        </w:rPr>
        <w:t>等15</w:t>
      </w:r>
      <w:r>
        <w:rPr>
          <w:rFonts w:hint="eastAsia" w:ascii="Times New Roman" w:hAnsi="Times New Roman"/>
          <w:sz w:val="21"/>
        </w:rPr>
        <w:t>种有毒物质</w:t>
      </w:r>
      <w:bookmarkEnd w:id="62"/>
      <w:r>
        <w:rPr>
          <w:rFonts w:hint="eastAsia" w:ascii="Times New Roman" w:hAnsi="Times New Roman"/>
          <w:sz w:val="21"/>
        </w:rPr>
        <w:t>的便携式气相色谱-光离子检测器</w:t>
      </w:r>
      <w:r>
        <w:rPr>
          <w:rFonts w:hint="eastAsia" w:ascii="Times New Roman" w:hAnsi="Times New Roman"/>
          <w:sz w:val="21"/>
          <w:lang w:val="en-US" w:eastAsia="zh-CN"/>
        </w:rPr>
        <w:t>测定方</w:t>
      </w:r>
      <w:r>
        <w:rPr>
          <w:rFonts w:hint="eastAsia" w:ascii="Times New Roman" w:hAnsi="Times New Roman"/>
          <w:sz w:val="21"/>
        </w:rPr>
        <w:t>法。</w:t>
      </w:r>
    </w:p>
    <w:p w14:paraId="4A430316">
      <w:pPr>
        <w:pStyle w:val="234"/>
        <w:rPr>
          <w:rFonts w:ascii="Times New Roman" w:hAnsi="Times New Roman"/>
          <w:sz w:val="21"/>
        </w:rPr>
      </w:pPr>
      <w:r>
        <w:rPr>
          <w:rFonts w:hint="eastAsia" w:ascii="Times New Roman" w:hAnsi="Times New Roman"/>
          <w:sz w:val="21"/>
        </w:rPr>
        <w:t>本</w:t>
      </w:r>
      <w:r>
        <w:rPr>
          <w:rFonts w:hint="eastAsia" w:ascii="Times New Roman"/>
          <w:sz w:val="21"/>
          <w:lang w:eastAsia="zh-CN"/>
        </w:rPr>
        <w:t>方法</w:t>
      </w:r>
      <w:r>
        <w:rPr>
          <w:rFonts w:hint="eastAsia" w:ascii="Times New Roman" w:hAnsi="Times New Roman"/>
          <w:sz w:val="21"/>
        </w:rPr>
        <w:t>适用于空气中硫化氢、甲硫醇、乙硫醇、甲硫醚、二硫化碳、正丁硫醇、</w:t>
      </w:r>
      <w:r>
        <w:rPr>
          <w:rFonts w:hint="eastAsia" w:ascii="Times New Roman" w:hAnsi="Times New Roman"/>
          <w:sz w:val="21"/>
          <w:lang w:val="en-US" w:eastAsia="zh-CN"/>
        </w:rPr>
        <w:t>二甲二硫、</w:t>
      </w:r>
      <w:r>
        <w:rPr>
          <w:rFonts w:hint="eastAsia" w:ascii="Times New Roman" w:hAnsi="Times New Roman"/>
          <w:sz w:val="21"/>
        </w:rPr>
        <w:t>苯、甲苯、乙苯、间二甲苯、对二甲苯、邻二甲苯、苯乙烯、异丙苯</w:t>
      </w:r>
      <w:r>
        <w:rPr>
          <w:rFonts w:hint="eastAsia" w:ascii="Times New Roman" w:hAnsi="Times New Roman"/>
          <w:sz w:val="21"/>
          <w:lang w:val="en-US" w:eastAsia="zh-CN"/>
        </w:rPr>
        <w:t>共15</w:t>
      </w:r>
      <w:r>
        <w:rPr>
          <w:rFonts w:hint="eastAsia" w:ascii="Times New Roman" w:hAnsi="Times New Roman"/>
          <w:sz w:val="21"/>
        </w:rPr>
        <w:t>种物质的现场测定。</w:t>
      </w:r>
    </w:p>
    <w:p w14:paraId="5521D7D7">
      <w:pPr>
        <w:pStyle w:val="234"/>
        <w:rPr>
          <w:rFonts w:hint="eastAsia"/>
          <w:lang w:val="en-US" w:eastAsia="zh-CN"/>
        </w:rPr>
      </w:pPr>
      <w:r>
        <w:rPr>
          <w:rFonts w:hint="eastAsia" w:ascii="Times New Roman" w:hAnsi="Times New Roman"/>
          <w:sz w:val="21"/>
          <w:lang w:val="en-US" w:eastAsia="zh-CN"/>
        </w:rPr>
        <w:t>当进样体积为0.1 ml时</w:t>
      </w:r>
      <w:r>
        <w:rPr>
          <w:rFonts w:hint="eastAsia" w:ascii="Times New Roman"/>
          <w:sz w:val="21"/>
          <w:lang w:val="en-US" w:eastAsia="zh-CN"/>
        </w:rPr>
        <w:t>，</w:t>
      </w:r>
      <w:r>
        <w:rPr>
          <w:rFonts w:hint="eastAsia" w:ascii="Times New Roman" w:hAnsi="Times New Roman"/>
          <w:sz w:val="21"/>
        </w:rPr>
        <w:t>方法检出限为0.0</w:t>
      </w:r>
      <w:r>
        <w:rPr>
          <w:rFonts w:hint="eastAsia" w:ascii="Times New Roman" w:hAnsi="Times New Roman"/>
          <w:sz w:val="21"/>
          <w:lang w:val="en-US" w:eastAsia="zh-CN"/>
        </w:rPr>
        <w:t xml:space="preserve">09 </w:t>
      </w:r>
      <w:r>
        <w:rPr>
          <w:rFonts w:hint="eastAsia" w:ascii="Times New Roman" w:hAnsi="Times New Roman"/>
          <w:sz w:val="21"/>
        </w:rPr>
        <w:t>mg/m</w:t>
      </w:r>
      <w:r>
        <w:rPr>
          <w:rFonts w:hint="eastAsia" w:ascii="Times New Roman" w:hAnsi="Times New Roman"/>
          <w:sz w:val="21"/>
          <w:vertAlign w:val="superscript"/>
        </w:rPr>
        <w:t>3</w:t>
      </w:r>
      <w:r>
        <w:rPr>
          <w:rFonts w:hint="eastAsia" w:ascii="Times New Roman" w:hAnsi="Times New Roman"/>
          <w:sz w:val="21"/>
        </w:rPr>
        <w:t>～</w:t>
      </w:r>
      <w:r>
        <w:rPr>
          <w:rFonts w:hint="eastAsia" w:ascii="Times New Roman" w:hAnsi="Times New Roman"/>
          <w:sz w:val="21"/>
          <w:lang w:val="en-US" w:eastAsia="zh-CN"/>
        </w:rPr>
        <w:t xml:space="preserve">0.14 </w:t>
      </w:r>
      <w:r>
        <w:rPr>
          <w:rFonts w:hint="eastAsia" w:ascii="Times New Roman" w:hAnsi="Times New Roman"/>
          <w:sz w:val="21"/>
        </w:rPr>
        <w:t>mg/m</w:t>
      </w:r>
      <w:r>
        <w:rPr>
          <w:rFonts w:hint="eastAsia" w:ascii="Times New Roman" w:hAnsi="Times New Roman"/>
          <w:sz w:val="21"/>
          <w:vertAlign w:val="superscript"/>
        </w:rPr>
        <w:t>3</w:t>
      </w:r>
      <w:r>
        <w:rPr>
          <w:rFonts w:hint="eastAsia" w:ascii="Times New Roman" w:hAnsi="Times New Roman"/>
          <w:sz w:val="21"/>
        </w:rPr>
        <w:t>，测定下限为</w:t>
      </w:r>
      <w:r>
        <w:rPr>
          <w:rFonts w:hint="eastAsia" w:ascii="Times New Roman" w:hAnsi="Times New Roman"/>
          <w:sz w:val="21"/>
          <w:lang w:val="en-US" w:eastAsia="zh-CN"/>
        </w:rPr>
        <w:t xml:space="preserve">0.038 </w:t>
      </w:r>
      <w:r>
        <w:rPr>
          <w:rFonts w:hint="eastAsia" w:ascii="Times New Roman" w:hAnsi="Times New Roman"/>
          <w:sz w:val="21"/>
        </w:rPr>
        <w:t>mg/m</w:t>
      </w:r>
      <w:r>
        <w:rPr>
          <w:rFonts w:hint="eastAsia" w:ascii="Times New Roman" w:hAnsi="Times New Roman"/>
          <w:sz w:val="21"/>
          <w:vertAlign w:val="superscript"/>
        </w:rPr>
        <w:t>3</w:t>
      </w:r>
      <w:r>
        <w:rPr>
          <w:rFonts w:hint="eastAsia" w:ascii="Times New Roman" w:hAnsi="Times New Roman"/>
          <w:sz w:val="21"/>
        </w:rPr>
        <w:t>～</w:t>
      </w:r>
      <w:r>
        <w:rPr>
          <w:rFonts w:hint="eastAsia" w:ascii="Times New Roman" w:hAnsi="Times New Roman"/>
          <w:sz w:val="21"/>
          <w:lang w:val="en-US" w:eastAsia="zh-CN"/>
        </w:rPr>
        <w:t xml:space="preserve">0.56 </w:t>
      </w:r>
      <w:r>
        <w:rPr>
          <w:rFonts w:hint="eastAsia" w:ascii="Times New Roman" w:hAnsi="Times New Roman"/>
          <w:sz w:val="21"/>
        </w:rPr>
        <w:t>mg/m</w:t>
      </w:r>
      <w:r>
        <w:rPr>
          <w:rFonts w:hint="eastAsia" w:ascii="Times New Roman" w:hAnsi="Times New Roman"/>
          <w:sz w:val="21"/>
          <w:vertAlign w:val="superscript"/>
        </w:rPr>
        <w:t>3</w:t>
      </w:r>
      <w:r>
        <w:rPr>
          <w:rFonts w:hint="eastAsia" w:ascii="Times New Roman" w:hAnsi="Times New Roman"/>
          <w:sz w:val="21"/>
        </w:rPr>
        <w:t>。</w:t>
      </w:r>
    </w:p>
    <w:p w14:paraId="17FBD31D">
      <w:pPr>
        <w:pStyle w:val="250"/>
        <w:numPr>
          <w:ilvl w:val="1"/>
          <w:numId w:val="4"/>
        </w:numPr>
        <w:spacing w:before="156" w:beforeLines="50" w:after="156" w:afterLines="50"/>
        <w:rPr>
          <w:rFonts w:hint="eastAsia" w:hAnsi="黑体"/>
          <w:szCs w:val="22"/>
          <w:lang w:val="en-US" w:eastAsia="zh-CN"/>
        </w:rPr>
      </w:pPr>
      <w:r>
        <w:rPr>
          <w:rFonts w:hint="eastAsia" w:hAnsi="黑体"/>
          <w:szCs w:val="22"/>
          <w:lang w:val="en-US" w:eastAsia="zh-CN"/>
        </w:rPr>
        <w:t>原理</w:t>
      </w:r>
    </w:p>
    <w:p w14:paraId="029960F5">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outlineLvl w:val="9"/>
        <w:rPr>
          <w:rFonts w:hint="eastAsia" w:ascii="宋体" w:hAnsi="Times New Roman" w:eastAsia="宋体" w:cs="Times New Roman"/>
          <w:kern w:val="0"/>
          <w:sz w:val="21"/>
          <w:szCs w:val="22"/>
          <w:lang w:val="en-US" w:eastAsia="zh-CN" w:bidi="ar-SA"/>
        </w:rPr>
      </w:pPr>
      <w:bookmarkStart w:id="63" w:name="_Toc9528651"/>
      <w:r>
        <w:rPr>
          <w:rFonts w:hint="eastAsia" w:ascii="宋体" w:hAnsi="Times New Roman" w:eastAsia="宋体" w:cs="Times New Roman"/>
          <w:kern w:val="0"/>
          <w:sz w:val="21"/>
          <w:szCs w:val="22"/>
          <w:lang w:val="en-US" w:eastAsia="zh-CN" w:bidi="ar-SA"/>
        </w:rPr>
        <w:t>仪器直接采集空气样品并经定量环进样，样品注入带有光离子化检测器的气相色谱仪中测定分析，根据保留时间定性，外标法定量。</w:t>
      </w:r>
      <w:bookmarkEnd w:id="63"/>
    </w:p>
    <w:p w14:paraId="5562CD7D">
      <w:pPr>
        <w:pStyle w:val="250"/>
        <w:numPr>
          <w:ilvl w:val="1"/>
          <w:numId w:val="4"/>
        </w:numPr>
        <w:spacing w:before="156" w:beforeLines="50" w:after="156" w:afterLines="50"/>
        <w:rPr>
          <w:rFonts w:hint="eastAsia" w:hAnsi="黑体"/>
          <w:szCs w:val="22"/>
          <w:lang w:val="en-US" w:eastAsia="zh-CN"/>
        </w:rPr>
      </w:pPr>
      <w:r>
        <w:rPr>
          <w:rFonts w:hint="eastAsia" w:hAnsi="黑体"/>
          <w:szCs w:val="22"/>
          <w:lang w:val="en-US" w:eastAsia="zh-CN"/>
        </w:rPr>
        <w:t>试剂和材料</w:t>
      </w:r>
    </w:p>
    <w:p w14:paraId="29D53AA7">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ascii="宋体" w:hAnsi="Times New Roman" w:eastAsia="宋体" w:cs="Times New Roman"/>
          <w:kern w:val="21"/>
          <w:sz w:val="21"/>
          <w:szCs w:val="22"/>
          <w:lang w:val="en-US" w:eastAsia="zh-CN" w:bidi="ar-SA"/>
        </w:rPr>
      </w:pPr>
      <w:bookmarkStart w:id="64" w:name="_Toc280240588"/>
      <w:bookmarkStart w:id="65" w:name="_Toc311687278"/>
      <w:bookmarkStart w:id="66" w:name="_Toc290633814"/>
      <w:bookmarkStart w:id="67" w:name="_Toc311687198"/>
      <w:bookmarkStart w:id="68" w:name="_Toc280242264"/>
      <w:bookmarkStart w:id="69" w:name="_Toc290473740"/>
      <w:bookmarkStart w:id="70" w:name="_Toc280240498"/>
      <w:bookmarkStart w:id="71" w:name="_Toc280240543"/>
      <w:r>
        <w:rPr>
          <w:rFonts w:hint="eastAsia" w:ascii="宋体" w:eastAsia="宋体" w:cs="Times New Roman"/>
          <w:kern w:val="21"/>
          <w:sz w:val="21"/>
          <w:szCs w:val="22"/>
          <w:lang w:val="en-US" w:eastAsia="zh-CN" w:bidi="ar-SA"/>
        </w:rPr>
        <w:t>高纯</w:t>
      </w:r>
      <w:r>
        <w:rPr>
          <w:rFonts w:hint="eastAsia" w:ascii="宋体" w:hAnsi="Times New Roman" w:eastAsia="宋体" w:cs="Times New Roman"/>
          <w:kern w:val="21"/>
          <w:sz w:val="21"/>
          <w:szCs w:val="22"/>
          <w:lang w:val="en-US" w:eastAsia="zh-CN" w:bidi="ar-SA"/>
        </w:rPr>
        <w:t>氮气，纯度≥99.999%。</w:t>
      </w:r>
    </w:p>
    <w:p w14:paraId="54843CA7">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default" w:ascii="宋体" w:hAnsi="Times New Roman" w:eastAsia="宋体" w:cs="Times New Roman"/>
          <w:kern w:val="21"/>
          <w:sz w:val="21"/>
          <w:szCs w:val="22"/>
          <w:lang w:val="en-US" w:eastAsia="zh-CN" w:bidi="ar-SA"/>
        </w:rPr>
      </w:pPr>
      <w:r>
        <w:rPr>
          <w:rFonts w:hint="eastAsia" w:ascii="宋体" w:hAnsi="Times New Roman" w:eastAsia="宋体" w:cs="Times New Roman"/>
          <w:kern w:val="21"/>
          <w:sz w:val="21"/>
          <w:szCs w:val="22"/>
          <w:lang w:val="en-US" w:eastAsia="zh-CN" w:bidi="ar-SA"/>
        </w:rPr>
        <w:t>标准气体1：硫化氢有证标准气体，平衡气为氮气或空气，</w:t>
      </w:r>
      <w:r>
        <w:rPr>
          <w:rFonts w:hint="eastAsia" w:ascii="Times New Roman" w:hAnsi="Times New Roman" w:eastAsia="宋体" w:cs="Times New Roman"/>
          <w:sz w:val="21"/>
          <w:lang w:val="en-US" w:eastAsia="zh-CN" w:bidi="ar-SA"/>
        </w:rPr>
        <w:t>高压钢瓶保存，钢瓶压力不低于1.0 MPa</w:t>
      </w:r>
      <w:r>
        <w:rPr>
          <w:rFonts w:hint="eastAsia" w:ascii="Times New Roman" w:eastAsia="宋体" w:cs="Times New Roman"/>
          <w:sz w:val="21"/>
          <w:lang w:val="en-US" w:eastAsia="zh-CN" w:bidi="ar-SA"/>
        </w:rPr>
        <w:t>，</w:t>
      </w:r>
      <w:r>
        <w:rPr>
          <w:rFonts w:hint="eastAsia" w:ascii="宋体" w:hAnsi="Times New Roman" w:eastAsia="宋体" w:cs="Times New Roman"/>
          <w:kern w:val="21"/>
          <w:sz w:val="21"/>
          <w:szCs w:val="22"/>
          <w:lang w:val="en-US" w:eastAsia="zh-CN" w:bidi="ar-SA"/>
        </w:rPr>
        <w:t>相对扩展不确定度≤2%（k=2）。</w:t>
      </w:r>
    </w:p>
    <w:p w14:paraId="6705575B">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default" w:ascii="宋体" w:hAnsi="Times New Roman" w:eastAsia="宋体" w:cs="Times New Roman"/>
          <w:kern w:val="21"/>
          <w:sz w:val="21"/>
          <w:szCs w:val="22"/>
          <w:lang w:val="en-US" w:eastAsia="zh-CN" w:bidi="ar-SA"/>
        </w:rPr>
      </w:pPr>
      <w:r>
        <w:rPr>
          <w:rFonts w:hint="eastAsia" w:ascii="宋体" w:hAnsi="Times New Roman" w:eastAsia="宋体" w:cs="Times New Roman"/>
          <w:kern w:val="21"/>
          <w:sz w:val="21"/>
          <w:szCs w:val="22"/>
          <w:lang w:val="en-US" w:eastAsia="zh-CN" w:bidi="ar-SA"/>
        </w:rPr>
        <w:t>标准气体2:</w:t>
      </w:r>
      <w:r>
        <w:rPr>
          <w:rFonts w:hint="eastAsia" w:ascii="宋体" w:eastAsia="宋体" w:cs="Times New Roman"/>
          <w:kern w:val="21"/>
          <w:sz w:val="21"/>
          <w:szCs w:val="22"/>
          <w:lang w:val="en-US" w:eastAsia="zh-CN" w:bidi="ar-SA"/>
        </w:rPr>
        <w:t xml:space="preserve"> 含有甲硫醇、乙硫醇、甲硫醚、正丁硫醇、二甲二硫、二硫化碳待测化合物的</w:t>
      </w:r>
      <w:r>
        <w:rPr>
          <w:rFonts w:hint="eastAsia" w:ascii="宋体" w:hAnsi="Times New Roman" w:eastAsia="宋体" w:cs="Times New Roman"/>
          <w:kern w:val="21"/>
          <w:sz w:val="21"/>
          <w:szCs w:val="22"/>
          <w:lang w:val="en-US" w:eastAsia="zh-CN" w:bidi="ar-SA"/>
        </w:rPr>
        <w:t>有证标准气体，平衡气为氮气或空气，</w:t>
      </w:r>
      <w:r>
        <w:rPr>
          <w:rFonts w:hint="eastAsia" w:ascii="Times New Roman" w:hAnsi="Times New Roman" w:eastAsia="宋体" w:cs="Times New Roman"/>
          <w:sz w:val="21"/>
          <w:lang w:val="en-US" w:eastAsia="zh-CN" w:bidi="ar-SA"/>
        </w:rPr>
        <w:t>高压钢瓶保存，钢瓶压力不低于1.0 MPa</w:t>
      </w:r>
      <w:r>
        <w:rPr>
          <w:rFonts w:hint="eastAsia" w:ascii="Times New Roman" w:eastAsia="宋体" w:cs="Times New Roman"/>
          <w:sz w:val="21"/>
          <w:lang w:val="en-US" w:eastAsia="zh-CN" w:bidi="ar-SA"/>
        </w:rPr>
        <w:t>，</w:t>
      </w:r>
      <w:r>
        <w:rPr>
          <w:rFonts w:hint="eastAsia" w:ascii="宋体" w:hAnsi="Times New Roman" w:eastAsia="宋体" w:cs="Times New Roman"/>
          <w:kern w:val="21"/>
          <w:sz w:val="21"/>
          <w:szCs w:val="22"/>
          <w:lang w:val="en-US" w:eastAsia="zh-CN" w:bidi="ar-SA"/>
        </w:rPr>
        <w:t>相对扩展不确定度≤2%（k=2</w:t>
      </w:r>
      <w:r>
        <w:rPr>
          <w:rFonts w:hint="eastAsia" w:ascii="宋体" w:eastAsia="宋体" w:cs="Times New Roman"/>
          <w:kern w:val="21"/>
          <w:sz w:val="21"/>
          <w:szCs w:val="22"/>
          <w:lang w:val="en-US" w:eastAsia="zh-CN" w:bidi="ar-SA"/>
        </w:rPr>
        <w:t>）。</w:t>
      </w:r>
      <w:r>
        <w:rPr>
          <w:rFonts w:hint="eastAsia" w:ascii="宋体" w:hAnsi="Times New Roman" w:eastAsia="宋体" w:cs="Times New Roman"/>
          <w:kern w:val="21"/>
          <w:sz w:val="21"/>
          <w:szCs w:val="22"/>
          <w:lang w:val="en-US" w:eastAsia="zh-CN" w:bidi="ar-SA"/>
        </w:rPr>
        <w:t>根据实际需要可选择单一或多种混合标准气体。</w:t>
      </w:r>
    </w:p>
    <w:p w14:paraId="601E373D">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ascii="宋体" w:hAnsi="Times New Roman" w:eastAsia="宋体" w:cs="Times New Roman"/>
          <w:kern w:val="21"/>
          <w:sz w:val="21"/>
          <w:szCs w:val="22"/>
          <w:lang w:val="en-US" w:eastAsia="zh-CN" w:bidi="ar-SA"/>
        </w:rPr>
      </w:pPr>
      <w:r>
        <w:rPr>
          <w:rFonts w:hint="eastAsia" w:ascii="宋体" w:hAnsi="Times New Roman" w:eastAsia="宋体" w:cs="Times New Roman"/>
          <w:kern w:val="21"/>
          <w:sz w:val="21"/>
          <w:szCs w:val="22"/>
          <w:lang w:val="en-US" w:eastAsia="zh-CN" w:bidi="ar-SA"/>
        </w:rPr>
        <w:t>标准气体</w:t>
      </w:r>
      <w:r>
        <w:rPr>
          <w:rFonts w:hint="eastAsia" w:ascii="宋体" w:eastAsia="宋体" w:cs="Times New Roman"/>
          <w:kern w:val="21"/>
          <w:sz w:val="21"/>
          <w:szCs w:val="22"/>
          <w:lang w:val="en-US" w:eastAsia="zh-CN" w:bidi="ar-SA"/>
        </w:rPr>
        <w:t>3</w:t>
      </w:r>
      <w:r>
        <w:rPr>
          <w:rFonts w:hint="eastAsia" w:ascii="宋体" w:hAnsi="Times New Roman" w:eastAsia="宋体" w:cs="Times New Roman"/>
          <w:kern w:val="21"/>
          <w:sz w:val="21"/>
          <w:szCs w:val="22"/>
          <w:lang w:val="en-US" w:eastAsia="zh-CN" w:bidi="ar-SA"/>
        </w:rPr>
        <w:t>：含有苯、三氯乙烯、甲苯、四氯乙烯、乙苯、间二甲苯、对二甲苯、苯乙烯、邻二甲苯待测化合物的有证标准气体，平衡气为氮气或空气，</w:t>
      </w:r>
      <w:r>
        <w:rPr>
          <w:rFonts w:hint="eastAsia" w:ascii="Times New Roman" w:hAnsi="Times New Roman" w:eastAsia="宋体" w:cs="Times New Roman"/>
          <w:sz w:val="21"/>
          <w:lang w:val="en-US" w:eastAsia="zh-CN" w:bidi="ar-SA"/>
        </w:rPr>
        <w:t>高压钢瓶保存，钢瓶压力不低于1.0 MPa</w:t>
      </w:r>
      <w:r>
        <w:rPr>
          <w:rFonts w:hint="eastAsia" w:ascii="Times New Roman" w:eastAsia="宋体" w:cs="Times New Roman"/>
          <w:sz w:val="21"/>
          <w:lang w:val="en-US" w:eastAsia="zh-CN" w:bidi="ar-SA"/>
        </w:rPr>
        <w:t>，</w:t>
      </w:r>
      <w:r>
        <w:rPr>
          <w:rFonts w:hint="eastAsia" w:ascii="宋体" w:hAnsi="Times New Roman" w:eastAsia="宋体" w:cs="Times New Roman"/>
          <w:kern w:val="21"/>
          <w:sz w:val="21"/>
          <w:szCs w:val="22"/>
          <w:lang w:val="en-US" w:eastAsia="zh-CN" w:bidi="ar-SA"/>
        </w:rPr>
        <w:t>相对扩展不确定度≤2%（k=2）。根据实际需要可选择单一或多种混合标准气体。</w:t>
      </w:r>
    </w:p>
    <w:bookmarkEnd w:id="64"/>
    <w:bookmarkEnd w:id="65"/>
    <w:bookmarkEnd w:id="66"/>
    <w:bookmarkEnd w:id="67"/>
    <w:bookmarkEnd w:id="68"/>
    <w:bookmarkEnd w:id="69"/>
    <w:bookmarkEnd w:id="70"/>
    <w:bookmarkEnd w:id="71"/>
    <w:p w14:paraId="1013074D">
      <w:pPr>
        <w:pStyle w:val="250"/>
        <w:numPr>
          <w:ilvl w:val="1"/>
          <w:numId w:val="4"/>
        </w:numPr>
        <w:spacing w:before="156" w:beforeLines="50" w:after="156" w:afterLines="50"/>
        <w:rPr>
          <w:rFonts w:ascii="Times New Roman" w:hAnsi="Times New Roman"/>
          <w:szCs w:val="24"/>
        </w:rPr>
      </w:pPr>
      <w:r>
        <w:rPr>
          <w:rFonts w:hint="eastAsia" w:hAnsi="黑体"/>
          <w:szCs w:val="22"/>
          <w:lang w:val="en-US" w:eastAsia="zh-CN"/>
        </w:rPr>
        <w:t>仪器和设备</w:t>
      </w:r>
      <w:bookmarkStart w:id="72" w:name="_Hlk143781466"/>
    </w:p>
    <w:p w14:paraId="343ADF91">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ascii="宋体" w:hAnsi="Times New Roman" w:eastAsia="宋体" w:cs="Times New Roman"/>
          <w:kern w:val="21"/>
          <w:sz w:val="21"/>
          <w:szCs w:val="22"/>
          <w:lang w:val="en-US" w:eastAsia="zh-CN" w:bidi="ar-SA"/>
        </w:rPr>
      </w:pPr>
      <w:r>
        <w:rPr>
          <w:rFonts w:hint="eastAsia" w:ascii="Times New Roman" w:hAnsi="Times New Roman" w:eastAsia="宋体" w:cs="Times New Roman"/>
          <w:sz w:val="21"/>
          <w:lang w:val="en-US" w:eastAsia="zh-CN" w:bidi="ar-SA"/>
        </w:rPr>
        <w:t>便携式气相色谱仪：光离子化检测器，集成预柱反吹气体进样阀、毛细管色谱柱、定量环，配无油采样泵（≥100ml/min），样品流路采用惰性材料（聚四氟乙烯或硅烷化不锈钢）。</w:t>
      </w:r>
    </w:p>
    <w:p w14:paraId="29B83336">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ascii="宋体" w:hAnsi="Times New Roman" w:eastAsia="宋体" w:cs="Times New Roman"/>
          <w:kern w:val="21"/>
          <w:sz w:val="21"/>
          <w:szCs w:val="22"/>
          <w:lang w:val="en-US" w:eastAsia="zh-CN" w:bidi="ar-SA"/>
        </w:rPr>
      </w:pPr>
      <w:r>
        <w:rPr>
          <w:rFonts w:hint="eastAsia" w:ascii="宋体" w:eastAsia="宋体" w:cs="Times New Roman"/>
          <w:kern w:val="21"/>
          <w:sz w:val="21"/>
          <w:szCs w:val="22"/>
          <w:lang w:val="en-US" w:eastAsia="zh-CN" w:bidi="ar-SA"/>
        </w:rPr>
        <w:t xml:space="preserve">毛细管色谱柱：可以根据需要选择内径为0.25 mm、0.32 mm或0.53mm，膜厚1.0μm～5.0 μm，15 m～60 m长的100%二甲基聚硅氧烷毛细管色谱柱，或其他等效毛细管色谱柱。    </w:t>
      </w:r>
    </w:p>
    <w:p w14:paraId="00C05499">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lang w:val="en-US" w:eastAsia="zh-CN"/>
        </w:rPr>
      </w:pPr>
      <w:r>
        <w:rPr>
          <w:rFonts w:hint="eastAsia" w:ascii="宋体" w:hAnsi="Times New Roman" w:eastAsia="宋体" w:cs="Times New Roman"/>
          <w:kern w:val="21"/>
          <w:sz w:val="21"/>
          <w:szCs w:val="22"/>
          <w:lang w:val="en-US" w:eastAsia="zh-CN" w:bidi="ar-SA"/>
        </w:rPr>
        <w:t>动态稀释配气装置：稀释能力不小于100倍，流量计流量精度优于±2%。</w:t>
      </w:r>
    </w:p>
    <w:p w14:paraId="779B06E2">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ascii="宋体" w:hAnsi="Times New Roman" w:eastAsia="宋体" w:cs="Times New Roman"/>
          <w:kern w:val="21"/>
          <w:sz w:val="21"/>
          <w:szCs w:val="22"/>
          <w:lang w:val="en-US" w:eastAsia="zh-CN" w:bidi="ar-SA"/>
        </w:rPr>
      </w:pPr>
      <w:r>
        <w:rPr>
          <w:rFonts w:hint="eastAsia" w:ascii="宋体" w:hAnsi="宋体" w:eastAsia="宋体" w:cs="宋体"/>
          <w:highlight w:val="none"/>
          <w:lang w:val="en-US" w:eastAsia="zh-CN"/>
        </w:rPr>
        <w:t>样品气稀释装置：基于文丘里管稀释原理，提供10倍～1000倍范围内预置的固定稀释档位，其稀释误差应小于±2%</w:t>
      </w:r>
      <w:r>
        <w:rPr>
          <w:rFonts w:hint="eastAsia" w:ascii="宋体" w:hAnsi="Times New Roman" w:eastAsia="宋体" w:cs="Times New Roman"/>
          <w:kern w:val="21"/>
          <w:sz w:val="21"/>
          <w:szCs w:val="22"/>
          <w:lang w:val="en-US" w:eastAsia="zh-CN" w:bidi="ar-SA"/>
        </w:rPr>
        <w:t>。</w:t>
      </w:r>
    </w:p>
    <w:p w14:paraId="6D4AFD35">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ascii="宋体" w:hAnsi="宋体" w:eastAsia="宋体" w:cs="宋体"/>
          <w:lang w:val="en-US" w:eastAsia="zh-CN"/>
        </w:rPr>
      </w:pPr>
      <w:r>
        <w:rPr>
          <w:rFonts w:hint="eastAsia" w:ascii="宋体" w:hAnsi="宋体" w:eastAsia="宋体" w:cs="宋体"/>
          <w:lang w:val="en-US" w:eastAsia="zh-CN"/>
        </w:rPr>
        <w:t>采样管路：足够长度的不锈钢钝化管线或聚四氟乙烯材料（Teflon）管。</w:t>
      </w:r>
    </w:p>
    <w:p w14:paraId="4F03D80D">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ascii="黑体" w:hAnsi="Times New Roman" w:eastAsia="黑体" w:cs="Times New Roman"/>
          <w:sz w:val="21"/>
          <w:szCs w:val="21"/>
          <w:lang w:val="en-US" w:eastAsia="zh-CN" w:bidi="ar-SA"/>
        </w:rPr>
      </w:pPr>
      <w:r>
        <w:rPr>
          <w:rFonts w:hint="eastAsia" w:ascii="宋体" w:hAnsi="Times New Roman" w:eastAsia="宋体" w:cs="Times New Roman"/>
          <w:kern w:val="21"/>
          <w:sz w:val="21"/>
          <w:szCs w:val="22"/>
          <w:lang w:val="en-US" w:eastAsia="zh-CN" w:bidi="ar-SA"/>
        </w:rPr>
        <w:t>气袋：气袋本体及构件的材质应化学惰性优良，具有低吸附、低气体渗透率、低本底等特性，材质应符合HJ 732相关要求。</w:t>
      </w:r>
    </w:p>
    <w:bookmarkEnd w:id="72"/>
    <w:p w14:paraId="54273E00">
      <w:pPr>
        <w:pStyle w:val="250"/>
        <w:numPr>
          <w:ilvl w:val="1"/>
          <w:numId w:val="4"/>
        </w:numPr>
        <w:spacing w:before="156" w:beforeLines="50" w:after="156" w:afterLines="50"/>
        <w:rPr>
          <w:rFonts w:hint="eastAsia" w:hAnsi="黑体"/>
          <w:szCs w:val="22"/>
          <w:lang w:val="en-US" w:eastAsia="zh-CN"/>
        </w:rPr>
      </w:pPr>
      <w:bookmarkStart w:id="73" w:name="_Toc25659"/>
      <w:r>
        <w:rPr>
          <w:rFonts w:hint="eastAsia" w:hAnsi="黑体"/>
          <w:szCs w:val="22"/>
          <w:lang w:val="en-US" w:eastAsia="zh-CN"/>
        </w:rPr>
        <w:t>分析步骤</w:t>
      </w:r>
      <w:bookmarkEnd w:id="73"/>
      <w:bookmarkStart w:id="74" w:name="_Toc16874"/>
      <w:bookmarkStart w:id="75" w:name="_Toc142574043"/>
      <w:bookmarkStart w:id="76" w:name="_Toc142573932"/>
    </w:p>
    <w:p w14:paraId="01B9B6C3">
      <w:pPr>
        <w:pStyle w:val="79"/>
        <w:spacing w:before="156" w:after="156"/>
        <w:rPr>
          <w:rFonts w:hint="eastAsia"/>
          <w:szCs w:val="22"/>
          <w:lang w:val="en-US" w:eastAsia="zh-CN"/>
        </w:rPr>
      </w:pPr>
      <w:r>
        <w:rPr>
          <w:rFonts w:hint="eastAsia"/>
          <w:szCs w:val="22"/>
          <w:lang w:val="en-US" w:eastAsia="zh-CN"/>
        </w:rPr>
        <w:t>色谱分析参考条件</w:t>
      </w:r>
      <w:bookmarkEnd w:id="74"/>
      <w:bookmarkEnd w:id="75"/>
      <w:bookmarkEnd w:id="76"/>
    </w:p>
    <w:p w14:paraId="7795C98B">
      <w:pPr>
        <w:pStyle w:val="56"/>
        <w:rPr>
          <w:rFonts w:hint="eastAsia" w:ascii="宋体" w:hAnsi="Times New Roman" w:eastAsia="宋体" w:cs="Times New Roman"/>
          <w:kern w:val="0"/>
          <w:sz w:val="21"/>
          <w:szCs w:val="22"/>
          <w:lang w:val="en-US" w:eastAsia="zh-CN" w:bidi="ar-SA"/>
        </w:rPr>
      </w:pPr>
      <w:r>
        <w:rPr>
          <w:rFonts w:hint="eastAsia" w:ascii="宋体" w:hAnsi="Times New Roman" w:eastAsia="宋体" w:cs="Times New Roman"/>
          <w:kern w:val="0"/>
          <w:sz w:val="21"/>
          <w:szCs w:val="22"/>
          <w:lang w:val="en-US" w:eastAsia="zh-CN" w:bidi="ar-SA"/>
        </w:rPr>
        <w:t>推荐的色谱分析条件如下（具体条件可根据仪器型号和色谱柱性能优化调整）：</w:t>
      </w:r>
    </w:p>
    <w:p w14:paraId="37FFF472">
      <w:pPr>
        <w:keepNext w:val="0"/>
        <w:keepLines w:val="0"/>
        <w:pageBreakBefore w:val="0"/>
        <w:widowControl w:val="0"/>
        <w:kinsoku/>
        <w:wordWrap/>
        <w:overflowPunct/>
        <w:topLinePunct w:val="0"/>
        <w:autoSpaceDE/>
        <w:autoSpaceDN/>
        <w:bidi w:val="0"/>
        <w:adjustRightInd w:val="0"/>
        <w:snapToGrid/>
        <w:ind w:firstLine="420" w:firstLineChars="200"/>
        <w:textAlignment w:val="auto"/>
        <w:outlineLvl w:val="9"/>
        <w:rPr>
          <w:rFonts w:ascii="Times New Roman" w:hAnsi="Times New Roman"/>
          <w:sz w:val="21"/>
        </w:rPr>
      </w:pPr>
      <w:r>
        <w:rPr>
          <w:rFonts w:hint="eastAsia" w:ascii="Times New Roman" w:hAnsi="Times New Roman"/>
          <w:sz w:val="21"/>
        </w:rPr>
        <w:t>进样阀温度：</w:t>
      </w:r>
      <w:r>
        <w:rPr>
          <w:rFonts w:ascii="Times New Roman" w:hAnsi="Times New Roman"/>
          <w:sz w:val="21"/>
        </w:rPr>
        <w:t>65</w:t>
      </w:r>
      <w:r>
        <w:rPr>
          <w:rFonts w:hint="eastAsia" w:ascii="Times New Roman" w:hAnsi="Times New Roman"/>
          <w:sz w:val="21"/>
        </w:rPr>
        <w:t>℃。</w:t>
      </w:r>
    </w:p>
    <w:p w14:paraId="6585BFE5">
      <w:pPr>
        <w:keepNext w:val="0"/>
        <w:keepLines w:val="0"/>
        <w:pageBreakBefore w:val="0"/>
        <w:widowControl w:val="0"/>
        <w:kinsoku/>
        <w:wordWrap/>
        <w:overflowPunct/>
        <w:topLinePunct w:val="0"/>
        <w:autoSpaceDE/>
        <w:autoSpaceDN/>
        <w:bidi w:val="0"/>
        <w:adjustRightInd w:val="0"/>
        <w:snapToGrid/>
        <w:ind w:firstLine="420" w:firstLineChars="200"/>
        <w:textAlignment w:val="auto"/>
        <w:outlineLvl w:val="9"/>
        <w:rPr>
          <w:rFonts w:ascii="Times New Roman" w:hAnsi="Times New Roman"/>
          <w:sz w:val="21"/>
        </w:rPr>
      </w:pPr>
      <w:r>
        <w:rPr>
          <w:rFonts w:hint="eastAsia" w:ascii="Times New Roman" w:hAnsi="Times New Roman"/>
          <w:sz w:val="21"/>
        </w:rPr>
        <w:t>色谱柱</w:t>
      </w:r>
      <w:r>
        <w:rPr>
          <w:rFonts w:ascii="Times New Roman" w:hAnsi="Times New Roman"/>
          <w:sz w:val="21"/>
        </w:rPr>
        <w:t>1</w:t>
      </w:r>
      <w:r>
        <w:rPr>
          <w:rFonts w:hint="eastAsia" w:ascii="Times New Roman" w:hAnsi="Times New Roman"/>
          <w:sz w:val="21"/>
        </w:rPr>
        <w:t>温度：</w:t>
      </w:r>
      <w:r>
        <w:rPr>
          <w:rFonts w:ascii="Times New Roman" w:hAnsi="Times New Roman"/>
          <w:sz w:val="21"/>
        </w:rPr>
        <w:t>65</w:t>
      </w:r>
      <w:r>
        <w:rPr>
          <w:rFonts w:hint="eastAsia" w:ascii="Times New Roman" w:hAnsi="Times New Roman"/>
          <w:sz w:val="21"/>
        </w:rPr>
        <w:t>℃。</w:t>
      </w:r>
    </w:p>
    <w:p w14:paraId="2BF8A181">
      <w:pPr>
        <w:keepNext w:val="0"/>
        <w:keepLines w:val="0"/>
        <w:pageBreakBefore w:val="0"/>
        <w:widowControl w:val="0"/>
        <w:kinsoku/>
        <w:wordWrap/>
        <w:overflowPunct/>
        <w:topLinePunct w:val="0"/>
        <w:autoSpaceDE/>
        <w:autoSpaceDN/>
        <w:bidi w:val="0"/>
        <w:adjustRightInd w:val="0"/>
        <w:snapToGrid/>
        <w:ind w:firstLine="420" w:firstLineChars="200"/>
        <w:textAlignment w:val="auto"/>
        <w:outlineLvl w:val="9"/>
        <w:rPr>
          <w:rFonts w:ascii="Times New Roman" w:hAnsi="Times New Roman"/>
          <w:sz w:val="21"/>
        </w:rPr>
      </w:pPr>
      <w:r>
        <w:rPr>
          <w:rFonts w:hint="eastAsia" w:ascii="Times New Roman" w:hAnsi="Times New Roman"/>
          <w:sz w:val="21"/>
        </w:rPr>
        <w:t>色谱柱</w:t>
      </w:r>
      <w:r>
        <w:rPr>
          <w:rFonts w:ascii="Times New Roman" w:hAnsi="Times New Roman"/>
          <w:sz w:val="21"/>
        </w:rPr>
        <w:t>2</w:t>
      </w:r>
      <w:r>
        <w:rPr>
          <w:rFonts w:hint="eastAsia" w:ascii="Times New Roman" w:hAnsi="Times New Roman"/>
          <w:sz w:val="21"/>
        </w:rPr>
        <w:t>温度：</w:t>
      </w:r>
      <w:r>
        <w:rPr>
          <w:rFonts w:ascii="Times New Roman" w:hAnsi="Times New Roman"/>
          <w:sz w:val="21"/>
        </w:rPr>
        <w:t>6</w:t>
      </w:r>
      <w:r>
        <w:rPr>
          <w:rFonts w:hint="eastAsia" w:ascii="Times New Roman" w:hAnsi="Times New Roman"/>
          <w:sz w:val="21"/>
          <w:lang w:val="en-US" w:eastAsia="zh-CN"/>
        </w:rPr>
        <w:t>0</w:t>
      </w:r>
      <w:r>
        <w:rPr>
          <w:rFonts w:hint="eastAsia" w:ascii="Times New Roman" w:hAnsi="Times New Roman"/>
          <w:sz w:val="21"/>
        </w:rPr>
        <w:t>℃。</w:t>
      </w:r>
    </w:p>
    <w:p w14:paraId="2ECA51A0">
      <w:pPr>
        <w:keepNext w:val="0"/>
        <w:keepLines w:val="0"/>
        <w:pageBreakBefore w:val="0"/>
        <w:widowControl w:val="0"/>
        <w:kinsoku/>
        <w:wordWrap/>
        <w:overflowPunct/>
        <w:topLinePunct w:val="0"/>
        <w:autoSpaceDE/>
        <w:autoSpaceDN/>
        <w:bidi w:val="0"/>
        <w:adjustRightInd w:val="0"/>
        <w:snapToGrid/>
        <w:ind w:firstLine="420" w:firstLineChars="200"/>
        <w:textAlignment w:val="auto"/>
        <w:outlineLvl w:val="9"/>
        <w:rPr>
          <w:rFonts w:ascii="Times New Roman" w:hAnsi="Times New Roman"/>
          <w:sz w:val="21"/>
        </w:rPr>
      </w:pPr>
      <w:r>
        <w:rPr>
          <w:rFonts w:hint="eastAsia" w:ascii="Times New Roman" w:hAnsi="Times New Roman"/>
          <w:sz w:val="21"/>
        </w:rPr>
        <w:t>载气流速：</w:t>
      </w:r>
      <w:r>
        <w:rPr>
          <w:rFonts w:ascii="Times New Roman" w:hAnsi="Times New Roman"/>
          <w:sz w:val="21"/>
        </w:rPr>
        <w:t>5</w:t>
      </w:r>
      <w:r>
        <w:rPr>
          <w:rFonts w:hint="eastAsia" w:ascii="Times New Roman" w:hAnsi="Times New Roman" w:eastAsia="宋体" w:cs="宋体"/>
          <w:sz w:val="21"/>
          <w:lang w:val="en-US" w:eastAsia="zh-CN" w:bidi="ar-SA"/>
        </w:rPr>
        <w:t>～</w:t>
      </w:r>
      <w:r>
        <w:rPr>
          <w:rFonts w:hint="eastAsia" w:ascii="Times New Roman" w:hAnsi="Times New Roman"/>
          <w:sz w:val="21"/>
          <w:lang w:val="en-US" w:eastAsia="zh-CN"/>
        </w:rPr>
        <w:t>8</w:t>
      </w:r>
      <w:r>
        <w:rPr>
          <w:rFonts w:ascii="Times New Roman" w:hAnsi="Times New Roman"/>
          <w:sz w:val="21"/>
        </w:rPr>
        <w:t xml:space="preserve"> ml/min</w:t>
      </w:r>
      <w:r>
        <w:rPr>
          <w:rFonts w:hint="eastAsia" w:ascii="Times New Roman" w:hAnsi="Times New Roman"/>
          <w:sz w:val="21"/>
        </w:rPr>
        <w:t>。</w:t>
      </w:r>
    </w:p>
    <w:p w14:paraId="21AA9F0C">
      <w:pPr>
        <w:keepNext w:val="0"/>
        <w:keepLines w:val="0"/>
        <w:pageBreakBefore w:val="0"/>
        <w:widowControl w:val="0"/>
        <w:kinsoku/>
        <w:wordWrap/>
        <w:overflowPunct/>
        <w:topLinePunct w:val="0"/>
        <w:autoSpaceDE/>
        <w:autoSpaceDN/>
        <w:bidi w:val="0"/>
        <w:adjustRightInd w:val="0"/>
        <w:snapToGrid/>
        <w:ind w:firstLine="420" w:firstLineChars="200"/>
        <w:textAlignment w:val="auto"/>
        <w:outlineLvl w:val="9"/>
        <w:rPr>
          <w:rFonts w:ascii="Times New Roman" w:hAnsi="Times New Roman"/>
          <w:sz w:val="21"/>
        </w:rPr>
      </w:pPr>
      <w:r>
        <w:rPr>
          <w:rFonts w:hint="eastAsia" w:ascii="Times New Roman" w:hAnsi="Times New Roman"/>
          <w:sz w:val="21"/>
        </w:rPr>
        <w:t>进样量：</w:t>
      </w:r>
      <w:r>
        <w:rPr>
          <w:rFonts w:ascii="Times New Roman" w:hAnsi="Times New Roman"/>
          <w:sz w:val="21"/>
        </w:rPr>
        <w:t>0.1 ml</w:t>
      </w:r>
      <w:r>
        <w:rPr>
          <w:rFonts w:hint="eastAsia" w:ascii="Times New Roman" w:hAnsi="Times New Roman"/>
          <w:sz w:val="21"/>
        </w:rPr>
        <w:t>。</w:t>
      </w:r>
    </w:p>
    <w:p w14:paraId="6605CBDC">
      <w:pPr>
        <w:keepNext w:val="0"/>
        <w:keepLines w:val="0"/>
        <w:pageBreakBefore w:val="0"/>
        <w:widowControl w:val="0"/>
        <w:kinsoku/>
        <w:wordWrap/>
        <w:overflowPunct/>
        <w:topLinePunct w:val="0"/>
        <w:autoSpaceDE/>
        <w:autoSpaceDN/>
        <w:bidi w:val="0"/>
        <w:adjustRightInd w:val="0"/>
        <w:snapToGrid/>
        <w:ind w:firstLine="420" w:firstLineChars="200"/>
        <w:textAlignment w:val="auto"/>
        <w:outlineLvl w:val="9"/>
        <w:rPr>
          <w:rFonts w:hint="eastAsia" w:ascii="Times New Roman" w:hAnsi="Times New Roman" w:cs="宋体"/>
          <w:sz w:val="21"/>
        </w:rPr>
      </w:pPr>
      <w:r>
        <w:rPr>
          <w:rFonts w:hint="eastAsia" w:ascii="Times New Roman" w:hAnsi="Times New Roman"/>
          <w:sz w:val="21"/>
        </w:rPr>
        <w:t>色谱图：</w:t>
      </w:r>
      <w:r>
        <w:rPr>
          <w:rFonts w:hint="eastAsia" w:ascii="Times New Roman" w:hAnsi="Times New Roman" w:cs="宋体"/>
          <w:sz w:val="21"/>
        </w:rPr>
        <w:t>在本</w:t>
      </w:r>
      <w:r>
        <w:rPr>
          <w:rFonts w:hint="eastAsia" w:ascii="Times New Roman" w:hAnsi="Times New Roman" w:cs="宋体"/>
          <w:sz w:val="21"/>
          <w:lang w:val="en-US" w:eastAsia="zh-CN"/>
        </w:rPr>
        <w:t>附录的</w:t>
      </w:r>
      <w:r>
        <w:rPr>
          <w:rFonts w:hint="eastAsia" w:ascii="Times New Roman" w:hAnsi="Times New Roman" w:cs="宋体"/>
          <w:sz w:val="21"/>
        </w:rPr>
        <w:t>参考条件下，标准气体的参考色谱图见图</w:t>
      </w:r>
      <w:r>
        <w:rPr>
          <w:rFonts w:hint="eastAsia" w:ascii="Times New Roman" w:hAnsi="Times New Roman" w:cs="宋体"/>
          <w:sz w:val="21"/>
          <w:lang w:val="en-US" w:eastAsia="zh-CN"/>
        </w:rPr>
        <w:t>G.1、G.2、G.3</w:t>
      </w:r>
      <w:r>
        <w:rPr>
          <w:rFonts w:hint="eastAsia" w:ascii="Times New Roman" w:hAnsi="Times New Roman" w:cs="宋体"/>
          <w:sz w:val="21"/>
        </w:rPr>
        <w:t>。</w:t>
      </w:r>
    </w:p>
    <w:p w14:paraId="1860416E">
      <w:pPr>
        <w:pStyle w:val="56"/>
        <w:keepNext w:val="0"/>
        <w:keepLines w:val="0"/>
        <w:pageBreakBefore w:val="0"/>
        <w:widowControl/>
        <w:kinsoku/>
        <w:wordWrap/>
        <w:overflowPunct/>
        <w:topLinePunct w:val="0"/>
        <w:autoSpaceDE w:val="0"/>
        <w:autoSpaceDN w:val="0"/>
        <w:bidi w:val="0"/>
        <w:adjustRightInd/>
        <w:snapToGrid/>
        <w:ind w:firstLine="0" w:firstLineChars="0"/>
        <w:jc w:val="center"/>
        <w:textAlignment w:val="auto"/>
        <w:outlineLvl w:val="9"/>
        <w:rPr>
          <w:rFonts w:hint="eastAsia" w:eastAsia="宋体"/>
          <w:lang w:eastAsia="zh-CN"/>
        </w:rPr>
      </w:pPr>
      <w:r>
        <w:rPr>
          <w:rFonts w:hint="eastAsia" w:eastAsia="宋体"/>
          <w:lang w:eastAsia="zh-CN"/>
        </w:rPr>
        <w:drawing>
          <wp:inline distT="0" distB="0" distL="114300" distR="114300">
            <wp:extent cx="5939790" cy="1767205"/>
            <wp:effectExtent l="0" t="0" r="3810" b="4445"/>
            <wp:docPr id="10" name="图片 10" descr="第一通道硫化物90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第一通道硫化物90D5"/>
                    <pic:cNvPicPr>
                      <a:picLocks noChangeAspect="1"/>
                    </pic:cNvPicPr>
                  </pic:nvPicPr>
                  <pic:blipFill>
                    <a:blip r:embed="rId16"/>
                    <a:srcRect l="730"/>
                    <a:stretch>
                      <a:fillRect/>
                    </a:stretch>
                  </pic:blipFill>
                  <pic:spPr>
                    <a:xfrm>
                      <a:off x="0" y="0"/>
                      <a:ext cx="5939790" cy="1767205"/>
                    </a:xfrm>
                    <a:prstGeom prst="rect">
                      <a:avLst/>
                    </a:prstGeom>
                  </pic:spPr>
                </pic:pic>
              </a:graphicData>
            </a:graphic>
          </wp:inline>
        </w:drawing>
      </w:r>
    </w:p>
    <w:p w14:paraId="221D9B74">
      <w:pPr>
        <w:pStyle w:val="56"/>
        <w:keepNext w:val="0"/>
        <w:keepLines w:val="0"/>
        <w:pageBreakBefore w:val="0"/>
        <w:widowControl/>
        <w:kinsoku/>
        <w:wordWrap/>
        <w:overflowPunct/>
        <w:topLinePunct w:val="0"/>
        <w:autoSpaceDE w:val="0"/>
        <w:autoSpaceDN w:val="0"/>
        <w:bidi w:val="0"/>
        <w:adjustRightInd/>
        <w:snapToGrid/>
        <w:ind w:firstLine="0" w:firstLineChars="0"/>
        <w:jc w:val="center"/>
        <w:textAlignment w:val="auto"/>
        <w:outlineLvl w:val="9"/>
        <w:rPr>
          <w:rFonts w:hint="eastAsia" w:eastAsia="宋体"/>
          <w:lang w:val="en-US" w:eastAsia="zh-CN"/>
        </w:rPr>
      </w:pPr>
      <w:r>
        <w:rPr>
          <w:rFonts w:hint="eastAsia"/>
          <w:sz w:val="18"/>
          <w:szCs w:val="18"/>
          <w:lang w:val="en-US" w:eastAsia="zh-CN"/>
        </w:rPr>
        <w:t>1—硫化氢；2—甲硫醇；3—乙硫醇；4—甲硫醚；5—二硫化碳（色谱柱1）</w:t>
      </w:r>
    </w:p>
    <w:p w14:paraId="2BCFD7DC">
      <w:pPr>
        <w:pStyle w:val="56"/>
        <w:keepNext w:val="0"/>
        <w:keepLines w:val="0"/>
        <w:pageBreakBefore w:val="0"/>
        <w:widowControl/>
        <w:kinsoku/>
        <w:wordWrap/>
        <w:overflowPunct/>
        <w:topLinePunct w:val="0"/>
        <w:autoSpaceDE w:val="0"/>
        <w:autoSpaceDN w:val="0"/>
        <w:bidi w:val="0"/>
        <w:adjustRightInd/>
        <w:snapToGrid/>
        <w:ind w:firstLine="0" w:firstLineChars="0"/>
        <w:jc w:val="center"/>
        <w:textAlignment w:val="auto"/>
        <w:outlineLvl w:val="9"/>
        <w:rPr>
          <w:rFonts w:hint="eastAsia" w:ascii="Times New Roman" w:hAnsi="Times New Roman" w:eastAsia="宋体"/>
          <w:sz w:val="21"/>
          <w:szCs w:val="21"/>
          <w:highlight w:val="none"/>
        </w:rPr>
      </w:pPr>
      <w:r>
        <w:rPr>
          <w:rFonts w:hint="eastAsia" w:ascii="Times New Roman" w:hAnsi="Times New Roman" w:eastAsia="宋体"/>
          <w:sz w:val="21"/>
          <w:szCs w:val="21"/>
          <w:highlight w:val="none"/>
        </w:rPr>
        <w:t>图</w:t>
      </w:r>
      <w:r>
        <w:rPr>
          <w:rFonts w:hint="eastAsia" w:ascii="Times New Roman"/>
          <w:sz w:val="21"/>
          <w:szCs w:val="21"/>
          <w:highlight w:val="none"/>
          <w:lang w:val="en-US" w:eastAsia="zh-CN"/>
        </w:rPr>
        <w:t>G</w:t>
      </w:r>
      <w:r>
        <w:rPr>
          <w:rFonts w:hint="eastAsia" w:ascii="Times New Roman" w:hAnsi="Times New Roman" w:eastAsia="宋体"/>
          <w:sz w:val="21"/>
          <w:szCs w:val="21"/>
          <w:highlight w:val="none"/>
        </w:rPr>
        <w:t>.</w:t>
      </w:r>
      <w:r>
        <w:rPr>
          <w:rFonts w:hint="eastAsia" w:ascii="Times New Roman"/>
          <w:sz w:val="21"/>
          <w:szCs w:val="21"/>
          <w:highlight w:val="none"/>
          <w:lang w:val="en-US" w:eastAsia="zh-CN"/>
        </w:rPr>
        <w:t>1</w:t>
      </w:r>
      <w:r>
        <w:rPr>
          <w:rFonts w:ascii="Times New Roman" w:hAnsi="Times New Roman" w:eastAsia="宋体"/>
          <w:sz w:val="21"/>
          <w:szCs w:val="21"/>
          <w:highlight w:val="none"/>
        </w:rPr>
        <w:t xml:space="preserve"> </w:t>
      </w:r>
      <w:r>
        <w:rPr>
          <w:rFonts w:hint="eastAsia" w:ascii="Times New Roman"/>
          <w:sz w:val="21"/>
          <w:szCs w:val="21"/>
          <w:highlight w:val="none"/>
          <w:lang w:val="en-US" w:eastAsia="zh-CN"/>
        </w:rPr>
        <w:t>5</w:t>
      </w:r>
      <w:r>
        <w:rPr>
          <w:rFonts w:hint="eastAsia" w:ascii="Times New Roman" w:hAnsi="Times New Roman" w:eastAsia="宋体"/>
          <w:sz w:val="21"/>
          <w:szCs w:val="21"/>
          <w:highlight w:val="none"/>
        </w:rPr>
        <w:t>种</w:t>
      </w:r>
      <w:r>
        <w:rPr>
          <w:rFonts w:hint="eastAsia" w:ascii="Times New Roman" w:hAnsi="Times New Roman" w:eastAsia="宋体"/>
          <w:sz w:val="21"/>
          <w:szCs w:val="21"/>
          <w:highlight w:val="none"/>
          <w:lang w:val="en-US" w:eastAsia="zh-CN"/>
        </w:rPr>
        <w:t>硫化物</w:t>
      </w:r>
      <w:r>
        <w:rPr>
          <w:rFonts w:hint="eastAsia" w:ascii="Times New Roman" w:hAnsi="Times New Roman" w:eastAsia="宋体"/>
          <w:sz w:val="21"/>
          <w:szCs w:val="21"/>
          <w:highlight w:val="none"/>
        </w:rPr>
        <w:t>标准样品参考色谱图</w:t>
      </w:r>
    </w:p>
    <w:p w14:paraId="1D3325CF">
      <w:pPr>
        <w:pStyle w:val="56"/>
        <w:keepNext w:val="0"/>
        <w:keepLines w:val="0"/>
        <w:pageBreakBefore w:val="0"/>
        <w:widowControl/>
        <w:kinsoku/>
        <w:wordWrap/>
        <w:overflowPunct/>
        <w:topLinePunct w:val="0"/>
        <w:autoSpaceDE w:val="0"/>
        <w:autoSpaceDN w:val="0"/>
        <w:bidi w:val="0"/>
        <w:adjustRightInd/>
        <w:snapToGrid/>
        <w:ind w:firstLine="0" w:firstLineChars="0"/>
        <w:jc w:val="center"/>
        <w:textAlignment w:val="auto"/>
        <w:outlineLvl w:val="9"/>
        <w:rPr>
          <w:rFonts w:hint="eastAsia" w:ascii="Times New Roman" w:hAnsi="Times New Roman" w:eastAsia="宋体"/>
          <w:sz w:val="21"/>
          <w:szCs w:val="21"/>
          <w:highlight w:val="none"/>
          <w:lang w:eastAsia="zh-CN"/>
        </w:rPr>
      </w:pPr>
    </w:p>
    <w:p w14:paraId="3564D04C">
      <w:pPr>
        <w:pStyle w:val="56"/>
        <w:keepNext w:val="0"/>
        <w:keepLines w:val="0"/>
        <w:pageBreakBefore w:val="0"/>
        <w:widowControl/>
        <w:kinsoku/>
        <w:wordWrap/>
        <w:overflowPunct/>
        <w:topLinePunct w:val="0"/>
        <w:autoSpaceDE w:val="0"/>
        <w:autoSpaceDN w:val="0"/>
        <w:bidi w:val="0"/>
        <w:adjustRightInd/>
        <w:snapToGrid/>
        <w:ind w:firstLine="0" w:firstLineChars="0"/>
        <w:jc w:val="center"/>
        <w:textAlignment w:val="auto"/>
        <w:outlineLvl w:val="9"/>
        <w:rPr>
          <w:rFonts w:hint="eastAsia" w:eastAsia="宋体" w:cs="宋体" w:asciiTheme="minorEastAsia" w:hAnsiTheme="minorEastAsia"/>
          <w:szCs w:val="21"/>
          <w:lang w:val="en-US" w:eastAsia="zh-CN"/>
        </w:rPr>
      </w:pPr>
      <w:r>
        <w:rPr>
          <w:rFonts w:hint="eastAsia" w:eastAsia="宋体" w:cs="宋体" w:asciiTheme="minorEastAsia" w:hAnsiTheme="minorEastAsia"/>
          <w:szCs w:val="21"/>
          <w:lang w:val="en-US" w:eastAsia="zh-CN"/>
        </w:rPr>
        <w:drawing>
          <wp:inline distT="0" distB="0" distL="114300" distR="114300">
            <wp:extent cx="5939790" cy="1765300"/>
            <wp:effectExtent l="0" t="0" r="3810" b="6350"/>
            <wp:docPr id="11" name="图片 11" descr="第二通道硫化物90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第二通道硫化物90D5"/>
                    <pic:cNvPicPr>
                      <a:picLocks noChangeAspect="1"/>
                    </pic:cNvPicPr>
                  </pic:nvPicPr>
                  <pic:blipFill>
                    <a:blip r:embed="rId17"/>
                    <a:stretch>
                      <a:fillRect/>
                    </a:stretch>
                  </pic:blipFill>
                  <pic:spPr>
                    <a:xfrm>
                      <a:off x="0" y="0"/>
                      <a:ext cx="5939790" cy="1765300"/>
                    </a:xfrm>
                    <a:prstGeom prst="rect">
                      <a:avLst/>
                    </a:prstGeom>
                  </pic:spPr>
                </pic:pic>
              </a:graphicData>
            </a:graphic>
          </wp:inline>
        </w:drawing>
      </w:r>
    </w:p>
    <w:p w14:paraId="581FF7DC">
      <w:pPr>
        <w:pStyle w:val="56"/>
        <w:keepNext w:val="0"/>
        <w:keepLines w:val="0"/>
        <w:pageBreakBefore w:val="0"/>
        <w:widowControl/>
        <w:kinsoku/>
        <w:wordWrap/>
        <w:overflowPunct/>
        <w:topLinePunct w:val="0"/>
        <w:autoSpaceDE w:val="0"/>
        <w:autoSpaceDN w:val="0"/>
        <w:bidi w:val="0"/>
        <w:adjustRightInd/>
        <w:snapToGrid/>
        <w:ind w:firstLine="0" w:firstLineChars="0"/>
        <w:jc w:val="center"/>
        <w:textAlignment w:val="auto"/>
        <w:outlineLvl w:val="9"/>
        <w:rPr>
          <w:rFonts w:hint="eastAsia" w:ascii="Times New Roman" w:hAnsi="Times New Roman" w:eastAsia="宋体"/>
          <w:sz w:val="18"/>
          <w:szCs w:val="18"/>
          <w:lang w:val="en-US" w:eastAsia="zh-CN"/>
        </w:rPr>
      </w:pPr>
      <w:r>
        <w:rPr>
          <w:rFonts w:hint="eastAsia" w:ascii="Times New Roman" w:hAnsi="Times New Roman" w:eastAsia="宋体"/>
          <w:sz w:val="18"/>
          <w:szCs w:val="18"/>
          <w:lang w:val="en-US" w:eastAsia="zh-CN"/>
        </w:rPr>
        <w:t>1—正丁硫醇；2—二甲二硫（</w:t>
      </w:r>
      <w:r>
        <w:rPr>
          <w:rFonts w:hint="eastAsia"/>
          <w:sz w:val="18"/>
          <w:szCs w:val="18"/>
          <w:lang w:val="en-US" w:eastAsia="zh-CN"/>
        </w:rPr>
        <w:t>色谱柱</w:t>
      </w:r>
      <w:r>
        <w:rPr>
          <w:rFonts w:hint="eastAsia" w:ascii="Times New Roman" w:hAnsi="Times New Roman" w:eastAsia="宋体"/>
          <w:sz w:val="18"/>
          <w:szCs w:val="18"/>
          <w:lang w:val="en-US" w:eastAsia="zh-CN"/>
        </w:rPr>
        <w:t>2）</w:t>
      </w:r>
    </w:p>
    <w:p w14:paraId="0C60F6EA">
      <w:pPr>
        <w:pStyle w:val="56"/>
        <w:keepNext w:val="0"/>
        <w:keepLines w:val="0"/>
        <w:pageBreakBefore w:val="0"/>
        <w:widowControl/>
        <w:kinsoku/>
        <w:wordWrap/>
        <w:overflowPunct/>
        <w:topLinePunct w:val="0"/>
        <w:autoSpaceDE w:val="0"/>
        <w:autoSpaceDN w:val="0"/>
        <w:bidi w:val="0"/>
        <w:adjustRightInd/>
        <w:snapToGrid/>
        <w:ind w:firstLine="0" w:firstLineChars="0"/>
        <w:jc w:val="center"/>
        <w:textAlignment w:val="auto"/>
        <w:outlineLvl w:val="9"/>
        <w:rPr>
          <w:rFonts w:hint="eastAsia" w:ascii="Times New Roman" w:hAnsi="Times New Roman" w:eastAsia="宋体"/>
          <w:sz w:val="21"/>
          <w:szCs w:val="21"/>
          <w:highlight w:val="none"/>
        </w:rPr>
      </w:pPr>
      <w:r>
        <w:rPr>
          <w:rFonts w:hint="eastAsia" w:ascii="Times New Roman" w:hAnsi="Times New Roman" w:eastAsia="宋体"/>
          <w:sz w:val="21"/>
          <w:szCs w:val="21"/>
          <w:highlight w:val="none"/>
        </w:rPr>
        <w:t>图</w:t>
      </w:r>
      <w:r>
        <w:rPr>
          <w:rFonts w:hint="eastAsia" w:ascii="Times New Roman"/>
          <w:sz w:val="21"/>
          <w:szCs w:val="21"/>
          <w:highlight w:val="none"/>
          <w:lang w:val="en-US" w:eastAsia="zh-CN"/>
        </w:rPr>
        <w:t>G</w:t>
      </w:r>
      <w:r>
        <w:rPr>
          <w:rFonts w:hint="eastAsia" w:ascii="Times New Roman" w:hAnsi="Times New Roman" w:eastAsia="宋体"/>
          <w:sz w:val="21"/>
          <w:szCs w:val="21"/>
          <w:highlight w:val="none"/>
        </w:rPr>
        <w:t>.</w:t>
      </w:r>
      <w:r>
        <w:rPr>
          <w:rFonts w:hint="eastAsia" w:ascii="Times New Roman"/>
          <w:sz w:val="21"/>
          <w:szCs w:val="21"/>
          <w:highlight w:val="none"/>
          <w:lang w:val="en-US" w:eastAsia="zh-CN"/>
        </w:rPr>
        <w:t>2</w:t>
      </w:r>
      <w:r>
        <w:rPr>
          <w:rFonts w:ascii="Times New Roman" w:hAnsi="Times New Roman" w:eastAsia="宋体"/>
          <w:sz w:val="21"/>
          <w:szCs w:val="21"/>
          <w:highlight w:val="none"/>
        </w:rPr>
        <w:t xml:space="preserve"> </w:t>
      </w:r>
      <w:r>
        <w:rPr>
          <w:rFonts w:hint="eastAsia" w:ascii="Times New Roman"/>
          <w:sz w:val="21"/>
          <w:szCs w:val="21"/>
          <w:highlight w:val="none"/>
          <w:lang w:val="en-US" w:eastAsia="zh-CN"/>
        </w:rPr>
        <w:t>2</w:t>
      </w:r>
      <w:r>
        <w:rPr>
          <w:rFonts w:hint="eastAsia" w:ascii="Times New Roman" w:hAnsi="Times New Roman" w:eastAsia="宋体"/>
          <w:sz w:val="21"/>
          <w:szCs w:val="21"/>
          <w:highlight w:val="none"/>
        </w:rPr>
        <w:t>种</w:t>
      </w:r>
      <w:r>
        <w:rPr>
          <w:rFonts w:hint="eastAsia" w:ascii="Times New Roman" w:hAnsi="Times New Roman" w:eastAsia="宋体"/>
          <w:sz w:val="21"/>
          <w:szCs w:val="21"/>
          <w:highlight w:val="none"/>
          <w:lang w:val="en-US" w:eastAsia="zh-CN"/>
        </w:rPr>
        <w:t>硫化物</w:t>
      </w:r>
      <w:r>
        <w:rPr>
          <w:rFonts w:hint="eastAsia" w:ascii="Times New Roman" w:hAnsi="Times New Roman" w:eastAsia="宋体"/>
          <w:sz w:val="21"/>
          <w:szCs w:val="21"/>
          <w:highlight w:val="none"/>
        </w:rPr>
        <w:t>标准样品参考色谱图</w:t>
      </w:r>
    </w:p>
    <w:p w14:paraId="2D768D44">
      <w:pPr>
        <w:pStyle w:val="56"/>
        <w:keepNext w:val="0"/>
        <w:keepLines w:val="0"/>
        <w:pageBreakBefore w:val="0"/>
        <w:widowControl/>
        <w:kinsoku/>
        <w:wordWrap/>
        <w:overflowPunct/>
        <w:topLinePunct w:val="0"/>
        <w:autoSpaceDE w:val="0"/>
        <w:autoSpaceDN w:val="0"/>
        <w:bidi w:val="0"/>
        <w:adjustRightInd/>
        <w:snapToGrid/>
        <w:spacing w:line="120" w:lineRule="exact"/>
        <w:ind w:firstLine="0" w:firstLineChars="0"/>
        <w:jc w:val="center"/>
        <w:textAlignment w:val="auto"/>
        <w:outlineLvl w:val="9"/>
        <w:rPr>
          <w:rFonts w:hint="eastAsia" w:ascii="Times New Roman" w:hAnsi="Times New Roman" w:eastAsia="宋体"/>
          <w:sz w:val="21"/>
          <w:szCs w:val="21"/>
          <w:highlight w:val="none"/>
          <w:lang w:eastAsia="zh-CN"/>
        </w:rPr>
      </w:pPr>
    </w:p>
    <w:p w14:paraId="56D12A0D">
      <w:pPr>
        <w:pStyle w:val="234"/>
        <w:keepNext w:val="0"/>
        <w:keepLines w:val="0"/>
        <w:pageBreakBefore w:val="0"/>
        <w:widowControl/>
        <w:kinsoku/>
        <w:wordWrap/>
        <w:overflowPunct/>
        <w:topLinePunct w:val="0"/>
        <w:autoSpaceDE w:val="0"/>
        <w:autoSpaceDN w:val="0"/>
        <w:bidi w:val="0"/>
        <w:adjustRightInd/>
        <w:snapToGrid/>
        <w:ind w:firstLine="0" w:firstLineChars="0"/>
        <w:jc w:val="center"/>
        <w:textAlignment w:val="auto"/>
      </w:pPr>
      <w:r>
        <w:drawing>
          <wp:inline distT="0" distB="0" distL="114300" distR="114300">
            <wp:extent cx="5991225" cy="1722120"/>
            <wp:effectExtent l="0" t="0" r="9525" b="11430"/>
            <wp:docPr id="9" name="图片 3" descr="苯1.1339p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苯1.1339ppm"/>
                    <pic:cNvPicPr>
                      <a:picLocks noChangeAspect="1"/>
                    </pic:cNvPicPr>
                  </pic:nvPicPr>
                  <pic:blipFill>
                    <a:blip r:embed="rId18"/>
                    <a:srcRect b="40342"/>
                    <a:stretch>
                      <a:fillRect/>
                    </a:stretch>
                  </pic:blipFill>
                  <pic:spPr>
                    <a:xfrm>
                      <a:off x="0" y="0"/>
                      <a:ext cx="5991225" cy="1722120"/>
                    </a:xfrm>
                    <a:prstGeom prst="rect">
                      <a:avLst/>
                    </a:prstGeom>
                  </pic:spPr>
                </pic:pic>
              </a:graphicData>
            </a:graphic>
          </wp:inline>
        </w:drawing>
      </w:r>
    </w:p>
    <w:p w14:paraId="08E5AF06">
      <w:pPr>
        <w:autoSpaceDE/>
        <w:autoSpaceDN/>
        <w:ind w:firstLine="0" w:firstLineChars="0"/>
        <w:jc w:val="center"/>
        <w:rPr>
          <w:rFonts w:hint="eastAsia" w:ascii="Times New Roman" w:hAnsi="Times New Roman" w:eastAsia="宋体"/>
          <w:sz w:val="18"/>
          <w:szCs w:val="18"/>
          <w:lang w:val="en-US" w:eastAsia="zh-CN"/>
        </w:rPr>
      </w:pPr>
      <w:r>
        <w:rPr>
          <w:rFonts w:hint="eastAsia" w:ascii="Times New Roman" w:hAnsi="Times New Roman" w:eastAsia="宋体"/>
          <w:sz w:val="18"/>
          <w:szCs w:val="18"/>
          <w:lang w:val="en-US" w:eastAsia="zh-CN"/>
        </w:rPr>
        <w:t>1—苯；2—甲苯；3—乙苯；4—间对二甲苯；5—苯乙烯；6—邻二甲苯；7—异丙苯</w:t>
      </w:r>
    </w:p>
    <w:p w14:paraId="2D2E1244">
      <w:pPr>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eastAsia" w:ascii="Times New Roman" w:hAnsi="Times New Roman" w:eastAsia="宋体"/>
          <w:sz w:val="18"/>
          <w:szCs w:val="18"/>
          <w:lang w:val="en-US" w:eastAsia="zh-CN"/>
        </w:rPr>
      </w:pPr>
      <w:r>
        <w:rPr>
          <w:rFonts w:hint="eastAsia" w:ascii="Times New Roman" w:hAnsi="Times New Roman" w:eastAsia="宋体" w:cs="Times New Roman"/>
          <w:kern w:val="0"/>
          <w:sz w:val="21"/>
          <w:szCs w:val="21"/>
          <w:highlight w:val="none"/>
          <w:lang w:val="en-US" w:eastAsia="zh-CN" w:bidi="ar-SA"/>
        </w:rPr>
        <w:t>图</w:t>
      </w:r>
      <w:r>
        <w:rPr>
          <w:rFonts w:hint="eastAsia" w:ascii="Times New Roman" w:hAnsi="Times New Roman" w:cs="Times New Roman"/>
          <w:kern w:val="0"/>
          <w:sz w:val="21"/>
          <w:szCs w:val="21"/>
          <w:highlight w:val="none"/>
          <w:lang w:val="en-US" w:eastAsia="zh-CN" w:bidi="ar-SA"/>
        </w:rPr>
        <w:t>G</w:t>
      </w:r>
      <w:r>
        <w:rPr>
          <w:rFonts w:hint="eastAsia" w:ascii="Times New Roman" w:hAnsi="Times New Roman" w:eastAsia="宋体" w:cs="Times New Roman"/>
          <w:kern w:val="0"/>
          <w:sz w:val="21"/>
          <w:szCs w:val="21"/>
          <w:highlight w:val="none"/>
          <w:lang w:val="en-US" w:eastAsia="zh-CN" w:bidi="ar-SA"/>
        </w:rPr>
        <w:t>.</w:t>
      </w:r>
      <w:r>
        <w:rPr>
          <w:rFonts w:hint="eastAsia" w:ascii="Times New Roman" w:hAnsi="Times New Roman" w:cs="Times New Roman"/>
          <w:kern w:val="0"/>
          <w:sz w:val="21"/>
          <w:szCs w:val="21"/>
          <w:highlight w:val="none"/>
          <w:lang w:val="en-US" w:eastAsia="zh-CN" w:bidi="ar-SA"/>
        </w:rPr>
        <w:t>3</w:t>
      </w:r>
      <w:r>
        <w:rPr>
          <w:rFonts w:hint="eastAsia" w:ascii="Times New Roman" w:hAnsi="Times New Roman" w:eastAsia="宋体" w:cs="Times New Roman"/>
          <w:kern w:val="0"/>
          <w:sz w:val="21"/>
          <w:szCs w:val="21"/>
          <w:highlight w:val="none"/>
          <w:lang w:val="en-US" w:eastAsia="zh-CN" w:bidi="ar-SA"/>
        </w:rPr>
        <w:t xml:space="preserve"> 8种苯系物标准样品参考色谱图</w:t>
      </w:r>
    </w:p>
    <w:p w14:paraId="7F318E01">
      <w:pPr>
        <w:pStyle w:val="79"/>
        <w:spacing w:before="156" w:after="156"/>
        <w:rPr>
          <w:rFonts w:hint="eastAsia"/>
          <w:szCs w:val="22"/>
          <w:lang w:val="en-US" w:eastAsia="zh-CN"/>
        </w:rPr>
      </w:pPr>
      <w:bookmarkStart w:id="77" w:name="_Toc142574045"/>
      <w:bookmarkStart w:id="78" w:name="_Toc142573934"/>
      <w:bookmarkStart w:id="79" w:name="OLE_LINK1"/>
      <w:r>
        <w:rPr>
          <w:rFonts w:hint="eastAsia"/>
          <w:szCs w:val="22"/>
          <w:lang w:val="en-US" w:eastAsia="zh-CN"/>
        </w:rPr>
        <w:t>制作校准曲线</w:t>
      </w:r>
      <w:bookmarkEnd w:id="77"/>
      <w:bookmarkEnd w:id="78"/>
    </w:p>
    <w:bookmarkEnd w:id="79"/>
    <w:p w14:paraId="0618E29A">
      <w:pPr>
        <w:pStyle w:val="213"/>
        <w:numPr>
          <w:ilvl w:val="3"/>
          <w:numId w:val="0"/>
        </w:numPr>
        <w:ind w:leftChars="0" w:firstLine="420" w:firstLineChars="200"/>
        <w:rPr>
          <w:rFonts w:hint="default" w:ascii="Times New Roman" w:hAnsi="Times New Roman" w:cs="Times New Roman"/>
          <w:szCs w:val="22"/>
        </w:rPr>
      </w:pPr>
      <w:r>
        <w:rPr>
          <w:rFonts w:hint="eastAsia"/>
          <w:szCs w:val="22"/>
        </w:rPr>
        <w:t>采用外标法，利用内置定量环吸入标准气体进行气相色谱定量分析，建立校准曲线。应制备至少5个浓度点的标准系</w:t>
      </w:r>
      <w:r>
        <w:rPr>
          <w:rFonts w:hint="default" w:ascii="Times New Roman" w:hAnsi="Times New Roman" w:cs="Times New Roman"/>
          <w:szCs w:val="22"/>
        </w:rPr>
        <w:t>列，采用动态稀释配气装置（见图</w:t>
      </w:r>
      <w:r>
        <w:rPr>
          <w:rFonts w:hint="eastAsia" w:ascii="Times New Roman" w:cs="Times New Roman"/>
          <w:szCs w:val="22"/>
          <w:lang w:val="en-US" w:eastAsia="zh-CN"/>
        </w:rPr>
        <w:t>G</w:t>
      </w:r>
      <w:r>
        <w:rPr>
          <w:rFonts w:hint="default" w:ascii="Times New Roman" w:hAnsi="Times New Roman" w:cs="Times New Roman"/>
          <w:szCs w:val="22"/>
        </w:rPr>
        <w:t>.</w:t>
      </w:r>
      <w:r>
        <w:rPr>
          <w:rFonts w:hint="eastAsia" w:ascii="Times New Roman" w:cs="Times New Roman"/>
          <w:szCs w:val="22"/>
          <w:lang w:val="en-US" w:eastAsia="zh-CN"/>
        </w:rPr>
        <w:t>4</w:t>
      </w:r>
      <w:r>
        <w:rPr>
          <w:rFonts w:hint="default" w:ascii="Times New Roman" w:hAnsi="Times New Roman" w:cs="Times New Roman"/>
          <w:szCs w:val="22"/>
        </w:rPr>
        <w:t>）将标准气体稀释不同倍数。或直接购置不同浓度水平的有证标准气体，用于绘制标准曲线。以</w:t>
      </w:r>
      <w:r>
        <w:rPr>
          <w:rFonts w:hint="default" w:ascii="Times New Roman" w:hAnsi="Times New Roman" w:cs="Times New Roman"/>
          <w:szCs w:val="22"/>
          <w:lang w:val="en-US" w:eastAsia="zh-CN"/>
        </w:rPr>
        <w:t>硫化氢</w:t>
      </w:r>
      <w:r>
        <w:rPr>
          <w:rFonts w:hint="default" w:ascii="Times New Roman" w:hAnsi="Times New Roman" w:cs="Times New Roman"/>
          <w:szCs w:val="22"/>
        </w:rPr>
        <w:t>气体为例，参考浓度分别为</w:t>
      </w:r>
      <w:r>
        <w:rPr>
          <w:rFonts w:hint="default" w:ascii="Times New Roman" w:hAnsi="Times New Roman" w:cs="Times New Roman"/>
          <w:szCs w:val="22"/>
          <w:lang w:val="en-US" w:eastAsia="zh-CN"/>
        </w:rPr>
        <w:t>5.1</w:t>
      </w:r>
      <w:r>
        <w:rPr>
          <w:rFonts w:hint="default" w:ascii="Times New Roman" w:hAnsi="Times New Roman" w:cs="Times New Roman"/>
          <w:szCs w:val="22"/>
        </w:rPr>
        <w:t>μmol/mol、</w:t>
      </w:r>
      <w:r>
        <w:rPr>
          <w:rFonts w:hint="default" w:ascii="Times New Roman" w:hAnsi="Times New Roman" w:cs="Times New Roman"/>
          <w:szCs w:val="22"/>
          <w:lang w:val="en-US" w:eastAsia="zh-CN"/>
        </w:rPr>
        <w:t>34.6</w:t>
      </w:r>
      <w:r>
        <w:rPr>
          <w:rFonts w:hint="default" w:ascii="Times New Roman" w:hAnsi="Times New Roman" w:cs="Times New Roman"/>
          <w:szCs w:val="22"/>
        </w:rPr>
        <w:t>μmol/mol、</w:t>
      </w:r>
      <w:r>
        <w:rPr>
          <w:rFonts w:hint="default" w:ascii="Times New Roman" w:hAnsi="Times New Roman" w:cs="Times New Roman"/>
          <w:szCs w:val="22"/>
          <w:lang w:val="en-US" w:eastAsia="zh-CN"/>
        </w:rPr>
        <w:t>61.5</w:t>
      </w:r>
      <w:r>
        <w:rPr>
          <w:rFonts w:hint="default" w:ascii="Times New Roman" w:hAnsi="Times New Roman" w:cs="Times New Roman"/>
          <w:szCs w:val="22"/>
        </w:rPr>
        <w:t>μmol/mol、</w:t>
      </w:r>
      <w:r>
        <w:rPr>
          <w:rFonts w:hint="default" w:ascii="Times New Roman" w:hAnsi="Times New Roman" w:cs="Times New Roman"/>
          <w:szCs w:val="22"/>
          <w:lang w:val="en-US" w:eastAsia="zh-CN"/>
        </w:rPr>
        <w:t>83</w:t>
      </w:r>
      <w:r>
        <w:rPr>
          <w:rFonts w:hint="default" w:ascii="Times New Roman" w:hAnsi="Times New Roman" w:cs="Times New Roman"/>
          <w:szCs w:val="22"/>
        </w:rPr>
        <w:t>μmol/mol、1</w:t>
      </w:r>
      <w:r>
        <w:rPr>
          <w:rFonts w:hint="default" w:ascii="Times New Roman" w:hAnsi="Times New Roman" w:cs="Times New Roman"/>
          <w:szCs w:val="22"/>
          <w:lang w:val="en-US" w:eastAsia="zh-CN"/>
        </w:rPr>
        <w:t>94.5</w:t>
      </w:r>
      <w:r>
        <w:rPr>
          <w:rFonts w:hint="default" w:ascii="Times New Roman" w:hAnsi="Times New Roman" w:cs="Times New Roman"/>
          <w:szCs w:val="22"/>
        </w:rPr>
        <w:t>μmol/mol。可根据实际样品情况选择使用合适的标准气体。</w:t>
      </w:r>
    </w:p>
    <w:p w14:paraId="2815280E">
      <w:pPr>
        <w:pStyle w:val="213"/>
        <w:numPr>
          <w:ilvl w:val="3"/>
          <w:numId w:val="0"/>
        </w:numPr>
        <w:jc w:val="center"/>
        <w:rPr>
          <w:rFonts w:hint="eastAsia"/>
          <w:szCs w:val="22"/>
          <w:lang w:val="en-US" w:eastAsia="zh-CN"/>
        </w:rPr>
      </w:pPr>
      <w:r>
        <w:rPr>
          <w:rFonts w:hint="eastAsia"/>
          <w:szCs w:val="22"/>
          <w:lang w:val="en-US" w:eastAsia="zh-CN"/>
        </w:rPr>
        <w:drawing>
          <wp:inline distT="0" distB="0" distL="114300" distR="114300">
            <wp:extent cx="3632200" cy="2546985"/>
            <wp:effectExtent l="0" t="0" r="6350" b="5715"/>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19"/>
                    <a:stretch>
                      <a:fillRect/>
                    </a:stretch>
                  </pic:blipFill>
                  <pic:spPr>
                    <a:xfrm>
                      <a:off x="0" y="0"/>
                      <a:ext cx="3632200" cy="2546985"/>
                    </a:xfrm>
                    <a:prstGeom prst="rect">
                      <a:avLst/>
                    </a:prstGeom>
                    <a:noFill/>
                    <a:ln>
                      <a:noFill/>
                    </a:ln>
                  </pic:spPr>
                </pic:pic>
              </a:graphicData>
            </a:graphic>
          </wp:inline>
        </w:drawing>
      </w:r>
    </w:p>
    <w:p w14:paraId="2A4C9A48">
      <w:pPr>
        <w:autoSpaceDE/>
        <w:autoSpaceDN/>
        <w:ind w:firstLine="0" w:firstLineChars="0"/>
        <w:jc w:val="center"/>
        <w:rPr>
          <w:sz w:val="18"/>
          <w:szCs w:val="18"/>
        </w:rPr>
      </w:pPr>
      <w:r>
        <w:rPr>
          <w:rFonts w:hint="eastAsia"/>
          <w:sz w:val="18"/>
          <w:szCs w:val="18"/>
        </w:rPr>
        <w:t>1—</w:t>
      </w:r>
      <w:r>
        <w:rPr>
          <w:rFonts w:hint="eastAsia"/>
          <w:sz w:val="18"/>
          <w:szCs w:val="18"/>
          <w:lang w:eastAsia="zh-CN"/>
        </w:rPr>
        <w:t>（</w:t>
      </w:r>
      <w:r>
        <w:rPr>
          <w:rFonts w:hint="eastAsia"/>
          <w:sz w:val="18"/>
          <w:szCs w:val="18"/>
        </w:rPr>
        <w:t>稀释气体</w:t>
      </w:r>
      <w:r>
        <w:rPr>
          <w:rFonts w:hint="eastAsia"/>
          <w:sz w:val="18"/>
          <w:szCs w:val="18"/>
          <w:lang w:eastAsia="zh-CN"/>
        </w:rPr>
        <w:t>）</w:t>
      </w:r>
      <w:r>
        <w:rPr>
          <w:rFonts w:hint="eastAsia"/>
          <w:sz w:val="18"/>
          <w:szCs w:val="18"/>
        </w:rPr>
        <w:t>带有压力钢瓶；2、</w:t>
      </w:r>
      <w:r>
        <w:rPr>
          <w:rFonts w:hint="eastAsia"/>
          <w:sz w:val="18"/>
          <w:szCs w:val="18"/>
          <w:lang w:val="en-US" w:eastAsia="zh-CN"/>
        </w:rPr>
        <w:t>7</w:t>
      </w:r>
      <w:r>
        <w:rPr>
          <w:rFonts w:hint="eastAsia"/>
          <w:sz w:val="18"/>
          <w:szCs w:val="18"/>
        </w:rPr>
        <w:t>—调压器；3、</w:t>
      </w:r>
      <w:r>
        <w:rPr>
          <w:rFonts w:hint="eastAsia"/>
          <w:sz w:val="18"/>
          <w:szCs w:val="18"/>
          <w:lang w:val="en-US" w:eastAsia="zh-CN"/>
        </w:rPr>
        <w:t>8</w:t>
      </w:r>
      <w:r>
        <w:rPr>
          <w:rFonts w:hint="eastAsia"/>
          <w:sz w:val="18"/>
          <w:szCs w:val="18"/>
        </w:rPr>
        <w:t>—截止阀；4、</w:t>
      </w:r>
      <w:r>
        <w:rPr>
          <w:rFonts w:hint="eastAsia"/>
          <w:sz w:val="18"/>
          <w:szCs w:val="18"/>
          <w:lang w:val="en-US" w:eastAsia="zh-CN"/>
        </w:rPr>
        <w:t>9</w:t>
      </w:r>
      <w:r>
        <w:rPr>
          <w:rFonts w:hint="eastAsia"/>
          <w:sz w:val="18"/>
          <w:szCs w:val="18"/>
        </w:rPr>
        <w:t>—过滤器；</w:t>
      </w:r>
    </w:p>
    <w:p w14:paraId="30F1129B">
      <w:pPr>
        <w:autoSpaceDE/>
        <w:autoSpaceDN/>
        <w:ind w:firstLine="0" w:firstLineChars="0"/>
        <w:jc w:val="center"/>
        <w:rPr>
          <w:rFonts w:hint="eastAsia"/>
          <w:sz w:val="18"/>
          <w:szCs w:val="18"/>
        </w:rPr>
      </w:pPr>
      <w:r>
        <w:rPr>
          <w:rFonts w:hint="eastAsia"/>
          <w:sz w:val="18"/>
          <w:szCs w:val="18"/>
        </w:rPr>
        <w:t>5、1</w:t>
      </w:r>
      <w:r>
        <w:rPr>
          <w:rFonts w:hint="eastAsia"/>
          <w:sz w:val="18"/>
          <w:szCs w:val="18"/>
          <w:lang w:val="en-US" w:eastAsia="zh-CN"/>
        </w:rPr>
        <w:t>0</w:t>
      </w:r>
      <w:r>
        <w:rPr>
          <w:rFonts w:hint="eastAsia"/>
          <w:sz w:val="18"/>
          <w:szCs w:val="18"/>
        </w:rPr>
        <w:t>—经校正之气体流量控制器或</w:t>
      </w:r>
      <w:bookmarkStart w:id="80" w:name="OLE_LINK6"/>
      <w:r>
        <w:rPr>
          <w:rFonts w:hint="eastAsia"/>
          <w:sz w:val="18"/>
          <w:szCs w:val="18"/>
        </w:rPr>
        <w:t>临界流文丘里喷嘴</w:t>
      </w:r>
      <w:bookmarkEnd w:id="80"/>
      <w:r>
        <w:rPr>
          <w:rFonts w:hint="eastAsia"/>
          <w:sz w:val="18"/>
          <w:szCs w:val="18"/>
        </w:rPr>
        <w:t>；</w:t>
      </w:r>
      <w:r>
        <w:rPr>
          <w:rFonts w:hint="eastAsia"/>
          <w:sz w:val="18"/>
          <w:szCs w:val="18"/>
          <w:lang w:val="en-US" w:eastAsia="zh-CN"/>
        </w:rPr>
        <w:t>6</w:t>
      </w:r>
      <w:r>
        <w:rPr>
          <w:rFonts w:hint="eastAsia"/>
          <w:sz w:val="18"/>
          <w:szCs w:val="18"/>
        </w:rPr>
        <w:t>—（标准组分气体）带有压力钢瓶；1</w:t>
      </w:r>
      <w:r>
        <w:rPr>
          <w:rFonts w:hint="eastAsia"/>
          <w:sz w:val="18"/>
          <w:szCs w:val="18"/>
          <w:lang w:val="en-US" w:eastAsia="zh-CN"/>
        </w:rPr>
        <w:t>1</w:t>
      </w:r>
      <w:r>
        <w:rPr>
          <w:rFonts w:hint="eastAsia"/>
          <w:sz w:val="18"/>
          <w:szCs w:val="18"/>
        </w:rPr>
        <w:t>—混合容器</w:t>
      </w:r>
      <w:r>
        <w:rPr>
          <w:rFonts w:hint="eastAsia"/>
          <w:sz w:val="18"/>
          <w:szCs w:val="18"/>
          <w:lang w:eastAsia="zh-CN"/>
        </w:rPr>
        <w:t>；</w:t>
      </w:r>
      <w:r>
        <w:rPr>
          <w:rFonts w:hint="eastAsia"/>
          <w:sz w:val="18"/>
          <w:szCs w:val="18"/>
        </w:rPr>
        <w:t>1</w:t>
      </w:r>
      <w:r>
        <w:rPr>
          <w:rFonts w:hint="eastAsia"/>
          <w:sz w:val="18"/>
          <w:szCs w:val="18"/>
          <w:lang w:val="en-US" w:eastAsia="zh-CN"/>
        </w:rPr>
        <w:t>2</w:t>
      </w:r>
      <w:r>
        <w:rPr>
          <w:rFonts w:hint="eastAsia"/>
          <w:sz w:val="18"/>
          <w:szCs w:val="18"/>
        </w:rPr>
        <w:t>—</w:t>
      </w:r>
      <w:r>
        <w:rPr>
          <w:rFonts w:hint="eastAsia"/>
          <w:sz w:val="18"/>
          <w:szCs w:val="18"/>
          <w:lang w:val="en-US" w:eastAsia="zh-CN"/>
        </w:rPr>
        <w:t>色谱仪入口</w:t>
      </w:r>
      <w:r>
        <w:rPr>
          <w:rFonts w:hint="eastAsia"/>
          <w:sz w:val="18"/>
          <w:szCs w:val="18"/>
          <w:lang w:eastAsia="zh-CN"/>
        </w:rPr>
        <w:t>；</w:t>
      </w:r>
      <w:r>
        <w:rPr>
          <w:rFonts w:hint="eastAsia"/>
          <w:sz w:val="18"/>
          <w:szCs w:val="18"/>
        </w:rPr>
        <w:t>1</w:t>
      </w:r>
      <w:r>
        <w:rPr>
          <w:rFonts w:hint="eastAsia"/>
          <w:sz w:val="18"/>
          <w:szCs w:val="18"/>
          <w:lang w:val="en-US" w:eastAsia="zh-CN"/>
        </w:rPr>
        <w:t>3</w:t>
      </w:r>
      <w:r>
        <w:rPr>
          <w:rFonts w:hint="eastAsia"/>
          <w:sz w:val="18"/>
          <w:szCs w:val="18"/>
        </w:rPr>
        <w:t>—</w:t>
      </w:r>
      <w:r>
        <w:rPr>
          <w:rFonts w:hint="eastAsia"/>
          <w:sz w:val="18"/>
          <w:szCs w:val="18"/>
          <w:lang w:val="en-US" w:eastAsia="zh-CN"/>
        </w:rPr>
        <w:t>放空口</w:t>
      </w:r>
      <w:r>
        <w:rPr>
          <w:rFonts w:hint="eastAsia"/>
          <w:sz w:val="18"/>
          <w:szCs w:val="18"/>
        </w:rPr>
        <w:t>。</w:t>
      </w:r>
    </w:p>
    <w:p w14:paraId="51FA481D">
      <w:pPr>
        <w:pStyle w:val="213"/>
        <w:numPr>
          <w:ilvl w:val="3"/>
          <w:numId w:val="0"/>
        </w:numPr>
        <w:ind w:leftChars="0" w:firstLine="420" w:firstLineChars="200"/>
        <w:jc w:val="center"/>
        <w:rPr>
          <w:rFonts w:hint="eastAsia"/>
          <w:szCs w:val="22"/>
          <w:lang w:val="en-US" w:eastAsia="zh-CN"/>
        </w:rPr>
      </w:pPr>
      <w:r>
        <w:rPr>
          <w:rFonts w:hint="eastAsia" w:ascii="Times New Roman" w:hAnsi="Times New Roman" w:eastAsia="宋体"/>
          <w:sz w:val="21"/>
          <w:szCs w:val="21"/>
        </w:rPr>
        <w:t>图</w:t>
      </w:r>
      <w:r>
        <w:rPr>
          <w:rFonts w:hint="eastAsia" w:ascii="Times New Roman"/>
          <w:sz w:val="21"/>
          <w:szCs w:val="21"/>
          <w:lang w:val="en-US" w:eastAsia="zh-CN"/>
        </w:rPr>
        <w:t>G</w:t>
      </w:r>
      <w:r>
        <w:rPr>
          <w:rFonts w:hint="eastAsia" w:ascii="Times New Roman" w:hAnsi="Times New Roman" w:eastAsia="宋体"/>
          <w:sz w:val="21"/>
          <w:szCs w:val="21"/>
        </w:rPr>
        <w:t>.</w:t>
      </w:r>
      <w:r>
        <w:rPr>
          <w:rFonts w:hint="eastAsia" w:ascii="Times New Roman"/>
          <w:sz w:val="21"/>
          <w:szCs w:val="21"/>
          <w:lang w:val="en-US" w:eastAsia="zh-CN"/>
        </w:rPr>
        <w:t>4</w:t>
      </w:r>
      <w:r>
        <w:rPr>
          <w:rFonts w:hint="eastAsia" w:ascii="Times New Roman" w:hAnsi="Times New Roman" w:eastAsia="宋体"/>
          <w:sz w:val="21"/>
          <w:szCs w:val="21"/>
        </w:rPr>
        <w:t xml:space="preserve"> 动态稀释配气装置示意图</w:t>
      </w:r>
    </w:p>
    <w:p w14:paraId="176F3931">
      <w:pPr>
        <w:pStyle w:val="213"/>
        <w:numPr>
          <w:ilvl w:val="3"/>
          <w:numId w:val="0"/>
        </w:numPr>
        <w:jc w:val="center"/>
        <w:rPr>
          <w:rFonts w:hint="eastAsia"/>
          <w:szCs w:val="22"/>
          <w:lang w:val="en-US" w:eastAsia="zh-CN"/>
        </w:rPr>
      </w:pPr>
    </w:p>
    <w:p w14:paraId="475BC07A">
      <w:pPr>
        <w:pStyle w:val="250"/>
        <w:numPr>
          <w:ilvl w:val="1"/>
          <w:numId w:val="4"/>
        </w:numPr>
        <w:spacing w:before="156" w:beforeLines="50" w:after="156" w:afterLines="50"/>
        <w:rPr>
          <w:rFonts w:hint="eastAsia" w:hAnsi="黑体"/>
          <w:szCs w:val="22"/>
          <w:lang w:val="en-US" w:eastAsia="zh-CN"/>
        </w:rPr>
      </w:pPr>
      <w:bookmarkStart w:id="81" w:name="_Toc29598"/>
      <w:r>
        <w:rPr>
          <w:rFonts w:hint="eastAsia" w:hAnsi="黑体"/>
          <w:szCs w:val="22"/>
          <w:lang w:val="en-US" w:eastAsia="zh-CN"/>
        </w:rPr>
        <w:t>样品测定</w:t>
      </w:r>
    </w:p>
    <w:p w14:paraId="00E29EC4">
      <w:pPr>
        <w:pStyle w:val="79"/>
        <w:spacing w:before="156" w:after="156"/>
        <w:rPr>
          <w:rFonts w:hint="eastAsia"/>
          <w:szCs w:val="22"/>
          <w:lang w:val="en-US" w:eastAsia="zh-CN"/>
        </w:rPr>
      </w:pPr>
      <w:r>
        <w:rPr>
          <w:rFonts w:hint="eastAsia"/>
          <w:szCs w:val="22"/>
          <w:lang w:val="en-US" w:eastAsia="zh-CN"/>
        </w:rPr>
        <w:t>现场样品测定</w:t>
      </w:r>
    </w:p>
    <w:p w14:paraId="2DBE69EF">
      <w:pPr>
        <w:pStyle w:val="213"/>
        <w:rPr>
          <w:rFonts w:hint="eastAsia" w:ascii="黑体" w:hAnsi="Times New Roman" w:eastAsia="黑体" w:cs="Times New Roman"/>
          <w:kern w:val="21"/>
          <w:sz w:val="21"/>
          <w:szCs w:val="22"/>
          <w:lang w:val="en-US" w:eastAsia="zh-CN" w:bidi="ar-SA"/>
        </w:rPr>
      </w:pPr>
      <w:r>
        <w:rPr>
          <w:rFonts w:hint="eastAsia" w:ascii="黑体" w:hAnsi="Times New Roman" w:eastAsia="黑体" w:cs="Times New Roman"/>
          <w:kern w:val="21"/>
          <w:sz w:val="21"/>
          <w:szCs w:val="22"/>
          <w:lang w:val="en-US" w:eastAsia="zh-CN" w:bidi="ar-SA"/>
        </w:rPr>
        <w:t>样品直接采样测定</w:t>
      </w:r>
    </w:p>
    <w:p w14:paraId="242802E3">
      <w:pPr>
        <w:pStyle w:val="213"/>
        <w:keepNext w:val="0"/>
        <w:keepLines w:val="0"/>
        <w:pageBreakBefore w:val="0"/>
        <w:widowControl w:val="0"/>
        <w:numPr>
          <w:ilvl w:val="3"/>
          <w:numId w:val="0"/>
        </w:numPr>
        <w:kinsoku/>
        <w:wordWrap/>
        <w:overflowPunct/>
        <w:topLinePunct w:val="0"/>
        <w:autoSpaceDE/>
        <w:autoSpaceDN/>
        <w:bidi w:val="0"/>
        <w:adjustRightInd/>
        <w:snapToGrid/>
        <w:ind w:leftChars="0" w:firstLine="420" w:firstLineChars="200"/>
        <w:textAlignment w:val="auto"/>
        <w:outlineLvl w:val="9"/>
        <w:rPr>
          <w:rFonts w:hint="eastAsia"/>
          <w:szCs w:val="22"/>
        </w:rPr>
      </w:pPr>
      <w:r>
        <w:rPr>
          <w:rFonts w:hint="eastAsia"/>
          <w:szCs w:val="22"/>
        </w:rPr>
        <w:t>便携式气相色谱仪直接抽取空气样品进行分析，内置采样泵流量和采样时间根据不同便携式气相色谱仪型号确定。使用校准曲线分析时，仪器设定的操作参数应与制定校准曲线时操作参数一致，待仪器运行稳定后开始保存测定数据。</w:t>
      </w:r>
    </w:p>
    <w:p w14:paraId="5F2E8C30">
      <w:pPr>
        <w:pStyle w:val="213"/>
        <w:rPr>
          <w:rFonts w:hint="eastAsia" w:ascii="黑体" w:hAnsi="Times New Roman" w:eastAsia="黑体" w:cs="Times New Roman"/>
          <w:kern w:val="21"/>
          <w:sz w:val="21"/>
          <w:szCs w:val="22"/>
          <w:lang w:val="en-US" w:eastAsia="zh-CN" w:bidi="ar-SA"/>
        </w:rPr>
      </w:pPr>
      <w:r>
        <w:rPr>
          <w:rFonts w:hint="eastAsia" w:ascii="黑体" w:hAnsi="Times New Roman" w:eastAsia="黑体" w:cs="Times New Roman"/>
          <w:kern w:val="21"/>
          <w:sz w:val="21"/>
          <w:szCs w:val="22"/>
          <w:lang w:val="en-US" w:eastAsia="zh-CN" w:bidi="ar-SA"/>
        </w:rPr>
        <w:t>样品稀释采样法测定</w:t>
      </w:r>
    </w:p>
    <w:p w14:paraId="4ED2F1C7">
      <w:pPr>
        <w:pStyle w:val="213"/>
        <w:keepNext w:val="0"/>
        <w:keepLines w:val="0"/>
        <w:pageBreakBefore w:val="0"/>
        <w:widowControl w:val="0"/>
        <w:numPr>
          <w:ilvl w:val="3"/>
          <w:numId w:val="0"/>
        </w:numPr>
        <w:kinsoku/>
        <w:wordWrap/>
        <w:overflowPunct/>
        <w:topLinePunct w:val="0"/>
        <w:autoSpaceDE/>
        <w:autoSpaceDN/>
        <w:bidi w:val="0"/>
        <w:adjustRightInd/>
        <w:snapToGrid/>
        <w:ind w:leftChars="0" w:firstLine="420" w:firstLineChars="200"/>
        <w:textAlignment w:val="auto"/>
        <w:outlineLvl w:val="9"/>
        <w:rPr>
          <w:rFonts w:hint="eastAsia"/>
          <w:szCs w:val="22"/>
        </w:rPr>
      </w:pPr>
      <w:r>
        <w:rPr>
          <w:rFonts w:hint="eastAsia"/>
          <w:szCs w:val="22"/>
        </w:rPr>
        <w:t>浓度较高的样品，应在分析前进行稀释，以防止检测器污染或超出其线性范围。应使用样品气稀释装置（见图</w:t>
      </w:r>
      <w:r>
        <w:rPr>
          <w:rFonts w:hint="eastAsia"/>
          <w:szCs w:val="22"/>
          <w:lang w:val="en-US" w:eastAsia="zh-CN"/>
        </w:rPr>
        <w:t>G</w:t>
      </w:r>
      <w:r>
        <w:rPr>
          <w:rFonts w:hint="eastAsia"/>
          <w:szCs w:val="22"/>
        </w:rPr>
        <w:t>.</w:t>
      </w:r>
      <w:r>
        <w:rPr>
          <w:rFonts w:hint="eastAsia"/>
          <w:szCs w:val="22"/>
          <w:lang w:val="en-US" w:eastAsia="zh-CN"/>
        </w:rPr>
        <w:t>5</w:t>
      </w:r>
      <w:r>
        <w:rPr>
          <w:rFonts w:hint="eastAsia"/>
          <w:szCs w:val="22"/>
        </w:rPr>
        <w:t>），用氮气对样品气体进行稀释后，再导入便携式气相色谱仪。须准确记录稀释倍数，并在最终结果计算中予以修正。</w:t>
      </w:r>
    </w:p>
    <w:p w14:paraId="374C1949">
      <w:pPr>
        <w:pStyle w:val="56"/>
        <w:keepNext w:val="0"/>
        <w:keepLines w:val="0"/>
        <w:pageBreakBefore w:val="0"/>
        <w:widowControl/>
        <w:kinsoku/>
        <w:wordWrap/>
        <w:overflowPunct/>
        <w:topLinePunct w:val="0"/>
        <w:autoSpaceDE w:val="0"/>
        <w:autoSpaceDN w:val="0"/>
        <w:bidi w:val="0"/>
        <w:adjustRightInd/>
        <w:snapToGrid/>
        <w:ind w:firstLine="0" w:firstLineChars="0"/>
        <w:jc w:val="center"/>
        <w:textAlignment w:val="auto"/>
        <w:outlineLvl w:val="9"/>
      </w:pPr>
      <w:r>
        <w:drawing>
          <wp:inline distT="0" distB="0" distL="114300" distR="114300">
            <wp:extent cx="4974590" cy="2160905"/>
            <wp:effectExtent l="0" t="0" r="16510" b="1079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20"/>
                    <a:stretch>
                      <a:fillRect/>
                    </a:stretch>
                  </pic:blipFill>
                  <pic:spPr>
                    <a:xfrm>
                      <a:off x="0" y="0"/>
                      <a:ext cx="4974590" cy="2160905"/>
                    </a:xfrm>
                    <a:prstGeom prst="rect">
                      <a:avLst/>
                    </a:prstGeom>
                    <a:noFill/>
                    <a:ln>
                      <a:noFill/>
                    </a:ln>
                  </pic:spPr>
                </pic:pic>
              </a:graphicData>
            </a:graphic>
          </wp:inline>
        </w:drawing>
      </w:r>
    </w:p>
    <w:p w14:paraId="116D970E">
      <w:pPr>
        <w:autoSpaceDE/>
        <w:autoSpaceDN/>
        <w:ind w:firstLine="0" w:firstLineChars="0"/>
        <w:jc w:val="center"/>
        <w:rPr>
          <w:rFonts w:hint="eastAsia"/>
          <w:sz w:val="18"/>
          <w:szCs w:val="18"/>
        </w:rPr>
      </w:pPr>
      <w:r>
        <w:rPr>
          <w:rFonts w:hint="eastAsia"/>
          <w:sz w:val="18"/>
          <w:szCs w:val="18"/>
        </w:rPr>
        <w:t>1—</w:t>
      </w:r>
      <w:r>
        <w:rPr>
          <w:rFonts w:hint="eastAsia"/>
          <w:sz w:val="18"/>
          <w:szCs w:val="18"/>
          <w:lang w:val="en-US" w:eastAsia="zh-CN"/>
        </w:rPr>
        <w:t>氮气</w:t>
      </w:r>
      <w:r>
        <w:rPr>
          <w:rFonts w:hint="eastAsia"/>
          <w:sz w:val="18"/>
          <w:szCs w:val="18"/>
        </w:rPr>
        <w:t>钢瓶；2</w:t>
      </w:r>
      <w:r>
        <w:rPr>
          <w:rFonts w:hint="eastAsia"/>
          <w:sz w:val="18"/>
          <w:szCs w:val="18"/>
          <w:lang w:eastAsia="zh-CN"/>
        </w:rPr>
        <w:t>、</w:t>
      </w:r>
      <w:r>
        <w:rPr>
          <w:rFonts w:hint="eastAsia"/>
          <w:sz w:val="18"/>
          <w:szCs w:val="18"/>
          <w:lang w:val="en-US" w:eastAsia="zh-CN"/>
        </w:rPr>
        <w:t>4、6</w:t>
      </w:r>
      <w:r>
        <w:rPr>
          <w:rFonts w:hint="eastAsia"/>
          <w:sz w:val="18"/>
          <w:szCs w:val="18"/>
        </w:rPr>
        <w:t>—</w:t>
      </w:r>
      <w:r>
        <w:rPr>
          <w:rFonts w:hint="eastAsia"/>
          <w:sz w:val="18"/>
          <w:szCs w:val="18"/>
          <w:lang w:val="en-US" w:eastAsia="zh-CN"/>
        </w:rPr>
        <w:t>压力计</w:t>
      </w:r>
      <w:r>
        <w:rPr>
          <w:rFonts w:hint="eastAsia"/>
          <w:sz w:val="18"/>
          <w:szCs w:val="18"/>
        </w:rPr>
        <w:t>；3—</w:t>
      </w:r>
      <w:r>
        <w:rPr>
          <w:rFonts w:hint="eastAsia"/>
          <w:sz w:val="18"/>
          <w:szCs w:val="18"/>
          <w:lang w:val="en-US" w:eastAsia="zh-CN"/>
        </w:rPr>
        <w:t>调节</w:t>
      </w:r>
      <w:r>
        <w:rPr>
          <w:rFonts w:hint="eastAsia"/>
          <w:sz w:val="18"/>
          <w:szCs w:val="18"/>
        </w:rPr>
        <w:t>阀；</w:t>
      </w:r>
      <w:r>
        <w:rPr>
          <w:rFonts w:hint="eastAsia"/>
          <w:sz w:val="18"/>
          <w:szCs w:val="18"/>
          <w:lang w:val="en-US" w:eastAsia="zh-CN"/>
        </w:rPr>
        <w:t>5</w:t>
      </w:r>
      <w:r>
        <w:rPr>
          <w:rFonts w:hint="eastAsia"/>
          <w:sz w:val="18"/>
          <w:szCs w:val="18"/>
        </w:rPr>
        <w:t>—</w:t>
      </w:r>
      <w:r>
        <w:rPr>
          <w:rFonts w:hint="eastAsia"/>
          <w:sz w:val="18"/>
          <w:szCs w:val="18"/>
          <w:lang w:val="en-US" w:eastAsia="zh-CN"/>
        </w:rPr>
        <w:t>开关阀；7</w:t>
      </w:r>
      <w:r>
        <w:rPr>
          <w:rFonts w:hint="eastAsia"/>
          <w:sz w:val="18"/>
          <w:szCs w:val="18"/>
        </w:rPr>
        <w:t>—样品气入口；</w:t>
      </w:r>
      <w:r>
        <w:rPr>
          <w:rFonts w:hint="eastAsia"/>
          <w:sz w:val="18"/>
          <w:szCs w:val="18"/>
          <w:lang w:val="en-US" w:eastAsia="zh-CN"/>
        </w:rPr>
        <w:t>8</w:t>
      </w:r>
      <w:r>
        <w:rPr>
          <w:rFonts w:hint="eastAsia"/>
          <w:sz w:val="18"/>
          <w:szCs w:val="18"/>
        </w:rPr>
        <w:t>—文丘里喷射泵；</w:t>
      </w:r>
    </w:p>
    <w:p w14:paraId="790D8652">
      <w:pPr>
        <w:autoSpaceDE/>
        <w:autoSpaceDN/>
        <w:ind w:firstLine="0" w:firstLineChars="0"/>
        <w:jc w:val="center"/>
        <w:rPr>
          <w:sz w:val="18"/>
          <w:szCs w:val="18"/>
        </w:rPr>
      </w:pPr>
      <w:r>
        <w:rPr>
          <w:rFonts w:hint="eastAsia"/>
          <w:sz w:val="18"/>
          <w:szCs w:val="18"/>
          <w:lang w:val="en-US" w:eastAsia="zh-CN"/>
        </w:rPr>
        <w:t>9</w:t>
      </w:r>
      <w:r>
        <w:rPr>
          <w:rFonts w:hint="eastAsia"/>
          <w:sz w:val="18"/>
          <w:szCs w:val="18"/>
        </w:rPr>
        <w:t>—</w:t>
      </w:r>
      <w:r>
        <w:rPr>
          <w:rFonts w:hint="eastAsia"/>
          <w:sz w:val="18"/>
          <w:szCs w:val="18"/>
          <w:lang w:val="en-US" w:eastAsia="zh-CN"/>
        </w:rPr>
        <w:t>排空阀；10</w:t>
      </w:r>
      <w:r>
        <w:rPr>
          <w:rFonts w:hint="eastAsia"/>
          <w:sz w:val="18"/>
          <w:szCs w:val="18"/>
        </w:rPr>
        <w:t>—</w:t>
      </w:r>
      <w:r>
        <w:rPr>
          <w:rFonts w:hint="eastAsia"/>
          <w:sz w:val="18"/>
          <w:szCs w:val="18"/>
          <w:lang w:val="en-US" w:eastAsia="zh-CN"/>
        </w:rPr>
        <w:t>稀释后气体出口</w:t>
      </w:r>
      <w:r>
        <w:rPr>
          <w:rFonts w:hint="eastAsia"/>
          <w:sz w:val="18"/>
          <w:szCs w:val="18"/>
        </w:rPr>
        <w:t>。</w:t>
      </w:r>
    </w:p>
    <w:p w14:paraId="1187B192">
      <w:pPr>
        <w:pStyle w:val="56"/>
        <w:keepNext w:val="0"/>
        <w:keepLines w:val="0"/>
        <w:pageBreakBefore w:val="0"/>
        <w:widowControl/>
        <w:kinsoku/>
        <w:wordWrap/>
        <w:overflowPunct/>
        <w:topLinePunct w:val="0"/>
        <w:autoSpaceDE w:val="0"/>
        <w:autoSpaceDN w:val="0"/>
        <w:bidi w:val="0"/>
        <w:adjustRightInd/>
        <w:snapToGrid/>
        <w:ind w:firstLine="0" w:firstLineChars="0"/>
        <w:jc w:val="center"/>
        <w:textAlignment w:val="auto"/>
        <w:outlineLvl w:val="9"/>
        <w:rPr>
          <w:rFonts w:hint="eastAsia"/>
          <w:szCs w:val="22"/>
        </w:rPr>
      </w:pPr>
      <w:r>
        <w:rPr>
          <w:rFonts w:hint="eastAsia" w:ascii="Times New Roman" w:hAnsi="Times New Roman" w:eastAsia="宋体"/>
          <w:sz w:val="21"/>
          <w:szCs w:val="21"/>
          <w:highlight w:val="none"/>
          <w:lang w:val="en-US" w:eastAsia="zh-CN"/>
        </w:rPr>
        <w:t>图</w:t>
      </w:r>
      <w:r>
        <w:rPr>
          <w:rFonts w:hint="eastAsia" w:ascii="Times New Roman"/>
          <w:sz w:val="21"/>
          <w:szCs w:val="21"/>
          <w:highlight w:val="none"/>
          <w:lang w:val="en-US" w:eastAsia="zh-CN"/>
        </w:rPr>
        <w:t>G</w:t>
      </w:r>
      <w:r>
        <w:rPr>
          <w:rFonts w:hint="eastAsia" w:ascii="Times New Roman" w:hAnsi="Times New Roman" w:eastAsia="宋体"/>
          <w:sz w:val="21"/>
          <w:szCs w:val="21"/>
          <w:highlight w:val="none"/>
          <w:lang w:val="en-US" w:eastAsia="zh-CN"/>
        </w:rPr>
        <w:t>.</w:t>
      </w:r>
      <w:r>
        <w:rPr>
          <w:rFonts w:hint="eastAsia" w:ascii="Times New Roman"/>
          <w:sz w:val="21"/>
          <w:szCs w:val="21"/>
          <w:highlight w:val="none"/>
          <w:lang w:val="en-US" w:eastAsia="zh-CN"/>
        </w:rPr>
        <w:t>5</w:t>
      </w:r>
      <w:r>
        <w:rPr>
          <w:rFonts w:hint="eastAsia" w:ascii="Times New Roman" w:hAnsi="Times New Roman" w:eastAsia="宋体"/>
          <w:sz w:val="21"/>
          <w:szCs w:val="21"/>
          <w:highlight w:val="none"/>
          <w:lang w:val="en-US" w:eastAsia="zh-CN"/>
        </w:rPr>
        <w:t xml:space="preserve"> 样品气稀释装置组成示意图</w:t>
      </w:r>
    </w:p>
    <w:p w14:paraId="0D6E50F3">
      <w:pPr>
        <w:pStyle w:val="250"/>
        <w:numPr>
          <w:ilvl w:val="1"/>
          <w:numId w:val="4"/>
        </w:numPr>
        <w:spacing w:before="156" w:beforeLines="50" w:after="156" w:afterLines="50"/>
        <w:rPr>
          <w:rFonts w:hint="eastAsia" w:hAnsi="黑体"/>
          <w:szCs w:val="22"/>
          <w:lang w:val="en-US" w:eastAsia="zh-CN"/>
        </w:rPr>
      </w:pPr>
      <w:bookmarkStart w:id="82" w:name="_Toc25392"/>
      <w:r>
        <w:rPr>
          <w:rFonts w:hint="eastAsia" w:hAnsi="黑体"/>
          <w:szCs w:val="22"/>
          <w:lang w:val="en-US" w:eastAsia="zh-CN"/>
        </w:rPr>
        <w:t>结果计算与表示</w:t>
      </w:r>
      <w:bookmarkEnd w:id="81"/>
      <w:bookmarkEnd w:id="82"/>
    </w:p>
    <w:p w14:paraId="1EC0D138">
      <w:pPr>
        <w:pStyle w:val="79"/>
        <w:spacing w:before="156" w:after="156"/>
        <w:rPr>
          <w:rFonts w:hint="eastAsia"/>
          <w:szCs w:val="22"/>
          <w:lang w:val="en-US" w:eastAsia="zh-CN"/>
        </w:rPr>
      </w:pPr>
      <w:bookmarkStart w:id="83" w:name="_Toc142574049"/>
      <w:bookmarkStart w:id="84" w:name="_Toc142573938"/>
      <w:r>
        <w:rPr>
          <w:rFonts w:hint="eastAsia"/>
          <w:szCs w:val="22"/>
          <w:lang w:val="en-US" w:eastAsia="zh-CN"/>
        </w:rPr>
        <w:t>定性分析</w:t>
      </w:r>
      <w:bookmarkEnd w:id="83"/>
      <w:bookmarkEnd w:id="84"/>
    </w:p>
    <w:p w14:paraId="3430BEA2">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outlineLvl w:val="9"/>
        <w:rPr>
          <w:rFonts w:ascii="Times New Roman" w:hAnsi="Times New Roman"/>
          <w:szCs w:val="24"/>
        </w:rPr>
      </w:pPr>
      <w:r>
        <w:rPr>
          <w:rFonts w:hint="eastAsia" w:ascii="Times New Roman" w:hAnsi="Times New Roman"/>
          <w:szCs w:val="24"/>
        </w:rPr>
        <w:t>以样品中待测物色谱峰的保留时间与标准物质的保留时间相比较进行定性分析。</w:t>
      </w:r>
    </w:p>
    <w:p w14:paraId="68F7C0D3">
      <w:pPr>
        <w:pStyle w:val="79"/>
        <w:spacing w:before="156" w:after="156"/>
        <w:rPr>
          <w:rFonts w:hint="eastAsia"/>
          <w:szCs w:val="22"/>
          <w:lang w:val="en-US" w:eastAsia="zh-CN"/>
        </w:rPr>
      </w:pPr>
      <w:bookmarkStart w:id="85" w:name="_Toc142573939"/>
      <w:bookmarkStart w:id="86" w:name="_Toc142574050"/>
      <w:r>
        <w:rPr>
          <w:rFonts w:hint="eastAsia"/>
          <w:szCs w:val="22"/>
          <w:lang w:val="en-US" w:eastAsia="zh-CN"/>
        </w:rPr>
        <w:t>定量分析</w:t>
      </w:r>
      <w:bookmarkEnd w:id="85"/>
      <w:bookmarkEnd w:id="86"/>
    </w:p>
    <w:p w14:paraId="420E643D">
      <w:pPr>
        <w:numPr>
          <w:ilvl w:val="0"/>
          <w:numId w:val="37"/>
        </w:numPr>
        <w:rPr>
          <w:rFonts w:hint="eastAsia" w:ascii="Times New Roman" w:hAnsi="Times New Roman" w:eastAsia="宋体"/>
          <w:sz w:val="21"/>
        </w:rPr>
      </w:pPr>
      <w:r>
        <w:rPr>
          <w:rFonts w:hint="eastAsia" w:ascii="Times New Roman" w:hAnsi="Times New Roman" w:eastAsia="宋体"/>
          <w:sz w:val="21"/>
          <w:lang w:val="en-US" w:eastAsia="zh-CN"/>
        </w:rPr>
        <w:t>若校准曲线单位为质量浓度（如</w:t>
      </w:r>
      <w:r>
        <w:rPr>
          <w:rFonts w:hint="eastAsia" w:ascii="Times New Roman" w:hAnsi="Times New Roman" w:eastAsia="宋体"/>
          <w:sz w:val="21"/>
          <w:highlight w:val="none"/>
          <w:lang w:val="en-US" w:eastAsia="zh-CN"/>
        </w:rPr>
        <w:t>mg/m</w:t>
      </w:r>
      <w:r>
        <w:rPr>
          <w:rFonts w:hint="eastAsia" w:ascii="Times New Roman" w:hAnsi="Times New Roman" w:eastAsia="宋体"/>
          <w:sz w:val="21"/>
          <w:highlight w:val="none"/>
          <w:vertAlign w:val="superscript"/>
          <w:lang w:val="en-US" w:eastAsia="zh-CN"/>
        </w:rPr>
        <w:t>3</w:t>
      </w:r>
      <w:r>
        <w:rPr>
          <w:rFonts w:hint="eastAsia" w:ascii="Times New Roman" w:hAnsi="Times New Roman" w:eastAsia="宋体"/>
          <w:sz w:val="21"/>
          <w:lang w:val="en-US" w:eastAsia="zh-CN"/>
        </w:rPr>
        <w:t>），可直接</w:t>
      </w:r>
      <w:r>
        <w:rPr>
          <w:rFonts w:hint="eastAsia" w:ascii="Times New Roman" w:hAnsi="Times New Roman" w:eastAsia="宋体"/>
          <w:sz w:val="21"/>
        </w:rPr>
        <w:t>根据校准曲线计算</w:t>
      </w:r>
      <w:r>
        <w:rPr>
          <w:rFonts w:hint="eastAsia" w:ascii="Times New Roman" w:hAnsi="Times New Roman" w:eastAsia="宋体"/>
          <w:sz w:val="21"/>
          <w:lang w:val="en-US" w:eastAsia="zh-CN"/>
        </w:rPr>
        <w:t>出</w:t>
      </w:r>
      <w:r>
        <w:rPr>
          <w:rFonts w:hint="eastAsia" w:ascii="Times New Roman" w:hAnsi="Times New Roman" w:eastAsia="宋体"/>
          <w:sz w:val="21"/>
        </w:rPr>
        <w:t>目标组分的含量。</w:t>
      </w:r>
    </w:p>
    <w:p w14:paraId="79331D82">
      <w:pPr>
        <w:numPr>
          <w:ilvl w:val="0"/>
          <w:numId w:val="37"/>
        </w:numPr>
        <w:ind w:left="0" w:leftChars="0" w:firstLine="0" w:firstLineChars="0"/>
        <w:rPr>
          <w:rFonts w:hint="eastAsia" w:ascii="Times New Roman" w:hAnsi="Times New Roman" w:eastAsia="宋体"/>
          <w:sz w:val="21"/>
        </w:rPr>
      </w:pPr>
      <w:r>
        <w:rPr>
          <w:rFonts w:hint="eastAsia" w:ascii="Times New Roman" w:hAnsi="Times New Roman" w:eastAsia="宋体"/>
          <w:sz w:val="21"/>
        </w:rPr>
        <w:t>若使用样品稀释装置，最终浓度需乘以相应的稀释倍数。</w:t>
      </w:r>
    </w:p>
    <w:p w14:paraId="48C563A9">
      <w:pPr>
        <w:numPr>
          <w:ilvl w:val="0"/>
          <w:numId w:val="37"/>
        </w:numPr>
        <w:ind w:left="0" w:leftChars="0" w:firstLine="0" w:firstLineChars="0"/>
        <w:rPr>
          <w:rFonts w:hint="eastAsia" w:ascii="Times New Roman" w:hAnsi="Times New Roman" w:eastAsia="宋体"/>
          <w:sz w:val="21"/>
          <w:lang w:val="en-US" w:eastAsia="zh-CN"/>
        </w:rPr>
      </w:pPr>
      <w:r>
        <w:rPr>
          <w:rFonts w:hint="eastAsia" w:ascii="Times New Roman" w:hAnsi="Times New Roman" w:eastAsia="宋体"/>
          <w:sz w:val="21"/>
          <w:lang w:val="en-US" w:eastAsia="zh-CN"/>
        </w:rPr>
        <w:t>若校准曲线单位为摩尔分数（如</w:t>
      </w:r>
      <w:r>
        <w:rPr>
          <w:rFonts w:hint="default" w:ascii="Times New Roman" w:hAnsi="Times New Roman" w:eastAsia="宋体"/>
          <w:sz w:val="21"/>
          <w:highlight w:val="none"/>
          <w:lang w:val="en-US" w:eastAsia="zh-CN"/>
        </w:rPr>
        <w:t>µmol</w:t>
      </w:r>
      <w:r>
        <w:rPr>
          <w:rFonts w:hint="eastAsia" w:ascii="Times New Roman" w:hAnsi="Times New Roman" w:eastAsia="宋体"/>
          <w:sz w:val="21"/>
          <w:highlight w:val="none"/>
          <w:lang w:val="en-US" w:eastAsia="zh-CN"/>
        </w:rPr>
        <w:t>/</w:t>
      </w:r>
      <w:r>
        <w:rPr>
          <w:rFonts w:hint="default" w:ascii="Times New Roman" w:hAnsi="Times New Roman" w:eastAsia="宋体"/>
          <w:sz w:val="21"/>
          <w:highlight w:val="none"/>
          <w:lang w:val="en-US" w:eastAsia="zh-CN"/>
        </w:rPr>
        <w:t>mol</w:t>
      </w:r>
      <w:r>
        <w:rPr>
          <w:rFonts w:hint="eastAsia" w:ascii="Times New Roman" w:hAnsi="Times New Roman" w:eastAsia="宋体"/>
          <w:sz w:val="21"/>
          <w:lang w:val="en-US" w:eastAsia="zh-CN"/>
        </w:rPr>
        <w:t>），根据公式（1）计算目标化合物浓度。</w:t>
      </w:r>
    </w:p>
    <w:p w14:paraId="30ED79EB">
      <w:pPr>
        <w:jc w:val="right"/>
        <w:rPr>
          <w:rFonts w:hint="default" w:hAnsi="Cambria Math" w:eastAsia="宋体"/>
          <w:i w:val="0"/>
          <w:sz w:val="21"/>
          <w:lang w:val="en-US" w:eastAsia="zh-CN"/>
        </w:rPr>
      </w:pPr>
      <m:oMath>
        <m:r>
          <m:rPr/>
          <w:rPr>
            <w:rFonts w:hint="default" w:ascii="Cambria Math" w:hAnsi="Cambria Math"/>
            <w:sz w:val="21"/>
          </w:rPr>
          <m:t>ρ=</m:t>
        </m:r>
        <m:sSub>
          <m:sSubPr>
            <m:ctrlPr>
              <w:rPr>
                <w:rFonts w:hint="default" w:ascii="Cambria Math" w:hAnsi="Cambria Math"/>
                <w:sz w:val="21"/>
              </w:rPr>
            </m:ctrlPr>
          </m:sSubPr>
          <m:e>
            <m:r>
              <m:rPr/>
              <w:rPr>
                <w:rFonts w:hint="default" w:ascii="Cambria Math" w:hAnsi="Cambria Math"/>
                <w:sz w:val="21"/>
              </w:rPr>
              <m:t>χ</m:t>
            </m:r>
            <m:ctrlPr>
              <w:rPr>
                <w:rFonts w:ascii="Cambria Math" w:hAnsi="Cambria Math"/>
                <w:sz w:val="21"/>
              </w:rPr>
            </m:ctrlPr>
          </m:e>
          <m:sub>
            <m:r>
              <m:rPr/>
              <w:rPr>
                <w:rFonts w:hint="default" w:ascii="Cambria Math" w:hAnsi="Cambria Math"/>
                <w:sz w:val="21"/>
              </w:rPr>
              <m:t>x</m:t>
            </m:r>
            <m:ctrlPr>
              <w:rPr>
                <w:rFonts w:ascii="Cambria Math" w:hAnsi="Cambria Math"/>
                <w:sz w:val="21"/>
              </w:rPr>
            </m:ctrlPr>
          </m:sub>
        </m:sSub>
        <m:r>
          <m:rPr>
            <m:sty m:val="p"/>
          </m:rPr>
          <w:rPr>
            <w:rFonts w:hint="default" w:ascii="Cambria Math" w:hAnsi="Cambria Math"/>
            <w:sz w:val="21"/>
          </w:rPr>
          <m:t>×</m:t>
        </m:r>
        <m:f>
          <m:fPr>
            <m:ctrlPr>
              <w:rPr>
                <w:rFonts w:hint="default" w:ascii="Cambria Math" w:hAnsi="Cambria Math"/>
                <w:i/>
                <w:sz w:val="21"/>
              </w:rPr>
            </m:ctrlPr>
          </m:fPr>
          <m:num>
            <m:r>
              <m:rPr/>
              <w:rPr>
                <w:rFonts w:hint="default" w:ascii="Cambria Math" w:hAnsi="Cambria Math"/>
                <w:sz w:val="21"/>
              </w:rPr>
              <m:t>M</m:t>
            </m:r>
            <m:ctrlPr>
              <w:rPr>
                <w:rFonts w:ascii="Cambria Math" w:hAnsi="Cambria Math"/>
                <w:sz w:val="21"/>
              </w:rPr>
            </m:ctrlPr>
          </m:num>
          <m:den>
            <m:sSub>
              <m:sSubPr>
                <m:ctrlPr>
                  <w:rPr>
                    <w:rFonts w:hint="default" w:ascii="Cambria Math" w:hAnsi="Cambria Math"/>
                    <w:sz w:val="21"/>
                  </w:rPr>
                </m:ctrlPr>
              </m:sSubPr>
              <m:e>
                <m:r>
                  <m:rPr/>
                  <w:rPr>
                    <w:rFonts w:hint="default" w:ascii="Cambria Math" w:hAnsi="Cambria Math"/>
                    <w:sz w:val="21"/>
                  </w:rPr>
                  <m:t>V</m:t>
                </m:r>
                <m:ctrlPr>
                  <w:rPr>
                    <w:rFonts w:ascii="Cambria Math" w:hAnsi="Cambria Math"/>
                    <w:sz w:val="21"/>
                  </w:rPr>
                </m:ctrlPr>
              </m:e>
              <m:sub>
                <m:r>
                  <m:rPr/>
                  <w:rPr>
                    <w:rFonts w:hint="default" w:ascii="Cambria Math" w:hAnsi="Cambria Math"/>
                    <w:sz w:val="21"/>
                  </w:rPr>
                  <m:t>m</m:t>
                </m:r>
                <m:ctrlPr>
                  <w:rPr>
                    <w:rFonts w:ascii="Cambria Math" w:hAnsi="Cambria Math"/>
                    <w:sz w:val="21"/>
                  </w:rPr>
                </m:ctrlPr>
              </m:sub>
            </m:sSub>
            <m:ctrlPr>
              <w:rPr>
                <w:rFonts w:hint="default" w:ascii="Cambria Math" w:hAnsi="Cambria Math"/>
                <w:sz w:val="21"/>
              </w:rPr>
            </m:ctrlPr>
          </m:den>
        </m:f>
        <m:r>
          <m:rPr>
            <m:sty m:val="p"/>
          </m:rPr>
          <w:rPr>
            <w:rFonts w:hint="default" w:ascii="Cambria Math" w:hAnsi="Cambria Math"/>
            <w:sz w:val="21"/>
          </w:rPr>
          <m:t>×</m:t>
        </m:r>
        <m:r>
          <m:rPr/>
          <w:rPr>
            <w:rFonts w:hint="default" w:ascii="Cambria Math" w:hAnsi="Cambria Math"/>
            <w:sz w:val="21"/>
          </w:rPr>
          <m:t>f</m:t>
        </m:r>
      </m:oMath>
      <w:r>
        <w:rPr>
          <w:rFonts w:hint="eastAsia" w:hAnsi="Cambria Math"/>
          <w:i w:val="0"/>
          <w:sz w:val="21"/>
          <w:lang w:val="en-US" w:eastAsia="zh-CN"/>
        </w:rPr>
        <w:t xml:space="preserve">                                    （1）</w:t>
      </w:r>
    </w:p>
    <w:p w14:paraId="028F0968">
      <w:pPr>
        <w:ind w:left="0" w:leftChars="0" w:firstLine="0" w:firstLineChars="0"/>
        <w:rPr>
          <w:rFonts w:hint="default"/>
          <w:highlight w:val="none"/>
          <w:vertAlign w:val="baseline"/>
          <w:lang w:val="en-US" w:eastAsia="zh-CN"/>
        </w:rPr>
      </w:pPr>
      <w:r>
        <w:rPr>
          <w:rFonts w:hint="eastAsia" w:hAnsi="Cambria Math"/>
          <w:i w:val="0"/>
          <w:highlight w:val="none"/>
          <w:lang w:val="en-US" w:eastAsia="zh-CN"/>
        </w:rPr>
        <w:t>式中：</w:t>
      </w:r>
      <m:oMath>
        <m:r>
          <m:rPr>
            <m:sty m:val="p"/>
          </m:rPr>
          <w:rPr>
            <w:rFonts w:hint="default" w:ascii="Cambria Math" w:hAnsi="Cambria Math"/>
            <w:highlight w:val="none"/>
            <w:lang w:val="en-US" w:eastAsia="zh-CN"/>
          </w:rPr>
          <m:t>ρ</m:t>
        </m:r>
      </m:oMath>
      <w:r>
        <w:rPr>
          <w:rFonts w:hint="eastAsia"/>
          <w:highlight w:val="none"/>
          <w:lang w:val="en-US" w:eastAsia="zh-CN"/>
        </w:rPr>
        <w:t>——样品中目标化合物的质量浓度，mg/m</w:t>
      </w:r>
      <w:r>
        <w:rPr>
          <w:rFonts w:hint="eastAsia"/>
          <w:highlight w:val="none"/>
          <w:vertAlign w:val="superscript"/>
          <w:lang w:val="en-US" w:eastAsia="zh-CN"/>
        </w:rPr>
        <w:t>3</w:t>
      </w:r>
      <w:r>
        <w:rPr>
          <w:rFonts w:hint="eastAsia"/>
          <w:highlight w:val="none"/>
          <w:vertAlign w:val="baseline"/>
          <w:lang w:val="en-US" w:eastAsia="zh-CN"/>
        </w:rPr>
        <w:t>；</w:t>
      </w:r>
    </w:p>
    <w:p w14:paraId="6216EC4B">
      <w:pPr>
        <w:ind w:leftChars="100" w:firstLine="420" w:firstLineChars="200"/>
        <w:rPr>
          <w:rFonts w:hint="default"/>
          <w:highlight w:val="none"/>
          <w:lang w:val="en-US" w:eastAsia="zh-CN"/>
        </w:rPr>
      </w:pPr>
      <m:oMath>
        <m:sSub>
          <m:sSubPr>
            <m:ctrlPr>
              <w:rPr>
                <w:rFonts w:hint="default" w:ascii="Cambria Math" w:hAnsi="Cambria Math"/>
                <w:sz w:val="21"/>
              </w:rPr>
            </m:ctrlPr>
          </m:sSubPr>
          <m:e>
            <m:r>
              <m:rPr/>
              <w:rPr>
                <w:rFonts w:hint="default" w:ascii="Cambria Math" w:hAnsi="Cambria Math"/>
                <w:sz w:val="21"/>
              </w:rPr>
              <m:t>χ</m:t>
            </m:r>
            <m:ctrlPr>
              <w:rPr>
                <w:rFonts w:ascii="Cambria Math" w:hAnsi="Cambria Math"/>
                <w:sz w:val="21"/>
              </w:rPr>
            </m:ctrlPr>
          </m:e>
          <m:sub>
            <m:r>
              <m:rPr/>
              <w:rPr>
                <w:rFonts w:hint="default" w:ascii="Cambria Math" w:hAnsi="Cambria Math"/>
                <w:sz w:val="21"/>
              </w:rPr>
              <m:t>x</m:t>
            </m:r>
            <m:ctrlPr>
              <w:rPr>
                <w:rFonts w:ascii="Cambria Math" w:hAnsi="Cambria Math"/>
                <w:sz w:val="21"/>
              </w:rPr>
            </m:ctrlPr>
          </m:sub>
        </m:sSub>
      </m:oMath>
      <w:r>
        <w:rPr>
          <w:rFonts w:hint="eastAsia"/>
          <w:highlight w:val="none"/>
          <w:lang w:val="en-US" w:eastAsia="zh-CN"/>
        </w:rPr>
        <w:t>——校准曲线得出的目标化合物摩尔分数，</w:t>
      </w:r>
      <w:r>
        <w:rPr>
          <w:rFonts w:hint="default"/>
          <w:highlight w:val="none"/>
          <w:lang w:val="en-US" w:eastAsia="zh-CN"/>
        </w:rPr>
        <w:t>µmol</w:t>
      </w:r>
      <w:r>
        <w:rPr>
          <w:rFonts w:hint="eastAsia"/>
          <w:highlight w:val="none"/>
          <w:lang w:val="en-US" w:eastAsia="zh-CN"/>
        </w:rPr>
        <w:t>/</w:t>
      </w:r>
      <w:r>
        <w:rPr>
          <w:rFonts w:hint="default"/>
          <w:highlight w:val="none"/>
          <w:lang w:val="en-US" w:eastAsia="zh-CN"/>
        </w:rPr>
        <w:t>mol；</w:t>
      </w:r>
    </w:p>
    <w:p w14:paraId="4627DAA6">
      <w:pPr>
        <w:ind w:leftChars="100" w:firstLine="420" w:firstLineChars="200"/>
        <w:rPr>
          <w:rFonts w:hint="default"/>
          <w:highlight w:val="none"/>
          <w:lang w:val="en-US" w:eastAsia="zh-CN"/>
        </w:rPr>
      </w:pPr>
      <m:oMath>
        <m:r>
          <m:rPr/>
          <w:rPr>
            <w:rFonts w:hint="default" w:ascii="Cambria Math" w:hAnsi="Cambria Math"/>
            <w:sz w:val="21"/>
          </w:rPr>
          <m:t>M</m:t>
        </m:r>
      </m:oMath>
      <w:r>
        <w:rPr>
          <w:rFonts w:hint="default"/>
          <w:highlight w:val="none"/>
          <w:lang w:val="en-US" w:eastAsia="zh-CN"/>
        </w:rPr>
        <w:t>——目标化合物的摩尔质量，g/mol；</w:t>
      </w:r>
    </w:p>
    <w:p w14:paraId="2A75970F">
      <w:pPr>
        <w:ind w:leftChars="100" w:firstLine="420" w:firstLineChars="200"/>
        <w:rPr>
          <w:rFonts w:hint="default"/>
          <w:highlight w:val="none"/>
          <w:lang w:val="en-US" w:eastAsia="zh-CN"/>
        </w:rPr>
      </w:pPr>
      <m:oMath>
        <m:sSub>
          <m:sSubPr>
            <m:ctrlPr>
              <w:rPr>
                <w:rFonts w:hint="default" w:ascii="Cambria Math" w:hAnsi="Cambria Math"/>
                <w:sz w:val="21"/>
              </w:rPr>
            </m:ctrlPr>
          </m:sSubPr>
          <m:e>
            <m:r>
              <m:rPr/>
              <w:rPr>
                <w:rFonts w:hint="default" w:ascii="Cambria Math" w:hAnsi="Cambria Math"/>
                <w:sz w:val="21"/>
              </w:rPr>
              <m:t>V</m:t>
            </m:r>
            <m:ctrlPr>
              <w:rPr>
                <w:rFonts w:ascii="Cambria Math" w:hAnsi="Cambria Math"/>
                <w:sz w:val="21"/>
              </w:rPr>
            </m:ctrlPr>
          </m:e>
          <m:sub>
            <m:r>
              <m:rPr/>
              <w:rPr>
                <w:rFonts w:hint="default" w:ascii="Cambria Math" w:hAnsi="Cambria Math"/>
                <w:sz w:val="21"/>
              </w:rPr>
              <m:t>m</m:t>
            </m:r>
            <m:ctrlPr>
              <w:rPr>
                <w:rFonts w:ascii="Cambria Math" w:hAnsi="Cambria Math"/>
                <w:sz w:val="21"/>
              </w:rPr>
            </m:ctrlPr>
          </m:sub>
        </m:sSub>
      </m:oMath>
      <w:r>
        <w:rPr>
          <w:rFonts w:hint="default"/>
          <w:highlight w:val="none"/>
          <w:lang w:val="en-US" w:eastAsia="zh-CN"/>
        </w:rPr>
        <w:t>——根据相关质量或排放标准确定相应状态下气体的摩尔体积，参比状态下为24.5</w:t>
      </w:r>
      <w:r>
        <w:rPr>
          <w:rFonts w:hint="eastAsia"/>
          <w:highlight w:val="none"/>
          <w:lang w:val="en-US" w:eastAsia="zh-CN"/>
        </w:rPr>
        <w:t xml:space="preserve"> </w:t>
      </w:r>
      <w:r>
        <w:rPr>
          <w:rFonts w:hint="default"/>
          <w:highlight w:val="none"/>
          <w:lang w:val="en-US" w:eastAsia="zh-CN"/>
        </w:rPr>
        <w:t>L/mol，标准状态下为22.4</w:t>
      </w:r>
      <w:r>
        <w:rPr>
          <w:rFonts w:hint="eastAsia"/>
          <w:highlight w:val="none"/>
          <w:lang w:val="en-US" w:eastAsia="zh-CN"/>
        </w:rPr>
        <w:t xml:space="preserve"> </w:t>
      </w:r>
      <w:r>
        <w:rPr>
          <w:rFonts w:hint="default"/>
          <w:highlight w:val="none"/>
          <w:lang w:val="en-US" w:eastAsia="zh-CN"/>
        </w:rPr>
        <w:t>L/mol；</w:t>
      </w:r>
    </w:p>
    <w:p w14:paraId="71E50E88">
      <w:pPr>
        <w:ind w:leftChars="100" w:firstLine="420" w:firstLineChars="200"/>
        <w:rPr>
          <w:rFonts w:hint="default"/>
          <w:highlight w:val="none"/>
          <w:lang w:val="en-US" w:eastAsia="zh-CN"/>
        </w:rPr>
      </w:pPr>
      <w:r>
        <w:rPr>
          <w:rFonts w:hint="eastAsia"/>
          <w:i/>
          <w:iCs/>
          <w:highlight w:val="none"/>
          <w:lang w:val="en-US" w:eastAsia="zh-CN"/>
        </w:rPr>
        <w:t>f</w:t>
      </w:r>
      <w:r>
        <w:rPr>
          <w:rFonts w:hint="default"/>
          <w:highlight w:val="none"/>
          <w:lang w:val="en-US" w:eastAsia="zh-CN"/>
        </w:rPr>
        <w:t>——稀释倍数，无量纲。</w:t>
      </w:r>
    </w:p>
    <w:p w14:paraId="3B2CAE85">
      <w:pPr>
        <w:pStyle w:val="79"/>
        <w:spacing w:before="156" w:after="156"/>
        <w:rPr>
          <w:rFonts w:hint="eastAsia"/>
          <w:szCs w:val="22"/>
          <w:lang w:val="en-US" w:eastAsia="zh-CN"/>
        </w:rPr>
      </w:pPr>
      <w:bookmarkStart w:id="87" w:name="_Toc142573941"/>
      <w:bookmarkStart w:id="88" w:name="_Toc142574052"/>
      <w:r>
        <w:rPr>
          <w:rFonts w:hint="eastAsia"/>
          <w:szCs w:val="22"/>
          <w:lang w:val="en-US" w:eastAsia="zh-CN"/>
        </w:rPr>
        <w:t>结果表示</w:t>
      </w:r>
      <w:bookmarkEnd w:id="87"/>
      <w:bookmarkEnd w:id="88"/>
    </w:p>
    <w:p w14:paraId="58FB0E86">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outlineLvl w:val="9"/>
        <w:rPr>
          <w:rFonts w:ascii="Times New Roman" w:hAnsi="Times New Roman"/>
          <w:szCs w:val="24"/>
        </w:rPr>
      </w:pPr>
      <w:r>
        <w:rPr>
          <w:rFonts w:hint="eastAsia" w:ascii="Times New Roman" w:hAnsi="Times New Roman"/>
          <w:szCs w:val="24"/>
        </w:rPr>
        <w:t>测定结果小于1 mg/m</w:t>
      </w:r>
      <w:r>
        <w:rPr>
          <w:rFonts w:hint="eastAsia" w:ascii="Times New Roman" w:hAnsi="Times New Roman"/>
          <w:szCs w:val="24"/>
          <w:vertAlign w:val="superscript"/>
        </w:rPr>
        <w:t>3</w:t>
      </w:r>
      <w:r>
        <w:rPr>
          <w:rFonts w:hint="eastAsia" w:ascii="Times New Roman" w:hAnsi="Times New Roman"/>
          <w:szCs w:val="24"/>
        </w:rPr>
        <w:t>时，保留至小数点后两位；大于或等于1 mg/m</w:t>
      </w:r>
      <w:r>
        <w:rPr>
          <w:rFonts w:hint="eastAsia" w:ascii="Times New Roman" w:hAnsi="Times New Roman"/>
          <w:szCs w:val="24"/>
          <w:vertAlign w:val="superscript"/>
        </w:rPr>
        <w:t>3</w:t>
      </w:r>
      <w:r>
        <w:rPr>
          <w:rFonts w:hint="eastAsia" w:ascii="Times New Roman" w:hAnsi="Times New Roman"/>
          <w:szCs w:val="24"/>
        </w:rPr>
        <w:t>时，保留三位有效数字。</w:t>
      </w:r>
    </w:p>
    <w:p w14:paraId="6956411A">
      <w:pPr>
        <w:pStyle w:val="250"/>
        <w:numPr>
          <w:ilvl w:val="1"/>
          <w:numId w:val="4"/>
        </w:numPr>
        <w:spacing w:before="156" w:beforeLines="50" w:after="156" w:afterLines="50"/>
        <w:rPr>
          <w:rFonts w:hint="eastAsia" w:hAnsi="黑体"/>
          <w:szCs w:val="22"/>
          <w:lang w:val="en-US" w:eastAsia="zh-CN"/>
        </w:rPr>
      </w:pPr>
      <w:r>
        <w:rPr>
          <w:rFonts w:hint="eastAsia" w:hAnsi="黑体"/>
          <w:szCs w:val="22"/>
          <w:lang w:val="en-US" w:eastAsia="zh-CN"/>
        </w:rPr>
        <w:t>方法特性</w:t>
      </w:r>
    </w:p>
    <w:p w14:paraId="61C661DB">
      <w:pPr>
        <w:pStyle w:val="79"/>
        <w:spacing w:before="156" w:after="156"/>
        <w:rPr>
          <w:rFonts w:hint="eastAsia"/>
          <w:szCs w:val="22"/>
          <w:lang w:val="en-US" w:eastAsia="zh-CN"/>
        </w:rPr>
      </w:pPr>
      <w:r>
        <w:rPr>
          <w:rFonts w:hint="eastAsia"/>
          <w:szCs w:val="22"/>
          <w:lang w:val="en-US" w:eastAsia="zh-CN"/>
        </w:rPr>
        <w:t>检出限和测定下限</w:t>
      </w:r>
    </w:p>
    <w:p w14:paraId="22514930">
      <w:pPr>
        <w:pStyle w:val="77"/>
        <w:numPr>
          <w:ilvl w:val="1"/>
          <w:numId w:val="0"/>
        </w:numPr>
        <w:spacing w:before="156" w:after="156"/>
        <w:jc w:val="center"/>
        <w:rPr>
          <w:rFonts w:hint="eastAsia"/>
          <w:lang w:eastAsia="zh-CN"/>
        </w:rPr>
      </w:pPr>
    </w:p>
    <w:p w14:paraId="4409BC7F">
      <w:pPr>
        <w:pStyle w:val="77"/>
        <w:numPr>
          <w:ilvl w:val="1"/>
          <w:numId w:val="0"/>
        </w:numPr>
        <w:spacing w:before="156" w:after="156"/>
        <w:jc w:val="center"/>
        <w:rPr>
          <w:rFonts w:hint="eastAsia"/>
          <w:lang w:eastAsia="zh-CN"/>
        </w:rPr>
      </w:pPr>
    </w:p>
    <w:p w14:paraId="25488944">
      <w:pPr>
        <w:pStyle w:val="77"/>
        <w:numPr>
          <w:ilvl w:val="1"/>
          <w:numId w:val="0"/>
        </w:numPr>
        <w:spacing w:before="156" w:after="156"/>
        <w:jc w:val="center"/>
        <w:rPr>
          <w:rFonts w:hint="eastAsia"/>
          <w:lang w:val="en-US" w:eastAsia="zh-CN"/>
        </w:rPr>
      </w:pPr>
      <w:r>
        <w:rPr>
          <w:rFonts w:hint="eastAsia"/>
          <w:lang w:eastAsia="zh-CN"/>
        </w:rPr>
        <w:t>表</w:t>
      </w:r>
      <w:r>
        <w:rPr>
          <w:rFonts w:hint="eastAsia"/>
          <w:lang w:val="en-US" w:eastAsia="zh-CN"/>
        </w:rPr>
        <w:t>G.1 目标组分检出限和测定下限（定量环0.1ml）</w:t>
      </w:r>
    </w:p>
    <w:tbl>
      <w:tblPr>
        <w:tblStyle w:val="26"/>
        <w:tblW w:w="6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1597"/>
        <w:gridCol w:w="2032"/>
        <w:gridCol w:w="1919"/>
      </w:tblGrid>
      <w:tr w14:paraId="786C9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0ECB5181">
            <w:pPr>
              <w:adjustRightInd/>
              <w:spacing w:line="300" w:lineRule="exact"/>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597" w:type="dxa"/>
            <w:shd w:val="clear" w:color="auto" w:fill="auto"/>
            <w:vAlign w:val="center"/>
          </w:tcPr>
          <w:p w14:paraId="3FA2C9DA">
            <w:pPr>
              <w:adjustRightInd/>
              <w:spacing w:line="300" w:lineRule="exact"/>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物质</w:t>
            </w:r>
          </w:p>
        </w:tc>
        <w:tc>
          <w:tcPr>
            <w:tcW w:w="2032" w:type="dxa"/>
            <w:shd w:val="clear" w:color="auto" w:fill="auto"/>
            <w:vAlign w:val="center"/>
          </w:tcPr>
          <w:p w14:paraId="6765F932">
            <w:pPr>
              <w:adjustRightInd/>
              <w:spacing w:line="300" w:lineRule="exact"/>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检出限（mg/m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c>
          <w:tcPr>
            <w:tcW w:w="1919" w:type="dxa"/>
            <w:shd w:val="clear" w:color="auto" w:fill="auto"/>
            <w:vAlign w:val="center"/>
          </w:tcPr>
          <w:p w14:paraId="77D2CFB3">
            <w:pPr>
              <w:adjustRightInd/>
              <w:spacing w:line="300" w:lineRule="exact"/>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测定下限</w:t>
            </w:r>
            <w:r>
              <w:rPr>
                <w:rFonts w:hint="default" w:ascii="Times New Roman" w:hAnsi="Times New Roman" w:eastAsia="宋体" w:cs="Times New Roman"/>
                <w:b/>
                <w:bCs/>
                <w:sz w:val="21"/>
                <w:szCs w:val="21"/>
              </w:rPr>
              <w:t>（mg/m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r>
      <w:tr w14:paraId="185B8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7E913E7F">
            <w:pPr>
              <w:adjustRightInd/>
              <w:spacing w:line="3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597" w:type="dxa"/>
            <w:shd w:val="clear" w:color="auto" w:fill="auto"/>
            <w:vAlign w:val="center"/>
          </w:tcPr>
          <w:p w14:paraId="653A8954">
            <w:pPr>
              <w:widowControl/>
              <w:adjustRightInd/>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硫化氢</w:t>
            </w:r>
          </w:p>
        </w:tc>
        <w:tc>
          <w:tcPr>
            <w:tcW w:w="2032" w:type="dxa"/>
            <w:shd w:val="clear" w:color="auto" w:fill="auto"/>
            <w:vAlign w:val="center"/>
          </w:tcPr>
          <w:p w14:paraId="5D9D31BD">
            <w:pPr>
              <w:widowControl/>
              <w:adjustRightInd/>
              <w:spacing w:line="240" w:lineRule="auto"/>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val="en-US" w:eastAsia="zh-CN" w:bidi="ar"/>
              </w:rPr>
              <w:t>0.03</w:t>
            </w:r>
            <w:r>
              <w:rPr>
                <w:rFonts w:hint="default" w:ascii="Times New Roman" w:hAnsi="Times New Roman" w:eastAsia="宋体" w:cs="Times New Roman"/>
                <w:color w:val="000000"/>
                <w:kern w:val="0"/>
                <w:sz w:val="21"/>
                <w:szCs w:val="21"/>
                <w:lang w:bidi="ar"/>
              </w:rPr>
              <w:t xml:space="preserve"> </w:t>
            </w:r>
          </w:p>
        </w:tc>
        <w:tc>
          <w:tcPr>
            <w:tcW w:w="1919" w:type="dxa"/>
            <w:shd w:val="clear" w:color="auto" w:fill="auto"/>
            <w:vAlign w:val="center"/>
          </w:tcPr>
          <w:p w14:paraId="58065D0C">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0.12</w:t>
            </w:r>
          </w:p>
        </w:tc>
      </w:tr>
      <w:tr w14:paraId="16B41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1BF8C860">
            <w:pPr>
              <w:adjustRightInd/>
              <w:spacing w:line="3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597" w:type="dxa"/>
            <w:shd w:val="clear" w:color="auto" w:fill="auto"/>
            <w:vAlign w:val="center"/>
          </w:tcPr>
          <w:p w14:paraId="3B0BAFBE">
            <w:pPr>
              <w:spacing w:line="240" w:lineRule="exact"/>
              <w:jc w:val="center"/>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sz w:val="21"/>
                <w:szCs w:val="21"/>
              </w:rPr>
              <w:t>甲硫醇</w:t>
            </w:r>
          </w:p>
        </w:tc>
        <w:tc>
          <w:tcPr>
            <w:tcW w:w="2032" w:type="dxa"/>
            <w:shd w:val="clear" w:color="auto" w:fill="auto"/>
            <w:vAlign w:val="center"/>
          </w:tcPr>
          <w:p w14:paraId="605DD27D">
            <w:pPr>
              <w:widowControl/>
              <w:adjustRightInd/>
              <w:spacing w:line="240" w:lineRule="auto"/>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bCs/>
                <w:sz w:val="21"/>
                <w:szCs w:val="21"/>
                <w:lang w:bidi="ar"/>
              </w:rPr>
              <w:t>0.009</w:t>
            </w:r>
          </w:p>
        </w:tc>
        <w:tc>
          <w:tcPr>
            <w:tcW w:w="1919" w:type="dxa"/>
            <w:shd w:val="clear" w:color="auto" w:fill="auto"/>
            <w:vAlign w:val="center"/>
          </w:tcPr>
          <w:p w14:paraId="5C8B6B13">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bCs/>
                <w:sz w:val="21"/>
                <w:szCs w:val="21"/>
                <w:lang w:bidi="ar"/>
              </w:rPr>
              <w:t>0.03</w:t>
            </w:r>
            <w:r>
              <w:rPr>
                <w:rFonts w:hint="default" w:ascii="Times New Roman" w:hAnsi="Times New Roman" w:eastAsia="宋体" w:cs="Times New Roman"/>
                <w:bCs/>
                <w:sz w:val="21"/>
                <w:szCs w:val="21"/>
                <w:lang w:val="en-US" w:eastAsia="zh-CN" w:bidi="ar"/>
              </w:rPr>
              <w:t>6</w:t>
            </w:r>
          </w:p>
        </w:tc>
      </w:tr>
      <w:tr w14:paraId="24E77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319E8888">
            <w:pPr>
              <w:adjustRightInd/>
              <w:spacing w:line="3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597" w:type="dxa"/>
            <w:shd w:val="clear" w:color="auto" w:fill="auto"/>
            <w:vAlign w:val="center"/>
          </w:tcPr>
          <w:p w14:paraId="70D96B3A">
            <w:pPr>
              <w:spacing w:line="240" w:lineRule="exact"/>
              <w:jc w:val="center"/>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sz w:val="21"/>
                <w:szCs w:val="21"/>
              </w:rPr>
              <w:t>乙硫醇</w:t>
            </w:r>
          </w:p>
        </w:tc>
        <w:tc>
          <w:tcPr>
            <w:tcW w:w="2032" w:type="dxa"/>
            <w:shd w:val="clear" w:color="auto" w:fill="auto"/>
            <w:vAlign w:val="center"/>
          </w:tcPr>
          <w:p w14:paraId="4215F004">
            <w:pPr>
              <w:widowControl/>
              <w:adjustRightInd/>
              <w:spacing w:line="240" w:lineRule="auto"/>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bCs/>
                <w:sz w:val="21"/>
                <w:szCs w:val="21"/>
                <w:lang w:bidi="ar"/>
              </w:rPr>
              <w:t>0.02</w:t>
            </w:r>
          </w:p>
        </w:tc>
        <w:tc>
          <w:tcPr>
            <w:tcW w:w="1919" w:type="dxa"/>
            <w:shd w:val="clear" w:color="auto" w:fill="auto"/>
            <w:vAlign w:val="center"/>
          </w:tcPr>
          <w:p w14:paraId="3038D4A8">
            <w:pPr>
              <w:widowControl/>
              <w:adjustRightInd/>
              <w:spacing w:line="240" w:lineRule="auto"/>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bCs/>
                <w:sz w:val="21"/>
                <w:szCs w:val="21"/>
                <w:lang w:bidi="ar"/>
              </w:rPr>
              <w:t>0.08</w:t>
            </w:r>
          </w:p>
        </w:tc>
      </w:tr>
      <w:tr w14:paraId="25B02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7D42375E">
            <w:pPr>
              <w:adjustRightInd/>
              <w:spacing w:line="3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597" w:type="dxa"/>
            <w:shd w:val="clear" w:color="auto" w:fill="auto"/>
            <w:vAlign w:val="center"/>
          </w:tcPr>
          <w:p w14:paraId="1EEE309B">
            <w:pPr>
              <w:widowControl/>
              <w:jc w:val="center"/>
              <w:textAlignment w:val="center"/>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sz w:val="21"/>
                <w:szCs w:val="21"/>
              </w:rPr>
              <w:t>甲硫醚</w:t>
            </w:r>
          </w:p>
        </w:tc>
        <w:tc>
          <w:tcPr>
            <w:tcW w:w="2032" w:type="dxa"/>
            <w:shd w:val="clear" w:color="auto" w:fill="auto"/>
            <w:vAlign w:val="center"/>
          </w:tcPr>
          <w:p w14:paraId="7DC8BEF6">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0.02</w:t>
            </w:r>
          </w:p>
        </w:tc>
        <w:tc>
          <w:tcPr>
            <w:tcW w:w="1919" w:type="dxa"/>
            <w:shd w:val="clear" w:color="auto" w:fill="auto"/>
            <w:vAlign w:val="center"/>
          </w:tcPr>
          <w:p w14:paraId="2E62F492">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0.08</w:t>
            </w:r>
          </w:p>
        </w:tc>
      </w:tr>
      <w:tr w14:paraId="46941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15146D05">
            <w:pPr>
              <w:adjustRightInd/>
              <w:spacing w:line="3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597" w:type="dxa"/>
            <w:shd w:val="clear" w:color="auto" w:fill="auto"/>
            <w:vAlign w:val="center"/>
          </w:tcPr>
          <w:p w14:paraId="1E67695E">
            <w:pPr>
              <w:widowControl/>
              <w:jc w:val="center"/>
              <w:textAlignment w:val="center"/>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sz w:val="21"/>
                <w:szCs w:val="21"/>
              </w:rPr>
              <w:t>二硫化碳</w:t>
            </w:r>
          </w:p>
        </w:tc>
        <w:tc>
          <w:tcPr>
            <w:tcW w:w="2032" w:type="dxa"/>
            <w:shd w:val="clear" w:color="auto" w:fill="auto"/>
            <w:vAlign w:val="center"/>
          </w:tcPr>
          <w:p w14:paraId="778DD868">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0.04</w:t>
            </w:r>
          </w:p>
        </w:tc>
        <w:tc>
          <w:tcPr>
            <w:tcW w:w="1919" w:type="dxa"/>
            <w:shd w:val="clear" w:color="auto" w:fill="auto"/>
            <w:vAlign w:val="center"/>
          </w:tcPr>
          <w:p w14:paraId="3FA4FA2A">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0.16</w:t>
            </w:r>
          </w:p>
        </w:tc>
      </w:tr>
      <w:tr w14:paraId="77E4C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128E2478">
            <w:pPr>
              <w:adjustRightInd/>
              <w:spacing w:line="3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597" w:type="dxa"/>
            <w:shd w:val="clear" w:color="auto" w:fill="auto"/>
            <w:vAlign w:val="center"/>
          </w:tcPr>
          <w:p w14:paraId="488C8975">
            <w:pPr>
              <w:widowControl/>
              <w:jc w:val="center"/>
              <w:textAlignment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rPr>
              <w:t>正丁硫醇</w:t>
            </w:r>
          </w:p>
        </w:tc>
        <w:tc>
          <w:tcPr>
            <w:tcW w:w="2032" w:type="dxa"/>
            <w:shd w:val="clear" w:color="auto" w:fill="auto"/>
            <w:vAlign w:val="center"/>
          </w:tcPr>
          <w:p w14:paraId="18BC1D5E">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0.08</w:t>
            </w:r>
          </w:p>
        </w:tc>
        <w:tc>
          <w:tcPr>
            <w:tcW w:w="1919" w:type="dxa"/>
            <w:shd w:val="clear" w:color="auto" w:fill="auto"/>
            <w:vAlign w:val="center"/>
          </w:tcPr>
          <w:p w14:paraId="2D7E14B4">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0.32</w:t>
            </w:r>
          </w:p>
        </w:tc>
      </w:tr>
      <w:tr w14:paraId="50943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65A74EBB">
            <w:pPr>
              <w:adjustRightInd/>
              <w:spacing w:line="300" w:lineRule="exac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597" w:type="dxa"/>
            <w:shd w:val="clear" w:color="auto" w:fill="auto"/>
            <w:vAlign w:val="top"/>
          </w:tcPr>
          <w:p w14:paraId="6401357A">
            <w:pPr>
              <w:widowControl/>
              <w:spacing w:line="360" w:lineRule="exact"/>
              <w:jc w:val="center"/>
              <w:outlineLvl w:val="3"/>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sz w:val="21"/>
                <w:szCs w:val="21"/>
              </w:rPr>
              <w:t>二甲二硫</w:t>
            </w:r>
          </w:p>
        </w:tc>
        <w:tc>
          <w:tcPr>
            <w:tcW w:w="2032" w:type="dxa"/>
            <w:shd w:val="clear" w:color="auto" w:fill="auto"/>
            <w:vAlign w:val="center"/>
          </w:tcPr>
          <w:p w14:paraId="2125B2B4">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0.04</w:t>
            </w:r>
          </w:p>
        </w:tc>
        <w:tc>
          <w:tcPr>
            <w:tcW w:w="1919" w:type="dxa"/>
            <w:shd w:val="clear" w:color="auto" w:fill="auto"/>
            <w:vAlign w:val="center"/>
          </w:tcPr>
          <w:p w14:paraId="47193059">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0.16</w:t>
            </w:r>
          </w:p>
        </w:tc>
      </w:tr>
      <w:tr w14:paraId="02ABE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1897D994">
            <w:pPr>
              <w:adjustRightInd/>
              <w:spacing w:line="300" w:lineRule="exac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597" w:type="dxa"/>
            <w:shd w:val="clear" w:color="auto" w:fill="auto"/>
            <w:vAlign w:val="center"/>
          </w:tcPr>
          <w:p w14:paraId="56ED4EE8">
            <w:pPr>
              <w:widowControl/>
              <w:jc w:val="center"/>
              <w:textAlignment w:val="center"/>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sz w:val="21"/>
                <w:szCs w:val="21"/>
              </w:rPr>
              <w:t>苯</w:t>
            </w:r>
          </w:p>
        </w:tc>
        <w:tc>
          <w:tcPr>
            <w:tcW w:w="2032" w:type="dxa"/>
            <w:shd w:val="clear" w:color="auto" w:fill="auto"/>
            <w:vAlign w:val="center"/>
          </w:tcPr>
          <w:p w14:paraId="0948137C">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0.05</w:t>
            </w:r>
          </w:p>
        </w:tc>
        <w:tc>
          <w:tcPr>
            <w:tcW w:w="1919" w:type="dxa"/>
            <w:shd w:val="clear" w:color="auto" w:fill="auto"/>
            <w:vAlign w:val="center"/>
          </w:tcPr>
          <w:p w14:paraId="5EBC6E83">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0.20</w:t>
            </w:r>
          </w:p>
        </w:tc>
      </w:tr>
      <w:tr w14:paraId="1FC49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69FD0F9A">
            <w:pPr>
              <w:adjustRightInd/>
              <w:spacing w:line="300" w:lineRule="exac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597" w:type="dxa"/>
            <w:shd w:val="clear" w:color="auto" w:fill="auto"/>
            <w:vAlign w:val="center"/>
          </w:tcPr>
          <w:p w14:paraId="2C4B03F1">
            <w:pPr>
              <w:widowControl/>
              <w:jc w:val="center"/>
              <w:textAlignment w:val="center"/>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sz w:val="21"/>
                <w:szCs w:val="21"/>
              </w:rPr>
              <w:t>甲苯</w:t>
            </w:r>
          </w:p>
        </w:tc>
        <w:tc>
          <w:tcPr>
            <w:tcW w:w="2032" w:type="dxa"/>
            <w:shd w:val="clear" w:color="auto" w:fill="auto"/>
            <w:vAlign w:val="center"/>
          </w:tcPr>
          <w:p w14:paraId="6DD225A0">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0.06</w:t>
            </w:r>
          </w:p>
        </w:tc>
        <w:tc>
          <w:tcPr>
            <w:tcW w:w="1919" w:type="dxa"/>
            <w:shd w:val="clear" w:color="auto" w:fill="auto"/>
            <w:vAlign w:val="center"/>
          </w:tcPr>
          <w:p w14:paraId="339B0285">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0.24</w:t>
            </w:r>
          </w:p>
        </w:tc>
      </w:tr>
      <w:tr w14:paraId="311A1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76A6DEDD">
            <w:pPr>
              <w:adjustRightInd/>
              <w:spacing w:line="300" w:lineRule="exac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597" w:type="dxa"/>
            <w:shd w:val="clear" w:color="auto" w:fill="auto"/>
            <w:vAlign w:val="center"/>
          </w:tcPr>
          <w:p w14:paraId="41792D30">
            <w:pPr>
              <w:spacing w:line="240" w:lineRule="exact"/>
              <w:jc w:val="center"/>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sz w:val="21"/>
                <w:szCs w:val="21"/>
              </w:rPr>
              <w:t>乙苯</w:t>
            </w:r>
          </w:p>
        </w:tc>
        <w:tc>
          <w:tcPr>
            <w:tcW w:w="2032" w:type="dxa"/>
            <w:shd w:val="clear" w:color="auto" w:fill="auto"/>
            <w:vAlign w:val="center"/>
          </w:tcPr>
          <w:p w14:paraId="6B2B2A0E">
            <w:pPr>
              <w:widowControl/>
              <w:adjustRightInd/>
              <w:spacing w:line="240" w:lineRule="auto"/>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bCs/>
                <w:sz w:val="21"/>
                <w:szCs w:val="21"/>
                <w:lang w:bidi="ar"/>
              </w:rPr>
              <w:t>0.07</w:t>
            </w:r>
          </w:p>
        </w:tc>
        <w:tc>
          <w:tcPr>
            <w:tcW w:w="1919" w:type="dxa"/>
            <w:shd w:val="clear" w:color="auto" w:fill="auto"/>
            <w:vAlign w:val="center"/>
          </w:tcPr>
          <w:p w14:paraId="5E41244C">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0.28</w:t>
            </w:r>
          </w:p>
        </w:tc>
      </w:tr>
      <w:tr w14:paraId="4ED43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1F1BE2CD">
            <w:pPr>
              <w:adjustRightInd/>
              <w:spacing w:line="300" w:lineRule="exac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1597" w:type="dxa"/>
            <w:shd w:val="clear" w:color="auto" w:fill="auto"/>
            <w:vAlign w:val="center"/>
          </w:tcPr>
          <w:p w14:paraId="24A6EC77">
            <w:pPr>
              <w:spacing w:line="240" w:lineRule="exact"/>
              <w:jc w:val="center"/>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sz w:val="21"/>
                <w:szCs w:val="21"/>
              </w:rPr>
              <w:t>间、对二甲苯</w:t>
            </w:r>
          </w:p>
        </w:tc>
        <w:tc>
          <w:tcPr>
            <w:tcW w:w="2032" w:type="dxa"/>
            <w:shd w:val="clear" w:color="auto" w:fill="auto"/>
            <w:vAlign w:val="center"/>
          </w:tcPr>
          <w:p w14:paraId="1F0CE380">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0.2</w:t>
            </w:r>
          </w:p>
        </w:tc>
        <w:tc>
          <w:tcPr>
            <w:tcW w:w="1919" w:type="dxa"/>
            <w:shd w:val="clear" w:color="auto" w:fill="auto"/>
            <w:vAlign w:val="center"/>
          </w:tcPr>
          <w:p w14:paraId="189ED0F0">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0.8</w:t>
            </w:r>
          </w:p>
        </w:tc>
      </w:tr>
      <w:tr w14:paraId="3CD6B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3EA0D3E6">
            <w:pPr>
              <w:adjustRightInd/>
              <w:spacing w:line="300" w:lineRule="exac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1597" w:type="dxa"/>
            <w:shd w:val="clear" w:color="auto" w:fill="auto"/>
            <w:vAlign w:val="top"/>
          </w:tcPr>
          <w:p w14:paraId="582A4A1B">
            <w:pPr>
              <w:widowControl/>
              <w:spacing w:line="360" w:lineRule="exact"/>
              <w:jc w:val="center"/>
              <w:outlineLvl w:val="3"/>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color w:val="000000"/>
                <w:kern w:val="0"/>
                <w:sz w:val="21"/>
                <w:szCs w:val="21"/>
              </w:rPr>
              <w:t>邻二甲苯</w:t>
            </w:r>
          </w:p>
        </w:tc>
        <w:tc>
          <w:tcPr>
            <w:tcW w:w="2032" w:type="dxa"/>
            <w:shd w:val="clear" w:color="auto" w:fill="auto"/>
            <w:vAlign w:val="center"/>
          </w:tcPr>
          <w:p w14:paraId="5224F94A">
            <w:pPr>
              <w:widowControl/>
              <w:adjustRightInd/>
              <w:spacing w:line="240" w:lineRule="auto"/>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bCs/>
                <w:sz w:val="21"/>
                <w:szCs w:val="21"/>
                <w:lang w:bidi="ar"/>
              </w:rPr>
              <w:t>0.09</w:t>
            </w:r>
          </w:p>
        </w:tc>
        <w:tc>
          <w:tcPr>
            <w:tcW w:w="1919" w:type="dxa"/>
            <w:shd w:val="clear" w:color="auto" w:fill="auto"/>
            <w:vAlign w:val="center"/>
          </w:tcPr>
          <w:p w14:paraId="09E3F6B1">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0.36</w:t>
            </w:r>
          </w:p>
        </w:tc>
      </w:tr>
      <w:tr w14:paraId="013DF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2988BBBF">
            <w:pPr>
              <w:adjustRightInd/>
              <w:spacing w:line="300" w:lineRule="exac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w:t>
            </w:r>
          </w:p>
        </w:tc>
        <w:tc>
          <w:tcPr>
            <w:tcW w:w="1597" w:type="dxa"/>
            <w:shd w:val="clear" w:color="auto" w:fill="auto"/>
            <w:vAlign w:val="center"/>
          </w:tcPr>
          <w:p w14:paraId="7DE3402C">
            <w:pPr>
              <w:widowControl/>
              <w:jc w:val="center"/>
              <w:textAlignment w:val="center"/>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sz w:val="21"/>
                <w:szCs w:val="21"/>
              </w:rPr>
              <w:t>苯乙烯</w:t>
            </w:r>
          </w:p>
        </w:tc>
        <w:tc>
          <w:tcPr>
            <w:tcW w:w="2032" w:type="dxa"/>
            <w:shd w:val="clear" w:color="auto" w:fill="auto"/>
            <w:vAlign w:val="center"/>
          </w:tcPr>
          <w:p w14:paraId="2A384E71">
            <w:pPr>
              <w:widowControl/>
              <w:adjustRightInd/>
              <w:spacing w:line="240" w:lineRule="auto"/>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bCs/>
                <w:sz w:val="21"/>
                <w:szCs w:val="21"/>
                <w:lang w:bidi="ar"/>
              </w:rPr>
              <w:t>0.1</w:t>
            </w:r>
          </w:p>
        </w:tc>
        <w:tc>
          <w:tcPr>
            <w:tcW w:w="1919" w:type="dxa"/>
            <w:shd w:val="clear" w:color="auto" w:fill="auto"/>
            <w:vAlign w:val="center"/>
          </w:tcPr>
          <w:p w14:paraId="7ED6EFFB">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0.4</w:t>
            </w:r>
          </w:p>
        </w:tc>
      </w:tr>
      <w:tr w14:paraId="1226B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1" w:type="dxa"/>
            <w:shd w:val="clear" w:color="auto" w:fill="auto"/>
            <w:vAlign w:val="center"/>
          </w:tcPr>
          <w:p w14:paraId="24B65AE7">
            <w:pPr>
              <w:adjustRightInd/>
              <w:spacing w:line="300" w:lineRule="exac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w:t>
            </w:r>
          </w:p>
        </w:tc>
        <w:tc>
          <w:tcPr>
            <w:tcW w:w="1597" w:type="dxa"/>
            <w:shd w:val="clear" w:color="auto" w:fill="auto"/>
            <w:vAlign w:val="center"/>
          </w:tcPr>
          <w:p w14:paraId="750982A0">
            <w:pPr>
              <w:widowControl/>
              <w:jc w:val="center"/>
              <w:textAlignment w:val="center"/>
              <w:rPr>
                <w:rFonts w:hint="default" w:ascii="Times New Roman" w:hAnsi="Times New Roman" w:eastAsia="宋体" w:cs="Times New Roman"/>
                <w:bCs/>
                <w:kern w:val="2"/>
                <w:sz w:val="21"/>
                <w:szCs w:val="21"/>
                <w:lang w:val="en-US" w:eastAsia="zh-CN" w:bidi="ar"/>
              </w:rPr>
            </w:pPr>
            <w:r>
              <w:rPr>
                <w:rFonts w:hint="default" w:ascii="Times New Roman" w:hAnsi="Times New Roman" w:eastAsia="宋体" w:cs="Times New Roman"/>
                <w:bCs/>
                <w:sz w:val="21"/>
                <w:szCs w:val="21"/>
              </w:rPr>
              <w:t>异丙苯</w:t>
            </w:r>
          </w:p>
        </w:tc>
        <w:tc>
          <w:tcPr>
            <w:tcW w:w="2032" w:type="dxa"/>
            <w:shd w:val="clear" w:color="auto" w:fill="auto"/>
            <w:vAlign w:val="center"/>
          </w:tcPr>
          <w:p w14:paraId="10F56651">
            <w:pPr>
              <w:widowControl/>
              <w:adjustRightInd/>
              <w:spacing w:line="240" w:lineRule="auto"/>
              <w:jc w:val="center"/>
              <w:textAlignment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bCs/>
                <w:sz w:val="21"/>
                <w:szCs w:val="21"/>
                <w:lang w:bidi="ar"/>
              </w:rPr>
              <w:t>0.</w:t>
            </w:r>
            <w:r>
              <w:rPr>
                <w:rFonts w:hint="default" w:ascii="Times New Roman" w:hAnsi="Times New Roman" w:eastAsia="宋体" w:cs="Times New Roman"/>
                <w:bCs/>
                <w:sz w:val="21"/>
                <w:szCs w:val="21"/>
                <w:lang w:val="en-US" w:eastAsia="zh-CN" w:bidi="ar"/>
              </w:rPr>
              <w:t>2</w:t>
            </w:r>
          </w:p>
        </w:tc>
        <w:tc>
          <w:tcPr>
            <w:tcW w:w="1919" w:type="dxa"/>
            <w:shd w:val="clear" w:color="auto" w:fill="auto"/>
            <w:vAlign w:val="center"/>
          </w:tcPr>
          <w:p w14:paraId="3716D1D4">
            <w:pPr>
              <w:widowControl/>
              <w:adjustRightInd/>
              <w:spacing w:line="240" w:lineRule="auto"/>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0.8</w:t>
            </w:r>
          </w:p>
        </w:tc>
      </w:tr>
    </w:tbl>
    <w:p w14:paraId="40F2E578">
      <w:pPr>
        <w:autoSpaceDE w:val="0"/>
        <w:autoSpaceDN w:val="0"/>
        <w:ind w:firstLine="420" w:firstLineChars="200"/>
        <w:jc w:val="both"/>
        <w:rPr>
          <w:rFonts w:hint="eastAsia" w:ascii="宋体" w:hAnsi="Times New Roman" w:eastAsia="宋体" w:cs="Times New Roman"/>
          <w:sz w:val="21"/>
          <w:lang w:val="en-US" w:eastAsia="zh-CN" w:bidi="ar-SA"/>
        </w:rPr>
      </w:pPr>
    </w:p>
    <w:p w14:paraId="4C632975">
      <w:pPr>
        <w:pStyle w:val="79"/>
        <w:spacing w:before="156" w:after="156"/>
        <w:rPr>
          <w:rFonts w:hint="eastAsia"/>
          <w:szCs w:val="22"/>
          <w:lang w:val="en-US" w:eastAsia="zh-CN"/>
        </w:rPr>
      </w:pPr>
      <w:r>
        <w:rPr>
          <w:rFonts w:hint="eastAsia"/>
          <w:szCs w:val="22"/>
          <w:lang w:val="en-US" w:eastAsia="zh-CN"/>
        </w:rPr>
        <w:t>精密度</w:t>
      </w:r>
    </w:p>
    <w:p w14:paraId="6B6A3FD5">
      <w:pPr>
        <w:pStyle w:val="56"/>
        <w:rPr>
          <w:rFonts w:hint="eastAsia" w:ascii="Times New Roman"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六家实验室分别对15种化合物低、中、高浓度的有证标准气体进行了</w:t>
      </w:r>
      <w:r>
        <w:rPr>
          <w:rFonts w:hint="default" w:ascii="Times New Roman" w:hAnsi="Times New Roman" w:eastAsia="宋体" w:cs="Times New Roman"/>
          <w:kern w:val="2"/>
          <w:sz w:val="21"/>
          <w:szCs w:val="24"/>
          <w:lang w:val="en-US" w:eastAsia="zh-CN" w:bidi="ar-SA"/>
        </w:rPr>
        <w:t>6</w:t>
      </w:r>
      <w:r>
        <w:rPr>
          <w:rFonts w:hint="eastAsia" w:ascii="Times New Roman" w:hAnsi="Times New Roman" w:eastAsia="宋体" w:cs="Times New Roman"/>
          <w:kern w:val="2"/>
          <w:sz w:val="21"/>
          <w:szCs w:val="24"/>
          <w:lang w:val="en-US" w:eastAsia="zh-CN" w:bidi="ar-SA"/>
        </w:rPr>
        <w:t>次重复测定:实验室内相对标准偏差范围分别为</w:t>
      </w:r>
      <w:r>
        <w:rPr>
          <w:rFonts w:hint="default" w:ascii="Times New Roman" w:hAnsi="Times New Roman" w:eastAsia="宋体" w:cs="Times New Roman"/>
          <w:kern w:val="2"/>
          <w:sz w:val="21"/>
          <w:szCs w:val="24"/>
          <w:lang w:val="en-US" w:eastAsia="zh-CN" w:bidi="ar-SA"/>
        </w:rPr>
        <w:t>0.13%</w:t>
      </w:r>
      <w:r>
        <w:rPr>
          <w:rFonts w:hint="eastAsia" w:ascii="Times New Roman" w:hAnsi="Times New Roman" w:eastAsia="宋体" w:cs="Times New Roman"/>
          <w:kern w:val="2"/>
          <w:sz w:val="21"/>
          <w:szCs w:val="24"/>
          <w:lang w:val="en-US" w:eastAsia="zh-CN" w:bidi="ar-SA"/>
        </w:rPr>
        <w:t>～3.4%、0.11%～3.3%、0.20%～2.9%</w:t>
      </w:r>
      <w:r>
        <w:rPr>
          <w:rFonts w:hint="eastAsia" w:ascii="Times New Roman" w:cs="Times New Roman"/>
          <w:kern w:val="2"/>
          <w:sz w:val="21"/>
          <w:szCs w:val="24"/>
          <w:lang w:val="en-US" w:eastAsia="zh-CN" w:bidi="ar-SA"/>
        </w:rPr>
        <w:t>；</w:t>
      </w:r>
      <w:r>
        <w:rPr>
          <w:rFonts w:hint="eastAsia" w:ascii="Times New Roman" w:hAnsi="Times New Roman" w:eastAsia="宋体" w:cs="Times New Roman"/>
          <w:kern w:val="2"/>
          <w:sz w:val="21"/>
          <w:szCs w:val="24"/>
          <w:lang w:val="en-US" w:eastAsia="zh-CN" w:bidi="ar-SA"/>
        </w:rPr>
        <w:t>实验室间相对标准偏差分别为；0.96%～3.2%、0.89%～3.9%、0.76%～3.3%；重现性限分别为0.020</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～1.4</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，0.08</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～2.9</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，0.09</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～5.1</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，再现性限分别为0.05</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 xml:space="preserve">～3.7 </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，0.23</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 xml:space="preserve">～6.4 </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，0.17</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hAnsi="Times New Roman" w:eastAsia="宋体" w:cs="Times New Roman"/>
          <w:kern w:val="2"/>
          <w:sz w:val="21"/>
          <w:szCs w:val="24"/>
          <w:lang w:val="en-US" w:eastAsia="zh-CN" w:bidi="ar-SA"/>
        </w:rPr>
        <w:t>～9.6</w:t>
      </w:r>
      <w:r>
        <w:rPr>
          <w:rFonts w:hint="default" w:ascii="Times New Roman" w:hAnsi="Times New Roman" w:eastAsia="宋体" w:cs="Times New Roman"/>
          <w:kern w:val="2"/>
          <w:sz w:val="21"/>
          <w:szCs w:val="24"/>
          <w:lang w:val="en-US" w:eastAsia="zh-CN" w:bidi="ar-SA"/>
        </w:rPr>
        <w:t>mg/m</w:t>
      </w:r>
      <w:r>
        <w:rPr>
          <w:rFonts w:hint="default" w:ascii="Times New Roman" w:hAnsi="Times New Roman" w:eastAsia="宋体" w:cs="Times New Roman"/>
          <w:kern w:val="2"/>
          <w:sz w:val="21"/>
          <w:szCs w:val="24"/>
          <w:vertAlign w:val="superscript"/>
          <w:lang w:val="en-US" w:eastAsia="zh-CN" w:bidi="ar-SA"/>
        </w:rPr>
        <w:t>3</w:t>
      </w:r>
      <w:r>
        <w:rPr>
          <w:rFonts w:hint="eastAsia" w:ascii="Times New Roman" w:cs="Times New Roman"/>
          <w:kern w:val="2"/>
          <w:sz w:val="21"/>
          <w:szCs w:val="24"/>
          <w:lang w:val="en-US" w:eastAsia="zh-CN" w:bidi="ar-SA"/>
        </w:rPr>
        <w:t>。</w:t>
      </w:r>
    </w:p>
    <w:p w14:paraId="74A82F0E">
      <w:pPr>
        <w:pStyle w:val="79"/>
        <w:spacing w:before="156" w:after="156"/>
        <w:rPr>
          <w:rFonts w:hint="eastAsia"/>
          <w:szCs w:val="22"/>
          <w:lang w:val="en-US" w:eastAsia="zh-CN"/>
        </w:rPr>
      </w:pPr>
      <w:r>
        <w:rPr>
          <w:rFonts w:hint="eastAsia"/>
          <w:szCs w:val="22"/>
          <w:lang w:val="en-US" w:eastAsia="zh-CN"/>
        </w:rPr>
        <w:t>正确度</w:t>
      </w:r>
    </w:p>
    <w:p w14:paraId="244068AE">
      <w:pPr>
        <w:pStyle w:val="56"/>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六家实验室分别对15种化合物低、中、高浓度的有证标准气体进行了</w:t>
      </w:r>
      <w:r>
        <w:rPr>
          <w:rFonts w:hint="default" w:ascii="Times New Roman" w:hAnsi="Times New Roman" w:eastAsia="宋体" w:cs="Times New Roman"/>
          <w:kern w:val="2"/>
          <w:sz w:val="21"/>
          <w:szCs w:val="24"/>
          <w:lang w:val="en-US" w:eastAsia="zh-CN" w:bidi="ar-SA"/>
        </w:rPr>
        <w:t>6</w:t>
      </w:r>
      <w:r>
        <w:rPr>
          <w:rFonts w:hint="eastAsia" w:ascii="Times New Roman" w:hAnsi="Times New Roman" w:eastAsia="宋体" w:cs="Times New Roman"/>
          <w:kern w:val="2"/>
          <w:sz w:val="21"/>
          <w:szCs w:val="24"/>
          <w:lang w:val="en-US" w:eastAsia="zh-CN" w:bidi="ar-SA"/>
        </w:rPr>
        <w:t>次重复测定</w:t>
      </w:r>
      <w:r>
        <w:rPr>
          <w:rFonts w:hint="eastAsia" w:ascii="Times New Roman" w:cs="Times New Roman"/>
          <w:kern w:val="2"/>
          <w:sz w:val="21"/>
          <w:szCs w:val="24"/>
          <w:lang w:val="en-US" w:eastAsia="zh-CN" w:bidi="ar-SA"/>
        </w:rPr>
        <w:t>：</w:t>
      </w:r>
      <w:r>
        <w:rPr>
          <w:rFonts w:hint="eastAsia" w:ascii="Times New Roman" w:hAnsi="Times New Roman" w:eastAsia="宋体" w:cs="Times New Roman"/>
          <w:kern w:val="2"/>
          <w:sz w:val="21"/>
          <w:szCs w:val="24"/>
          <w:lang w:val="en-US" w:eastAsia="zh-CN" w:bidi="ar-SA"/>
        </w:rPr>
        <w:t>相对误差范围分别为0.70%~2.7%、0.66%~2.8%、0.72%~4.0%</w:t>
      </w:r>
      <w:r>
        <w:rPr>
          <w:rFonts w:hint="eastAsia" w:ascii="Times New Roman" w:cs="Times New Roman"/>
          <w:kern w:val="2"/>
          <w:sz w:val="21"/>
          <w:szCs w:val="24"/>
          <w:lang w:val="en-US" w:eastAsia="zh-CN" w:bidi="ar-SA"/>
        </w:rPr>
        <w:t>；</w:t>
      </w:r>
      <w:r>
        <w:rPr>
          <w:rFonts w:hint="eastAsia" w:ascii="Times New Roman" w:hAnsi="Times New Roman" w:eastAsia="宋体" w:cs="Times New Roman"/>
          <w:kern w:val="2"/>
          <w:sz w:val="21"/>
          <w:szCs w:val="24"/>
          <w:lang w:val="en-US" w:eastAsia="zh-CN" w:bidi="ar-SA"/>
        </w:rPr>
        <w:t>相对误差最终值分别为0.72%±1.6%～4.9%±3.4%、0.66%±1.0%～2.8%±9.0%、0.72%±1.3%～4.0%±5.0%</w:t>
      </w:r>
      <w:r>
        <w:rPr>
          <w:rFonts w:hint="eastAsia" w:ascii="Times New Roman" w:cs="Times New Roman"/>
          <w:kern w:val="2"/>
          <w:sz w:val="21"/>
          <w:szCs w:val="24"/>
          <w:lang w:val="en-US" w:eastAsia="zh-CN" w:bidi="ar-SA"/>
        </w:rPr>
        <w:t>。</w:t>
      </w:r>
    </w:p>
    <w:p w14:paraId="52C332B9">
      <w:pPr>
        <w:pStyle w:val="250"/>
        <w:numPr>
          <w:ilvl w:val="1"/>
          <w:numId w:val="4"/>
        </w:numPr>
        <w:spacing w:before="156" w:beforeLines="50" w:after="156" w:afterLines="50"/>
        <w:rPr>
          <w:rFonts w:hint="eastAsia" w:hAnsi="黑体"/>
          <w:szCs w:val="22"/>
          <w:lang w:val="en-US" w:eastAsia="zh-CN"/>
        </w:rPr>
      </w:pPr>
      <w:bookmarkStart w:id="89" w:name="_Toc142574056"/>
      <w:bookmarkStart w:id="90" w:name="_Toc8153"/>
      <w:bookmarkStart w:id="91" w:name="_Toc142573945"/>
      <w:bookmarkStart w:id="92" w:name="_Toc21011"/>
      <w:r>
        <w:rPr>
          <w:rFonts w:hint="eastAsia" w:hAnsi="黑体"/>
          <w:szCs w:val="22"/>
          <w:lang w:val="en-US" w:eastAsia="zh-CN"/>
        </w:rPr>
        <w:t>质量保证和质量控制</w:t>
      </w:r>
      <w:bookmarkEnd w:id="89"/>
      <w:bookmarkEnd w:id="90"/>
      <w:bookmarkEnd w:id="91"/>
      <w:bookmarkEnd w:id="92"/>
    </w:p>
    <w:p w14:paraId="26CB8663">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ascii="宋体" w:hAnsi="Times New Roman" w:eastAsia="宋体" w:cs="Times New Roman"/>
          <w:kern w:val="21"/>
          <w:sz w:val="21"/>
          <w:szCs w:val="22"/>
          <w:lang w:val="en-US" w:eastAsia="zh-CN" w:bidi="ar-SA"/>
        </w:rPr>
      </w:pPr>
      <w:r>
        <w:rPr>
          <w:rFonts w:hint="eastAsia" w:ascii="宋体" w:hAnsi="Times New Roman" w:eastAsia="宋体" w:cs="Times New Roman"/>
          <w:kern w:val="21"/>
          <w:sz w:val="21"/>
          <w:szCs w:val="22"/>
          <w:lang w:val="en-US" w:eastAsia="zh-CN" w:bidi="ar-SA"/>
        </w:rPr>
        <w:t>应定期对仪器的性能和工作状态进行检查，以确保结果的准确性，校准频率取决于仪器的使用频率和使用环境条件。在校准过程中，应按照标准气体浓度从低到高的顺序运行，以防止交叉污染。</w:t>
      </w:r>
    </w:p>
    <w:p w14:paraId="33625CF6">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ascii="宋体" w:hAnsi="Times New Roman" w:eastAsia="宋体" w:cs="Times New Roman"/>
          <w:kern w:val="21"/>
          <w:sz w:val="21"/>
          <w:szCs w:val="22"/>
          <w:lang w:val="en-US" w:eastAsia="zh-CN" w:bidi="ar-SA"/>
        </w:rPr>
      </w:pPr>
      <w:r>
        <w:rPr>
          <w:rFonts w:hint="eastAsia" w:ascii="宋体" w:hAnsi="Times New Roman" w:eastAsia="宋体" w:cs="Times New Roman"/>
          <w:kern w:val="21"/>
          <w:sz w:val="21"/>
          <w:szCs w:val="22"/>
          <w:lang w:val="en-US" w:eastAsia="zh-CN" w:bidi="ar-SA"/>
        </w:rPr>
        <w:t>监测过程中，所有与样品接触的阀体、管线和接头均须惰性化处理，不</w:t>
      </w:r>
      <w:r>
        <w:rPr>
          <w:rFonts w:hint="eastAsia" w:ascii="宋体" w:eastAsia="宋体" w:cs="Times New Roman"/>
          <w:kern w:val="21"/>
          <w:sz w:val="21"/>
          <w:szCs w:val="22"/>
          <w:lang w:val="en-US" w:eastAsia="zh-CN" w:bidi="ar-SA"/>
        </w:rPr>
        <w:t>应</w:t>
      </w:r>
      <w:r>
        <w:rPr>
          <w:rFonts w:hint="eastAsia" w:ascii="宋体" w:hAnsi="Times New Roman" w:eastAsia="宋体" w:cs="Times New Roman"/>
          <w:kern w:val="21"/>
          <w:sz w:val="21"/>
          <w:szCs w:val="22"/>
          <w:lang w:val="en-US" w:eastAsia="zh-CN" w:bidi="ar-SA"/>
        </w:rPr>
        <w:t>与目标化合物发生反应、吸附目标化合物或析出干扰物质。</w:t>
      </w:r>
    </w:p>
    <w:p w14:paraId="41119957">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ascii="宋体" w:hAnsi="Times New Roman" w:eastAsia="宋体" w:cs="Times New Roman"/>
          <w:kern w:val="21"/>
          <w:sz w:val="21"/>
          <w:szCs w:val="22"/>
          <w:lang w:val="en-US" w:eastAsia="zh-CN" w:bidi="ar-SA"/>
        </w:rPr>
      </w:pPr>
      <w:r>
        <w:rPr>
          <w:rFonts w:hint="eastAsia" w:ascii="宋体" w:hAnsi="Times New Roman" w:eastAsia="宋体" w:cs="Times New Roman"/>
          <w:kern w:val="21"/>
          <w:sz w:val="21"/>
          <w:szCs w:val="22"/>
          <w:lang w:val="en-US" w:eastAsia="zh-CN" w:bidi="ar-SA"/>
        </w:rPr>
        <w:t>当仪器分析高浓度样品后，应分析一个或多个空白样品检查交叉污染。空白样品中目标物化合物浓度应小于方法测定下限。若发生交叉污染，需采取烘烤仪器管线、老化色谱柱等相应措施，确认污染消除后再继续进行测试。</w:t>
      </w:r>
    </w:p>
    <w:p w14:paraId="06F977D1">
      <w:pPr>
        <w:pStyle w:val="79"/>
        <w:keepNext w:val="0"/>
        <w:keepLines w:val="0"/>
        <w:pageBreakBefore w:val="0"/>
        <w:widowControl/>
        <w:kinsoku/>
        <w:wordWrap w:val="0"/>
        <w:overflowPunct w:val="0"/>
        <w:topLinePunct w:val="0"/>
        <w:autoSpaceDE w:val="0"/>
        <w:autoSpaceDN w:val="0"/>
        <w:bidi w:val="0"/>
        <w:adjustRightInd/>
        <w:snapToGrid/>
        <w:spacing w:before="0" w:beforeLines="0" w:after="0" w:afterLines="0"/>
        <w:textAlignment w:val="baseline"/>
        <w:outlineLvl w:val="3"/>
        <w:rPr>
          <w:rFonts w:hint="eastAsia"/>
          <w:lang w:val="en-US" w:eastAsia="zh-CN"/>
        </w:rPr>
      </w:pPr>
      <w:r>
        <w:rPr>
          <w:rFonts w:hint="eastAsia" w:ascii="宋体" w:hAnsi="Times New Roman" w:eastAsia="宋体" w:cs="Times New Roman"/>
          <w:kern w:val="21"/>
          <w:sz w:val="21"/>
          <w:szCs w:val="22"/>
          <w:lang w:val="en-US" w:eastAsia="zh-CN" w:bidi="ar-SA"/>
        </w:rPr>
        <w:t>使用动态稀释配气装置或样品稀释装置时，应确保其流量计或稀释比例经过校准，保证稀释倍数的准确性。</w:t>
      </w:r>
    </w:p>
    <w:p w14:paraId="08F7154E">
      <w:pPr>
        <w:pStyle w:val="63"/>
        <w:shd w:val="clear" w:color="FFFFFF" w:fill="FFFFFF"/>
        <w:spacing w:before="124" w:after="156"/>
        <w:jc w:val="center"/>
        <w:rPr>
          <w:rFonts w:hint="eastAsia"/>
          <w:spacing w:val="105"/>
        </w:rPr>
      </w:pPr>
      <w:r>
        <w:rPr>
          <w:rFonts w:hint="eastAsia"/>
          <w:spacing w:val="105"/>
        </w:rPr>
        <w:t>参考文献</w:t>
      </w:r>
    </w:p>
    <w:p w14:paraId="6C7B978A">
      <w:pPr>
        <w:pStyle w:val="56"/>
        <w:numPr>
          <w:ilvl w:val="0"/>
          <w:numId w:val="38"/>
        </w:numPr>
        <w:ind w:firstLine="420"/>
        <w:rPr>
          <w:rFonts w:hint="default" w:eastAsia="宋体"/>
          <w:lang w:val="en-US" w:eastAsia="zh-CN"/>
        </w:rPr>
      </w:pPr>
      <w:r>
        <w:rPr>
          <w:rFonts w:hint="eastAsia"/>
        </w:rPr>
        <w:t>WS/T 679 突发中毒事件卫生应急处置技术规范 总则</w:t>
      </w:r>
    </w:p>
    <w:p w14:paraId="04418C4F">
      <w:pPr>
        <w:pStyle w:val="56"/>
        <w:numPr>
          <w:ilvl w:val="0"/>
          <w:numId w:val="38"/>
        </w:numPr>
        <w:ind w:firstLine="420"/>
        <w:rPr>
          <w:rFonts w:hint="default" w:eastAsia="宋体"/>
          <w:lang w:val="en-US" w:eastAsia="zh-CN"/>
        </w:rPr>
      </w:pPr>
      <w:r>
        <w:rPr>
          <w:rFonts w:hint="eastAsia"/>
        </w:rPr>
        <w:t>HJ 589 突发环境事件应急监测技术规范</w:t>
      </w:r>
    </w:p>
    <w:p w14:paraId="660C68E3">
      <w:pPr>
        <w:pStyle w:val="56"/>
        <w:numPr>
          <w:ilvl w:val="0"/>
          <w:numId w:val="38"/>
        </w:numPr>
        <w:ind w:firstLine="420"/>
        <w:rPr>
          <w:rFonts w:hint="default" w:eastAsia="宋体"/>
          <w:lang w:val="en-US" w:eastAsia="zh-CN"/>
        </w:rPr>
      </w:pPr>
      <w:r>
        <w:rPr>
          <w:rFonts w:hint="eastAsia"/>
        </w:rPr>
        <w:t>GBZ</w:t>
      </w:r>
      <w:r>
        <w:rPr>
          <w:rFonts w:hint="eastAsia"/>
          <w:lang w:val="en-US" w:eastAsia="zh-CN"/>
        </w:rPr>
        <w:t>/T 295 职业人群生物监测方法 总则</w:t>
      </w:r>
    </w:p>
    <w:p w14:paraId="39B4B782">
      <w:pPr>
        <w:pStyle w:val="56"/>
        <w:numPr>
          <w:ilvl w:val="0"/>
          <w:numId w:val="38"/>
        </w:numPr>
        <w:ind w:firstLine="420"/>
        <w:rPr>
          <w:rFonts w:hint="eastAsia"/>
        </w:rPr>
      </w:pPr>
      <w:r>
        <w:rPr>
          <w:rFonts w:hint="eastAsia"/>
        </w:rPr>
        <w:t>卫生部突发中毒事件卫生应急预案</w:t>
      </w:r>
    </w:p>
    <w:p w14:paraId="2A236160">
      <w:pPr>
        <w:pStyle w:val="56"/>
        <w:numPr>
          <w:ilvl w:val="0"/>
          <w:numId w:val="38"/>
        </w:numPr>
        <w:ind w:firstLine="420"/>
        <w:rPr>
          <w:rFonts w:hint="default" w:eastAsia="宋体"/>
          <w:lang w:val="en-US" w:eastAsia="zh-CN"/>
        </w:rPr>
      </w:pPr>
      <w:r>
        <w:rPr>
          <w:rFonts w:hint="eastAsia"/>
          <w:lang w:val="en-US" w:eastAsia="zh-CN"/>
        </w:rPr>
        <w:t>全国疾病预防控制机构卫生应急工作规范</w:t>
      </w:r>
      <w:r>
        <w:rPr>
          <w:rFonts w:hint="default" w:eastAsia="宋体"/>
          <w:lang w:val="en-US" w:eastAsia="zh-CN"/>
        </w:rPr>
        <w:t>(试行)</w:t>
      </w:r>
    </w:p>
    <w:p w14:paraId="16DF54FA">
      <w:pPr>
        <w:pStyle w:val="56"/>
        <w:numPr>
          <w:ilvl w:val="0"/>
          <w:numId w:val="38"/>
        </w:numPr>
        <w:ind w:firstLine="420"/>
        <w:rPr>
          <w:rFonts w:hint="default" w:eastAsia="宋体"/>
          <w:lang w:val="en-US" w:eastAsia="zh-CN"/>
        </w:rPr>
      </w:pPr>
      <w:r>
        <w:rPr>
          <w:rFonts w:hint="default" w:eastAsia="宋体"/>
          <w:lang w:val="en-US" w:eastAsia="zh-CN"/>
        </w:rPr>
        <w:t>卫生应急队伍装备参考目录(试行)</w:t>
      </w:r>
    </w:p>
    <w:bookmarkEnd w:id="61"/>
    <w:p w14:paraId="32B2E1D3">
      <w:pPr>
        <w:pStyle w:val="56"/>
        <w:ind w:firstLine="0" w:firstLineChars="0"/>
        <w:jc w:val="center"/>
        <w:rPr>
          <w:color w:val="FF0000"/>
        </w:rPr>
      </w:pPr>
      <w:bookmarkStart w:id="93" w:name="BookMark8"/>
      <w:r>
        <w:rPr>
          <w:color w:val="FF0000"/>
        </w:rPr>
        <w:drawing>
          <wp:inline distT="0" distB="0" distL="0" distR="0">
            <wp:extent cx="1485900" cy="317500"/>
            <wp:effectExtent l="0" t="0" r="0" b="635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21"/>
                    <a:stretch>
                      <a:fillRect/>
                    </a:stretch>
                  </pic:blipFill>
                  <pic:spPr>
                    <a:xfrm>
                      <a:off x="0" y="0"/>
                      <a:ext cx="1485900" cy="317500"/>
                    </a:xfrm>
                    <a:prstGeom prst="rect">
                      <a:avLst/>
                    </a:prstGeom>
                  </pic:spPr>
                </pic:pic>
              </a:graphicData>
            </a:graphic>
          </wp:inline>
        </w:drawing>
      </w:r>
      <w:bookmarkEnd w:id="93"/>
    </w:p>
    <w:sectPr>
      <w:pgSz w:w="11906" w:h="16838"/>
      <w:pgMar w:top="567"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BFC9DC">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082CB">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B34E7">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8F0C5E">
    <w:pPr>
      <w:pStyle w:val="52"/>
    </w:pPr>
    <w:r>
      <w:fldChar w:fldCharType="begin"/>
    </w:r>
    <w:r>
      <w:instrText xml:space="preserve">PAGE   \* MERGEFORMAT</w:instrText>
    </w:r>
    <w:r>
      <w:fldChar w:fldCharType="separate"/>
    </w:r>
    <w:r>
      <w:rPr>
        <w:lang w:val="zh-CN"/>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DF5E8F">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6C864">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EB25E">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007DB">
    <w:pPr>
      <w:pStyle w:val="61"/>
    </w:pPr>
    <w:r>
      <w:fldChar w:fldCharType="begin"/>
    </w:r>
    <w:r>
      <w:instrText xml:space="preserve"> STYLEREF  标准文件_文件编号  \* MERGEFORMAT </w:instrText>
    </w:r>
    <w:r>
      <w:fldChar w:fldCharType="separate"/>
    </w:r>
    <w:r>
      <w:t>DB13/T XXXXX—XXXX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8DBEFC">
    <w:pPr>
      <w:pStyle w:val="18"/>
      <w:jc w:val="right"/>
    </w:pPr>
    <w:r>
      <w:fldChar w:fldCharType="begin"/>
    </w:r>
    <w:r>
      <w:instrText xml:space="preserve"> STYLEREF  标准文件_文件编号  \* MERGEFORMAT </w:instrText>
    </w:r>
    <w:r>
      <w:fldChar w:fldCharType="separate"/>
    </w:r>
    <w:r>
      <w:t>DB13/T XXXXX—XXXX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DBF583A"/>
    <w:multiLevelType w:val="multilevel"/>
    <w:tmpl w:val="1DBF583A"/>
    <w:lvl w:ilvl="0" w:tentative="0">
      <w:start w:val="1"/>
      <w:numFmt w:val="decimal"/>
      <w:pStyle w:val="256"/>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0">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1">
    <w:nsid w:val="1FC91163"/>
    <w:multiLevelType w:val="multilevel"/>
    <w:tmpl w:val="1FC91163"/>
    <w:lvl w:ilvl="0" w:tentative="0">
      <w:start w:val="1"/>
      <w:numFmt w:val="decimal"/>
      <w:pStyle w:val="237"/>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36"/>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38"/>
      <w:suff w:val="nothing"/>
      <w:lvlText w:val="%1.%2.%3　"/>
      <w:lvlJc w:val="left"/>
      <w:pPr>
        <w:ind w:left="0" w:firstLine="0"/>
      </w:pPr>
      <w:rPr>
        <w:rFonts w:hint="eastAsia" w:ascii="黑体" w:hAnsi="Times New Roman" w:eastAsia="黑体"/>
        <w:b w:val="0"/>
        <w:i w:val="0"/>
        <w:sz w:val="21"/>
      </w:rPr>
    </w:lvl>
    <w:lvl w:ilvl="3" w:tentative="0">
      <w:start w:val="1"/>
      <w:numFmt w:val="decimal"/>
      <w:pStyle w:val="239"/>
      <w:suff w:val="nothing"/>
      <w:lvlText w:val="%1.%2.%3.%4　"/>
      <w:lvlJc w:val="left"/>
      <w:pPr>
        <w:ind w:left="0" w:firstLine="0"/>
      </w:pPr>
      <w:rPr>
        <w:rFonts w:hint="eastAsia" w:ascii="黑体" w:hAnsi="Times New Roman" w:eastAsia="黑体"/>
        <w:b w:val="0"/>
        <w:i w:val="0"/>
        <w:sz w:val="21"/>
      </w:rPr>
    </w:lvl>
    <w:lvl w:ilvl="4" w:tentative="0">
      <w:start w:val="1"/>
      <w:numFmt w:val="decimal"/>
      <w:pStyle w:val="240"/>
      <w:suff w:val="nothing"/>
      <w:lvlText w:val="%1.%2.%3.%4.%5　"/>
      <w:lvlJc w:val="left"/>
      <w:pPr>
        <w:ind w:left="0" w:firstLine="0"/>
      </w:pPr>
      <w:rPr>
        <w:rFonts w:hint="eastAsia" w:ascii="黑体" w:hAnsi="Times New Roman" w:eastAsia="黑体"/>
        <w:b w:val="0"/>
        <w:i w:val="0"/>
        <w:sz w:val="21"/>
      </w:rPr>
    </w:lvl>
    <w:lvl w:ilvl="5" w:tentative="0">
      <w:start w:val="1"/>
      <w:numFmt w:val="decimal"/>
      <w:pStyle w:val="241"/>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2A8F7113"/>
    <w:multiLevelType w:val="multilevel"/>
    <w:tmpl w:val="2A8F7113"/>
    <w:lvl w:ilvl="0" w:tentative="0">
      <w:start w:val="1"/>
      <w:numFmt w:val="upperLetter"/>
      <w:suff w:val="space"/>
      <w:lvlText w:val="%1"/>
      <w:lvlJc w:val="left"/>
      <w:pPr>
        <w:ind w:left="623" w:hanging="425"/>
      </w:pPr>
      <w:rPr>
        <w:rFonts w:hint="eastAsia"/>
      </w:rPr>
    </w:lvl>
    <w:lvl w:ilvl="1" w:tentative="0">
      <w:start w:val="1"/>
      <w:numFmt w:val="decimal"/>
      <w:pStyle w:val="255"/>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3">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4">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5">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6">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7">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8">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20">
    <w:nsid w:val="557C2AF5"/>
    <w:multiLevelType w:val="multilevel"/>
    <w:tmpl w:val="557C2AF5"/>
    <w:lvl w:ilvl="0" w:tentative="0">
      <w:start w:val="1"/>
      <w:numFmt w:val="decimal"/>
      <w:pStyle w:val="257"/>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1">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2">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60751CED"/>
    <w:multiLevelType w:val="singleLevel"/>
    <w:tmpl w:val="60751CED"/>
    <w:lvl w:ilvl="0" w:tentative="0">
      <w:start w:val="1"/>
      <w:numFmt w:val="decimal"/>
      <w:suff w:val="space"/>
      <w:lvlText w:val="[%1]"/>
      <w:lvlJc w:val="left"/>
    </w:lvl>
  </w:abstractNum>
  <w:abstractNum w:abstractNumId="24">
    <w:nsid w:val="60B55DC2"/>
    <w:multiLevelType w:val="multilevel"/>
    <w:tmpl w:val="60B55DC2"/>
    <w:lvl w:ilvl="0" w:tentative="0">
      <w:start w:val="1"/>
      <w:numFmt w:val="upperLetter"/>
      <w:pStyle w:val="243"/>
      <w:lvlText w:val="%1"/>
      <w:lvlJc w:val="left"/>
      <w:pPr>
        <w:tabs>
          <w:tab w:val="left" w:pos="0"/>
        </w:tabs>
        <w:ind w:left="0" w:hanging="425"/>
      </w:pPr>
      <w:rPr>
        <w:rFonts w:hint="eastAsia"/>
      </w:rPr>
    </w:lvl>
    <w:lvl w:ilvl="1" w:tentative="0">
      <w:start w:val="1"/>
      <w:numFmt w:val="decimal"/>
      <w:pStyle w:val="244"/>
      <w:suff w:val="nothing"/>
      <w:lvlText w:val="表%1.%2　"/>
      <w:lvlJc w:val="left"/>
      <w:pPr>
        <w:ind w:left="567" w:hanging="567"/>
      </w:pPr>
      <w:rPr>
        <w:rFonts w:hint="eastAsia"/>
        <w:color w:val="FF0000"/>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5">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6">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7">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8">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9">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30">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3">
    <w:nsid w:val="6D6C07CD"/>
    <w:multiLevelType w:val="multilevel"/>
    <w:tmpl w:val="6D6C07CD"/>
    <w:lvl w:ilvl="0" w:tentative="0">
      <w:start w:val="1"/>
      <w:numFmt w:val="lowerLetter"/>
      <w:pStyle w:val="252"/>
      <w:lvlText w:val="%1)"/>
      <w:lvlJc w:val="left"/>
      <w:pPr>
        <w:tabs>
          <w:tab w:val="left" w:pos="839"/>
        </w:tabs>
        <w:ind w:left="839" w:hanging="419"/>
      </w:pPr>
      <w:rPr>
        <w:rFonts w:hint="eastAsia" w:ascii="宋体" w:eastAsia="宋体"/>
        <w:b w:val="0"/>
        <w:i w:val="0"/>
        <w:sz w:val="21"/>
      </w:rPr>
    </w:lvl>
    <w:lvl w:ilvl="1" w:tentative="0">
      <w:start w:val="1"/>
      <w:numFmt w:val="decimal"/>
      <w:pStyle w:val="247"/>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34">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5">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6">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7">
    <w:nsid w:val="7CB706C3"/>
    <w:multiLevelType w:val="singleLevel"/>
    <w:tmpl w:val="7CB706C3"/>
    <w:lvl w:ilvl="0" w:tentative="0">
      <w:start w:val="1"/>
      <w:numFmt w:val="decimal"/>
      <w:suff w:val="space"/>
      <w:lvlText w:val="%1)"/>
      <w:lvlJc w:val="left"/>
    </w:lvl>
  </w:abstractNum>
  <w:num w:numId="1">
    <w:abstractNumId w:val="0"/>
  </w:num>
  <w:num w:numId="2">
    <w:abstractNumId w:val="32"/>
  </w:num>
  <w:num w:numId="3">
    <w:abstractNumId w:val="5"/>
  </w:num>
  <w:num w:numId="4">
    <w:abstractNumId w:val="28"/>
  </w:num>
  <w:num w:numId="5">
    <w:abstractNumId w:val="21"/>
  </w:num>
  <w:num w:numId="6">
    <w:abstractNumId w:val="16"/>
  </w:num>
  <w:num w:numId="7">
    <w:abstractNumId w:val="8"/>
  </w:num>
  <w:num w:numId="8">
    <w:abstractNumId w:val="3"/>
  </w:num>
  <w:num w:numId="9">
    <w:abstractNumId w:val="10"/>
  </w:num>
  <w:num w:numId="10">
    <w:abstractNumId w:val="19"/>
  </w:num>
  <w:num w:numId="11">
    <w:abstractNumId w:val="30"/>
  </w:num>
  <w:num w:numId="12">
    <w:abstractNumId w:val="14"/>
  </w:num>
  <w:num w:numId="13">
    <w:abstractNumId w:val="15"/>
  </w:num>
  <w:num w:numId="14">
    <w:abstractNumId w:val="7"/>
  </w:num>
  <w:num w:numId="15">
    <w:abstractNumId w:val="22"/>
  </w:num>
  <w:num w:numId="16">
    <w:abstractNumId w:val="26"/>
  </w:num>
  <w:num w:numId="17">
    <w:abstractNumId w:val="20"/>
  </w:num>
  <w:num w:numId="18">
    <w:abstractNumId w:val="35"/>
  </w:num>
  <w:num w:numId="19">
    <w:abstractNumId w:val="18"/>
  </w:num>
  <w:num w:numId="20">
    <w:abstractNumId w:val="1"/>
  </w:num>
  <w:num w:numId="21">
    <w:abstractNumId w:val="13"/>
  </w:num>
  <w:num w:numId="22">
    <w:abstractNumId w:val="36"/>
  </w:num>
  <w:num w:numId="23">
    <w:abstractNumId w:val="25"/>
  </w:num>
  <w:num w:numId="24">
    <w:abstractNumId w:val="6"/>
  </w:num>
  <w:num w:numId="25">
    <w:abstractNumId w:val="31"/>
  </w:num>
  <w:num w:numId="26">
    <w:abstractNumId w:val="34"/>
  </w:num>
  <w:num w:numId="27">
    <w:abstractNumId w:val="2"/>
  </w:num>
  <w:num w:numId="28">
    <w:abstractNumId w:val="4"/>
  </w:num>
  <w:num w:numId="29">
    <w:abstractNumId w:val="17"/>
  </w:num>
  <w:num w:numId="30">
    <w:abstractNumId w:val="29"/>
  </w:num>
  <w:num w:numId="31">
    <w:abstractNumId w:val="27"/>
  </w:num>
  <w:num w:numId="32">
    <w:abstractNumId w:val="11"/>
  </w:num>
  <w:num w:numId="33">
    <w:abstractNumId w:val="24"/>
  </w:num>
  <w:num w:numId="34">
    <w:abstractNumId w:val="33"/>
  </w:num>
  <w:num w:numId="35">
    <w:abstractNumId w:val="12"/>
  </w:num>
  <w:num w:numId="36">
    <w:abstractNumId w:val="9"/>
  </w:num>
  <w:num w:numId="37">
    <w:abstractNumId w:val="37"/>
  </w:num>
  <w:num w:numId="3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0"/>
  <w:bordersDoNotSurroundFooter w:val="0"/>
  <w:attachedTemplate r:id="rId1"/>
  <w:documentProtection w:edit="forms" w:enforcement="1" w:cryptProviderType="rsaFull" w:cryptAlgorithmClass="hash" w:cryptAlgorithmType="typeAny" w:cryptAlgorithmSid="4" w:cryptSpinCount="100000" w:hash="XfyRuyTkL4oc/ntyMOxQc6Ofpeo=" w:salt="4q2XgmtzsdQsmbJ3W6s8aA=="/>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847"/>
    <w:rsid w:val="0000040A"/>
    <w:rsid w:val="00000A94"/>
    <w:rsid w:val="00001972"/>
    <w:rsid w:val="00001D9A"/>
    <w:rsid w:val="00004EC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3C41"/>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36CB"/>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5489"/>
    <w:rsid w:val="00246021"/>
    <w:rsid w:val="0024666E"/>
    <w:rsid w:val="00247F52"/>
    <w:rsid w:val="00250B25"/>
    <w:rsid w:val="00250BBE"/>
    <w:rsid w:val="002515C2"/>
    <w:rsid w:val="0025194F"/>
    <w:rsid w:val="002610D3"/>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03E7"/>
    <w:rsid w:val="003A1582"/>
    <w:rsid w:val="003A4077"/>
    <w:rsid w:val="003A4FC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4C87"/>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4F6C8A"/>
    <w:rsid w:val="00501139"/>
    <w:rsid w:val="0050363E"/>
    <w:rsid w:val="005039BC"/>
    <w:rsid w:val="005043BB"/>
    <w:rsid w:val="00504A3D"/>
    <w:rsid w:val="00505767"/>
    <w:rsid w:val="005073F0"/>
    <w:rsid w:val="00510A7B"/>
    <w:rsid w:val="00511D91"/>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3AED"/>
    <w:rsid w:val="0073720F"/>
    <w:rsid w:val="00737796"/>
    <w:rsid w:val="0074165C"/>
    <w:rsid w:val="00742C35"/>
    <w:rsid w:val="007432CA"/>
    <w:rsid w:val="007439EB"/>
    <w:rsid w:val="00743CB4"/>
    <w:rsid w:val="00743F0A"/>
    <w:rsid w:val="007444E8"/>
    <w:rsid w:val="0074548E"/>
    <w:rsid w:val="00745773"/>
    <w:rsid w:val="00746800"/>
    <w:rsid w:val="007501A8"/>
    <w:rsid w:val="00750B77"/>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BBA"/>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48EA"/>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AF5786"/>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9B7"/>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2EE3"/>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3847"/>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424C"/>
    <w:rsid w:val="00E06404"/>
    <w:rsid w:val="00E1182A"/>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5359"/>
    <w:rsid w:val="00EC562A"/>
    <w:rsid w:val="00ED067A"/>
    <w:rsid w:val="00ED2B50"/>
    <w:rsid w:val="00EE0350"/>
    <w:rsid w:val="00EE0719"/>
    <w:rsid w:val="00EE0E80"/>
    <w:rsid w:val="00EE0FE2"/>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7716C"/>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368F"/>
    <w:rsid w:val="00FB45F1"/>
    <w:rsid w:val="00FB4A72"/>
    <w:rsid w:val="00FB54E8"/>
    <w:rsid w:val="00FB7054"/>
    <w:rsid w:val="00FC17B7"/>
    <w:rsid w:val="00FC2CB7"/>
    <w:rsid w:val="00FC388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8F4193"/>
    <w:rsid w:val="024F1658"/>
    <w:rsid w:val="03013AAC"/>
    <w:rsid w:val="03187E7C"/>
    <w:rsid w:val="03341937"/>
    <w:rsid w:val="034E63EB"/>
    <w:rsid w:val="03632C1A"/>
    <w:rsid w:val="03C32D06"/>
    <w:rsid w:val="03F5312C"/>
    <w:rsid w:val="03F91BDB"/>
    <w:rsid w:val="04B00139"/>
    <w:rsid w:val="061E4F7C"/>
    <w:rsid w:val="06550D73"/>
    <w:rsid w:val="06690718"/>
    <w:rsid w:val="068B6F72"/>
    <w:rsid w:val="07784D6F"/>
    <w:rsid w:val="07C67F9C"/>
    <w:rsid w:val="08520DCD"/>
    <w:rsid w:val="0A8531F1"/>
    <w:rsid w:val="0B0E1C45"/>
    <w:rsid w:val="0B644036"/>
    <w:rsid w:val="0BDD58BB"/>
    <w:rsid w:val="0D6749BB"/>
    <w:rsid w:val="0D942C8E"/>
    <w:rsid w:val="0E01328D"/>
    <w:rsid w:val="0E571D83"/>
    <w:rsid w:val="0EED7C60"/>
    <w:rsid w:val="0F9D07AC"/>
    <w:rsid w:val="0FF147A1"/>
    <w:rsid w:val="100720DD"/>
    <w:rsid w:val="10BA0CBE"/>
    <w:rsid w:val="12CB6E65"/>
    <w:rsid w:val="130B7D2D"/>
    <w:rsid w:val="131073FC"/>
    <w:rsid w:val="13370771"/>
    <w:rsid w:val="135B1520"/>
    <w:rsid w:val="14120A64"/>
    <w:rsid w:val="14502E2C"/>
    <w:rsid w:val="1458317C"/>
    <w:rsid w:val="146A5B66"/>
    <w:rsid w:val="151D40DC"/>
    <w:rsid w:val="152E323A"/>
    <w:rsid w:val="152E3EF2"/>
    <w:rsid w:val="160E59AE"/>
    <w:rsid w:val="16331651"/>
    <w:rsid w:val="167376C0"/>
    <w:rsid w:val="17397DA6"/>
    <w:rsid w:val="17451976"/>
    <w:rsid w:val="178A2EEB"/>
    <w:rsid w:val="17943AAB"/>
    <w:rsid w:val="180B1E1F"/>
    <w:rsid w:val="18171F7B"/>
    <w:rsid w:val="18F40898"/>
    <w:rsid w:val="19C97DA2"/>
    <w:rsid w:val="19E675B2"/>
    <w:rsid w:val="1A432437"/>
    <w:rsid w:val="1B1F305B"/>
    <w:rsid w:val="1BB45551"/>
    <w:rsid w:val="1BFE494B"/>
    <w:rsid w:val="1C1E7646"/>
    <w:rsid w:val="1C8206D7"/>
    <w:rsid w:val="1CDF6E5D"/>
    <w:rsid w:val="1D223141"/>
    <w:rsid w:val="1D8659A3"/>
    <w:rsid w:val="1DAB6A34"/>
    <w:rsid w:val="1EAD6040"/>
    <w:rsid w:val="1F236627"/>
    <w:rsid w:val="1F7E2CE2"/>
    <w:rsid w:val="20BC6428"/>
    <w:rsid w:val="215E471B"/>
    <w:rsid w:val="21AB5FEC"/>
    <w:rsid w:val="21B67A5B"/>
    <w:rsid w:val="21E71E85"/>
    <w:rsid w:val="21EC4F99"/>
    <w:rsid w:val="22B72D7D"/>
    <w:rsid w:val="22C6630E"/>
    <w:rsid w:val="23CD6B0A"/>
    <w:rsid w:val="24361668"/>
    <w:rsid w:val="24926E21"/>
    <w:rsid w:val="24B37E90"/>
    <w:rsid w:val="255B47F6"/>
    <w:rsid w:val="261E7A46"/>
    <w:rsid w:val="269C77FE"/>
    <w:rsid w:val="269F7DC6"/>
    <w:rsid w:val="27214AF6"/>
    <w:rsid w:val="272638B8"/>
    <w:rsid w:val="273D12E7"/>
    <w:rsid w:val="27B42396"/>
    <w:rsid w:val="284458BE"/>
    <w:rsid w:val="29466A3D"/>
    <w:rsid w:val="2A2724FF"/>
    <w:rsid w:val="2A32457D"/>
    <w:rsid w:val="2A3D480D"/>
    <w:rsid w:val="2A4079AF"/>
    <w:rsid w:val="2ACA4F83"/>
    <w:rsid w:val="2B8C3724"/>
    <w:rsid w:val="2C870CCB"/>
    <w:rsid w:val="2CDC6A3D"/>
    <w:rsid w:val="2D4C7F37"/>
    <w:rsid w:val="2DA60F7D"/>
    <w:rsid w:val="2E266320"/>
    <w:rsid w:val="2E6A42BD"/>
    <w:rsid w:val="2F0A7753"/>
    <w:rsid w:val="2F8C5528"/>
    <w:rsid w:val="300A6251"/>
    <w:rsid w:val="302C3CFF"/>
    <w:rsid w:val="30487129"/>
    <w:rsid w:val="31652507"/>
    <w:rsid w:val="31B7332E"/>
    <w:rsid w:val="329374C5"/>
    <w:rsid w:val="33063985"/>
    <w:rsid w:val="33B32670"/>
    <w:rsid w:val="33BE710F"/>
    <w:rsid w:val="33C670D6"/>
    <w:rsid w:val="33D75CF8"/>
    <w:rsid w:val="33F92A78"/>
    <w:rsid w:val="342262D3"/>
    <w:rsid w:val="34E86781"/>
    <w:rsid w:val="34EA570C"/>
    <w:rsid w:val="352B6355"/>
    <w:rsid w:val="37B7378B"/>
    <w:rsid w:val="37F5550D"/>
    <w:rsid w:val="384A0237"/>
    <w:rsid w:val="39071898"/>
    <w:rsid w:val="39EC3242"/>
    <w:rsid w:val="3AC523BE"/>
    <w:rsid w:val="3B27249C"/>
    <w:rsid w:val="3B720A6D"/>
    <w:rsid w:val="3C2979C7"/>
    <w:rsid w:val="3C63156F"/>
    <w:rsid w:val="3CD3762B"/>
    <w:rsid w:val="3D3201B4"/>
    <w:rsid w:val="3D3D04E3"/>
    <w:rsid w:val="3D591096"/>
    <w:rsid w:val="3D72278D"/>
    <w:rsid w:val="3ECB71A7"/>
    <w:rsid w:val="3F29338D"/>
    <w:rsid w:val="3F342357"/>
    <w:rsid w:val="3F477147"/>
    <w:rsid w:val="40F017DC"/>
    <w:rsid w:val="410226BA"/>
    <w:rsid w:val="41AF7D08"/>
    <w:rsid w:val="42A65607"/>
    <w:rsid w:val="42AC0605"/>
    <w:rsid w:val="436741BA"/>
    <w:rsid w:val="43AA0DA6"/>
    <w:rsid w:val="440C76C4"/>
    <w:rsid w:val="443B1C6D"/>
    <w:rsid w:val="45975B9A"/>
    <w:rsid w:val="45C57802"/>
    <w:rsid w:val="460504D2"/>
    <w:rsid w:val="46161DB5"/>
    <w:rsid w:val="463561CC"/>
    <w:rsid w:val="468C4E4F"/>
    <w:rsid w:val="46BE77FC"/>
    <w:rsid w:val="46D12923"/>
    <w:rsid w:val="46EC7664"/>
    <w:rsid w:val="47713BD2"/>
    <w:rsid w:val="477C1BC0"/>
    <w:rsid w:val="482C0771"/>
    <w:rsid w:val="499B6FDB"/>
    <w:rsid w:val="4ABD7D17"/>
    <w:rsid w:val="4B424061"/>
    <w:rsid w:val="4B6D50AB"/>
    <w:rsid w:val="4BAE2652"/>
    <w:rsid w:val="4BFC7CDE"/>
    <w:rsid w:val="4C690398"/>
    <w:rsid w:val="4D275AAE"/>
    <w:rsid w:val="4D617229"/>
    <w:rsid w:val="4D910364"/>
    <w:rsid w:val="4E450584"/>
    <w:rsid w:val="4E754D16"/>
    <w:rsid w:val="4EA25037"/>
    <w:rsid w:val="4F19435D"/>
    <w:rsid w:val="4F2A502F"/>
    <w:rsid w:val="4F42167E"/>
    <w:rsid w:val="4F5D50F6"/>
    <w:rsid w:val="4F7006CF"/>
    <w:rsid w:val="4FC06DCB"/>
    <w:rsid w:val="512805A1"/>
    <w:rsid w:val="517B783D"/>
    <w:rsid w:val="51B1061E"/>
    <w:rsid w:val="51CD2B7D"/>
    <w:rsid w:val="52217ED2"/>
    <w:rsid w:val="52A87F76"/>
    <w:rsid w:val="52B57B12"/>
    <w:rsid w:val="52E23ADC"/>
    <w:rsid w:val="53341B74"/>
    <w:rsid w:val="537030CA"/>
    <w:rsid w:val="53764937"/>
    <w:rsid w:val="53934A29"/>
    <w:rsid w:val="53AA1DC4"/>
    <w:rsid w:val="53CF41E5"/>
    <w:rsid w:val="53D525D0"/>
    <w:rsid w:val="5407386C"/>
    <w:rsid w:val="541A7561"/>
    <w:rsid w:val="54CF2893"/>
    <w:rsid w:val="54F17F90"/>
    <w:rsid w:val="556127B2"/>
    <w:rsid w:val="55B15A00"/>
    <w:rsid w:val="564F1965"/>
    <w:rsid w:val="568306CF"/>
    <w:rsid w:val="56A1062C"/>
    <w:rsid w:val="57FB6A4A"/>
    <w:rsid w:val="58321243"/>
    <w:rsid w:val="58C54455"/>
    <w:rsid w:val="596D2694"/>
    <w:rsid w:val="59B47752"/>
    <w:rsid w:val="5A0B573F"/>
    <w:rsid w:val="5A501299"/>
    <w:rsid w:val="5B1951BD"/>
    <w:rsid w:val="5B5032BF"/>
    <w:rsid w:val="5C810C9F"/>
    <w:rsid w:val="5C9247F0"/>
    <w:rsid w:val="5E8F6AEF"/>
    <w:rsid w:val="5ED23AED"/>
    <w:rsid w:val="5EEA3256"/>
    <w:rsid w:val="5F020FC0"/>
    <w:rsid w:val="5F077A9A"/>
    <w:rsid w:val="5F7334EE"/>
    <w:rsid w:val="5FF5302A"/>
    <w:rsid w:val="60370D9A"/>
    <w:rsid w:val="60B73C75"/>
    <w:rsid w:val="618F171D"/>
    <w:rsid w:val="61ED5A4E"/>
    <w:rsid w:val="6277069E"/>
    <w:rsid w:val="63490951"/>
    <w:rsid w:val="635E3654"/>
    <w:rsid w:val="63B163C3"/>
    <w:rsid w:val="63D01864"/>
    <w:rsid w:val="64A97606"/>
    <w:rsid w:val="64AA07A8"/>
    <w:rsid w:val="64BD4CB5"/>
    <w:rsid w:val="653D290C"/>
    <w:rsid w:val="654E472F"/>
    <w:rsid w:val="67860D43"/>
    <w:rsid w:val="67B8092B"/>
    <w:rsid w:val="685B5BA8"/>
    <w:rsid w:val="68B55F68"/>
    <w:rsid w:val="690E0902"/>
    <w:rsid w:val="692326BF"/>
    <w:rsid w:val="699406C6"/>
    <w:rsid w:val="69E858E2"/>
    <w:rsid w:val="69EC5F63"/>
    <w:rsid w:val="6A034EE8"/>
    <w:rsid w:val="6A0A46DD"/>
    <w:rsid w:val="6A0C1344"/>
    <w:rsid w:val="6A222E91"/>
    <w:rsid w:val="6A3375CC"/>
    <w:rsid w:val="6A4A7586"/>
    <w:rsid w:val="6A5D425F"/>
    <w:rsid w:val="6B640991"/>
    <w:rsid w:val="6C913EA4"/>
    <w:rsid w:val="6D0A60E1"/>
    <w:rsid w:val="6D135C53"/>
    <w:rsid w:val="6D2F2AB4"/>
    <w:rsid w:val="6DDC4652"/>
    <w:rsid w:val="6E9F7A53"/>
    <w:rsid w:val="6EC32FE4"/>
    <w:rsid w:val="6EF101F0"/>
    <w:rsid w:val="704C2A5B"/>
    <w:rsid w:val="70700452"/>
    <w:rsid w:val="70713717"/>
    <w:rsid w:val="70CB4ED7"/>
    <w:rsid w:val="715970D7"/>
    <w:rsid w:val="71E20144"/>
    <w:rsid w:val="71EA5BF3"/>
    <w:rsid w:val="728D02EE"/>
    <w:rsid w:val="73136B64"/>
    <w:rsid w:val="734E2C42"/>
    <w:rsid w:val="7364565C"/>
    <w:rsid w:val="73694715"/>
    <w:rsid w:val="739F7665"/>
    <w:rsid w:val="74455CC5"/>
    <w:rsid w:val="744B3A46"/>
    <w:rsid w:val="74737BA7"/>
    <w:rsid w:val="74D52BF9"/>
    <w:rsid w:val="75996EFD"/>
    <w:rsid w:val="75F85CDE"/>
    <w:rsid w:val="768F5616"/>
    <w:rsid w:val="76C04B8E"/>
    <w:rsid w:val="76FB74C2"/>
    <w:rsid w:val="78640EB4"/>
    <w:rsid w:val="789A1C6E"/>
    <w:rsid w:val="78B271C3"/>
    <w:rsid w:val="78F940F9"/>
    <w:rsid w:val="79A63DFC"/>
    <w:rsid w:val="79C6141B"/>
    <w:rsid w:val="79D1025A"/>
    <w:rsid w:val="79D56DA2"/>
    <w:rsid w:val="7A4974A2"/>
    <w:rsid w:val="7A9C0792"/>
    <w:rsid w:val="7BDC2EDB"/>
    <w:rsid w:val="7BE75A44"/>
    <w:rsid w:val="7C1C74EA"/>
    <w:rsid w:val="7CE83FD5"/>
    <w:rsid w:val="7D762C62"/>
    <w:rsid w:val="7E7E2D15"/>
    <w:rsid w:val="7E8D4ABA"/>
    <w:rsid w:val="7FCE6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qFormat/>
    <w:uiPriority w:val="0"/>
    <w:rPr>
      <w:rFonts w:ascii="Times New Roman" w:hAnsi="Times New Roman" w:eastAsia="宋体" w:cs="Times New Roman"/>
      <w:b/>
      <w:bCs/>
      <w:kern w:val="44"/>
      <w:sz w:val="44"/>
      <w:szCs w:val="44"/>
    </w:rPr>
  </w:style>
  <w:style w:type="character" w:customStyle="1" w:styleId="35">
    <w:name w:val="标题 2 Char"/>
    <w:link w:val="3"/>
    <w:qFormat/>
    <w:uiPriority w:val="0"/>
    <w:rPr>
      <w:rFonts w:ascii="Arial" w:hAnsi="Arial" w:eastAsia="黑体" w:cs="Times New Roman"/>
      <w:b/>
      <w:bCs/>
      <w:sz w:val="32"/>
      <w:szCs w:val="32"/>
    </w:rPr>
  </w:style>
  <w:style w:type="character" w:customStyle="1" w:styleId="36">
    <w:name w:val="标题 3 Char"/>
    <w:link w:val="4"/>
    <w:qFormat/>
    <w:uiPriority w:val="0"/>
    <w:rPr>
      <w:rFonts w:ascii="Times New Roman" w:hAnsi="Times New Roman" w:eastAsia="宋体" w:cs="Times New Roman"/>
      <w:b/>
      <w:bCs/>
      <w:sz w:val="32"/>
      <w:szCs w:val="32"/>
    </w:rPr>
  </w:style>
  <w:style w:type="character" w:customStyle="1" w:styleId="37">
    <w:name w:val="标题 4 Char"/>
    <w:link w:val="5"/>
    <w:qFormat/>
    <w:uiPriority w:val="0"/>
    <w:rPr>
      <w:rFonts w:ascii="Arial" w:hAnsi="Arial" w:eastAsia="黑体" w:cs="Times New Roman"/>
      <w:b/>
      <w:bCs/>
      <w:sz w:val="28"/>
      <w:szCs w:val="28"/>
    </w:rPr>
  </w:style>
  <w:style w:type="character" w:customStyle="1" w:styleId="38">
    <w:name w:val="标题 5 Char"/>
    <w:link w:val="6"/>
    <w:qFormat/>
    <w:uiPriority w:val="0"/>
    <w:rPr>
      <w:rFonts w:ascii="Times New Roman" w:hAnsi="Times New Roman" w:eastAsia="宋体" w:cs="Times New Roman"/>
      <w:b/>
      <w:bCs/>
      <w:sz w:val="28"/>
      <w:szCs w:val="28"/>
    </w:rPr>
  </w:style>
  <w:style w:type="character" w:customStyle="1" w:styleId="39">
    <w:name w:val="标题 6 Char"/>
    <w:link w:val="7"/>
    <w:qFormat/>
    <w:uiPriority w:val="0"/>
    <w:rPr>
      <w:rFonts w:ascii="Arial" w:hAnsi="Arial" w:eastAsia="黑体" w:cs="Times New Roman"/>
      <w:b/>
      <w:bCs/>
      <w:sz w:val="24"/>
      <w:szCs w:val="24"/>
    </w:rPr>
  </w:style>
  <w:style w:type="character" w:customStyle="1" w:styleId="40">
    <w:name w:val="标题 7 Char"/>
    <w:link w:val="8"/>
    <w:qFormat/>
    <w:uiPriority w:val="0"/>
    <w:rPr>
      <w:rFonts w:ascii="Times New Roman" w:hAnsi="Times New Roman" w:eastAsia="宋体" w:cs="Times New Roman"/>
      <w:b/>
      <w:bCs/>
      <w:sz w:val="24"/>
      <w:szCs w:val="24"/>
    </w:rPr>
  </w:style>
  <w:style w:type="character" w:customStyle="1" w:styleId="41">
    <w:name w:val="标题 8 Char"/>
    <w:link w:val="9"/>
    <w:qFormat/>
    <w:uiPriority w:val="0"/>
    <w:rPr>
      <w:rFonts w:ascii="Arial" w:hAnsi="Arial" w:eastAsia="黑体" w:cs="Times New Roman"/>
      <w:sz w:val="24"/>
      <w:szCs w:val="24"/>
    </w:rPr>
  </w:style>
  <w:style w:type="character" w:customStyle="1" w:styleId="42">
    <w:name w:val="标题 9 Char"/>
    <w:link w:val="10"/>
    <w:qFormat/>
    <w:uiPriority w:val="0"/>
    <w:rPr>
      <w:rFonts w:ascii="Arial" w:hAnsi="Arial" w:eastAsia="黑体" w:cs="Times New Roman"/>
      <w:szCs w:val="21"/>
    </w:rPr>
  </w:style>
  <w:style w:type="character" w:customStyle="1" w:styleId="43">
    <w:name w:val="页眉 Char"/>
    <w:link w:val="18"/>
    <w:qFormat/>
    <w:uiPriority w:val="99"/>
    <w:rPr>
      <w:rFonts w:ascii="Times New Roman" w:hAnsi="Times New Roman" w:eastAsia="宋体" w:cs="Times New Roman"/>
      <w:sz w:val="18"/>
      <w:szCs w:val="18"/>
    </w:rPr>
  </w:style>
  <w:style w:type="character" w:customStyle="1" w:styleId="44">
    <w:name w:val="页脚 Char"/>
    <w:link w:val="17"/>
    <w:qFormat/>
    <w:uiPriority w:val="99"/>
    <w:rPr>
      <w:rFonts w:ascii="宋体" w:hAnsi="Times New Roman" w:eastAsia="宋体" w:cs="Times New Roman"/>
      <w:sz w:val="18"/>
      <w:szCs w:val="18"/>
    </w:rPr>
  </w:style>
  <w:style w:type="character" w:customStyle="1" w:styleId="45">
    <w:name w:val="批注框文本 Char"/>
    <w:link w:val="16"/>
    <w:semiHidden/>
    <w:qFormat/>
    <w:uiPriority w:val="99"/>
    <w:rPr>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rPr>
  </w:style>
  <w:style w:type="character" w:customStyle="1" w:styleId="48">
    <w:name w:val="标题 Char"/>
    <w:link w:val="25"/>
    <w:qFormat/>
    <w:uiPriority w:val="0"/>
    <w:rPr>
      <w:rFonts w:ascii="Arial" w:hAnsi="Arial" w:eastAsia="宋体" w:cs="Arial"/>
      <w:b/>
      <w:bCs/>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227"/>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rFonts w:ascii="Times New Roman" w:hAnsi="Times New Roman" w:eastAsia="宋体" w:cs="Times New Roman"/>
      <w:szCs w:val="20"/>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pPr>
  </w:style>
  <w:style w:type="paragraph" w:customStyle="1" w:styleId="91">
    <w:name w:val="标准文件_目录标题"/>
    <w:basedOn w:val="1"/>
    <w:qFormat/>
    <w:uiPriority w:val="0"/>
    <w:pPr>
      <w:spacing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ind w:left="0" w:firstLine="200"/>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hAnsi="Times New Roman" w:eastAsia="宋体" w:cs="Times New Roman"/>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ind w:left="783"/>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left="1271" w:hanging="420" w:firstLineChars="0"/>
    </w:pPr>
  </w:style>
  <w:style w:type="paragraph" w:customStyle="1" w:styleId="188">
    <w:name w:val="标准文件_三级项2"/>
    <w:basedOn w:val="56"/>
    <w:qFormat/>
    <w:uiPriority w:val="0"/>
    <w:pPr>
      <w:numPr>
        <w:ilvl w:val="0"/>
        <w:numId w:val="30"/>
      </w:numPr>
      <w:spacing w:line="300" w:lineRule="exact"/>
      <w:ind w:left="1276" w:hanging="425" w:firstLineChars="0"/>
    </w:pPr>
    <w:rPr>
      <w:rFonts w:ascii="Times New Roman"/>
    </w:rPr>
  </w:style>
  <w:style w:type="paragraph" w:customStyle="1" w:styleId="189">
    <w:name w:val="标准文件_一级项2"/>
    <w:basedOn w:val="56"/>
    <w:qFormat/>
    <w:uiPriority w:val="0"/>
    <w:pPr>
      <w:numPr>
        <w:ilvl w:val="0"/>
        <w:numId w:val="31"/>
      </w:numPr>
      <w:spacing w:line="300" w:lineRule="exact"/>
      <w:ind w:left="1271" w:hanging="420"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next w:val="56"/>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Other|1_"/>
    <w:basedOn w:val="28"/>
    <w:link w:val="231"/>
    <w:qFormat/>
    <w:uiPriority w:val="0"/>
    <w:rPr>
      <w:rFonts w:ascii="宋体" w:hAnsi="宋体" w:cs="宋体"/>
      <w:sz w:val="40"/>
      <w:szCs w:val="40"/>
      <w:lang w:val="zh-TW" w:eastAsia="zh-TW" w:bidi="zh-TW"/>
    </w:rPr>
  </w:style>
  <w:style w:type="paragraph" w:customStyle="1" w:styleId="231">
    <w:name w:val="Other|1"/>
    <w:basedOn w:val="1"/>
    <w:link w:val="230"/>
    <w:qFormat/>
    <w:uiPriority w:val="0"/>
    <w:pPr>
      <w:adjustRightInd/>
      <w:spacing w:after="200" w:line="329" w:lineRule="auto"/>
      <w:ind w:firstLine="400"/>
      <w:jc w:val="left"/>
    </w:pPr>
    <w:rPr>
      <w:rFonts w:ascii="宋体" w:hAnsi="宋体" w:cs="宋体"/>
      <w:kern w:val="0"/>
      <w:sz w:val="40"/>
      <w:szCs w:val="40"/>
      <w:lang w:val="zh-TW" w:eastAsia="zh-TW" w:bidi="zh-TW"/>
    </w:rPr>
  </w:style>
  <w:style w:type="character" w:customStyle="1" w:styleId="232">
    <w:name w:val="Body text|1_"/>
    <w:basedOn w:val="28"/>
    <w:link w:val="233"/>
    <w:qFormat/>
    <w:uiPriority w:val="0"/>
    <w:rPr>
      <w:rFonts w:ascii="宋体" w:hAnsi="宋体" w:cs="宋体"/>
      <w:sz w:val="40"/>
      <w:szCs w:val="40"/>
      <w:lang w:val="zh-TW" w:eastAsia="zh-TW" w:bidi="zh-TW"/>
    </w:rPr>
  </w:style>
  <w:style w:type="paragraph" w:customStyle="1" w:styleId="233">
    <w:name w:val="Body text|1"/>
    <w:basedOn w:val="1"/>
    <w:link w:val="232"/>
    <w:qFormat/>
    <w:uiPriority w:val="0"/>
    <w:pPr>
      <w:adjustRightInd/>
      <w:spacing w:after="200" w:line="329" w:lineRule="auto"/>
      <w:ind w:firstLine="400"/>
      <w:jc w:val="left"/>
    </w:pPr>
    <w:rPr>
      <w:rFonts w:ascii="宋体" w:hAnsi="宋体" w:cs="宋体"/>
      <w:kern w:val="0"/>
      <w:sz w:val="40"/>
      <w:szCs w:val="40"/>
      <w:lang w:val="zh-TW" w:eastAsia="zh-TW" w:bidi="zh-TW"/>
    </w:rPr>
  </w:style>
  <w:style w:type="paragraph" w:customStyle="1" w:styleId="234">
    <w:name w:val="段"/>
    <w:link w:val="23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35">
    <w:name w:val="段 Char"/>
    <w:link w:val="234"/>
    <w:qFormat/>
    <w:uiPriority w:val="0"/>
    <w:rPr>
      <w:rFonts w:ascii="宋体" w:hAnsi="Times New Roman"/>
      <w:sz w:val="21"/>
    </w:rPr>
  </w:style>
  <w:style w:type="paragraph" w:customStyle="1" w:styleId="236">
    <w:name w:val="一级条标题"/>
    <w:next w:val="234"/>
    <w:qFormat/>
    <w:uiPriority w:val="0"/>
    <w:pPr>
      <w:numPr>
        <w:ilvl w:val="1"/>
        <w:numId w:val="32"/>
      </w:numPr>
      <w:spacing w:beforeLines="50" w:afterLines="50"/>
      <w:outlineLvl w:val="2"/>
    </w:pPr>
    <w:rPr>
      <w:rFonts w:ascii="黑体" w:hAnsi="Times New Roman" w:eastAsia="黑体" w:cs="Times New Roman"/>
      <w:sz w:val="21"/>
      <w:szCs w:val="21"/>
      <w:lang w:val="en-US" w:eastAsia="zh-CN" w:bidi="ar-SA"/>
    </w:rPr>
  </w:style>
  <w:style w:type="paragraph" w:customStyle="1" w:styleId="237">
    <w:name w:val="章标题"/>
    <w:next w:val="234"/>
    <w:qFormat/>
    <w:uiPriority w:val="0"/>
    <w:pPr>
      <w:numPr>
        <w:ilvl w:val="0"/>
        <w:numId w:val="32"/>
      </w:numPr>
      <w:spacing w:beforeLines="100" w:afterLines="100"/>
      <w:jc w:val="both"/>
      <w:outlineLvl w:val="1"/>
    </w:pPr>
    <w:rPr>
      <w:rFonts w:ascii="黑体" w:hAnsi="Times New Roman" w:eastAsia="黑体" w:cs="Times New Roman"/>
      <w:sz w:val="21"/>
      <w:lang w:val="en-US" w:eastAsia="zh-CN" w:bidi="ar-SA"/>
    </w:rPr>
  </w:style>
  <w:style w:type="paragraph" w:customStyle="1" w:styleId="238">
    <w:name w:val="二级条标题"/>
    <w:basedOn w:val="236"/>
    <w:next w:val="234"/>
    <w:qFormat/>
    <w:uiPriority w:val="0"/>
    <w:pPr>
      <w:numPr>
        <w:ilvl w:val="2"/>
      </w:numPr>
      <w:spacing w:before="50" w:after="50"/>
      <w:outlineLvl w:val="3"/>
    </w:pPr>
  </w:style>
  <w:style w:type="paragraph" w:customStyle="1" w:styleId="239">
    <w:name w:val="三级条标题"/>
    <w:basedOn w:val="238"/>
    <w:next w:val="234"/>
    <w:qFormat/>
    <w:uiPriority w:val="0"/>
    <w:pPr>
      <w:numPr>
        <w:ilvl w:val="3"/>
      </w:numPr>
      <w:outlineLvl w:val="4"/>
    </w:pPr>
  </w:style>
  <w:style w:type="paragraph" w:customStyle="1" w:styleId="240">
    <w:name w:val="四级条标题"/>
    <w:basedOn w:val="239"/>
    <w:next w:val="234"/>
    <w:qFormat/>
    <w:uiPriority w:val="0"/>
    <w:pPr>
      <w:numPr>
        <w:ilvl w:val="4"/>
      </w:numPr>
      <w:outlineLvl w:val="5"/>
    </w:pPr>
  </w:style>
  <w:style w:type="paragraph" w:customStyle="1" w:styleId="241">
    <w:name w:val="五级条标题"/>
    <w:basedOn w:val="240"/>
    <w:next w:val="234"/>
    <w:qFormat/>
    <w:uiPriority w:val="0"/>
    <w:pPr>
      <w:numPr>
        <w:ilvl w:val="5"/>
      </w:numPr>
      <w:outlineLvl w:val="6"/>
    </w:pPr>
  </w:style>
  <w:style w:type="paragraph" w:customStyle="1" w:styleId="242">
    <w:name w:val="附录标识"/>
    <w:basedOn w:val="1"/>
    <w:next w:val="234"/>
    <w:qFormat/>
    <w:uiPriority w:val="0"/>
    <w:pPr>
      <w:keepNext/>
      <w:widowControl/>
      <w:shd w:val="clear" w:color="FFFFFF" w:fill="FFFFFF"/>
      <w:tabs>
        <w:tab w:val="left" w:pos="360"/>
        <w:tab w:val="left" w:pos="6405"/>
      </w:tabs>
      <w:adjustRightInd/>
      <w:spacing w:before="640" w:after="280" w:line="240" w:lineRule="auto"/>
      <w:jc w:val="center"/>
      <w:outlineLvl w:val="0"/>
    </w:pPr>
    <w:rPr>
      <w:rFonts w:ascii="黑体" w:hAnsi="Times New Roman" w:eastAsia="黑体"/>
      <w:kern w:val="0"/>
      <w:szCs w:val="20"/>
    </w:rPr>
  </w:style>
  <w:style w:type="paragraph" w:customStyle="1" w:styleId="243">
    <w:name w:val="附录表标号"/>
    <w:basedOn w:val="1"/>
    <w:next w:val="234"/>
    <w:qFormat/>
    <w:uiPriority w:val="0"/>
    <w:pPr>
      <w:numPr>
        <w:ilvl w:val="0"/>
        <w:numId w:val="33"/>
      </w:numPr>
      <w:tabs>
        <w:tab w:val="clear" w:pos="0"/>
      </w:tabs>
      <w:adjustRightInd/>
      <w:spacing w:line="14" w:lineRule="exact"/>
      <w:ind w:left="811" w:hanging="448"/>
      <w:jc w:val="center"/>
      <w:outlineLvl w:val="0"/>
    </w:pPr>
    <w:rPr>
      <w:rFonts w:ascii="Times New Roman" w:hAnsi="Times New Roman"/>
      <w:color w:val="FFFFFF"/>
      <w:szCs w:val="24"/>
    </w:rPr>
  </w:style>
  <w:style w:type="paragraph" w:customStyle="1" w:styleId="244">
    <w:name w:val="附录表标题"/>
    <w:basedOn w:val="1"/>
    <w:next w:val="234"/>
    <w:qFormat/>
    <w:uiPriority w:val="0"/>
    <w:pPr>
      <w:numPr>
        <w:ilvl w:val="1"/>
        <w:numId w:val="33"/>
      </w:numPr>
      <w:tabs>
        <w:tab w:val="left" w:pos="180"/>
      </w:tabs>
      <w:adjustRightInd/>
      <w:spacing w:beforeLines="50" w:afterLines="50" w:line="240" w:lineRule="auto"/>
      <w:ind w:left="0" w:firstLine="0"/>
      <w:jc w:val="center"/>
    </w:pPr>
    <w:rPr>
      <w:rFonts w:ascii="黑体" w:hAnsi="Times New Roman" w:eastAsia="黑体"/>
    </w:rPr>
  </w:style>
  <w:style w:type="paragraph" w:customStyle="1" w:styleId="245">
    <w:name w:val="附录二级条标题"/>
    <w:basedOn w:val="1"/>
    <w:next w:val="234"/>
    <w:qFormat/>
    <w:uiPriority w:val="0"/>
    <w:pPr>
      <w:widowControl/>
      <w:tabs>
        <w:tab w:val="left" w:pos="360"/>
      </w:tabs>
      <w:wordWrap w:val="0"/>
      <w:overflowPunct w:val="0"/>
      <w:autoSpaceDE w:val="0"/>
      <w:autoSpaceDN w:val="0"/>
      <w:adjustRightInd/>
      <w:spacing w:beforeLines="50" w:afterLines="50" w:line="240" w:lineRule="auto"/>
      <w:textAlignment w:val="baseline"/>
      <w:outlineLvl w:val="3"/>
    </w:pPr>
    <w:rPr>
      <w:rFonts w:ascii="黑体" w:hAnsi="Times New Roman" w:eastAsia="黑体"/>
      <w:kern w:val="21"/>
      <w:szCs w:val="20"/>
    </w:rPr>
  </w:style>
  <w:style w:type="paragraph" w:customStyle="1" w:styleId="246">
    <w:name w:val="附录三级条标题"/>
    <w:basedOn w:val="245"/>
    <w:next w:val="234"/>
    <w:qFormat/>
    <w:uiPriority w:val="0"/>
    <w:pPr>
      <w:outlineLvl w:val="4"/>
    </w:pPr>
  </w:style>
  <w:style w:type="paragraph" w:customStyle="1" w:styleId="247">
    <w:name w:val="附录数字编号列项（二级）"/>
    <w:qFormat/>
    <w:uiPriority w:val="0"/>
    <w:pPr>
      <w:numPr>
        <w:ilvl w:val="1"/>
        <w:numId w:val="34"/>
      </w:numPr>
    </w:pPr>
    <w:rPr>
      <w:rFonts w:ascii="宋体" w:hAnsi="Times New Roman" w:eastAsia="宋体" w:cs="Times New Roman"/>
      <w:sz w:val="21"/>
      <w:lang w:val="en-US" w:eastAsia="zh-CN" w:bidi="ar-SA"/>
    </w:rPr>
  </w:style>
  <w:style w:type="paragraph" w:customStyle="1" w:styleId="248">
    <w:name w:val="附录四级条标题"/>
    <w:basedOn w:val="246"/>
    <w:next w:val="234"/>
    <w:qFormat/>
    <w:uiPriority w:val="0"/>
    <w:pPr>
      <w:outlineLvl w:val="5"/>
    </w:pPr>
  </w:style>
  <w:style w:type="paragraph" w:customStyle="1" w:styleId="249">
    <w:name w:val="附录五级条标题"/>
    <w:basedOn w:val="248"/>
    <w:next w:val="234"/>
    <w:qFormat/>
    <w:uiPriority w:val="0"/>
    <w:pPr>
      <w:outlineLvl w:val="6"/>
    </w:pPr>
  </w:style>
  <w:style w:type="paragraph" w:customStyle="1" w:styleId="250">
    <w:name w:val="附录章标题"/>
    <w:next w:val="234"/>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251">
    <w:name w:val="附录一级条标题"/>
    <w:basedOn w:val="250"/>
    <w:next w:val="234"/>
    <w:qFormat/>
    <w:uiPriority w:val="0"/>
    <w:pPr>
      <w:autoSpaceDN w:val="0"/>
      <w:spacing w:beforeLines="50" w:afterLines="50"/>
      <w:outlineLvl w:val="2"/>
    </w:pPr>
  </w:style>
  <w:style w:type="paragraph" w:customStyle="1" w:styleId="252">
    <w:name w:val="附录字母编号列项（一级）"/>
    <w:qFormat/>
    <w:uiPriority w:val="0"/>
    <w:pPr>
      <w:numPr>
        <w:ilvl w:val="0"/>
        <w:numId w:val="34"/>
      </w:numPr>
    </w:pPr>
    <w:rPr>
      <w:rFonts w:ascii="宋体" w:hAnsi="Times New Roman" w:eastAsia="宋体" w:cs="Times New Roman"/>
      <w:sz w:val="21"/>
      <w:lang w:val="en-US" w:eastAsia="zh-CN" w:bidi="ar-SA"/>
    </w:rPr>
  </w:style>
  <w:style w:type="paragraph" w:customStyle="1" w:styleId="253">
    <w:name w:val="目次、标准名称标题"/>
    <w:basedOn w:val="1"/>
    <w:next w:val="23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254">
    <w:name w:val="前言、引言标题"/>
    <w:next w:val="23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55">
    <w:name w:val="附录图标题"/>
    <w:basedOn w:val="1"/>
    <w:next w:val="234"/>
    <w:qFormat/>
    <w:uiPriority w:val="0"/>
    <w:pPr>
      <w:numPr>
        <w:ilvl w:val="1"/>
        <w:numId w:val="35"/>
      </w:numPr>
      <w:tabs>
        <w:tab w:val="left" w:pos="363"/>
      </w:tabs>
      <w:spacing w:before="50" w:beforeLines="50" w:after="50" w:afterLines="50"/>
      <w:ind w:left="0" w:firstLine="0"/>
      <w:jc w:val="center"/>
    </w:pPr>
    <w:rPr>
      <w:rFonts w:ascii="黑体" w:eastAsia="黑体"/>
      <w:szCs w:val="21"/>
    </w:rPr>
  </w:style>
  <w:style w:type="paragraph" w:customStyle="1" w:styleId="256">
    <w:name w:val="注×：（正文）"/>
    <w:qFormat/>
    <w:uiPriority w:val="0"/>
    <w:pPr>
      <w:numPr>
        <w:ilvl w:val="0"/>
        <w:numId w:val="36"/>
      </w:numPr>
      <w:jc w:val="both"/>
    </w:pPr>
    <w:rPr>
      <w:rFonts w:ascii="宋体" w:hAnsi="Times New Roman" w:eastAsia="宋体" w:cs="Times New Roman"/>
      <w:sz w:val="18"/>
      <w:szCs w:val="18"/>
      <w:lang w:val="en-US" w:eastAsia="zh-CN" w:bidi="ar-SA"/>
    </w:rPr>
  </w:style>
  <w:style w:type="paragraph" w:customStyle="1" w:styleId="257">
    <w:name w:val="正文图标题"/>
    <w:next w:val="234"/>
    <w:qFormat/>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styleId="25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glossaryDocument" Target="glossary/document.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7.jpe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3F1F6BE9F8B49B582C0C938A0B20B27"/>
        <w:style w:val=""/>
        <w:category>
          <w:name w:val="常规"/>
          <w:gallery w:val="placeholder"/>
        </w:category>
        <w:types>
          <w:type w:val="bbPlcHdr"/>
        </w:types>
        <w:behaviors>
          <w:behavior w:val="content"/>
        </w:behaviors>
        <w:description w:val=""/>
        <w:guid w:val="{D04FED4B-A8FE-40FD-8B3D-9F45A46578EC}"/>
      </w:docPartPr>
      <w:docPartBody>
        <w:p w14:paraId="7573FB44">
          <w:pPr>
            <w:pStyle w:val="5"/>
          </w:pPr>
          <w:r>
            <w:rPr>
              <w:rStyle w:val="4"/>
              <w:rFonts w:hint="eastAsia"/>
            </w:rPr>
            <w:t>单击或点击此处输入文字。</w:t>
          </w:r>
        </w:p>
      </w:docPartBody>
    </w:docPart>
    <w:docPart>
      <w:docPartPr>
        <w:name w:val="D1D951B898FE4B6FB6E1526A40F63AA1"/>
        <w:style w:val=""/>
        <w:category>
          <w:name w:val="常规"/>
          <w:gallery w:val="placeholder"/>
        </w:category>
        <w:types>
          <w:type w:val="bbPlcHdr"/>
        </w:types>
        <w:behaviors>
          <w:behavior w:val="content"/>
        </w:behaviors>
        <w:description w:val=""/>
        <w:guid w:val="{B8B7E068-5062-41FE-9E76-FEF8FAC9DD78}"/>
      </w:docPartPr>
      <w:docPartBody>
        <w:p w14:paraId="39F0D3F3">
          <w:pPr>
            <w:pStyle w:val="6"/>
          </w:pPr>
          <w:r>
            <w:rPr>
              <w:rStyle w:val="4"/>
              <w:rFonts w:hint="eastAsia"/>
            </w:rPr>
            <w:t>选择一项。</w:t>
          </w:r>
        </w:p>
      </w:docPartBody>
    </w:docPart>
    <w:docPart>
      <w:docPartPr>
        <w:name w:val="11473134F4764430993982BC40448A1D"/>
        <w:style w:val=""/>
        <w:category>
          <w:name w:val="常规"/>
          <w:gallery w:val="placeholder"/>
        </w:category>
        <w:types>
          <w:type w:val="bbPlcHdr"/>
        </w:types>
        <w:behaviors>
          <w:behavior w:val="content"/>
        </w:behaviors>
        <w:description w:val=""/>
        <w:guid w:val="{57FE1E13-0272-49A9-A66B-19DE84F9D68E}"/>
      </w:docPartPr>
      <w:docPartBody>
        <w:p w14:paraId="5A3B6FCE">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oNotDisplayPageBoundaries w:val="1"/>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33C"/>
    <w:rsid w:val="003133AA"/>
    <w:rsid w:val="004E533E"/>
    <w:rsid w:val="00704821"/>
    <w:rsid w:val="00B6633C"/>
    <w:rsid w:val="00F8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93F1F6BE9F8B49B582C0C938A0B20B2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D1D951B898FE4B6FB6E1526A40F63AA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11473134F4764430993982BC40448A1D"/>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BE95CB-472E-4F2A-9459-9FC0DBEFDE5C}">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24</Pages>
  <Words>9029</Words>
  <Characters>9864</Characters>
  <Lines>1</Lines>
  <Paragraphs>1</Paragraphs>
  <TotalTime>1</TotalTime>
  <ScaleCrop>false</ScaleCrop>
  <LinksUpToDate>false</LinksUpToDate>
  <CharactersWithSpaces>10869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2021-01-20T01:04:00Z</dcterms:created>
  <dc:creator>刘璟</dc:creator>
  <dc:description>&lt;config cover="true" show_menu="true" version="1.0.0" doctype="SDKXY"&gt;_x000d_
&lt;/config&gt;</dc:description>
  <cp:lastModifiedBy>赵</cp:lastModifiedBy>
  <cp:lastPrinted>2025-07-14T07:28:00Z</cp:lastPrinted>
  <dcterms:modified xsi:type="dcterms:W3CDTF">2025-07-23T04:35:51Z</dcterms:modified>
  <dc:title>地方标准</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2052-12.1.0.21915</vt:lpwstr>
  </property>
  <property fmtid="{D5CDD505-2E9C-101B-9397-08002B2CF9AE}" pid="15" name="KSOTemplateDocerSaveRecord">
    <vt:lpwstr>eyJoZGlkIjoiODRhOTMxMTcyMjM3Yzc2N2U1MTA5NjM3NmIzODgxYjQiLCJ1c2VySWQiOiIyNTg1OTU5NiJ9</vt:lpwstr>
  </property>
  <property fmtid="{D5CDD505-2E9C-101B-9397-08002B2CF9AE}" pid="16" name="ICV">
    <vt:lpwstr>6D6431B64BDD4DE4B45822A3502920EB_12</vt:lpwstr>
  </property>
</Properties>
</file>