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232BC5">
      <w:pPr>
        <w:pStyle w:val="14"/>
        <w:rPr>
          <w:rFonts w:ascii="宋体" w:hAnsi="宋体"/>
        </w:rPr>
        <w:sectPr>
          <w:headerReference r:id="rId4" w:type="first"/>
          <w:footerReference r:id="rId7" w:type="first"/>
          <w:headerReference r:id="rId3" w:type="default"/>
          <w:footerReference r:id="rId5" w:type="default"/>
          <w:footerReference r:id="rId6" w:type="even"/>
          <w:pgSz w:w="11907" w:h="16839"/>
          <w:pgMar w:top="567" w:right="851" w:bottom="1361" w:left="1418" w:header="0" w:footer="0" w:gutter="0"/>
          <w:pgNumType w:start="1"/>
          <w:cols w:space="720" w:num="1"/>
          <w:titlePg/>
          <w:docGrid w:type="lines" w:linePitch="312" w:charSpace="0"/>
        </w:sectPr>
      </w:pPr>
      <w:bookmarkStart w:id="0" w:name="SectionMark0"/>
      <w:r>
        <w:rPr>
          <w:rFonts w:ascii="宋体" w:hAnsi="宋体"/>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8890000</wp:posOffset>
                </wp:positionV>
                <wp:extent cx="6121400" cy="0"/>
                <wp:effectExtent l="0" t="6350" r="0" b="6350"/>
                <wp:wrapNone/>
                <wp:docPr id="2" name="直接连接符 2"/>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700pt;height:0pt;width:482pt;z-index:251666432;mso-width-relative:page;mso-height-relative:page;" filled="f" stroked="t" coordsize="21600,21600" o:gfxdata="UEsDBAoAAAAAAIdO4kAAAAAAAAAAAAAAAAAEAAAAZHJzL1BLAwQUAAAACACHTuJAyxL5WNIAAAAK&#10;AQAADwAAAGRycy9kb3ducmV2LnhtbE1P0UrDQBB8F/oPxwq+iL2rxNLGXAoVBF+thdK3bW6bBHN7&#10;IXdN6t+7Poi+zc4MszPF5uo7NdIQ28AWFnMDirgKruXawv7j9WEFKiZkh11gsvBFETbl7KbA3IWJ&#10;32ncpVpJCMccLTQp9bnWsWrIY5yHnli0cxg8JjmHWrsBJwn3nX40Zqk9tiwfGuzppaHqc3fxFqbD&#10;m66O63vjn8Z90meTbY0P1t7dLswzqETX9GeGn/pSHUrpdAoXdlF1FmRIEjYzRpDo62Um4PRL6bLQ&#10;/yeU31BLAwQUAAAACACHTuJAirnfWe0BAADZAwAADgAAAGRycy9lMm9Eb2MueG1srVPNjtMwEL4j&#10;8Q6W7zRphJZV1HQPW5YLgkrAA0xtp7HkP3m8TfsSvAASNzhx5M7bsDwGY6fbheXSAzk44/HMN/N9&#10;Hi+u9tawnYqovev4fFZzppzwUrttxz+8v3l2yRkmcBKMd6rjB4X8avn0yWIMrWr84I1UkRGIw3YM&#10;HR9SCm1VoRiUBZz5oBwd9j5aSLSN20pGGAndmqqp64tq9FGG6IVCJO9qOuRHxHgOoO97LdTKi1ur&#10;XJpQozKQiBIOOiBflm77Xon0tu9RJWY6TkxTWakI2Zu8VssFtNsIYdDi2AKc08IjTha0o6InqBUk&#10;YLdR/wNltYgefZ9mwttqIlIUIRbz+pE27wYIqnAhqTGcRMf/Byve7NaRadnxhjMHli787tP3nx+/&#10;/Prxmda7b19Zk0UaA7YUe+3W8bjDsI6Z8b6PNv+JC9sXYQ8nYdU+MUHOi3kzf16T5uL+rHpIDBHT&#10;K+Uty0bHjXaZM7Swe42JilHofUh2G8dGmtvmRcEDmsCebp6gbSAW6LYlGb3R8kYbk1MwbjfXJrId&#10;0BRc1vRdZk4E/FdYrrICHKa4cjTNx6BAvnSSpUMgfRw9C557sEpyZhS9omwRILQJtDknkkobRx1k&#10;WSchs7Xx8lD0LX668dLjcTrzSP25L9kPL3L5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sS+VjS&#10;AAAACgEAAA8AAAAAAAAAAQAgAAAAIgAAAGRycy9kb3ducmV2LnhtbFBLAQIUABQAAAAIAIdO4kCK&#10;ud9Z7QEAANkDAAAOAAAAAAAAAAEAIAAAACEBAABkcnMvZTJvRG9jLnhtbFBLBQYAAAAABgAGAFkB&#10;AACABQAAAAA=&#10;">
                <v:fill on="f" focussize="0,0"/>
                <v:stroke weight="1pt" color="#800008" joinstyle="round"/>
                <v:imagedata o:title=""/>
                <o:lock v:ext="edit" aspectratio="f"/>
              </v:line>
            </w:pict>
          </mc:Fallback>
        </mc:AlternateContent>
      </w:r>
      <w:r>
        <w:rPr>
          <w:rFonts w:ascii="宋体" w:hAnsi="宋体"/>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2273300</wp:posOffset>
                </wp:positionV>
                <wp:extent cx="6121400" cy="0"/>
                <wp:effectExtent l="0" t="6350" r="0" b="6350"/>
                <wp:wrapNone/>
                <wp:docPr id="1" name="直接连接符 1"/>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79pt;height:0pt;width:482pt;z-index:251665408;mso-width-relative:page;mso-height-relative:page;" filled="f" stroked="t" coordsize="21600,21600"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C5QZDV7QEAANkDAAAOAAAAZHJzL2Uyb0RvYy54bWytU72OEzEQ&#10;7pF4B8s92U2EjmiVzRUXjgZBJOABJrY3a8l/8viyyUvwAkh0UFHS8zYcj8HYm8vBXZPitvCOxzPf&#10;zPd5vLjcW8N2KqL2ruXTSc2ZcsJL7bYt//Tx+sWcM0zgJBjvVMsPCvnl8vmzxRAaNfO9N1JFRiAO&#10;myG0vE8pNFWFolcWcOKDcnTY+Wgh0TZuKxlhIHRrqlldX1SDjzJELxQieVfjIT8ixnMAfddpoVZe&#10;3Fjl0ogalYFElLDXAfmydNt1SqT3XYcqMdNyYprKSkXI3uS1Wi6g2UYIvRbHFuCcFh5wsqAdFT1B&#10;rSABu4n6EZTVInr0XZoIb6uRSFGEWEzrB9p86CGowoWkxnASHZ8OVrzbrSPTkiaBMweWLvz2y8/f&#10;n7/9+fWV1tsf39k0izQEbCj2yq3jcYdhHTPjfRdt/hMXti/CHk7Cqn1igpwX09n0ZU2ai7uz6j4x&#10;RExvlLcsGy032mXO0MDuLSYqRqF3IdltHBuo29mrggc0gR3dPEHbQCzQbUsyeqPltTYmp2Dcbq5M&#10;ZDugKZjX9M0zJwL+LyxXWQH2Y1w5GuejVyBfO8nSIZA+jp4Fzz1YJTkzil5RtggQmgTanBNJpY2j&#10;DrKso5DZ2nh5KPoWP9146fE4nXmk/t2X7PsXufw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T8Si&#10;vtQAAAAIAQAADwAAAAAAAAABACAAAAAiAAAAZHJzL2Rvd25yZXYueG1sUEsBAhQAFAAAAAgAh07i&#10;QLlBkNXtAQAA2QMAAA4AAAAAAAAAAQAgAAAAIwEAAGRycy9lMm9Eb2MueG1sUEsFBgAAAAAGAAYA&#10;WQEAAIIFAAAAAA==&#10;">
                <v:fill on="f" focussize="0,0"/>
                <v:stroke weight="1pt" color="#800008" joinstyle="round"/>
                <v:imagedata o:title=""/>
                <o:lock v:ext="edit" aspectratio="f"/>
              </v:line>
            </w:pict>
          </mc:Fallback>
        </mc:AlternateContent>
      </w:r>
      <w:r>
        <w:rPr>
          <w:rFonts w:ascii="宋体" w:hAnsi="宋体"/>
        </w:rPr>
        <mc:AlternateContent>
          <mc:Choice Requires="wps">
            <w:drawing>
              <wp:anchor distT="0" distB="0" distL="114300" distR="114300" simplePos="0" relativeHeight="251664384" behindDoc="0" locked="1" layoutInCell="1" allowOverlap="1">
                <wp:simplePos x="0" y="0"/>
                <wp:positionH relativeFrom="margin">
                  <wp:posOffset>0</wp:posOffset>
                </wp:positionH>
                <wp:positionV relativeFrom="margin">
                  <wp:posOffset>9108440</wp:posOffset>
                </wp:positionV>
                <wp:extent cx="6120130" cy="363220"/>
                <wp:effectExtent l="0" t="0" r="6350" b="2540"/>
                <wp:wrapNone/>
                <wp:docPr id="3" name="文本框 3"/>
                <wp:cNvGraphicFramePr/>
                <a:graphic xmlns:a="http://schemas.openxmlformats.org/drawingml/2006/main">
                  <a:graphicData uri="http://schemas.microsoft.com/office/word/2010/wordprocessingShape">
                    <wps:wsp>
                      <wps:cNvSpPr txBox="1"/>
                      <wps:spPr>
                        <a:xfrm>
                          <a:off x="0" y="0"/>
                          <a:ext cx="6120130" cy="363220"/>
                        </a:xfrm>
                        <a:prstGeom prst="rect">
                          <a:avLst/>
                        </a:prstGeom>
                        <a:solidFill>
                          <a:srgbClr val="FFFFFF"/>
                        </a:solidFill>
                        <a:ln>
                          <a:noFill/>
                        </a:ln>
                      </wps:spPr>
                      <wps:txbx>
                        <w:txbxContent>
                          <w:p w14:paraId="1B331560">
                            <w:pPr>
                              <w:pStyle w:val="19"/>
                            </w:pPr>
                            <w:r>
                              <w:rPr>
                                <w:rFonts w:hint="eastAsia"/>
                              </w:rPr>
                              <w:t>河北省质量技术监督局</w:t>
                            </w:r>
                            <w:r>
                              <w:rPr>
                                <w:rStyle w:val="20"/>
                                <w:rFonts w:hint="eastAsia"/>
                              </w:rPr>
                              <w:t xml:space="preserve"> 发布</w:t>
                            </w:r>
                          </w:p>
                        </w:txbxContent>
                      </wps:txbx>
                      <wps:bodyPr lIns="0" tIns="0" rIns="0" bIns="0" upright="1"/>
                    </wps:wsp>
                  </a:graphicData>
                </a:graphic>
              </wp:anchor>
            </w:drawing>
          </mc:Choice>
          <mc:Fallback>
            <w:pict>
              <v:shape id="_x0000_s1026" o:spid="_x0000_s1026" o:spt="202" type="#_x0000_t202" style="position:absolute;left:0pt;margin-left:0pt;margin-top:717.2pt;height:28.6pt;width:481.9pt;mso-position-horizontal-relative:margin;mso-position-vertical-relative:margin;z-index:251664384;mso-width-relative:page;mso-height-relative:page;" fillcolor="#FFFFFF" filled="t" stroked="f" coordsize="21600,21600" o:gfxdata="UEsDBAoAAAAAAIdO4kAAAAAAAAAAAAAAAAAEAAAAZHJzL1BLAwQUAAAACACHTuJAiVYG69gAAAAK&#10;AQAADwAAAGRycy9kb3ducmV2LnhtbE2PwU7DMBBE70j8g7VIXBB10kYRDXEq0cINDi1Vz268JBHx&#10;OrKdpv17tid63JnR7Lxydba9OKEPnSMF6SwBgVQ701GjYP/98fwCIkRNRveOUMEFA6yq+7tSF8ZN&#10;tMXTLjaCSygUWkEb41BIGeoWrQ4zNyCx9+O81ZFP30jj9cTltpfzJMml1R3xh1YPuG6x/t2NVkG+&#10;8eO0pfXTZv/+qb+GZn54uxyUenxIk1cQEc/xPwzX+TwdKt50dCOZIHoFDBJZzRZZBoL9Zb5glONV&#10;WqY5yKqUtwjVH1BLAwQUAAAACACHTuJAvl3eX84BAACbAwAADgAAAGRycy9lMm9Eb2MueG1srVNN&#10;rtMwEN4jcQfLe+q2kSoUNX0SVEVICJAeHMBxnMSS/zR2m/QCcANWbNhzrp6DsdP0PR6btyCLZDwz&#10;/ma+bybbu9FocpIQlLMVXS2WlEgrXKNsV9GvXw6vXlMSIrcN187Kip5loHe7ly+2gy/l2vVONxII&#10;gthQDr6ifYy+ZCyIXhoeFs5Li8HWgeERj9CxBviA6Eaz9XK5YYODxoMTMgT07qcgvSLCcwBd2yoh&#10;904cjbRxQgWpeURKoVc+0F3utm2liJ/aNshIdEWRacxvLIJ2nd5st+VlB9z3Slxb4M9p4Qknw5XF&#10;ojeoPY+cHEH9A2WUABdcGxfCGTYRyYogi9XyiTb3Pfcyc0Gpg7+JHv4frPh4+gxENRUtKLHc4MAv&#10;P75ffv6+/PpGiiTP4EOJWfce8+L4xo24NLM/oDOxHlsw6Yt8CMZR3PNNXDlGItC5WSHDAkMCY8Wm&#10;WK+z+uzhtocQ30lnSDIqCji8rCk/fQgRO8HUOSUVC06r5qC0zgfo6rcayInjoA/5SU3ilb/StE3J&#10;1qVrUzh5WOI4cUlWHOvxSrx2zRl56/cWNU/7MxswG/VsHD2orse+szoZEmeWW7juV1qKx+dc+OGf&#10;2v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VYG69gAAAAKAQAADwAAAAAAAAABACAAAAAiAAAA&#10;ZHJzL2Rvd25yZXYueG1sUEsBAhQAFAAAAAgAh07iQL5d3l/OAQAAmwMAAA4AAAAAAAAAAQAgAAAA&#10;JwEAAGRycy9lMm9Eb2MueG1sUEsFBgAAAAAGAAYAWQEAAGcFAAAAAA==&#10;">
                <v:fill on="t" focussize="0,0"/>
                <v:stroke on="f"/>
                <v:imagedata o:title=""/>
                <o:lock v:ext="edit" aspectratio="f"/>
                <v:textbox inset="0mm,0mm,0mm,0mm">
                  <w:txbxContent>
                    <w:p w14:paraId="1B331560">
                      <w:pPr>
                        <w:pStyle w:val="19"/>
                      </w:pPr>
                      <w:r>
                        <w:rPr>
                          <w:rFonts w:hint="eastAsia"/>
                        </w:rPr>
                        <w:t>河北省质量技术监督局</w:t>
                      </w:r>
                      <w:r>
                        <w:rPr>
                          <w:rStyle w:val="20"/>
                          <w:rFonts w:hint="eastAsia"/>
                        </w:rPr>
                        <w:t xml:space="preserve"> 发布</w:t>
                      </w:r>
                    </w:p>
                  </w:txbxContent>
                </v:textbox>
                <w10:anchorlock/>
              </v:shape>
            </w:pict>
          </mc:Fallback>
        </mc:AlternateContent>
      </w:r>
      <w:r>
        <w:rPr>
          <w:rFonts w:ascii="宋体" w:hAnsi="宋体"/>
        </w:rPr>
        <mc:AlternateContent>
          <mc:Choice Requires="wps">
            <w:drawing>
              <wp:anchor distT="0" distB="0" distL="114300" distR="114300" simplePos="0" relativeHeight="251663360" behindDoc="0" locked="1" layoutInCell="1" allowOverlap="1">
                <wp:simplePos x="0" y="0"/>
                <wp:positionH relativeFrom="margin">
                  <wp:posOffset>4100830</wp:posOffset>
                </wp:positionH>
                <wp:positionV relativeFrom="margin">
                  <wp:posOffset>8563610</wp:posOffset>
                </wp:positionV>
                <wp:extent cx="2019300" cy="312420"/>
                <wp:effectExtent l="0" t="0" r="7620" b="7620"/>
                <wp:wrapNone/>
                <wp:docPr id="4" name="文本框 4"/>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a:noFill/>
                        </a:ln>
                      </wps:spPr>
                      <wps:txbx>
                        <w:txbxContent>
                          <w:p w14:paraId="70735535">
                            <w:pPr>
                              <w:pStyle w:val="21"/>
                              <w:numPr>
                                <w:ilvl w:val="4"/>
                                <w:numId w:val="0"/>
                              </w:numPr>
                              <w:rPr>
                                <w:rFonts w:ascii="黑体"/>
                              </w:rPr>
                            </w:pPr>
                            <w:r>
                              <w:rPr>
                                <w:rFonts w:hint="eastAsia" w:ascii="黑体"/>
                              </w:rPr>
                              <w:t>Xxxx-xx-xx实施</w:t>
                            </w:r>
                          </w:p>
                          <w:p w14:paraId="10CBE268"/>
                        </w:txbxContent>
                      </wps:txbx>
                      <wps:bodyPr lIns="0" tIns="0" rIns="0" bIns="0" upright="1"/>
                    </wps:wsp>
                  </a:graphicData>
                </a:graphic>
              </wp:anchor>
            </w:drawing>
          </mc:Choice>
          <mc:Fallback>
            <w:pict>
              <v:shape id="_x0000_s1026" o:spid="_x0000_s1026" o:spt="202" type="#_x0000_t202" style="position:absolute;left:0pt;margin-left:322.9pt;margin-top:674.3pt;height:24.6pt;width:159pt;mso-position-horizontal-relative:margin;mso-position-vertical-relative:margin;z-index:251663360;mso-width-relative:page;mso-height-relative:page;" fillcolor="#FFFFFF" filled="t" stroked="f" coordsize="21600,21600" o:gfxdata="UEsDBAoAAAAAAIdO4kAAAAAAAAAAAAAAAAAEAAAAZHJzL1BLAwQUAAAACACHTuJAQv2q19oAAAAN&#10;AQAADwAAAGRycy9kb3ducmV2LnhtbE2PzU7DMBCE70i8g7VIXBB1+kNIQ5xKtHCDQ0vVsxsvSUS8&#10;jmynad+e7QmOOzOa/aZYnW0nTuhD60jBdJKAQKqcaalWsP96f8xAhKjJ6M4RKrhggFV5e1Po3LiR&#10;tnjaxVpwCYVcK2hi7HMpQ9Wg1WHieiT2vp23OvLpa2m8HrncdnKWJKm0uiX+0Oge1w1WP7vBKkg3&#10;fhi3tH7Y7N8+9Gdfzw6vl4NS93fT5AVExHP8C8MVn9GhZKajG8gE0XHH4onRIxvzRZaC4MgynbN0&#10;vErL5wxkWcj/K8pfUEsDBBQAAAAIAIdO4kCDGgVSzgEAAJsDAAAOAAAAZHJzL2Uyb0RvYy54bWyt&#10;U82O0zAQviPxDpbv1Gm3QhA1XQmqIiQESLs8gOM4iSX/aew26QvAG3Diwp3n6nMwdpouLJc9kEMy&#10;nhl/M983k83taDQ5SgjK2YouFwUl0grXKNtV9Mv9/sUrSkLktuHaWVnRkwz0dvv82WbwpVy53ulG&#10;AkEQG8rBV7SP0ZeMBdFLw8PCeWkx2DowPOIROtYAHxDdaLYqipdscNB4cEKGgN7dFKQXRHgKoGtb&#10;JeTOiYORNk6oIDWPSCn0yge6zd22rRTxU9sGGYmuKDKN+Y1F0K7Tm203vOyA+16JSwv8KS084mS4&#10;slj0CrXjkZMDqH+gjBLggmvjQjjDJiJZEWSxLB5pc9dzLzMXlDr4q+jh/8GKj8fPQFRT0TUllhsc&#10;+Pn7t/OPX+efX8k6yTP4UGLWnce8OL5xIy7N7A/oTKzHFkz6Ih+CcRT3dBVXjpEIdCK/1zcFhgTG&#10;bpar9Sqrzx5uewjxnXSGJKOigMPLmvLjhxCxE0ydU1Kx4LRq9krrfICufquBHDkOep+f1CRe+StN&#10;25RsXbo2hZOHJY4Tl2TFsR4vxGvXnJC3fm9R87Q/swGzUc/GwYPqeuw7q5MhcWa5hct+paX485wL&#10;P/xT2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C/arX2gAAAA0BAAAPAAAAAAAAAAEAIAAAACIA&#10;AABkcnMvZG93bnJldi54bWxQSwECFAAUAAAACACHTuJAgxoFUs4BAACbAwAADgAAAAAAAAABACAA&#10;AAApAQAAZHJzL2Uyb0RvYy54bWxQSwUGAAAAAAYABgBZAQAAaQUAAAAA&#10;">
                <v:fill on="t" focussize="0,0"/>
                <v:stroke on="f"/>
                <v:imagedata o:title=""/>
                <o:lock v:ext="edit" aspectratio="f"/>
                <v:textbox inset="0mm,0mm,0mm,0mm">
                  <w:txbxContent>
                    <w:p w14:paraId="70735535">
                      <w:pPr>
                        <w:pStyle w:val="21"/>
                        <w:numPr>
                          <w:ilvl w:val="4"/>
                          <w:numId w:val="0"/>
                        </w:numPr>
                        <w:rPr>
                          <w:rFonts w:ascii="黑体"/>
                        </w:rPr>
                      </w:pPr>
                      <w:r>
                        <w:rPr>
                          <w:rFonts w:hint="eastAsia" w:ascii="黑体"/>
                        </w:rPr>
                        <w:t>Xxxx-xx-xx实施</w:t>
                      </w:r>
                    </w:p>
                    <w:p w14:paraId="10CBE268"/>
                  </w:txbxContent>
                </v:textbox>
                <w10:anchorlock/>
              </v:shape>
            </w:pict>
          </mc:Fallback>
        </mc:AlternateContent>
      </w:r>
      <w:r>
        <w:rPr>
          <w:rFonts w:ascii="宋体" w:hAnsi="宋体"/>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8563610</wp:posOffset>
                </wp:positionV>
                <wp:extent cx="2019300" cy="312420"/>
                <wp:effectExtent l="0" t="0" r="7620" b="7620"/>
                <wp:wrapNone/>
                <wp:docPr id="5" name="文本框 5"/>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a:noFill/>
                        </a:ln>
                      </wps:spPr>
                      <wps:txbx>
                        <w:txbxContent>
                          <w:p w14:paraId="140FBFBF">
                            <w:pPr>
                              <w:rPr>
                                <w:rFonts w:ascii="黑体" w:eastAsia="黑体"/>
                                <w:sz w:val="28"/>
                                <w:szCs w:val="28"/>
                              </w:rPr>
                            </w:pPr>
                            <w:r>
                              <w:rPr>
                                <w:rFonts w:hint="eastAsia" w:ascii="黑体" w:eastAsia="黑体"/>
                                <w:sz w:val="28"/>
                                <w:szCs w:val="28"/>
                              </w:rPr>
                              <w:t>Xxxx-xx-xx发布</w:t>
                            </w:r>
                          </w:p>
                        </w:txbxContent>
                      </wps:txbx>
                      <wps:bodyPr lIns="0" tIns="0" rIns="0" bIns="0" upright="1"/>
                    </wps:wsp>
                  </a:graphicData>
                </a:graphic>
              </wp:anchor>
            </w:drawing>
          </mc:Choice>
          <mc:Fallback>
            <w:pict>
              <v:shape id="_x0000_s1026" o:spid="_x0000_s1026" o:spt="202" type="#_x0000_t202" style="position:absolute;left:0pt;margin-left:0pt;margin-top:674.3pt;height:24.6pt;width:159pt;mso-position-horizontal-relative:margin;mso-position-vertical-relative:margin;z-index:251662336;mso-width-relative:page;mso-height-relative:page;" fillcolor="#FFFFFF" filled="t" stroked="f" coordsize="21600,21600" o:gfxdata="UEsDBAoAAAAAAIdO4kAAAAAAAAAAAAAAAAAEAAAAZHJzL1BLAwQUAAAACACHTuJAXzbKiNgAAAAK&#10;AQAADwAAAGRycy9kb3ducmV2LnhtbE2PwU7DMBBE70j8g7VIXBB10qIQQpxKtHCDQ0vV8zY2SUS8&#10;jmynaf+e7Yke981odqZcnmwvjsaHzpGCdJaAMFQ73VGjYPf98ZiDCBFJY+/IKDibAMvq9qbEQruJ&#10;Nua4jY3gEAoFKmhjHAopQ90ai2HmBkOs/ThvMfLpG6k9ThxuezlPkkxa7Ig/tDiYVWvq3+1oFWRr&#10;P04bWj2sd++f+DU08/3bea/U/V2avIKI5hT/zXCpz9Wh4k4HN5IOolfAQyLTxVOegWB9keaMDhf0&#10;8pyDrEp5PaH6A1BLAwQUAAAACACHTuJA5Aho4s8BAACbAwAADgAAAGRycy9lMm9Eb2MueG1srVNN&#10;rtMwEN4jcQfLe5q0j4cgavokqIqQECA9OIDj2Ikl/2nsNukF4Aas2LDnXD0HY6fp+2HzFmSRjGfG&#10;38z3zWR9MxpNDgKCcramy0VJibDctcp2Nf32dffiNSUhMtsy7ayo6VEEerN5/mw9+EqsXO90K4Ag&#10;iA3V4Gvax+irogi8F4aFhfPCYlA6MCziEbqiBTYgutHFqixfFYOD1oPjIgT0bqcgPSPCUwCdlIqL&#10;reN7I2ycUEFoFpFS6JUPdJO7lVLw+FnKICLRNUWmMb+xCNpNehebNas6YL5X/NwCe0oLjzgZpiwW&#10;vUBtWWRkD+ofKKM4uOBkXHBniolIVgRZLMtH2tz2zIvMBaUO/iJ6+H+w/NPhCxDV1vSaEssMDvz0&#10;88fp15/T7+/kOskz+FBh1q3HvDi+dSMuzewP6EysRwkmfZEPwTiKe7yIK8ZIODqR35urEkMcY1fL&#10;1ctVVr+4u+0hxPfCGZKMmgIOL2vKDh9DxE4wdU5JxYLTqt0prfMBuuadBnJgOOhdflKTeOVBmrYp&#10;2bp0bQonT5E4TlySFcdmPBNvXHtE3vqDRc3T/swGzEYzG3sPquux76xOhsSZ5RbO+5WW4v45F777&#10;pzZ/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F82yojYAAAACgEAAA8AAAAAAAAAAQAgAAAAIgAA&#10;AGRycy9kb3ducmV2LnhtbFBLAQIUABQAAAAIAIdO4kDkCGjizwEAAJsDAAAOAAAAAAAAAAEAIAAA&#10;ACcBAABkcnMvZTJvRG9jLnhtbFBLBQYAAAAABgAGAFkBAABoBQAAAAA=&#10;">
                <v:fill on="t" focussize="0,0"/>
                <v:stroke on="f"/>
                <v:imagedata o:title=""/>
                <o:lock v:ext="edit" aspectratio="f"/>
                <v:textbox inset="0mm,0mm,0mm,0mm">
                  <w:txbxContent>
                    <w:p w14:paraId="140FBFBF">
                      <w:pPr>
                        <w:rPr>
                          <w:rFonts w:ascii="黑体" w:eastAsia="黑体"/>
                          <w:sz w:val="28"/>
                          <w:szCs w:val="28"/>
                        </w:rPr>
                      </w:pPr>
                      <w:r>
                        <w:rPr>
                          <w:rFonts w:hint="eastAsia" w:ascii="黑体" w:eastAsia="黑体"/>
                          <w:sz w:val="28"/>
                          <w:szCs w:val="28"/>
                        </w:rPr>
                        <w:t>Xxxx-xx-xx发布</w:t>
                      </w:r>
                    </w:p>
                  </w:txbxContent>
                </v:textbox>
                <w10:anchorlock/>
              </v:shape>
            </w:pict>
          </mc:Fallback>
        </mc:AlternateContent>
      </w:r>
      <w:r>
        <w:rPr>
          <w:rFonts w:ascii="宋体" w:hAnsi="宋体"/>
        </w:rPr>
        <mc:AlternateContent>
          <mc:Choice Requires="wps">
            <w:drawing>
              <wp:anchor distT="0" distB="0" distL="114300" distR="114300" simplePos="0" relativeHeight="251661312" behindDoc="0" locked="1" layoutInCell="1" allowOverlap="1">
                <wp:simplePos x="0" y="0"/>
                <wp:positionH relativeFrom="margin">
                  <wp:posOffset>0</wp:posOffset>
                </wp:positionH>
                <wp:positionV relativeFrom="margin">
                  <wp:posOffset>3635375</wp:posOffset>
                </wp:positionV>
                <wp:extent cx="5969000" cy="4681220"/>
                <wp:effectExtent l="0" t="0" r="5080" b="12700"/>
                <wp:wrapNone/>
                <wp:docPr id="7" name="文本框 7"/>
                <wp:cNvGraphicFramePr/>
                <a:graphic xmlns:a="http://schemas.openxmlformats.org/drawingml/2006/main">
                  <a:graphicData uri="http://schemas.microsoft.com/office/word/2010/wordprocessingShape">
                    <wps:wsp>
                      <wps:cNvSpPr txBox="1"/>
                      <wps:spPr>
                        <a:xfrm>
                          <a:off x="0" y="0"/>
                          <a:ext cx="5969000" cy="4681220"/>
                        </a:xfrm>
                        <a:prstGeom prst="rect">
                          <a:avLst/>
                        </a:prstGeom>
                        <a:solidFill>
                          <a:srgbClr val="FFFFFF"/>
                        </a:solidFill>
                        <a:ln>
                          <a:noFill/>
                        </a:ln>
                      </wps:spPr>
                      <wps:txbx>
                        <w:txbxContent>
                          <w:p w14:paraId="48334211">
                            <w:pPr>
                              <w:pStyle w:val="17"/>
                              <w:rPr>
                                <w:rFonts w:ascii="黑体" w:eastAsia="黑体"/>
                                <w:sz w:val="52"/>
                                <w:szCs w:val="52"/>
                              </w:rPr>
                            </w:pPr>
                            <w:r>
                              <w:rPr>
                                <w:rFonts w:hint="eastAsia" w:ascii="黑体" w:eastAsia="黑体"/>
                                <w:sz w:val="52"/>
                                <w:szCs w:val="52"/>
                              </w:rPr>
                              <w:t>滨海退养湿地节水植被修复技术规程</w:t>
                            </w:r>
                          </w:p>
                          <w:p w14:paraId="3080AE33">
                            <w:pPr>
                              <w:pStyle w:val="17"/>
                            </w:pPr>
                          </w:p>
                          <w:p w14:paraId="2DFCD410">
                            <w:pPr>
                              <w:pStyle w:val="23"/>
                            </w:pPr>
                          </w:p>
                          <w:p w14:paraId="6494459C">
                            <w:pPr>
                              <w:pStyle w:val="30"/>
                            </w:pPr>
                            <w:r>
                              <w:rPr>
                                <w:rFonts w:hint="eastAsia"/>
                              </w:rPr>
                              <w:t>征求意见</w:t>
                            </w:r>
                            <w:r>
                              <w:t>稿</w:t>
                            </w:r>
                          </w:p>
                          <w:p w14:paraId="7DF46ED1">
                            <w:pPr>
                              <w:pStyle w:val="23"/>
                            </w:pPr>
                          </w:p>
                          <w:p w14:paraId="5FAE476C">
                            <w:pPr>
                              <w:pStyle w:val="24"/>
                            </w:pPr>
                          </w:p>
                        </w:txbxContent>
                      </wps:txbx>
                      <wps:bodyPr lIns="0" tIns="0" rIns="0" bIns="0" upright="1"/>
                    </wps:wsp>
                  </a:graphicData>
                </a:graphic>
              </wp:anchor>
            </w:drawing>
          </mc:Choice>
          <mc:Fallback>
            <w:pict>
              <v:shape id="_x0000_s1026" o:spid="_x0000_s1026" o:spt="202" type="#_x0000_t202" style="position:absolute;left:0pt;margin-left:0pt;margin-top:286.25pt;height:368.6pt;width:470pt;mso-position-horizontal-relative:margin;mso-position-vertical-relative:margin;z-index:251661312;mso-width-relative:page;mso-height-relative:page;" fillcolor="#FFFFFF" filled="t" stroked="f" coordsize="21600,21600"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pdR2OdIBAACcAwAADgAAAGRycy9lMm9Eb2MueG1srVNL&#10;btswEN0X6B0I7mvJRuMkguUAqeGgQNEWSHsAiqIkAvxhSFvyBdobdNVN9z2Xz9EhZTlNsskiWkjD&#10;meGbeW9Gq5tBK7IX4KU1JZ3PckqE4baWpi3p92/bd1eU+MBMzZQ1oqQH4enN+u2bVe8KsbCdVbUA&#10;giDGF70raReCK7LM805o5mfWCYPBxoJmAY/QZjWwHtG1yhZ5vsx6C7UDy4X36N2MQXpChJcA2qaR&#10;XGws32lhwogKQrGAlHwnnafr1G3TCB6+NI0XgaiSItOQ3lgE7Sq+s/WKFS0w10l+aoG9pIUnnDST&#10;BoueoTYsMLID+QxKSw7W2ybMuNXZSCQpgizm+RNt7jvmROKCUnt3Ft2/Hiz/vP8KRNYlvaTEMI0D&#10;P/76efz99/jnB7mM8vTOF5h17zAvDLd2wKWZ/B6dkfXQgI5f5EMwjuIezuKKIRCOzovr5XWeY4hj&#10;7P3yar5YJPmzh+sOfLgTVpNolBRweklUtv/kA7aCqVNKrOatkvVWKpUO0FYfFJA9w0lv0xO7xCuP&#10;0pSJycbGa2M4erJIciQTrTBUw4l5ZesDElcfDYoeF2gyYDKqydg5kG2HfSd5EiQOLbVwWrC4Ff+f&#10;U+GHn2r9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FRXn3HYAAAACQEAAA8AAAAAAAAAAQAgAAAA&#10;IgAAAGRycy9kb3ducmV2LnhtbFBLAQIUABQAAAAIAIdO4kCl1HY50gEAAJwDAAAOAAAAAAAAAAEA&#10;IAAAACcBAABkcnMvZTJvRG9jLnhtbFBLBQYAAAAABgAGAFkBAABrBQAAAAA=&#10;">
                <v:fill on="t" focussize="0,0"/>
                <v:stroke on="f"/>
                <v:imagedata o:title=""/>
                <o:lock v:ext="edit" aspectratio="f"/>
                <v:textbox inset="0mm,0mm,0mm,0mm">
                  <w:txbxContent>
                    <w:p w14:paraId="48334211">
                      <w:pPr>
                        <w:pStyle w:val="17"/>
                        <w:rPr>
                          <w:rFonts w:ascii="黑体" w:eastAsia="黑体"/>
                          <w:sz w:val="52"/>
                          <w:szCs w:val="52"/>
                        </w:rPr>
                      </w:pPr>
                      <w:r>
                        <w:rPr>
                          <w:rFonts w:hint="eastAsia" w:ascii="黑体" w:eastAsia="黑体"/>
                          <w:sz w:val="52"/>
                          <w:szCs w:val="52"/>
                        </w:rPr>
                        <w:t>滨海退养湿地节水植被修复技术规程</w:t>
                      </w:r>
                    </w:p>
                    <w:p w14:paraId="3080AE33">
                      <w:pPr>
                        <w:pStyle w:val="17"/>
                      </w:pPr>
                    </w:p>
                    <w:p w14:paraId="2DFCD410">
                      <w:pPr>
                        <w:pStyle w:val="23"/>
                      </w:pPr>
                    </w:p>
                    <w:p w14:paraId="6494459C">
                      <w:pPr>
                        <w:pStyle w:val="30"/>
                      </w:pPr>
                      <w:r>
                        <w:rPr>
                          <w:rFonts w:hint="eastAsia"/>
                        </w:rPr>
                        <w:t>征求意见</w:t>
                      </w:r>
                      <w:r>
                        <w:t>稿</w:t>
                      </w:r>
                    </w:p>
                    <w:p w14:paraId="7DF46ED1">
                      <w:pPr>
                        <w:pStyle w:val="23"/>
                      </w:pPr>
                    </w:p>
                    <w:p w14:paraId="5FAE476C">
                      <w:pPr>
                        <w:pStyle w:val="24"/>
                      </w:pPr>
                    </w:p>
                  </w:txbxContent>
                </v:textbox>
                <w10:anchorlock/>
              </v:shape>
            </w:pict>
          </mc:Fallback>
        </mc:AlternateContent>
      </w:r>
      <w:r>
        <w:rPr>
          <w:rFonts w:ascii="宋体" w:hAnsi="宋体"/>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1401445</wp:posOffset>
                </wp:positionV>
                <wp:extent cx="5802630" cy="860425"/>
                <wp:effectExtent l="0" t="0" r="3810" b="8255"/>
                <wp:wrapNone/>
                <wp:docPr id="8" name="文本框 8"/>
                <wp:cNvGraphicFramePr/>
                <a:graphic xmlns:a="http://schemas.openxmlformats.org/drawingml/2006/main">
                  <a:graphicData uri="http://schemas.microsoft.com/office/word/2010/wordprocessingShape">
                    <wps:wsp>
                      <wps:cNvSpPr txBox="1"/>
                      <wps:spPr>
                        <a:xfrm>
                          <a:off x="0" y="0"/>
                          <a:ext cx="5802630" cy="860425"/>
                        </a:xfrm>
                        <a:prstGeom prst="rect">
                          <a:avLst/>
                        </a:prstGeom>
                        <a:solidFill>
                          <a:srgbClr val="FFFFFF"/>
                        </a:solidFill>
                        <a:ln>
                          <a:noFill/>
                        </a:ln>
                      </wps:spPr>
                      <wps:txbx>
                        <w:txbxContent>
                          <w:p w14:paraId="155ADE7E">
                            <w:pPr>
                              <w:pStyle w:val="25"/>
                              <w:wordWrap w:val="0"/>
                            </w:pPr>
                            <w:r>
                              <w:t>DB13</w:t>
                            </w:r>
                            <w:r>
                              <w:rPr>
                                <w:rFonts w:hint="eastAsia"/>
                              </w:rPr>
                              <w:t xml:space="preserve">/Txxxx-xxxx    </w:t>
                            </w:r>
                          </w:p>
                        </w:txbxContent>
                      </wps:txbx>
                      <wps:bodyPr lIns="0" tIns="0" rIns="0" bIns="0" upright="1"/>
                    </wps:wsp>
                  </a:graphicData>
                </a:graphic>
              </wp:anchor>
            </w:drawing>
          </mc:Choice>
          <mc:Fallback>
            <w:pict>
              <v:shape id="_x0000_s1026" o:spid="_x0000_s1026" o:spt="202" type="#_x0000_t202" style="position:absolute;left:0pt;margin-left:0pt;margin-top:110.35pt;height:67.75pt;width:456.9pt;mso-position-horizontal-relative:margin;mso-position-vertical-relative:margin;z-index:251660288;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5WXyi80BAACbAwAADgAAAGRycy9lMm9Eb2MueG1srVPN&#10;jtMwEL4j8Q6W79tku2xVRU1XgqoICQHSwgM4jpNY8p/GbpO+ALwBJy7cea4+B2Mn6f5w2QM5JOOZ&#10;8TfzfTPZ3A1akaMAL60p6fUip0QYbmtp2pJ++7q/WlPiAzM1U9aIkp6Ep3fb1682vSvE0nZW1QII&#10;ghhf9K6kXQiuyDLPO6GZX1gnDAYbC5oFPEKb1cB6RNcqW+b5Kust1A4sF96jdzcG6YQILwG0TSO5&#10;2Fl+0MKEERWEYgEp+U46T7ep26YRPHxuGi8CUSVFpiG9sQjaVXxn2w0rWmCuk3xqgb2khWecNJMG&#10;i16gdiwwcgD5D5SWHKy3TVhwq7ORSFIEWVznz7S575gTiQtK7d1FdP//YPmn4xcgsi4pjt0wjQM/&#10;//xx/vXn/Ps7WUd5eucLzLp3mBeGt3bApZn9Hp2R9dCAjl/kQzCO4p4u4oohEI7O23W+XN1giGNs&#10;vcrfLG8jTPZw24EP74XVJBolBRxe0pQdP/owps4psZi3StZ7qVQ6QFu9U0CODAe9T8+E/iRNmZhs&#10;bLw2IkZPFjmOXKIVhmqYiFe2PiFv9cGg5nF/ZgNmo5qNgwPZdth3UidB4swSwWm/4lI8PqfCD//U&#10;9i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FAaT72AAAAAgBAAAPAAAAAAAAAAEAIAAAACIAAABk&#10;cnMvZG93bnJldi54bWxQSwECFAAUAAAACACHTuJA5WXyi80BAACbAwAADgAAAAAAAAABACAAAAAn&#10;AQAAZHJzL2Uyb0RvYy54bWxQSwUGAAAAAAYABgBZAQAAZgUAAAAA&#10;">
                <v:fill on="t" focussize="0,0"/>
                <v:stroke on="f"/>
                <v:imagedata o:title=""/>
                <o:lock v:ext="edit" aspectratio="f"/>
                <v:textbox inset="0mm,0mm,0mm,0mm">
                  <w:txbxContent>
                    <w:p w14:paraId="155ADE7E">
                      <w:pPr>
                        <w:pStyle w:val="25"/>
                        <w:wordWrap w:val="0"/>
                      </w:pPr>
                      <w:r>
                        <w:t>DB13</w:t>
                      </w:r>
                      <w:r>
                        <w:rPr>
                          <w:rFonts w:hint="eastAsia"/>
                        </w:rPr>
                        <w:t xml:space="preserve">/Txxxx-xxxx    </w:t>
                      </w:r>
                    </w:p>
                  </w:txbxContent>
                </v:textbox>
                <w10:anchorlock/>
              </v:shape>
            </w:pict>
          </mc:Fallback>
        </mc:AlternateContent>
      </w:r>
      <w:r>
        <w:rPr>
          <w:rFonts w:ascii="宋体" w:hAnsi="宋体"/>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1010920</wp:posOffset>
                </wp:positionV>
                <wp:extent cx="6120130" cy="391160"/>
                <wp:effectExtent l="0" t="0" r="6350" b="5080"/>
                <wp:wrapNone/>
                <wp:docPr id="6" name="文本框 6"/>
                <wp:cNvGraphicFramePr/>
                <a:graphic xmlns:a="http://schemas.openxmlformats.org/drawingml/2006/main">
                  <a:graphicData uri="http://schemas.microsoft.com/office/word/2010/wordprocessingShape">
                    <wps:wsp>
                      <wps:cNvSpPr txBox="1"/>
                      <wps:spPr>
                        <a:xfrm>
                          <a:off x="0" y="0"/>
                          <a:ext cx="6120130" cy="391160"/>
                        </a:xfrm>
                        <a:prstGeom prst="rect">
                          <a:avLst/>
                        </a:prstGeom>
                        <a:solidFill>
                          <a:srgbClr val="FFFFFF"/>
                        </a:solidFill>
                        <a:ln>
                          <a:noFill/>
                        </a:ln>
                      </wps:spPr>
                      <wps:txbx>
                        <w:txbxContent>
                          <w:p w14:paraId="2C8ED3FF">
                            <w:pPr>
                              <w:pStyle w:val="26"/>
                            </w:pPr>
                            <w:r>
                              <w:rPr>
                                <w:rFonts w:hint="eastAsia"/>
                              </w:rPr>
                              <w:t>河北省地方标准</w:t>
                            </w:r>
                          </w:p>
                        </w:txbxContent>
                      </wps:txbx>
                      <wps:bodyPr lIns="0" tIns="0" rIns="0" bIns="0" upright="1"/>
                    </wps:wsp>
                  </a:graphicData>
                </a:graphic>
              </wp:anchor>
            </w:drawing>
          </mc:Choice>
          <mc:Fallback>
            <w:pict>
              <v:shape id="_x0000_s1026" o:spid="_x0000_s1026" o:spt="202" type="#_x0000_t202" style="position:absolute;left:0pt;margin-left:0pt;margin-top:79.6pt;height:30.8pt;width:481.9pt;mso-position-horizontal-relative:margin;mso-position-vertical-relative:margin;z-index:251659264;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Aj7+3qzgEAAJsDAAAOAAAAZHJzL2Uyb0RvYy54bWytU82O&#10;0zAQviPxDpbvNM2uFEHUdCWoipAQIC08gOPYiSX/aew26QvAG3Diwp3n6nMwdpouLJc9kEMynhl/&#10;M983k83dZDQ5CgjK2YaWqzUlwnLXKds39Mvn/YuXlITIbMe0s6KhJxHo3fb5s83oa3HjBqc7AQRB&#10;bKhH39AhRl8XReCDMCysnBcWg9KBYRGP0BcdsBHRjS5u1uuqGB10HhwXIaB3NwfpBRGeAuikVFzs&#10;HD8YYeOMCkKziJTCoHyg29ytlILHj1IGEYluKDKN+Y1F0G7Tu9huWN0D84PilxbYU1p4xMkwZbHo&#10;FWrHIiMHUP9AGcXBBSfjijtTzESyIsiiXD/S5n5gXmQuKHXwV9HD/4PlH46fgKiuoRUllhkc+Pn7&#10;t/OPX+efX0mV5Bl9qDHr3mNenF67CZdm8Qd0JtaTBJO+yIdgHMU9XcUVUyQcnVWJDG8xxDF2+6os&#10;q6x+8XDbQ4hvhTMkGQ0FHF7WlB3fh4idYOqSkooFp1W3V1rnA/TtGw3kyHDQ+/ykJvHKX2napmTr&#10;0rU5nDxF4jhzSVac2ulCvHXdCXnrdxY1T/uzGLAY7WIcPKh+wL6zOhkSZ5ZbuOxXWoo/z7nwwz+1&#10;/Q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GDkcF1wAAAAgBAAAPAAAAAAAAAAEAIAAAACIAAABk&#10;cnMvZG93bnJldi54bWxQSwECFAAUAAAACACHTuJAI+/t6s4BAACbAwAADgAAAAAAAAABACAAAAAm&#10;AQAAZHJzL2Uyb0RvYy54bWxQSwUGAAAAAAYABgBZAQAAZgUAAAAA&#10;">
                <v:fill on="t" focussize="0,0"/>
                <v:stroke on="f"/>
                <v:imagedata o:title=""/>
                <o:lock v:ext="edit" aspectratio="f"/>
                <v:textbox inset="0mm,0mm,0mm,0mm">
                  <w:txbxContent>
                    <w:p w14:paraId="2C8ED3FF">
                      <w:pPr>
                        <w:pStyle w:val="26"/>
                      </w:pPr>
                      <w:r>
                        <w:rPr>
                          <w:rFonts w:hint="eastAsia"/>
                        </w:rPr>
                        <w:t>河北省地方标准</w:t>
                      </w:r>
                    </w:p>
                  </w:txbxContent>
                </v:textbox>
                <w10:anchorlock/>
              </v:shape>
            </w:pict>
          </mc:Fallback>
        </mc:AlternateContent>
      </w:r>
    </w:p>
    <w:bookmarkEnd w:id="0"/>
    <w:p w14:paraId="73C5E710">
      <w:pPr>
        <w:pStyle w:val="15"/>
        <w:rPr>
          <w:rFonts w:hAnsi="宋体"/>
        </w:rPr>
      </w:pPr>
      <w:bookmarkStart w:id="1" w:name="SectionMark2"/>
      <w:r>
        <w:rPr>
          <w:rFonts w:hint="eastAsia" w:hAnsi="宋体"/>
        </w:rPr>
        <w:t>前   言</w:t>
      </w:r>
    </w:p>
    <w:bookmarkEnd w:id="1"/>
    <w:p w14:paraId="489336DA">
      <w:pPr>
        <w:pStyle w:val="16"/>
        <w:spacing w:line="360" w:lineRule="exact"/>
        <w:ind w:firstLine="420"/>
      </w:pPr>
      <w:bookmarkStart w:id="2" w:name="SectionMark4"/>
      <w:r>
        <w:rPr>
          <w:rFonts w:hint="eastAsia"/>
        </w:rPr>
        <w:t>本文件按照GB/T 1.1-2020《标准化工作导则 第1部分：标准化文件的结构和起草规则》的规定起草。</w:t>
      </w:r>
    </w:p>
    <w:p w14:paraId="2E1D3A70">
      <w:pPr>
        <w:pStyle w:val="16"/>
        <w:spacing w:line="360" w:lineRule="exact"/>
        <w:ind w:firstLine="420"/>
      </w:pPr>
      <w:r>
        <w:rPr>
          <w:rFonts w:hint="eastAsia"/>
        </w:rPr>
        <w:t>本文件由河北省林业和草原局提出并归口。</w:t>
      </w:r>
    </w:p>
    <w:p w14:paraId="54DCC210">
      <w:pPr>
        <w:spacing w:line="360" w:lineRule="exact"/>
        <w:ind w:firstLine="420" w:firstLineChars="200"/>
        <w:rPr>
          <w:rFonts w:ascii="宋体" w:hAnsi="宋体"/>
        </w:rPr>
      </w:pPr>
      <w:r>
        <w:rPr>
          <w:rFonts w:hint="eastAsia" w:ascii="宋体" w:hAnsi="宋体"/>
        </w:rPr>
        <w:t>本文件起草单位：河北省农林科学院滨海农业研究所、河北省地质测绘院（河北省地质矿产勘查开发局空间信息技术应用研究中心）、河北省水文地质勘查院。</w:t>
      </w:r>
    </w:p>
    <w:p w14:paraId="09D7F505">
      <w:pPr>
        <w:spacing w:line="360" w:lineRule="exact"/>
        <w:ind w:firstLine="432" w:firstLineChars="206"/>
        <w:rPr>
          <w:rFonts w:hint="eastAsia" w:ascii="宋体" w:hAnsi="宋体" w:eastAsia="宋体"/>
          <w:lang w:eastAsia="zh-CN"/>
        </w:rPr>
      </w:pPr>
      <w:r>
        <w:rPr>
          <w:rFonts w:hint="eastAsia"/>
        </w:rPr>
        <w:t>本文件主要起草人：邢春强、胡爱</w:t>
      </w:r>
      <w:r>
        <w:rPr>
          <w:rFonts w:hint="eastAsia" w:ascii="宋体" w:hAnsi="宋体"/>
        </w:rPr>
        <w:t>双、孟捷、郭文静、宋爽、孙宇、姜楠、王棋、刘有才、马旺、张蒨、姚玉涛、李晓雪</w:t>
      </w:r>
      <w:r>
        <w:rPr>
          <w:rFonts w:hint="eastAsia" w:ascii="宋体" w:hAnsi="宋体"/>
          <w:lang w:eastAsia="zh-CN"/>
        </w:rPr>
        <w:t>。</w:t>
      </w:r>
    </w:p>
    <w:p w14:paraId="06600AEC">
      <w:pPr>
        <w:pStyle w:val="17"/>
        <w:rPr>
          <w:rFonts w:ascii="黑体" w:hAnsi="宋体" w:eastAsia="黑体"/>
          <w:sz w:val="32"/>
          <w:szCs w:val="32"/>
        </w:rPr>
      </w:pPr>
    </w:p>
    <w:p w14:paraId="7E60ADF2">
      <w:pPr>
        <w:pStyle w:val="17"/>
        <w:rPr>
          <w:rFonts w:ascii="黑体" w:hAnsi="宋体" w:eastAsia="黑体"/>
          <w:sz w:val="32"/>
          <w:szCs w:val="32"/>
        </w:rPr>
      </w:pPr>
    </w:p>
    <w:p w14:paraId="74AB87C1">
      <w:pPr>
        <w:pStyle w:val="17"/>
        <w:rPr>
          <w:rFonts w:ascii="黑体" w:hAnsi="宋体" w:eastAsia="黑体"/>
          <w:sz w:val="32"/>
          <w:szCs w:val="32"/>
        </w:rPr>
      </w:pPr>
    </w:p>
    <w:p w14:paraId="3508FF53">
      <w:pPr>
        <w:pStyle w:val="17"/>
        <w:rPr>
          <w:rFonts w:ascii="黑体" w:hAnsi="宋体" w:eastAsia="黑体"/>
          <w:sz w:val="32"/>
          <w:szCs w:val="32"/>
        </w:rPr>
      </w:pPr>
    </w:p>
    <w:p w14:paraId="1F9E303F">
      <w:pPr>
        <w:pStyle w:val="17"/>
        <w:rPr>
          <w:rFonts w:ascii="黑体" w:hAnsi="宋体" w:eastAsia="黑体"/>
          <w:sz w:val="32"/>
          <w:szCs w:val="32"/>
        </w:rPr>
      </w:pPr>
    </w:p>
    <w:p w14:paraId="4E9E442D">
      <w:pPr>
        <w:pStyle w:val="17"/>
        <w:rPr>
          <w:rFonts w:ascii="黑体" w:hAnsi="宋体" w:eastAsia="黑体"/>
          <w:sz w:val="32"/>
          <w:szCs w:val="32"/>
        </w:rPr>
      </w:pPr>
    </w:p>
    <w:p w14:paraId="5B0075C1">
      <w:pPr>
        <w:pStyle w:val="17"/>
        <w:rPr>
          <w:rFonts w:ascii="黑体" w:hAnsi="宋体" w:eastAsia="黑体"/>
          <w:sz w:val="32"/>
          <w:szCs w:val="32"/>
        </w:rPr>
      </w:pPr>
    </w:p>
    <w:p w14:paraId="7F4FEE11">
      <w:pPr>
        <w:pStyle w:val="17"/>
        <w:rPr>
          <w:rFonts w:ascii="黑体" w:hAnsi="宋体" w:eastAsia="黑体"/>
          <w:sz w:val="32"/>
          <w:szCs w:val="32"/>
        </w:rPr>
      </w:pPr>
    </w:p>
    <w:p w14:paraId="68675E8E">
      <w:pPr>
        <w:pStyle w:val="17"/>
        <w:rPr>
          <w:rFonts w:ascii="黑体" w:hAnsi="宋体" w:eastAsia="黑体"/>
          <w:sz w:val="32"/>
          <w:szCs w:val="32"/>
        </w:rPr>
      </w:pPr>
    </w:p>
    <w:p w14:paraId="1165CE72">
      <w:pPr>
        <w:pStyle w:val="17"/>
        <w:rPr>
          <w:rFonts w:ascii="黑体" w:hAnsi="宋体" w:eastAsia="黑体"/>
          <w:sz w:val="32"/>
          <w:szCs w:val="32"/>
        </w:rPr>
      </w:pPr>
    </w:p>
    <w:p w14:paraId="685EC059">
      <w:pPr>
        <w:pStyle w:val="17"/>
        <w:rPr>
          <w:rFonts w:ascii="黑体" w:hAnsi="宋体" w:eastAsia="黑体"/>
          <w:sz w:val="32"/>
          <w:szCs w:val="32"/>
        </w:rPr>
      </w:pPr>
    </w:p>
    <w:p w14:paraId="54070991">
      <w:pPr>
        <w:pStyle w:val="17"/>
        <w:rPr>
          <w:rFonts w:ascii="黑体" w:hAnsi="宋体" w:eastAsia="黑体"/>
          <w:sz w:val="32"/>
          <w:szCs w:val="32"/>
        </w:rPr>
      </w:pPr>
    </w:p>
    <w:bookmarkEnd w:id="2"/>
    <w:p w14:paraId="0C519F76">
      <w:pPr>
        <w:spacing w:line="336" w:lineRule="auto"/>
        <w:ind w:firstLine="560" w:firstLineChars="200"/>
        <w:rPr>
          <w:rFonts w:ascii="仿宋_GB2312" w:eastAsia="仿宋_GB2312"/>
          <w:bCs/>
          <w:sz w:val="28"/>
          <w:szCs w:val="21"/>
        </w:rPr>
      </w:pPr>
    </w:p>
    <w:p w14:paraId="047FB98F">
      <w:pPr>
        <w:pStyle w:val="18"/>
        <w:shd w:val="clear" w:color="auto" w:fill="FFFFFF"/>
        <w:rPr>
          <w:rFonts w:ascii="Times New Roman"/>
        </w:rPr>
      </w:pPr>
      <w:r>
        <w:rPr>
          <w:rFonts w:hint="eastAsia" w:ascii="Times New Roman"/>
        </w:rPr>
        <w:t>滨海退养湿地节水植被修复技术规程</w:t>
      </w:r>
    </w:p>
    <w:p w14:paraId="359783F4">
      <w:pPr>
        <w:pStyle w:val="31"/>
        <w:spacing w:before="312" w:beforeLines="100" w:afterLines="0"/>
        <w:rPr>
          <w:rFonts w:ascii="Times New Roman"/>
        </w:rPr>
      </w:pPr>
      <w:r>
        <w:rPr>
          <w:rFonts w:hint="eastAsia" w:ascii="Times New Roman"/>
        </w:rPr>
        <w:t>1 范围</w:t>
      </w:r>
    </w:p>
    <w:p w14:paraId="77714035">
      <w:pPr>
        <w:spacing w:line="336" w:lineRule="auto"/>
        <w:ind w:firstLine="420" w:firstLineChars="200"/>
        <w:rPr>
          <w:kern w:val="0"/>
          <w:szCs w:val="22"/>
        </w:rPr>
      </w:pPr>
      <w:r>
        <w:rPr>
          <w:rFonts w:hint="eastAsia"/>
          <w:kern w:val="0"/>
          <w:szCs w:val="22"/>
        </w:rPr>
        <w:t>本文件规定了滨海退养湿地节水植被修复的水文调控、淡水洗盐、土地整理与改良、种苗准备、栽植技术及栽后养护等技术环节。</w:t>
      </w:r>
    </w:p>
    <w:p w14:paraId="79ABFBAD">
      <w:pPr>
        <w:spacing w:line="336" w:lineRule="auto"/>
        <w:ind w:firstLine="420" w:firstLineChars="200"/>
        <w:rPr>
          <w:kern w:val="0"/>
          <w:szCs w:val="22"/>
        </w:rPr>
      </w:pPr>
      <w:r>
        <w:rPr>
          <w:rFonts w:hint="eastAsia"/>
          <w:kern w:val="0"/>
          <w:szCs w:val="22"/>
        </w:rPr>
        <w:t>本文件适用于地表1m内土体全盐含量≤3.0%滨海退养湿地的植被修复。</w:t>
      </w:r>
    </w:p>
    <w:p w14:paraId="0930B195">
      <w:pPr>
        <w:pStyle w:val="31"/>
        <w:spacing w:before="312" w:beforeLines="100" w:afterLines="0"/>
        <w:rPr>
          <w:rFonts w:ascii="Times New Roman"/>
        </w:rPr>
      </w:pPr>
      <w:r>
        <w:rPr>
          <w:rFonts w:hint="eastAsia" w:ascii="Times New Roman"/>
        </w:rPr>
        <w:t>2 规范性引用文件</w:t>
      </w:r>
    </w:p>
    <w:p w14:paraId="59532368">
      <w:pPr>
        <w:pStyle w:val="36"/>
        <w:spacing w:after="0" w:line="360" w:lineRule="auto"/>
        <w:ind w:firstLine="422" w:firstLineChars="201"/>
        <w:jc w:val="both"/>
        <w:rPr>
          <w:rFonts w:ascii="Times New Roman" w:hAnsi="Times New Roman" w:eastAsia="宋体"/>
          <w:color w:val="000000"/>
          <w:sz w:val="21"/>
          <w:szCs w:val="21"/>
        </w:rPr>
      </w:pPr>
      <w:r>
        <w:rPr>
          <w:rFonts w:ascii="Times New Roman" w:hAnsi="Times New Roman" w:eastAsia="宋体"/>
          <w:color w:val="000000"/>
          <w:sz w:val="21"/>
          <w:szCs w:val="21"/>
        </w:rPr>
        <w:t>下列文件中的内容通过文中的规范性引用而构成本文件必不可少的条款。</w:t>
      </w:r>
      <w:r>
        <w:rPr>
          <w:rFonts w:hint="eastAsia" w:ascii="Times New Roman" w:hAnsi="Times New Roman" w:eastAsia="宋体"/>
          <w:color w:val="000000"/>
          <w:sz w:val="21"/>
          <w:szCs w:val="21"/>
        </w:rPr>
        <w:t>下列未标</w:t>
      </w:r>
      <w:r>
        <w:rPr>
          <w:rFonts w:ascii="Times New Roman" w:hAnsi="Times New Roman" w:eastAsia="宋体"/>
          <w:color w:val="000000"/>
          <w:sz w:val="21"/>
          <w:szCs w:val="21"/>
        </w:rPr>
        <w:t>注日期的引用文件，其最新版本（包括所有的修改单）适用于本文件。</w:t>
      </w:r>
    </w:p>
    <w:p w14:paraId="236B536E">
      <w:pPr>
        <w:pStyle w:val="3"/>
        <w:ind w:firstLine="420" w:firstLineChars="200"/>
        <w:jc w:val="left"/>
      </w:pPr>
      <w:r>
        <w:rPr>
          <w:rFonts w:hint="eastAsia"/>
        </w:rPr>
        <w:t>GB 55018            工程测量通用规范</w:t>
      </w:r>
    </w:p>
    <w:p w14:paraId="3BCC50A8">
      <w:pPr>
        <w:spacing w:line="336" w:lineRule="auto"/>
        <w:ind w:firstLine="420" w:firstLineChars="200"/>
        <w:rPr>
          <w:kern w:val="0"/>
          <w:szCs w:val="22"/>
        </w:rPr>
      </w:pPr>
      <w:r>
        <w:rPr>
          <w:rFonts w:hint="eastAsia"/>
          <w:color w:val="000000"/>
          <w:kern w:val="0"/>
          <w:szCs w:val="21"/>
        </w:rPr>
        <w:t>GB/T 20257.1         国家基本比例尺地图图式第1部分：1:500 1:1000 1:2000地形图图式</w:t>
      </w:r>
    </w:p>
    <w:p w14:paraId="7A625679">
      <w:pPr>
        <w:pStyle w:val="3"/>
        <w:ind w:firstLine="420" w:firstLineChars="200"/>
        <w:jc w:val="left"/>
      </w:pPr>
      <w:r>
        <w:rPr>
          <w:rFonts w:hint="eastAsia"/>
        </w:rPr>
        <w:t>GB/T 15776           造林技术规程</w:t>
      </w:r>
    </w:p>
    <w:p w14:paraId="5E6744A0">
      <w:pPr>
        <w:spacing w:line="336" w:lineRule="auto"/>
        <w:ind w:firstLine="420" w:firstLineChars="200"/>
        <w:rPr>
          <w:kern w:val="0"/>
          <w:szCs w:val="22"/>
        </w:rPr>
      </w:pPr>
      <w:r>
        <w:rPr>
          <w:rFonts w:hint="eastAsia"/>
          <w:kern w:val="0"/>
          <w:szCs w:val="22"/>
        </w:rPr>
        <w:t>CH/T 3004            低空数字航空摄影测量外业规范</w:t>
      </w:r>
    </w:p>
    <w:p w14:paraId="64B2E968">
      <w:pPr>
        <w:spacing w:line="336" w:lineRule="auto"/>
        <w:ind w:firstLine="420" w:firstLineChars="200"/>
        <w:rPr>
          <w:rFonts w:hint="eastAsia"/>
          <w:kern w:val="0"/>
          <w:szCs w:val="22"/>
        </w:rPr>
      </w:pPr>
      <w:r>
        <w:rPr>
          <w:rFonts w:hint="eastAsia"/>
          <w:kern w:val="0"/>
          <w:szCs w:val="22"/>
        </w:rPr>
        <w:t>CH/T 7003            内陆水域水下地形测量技术规程</w:t>
      </w:r>
    </w:p>
    <w:p w14:paraId="62F929C2">
      <w:pPr>
        <w:spacing w:line="336" w:lineRule="auto"/>
        <w:ind w:firstLine="420" w:firstLineChars="200"/>
        <w:rPr>
          <w:kern w:val="0"/>
          <w:szCs w:val="22"/>
        </w:rPr>
      </w:pPr>
      <w:r>
        <w:rPr>
          <w:rFonts w:hint="eastAsia"/>
          <w:color w:val="000000"/>
          <w:kern w:val="0"/>
          <w:szCs w:val="21"/>
        </w:rPr>
        <w:t>CH/T 2009            全球定位系统实时动态测量(RTK)技术规范</w:t>
      </w:r>
    </w:p>
    <w:p w14:paraId="03828A9B">
      <w:pPr>
        <w:spacing w:line="336" w:lineRule="auto"/>
        <w:ind w:firstLine="420" w:firstLineChars="200"/>
        <w:rPr>
          <w:kern w:val="0"/>
          <w:szCs w:val="22"/>
        </w:rPr>
      </w:pPr>
      <w:r>
        <w:rPr>
          <w:rFonts w:hint="eastAsia"/>
          <w:kern w:val="0"/>
          <w:szCs w:val="22"/>
        </w:rPr>
        <w:t>NY/T 1121.2          土壤检测 第 1 部分：土壤样品的采集、处理和贮存；</w:t>
      </w:r>
    </w:p>
    <w:p w14:paraId="7FD5BB6C">
      <w:pPr>
        <w:spacing w:line="336" w:lineRule="auto"/>
        <w:ind w:firstLine="3570" w:firstLineChars="1700"/>
        <w:rPr>
          <w:kern w:val="0"/>
          <w:szCs w:val="22"/>
        </w:rPr>
      </w:pPr>
      <w:r>
        <w:rPr>
          <w:rFonts w:hint="eastAsia"/>
          <w:kern w:val="0"/>
          <w:szCs w:val="22"/>
        </w:rPr>
        <w:t>第2部分：土壤pH的测定</w:t>
      </w:r>
    </w:p>
    <w:p w14:paraId="0394E7C9">
      <w:pPr>
        <w:spacing w:line="336" w:lineRule="auto"/>
        <w:ind w:firstLine="420" w:firstLineChars="200"/>
        <w:rPr>
          <w:kern w:val="0"/>
          <w:szCs w:val="22"/>
        </w:rPr>
      </w:pPr>
      <w:r>
        <w:rPr>
          <w:rFonts w:hint="eastAsia"/>
          <w:kern w:val="0"/>
          <w:szCs w:val="22"/>
        </w:rPr>
        <w:t>NY/T 1121.16         土壤检测 第16部分：土壤水溶性盐总量的测定</w:t>
      </w:r>
    </w:p>
    <w:p w14:paraId="140BE0C0">
      <w:pPr>
        <w:spacing w:line="336"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HY/T 0456-2024       海岛生态修复技术指南</w:t>
      </w:r>
    </w:p>
    <w:p w14:paraId="5F0EB975">
      <w:pPr>
        <w:spacing w:line="336" w:lineRule="auto"/>
        <w:ind w:firstLine="420" w:firstLineChars="200"/>
        <w:rPr>
          <w:kern w:val="0"/>
          <w:szCs w:val="22"/>
        </w:rPr>
      </w:pPr>
      <w:r>
        <w:rPr>
          <w:rFonts w:hint="eastAsia" w:asciiTheme="minorEastAsia" w:hAnsiTheme="minorEastAsia" w:eastAsiaTheme="minorEastAsia" w:cstheme="minorEastAsia"/>
          <w:bCs/>
          <w:szCs w:val="21"/>
        </w:rPr>
        <w:t>DB34/T 2831-2017     湿地植被修复技术规程</w:t>
      </w:r>
    </w:p>
    <w:p w14:paraId="3B3EE21A">
      <w:pPr>
        <w:pStyle w:val="31"/>
        <w:spacing w:before="312" w:beforeLines="100" w:afterLines="0"/>
        <w:rPr>
          <w:rFonts w:ascii="Times New Roman"/>
        </w:rPr>
      </w:pPr>
      <w:bookmarkStart w:id="3" w:name="_Toc499558980"/>
      <w:bookmarkStart w:id="4" w:name="_Toc499559045"/>
      <w:bookmarkStart w:id="5" w:name="_Toc479690172"/>
      <w:bookmarkStart w:id="6" w:name="_Toc479756222"/>
      <w:bookmarkStart w:id="7" w:name="_Toc487207913"/>
      <w:bookmarkStart w:id="8" w:name="_Toc500333837"/>
      <w:r>
        <w:rPr>
          <w:rFonts w:hint="eastAsia" w:ascii="Times New Roman"/>
        </w:rPr>
        <w:t>3</w:t>
      </w:r>
      <w:r>
        <w:rPr>
          <w:rFonts w:ascii="Times New Roman"/>
        </w:rPr>
        <w:t>术语和定义</w:t>
      </w:r>
      <w:bookmarkEnd w:id="3"/>
      <w:bookmarkEnd w:id="4"/>
      <w:bookmarkEnd w:id="5"/>
      <w:bookmarkEnd w:id="6"/>
      <w:bookmarkEnd w:id="7"/>
      <w:bookmarkEnd w:id="8"/>
    </w:p>
    <w:p w14:paraId="12E38701">
      <w:pPr>
        <w:spacing w:line="336" w:lineRule="auto"/>
        <w:ind w:firstLine="420" w:firstLineChars="200"/>
        <w:rPr>
          <w:kern w:val="0"/>
          <w:szCs w:val="22"/>
        </w:rPr>
      </w:pPr>
      <w:r>
        <w:rPr>
          <w:rFonts w:hint="eastAsia"/>
          <w:kern w:val="0"/>
          <w:szCs w:val="22"/>
        </w:rPr>
        <w:t>下列术语和定义适用于本文件。</w:t>
      </w:r>
    </w:p>
    <w:p w14:paraId="4428A378">
      <w:pPr>
        <w:widowControl/>
        <w:spacing w:line="440" w:lineRule="exact"/>
        <w:rPr>
          <w:rFonts w:eastAsia="黑体"/>
        </w:rPr>
      </w:pPr>
      <w:r>
        <w:rPr>
          <w:rFonts w:hint="eastAsia"/>
          <w:color w:val="000000"/>
          <w:kern w:val="0"/>
          <w:szCs w:val="21"/>
        </w:rPr>
        <w:t>3</w:t>
      </w:r>
      <w:r>
        <w:rPr>
          <w:color w:val="000000"/>
          <w:kern w:val="0"/>
          <w:szCs w:val="21"/>
        </w:rPr>
        <w:t>.1</w:t>
      </w:r>
      <w:r>
        <w:rPr>
          <w:rFonts w:hint="eastAsia" w:eastAsia="黑体"/>
        </w:rPr>
        <w:t>退养湿地 wetland ecosystem after aquaculture</w:t>
      </w:r>
    </w:p>
    <w:p w14:paraId="7D752C54">
      <w:pPr>
        <w:spacing w:line="336" w:lineRule="auto"/>
        <w:ind w:firstLine="420" w:firstLineChars="200"/>
        <w:rPr>
          <w:kern w:val="0"/>
          <w:szCs w:val="22"/>
        </w:rPr>
      </w:pPr>
      <w:r>
        <w:rPr>
          <w:rFonts w:hint="eastAsia"/>
          <w:kern w:val="0"/>
          <w:szCs w:val="22"/>
        </w:rPr>
        <w:t>放弃水产养殖后的退养还湿的湿地生态系统。</w:t>
      </w:r>
    </w:p>
    <w:p w14:paraId="6A1CE536">
      <w:pPr>
        <w:widowControl/>
        <w:spacing w:line="440" w:lineRule="exact"/>
        <w:rPr>
          <w:rFonts w:eastAsia="黑体"/>
        </w:rPr>
      </w:pPr>
      <w:r>
        <w:rPr>
          <w:rFonts w:hint="eastAsia"/>
          <w:color w:val="000000"/>
          <w:kern w:val="0"/>
          <w:szCs w:val="21"/>
        </w:rPr>
        <w:t>3</w:t>
      </w:r>
      <w:r>
        <w:rPr>
          <w:color w:val="000000"/>
          <w:kern w:val="0"/>
          <w:szCs w:val="21"/>
        </w:rPr>
        <w:t>.2</w:t>
      </w:r>
      <w:r>
        <w:rPr>
          <w:rFonts w:hint="eastAsia" w:eastAsia="黑体"/>
        </w:rPr>
        <w:t>植被修复 vegetation  restoration</w:t>
      </w:r>
    </w:p>
    <w:p w14:paraId="34B812EF">
      <w:pPr>
        <w:widowControl/>
        <w:spacing w:line="440" w:lineRule="exact"/>
        <w:ind w:firstLine="420" w:firstLineChars="200"/>
        <w:rPr>
          <w:color w:val="000000"/>
          <w:kern w:val="0"/>
          <w:szCs w:val="21"/>
        </w:rPr>
      </w:pPr>
      <w:r>
        <w:rPr>
          <w:rFonts w:hint="eastAsia"/>
          <w:color w:val="000000"/>
          <w:kern w:val="0"/>
          <w:szCs w:val="21"/>
        </w:rPr>
        <w:t>运用生态学原理，通过保护现有植被、封山育林或营造人工林、灌、草植被，修复或重建被毁坏或被破坏的森林和其他自然生态系统，恢复其生物多样性及其生态系统功能。</w:t>
      </w:r>
    </w:p>
    <w:p w14:paraId="157215BE">
      <w:pPr>
        <w:widowControl/>
        <w:spacing w:line="440" w:lineRule="exact"/>
        <w:ind w:firstLine="0" w:firstLineChars="0"/>
        <w:rPr>
          <w:color w:val="000000"/>
          <w:kern w:val="0"/>
          <w:szCs w:val="21"/>
        </w:rPr>
      </w:pPr>
      <w:r>
        <w:rPr>
          <w:rFonts w:hint="eastAsia"/>
          <w:color w:val="000000"/>
          <w:kern w:val="0"/>
          <w:szCs w:val="21"/>
        </w:rPr>
        <w:t>3.3 围埝</w:t>
      </w:r>
    </w:p>
    <w:p w14:paraId="53B1759E">
      <w:pPr>
        <w:widowControl/>
        <w:spacing w:line="440" w:lineRule="exact"/>
        <w:ind w:firstLine="0" w:firstLineChars="0"/>
        <w:rPr>
          <w:color w:val="000000"/>
          <w:kern w:val="0"/>
          <w:szCs w:val="21"/>
        </w:rPr>
      </w:pPr>
      <w:r>
        <w:rPr>
          <w:rFonts w:hint="eastAsia"/>
          <w:color w:val="000000"/>
          <w:kern w:val="0"/>
          <w:szCs w:val="21"/>
        </w:rPr>
        <w:t>3.4</w:t>
      </w:r>
      <w:r>
        <w:rPr>
          <w:rFonts w:hint="eastAsia"/>
          <w:szCs w:val="21"/>
        </w:rPr>
        <w:t>微咸水</w:t>
      </w:r>
    </w:p>
    <w:p w14:paraId="31EB28AD">
      <w:pPr>
        <w:pStyle w:val="31"/>
        <w:spacing w:before="312" w:beforeLines="100" w:afterLines="0"/>
        <w:rPr>
          <w:rFonts w:ascii="Times New Roman"/>
        </w:rPr>
      </w:pPr>
      <w:r>
        <w:rPr>
          <w:rFonts w:hint="eastAsia" w:ascii="Times New Roman"/>
        </w:rPr>
        <w:t>4分区规划</w:t>
      </w:r>
    </w:p>
    <w:p w14:paraId="53D3A446">
      <w:pPr>
        <w:pStyle w:val="31"/>
        <w:spacing w:before="312" w:beforeLines="100" w:afterLines="0"/>
        <w:rPr>
          <w:rFonts w:ascii="Times New Roman"/>
        </w:rPr>
      </w:pPr>
      <w:r>
        <w:rPr>
          <w:rFonts w:hint="eastAsia" w:ascii="Times New Roman"/>
        </w:rPr>
        <w:t>4.1测量高程</w:t>
      </w:r>
    </w:p>
    <w:p w14:paraId="2E899792">
      <w:pPr>
        <w:pStyle w:val="31"/>
        <w:spacing w:before="312" w:beforeLines="100" w:afterLines="0"/>
      </w:pPr>
      <w:r>
        <w:rPr>
          <w:rFonts w:hint="eastAsia" w:ascii="Times New Roman"/>
        </w:rPr>
        <w:t>4.1.1测量基准</w:t>
      </w:r>
    </w:p>
    <w:p w14:paraId="3FF45710">
      <w:pPr>
        <w:pStyle w:val="3"/>
        <w:jc w:val="left"/>
      </w:pPr>
      <w:r>
        <w:rPr>
          <w:rFonts w:hint="eastAsia" w:ascii="Times New Roman"/>
        </w:rPr>
        <w:t>4.1.1.</w:t>
      </w:r>
      <w:r>
        <w:rPr>
          <w:rFonts w:hint="eastAsia"/>
        </w:rPr>
        <w:t>1 坐标系统采用2000国家大地坐标系。当采用其他坐标系统时，应与2000国家大地坐标系建立联系。</w:t>
      </w:r>
    </w:p>
    <w:p w14:paraId="598E4C0D">
      <w:pPr>
        <w:pStyle w:val="3"/>
        <w:jc w:val="left"/>
        <w:rPr>
          <w:highlight w:val="red"/>
        </w:rPr>
      </w:pPr>
      <w:r>
        <w:rPr>
          <w:rFonts w:hint="eastAsia" w:ascii="Times New Roman"/>
        </w:rPr>
        <w:t>4.1.1.</w:t>
      </w:r>
      <w:r>
        <w:rPr>
          <w:rFonts w:hint="eastAsia"/>
        </w:rPr>
        <w:t>2 高程基准采用1985国家高程基准。当采用其他高程基准时，应与1985国家高程基准建立联系。</w:t>
      </w:r>
    </w:p>
    <w:p w14:paraId="4D3BEAA4">
      <w:pPr>
        <w:pStyle w:val="3"/>
        <w:jc w:val="left"/>
      </w:pPr>
      <w:r>
        <w:rPr>
          <w:rFonts w:hint="eastAsia" w:ascii="Times New Roman"/>
        </w:rPr>
        <w:t>4.1.1.</w:t>
      </w:r>
      <w:r>
        <w:rPr>
          <w:rFonts w:hint="eastAsia"/>
        </w:rPr>
        <w:t>3 深度基准在内陆水域应采用设计水位。</w:t>
      </w:r>
    </w:p>
    <w:p w14:paraId="4484CDFC">
      <w:pPr>
        <w:pStyle w:val="3"/>
        <w:jc w:val="left"/>
      </w:pPr>
      <w:r>
        <w:rPr>
          <w:rFonts w:hint="eastAsia" w:ascii="Times New Roman"/>
        </w:rPr>
        <w:t>4.1.1.</w:t>
      </w:r>
      <w:r>
        <w:rPr>
          <w:rFonts w:hint="eastAsia"/>
        </w:rPr>
        <w:t>4 时间基准应采用公元纪年和北京时间。</w:t>
      </w:r>
    </w:p>
    <w:p w14:paraId="7750479A">
      <w:pPr>
        <w:pStyle w:val="31"/>
        <w:spacing w:before="312" w:beforeLines="100" w:afterLines="0"/>
        <w:rPr>
          <w:rFonts w:ascii="Times New Roman"/>
        </w:rPr>
      </w:pPr>
      <w:r>
        <w:rPr>
          <w:rFonts w:hint="eastAsia" w:ascii="Times New Roman"/>
        </w:rPr>
        <w:t>4.1.2计量单位</w:t>
      </w:r>
    </w:p>
    <w:p w14:paraId="7970ED76">
      <w:pPr>
        <w:spacing w:line="336" w:lineRule="auto"/>
        <w:ind w:firstLine="0" w:firstLineChars="0"/>
        <w:rPr>
          <w:color w:val="000000"/>
          <w:kern w:val="0"/>
          <w:szCs w:val="21"/>
        </w:rPr>
      </w:pPr>
      <w:r>
        <w:rPr>
          <w:rFonts w:hint="eastAsia" w:ascii="Times New Roman"/>
        </w:rPr>
        <w:t>4.1.2</w:t>
      </w:r>
      <w:r>
        <w:rPr>
          <w:rFonts w:hint="eastAsia"/>
          <w:lang w:val="en-US" w:eastAsia="zh-CN"/>
        </w:rPr>
        <w:t>.</w:t>
      </w:r>
      <w:r>
        <w:rPr>
          <w:rFonts w:hint="eastAsia"/>
          <w:color w:val="000000"/>
          <w:kern w:val="0"/>
          <w:szCs w:val="21"/>
        </w:rPr>
        <w:t>1 长度单位为米，保留两位小数。</w:t>
      </w:r>
    </w:p>
    <w:p w14:paraId="45D3DD44">
      <w:pPr>
        <w:spacing w:line="336" w:lineRule="auto"/>
        <w:ind w:firstLine="0" w:firstLineChars="0"/>
        <w:rPr>
          <w:color w:val="000000"/>
          <w:kern w:val="0"/>
          <w:szCs w:val="21"/>
        </w:rPr>
      </w:pPr>
      <w:r>
        <w:rPr>
          <w:rFonts w:hint="eastAsia" w:ascii="Times New Roman"/>
        </w:rPr>
        <w:t>4.1.2</w:t>
      </w:r>
      <w:r>
        <w:rPr>
          <w:rFonts w:hint="eastAsia"/>
          <w:lang w:val="en-US" w:eastAsia="zh-CN"/>
        </w:rPr>
        <w:t>.</w:t>
      </w:r>
      <w:r>
        <w:rPr>
          <w:rFonts w:hint="eastAsia"/>
          <w:color w:val="000000"/>
          <w:kern w:val="0"/>
          <w:szCs w:val="21"/>
        </w:rPr>
        <w:t>2 面积单位为平方米，保留两位小数。</w:t>
      </w:r>
    </w:p>
    <w:p w14:paraId="0A7B8292">
      <w:pPr>
        <w:pStyle w:val="31"/>
        <w:spacing w:before="312" w:beforeLines="100" w:afterLines="0"/>
        <w:rPr>
          <w:rFonts w:ascii="Times New Roman"/>
        </w:rPr>
      </w:pPr>
      <w:r>
        <w:rPr>
          <w:rFonts w:hint="eastAsia" w:ascii="Times New Roman"/>
        </w:rPr>
        <w:t>4.1.3 控制测量</w:t>
      </w:r>
    </w:p>
    <w:p w14:paraId="059CE754">
      <w:pPr>
        <w:pStyle w:val="3"/>
        <w:jc w:val="left"/>
      </w:pPr>
      <w:r>
        <w:rPr>
          <w:rFonts w:hint="eastAsia" w:ascii="Times New Roman"/>
        </w:rPr>
        <w:t>4.1.3</w:t>
      </w:r>
      <w:r>
        <w:rPr>
          <w:rFonts w:hint="eastAsia"/>
          <w:lang w:val="en-US" w:eastAsia="zh-CN"/>
        </w:rPr>
        <w:t>.</w:t>
      </w:r>
      <w:r>
        <w:rPr>
          <w:rFonts w:hint="eastAsia"/>
        </w:rPr>
        <w:t>1 利用国家、地方等级控制点作为起算点建立控制网。</w:t>
      </w:r>
    </w:p>
    <w:p w14:paraId="09C9222D">
      <w:pPr>
        <w:pStyle w:val="3"/>
        <w:jc w:val="left"/>
      </w:pPr>
      <w:r>
        <w:rPr>
          <w:rFonts w:hint="eastAsia" w:ascii="Times New Roman"/>
        </w:rPr>
        <w:t>4.1.3</w:t>
      </w:r>
      <w:r>
        <w:rPr>
          <w:rFonts w:hint="eastAsia"/>
          <w:lang w:val="en-US" w:eastAsia="zh-CN"/>
        </w:rPr>
        <w:t>.</w:t>
      </w:r>
      <w:r>
        <w:rPr>
          <w:rFonts w:hint="eastAsia"/>
        </w:rPr>
        <w:t>2 使用全球定位系统实时动态测量（RTK）方法布设图根控制点，技术指标应符合CH/T 2009的相关规定。</w:t>
      </w:r>
    </w:p>
    <w:p w14:paraId="73EE6DBB">
      <w:pPr>
        <w:pStyle w:val="3"/>
        <w:jc w:val="left"/>
      </w:pPr>
      <w:r>
        <w:rPr>
          <w:rFonts w:hint="eastAsia" w:ascii="Times New Roman"/>
        </w:rPr>
        <w:t>4.1.3</w:t>
      </w:r>
      <w:r>
        <w:rPr>
          <w:rFonts w:hint="eastAsia"/>
          <w:lang w:val="en-US" w:eastAsia="zh-CN"/>
        </w:rPr>
        <w:t>.</w:t>
      </w:r>
      <w:r>
        <w:rPr>
          <w:rFonts w:hint="eastAsia"/>
        </w:rPr>
        <w:t>3 采用三角高程测量或 GNSS 拟合高程测量方法时，主要技术要求应符合 GB 55018工程测量通用规范的相关规定。</w:t>
      </w:r>
    </w:p>
    <w:p w14:paraId="45B0E438">
      <w:pPr>
        <w:pStyle w:val="3"/>
        <w:jc w:val="left"/>
      </w:pPr>
      <w:r>
        <w:rPr>
          <w:rFonts w:hint="eastAsia" w:ascii="Times New Roman"/>
        </w:rPr>
        <w:t>4.1.3</w:t>
      </w:r>
      <w:r>
        <w:rPr>
          <w:rFonts w:hint="eastAsia"/>
          <w:lang w:val="en-US" w:eastAsia="zh-CN"/>
        </w:rPr>
        <w:t>.</w:t>
      </w:r>
      <w:r>
        <w:rPr>
          <w:rFonts w:hint="eastAsia"/>
        </w:rPr>
        <w:t>4 在</w:t>
      </w:r>
      <w:r>
        <w:t>芦苇返青期</w:t>
      </w:r>
      <w:r>
        <w:rPr>
          <w:rFonts w:hint="eastAsia"/>
        </w:rPr>
        <w:t>（3月底），按GB 55018标准测量修复区高程数据，此时区域内自然水层高程确定为0点，如无可见水层，以区域内最低点为-0.5m。</w:t>
      </w:r>
    </w:p>
    <w:p w14:paraId="4AB034A3">
      <w:pPr>
        <w:pStyle w:val="31"/>
        <w:spacing w:before="312" w:beforeLines="100" w:afterLines="0"/>
        <w:rPr>
          <w:rFonts w:ascii="Times New Roman"/>
        </w:rPr>
      </w:pPr>
      <w:r>
        <w:rPr>
          <w:rFonts w:hint="eastAsia" w:ascii="Times New Roman"/>
        </w:rPr>
        <w:t>4.1.4 数字高程模型</w:t>
      </w:r>
    </w:p>
    <w:p w14:paraId="3821031D">
      <w:pPr>
        <w:pStyle w:val="3"/>
        <w:jc w:val="left"/>
      </w:pPr>
      <w:r>
        <w:rPr>
          <w:rFonts w:hint="eastAsia" w:ascii="Times New Roman"/>
        </w:rPr>
        <w:t>4.1.4</w:t>
      </w:r>
      <w:r>
        <w:rPr>
          <w:rFonts w:hint="eastAsia"/>
          <w:lang w:val="en-US" w:eastAsia="zh-CN"/>
        </w:rPr>
        <w:t>.</w:t>
      </w:r>
      <w:r>
        <w:rPr>
          <w:rFonts w:hint="eastAsia"/>
        </w:rPr>
        <w:t>1 修复区内数字高程模型采用规则格网数据或点云数据表达。应符合下表规定：</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9"/>
        <w:gridCol w:w="2533"/>
        <w:gridCol w:w="2322"/>
      </w:tblGrid>
      <w:tr w14:paraId="2541C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2389" w:type="dxa"/>
            <w:vMerge w:val="restart"/>
            <w:vAlign w:val="center"/>
          </w:tcPr>
          <w:p w14:paraId="6F8CF18D">
            <w:pPr>
              <w:pStyle w:val="3"/>
            </w:pPr>
            <w:r>
              <w:rPr>
                <w:rFonts w:hint="eastAsia"/>
              </w:rPr>
              <w:t>格网数据间隔（m）</w:t>
            </w:r>
          </w:p>
        </w:tc>
        <w:tc>
          <w:tcPr>
            <w:tcW w:w="4855" w:type="dxa"/>
            <w:gridSpan w:val="2"/>
            <w:vAlign w:val="center"/>
          </w:tcPr>
          <w:p w14:paraId="2377A528">
            <w:pPr>
              <w:pStyle w:val="3"/>
            </w:pPr>
            <w:r>
              <w:rPr>
                <w:rFonts w:hint="eastAsia"/>
              </w:rPr>
              <w:t>点云数据</w:t>
            </w:r>
          </w:p>
        </w:tc>
      </w:tr>
      <w:tr w14:paraId="50FC7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2389" w:type="dxa"/>
            <w:vMerge w:val="continue"/>
          </w:tcPr>
          <w:p w14:paraId="741387AD">
            <w:pPr>
              <w:pStyle w:val="3"/>
            </w:pPr>
          </w:p>
        </w:tc>
        <w:tc>
          <w:tcPr>
            <w:tcW w:w="2533" w:type="dxa"/>
            <w:vAlign w:val="center"/>
          </w:tcPr>
          <w:p w14:paraId="7AD0D480">
            <w:pPr>
              <w:pStyle w:val="3"/>
            </w:pPr>
            <w:r>
              <w:rPr>
                <w:rFonts w:hint="eastAsia"/>
              </w:rPr>
              <w:t>平均点间距（m）</w:t>
            </w:r>
          </w:p>
        </w:tc>
        <w:tc>
          <w:tcPr>
            <w:tcW w:w="2322" w:type="dxa"/>
            <w:vAlign w:val="center"/>
          </w:tcPr>
          <w:p w14:paraId="4FA5196A">
            <w:pPr>
              <w:pStyle w:val="3"/>
            </w:pPr>
            <w:r>
              <w:rPr>
                <w:rFonts w:hint="eastAsia"/>
              </w:rPr>
              <w:t>密度（点/m2）</w:t>
            </w:r>
          </w:p>
        </w:tc>
      </w:tr>
      <w:tr w14:paraId="527B7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2389" w:type="dxa"/>
            <w:vAlign w:val="center"/>
          </w:tcPr>
          <w:p w14:paraId="4B476DE2">
            <w:pPr>
              <w:pStyle w:val="3"/>
            </w:pPr>
            <w:r>
              <w:rPr>
                <w:rFonts w:hint="eastAsia"/>
              </w:rPr>
              <w:t>0.5</w:t>
            </w:r>
          </w:p>
        </w:tc>
        <w:tc>
          <w:tcPr>
            <w:tcW w:w="2533" w:type="dxa"/>
            <w:vAlign w:val="center"/>
          </w:tcPr>
          <w:p w14:paraId="16D9B9DC">
            <w:pPr>
              <w:pStyle w:val="3"/>
            </w:pPr>
            <w:r>
              <w:t>≤</w:t>
            </w:r>
            <w:r>
              <w:rPr>
                <w:rFonts w:hint="eastAsia"/>
              </w:rPr>
              <w:t>0.25</w:t>
            </w:r>
          </w:p>
        </w:tc>
        <w:tc>
          <w:tcPr>
            <w:tcW w:w="2322" w:type="dxa"/>
            <w:vAlign w:val="center"/>
          </w:tcPr>
          <w:p w14:paraId="5EF1E069">
            <w:pPr>
              <w:pStyle w:val="3"/>
            </w:pPr>
            <w:r>
              <w:t>≥</w:t>
            </w:r>
            <w:r>
              <w:rPr>
                <w:rFonts w:hint="eastAsia"/>
              </w:rPr>
              <w:t>16</w:t>
            </w:r>
          </w:p>
        </w:tc>
      </w:tr>
    </w:tbl>
    <w:p w14:paraId="06386262">
      <w:pPr>
        <w:pStyle w:val="3"/>
        <w:jc w:val="left"/>
      </w:pPr>
      <w:r>
        <w:rPr>
          <w:rFonts w:hint="eastAsia" w:ascii="Times New Roman"/>
        </w:rPr>
        <w:t>4.1.4</w:t>
      </w:r>
      <w:r>
        <w:rPr>
          <w:rFonts w:hint="eastAsia"/>
          <w:lang w:val="en-US" w:eastAsia="zh-CN"/>
        </w:rPr>
        <w:t>.</w:t>
      </w:r>
      <w:r>
        <w:rPr>
          <w:rFonts w:hint="eastAsia"/>
        </w:rPr>
        <w:t>2 数字高程模型精度误差按GB 55018工程测量通用规范4.2.3规定执行。</w:t>
      </w:r>
    </w:p>
    <w:p w14:paraId="402FA4C8">
      <w:pPr>
        <w:pStyle w:val="31"/>
        <w:spacing w:before="312" w:beforeLines="100" w:afterLines="0"/>
        <w:rPr>
          <w:rFonts w:ascii="Times New Roman"/>
        </w:rPr>
      </w:pPr>
      <w:r>
        <w:rPr>
          <w:rFonts w:hint="eastAsia" w:ascii="Times New Roman"/>
        </w:rPr>
        <w:t>4.1.5 水域测量</w:t>
      </w:r>
    </w:p>
    <w:p w14:paraId="7798FBAE">
      <w:pPr>
        <w:pStyle w:val="3"/>
        <w:jc w:val="left"/>
      </w:pPr>
      <w:r>
        <w:rPr>
          <w:rFonts w:hint="eastAsia" w:ascii="Times New Roman"/>
        </w:rPr>
        <w:t>4.1.5</w:t>
      </w:r>
      <w:r>
        <w:rPr>
          <w:rFonts w:hint="eastAsia"/>
          <w:lang w:val="en-US" w:eastAsia="zh-CN"/>
        </w:rPr>
        <w:t>.</w:t>
      </w:r>
      <w:r>
        <w:rPr>
          <w:rFonts w:hint="eastAsia"/>
        </w:rPr>
        <w:t>1 应测定修复区水下地形高程、水位或水面高程。</w:t>
      </w:r>
    </w:p>
    <w:p w14:paraId="01666B8A">
      <w:pPr>
        <w:pStyle w:val="3"/>
        <w:jc w:val="left"/>
      </w:pPr>
      <w:r>
        <w:rPr>
          <w:rFonts w:hint="eastAsia" w:ascii="Times New Roman"/>
        </w:rPr>
        <w:t>4.1.5</w:t>
      </w:r>
      <w:r>
        <w:rPr>
          <w:rFonts w:hint="eastAsia"/>
          <w:lang w:val="en-US" w:eastAsia="zh-CN"/>
        </w:rPr>
        <w:t>.</w:t>
      </w:r>
      <w:r>
        <w:rPr>
          <w:rFonts w:hint="eastAsia"/>
        </w:rPr>
        <w:t>2 水深定位根据设备和修复区水域的情况，宜优先采用 GNSS 定位法。</w:t>
      </w:r>
    </w:p>
    <w:p w14:paraId="5355F9D2">
      <w:pPr>
        <w:pStyle w:val="3"/>
        <w:jc w:val="left"/>
      </w:pPr>
      <w:r>
        <w:rPr>
          <w:rFonts w:hint="eastAsia" w:ascii="Times New Roman"/>
        </w:rPr>
        <w:t>4.1.5</w:t>
      </w:r>
      <w:r>
        <w:rPr>
          <w:rFonts w:hint="eastAsia"/>
          <w:lang w:val="en-US" w:eastAsia="zh-CN"/>
        </w:rPr>
        <w:t>.</w:t>
      </w:r>
      <w:r>
        <w:rPr>
          <w:rFonts w:hint="eastAsia"/>
        </w:rPr>
        <w:t>3 水下地形测量按CH/T 7003的相关规定。</w:t>
      </w:r>
    </w:p>
    <w:p w14:paraId="63F646F5">
      <w:pPr>
        <w:pStyle w:val="31"/>
        <w:spacing w:before="312" w:beforeLines="100" w:afterLines="0"/>
        <w:rPr>
          <w:rFonts w:ascii="Times New Roman"/>
        </w:rPr>
      </w:pPr>
      <w:r>
        <w:rPr>
          <w:rFonts w:hint="eastAsia" w:ascii="Times New Roman"/>
        </w:rPr>
        <w:t>4.1.6 数字高程绘制</w:t>
      </w:r>
    </w:p>
    <w:p w14:paraId="6AA7FD89">
      <w:pPr>
        <w:pStyle w:val="3"/>
        <w:jc w:val="left"/>
      </w:pPr>
      <w:r>
        <w:rPr>
          <w:rFonts w:hint="eastAsia"/>
        </w:rPr>
        <w:t xml:space="preserve">     根据上述测绘数据，利用地理信息系统，绘制退养湿地修复区数字高程地图。相关图形应符合GB/T 20257.1国家基本比例尺地图图式第1部分：1:500</w:t>
      </w:r>
      <w:r>
        <w:rPr>
          <w:rFonts w:hint="eastAsia"/>
          <w:lang w:val="en-US" w:eastAsia="zh-CN"/>
        </w:rPr>
        <w:t xml:space="preserve">  </w:t>
      </w:r>
      <w:r>
        <w:rPr>
          <w:rFonts w:hint="eastAsia"/>
        </w:rPr>
        <w:t>1:1000</w:t>
      </w:r>
      <w:r>
        <w:rPr>
          <w:rFonts w:hint="eastAsia"/>
          <w:lang w:val="en-US" w:eastAsia="zh-CN"/>
        </w:rPr>
        <w:t xml:space="preserve">  </w:t>
      </w:r>
      <w:r>
        <w:rPr>
          <w:rFonts w:hint="eastAsia"/>
        </w:rPr>
        <w:t>1:2000地形图图式。</w:t>
      </w:r>
    </w:p>
    <w:p w14:paraId="53EA9AAD">
      <w:pPr>
        <w:pStyle w:val="31"/>
        <w:spacing w:before="312" w:beforeLines="100" w:afterLines="0"/>
        <w:rPr>
          <w:rFonts w:ascii="Times New Roman"/>
        </w:rPr>
      </w:pPr>
      <w:r>
        <w:rPr>
          <w:rFonts w:hint="eastAsia" w:ascii="Times New Roman"/>
        </w:rPr>
        <w:t>4.2修复区域划分</w:t>
      </w:r>
    </w:p>
    <w:p w14:paraId="7971B9D7">
      <w:pPr>
        <w:pStyle w:val="31"/>
        <w:spacing w:before="312" w:beforeLines="100" w:afterLines="0"/>
        <w:rPr>
          <w:rFonts w:ascii="Times New Roman"/>
        </w:rPr>
      </w:pPr>
      <w:r>
        <w:rPr>
          <w:rFonts w:hint="eastAsia" w:ascii="Times New Roman"/>
        </w:rPr>
        <w:t>4.2.1水域划分</w:t>
      </w:r>
    </w:p>
    <w:p w14:paraId="5F32609B">
      <w:pPr>
        <w:pStyle w:val="3"/>
        <w:jc w:val="left"/>
      </w:pPr>
      <w:r>
        <w:rPr>
          <w:rFonts w:hint="eastAsia" w:ascii="仿宋_GB2312" w:eastAsia="仿宋_GB2312"/>
          <w:bCs/>
          <w:sz w:val="24"/>
        </w:rPr>
        <w:t xml:space="preserve">    </w:t>
      </w:r>
      <w:r>
        <w:rPr>
          <w:rFonts w:hint="eastAsia"/>
        </w:rPr>
        <w:t>依照修复区高程数据，将-0.5m至0m高程水域划分为浅水修复区；-0.5m高程以下为深水修复区。</w:t>
      </w:r>
    </w:p>
    <w:p w14:paraId="16DB1D0B">
      <w:pPr>
        <w:pStyle w:val="31"/>
        <w:spacing w:before="312" w:beforeLines="100" w:afterLines="0"/>
        <w:rPr>
          <w:rFonts w:ascii="Times New Roman"/>
        </w:rPr>
      </w:pPr>
      <w:r>
        <w:rPr>
          <w:rFonts w:hint="eastAsia" w:ascii="Times New Roman"/>
        </w:rPr>
        <w:t>4.2.2陆域划分</w:t>
      </w:r>
    </w:p>
    <w:p w14:paraId="225F9DB9">
      <w:pPr>
        <w:pStyle w:val="3"/>
        <w:jc w:val="left"/>
      </w:pPr>
      <w:r>
        <w:rPr>
          <w:rFonts w:hint="eastAsia"/>
          <w:lang w:val="en-US" w:eastAsia="zh-CN"/>
        </w:rPr>
        <w:t xml:space="preserve">    </w:t>
      </w:r>
      <w:r>
        <w:rPr>
          <w:rFonts w:hint="eastAsia"/>
        </w:rPr>
        <w:t>依照修复区高程数据，将0m至+0.5m高程陆域划分为过水修复区；+0.5m高程以上为陆地修复区。</w:t>
      </w:r>
    </w:p>
    <w:p w14:paraId="2E0FDD92">
      <w:pPr>
        <w:pStyle w:val="31"/>
        <w:spacing w:before="312" w:beforeLines="100" w:afterLines="0"/>
        <w:rPr>
          <w:rFonts w:ascii="Times New Roman"/>
        </w:rPr>
      </w:pPr>
      <w:r>
        <w:rPr>
          <w:rFonts w:hint="eastAsia" w:ascii="Times New Roman"/>
        </w:rPr>
        <w:t>5盐碱度调查</w:t>
      </w:r>
    </w:p>
    <w:p w14:paraId="7688E9B9">
      <w:pPr>
        <w:pStyle w:val="31"/>
        <w:spacing w:before="312" w:beforeLines="100" w:afterLines="0"/>
        <w:rPr>
          <w:rFonts w:ascii="Times New Roman"/>
        </w:rPr>
      </w:pPr>
      <w:r>
        <w:rPr>
          <w:rFonts w:hint="eastAsia" w:ascii="Times New Roman"/>
        </w:rPr>
        <w:t>5.1水域地表水盐碱度调查</w:t>
      </w:r>
    </w:p>
    <w:p w14:paraId="0F9440CD">
      <w:pPr>
        <w:pStyle w:val="31"/>
        <w:spacing w:before="312" w:beforeLines="100" w:afterLines="0"/>
        <w:rPr>
          <w:rFonts w:ascii="Times New Roman"/>
        </w:rPr>
      </w:pPr>
      <w:r>
        <w:rPr>
          <w:rFonts w:hint="eastAsia" w:ascii="Times New Roman"/>
        </w:rPr>
        <w:t>5.</w:t>
      </w:r>
      <w:r>
        <w:rPr>
          <w:rFonts w:hint="eastAsia" w:ascii="Times New Roman"/>
          <w:lang w:val="en-US" w:eastAsia="zh-CN"/>
        </w:rPr>
        <w:t>1</w:t>
      </w:r>
      <w:r>
        <w:rPr>
          <w:rFonts w:hint="eastAsia" w:ascii="Times New Roman"/>
        </w:rPr>
        <w:t>.1取样方法</w:t>
      </w:r>
    </w:p>
    <w:p w14:paraId="737A9328">
      <w:pPr>
        <w:spacing w:line="336" w:lineRule="auto"/>
        <w:ind w:firstLine="420" w:firstLineChars="200"/>
        <w:rPr>
          <w:color w:val="000000"/>
          <w:kern w:val="0"/>
          <w:szCs w:val="21"/>
        </w:rPr>
      </w:pPr>
      <w:r>
        <w:rPr>
          <w:rFonts w:hint="eastAsia"/>
          <w:color w:val="000000"/>
          <w:kern w:val="0"/>
          <w:szCs w:val="21"/>
        </w:rPr>
        <w:t>在修复区域对每个隔离水域用取水器定点获取水样。面积每增加2000m</w:t>
      </w:r>
      <w:r>
        <w:rPr>
          <w:rFonts w:hint="eastAsia"/>
          <w:color w:val="000000"/>
          <w:kern w:val="0"/>
          <w:szCs w:val="21"/>
          <w:vertAlign w:val="superscript"/>
        </w:rPr>
        <w:t>2</w:t>
      </w:r>
      <w:r>
        <w:rPr>
          <w:rFonts w:hint="eastAsia"/>
          <w:color w:val="000000"/>
          <w:kern w:val="0"/>
          <w:szCs w:val="21"/>
        </w:rPr>
        <w:t>增加一个取样点。</w:t>
      </w:r>
    </w:p>
    <w:p w14:paraId="21909592">
      <w:pPr>
        <w:pStyle w:val="31"/>
        <w:spacing w:before="312" w:beforeLines="100" w:afterLines="0"/>
        <w:rPr>
          <w:rFonts w:ascii="Times New Roman"/>
        </w:rPr>
      </w:pPr>
      <w:r>
        <w:rPr>
          <w:rFonts w:hint="eastAsia" w:ascii="Times New Roman"/>
        </w:rPr>
        <w:t>5.</w:t>
      </w:r>
      <w:r>
        <w:rPr>
          <w:rFonts w:hint="eastAsia" w:ascii="Times New Roman"/>
          <w:lang w:val="en-US" w:eastAsia="zh-CN"/>
        </w:rPr>
        <w:t>1</w:t>
      </w:r>
      <w:r>
        <w:rPr>
          <w:rFonts w:hint="eastAsia" w:ascii="Times New Roman"/>
        </w:rPr>
        <w:t>.2测定矿化度和pH</w:t>
      </w:r>
    </w:p>
    <w:p w14:paraId="06286054">
      <w:pPr>
        <w:spacing w:line="336" w:lineRule="auto"/>
        <w:ind w:firstLine="420" w:firstLineChars="200"/>
        <w:rPr>
          <w:color w:val="000000"/>
          <w:kern w:val="0"/>
          <w:szCs w:val="21"/>
        </w:rPr>
      </w:pPr>
      <w:r>
        <w:rPr>
          <w:rFonts w:hint="eastAsia"/>
          <w:color w:val="000000"/>
          <w:kern w:val="0"/>
          <w:szCs w:val="21"/>
        </w:rPr>
        <w:t xml:space="preserve"> 按NY/T1121.2 和NY/T1121.16测定矿化度和pH。</w:t>
      </w:r>
    </w:p>
    <w:p w14:paraId="54571A78">
      <w:pPr>
        <w:pStyle w:val="31"/>
        <w:spacing w:before="312" w:beforeLines="100" w:afterLines="0"/>
        <w:rPr>
          <w:rFonts w:ascii="Times New Roman"/>
        </w:rPr>
      </w:pPr>
      <w:r>
        <w:rPr>
          <w:rFonts w:hint="eastAsia" w:ascii="Times New Roman"/>
        </w:rPr>
        <w:t>5.2陆域土壤盐碱度调查</w:t>
      </w:r>
    </w:p>
    <w:p w14:paraId="5E292C41">
      <w:pPr>
        <w:pStyle w:val="31"/>
        <w:spacing w:before="312" w:beforeLines="100" w:afterLines="0"/>
        <w:rPr>
          <w:rFonts w:ascii="Times New Roman"/>
        </w:rPr>
      </w:pPr>
      <w:r>
        <w:rPr>
          <w:rFonts w:hint="eastAsia" w:ascii="Times New Roman"/>
        </w:rPr>
        <w:t>5.2.1取样方法</w:t>
      </w:r>
    </w:p>
    <w:p w14:paraId="3735B7E5">
      <w:pPr>
        <w:spacing w:line="336" w:lineRule="auto"/>
        <w:ind w:firstLine="420" w:firstLineChars="200"/>
        <w:rPr>
          <w:color w:val="000000"/>
          <w:kern w:val="0"/>
          <w:szCs w:val="21"/>
        </w:rPr>
      </w:pPr>
      <w:r>
        <w:rPr>
          <w:rFonts w:hint="eastAsia"/>
          <w:color w:val="000000"/>
          <w:kern w:val="0"/>
          <w:szCs w:val="21"/>
        </w:rPr>
        <w:t>按照NY/T 1121.2 土壤检测 第 1 部分规定取样，每（600～700）m</w:t>
      </w:r>
      <w:r>
        <w:rPr>
          <w:rFonts w:hint="eastAsia"/>
          <w:color w:val="000000"/>
          <w:kern w:val="0"/>
          <w:szCs w:val="21"/>
          <w:vertAlign w:val="superscript"/>
        </w:rPr>
        <w:t>2</w:t>
      </w:r>
      <w:r>
        <w:rPr>
          <w:rFonts w:hint="eastAsia"/>
          <w:color w:val="000000"/>
          <w:kern w:val="0"/>
          <w:szCs w:val="21"/>
        </w:rPr>
        <w:t>为取样单元，采用对角线5点取样法，每20cm为一个层次，分3个层次取样，每个样品量不少于500g。</w:t>
      </w:r>
    </w:p>
    <w:p w14:paraId="7E44A0F2">
      <w:pPr>
        <w:pStyle w:val="31"/>
        <w:spacing w:before="312" w:beforeLines="100" w:afterLines="0"/>
        <w:rPr>
          <w:rFonts w:ascii="Times New Roman"/>
        </w:rPr>
      </w:pPr>
      <w:r>
        <w:rPr>
          <w:rFonts w:hint="eastAsia" w:ascii="Times New Roman"/>
        </w:rPr>
        <w:t>5.2.2测定全盐和pH</w:t>
      </w:r>
    </w:p>
    <w:p w14:paraId="075E7827">
      <w:pPr>
        <w:spacing w:line="336" w:lineRule="auto"/>
        <w:ind w:firstLine="420" w:firstLineChars="200"/>
        <w:rPr>
          <w:color w:val="000000"/>
          <w:kern w:val="0"/>
          <w:szCs w:val="21"/>
        </w:rPr>
      </w:pPr>
      <w:r>
        <w:rPr>
          <w:rFonts w:hint="eastAsia"/>
          <w:color w:val="000000"/>
          <w:kern w:val="0"/>
          <w:szCs w:val="21"/>
        </w:rPr>
        <w:t>按NY/T1121.2和NY/T1121.16 测定土壤全盐含量和pH。</w:t>
      </w:r>
    </w:p>
    <w:p w14:paraId="5E6EEB3E">
      <w:pPr>
        <w:pStyle w:val="31"/>
        <w:spacing w:before="312" w:beforeLines="100" w:afterLines="0"/>
        <w:rPr>
          <w:rFonts w:ascii="Times New Roman"/>
        </w:rPr>
      </w:pPr>
      <w:r>
        <w:rPr>
          <w:rFonts w:hint="eastAsia" w:ascii="Times New Roman"/>
        </w:rPr>
        <w:t>6水文调控与土壤改良</w:t>
      </w:r>
    </w:p>
    <w:p w14:paraId="4C5B9D27">
      <w:pPr>
        <w:pStyle w:val="31"/>
        <w:spacing w:before="312" w:beforeLines="100" w:afterLines="0"/>
        <w:rPr>
          <w:rFonts w:ascii="Times New Roman"/>
        </w:rPr>
      </w:pPr>
      <w:r>
        <w:rPr>
          <w:rFonts w:hint="eastAsia" w:ascii="Times New Roman"/>
        </w:rPr>
        <w:t>6.1水系沟通</w:t>
      </w:r>
    </w:p>
    <w:p w14:paraId="10DE674B">
      <w:pPr>
        <w:pStyle w:val="3"/>
        <w:jc w:val="left"/>
      </w:pPr>
      <w:r>
        <w:rPr>
          <w:rFonts w:hint="eastAsia"/>
        </w:rPr>
        <w:t xml:space="preserve">    根据高程数据和水源走向，挖掘连通水源沟渠，在各修复区域之间设置进、排水闸口，调控水位。</w:t>
      </w:r>
    </w:p>
    <w:p w14:paraId="303E159E">
      <w:pPr>
        <w:pStyle w:val="31"/>
        <w:spacing w:before="312" w:beforeLines="100" w:afterLines="0"/>
        <w:rPr>
          <w:rFonts w:ascii="Times New Roman"/>
        </w:rPr>
      </w:pPr>
      <w:r>
        <w:rPr>
          <w:rFonts w:hint="eastAsia" w:ascii="Times New Roman"/>
        </w:rPr>
        <w:t>6.2浅水修复区</w:t>
      </w:r>
    </w:p>
    <w:p w14:paraId="4A2366C5">
      <w:pPr>
        <w:pStyle w:val="31"/>
        <w:spacing w:before="312" w:beforeLines="100" w:afterLines="0"/>
        <w:rPr>
          <w:rFonts w:ascii="Times New Roman"/>
        </w:rPr>
      </w:pPr>
      <w:r>
        <w:rPr>
          <w:rFonts w:hint="eastAsia" w:ascii="Times New Roman"/>
        </w:rPr>
        <w:t>6.2.1围埝</w:t>
      </w:r>
    </w:p>
    <w:p w14:paraId="37DB4023">
      <w:pPr>
        <w:pStyle w:val="3"/>
        <w:ind w:firstLine="420" w:firstLineChars="200"/>
        <w:jc w:val="left"/>
      </w:pPr>
      <w:r>
        <w:rPr>
          <w:rFonts w:hint="eastAsia"/>
        </w:rPr>
        <w:t>对浅水修复区，沿-0.5m高程位置进行围埝，围埝高程（60～70）cm，宽度（50～60）cm，每隔（15～20）m设溢水口，宽（1～2）m，高程（40～50）cm，溢水口覆盖防冲刷材料。</w:t>
      </w:r>
    </w:p>
    <w:p w14:paraId="18BA7DC4">
      <w:pPr>
        <w:pStyle w:val="31"/>
        <w:spacing w:before="312" w:beforeLines="100" w:afterLines="0"/>
        <w:rPr>
          <w:rFonts w:ascii="Times New Roman"/>
        </w:rPr>
      </w:pPr>
      <w:r>
        <w:rPr>
          <w:rFonts w:hint="eastAsia" w:ascii="Times New Roman"/>
        </w:rPr>
        <w:t>6.2.2蓄水洗盐</w:t>
      </w:r>
    </w:p>
    <w:p w14:paraId="66190FD4">
      <w:pPr>
        <w:pStyle w:val="3"/>
        <w:ind w:firstLine="420" w:firstLineChars="200"/>
        <w:jc w:val="left"/>
      </w:pPr>
      <w:r>
        <w:rPr>
          <w:rFonts w:hint="eastAsia"/>
        </w:rPr>
        <w:t>向浅水修复区注入淡水或微咸水，浸泡洗盐（2～4）d。监测地表水矿化度，若≥0.6%，将地表水排入泄水沟渠，重新引入淡水或微咸水，直至地表水矿化度＜0.6%。。</w:t>
      </w:r>
    </w:p>
    <w:p w14:paraId="1B4B0D9D">
      <w:pPr>
        <w:pStyle w:val="31"/>
        <w:spacing w:before="312" w:beforeLines="100" w:afterLines="0"/>
        <w:rPr>
          <w:rFonts w:ascii="Times New Roman"/>
        </w:rPr>
      </w:pPr>
      <w:r>
        <w:rPr>
          <w:rFonts w:hint="eastAsia" w:ascii="Times New Roman"/>
        </w:rPr>
        <w:t>6.3过水修复区</w:t>
      </w:r>
    </w:p>
    <w:p w14:paraId="3BF6D7B2">
      <w:pPr>
        <w:pStyle w:val="31"/>
        <w:spacing w:before="312" w:beforeLines="100" w:afterLines="0"/>
        <w:rPr>
          <w:rFonts w:ascii="Times New Roman"/>
        </w:rPr>
      </w:pPr>
      <w:r>
        <w:rPr>
          <w:rFonts w:hint="eastAsia" w:ascii="Times New Roman"/>
        </w:rPr>
        <w:t>6.3.1土地整理</w:t>
      </w:r>
    </w:p>
    <w:p w14:paraId="0B14D5B5">
      <w:pPr>
        <w:spacing w:line="336" w:lineRule="auto"/>
        <w:ind w:firstLine="420" w:firstLineChars="200"/>
        <w:rPr>
          <w:rFonts w:hint="eastAsia" w:ascii="Times New Roman" w:hAnsi="Times New Roman" w:eastAsia="宋体" w:cs="Times New Roman"/>
          <w:bCs w:val="0"/>
          <w:szCs w:val="24"/>
        </w:rPr>
      </w:pPr>
      <w:r>
        <w:rPr>
          <w:rFonts w:hint="eastAsia" w:ascii="Times New Roman" w:hAnsi="Times New Roman" w:eastAsia="宋体" w:cs="Times New Roman"/>
          <w:bCs w:val="0"/>
          <w:szCs w:val="24"/>
        </w:rPr>
        <w:t>根据高程数据，沿陆地修复区向浅水修复区走向，进行土地平整，形成坡面微地形，坡面角度（5～6）度，坡面长度8-10m，依次形成多层次鱼鳞坡面微地形。</w:t>
      </w:r>
    </w:p>
    <w:p w14:paraId="38772FA0">
      <w:pPr>
        <w:pStyle w:val="31"/>
        <w:spacing w:before="312" w:beforeLines="100" w:afterLines="0"/>
        <w:rPr>
          <w:rFonts w:ascii="Times New Roman" w:hAnsi="Times New Roman" w:eastAsia="黑体" w:cs="Times New Roman"/>
          <w:szCs w:val="21"/>
        </w:rPr>
      </w:pPr>
      <w:r>
        <w:rPr>
          <w:rFonts w:ascii="Times New Roman" w:hAnsi="Times New Roman" w:eastAsia="黑体" w:cs="Times New Roman"/>
          <w:bCs w:val="0"/>
          <w:kern w:val="0"/>
          <w:szCs w:val="21"/>
        </w:rPr>
        <w:t>6.3.2</w:t>
      </w:r>
      <w:r>
        <w:rPr>
          <w:rFonts w:hint="eastAsia" w:ascii="Times New Roman" w:hAnsi="Times New Roman" w:eastAsia="黑体" w:cs="Times New Roman"/>
          <w:bCs w:val="0"/>
          <w:kern w:val="0"/>
          <w:szCs w:val="21"/>
        </w:rPr>
        <w:t>连通坡脚排水</w:t>
      </w:r>
    </w:p>
    <w:p w14:paraId="3C7BF7CC">
      <w:pPr>
        <w:pStyle w:val="3"/>
        <w:ind w:firstLine="420" w:firstLineChars="200"/>
        <w:jc w:val="left"/>
      </w:pPr>
      <w:r>
        <w:rPr>
          <w:rFonts w:hint="eastAsia"/>
        </w:rPr>
        <w:t>连通微地形坡脚处、过水修复区与浅水修复区的排水沟渠。</w:t>
      </w:r>
    </w:p>
    <w:p w14:paraId="7F1E294D">
      <w:pPr>
        <w:pStyle w:val="31"/>
        <w:spacing w:before="312" w:beforeLines="100" w:afterLines="0"/>
        <w:rPr>
          <w:rFonts w:ascii="Times New Roman"/>
        </w:rPr>
      </w:pPr>
      <w:r>
        <w:rPr>
          <w:rFonts w:hint="eastAsia" w:ascii="Times New Roman"/>
        </w:rPr>
        <w:t xml:space="preserve">6.4陆地修复区     </w:t>
      </w:r>
    </w:p>
    <w:p w14:paraId="4D46696F">
      <w:pPr>
        <w:pStyle w:val="31"/>
        <w:spacing w:before="312" w:beforeLines="100" w:afterLines="0"/>
        <w:rPr>
          <w:rFonts w:ascii="Times New Roman"/>
        </w:rPr>
      </w:pPr>
      <w:r>
        <w:rPr>
          <w:rFonts w:hint="eastAsia" w:ascii="Times New Roman"/>
        </w:rPr>
        <w:t>6.4.1土地整理</w:t>
      </w:r>
    </w:p>
    <w:p w14:paraId="21154041">
      <w:pPr>
        <w:pStyle w:val="3"/>
        <w:jc w:val="left"/>
      </w:pPr>
      <w:r>
        <w:rPr>
          <w:rFonts w:hint="eastAsia" w:ascii="Times New Roman"/>
        </w:rPr>
        <w:t>6.4.1</w:t>
      </w:r>
      <w:r>
        <w:rPr>
          <w:rFonts w:hint="eastAsia"/>
          <w:lang w:val="en-US" w:eastAsia="zh-CN"/>
        </w:rPr>
        <w:t>.</w:t>
      </w:r>
      <w:r>
        <w:rPr>
          <w:rFonts w:hint="eastAsia"/>
        </w:rPr>
        <w:t>1. 方法一是在陆地修复区形成台田地块，台田高程大于0.8m，宽度（5～10）m排水沟沟底高程0.3-0.4m，。</w:t>
      </w:r>
    </w:p>
    <w:p w14:paraId="4633E6D9">
      <w:pPr>
        <w:pStyle w:val="3"/>
        <w:jc w:val="left"/>
      </w:pPr>
      <w:r>
        <w:rPr>
          <w:rFonts w:hint="eastAsia" w:ascii="Times New Roman"/>
        </w:rPr>
        <w:t>6.4.1</w:t>
      </w:r>
      <w:r>
        <w:rPr>
          <w:rFonts w:hint="eastAsia"/>
          <w:lang w:val="en-US" w:eastAsia="zh-CN"/>
        </w:rPr>
        <w:t>.</w:t>
      </w:r>
      <w:r>
        <w:rPr>
          <w:rFonts w:hint="eastAsia"/>
        </w:rPr>
        <w:t>2. 方法二是在陆地修复区沿数字高程由高向低铺设渗水暗管（外附无纺布的PE波纹管，管径为3-8cm，坡降3‰-5‰），深度（50～80）cm，间距（5～10）m，渗水暗管与排水沟渠垂直连通。</w:t>
      </w:r>
    </w:p>
    <w:p w14:paraId="03209332">
      <w:pPr>
        <w:pStyle w:val="31"/>
        <w:spacing w:before="312" w:beforeLines="100" w:afterLines="0"/>
        <w:rPr>
          <w:rFonts w:ascii="Times New Roman"/>
        </w:rPr>
      </w:pPr>
      <w:r>
        <w:rPr>
          <w:rFonts w:hint="eastAsia" w:ascii="Times New Roman"/>
        </w:rPr>
        <w:t>6.4.2土壤改良</w:t>
      </w:r>
    </w:p>
    <w:p w14:paraId="10642D27">
      <w:pPr>
        <w:spacing w:line="336" w:lineRule="auto"/>
        <w:ind w:firstLine="420" w:firstLineChars="200"/>
        <w:rPr>
          <w:rFonts w:hint="eastAsia" w:ascii="Times New Roman" w:hAnsi="Times New Roman" w:eastAsia="宋体" w:cs="Times New Roman"/>
          <w:bCs w:val="0"/>
          <w:szCs w:val="24"/>
        </w:rPr>
      </w:pPr>
      <w:r>
        <w:rPr>
          <w:rFonts w:hint="eastAsia" w:ascii="Times New Roman" w:hAnsi="Times New Roman" w:eastAsia="宋体" w:cs="Times New Roman"/>
          <w:bCs w:val="0"/>
          <w:szCs w:val="24"/>
        </w:rPr>
        <w:t>当陆地修复区土壤含盐量&gt;0.6%时，施入磷石膏</w:t>
      </w:r>
      <w:r>
        <w:rPr>
          <w:rFonts w:hint="eastAsia" w:ascii="Times New Roman" w:hAnsi="Times New Roman" w:eastAsia="宋体" w:cs="Times New Roman"/>
          <w:bCs w:val="0"/>
          <w:szCs w:val="24"/>
        </w:rPr>
        <w:t>15～</w:t>
      </w:r>
      <w:r>
        <w:rPr>
          <w:rFonts w:hint="eastAsia" w:ascii="Times New Roman" w:hAnsi="Times New Roman" w:eastAsia="宋体" w:cs="Times New Roman"/>
          <w:bCs w:val="0"/>
          <w:szCs w:val="24"/>
        </w:rPr>
        <w:t>30t/hm</w:t>
      </w:r>
      <w:r>
        <w:rPr>
          <w:rFonts w:hint="eastAsia" w:ascii="Times New Roman" w:hAnsi="Times New Roman" w:eastAsia="宋体" w:cs="Times New Roman"/>
          <w:bCs w:val="0"/>
          <w:szCs w:val="24"/>
          <w:vertAlign w:val="superscript"/>
        </w:rPr>
        <w:t>2</w:t>
      </w:r>
      <w:r>
        <w:rPr>
          <w:rFonts w:hint="eastAsia" w:ascii="Times New Roman" w:hAnsi="Times New Roman" w:eastAsia="宋体" w:cs="Times New Roman"/>
          <w:bCs w:val="0"/>
          <w:szCs w:val="24"/>
        </w:rPr>
        <w:t>、碎玉米秸秆</w:t>
      </w:r>
      <w:r>
        <w:rPr>
          <w:rFonts w:hint="eastAsia" w:ascii="Times New Roman" w:hAnsi="Times New Roman" w:eastAsia="宋体" w:cs="Times New Roman"/>
          <w:bCs w:val="0"/>
          <w:szCs w:val="24"/>
        </w:rPr>
        <w:t>80～</w:t>
      </w:r>
      <w:r>
        <w:rPr>
          <w:rFonts w:hint="eastAsia" w:ascii="Times New Roman" w:hAnsi="Times New Roman" w:eastAsia="宋体" w:cs="Times New Roman"/>
          <w:bCs w:val="0"/>
          <w:szCs w:val="24"/>
        </w:rPr>
        <w:t>150m</w:t>
      </w:r>
      <w:r>
        <w:rPr>
          <w:rFonts w:hint="eastAsia" w:ascii="Times New Roman" w:hAnsi="Times New Roman" w:eastAsia="宋体" w:cs="Times New Roman"/>
          <w:bCs w:val="0"/>
          <w:szCs w:val="24"/>
          <w:vertAlign w:val="superscript"/>
        </w:rPr>
        <w:t>3</w:t>
      </w:r>
      <w:r>
        <w:rPr>
          <w:rFonts w:hint="eastAsia" w:ascii="Times New Roman" w:hAnsi="Times New Roman" w:eastAsia="宋体" w:cs="Times New Roman"/>
          <w:bCs w:val="0"/>
          <w:szCs w:val="24"/>
        </w:rPr>
        <w:t>/hm</w:t>
      </w:r>
      <w:r>
        <w:rPr>
          <w:rFonts w:hint="eastAsia" w:ascii="Times New Roman" w:hAnsi="Times New Roman" w:eastAsia="宋体" w:cs="Times New Roman"/>
          <w:bCs w:val="0"/>
          <w:szCs w:val="24"/>
          <w:vertAlign w:val="superscript"/>
        </w:rPr>
        <w:t>2</w:t>
      </w:r>
      <w:r>
        <w:rPr>
          <w:rFonts w:hint="eastAsia" w:ascii="Times New Roman" w:hAnsi="Times New Roman" w:eastAsia="宋体" w:cs="Times New Roman"/>
          <w:bCs w:val="0"/>
          <w:szCs w:val="24"/>
        </w:rPr>
        <w:t>、腐熟牛粪</w:t>
      </w:r>
      <w:r>
        <w:rPr>
          <w:rFonts w:hint="eastAsia" w:ascii="Times New Roman" w:hAnsi="Times New Roman" w:eastAsia="宋体" w:cs="Times New Roman"/>
          <w:bCs w:val="0"/>
          <w:szCs w:val="24"/>
        </w:rPr>
        <w:t>15～</w:t>
      </w:r>
      <w:r>
        <w:rPr>
          <w:rFonts w:hint="eastAsia" w:ascii="Times New Roman" w:hAnsi="Times New Roman" w:eastAsia="宋体" w:cs="Times New Roman"/>
          <w:bCs w:val="0"/>
          <w:szCs w:val="24"/>
        </w:rPr>
        <w:t>30m</w:t>
      </w:r>
      <w:r>
        <w:rPr>
          <w:rFonts w:hint="eastAsia" w:ascii="Times New Roman" w:hAnsi="Times New Roman" w:eastAsia="宋体" w:cs="Times New Roman"/>
          <w:bCs w:val="0"/>
          <w:szCs w:val="24"/>
          <w:vertAlign w:val="superscript"/>
        </w:rPr>
        <w:t>3</w:t>
      </w:r>
      <w:r>
        <w:rPr>
          <w:rFonts w:hint="eastAsia" w:ascii="Times New Roman" w:hAnsi="Times New Roman" w:eastAsia="宋体" w:cs="Times New Roman"/>
          <w:bCs w:val="0"/>
          <w:szCs w:val="24"/>
        </w:rPr>
        <w:t>/hm</w:t>
      </w:r>
      <w:r>
        <w:rPr>
          <w:rFonts w:hint="eastAsia" w:ascii="Times New Roman" w:hAnsi="Times New Roman" w:eastAsia="宋体" w:cs="Times New Roman"/>
          <w:bCs w:val="0"/>
          <w:szCs w:val="24"/>
          <w:vertAlign w:val="superscript"/>
        </w:rPr>
        <w:t>2</w:t>
      </w:r>
      <w:r>
        <w:rPr>
          <w:rFonts w:hint="eastAsia" w:ascii="Times New Roman" w:hAnsi="Times New Roman" w:eastAsia="宋体" w:cs="Times New Roman"/>
          <w:bCs w:val="0"/>
          <w:szCs w:val="24"/>
        </w:rPr>
        <w:t>。撒后深翻50cm，使上述改良物料在（0～50）cm土层范围内混匀。</w:t>
      </w:r>
    </w:p>
    <w:p w14:paraId="6D978D44">
      <w:pPr>
        <w:pStyle w:val="31"/>
        <w:spacing w:before="312" w:beforeLines="100" w:afterLines="0"/>
        <w:rPr>
          <w:rFonts w:ascii="Times New Roman"/>
        </w:rPr>
      </w:pPr>
      <w:r>
        <w:rPr>
          <w:rFonts w:hint="eastAsia" w:ascii="Times New Roman"/>
        </w:rPr>
        <w:t>6.4.3畦面平整</w:t>
      </w:r>
    </w:p>
    <w:p w14:paraId="17D3C3ED">
      <w:pPr>
        <w:spacing w:line="336" w:lineRule="auto"/>
        <w:ind w:firstLine="420" w:firstLineChars="200"/>
        <w:rPr>
          <w:rFonts w:asciiTheme="minorEastAsia" w:hAnsiTheme="minorEastAsia" w:eastAsiaTheme="minorEastAsia" w:cstheme="minorEastAsia"/>
          <w:bCs/>
          <w:szCs w:val="21"/>
        </w:rPr>
      </w:pPr>
      <w:r>
        <w:rPr>
          <w:rFonts w:hint="eastAsia" w:ascii="Times New Roman" w:hAnsi="Times New Roman" w:eastAsia="宋体" w:cs="Times New Roman"/>
          <w:bCs w:val="0"/>
          <w:szCs w:val="24"/>
        </w:rPr>
        <w:t>土块风干后，旋耕2次，深度20cm，细碎土块。与渗水</w:t>
      </w:r>
      <w:r>
        <w:rPr>
          <w:rFonts w:hint="eastAsia" w:ascii="Times New Roman" w:hAnsi="Times New Roman" w:eastAsia="宋体" w:cs="Times New Roman"/>
          <w:bCs w:val="0"/>
          <w:szCs w:val="24"/>
        </w:rPr>
        <w:t>暗</w:t>
      </w:r>
      <w:r>
        <w:rPr>
          <w:rFonts w:hint="eastAsia" w:ascii="Times New Roman" w:hAnsi="Times New Roman" w:eastAsia="宋体" w:cs="Times New Roman"/>
          <w:bCs w:val="0"/>
          <w:szCs w:val="24"/>
        </w:rPr>
        <w:t>管或</w:t>
      </w:r>
      <w:r>
        <w:rPr>
          <w:rFonts w:hint="eastAsia" w:ascii="Times New Roman" w:hAnsi="Times New Roman" w:eastAsia="宋体" w:cs="Times New Roman"/>
          <w:bCs w:val="0"/>
          <w:szCs w:val="24"/>
        </w:rPr>
        <w:t>抬田</w:t>
      </w:r>
      <w:r>
        <w:rPr>
          <w:rFonts w:hint="eastAsia" w:ascii="Times New Roman" w:hAnsi="Times New Roman" w:eastAsia="宋体" w:cs="Times New Roman"/>
          <w:bCs w:val="0"/>
          <w:szCs w:val="24"/>
        </w:rPr>
        <w:t>排</w:t>
      </w:r>
      <w:r>
        <w:rPr>
          <w:rFonts w:hint="eastAsia" w:ascii="Times New Roman" w:hAnsi="Times New Roman" w:eastAsia="宋体" w:cs="Times New Roman"/>
          <w:bCs w:val="0"/>
          <w:szCs w:val="24"/>
        </w:rPr>
        <w:t>水</w:t>
      </w:r>
      <w:r>
        <w:rPr>
          <w:rFonts w:hint="eastAsia" w:ascii="Times New Roman" w:hAnsi="Times New Roman" w:eastAsia="宋体" w:cs="Times New Roman"/>
          <w:bCs w:val="0"/>
          <w:szCs w:val="24"/>
        </w:rPr>
        <w:t>沟</w:t>
      </w:r>
      <w:r>
        <w:rPr>
          <w:rFonts w:hint="eastAsia" w:ascii="Times New Roman" w:hAnsi="Times New Roman" w:eastAsia="宋体" w:cs="Times New Roman"/>
          <w:bCs w:val="0"/>
          <w:szCs w:val="24"/>
        </w:rPr>
        <w:t>渠</w:t>
      </w:r>
      <w:r>
        <w:rPr>
          <w:rFonts w:hint="eastAsia" w:ascii="Times New Roman" w:hAnsi="Times New Roman" w:eastAsia="宋体" w:cs="Times New Roman"/>
          <w:bCs w:val="0"/>
          <w:szCs w:val="24"/>
        </w:rPr>
        <w:t>同向，</w:t>
      </w:r>
      <w:r>
        <w:rPr>
          <w:rFonts w:hint="eastAsia" w:ascii="Times New Roman" w:hAnsi="Times New Roman" w:eastAsia="宋体" w:cs="Times New Roman"/>
          <w:bCs w:val="0"/>
          <w:szCs w:val="24"/>
        </w:rPr>
        <w:t>做畦，畦面高30cm, 宽2m,长≤50m， 畦间距50cm，细平畦面。</w:t>
      </w:r>
      <w:r>
        <w:rPr>
          <w:rFonts w:hint="eastAsia" w:ascii="Times New Roman" w:hAnsi="Times New Roman" w:eastAsia="宋体" w:cs="Times New Roman"/>
          <w:bCs w:val="0"/>
          <w:szCs w:val="24"/>
        </w:rPr>
        <w:t>开挖地表排水沟，排沟上口宽50cm、深</w:t>
      </w:r>
      <w:r>
        <w:rPr>
          <w:rFonts w:hint="eastAsia" w:asciiTheme="minorEastAsia" w:hAnsiTheme="minorEastAsia" w:eastAsiaTheme="minorEastAsia" w:cstheme="minorEastAsia"/>
          <w:bCs/>
          <w:szCs w:val="21"/>
        </w:rPr>
        <w:t>30cm，做成宽2m、长≤50m的畦面，细平畦面。</w:t>
      </w:r>
    </w:p>
    <w:p w14:paraId="55E60F63">
      <w:pPr>
        <w:pStyle w:val="31"/>
        <w:spacing w:before="312" w:beforeLines="100" w:afterLines="0"/>
        <w:rPr>
          <w:rFonts w:ascii="Times New Roman"/>
        </w:rPr>
      </w:pPr>
      <w:r>
        <w:rPr>
          <w:rFonts w:hint="eastAsia" w:ascii="Times New Roman"/>
        </w:rPr>
        <w:t>6.4.4滴灌洗盐</w:t>
      </w:r>
    </w:p>
    <w:p w14:paraId="633E628A">
      <w:pPr>
        <w:spacing w:line="336"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每个畦面铺设3条PE16、滴头间距30cm的滴灌管，间距50cm。植物栽植前滴灌2～3次，每次滴灌时间（10～12）h，每次间隔（1～2）d。使（0～30）cm土层全盐含量降至0.6%以下。滴灌用水应用矿化度小于0.6%地表微咸水或淡水。</w:t>
      </w:r>
    </w:p>
    <w:p w14:paraId="72BFB8C2">
      <w:pPr>
        <w:pStyle w:val="31"/>
        <w:spacing w:before="312" w:beforeLines="100" w:afterLines="0"/>
        <w:rPr>
          <w:rFonts w:ascii="Times New Roman"/>
        </w:rPr>
      </w:pPr>
      <w:r>
        <w:rPr>
          <w:rFonts w:hint="eastAsia" w:ascii="Times New Roman"/>
        </w:rPr>
        <w:t>7植被修复种苗筛选</w:t>
      </w:r>
    </w:p>
    <w:p w14:paraId="1A922985">
      <w:pPr>
        <w:pStyle w:val="31"/>
        <w:spacing w:before="312" w:beforeLines="100" w:afterLines="0"/>
        <w:rPr>
          <w:rFonts w:ascii="Times New Roman"/>
        </w:rPr>
      </w:pPr>
      <w:r>
        <w:rPr>
          <w:rFonts w:hint="eastAsia" w:ascii="Times New Roman"/>
        </w:rPr>
        <w:t>7.1种苗选用原则</w:t>
      </w:r>
    </w:p>
    <w:p w14:paraId="1EBFFDBB">
      <w:pPr>
        <w:pStyle w:val="3"/>
        <w:jc w:val="left"/>
        <w:rPr>
          <w:rFonts w:hint="eastAsia"/>
        </w:rPr>
      </w:pPr>
      <w:r>
        <w:rPr>
          <w:rFonts w:hint="eastAsia"/>
        </w:rPr>
        <w:t xml:space="preserve">     根据修复区域生境特征，因地制宜选择适宜的乔、灌、藤（草）本植物，构建适宜滨海退养湿地生境的植物群落，种苗选用原则同DB34/T 2831-2017规定，优先选择乡土耐盐耐水湿植物，辅以适应性强、</w:t>
      </w:r>
      <w:bookmarkStart w:id="9" w:name="_GoBack"/>
      <w:bookmarkEnd w:id="9"/>
      <w:r>
        <w:rPr>
          <w:rFonts w:hint="eastAsia"/>
        </w:rPr>
        <w:t>耐盐碱能力强的植物，且每个区域栽植品种≥2个。</w:t>
      </w:r>
    </w:p>
    <w:p w14:paraId="13AC8417">
      <w:pPr>
        <w:pStyle w:val="31"/>
        <w:spacing w:before="312" w:beforeLines="100" w:afterLines="0"/>
        <w:rPr>
          <w:rFonts w:hint="eastAsia" w:ascii="Times New Roman"/>
        </w:rPr>
      </w:pPr>
      <w:r>
        <w:rPr>
          <w:rFonts w:hint="eastAsia" w:ascii="Times New Roman"/>
        </w:rPr>
        <w:t>7.2 不同区域优选种植植物</w:t>
      </w:r>
      <w:r>
        <w:rPr>
          <w:rFonts w:hint="eastAsia" w:ascii="Times New Roman"/>
          <w:lang w:val="en-US" w:eastAsia="zh-CN"/>
        </w:rPr>
        <w:t>列</w:t>
      </w:r>
      <w:r>
        <w:rPr>
          <w:rFonts w:hint="eastAsia" w:ascii="Times New Roman"/>
        </w:rPr>
        <w:t>表。</w:t>
      </w:r>
    </w:p>
    <w:p w14:paraId="03726388">
      <w:pPr>
        <w:pStyle w:val="3"/>
        <w:rPr>
          <w:rFonts w:hint="eastAsia"/>
        </w:rPr>
      </w:pPr>
      <w:r>
        <w:rPr>
          <w:rFonts w:hint="eastAsia"/>
        </w:rPr>
        <w:t>表1 不同区域的优选种植植物</w:t>
      </w:r>
    </w:p>
    <w:tbl>
      <w:tblPr>
        <w:tblStyle w:val="9"/>
        <w:tblW w:w="8192" w:type="dxa"/>
        <w:tblInd w:w="93" w:type="dxa"/>
        <w:tblLayout w:type="autofit"/>
        <w:tblCellMar>
          <w:top w:w="0" w:type="dxa"/>
          <w:left w:w="108" w:type="dxa"/>
          <w:bottom w:w="0" w:type="dxa"/>
          <w:right w:w="108" w:type="dxa"/>
        </w:tblCellMar>
      </w:tblPr>
      <w:tblGrid>
        <w:gridCol w:w="1428"/>
        <w:gridCol w:w="999"/>
        <w:gridCol w:w="5765"/>
      </w:tblGrid>
      <w:tr w14:paraId="490B7B41">
        <w:tblPrEx>
          <w:tblCellMar>
            <w:top w:w="0" w:type="dxa"/>
            <w:left w:w="108" w:type="dxa"/>
            <w:bottom w:w="0" w:type="dxa"/>
            <w:right w:w="108" w:type="dxa"/>
          </w:tblCellMar>
        </w:tblPrEx>
        <w:trPr>
          <w:trHeight w:val="422" w:hRule="atLeast"/>
        </w:trPr>
        <w:tc>
          <w:tcPr>
            <w:tcW w:w="1428" w:type="dxa"/>
            <w:tcBorders>
              <w:top w:val="single" w:color="auto" w:sz="4" w:space="0"/>
              <w:left w:val="nil"/>
              <w:bottom w:val="nil"/>
              <w:right w:val="nil"/>
            </w:tcBorders>
            <w:shd w:val="clear" w:color="auto" w:fill="auto"/>
            <w:vAlign w:val="center"/>
          </w:tcPr>
          <w:p w14:paraId="7BC6241C">
            <w:pPr>
              <w:widowControl/>
              <w:jc w:val="center"/>
              <w:rPr>
                <w:color w:val="000000"/>
                <w:kern w:val="0"/>
                <w:sz w:val="20"/>
                <w:szCs w:val="20"/>
              </w:rPr>
            </w:pPr>
            <w:r>
              <w:rPr>
                <w:rFonts w:hint="eastAsia" w:ascii="宋体" w:hAnsi="宋体"/>
                <w:color w:val="000000"/>
                <w:kern w:val="0"/>
                <w:sz w:val="20"/>
                <w:szCs w:val="20"/>
              </w:rPr>
              <w:t>应用区分类</w:t>
            </w:r>
          </w:p>
        </w:tc>
        <w:tc>
          <w:tcPr>
            <w:tcW w:w="999" w:type="dxa"/>
            <w:tcBorders>
              <w:top w:val="single" w:color="auto" w:sz="4" w:space="0"/>
              <w:left w:val="nil"/>
              <w:bottom w:val="nil"/>
              <w:right w:val="nil"/>
            </w:tcBorders>
            <w:shd w:val="clear" w:color="auto" w:fill="auto"/>
            <w:vAlign w:val="center"/>
          </w:tcPr>
          <w:p w14:paraId="7784F0DA">
            <w:pPr>
              <w:widowControl/>
              <w:jc w:val="left"/>
              <w:rPr>
                <w:color w:val="000000"/>
                <w:kern w:val="0"/>
                <w:sz w:val="20"/>
                <w:szCs w:val="20"/>
              </w:rPr>
            </w:pPr>
            <w:r>
              <w:rPr>
                <w:rFonts w:hint="eastAsia" w:ascii="宋体" w:hAnsi="宋体"/>
                <w:color w:val="000000"/>
                <w:kern w:val="0"/>
                <w:sz w:val="20"/>
                <w:szCs w:val="20"/>
              </w:rPr>
              <w:t>植物名称</w:t>
            </w:r>
          </w:p>
        </w:tc>
        <w:tc>
          <w:tcPr>
            <w:tcW w:w="5765" w:type="dxa"/>
            <w:tcBorders>
              <w:top w:val="single" w:color="auto" w:sz="4" w:space="0"/>
              <w:left w:val="nil"/>
              <w:bottom w:val="nil"/>
              <w:right w:val="nil"/>
            </w:tcBorders>
            <w:shd w:val="clear" w:color="auto" w:fill="auto"/>
            <w:vAlign w:val="center"/>
          </w:tcPr>
          <w:p w14:paraId="5A7DB184">
            <w:pPr>
              <w:widowControl/>
              <w:jc w:val="center"/>
              <w:rPr>
                <w:color w:val="000000"/>
                <w:kern w:val="0"/>
                <w:sz w:val="20"/>
                <w:szCs w:val="20"/>
              </w:rPr>
            </w:pPr>
            <w:r>
              <w:rPr>
                <w:rFonts w:hint="eastAsia" w:ascii="宋体" w:hAnsi="宋体"/>
                <w:color w:val="000000"/>
                <w:kern w:val="0"/>
                <w:sz w:val="20"/>
                <w:szCs w:val="20"/>
              </w:rPr>
              <w:t>拉丁名</w:t>
            </w:r>
          </w:p>
        </w:tc>
      </w:tr>
      <w:tr w14:paraId="3373DABD">
        <w:tblPrEx>
          <w:tblCellMar>
            <w:top w:w="0" w:type="dxa"/>
            <w:left w:w="108" w:type="dxa"/>
            <w:bottom w:w="0" w:type="dxa"/>
            <w:right w:w="108" w:type="dxa"/>
          </w:tblCellMar>
        </w:tblPrEx>
        <w:trPr>
          <w:trHeight w:val="289" w:hRule="atLeast"/>
        </w:trPr>
        <w:tc>
          <w:tcPr>
            <w:tcW w:w="1428" w:type="dxa"/>
            <w:vMerge w:val="restart"/>
            <w:tcBorders>
              <w:top w:val="nil"/>
              <w:left w:val="nil"/>
              <w:bottom w:val="nil"/>
              <w:right w:val="nil"/>
            </w:tcBorders>
            <w:shd w:val="clear" w:color="auto" w:fill="auto"/>
            <w:vAlign w:val="center"/>
          </w:tcPr>
          <w:p w14:paraId="2D3C1404">
            <w:pPr>
              <w:widowControl/>
              <w:jc w:val="center"/>
              <w:rPr>
                <w:color w:val="000000"/>
                <w:kern w:val="0"/>
                <w:sz w:val="20"/>
                <w:szCs w:val="20"/>
              </w:rPr>
            </w:pPr>
            <w:r>
              <w:rPr>
                <w:rFonts w:hint="eastAsia" w:ascii="宋体" w:hAnsi="宋体"/>
                <w:color w:val="000000"/>
                <w:kern w:val="0"/>
                <w:sz w:val="20"/>
                <w:szCs w:val="20"/>
              </w:rPr>
              <w:t>浅水修复区</w:t>
            </w:r>
          </w:p>
        </w:tc>
        <w:tc>
          <w:tcPr>
            <w:tcW w:w="999" w:type="dxa"/>
            <w:tcBorders>
              <w:top w:val="nil"/>
              <w:left w:val="nil"/>
              <w:bottom w:val="nil"/>
              <w:right w:val="nil"/>
            </w:tcBorders>
            <w:shd w:val="clear" w:color="auto" w:fill="auto"/>
            <w:noWrap/>
            <w:vAlign w:val="bottom"/>
          </w:tcPr>
          <w:p w14:paraId="1B95F8CA">
            <w:pPr>
              <w:widowControl/>
              <w:jc w:val="left"/>
              <w:rPr>
                <w:color w:val="000000"/>
                <w:kern w:val="0"/>
                <w:sz w:val="20"/>
                <w:szCs w:val="20"/>
              </w:rPr>
            </w:pPr>
            <w:r>
              <w:rPr>
                <w:rFonts w:hint="eastAsia" w:ascii="宋体" w:hAnsi="宋体"/>
                <w:color w:val="000000"/>
                <w:kern w:val="0"/>
                <w:sz w:val="20"/>
                <w:szCs w:val="20"/>
              </w:rPr>
              <w:t>芦苇</w:t>
            </w:r>
          </w:p>
        </w:tc>
        <w:tc>
          <w:tcPr>
            <w:tcW w:w="5765" w:type="dxa"/>
            <w:tcBorders>
              <w:top w:val="nil"/>
              <w:left w:val="nil"/>
              <w:bottom w:val="nil"/>
              <w:right w:val="nil"/>
            </w:tcBorders>
            <w:shd w:val="clear" w:color="auto" w:fill="auto"/>
            <w:noWrap/>
            <w:vAlign w:val="bottom"/>
          </w:tcPr>
          <w:p w14:paraId="70248042">
            <w:pPr>
              <w:widowControl/>
              <w:jc w:val="left"/>
              <w:rPr>
                <w:i/>
                <w:iCs/>
                <w:color w:val="333333"/>
                <w:kern w:val="0"/>
                <w:sz w:val="20"/>
                <w:szCs w:val="20"/>
              </w:rPr>
            </w:pPr>
            <w:r>
              <w:rPr>
                <w:i/>
                <w:iCs/>
                <w:color w:val="333333"/>
                <w:kern w:val="0"/>
                <w:sz w:val="20"/>
                <w:szCs w:val="20"/>
              </w:rPr>
              <w:t>Phragmites australis</w:t>
            </w:r>
            <w:r>
              <w:rPr>
                <w:color w:val="333333"/>
                <w:kern w:val="0"/>
                <w:sz w:val="20"/>
                <w:szCs w:val="20"/>
              </w:rPr>
              <w:t> (Cav.) Trin. ex Steud</w:t>
            </w:r>
          </w:p>
        </w:tc>
      </w:tr>
      <w:tr w14:paraId="1E76AA05">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45EE97CD">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47CA6E42">
            <w:pPr>
              <w:widowControl/>
              <w:jc w:val="left"/>
              <w:rPr>
                <w:color w:val="000000"/>
                <w:kern w:val="0"/>
                <w:sz w:val="20"/>
                <w:szCs w:val="20"/>
              </w:rPr>
            </w:pPr>
            <w:r>
              <w:rPr>
                <w:rFonts w:hint="eastAsia" w:ascii="宋体" w:hAnsi="宋体"/>
                <w:color w:val="000000"/>
                <w:kern w:val="0"/>
                <w:sz w:val="20"/>
                <w:szCs w:val="20"/>
              </w:rPr>
              <w:t>荻</w:t>
            </w:r>
          </w:p>
        </w:tc>
        <w:tc>
          <w:tcPr>
            <w:tcW w:w="5765" w:type="dxa"/>
            <w:tcBorders>
              <w:top w:val="nil"/>
              <w:left w:val="nil"/>
              <w:bottom w:val="nil"/>
              <w:right w:val="nil"/>
            </w:tcBorders>
            <w:shd w:val="clear" w:color="auto" w:fill="auto"/>
            <w:noWrap/>
            <w:vAlign w:val="bottom"/>
          </w:tcPr>
          <w:p w14:paraId="5BCCA880">
            <w:pPr>
              <w:widowControl/>
              <w:jc w:val="left"/>
              <w:rPr>
                <w:color w:val="333333"/>
                <w:kern w:val="0"/>
                <w:sz w:val="20"/>
                <w:szCs w:val="20"/>
              </w:rPr>
            </w:pPr>
            <w:r>
              <w:rPr>
                <w:i/>
                <w:iCs/>
                <w:color w:val="333333"/>
                <w:kern w:val="0"/>
                <w:sz w:val="20"/>
                <w:szCs w:val="20"/>
              </w:rPr>
              <w:t xml:space="preserve">Miscanthus sacchariflorus </w:t>
            </w:r>
            <w:r>
              <w:rPr>
                <w:color w:val="333333"/>
                <w:kern w:val="0"/>
                <w:sz w:val="20"/>
                <w:szCs w:val="20"/>
              </w:rPr>
              <w:t>(Maxim.) Benth. &amp; Hook. f. ex Franch.</w:t>
            </w:r>
          </w:p>
        </w:tc>
      </w:tr>
      <w:tr w14:paraId="7DBF7D63">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7888CA6D">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66D84D83">
            <w:pPr>
              <w:widowControl/>
              <w:jc w:val="left"/>
              <w:rPr>
                <w:color w:val="000000"/>
                <w:kern w:val="0"/>
                <w:sz w:val="20"/>
                <w:szCs w:val="20"/>
              </w:rPr>
            </w:pPr>
            <w:r>
              <w:rPr>
                <w:rFonts w:hint="eastAsia" w:ascii="宋体" w:hAnsi="宋体"/>
                <w:color w:val="000000"/>
                <w:kern w:val="0"/>
                <w:sz w:val="20"/>
                <w:szCs w:val="20"/>
              </w:rPr>
              <w:t>香蒲</w:t>
            </w:r>
          </w:p>
        </w:tc>
        <w:tc>
          <w:tcPr>
            <w:tcW w:w="5765" w:type="dxa"/>
            <w:tcBorders>
              <w:top w:val="nil"/>
              <w:left w:val="nil"/>
              <w:bottom w:val="nil"/>
              <w:right w:val="nil"/>
            </w:tcBorders>
            <w:shd w:val="clear" w:color="auto" w:fill="auto"/>
            <w:noWrap/>
            <w:vAlign w:val="bottom"/>
          </w:tcPr>
          <w:p w14:paraId="49808556">
            <w:pPr>
              <w:widowControl/>
              <w:jc w:val="left"/>
              <w:rPr>
                <w:i/>
                <w:iCs/>
                <w:color w:val="333333"/>
                <w:kern w:val="0"/>
                <w:sz w:val="20"/>
                <w:szCs w:val="20"/>
              </w:rPr>
            </w:pPr>
            <w:r>
              <w:rPr>
                <w:i/>
                <w:iCs/>
                <w:color w:val="333333"/>
                <w:kern w:val="0"/>
                <w:sz w:val="20"/>
                <w:szCs w:val="20"/>
              </w:rPr>
              <w:t>Typha orientalis</w:t>
            </w:r>
            <w:r>
              <w:rPr>
                <w:color w:val="333333"/>
                <w:kern w:val="0"/>
                <w:sz w:val="20"/>
                <w:szCs w:val="20"/>
              </w:rPr>
              <w:t> C. Presl</w:t>
            </w:r>
          </w:p>
        </w:tc>
      </w:tr>
      <w:tr w14:paraId="5F2118E7">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5245349A">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56D9577D">
            <w:pPr>
              <w:widowControl/>
              <w:jc w:val="left"/>
              <w:rPr>
                <w:color w:val="000000"/>
                <w:kern w:val="0"/>
                <w:sz w:val="20"/>
                <w:szCs w:val="20"/>
              </w:rPr>
            </w:pPr>
            <w:r>
              <w:rPr>
                <w:rFonts w:hint="eastAsia" w:ascii="宋体" w:hAnsi="宋体"/>
                <w:color w:val="000000"/>
                <w:kern w:val="0"/>
                <w:sz w:val="20"/>
                <w:szCs w:val="20"/>
              </w:rPr>
              <w:t>慈姑</w:t>
            </w:r>
          </w:p>
        </w:tc>
        <w:tc>
          <w:tcPr>
            <w:tcW w:w="5765" w:type="dxa"/>
            <w:tcBorders>
              <w:top w:val="nil"/>
              <w:left w:val="nil"/>
              <w:bottom w:val="nil"/>
              <w:right w:val="nil"/>
            </w:tcBorders>
            <w:shd w:val="clear" w:color="auto" w:fill="auto"/>
            <w:noWrap/>
            <w:vAlign w:val="bottom"/>
          </w:tcPr>
          <w:p w14:paraId="63710B40">
            <w:pPr>
              <w:widowControl/>
              <w:jc w:val="left"/>
              <w:rPr>
                <w:i/>
                <w:iCs/>
                <w:color w:val="333333"/>
                <w:kern w:val="0"/>
                <w:sz w:val="20"/>
                <w:szCs w:val="20"/>
              </w:rPr>
            </w:pPr>
            <w:r>
              <w:rPr>
                <w:i/>
                <w:iCs/>
                <w:color w:val="333333"/>
                <w:kern w:val="0"/>
                <w:sz w:val="20"/>
                <w:szCs w:val="20"/>
              </w:rPr>
              <w:t>Sagittaria trifolia var. sinensis</w:t>
            </w:r>
            <w:r>
              <w:rPr>
                <w:color w:val="333333"/>
                <w:kern w:val="0"/>
                <w:sz w:val="20"/>
                <w:szCs w:val="20"/>
              </w:rPr>
              <w:t> Sims</w:t>
            </w:r>
          </w:p>
        </w:tc>
      </w:tr>
      <w:tr w14:paraId="43597A82">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64AD201A">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1AF0B172">
            <w:pPr>
              <w:widowControl/>
              <w:jc w:val="left"/>
              <w:rPr>
                <w:color w:val="000000"/>
                <w:kern w:val="0"/>
                <w:sz w:val="20"/>
                <w:szCs w:val="20"/>
              </w:rPr>
            </w:pPr>
            <w:r>
              <w:rPr>
                <w:rFonts w:hint="eastAsia" w:ascii="宋体" w:hAnsi="宋体"/>
                <w:color w:val="000000"/>
                <w:kern w:val="0"/>
                <w:sz w:val="20"/>
                <w:szCs w:val="20"/>
              </w:rPr>
              <w:t>荷花</w:t>
            </w:r>
          </w:p>
        </w:tc>
        <w:tc>
          <w:tcPr>
            <w:tcW w:w="5765" w:type="dxa"/>
            <w:tcBorders>
              <w:top w:val="nil"/>
              <w:left w:val="nil"/>
              <w:bottom w:val="nil"/>
              <w:right w:val="nil"/>
            </w:tcBorders>
            <w:shd w:val="clear" w:color="auto" w:fill="auto"/>
            <w:noWrap/>
            <w:vAlign w:val="bottom"/>
          </w:tcPr>
          <w:p w14:paraId="6C21915D">
            <w:pPr>
              <w:widowControl/>
              <w:jc w:val="left"/>
              <w:rPr>
                <w:i/>
                <w:iCs/>
                <w:color w:val="333333"/>
                <w:kern w:val="0"/>
                <w:sz w:val="20"/>
                <w:szCs w:val="20"/>
              </w:rPr>
            </w:pPr>
            <w:r>
              <w:rPr>
                <w:i/>
                <w:iCs/>
                <w:color w:val="333333"/>
                <w:kern w:val="0"/>
                <w:sz w:val="20"/>
                <w:szCs w:val="20"/>
              </w:rPr>
              <w:t>Nelumbo </w:t>
            </w:r>
            <w:r>
              <w:rPr>
                <w:color w:val="333333"/>
                <w:kern w:val="0"/>
                <w:sz w:val="20"/>
                <w:szCs w:val="20"/>
              </w:rPr>
              <w:t>sp.</w:t>
            </w:r>
          </w:p>
        </w:tc>
      </w:tr>
      <w:tr w14:paraId="30BF1C98">
        <w:tblPrEx>
          <w:tblCellMar>
            <w:top w:w="0" w:type="dxa"/>
            <w:left w:w="108" w:type="dxa"/>
            <w:bottom w:w="0" w:type="dxa"/>
            <w:right w:w="108" w:type="dxa"/>
          </w:tblCellMar>
        </w:tblPrEx>
        <w:trPr>
          <w:trHeight w:val="289" w:hRule="atLeast"/>
        </w:trPr>
        <w:tc>
          <w:tcPr>
            <w:tcW w:w="1428" w:type="dxa"/>
            <w:vMerge w:val="restart"/>
            <w:tcBorders>
              <w:top w:val="nil"/>
              <w:left w:val="nil"/>
              <w:bottom w:val="nil"/>
              <w:right w:val="nil"/>
            </w:tcBorders>
            <w:shd w:val="clear" w:color="auto" w:fill="auto"/>
            <w:vAlign w:val="center"/>
          </w:tcPr>
          <w:p w14:paraId="29B07D17">
            <w:pPr>
              <w:widowControl/>
              <w:jc w:val="center"/>
              <w:rPr>
                <w:color w:val="000000"/>
                <w:kern w:val="0"/>
                <w:sz w:val="20"/>
                <w:szCs w:val="20"/>
              </w:rPr>
            </w:pPr>
            <w:r>
              <w:rPr>
                <w:rFonts w:hint="eastAsia" w:ascii="宋体" w:hAnsi="宋体"/>
                <w:color w:val="000000"/>
                <w:kern w:val="0"/>
                <w:sz w:val="20"/>
                <w:szCs w:val="20"/>
              </w:rPr>
              <w:t>深水修复区</w:t>
            </w:r>
          </w:p>
        </w:tc>
        <w:tc>
          <w:tcPr>
            <w:tcW w:w="999" w:type="dxa"/>
            <w:tcBorders>
              <w:top w:val="nil"/>
              <w:left w:val="nil"/>
              <w:bottom w:val="nil"/>
              <w:right w:val="nil"/>
            </w:tcBorders>
            <w:shd w:val="clear" w:color="auto" w:fill="auto"/>
            <w:noWrap/>
            <w:vAlign w:val="bottom"/>
          </w:tcPr>
          <w:p w14:paraId="11EDDA17">
            <w:pPr>
              <w:widowControl/>
              <w:jc w:val="left"/>
              <w:rPr>
                <w:color w:val="000000"/>
                <w:kern w:val="0"/>
                <w:sz w:val="20"/>
                <w:szCs w:val="20"/>
              </w:rPr>
            </w:pPr>
            <w:r>
              <w:rPr>
                <w:rFonts w:hint="eastAsia" w:ascii="宋体" w:hAnsi="宋体"/>
                <w:color w:val="000000"/>
                <w:kern w:val="0"/>
                <w:sz w:val="20"/>
                <w:szCs w:val="20"/>
              </w:rPr>
              <w:t>荇菜</w:t>
            </w:r>
          </w:p>
        </w:tc>
        <w:tc>
          <w:tcPr>
            <w:tcW w:w="5765" w:type="dxa"/>
            <w:tcBorders>
              <w:top w:val="nil"/>
              <w:left w:val="nil"/>
              <w:bottom w:val="nil"/>
              <w:right w:val="nil"/>
            </w:tcBorders>
            <w:shd w:val="clear" w:color="auto" w:fill="auto"/>
            <w:noWrap/>
            <w:vAlign w:val="bottom"/>
          </w:tcPr>
          <w:p w14:paraId="453864AE">
            <w:pPr>
              <w:widowControl/>
              <w:jc w:val="left"/>
              <w:rPr>
                <w:i/>
                <w:iCs/>
                <w:color w:val="333333"/>
                <w:kern w:val="0"/>
                <w:sz w:val="20"/>
                <w:szCs w:val="20"/>
              </w:rPr>
            </w:pPr>
            <w:r>
              <w:rPr>
                <w:i/>
                <w:iCs/>
                <w:color w:val="333333"/>
                <w:kern w:val="0"/>
                <w:sz w:val="20"/>
                <w:szCs w:val="20"/>
              </w:rPr>
              <w:t>Nymphoides peltata</w:t>
            </w:r>
            <w:r>
              <w:rPr>
                <w:color w:val="333333"/>
                <w:kern w:val="0"/>
                <w:sz w:val="20"/>
                <w:szCs w:val="20"/>
              </w:rPr>
              <w:t> (S. G. Gmel.) Kuntze</w:t>
            </w:r>
          </w:p>
        </w:tc>
      </w:tr>
      <w:tr w14:paraId="3F52A51C">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58CC4B06">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478D277D">
            <w:pPr>
              <w:widowControl/>
              <w:jc w:val="left"/>
              <w:rPr>
                <w:color w:val="000000"/>
                <w:kern w:val="0"/>
                <w:sz w:val="20"/>
                <w:szCs w:val="20"/>
              </w:rPr>
            </w:pPr>
            <w:r>
              <w:rPr>
                <w:rFonts w:hint="eastAsia" w:ascii="宋体" w:hAnsi="宋体"/>
                <w:color w:val="000000"/>
                <w:kern w:val="0"/>
                <w:sz w:val="20"/>
                <w:szCs w:val="20"/>
              </w:rPr>
              <w:t>菱角</w:t>
            </w:r>
          </w:p>
        </w:tc>
        <w:tc>
          <w:tcPr>
            <w:tcW w:w="5765" w:type="dxa"/>
            <w:tcBorders>
              <w:top w:val="nil"/>
              <w:left w:val="nil"/>
              <w:bottom w:val="nil"/>
              <w:right w:val="nil"/>
            </w:tcBorders>
            <w:shd w:val="clear" w:color="auto" w:fill="auto"/>
            <w:noWrap/>
            <w:vAlign w:val="bottom"/>
          </w:tcPr>
          <w:p w14:paraId="0501CE07">
            <w:pPr>
              <w:widowControl/>
              <w:jc w:val="left"/>
              <w:rPr>
                <w:color w:val="333333"/>
                <w:kern w:val="0"/>
                <w:sz w:val="20"/>
                <w:szCs w:val="20"/>
              </w:rPr>
            </w:pPr>
            <w:r>
              <w:rPr>
                <w:i/>
                <w:iCs/>
                <w:color w:val="333333"/>
                <w:kern w:val="0"/>
                <w:sz w:val="20"/>
                <w:szCs w:val="20"/>
              </w:rPr>
              <w:t>Trapa bispinosa</w:t>
            </w:r>
            <w:r>
              <w:rPr>
                <w:color w:val="333333"/>
                <w:kern w:val="0"/>
                <w:sz w:val="20"/>
                <w:szCs w:val="20"/>
              </w:rPr>
              <w:t xml:space="preserve"> Roxb.</w:t>
            </w:r>
          </w:p>
        </w:tc>
      </w:tr>
      <w:tr w14:paraId="44D31192">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7CBC1C76">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581BAE99">
            <w:pPr>
              <w:widowControl/>
              <w:jc w:val="left"/>
              <w:rPr>
                <w:color w:val="000000"/>
                <w:kern w:val="0"/>
                <w:sz w:val="20"/>
                <w:szCs w:val="20"/>
              </w:rPr>
            </w:pPr>
            <w:r>
              <w:rPr>
                <w:rFonts w:hint="eastAsia" w:ascii="宋体" w:hAnsi="宋体"/>
                <w:color w:val="000000"/>
                <w:kern w:val="0"/>
                <w:sz w:val="20"/>
                <w:szCs w:val="20"/>
              </w:rPr>
              <w:t>荷花</w:t>
            </w:r>
          </w:p>
        </w:tc>
        <w:tc>
          <w:tcPr>
            <w:tcW w:w="5765" w:type="dxa"/>
            <w:tcBorders>
              <w:top w:val="nil"/>
              <w:left w:val="nil"/>
              <w:bottom w:val="nil"/>
              <w:right w:val="nil"/>
            </w:tcBorders>
            <w:shd w:val="clear" w:color="auto" w:fill="auto"/>
            <w:noWrap/>
            <w:vAlign w:val="bottom"/>
          </w:tcPr>
          <w:p w14:paraId="324F484E">
            <w:pPr>
              <w:widowControl/>
              <w:jc w:val="left"/>
              <w:rPr>
                <w:i/>
                <w:iCs/>
                <w:color w:val="333333"/>
                <w:kern w:val="0"/>
                <w:sz w:val="20"/>
                <w:szCs w:val="20"/>
              </w:rPr>
            </w:pPr>
            <w:r>
              <w:rPr>
                <w:i/>
                <w:iCs/>
                <w:color w:val="333333"/>
                <w:kern w:val="0"/>
                <w:sz w:val="20"/>
                <w:szCs w:val="20"/>
              </w:rPr>
              <w:t>Nelumbo </w:t>
            </w:r>
            <w:r>
              <w:rPr>
                <w:color w:val="333333"/>
                <w:kern w:val="0"/>
                <w:sz w:val="20"/>
                <w:szCs w:val="20"/>
              </w:rPr>
              <w:t>sp.</w:t>
            </w:r>
          </w:p>
        </w:tc>
      </w:tr>
      <w:tr w14:paraId="76B60B5B">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4AFC7E7B">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2485AE32">
            <w:pPr>
              <w:widowControl/>
              <w:jc w:val="left"/>
              <w:rPr>
                <w:color w:val="000000"/>
                <w:kern w:val="0"/>
                <w:sz w:val="20"/>
                <w:szCs w:val="20"/>
              </w:rPr>
            </w:pPr>
            <w:r>
              <w:rPr>
                <w:rFonts w:hint="eastAsia" w:ascii="宋体" w:hAnsi="宋体"/>
                <w:color w:val="000000"/>
                <w:kern w:val="0"/>
                <w:sz w:val="20"/>
                <w:szCs w:val="20"/>
              </w:rPr>
              <w:t>菹草</w:t>
            </w:r>
          </w:p>
        </w:tc>
        <w:tc>
          <w:tcPr>
            <w:tcW w:w="5765" w:type="dxa"/>
            <w:tcBorders>
              <w:top w:val="nil"/>
              <w:left w:val="nil"/>
              <w:bottom w:val="nil"/>
              <w:right w:val="nil"/>
            </w:tcBorders>
            <w:shd w:val="clear" w:color="auto" w:fill="auto"/>
            <w:noWrap/>
            <w:vAlign w:val="bottom"/>
          </w:tcPr>
          <w:p w14:paraId="27FD190E">
            <w:pPr>
              <w:widowControl/>
              <w:jc w:val="left"/>
              <w:rPr>
                <w:i/>
                <w:iCs/>
                <w:color w:val="333333"/>
                <w:kern w:val="0"/>
                <w:sz w:val="20"/>
                <w:szCs w:val="20"/>
              </w:rPr>
            </w:pPr>
            <w:r>
              <w:rPr>
                <w:i/>
                <w:iCs/>
                <w:color w:val="333333"/>
                <w:kern w:val="0"/>
                <w:sz w:val="20"/>
                <w:szCs w:val="20"/>
              </w:rPr>
              <w:t>Potamogeton crispus</w:t>
            </w:r>
            <w:r>
              <w:rPr>
                <w:color w:val="333333"/>
                <w:kern w:val="0"/>
                <w:sz w:val="20"/>
                <w:szCs w:val="20"/>
              </w:rPr>
              <w:t> L.</w:t>
            </w:r>
          </w:p>
        </w:tc>
      </w:tr>
      <w:tr w14:paraId="746F7F82">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6BB27C0F">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46E76A97">
            <w:pPr>
              <w:widowControl/>
              <w:jc w:val="left"/>
              <w:rPr>
                <w:color w:val="000000"/>
                <w:kern w:val="0"/>
                <w:sz w:val="20"/>
                <w:szCs w:val="20"/>
              </w:rPr>
            </w:pPr>
            <w:r>
              <w:rPr>
                <w:rFonts w:hint="eastAsia" w:ascii="宋体" w:hAnsi="宋体"/>
                <w:color w:val="000000"/>
                <w:kern w:val="0"/>
                <w:sz w:val="20"/>
                <w:szCs w:val="20"/>
              </w:rPr>
              <w:t>金鱼藻</w:t>
            </w:r>
          </w:p>
        </w:tc>
        <w:tc>
          <w:tcPr>
            <w:tcW w:w="5765" w:type="dxa"/>
            <w:tcBorders>
              <w:top w:val="nil"/>
              <w:left w:val="nil"/>
              <w:bottom w:val="nil"/>
              <w:right w:val="nil"/>
            </w:tcBorders>
            <w:shd w:val="clear" w:color="auto" w:fill="auto"/>
            <w:noWrap/>
            <w:vAlign w:val="bottom"/>
          </w:tcPr>
          <w:p w14:paraId="622FAC69">
            <w:pPr>
              <w:widowControl/>
              <w:jc w:val="left"/>
              <w:rPr>
                <w:i/>
                <w:iCs/>
                <w:color w:val="333333"/>
                <w:kern w:val="0"/>
                <w:sz w:val="20"/>
                <w:szCs w:val="20"/>
              </w:rPr>
            </w:pPr>
            <w:r>
              <w:rPr>
                <w:i/>
                <w:iCs/>
                <w:color w:val="333333"/>
                <w:kern w:val="0"/>
                <w:sz w:val="20"/>
                <w:szCs w:val="20"/>
              </w:rPr>
              <w:t>Ceratophyllum demersum</w:t>
            </w:r>
            <w:r>
              <w:rPr>
                <w:color w:val="333333"/>
                <w:kern w:val="0"/>
                <w:sz w:val="20"/>
                <w:szCs w:val="20"/>
              </w:rPr>
              <w:t> L.</w:t>
            </w:r>
          </w:p>
        </w:tc>
      </w:tr>
      <w:tr w14:paraId="4801DBA0">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41D5D8B9">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26880893">
            <w:pPr>
              <w:widowControl/>
              <w:jc w:val="left"/>
              <w:rPr>
                <w:color w:val="000000"/>
                <w:kern w:val="0"/>
                <w:sz w:val="20"/>
                <w:szCs w:val="20"/>
              </w:rPr>
            </w:pPr>
            <w:r>
              <w:rPr>
                <w:rFonts w:hint="eastAsia" w:ascii="宋体" w:hAnsi="宋体"/>
                <w:color w:val="000000"/>
                <w:kern w:val="0"/>
                <w:sz w:val="20"/>
                <w:szCs w:val="20"/>
              </w:rPr>
              <w:t>黑藻</w:t>
            </w:r>
          </w:p>
        </w:tc>
        <w:tc>
          <w:tcPr>
            <w:tcW w:w="5765" w:type="dxa"/>
            <w:tcBorders>
              <w:top w:val="nil"/>
              <w:left w:val="nil"/>
              <w:bottom w:val="nil"/>
              <w:right w:val="nil"/>
            </w:tcBorders>
            <w:shd w:val="clear" w:color="auto" w:fill="auto"/>
            <w:noWrap/>
            <w:vAlign w:val="bottom"/>
          </w:tcPr>
          <w:p w14:paraId="42908752">
            <w:pPr>
              <w:widowControl/>
              <w:jc w:val="left"/>
              <w:rPr>
                <w:i/>
                <w:iCs/>
                <w:color w:val="333333"/>
                <w:kern w:val="0"/>
                <w:sz w:val="20"/>
                <w:szCs w:val="20"/>
              </w:rPr>
            </w:pPr>
            <w:r>
              <w:rPr>
                <w:i/>
                <w:iCs/>
                <w:color w:val="333333"/>
                <w:kern w:val="0"/>
                <w:sz w:val="20"/>
                <w:szCs w:val="20"/>
              </w:rPr>
              <w:t>Hydrilla verticillata</w:t>
            </w:r>
            <w:r>
              <w:rPr>
                <w:color w:val="333333"/>
                <w:kern w:val="0"/>
                <w:sz w:val="20"/>
                <w:szCs w:val="20"/>
              </w:rPr>
              <w:t> (L. f.) Royle</w:t>
            </w:r>
          </w:p>
        </w:tc>
      </w:tr>
      <w:tr w14:paraId="6D28FC92">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6884E22B">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04FC176A">
            <w:pPr>
              <w:widowControl/>
              <w:jc w:val="left"/>
              <w:rPr>
                <w:color w:val="000000"/>
                <w:kern w:val="0"/>
                <w:sz w:val="20"/>
                <w:szCs w:val="20"/>
              </w:rPr>
            </w:pPr>
            <w:r>
              <w:rPr>
                <w:rFonts w:hint="eastAsia" w:ascii="宋体" w:hAnsi="宋体"/>
                <w:color w:val="000000"/>
                <w:kern w:val="0"/>
                <w:sz w:val="20"/>
                <w:szCs w:val="20"/>
              </w:rPr>
              <w:t>眼子菜</w:t>
            </w:r>
          </w:p>
        </w:tc>
        <w:tc>
          <w:tcPr>
            <w:tcW w:w="5765" w:type="dxa"/>
            <w:tcBorders>
              <w:top w:val="nil"/>
              <w:left w:val="nil"/>
              <w:bottom w:val="nil"/>
              <w:right w:val="nil"/>
            </w:tcBorders>
            <w:shd w:val="clear" w:color="auto" w:fill="auto"/>
            <w:noWrap/>
            <w:vAlign w:val="bottom"/>
          </w:tcPr>
          <w:p w14:paraId="3A3FF030">
            <w:pPr>
              <w:widowControl/>
              <w:jc w:val="left"/>
              <w:rPr>
                <w:i/>
                <w:iCs/>
                <w:color w:val="333333"/>
                <w:kern w:val="0"/>
                <w:sz w:val="20"/>
                <w:szCs w:val="20"/>
              </w:rPr>
            </w:pPr>
            <w:r>
              <w:rPr>
                <w:i/>
                <w:iCs/>
                <w:color w:val="333333"/>
                <w:kern w:val="0"/>
                <w:sz w:val="20"/>
                <w:szCs w:val="20"/>
              </w:rPr>
              <w:t>Potamogeton distinctus</w:t>
            </w:r>
            <w:r>
              <w:rPr>
                <w:color w:val="333333"/>
                <w:kern w:val="0"/>
                <w:sz w:val="20"/>
                <w:szCs w:val="20"/>
              </w:rPr>
              <w:t> A.Benn</w:t>
            </w:r>
          </w:p>
        </w:tc>
      </w:tr>
      <w:tr w14:paraId="620D4121">
        <w:tblPrEx>
          <w:tblCellMar>
            <w:top w:w="0" w:type="dxa"/>
            <w:left w:w="108" w:type="dxa"/>
            <w:bottom w:w="0" w:type="dxa"/>
            <w:right w:w="108" w:type="dxa"/>
          </w:tblCellMar>
        </w:tblPrEx>
        <w:trPr>
          <w:trHeight w:val="289" w:hRule="atLeast"/>
        </w:trPr>
        <w:tc>
          <w:tcPr>
            <w:tcW w:w="1428" w:type="dxa"/>
            <w:vMerge w:val="restart"/>
            <w:tcBorders>
              <w:top w:val="nil"/>
              <w:left w:val="nil"/>
              <w:bottom w:val="nil"/>
              <w:right w:val="nil"/>
            </w:tcBorders>
            <w:shd w:val="clear" w:color="auto" w:fill="auto"/>
            <w:vAlign w:val="center"/>
          </w:tcPr>
          <w:p w14:paraId="3CD812BB">
            <w:pPr>
              <w:widowControl/>
              <w:jc w:val="center"/>
              <w:rPr>
                <w:color w:val="000000"/>
                <w:kern w:val="0"/>
                <w:sz w:val="20"/>
                <w:szCs w:val="20"/>
              </w:rPr>
            </w:pPr>
            <w:r>
              <w:rPr>
                <w:rFonts w:hint="eastAsia" w:ascii="宋体" w:hAnsi="宋体"/>
                <w:color w:val="000000"/>
                <w:kern w:val="0"/>
                <w:sz w:val="20"/>
                <w:szCs w:val="20"/>
              </w:rPr>
              <w:t>过水修复区</w:t>
            </w:r>
          </w:p>
        </w:tc>
        <w:tc>
          <w:tcPr>
            <w:tcW w:w="999" w:type="dxa"/>
            <w:tcBorders>
              <w:top w:val="nil"/>
              <w:left w:val="nil"/>
              <w:bottom w:val="nil"/>
              <w:right w:val="nil"/>
            </w:tcBorders>
            <w:shd w:val="clear" w:color="auto" w:fill="auto"/>
            <w:vAlign w:val="center"/>
          </w:tcPr>
          <w:p w14:paraId="08DCE90E">
            <w:pPr>
              <w:widowControl/>
              <w:jc w:val="left"/>
              <w:rPr>
                <w:color w:val="000000"/>
                <w:kern w:val="0"/>
                <w:sz w:val="20"/>
                <w:szCs w:val="20"/>
              </w:rPr>
            </w:pPr>
            <w:r>
              <w:rPr>
                <w:rFonts w:hint="eastAsia" w:ascii="宋体" w:hAnsi="宋体"/>
                <w:color w:val="000000"/>
                <w:kern w:val="0"/>
                <w:sz w:val="20"/>
                <w:szCs w:val="20"/>
              </w:rPr>
              <w:t>芦苇</w:t>
            </w:r>
          </w:p>
        </w:tc>
        <w:tc>
          <w:tcPr>
            <w:tcW w:w="5765" w:type="dxa"/>
            <w:tcBorders>
              <w:top w:val="nil"/>
              <w:left w:val="nil"/>
              <w:bottom w:val="nil"/>
              <w:right w:val="nil"/>
            </w:tcBorders>
            <w:shd w:val="clear" w:color="auto" w:fill="auto"/>
            <w:noWrap/>
            <w:vAlign w:val="bottom"/>
          </w:tcPr>
          <w:p w14:paraId="2D21E4C7">
            <w:pPr>
              <w:widowControl/>
              <w:jc w:val="left"/>
              <w:rPr>
                <w:i/>
                <w:iCs/>
                <w:color w:val="333333"/>
                <w:kern w:val="0"/>
                <w:sz w:val="20"/>
                <w:szCs w:val="20"/>
              </w:rPr>
            </w:pPr>
            <w:r>
              <w:rPr>
                <w:i/>
                <w:iCs/>
                <w:color w:val="333333"/>
                <w:kern w:val="0"/>
                <w:sz w:val="20"/>
                <w:szCs w:val="20"/>
              </w:rPr>
              <w:t>Phragmites australis</w:t>
            </w:r>
            <w:r>
              <w:rPr>
                <w:color w:val="333333"/>
                <w:kern w:val="0"/>
                <w:sz w:val="20"/>
                <w:szCs w:val="20"/>
              </w:rPr>
              <w:t> (Cav.) Trin. ex Steud</w:t>
            </w:r>
          </w:p>
        </w:tc>
      </w:tr>
      <w:tr w14:paraId="1349A364">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2A675C7F">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3A4ACABC">
            <w:pPr>
              <w:widowControl/>
              <w:jc w:val="left"/>
              <w:rPr>
                <w:color w:val="000000"/>
                <w:kern w:val="0"/>
                <w:sz w:val="20"/>
                <w:szCs w:val="20"/>
              </w:rPr>
            </w:pPr>
            <w:r>
              <w:rPr>
                <w:rFonts w:hint="eastAsia" w:ascii="宋体" w:hAnsi="宋体"/>
                <w:color w:val="000000"/>
                <w:kern w:val="0"/>
                <w:sz w:val="20"/>
                <w:szCs w:val="20"/>
              </w:rPr>
              <w:t>荻</w:t>
            </w:r>
          </w:p>
        </w:tc>
        <w:tc>
          <w:tcPr>
            <w:tcW w:w="5765" w:type="dxa"/>
            <w:tcBorders>
              <w:top w:val="nil"/>
              <w:left w:val="nil"/>
              <w:bottom w:val="nil"/>
              <w:right w:val="nil"/>
            </w:tcBorders>
            <w:shd w:val="clear" w:color="auto" w:fill="auto"/>
            <w:noWrap/>
            <w:vAlign w:val="bottom"/>
          </w:tcPr>
          <w:p w14:paraId="4C4020D4">
            <w:pPr>
              <w:widowControl/>
              <w:jc w:val="left"/>
              <w:rPr>
                <w:color w:val="333333"/>
                <w:kern w:val="0"/>
                <w:sz w:val="20"/>
                <w:szCs w:val="20"/>
              </w:rPr>
            </w:pPr>
            <w:r>
              <w:rPr>
                <w:i/>
                <w:iCs/>
                <w:color w:val="333333"/>
                <w:kern w:val="0"/>
                <w:sz w:val="20"/>
                <w:szCs w:val="20"/>
              </w:rPr>
              <w:t xml:space="preserve">Miscanthus sacchariflorus </w:t>
            </w:r>
            <w:r>
              <w:rPr>
                <w:color w:val="333333"/>
                <w:kern w:val="0"/>
                <w:sz w:val="20"/>
                <w:szCs w:val="20"/>
              </w:rPr>
              <w:t>(Maxim.) Benth. &amp; Hook. f. ex Franch.</w:t>
            </w:r>
          </w:p>
        </w:tc>
      </w:tr>
      <w:tr w14:paraId="243787FE">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6B52A8AA">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0130CC37">
            <w:pPr>
              <w:widowControl/>
              <w:jc w:val="left"/>
              <w:rPr>
                <w:color w:val="000000"/>
                <w:kern w:val="0"/>
                <w:sz w:val="20"/>
                <w:szCs w:val="20"/>
              </w:rPr>
            </w:pPr>
            <w:r>
              <w:rPr>
                <w:rFonts w:hint="eastAsia" w:ascii="宋体" w:hAnsi="宋体"/>
                <w:color w:val="000000"/>
                <w:kern w:val="0"/>
                <w:sz w:val="20"/>
                <w:szCs w:val="20"/>
              </w:rPr>
              <w:t>芦竹</w:t>
            </w:r>
          </w:p>
        </w:tc>
        <w:tc>
          <w:tcPr>
            <w:tcW w:w="5765" w:type="dxa"/>
            <w:tcBorders>
              <w:top w:val="nil"/>
              <w:left w:val="nil"/>
              <w:bottom w:val="nil"/>
              <w:right w:val="nil"/>
            </w:tcBorders>
            <w:shd w:val="clear" w:color="auto" w:fill="auto"/>
            <w:noWrap/>
            <w:vAlign w:val="bottom"/>
          </w:tcPr>
          <w:p w14:paraId="4B60E0B1">
            <w:pPr>
              <w:widowControl/>
              <w:jc w:val="left"/>
              <w:rPr>
                <w:i/>
                <w:iCs/>
                <w:color w:val="333333"/>
                <w:kern w:val="0"/>
                <w:sz w:val="20"/>
                <w:szCs w:val="20"/>
              </w:rPr>
            </w:pPr>
            <w:r>
              <w:rPr>
                <w:i/>
                <w:iCs/>
                <w:color w:val="333333"/>
                <w:kern w:val="0"/>
                <w:sz w:val="20"/>
                <w:szCs w:val="20"/>
              </w:rPr>
              <w:t>Arundo donax</w:t>
            </w:r>
            <w:r>
              <w:rPr>
                <w:color w:val="333333"/>
                <w:kern w:val="0"/>
                <w:sz w:val="20"/>
                <w:szCs w:val="20"/>
              </w:rPr>
              <w:t> L.</w:t>
            </w:r>
          </w:p>
        </w:tc>
      </w:tr>
      <w:tr w14:paraId="2FB4685D">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2A7322BA">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748F5BDC">
            <w:pPr>
              <w:widowControl/>
              <w:jc w:val="left"/>
              <w:rPr>
                <w:color w:val="000000"/>
                <w:kern w:val="0"/>
                <w:sz w:val="20"/>
                <w:szCs w:val="20"/>
              </w:rPr>
            </w:pPr>
            <w:r>
              <w:rPr>
                <w:rFonts w:hint="eastAsia" w:ascii="宋体" w:hAnsi="宋体"/>
                <w:color w:val="000000"/>
                <w:kern w:val="0"/>
                <w:sz w:val="20"/>
                <w:szCs w:val="20"/>
              </w:rPr>
              <w:t>千屈菜</w:t>
            </w:r>
          </w:p>
        </w:tc>
        <w:tc>
          <w:tcPr>
            <w:tcW w:w="5765" w:type="dxa"/>
            <w:tcBorders>
              <w:top w:val="nil"/>
              <w:left w:val="nil"/>
              <w:bottom w:val="nil"/>
              <w:right w:val="nil"/>
            </w:tcBorders>
            <w:shd w:val="clear" w:color="auto" w:fill="auto"/>
            <w:noWrap/>
            <w:vAlign w:val="bottom"/>
          </w:tcPr>
          <w:p w14:paraId="000A97A2">
            <w:pPr>
              <w:widowControl/>
              <w:jc w:val="left"/>
              <w:rPr>
                <w:i/>
                <w:iCs/>
                <w:color w:val="333333"/>
                <w:kern w:val="0"/>
                <w:sz w:val="20"/>
                <w:szCs w:val="20"/>
              </w:rPr>
            </w:pPr>
            <w:r>
              <w:rPr>
                <w:i/>
                <w:iCs/>
                <w:color w:val="333333"/>
                <w:kern w:val="0"/>
                <w:sz w:val="20"/>
                <w:szCs w:val="20"/>
              </w:rPr>
              <w:t>Lythrum salicaria</w:t>
            </w:r>
            <w:r>
              <w:rPr>
                <w:color w:val="333333"/>
                <w:kern w:val="0"/>
                <w:sz w:val="20"/>
                <w:szCs w:val="20"/>
              </w:rPr>
              <w:t> L.</w:t>
            </w:r>
          </w:p>
        </w:tc>
      </w:tr>
      <w:tr w14:paraId="60E65DD1">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40451AD6">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4BCD5BE4">
            <w:pPr>
              <w:widowControl/>
              <w:jc w:val="left"/>
              <w:rPr>
                <w:color w:val="000000"/>
                <w:kern w:val="0"/>
                <w:sz w:val="20"/>
                <w:szCs w:val="20"/>
              </w:rPr>
            </w:pPr>
            <w:r>
              <w:rPr>
                <w:rFonts w:hint="eastAsia" w:ascii="宋体" w:hAnsi="宋体"/>
                <w:color w:val="000000"/>
                <w:kern w:val="0"/>
                <w:sz w:val="20"/>
                <w:szCs w:val="20"/>
              </w:rPr>
              <w:t>芙蓉葵</w:t>
            </w:r>
          </w:p>
        </w:tc>
        <w:tc>
          <w:tcPr>
            <w:tcW w:w="5765" w:type="dxa"/>
            <w:tcBorders>
              <w:top w:val="nil"/>
              <w:left w:val="nil"/>
              <w:bottom w:val="nil"/>
              <w:right w:val="nil"/>
            </w:tcBorders>
            <w:shd w:val="clear" w:color="auto" w:fill="auto"/>
            <w:noWrap/>
            <w:vAlign w:val="bottom"/>
          </w:tcPr>
          <w:p w14:paraId="15A5F426">
            <w:pPr>
              <w:widowControl/>
              <w:jc w:val="left"/>
              <w:rPr>
                <w:i/>
                <w:iCs/>
                <w:color w:val="333333"/>
                <w:kern w:val="0"/>
                <w:sz w:val="20"/>
                <w:szCs w:val="20"/>
              </w:rPr>
            </w:pPr>
            <w:r>
              <w:rPr>
                <w:i/>
                <w:iCs/>
                <w:color w:val="333333"/>
                <w:kern w:val="0"/>
                <w:sz w:val="20"/>
                <w:szCs w:val="20"/>
              </w:rPr>
              <w:t>Hibiscus moscheutos</w:t>
            </w:r>
            <w:r>
              <w:rPr>
                <w:color w:val="333333"/>
                <w:kern w:val="0"/>
                <w:sz w:val="20"/>
                <w:szCs w:val="20"/>
              </w:rPr>
              <w:t> L.</w:t>
            </w:r>
          </w:p>
        </w:tc>
      </w:tr>
      <w:tr w14:paraId="551BEEF0">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58E3B9D3">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096E47D0">
            <w:pPr>
              <w:widowControl/>
              <w:jc w:val="left"/>
              <w:rPr>
                <w:color w:val="000000"/>
                <w:kern w:val="0"/>
                <w:sz w:val="20"/>
                <w:szCs w:val="20"/>
              </w:rPr>
            </w:pPr>
            <w:r>
              <w:rPr>
                <w:rFonts w:hint="eastAsia" w:ascii="宋体" w:hAnsi="宋体"/>
                <w:color w:val="000000"/>
                <w:kern w:val="0"/>
                <w:sz w:val="20"/>
                <w:szCs w:val="20"/>
              </w:rPr>
              <w:t>盐地碱蓬</w:t>
            </w:r>
          </w:p>
        </w:tc>
        <w:tc>
          <w:tcPr>
            <w:tcW w:w="5765" w:type="dxa"/>
            <w:tcBorders>
              <w:top w:val="nil"/>
              <w:left w:val="nil"/>
              <w:bottom w:val="nil"/>
              <w:right w:val="nil"/>
            </w:tcBorders>
            <w:shd w:val="clear" w:color="auto" w:fill="auto"/>
            <w:noWrap/>
            <w:vAlign w:val="bottom"/>
          </w:tcPr>
          <w:p w14:paraId="036FEE1F">
            <w:pPr>
              <w:widowControl/>
              <w:jc w:val="left"/>
              <w:rPr>
                <w:i/>
                <w:iCs/>
                <w:color w:val="333333"/>
                <w:kern w:val="0"/>
                <w:sz w:val="20"/>
                <w:szCs w:val="20"/>
              </w:rPr>
            </w:pPr>
            <w:r>
              <w:rPr>
                <w:i/>
                <w:iCs/>
                <w:color w:val="333333"/>
                <w:kern w:val="0"/>
                <w:sz w:val="20"/>
                <w:szCs w:val="20"/>
              </w:rPr>
              <w:t>Suaeda salsa </w:t>
            </w:r>
            <w:r>
              <w:rPr>
                <w:color w:val="333333"/>
                <w:kern w:val="0"/>
                <w:sz w:val="20"/>
                <w:szCs w:val="20"/>
              </w:rPr>
              <w:t>(L.) Pall.</w:t>
            </w:r>
          </w:p>
        </w:tc>
      </w:tr>
      <w:tr w14:paraId="7EC7F601">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0F0AEEE9">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5CD6F03A">
            <w:pPr>
              <w:widowControl/>
              <w:jc w:val="left"/>
              <w:rPr>
                <w:color w:val="000000"/>
                <w:kern w:val="0"/>
                <w:sz w:val="20"/>
                <w:szCs w:val="20"/>
              </w:rPr>
            </w:pPr>
            <w:r>
              <w:rPr>
                <w:rFonts w:hint="eastAsia" w:ascii="宋体" w:hAnsi="宋体"/>
                <w:color w:val="000000"/>
                <w:kern w:val="0"/>
                <w:sz w:val="20"/>
                <w:szCs w:val="20"/>
              </w:rPr>
              <w:t>青蒿</w:t>
            </w:r>
          </w:p>
        </w:tc>
        <w:tc>
          <w:tcPr>
            <w:tcW w:w="5765" w:type="dxa"/>
            <w:tcBorders>
              <w:top w:val="nil"/>
              <w:left w:val="nil"/>
              <w:bottom w:val="nil"/>
              <w:right w:val="nil"/>
            </w:tcBorders>
            <w:shd w:val="clear" w:color="auto" w:fill="auto"/>
            <w:noWrap/>
            <w:vAlign w:val="bottom"/>
          </w:tcPr>
          <w:p w14:paraId="0BBA3D35">
            <w:pPr>
              <w:widowControl/>
              <w:jc w:val="left"/>
              <w:rPr>
                <w:i/>
                <w:iCs/>
                <w:color w:val="333333"/>
                <w:kern w:val="0"/>
                <w:sz w:val="20"/>
                <w:szCs w:val="20"/>
              </w:rPr>
            </w:pPr>
            <w:r>
              <w:rPr>
                <w:i/>
                <w:iCs/>
                <w:color w:val="333333"/>
                <w:kern w:val="0"/>
                <w:sz w:val="20"/>
                <w:szCs w:val="20"/>
              </w:rPr>
              <w:t>Artemisia caruifolia</w:t>
            </w:r>
            <w:r>
              <w:rPr>
                <w:color w:val="333333"/>
                <w:kern w:val="0"/>
                <w:sz w:val="20"/>
                <w:szCs w:val="20"/>
              </w:rPr>
              <w:t> Buch.-Ham. ex Roxb.</w:t>
            </w:r>
          </w:p>
        </w:tc>
      </w:tr>
      <w:tr w14:paraId="039A4EBF">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73FD12E8">
            <w:pPr>
              <w:widowControl/>
              <w:jc w:val="left"/>
              <w:rPr>
                <w:color w:val="000000"/>
                <w:kern w:val="0"/>
                <w:sz w:val="20"/>
                <w:szCs w:val="20"/>
              </w:rPr>
            </w:pPr>
          </w:p>
        </w:tc>
        <w:tc>
          <w:tcPr>
            <w:tcW w:w="999" w:type="dxa"/>
            <w:tcBorders>
              <w:top w:val="nil"/>
              <w:left w:val="nil"/>
              <w:bottom w:val="nil"/>
              <w:right w:val="nil"/>
            </w:tcBorders>
            <w:shd w:val="clear" w:color="auto" w:fill="auto"/>
            <w:vAlign w:val="center"/>
          </w:tcPr>
          <w:p w14:paraId="1DA56556">
            <w:pPr>
              <w:widowControl/>
              <w:jc w:val="left"/>
              <w:rPr>
                <w:color w:val="000000"/>
                <w:kern w:val="0"/>
                <w:sz w:val="20"/>
                <w:szCs w:val="20"/>
              </w:rPr>
            </w:pPr>
            <w:r>
              <w:rPr>
                <w:rFonts w:hint="eastAsia" w:ascii="宋体" w:hAnsi="宋体"/>
                <w:color w:val="000000"/>
                <w:kern w:val="0"/>
                <w:sz w:val="20"/>
                <w:szCs w:val="20"/>
              </w:rPr>
              <w:t>红蓼</w:t>
            </w:r>
          </w:p>
        </w:tc>
        <w:tc>
          <w:tcPr>
            <w:tcW w:w="5765" w:type="dxa"/>
            <w:tcBorders>
              <w:top w:val="nil"/>
              <w:left w:val="nil"/>
              <w:bottom w:val="nil"/>
              <w:right w:val="nil"/>
            </w:tcBorders>
            <w:shd w:val="clear" w:color="auto" w:fill="auto"/>
            <w:noWrap/>
            <w:vAlign w:val="bottom"/>
          </w:tcPr>
          <w:p w14:paraId="6ABA8448">
            <w:pPr>
              <w:widowControl/>
              <w:jc w:val="left"/>
              <w:rPr>
                <w:i/>
                <w:iCs/>
                <w:color w:val="333333"/>
                <w:kern w:val="0"/>
                <w:sz w:val="20"/>
                <w:szCs w:val="20"/>
              </w:rPr>
            </w:pPr>
            <w:r>
              <w:rPr>
                <w:i/>
                <w:iCs/>
                <w:color w:val="333333"/>
                <w:kern w:val="0"/>
                <w:sz w:val="20"/>
                <w:szCs w:val="20"/>
              </w:rPr>
              <w:t>Persicaria orientalis</w:t>
            </w:r>
            <w:r>
              <w:rPr>
                <w:color w:val="333333"/>
                <w:kern w:val="0"/>
                <w:sz w:val="20"/>
                <w:szCs w:val="20"/>
              </w:rPr>
              <w:t> (L.) Spach</w:t>
            </w:r>
          </w:p>
        </w:tc>
      </w:tr>
      <w:tr w14:paraId="28CEE4D9">
        <w:tblPrEx>
          <w:tblCellMar>
            <w:top w:w="0" w:type="dxa"/>
            <w:left w:w="108" w:type="dxa"/>
            <w:bottom w:w="0" w:type="dxa"/>
            <w:right w:w="108" w:type="dxa"/>
          </w:tblCellMar>
        </w:tblPrEx>
        <w:trPr>
          <w:trHeight w:val="289" w:hRule="atLeast"/>
        </w:trPr>
        <w:tc>
          <w:tcPr>
            <w:tcW w:w="1428" w:type="dxa"/>
            <w:vMerge w:val="continue"/>
            <w:tcBorders>
              <w:top w:val="nil"/>
              <w:left w:val="nil"/>
              <w:bottom w:val="nil"/>
              <w:right w:val="nil"/>
            </w:tcBorders>
            <w:vAlign w:val="center"/>
          </w:tcPr>
          <w:p w14:paraId="5DFEF19B">
            <w:pPr>
              <w:widowControl/>
              <w:jc w:val="left"/>
              <w:rPr>
                <w:color w:val="000000"/>
                <w:kern w:val="0"/>
                <w:sz w:val="20"/>
                <w:szCs w:val="20"/>
              </w:rPr>
            </w:pPr>
          </w:p>
        </w:tc>
        <w:tc>
          <w:tcPr>
            <w:tcW w:w="999" w:type="dxa"/>
            <w:tcBorders>
              <w:top w:val="nil"/>
              <w:left w:val="nil"/>
              <w:bottom w:val="nil"/>
              <w:right w:val="nil"/>
            </w:tcBorders>
            <w:shd w:val="clear" w:color="auto" w:fill="auto"/>
            <w:noWrap/>
            <w:vAlign w:val="bottom"/>
          </w:tcPr>
          <w:p w14:paraId="118B5888">
            <w:pPr>
              <w:widowControl/>
              <w:jc w:val="left"/>
              <w:rPr>
                <w:color w:val="000000"/>
                <w:kern w:val="0"/>
                <w:sz w:val="20"/>
                <w:szCs w:val="20"/>
              </w:rPr>
            </w:pPr>
            <w:r>
              <w:rPr>
                <w:rFonts w:hint="eastAsia" w:ascii="宋体" w:hAnsi="宋体"/>
                <w:color w:val="000000"/>
                <w:kern w:val="0"/>
                <w:sz w:val="20"/>
                <w:szCs w:val="20"/>
              </w:rPr>
              <w:t>罗布麻</w:t>
            </w:r>
          </w:p>
        </w:tc>
        <w:tc>
          <w:tcPr>
            <w:tcW w:w="5765" w:type="dxa"/>
            <w:tcBorders>
              <w:top w:val="nil"/>
              <w:left w:val="nil"/>
              <w:bottom w:val="nil"/>
              <w:right w:val="nil"/>
            </w:tcBorders>
            <w:shd w:val="clear" w:color="auto" w:fill="auto"/>
            <w:noWrap/>
            <w:vAlign w:val="bottom"/>
          </w:tcPr>
          <w:p w14:paraId="6B74DF2B">
            <w:pPr>
              <w:widowControl/>
              <w:jc w:val="left"/>
              <w:rPr>
                <w:i/>
                <w:iCs/>
                <w:color w:val="333333"/>
                <w:kern w:val="0"/>
                <w:sz w:val="20"/>
                <w:szCs w:val="20"/>
              </w:rPr>
            </w:pPr>
            <w:r>
              <w:rPr>
                <w:i/>
                <w:iCs/>
                <w:color w:val="333333"/>
                <w:kern w:val="0"/>
                <w:sz w:val="20"/>
                <w:szCs w:val="20"/>
              </w:rPr>
              <w:t>Apocynum venetum</w:t>
            </w:r>
            <w:r>
              <w:rPr>
                <w:color w:val="333333"/>
                <w:kern w:val="0"/>
                <w:sz w:val="20"/>
                <w:szCs w:val="20"/>
              </w:rPr>
              <w:t> L.</w:t>
            </w:r>
          </w:p>
        </w:tc>
      </w:tr>
      <w:tr w14:paraId="28DD9022">
        <w:tblPrEx>
          <w:tblCellMar>
            <w:top w:w="0" w:type="dxa"/>
            <w:left w:w="108" w:type="dxa"/>
            <w:bottom w:w="0" w:type="dxa"/>
            <w:right w:w="108" w:type="dxa"/>
          </w:tblCellMar>
        </w:tblPrEx>
        <w:trPr>
          <w:trHeight w:val="289" w:hRule="atLeast"/>
        </w:trPr>
        <w:tc>
          <w:tcPr>
            <w:tcW w:w="1428" w:type="dxa"/>
            <w:vMerge w:val="restart"/>
            <w:tcBorders>
              <w:top w:val="nil"/>
              <w:left w:val="nil"/>
              <w:bottom w:val="single" w:color="000000" w:sz="4" w:space="0"/>
              <w:right w:val="nil"/>
            </w:tcBorders>
            <w:shd w:val="clear" w:color="auto" w:fill="auto"/>
            <w:vAlign w:val="center"/>
          </w:tcPr>
          <w:p w14:paraId="1655C085">
            <w:pPr>
              <w:widowControl/>
              <w:jc w:val="center"/>
              <w:rPr>
                <w:color w:val="000000"/>
                <w:kern w:val="0"/>
                <w:sz w:val="20"/>
                <w:szCs w:val="20"/>
              </w:rPr>
            </w:pPr>
            <w:r>
              <w:rPr>
                <w:rFonts w:hint="eastAsia" w:ascii="宋体" w:hAnsi="宋体"/>
                <w:color w:val="000000"/>
                <w:kern w:val="0"/>
                <w:sz w:val="20"/>
                <w:szCs w:val="20"/>
              </w:rPr>
              <w:t>陆地修复区</w:t>
            </w:r>
          </w:p>
        </w:tc>
        <w:tc>
          <w:tcPr>
            <w:tcW w:w="999" w:type="dxa"/>
            <w:tcBorders>
              <w:top w:val="nil"/>
              <w:left w:val="nil"/>
              <w:bottom w:val="nil"/>
              <w:right w:val="nil"/>
            </w:tcBorders>
            <w:shd w:val="clear" w:color="auto" w:fill="auto"/>
            <w:noWrap/>
            <w:vAlign w:val="bottom"/>
          </w:tcPr>
          <w:p w14:paraId="3AE768C5">
            <w:pPr>
              <w:widowControl/>
              <w:jc w:val="left"/>
              <w:rPr>
                <w:color w:val="000000"/>
                <w:kern w:val="0"/>
                <w:sz w:val="20"/>
                <w:szCs w:val="20"/>
              </w:rPr>
            </w:pPr>
            <w:r>
              <w:rPr>
                <w:rFonts w:hint="eastAsia" w:ascii="宋体" w:hAnsi="宋体"/>
                <w:color w:val="000000"/>
                <w:kern w:val="0"/>
                <w:sz w:val="20"/>
                <w:szCs w:val="20"/>
              </w:rPr>
              <w:t>柽柳</w:t>
            </w:r>
          </w:p>
        </w:tc>
        <w:tc>
          <w:tcPr>
            <w:tcW w:w="5765" w:type="dxa"/>
            <w:tcBorders>
              <w:top w:val="nil"/>
              <w:left w:val="nil"/>
              <w:bottom w:val="nil"/>
              <w:right w:val="nil"/>
            </w:tcBorders>
            <w:shd w:val="clear" w:color="auto" w:fill="auto"/>
            <w:noWrap/>
            <w:vAlign w:val="bottom"/>
          </w:tcPr>
          <w:p w14:paraId="1C607258">
            <w:pPr>
              <w:widowControl/>
              <w:jc w:val="left"/>
              <w:rPr>
                <w:i/>
                <w:iCs/>
                <w:color w:val="333333"/>
                <w:kern w:val="0"/>
                <w:sz w:val="20"/>
                <w:szCs w:val="20"/>
              </w:rPr>
            </w:pPr>
            <w:r>
              <w:rPr>
                <w:i/>
                <w:iCs/>
                <w:color w:val="333333"/>
                <w:kern w:val="0"/>
                <w:sz w:val="20"/>
                <w:szCs w:val="20"/>
              </w:rPr>
              <w:t>Tamarix chinensis</w:t>
            </w:r>
            <w:r>
              <w:rPr>
                <w:color w:val="333333"/>
                <w:kern w:val="0"/>
                <w:sz w:val="20"/>
                <w:szCs w:val="20"/>
              </w:rPr>
              <w:t> Lour.</w:t>
            </w:r>
          </w:p>
        </w:tc>
      </w:tr>
      <w:tr w14:paraId="67269BF0">
        <w:tblPrEx>
          <w:tblCellMar>
            <w:top w:w="0" w:type="dxa"/>
            <w:left w:w="108" w:type="dxa"/>
            <w:bottom w:w="0" w:type="dxa"/>
            <w:right w:w="108" w:type="dxa"/>
          </w:tblCellMar>
        </w:tblPrEx>
        <w:trPr>
          <w:trHeight w:val="289" w:hRule="atLeast"/>
        </w:trPr>
        <w:tc>
          <w:tcPr>
            <w:tcW w:w="1428" w:type="dxa"/>
            <w:vMerge w:val="continue"/>
            <w:tcBorders>
              <w:top w:val="nil"/>
              <w:left w:val="nil"/>
              <w:bottom w:val="single" w:color="000000" w:sz="4" w:space="0"/>
              <w:right w:val="nil"/>
            </w:tcBorders>
            <w:vAlign w:val="center"/>
          </w:tcPr>
          <w:p w14:paraId="675C47BD">
            <w:pPr>
              <w:widowControl/>
              <w:jc w:val="left"/>
              <w:rPr>
                <w:color w:val="000000"/>
                <w:kern w:val="0"/>
                <w:sz w:val="20"/>
                <w:szCs w:val="20"/>
              </w:rPr>
            </w:pPr>
          </w:p>
        </w:tc>
        <w:tc>
          <w:tcPr>
            <w:tcW w:w="999" w:type="dxa"/>
            <w:tcBorders>
              <w:top w:val="nil"/>
              <w:left w:val="nil"/>
              <w:bottom w:val="nil"/>
              <w:right w:val="nil"/>
            </w:tcBorders>
            <w:shd w:val="clear" w:color="auto" w:fill="auto"/>
            <w:noWrap/>
            <w:vAlign w:val="bottom"/>
          </w:tcPr>
          <w:p w14:paraId="64590F39">
            <w:pPr>
              <w:widowControl/>
              <w:jc w:val="left"/>
              <w:rPr>
                <w:color w:val="000000"/>
                <w:kern w:val="0"/>
                <w:sz w:val="20"/>
                <w:szCs w:val="20"/>
              </w:rPr>
            </w:pPr>
            <w:r>
              <w:rPr>
                <w:rFonts w:hint="eastAsia" w:ascii="宋体" w:hAnsi="宋体"/>
                <w:color w:val="000000"/>
                <w:kern w:val="0"/>
                <w:sz w:val="20"/>
                <w:szCs w:val="20"/>
              </w:rPr>
              <w:t>白刺</w:t>
            </w:r>
          </w:p>
        </w:tc>
        <w:tc>
          <w:tcPr>
            <w:tcW w:w="5765" w:type="dxa"/>
            <w:tcBorders>
              <w:top w:val="nil"/>
              <w:left w:val="nil"/>
              <w:bottom w:val="nil"/>
              <w:right w:val="nil"/>
            </w:tcBorders>
            <w:shd w:val="clear" w:color="auto" w:fill="auto"/>
            <w:noWrap/>
            <w:vAlign w:val="bottom"/>
          </w:tcPr>
          <w:p w14:paraId="22C26F50">
            <w:pPr>
              <w:widowControl/>
              <w:jc w:val="left"/>
              <w:rPr>
                <w:i/>
                <w:iCs/>
                <w:color w:val="333333"/>
                <w:kern w:val="0"/>
                <w:sz w:val="20"/>
                <w:szCs w:val="20"/>
              </w:rPr>
            </w:pPr>
            <w:r>
              <w:rPr>
                <w:i/>
                <w:iCs/>
                <w:color w:val="333333"/>
                <w:kern w:val="0"/>
                <w:sz w:val="20"/>
                <w:szCs w:val="20"/>
              </w:rPr>
              <w:t>Nitraria tangutorum</w:t>
            </w:r>
            <w:r>
              <w:rPr>
                <w:color w:val="333333"/>
                <w:kern w:val="0"/>
                <w:sz w:val="20"/>
                <w:szCs w:val="20"/>
              </w:rPr>
              <w:t> Bobrov</w:t>
            </w:r>
          </w:p>
        </w:tc>
      </w:tr>
      <w:tr w14:paraId="2CF24966">
        <w:tblPrEx>
          <w:tblCellMar>
            <w:top w:w="0" w:type="dxa"/>
            <w:left w:w="108" w:type="dxa"/>
            <w:bottom w:w="0" w:type="dxa"/>
            <w:right w:w="108" w:type="dxa"/>
          </w:tblCellMar>
        </w:tblPrEx>
        <w:trPr>
          <w:trHeight w:val="289" w:hRule="atLeast"/>
        </w:trPr>
        <w:tc>
          <w:tcPr>
            <w:tcW w:w="1428" w:type="dxa"/>
            <w:vMerge w:val="continue"/>
            <w:tcBorders>
              <w:top w:val="nil"/>
              <w:left w:val="nil"/>
              <w:bottom w:val="single" w:color="000000" w:sz="4" w:space="0"/>
              <w:right w:val="nil"/>
            </w:tcBorders>
            <w:vAlign w:val="center"/>
          </w:tcPr>
          <w:p w14:paraId="7CD4718B">
            <w:pPr>
              <w:widowControl/>
              <w:jc w:val="left"/>
              <w:rPr>
                <w:color w:val="000000"/>
                <w:kern w:val="0"/>
                <w:sz w:val="20"/>
                <w:szCs w:val="20"/>
              </w:rPr>
            </w:pPr>
          </w:p>
        </w:tc>
        <w:tc>
          <w:tcPr>
            <w:tcW w:w="999" w:type="dxa"/>
            <w:tcBorders>
              <w:top w:val="nil"/>
              <w:left w:val="nil"/>
              <w:bottom w:val="nil"/>
              <w:right w:val="nil"/>
            </w:tcBorders>
            <w:shd w:val="clear" w:color="auto" w:fill="auto"/>
            <w:noWrap/>
            <w:vAlign w:val="bottom"/>
          </w:tcPr>
          <w:p w14:paraId="3F6CCF8A">
            <w:pPr>
              <w:widowControl/>
              <w:jc w:val="left"/>
              <w:rPr>
                <w:color w:val="000000"/>
                <w:kern w:val="0"/>
                <w:sz w:val="20"/>
                <w:szCs w:val="20"/>
              </w:rPr>
            </w:pPr>
            <w:r>
              <w:rPr>
                <w:rFonts w:hint="eastAsia" w:ascii="宋体" w:hAnsi="宋体"/>
                <w:color w:val="000000"/>
                <w:kern w:val="0"/>
                <w:sz w:val="20"/>
                <w:szCs w:val="20"/>
              </w:rPr>
              <w:t>白榆</w:t>
            </w:r>
          </w:p>
        </w:tc>
        <w:tc>
          <w:tcPr>
            <w:tcW w:w="5765" w:type="dxa"/>
            <w:tcBorders>
              <w:top w:val="nil"/>
              <w:left w:val="nil"/>
              <w:bottom w:val="nil"/>
              <w:right w:val="nil"/>
            </w:tcBorders>
            <w:shd w:val="clear" w:color="auto" w:fill="auto"/>
            <w:noWrap/>
            <w:vAlign w:val="bottom"/>
          </w:tcPr>
          <w:p w14:paraId="7FA55ED6">
            <w:pPr>
              <w:widowControl/>
              <w:jc w:val="left"/>
              <w:rPr>
                <w:i/>
                <w:iCs/>
                <w:color w:val="333333"/>
                <w:kern w:val="0"/>
                <w:sz w:val="20"/>
                <w:szCs w:val="20"/>
              </w:rPr>
            </w:pPr>
            <w:r>
              <w:rPr>
                <w:i/>
                <w:iCs/>
                <w:color w:val="333333"/>
                <w:kern w:val="0"/>
                <w:sz w:val="20"/>
                <w:szCs w:val="20"/>
              </w:rPr>
              <w:t>Ulmus pumila</w:t>
            </w:r>
            <w:r>
              <w:rPr>
                <w:color w:val="333333"/>
                <w:kern w:val="0"/>
                <w:sz w:val="20"/>
                <w:szCs w:val="20"/>
              </w:rPr>
              <w:t> L.</w:t>
            </w:r>
          </w:p>
        </w:tc>
      </w:tr>
      <w:tr w14:paraId="6E8EBCEA">
        <w:tblPrEx>
          <w:tblCellMar>
            <w:top w:w="0" w:type="dxa"/>
            <w:left w:w="108" w:type="dxa"/>
            <w:bottom w:w="0" w:type="dxa"/>
            <w:right w:w="108" w:type="dxa"/>
          </w:tblCellMar>
        </w:tblPrEx>
        <w:trPr>
          <w:trHeight w:val="289" w:hRule="atLeast"/>
        </w:trPr>
        <w:tc>
          <w:tcPr>
            <w:tcW w:w="1428" w:type="dxa"/>
            <w:vMerge w:val="continue"/>
            <w:tcBorders>
              <w:top w:val="nil"/>
              <w:left w:val="nil"/>
              <w:bottom w:val="single" w:color="000000" w:sz="4" w:space="0"/>
              <w:right w:val="nil"/>
            </w:tcBorders>
            <w:vAlign w:val="center"/>
          </w:tcPr>
          <w:p w14:paraId="7C1FD4D3">
            <w:pPr>
              <w:widowControl/>
              <w:jc w:val="left"/>
              <w:rPr>
                <w:color w:val="000000"/>
                <w:kern w:val="0"/>
                <w:sz w:val="20"/>
                <w:szCs w:val="20"/>
              </w:rPr>
            </w:pPr>
          </w:p>
        </w:tc>
        <w:tc>
          <w:tcPr>
            <w:tcW w:w="999" w:type="dxa"/>
            <w:tcBorders>
              <w:top w:val="nil"/>
              <w:left w:val="nil"/>
              <w:bottom w:val="nil"/>
              <w:right w:val="nil"/>
            </w:tcBorders>
            <w:shd w:val="clear" w:color="auto" w:fill="auto"/>
            <w:noWrap/>
            <w:vAlign w:val="bottom"/>
          </w:tcPr>
          <w:p w14:paraId="56E907F2">
            <w:pPr>
              <w:widowControl/>
              <w:jc w:val="left"/>
              <w:rPr>
                <w:color w:val="000000"/>
                <w:kern w:val="0"/>
                <w:sz w:val="20"/>
                <w:szCs w:val="20"/>
              </w:rPr>
            </w:pPr>
            <w:r>
              <w:rPr>
                <w:rFonts w:hint="eastAsia" w:ascii="宋体" w:hAnsi="宋体"/>
                <w:color w:val="000000"/>
                <w:kern w:val="0"/>
                <w:sz w:val="20"/>
                <w:szCs w:val="20"/>
              </w:rPr>
              <w:t>桑树</w:t>
            </w:r>
          </w:p>
        </w:tc>
        <w:tc>
          <w:tcPr>
            <w:tcW w:w="5765" w:type="dxa"/>
            <w:tcBorders>
              <w:top w:val="nil"/>
              <w:left w:val="nil"/>
              <w:bottom w:val="nil"/>
              <w:right w:val="nil"/>
            </w:tcBorders>
            <w:shd w:val="clear" w:color="auto" w:fill="auto"/>
            <w:noWrap/>
            <w:vAlign w:val="bottom"/>
          </w:tcPr>
          <w:p w14:paraId="41A65142">
            <w:pPr>
              <w:widowControl/>
              <w:jc w:val="left"/>
              <w:rPr>
                <w:i/>
                <w:iCs/>
                <w:color w:val="333333"/>
                <w:kern w:val="0"/>
                <w:sz w:val="20"/>
                <w:szCs w:val="20"/>
              </w:rPr>
            </w:pPr>
            <w:r>
              <w:rPr>
                <w:i/>
                <w:iCs/>
                <w:color w:val="333333"/>
                <w:kern w:val="0"/>
                <w:sz w:val="20"/>
                <w:szCs w:val="20"/>
              </w:rPr>
              <w:t>Morus</w:t>
            </w:r>
            <w:r>
              <w:rPr>
                <w:color w:val="333333"/>
                <w:kern w:val="0"/>
                <w:sz w:val="20"/>
                <w:szCs w:val="20"/>
              </w:rPr>
              <w:t> </w:t>
            </w:r>
            <w:r>
              <w:rPr>
                <w:i/>
                <w:iCs/>
                <w:color w:val="333333"/>
                <w:kern w:val="0"/>
                <w:sz w:val="20"/>
                <w:szCs w:val="20"/>
              </w:rPr>
              <w:t>alba</w:t>
            </w:r>
            <w:r>
              <w:rPr>
                <w:color w:val="333333"/>
                <w:kern w:val="0"/>
                <w:sz w:val="20"/>
                <w:szCs w:val="20"/>
              </w:rPr>
              <w:t> L.</w:t>
            </w:r>
          </w:p>
        </w:tc>
      </w:tr>
      <w:tr w14:paraId="485159B5">
        <w:tblPrEx>
          <w:tblCellMar>
            <w:top w:w="0" w:type="dxa"/>
            <w:left w:w="108" w:type="dxa"/>
            <w:bottom w:w="0" w:type="dxa"/>
            <w:right w:w="108" w:type="dxa"/>
          </w:tblCellMar>
        </w:tblPrEx>
        <w:trPr>
          <w:trHeight w:val="289" w:hRule="atLeast"/>
        </w:trPr>
        <w:tc>
          <w:tcPr>
            <w:tcW w:w="1428" w:type="dxa"/>
            <w:vMerge w:val="continue"/>
            <w:tcBorders>
              <w:top w:val="nil"/>
              <w:left w:val="nil"/>
              <w:bottom w:val="single" w:color="000000" w:sz="4" w:space="0"/>
              <w:right w:val="nil"/>
            </w:tcBorders>
            <w:vAlign w:val="center"/>
          </w:tcPr>
          <w:p w14:paraId="1F8CCF52">
            <w:pPr>
              <w:widowControl/>
              <w:jc w:val="left"/>
              <w:rPr>
                <w:color w:val="000000"/>
                <w:kern w:val="0"/>
                <w:sz w:val="20"/>
                <w:szCs w:val="20"/>
              </w:rPr>
            </w:pPr>
          </w:p>
        </w:tc>
        <w:tc>
          <w:tcPr>
            <w:tcW w:w="999" w:type="dxa"/>
            <w:tcBorders>
              <w:top w:val="nil"/>
              <w:left w:val="nil"/>
              <w:bottom w:val="nil"/>
              <w:right w:val="nil"/>
            </w:tcBorders>
            <w:shd w:val="clear" w:color="auto" w:fill="auto"/>
            <w:noWrap/>
            <w:vAlign w:val="bottom"/>
          </w:tcPr>
          <w:p w14:paraId="55FF7FA9">
            <w:pPr>
              <w:widowControl/>
              <w:jc w:val="left"/>
              <w:rPr>
                <w:color w:val="000000"/>
                <w:kern w:val="0"/>
                <w:sz w:val="20"/>
                <w:szCs w:val="20"/>
              </w:rPr>
            </w:pPr>
            <w:r>
              <w:rPr>
                <w:rFonts w:hint="eastAsia" w:ascii="宋体" w:hAnsi="宋体"/>
                <w:color w:val="000000"/>
                <w:kern w:val="0"/>
                <w:sz w:val="20"/>
                <w:szCs w:val="20"/>
              </w:rPr>
              <w:t>披碱草</w:t>
            </w:r>
          </w:p>
        </w:tc>
        <w:tc>
          <w:tcPr>
            <w:tcW w:w="5765" w:type="dxa"/>
            <w:tcBorders>
              <w:top w:val="nil"/>
              <w:left w:val="nil"/>
              <w:bottom w:val="nil"/>
              <w:right w:val="nil"/>
            </w:tcBorders>
            <w:shd w:val="clear" w:color="auto" w:fill="auto"/>
            <w:noWrap/>
            <w:vAlign w:val="bottom"/>
          </w:tcPr>
          <w:p w14:paraId="736A43A2">
            <w:pPr>
              <w:widowControl/>
              <w:jc w:val="left"/>
              <w:rPr>
                <w:i/>
                <w:iCs/>
                <w:color w:val="333333"/>
                <w:kern w:val="0"/>
                <w:sz w:val="20"/>
                <w:szCs w:val="20"/>
              </w:rPr>
            </w:pPr>
            <w:r>
              <w:rPr>
                <w:i/>
                <w:iCs/>
                <w:color w:val="333333"/>
                <w:kern w:val="0"/>
                <w:sz w:val="20"/>
                <w:szCs w:val="20"/>
              </w:rPr>
              <w:t>Elymus dahuricus</w:t>
            </w:r>
            <w:r>
              <w:rPr>
                <w:color w:val="333333"/>
                <w:kern w:val="0"/>
                <w:sz w:val="20"/>
                <w:szCs w:val="20"/>
              </w:rPr>
              <w:t> Turcz.</w:t>
            </w:r>
          </w:p>
        </w:tc>
      </w:tr>
      <w:tr w14:paraId="3DC66111">
        <w:tblPrEx>
          <w:tblCellMar>
            <w:top w:w="0" w:type="dxa"/>
            <w:left w:w="108" w:type="dxa"/>
            <w:bottom w:w="0" w:type="dxa"/>
            <w:right w:w="108" w:type="dxa"/>
          </w:tblCellMar>
        </w:tblPrEx>
        <w:trPr>
          <w:trHeight w:val="289" w:hRule="atLeast"/>
        </w:trPr>
        <w:tc>
          <w:tcPr>
            <w:tcW w:w="1428" w:type="dxa"/>
            <w:vMerge w:val="continue"/>
            <w:tcBorders>
              <w:top w:val="nil"/>
              <w:left w:val="nil"/>
              <w:bottom w:val="single" w:color="000000" w:sz="4" w:space="0"/>
              <w:right w:val="nil"/>
            </w:tcBorders>
            <w:vAlign w:val="center"/>
          </w:tcPr>
          <w:p w14:paraId="51D12EA0">
            <w:pPr>
              <w:widowControl/>
              <w:jc w:val="left"/>
              <w:rPr>
                <w:color w:val="000000"/>
                <w:kern w:val="0"/>
                <w:sz w:val="20"/>
                <w:szCs w:val="20"/>
              </w:rPr>
            </w:pPr>
          </w:p>
        </w:tc>
        <w:tc>
          <w:tcPr>
            <w:tcW w:w="999" w:type="dxa"/>
            <w:tcBorders>
              <w:top w:val="nil"/>
              <w:left w:val="nil"/>
              <w:bottom w:val="single" w:color="auto" w:sz="4" w:space="0"/>
              <w:right w:val="nil"/>
            </w:tcBorders>
            <w:shd w:val="clear" w:color="auto" w:fill="auto"/>
            <w:noWrap/>
            <w:vAlign w:val="bottom"/>
          </w:tcPr>
          <w:p w14:paraId="46C7314A">
            <w:pPr>
              <w:widowControl/>
              <w:jc w:val="left"/>
              <w:rPr>
                <w:color w:val="000000"/>
                <w:kern w:val="0"/>
                <w:sz w:val="20"/>
                <w:szCs w:val="20"/>
              </w:rPr>
            </w:pPr>
            <w:r>
              <w:rPr>
                <w:rFonts w:hint="eastAsia" w:ascii="宋体" w:hAnsi="宋体"/>
                <w:color w:val="000000"/>
                <w:kern w:val="0"/>
                <w:sz w:val="20"/>
                <w:szCs w:val="20"/>
              </w:rPr>
              <w:t>皱叶酸模</w:t>
            </w:r>
          </w:p>
        </w:tc>
        <w:tc>
          <w:tcPr>
            <w:tcW w:w="5765" w:type="dxa"/>
            <w:tcBorders>
              <w:top w:val="nil"/>
              <w:left w:val="nil"/>
              <w:bottom w:val="single" w:color="auto" w:sz="4" w:space="0"/>
              <w:right w:val="nil"/>
            </w:tcBorders>
            <w:shd w:val="clear" w:color="auto" w:fill="auto"/>
            <w:noWrap/>
            <w:vAlign w:val="bottom"/>
          </w:tcPr>
          <w:p w14:paraId="7633AD14">
            <w:pPr>
              <w:widowControl/>
              <w:jc w:val="left"/>
              <w:rPr>
                <w:i/>
                <w:iCs/>
                <w:color w:val="333333"/>
                <w:kern w:val="0"/>
                <w:sz w:val="20"/>
                <w:szCs w:val="20"/>
              </w:rPr>
            </w:pPr>
            <w:r>
              <w:rPr>
                <w:i/>
                <w:iCs/>
                <w:color w:val="333333"/>
                <w:kern w:val="0"/>
                <w:sz w:val="20"/>
                <w:szCs w:val="20"/>
              </w:rPr>
              <w:t>Rumex crispus</w:t>
            </w:r>
            <w:r>
              <w:rPr>
                <w:color w:val="333333"/>
                <w:kern w:val="0"/>
                <w:sz w:val="20"/>
                <w:szCs w:val="20"/>
              </w:rPr>
              <w:t> L.</w:t>
            </w:r>
          </w:p>
        </w:tc>
      </w:tr>
    </w:tbl>
    <w:p w14:paraId="6C5785EB">
      <w:pPr>
        <w:pStyle w:val="31"/>
        <w:spacing w:before="312" w:beforeLines="100" w:afterLines="0"/>
        <w:rPr>
          <w:rFonts w:ascii="Times New Roman"/>
        </w:rPr>
      </w:pPr>
      <w:r>
        <w:rPr>
          <w:rFonts w:hint="eastAsia" w:ascii="Times New Roman"/>
        </w:rPr>
        <w:t>8适种栽植</w:t>
      </w:r>
    </w:p>
    <w:p w14:paraId="3A897F0B">
      <w:pPr>
        <w:pStyle w:val="31"/>
        <w:spacing w:before="312" w:beforeLines="100" w:afterLines="0"/>
        <w:rPr>
          <w:rFonts w:ascii="Times New Roman"/>
        </w:rPr>
      </w:pPr>
      <w:r>
        <w:rPr>
          <w:rFonts w:hint="eastAsia" w:ascii="Times New Roman"/>
        </w:rPr>
        <w:t>8.1种植时间</w:t>
      </w:r>
    </w:p>
    <w:p w14:paraId="26AE4A3A">
      <w:pPr>
        <w:spacing w:line="336" w:lineRule="auto"/>
        <w:ind w:firstLine="420" w:firstLineChars="200"/>
        <w:rPr>
          <w:rFonts w:hint="eastAsia" w:ascii="Times New Roman"/>
        </w:rPr>
      </w:pPr>
      <w:r>
        <w:rPr>
          <w:rFonts w:hint="eastAsia" w:asciiTheme="minorEastAsia" w:hAnsiTheme="minorEastAsia" w:eastAsiaTheme="minorEastAsia" w:cstheme="minorEastAsia"/>
          <w:bCs/>
          <w:szCs w:val="21"/>
        </w:rPr>
        <w:t>在3月下旬至4月上旬进行。</w:t>
      </w:r>
    </w:p>
    <w:p w14:paraId="11E6C02A">
      <w:pPr>
        <w:pStyle w:val="31"/>
        <w:rPr>
          <w:rFonts w:ascii="Times New Roman"/>
        </w:rPr>
      </w:pPr>
      <w:r>
        <w:rPr>
          <w:rFonts w:hint="eastAsia" w:ascii="Times New Roman"/>
        </w:rPr>
        <w:t>8.2种植技术</w:t>
      </w:r>
    </w:p>
    <w:p w14:paraId="49B9689F">
      <w:pPr>
        <w:pStyle w:val="3"/>
        <w:jc w:val="both"/>
      </w:pPr>
      <w:r>
        <w:rPr>
          <w:rFonts w:hint="eastAsia"/>
        </w:rPr>
        <w:t>8.2.1 水生植物栽植</w:t>
      </w:r>
    </w:p>
    <w:p w14:paraId="10264D25">
      <w:pPr>
        <w:pStyle w:val="3"/>
        <w:jc w:val="left"/>
      </w:pPr>
      <w:r>
        <w:rPr>
          <w:rFonts w:hint="eastAsia"/>
        </w:rPr>
        <w:t xml:space="preserve">     根茎扦插或带土抛洒方式入水着床。</w:t>
      </w:r>
    </w:p>
    <w:p w14:paraId="278549E5">
      <w:pPr>
        <w:pStyle w:val="3"/>
        <w:jc w:val="left"/>
      </w:pPr>
      <w:r>
        <w:rPr>
          <w:rFonts w:hint="eastAsia"/>
        </w:rPr>
        <w:t>8.2.2 陆域种苗种植</w:t>
      </w:r>
    </w:p>
    <w:p w14:paraId="01DB71F3">
      <w:pPr>
        <w:pStyle w:val="3"/>
        <w:jc w:val="left"/>
      </w:pPr>
      <w:r>
        <w:rPr>
          <w:rFonts w:hint="eastAsia"/>
        </w:rPr>
        <w:t xml:space="preserve">      按GB/T15776技术规范选用相应的种子播种、容器苗及裸根苗移栽等方式进行种植。</w:t>
      </w:r>
    </w:p>
    <w:p w14:paraId="14A7F71D">
      <w:pPr>
        <w:pStyle w:val="3"/>
        <w:jc w:val="left"/>
      </w:pPr>
      <w:r>
        <w:rPr>
          <w:rFonts w:hint="eastAsia"/>
        </w:rPr>
        <w:t>8.3 浇灌</w:t>
      </w:r>
    </w:p>
    <w:p w14:paraId="39733E70">
      <w:pPr>
        <w:pStyle w:val="3"/>
        <w:jc w:val="left"/>
      </w:pPr>
      <w:r>
        <w:rPr>
          <w:rFonts w:hint="eastAsia"/>
        </w:rPr>
        <w:t xml:space="preserve">     选用节水的滴灌灌溉技术，对栽植后的种苗进行定期浇水。</w:t>
      </w:r>
    </w:p>
    <w:p w14:paraId="4EF55FD6">
      <w:pPr>
        <w:pStyle w:val="3"/>
        <w:jc w:val="left"/>
      </w:pPr>
      <w:r>
        <w:rPr>
          <w:rFonts w:hint="eastAsia"/>
        </w:rPr>
        <w:t>8.4 抚育</w:t>
      </w:r>
    </w:p>
    <w:p w14:paraId="2FFCD4E8">
      <w:pPr>
        <w:pStyle w:val="3"/>
        <w:jc w:val="left"/>
      </w:pPr>
      <w:r>
        <w:rPr>
          <w:rFonts w:hint="eastAsia"/>
        </w:rPr>
        <w:t xml:space="preserve">     种植3年内对种苗进行抚育。大风过后，及时扶正苗木；及时调查种苗的成活情况，对成活率＜60%的区域进行复种。</w:t>
      </w:r>
    </w:p>
    <w:p w14:paraId="7C8B9743">
      <w:pPr>
        <w:pStyle w:val="3"/>
        <w:jc w:val="left"/>
      </w:pPr>
      <w:r>
        <w:rPr>
          <w:rFonts w:hint="eastAsia"/>
        </w:rPr>
        <w:t>8.5 病虫害防治</w:t>
      </w:r>
    </w:p>
    <w:p w14:paraId="5E647F9A">
      <w:pPr>
        <w:pStyle w:val="3"/>
        <w:jc w:val="left"/>
      </w:pPr>
      <w:r>
        <w:rPr>
          <w:rFonts w:hint="eastAsia"/>
        </w:rPr>
        <w:t xml:space="preserve">    按照HY/T 0456-2024标准，采用生物、物理及化学等防治方式对植物病虫害进行综合防治。</w:t>
      </w:r>
    </w:p>
    <w:p w14:paraId="6D22AC72">
      <w:pPr>
        <w:pStyle w:val="3"/>
        <w:ind w:firstLine="420"/>
      </w:pPr>
    </w:p>
    <w:p w14:paraId="664FCBBE">
      <w:pPr>
        <w:pStyle w:val="35"/>
        <w:framePr w:wrap="around" w:y="1"/>
      </w:pPr>
      <w:r>
        <w:t>_________________________________</w:t>
      </w:r>
    </w:p>
    <w:p w14:paraId="4E8A60EC">
      <w:pPr>
        <w:pStyle w:val="3"/>
        <w:ind w:firstLine="420"/>
      </w:pPr>
    </w:p>
    <w:sectPr>
      <w:pgSz w:w="11906" w:h="16838"/>
      <w:pgMar w:top="1440" w:right="1474" w:bottom="1440"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E9253">
    <w:pPr>
      <w:pStyle w:val="29"/>
      <w:rPr>
        <w:rStyle w:val="12"/>
      </w:rPr>
    </w:pPr>
    <w:r>
      <w:fldChar w:fldCharType="begin"/>
    </w:r>
    <w:r>
      <w:rPr>
        <w:rStyle w:val="12"/>
      </w:rPr>
      <w:instrText xml:space="preserve">PAGE  </w:instrText>
    </w:r>
    <w:r>
      <w:fldChar w:fldCharType="separate"/>
    </w:r>
    <w:r>
      <w:rPr>
        <w:rStyle w:val="12"/>
      </w:rPr>
      <w:t>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5BD677">
    <w:pPr>
      <w:pStyle w:val="6"/>
      <w:framePr w:wrap="around" w:vAnchor="text" w:hAnchor="margin" w:xAlign="right" w:y="1"/>
      <w:rPr>
        <w:rStyle w:val="12"/>
      </w:rPr>
    </w:pPr>
    <w:r>
      <w:fldChar w:fldCharType="begin"/>
    </w:r>
    <w:r>
      <w:rPr>
        <w:rStyle w:val="12"/>
      </w:rPr>
      <w:instrText xml:space="preserve">PAGE  </w:instrText>
    </w:r>
    <w:r>
      <w:fldChar w:fldCharType="end"/>
    </w:r>
  </w:p>
  <w:p w14:paraId="5669E85C">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4737F2">
    <w:pPr>
      <w:pStyle w:val="6"/>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5DCFD">
    <w:pPr>
      <w:pStyle w:val="27"/>
    </w:pPr>
    <w:r>
      <w:t>DB13</w:t>
    </w:r>
    <w:r>
      <w:rPr>
        <w:rFonts w:hint="eastAsia"/>
      </w:rPr>
      <w:t>/Txxxx-xxxx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9DA19">
    <w:pPr>
      <w:pStyle w:val="2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8E3F65"/>
    <w:multiLevelType w:val="multilevel"/>
    <w:tmpl w:val="7F8E3F65"/>
    <w:lvl w:ilvl="0" w:tentative="0">
      <w:start w:val="1"/>
      <w:numFmt w:val="none"/>
      <w:pStyle w:val="15"/>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Times New Roman" w:hAnsi="Times New Roman" w:cs="Times New Roman"/>
        <w:b w:val="0"/>
        <w:bCs w:val="0"/>
        <w:i w:val="0"/>
        <w:iCs w:val="0"/>
        <w:caps w:val="0"/>
        <w:smallCaps w:val="0"/>
        <w:strike w:val="0"/>
        <w:dstrike w:val="0"/>
        <w:vanish w:val="0"/>
        <w:spacing w:val="0"/>
        <w:kern w:val="0"/>
        <w:position w:val="0"/>
        <w:u w:val="none"/>
        <w:vertAlign w:val="baseline"/>
      </w:rPr>
    </w:lvl>
    <w:lvl w:ilvl="2" w:tentative="0">
      <w:start w:val="5"/>
      <w:numFmt w:val="none"/>
      <w:lvlRestart w:val="1"/>
      <w:suff w:val="nothing"/>
      <w:lvlText w:val="6.5　"/>
      <w:lvlJc w:val="left"/>
      <w:pPr>
        <w:ind w:left="540" w:firstLine="0"/>
      </w:pPr>
      <w:rPr>
        <w:rFonts w:hint="eastAsia" w:ascii="黑体" w:hAnsi="Times New Roman" w:eastAsia="黑体" w:cs="Times New Roman"/>
        <w:b w:val="0"/>
        <w:bCs w:val="0"/>
        <w:i w:val="0"/>
        <w:iCs w:val="0"/>
        <w:caps w:val="0"/>
        <w:smallCaps w:val="0"/>
        <w:strike w:val="0"/>
        <w:dstrike w:val="0"/>
        <w:vanish w:val="0"/>
        <w:spacing w:val="0"/>
        <w:kern w:val="0"/>
        <w:position w:val="0"/>
        <w:u w:val="none"/>
        <w:vertAlign w:val="baseline"/>
      </w:rPr>
    </w:lvl>
    <w:lvl w:ilvl="3" w:tentative="0">
      <w:start w:val="1"/>
      <w:numFmt w:val="decimal"/>
      <w:lvlRestart w:val="2"/>
      <w:suff w:val="nothing"/>
      <w:lvlText w:val="%4%16.7.1　"/>
      <w:lvlJc w:val="left"/>
      <w:pPr>
        <w:ind w:left="360" w:firstLine="0"/>
      </w:pPr>
      <w:rPr>
        <w:rFonts w:hint="eastAsia" w:ascii="黑体" w:hAnsi="Times New Roman" w:eastAsia="黑体"/>
        <w:b w:val="0"/>
        <w:i w:val="0"/>
        <w:sz w:val="21"/>
      </w:rPr>
    </w:lvl>
    <w:lvl w:ilvl="4" w:tentative="0">
      <w:start w:val="1"/>
      <w:numFmt w:val="decimal"/>
      <w:pStyle w:val="21"/>
      <w:suff w:val="nothing"/>
      <w:lvlText w:val="%1%2.%3.%4.%5　"/>
      <w:lvlJc w:val="left"/>
      <w:pPr>
        <w:ind w:left="72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revisionView w:markup="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zYmM4OTcxYWY3MzljMDk1NGQ4OTA4ZWNkNjJhOGMifQ=="/>
  </w:docVars>
  <w:rsids>
    <w:rsidRoot w:val="7C5A2D2E"/>
    <w:rsid w:val="00065149"/>
    <w:rsid w:val="000F0C50"/>
    <w:rsid w:val="000F15E6"/>
    <w:rsid w:val="001530F8"/>
    <w:rsid w:val="00190624"/>
    <w:rsid w:val="001A580A"/>
    <w:rsid w:val="00201B92"/>
    <w:rsid w:val="002177AA"/>
    <w:rsid w:val="00251957"/>
    <w:rsid w:val="002722B6"/>
    <w:rsid w:val="002860B5"/>
    <w:rsid w:val="00293988"/>
    <w:rsid w:val="002D02D2"/>
    <w:rsid w:val="002E010A"/>
    <w:rsid w:val="002E2F43"/>
    <w:rsid w:val="0032357B"/>
    <w:rsid w:val="003553B8"/>
    <w:rsid w:val="003C57BE"/>
    <w:rsid w:val="00413842"/>
    <w:rsid w:val="004332CE"/>
    <w:rsid w:val="004977F9"/>
    <w:rsid w:val="00541EF9"/>
    <w:rsid w:val="005B09A3"/>
    <w:rsid w:val="005C6A7E"/>
    <w:rsid w:val="005E705B"/>
    <w:rsid w:val="00650AA1"/>
    <w:rsid w:val="006E3DB0"/>
    <w:rsid w:val="00723938"/>
    <w:rsid w:val="00793E05"/>
    <w:rsid w:val="00797566"/>
    <w:rsid w:val="007B1A9B"/>
    <w:rsid w:val="007B555E"/>
    <w:rsid w:val="008C4A51"/>
    <w:rsid w:val="008E43C0"/>
    <w:rsid w:val="0091078F"/>
    <w:rsid w:val="00A10BF3"/>
    <w:rsid w:val="00A13691"/>
    <w:rsid w:val="00AB5C12"/>
    <w:rsid w:val="00AE17EE"/>
    <w:rsid w:val="00B31B04"/>
    <w:rsid w:val="00B94D15"/>
    <w:rsid w:val="00BA3FF7"/>
    <w:rsid w:val="00CA78A0"/>
    <w:rsid w:val="00CD3E96"/>
    <w:rsid w:val="00CF0855"/>
    <w:rsid w:val="00D17EB2"/>
    <w:rsid w:val="00D34590"/>
    <w:rsid w:val="00D40050"/>
    <w:rsid w:val="00D46DE3"/>
    <w:rsid w:val="00D77E61"/>
    <w:rsid w:val="00D96B4A"/>
    <w:rsid w:val="00E84DC6"/>
    <w:rsid w:val="00E96AF5"/>
    <w:rsid w:val="00EB2B5C"/>
    <w:rsid w:val="00ED52F1"/>
    <w:rsid w:val="00ED656E"/>
    <w:rsid w:val="00EE0406"/>
    <w:rsid w:val="00F147CB"/>
    <w:rsid w:val="00F31CEA"/>
    <w:rsid w:val="00F5489E"/>
    <w:rsid w:val="00FA1C7A"/>
    <w:rsid w:val="00FD52FF"/>
    <w:rsid w:val="00FF3913"/>
    <w:rsid w:val="07B2792A"/>
    <w:rsid w:val="09FB1B4C"/>
    <w:rsid w:val="0A300921"/>
    <w:rsid w:val="0AAE5B90"/>
    <w:rsid w:val="0B8E1B84"/>
    <w:rsid w:val="0C817D19"/>
    <w:rsid w:val="0D107EFC"/>
    <w:rsid w:val="0D450893"/>
    <w:rsid w:val="0F8D0424"/>
    <w:rsid w:val="121C256F"/>
    <w:rsid w:val="131232E2"/>
    <w:rsid w:val="14B40D88"/>
    <w:rsid w:val="15DE2449"/>
    <w:rsid w:val="169344D2"/>
    <w:rsid w:val="16A035F5"/>
    <w:rsid w:val="16EF0EF5"/>
    <w:rsid w:val="190A333F"/>
    <w:rsid w:val="1A227D1B"/>
    <w:rsid w:val="1C0817F2"/>
    <w:rsid w:val="1C4850F5"/>
    <w:rsid w:val="1F66573F"/>
    <w:rsid w:val="27E31824"/>
    <w:rsid w:val="28442C3E"/>
    <w:rsid w:val="297F7254"/>
    <w:rsid w:val="2A3A3996"/>
    <w:rsid w:val="2A666AF4"/>
    <w:rsid w:val="2FD91648"/>
    <w:rsid w:val="32AC61FD"/>
    <w:rsid w:val="360931C6"/>
    <w:rsid w:val="378C12B0"/>
    <w:rsid w:val="3AF6384B"/>
    <w:rsid w:val="3C7B7D0F"/>
    <w:rsid w:val="3CB4494B"/>
    <w:rsid w:val="3E996570"/>
    <w:rsid w:val="4377368E"/>
    <w:rsid w:val="43BD413B"/>
    <w:rsid w:val="43E872B9"/>
    <w:rsid w:val="443B1E0A"/>
    <w:rsid w:val="47823967"/>
    <w:rsid w:val="481F6BC3"/>
    <w:rsid w:val="486C1132"/>
    <w:rsid w:val="4DDD0F6C"/>
    <w:rsid w:val="4E371330"/>
    <w:rsid w:val="4F9C334A"/>
    <w:rsid w:val="503C4A06"/>
    <w:rsid w:val="50CF5C5E"/>
    <w:rsid w:val="580E0BD0"/>
    <w:rsid w:val="612317CD"/>
    <w:rsid w:val="643E4FFA"/>
    <w:rsid w:val="670C5283"/>
    <w:rsid w:val="6E4B2ABD"/>
    <w:rsid w:val="765F56E2"/>
    <w:rsid w:val="77521091"/>
    <w:rsid w:val="7A986C63"/>
    <w:rsid w:val="7C5A2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Normal Indent"/>
    <w:basedOn w:val="1"/>
    <w:autoRedefine/>
    <w:unhideWhenUsed/>
    <w:qFormat/>
    <w:uiPriority w:val="0"/>
    <w:pPr>
      <w:spacing w:line="336" w:lineRule="auto"/>
      <w:jc w:val="center"/>
    </w:pPr>
  </w:style>
  <w:style w:type="paragraph" w:styleId="4">
    <w:name w:val="annotation text"/>
    <w:basedOn w:val="1"/>
    <w:link w:val="32"/>
    <w:uiPriority w:val="0"/>
    <w:pPr>
      <w:jc w:val="left"/>
    </w:pPr>
  </w:style>
  <w:style w:type="paragraph" w:styleId="5">
    <w:name w:val="Balloon Text"/>
    <w:basedOn w:val="1"/>
    <w:link w:val="34"/>
    <w:qFormat/>
    <w:uiPriority w:val="0"/>
    <w:rPr>
      <w:sz w:val="18"/>
      <w:szCs w:val="18"/>
    </w:rPr>
  </w:style>
  <w:style w:type="paragraph" w:styleId="6">
    <w:name w:val="footer"/>
    <w:basedOn w:val="1"/>
    <w:qFormat/>
    <w:uiPriority w:val="0"/>
    <w:pPr>
      <w:tabs>
        <w:tab w:val="center" w:pos="4153"/>
        <w:tab w:val="right" w:pos="8306"/>
      </w:tabs>
      <w:snapToGrid w:val="0"/>
      <w:ind w:right="210" w:rightChars="100"/>
      <w:jc w:val="right"/>
    </w:pPr>
    <w:rPr>
      <w:sz w:val="18"/>
      <w:szCs w:val="18"/>
    </w:rPr>
  </w:style>
  <w:style w:type="paragraph" w:styleId="7">
    <w:name w:val="Normal (Web)"/>
    <w:basedOn w:val="1"/>
    <w:qFormat/>
    <w:uiPriority w:val="0"/>
    <w:pPr>
      <w:spacing w:beforeAutospacing="1" w:afterAutospacing="1"/>
      <w:jc w:val="left"/>
    </w:pPr>
    <w:rPr>
      <w:kern w:val="0"/>
      <w:sz w:val="24"/>
    </w:rPr>
  </w:style>
  <w:style w:type="paragraph" w:styleId="8">
    <w:name w:val="annotation subject"/>
    <w:basedOn w:val="4"/>
    <w:next w:val="4"/>
    <w:link w:val="33"/>
    <w:qFormat/>
    <w:uiPriority w:val="0"/>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qFormat/>
    <w:uiPriority w:val="0"/>
    <w:rPr>
      <w:rFonts w:ascii="Times New Roman" w:hAnsi="Times New Roman" w:eastAsia="宋体"/>
      <w:sz w:val="18"/>
    </w:rPr>
  </w:style>
  <w:style w:type="character" w:styleId="13">
    <w:name w:val="annotation reference"/>
    <w:basedOn w:val="11"/>
    <w:qFormat/>
    <w:uiPriority w:val="0"/>
    <w:rPr>
      <w:sz w:val="21"/>
      <w:szCs w:val="21"/>
    </w:rPr>
  </w:style>
  <w:style w:type="paragraph" w:customStyle="1" w:styleId="14">
    <w:name w:val="封面正文"/>
    <w:qFormat/>
    <w:uiPriority w:val="0"/>
    <w:pPr>
      <w:jc w:val="both"/>
    </w:pPr>
    <w:rPr>
      <w:rFonts w:ascii="Times New Roman" w:hAnsi="Times New Roman" w:eastAsia="宋体" w:cs="Times New Roman"/>
      <w:lang w:val="en-US" w:eastAsia="zh-CN" w:bidi="ar-SA"/>
    </w:rPr>
  </w:style>
  <w:style w:type="paragraph" w:customStyle="1" w:styleId="15">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6">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7">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8">
    <w:name w:val="目次、标准名称标题"/>
    <w:basedOn w:val="15"/>
    <w:next w:val="16"/>
    <w:qFormat/>
    <w:uiPriority w:val="0"/>
    <w:pPr>
      <w:numPr>
        <w:numId w:val="0"/>
      </w:numPr>
      <w:spacing w:line="460" w:lineRule="exact"/>
    </w:pPr>
  </w:style>
  <w:style w:type="paragraph" w:customStyle="1" w:styleId="19">
    <w:name w:val="其他发布部门"/>
    <w:basedOn w:val="1"/>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character" w:customStyle="1" w:styleId="20">
    <w:name w:val="发布"/>
    <w:qFormat/>
    <w:uiPriority w:val="0"/>
    <w:rPr>
      <w:rFonts w:ascii="黑体" w:eastAsia="黑体"/>
      <w:spacing w:val="22"/>
      <w:w w:val="100"/>
      <w:position w:val="3"/>
      <w:sz w:val="28"/>
    </w:rPr>
  </w:style>
  <w:style w:type="paragraph" w:customStyle="1" w:styleId="21">
    <w:name w:val="实施日期"/>
    <w:basedOn w:val="22"/>
    <w:qFormat/>
    <w:uiPriority w:val="0"/>
    <w:pPr>
      <w:framePr w:hSpace="0" w:wrap="around" w:hAnchor="text" w:xAlign="right"/>
      <w:numPr>
        <w:ilvl w:val="4"/>
        <w:numId w:val="1"/>
      </w:numPr>
      <w:jc w:val="right"/>
    </w:pPr>
  </w:style>
  <w:style w:type="paragraph" w:customStyle="1" w:styleId="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23">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26">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27">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28">
    <w:name w:val="标准书眉一"/>
    <w:qFormat/>
    <w:uiPriority w:val="0"/>
    <w:pPr>
      <w:jc w:val="both"/>
    </w:pPr>
    <w:rPr>
      <w:rFonts w:ascii="Times New Roman" w:hAnsi="Times New Roman" w:eastAsia="宋体" w:cs="Times New Roman"/>
      <w:lang w:val="en-US" w:eastAsia="zh-CN" w:bidi="ar-SA"/>
    </w:rPr>
  </w:style>
  <w:style w:type="paragraph" w:customStyle="1" w:styleId="29">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30">
    <w:name w:val="封面一致性程度标识"/>
    <w:basedOn w:val="17"/>
    <w:qFormat/>
    <w:uiPriority w:val="0"/>
    <w:pPr>
      <w:framePr w:h="6917" w:hRule="exact" w:wrap="around" w:vAnchor="margin" w:hAnchor="text" w:y="1"/>
      <w:spacing w:before="440"/>
      <w:textAlignment w:val="center"/>
    </w:pPr>
    <w:rPr>
      <w:rFonts w:ascii="宋体"/>
    </w:rPr>
  </w:style>
  <w:style w:type="paragraph" w:customStyle="1" w:styleId="31">
    <w:name w:val="章标题"/>
    <w:next w:val="16"/>
    <w:qFormat/>
    <w:uiPriority w:val="0"/>
    <w:pPr>
      <w:spacing w:beforeLines="50" w:afterLines="50"/>
      <w:jc w:val="both"/>
      <w:outlineLvl w:val="1"/>
    </w:pPr>
    <w:rPr>
      <w:rFonts w:ascii="黑体" w:hAnsi="Times New Roman" w:eastAsia="黑体" w:cs="Times New Roman"/>
      <w:sz w:val="21"/>
      <w:lang w:val="en-US" w:eastAsia="zh-CN" w:bidi="ar-SA"/>
    </w:rPr>
  </w:style>
  <w:style w:type="character" w:customStyle="1" w:styleId="32">
    <w:name w:val="批注文字 Char"/>
    <w:basedOn w:val="11"/>
    <w:link w:val="4"/>
    <w:qFormat/>
    <w:uiPriority w:val="0"/>
    <w:rPr>
      <w:kern w:val="2"/>
      <w:sz w:val="21"/>
      <w:szCs w:val="24"/>
    </w:rPr>
  </w:style>
  <w:style w:type="character" w:customStyle="1" w:styleId="33">
    <w:name w:val="批注主题 Char"/>
    <w:basedOn w:val="32"/>
    <w:link w:val="8"/>
    <w:qFormat/>
    <w:uiPriority w:val="0"/>
    <w:rPr>
      <w:b/>
      <w:bCs/>
      <w:kern w:val="2"/>
      <w:sz w:val="21"/>
      <w:szCs w:val="24"/>
    </w:rPr>
  </w:style>
  <w:style w:type="character" w:customStyle="1" w:styleId="34">
    <w:name w:val="批注框文本 Char"/>
    <w:basedOn w:val="11"/>
    <w:link w:val="5"/>
    <w:qFormat/>
    <w:uiPriority w:val="0"/>
    <w:rPr>
      <w:kern w:val="2"/>
      <w:sz w:val="18"/>
      <w:szCs w:val="18"/>
    </w:rPr>
  </w:style>
  <w:style w:type="paragraph" w:customStyle="1" w:styleId="35">
    <w:name w:val="终结线"/>
    <w:basedOn w:val="1"/>
    <w:qFormat/>
    <w:uiPriority w:val="0"/>
    <w:pPr>
      <w:framePr w:hSpace="181" w:vSpace="181" w:wrap="around" w:vAnchor="text" w:hAnchor="margin" w:xAlign="center" w:y="285"/>
    </w:pPr>
  </w:style>
  <w:style w:type="paragraph" w:styleId="36">
    <w:name w:val="List Paragraph"/>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3305</Words>
  <Characters>4603</Characters>
  <Lines>36</Lines>
  <Paragraphs>10</Paragraphs>
  <TotalTime>15</TotalTime>
  <ScaleCrop>false</ScaleCrop>
  <LinksUpToDate>false</LinksUpToDate>
  <CharactersWithSpaces>4935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2023-10-08T01:01:00Z</dcterms:created>
  <dc:creator>WPS_1663057471</dc:creator>
  <cp:lastModifiedBy>孙宇</cp:lastModifiedBy>
  <cp:lastPrinted>2024-12-04T06:57:00Z</cp:lastPrinted>
  <dcterms:modified xsi:type="dcterms:W3CDTF">2025-06-30T01:51:46Z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8866478B60D64C3BA20BB74281AA983A_13</vt:lpwstr>
  </property>
  <property fmtid="{D5CDD505-2E9C-101B-9397-08002B2CF9AE}" pid="4" name="KSOTemplateDocerSaveRecord">
    <vt:lpwstr>eyJoZGlkIjoiN2Q0YjdmNzJhNzY4ZGU3ZjIyZjllMTE5YzNmMjNhZmIiLCJ1c2VySWQiOiI0MDg1ODI0NjEifQ==</vt:lpwstr>
  </property>
</Properties>
</file>