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4"/>
        <w:framePr w:wrap="around"/>
      </w:pPr>
      <w:r>
        <w:rPr>
          <w:rFonts w:ascii="Times New Roman"/>
        </w:rPr>
        <w:t>ICS</w:t>
      </w:r>
      <w:r>
        <w:rPr>
          <w:rFonts w:hAnsi="黑体"/>
        </w:rPr>
        <w:t xml:space="preserve"> XX.XX</w:t>
      </w:r>
    </w:p>
    <w:p>
      <w:pPr>
        <w:pStyle w:val="124"/>
        <w:framePr w:wrap="around"/>
      </w:pPr>
      <w:bookmarkStart w:id="0" w:name="WXFLH"/>
      <w:r>
        <w:t xml:space="preserve">CCS X XX </w:t>
      </w:r>
      <w:bookmarkEnd w:id="0"/>
    </w:p>
    <w:tbl>
      <w:tblPr>
        <w:tblStyle w:val="34"/>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4"/>
              <w:framePr w:wrap="around"/>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dh1NUAAAAHAQAADwAAAAAAAAABACAAAAAi&#10;AAAAZHJzL2Rvd25yZXYueG1sUEsBAhQAFAAAAAgAh07iQBz2sFoNAgAAIQQAAA4AAAAAAAAAAQAg&#10;AAAAJAEAAGRycy9lMm9Eb2MueG1sUEsFBgAAAAAGAAYAWQEAAKMFAAAAAA==&#10;">
                      <v:fill on="t" focussize="0,0"/>
                      <v:stroke on="f"/>
                      <v:imagedata o:title=""/>
                      <o:lock v:ext="edit" aspectratio="f"/>
                    </v:rect>
                  </w:pict>
                </mc:Fallback>
              </mc:AlternateContent>
            </w:r>
          </w:p>
        </w:tc>
      </w:tr>
    </w:tbl>
    <w:p>
      <w:pPr>
        <w:pStyle w:val="110"/>
        <w:framePr w:wrap="around"/>
      </w:pPr>
      <w:r>
        <w:t>DB13</w:t>
      </w:r>
    </w:p>
    <w:p>
      <w:pPr>
        <w:pStyle w:val="111"/>
        <w:framePr w:wrap="around"/>
      </w:pPr>
      <w:r>
        <w:rPr>
          <w:rFonts w:hint="eastAsia"/>
        </w:rPr>
        <w:t>河北省地方标准</w:t>
      </w:r>
    </w:p>
    <w:p>
      <w:pPr>
        <w:pStyle w:val="48"/>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p>
    <w:tbl>
      <w:tblPr>
        <w:tblStyle w:val="34"/>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7"/>
              <w:framePr w:wrap="around"/>
            </w:pPr>
            <w:bookmarkStart w:id="3"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bookmarkEnd w:id="3"/>
            <w:r>
              <w:fldChar w:fldCharType="begin">
                <w:ffData>
                  <w:enabled/>
                  <w:calcOnExit w:val="0"/>
                  <w:textInput>
                    <w:default w:val="替代 DB13/T XXXX-2016"/>
                  </w:textInput>
                </w:ffData>
              </w:fldChar>
            </w:r>
            <w:r>
              <w:instrText xml:space="preserve"> FORMTEXT </w:instrText>
            </w:r>
            <w:r>
              <w:fldChar w:fldCharType="separate"/>
            </w:r>
            <w:r>
              <w:rPr>
                <w:rFonts w:hint="eastAsia"/>
              </w:rPr>
              <w:t>替代 DB13/T XXXX-2016</w:t>
            </w:r>
            <w:r>
              <w:fldChar w:fldCharType="end"/>
            </w:r>
          </w:p>
        </w:tc>
      </w:tr>
    </w:tbl>
    <w:p>
      <w:pPr>
        <w:pStyle w:val="48"/>
        <w:framePr w:wrap="around"/>
        <w:rPr>
          <w:rFonts w:hAnsi="黑体"/>
        </w:rPr>
      </w:pPr>
    </w:p>
    <w:p>
      <w:pPr>
        <w:pStyle w:val="48"/>
        <w:framePr w:wrap="around"/>
        <w:rPr>
          <w:rFonts w:hAnsi="黑体"/>
        </w:rPr>
      </w:pPr>
    </w:p>
    <w:p>
      <w:pPr>
        <w:pStyle w:val="79"/>
        <w:framePr w:wrap="around"/>
        <w:pBdr>
          <w:top w:val="none" w:color="auto" w:sz="0" w:space="0"/>
          <w:left w:val="none" w:color="auto" w:sz="0" w:space="0"/>
          <w:bottom w:val="none" w:color="auto" w:sz="0" w:space="0"/>
          <w:right w:val="none" w:color="auto" w:sz="0" w:space="0"/>
        </w:pBdr>
      </w:pPr>
      <w:r>
        <w:rPr>
          <w:rFonts w:hint="eastAsia"/>
        </w:rPr>
        <w:t>锂矿石中锂等9中成分分析 电感耦合等离子发射光谱法</w:t>
      </w:r>
    </w:p>
    <w:p>
      <w:pPr>
        <w:pStyle w:val="81"/>
        <w:framePr w:wrap="around"/>
        <w:pBdr>
          <w:top w:val="none" w:color="auto" w:sz="0" w:space="0"/>
          <w:left w:val="none" w:color="auto" w:sz="0" w:space="0"/>
          <w:bottom w:val="none" w:color="auto" w:sz="0" w:space="0"/>
          <w:right w:val="none" w:color="auto" w:sz="0" w:space="0"/>
        </w:pBdr>
      </w:pPr>
      <w:r>
        <w:rPr>
          <w:rFonts w:hint="default" w:ascii="Times New Roman" w:hAnsi="Times New Roman" w:cs="Times New Roman"/>
        </w:rPr>
        <w:t>Analysis of 9 components including lithium in lithium ore  Inductively Coupled Plasma-Atomic Emission Spectrometry method</w:t>
      </w:r>
    </w:p>
    <w:tbl>
      <w:tblPr>
        <w:tblStyle w:val="34"/>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wrap="around"/>
            </w:pPr>
            <w:r>
              <w:rPr>
                <w:rFonts w:hint="eastAsia"/>
              </w:rPr>
              <w:t>（</w:t>
            </w:r>
            <w:r>
              <w:rPr>
                <w:rFonts w:hint="eastAsia"/>
                <w:lang w:val="en-US" w:eastAsia="zh-CN"/>
              </w:rPr>
              <w:t>征求意见</w:t>
            </w:r>
            <w:r>
              <w:rPr>
                <w:rFonts w:hint="eastAsia"/>
              </w:rPr>
              <w:t>稿）</w:t>
            </w: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framePr w:wrap="around"/>
              <w:jc w:val="left"/>
              <w:rPr>
                <w:rFonts w:ascii="黑体" w:hAnsi="黑体" w:eastAsia="黑体"/>
              </w:rPr>
            </w:pPr>
          </w:p>
        </w:tc>
      </w:tr>
    </w:tbl>
    <w:p>
      <w:pPr>
        <w:pStyle w:val="132"/>
        <w:framePr w:wrap="around" w:hAnchor="page" w:x="1396" w:y="14191"/>
      </w:pPr>
      <w:bookmarkStart w:id="4"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5"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发布</w:t>
      </w:r>
    </w:p>
    <w:p>
      <w:pPr>
        <w:pStyle w:val="133"/>
        <w:framePr w:wrap="around" w:hAnchor="page" w:x="7066" w:y="14116"/>
      </w:pPr>
      <w:bookmarkStart w:id="6"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6"/>
      <w:r>
        <w:t xml:space="preserve"> </w:t>
      </w:r>
      <w:r>
        <w:rPr>
          <w:rFonts w:ascii="黑体"/>
        </w:rPr>
        <w:t>-</w:t>
      </w:r>
      <w:r>
        <w:t xml:space="preserve"> </w:t>
      </w:r>
      <w:bookmarkStart w:id="7"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t xml:space="preserve"> </w:t>
      </w:r>
      <w:r>
        <w:rPr>
          <w:rFonts w:ascii="黑体"/>
        </w:rPr>
        <w:t>-</w:t>
      </w:r>
      <w:r>
        <w:t xml:space="preserve"> </w:t>
      </w:r>
      <w:bookmarkStart w:id="8"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实施</w:t>
      </w:r>
    </w:p>
    <w:p>
      <w:pPr>
        <w:pStyle w:val="112"/>
        <w:framePr w:wrap="around"/>
      </w:pPr>
      <w:r>
        <w:rPr>
          <w:rFonts w:hint="eastAsia"/>
        </w:rPr>
        <w:t>河北省市场监督管理局</w:t>
      </w:r>
      <w:r>
        <w:rPr>
          <w:rFonts w:hAnsi="黑体"/>
        </w:rPr>
        <w:t>   </w:t>
      </w:r>
      <w:r>
        <w:rPr>
          <w:rStyle w:val="74"/>
          <w:rFonts w:hint="eastAsia"/>
        </w:rPr>
        <w:t>发布</w:t>
      </w:r>
    </w:p>
    <w:p>
      <w:pPr>
        <w:pStyle w:val="26"/>
        <w:sectPr>
          <w:headerReference r:id="rId5" w:type="first"/>
          <w:footerReference r:id="rId8" w:type="first"/>
          <w:headerReference r:id="rId3" w:type="default"/>
          <w:footerReference r:id="rId6" w:type="default"/>
          <w:headerReference r:id="rId4" w:type="even"/>
          <w:footerReference r:id="rId7" w:type="even"/>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1"/>
      </w:pPr>
      <w:r>
        <w:rPr>
          <w:rFonts w:hint="eastAsia"/>
        </w:rPr>
        <w:t>目</w:t>
      </w:r>
      <w:r>
        <w:rPr>
          <w:rFonts w:hAnsi="黑体"/>
        </w:rPr>
        <w:t>  </w:t>
      </w:r>
      <w:r>
        <w:rPr>
          <w:rFonts w:hint="eastAsia"/>
        </w:rPr>
        <w:t>次</w:t>
      </w:r>
    </w:p>
    <w:p>
      <w:pPr>
        <w:pStyle w:val="22"/>
        <w:tabs>
          <w:tab w:val="right" w:leader="dot" w:pos="9354"/>
          <w:tab w:val="clear" w:pos="9242"/>
        </w:tabs>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r>
        <w:rPr>
          <w:rFonts w:hAnsi="宋体"/>
          <w:kern w:val="0"/>
          <w:szCs w:val="28"/>
        </w:rPr>
        <w:fldChar w:fldCharType="begin"/>
      </w:r>
      <w:r>
        <w:rPr>
          <w:rFonts w:hAnsi="宋体"/>
          <w:kern w:val="0"/>
          <w:szCs w:val="28"/>
        </w:rPr>
        <w:instrText xml:space="preserve"> HYPERLINK \l _Toc29510 </w:instrText>
      </w:r>
      <w:r>
        <w:rPr>
          <w:rFonts w:hAnsi="宋体"/>
          <w:kern w:val="0"/>
          <w:szCs w:val="28"/>
        </w:rPr>
        <w:fldChar w:fldCharType="separate"/>
      </w:r>
      <w:r>
        <w:rPr>
          <w:rFonts w:hint="eastAsia"/>
        </w:rPr>
        <w:t>前</w:t>
      </w:r>
      <w:r>
        <w:rPr>
          <w:rFonts w:hAnsi="黑体"/>
        </w:rPr>
        <w:t>  </w:t>
      </w:r>
      <w:r>
        <w:rPr>
          <w:rFonts w:hint="eastAsia"/>
        </w:rPr>
        <w:t>言</w:t>
      </w:r>
      <w:r>
        <w:tab/>
      </w:r>
      <w:r>
        <w:fldChar w:fldCharType="begin"/>
      </w:r>
      <w:r>
        <w:instrText xml:space="preserve"> PAGEREF _Toc29510 \h </w:instrText>
      </w:r>
      <w:r>
        <w:fldChar w:fldCharType="separate"/>
      </w:r>
      <w:r>
        <w:t>II</w:t>
      </w:r>
      <w:r>
        <w:fldChar w:fldCharType="end"/>
      </w:r>
      <w:r>
        <w:rPr>
          <w:rFonts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_Toc17112 </w:instrText>
      </w:r>
      <w:r>
        <w:rPr>
          <w:rFonts w:ascii="宋体" w:hAnsi="宋体"/>
          <w:kern w:val="0"/>
          <w:szCs w:val="28"/>
        </w:rPr>
        <w:fldChar w:fldCharType="separate"/>
      </w:r>
      <w:r>
        <w:rPr>
          <w:rFonts w:hint="eastAsia" w:eastAsia="黑体"/>
        </w:rPr>
        <w:t xml:space="preserve">1 </w:t>
      </w:r>
      <w:r>
        <w:rPr>
          <w:rFonts w:hint="eastAsia"/>
        </w:rPr>
        <w:t>范围</w:t>
      </w:r>
      <w:r>
        <w:tab/>
      </w:r>
      <w:r>
        <w:fldChar w:fldCharType="begin"/>
      </w:r>
      <w:r>
        <w:instrText xml:space="preserve"> PAGEREF _Toc17112 \h </w:instrText>
      </w:r>
      <w:r>
        <w:fldChar w:fldCharType="separate"/>
      </w:r>
      <w:r>
        <w:t>1</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_Toc10917 </w:instrText>
      </w:r>
      <w:r>
        <w:rPr>
          <w:rFonts w:ascii="宋体" w:hAnsi="宋体"/>
          <w:kern w:val="0"/>
          <w:szCs w:val="28"/>
        </w:rPr>
        <w:fldChar w:fldCharType="separate"/>
      </w:r>
      <w:r>
        <w:rPr>
          <w:rFonts w:hint="eastAsia" w:eastAsia="黑体"/>
        </w:rPr>
        <w:t xml:space="preserve">2 </w:t>
      </w:r>
      <w:r>
        <w:rPr>
          <w:rFonts w:hint="eastAsia"/>
        </w:rPr>
        <w:t>规范性引用文件</w:t>
      </w:r>
      <w:r>
        <w:tab/>
      </w:r>
      <w:r>
        <w:fldChar w:fldCharType="begin"/>
      </w:r>
      <w:r>
        <w:instrText xml:space="preserve"> PAGEREF _Toc10917 \h </w:instrText>
      </w:r>
      <w:r>
        <w:fldChar w:fldCharType="separate"/>
      </w:r>
      <w:r>
        <w:t>1</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_Toc12641 </w:instrText>
      </w:r>
      <w:r>
        <w:rPr>
          <w:rFonts w:ascii="宋体" w:hAnsi="宋体"/>
          <w:kern w:val="0"/>
          <w:szCs w:val="28"/>
        </w:rPr>
        <w:fldChar w:fldCharType="separate"/>
      </w:r>
      <w:r>
        <w:rPr>
          <w:rFonts w:hint="eastAsia" w:eastAsia="黑体"/>
        </w:rPr>
        <w:t xml:space="preserve">3 </w:t>
      </w:r>
      <w:r>
        <w:rPr>
          <w:rFonts w:hint="eastAsia"/>
        </w:rPr>
        <w:t>术语和定义</w:t>
      </w:r>
      <w:r>
        <w:tab/>
      </w:r>
      <w:r>
        <w:fldChar w:fldCharType="begin"/>
      </w:r>
      <w:r>
        <w:instrText xml:space="preserve"> PAGEREF _Toc12641 \h </w:instrText>
      </w:r>
      <w:r>
        <w:fldChar w:fldCharType="separate"/>
      </w:r>
      <w:r>
        <w:t>1</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_Toc23992 </w:instrText>
      </w:r>
      <w:r>
        <w:rPr>
          <w:rFonts w:ascii="宋体" w:hAnsi="宋体"/>
          <w:kern w:val="0"/>
          <w:szCs w:val="28"/>
        </w:rPr>
        <w:fldChar w:fldCharType="separate"/>
      </w:r>
      <w:r>
        <w:rPr>
          <w:rFonts w:hint="eastAsia" w:eastAsia="黑体"/>
        </w:rPr>
        <w:t xml:space="preserve">4 </w:t>
      </w:r>
      <w:r>
        <w:rPr>
          <w:rFonts w:hint="eastAsia"/>
        </w:rPr>
        <w:t>原理</w:t>
      </w:r>
      <w:r>
        <w:tab/>
      </w:r>
      <w:r>
        <w:fldChar w:fldCharType="begin"/>
      </w:r>
      <w:r>
        <w:instrText xml:space="preserve"> PAGEREF _Toc23992 \h </w:instrText>
      </w:r>
      <w:r>
        <w:fldChar w:fldCharType="separate"/>
      </w:r>
      <w:r>
        <w:t>1</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_Toc26180 </w:instrText>
      </w:r>
      <w:r>
        <w:rPr>
          <w:rFonts w:ascii="宋体" w:hAnsi="宋体"/>
          <w:kern w:val="0"/>
          <w:szCs w:val="28"/>
        </w:rPr>
        <w:fldChar w:fldCharType="separate"/>
      </w:r>
      <w:r>
        <w:rPr>
          <w:rFonts w:hint="eastAsia" w:eastAsia="黑体"/>
        </w:rPr>
        <w:t xml:space="preserve">5 </w:t>
      </w:r>
      <w:r>
        <w:rPr>
          <w:rFonts w:hint="eastAsia"/>
        </w:rPr>
        <w:t>试剂</w:t>
      </w:r>
      <w:r>
        <w:tab/>
      </w:r>
      <w:r>
        <w:fldChar w:fldCharType="begin"/>
      </w:r>
      <w:r>
        <w:instrText xml:space="preserve"> PAGEREF _Toc26180 \h </w:instrText>
      </w:r>
      <w:r>
        <w:fldChar w:fldCharType="separate"/>
      </w:r>
      <w:r>
        <w:t>1</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_Toc30297 </w:instrText>
      </w:r>
      <w:r>
        <w:rPr>
          <w:rFonts w:ascii="宋体" w:hAnsi="宋体"/>
          <w:kern w:val="0"/>
          <w:szCs w:val="28"/>
        </w:rPr>
        <w:fldChar w:fldCharType="separate"/>
      </w:r>
      <w:r>
        <w:rPr>
          <w:rFonts w:hint="eastAsia" w:eastAsia="黑体"/>
        </w:rPr>
        <w:t xml:space="preserve">6 </w:t>
      </w:r>
      <w:r>
        <w:rPr>
          <w:rFonts w:hint="eastAsia"/>
        </w:rPr>
        <w:t>仪器及材料</w:t>
      </w:r>
      <w:r>
        <w:tab/>
      </w:r>
      <w:r>
        <w:fldChar w:fldCharType="begin"/>
      </w:r>
      <w:r>
        <w:instrText xml:space="preserve"> PAGEREF _Toc30297 \h </w:instrText>
      </w:r>
      <w:r>
        <w:fldChar w:fldCharType="separate"/>
      </w:r>
      <w:r>
        <w:t>2</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_Toc4507 </w:instrText>
      </w:r>
      <w:r>
        <w:rPr>
          <w:rFonts w:ascii="宋体" w:hAnsi="宋体"/>
          <w:kern w:val="0"/>
          <w:szCs w:val="28"/>
        </w:rPr>
        <w:fldChar w:fldCharType="separate"/>
      </w:r>
      <w:r>
        <w:rPr>
          <w:rFonts w:hint="eastAsia" w:eastAsia="黑体"/>
        </w:rPr>
        <w:t xml:space="preserve">7 </w:t>
      </w:r>
      <w:r>
        <w:rPr>
          <w:rFonts w:hint="eastAsia"/>
        </w:rPr>
        <w:t>分析步骤</w:t>
      </w:r>
      <w:r>
        <w:tab/>
      </w:r>
      <w:r>
        <w:fldChar w:fldCharType="begin"/>
      </w:r>
      <w:r>
        <w:instrText xml:space="preserve"> PAGEREF _Toc4507 \h </w:instrText>
      </w:r>
      <w:r>
        <w:fldChar w:fldCharType="separate"/>
      </w:r>
      <w:r>
        <w:t>2</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_Toc17220 </w:instrText>
      </w:r>
      <w:r>
        <w:rPr>
          <w:rFonts w:ascii="宋体" w:hAnsi="宋体"/>
          <w:kern w:val="0"/>
          <w:szCs w:val="28"/>
        </w:rPr>
        <w:fldChar w:fldCharType="separate"/>
      </w:r>
      <w:r>
        <w:rPr>
          <w:rFonts w:hint="eastAsia" w:eastAsia="黑体"/>
          <w:lang w:val="en-US"/>
        </w:rPr>
        <w:t xml:space="preserve">8 </w:t>
      </w:r>
      <w:r>
        <w:rPr>
          <w:rFonts w:hint="eastAsia"/>
          <w:lang w:val="en-US" w:eastAsia="zh-CN"/>
        </w:rPr>
        <w:t>正确度和精密度</w:t>
      </w:r>
      <w:r>
        <w:tab/>
      </w:r>
      <w:r>
        <w:fldChar w:fldCharType="begin"/>
      </w:r>
      <w:r>
        <w:instrText xml:space="preserve"> PAGEREF _Toc17220 \h </w:instrText>
      </w:r>
      <w:r>
        <w:fldChar w:fldCharType="separate"/>
      </w:r>
      <w:r>
        <w:t>3</w:t>
      </w:r>
      <w:r>
        <w:fldChar w:fldCharType="end"/>
      </w:r>
      <w:r>
        <w:rPr>
          <w:rFonts w:ascii="宋体" w:hAnsi="宋体"/>
          <w:kern w:val="0"/>
          <w:szCs w:val="28"/>
        </w:rPr>
        <w:fldChar w:fldCharType="end"/>
      </w:r>
    </w:p>
    <w:p>
      <w:pPr>
        <w:pStyle w:val="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_Toc12847 </w:instrText>
      </w:r>
      <w:r>
        <w:rPr>
          <w:rFonts w:ascii="宋体" w:hAnsi="宋体"/>
          <w:kern w:val="0"/>
          <w:szCs w:val="28"/>
        </w:rPr>
        <w:fldChar w:fldCharType="separate"/>
      </w:r>
      <w:r>
        <w:rPr>
          <w:rFonts w:hint="eastAsia" w:ascii="Times New Roman"/>
          <w:lang w:val="en-US" w:eastAsia="zh-CN"/>
        </w:rPr>
        <w:t>8.1</w:t>
      </w:r>
      <w:r>
        <w:rPr>
          <w:rFonts w:ascii="Times New Roman"/>
        </w:rPr>
        <w:t>正确度</w:t>
      </w:r>
      <w:r>
        <w:tab/>
      </w:r>
      <w:r>
        <w:fldChar w:fldCharType="begin"/>
      </w:r>
      <w:r>
        <w:instrText xml:space="preserve"> PAGEREF _Toc12847 \h </w:instrText>
      </w:r>
      <w:r>
        <w:fldChar w:fldCharType="separate"/>
      </w:r>
      <w:r>
        <w:t>3</w:t>
      </w:r>
      <w:r>
        <w:fldChar w:fldCharType="end"/>
      </w:r>
      <w:r>
        <w:rPr>
          <w:rFonts w:ascii="宋体" w:hAnsi="宋体"/>
          <w:kern w:val="0"/>
          <w:szCs w:val="28"/>
        </w:rPr>
        <w:fldChar w:fldCharType="end"/>
      </w:r>
    </w:p>
    <w:p>
      <w:pPr>
        <w:pStyle w:val="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_Toc28458 </w:instrText>
      </w:r>
      <w:r>
        <w:rPr>
          <w:rFonts w:ascii="宋体" w:hAnsi="宋体"/>
          <w:kern w:val="0"/>
          <w:szCs w:val="28"/>
        </w:rPr>
        <w:fldChar w:fldCharType="separate"/>
      </w:r>
      <w:r>
        <w:rPr>
          <w:rFonts w:hint="eastAsia" w:ascii="Times New Roman"/>
          <w:lang w:val="en-US" w:eastAsia="zh-CN"/>
        </w:rPr>
        <w:t>8.2</w:t>
      </w:r>
      <w:r>
        <w:rPr>
          <w:rFonts w:ascii="Times New Roman"/>
        </w:rPr>
        <w:t>精密度</w:t>
      </w:r>
      <w:r>
        <w:tab/>
      </w:r>
      <w:r>
        <w:fldChar w:fldCharType="begin"/>
      </w:r>
      <w:r>
        <w:instrText xml:space="preserve"> PAGEREF _Toc28458 \h </w:instrText>
      </w:r>
      <w:r>
        <w:fldChar w:fldCharType="separate"/>
      </w:r>
      <w:r>
        <w:t>3</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_Toc6836 </w:instrText>
      </w:r>
      <w:r>
        <w:rPr>
          <w:rFonts w:ascii="宋体" w:hAnsi="宋体"/>
          <w:kern w:val="0"/>
          <w:szCs w:val="28"/>
        </w:rPr>
        <w:fldChar w:fldCharType="separate"/>
      </w:r>
      <w:r>
        <w:rPr>
          <w:rFonts w:hint="eastAsia" w:ascii="黑体" w:hAnsi="Times New Roman" w:eastAsia="黑体"/>
          <w:i w:val="0"/>
          <w:spacing w:val="0"/>
          <w:w w:val="100"/>
        </w:rPr>
        <w:t xml:space="preserve">附　录　A </w:t>
      </w:r>
      <w:r>
        <w:t xml:space="preserve"> </w:t>
      </w:r>
      <w:r>
        <w:rPr>
          <w:rFonts w:hint="eastAsia"/>
        </w:rPr>
        <w:t>（</w:t>
      </w:r>
      <w:r>
        <w:rPr>
          <w:rFonts w:hint="eastAsia"/>
          <w:lang w:val="en-US" w:eastAsia="zh-CN"/>
        </w:rPr>
        <w:t>规范性</w:t>
      </w:r>
      <w:r>
        <w:rPr>
          <w:rFonts w:hint="eastAsia"/>
        </w:rPr>
        <w:t>附录）</w:t>
      </w:r>
      <w:r>
        <w:t xml:space="preserve"> </w:t>
      </w:r>
      <w:r>
        <w:rPr>
          <w:rFonts w:hint="eastAsia"/>
        </w:rPr>
        <w:t>电感耦合等离子体质谱仪工作参考条件</w:t>
      </w:r>
      <w:r>
        <w:tab/>
      </w:r>
      <w:r>
        <w:fldChar w:fldCharType="begin"/>
      </w:r>
      <w:r>
        <w:instrText xml:space="preserve"> PAGEREF _Toc6836 \h </w:instrText>
      </w:r>
      <w:r>
        <w:fldChar w:fldCharType="separate"/>
      </w:r>
      <w:r>
        <w:t>7</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_Toc12691 </w:instrText>
      </w:r>
      <w:r>
        <w:rPr>
          <w:rFonts w:ascii="宋体" w:hAnsi="宋体"/>
          <w:kern w:val="0"/>
          <w:szCs w:val="28"/>
        </w:rPr>
        <w:fldChar w:fldCharType="separate"/>
      </w:r>
      <w:r>
        <w:rPr>
          <w:rFonts w:hint="eastAsia" w:ascii="黑体" w:hAnsi="Times New Roman" w:eastAsia="黑体"/>
          <w:i w:val="0"/>
          <w:spacing w:val="0"/>
          <w:w w:val="100"/>
        </w:rPr>
        <w:t xml:space="preserve">附　录　B </w:t>
      </w:r>
      <w:r>
        <w:t xml:space="preserve"> </w:t>
      </w:r>
      <w:r>
        <w:rPr>
          <w:rFonts w:hint="eastAsia"/>
        </w:rPr>
        <w:t>（</w:t>
      </w:r>
      <w:r>
        <w:rPr>
          <w:rFonts w:hint="eastAsia"/>
          <w:lang w:val="en-US" w:eastAsia="zh-CN"/>
        </w:rPr>
        <w:t>资料性</w:t>
      </w:r>
      <w:r>
        <w:rPr>
          <w:rFonts w:hint="eastAsia"/>
        </w:rPr>
        <w:t>附录）</w:t>
      </w:r>
      <w:r>
        <w:t xml:space="preserve"> </w:t>
      </w:r>
      <w:r>
        <w:rPr>
          <w:rFonts w:hint="eastAsia"/>
        </w:rPr>
        <w:t>从实验室间试验结果得到的统计数据</w:t>
      </w:r>
      <w:r>
        <w:tab/>
      </w:r>
      <w:r>
        <w:fldChar w:fldCharType="begin"/>
      </w:r>
      <w:r>
        <w:instrText xml:space="preserve"> PAGEREF _Toc12691 \h </w:instrText>
      </w:r>
      <w:r>
        <w:fldChar w:fldCharType="separate"/>
      </w:r>
      <w:r>
        <w:t>8</w:t>
      </w:r>
      <w:r>
        <w:fldChar w:fldCharType="end"/>
      </w:r>
      <w:r>
        <w:rPr>
          <w:rFonts w:ascii="宋体" w:hAnsi="宋体"/>
          <w:kern w:val="0"/>
          <w:szCs w:val="28"/>
        </w:rPr>
        <w:fldChar w:fldCharType="end"/>
      </w:r>
    </w:p>
    <w:p>
      <w:pPr>
        <w:pStyle w:val="2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_Toc7598 </w:instrText>
      </w:r>
      <w:r>
        <w:rPr>
          <w:rFonts w:ascii="宋体" w:hAnsi="宋体"/>
          <w:kern w:val="0"/>
          <w:szCs w:val="28"/>
        </w:rPr>
        <w:fldChar w:fldCharType="separate"/>
      </w:r>
      <w:r>
        <w:rPr>
          <w:rFonts w:hint="eastAsia"/>
        </w:rPr>
        <w:t>参 考 文 献</w:t>
      </w:r>
      <w:r>
        <w:tab/>
      </w:r>
      <w:r>
        <w:fldChar w:fldCharType="begin"/>
      </w:r>
      <w:r>
        <w:instrText xml:space="preserve"> PAGEREF _Toc7598 \h </w:instrText>
      </w:r>
      <w:r>
        <w:fldChar w:fldCharType="separate"/>
      </w:r>
      <w:r>
        <w:t>12</w:t>
      </w:r>
      <w:r>
        <w:fldChar w:fldCharType="end"/>
      </w:r>
      <w:r>
        <w:rPr>
          <w:rFonts w:ascii="宋体" w:hAnsi="宋体"/>
          <w:kern w:val="0"/>
          <w:szCs w:val="28"/>
        </w:rPr>
        <w:fldChar w:fldCharType="end"/>
      </w:r>
    </w:p>
    <w:p>
      <w:pPr>
        <w:tabs>
          <w:tab w:val="left" w:pos="8647"/>
        </w:tabs>
        <w:ind w:firstLine="420" w:firstLineChars="200"/>
        <w:rPr>
          <w:rFonts w:ascii="宋体" w:hAnsi="宋体"/>
          <w:color w:val="0070C0"/>
          <w:szCs w:val="28"/>
        </w:rPr>
      </w:pPr>
      <w:r>
        <w:rPr>
          <w:rFonts w:ascii="宋体" w:hAnsi="宋体"/>
          <w:kern w:val="0"/>
          <w:szCs w:val="28"/>
        </w:rPr>
        <w:fldChar w:fldCharType="end"/>
      </w:r>
    </w:p>
    <w:p>
      <w:pPr>
        <w:pStyle w:val="113"/>
      </w:pPr>
      <w:bookmarkStart w:id="9" w:name="_Toc475694823"/>
      <w:bookmarkStart w:id="10" w:name="_Toc29510"/>
      <w:r>
        <w:rPr>
          <w:rFonts w:hint="eastAsia"/>
        </w:rPr>
        <w:t>前</w:t>
      </w:r>
      <w:bookmarkStart w:id="11" w:name="BKQY"/>
      <w:r>
        <w:rPr>
          <w:rFonts w:hAnsi="黑体"/>
        </w:rPr>
        <w:t>  </w:t>
      </w:r>
      <w:r>
        <w:rPr>
          <w:rFonts w:hint="eastAsia"/>
        </w:rPr>
        <w:t>言</w:t>
      </w:r>
      <w:bookmarkEnd w:id="9"/>
      <w:bookmarkEnd w:id="10"/>
      <w:bookmarkEnd w:id="11"/>
    </w:p>
    <w:p>
      <w:pPr>
        <w:ind w:firstLine="420" w:firstLineChars="200"/>
        <w:rPr>
          <w:rFonts w:hint="eastAsia" w:ascii="宋体" w:hAnsi="宋体"/>
          <w:szCs w:val="28"/>
        </w:rPr>
      </w:pPr>
      <w:r>
        <w:rPr>
          <w:rFonts w:hint="eastAsia" w:ascii="宋体" w:hAnsi="宋体"/>
          <w:szCs w:val="28"/>
        </w:rPr>
        <w:t>本文件按照GB/T 1.1—2020《标准化工作导则  第1部分：标准化文件的结构和起草规则》的规定起草。</w:t>
      </w:r>
    </w:p>
    <w:p>
      <w:pPr>
        <w:ind w:firstLine="420" w:firstLineChars="200"/>
        <w:rPr>
          <w:rFonts w:hint="eastAsia" w:ascii="宋体" w:hAnsi="宋体"/>
          <w:szCs w:val="28"/>
        </w:rPr>
      </w:pPr>
      <w:r>
        <w:rPr>
          <w:rFonts w:hint="eastAsia" w:ascii="宋体" w:hAnsi="宋体"/>
          <w:szCs w:val="28"/>
        </w:rPr>
        <w:t>本文件由河北省地质矿产勘查开发局提出。</w:t>
      </w:r>
    </w:p>
    <w:p>
      <w:pPr>
        <w:ind w:firstLine="420" w:firstLineChars="200"/>
        <w:rPr>
          <w:rFonts w:hint="eastAsia" w:ascii="宋体" w:hAnsi="宋体"/>
          <w:szCs w:val="28"/>
        </w:rPr>
      </w:pPr>
      <w:r>
        <w:rPr>
          <w:rFonts w:hint="eastAsia" w:ascii="宋体" w:hAnsi="宋体"/>
          <w:szCs w:val="28"/>
        </w:rPr>
        <w:t>本文件由河北省地质矿产勘查开发局归口。</w:t>
      </w:r>
    </w:p>
    <w:p>
      <w:pPr>
        <w:ind w:firstLine="420" w:firstLineChars="200"/>
        <w:rPr>
          <w:rFonts w:hint="eastAsia" w:ascii="宋体" w:hAnsi="宋体"/>
          <w:szCs w:val="28"/>
        </w:rPr>
      </w:pPr>
      <w:r>
        <w:rPr>
          <w:rFonts w:hint="eastAsia" w:ascii="宋体" w:hAnsi="宋体"/>
          <w:szCs w:val="28"/>
        </w:rPr>
        <w:t>本文件起草单位：河北省地球物理勘查院（河北省浅层地热能研究中心）、天津农学院。</w:t>
      </w:r>
    </w:p>
    <w:p>
      <w:pPr>
        <w:ind w:firstLine="420" w:firstLineChars="200"/>
        <w:rPr>
          <w:rFonts w:hint="eastAsia" w:ascii="宋体" w:hAnsi="宋体"/>
          <w:szCs w:val="28"/>
          <w:lang w:eastAsia="zh-CN"/>
        </w:rPr>
      </w:pPr>
      <w:r>
        <w:rPr>
          <w:rFonts w:hint="eastAsia" w:ascii="宋体" w:hAnsi="宋体"/>
          <w:szCs w:val="28"/>
        </w:rPr>
        <w:t>本文件主要起草人：：*****</w:t>
      </w:r>
      <w:r>
        <w:rPr>
          <w:rFonts w:hint="eastAsia" w:ascii="宋体" w:hAnsi="宋体"/>
          <w:szCs w:val="28"/>
          <w:lang w:eastAsia="zh-CN"/>
        </w:rPr>
        <w:t>。</w:t>
      </w:r>
    </w:p>
    <w:p>
      <w:pPr>
        <w:ind w:firstLine="420" w:firstLineChars="200"/>
        <w:rPr>
          <w:rFonts w:ascii="宋体" w:hAnsi="宋体"/>
          <w:szCs w:val="28"/>
        </w:rPr>
      </w:pPr>
    </w:p>
    <w:p>
      <w:pPr>
        <w:pStyle w:val="26"/>
        <w:sectPr>
          <w:headerReference r:id="rId9" w:type="default"/>
          <w:footerReference r:id="rId10" w:type="default"/>
          <w:pgSz w:w="11906" w:h="16838"/>
          <w:pgMar w:top="567" w:right="1134" w:bottom="1134" w:left="1418" w:header="1418" w:footer="1134" w:gutter="0"/>
          <w:pgNumType w:fmt="upperRoman" w:start="1"/>
          <w:cols w:space="425" w:num="1"/>
          <w:formProt w:val="0"/>
          <w:docGrid w:type="lines" w:linePitch="312" w:charSpace="0"/>
        </w:sectPr>
      </w:pPr>
    </w:p>
    <w:p>
      <w:pPr>
        <w:pStyle w:val="51"/>
      </w:pPr>
      <w:r>
        <w:rPr>
          <w:rFonts w:hint="eastAsia"/>
        </w:rPr>
        <w:t>锂矿石中锂等9种成分分析 电感耦合等离子体发射光谱法</w:t>
      </w:r>
    </w:p>
    <w:p>
      <w:pPr>
        <w:pStyle w:val="46"/>
      </w:pPr>
      <w:bookmarkStart w:id="12" w:name="_Toc475694825"/>
      <w:bookmarkStart w:id="13" w:name="_Toc18662"/>
      <w:bookmarkStart w:id="14" w:name="_Toc17112"/>
      <w:r>
        <w:rPr>
          <w:rFonts w:hint="eastAsia"/>
        </w:rPr>
        <w:t>范围</w:t>
      </w:r>
      <w:bookmarkEnd w:id="12"/>
      <w:bookmarkEnd w:id="13"/>
      <w:bookmarkEnd w:id="14"/>
    </w:p>
    <w:p>
      <w:pPr>
        <w:pStyle w:val="26"/>
        <w:tabs>
          <w:tab w:val="clear" w:pos="4201"/>
          <w:tab w:val="clear" w:pos="9298"/>
        </w:tabs>
        <w:rPr>
          <w:rFonts w:hint="eastAsia"/>
        </w:rPr>
      </w:pPr>
      <w:r>
        <w:rPr>
          <w:rFonts w:hint="eastAsia"/>
        </w:rPr>
        <w:t>本方法适用于锂矿石中锂、铷、铯、钛、锰、铝、钙、钾、钠量测定。</w:t>
      </w:r>
    </w:p>
    <w:p>
      <w:pPr>
        <w:pStyle w:val="26"/>
        <w:tabs>
          <w:tab w:val="clear" w:pos="4201"/>
          <w:tab w:val="clear" w:pos="9298"/>
        </w:tabs>
        <w:rPr>
          <w:rFonts w:hint="eastAsia"/>
        </w:rPr>
      </w:pPr>
      <w:r>
        <w:rPr>
          <w:rFonts w:hint="eastAsia"/>
        </w:rPr>
        <w:t>方法检出限及测定范围见表1。</w:t>
      </w:r>
    </w:p>
    <w:p>
      <w:pPr>
        <w:pStyle w:val="128"/>
        <w:spacing w:beforeLines="0" w:afterLines="0"/>
        <w:rPr>
          <w:rFonts w:ascii="Times New Roman"/>
          <w:szCs w:val="21"/>
        </w:rPr>
      </w:pPr>
      <w:r>
        <w:rPr>
          <w:rFonts w:ascii="Times New Roman"/>
          <w:szCs w:val="21"/>
        </w:rPr>
        <w:t>方法检出限及测定范围</w:t>
      </w:r>
    </w:p>
    <w:tbl>
      <w:tblPr>
        <w:tblStyle w:val="34"/>
        <w:tblW w:w="102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884"/>
        <w:gridCol w:w="2115"/>
        <w:gridCol w:w="1101"/>
        <w:gridCol w:w="1836"/>
        <w:gridCol w:w="21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4" w:type="dxa"/>
            <w:tcBorders>
              <w:left w:val="single" w:color="auto" w:sz="12" w:space="0"/>
              <w:bottom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元素</w:t>
            </w:r>
          </w:p>
        </w:tc>
        <w:tc>
          <w:tcPr>
            <w:tcW w:w="1884" w:type="dxa"/>
            <w:tcBorders>
              <w:bottom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u w:val="none"/>
              </w:rPr>
              <w:t>方法检出限</w:t>
            </w:r>
            <w:r>
              <w:rPr>
                <w:rFonts w:hint="eastAsia" w:ascii="宋体" w:hAnsi="宋体" w:eastAsia="宋体" w:cs="宋体"/>
                <w:sz w:val="21"/>
                <w:szCs w:val="21"/>
              </w:rPr>
              <w:t>μg/g</w:t>
            </w:r>
          </w:p>
        </w:tc>
        <w:tc>
          <w:tcPr>
            <w:tcW w:w="2115" w:type="dxa"/>
            <w:tcBorders>
              <w:bottom w:val="single" w:color="auto" w:sz="12" w:space="0"/>
            </w:tcBorders>
            <w:vAlign w:val="bottom"/>
          </w:tcPr>
          <w:p>
            <w:pPr>
              <w:jc w:val="center"/>
              <w:rPr>
                <w:rFonts w:hint="eastAsia" w:ascii="宋体" w:hAnsi="宋体" w:eastAsia="宋体" w:cs="宋体"/>
                <w:sz w:val="21"/>
                <w:szCs w:val="21"/>
              </w:rPr>
            </w:pPr>
            <w:r>
              <w:rPr>
                <w:rFonts w:hint="eastAsia" w:ascii="宋体" w:hAnsi="宋体" w:eastAsia="宋体" w:cs="宋体"/>
                <w:sz w:val="21"/>
                <w:szCs w:val="21"/>
                <w:u w:val="none"/>
              </w:rPr>
              <w:t>测定范围</w:t>
            </w:r>
          </w:p>
        </w:tc>
        <w:tc>
          <w:tcPr>
            <w:tcW w:w="1101" w:type="dxa"/>
            <w:tcBorders>
              <w:bottom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元素</w:t>
            </w:r>
          </w:p>
        </w:tc>
        <w:tc>
          <w:tcPr>
            <w:tcW w:w="1836" w:type="dxa"/>
            <w:tcBorders>
              <w:bottom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u w:val="none"/>
              </w:rPr>
              <w:t>方法检出限</w:t>
            </w:r>
            <w:r>
              <w:rPr>
                <w:rFonts w:hint="eastAsia" w:ascii="宋体" w:hAnsi="宋体" w:eastAsia="宋体" w:cs="宋体"/>
                <w:sz w:val="21"/>
                <w:szCs w:val="21"/>
              </w:rPr>
              <w:t>μg/g</w:t>
            </w:r>
          </w:p>
        </w:tc>
        <w:tc>
          <w:tcPr>
            <w:tcW w:w="2166" w:type="dxa"/>
            <w:tcBorders>
              <w:bottom w:val="single" w:color="auto" w:sz="12" w:space="0"/>
              <w:right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u w:val="none"/>
              </w:rPr>
              <w:t>测定范围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4" w:type="dxa"/>
            <w:tcBorders>
              <w:top w:val="single" w:color="auto" w:sz="12" w:space="0"/>
              <w:left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Li</w:t>
            </w:r>
          </w:p>
        </w:tc>
        <w:tc>
          <w:tcPr>
            <w:tcW w:w="1884" w:type="dxa"/>
            <w:tcBorders>
              <w:top w:val="single" w:color="auto" w:sz="12" w:space="0"/>
            </w:tcBorders>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0.048</w:t>
            </w:r>
          </w:p>
        </w:tc>
        <w:tc>
          <w:tcPr>
            <w:tcW w:w="2115" w:type="dxa"/>
            <w:tcBorders>
              <w:top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highlight w:val="none"/>
              </w:rPr>
              <w:t>0.</w:t>
            </w:r>
            <w:bookmarkStart w:id="15" w:name="OLE_LINK7"/>
            <w:bookmarkStart w:id="16" w:name="OLE_LINK8"/>
            <w:r>
              <w:rPr>
                <w:rFonts w:hint="eastAsia" w:ascii="宋体" w:hAnsi="宋体" w:eastAsia="宋体" w:cs="宋体"/>
                <w:sz w:val="21"/>
                <w:szCs w:val="21"/>
                <w:highlight w:val="none"/>
                <w:lang w:val="en-US" w:eastAsia="zh-CN"/>
              </w:rPr>
              <w:t>160</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bookmarkEnd w:id="15"/>
            <w:bookmarkEnd w:id="16"/>
          </w:p>
        </w:tc>
        <w:tc>
          <w:tcPr>
            <w:tcW w:w="1101" w:type="dxa"/>
            <w:tcBorders>
              <w:top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Al</w:t>
            </w:r>
          </w:p>
        </w:tc>
        <w:tc>
          <w:tcPr>
            <w:tcW w:w="1836" w:type="dxa"/>
            <w:tcBorders>
              <w:top w:val="single" w:color="auto" w:sz="12" w:space="0"/>
            </w:tcBorders>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1.595</w:t>
            </w:r>
          </w:p>
        </w:tc>
        <w:tc>
          <w:tcPr>
            <w:tcW w:w="2166" w:type="dxa"/>
            <w:tcBorders>
              <w:top w:val="single" w:color="auto" w:sz="12" w:space="0"/>
              <w:right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5.318</w:t>
            </w:r>
            <w:r>
              <w:rPr>
                <w:rFonts w:hint="eastAsia" w:ascii="宋体" w:hAnsi="宋体" w:eastAsia="宋体" w:cs="宋体"/>
                <w:color w:val="000000"/>
                <w:kern w:val="0"/>
                <w:sz w:val="21"/>
                <w:szCs w:val="21"/>
                <w:highlight w:val="none"/>
              </w:rPr>
              <w:t>ug/g～</w:t>
            </w:r>
            <w:r>
              <w:rPr>
                <w:rFonts w:hint="eastAsia" w:ascii="宋体" w:hAnsi="宋体" w:eastAsia="宋体" w:cs="宋体"/>
                <w:color w:val="000000"/>
                <w:kern w:val="0"/>
                <w:sz w:val="21"/>
                <w:szCs w:val="21"/>
                <w:highlight w:val="none"/>
                <w:lang w:val="en-US" w:eastAsia="zh-CN"/>
              </w:rPr>
              <w:t>20</w:t>
            </w:r>
            <w:r>
              <w:rPr>
                <w:rFonts w:hint="eastAsia" w:ascii="宋体" w:hAnsi="宋体" w:eastAsia="宋体" w:cs="宋体"/>
                <w:color w:val="000000"/>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1104" w:type="dxa"/>
            <w:tcBorders>
              <w:left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Rb</w:t>
            </w:r>
          </w:p>
        </w:tc>
        <w:tc>
          <w:tcPr>
            <w:tcW w:w="1884"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1.432</w:t>
            </w:r>
          </w:p>
        </w:tc>
        <w:tc>
          <w:tcPr>
            <w:tcW w:w="2115" w:type="dxa"/>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rPr>
              <w:t xml:space="preserve"> </w:t>
            </w:r>
            <w:r>
              <w:rPr>
                <w:rFonts w:hint="eastAsia" w:ascii="宋体" w:hAnsi="宋体" w:eastAsia="宋体" w:cs="宋体"/>
                <w:color w:val="000000"/>
                <w:kern w:val="0"/>
                <w:sz w:val="21"/>
                <w:szCs w:val="21"/>
                <w:highlight w:val="none"/>
                <w:lang w:val="en-US" w:eastAsia="zh-CN"/>
              </w:rPr>
              <w:t>4.773</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c>
          <w:tcPr>
            <w:tcW w:w="1101"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Ca</w:t>
            </w:r>
          </w:p>
        </w:tc>
        <w:tc>
          <w:tcPr>
            <w:tcW w:w="1836"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1.374</w:t>
            </w:r>
          </w:p>
        </w:tc>
        <w:tc>
          <w:tcPr>
            <w:tcW w:w="2166" w:type="dxa"/>
            <w:tcBorders>
              <w:right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4.580</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4" w:type="dxa"/>
            <w:tcBorders>
              <w:left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Cs</w:t>
            </w:r>
          </w:p>
        </w:tc>
        <w:tc>
          <w:tcPr>
            <w:tcW w:w="1884"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0.067</w:t>
            </w:r>
          </w:p>
        </w:tc>
        <w:tc>
          <w:tcPr>
            <w:tcW w:w="2115" w:type="dxa"/>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rPr>
              <w:t>0.</w:t>
            </w:r>
            <w:r>
              <w:rPr>
                <w:rFonts w:hint="eastAsia" w:ascii="宋体" w:hAnsi="宋体" w:eastAsia="宋体" w:cs="宋体"/>
                <w:color w:val="000000"/>
                <w:kern w:val="0"/>
                <w:sz w:val="21"/>
                <w:szCs w:val="21"/>
                <w:highlight w:val="none"/>
                <w:lang w:val="en-US" w:eastAsia="zh-CN"/>
              </w:rPr>
              <w:t>223</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c>
          <w:tcPr>
            <w:tcW w:w="1101"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K</w:t>
            </w:r>
          </w:p>
        </w:tc>
        <w:tc>
          <w:tcPr>
            <w:tcW w:w="1836"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1.239</w:t>
            </w:r>
          </w:p>
        </w:tc>
        <w:tc>
          <w:tcPr>
            <w:tcW w:w="2166" w:type="dxa"/>
            <w:tcBorders>
              <w:right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4.131</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4" w:type="dxa"/>
            <w:tcBorders>
              <w:left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Ti</w:t>
            </w:r>
          </w:p>
        </w:tc>
        <w:tc>
          <w:tcPr>
            <w:tcW w:w="1884"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1.808</w:t>
            </w:r>
          </w:p>
        </w:tc>
        <w:tc>
          <w:tcPr>
            <w:tcW w:w="2115" w:type="dxa"/>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6.028</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c>
          <w:tcPr>
            <w:tcW w:w="1101"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Na</w:t>
            </w:r>
          </w:p>
        </w:tc>
        <w:tc>
          <w:tcPr>
            <w:tcW w:w="1836"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0.532</w:t>
            </w:r>
          </w:p>
        </w:tc>
        <w:tc>
          <w:tcPr>
            <w:tcW w:w="2166" w:type="dxa"/>
            <w:tcBorders>
              <w:right w:val="single" w:color="auto" w:sz="12" w:space="0"/>
            </w:tcBorders>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1.772</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4" w:type="dxa"/>
            <w:tcBorders>
              <w:left w:val="single" w:color="auto" w:sz="12" w:space="0"/>
            </w:tcBorders>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Mn</w:t>
            </w:r>
          </w:p>
        </w:tc>
        <w:tc>
          <w:tcPr>
            <w:tcW w:w="1884" w:type="dxa"/>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0.202</w:t>
            </w:r>
          </w:p>
        </w:tc>
        <w:tc>
          <w:tcPr>
            <w:tcW w:w="2115" w:type="dxa"/>
            <w:vAlign w:val="center"/>
          </w:tcPr>
          <w:p>
            <w:pPr>
              <w:jc w:val="center"/>
              <w:rPr>
                <w:rFonts w:hint="eastAsia" w:ascii="宋体" w:hAnsi="宋体" w:eastAsia="宋体" w:cs="宋体"/>
                <w:sz w:val="21"/>
                <w:szCs w:val="21"/>
              </w:rPr>
            </w:pPr>
            <w:r>
              <w:rPr>
                <w:rFonts w:hint="eastAsia" w:ascii="宋体" w:hAnsi="宋体" w:eastAsia="宋体" w:cs="宋体"/>
                <w:color w:val="000000"/>
                <w:kern w:val="0"/>
                <w:sz w:val="21"/>
                <w:szCs w:val="21"/>
                <w:highlight w:val="none"/>
                <w:lang w:val="en-US" w:eastAsia="zh-CN"/>
              </w:rPr>
              <w:t>0.674</w:t>
            </w:r>
            <w:r>
              <w:rPr>
                <w:rFonts w:hint="eastAsia" w:ascii="宋体" w:hAnsi="宋体" w:eastAsia="宋体" w:cs="宋体"/>
                <w:color w:val="000000"/>
                <w:kern w:val="0"/>
                <w:sz w:val="21"/>
                <w:szCs w:val="21"/>
                <w:highlight w:val="none"/>
              </w:rPr>
              <w:t>ug/g～1</w:t>
            </w:r>
            <w:r>
              <w:rPr>
                <w:rFonts w:hint="eastAsia" w:ascii="宋体" w:hAnsi="宋体" w:eastAsia="宋体" w:cs="宋体"/>
                <w:color w:val="000000"/>
                <w:kern w:val="0"/>
                <w:sz w:val="21"/>
                <w:szCs w:val="21"/>
                <w:highlight w:val="none"/>
                <w:lang w:val="en-US" w:eastAsia="zh-CN"/>
              </w:rPr>
              <w:t>0</w:t>
            </w:r>
            <w:r>
              <w:rPr>
                <w:rFonts w:hint="eastAsia" w:ascii="宋体" w:hAnsi="宋体" w:eastAsia="宋体" w:cs="宋体"/>
                <w:color w:val="000000"/>
                <w:kern w:val="0"/>
                <w:sz w:val="21"/>
                <w:szCs w:val="21"/>
                <w:highlight w:val="none"/>
              </w:rPr>
              <w:t>%</w:t>
            </w:r>
          </w:p>
        </w:tc>
        <w:tc>
          <w:tcPr>
            <w:tcW w:w="1101" w:type="dxa"/>
            <w:vAlign w:val="center"/>
          </w:tcPr>
          <w:p>
            <w:pPr>
              <w:jc w:val="center"/>
              <w:rPr>
                <w:rFonts w:hint="eastAsia" w:ascii="宋体" w:hAnsi="宋体" w:eastAsia="宋体" w:cs="宋体"/>
                <w:sz w:val="21"/>
                <w:szCs w:val="21"/>
              </w:rPr>
            </w:pPr>
          </w:p>
        </w:tc>
        <w:tc>
          <w:tcPr>
            <w:tcW w:w="1836" w:type="dxa"/>
            <w:vAlign w:val="center"/>
          </w:tcPr>
          <w:p>
            <w:pPr>
              <w:jc w:val="center"/>
              <w:rPr>
                <w:rFonts w:hint="eastAsia" w:ascii="宋体" w:hAnsi="宋体" w:eastAsia="宋体" w:cs="宋体"/>
                <w:sz w:val="21"/>
                <w:szCs w:val="21"/>
              </w:rPr>
            </w:pPr>
          </w:p>
        </w:tc>
        <w:tc>
          <w:tcPr>
            <w:tcW w:w="2166" w:type="dxa"/>
            <w:tcBorders>
              <w:right w:val="single" w:color="auto" w:sz="12" w:space="0"/>
            </w:tcBorders>
            <w:vAlign w:val="center"/>
          </w:tcPr>
          <w:p>
            <w:pPr>
              <w:jc w:val="center"/>
              <w:rPr>
                <w:rFonts w:hint="eastAsia" w:ascii="宋体" w:hAnsi="宋体" w:eastAsia="宋体" w:cs="宋体"/>
                <w:sz w:val="21"/>
                <w:szCs w:val="21"/>
              </w:rPr>
            </w:pPr>
          </w:p>
        </w:tc>
      </w:tr>
    </w:tbl>
    <w:p>
      <w:pPr>
        <w:pStyle w:val="46"/>
      </w:pPr>
      <w:bookmarkStart w:id="17" w:name="_Toc475694826"/>
      <w:bookmarkStart w:id="18" w:name="_Toc15905"/>
      <w:bookmarkStart w:id="19" w:name="_Toc10917"/>
      <w:r>
        <w:rPr>
          <w:rFonts w:hint="eastAsia"/>
        </w:rPr>
        <w:t>规范性引用文件</w:t>
      </w:r>
      <w:bookmarkEnd w:id="17"/>
      <w:bookmarkEnd w:id="18"/>
      <w:bookmarkEnd w:id="19"/>
    </w:p>
    <w:p>
      <w:pPr>
        <w:pStyle w:val="26"/>
        <w:keepNext w:val="0"/>
        <w:keepLines w:val="0"/>
        <w:pageBreakBefore w:val="0"/>
        <w:widowControl/>
        <w:kinsoku/>
        <w:wordWrap/>
        <w:overflowPunct/>
        <w:topLinePunct w:val="0"/>
        <w:autoSpaceDE w:val="0"/>
        <w:autoSpaceDN w:val="0"/>
        <w:bidi w:val="0"/>
        <w:adjustRightInd/>
        <w:snapToGrid/>
        <w:textAlignment w:val="auto"/>
        <w:rPr>
          <w:rFonts w:hint="eastAsia"/>
        </w:rPr>
      </w:pPr>
      <w:r>
        <w:rPr>
          <w:rFonts w:hint="eastAsia"/>
        </w:rPr>
        <w:t>GB/T 6379.2-2004 测量方法与结果的准确度(正确度与精密度)第2部分:确定标准测量方法重复性与再现性的基本方法。</w:t>
      </w:r>
    </w:p>
    <w:p>
      <w:pPr>
        <w:pStyle w:val="26"/>
        <w:keepNext w:val="0"/>
        <w:keepLines w:val="0"/>
        <w:pageBreakBefore w:val="0"/>
        <w:widowControl/>
        <w:kinsoku/>
        <w:wordWrap/>
        <w:overflowPunct/>
        <w:topLinePunct w:val="0"/>
        <w:autoSpaceDE w:val="0"/>
        <w:autoSpaceDN w:val="0"/>
        <w:bidi w:val="0"/>
        <w:adjustRightInd/>
        <w:snapToGrid/>
        <w:textAlignment w:val="auto"/>
        <w:rPr>
          <w:rFonts w:hint="eastAsia"/>
        </w:rPr>
      </w:pPr>
      <w:r>
        <w:rPr>
          <w:rFonts w:hint="eastAsia"/>
        </w:rPr>
        <w:t>GB/T6682 分析实验室用水规格和试验方法。</w:t>
      </w:r>
    </w:p>
    <w:p>
      <w:pPr>
        <w:pStyle w:val="26"/>
        <w:keepNext w:val="0"/>
        <w:keepLines w:val="0"/>
        <w:pageBreakBefore w:val="0"/>
        <w:widowControl/>
        <w:kinsoku/>
        <w:wordWrap/>
        <w:overflowPunct/>
        <w:topLinePunct w:val="0"/>
        <w:autoSpaceDE w:val="0"/>
        <w:autoSpaceDN w:val="0"/>
        <w:bidi w:val="0"/>
        <w:adjustRightInd/>
        <w:snapToGrid/>
        <w:textAlignment w:val="auto"/>
        <w:rPr>
          <w:rFonts w:hint="eastAsia"/>
        </w:rPr>
      </w:pPr>
      <w:r>
        <w:rPr>
          <w:rFonts w:hint="eastAsia"/>
        </w:rPr>
        <w:t>DZ/T 0130.3 地质矿产实验室测试质量管理规范第3部分:岩石矿物样品化学成分分析。</w:t>
      </w:r>
    </w:p>
    <w:p>
      <w:pPr>
        <w:pStyle w:val="46"/>
      </w:pPr>
      <w:bookmarkStart w:id="20" w:name="_Toc475694827"/>
      <w:bookmarkStart w:id="21" w:name="_Toc28396"/>
      <w:bookmarkStart w:id="22" w:name="_Toc12641"/>
      <w:r>
        <w:rPr>
          <w:rFonts w:hint="eastAsia"/>
        </w:rPr>
        <w:t>术语和定义</w:t>
      </w:r>
      <w:bookmarkEnd w:id="20"/>
      <w:bookmarkEnd w:id="21"/>
      <w:bookmarkEnd w:id="22"/>
    </w:p>
    <w:p>
      <w:pPr>
        <w:pStyle w:val="26"/>
        <w:rPr>
          <w:color w:val="000000"/>
        </w:rPr>
      </w:pPr>
      <w:r>
        <w:rPr>
          <w:rFonts w:hint="eastAsia"/>
          <w:color w:val="000000"/>
        </w:rPr>
        <w:t>本文件没有需要界定的术语和定义。</w:t>
      </w:r>
    </w:p>
    <w:p>
      <w:pPr>
        <w:pStyle w:val="46"/>
      </w:pPr>
      <w:bookmarkStart w:id="23" w:name="_Toc16966"/>
      <w:bookmarkStart w:id="24" w:name="_Toc23992"/>
      <w:r>
        <w:rPr>
          <w:rFonts w:hint="eastAsia"/>
        </w:rPr>
        <w:t>原理</w:t>
      </w:r>
      <w:bookmarkEnd w:id="23"/>
      <w:bookmarkEnd w:id="24"/>
    </w:p>
    <w:p>
      <w:pPr>
        <w:pStyle w:val="26"/>
        <w:keepNext w:val="0"/>
        <w:keepLines w:val="0"/>
        <w:pageBreakBefore w:val="0"/>
        <w:widowControl/>
        <w:kinsoku/>
        <w:wordWrap/>
        <w:overflowPunct/>
        <w:topLinePunct w:val="0"/>
        <w:autoSpaceDE w:val="0"/>
        <w:autoSpaceDN w:val="0"/>
        <w:bidi w:val="0"/>
        <w:adjustRightInd/>
        <w:snapToGrid/>
        <w:textAlignment w:val="auto"/>
      </w:pPr>
      <w:r>
        <w:rPr>
          <w:rFonts w:hint="eastAsia"/>
        </w:rPr>
        <w:t>试样经盐酸、硝酸、氢氟酸、高氯酸分解，再用盐酸溶解后，直接用电感耦合等离子体发射光谱法测定锂、铷、铯、钛、锰、铝、钙、钾、钠9种元素。</w:t>
      </w:r>
    </w:p>
    <w:p>
      <w:pPr>
        <w:pStyle w:val="46"/>
      </w:pPr>
      <w:bookmarkStart w:id="25" w:name="_Toc4468"/>
      <w:bookmarkStart w:id="26" w:name="_Toc26180"/>
      <w:r>
        <w:rPr>
          <w:rFonts w:hint="eastAsia"/>
        </w:rPr>
        <w:t>试剂</w:t>
      </w:r>
      <w:bookmarkEnd w:id="25"/>
      <w:bookmarkEnd w:id="26"/>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5.1盐酸：ρHCl=1. 19 g/mL，优级纯。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5.2硝酸： ρHNO3=1. 42 g/mL，优级纯。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5.3硫酸： ρH2SO4=1. 84 g/mL，优级纯。危险--稀释时操作不当易引起烧伤。</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5.4高氯酸：ρHClO4 =1. 67 g/mL，优级纯。危险--高氯酸是强氧化性物质。</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5.5氢氟酸： ρHF=1.13 g/mL，优级纯。危险--氢氟酸有毒且有腐蚀性，防止皮肤接触。</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5.6过氧化氢：ω=30%，优级纯。危险--过氧化氢有腐蚀性，防止皮肤接触。</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5.7焦硫酸钾，优级纯。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5.8氟化钠，优级纯。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5.9碳酸钠，优级纯。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5.10硼酸，优级纯</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5.11氢氧化钠溶液：ρNaOH =0.4 g/L。</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 12盐酸(1+1)。</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 13盐酸(1+9)。</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5.14硝酸(1+1)。</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5.15硫酸(1+1)。</w:t>
      </w:r>
    </w:p>
    <w:p>
      <w:pPr>
        <w:pStyle w:val="147"/>
        <w:keepNext w:val="0"/>
        <w:keepLines w:val="0"/>
        <w:pageBreakBefore w:val="0"/>
        <w:numPr>
          <w:ilvl w:val="2"/>
          <w:numId w:val="0"/>
        </w:numPr>
        <w:kinsoku/>
        <w:wordWrap/>
        <w:overflowPunct/>
        <w:topLinePunct w:val="0"/>
        <w:bidi w:val="0"/>
        <w:adjustRightInd/>
        <w:snapToGrid/>
        <w:spacing w:line="240" w:lineRule="auto"/>
        <w:ind w:leftChars="0"/>
        <w:textAlignment w:val="auto"/>
        <w:rPr>
          <w:rFonts w:hint="eastAsia"/>
        </w:rPr>
      </w:pPr>
      <w:r>
        <w:rPr>
          <w:rFonts w:hint="eastAsia"/>
        </w:rPr>
        <w:t>5.16酒石酸溶液：ρ=40 g/L。</w:t>
      </w:r>
    </w:p>
    <w:p>
      <w:pPr>
        <w:pStyle w:val="58"/>
        <w:keepNext w:val="0"/>
        <w:keepLines w:val="0"/>
        <w:pageBreakBefore w:val="0"/>
        <w:numPr>
          <w:ilvl w:val="0"/>
          <w:numId w:val="0"/>
        </w:numPr>
        <w:kinsoku/>
        <w:wordWrap/>
        <w:overflowPunct/>
        <w:topLinePunct w:val="0"/>
        <w:bidi w:val="0"/>
        <w:adjustRightInd/>
        <w:snapToGrid/>
        <w:spacing w:line="240" w:lineRule="auto"/>
        <w:textAlignment w:val="auto"/>
        <w:rPr>
          <w:rFonts w:hint="eastAsia" w:cs="Times New Roman" w:asciiTheme="minorEastAsia" w:hAnsiTheme="minorEastAsia" w:eastAsiaTheme="minorEastAsia"/>
          <w:sz w:val="21"/>
          <w:szCs w:val="21"/>
          <w:lang w:val="en-US" w:eastAsia="zh-CN" w:bidi="ar-SA"/>
        </w:rPr>
      </w:pPr>
      <w:r>
        <w:rPr>
          <w:rFonts w:hint="eastAsia" w:cs="Times New Roman" w:asciiTheme="minorEastAsia" w:hAnsiTheme="minorEastAsia" w:eastAsiaTheme="minorEastAsia"/>
          <w:sz w:val="21"/>
          <w:szCs w:val="21"/>
          <w:lang w:val="en-US" w:eastAsia="zh-CN" w:bidi="ar-SA"/>
        </w:rPr>
        <w:t>5.17单元素标准储备溶液：直接购买市售有证的单元素标准溶液。</w:t>
      </w:r>
    </w:p>
    <w:p>
      <w:pPr>
        <w:pStyle w:val="46"/>
      </w:pPr>
      <w:bookmarkStart w:id="27" w:name="_Toc6375"/>
      <w:bookmarkStart w:id="28" w:name="_Toc30297"/>
      <w:r>
        <w:rPr>
          <w:rFonts w:hint="eastAsia"/>
        </w:rPr>
        <w:t>仪器及材料</w:t>
      </w:r>
      <w:bookmarkEnd w:id="27"/>
      <w:bookmarkEnd w:id="28"/>
    </w:p>
    <w:p>
      <w:pPr>
        <w:pStyle w:val="114"/>
        <w:numPr>
          <w:ilvl w:val="3"/>
          <w:numId w:val="0"/>
        </w:numPr>
        <w:ind w:leftChars="0"/>
        <w:rPr>
          <w:rFonts w:hint="eastAsia"/>
        </w:rPr>
      </w:pPr>
      <w:r>
        <w:rPr>
          <w:rFonts w:hint="eastAsia"/>
        </w:rPr>
        <w:t>6.1  电感耦合等离子体发射光谱仪。</w:t>
      </w:r>
    </w:p>
    <w:p>
      <w:pPr>
        <w:pStyle w:val="114"/>
        <w:numPr>
          <w:ilvl w:val="3"/>
          <w:numId w:val="0"/>
        </w:numPr>
        <w:ind w:leftChars="0"/>
        <w:rPr>
          <w:rFonts w:hint="eastAsia"/>
        </w:rPr>
      </w:pPr>
      <w:r>
        <w:rPr>
          <w:rFonts w:hint="eastAsia"/>
        </w:rPr>
        <w:t>6.2  氩气：高纯级，纯度大于或等于99. 99%。</w:t>
      </w:r>
    </w:p>
    <w:p>
      <w:pPr>
        <w:pStyle w:val="114"/>
        <w:numPr>
          <w:ilvl w:val="3"/>
          <w:numId w:val="0"/>
        </w:numPr>
        <w:ind w:leftChars="0"/>
      </w:pPr>
      <w:r>
        <w:rPr>
          <w:rFonts w:hint="eastAsia"/>
        </w:rPr>
        <w:t>6.3  分析天平：感量0.1 mg。</w:t>
      </w:r>
    </w:p>
    <w:p>
      <w:pPr>
        <w:pStyle w:val="46"/>
      </w:pPr>
      <w:bookmarkStart w:id="29" w:name="_Toc29069"/>
      <w:bookmarkStart w:id="30" w:name="_Toc4507"/>
      <w:r>
        <w:rPr>
          <w:rFonts w:hint="eastAsia"/>
        </w:rPr>
        <w:t>分析步骤</w:t>
      </w:r>
      <w:bookmarkEnd w:id="29"/>
      <w:bookmarkEnd w:id="30"/>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rPr>
          <w:rFonts w:hint="eastAsia"/>
        </w:rPr>
      </w:pPr>
      <w:r>
        <w:rPr>
          <w:rFonts w:hint="eastAsia"/>
        </w:rPr>
        <w:t>称取试样各0.25g（精确至0.1 mg）于50 mL聚四氟乙烯烧杯中，随同进行三份空白试验。先用少量水润湿，加入10 mL硝酸(5.2)、10 mL氢氟酸(5.3)和2 mL高氯酸(5.4)，将聚四氟乙烯烧杯置于250℃的电热板上蒸发至高氯酸冒烟约3 min，取下冷却。依次加入10 mL硝酸(5.2)、10 mL氢氟酸(5.3)及2 mL高氯酸(5.4)，于电热板上加热10 min后关闭电源，放置过夜后，再次加热至高氯酸烟冒尽，取下。趁热加入8 mL王水(5.6)，在电热板上加热至溶液体积剩余2 mL～3 mL，用约10 mL去离子水冲洗杯壁，微热5 min～10 min 至溶液清亮，取下。冷却后将溶液转入25mL有刻度值带塞的聚乙烯试管中，用去离子水稀释至刻度，摇匀，静置澄清。</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按照仪器操作说明书规定条件启动仪器，仪器点火后至少稳定30 min，进行工作条件的最佳化调整。本方法所采用的分析仪器操作条件参见附录A.1，待测元素波长参见附录A.2。依次测定校准溶液，由计算机软件自动绘制校准曲线并储存。</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绘制完校准曲线后，按测定条件进行空白试验溶液、试样溶液的测定，由各待测成分的光谱强度经仪器计算机进行基体效正后，读出各成分的质量分数。</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1050" w:firstLineChars="500"/>
        <w:textAlignment w:val="auto"/>
        <w:rPr>
          <w:rFonts w:ascii="Times New Roman"/>
        </w:rPr>
      </w:pPr>
      <w:r>
        <w:rPr>
          <w:rFonts w:ascii="Times New Roman"/>
          <w:position w:val="-24"/>
        </w:rPr>
        <w:object>
          <v:shape id="_x0000_i1025" o:spt="75" type="#_x0000_t75" style="height:31.55pt;width:130.15pt;" o:ole="t" filled="f" o:preferrelative="t" stroked="f" coordsize="21600,21600">
            <v:path/>
            <v:fill on="f" focussize="0,0"/>
            <v:stroke on="f"/>
            <v:imagedata r:id="rId15" o:title=""/>
            <o:lock v:ext="edit" aspectratio="t"/>
            <w10:wrap type="none"/>
            <w10:anchorlock/>
          </v:shape>
          <o:OLEObject Type="Embed" ProgID="Equation.3" ShapeID="_x0000_i1025" DrawAspect="Content" ObjectID="_1468075725" r:id="rId14">
            <o:LockedField>false</o:LockedField>
          </o:OLEObject>
        </w:object>
      </w:r>
      <w:r>
        <w:rPr>
          <w:rFonts w:ascii="Times New Roman"/>
        </w:rPr>
        <w:t>……………………………………………………（1）</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式中：</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ω(B)——样品中待测物B的量，单位为</w:t>
      </w:r>
      <w:r>
        <w:rPr>
          <w:rFonts w:hint="eastAsia" w:hAnsi="宋体" w:cs="宋体"/>
          <w:sz w:val="21"/>
          <w:szCs w:val="21"/>
          <w:lang w:val="en-US" w:eastAsia="zh-CN"/>
        </w:rPr>
        <w:t>%</w:t>
      </w:r>
      <w:r>
        <w:rPr>
          <w:rFonts w:hint="eastAsia" w:ascii="宋体" w:hAnsi="宋体" w:eastAsia="宋体" w:cs="宋体"/>
          <w:sz w:val="21"/>
          <w:szCs w:val="21"/>
          <w:lang w:val="en-US" w:eastAsia="zh-CN"/>
        </w:rPr>
        <w:t>；</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ρ——测定溶液中待测物浓度，单位为微克每毫升（</w:t>
      </w:r>
      <w:r>
        <w:rPr>
          <w:rFonts w:hint="eastAsia" w:hAnsi="宋体" w:cs="宋体"/>
          <w:sz w:val="21"/>
          <w:szCs w:val="21"/>
          <w:lang w:val="en-US" w:eastAsia="zh-CN"/>
        </w:rPr>
        <w:t>mg</w:t>
      </w:r>
      <w:r>
        <w:rPr>
          <w:rFonts w:hint="eastAsia" w:ascii="宋体" w:hAnsi="宋体" w:eastAsia="宋体" w:cs="宋体"/>
          <w:sz w:val="21"/>
          <w:szCs w:val="21"/>
          <w:lang w:val="en-US" w:eastAsia="zh-CN"/>
        </w:rPr>
        <w:t>/L）；</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ρ</w:t>
      </w:r>
      <w:r>
        <w:rPr>
          <w:rFonts w:hint="eastAsia" w:ascii="宋体" w:hAnsi="宋体" w:eastAsia="宋体" w:cs="宋体"/>
          <w:sz w:val="21"/>
          <w:szCs w:val="21"/>
          <w:vertAlign w:val="subscript"/>
          <w:lang w:val="en-US" w:eastAsia="zh-CN"/>
        </w:rPr>
        <w:t>0</w:t>
      </w:r>
      <w:r>
        <w:rPr>
          <w:rFonts w:hint="eastAsia" w:ascii="宋体" w:hAnsi="宋体" w:eastAsia="宋体" w:cs="宋体"/>
          <w:sz w:val="21"/>
          <w:szCs w:val="21"/>
          <w:lang w:val="en-US" w:eastAsia="zh-CN"/>
        </w:rPr>
        <w:t>——实验室试剂空白溶液中待测物浓度，单位微克每毫升（</w:t>
      </w:r>
      <w:r>
        <w:rPr>
          <w:rFonts w:hint="eastAsia" w:hAnsi="宋体" w:cs="宋体"/>
          <w:sz w:val="21"/>
          <w:szCs w:val="21"/>
          <w:lang w:val="en-US" w:eastAsia="zh-CN"/>
        </w:rPr>
        <w:t>m</w:t>
      </w:r>
      <w:r>
        <w:rPr>
          <w:rFonts w:hint="eastAsia" w:ascii="宋体" w:hAnsi="宋体" w:eastAsia="宋体" w:cs="宋体"/>
          <w:sz w:val="21"/>
          <w:szCs w:val="21"/>
          <w:lang w:val="en-US" w:eastAsia="zh-CN"/>
        </w:rPr>
        <w:t>g/L）；</w:t>
      </w:r>
    </w:p>
    <w:p>
      <w:pPr>
        <w:pStyle w:val="26"/>
        <w:keepNext w:val="0"/>
        <w:keepLines w:val="0"/>
        <w:pageBreakBefore w:val="0"/>
        <w:widowControl/>
        <w:kinsoku/>
        <w:wordWrap/>
        <w:overflowPunct/>
        <w:topLinePunct w:val="0"/>
        <w:autoSpaceDE w:val="0"/>
        <w:autoSpaceDN w:val="0"/>
        <w:bidi w:val="0"/>
        <w:adjustRightInd/>
        <w:snapToGrid/>
        <w:spacing w:line="240" w:lineRule="auto"/>
        <w:ind w:firstLine="48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w:t>
      </w:r>
      <w:r>
        <w:rPr>
          <w:rFonts w:hint="eastAsia" w:hAnsi="宋体" w:cs="宋体"/>
          <w:sz w:val="21"/>
          <w:szCs w:val="21"/>
          <w:vertAlign w:val="subscript"/>
          <w:lang w:val="en-US" w:eastAsia="zh-CN"/>
        </w:rPr>
        <w:t>1</w:t>
      </w:r>
      <w:r>
        <w:rPr>
          <w:rFonts w:hint="eastAsia" w:ascii="宋体" w:hAnsi="宋体" w:eastAsia="宋体" w:cs="宋体"/>
          <w:sz w:val="21"/>
          <w:szCs w:val="21"/>
          <w:lang w:val="en-US" w:eastAsia="zh-CN"/>
        </w:rPr>
        <w:t>——测定溶液的体积，单位为毫升（mL）；</w:t>
      </w:r>
    </w:p>
    <w:p>
      <w:pPr>
        <w:pStyle w:val="26"/>
        <w:keepNext w:val="0"/>
        <w:keepLines w:val="0"/>
        <w:pageBreakBefore w:val="0"/>
        <w:widowControl/>
        <w:kinsoku/>
        <w:wordWrap/>
        <w:overflowPunct/>
        <w:topLinePunct w:val="0"/>
        <w:autoSpaceDE w:val="0"/>
        <w:autoSpaceDN w:val="0"/>
        <w:bidi w:val="0"/>
        <w:adjustRightInd/>
        <w:snapToGrid/>
        <w:spacing w:line="240" w:lineRule="auto"/>
        <w:ind w:left="0" w:leftChars="0" w:firstLine="420" w:firstLineChars="20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m——被称取样品的质量，单位为克（g）。</w:t>
      </w:r>
    </w:p>
    <w:p>
      <w:pPr>
        <w:pStyle w:val="46"/>
        <w:rPr>
          <w:rFonts w:hint="default"/>
          <w:lang w:val="en-US"/>
        </w:rPr>
      </w:pPr>
      <w:bookmarkStart w:id="31" w:name="_Toc17220"/>
      <w:r>
        <w:rPr>
          <w:rFonts w:hint="eastAsia"/>
          <w:lang w:val="en-US" w:eastAsia="zh-CN"/>
        </w:rPr>
        <w:t>正确度和精密度</w:t>
      </w:r>
      <w:bookmarkEnd w:id="31"/>
    </w:p>
    <w:p>
      <w:pPr>
        <w:pStyle w:val="43"/>
        <w:numPr>
          <w:ilvl w:val="1"/>
          <w:numId w:val="0"/>
        </w:numPr>
        <w:spacing w:before="156" w:after="156"/>
        <w:ind w:leftChars="0"/>
        <w:rPr>
          <w:rFonts w:ascii="Times New Roman"/>
        </w:rPr>
      </w:pPr>
      <w:bookmarkStart w:id="32" w:name="_Toc19101"/>
      <w:bookmarkStart w:id="33" w:name="_Toc12847"/>
      <w:r>
        <w:rPr>
          <w:rFonts w:hint="eastAsia" w:ascii="Times New Roman"/>
          <w:lang w:val="en-US" w:eastAsia="zh-CN"/>
        </w:rPr>
        <w:t>8.1</w:t>
      </w:r>
      <w:r>
        <w:rPr>
          <w:rFonts w:ascii="Times New Roman"/>
        </w:rPr>
        <w:t>正确度</w:t>
      </w:r>
      <w:bookmarkEnd w:id="32"/>
      <w:bookmarkEnd w:id="33"/>
    </w:p>
    <w:p>
      <w:pPr>
        <w:pStyle w:val="26"/>
        <w:rPr>
          <w:rFonts w:ascii="Times New Roman"/>
        </w:rPr>
      </w:pPr>
      <w:r>
        <w:rPr>
          <w:rFonts w:ascii="Times New Roman"/>
        </w:rPr>
        <w:t>根据各实验室的正确度试验验证数据统计得出，各实验室所提供按本标准方法的测定数据的准确度符合《地质矿产实验室测试质量管理规范》（DZ/T0130-2006）要求，正确度统计见表</w:t>
      </w:r>
      <w:r>
        <w:rPr>
          <w:rFonts w:hint="eastAsia" w:ascii="Times New Roman"/>
          <w:lang w:val="en-US" w:eastAsia="zh-CN"/>
        </w:rPr>
        <w:t>2</w:t>
      </w:r>
      <w:r>
        <w:rPr>
          <w:rFonts w:ascii="Times New Roman"/>
        </w:rPr>
        <w:t>～表</w:t>
      </w:r>
      <w:r>
        <w:rPr>
          <w:rFonts w:hint="eastAsia" w:ascii="Times New Roman"/>
          <w:lang w:val="en-US" w:eastAsia="zh-CN"/>
        </w:rPr>
        <w:t>10</w:t>
      </w:r>
      <w:r>
        <w:rPr>
          <w:rFonts w:ascii="Times New Roman"/>
        </w:rPr>
        <w:t>。</w:t>
      </w:r>
    </w:p>
    <w:p>
      <w:pPr>
        <w:pStyle w:val="43"/>
        <w:numPr>
          <w:ilvl w:val="1"/>
          <w:numId w:val="0"/>
        </w:numPr>
        <w:spacing w:before="156" w:after="156"/>
        <w:ind w:leftChars="0"/>
        <w:rPr>
          <w:rFonts w:ascii="Times New Roman"/>
        </w:rPr>
      </w:pPr>
      <w:bookmarkStart w:id="34" w:name="_Toc27711"/>
      <w:bookmarkStart w:id="35" w:name="_Toc28458"/>
      <w:r>
        <w:rPr>
          <w:rFonts w:hint="eastAsia" w:ascii="Times New Roman"/>
          <w:lang w:val="en-US" w:eastAsia="zh-CN"/>
        </w:rPr>
        <w:t>8.2</w:t>
      </w:r>
      <w:r>
        <w:rPr>
          <w:rFonts w:ascii="Times New Roman"/>
        </w:rPr>
        <w:t>精密度</w:t>
      </w:r>
      <w:bookmarkEnd w:id="34"/>
      <w:bookmarkEnd w:id="35"/>
    </w:p>
    <w:p>
      <w:pPr>
        <w:pStyle w:val="26"/>
        <w:rPr>
          <w:rFonts w:hint="eastAsia" w:ascii="Times New Roman"/>
        </w:rPr>
      </w:pPr>
      <w:r>
        <w:rPr>
          <w:rFonts w:ascii="Times New Roman"/>
        </w:rPr>
        <w:t>根据根据各实验室的精密度试验验证数据统计得出，各实验室所提供按本标准方法的测定数据的准确度符合《地质矿产实验室测试质量管理规范》（DZ/T0130-2006）要求，统计得到的重复性和再现性数据结果见表</w:t>
      </w:r>
      <w:r>
        <w:rPr>
          <w:rFonts w:hint="eastAsia" w:ascii="Times New Roman"/>
          <w:lang w:val="en-US" w:eastAsia="zh-CN"/>
        </w:rPr>
        <w:t>11</w:t>
      </w:r>
      <w:r>
        <w:rPr>
          <w:rFonts w:ascii="Times New Roman"/>
        </w:rPr>
        <w:t>。</w:t>
      </w:r>
    </w:p>
    <w:p>
      <w:pPr>
        <w:pStyle w:val="26"/>
        <w:keepNext w:val="0"/>
        <w:keepLines w:val="0"/>
        <w:pageBreakBefore w:val="0"/>
        <w:widowControl/>
        <w:kinsoku/>
        <w:wordWrap/>
        <w:overflowPunct/>
        <w:topLinePunct w:val="0"/>
        <w:autoSpaceDE w:val="0"/>
        <w:autoSpaceDN w:val="0"/>
        <w:bidi w:val="0"/>
        <w:adjustRightInd/>
        <w:snapToGrid/>
        <w:spacing w:line="360" w:lineRule="auto"/>
        <w:ind w:firstLine="480"/>
        <w:textAlignment w:val="auto"/>
        <w:rPr>
          <w:rFonts w:ascii="Times New Roman"/>
        </w:rPr>
      </w:pPr>
      <w:r>
        <w:rPr>
          <w:rFonts w:ascii="Times New Roman"/>
        </w:rPr>
        <w:t>从实验室间试验结果得到的统计数据见附录</w:t>
      </w:r>
      <w:r>
        <w:rPr>
          <w:rFonts w:hint="eastAsia" w:ascii="Times New Roman"/>
          <w:lang w:val="en-US" w:eastAsia="zh-CN"/>
        </w:rPr>
        <w:t>B</w:t>
      </w:r>
      <w:r>
        <w:rPr>
          <w:rFonts w:ascii="Times New Roman"/>
        </w:rPr>
        <w:t>。</w:t>
      </w:r>
    </w:p>
    <w:p>
      <w:pPr>
        <w:spacing w:line="360" w:lineRule="auto"/>
        <w:jc w:val="center"/>
        <w:rPr>
          <w:rFonts w:eastAsia="黑体"/>
          <w:szCs w:val="21"/>
        </w:rPr>
      </w:pPr>
      <w:r>
        <w:rPr>
          <w:rFonts w:hAnsi="黑体" w:eastAsia="黑体"/>
          <w:szCs w:val="21"/>
        </w:rPr>
        <w:t>表</w:t>
      </w:r>
      <w:r>
        <w:rPr>
          <w:rFonts w:hint="eastAsia" w:eastAsia="黑体"/>
          <w:color w:val="auto"/>
          <w:szCs w:val="21"/>
          <w:highlight w:val="none"/>
          <w:lang w:val="en-US" w:eastAsia="zh-CN"/>
        </w:rPr>
        <w:t xml:space="preserve">2 </w:t>
      </w:r>
      <w:r>
        <w:rPr>
          <w:rFonts w:hint="eastAsia" w:eastAsia="黑体"/>
          <w:szCs w:val="21"/>
          <w:lang w:val="en-US" w:eastAsia="zh-CN"/>
        </w:rPr>
        <w:t>Li</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397"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1.503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1.200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1.606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3.652</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2.819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0.566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0.480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0.584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0.673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0.659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0.036</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-0.0046</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-0.0115</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-0.0229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-0.009</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3</w:t>
      </w:r>
      <w:r>
        <w:rPr>
          <w:rFonts w:hint="eastAsia" w:eastAsia="黑体"/>
          <w:szCs w:val="21"/>
        </w:rPr>
        <w:t xml:space="preserve"> </w:t>
      </w:r>
      <w:r>
        <w:rPr>
          <w:rFonts w:hint="eastAsia" w:eastAsia="黑体"/>
          <w:szCs w:val="21"/>
          <w:lang w:val="en-US" w:eastAsia="zh-CN"/>
        </w:rPr>
        <w:t>Rb</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397"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1.297</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1.433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2.051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1.375</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2.164</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0.516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0.552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0.628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0.538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0.635</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0.0007</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-0.0034</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0.0034</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0.0027</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0.0070</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0.009</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0.006</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4</w:t>
      </w:r>
      <w:r>
        <w:rPr>
          <w:rFonts w:hint="eastAsia" w:eastAsia="黑体"/>
          <w:szCs w:val="21"/>
        </w:rPr>
        <w:t xml:space="preserve"> </w:t>
      </w:r>
      <w:r>
        <w:rPr>
          <w:rFonts w:hint="eastAsia" w:eastAsia="黑体"/>
          <w:szCs w:val="21"/>
          <w:lang w:val="en-US" w:eastAsia="zh-CN"/>
        </w:rPr>
        <w:t>Cs</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397"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1.465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1.319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1.811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1.333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1.509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0.559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0.523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0.609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0.527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0.568</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-0.0027</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-0.0036</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-0.0018</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0.009</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5</w:t>
      </w:r>
      <w:r>
        <w:rPr>
          <w:rFonts w:hint="eastAsia" w:eastAsia="黑体"/>
          <w:szCs w:val="21"/>
        </w:rPr>
        <w:t xml:space="preserve"> </w:t>
      </w:r>
      <w:r>
        <w:rPr>
          <w:rFonts w:hint="eastAsia" w:eastAsia="黑体"/>
          <w:szCs w:val="21"/>
          <w:lang w:val="en-US" w:eastAsia="zh-CN"/>
        </w:rPr>
        <w:t>Ti</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397"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1.802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2.239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1.353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1.466</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0.639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0.532</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0.559</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-0.0080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0.0113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0.0012</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6</w:t>
      </w:r>
      <w:r>
        <w:rPr>
          <w:rFonts w:hint="eastAsia" w:eastAsia="黑体"/>
          <w:szCs w:val="21"/>
        </w:rPr>
        <w:t xml:space="preserve"> </w:t>
      </w:r>
      <w:r>
        <w:rPr>
          <w:rFonts w:hint="eastAsia" w:eastAsia="黑体"/>
          <w:szCs w:val="21"/>
          <w:lang w:val="en-US" w:eastAsia="zh-CN"/>
        </w:rPr>
        <w:t>Mn</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285"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1.525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1.692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1.243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0.595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0.497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-0.0008</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0.0014</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r>
        <w:tblPrEx>
          <w:tblCellMar>
            <w:top w:w="0" w:type="dxa"/>
            <w:left w:w="108" w:type="dxa"/>
            <w:bottom w:w="0" w:type="dxa"/>
            <w:right w:w="108" w:type="dxa"/>
          </w:tblCellMar>
        </w:tblPrEx>
        <w:trPr>
          <w:trHeight w:val="414"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7</w:t>
      </w:r>
      <w:r>
        <w:rPr>
          <w:rFonts w:hint="eastAsia" w:eastAsia="黑体"/>
          <w:szCs w:val="21"/>
        </w:rPr>
        <w:t xml:space="preserve"> </w:t>
      </w:r>
      <w:r>
        <w:rPr>
          <w:rFonts w:hint="eastAsia" w:eastAsia="黑体"/>
          <w:szCs w:val="21"/>
          <w:lang w:val="en-US" w:eastAsia="zh-CN"/>
        </w:rPr>
        <w:t>Al</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285"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1.186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1.528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1.455</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0.474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0.571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0.557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0.075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0.099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0.068</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-0.035</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-0.032</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-0.076</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-0.132</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0.071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0.067</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8 Ca</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285"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1.144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1.186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2.049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0.453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0.474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0.628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0.001</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0.0060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0.0217</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0.0008</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0.0190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-0.0080</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-0.0076</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0.0064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0.0244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0.0086</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0.0092</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0.017</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0.001</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0.006</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9</w:t>
      </w:r>
      <w:r>
        <w:rPr>
          <w:rFonts w:hint="eastAsia" w:eastAsia="黑体"/>
          <w:szCs w:val="21"/>
        </w:rPr>
        <w:t xml:space="preserve"> </w:t>
      </w:r>
      <w:r>
        <w:rPr>
          <w:rFonts w:hint="eastAsia" w:eastAsia="黑体"/>
          <w:szCs w:val="21"/>
          <w:lang w:val="en-US" w:eastAsia="zh-CN"/>
        </w:rPr>
        <w:t>K</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285"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1.808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1.688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2.151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0.608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0.595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0.634</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0.079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0.031</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-0.031</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0.021</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-0.057</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-0.084</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-0.059</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-0.057</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0.081</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0.100</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0.018</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0.009</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0.012</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0.004</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r>
    </w:tbl>
    <w:p>
      <w:pPr>
        <w:spacing w:line="360" w:lineRule="auto"/>
        <w:jc w:val="center"/>
        <w:rPr>
          <w:rFonts w:eastAsia="黑体"/>
          <w:szCs w:val="21"/>
        </w:rPr>
      </w:pPr>
      <w:r>
        <w:rPr>
          <w:rFonts w:hAnsi="黑体" w:eastAsia="黑体"/>
          <w:szCs w:val="21"/>
        </w:rPr>
        <w:t>表</w:t>
      </w:r>
      <w:r>
        <w:rPr>
          <w:rFonts w:hint="eastAsia" w:eastAsia="黑体"/>
          <w:szCs w:val="21"/>
          <w:lang w:val="en-US" w:eastAsia="zh-CN"/>
        </w:rPr>
        <w:t>10</w:t>
      </w:r>
      <w:r>
        <w:rPr>
          <w:rFonts w:hint="eastAsia" w:eastAsia="黑体"/>
          <w:szCs w:val="21"/>
        </w:rPr>
        <w:t xml:space="preserve"> </w:t>
      </w:r>
      <w:r>
        <w:rPr>
          <w:rFonts w:hint="eastAsia" w:eastAsia="黑体"/>
          <w:szCs w:val="21"/>
          <w:lang w:val="en-US" w:eastAsia="zh-CN"/>
        </w:rPr>
        <w:t>Na</w:t>
      </w:r>
      <w:r>
        <w:rPr>
          <w:rFonts w:hint="eastAsia" w:eastAsia="黑体"/>
          <w:szCs w:val="21"/>
        </w:rPr>
        <w:t>元素</w:t>
      </w:r>
      <w:r>
        <w:rPr>
          <w:rFonts w:hAnsi="黑体" w:eastAsia="黑体"/>
          <w:szCs w:val="21"/>
        </w:rPr>
        <w:t>方法正确度相关参数计算结果</w:t>
      </w:r>
    </w:p>
    <w:tbl>
      <w:tblPr>
        <w:tblStyle w:val="34"/>
        <w:tblW w:w="5000" w:type="pct"/>
        <w:tblInd w:w="0" w:type="dxa"/>
        <w:tblLayout w:type="autofit"/>
        <w:tblCellMar>
          <w:top w:w="0" w:type="dxa"/>
          <w:left w:w="108" w:type="dxa"/>
          <w:bottom w:w="0" w:type="dxa"/>
          <w:right w:w="108" w:type="dxa"/>
        </w:tblCellMar>
      </w:tblPr>
      <w:tblGrid>
        <w:gridCol w:w="1363"/>
        <w:gridCol w:w="1627"/>
        <w:gridCol w:w="1629"/>
        <w:gridCol w:w="1629"/>
        <w:gridCol w:w="1629"/>
        <w:gridCol w:w="1693"/>
      </w:tblGrid>
      <w:tr>
        <w:tblPrEx>
          <w:tblCellMar>
            <w:top w:w="0" w:type="dxa"/>
            <w:left w:w="108" w:type="dxa"/>
            <w:bottom w:w="0" w:type="dxa"/>
            <w:right w:w="108" w:type="dxa"/>
          </w:tblCellMar>
        </w:tblPrEx>
        <w:trPr>
          <w:trHeight w:val="285" w:hRule="atLeast"/>
        </w:trPr>
        <w:tc>
          <w:tcPr>
            <w:tcW w:w="712" w:type="pct"/>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统计参数</w:t>
            </w:r>
          </w:p>
        </w:tc>
        <w:tc>
          <w:tcPr>
            <w:tcW w:w="4287" w:type="pct"/>
            <w:gridSpan w:val="5"/>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水平</w:t>
            </w:r>
          </w:p>
        </w:tc>
      </w:tr>
      <w:tr>
        <w:tblPrEx>
          <w:tblCellMar>
            <w:top w:w="0" w:type="dxa"/>
            <w:left w:w="108" w:type="dxa"/>
            <w:bottom w:w="0" w:type="dxa"/>
            <w:right w:w="108" w:type="dxa"/>
          </w:tblCellMar>
        </w:tblPrEx>
        <w:trPr>
          <w:trHeight w:val="365" w:hRule="atLeast"/>
        </w:trPr>
        <w:tc>
          <w:tcPr>
            <w:tcW w:w="712"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Times New Roman" w:hAnsi="Times New Roman" w:eastAsia="宋体" w:cs="Times New Roman"/>
                <w:color w:val="000000"/>
                <w:kern w:val="0"/>
                <w:sz w:val="21"/>
                <w:szCs w:val="21"/>
              </w:rPr>
            </w:pPr>
          </w:p>
        </w:tc>
        <w:tc>
          <w:tcPr>
            <w:tcW w:w="1449" w:type="dxa"/>
            <w:tcBorders>
              <w:top w:val="nil"/>
              <w:left w:val="nil"/>
              <w:bottom w:val="single" w:color="auto" w:sz="4" w:space="0"/>
              <w:right w:val="single" w:color="auto" w:sz="4" w:space="0"/>
            </w:tcBorders>
            <w:shd w:val="clear" w:color="000000" w:fill="FFFFFF"/>
            <w:noWrap w:val="0"/>
            <w:vAlign w:val="center"/>
          </w:tcPr>
          <w:p>
            <w:pPr>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451"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507" w:type="dxa"/>
            <w:tcBorders>
              <w:top w:val="nil"/>
              <w:left w:val="nil"/>
              <w:bottom w:val="single" w:color="auto" w:sz="4" w:space="0"/>
              <w:right w:val="single" w:color="auto" w:sz="4" w:space="0"/>
            </w:tcBorders>
            <w:shd w:val="clear" w:color="000000" w:fill="FFFFFF"/>
            <w:noWrap w:val="0"/>
            <w:vAlign w:val="center"/>
          </w:tcPr>
          <w:p>
            <w:pPr>
              <w:spacing w:line="36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γ</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1.512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1.719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2.306</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0.568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0.599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0.642</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0.370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0.009</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0.016</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0.066</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0.012</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0.006</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0.043</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-0.024</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-0.060</w:t>
            </w:r>
          </w:p>
        </w:tc>
      </w:tr>
      <w:tr>
        <w:tblPrEx>
          <w:tblCellMar>
            <w:top w:w="0" w:type="dxa"/>
            <w:left w:w="108" w:type="dxa"/>
            <w:bottom w:w="0" w:type="dxa"/>
            <w:right w:w="108" w:type="dxa"/>
          </w:tblCellMar>
        </w:tblPrEx>
        <w:trPr>
          <w:trHeight w:val="330" w:hRule="atLeast"/>
        </w:trPr>
        <w:tc>
          <w:tcPr>
            <w:tcW w:w="712" w:type="pc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δ+A*S</w:t>
            </w:r>
            <w:r>
              <w:rPr>
                <w:rFonts w:hint="default" w:ascii="Times New Roman" w:hAnsi="Times New Roman" w:eastAsia="宋体" w:cs="Times New Roman"/>
                <w:color w:val="000000"/>
                <w:kern w:val="0"/>
                <w:sz w:val="21"/>
                <w:szCs w:val="21"/>
                <w:vertAlign w:val="subscript"/>
              </w:rPr>
              <w:t>R</w:t>
            </w:r>
          </w:p>
        </w:tc>
        <w:tc>
          <w:tcPr>
            <w:tcW w:w="1449"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0.062</w:t>
            </w:r>
          </w:p>
        </w:tc>
        <w:tc>
          <w:tcPr>
            <w:tcW w:w="1451"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c>
          <w:tcPr>
            <w:tcW w:w="1507" w:type="dxa"/>
            <w:tcBorders>
              <w:top w:val="nil"/>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0.072</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RE%</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0.025</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0.023</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r>
      <w:tr>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∆lgC</w:t>
            </w:r>
          </w:p>
        </w:tc>
        <w:tc>
          <w:tcPr>
            <w:tcW w:w="1449"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0.011</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0.010</w:t>
            </w:r>
          </w:p>
        </w:tc>
        <w:tc>
          <w:tcPr>
            <w:tcW w:w="1451"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-0.001</w:t>
            </w:r>
          </w:p>
        </w:tc>
        <w:tc>
          <w:tcPr>
            <w:tcW w:w="1507" w:type="dxa"/>
            <w:tcBorders>
              <w:top w:val="single" w:color="auto" w:sz="4" w:space="0"/>
              <w:left w:val="nil"/>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0.001</w:t>
            </w:r>
          </w:p>
        </w:tc>
      </w:tr>
    </w:tbl>
    <w:p>
      <w:pPr>
        <w:pStyle w:val="128"/>
        <w:numPr>
          <w:ilvl w:val="0"/>
          <w:numId w:val="0"/>
        </w:numPr>
        <w:spacing w:beforeLines="0" w:afterLines="0"/>
        <w:rPr>
          <w:rFonts w:ascii="Times New Roman"/>
          <w:szCs w:val="21"/>
        </w:rPr>
      </w:pPr>
    </w:p>
    <w:p>
      <w:pPr>
        <w:pStyle w:val="128"/>
        <w:numPr>
          <w:ilvl w:val="0"/>
          <w:numId w:val="0"/>
        </w:numPr>
        <w:spacing w:beforeLines="0" w:afterLines="0"/>
        <w:rPr>
          <w:rFonts w:ascii="Times New Roman"/>
          <w:szCs w:val="21"/>
        </w:rPr>
      </w:pPr>
      <w:r>
        <w:rPr>
          <w:rFonts w:ascii="Times New Roman"/>
          <w:szCs w:val="21"/>
        </w:rPr>
        <w:t>表</w:t>
      </w:r>
      <w:r>
        <w:rPr>
          <w:rFonts w:hint="eastAsia" w:ascii="Times New Roman"/>
          <w:szCs w:val="21"/>
          <w:lang w:val="en-US" w:eastAsia="zh-CN"/>
        </w:rPr>
        <w:t>11</w:t>
      </w:r>
      <w:r>
        <w:rPr>
          <w:rFonts w:ascii="Times New Roman"/>
          <w:szCs w:val="21"/>
        </w:rPr>
        <w:t xml:space="preserve"> </w:t>
      </w:r>
      <w:r>
        <w:rPr>
          <w:rFonts w:hint="eastAsia" w:ascii="Times New Roman"/>
          <w:szCs w:val="21"/>
        </w:rPr>
        <w:t>锂、铷、铯、钛、锰、铝、钙、钾、钠</w:t>
      </w:r>
      <w:r>
        <w:rPr>
          <w:rFonts w:ascii="Times New Roman"/>
          <w:szCs w:val="21"/>
        </w:rPr>
        <w:t>的重复性限和再现性限</w:t>
      </w:r>
    </w:p>
    <w:tbl>
      <w:tblPr>
        <w:tblStyle w:val="3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74"/>
        <w:gridCol w:w="2180"/>
        <w:gridCol w:w="2687"/>
        <w:gridCol w:w="2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 w:hRule="atLeast"/>
        </w:trPr>
        <w:tc>
          <w:tcPr>
            <w:tcW w:w="1136" w:type="pct"/>
            <w:tcBorders>
              <w:top w:val="single" w:color="auto" w:sz="12" w:space="0"/>
              <w:left w:val="single" w:color="auto" w:sz="12" w:space="0"/>
              <w:bottom w:val="single" w:color="auto" w:sz="12" w:space="0"/>
            </w:tcBorders>
            <w:vAlign w:val="center"/>
          </w:tcPr>
          <w:p>
            <w:pPr>
              <w:pStyle w:val="26"/>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元素</w:t>
            </w:r>
          </w:p>
        </w:tc>
        <w:tc>
          <w:tcPr>
            <w:tcW w:w="2180" w:type="dxa"/>
            <w:tcBorders>
              <w:top w:val="single" w:color="auto" w:sz="12" w:space="0"/>
              <w:bottom w:val="single" w:color="auto" w:sz="12" w:space="0"/>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highlight w:val="none"/>
              </w:rPr>
              <w:t>水平范围</w:t>
            </w:r>
            <w:r>
              <w:rPr>
                <w:rFonts w:hint="default" w:ascii="Times New Roman" w:hAnsi="Times New Roman" w:eastAsia="宋体" w:cs="Times New Roman"/>
                <w:i/>
                <w:kern w:val="0"/>
                <w:sz w:val="21"/>
                <w:szCs w:val="21"/>
                <w:highlight w:val="none"/>
              </w:rPr>
              <w:t>m（</w:t>
            </w:r>
            <w:r>
              <w:rPr>
                <w:rFonts w:hint="default" w:ascii="Times New Roman" w:hAnsi="Times New Roman" w:eastAsia="宋体" w:cs="Times New Roman"/>
                <w:i/>
                <w:iCs/>
                <w:kern w:val="0"/>
                <w:sz w:val="21"/>
                <w:szCs w:val="21"/>
                <w:highlight w:val="none"/>
              </w:rPr>
              <w:t>%</w:t>
            </w:r>
            <w:r>
              <w:rPr>
                <w:rFonts w:hint="default" w:ascii="Times New Roman" w:hAnsi="Times New Roman" w:eastAsia="宋体" w:cs="Times New Roman"/>
                <w:kern w:val="0"/>
                <w:sz w:val="21"/>
                <w:szCs w:val="21"/>
                <w:highlight w:val="none"/>
              </w:rPr>
              <w:t>）</w:t>
            </w:r>
          </w:p>
        </w:tc>
        <w:tc>
          <w:tcPr>
            <w:tcW w:w="2687" w:type="dxa"/>
            <w:tcBorders>
              <w:top w:val="single" w:color="auto" w:sz="12" w:space="0"/>
              <w:bottom w:val="single" w:color="auto" w:sz="12" w:space="0"/>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highlight w:val="none"/>
              </w:rPr>
              <w:t>重复性限</w:t>
            </w:r>
            <w:r>
              <w:rPr>
                <w:rFonts w:hint="default" w:ascii="Times New Roman" w:hAnsi="Times New Roman" w:eastAsia="宋体" w:cs="Times New Roman"/>
                <w:i/>
                <w:kern w:val="0"/>
                <w:sz w:val="21"/>
                <w:szCs w:val="21"/>
                <w:highlight w:val="none"/>
              </w:rPr>
              <w:t>r</w:t>
            </w:r>
          </w:p>
        </w:tc>
        <w:tc>
          <w:tcPr>
            <w:tcW w:w="2527" w:type="dxa"/>
            <w:tcBorders>
              <w:top w:val="single" w:color="auto" w:sz="12" w:space="0"/>
              <w:bottom w:val="single" w:color="auto" w:sz="12" w:space="0"/>
              <w:right w:val="single" w:color="auto" w:sz="12" w:space="0"/>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highlight w:val="none"/>
              </w:rPr>
              <w:t>再现性限</w:t>
            </w:r>
            <w:r>
              <w:rPr>
                <w:rFonts w:hint="default" w:ascii="Times New Roman" w:hAnsi="Times New Roman" w:eastAsia="宋体" w:cs="Times New Roman"/>
                <w:i/>
                <w:kern w:val="0"/>
                <w:sz w:val="21"/>
                <w:szCs w:val="21"/>
                <w:highlight w:val="none"/>
              </w:rPr>
              <w:t>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trPr>
        <w:tc>
          <w:tcPr>
            <w:tcW w:w="1136" w:type="pct"/>
            <w:tcBorders>
              <w:top w:val="single" w:color="auto" w:sz="12" w:space="0"/>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Li</w:t>
            </w:r>
          </w:p>
        </w:tc>
        <w:tc>
          <w:tcPr>
            <w:tcW w:w="2180" w:type="dxa"/>
            <w:tcBorders>
              <w:top w:val="single" w:color="auto" w:sz="12" w:space="0"/>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0.007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highlight w:val="none"/>
                <w:lang w:val="en-US" w:eastAsia="zh-CN"/>
              </w:rPr>
              <w:t>1.06</w:t>
            </w:r>
          </w:p>
        </w:tc>
        <w:tc>
          <w:tcPr>
            <w:tcW w:w="2687" w:type="dxa"/>
            <w:tcBorders>
              <w:top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rPr>
              <w:t>r=-0.0</w:t>
            </w:r>
            <w:r>
              <w:rPr>
                <w:rFonts w:hint="default" w:ascii="Times New Roman" w:hAnsi="Times New Roman" w:eastAsia="宋体" w:cs="Times New Roman"/>
                <w:color w:val="000000"/>
                <w:sz w:val="21"/>
                <w:szCs w:val="21"/>
                <w:highlight w:val="none"/>
                <w:lang w:val="en-US" w:eastAsia="zh-CN"/>
              </w:rPr>
              <w:t>51m</w:t>
            </w:r>
            <w:r>
              <w:rPr>
                <w:rFonts w:hint="default" w:ascii="Times New Roman" w:hAnsi="Times New Roman" w:eastAsia="宋体" w:cs="Times New Roman"/>
                <w:color w:val="000000"/>
                <w:sz w:val="21"/>
                <w:szCs w:val="21"/>
                <w:highlight w:val="none"/>
              </w:rPr>
              <w:t>+</w:t>
            </w:r>
            <w:r>
              <w:rPr>
                <w:rFonts w:hint="default" w:ascii="Times New Roman" w:hAnsi="Times New Roman" w:eastAsia="宋体" w:cs="Times New Roman"/>
                <w:color w:val="000000"/>
                <w:sz w:val="21"/>
                <w:szCs w:val="21"/>
                <w:highlight w:val="none"/>
                <w:lang w:val="en-US" w:eastAsia="zh-CN"/>
              </w:rPr>
              <w:t>0.0007</w:t>
            </w:r>
          </w:p>
        </w:tc>
        <w:tc>
          <w:tcPr>
            <w:tcW w:w="2527" w:type="dxa"/>
            <w:tcBorders>
              <w:top w:val="single" w:color="auto" w:sz="12" w:space="0"/>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rPr>
              <w:t>R=</w:t>
            </w:r>
            <w:r>
              <w:rPr>
                <w:rFonts w:hint="default" w:ascii="Times New Roman" w:hAnsi="Times New Roman" w:eastAsia="宋体" w:cs="Times New Roman"/>
                <w:color w:val="000000"/>
                <w:sz w:val="21"/>
                <w:szCs w:val="21"/>
                <w:highlight w:val="none"/>
                <w:lang w:val="en-US" w:eastAsia="zh-CN"/>
              </w:rPr>
              <w:t>0.1441m+0.0034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 w:hRule="atLeast"/>
        </w:trPr>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Rb</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0.02</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highlight w:val="none"/>
                <w:lang w:val="en-US" w:eastAsia="zh-CN"/>
              </w:rPr>
              <w:t>0.67</w:t>
            </w:r>
          </w:p>
        </w:tc>
        <w:tc>
          <w:tcPr>
            <w:tcW w:w="2687"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sz w:val="21"/>
                <w:szCs w:val="21"/>
                <w:highlight w:val="none"/>
              </w:rPr>
              <w:t>r=</w:t>
            </w:r>
            <w:r>
              <w:rPr>
                <w:rFonts w:hint="default" w:ascii="Times New Roman" w:hAnsi="Times New Roman" w:eastAsia="宋体" w:cs="Times New Roman"/>
                <w:color w:val="000000"/>
                <w:sz w:val="21"/>
                <w:szCs w:val="21"/>
                <w:highlight w:val="none"/>
                <w:lang w:val="en-US" w:eastAsia="zh-CN"/>
              </w:rPr>
              <w:t>0.0575m</w:t>
            </w:r>
            <w:r>
              <w:rPr>
                <w:rFonts w:hint="default" w:ascii="Times New Roman" w:hAnsi="Times New Roman" w:eastAsia="宋体" w:cs="Times New Roman"/>
                <w:color w:val="000000"/>
                <w:sz w:val="21"/>
                <w:szCs w:val="21"/>
                <w:highlight w:val="none"/>
                <w:vertAlign w:val="superscript"/>
                <w:lang w:val="en-US" w:eastAsia="zh-CN"/>
              </w:rPr>
              <w:t>0.8213</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sz w:val="21"/>
                <w:szCs w:val="21"/>
                <w:highlight w:val="none"/>
              </w:rPr>
              <w:t>R=</w:t>
            </w:r>
            <w:r>
              <w:rPr>
                <w:rFonts w:hint="default" w:ascii="Times New Roman" w:hAnsi="Times New Roman" w:eastAsia="宋体" w:cs="Times New Roman"/>
                <w:color w:val="000000"/>
                <w:sz w:val="21"/>
                <w:szCs w:val="21"/>
                <w:highlight w:val="none"/>
                <w:lang w:val="en-US" w:eastAsia="zh-CN"/>
              </w:rPr>
              <w:t>0.1237m+0.0013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Cs</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0.0017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0.17</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w:t>
            </w:r>
            <w:r>
              <w:rPr>
                <w:rFonts w:hint="default" w:ascii="Times New Roman" w:hAnsi="Times New Roman" w:eastAsia="宋体" w:cs="Times New Roman"/>
                <w:color w:val="000000"/>
                <w:sz w:val="21"/>
                <w:szCs w:val="21"/>
                <w:highlight w:val="none"/>
              </w:rPr>
              <w:t xml:space="preserve"> = 0.09765 </w:t>
            </w:r>
            <w:r>
              <w:rPr>
                <w:rFonts w:hint="default" w:ascii="Times New Roman" w:hAnsi="Times New Roman" w:eastAsia="宋体" w:cs="Times New Roman"/>
                <w:color w:val="000000"/>
                <w:sz w:val="21"/>
                <w:szCs w:val="21"/>
                <w:highlight w:val="none"/>
                <w:lang w:val="en-US" w:eastAsia="zh-CN"/>
              </w:rPr>
              <w:t>m+</w:t>
            </w:r>
            <w:r>
              <w:rPr>
                <w:rFonts w:hint="default" w:ascii="Times New Roman" w:hAnsi="Times New Roman" w:eastAsia="宋体" w:cs="Times New Roman"/>
                <w:color w:val="000000"/>
                <w:sz w:val="21"/>
                <w:szCs w:val="21"/>
                <w:highlight w:val="none"/>
              </w:rPr>
              <w:t xml:space="preserve"> 0.00003</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w:t>
            </w:r>
            <w:r>
              <w:rPr>
                <w:rFonts w:hint="default" w:ascii="Times New Roman" w:hAnsi="Times New Roman" w:eastAsia="宋体" w:cs="Times New Roman"/>
                <w:color w:val="000000"/>
                <w:sz w:val="21"/>
                <w:szCs w:val="21"/>
                <w:highlight w:val="none"/>
              </w:rPr>
              <w:t xml:space="preserve"> = 0.14755 </w:t>
            </w:r>
            <w:r>
              <w:rPr>
                <w:rFonts w:hint="default" w:ascii="Times New Roman" w:hAnsi="Times New Roman" w:eastAsia="宋体" w:cs="Times New Roman"/>
                <w:color w:val="000000"/>
                <w:sz w:val="21"/>
                <w:szCs w:val="21"/>
                <w:highlight w:val="none"/>
                <w:lang w:val="en-US" w:eastAsia="zh-CN"/>
              </w:rPr>
              <w:t>m-</w:t>
            </w:r>
            <w:r>
              <w:rPr>
                <w:rFonts w:hint="default" w:ascii="Times New Roman" w:hAnsi="Times New Roman" w:eastAsia="宋体" w:cs="Times New Roman"/>
                <w:color w:val="000000"/>
                <w:sz w:val="21"/>
                <w:szCs w:val="21"/>
                <w:highlight w:val="none"/>
              </w:rPr>
              <w:t>0.00009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0.011~0.31</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0.0588m+ 0.001</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0.1223m-0.0005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Mn</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0.013~0.20</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0.0679m+0.0003</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0.0432m</w:t>
            </w:r>
            <w:r>
              <w:rPr>
                <w:rFonts w:hint="default" w:ascii="Times New Roman" w:hAnsi="Times New Roman" w:eastAsia="宋体" w:cs="Times New Roman"/>
                <w:color w:val="000000"/>
                <w:sz w:val="21"/>
                <w:szCs w:val="21"/>
                <w:highlight w:val="none"/>
                <w:vertAlign w:val="superscript"/>
                <w:lang w:val="en-US" w:eastAsia="zh-CN"/>
              </w:rPr>
              <w:t>0.7323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Al</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6.03~10.12</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0.0662m-0.1694</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0.0421m+0.086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Ca</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0.019~1.11</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0.0523m+0.0042</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0.0757m</w:t>
            </w:r>
            <w:r>
              <w:rPr>
                <w:rFonts w:hint="default" w:ascii="Times New Roman" w:hAnsi="Times New Roman" w:eastAsia="宋体" w:cs="Times New Roman"/>
                <w:color w:val="000000"/>
                <w:sz w:val="21"/>
                <w:szCs w:val="21"/>
                <w:highlight w:val="none"/>
                <w:vertAlign w:val="superscript"/>
                <w:lang w:val="en-US" w:eastAsia="zh-CN"/>
              </w:rPr>
              <w:t>0.8143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1.88~4.16</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0.0893m</w:t>
            </w:r>
            <w:r>
              <w:rPr>
                <w:rFonts w:hint="default" w:ascii="Times New Roman" w:hAnsi="Times New Roman" w:eastAsia="宋体" w:cs="Times New Roman"/>
                <w:color w:val="000000"/>
                <w:sz w:val="21"/>
                <w:szCs w:val="21"/>
                <w:highlight w:val="none"/>
                <w:vertAlign w:val="superscript"/>
                <w:lang w:val="en-US" w:eastAsia="zh-CN"/>
              </w:rPr>
              <w:t>0.5193</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0.2469m</w:t>
            </w:r>
            <w:r>
              <w:rPr>
                <w:rFonts w:hint="default" w:ascii="Times New Roman" w:hAnsi="Times New Roman" w:eastAsia="宋体" w:cs="Times New Roman"/>
                <w:color w:val="000000"/>
                <w:sz w:val="21"/>
                <w:szCs w:val="21"/>
                <w:highlight w:val="none"/>
                <w:vertAlign w:val="superscript"/>
                <w:lang w:val="en-US" w:eastAsia="zh-CN"/>
              </w:rPr>
              <w:t>-0.032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6" w:type="pct"/>
            <w:tcBorders>
              <w:left w:val="single" w:color="auto" w:sz="12" w:space="0"/>
            </w:tcBorders>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Na</w:t>
            </w:r>
          </w:p>
        </w:tc>
        <w:tc>
          <w:tcPr>
            <w:tcW w:w="2180" w:type="dxa"/>
            <w:vAlign w:val="center"/>
          </w:tcPr>
          <w:p>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0.12~3.11</w:t>
            </w:r>
          </w:p>
        </w:tc>
        <w:tc>
          <w:tcPr>
            <w:tcW w:w="2687" w:type="dxa"/>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0.0629m</w:t>
            </w:r>
            <w:r>
              <w:rPr>
                <w:rFonts w:hint="default" w:ascii="Times New Roman" w:hAnsi="Times New Roman" w:eastAsia="宋体" w:cs="Times New Roman"/>
                <w:color w:val="000000"/>
                <w:sz w:val="21"/>
                <w:szCs w:val="21"/>
                <w:highlight w:val="none"/>
                <w:vertAlign w:val="superscript"/>
                <w:lang w:val="en-US" w:eastAsia="zh-CN"/>
              </w:rPr>
              <w:t>0.6556</w:t>
            </w:r>
          </w:p>
        </w:tc>
        <w:tc>
          <w:tcPr>
            <w:tcW w:w="2527" w:type="dxa"/>
            <w:tcBorders>
              <w:right w:val="single" w:color="auto" w:sz="12" w:space="0"/>
            </w:tcBorders>
            <w:vAlign w:val="center"/>
          </w:tcPr>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lang w:val="en-US" w:eastAsia="zh-CN"/>
              </w:rPr>
              <w:t>R = 0.072m+ 0.0038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4"/>
            <w:tcBorders>
              <w:left w:val="single" w:color="auto" w:sz="12" w:space="0"/>
              <w:bottom w:val="single" w:color="auto" w:sz="12" w:space="0"/>
              <w:right w:val="single" w:color="auto" w:sz="12" w:space="0"/>
            </w:tcBorders>
          </w:tcPr>
          <w:p>
            <w:pPr>
              <w:pStyle w:val="58"/>
              <w:numPr>
                <w:ilvl w:val="0"/>
                <w:numId w:val="6"/>
              </w:numP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本精密度数据是由8个实验室</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个水平的试样进行试验确定。</w:t>
            </w:r>
          </w:p>
        </w:tc>
      </w:tr>
    </w:tbl>
    <w:p>
      <w:pPr>
        <w:pStyle w:val="153"/>
        <w:numPr>
          <w:ilvl w:val="1"/>
          <w:numId w:val="0"/>
        </w:numPr>
        <w:spacing w:before="312" w:after="312"/>
        <w:ind w:leftChars="0"/>
        <w:rPr>
          <w:rFonts w:hint="eastAsia" w:hAnsi="Times New Roman" w:cs="Times New Roman"/>
          <w:szCs w:val="21"/>
          <w:lang w:val="en-US" w:eastAsia="zh-CN"/>
        </w:rPr>
      </w:pPr>
      <w:bookmarkStart w:id="36" w:name="_Toc28198"/>
      <w:r>
        <w:rPr>
          <w:rFonts w:hint="eastAsia" w:hAnsi="Times New Roman" w:cs="Times New Roman"/>
          <w:szCs w:val="21"/>
          <w:lang w:val="en-US" w:eastAsia="zh-CN"/>
        </w:rPr>
        <w:t>9.质量保证和控制</w:t>
      </w:r>
      <w:bookmarkEnd w:id="36"/>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rPr>
          <w:rFonts w:ascii="Times New Roman"/>
        </w:rPr>
      </w:pPr>
      <w:r>
        <w:rPr>
          <w:rFonts w:ascii="Times New Roman"/>
        </w:rPr>
        <w:t>对于每次批量测量，需根据待测试料</w:t>
      </w:r>
      <w:r>
        <w:rPr>
          <w:rFonts w:hint="eastAsia" w:ascii="Times New Roman"/>
        </w:rPr>
        <w:t>稀土元素</w:t>
      </w:r>
      <w:r>
        <w:rPr>
          <w:rFonts w:ascii="Times New Roman"/>
        </w:rPr>
        <w:t>的含量范围，制作校准曲线，测量值应在曲线的线性范围之内，校准曲线的相关系数γ</w:t>
      </w:r>
      <w:r>
        <w:rPr>
          <w:rFonts w:ascii="Times New Roman"/>
          <w:sz w:val="18"/>
          <w:szCs w:val="18"/>
        </w:rPr>
        <w:t>≥</w:t>
      </w:r>
      <w:r>
        <w:rPr>
          <w:rFonts w:ascii="Times New Roman"/>
        </w:rPr>
        <w:t>0.999；</w:t>
      </w:r>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rPr>
          <w:rFonts w:ascii="Times New Roman"/>
        </w:rPr>
      </w:pPr>
      <w:r>
        <w:rPr>
          <w:rFonts w:ascii="Times New Roman"/>
        </w:rPr>
        <w:t>在批量样品测定过程中，每测定50件样品，需对至少某一个校准溶液点进行核查，如出现异常，应查明原因后进行处理；</w:t>
      </w:r>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rPr>
          <w:rFonts w:ascii="Times New Roman"/>
        </w:rPr>
      </w:pPr>
      <w:r>
        <w:rPr>
          <w:rFonts w:ascii="Times New Roman"/>
        </w:rPr>
        <w:t>严格按照相关区域化探样品质量管理规范，对每一个分析批采用同类型标准物质进行分析方法准确度和精密度控制，当过程失控，应查找原因，纠正错误后，重新进行校核。</w:t>
      </w:r>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rPr>
          <w:rFonts w:hint="eastAsia" w:ascii="Times New Roman"/>
        </w:rPr>
      </w:pPr>
      <w:r>
        <w:rPr>
          <w:rFonts w:ascii="Times New Roman"/>
        </w:rPr>
        <w:t>试验结果应在分析方法的测定范围之内，若超出测定范围，应采用相应的分析方法进行验证。</w:t>
      </w:r>
    </w:p>
    <w:p>
      <w:pPr>
        <w:pStyle w:val="26"/>
        <w:keepNext w:val="0"/>
        <w:keepLines w:val="0"/>
        <w:pageBreakBefore w:val="0"/>
        <w:widowControl/>
        <w:kinsoku/>
        <w:wordWrap/>
        <w:overflowPunct/>
        <w:topLinePunct w:val="0"/>
        <w:autoSpaceDE w:val="0"/>
        <w:autoSpaceDN w:val="0"/>
        <w:bidi w:val="0"/>
        <w:adjustRightInd/>
        <w:snapToGrid/>
        <w:spacing w:line="240" w:lineRule="auto"/>
        <w:textAlignment w:val="auto"/>
      </w:pPr>
      <w:r>
        <w:rPr>
          <w:rFonts w:hint="eastAsia" w:hAnsi="宋体"/>
        </w:rPr>
        <w:t>实际</w:t>
      </w:r>
      <w:r>
        <w:rPr>
          <w:rFonts w:hAnsi="宋体"/>
        </w:rPr>
        <w:t>工作中，</w:t>
      </w:r>
      <w:r>
        <w:rPr>
          <w:rFonts w:hint="eastAsia" w:hAnsi="宋体"/>
        </w:rPr>
        <w:t>应该</w:t>
      </w:r>
      <w:r>
        <w:rPr>
          <w:rFonts w:hAnsi="宋体"/>
        </w:rPr>
        <w:t>根据</w:t>
      </w:r>
      <w:r>
        <w:rPr>
          <w:rFonts w:hint="eastAsia" w:hAnsi="宋体"/>
        </w:rPr>
        <w:t>样品含量增加</w:t>
      </w:r>
      <w:r>
        <w:rPr>
          <w:rFonts w:hAnsi="宋体"/>
        </w:rPr>
        <w:t>或减少</w:t>
      </w:r>
      <w:r>
        <w:rPr>
          <w:rFonts w:hint="eastAsia" w:hAnsi="宋体"/>
        </w:rPr>
        <w:t>试料</w:t>
      </w:r>
      <w:r>
        <w:rPr>
          <w:rFonts w:hAnsi="宋体"/>
        </w:rPr>
        <w:t>称样量，或者对高含量样品通过稀释的方法使</w:t>
      </w:r>
      <w:r>
        <w:rPr>
          <w:rFonts w:hint="eastAsia" w:hAnsi="宋体"/>
        </w:rPr>
        <w:t>检测值</w:t>
      </w:r>
      <w:r>
        <w:rPr>
          <w:rFonts w:hAnsi="宋体"/>
        </w:rPr>
        <w:t>落入</w:t>
      </w:r>
      <w:r>
        <w:rPr>
          <w:rFonts w:hint="eastAsia" w:hAnsi="宋体"/>
        </w:rPr>
        <w:t>校</w:t>
      </w:r>
      <w:r>
        <w:rPr>
          <w:rFonts w:hAnsi="宋体"/>
        </w:rPr>
        <w:t>准曲线中。</w:t>
      </w:r>
    </w:p>
    <w:p>
      <w:pPr>
        <w:pStyle w:val="26"/>
        <w:rPr>
          <w:rFonts w:hint="eastAsia"/>
        </w:rPr>
      </w:pPr>
    </w:p>
    <w:p>
      <w:pPr>
        <w:pStyle w:val="99"/>
      </w:pPr>
    </w:p>
    <w:p>
      <w:pPr>
        <w:pStyle w:val="87"/>
        <w:tabs>
          <w:tab w:val="clear" w:pos="0"/>
        </w:tabs>
      </w:pPr>
    </w:p>
    <w:p>
      <w:pPr>
        <w:pStyle w:val="85"/>
        <w:numPr>
          <w:ilvl w:val="0"/>
          <w:numId w:val="21"/>
        </w:numPr>
      </w:pPr>
      <w:bookmarkStart w:id="37" w:name="_Toc1145"/>
      <w:bookmarkStart w:id="38" w:name="_Toc6836"/>
      <w:r>
        <w:br w:type="textWrapping"/>
      </w:r>
      <w:r>
        <w:rPr>
          <w:rFonts w:hint="eastAsia"/>
        </w:rPr>
        <w:t>（</w:t>
      </w:r>
      <w:r>
        <w:rPr>
          <w:rFonts w:hint="eastAsia"/>
          <w:lang w:val="en-US" w:eastAsia="zh-CN"/>
        </w:rPr>
        <w:t>规范性</w:t>
      </w:r>
      <w:r>
        <w:rPr>
          <w:rFonts w:hint="eastAsia"/>
        </w:rPr>
        <w:t>附录）</w:t>
      </w:r>
      <w:r>
        <w:br w:type="textWrapping"/>
      </w:r>
      <w:r>
        <w:rPr>
          <w:rFonts w:hint="eastAsia"/>
        </w:rPr>
        <w:t>电感耦合等离子体质谱仪工作参考条件</w:t>
      </w:r>
      <w:bookmarkEnd w:id="37"/>
      <w:bookmarkEnd w:id="38"/>
    </w:p>
    <w:p>
      <w:pPr>
        <w:widowControl/>
        <w:tabs>
          <w:tab w:val="center" w:pos="4201"/>
          <w:tab w:val="right" w:leader="dot" w:pos="9298"/>
        </w:tabs>
        <w:autoSpaceDE w:val="0"/>
        <w:autoSpaceDN w:val="0"/>
        <w:adjustRightInd/>
        <w:spacing w:line="240" w:lineRule="auto"/>
        <w:jc w:val="center"/>
        <w:rPr>
          <w:rFonts w:hint="eastAsia" w:ascii="黑体" w:hAnsi="黑体" w:eastAsia="黑体" w:cs="黑体"/>
          <w:kern w:val="0"/>
          <w:sz w:val="21"/>
          <w:szCs w:val="21"/>
          <w14:ligatures w14:val="none"/>
        </w:rPr>
      </w:pPr>
      <w:r>
        <w:rPr>
          <w:rFonts w:hint="eastAsia" w:ascii="黑体" w:hAnsi="黑体" w:eastAsia="黑体" w:cs="黑体"/>
          <w:kern w:val="0"/>
          <w:sz w:val="21"/>
          <w:szCs w:val="21"/>
          <w14:ligatures w14:val="none"/>
        </w:rPr>
        <w:t>表A.1电感耦合等离子体原子发射光谱仪工作条件</w:t>
      </w:r>
    </w:p>
    <w:tbl>
      <w:tblPr>
        <w:tblStyle w:val="3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587"/>
        <w:gridCol w:w="4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ascii="Times New Roman" w:hAnsi="Times New Roman" w:eastAsiaTheme="minorEastAsia"/>
                <w:sz w:val="21"/>
                <w:szCs w:val="21"/>
              </w:rPr>
            </w:pPr>
            <w:r>
              <w:rPr>
                <w:rFonts w:ascii="Times New Roman" w:hAnsiTheme="minorEastAsia" w:eastAsiaTheme="minorEastAsia"/>
                <w:sz w:val="21"/>
                <w:szCs w:val="21"/>
              </w:rPr>
              <w:t>名称</w:t>
            </w:r>
          </w:p>
        </w:tc>
        <w:tc>
          <w:tcPr>
            <w:tcW w:w="4587" w:type="dxa"/>
            <w:vAlign w:val="center"/>
          </w:tcPr>
          <w:p>
            <w:pPr>
              <w:spacing w:after="0" w:line="240" w:lineRule="auto"/>
              <w:jc w:val="center"/>
              <w:rPr>
                <w:rFonts w:ascii="Times New Roman" w:hAnsi="Times New Roman" w:eastAsiaTheme="minorEastAsia"/>
                <w:sz w:val="21"/>
                <w:szCs w:val="21"/>
              </w:rPr>
            </w:pPr>
            <w:r>
              <w:rPr>
                <w:rFonts w:ascii="Times New Roman" w:hAnsiTheme="minorEastAsia" w:eastAsiaTheme="minorEastAsia"/>
                <w:sz w:val="21"/>
                <w:szCs w:val="21"/>
              </w:rPr>
              <w:t>技术参数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射频功率</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1.15 kW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辅助气流量</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w:t>
            </w:r>
            <w:r>
              <w:rPr>
                <w:rFonts w:hint="default" w:ascii="Times New Roman" w:hAnsi="Times New Roman" w:eastAsia="宋体" w:cs="Times New Roman"/>
                <w:sz w:val="21"/>
                <w:szCs w:val="21"/>
              </w:rPr>
              <w:t xml:space="preserve"> L/min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雾化气</w:t>
            </w:r>
            <w:r>
              <w:rPr>
                <w:rFonts w:hint="default" w:ascii="Times New Roman" w:hAnsi="Times New Roman" w:eastAsia="宋体" w:cs="Times New Roman"/>
                <w:sz w:val="21"/>
                <w:szCs w:val="21"/>
                <w:lang w:val="en-US" w:eastAsia="zh-CN"/>
              </w:rPr>
              <w:t>流量</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1.00</w:t>
            </w:r>
            <w:r>
              <w:rPr>
                <w:rFonts w:hint="default"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L/min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蠕动泵转速</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75</w:t>
            </w:r>
            <w:r>
              <w:rPr>
                <w:rFonts w:hint="default" w:ascii="Times New Roman" w:hAnsi="Times New Roman" w:eastAsia="宋体" w:cs="Times New Roman"/>
                <w:sz w:val="21"/>
                <w:szCs w:val="21"/>
              </w:rPr>
              <w:t xml:space="preserve"> r/min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观测高度</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积分时间</w:t>
            </w:r>
          </w:p>
        </w:tc>
        <w:tc>
          <w:tcPr>
            <w:tcW w:w="4587" w:type="dxa"/>
            <w:vAlign w:val="center"/>
          </w:tcPr>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低</w:t>
            </w:r>
            <w:r>
              <w:rPr>
                <w:rFonts w:hint="default" w:ascii="Times New Roman" w:hAnsi="Times New Roman" w:eastAsia="宋体" w:cs="Times New Roman"/>
                <w:sz w:val="21"/>
                <w:szCs w:val="21"/>
              </w:rPr>
              <w:t>波</w:t>
            </w:r>
            <w:r>
              <w:rPr>
                <w:rFonts w:hint="default" w:ascii="Times New Roman" w:hAnsi="Times New Roman" w:eastAsia="宋体" w:cs="Times New Roman"/>
                <w:sz w:val="21"/>
                <w:szCs w:val="21"/>
                <w:lang w:val="en-US" w:eastAsia="zh-CN"/>
              </w:rPr>
              <w:t>范围</w:t>
            </w:r>
            <w:r>
              <w:rPr>
                <w:rFonts w:hint="default" w:ascii="Times New Roman" w:hAnsi="Times New Roman" w:eastAsia="宋体" w:cs="Times New Roman"/>
                <w:sz w:val="21"/>
                <w:szCs w:val="21"/>
              </w:rPr>
              <w:t>15 s</w:t>
            </w:r>
          </w:p>
          <w:p>
            <w:pPr>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高</w:t>
            </w:r>
            <w:r>
              <w:rPr>
                <w:rFonts w:hint="default" w:ascii="Times New Roman" w:hAnsi="Times New Roman" w:eastAsia="宋体" w:cs="Times New Roman"/>
                <w:sz w:val="21"/>
                <w:szCs w:val="21"/>
              </w:rPr>
              <w:t>波</w:t>
            </w:r>
            <w:r>
              <w:rPr>
                <w:rFonts w:hint="default" w:ascii="Times New Roman" w:hAnsi="Times New Roman" w:eastAsia="宋体" w:cs="Times New Roman"/>
                <w:sz w:val="21"/>
                <w:szCs w:val="21"/>
                <w:lang w:val="en-US" w:eastAsia="zh-CN"/>
              </w:rPr>
              <w:t>范围5</w:t>
            </w:r>
            <w:r>
              <w:rPr>
                <w:rFonts w:hint="default" w:ascii="Times New Roman" w:hAnsi="Times New Roman" w:eastAsia="宋体" w:cs="Times New Roman"/>
                <w:sz w:val="21"/>
                <w:szCs w:val="21"/>
              </w:rPr>
              <w:t xml:space="preserve"> s</w:t>
            </w:r>
          </w:p>
        </w:tc>
      </w:tr>
    </w:tbl>
    <w:p>
      <w:pPr>
        <w:widowControl/>
        <w:tabs>
          <w:tab w:val="center" w:pos="4201"/>
          <w:tab w:val="right" w:leader="dot" w:pos="9298"/>
        </w:tabs>
        <w:autoSpaceDE w:val="0"/>
        <w:autoSpaceDN w:val="0"/>
        <w:adjustRightInd/>
        <w:spacing w:line="240" w:lineRule="auto"/>
        <w:jc w:val="center"/>
        <w:rPr>
          <w:rFonts w:hint="eastAsia" w:ascii="黑体" w:hAnsi="黑体" w:eastAsia="黑体" w:cs="黑体"/>
          <w:kern w:val="0"/>
          <w:sz w:val="21"/>
          <w:szCs w:val="21"/>
          <w:lang w:val="en-US" w:eastAsia="zh-CN"/>
          <w14:ligatures w14:val="none"/>
        </w:rPr>
      </w:pPr>
    </w:p>
    <w:p>
      <w:pPr>
        <w:widowControl/>
        <w:tabs>
          <w:tab w:val="center" w:pos="4201"/>
          <w:tab w:val="right" w:leader="dot" w:pos="9298"/>
        </w:tabs>
        <w:autoSpaceDE w:val="0"/>
        <w:autoSpaceDN w:val="0"/>
        <w:adjustRightInd/>
        <w:spacing w:line="240" w:lineRule="auto"/>
        <w:jc w:val="center"/>
        <w:rPr>
          <w:rFonts w:hint="eastAsia" w:ascii="Times New Roman" w:hAnsi="Times New Roman" w:cs="Times New Roman"/>
          <w:kern w:val="0"/>
          <w:sz w:val="24"/>
          <w:szCs w:val="24"/>
          <w:lang w:val="en-US" w:eastAsia="zh-CN"/>
          <w14:ligatures w14:val="none"/>
        </w:rPr>
      </w:pPr>
      <w:r>
        <w:rPr>
          <w:rFonts w:hint="eastAsia" w:ascii="黑体" w:hAnsi="黑体" w:eastAsia="黑体" w:cs="黑体"/>
          <w:kern w:val="0"/>
          <w:sz w:val="21"/>
          <w:szCs w:val="21"/>
          <w:lang w:val="en-US" w:eastAsia="zh-CN"/>
          <w14:ligatures w14:val="none"/>
        </w:rPr>
        <w:t>表</w:t>
      </w:r>
      <w:r>
        <w:rPr>
          <w:rFonts w:hint="eastAsia" w:ascii="黑体" w:hAnsi="黑体" w:eastAsia="黑体" w:cs="黑体"/>
          <w:kern w:val="0"/>
          <w:sz w:val="21"/>
          <w:szCs w:val="21"/>
          <w14:ligatures w14:val="none"/>
        </w:rPr>
        <w:t>A.2测量的元素分析线</w:t>
      </w:r>
    </w:p>
    <w:tbl>
      <w:tblPr>
        <w:tblStyle w:val="35"/>
        <w:tblW w:w="86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98"/>
        <w:gridCol w:w="4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eastAsia" w:ascii="仿宋" w:hAnsi="仿宋" w:eastAsia="仿宋" w:cs="仿宋"/>
                <w:sz w:val="21"/>
                <w:szCs w:val="21"/>
              </w:rPr>
            </w:pPr>
            <w:r>
              <w:rPr>
                <w:rFonts w:hint="eastAsia" w:ascii="仿宋" w:hAnsi="仿宋" w:eastAsia="仿宋" w:cs="仿宋"/>
                <w:sz w:val="21"/>
                <w:szCs w:val="21"/>
              </w:rPr>
              <w:t>元素</w:t>
            </w:r>
          </w:p>
        </w:tc>
        <w:tc>
          <w:tcPr>
            <w:tcW w:w="4381" w:type="dxa"/>
            <w:noWrap w:val="0"/>
            <w:vAlign w:val="center"/>
          </w:tcPr>
          <w:p>
            <w:pPr>
              <w:spacing w:after="0" w:line="240" w:lineRule="auto"/>
              <w:jc w:val="center"/>
              <w:rPr>
                <w:rFonts w:hint="eastAsia" w:ascii="仿宋" w:hAnsi="仿宋" w:eastAsia="仿宋" w:cs="仿宋"/>
                <w:sz w:val="21"/>
                <w:szCs w:val="21"/>
              </w:rPr>
            </w:pPr>
            <w:r>
              <w:rPr>
                <w:rFonts w:hint="eastAsia" w:ascii="仿宋" w:hAnsi="仿宋" w:eastAsia="仿宋" w:cs="仿宋"/>
                <w:sz w:val="21"/>
                <w:szCs w:val="21"/>
              </w:rPr>
              <w:t>波长/nm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Li</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670.784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Rb</w:t>
            </w:r>
          </w:p>
        </w:tc>
        <w:tc>
          <w:tcPr>
            <w:tcW w:w="4381" w:type="dxa"/>
            <w:noWrap w:val="0"/>
            <w:vAlign w:val="center"/>
          </w:tcPr>
          <w:p>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780.023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Cs</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455.531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Ti</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308.802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Mn</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257.610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Al</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236.705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Ca</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422.673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4298"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K</w:t>
            </w:r>
          </w:p>
        </w:tc>
        <w:tc>
          <w:tcPr>
            <w:tcW w:w="4381" w:type="dxa"/>
            <w:noWrap w:val="0"/>
            <w:vAlign w:val="center"/>
          </w:tcPr>
          <w:p>
            <w:pPr>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766.490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jc w:val="center"/>
        </w:trPr>
        <w:tc>
          <w:tcPr>
            <w:tcW w:w="4298" w:type="dxa"/>
            <w:noWrap w:val="0"/>
            <w:vAlign w:val="center"/>
          </w:tcPr>
          <w:p>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Na</w:t>
            </w:r>
          </w:p>
        </w:tc>
        <w:tc>
          <w:tcPr>
            <w:tcW w:w="4381" w:type="dxa"/>
            <w:noWrap w:val="0"/>
            <w:vAlign w:val="center"/>
          </w:tcPr>
          <w:p>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818.326</w:t>
            </w:r>
          </w:p>
        </w:tc>
      </w:tr>
    </w:tbl>
    <w:p>
      <w:pPr>
        <w:pStyle w:val="103"/>
        <w:spacing w:before="312" w:after="312"/>
      </w:pPr>
    </w:p>
    <w:p>
      <w:pPr>
        <w:pStyle w:val="99"/>
      </w:pPr>
    </w:p>
    <w:p>
      <w:pPr>
        <w:pStyle w:val="87"/>
        <w:tabs>
          <w:tab w:val="clear" w:pos="0"/>
        </w:tabs>
      </w:pPr>
    </w:p>
    <w:p>
      <w:pPr>
        <w:pStyle w:val="85"/>
        <w:numPr>
          <w:ilvl w:val="0"/>
          <w:numId w:val="21"/>
        </w:numPr>
      </w:pPr>
      <w:bookmarkStart w:id="39" w:name="_Toc13529"/>
      <w:bookmarkStart w:id="40" w:name="_Toc12691"/>
      <w:r>
        <w:br w:type="textWrapping"/>
      </w:r>
      <w:r>
        <w:rPr>
          <w:rFonts w:hint="eastAsia"/>
        </w:rPr>
        <w:t>（</w:t>
      </w:r>
      <w:r>
        <w:rPr>
          <w:rFonts w:hint="eastAsia"/>
          <w:lang w:val="en-US" w:eastAsia="zh-CN"/>
        </w:rPr>
        <w:t>资料性</w:t>
      </w:r>
      <w:r>
        <w:rPr>
          <w:rFonts w:hint="eastAsia"/>
        </w:rPr>
        <w:t>附录）</w:t>
      </w:r>
      <w:r>
        <w:br w:type="textWrapping"/>
      </w:r>
      <w:r>
        <w:rPr>
          <w:rFonts w:hint="eastAsia"/>
        </w:rPr>
        <w:t>从实验室间试验结果得到的统计数据</w:t>
      </w:r>
      <w:bookmarkEnd w:id="39"/>
      <w:bookmarkEnd w:id="40"/>
    </w:p>
    <w:p>
      <w:pPr>
        <w:rPr>
          <w:rFonts w:hint="default" w:ascii="Times New Roman" w:hAnsi="Times New Roman" w:eastAsia="宋体" w:cs="Times New Roman"/>
          <w:kern w:val="0"/>
          <w:szCs w:val="20"/>
        </w:rPr>
      </w:pPr>
      <w:r>
        <w:rPr>
          <w:rFonts w:hint="default" w:ascii="Times New Roman" w:hAnsi="Times New Roman" w:eastAsia="宋体" w:cs="Times New Roman"/>
          <w:lang w:val="en-US" w:eastAsia="zh-CN"/>
        </w:rPr>
        <w:t>B</w:t>
      </w:r>
      <w:r>
        <w:rPr>
          <w:rFonts w:hint="default" w:ascii="Times New Roman" w:hAnsi="Times New Roman" w:eastAsia="宋体" w:cs="Times New Roman"/>
        </w:rPr>
        <w:t>.1</w:t>
      </w:r>
      <w:r>
        <w:rPr>
          <w:rFonts w:hint="default" w:ascii="Times New Roman" w:hAnsi="Times New Roman" w:eastAsia="宋体" w:cs="Times New Roman"/>
          <w:kern w:val="0"/>
          <w:szCs w:val="20"/>
        </w:rPr>
        <w:t>从实验室间试验结果得到的统计数据</w:t>
      </w:r>
    </w:p>
    <w:p>
      <w:pPr>
        <w:ind w:firstLine="420" w:firstLineChars="200"/>
        <w:rPr>
          <w:kern w:val="0"/>
        </w:rPr>
      </w:pPr>
      <w:r>
        <w:rPr>
          <w:kern w:val="0"/>
        </w:rPr>
        <w:t>见表</w:t>
      </w:r>
      <w:r>
        <w:rPr>
          <w:rFonts w:hint="eastAsia"/>
          <w:kern w:val="0"/>
          <w:lang w:val="en-US" w:eastAsia="zh-CN"/>
        </w:rPr>
        <w:t>B</w:t>
      </w:r>
      <w:r>
        <w:rPr>
          <w:kern w:val="0"/>
        </w:rPr>
        <w:t>.1~</w:t>
      </w:r>
      <w:r>
        <w:rPr>
          <w:rFonts w:hint="eastAsia"/>
          <w:kern w:val="0"/>
          <w:lang w:val="en-US" w:eastAsia="zh-CN"/>
        </w:rPr>
        <w:t>B</w:t>
      </w:r>
      <w:r>
        <w:rPr>
          <w:kern w:val="0"/>
        </w:rPr>
        <w:t>.</w:t>
      </w:r>
      <w:r>
        <w:rPr>
          <w:rFonts w:hint="eastAsia"/>
          <w:kern w:val="0"/>
          <w:lang w:val="en-US" w:eastAsia="zh-CN"/>
        </w:rPr>
        <w:t>9</w:t>
      </w:r>
      <w:r>
        <w:rPr>
          <w:kern w:val="0"/>
        </w:rPr>
        <w:t>。</w:t>
      </w:r>
    </w:p>
    <w:p>
      <w:pPr>
        <w:ind w:firstLine="420" w:firstLineChars="200"/>
        <w:rPr>
          <w:kern w:val="0"/>
        </w:rPr>
      </w:pPr>
      <w:r>
        <w:rPr>
          <w:kern w:val="0"/>
        </w:rPr>
        <w:t>本方法精密度协作试验数据是由多个实验室进行方法合作研究所提供的结果进行统计分析得到的。</w:t>
      </w:r>
    </w:p>
    <w:p>
      <w:pPr>
        <w:ind w:firstLine="420" w:firstLineChars="200"/>
        <w:rPr>
          <w:kern w:val="0"/>
        </w:rPr>
      </w:pPr>
      <w:r>
        <w:rPr>
          <w:kern w:val="0"/>
        </w:rPr>
        <w:t>表</w:t>
      </w:r>
      <w:r>
        <w:rPr>
          <w:rFonts w:hint="eastAsia"/>
          <w:kern w:val="0"/>
          <w:lang w:val="en-US" w:eastAsia="zh-CN"/>
        </w:rPr>
        <w:t>B</w:t>
      </w:r>
      <w:r>
        <w:rPr>
          <w:kern w:val="0"/>
        </w:rPr>
        <w:t>.1~</w:t>
      </w:r>
      <w:r>
        <w:rPr>
          <w:rFonts w:hint="eastAsia"/>
          <w:kern w:val="0"/>
          <w:lang w:val="en-US" w:eastAsia="zh-CN"/>
        </w:rPr>
        <w:t>B</w:t>
      </w:r>
      <w:r>
        <w:rPr>
          <w:kern w:val="0"/>
        </w:rPr>
        <w:t>.</w:t>
      </w:r>
      <w:r>
        <w:rPr>
          <w:rFonts w:hint="eastAsia"/>
          <w:kern w:val="0"/>
          <w:lang w:val="en-US" w:eastAsia="zh-CN"/>
        </w:rPr>
        <w:t>9</w:t>
      </w:r>
      <w:r>
        <w:rPr>
          <w:kern w:val="0"/>
        </w:rPr>
        <w:t>中不需要将各浓度的数据全部列出，但至少列出了3个或3个以上浓度所统计的参数。</w:t>
      </w:r>
    </w:p>
    <w:p>
      <w:pPr>
        <w:rPr>
          <w:rFonts w:eastAsia="黑体"/>
        </w:rPr>
      </w:pPr>
      <w:r>
        <w:rPr>
          <w:rFonts w:hint="eastAsia"/>
          <w:kern w:val="0"/>
          <w:lang w:val="en-US" w:eastAsia="zh-CN"/>
        </w:rPr>
        <w:t>B</w:t>
      </w:r>
      <w:r>
        <w:rPr>
          <w:kern w:val="0"/>
        </w:rPr>
        <w:t>.1.1 列出了试验结果可接受的实验室个数。</w:t>
      </w:r>
    </w:p>
    <w:p>
      <w:pPr>
        <w:rPr>
          <w:kern w:val="0"/>
        </w:rPr>
      </w:pPr>
      <w:r>
        <w:rPr>
          <w:rFonts w:hint="eastAsia"/>
          <w:lang w:val="en-US" w:eastAsia="zh-CN"/>
        </w:rPr>
        <w:t>B</w:t>
      </w:r>
      <w:r>
        <w:t>.1.2 根据</w:t>
      </w:r>
      <w:r>
        <w:rPr>
          <w:kern w:val="0"/>
        </w:rPr>
        <w:t>GB/T 6379.2-2004确定了测量方法的重复性限（r）与再现性限（R）。</w:t>
      </w:r>
    </w:p>
    <w:p>
      <w:r>
        <w:rPr>
          <w:rFonts w:hint="eastAsia"/>
          <w:kern w:val="0"/>
          <w:lang w:val="en-US" w:eastAsia="zh-CN"/>
        </w:rPr>
        <w:t>B</w:t>
      </w:r>
      <w:r>
        <w:rPr>
          <w:kern w:val="0"/>
        </w:rPr>
        <w:t>.1.3 列出了方法的相对误差参数，计算公式为</w:t>
      </w:r>
      <w:r>
        <w:rPr>
          <w:position w:val="-10"/>
        </w:rPr>
        <w:object>
          <v:shape id="_x0000_i1026" o:spt="75" type="#_x0000_t75" style="height:17.25pt;width:105pt;" o:ole="t" filled="f" o:preferrelative="t" stroked="f" coordsize="21600,21600">
            <v:path/>
            <v:fill on="f" focussize="0,0"/>
            <v:stroke on="f" joinstyle="miter"/>
            <v:imagedata r:id="rId17" o:title=""/>
            <o:lock v:ext="edit" aspectratio="t"/>
            <w10:wrap type="none"/>
            <w10:anchorlock/>
          </v:shape>
          <o:OLEObject Type="Embed" ProgID="Equation.DSMT4" ShapeID="_x0000_i1026" DrawAspect="Content" ObjectID="_1468075726" r:id="rId16">
            <o:LockedField>false</o:LockedField>
          </o:OLEObject>
        </w:object>
      </w:r>
      <w:r>
        <w:t>，公式中</w:t>
      </w:r>
      <w:r>
        <w:rPr>
          <w:position w:val="-10"/>
        </w:rPr>
        <w:object>
          <v:shape id="_x0000_i1027" o:spt="75" type="#_x0000_t75" style="height:17.25pt;width:12pt;" o:ole="t" filled="f" o:preferrelative="t" stroked="f" coordsize="21600,21600">
            <v:path/>
            <v:fill on="f" focussize="0,0"/>
            <v:stroke on="f" joinstyle="miter"/>
            <v:imagedata r:id="rId19" o:title=""/>
            <o:lock v:ext="edit" aspectratio="t"/>
            <w10:wrap type="none"/>
            <w10:anchorlock/>
          </v:shape>
          <o:OLEObject Type="Embed" ProgID="Equation.DSMT4" ShapeID="_x0000_i1027" DrawAspect="Content" ObjectID="_1468075727" r:id="rId18">
            <o:LockedField>false</o:LockedField>
          </o:OLEObject>
        </w:object>
      </w:r>
      <w:r>
        <w:t>为多个实验室测量平均值、</w:t>
      </w:r>
      <w:r>
        <w:rPr>
          <w:position w:val="-10"/>
        </w:rPr>
        <w:object>
          <v:shape id="_x0000_i1028" o:spt="75" type="#_x0000_t75" style="height:15pt;width:12pt;" o:ole="t" filled="f" o:preferrelative="t" stroked="f" coordsize="21600,21600">
            <v:path/>
            <v:fill on="f" focussize="0,0"/>
            <v:stroke on="f" joinstyle="miter"/>
            <v:imagedata r:id="rId21" o:title=""/>
            <o:lock v:ext="edit" aspectratio="t"/>
            <w10:wrap type="none"/>
            <w10:anchorlock/>
          </v:shape>
          <o:OLEObject Type="Embed" ProgID="Equation.DSMT4" ShapeID="_x0000_i1028" DrawAspect="Content" ObjectID="_1468075728" r:id="rId20">
            <o:LockedField>false</o:LockedField>
          </o:OLEObject>
        </w:object>
      </w:r>
      <w:r>
        <w:t>为一级标准物质的标准值。</w:t>
      </w:r>
    </w:p>
    <w:p>
      <w:r>
        <w:rPr>
          <w:rFonts w:hint="eastAsia"/>
          <w:lang w:val="en-US" w:eastAsia="zh-CN"/>
        </w:rPr>
        <w:t>B</w:t>
      </w:r>
      <w:r>
        <w:t>.1.4 列出了方法的精密度参数，计算公式为</w:t>
      </w:r>
      <w:r>
        <w:rPr>
          <w:position w:val="-12"/>
        </w:rPr>
        <w:object>
          <v:shape id="_x0000_i1029" o:spt="75" type="#_x0000_t75" style="height:18pt;width:87.75pt;" o:ole="t" filled="f" o:preferrelative="t" stroked="f" coordsize="21600,21600">
            <v:path/>
            <v:fill on="f" focussize="0,0"/>
            <v:stroke on="f" joinstyle="miter"/>
            <v:imagedata r:id="rId23" o:title=""/>
            <o:lock v:ext="edit" aspectratio="t"/>
            <w10:wrap type="none"/>
            <w10:anchorlock/>
          </v:shape>
          <o:OLEObject Type="Embed" ProgID="Equation.DSMT4" ShapeID="_x0000_i1029" DrawAspect="Content" ObjectID="_1468075729" r:id="rId22">
            <o:LockedField>false</o:LockedField>
          </o:OLEObject>
        </w:object>
      </w:r>
      <w:r>
        <w:t>，公式中</w:t>
      </w:r>
      <w:r>
        <w:rPr>
          <w:position w:val="-10"/>
        </w:rPr>
        <w:object>
          <v:shape id="_x0000_i1030" o:spt="75" type="#_x0000_t75" style="height:15pt;width:12pt;" o:ole="t" filled="f" o:preferrelative="t" stroked="f" coordsize="21600,21600">
            <v:path/>
            <v:fill on="f" focussize="0,0"/>
            <v:stroke on="f" joinstyle="miter"/>
            <v:imagedata r:id="rId25" o:title=""/>
            <o:lock v:ext="edit" aspectratio="t"/>
            <w10:wrap type="none"/>
            <w10:anchorlock/>
          </v:shape>
          <o:OLEObject Type="Embed" ProgID="Equation.DSMT4" ShapeID="_x0000_i1030" DrawAspect="Content" ObjectID="_1468075730" r:id="rId24">
            <o:LockedField>false</o:LockedField>
          </o:OLEObject>
        </w:object>
      </w:r>
      <w:r>
        <w:t>为重复性标准差、</w:t>
      </w:r>
      <w:r>
        <w:rPr>
          <w:position w:val="-10"/>
        </w:rPr>
        <w:object>
          <v:shape id="_x0000_i1031" o:spt="75" type="#_x0000_t75" style="height:15pt;width:12.75pt;" o:ole="t" filled="f" o:preferrelative="t" stroked="f" coordsize="21600,21600">
            <v:path/>
            <v:fill on="f" focussize="0,0"/>
            <v:stroke on="f" joinstyle="miter"/>
            <v:imagedata r:id="rId27" o:title=""/>
            <o:lock v:ext="edit" aspectratio="t"/>
            <w10:wrap type="none"/>
            <w10:anchorlock/>
          </v:shape>
          <o:OLEObject Type="Embed" ProgID="Equation.DSMT4" ShapeID="_x0000_i1031" DrawAspect="Content" ObjectID="_1468075731" r:id="rId26">
            <o:LockedField>false</o:LockedField>
          </o:OLEObject>
        </w:object>
      </w:r>
      <w:r>
        <w:t>为再现性标准差。为了与GB/T20001.4所列参数的命名一致，本方法精密度表列称谓为“重复性变异系数”及“再现性变异系数”。</w:t>
      </w:r>
    </w:p>
    <w:p>
      <w:pPr>
        <w:rPr>
          <w:kern w:val="0"/>
        </w:rPr>
      </w:pPr>
      <w:r>
        <w:rPr>
          <w:rFonts w:hint="eastAsia"/>
          <w:kern w:val="0"/>
          <w:lang w:val="en-US" w:eastAsia="zh-CN"/>
        </w:rPr>
        <w:t>B</w:t>
      </w:r>
      <w:r>
        <w:rPr>
          <w:kern w:val="0"/>
        </w:rPr>
        <w:t>.1.5 列出了方法的相对准确度参数。相对准确度是指测定值（平均值）占真值的百分比。</w:t>
      </w:r>
    </w:p>
    <w:p>
      <w:pPr>
        <w:widowControl/>
        <w:autoSpaceDE w:val="0"/>
        <w:autoSpaceDN w:val="0"/>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B.1</w:t>
      </w:r>
      <w:r>
        <w:rPr>
          <w:rFonts w:hint="default" w:ascii="Times New Roman" w:hAnsi="Times New Roman" w:eastAsia="黑体" w:cs="Times New Roman"/>
          <w:szCs w:val="21"/>
        </w:rPr>
        <w:t xml:space="preserve"> </w:t>
      </w:r>
      <w:r>
        <w:rPr>
          <w:rFonts w:hint="default" w:ascii="Times New Roman" w:hAnsi="Times New Roman" w:eastAsia="黑体" w:cs="Times New Roman"/>
          <w:szCs w:val="21"/>
          <w:lang w:val="en-US" w:eastAsia="zh-CN"/>
        </w:rPr>
        <w:t>Li</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0.0093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0.0070</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0.0093</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0.00022</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0.00028</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0.00035</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0.00463</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0.00055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0.01692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98.9</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B.2</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Rb</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0.020</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0.047</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0.00213</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0.00091</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0.00133</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0.00484</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0.00276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0.00131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0.00272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0.00666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98.5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99.5</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B.3</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Cs</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0.0017</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0.0021</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0.0038</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0.035</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0.00007</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0.00010</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0.00009</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0.00130</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0.00017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0.00173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98.9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98.4</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B.4</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Ti</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val="en-US" w:eastAsia="zh-CN"/>
              </w:rPr>
              <w:t>7</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0.00056</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0.00675</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0.00413</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0.00048</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0.01512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0.00065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98.8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97.2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99.8</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B.5 Mn</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0.064</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0.046</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0.054</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0.00048</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0.00144</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0.00095</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0.00182</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0.00073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0.00243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0.00095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0.00227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99.0</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99.2</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99.2</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99.3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99.9</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B.6</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Al</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7.80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6.01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7.09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7.78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7.78</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6.03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7.09</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7.81</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0.11142</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0.08617</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0.11134</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0.12271</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0.18287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0.241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0.344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0.13216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0.13167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0.11134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0.17848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0.18287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0.370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0.369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0.312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0.512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99.7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99.7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99.9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99.6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99.7</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B.7</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Ca</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0.019</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1.11</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0.24</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0.00075</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0.00487</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0.02239</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0.00655</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0.00086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0.00578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0.02239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0.01341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96.0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98.0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98.6</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B.8</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K</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4.13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1.85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4.20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2.60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1.88</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4.16</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2.63</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0.04497</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0.04123</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0.07549</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0.05781</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0.115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0.211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0.162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0.08132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0.06958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0.07549</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0.12433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0.228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0.195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0.211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0.348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98.2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98.8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99.5</w:t>
            </w:r>
          </w:p>
        </w:tc>
      </w:tr>
    </w:tbl>
    <w:p>
      <w:pPr>
        <w:spacing w:line="360" w:lineRule="auto"/>
        <w:jc w:val="center"/>
        <w:rPr>
          <w:rFonts w:hint="default" w:ascii="Times New Roman" w:hAnsi="Times New Roman" w:eastAsia="黑体" w:cs="Times New Roman"/>
          <w:szCs w:val="21"/>
        </w:rPr>
      </w:pPr>
      <w:r>
        <w:rPr>
          <w:rFonts w:hint="default" w:ascii="Times New Roman" w:hAnsi="Times New Roman" w:eastAsia="黑体" w:cs="Times New Roman"/>
          <w:szCs w:val="21"/>
        </w:rPr>
        <w:t>表</w:t>
      </w:r>
      <w:r>
        <w:rPr>
          <w:rFonts w:hint="eastAsia" w:ascii="Times New Roman" w:hAnsi="Times New Roman" w:eastAsia="黑体" w:cs="Times New Roman"/>
          <w:szCs w:val="21"/>
          <w:lang w:val="en-US" w:eastAsia="zh-CN"/>
        </w:rPr>
        <w:t>B.9</w:t>
      </w:r>
      <w:r>
        <w:rPr>
          <w:rFonts w:hint="default"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Na</w:t>
      </w:r>
      <w:r>
        <w:rPr>
          <w:rFonts w:eastAsia="黑体"/>
          <w:kern w:val="0"/>
          <w:szCs w:val="21"/>
        </w:rPr>
        <w:t>统计结果表</w:t>
      </w:r>
    </w:p>
    <w:tbl>
      <w:tblPr>
        <w:tblStyle w:val="34"/>
        <w:tblW w:w="893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36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样品名称</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159</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GBW073</w:t>
            </w:r>
            <w:r>
              <w:rPr>
                <w:rFonts w:hint="default" w:ascii="Times New Roman" w:hAnsi="Times New Roman" w:eastAsia="宋体" w:cs="Times New Roman"/>
                <w:sz w:val="21"/>
                <w:szCs w:val="21"/>
                <w:lang w:val="en-US" w:eastAsia="zh-CN"/>
              </w:rPr>
              <w:t>83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w:t>
            </w:r>
            <w:r>
              <w:rPr>
                <w:rFonts w:hint="default" w:ascii="Times New Roman" w:hAnsi="Times New Roman" w:eastAsia="宋体" w:cs="Times New Roman"/>
                <w:sz w:val="21"/>
                <w:szCs w:val="21"/>
                <w:lang w:val="en-US" w:eastAsia="zh-CN"/>
              </w:rPr>
              <w:t>103</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52</w:t>
            </w:r>
          </w:p>
        </w:tc>
        <w:tc>
          <w:tcPr>
            <w:tcW w:w="1361" w:type="dxa"/>
            <w:noWrap/>
            <w:vAlign w:val="center"/>
          </w:tcPr>
          <w:p>
            <w:pPr>
              <w:spacing w:line="360" w:lineRule="auto"/>
              <w:jc w:val="center"/>
              <w:rPr>
                <w:rFonts w:hint="default" w:ascii="Times New Roman" w:hAnsi="Times New Roman" w:eastAsia="仿宋_GB2312" w:cs="Times New Roman"/>
                <w:sz w:val="21"/>
                <w:szCs w:val="21"/>
              </w:rPr>
            </w:pPr>
            <w:r>
              <w:rPr>
                <w:rFonts w:hint="default" w:ascii="Times New Roman" w:hAnsi="Times New Roman" w:eastAsia="宋体" w:cs="Times New Roman"/>
                <w:sz w:val="21"/>
                <w:szCs w:val="21"/>
              </w:rPr>
              <w:t>GBW071</w:t>
            </w:r>
            <w:r>
              <w:rPr>
                <w:rFonts w:hint="default" w:ascii="Times New Roman" w:hAnsi="Times New Roman" w:eastAsia="宋体" w:cs="Times New Roman"/>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参加实验室数目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可接受结果的数目</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c>
          <w:tcPr>
            <w:tcW w:w="1361"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平均值/(μg/g)</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2.37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3.10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标准值/(μg/g)</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0.27</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2.32</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3.11</w:t>
            </w:r>
          </w:p>
        </w:tc>
        <w:tc>
          <w:tcPr>
            <w:tcW w:w="1361" w:type="dxa"/>
            <w:noWrap/>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相对误差 RE/%</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shd w:val="clear" w:color="auto" w:fill="auto"/>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0.00584</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0.00888</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0.04322</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0.04459</w:t>
            </w:r>
          </w:p>
        </w:tc>
        <w:tc>
          <w:tcPr>
            <w:tcW w:w="1361" w:type="dxa"/>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重复性限r （2.8×Sr）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再现性标准差（S</w:t>
            </w:r>
            <w:r>
              <w:rPr>
                <w:rFonts w:hint="default" w:ascii="Times New Roman" w:hAnsi="Times New Roman" w:cs="Times New Roman"/>
                <w:color w:val="000000"/>
                <w:sz w:val="21"/>
                <w:szCs w:val="21"/>
                <w:vertAlign w:val="subscript"/>
              </w:rPr>
              <w:t>R</w:t>
            </w:r>
            <w:r>
              <w:rPr>
                <w:rFonts w:hint="default" w:ascii="Times New Roman" w:hAnsi="Times New Roman" w:cs="Times New Roman"/>
                <w:color w:val="000000"/>
                <w:sz w:val="21"/>
                <w:szCs w:val="21"/>
              </w:rPr>
              <w:t>）</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0.00883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0.01527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0.04322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0.10282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再现性变异系数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0.06</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再现性限R（2.8×SR）</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0.025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0.043</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0.121</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0.288</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126" w:type="dxa"/>
            <w:noWrap/>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相对准确度 /%</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97.5</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100.0</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97.7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99.7</w:t>
            </w:r>
          </w:p>
        </w:tc>
        <w:tc>
          <w:tcPr>
            <w:tcW w:w="1361" w:type="dxa"/>
            <w:noWrap/>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rPr>
            </w:pPr>
            <w:r>
              <w:rPr>
                <w:rFonts w:hint="default" w:ascii="Times New Roman" w:hAnsi="Times New Roman" w:eastAsia="等线" w:cs="Times New Roman"/>
                <w:i w:val="0"/>
                <w:iCs w:val="0"/>
                <w:color w:val="000000"/>
                <w:kern w:val="0"/>
                <w:sz w:val="21"/>
                <w:szCs w:val="21"/>
                <w:u w:val="none"/>
                <w:lang w:val="en-US" w:eastAsia="zh-CN" w:bidi="ar"/>
              </w:rPr>
              <w:t>99.7</w:t>
            </w:r>
          </w:p>
        </w:tc>
      </w:tr>
    </w:tbl>
    <w:p>
      <w:pPr>
        <w:pStyle w:val="26"/>
      </w:pPr>
    </w:p>
    <w:p>
      <w:pPr>
        <w:pStyle w:val="72"/>
      </w:pPr>
      <w:bookmarkStart w:id="43" w:name="_GoBack"/>
      <w:bookmarkEnd w:id="43"/>
      <w:bookmarkStart w:id="41" w:name="_Toc10052"/>
      <w:bookmarkStart w:id="42" w:name="_Toc7598"/>
      <w:r>
        <w:rPr>
          <w:rFonts w:hint="eastAsia"/>
        </w:rPr>
        <w:t>参 考 文 献</w:t>
      </w:r>
      <w:bookmarkEnd w:id="41"/>
      <w:bookmarkEnd w:id="42"/>
    </w:p>
    <w:p>
      <w:pPr>
        <w:pStyle w:val="149"/>
        <w:keepNext w:val="0"/>
        <w:keepLines w:val="0"/>
        <w:pageBreakBefore w:val="0"/>
        <w:widowControl/>
        <w:kinsoku/>
        <w:wordWrap/>
        <w:overflowPunct/>
        <w:topLinePunct w:val="0"/>
        <w:autoSpaceDE w:val="0"/>
        <w:autoSpaceDN w:val="0"/>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t>岩石矿物分析（第四版） 第三分册 第53章 锂矿石、铷矿石、铯矿石分析 53.3.3   电感耦合等离子体发射光谱法法测定锂和铷  北京：地质出版社 2011</w:t>
      </w:r>
    </w:p>
    <w:p>
      <w:pPr>
        <w:pStyle w:val="149"/>
        <w:keepNext w:val="0"/>
        <w:keepLines w:val="0"/>
        <w:pageBreakBefore w:val="0"/>
        <w:widowControl/>
        <w:kinsoku/>
        <w:wordWrap/>
        <w:overflowPunct/>
        <w:topLinePunct w:val="0"/>
        <w:autoSpaceDE w:val="0"/>
        <w:autoSpaceDN w:val="0"/>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t>GB/T 14506.30-2010 硅酸盐岩石化学分析方法  第30部分 44个元素量测定</w:t>
      </w:r>
    </w:p>
    <w:p>
      <w:pPr>
        <w:pStyle w:val="149"/>
        <w:keepNext w:val="0"/>
        <w:keepLines w:val="0"/>
        <w:pageBreakBefore w:val="0"/>
        <w:widowControl/>
        <w:kinsoku/>
        <w:wordWrap/>
        <w:overflowPunct/>
        <w:topLinePunct w:val="0"/>
        <w:autoSpaceDE w:val="0"/>
        <w:autoSpaceDN w:val="0"/>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t>DZG93-04 中华人民共和国地质矿产部 岩石和矿石分析规程 稀有金属矿中稀有元素分析规程 三 锂、铷和铯 （四）火焰原子吸收分光光度法测定锂、铷和铯量</w:t>
      </w:r>
    </w:p>
    <w:p>
      <w:pPr>
        <w:pStyle w:val="149"/>
        <w:keepNext w:val="0"/>
        <w:keepLines w:val="0"/>
        <w:pageBreakBefore w:val="0"/>
        <w:widowControl/>
        <w:kinsoku/>
        <w:wordWrap/>
        <w:overflowPunct/>
        <w:topLinePunct w:val="0"/>
        <w:autoSpaceDE w:val="0"/>
        <w:autoSpaceDN w:val="0"/>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t>岩石矿物分析（第四版） 第二分册 第21章 硫铁矿、自然硫分析 21.22.2 四酸分解—电感耦合等离子体发射光谱法法测定硫化矿石中22种元素  北京：地质出版社 2011</w:t>
      </w:r>
    </w:p>
    <w:p>
      <w:pPr>
        <w:pStyle w:val="147"/>
        <w:keepNext w:val="0"/>
        <w:keepLines w:val="0"/>
        <w:pageBreakBefore w:val="0"/>
        <w:numPr>
          <w:ilvl w:val="2"/>
          <w:numId w:val="0"/>
        </w:numPr>
        <w:kinsoku/>
        <w:wordWrap/>
        <w:overflowPunct/>
        <w:topLinePunct w:val="0"/>
        <w:bidi w:val="0"/>
        <w:adjustRightInd/>
        <w:snapToGrid/>
        <w:spacing w:line="360" w:lineRule="auto"/>
        <w:ind w:leftChars="0"/>
        <w:textAlignment w:val="auto"/>
        <w:rPr>
          <w:rFonts w:hint="eastAsia"/>
        </w:rPr>
      </w:pPr>
    </w:p>
    <w:p>
      <w:pPr>
        <w:pStyle w:val="131"/>
        <w:framePr w:wrap="around"/>
      </w:pPr>
    </w:p>
    <w:sectPr>
      <w:headerReference r:id="rId11" w:type="default"/>
      <w:footerReference r:id="rId12"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fldChar w:fldCharType="begin"/>
    </w:r>
    <w:r>
      <w:instrText xml:space="preserve"> PAGE  \* MERGEFORMAT </w:instrText>
    </w:r>
    <w:r>
      <w:fldChar w:fldCharType="separate"/>
    </w:r>
    <w: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DB13/T XXXX—XXXX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9"/>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0"/>
      <w:lvlText w:val="%1)"/>
      <w:lvlJc w:val="left"/>
      <w:pPr>
        <w:tabs>
          <w:tab w:val="left" w:pos="840"/>
        </w:tabs>
        <w:ind w:left="839" w:hanging="419"/>
      </w:pPr>
      <w:rPr>
        <w:rFonts w:hint="eastAsia"/>
        <w:b w:val="0"/>
        <w:i w:val="0"/>
        <w:sz w:val="21"/>
        <w:szCs w:val="21"/>
      </w:rPr>
    </w:lvl>
    <w:lvl w:ilvl="1" w:tentative="0">
      <w:start w:val="1"/>
      <w:numFmt w:val="decimal"/>
      <w:pStyle w:val="5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19"/>
      <w:suff w:val="nothing"/>
      <w:lvlText w:val="%1.%2.%3.%4.%5 "/>
      <w:lvlJc w:val="left"/>
      <w:pPr>
        <w:ind w:left="0" w:firstLine="0"/>
      </w:pPr>
      <w:rPr>
        <w:rFonts w:hint="eastAsia" w:ascii="黑体" w:hAnsi="Times New Roman" w:eastAsia="黑体"/>
        <w:b w:val="0"/>
        <w:i w:val="0"/>
        <w:sz w:val="21"/>
      </w:rPr>
    </w:lvl>
    <w:lvl w:ilvl="5" w:tentative="0">
      <w:start w:val="1"/>
      <w:numFmt w:val="decimal"/>
      <w:pStyle w:val="12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5"/>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99"/>
      <w:suff w:val="space"/>
      <w:lvlText w:val="%1"/>
      <w:lvlJc w:val="left"/>
      <w:pPr>
        <w:ind w:left="623" w:hanging="425"/>
      </w:pPr>
      <w:rPr>
        <w:rFonts w:hint="eastAsia"/>
      </w:rPr>
    </w:lvl>
    <w:lvl w:ilvl="1" w:tentative="0">
      <w:start w:val="1"/>
      <w:numFmt w:val="decimal"/>
      <w:pStyle w:val="10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49"/>
      <w:suff w:val="nothing"/>
      <w:lvlText w:val="%1——"/>
      <w:lvlJc w:val="left"/>
      <w:pPr>
        <w:ind w:left="833" w:hanging="408"/>
      </w:pPr>
      <w:rPr>
        <w:rFonts w:hint="eastAsia"/>
      </w:rPr>
    </w:lvl>
    <w:lvl w:ilvl="1" w:tentative="0">
      <w:start w:val="1"/>
      <w:numFmt w:val="bullet"/>
      <w:pStyle w:val="50"/>
      <w:lvlText w:val=""/>
      <w:lvlJc w:val="left"/>
      <w:pPr>
        <w:tabs>
          <w:tab w:val="left" w:pos="760"/>
        </w:tabs>
        <w:ind w:left="1264" w:hanging="413"/>
      </w:pPr>
      <w:rPr>
        <w:rFonts w:hint="default" w:ascii="Symbol" w:hAnsi="Symbol"/>
        <w:color w:val="auto"/>
      </w:rPr>
    </w:lvl>
    <w:lvl w:ilvl="2" w:tentative="0">
      <w:start w:val="1"/>
      <w:numFmt w:val="bullet"/>
      <w:pStyle w:val="6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7"/>
      <w:lvlText w:val="%1"/>
      <w:lvlJc w:val="left"/>
      <w:pPr>
        <w:tabs>
          <w:tab w:val="left" w:pos="0"/>
        </w:tabs>
        <w:ind w:left="0" w:hanging="425"/>
      </w:pPr>
      <w:rPr>
        <w:rFonts w:hint="eastAsia"/>
      </w:rPr>
    </w:lvl>
    <w:lvl w:ilvl="1" w:tentative="0">
      <w:start w:val="1"/>
      <w:numFmt w:val="decimal"/>
      <w:pStyle w:val="8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CE73117"/>
    <w:multiLevelType w:val="multilevel"/>
    <w:tmpl w:val="6CE73117"/>
    <w:lvl w:ilvl="0" w:tentative="0">
      <w:start w:val="1"/>
      <w:numFmt w:val="decimal"/>
      <w:pStyle w:val="46"/>
      <w:suff w:val="space"/>
      <w:lvlText w:val="%1 "/>
      <w:lvlJc w:val="left"/>
      <w:pPr>
        <w:ind w:left="0" w:firstLine="0"/>
      </w:pPr>
      <w:rPr>
        <w:rFonts w:hint="eastAsia" w:eastAsia="黑体"/>
        <w:sz w:val="21"/>
      </w:rPr>
    </w:lvl>
    <w:lvl w:ilvl="1" w:tentative="0">
      <w:start w:val="1"/>
      <w:numFmt w:val="decimal"/>
      <w:pStyle w:val="43"/>
      <w:suff w:val="space"/>
      <w:lvlText w:val="%1.%2 "/>
      <w:lvlJc w:val="left"/>
      <w:pPr>
        <w:ind w:left="0" w:firstLine="0"/>
      </w:pPr>
      <w:rPr>
        <w:rFonts w:hint="eastAsia"/>
      </w:rPr>
    </w:lvl>
    <w:lvl w:ilvl="2" w:tentative="0">
      <w:start w:val="1"/>
      <w:numFmt w:val="decimal"/>
      <w:pStyle w:val="47"/>
      <w:suff w:val="space"/>
      <w:lvlText w:val="%1.%2.%3 "/>
      <w:lvlJc w:val="left"/>
      <w:pPr>
        <w:ind w:left="0" w:firstLine="0"/>
      </w:pPr>
      <w:rPr>
        <w:rFonts w:hint="eastAsia"/>
      </w:rPr>
    </w:lvl>
    <w:lvl w:ilvl="3" w:tentative="0">
      <w:start w:val="1"/>
      <w:numFmt w:val="decimal"/>
      <w:pStyle w:val="52"/>
      <w:suff w:val="space"/>
      <w:lvlText w:val="%1.%2.%3.%4 "/>
      <w:lvlJc w:val="left"/>
      <w:pPr>
        <w:ind w:left="0" w:firstLine="0"/>
      </w:pPr>
      <w:rPr>
        <w:rFonts w:hint="eastAsia"/>
      </w:rPr>
    </w:lvl>
    <w:lvl w:ilvl="4" w:tentative="0">
      <w:start w:val="1"/>
      <w:numFmt w:val="decimal"/>
      <w:pStyle w:val="56"/>
      <w:suff w:val="space"/>
      <w:lvlText w:val="%1.%2.%3.%4.%5 "/>
      <w:lvlJc w:val="left"/>
      <w:pPr>
        <w:ind w:left="0" w:firstLine="0"/>
      </w:pPr>
      <w:rPr>
        <w:rFonts w:hint="eastAsia"/>
      </w:rPr>
    </w:lvl>
    <w:lvl w:ilvl="5" w:tentative="0">
      <w:start w:val="1"/>
      <w:numFmt w:val="decimal"/>
      <w:pStyle w:val="57"/>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7">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53"/>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6D6C07CD"/>
    <w:multiLevelType w:val="multilevel"/>
    <w:tmpl w:val="6D6C07CD"/>
    <w:lvl w:ilvl="0" w:tentative="0">
      <w:start w:val="1"/>
      <w:numFmt w:val="lowerLetter"/>
      <w:pStyle w:val="106"/>
      <w:lvlText w:val="%1)"/>
      <w:lvlJc w:val="left"/>
      <w:pPr>
        <w:tabs>
          <w:tab w:val="left" w:pos="839"/>
        </w:tabs>
        <w:ind w:left="839" w:hanging="419"/>
      </w:pPr>
      <w:rPr>
        <w:rFonts w:hint="eastAsia" w:ascii="宋体" w:eastAsia="宋体"/>
        <w:b w:val="0"/>
        <w:i w:val="0"/>
        <w:sz w:val="21"/>
      </w:rPr>
    </w:lvl>
    <w:lvl w:ilvl="1" w:tentative="0">
      <w:start w:val="1"/>
      <w:numFmt w:val="decimal"/>
      <w:pStyle w:val="9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5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0">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49"/>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6"/>
  </w:num>
  <w:num w:numId="3">
    <w:abstractNumId w:val="9"/>
  </w:num>
  <w:num w:numId="4">
    <w:abstractNumId w:val="2"/>
  </w:num>
  <w:num w:numId="5">
    <w:abstractNumId w:val="5"/>
  </w:num>
  <w:num w:numId="6">
    <w:abstractNumId w:val="19"/>
  </w:num>
  <w:num w:numId="7">
    <w:abstractNumId w:val="0"/>
  </w:num>
  <w:num w:numId="8">
    <w:abstractNumId w:val="11"/>
  </w:num>
  <w:num w:numId="9">
    <w:abstractNumId w:val="7"/>
  </w:num>
  <w:num w:numId="10">
    <w:abstractNumId w:val="15"/>
  </w:num>
  <w:num w:numId="11">
    <w:abstractNumId w:val="12"/>
  </w:num>
  <w:num w:numId="12">
    <w:abstractNumId w:val="18"/>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20"/>
  </w:num>
  <w:num w:numId="20">
    <w:abstractNumId w:val="17"/>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83104"/>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541F"/>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9D52820"/>
    <w:rsid w:val="09E53664"/>
    <w:rsid w:val="0D0A0AA8"/>
    <w:rsid w:val="17671165"/>
    <w:rsid w:val="1E341287"/>
    <w:rsid w:val="1F1A0416"/>
    <w:rsid w:val="1FA834FD"/>
    <w:rsid w:val="260F698B"/>
    <w:rsid w:val="28481571"/>
    <w:rsid w:val="29915386"/>
    <w:rsid w:val="2E3C7C69"/>
    <w:rsid w:val="2EA8435B"/>
    <w:rsid w:val="302F7FAF"/>
    <w:rsid w:val="33251C93"/>
    <w:rsid w:val="375436D4"/>
    <w:rsid w:val="39674039"/>
    <w:rsid w:val="3BE83104"/>
    <w:rsid w:val="40250BC9"/>
    <w:rsid w:val="4590011C"/>
    <w:rsid w:val="52331739"/>
    <w:rsid w:val="52BA7E42"/>
    <w:rsid w:val="544A72F2"/>
    <w:rsid w:val="567E71F5"/>
    <w:rsid w:val="590135FF"/>
    <w:rsid w:val="5D7D25F1"/>
    <w:rsid w:val="61142479"/>
    <w:rsid w:val="61FF1F77"/>
    <w:rsid w:val="726B527D"/>
    <w:rsid w:val="72850EF0"/>
    <w:rsid w:val="73CD1B9E"/>
    <w:rsid w:val="74575EC1"/>
    <w:rsid w:val="75F0356D"/>
    <w:rsid w:val="77465F30"/>
    <w:rsid w:val="781A45C9"/>
    <w:rsid w:val="7B7678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43"/>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40"/>
    <w:unhideWhenUsed/>
    <w:qFormat/>
    <w:uiPriority w:val="9"/>
    <w:pPr>
      <w:keepNext/>
      <w:keepLines/>
      <w:spacing w:before="260" w:after="260" w:line="416" w:lineRule="auto"/>
      <w:outlineLvl w:val="1"/>
    </w:pPr>
    <w:rPr>
      <w:rFonts w:ascii="Cambria" w:hAnsi="Cambria"/>
      <w:b/>
      <w:bCs/>
      <w:sz w:val="32"/>
      <w:szCs w:val="32"/>
      <w:lang w:val="zh-CN"/>
    </w:rPr>
  </w:style>
  <w:style w:type="paragraph" w:styleId="6">
    <w:name w:val="heading 3"/>
    <w:basedOn w:val="1"/>
    <w:next w:val="1"/>
    <w:link w:val="141"/>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oc 2"/>
    <w:basedOn w:val="1"/>
    <w:next w:val="1"/>
    <w:qFormat/>
    <w:uiPriority w:val="39"/>
    <w:pPr>
      <w:tabs>
        <w:tab w:val="right" w:leader="dot" w:pos="9242"/>
      </w:tabs>
      <w:ind w:left="100" w:leftChars="100"/>
    </w:pPr>
    <w:rPr>
      <w:rFonts w:ascii="宋体"/>
      <w:szCs w:val="21"/>
    </w:rPr>
  </w:style>
  <w:style w:type="paragraph" w:styleId="7">
    <w:name w:val="toc 7"/>
    <w:basedOn w:val="1"/>
    <w:next w:val="1"/>
    <w:semiHidden/>
    <w:qFormat/>
    <w:uiPriority w:val="0"/>
    <w:pPr>
      <w:tabs>
        <w:tab w:val="right" w:leader="dot" w:pos="9241"/>
      </w:tabs>
      <w:ind w:firstLine="500" w:firstLineChars="500"/>
      <w:jc w:val="left"/>
    </w:pPr>
    <w:rPr>
      <w:rFonts w:ascii="宋体"/>
      <w:szCs w:val="21"/>
    </w:rPr>
  </w:style>
  <w:style w:type="paragraph" w:styleId="8">
    <w:name w:val="index 8"/>
    <w:basedOn w:val="1"/>
    <w:next w:val="1"/>
    <w:qFormat/>
    <w:uiPriority w:val="0"/>
    <w:pPr>
      <w:ind w:left="1680" w:hanging="210"/>
      <w:jc w:val="left"/>
    </w:pPr>
    <w:rPr>
      <w:rFonts w:ascii="Calibri" w:hAnsi="Calibri"/>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index 6"/>
    <w:basedOn w:val="1"/>
    <w:next w:val="1"/>
    <w:qFormat/>
    <w:uiPriority w:val="0"/>
    <w:pPr>
      <w:ind w:left="1260" w:hanging="210"/>
      <w:jc w:val="left"/>
    </w:pPr>
    <w:rPr>
      <w:rFonts w:ascii="Calibri" w:hAnsi="Calibri"/>
      <w:sz w:val="20"/>
      <w:szCs w:val="20"/>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toc 5"/>
    <w:basedOn w:val="1"/>
    <w:next w:val="1"/>
    <w:semiHidden/>
    <w:qFormat/>
    <w:uiPriority w:val="0"/>
    <w:pPr>
      <w:tabs>
        <w:tab w:val="right" w:leader="dot" w:pos="9241"/>
      </w:tabs>
      <w:ind w:firstLine="300" w:firstLineChars="300"/>
      <w:jc w:val="left"/>
    </w:pPr>
    <w:rPr>
      <w:rFonts w:ascii="宋体"/>
      <w:szCs w:val="21"/>
    </w:rPr>
  </w:style>
  <w:style w:type="paragraph" w:styleId="15">
    <w:name w:val="toc 3"/>
    <w:basedOn w:val="1"/>
    <w:next w:val="1"/>
    <w:qFormat/>
    <w:uiPriority w:val="39"/>
    <w:pPr>
      <w:tabs>
        <w:tab w:val="right" w:leader="dot" w:pos="9241"/>
      </w:tabs>
      <w:ind w:firstLine="100" w:firstLineChars="100"/>
      <w:jc w:val="left"/>
    </w:pPr>
    <w:rPr>
      <w:rFonts w:ascii="宋体"/>
      <w:szCs w:val="21"/>
    </w:rPr>
  </w:style>
  <w:style w:type="paragraph" w:styleId="16">
    <w:name w:val="toc 8"/>
    <w:basedOn w:val="1"/>
    <w:next w:val="1"/>
    <w:semiHidden/>
    <w:qFormat/>
    <w:uiPriority w:val="0"/>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semiHidden/>
    <w:qFormat/>
    <w:uiPriority w:val="0"/>
    <w:pPr>
      <w:snapToGrid w:val="0"/>
      <w:jc w:val="left"/>
    </w:pPr>
  </w:style>
  <w:style w:type="paragraph" w:styleId="19">
    <w:name w:val="Balloon Text"/>
    <w:basedOn w:val="1"/>
    <w:link w:val="142"/>
    <w:qFormat/>
    <w:uiPriority w:val="0"/>
    <w:rPr>
      <w:sz w:val="18"/>
      <w:szCs w:val="18"/>
    </w:rPr>
  </w:style>
  <w:style w:type="paragraph" w:styleId="20">
    <w:name w:val="footer"/>
    <w:basedOn w:val="1"/>
    <w:qFormat/>
    <w:uiPriority w:val="0"/>
    <w:pPr>
      <w:snapToGrid w:val="0"/>
      <w:ind w:right="210" w:rightChars="100"/>
      <w:jc w:val="right"/>
    </w:pPr>
    <w:rPr>
      <w:sz w:val="18"/>
      <w:szCs w:val="18"/>
    </w:rPr>
  </w:style>
  <w:style w:type="paragraph" w:styleId="21">
    <w:name w:val="header"/>
    <w:basedOn w:val="1"/>
    <w:qFormat/>
    <w:uiPriority w:val="0"/>
    <w:pPr>
      <w:snapToGrid w:val="0"/>
      <w:jc w:val="left"/>
    </w:pPr>
    <w:rPr>
      <w:sz w:val="18"/>
      <w:szCs w:val="18"/>
    </w:rPr>
  </w:style>
  <w:style w:type="paragraph" w:styleId="22">
    <w:name w:val="toc 1"/>
    <w:basedOn w:val="1"/>
    <w:next w:val="1"/>
    <w:qFormat/>
    <w:uiPriority w:val="39"/>
    <w:pPr>
      <w:tabs>
        <w:tab w:val="right" w:leader="dot" w:pos="9242"/>
      </w:tabs>
      <w:spacing w:beforeLines="25" w:afterLines="25"/>
      <w:jc w:val="left"/>
    </w:pPr>
    <w:rPr>
      <w:rFonts w:ascii="宋体"/>
      <w:szCs w:val="21"/>
    </w:rPr>
  </w:style>
  <w:style w:type="paragraph" w:styleId="23">
    <w:name w:val="toc 4"/>
    <w:basedOn w:val="1"/>
    <w:next w:val="1"/>
    <w:semiHidden/>
    <w:qFormat/>
    <w:uiPriority w:val="0"/>
    <w:pPr>
      <w:tabs>
        <w:tab w:val="right" w:leader="dot" w:pos="9241"/>
      </w:tabs>
      <w:ind w:firstLine="200"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4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semiHidden/>
    <w:qFormat/>
    <w:uiPriority w:val="0"/>
    <w:pPr>
      <w:tabs>
        <w:tab w:val="right" w:leader="dot" w:pos="9241"/>
      </w:tabs>
      <w:ind w:firstLine="400"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9"/>
    <w:basedOn w:val="1"/>
    <w:next w:val="1"/>
    <w:semiHidden/>
    <w:qFormat/>
    <w:uiPriority w:val="0"/>
    <w:pPr>
      <w:ind w:left="1470"/>
      <w:jc w:val="left"/>
    </w:pPr>
    <w:rPr>
      <w:sz w:val="20"/>
      <w:szCs w:val="20"/>
    </w:rPr>
  </w:style>
  <w:style w:type="paragraph" w:styleId="3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qFormat/>
    <w:uiPriority w:val="0"/>
    <w:pPr>
      <w:ind w:left="420" w:hanging="210"/>
      <w:jc w:val="left"/>
    </w:pPr>
    <w:rPr>
      <w:rFonts w:ascii="Calibri" w:hAnsi="Calibri"/>
      <w:sz w:val="20"/>
      <w:szCs w:val="20"/>
    </w:rPr>
  </w:style>
  <w:style w:type="table" w:styleId="35">
    <w:name w:val="Table Grid"/>
    <w:basedOn w:val="3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qFormat/>
    <w:uiPriority w:val="22"/>
    <w:rPr>
      <w:b/>
      <w:bCs/>
    </w:r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Hyperlink"/>
    <w:qFormat/>
    <w:uiPriority w:val="99"/>
    <w:rPr>
      <w:color w:val="0000FF"/>
      <w:spacing w:val="0"/>
      <w:w w:val="100"/>
      <w:szCs w:val="21"/>
      <w:u w:val="single"/>
    </w:rPr>
  </w:style>
  <w:style w:type="character" w:styleId="41">
    <w:name w:val="footnote reference"/>
    <w:semiHidden/>
    <w:qFormat/>
    <w:uiPriority w:val="0"/>
    <w:rPr>
      <w:vertAlign w:val="superscript"/>
    </w:rPr>
  </w:style>
  <w:style w:type="character" w:customStyle="1" w:styleId="42">
    <w:name w:val="段 Char"/>
    <w:link w:val="26"/>
    <w:qFormat/>
    <w:uiPriority w:val="0"/>
    <w:rPr>
      <w:rFonts w:ascii="宋体"/>
      <w:sz w:val="21"/>
      <w:lang w:val="en-US" w:eastAsia="zh-CN" w:bidi="ar-SA"/>
    </w:rPr>
  </w:style>
  <w:style w:type="paragraph" w:customStyle="1" w:styleId="43">
    <w:name w:val="一级条标题"/>
    <w:next w:val="26"/>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6">
    <w:name w:val="章标题"/>
    <w:next w:val="26"/>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7">
    <w:name w:val="二级条标题"/>
    <w:basedOn w:val="43"/>
    <w:next w:val="26"/>
    <w:qFormat/>
    <w:uiPriority w:val="0"/>
    <w:pPr>
      <w:numPr>
        <w:ilvl w:val="2"/>
      </w:numPr>
      <w:outlineLvl w:val="3"/>
    </w:pPr>
  </w:style>
  <w:style w:type="paragraph" w:customStyle="1" w:styleId="4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9">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0">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1">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2">
    <w:name w:val="三级条标题"/>
    <w:basedOn w:val="47"/>
    <w:next w:val="26"/>
    <w:qFormat/>
    <w:uiPriority w:val="0"/>
    <w:pPr>
      <w:numPr>
        <w:ilvl w:val="3"/>
      </w:numPr>
      <w:spacing w:before="156" w:after="156"/>
      <w:outlineLvl w:val="4"/>
    </w:pPr>
    <w:rPr>
      <w:rFonts w:asciiTheme="minorEastAsia" w:hAnsiTheme="minorEastAsia"/>
    </w:rPr>
  </w:style>
  <w:style w:type="paragraph" w:customStyle="1" w:styleId="53">
    <w:name w:val="示例"/>
    <w:next w:val="54"/>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4">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5">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6">
    <w:name w:val="四级条标题"/>
    <w:basedOn w:val="52"/>
    <w:next w:val="26"/>
    <w:qFormat/>
    <w:uiPriority w:val="0"/>
    <w:pPr>
      <w:numPr>
        <w:ilvl w:val="4"/>
      </w:numPr>
      <w:outlineLvl w:val="5"/>
    </w:pPr>
  </w:style>
  <w:style w:type="paragraph" w:customStyle="1" w:styleId="57">
    <w:name w:val="五级条标题"/>
    <w:basedOn w:val="56"/>
    <w:next w:val="26"/>
    <w:qFormat/>
    <w:uiPriority w:val="0"/>
    <w:pPr>
      <w:numPr>
        <w:ilvl w:val="5"/>
      </w:numPr>
      <w:spacing w:before="50" w:after="50"/>
      <w:outlineLvl w:val="6"/>
    </w:pPr>
  </w:style>
  <w:style w:type="paragraph" w:customStyle="1" w:styleId="58">
    <w:name w:val="注："/>
    <w:next w:val="26"/>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9">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1">
    <w:name w:val="列项◆（三级）"/>
    <w:basedOn w:val="1"/>
    <w:qFormat/>
    <w:uiPriority w:val="0"/>
    <w:pPr>
      <w:numPr>
        <w:ilvl w:val="2"/>
        <w:numId w:val="3"/>
      </w:numPr>
    </w:pPr>
    <w:rPr>
      <w:rFonts w:ascii="宋体"/>
      <w:szCs w:val="21"/>
    </w:rPr>
  </w:style>
  <w:style w:type="paragraph" w:customStyle="1" w:styleId="62">
    <w:name w:val="编号列项（三级）"/>
    <w:qFormat/>
    <w:uiPriority w:val="0"/>
    <w:rPr>
      <w:rFonts w:ascii="宋体" w:hAnsi="Times New Roman" w:eastAsia="宋体" w:cs="Times New Roman"/>
      <w:sz w:val="21"/>
      <w:lang w:val="en-US" w:eastAsia="zh-CN" w:bidi="ar-SA"/>
    </w:rPr>
  </w:style>
  <w:style w:type="paragraph" w:customStyle="1" w:styleId="63">
    <w:name w:val="示例×："/>
    <w:basedOn w:val="46"/>
    <w:qFormat/>
    <w:uiPriority w:val="0"/>
    <w:pPr>
      <w:numPr>
        <w:ilvl w:val="0"/>
        <w:numId w:val="8"/>
      </w:numPr>
      <w:spacing w:before="0" w:beforeLines="0" w:after="0" w:afterLines="0"/>
      <w:outlineLvl w:val="9"/>
    </w:pPr>
    <w:rPr>
      <w:rFonts w:ascii="宋体" w:eastAsia="宋体"/>
      <w:sz w:val="18"/>
      <w:szCs w:val="18"/>
    </w:rPr>
  </w:style>
  <w:style w:type="paragraph" w:customStyle="1" w:styleId="64">
    <w:name w:val="五级无标题条"/>
    <w:basedOn w:val="57"/>
    <w:qFormat/>
    <w:uiPriority w:val="0"/>
    <w:pPr>
      <w:spacing w:before="0" w:beforeLines="0" w:after="0" w:afterLines="0"/>
    </w:pPr>
    <w:rPr>
      <w:rFonts w:eastAsiaTheme="minorEastAsia"/>
    </w:rPr>
  </w:style>
  <w:style w:type="paragraph" w:customStyle="1" w:styleId="65">
    <w:name w:val="注：（正文）"/>
    <w:basedOn w:val="58"/>
    <w:next w:val="26"/>
    <w:qFormat/>
    <w:uiPriority w:val="0"/>
    <w:pPr>
      <w:numPr>
        <w:ilvl w:val="0"/>
        <w:numId w:val="9"/>
      </w:numPr>
    </w:pPr>
  </w:style>
  <w:style w:type="paragraph" w:customStyle="1" w:styleId="66">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0">
    <w:name w:val="标准书眉_偶数页"/>
    <w:basedOn w:val="45"/>
    <w:next w:val="1"/>
    <w:qFormat/>
    <w:uiPriority w:val="0"/>
    <w:pPr>
      <w:jc w:val="left"/>
    </w:pPr>
  </w:style>
  <w:style w:type="paragraph" w:customStyle="1" w:styleId="71">
    <w:name w:val="标准书眉一"/>
    <w:qFormat/>
    <w:uiPriority w:val="0"/>
    <w:pPr>
      <w:jc w:val="both"/>
    </w:pPr>
    <w:rPr>
      <w:rFonts w:ascii="Times New Roman" w:hAnsi="Times New Roman" w:eastAsia="宋体" w:cs="Times New Roman"/>
      <w:lang w:val="en-US" w:eastAsia="zh-CN" w:bidi="ar-SA"/>
    </w:rPr>
  </w:style>
  <w:style w:type="paragraph" w:customStyle="1" w:styleId="72">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3">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4">
    <w:name w:val="发布"/>
    <w:qFormat/>
    <w:uiPriority w:val="0"/>
    <w:rPr>
      <w:rFonts w:ascii="黑体" w:eastAsia="黑体"/>
      <w:spacing w:val="85"/>
      <w:w w:val="100"/>
      <w:position w:val="3"/>
      <w:sz w:val="28"/>
      <w:szCs w:val="28"/>
    </w:rPr>
  </w:style>
  <w:style w:type="paragraph" w:customStyle="1" w:styleId="75">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0">
    <w:name w:val="封面标准英文名称"/>
    <w:basedOn w:val="79"/>
    <w:qFormat/>
    <w:uiPriority w:val="0"/>
    <w:pPr>
      <w:framePr w:wrap="around"/>
      <w:spacing w:before="370" w:line="400" w:lineRule="exact"/>
    </w:pPr>
    <w:rPr>
      <w:rFonts w:ascii="Times New Roman"/>
      <w:sz w:val="28"/>
      <w:szCs w:val="28"/>
    </w:rPr>
  </w:style>
  <w:style w:type="paragraph" w:customStyle="1" w:styleId="81">
    <w:name w:val="封面一致性程度标识"/>
    <w:basedOn w:val="80"/>
    <w:qFormat/>
    <w:uiPriority w:val="0"/>
    <w:pPr>
      <w:framePr w:wrap="around"/>
      <w:spacing w:before="440"/>
    </w:pPr>
    <w:rPr>
      <w:rFonts w:ascii="宋体" w:eastAsia="宋体"/>
    </w:rPr>
  </w:style>
  <w:style w:type="paragraph" w:customStyle="1" w:styleId="82">
    <w:name w:val="封面标准文稿类别"/>
    <w:basedOn w:val="81"/>
    <w:qFormat/>
    <w:uiPriority w:val="0"/>
    <w:pPr>
      <w:framePr w:wrap="around"/>
      <w:spacing w:after="160" w:line="240" w:lineRule="auto"/>
    </w:pPr>
    <w:rPr>
      <w:sz w:val="24"/>
    </w:rPr>
  </w:style>
  <w:style w:type="paragraph" w:customStyle="1" w:styleId="83">
    <w:name w:val="封面标准文稿编辑信息"/>
    <w:basedOn w:val="82"/>
    <w:qFormat/>
    <w:uiPriority w:val="0"/>
    <w:pPr>
      <w:framePr w:wrap="around"/>
      <w:spacing w:before="180" w:line="180" w:lineRule="exact"/>
    </w:pPr>
    <w:rPr>
      <w:sz w:val="21"/>
    </w:rPr>
  </w:style>
  <w:style w:type="paragraph" w:customStyle="1" w:styleId="84">
    <w:name w:val="封面正文"/>
    <w:qFormat/>
    <w:uiPriority w:val="0"/>
    <w:pPr>
      <w:jc w:val="both"/>
    </w:pPr>
    <w:rPr>
      <w:rFonts w:ascii="Times New Roman" w:hAnsi="Times New Roman" w:eastAsia="宋体" w:cs="Times New Roman"/>
      <w:lang w:val="en-US" w:eastAsia="zh-CN" w:bidi="ar-SA"/>
    </w:rPr>
  </w:style>
  <w:style w:type="paragraph" w:customStyle="1" w:styleId="85">
    <w:name w:val="附录标识"/>
    <w:basedOn w:val="1"/>
    <w:next w:val="26"/>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6">
    <w:name w:val="附录标题"/>
    <w:basedOn w:val="26"/>
    <w:next w:val="26"/>
    <w:qFormat/>
    <w:uiPriority w:val="0"/>
    <w:pPr>
      <w:ind w:firstLine="0" w:firstLineChars="0"/>
      <w:jc w:val="center"/>
    </w:pPr>
    <w:rPr>
      <w:rFonts w:ascii="黑体" w:eastAsia="黑体"/>
    </w:rPr>
  </w:style>
  <w:style w:type="paragraph" w:customStyle="1" w:styleId="87">
    <w:name w:val="附录表标号"/>
    <w:basedOn w:val="1"/>
    <w:next w:val="26"/>
    <w:qFormat/>
    <w:uiPriority w:val="0"/>
    <w:pPr>
      <w:numPr>
        <w:ilvl w:val="0"/>
        <w:numId w:val="11"/>
      </w:numPr>
      <w:spacing w:line="14" w:lineRule="exact"/>
      <w:ind w:left="811" w:hanging="448"/>
      <w:jc w:val="center"/>
      <w:outlineLvl w:val="0"/>
    </w:pPr>
    <w:rPr>
      <w:color w:val="FFFFFF"/>
    </w:rPr>
  </w:style>
  <w:style w:type="paragraph" w:customStyle="1" w:styleId="88">
    <w:name w:val="附录表标题"/>
    <w:basedOn w:val="1"/>
    <w:next w:val="26"/>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89">
    <w:name w:val="附录二级条标题"/>
    <w:basedOn w:val="1"/>
    <w:next w:val="26"/>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0">
    <w:name w:val="附录二级无"/>
    <w:basedOn w:val="89"/>
    <w:qFormat/>
    <w:uiPriority w:val="0"/>
    <w:pPr>
      <w:tabs>
        <w:tab w:val="clear" w:pos="360"/>
      </w:tabs>
      <w:spacing w:beforeLines="0" w:afterLines="0"/>
    </w:pPr>
    <w:rPr>
      <w:rFonts w:ascii="宋体" w:eastAsia="宋体"/>
      <w:szCs w:val="21"/>
    </w:rPr>
  </w:style>
  <w:style w:type="paragraph" w:customStyle="1" w:styleId="91">
    <w:name w:val="附录公式"/>
    <w:basedOn w:val="26"/>
    <w:next w:val="26"/>
    <w:link w:val="92"/>
    <w:qFormat/>
    <w:uiPriority w:val="0"/>
  </w:style>
  <w:style w:type="character" w:customStyle="1" w:styleId="92">
    <w:name w:val="附录公式 Char"/>
    <w:basedOn w:val="42"/>
    <w:link w:val="91"/>
    <w:qFormat/>
    <w:uiPriority w:val="0"/>
    <w:rPr>
      <w:rFonts w:ascii="宋体"/>
      <w:sz w:val="21"/>
      <w:lang w:val="en-US" w:eastAsia="zh-CN" w:bidi="ar-SA"/>
    </w:rPr>
  </w:style>
  <w:style w:type="paragraph" w:customStyle="1" w:styleId="93">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94">
    <w:name w:val="附录三级条标题"/>
    <w:basedOn w:val="89"/>
    <w:next w:val="26"/>
    <w:qFormat/>
    <w:uiPriority w:val="0"/>
    <w:pPr>
      <w:outlineLvl w:val="4"/>
    </w:pPr>
  </w:style>
  <w:style w:type="paragraph" w:customStyle="1" w:styleId="95">
    <w:name w:val="附录三级无"/>
    <w:basedOn w:val="94"/>
    <w:qFormat/>
    <w:uiPriority w:val="0"/>
    <w:pPr>
      <w:tabs>
        <w:tab w:val="clear" w:pos="360"/>
      </w:tabs>
      <w:spacing w:beforeLines="0" w:afterLines="0"/>
    </w:pPr>
    <w:rPr>
      <w:rFonts w:ascii="宋体" w:eastAsia="宋体"/>
      <w:szCs w:val="21"/>
    </w:rPr>
  </w:style>
  <w:style w:type="paragraph" w:customStyle="1" w:styleId="96">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7">
    <w:name w:val="附录四级条标题"/>
    <w:basedOn w:val="94"/>
    <w:next w:val="26"/>
    <w:qFormat/>
    <w:uiPriority w:val="0"/>
    <w:pPr>
      <w:outlineLvl w:val="5"/>
    </w:pPr>
  </w:style>
  <w:style w:type="paragraph" w:customStyle="1" w:styleId="98">
    <w:name w:val="附录四级无"/>
    <w:basedOn w:val="97"/>
    <w:qFormat/>
    <w:uiPriority w:val="0"/>
    <w:pPr>
      <w:tabs>
        <w:tab w:val="clear" w:pos="360"/>
      </w:tabs>
      <w:spacing w:beforeLines="0" w:afterLines="0"/>
    </w:pPr>
    <w:rPr>
      <w:rFonts w:ascii="宋体" w:eastAsia="宋体"/>
      <w:szCs w:val="21"/>
    </w:rPr>
  </w:style>
  <w:style w:type="paragraph" w:customStyle="1" w:styleId="99">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0">
    <w:name w:val="附录图标题"/>
    <w:basedOn w:val="1"/>
    <w:next w:val="26"/>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1">
    <w:name w:val="附录五级条标题"/>
    <w:basedOn w:val="97"/>
    <w:next w:val="26"/>
    <w:qFormat/>
    <w:uiPriority w:val="0"/>
    <w:pPr>
      <w:outlineLvl w:val="6"/>
    </w:pPr>
  </w:style>
  <w:style w:type="paragraph" w:customStyle="1" w:styleId="102">
    <w:name w:val="附录五级无"/>
    <w:basedOn w:val="101"/>
    <w:qFormat/>
    <w:uiPriority w:val="0"/>
    <w:pPr>
      <w:tabs>
        <w:tab w:val="clear" w:pos="360"/>
      </w:tabs>
      <w:spacing w:beforeLines="0" w:afterLines="0"/>
    </w:pPr>
    <w:rPr>
      <w:rFonts w:ascii="宋体" w:eastAsia="宋体"/>
      <w:szCs w:val="21"/>
    </w:rPr>
  </w:style>
  <w:style w:type="paragraph" w:customStyle="1" w:styleId="103">
    <w:name w:val="附录章标题"/>
    <w:next w:val="26"/>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4">
    <w:name w:val="附录一级条标题"/>
    <w:basedOn w:val="103"/>
    <w:next w:val="26"/>
    <w:qFormat/>
    <w:uiPriority w:val="0"/>
    <w:pPr>
      <w:autoSpaceDN w:val="0"/>
      <w:spacing w:beforeLines="50" w:afterLines="50"/>
      <w:outlineLvl w:val="2"/>
    </w:pPr>
  </w:style>
  <w:style w:type="paragraph" w:customStyle="1" w:styleId="105">
    <w:name w:val="附录一级无"/>
    <w:basedOn w:val="104"/>
    <w:qFormat/>
    <w:uiPriority w:val="0"/>
    <w:pPr>
      <w:tabs>
        <w:tab w:val="clear" w:pos="360"/>
      </w:tabs>
      <w:spacing w:beforeLines="0" w:afterLines="0"/>
    </w:pPr>
    <w:rPr>
      <w:rFonts w:ascii="宋体" w:eastAsia="宋体"/>
      <w:szCs w:val="21"/>
    </w:rPr>
  </w:style>
  <w:style w:type="paragraph" w:customStyle="1" w:styleId="106">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0">
    <w:name w:val="其他标准标志"/>
    <w:basedOn w:val="67"/>
    <w:qFormat/>
    <w:uiPriority w:val="0"/>
    <w:pPr>
      <w:framePr w:w="6101" w:wrap="around" w:vAnchor="page" w:hAnchor="page" w:x="4673" w:y="942"/>
    </w:pPr>
    <w:rPr>
      <w:w w:val="130"/>
    </w:rPr>
  </w:style>
  <w:style w:type="paragraph" w:customStyle="1" w:styleId="1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2">
    <w:name w:val="其他发布部门"/>
    <w:basedOn w:val="75"/>
    <w:qFormat/>
    <w:uiPriority w:val="0"/>
    <w:pPr>
      <w:framePr w:wrap="around" w:y="15310"/>
      <w:spacing w:line="0" w:lineRule="atLeast"/>
    </w:pPr>
    <w:rPr>
      <w:rFonts w:ascii="黑体" w:eastAsia="黑体"/>
      <w:b w:val="0"/>
    </w:rPr>
  </w:style>
  <w:style w:type="paragraph" w:customStyle="1" w:styleId="113">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4">
    <w:name w:val="三级无标题条"/>
    <w:basedOn w:val="52"/>
    <w:qFormat/>
    <w:uiPriority w:val="0"/>
    <w:pPr>
      <w:spacing w:before="0" w:beforeLines="0" w:after="0" w:afterLines="0"/>
    </w:pPr>
    <w:rPr>
      <w:rFonts w:eastAsiaTheme="minorEastAsia"/>
    </w:rPr>
  </w:style>
  <w:style w:type="paragraph" w:customStyle="1" w:styleId="115">
    <w:name w:val="实施日期"/>
    <w:basedOn w:val="76"/>
    <w:qFormat/>
    <w:uiPriority w:val="0"/>
    <w:pPr>
      <w:framePr w:wrap="around" w:vAnchor="page" w:hAnchor="text"/>
      <w:jc w:val="right"/>
    </w:pPr>
  </w:style>
  <w:style w:type="paragraph" w:customStyle="1" w:styleId="116">
    <w:name w:val="示例后文字"/>
    <w:basedOn w:val="26"/>
    <w:next w:val="26"/>
    <w:qFormat/>
    <w:uiPriority w:val="0"/>
    <w:pPr>
      <w:ind w:firstLine="360"/>
    </w:pPr>
    <w:rPr>
      <w:sz w:val="18"/>
    </w:rPr>
  </w:style>
  <w:style w:type="paragraph" w:customStyle="1" w:styleId="117">
    <w:name w:val="首示例"/>
    <w:next w:val="26"/>
    <w:link w:val="118"/>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8">
    <w:name w:val="首示例 Char"/>
    <w:link w:val="117"/>
    <w:qFormat/>
    <w:uiPriority w:val="0"/>
    <w:rPr>
      <w:rFonts w:ascii="宋体" w:hAnsi="宋体"/>
      <w:kern w:val="2"/>
      <w:sz w:val="18"/>
      <w:szCs w:val="18"/>
    </w:rPr>
  </w:style>
  <w:style w:type="paragraph" w:customStyle="1" w:styleId="119">
    <w:name w:val="四级无"/>
    <w:basedOn w:val="56"/>
    <w:qFormat/>
    <w:uiPriority w:val="0"/>
    <w:pPr>
      <w:numPr>
        <w:numId w:val="15"/>
      </w:numPr>
      <w:spacing w:beforeLines="0" w:afterLines="0"/>
    </w:pPr>
    <w:rPr>
      <w:rFonts w:ascii="宋体" w:eastAsia="宋体"/>
    </w:rPr>
  </w:style>
  <w:style w:type="paragraph" w:customStyle="1" w:styleId="120">
    <w:name w:val="条文脚注"/>
    <w:basedOn w:val="27"/>
    <w:qFormat/>
    <w:uiPriority w:val="0"/>
    <w:pPr>
      <w:numPr>
        <w:numId w:val="0"/>
      </w:numPr>
      <w:jc w:val="both"/>
    </w:pPr>
  </w:style>
  <w:style w:type="paragraph" w:customStyle="1" w:styleId="121">
    <w:name w:val="图标脚注说明"/>
    <w:basedOn w:val="26"/>
    <w:qFormat/>
    <w:uiPriority w:val="0"/>
    <w:pPr>
      <w:ind w:left="840" w:hanging="420" w:firstLineChars="0"/>
    </w:pPr>
    <w:rPr>
      <w:sz w:val="18"/>
      <w:szCs w:val="18"/>
    </w:rPr>
  </w:style>
  <w:style w:type="paragraph" w:customStyle="1" w:styleId="122">
    <w:name w:val="图表脚注说明"/>
    <w:basedOn w:val="1"/>
    <w:qFormat/>
    <w:uiPriority w:val="0"/>
    <w:pPr>
      <w:numPr>
        <w:ilvl w:val="0"/>
        <w:numId w:val="16"/>
      </w:numPr>
    </w:pPr>
    <w:rPr>
      <w:rFonts w:ascii="宋体"/>
      <w:sz w:val="18"/>
      <w:szCs w:val="18"/>
    </w:rPr>
  </w:style>
  <w:style w:type="paragraph" w:customStyle="1" w:styleId="123">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5">
    <w:name w:val="五级无"/>
    <w:basedOn w:val="57"/>
    <w:qFormat/>
    <w:uiPriority w:val="0"/>
    <w:pPr>
      <w:numPr>
        <w:numId w:val="15"/>
      </w:numPr>
      <w:spacing w:beforeLines="0" w:afterLines="0"/>
    </w:pPr>
    <w:rPr>
      <w:rFonts w:ascii="宋体" w:eastAsia="宋体"/>
    </w:rPr>
  </w:style>
  <w:style w:type="paragraph" w:customStyle="1" w:styleId="126">
    <w:name w:val="四级无标题条"/>
    <w:basedOn w:val="56"/>
    <w:qFormat/>
    <w:uiPriority w:val="0"/>
    <w:pPr>
      <w:spacing w:before="0" w:beforeLines="0" w:after="0" w:afterLines="0"/>
    </w:pPr>
    <w:rPr>
      <w:rFonts w:eastAsiaTheme="minorEastAsia"/>
    </w:rPr>
  </w:style>
  <w:style w:type="character" w:customStyle="1" w:styleId="127">
    <w:name w:val="已访问的超链接1"/>
    <w:qFormat/>
    <w:uiPriority w:val="0"/>
    <w:rPr>
      <w:color w:val="800080"/>
      <w:u w:val="single"/>
    </w:rPr>
  </w:style>
  <w:style w:type="paragraph" w:customStyle="1" w:styleId="128">
    <w:name w:val="正文表标题"/>
    <w:next w:val="26"/>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9">
    <w:name w:val="正文公式编号制表符"/>
    <w:basedOn w:val="26"/>
    <w:next w:val="26"/>
    <w:qFormat/>
    <w:uiPriority w:val="0"/>
    <w:pPr>
      <w:ind w:firstLine="0" w:firstLineChars="0"/>
    </w:pPr>
  </w:style>
  <w:style w:type="paragraph" w:customStyle="1" w:styleId="130">
    <w:name w:val="正文图标题"/>
    <w:next w:val="26"/>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1">
    <w:name w:val="终结线"/>
    <w:basedOn w:val="1"/>
    <w:qFormat/>
    <w:uiPriority w:val="0"/>
    <w:pPr>
      <w:framePr w:hSpace="181" w:vSpace="181" w:wrap="around" w:vAnchor="text" w:hAnchor="margin" w:xAlign="center" w:y="285"/>
    </w:pPr>
  </w:style>
  <w:style w:type="paragraph" w:customStyle="1" w:styleId="132">
    <w:name w:val="其他发布日期"/>
    <w:basedOn w:val="76"/>
    <w:qFormat/>
    <w:uiPriority w:val="0"/>
    <w:pPr>
      <w:framePr w:wrap="around" w:vAnchor="page" w:hAnchor="text" w:x="1419"/>
    </w:pPr>
  </w:style>
  <w:style w:type="paragraph" w:customStyle="1" w:styleId="133">
    <w:name w:val="其他实施日期"/>
    <w:basedOn w:val="115"/>
    <w:qFormat/>
    <w:uiPriority w:val="0"/>
    <w:pPr>
      <w:framePr w:wrap="around"/>
    </w:pPr>
  </w:style>
  <w:style w:type="paragraph" w:customStyle="1" w:styleId="134">
    <w:name w:val="封面标准名称2"/>
    <w:basedOn w:val="79"/>
    <w:qFormat/>
    <w:uiPriority w:val="0"/>
    <w:pPr>
      <w:framePr w:wrap="around" w:y="4469"/>
      <w:spacing w:beforeLines="630"/>
    </w:pPr>
  </w:style>
  <w:style w:type="paragraph" w:customStyle="1" w:styleId="135">
    <w:name w:val="封面标准英文名称2"/>
    <w:basedOn w:val="80"/>
    <w:qFormat/>
    <w:uiPriority w:val="0"/>
    <w:pPr>
      <w:framePr w:wrap="around" w:y="4469"/>
    </w:pPr>
  </w:style>
  <w:style w:type="paragraph" w:customStyle="1" w:styleId="136">
    <w:name w:val="封面一致性程度标识2"/>
    <w:basedOn w:val="81"/>
    <w:qFormat/>
    <w:uiPriority w:val="0"/>
    <w:pPr>
      <w:framePr w:wrap="around" w:y="4469"/>
    </w:pPr>
  </w:style>
  <w:style w:type="paragraph" w:customStyle="1" w:styleId="137">
    <w:name w:val="封面标准文稿类别2"/>
    <w:basedOn w:val="82"/>
    <w:qFormat/>
    <w:uiPriority w:val="0"/>
    <w:pPr>
      <w:framePr w:wrap="around" w:y="4469"/>
    </w:pPr>
  </w:style>
  <w:style w:type="paragraph" w:customStyle="1" w:styleId="138">
    <w:name w:val="封面标准文稿编辑信息2"/>
    <w:basedOn w:val="83"/>
    <w:qFormat/>
    <w:uiPriority w:val="0"/>
    <w:pPr>
      <w:framePr w:wrap="around" w:y="4469"/>
    </w:pPr>
  </w:style>
  <w:style w:type="paragraph" w:customStyle="1" w:styleId="139">
    <w:name w:val="列出段落1"/>
    <w:basedOn w:val="1"/>
    <w:qFormat/>
    <w:uiPriority w:val="34"/>
    <w:pPr>
      <w:ind w:firstLine="420" w:firstLineChars="200"/>
    </w:pPr>
    <w:rPr>
      <w:rFonts w:ascii="Calibri" w:hAnsi="Calibri"/>
      <w:sz w:val="28"/>
      <w:szCs w:val="22"/>
    </w:rPr>
  </w:style>
  <w:style w:type="character" w:customStyle="1" w:styleId="140">
    <w:name w:val="标题 2 字符"/>
    <w:link w:val="5"/>
    <w:qFormat/>
    <w:uiPriority w:val="9"/>
    <w:rPr>
      <w:rFonts w:ascii="Cambria" w:hAnsi="Cambria" w:eastAsia="宋体" w:cs="Times New Roman"/>
      <w:b/>
      <w:bCs/>
      <w:kern w:val="2"/>
      <w:sz w:val="32"/>
      <w:szCs w:val="32"/>
    </w:rPr>
  </w:style>
  <w:style w:type="character" w:customStyle="1" w:styleId="141">
    <w:name w:val="标题 3 字符"/>
    <w:link w:val="6"/>
    <w:qFormat/>
    <w:uiPriority w:val="9"/>
    <w:rPr>
      <w:rFonts w:ascii="Calibri" w:hAnsi="Calibri" w:eastAsia="宋体" w:cs="Times New Roman"/>
      <w:b/>
      <w:bCs/>
      <w:kern w:val="2"/>
      <w:sz w:val="32"/>
      <w:szCs w:val="32"/>
    </w:rPr>
  </w:style>
  <w:style w:type="character" w:customStyle="1" w:styleId="142">
    <w:name w:val="批注框文本 字符"/>
    <w:link w:val="19"/>
    <w:qFormat/>
    <w:uiPriority w:val="0"/>
    <w:rPr>
      <w:kern w:val="2"/>
      <w:sz w:val="18"/>
      <w:szCs w:val="18"/>
    </w:rPr>
  </w:style>
  <w:style w:type="character" w:customStyle="1" w:styleId="143">
    <w:name w:val="标题 1 字符"/>
    <w:link w:val="4"/>
    <w:qFormat/>
    <w:uiPriority w:val="0"/>
    <w:rPr>
      <w:b/>
      <w:bCs/>
      <w:kern w:val="44"/>
      <w:sz w:val="44"/>
      <w:szCs w:val="44"/>
    </w:rPr>
  </w:style>
  <w:style w:type="paragraph" w:customStyle="1" w:styleId="144">
    <w:name w:val="TOC 标题1"/>
    <w:basedOn w:val="4"/>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5">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146">
    <w:name w:val="一级无标题条"/>
    <w:basedOn w:val="43"/>
    <w:qFormat/>
    <w:uiPriority w:val="0"/>
    <w:pPr>
      <w:spacing w:before="0" w:beforeLines="0" w:after="0" w:afterLines="0"/>
    </w:pPr>
    <w:rPr>
      <w:rFonts w:asciiTheme="majorEastAsia" w:hAnsiTheme="majorEastAsia" w:eastAsiaTheme="majorEastAsia"/>
    </w:rPr>
  </w:style>
  <w:style w:type="paragraph" w:customStyle="1" w:styleId="147">
    <w:name w:val="二级无标题条"/>
    <w:basedOn w:val="47"/>
    <w:qFormat/>
    <w:uiPriority w:val="0"/>
    <w:pPr>
      <w:spacing w:before="0" w:beforeLines="0" w:after="0" w:afterLines="0"/>
    </w:pPr>
    <w:rPr>
      <w:rFonts w:asciiTheme="minorEastAsia" w:hAnsiTheme="minorEastAsia" w:eastAsiaTheme="minorEastAsia"/>
    </w:rPr>
  </w:style>
  <w:style w:type="paragraph" w:customStyle="1" w:styleId="148">
    <w:name w:val="术语"/>
    <w:basedOn w:val="26"/>
    <w:next w:val="26"/>
    <w:qFormat/>
    <w:uiPriority w:val="0"/>
    <w:rPr>
      <w:rFonts w:ascii="黑体" w:hAnsi="黑体" w:eastAsia="黑体"/>
      <w:color w:val="000000" w:themeColor="text1"/>
      <w14:textFill>
        <w14:solidFill>
          <w14:schemeClr w14:val="tx1"/>
        </w14:solidFill>
      </w14:textFill>
    </w:rPr>
  </w:style>
  <w:style w:type="paragraph" w:customStyle="1" w:styleId="149">
    <w:name w:val="参考文献正文"/>
    <w:basedOn w:val="26"/>
    <w:qFormat/>
    <w:uiPriority w:val="0"/>
    <w:pPr>
      <w:numPr>
        <w:ilvl w:val="1"/>
        <w:numId w:val="19"/>
      </w:numPr>
      <w:tabs>
        <w:tab w:val="clear" w:pos="4201"/>
        <w:tab w:val="clear" w:pos="9298"/>
      </w:tabs>
      <w:ind w:left="0" w:firstLine="420"/>
      <w:jc w:val="left"/>
    </w:pPr>
  </w:style>
  <w:style w:type="paragraph" w:styleId="150">
    <w:name w:val="List Paragraph"/>
    <w:basedOn w:val="1"/>
    <w:qFormat/>
    <w:uiPriority w:val="34"/>
    <w:pPr>
      <w:widowControl/>
      <w:ind w:firstLine="420" w:firstLineChars="200"/>
      <w:jc w:val="left"/>
    </w:pPr>
    <w:rPr>
      <w:rFonts w:ascii="宋体" w:hAnsi="宋体" w:cs="宋体"/>
      <w:kern w:val="0"/>
      <w:sz w:val="24"/>
    </w:rPr>
  </w:style>
  <w:style w:type="character" w:styleId="151">
    <w:name w:val="Placeholder Text"/>
    <w:basedOn w:val="36"/>
    <w:semiHidden/>
    <w:qFormat/>
    <w:uiPriority w:val="99"/>
    <w:rPr>
      <w:color w:val="808080"/>
    </w:rPr>
  </w:style>
  <w:style w:type="paragraph" w:customStyle="1" w:styleId="152">
    <w:name w:val="附录章无标题"/>
    <w:qFormat/>
    <w:uiPriority w:val="0"/>
    <w:rPr>
      <w:rFonts w:ascii="宋体" w:hAnsi="Times New Roman" w:eastAsia="宋体" w:cs="Times New Roman"/>
      <w:sz w:val="21"/>
      <w:lang w:val="en-US" w:eastAsia="zh-CN" w:bidi="ar-SA"/>
    </w:rPr>
  </w:style>
  <w:style w:type="paragraph" w:customStyle="1" w:styleId="153">
    <w:name w:val="标准文件_章标题"/>
    <w:next w:val="154"/>
    <w:qFormat/>
    <w:uiPriority w:val="0"/>
    <w:pPr>
      <w:numPr>
        <w:ilvl w:val="1"/>
        <w:numId w:val="20"/>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54">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7.wmf"/><Relationship Id="rId26" Type="http://schemas.openxmlformats.org/officeDocument/2006/relationships/oleObject" Target="embeddings/oleObject7.bin"/><Relationship Id="rId25" Type="http://schemas.openxmlformats.org/officeDocument/2006/relationships/image" Target="media/image6.wmf"/><Relationship Id="rId24" Type="http://schemas.openxmlformats.org/officeDocument/2006/relationships/oleObject" Target="embeddings/oleObject6.bin"/><Relationship Id="rId23" Type="http://schemas.openxmlformats.org/officeDocument/2006/relationships/image" Target="media/image5.wmf"/><Relationship Id="rId22" Type="http://schemas.openxmlformats.org/officeDocument/2006/relationships/oleObject" Target="embeddings/oleObject5.bin"/><Relationship Id="rId21" Type="http://schemas.openxmlformats.org/officeDocument/2006/relationships/image" Target="media/image4.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3.bin"/><Relationship Id="rId17" Type="http://schemas.openxmlformats.org/officeDocument/2006/relationships/image" Target="media/image2.wmf"/><Relationship Id="rId16" Type="http://schemas.openxmlformats.org/officeDocument/2006/relationships/oleObject" Target="embeddings/oleObject2.bin"/><Relationship Id="rId15" Type="http://schemas.openxmlformats.org/officeDocument/2006/relationships/image" Target="media/image1.w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WeChat%20Files\wxid_c0s3qy7a0q5w12\FileStorage\File\2025-06\&#12304;2023.08.14&#12305;&#12304;&#26631;&#20934;&#21270;&#30740;&#31350;&#38498;&#32473;&#12305;&#27827;&#21271;&#30465;&#22320;&#26041;&#26631;&#20934;&#65288;&#24066;&#22330;&#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6DE148-A233-489C-B5F5-403E16583124}">
  <ds:schemaRefs/>
</ds:datastoreItem>
</file>

<file path=docProps/app.xml><?xml version="1.0" encoding="utf-8"?>
<Properties xmlns="http://schemas.openxmlformats.org/officeDocument/2006/extended-properties" xmlns:vt="http://schemas.openxmlformats.org/officeDocument/2006/docPropsVTypes">
  <Template>【2023.08.14】【标准化研究院给】河北省地方标准（市场局 2020版）.dotx</Template>
  <Pages>14</Pages>
  <Words>6237</Words>
  <Characters>6468</Characters>
  <Lines>61</Lines>
  <Paragraphs>17</Paragraphs>
  <TotalTime>0</TotalTime>
  <ScaleCrop>false</ScaleCrop>
  <LinksUpToDate>false</LinksUpToDate>
  <CharactersWithSpaces>6571</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2025-06-27T08:35:00Z</dcterms:created>
  <dc:creator>HP</dc:creator>
  <cp:lastModifiedBy>HP</cp:lastModifiedBy>
  <dcterms:modified xsi:type="dcterms:W3CDTF">2025-06-27T08:58:46Z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1A35058169DB4D55A0CDEFA8A5803A15</vt:lpwstr>
  </property>
</Properties>
</file>