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6" w:lineRule="exact"/>
        <w:jc w:val="center"/>
        <w:rPr>
          <w:rFonts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河北省地方标准</w:t>
      </w:r>
    </w:p>
    <w:p>
      <w:pPr>
        <w:spacing w:line="606"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《设施蔬菜甲虫类害虫绿色防治技术规程》</w:t>
      </w:r>
    </w:p>
    <w:p>
      <w:pPr>
        <w:spacing w:line="606"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编制说明</w:t>
      </w:r>
    </w:p>
    <w:p>
      <w:pPr>
        <w:pStyle w:val="3"/>
        <w:spacing w:line="606" w:lineRule="exact"/>
        <w:rPr>
          <w:rFonts w:ascii="方正小标宋简体" w:hAnsi="方正小标宋简体" w:eastAsia="方正小标宋简体" w:cs="方正小标宋简体"/>
          <w:sz w:val="44"/>
          <w:szCs w:val="44"/>
        </w:rPr>
      </w:pPr>
    </w:p>
    <w:p>
      <w:pPr>
        <w:spacing w:line="560" w:lineRule="exact"/>
        <w:ind w:firstLine="611" w:firstLineChars="196"/>
        <w:rPr>
          <w:rFonts w:ascii="黑体" w:hAnsi="黑体" w:eastAsia="黑体" w:cs="黑体"/>
          <w:bCs/>
          <w:sz w:val="32"/>
          <w:szCs w:val="32"/>
        </w:rPr>
      </w:pPr>
      <w:r>
        <w:rPr>
          <w:rFonts w:hint="eastAsia" w:ascii="黑体" w:hAnsi="黑体" w:eastAsia="黑体" w:cs="黑体"/>
          <w:bCs/>
          <w:spacing w:val="-4"/>
          <w:sz w:val="32"/>
          <w:szCs w:val="32"/>
        </w:rPr>
        <w:t>一、工作简况</w:t>
      </w:r>
    </w:p>
    <w:p>
      <w:pPr>
        <w:widowControl/>
        <w:shd w:val="clear" w:color="auto" w:fill="FFFFFF"/>
        <w:spacing w:line="400" w:lineRule="atLeast"/>
        <w:rPr>
          <w:rFonts w:ascii="仿宋_GB2312" w:hAnsi="仿宋_GB2312" w:eastAsia="仿宋_GB2312" w:cs="仿宋_GB2312"/>
          <w:sz w:val="32"/>
          <w:szCs w:val="32"/>
        </w:rPr>
      </w:pPr>
      <w:r>
        <w:rPr>
          <w:rFonts w:hint="eastAsia" w:ascii="仿宋_GB2312" w:hAnsi="仿宋_GB2312" w:eastAsia="仿宋_GB2312" w:cs="仿宋_GB2312"/>
          <w:sz w:val="32"/>
          <w:szCs w:val="32"/>
        </w:rPr>
        <w:t>2021年8月，《设施蔬菜甲虫类害虫绿色防治技术规程》列入2021年河北省地方标准制修订项目计划（第二批），项目编号：NY202141。项目由河北省农林科学院植物保护研究所、中国农业科学院植物保护研究所、衡水市农业环境与农畜产品质量监督管理站等单位共同起草。主要起草人名单见表1。</w:t>
      </w:r>
    </w:p>
    <w:p>
      <w:pPr>
        <w:pStyle w:val="3"/>
        <w:spacing w:line="560" w:lineRule="exact"/>
        <w:ind w:firstLine="624" w:firstLineChars="200"/>
        <w:jc w:val="center"/>
        <w:rPr>
          <w:rFonts w:ascii="仿宋_GB2312" w:eastAsia="仿宋_GB2312"/>
          <w:spacing w:val="-4"/>
          <w:sz w:val="32"/>
          <w:szCs w:val="32"/>
          <w:lang w:val="en-US" w:bidi="ar-SA"/>
        </w:rPr>
      </w:pPr>
      <w:r>
        <w:rPr>
          <w:rFonts w:hint="eastAsia" w:ascii="仿宋_GB2312" w:eastAsia="仿宋_GB2312"/>
          <w:spacing w:val="-4"/>
          <w:sz w:val="32"/>
          <w:szCs w:val="32"/>
          <w:lang w:val="en-US" w:bidi="ar-SA"/>
        </w:rPr>
        <w:t>表 1</w:t>
      </w:r>
      <w:r>
        <w:rPr>
          <w:rFonts w:hint="eastAsia" w:ascii="仿宋_GB2312" w:eastAsia="仿宋_GB2312"/>
          <w:spacing w:val="-4"/>
          <w:sz w:val="32"/>
          <w:szCs w:val="32"/>
          <w:lang w:val="en-US" w:bidi="ar-SA"/>
        </w:rPr>
        <w:tab/>
      </w:r>
      <w:r>
        <w:rPr>
          <w:rFonts w:hint="eastAsia" w:ascii="仿宋_GB2312" w:eastAsia="仿宋_GB2312"/>
          <w:spacing w:val="-4"/>
          <w:sz w:val="32"/>
          <w:szCs w:val="32"/>
          <w:lang w:val="en-US" w:bidi="ar-SA"/>
        </w:rPr>
        <w:t>主要起草人员名单</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2"/>
        <w:gridCol w:w="1273"/>
        <w:gridCol w:w="3029"/>
        <w:gridCol w:w="1023"/>
        <w:gridCol w:w="724"/>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47" w:type="pct"/>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姓名</w:t>
            </w:r>
          </w:p>
        </w:tc>
        <w:tc>
          <w:tcPr>
            <w:tcW w:w="747" w:type="pct"/>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分工</w:t>
            </w:r>
          </w:p>
        </w:tc>
        <w:tc>
          <w:tcPr>
            <w:tcW w:w="1777" w:type="pct"/>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工作单位</w:t>
            </w:r>
          </w:p>
        </w:tc>
        <w:tc>
          <w:tcPr>
            <w:tcW w:w="600" w:type="pct"/>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职称</w:t>
            </w:r>
          </w:p>
        </w:tc>
        <w:tc>
          <w:tcPr>
            <w:tcW w:w="425" w:type="pct"/>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专业</w:t>
            </w:r>
          </w:p>
        </w:tc>
        <w:tc>
          <w:tcPr>
            <w:tcW w:w="804" w:type="pct"/>
            <w:vAlign w:val="center"/>
          </w:tcPr>
          <w:p>
            <w:pPr>
              <w:adjustRightInd w:val="0"/>
              <w:snapToGrid w:val="0"/>
              <w:spacing w:line="360" w:lineRule="exact"/>
              <w:ind w:firstLine="240" w:firstLineChars="100"/>
              <w:rPr>
                <w:rFonts w:ascii="Times New Roman" w:hAnsi="Times New Roman" w:eastAsia="仿宋_GB2312"/>
                <w:sz w:val="24"/>
              </w:rPr>
            </w:pPr>
            <w:r>
              <w:rPr>
                <w:rFonts w:ascii="Times New Roman" w:hAnsi="Times New Roman" w:eastAsia="仿宋_GB2312"/>
                <w:sz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47" w:type="pct"/>
            <w:vAlign w:val="center"/>
          </w:tcPr>
          <w:p>
            <w:pPr>
              <w:snapToGrid w:val="0"/>
              <w:spacing w:line="400" w:lineRule="exact"/>
              <w:jc w:val="center"/>
              <w:rPr>
                <w:rFonts w:ascii="Times New Roman" w:hAnsi="Times New Roman" w:eastAsia="仿宋_GB2312"/>
              </w:rPr>
            </w:pPr>
            <w:r>
              <w:rPr>
                <w:rFonts w:ascii="Times New Roman" w:eastAsia="仿宋_GB2312"/>
              </w:rPr>
              <w:t>宋</w:t>
            </w:r>
            <w:r>
              <w:rPr>
                <w:rFonts w:ascii="Times New Roman" w:hAnsi="Times New Roman" w:eastAsia="仿宋_GB2312"/>
              </w:rPr>
              <w:t xml:space="preserve"> </w:t>
            </w:r>
            <w:r>
              <w:rPr>
                <w:rFonts w:ascii="Times New Roman" w:eastAsia="仿宋_GB2312"/>
              </w:rPr>
              <w:t>健</w:t>
            </w:r>
          </w:p>
        </w:tc>
        <w:tc>
          <w:tcPr>
            <w:tcW w:w="747" w:type="pct"/>
            <w:vAlign w:val="center"/>
          </w:tcPr>
          <w:p>
            <w:pPr>
              <w:snapToGrid w:val="0"/>
              <w:spacing w:line="400" w:lineRule="exact"/>
              <w:jc w:val="center"/>
              <w:rPr>
                <w:rFonts w:ascii="Times New Roman" w:hAnsi="Times New Roman" w:eastAsia="仿宋_GB2312"/>
              </w:rPr>
            </w:pPr>
            <w:r>
              <w:rPr>
                <w:rFonts w:ascii="Times New Roman" w:eastAsia="仿宋_GB2312"/>
              </w:rPr>
              <w:t>项目负责人</w:t>
            </w:r>
          </w:p>
        </w:tc>
        <w:tc>
          <w:tcPr>
            <w:tcW w:w="1777" w:type="pct"/>
            <w:vAlign w:val="center"/>
          </w:tcPr>
          <w:p>
            <w:pPr>
              <w:snapToGrid w:val="0"/>
              <w:spacing w:line="400" w:lineRule="exact"/>
              <w:jc w:val="left"/>
              <w:rPr>
                <w:rFonts w:ascii="Times New Roman" w:hAnsi="Times New Roman" w:eastAsia="仿宋_GB2312"/>
              </w:rPr>
            </w:pPr>
            <w:r>
              <w:rPr>
                <w:rFonts w:ascii="Times New Roman" w:eastAsia="仿宋_GB2312"/>
              </w:rPr>
              <w:t>河北省农林科学院植物保护研究所</w:t>
            </w:r>
          </w:p>
        </w:tc>
        <w:tc>
          <w:tcPr>
            <w:tcW w:w="600" w:type="pct"/>
            <w:vAlign w:val="center"/>
          </w:tcPr>
          <w:p>
            <w:pPr>
              <w:snapToGrid w:val="0"/>
              <w:spacing w:line="400" w:lineRule="exact"/>
              <w:jc w:val="center"/>
              <w:rPr>
                <w:rFonts w:ascii="Times New Roman" w:hAnsi="Times New Roman" w:eastAsia="仿宋_GB2312"/>
              </w:rPr>
            </w:pPr>
            <w:r>
              <w:rPr>
                <w:rFonts w:ascii="Times New Roman" w:eastAsia="仿宋_GB2312"/>
              </w:rPr>
              <w:t>副研究员</w:t>
            </w:r>
          </w:p>
        </w:tc>
        <w:tc>
          <w:tcPr>
            <w:tcW w:w="425" w:type="pct"/>
            <w:vAlign w:val="center"/>
          </w:tcPr>
          <w:p>
            <w:pPr>
              <w:snapToGrid w:val="0"/>
              <w:spacing w:line="400" w:lineRule="exact"/>
              <w:jc w:val="center"/>
              <w:rPr>
                <w:rFonts w:ascii="Times New Roman" w:hAnsi="Times New Roman" w:eastAsia="仿宋_GB2312"/>
              </w:rPr>
            </w:pPr>
            <w:r>
              <w:rPr>
                <w:rFonts w:ascii="Times New Roman" w:eastAsia="仿宋_GB2312"/>
              </w:rPr>
              <w:t>害虫生防</w:t>
            </w:r>
          </w:p>
        </w:tc>
        <w:tc>
          <w:tcPr>
            <w:tcW w:w="804" w:type="pct"/>
            <w:vAlign w:val="center"/>
          </w:tcPr>
          <w:p>
            <w:pPr>
              <w:snapToGrid w:val="0"/>
              <w:spacing w:line="400" w:lineRule="exact"/>
              <w:jc w:val="left"/>
              <w:rPr>
                <w:rFonts w:ascii="Times New Roman" w:hAnsi="Times New Roman" w:eastAsia="仿宋_GB2312"/>
              </w:rPr>
            </w:pPr>
            <w:r>
              <w:rPr>
                <w:rFonts w:ascii="Times New Roman" w:hAnsi="Times New Roman" w:eastAsia="仿宋_GB2312"/>
              </w:rPr>
              <w:t>13785266019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47" w:type="pct"/>
            <w:vAlign w:val="center"/>
          </w:tcPr>
          <w:p>
            <w:pPr>
              <w:snapToGrid w:val="0"/>
              <w:spacing w:line="400" w:lineRule="exact"/>
              <w:jc w:val="center"/>
              <w:rPr>
                <w:rFonts w:ascii="Times New Roman" w:hAnsi="Times New Roman" w:eastAsia="仿宋_GB2312"/>
              </w:rPr>
            </w:pPr>
            <w:r>
              <w:rPr>
                <w:rFonts w:ascii="Times New Roman" w:eastAsia="仿宋_GB2312"/>
              </w:rPr>
              <w:t>曹伟平</w:t>
            </w:r>
          </w:p>
        </w:tc>
        <w:tc>
          <w:tcPr>
            <w:tcW w:w="747" w:type="pct"/>
            <w:vAlign w:val="center"/>
          </w:tcPr>
          <w:p>
            <w:pPr>
              <w:snapToGrid w:val="0"/>
              <w:spacing w:line="400" w:lineRule="exact"/>
              <w:jc w:val="center"/>
              <w:rPr>
                <w:rFonts w:ascii="Times New Roman" w:hAnsi="Times New Roman" w:eastAsia="仿宋_GB2312"/>
              </w:rPr>
            </w:pPr>
            <w:r>
              <w:rPr>
                <w:rFonts w:ascii="Times New Roman" w:eastAsia="仿宋_GB2312"/>
              </w:rPr>
              <w:t>撰写草案</w:t>
            </w:r>
          </w:p>
        </w:tc>
        <w:tc>
          <w:tcPr>
            <w:tcW w:w="1777" w:type="pct"/>
            <w:vAlign w:val="center"/>
          </w:tcPr>
          <w:p>
            <w:pPr>
              <w:snapToGrid w:val="0"/>
              <w:spacing w:line="400" w:lineRule="exact"/>
              <w:jc w:val="left"/>
              <w:rPr>
                <w:rFonts w:ascii="Times New Roman" w:hAnsi="Times New Roman" w:eastAsia="仿宋_GB2312"/>
              </w:rPr>
            </w:pPr>
            <w:r>
              <w:rPr>
                <w:rFonts w:ascii="Times New Roman" w:eastAsia="仿宋_GB2312"/>
              </w:rPr>
              <w:t>河北省农林科学院植物保护研究所</w:t>
            </w:r>
          </w:p>
        </w:tc>
        <w:tc>
          <w:tcPr>
            <w:tcW w:w="600" w:type="pct"/>
            <w:vAlign w:val="center"/>
          </w:tcPr>
          <w:p>
            <w:pPr>
              <w:snapToGrid w:val="0"/>
              <w:spacing w:line="400" w:lineRule="exact"/>
              <w:jc w:val="center"/>
              <w:rPr>
                <w:rFonts w:ascii="Times New Roman" w:hAnsi="Times New Roman" w:eastAsia="仿宋_GB2312"/>
              </w:rPr>
            </w:pPr>
            <w:r>
              <w:rPr>
                <w:rFonts w:ascii="Times New Roman" w:eastAsia="仿宋_GB2312"/>
              </w:rPr>
              <w:t>研究员</w:t>
            </w:r>
          </w:p>
        </w:tc>
        <w:tc>
          <w:tcPr>
            <w:tcW w:w="425" w:type="pct"/>
            <w:vAlign w:val="center"/>
          </w:tcPr>
          <w:p>
            <w:pPr>
              <w:snapToGrid w:val="0"/>
              <w:spacing w:line="400" w:lineRule="exact"/>
              <w:jc w:val="center"/>
              <w:rPr>
                <w:rFonts w:ascii="Times New Roman" w:hAnsi="Times New Roman" w:eastAsia="仿宋_GB2312"/>
              </w:rPr>
            </w:pPr>
            <w:r>
              <w:rPr>
                <w:rFonts w:ascii="Times New Roman" w:eastAsia="仿宋_GB2312"/>
              </w:rPr>
              <w:t>害虫生防</w:t>
            </w:r>
          </w:p>
        </w:tc>
        <w:tc>
          <w:tcPr>
            <w:tcW w:w="804" w:type="pct"/>
            <w:vAlign w:val="center"/>
          </w:tcPr>
          <w:p>
            <w:pPr>
              <w:snapToGrid w:val="0"/>
              <w:spacing w:line="400" w:lineRule="exact"/>
              <w:jc w:val="left"/>
              <w:rPr>
                <w:rFonts w:ascii="Times New Roman" w:hAnsi="Times New Roman" w:eastAsia="仿宋_GB2312"/>
              </w:rPr>
            </w:pPr>
            <w:r>
              <w:rPr>
                <w:rFonts w:ascii="Times New Roman" w:hAnsi="Times New Roman" w:eastAsia="仿宋_GB2312"/>
              </w:rPr>
              <w:t>13933256782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47" w:type="pct"/>
            <w:vAlign w:val="center"/>
          </w:tcPr>
          <w:p>
            <w:pPr>
              <w:snapToGrid w:val="0"/>
              <w:spacing w:line="400" w:lineRule="exact"/>
              <w:jc w:val="center"/>
              <w:rPr>
                <w:rFonts w:ascii="Times New Roman" w:hAnsi="Times New Roman" w:eastAsia="仿宋_GB2312"/>
              </w:rPr>
            </w:pPr>
            <w:r>
              <w:rPr>
                <w:rFonts w:ascii="Times New Roman" w:eastAsia="仿宋_GB2312"/>
              </w:rPr>
              <w:t>束长龙</w:t>
            </w:r>
          </w:p>
        </w:tc>
        <w:tc>
          <w:tcPr>
            <w:tcW w:w="747" w:type="pct"/>
            <w:vAlign w:val="center"/>
          </w:tcPr>
          <w:p>
            <w:pPr>
              <w:snapToGrid w:val="0"/>
              <w:spacing w:line="400" w:lineRule="exact"/>
              <w:jc w:val="center"/>
              <w:rPr>
                <w:rFonts w:ascii="Times New Roman" w:hAnsi="Times New Roman" w:eastAsia="仿宋_GB2312"/>
              </w:rPr>
            </w:pPr>
            <w:r>
              <w:rPr>
                <w:rFonts w:ascii="Times New Roman" w:eastAsia="仿宋_GB2312"/>
              </w:rPr>
              <w:t>撰写草案</w:t>
            </w:r>
            <w:r>
              <w:rPr>
                <w:rFonts w:ascii="Times New Roman" w:hAnsi="Times New Roman" w:eastAsia="仿宋_GB2312"/>
              </w:rPr>
              <w:t xml:space="preserve"> </w:t>
            </w:r>
          </w:p>
        </w:tc>
        <w:tc>
          <w:tcPr>
            <w:tcW w:w="1777" w:type="pct"/>
            <w:vAlign w:val="center"/>
          </w:tcPr>
          <w:p>
            <w:pPr>
              <w:snapToGrid w:val="0"/>
              <w:spacing w:line="400" w:lineRule="exact"/>
              <w:jc w:val="left"/>
              <w:rPr>
                <w:rFonts w:ascii="Times New Roman" w:hAnsi="Times New Roman" w:eastAsia="仿宋_GB2312"/>
              </w:rPr>
            </w:pPr>
            <w:r>
              <w:rPr>
                <w:rFonts w:ascii="Times New Roman" w:eastAsia="仿宋_GB2312"/>
              </w:rPr>
              <w:t>中国农业科学院植物保护研究所</w:t>
            </w:r>
          </w:p>
        </w:tc>
        <w:tc>
          <w:tcPr>
            <w:tcW w:w="600" w:type="pct"/>
            <w:vAlign w:val="center"/>
          </w:tcPr>
          <w:p>
            <w:pPr>
              <w:snapToGrid w:val="0"/>
              <w:spacing w:line="400" w:lineRule="exact"/>
              <w:jc w:val="center"/>
              <w:rPr>
                <w:rFonts w:ascii="Times New Roman" w:hAnsi="Times New Roman" w:eastAsia="仿宋_GB2312"/>
              </w:rPr>
            </w:pPr>
            <w:r>
              <w:rPr>
                <w:rFonts w:ascii="Times New Roman" w:eastAsia="仿宋_GB2312"/>
              </w:rPr>
              <w:t>副研究员</w:t>
            </w:r>
          </w:p>
        </w:tc>
        <w:tc>
          <w:tcPr>
            <w:tcW w:w="425" w:type="pct"/>
            <w:vAlign w:val="center"/>
          </w:tcPr>
          <w:p>
            <w:pPr>
              <w:snapToGrid w:val="0"/>
              <w:spacing w:line="400" w:lineRule="exact"/>
              <w:jc w:val="center"/>
              <w:rPr>
                <w:rFonts w:ascii="Times New Roman" w:hAnsi="Times New Roman" w:eastAsia="仿宋_GB2312"/>
              </w:rPr>
            </w:pPr>
            <w:r>
              <w:rPr>
                <w:rFonts w:ascii="Times New Roman" w:eastAsia="仿宋_GB2312"/>
              </w:rPr>
              <w:t>害虫生防</w:t>
            </w:r>
          </w:p>
        </w:tc>
        <w:tc>
          <w:tcPr>
            <w:tcW w:w="804" w:type="pct"/>
            <w:vAlign w:val="center"/>
          </w:tcPr>
          <w:p>
            <w:pPr>
              <w:snapToGrid w:val="0"/>
              <w:spacing w:line="400" w:lineRule="exact"/>
              <w:jc w:val="left"/>
              <w:rPr>
                <w:rFonts w:ascii="Times New Roman" w:hAnsi="Times New Roman" w:eastAsia="仿宋_GB2312"/>
              </w:rPr>
            </w:pPr>
            <w:r>
              <w:rPr>
                <w:rFonts w:ascii="Times New Roman" w:hAnsi="Times New Roman" w:eastAsia="仿宋_GB2312"/>
              </w:rPr>
              <w:t>13581588166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47" w:type="pct"/>
            <w:vAlign w:val="center"/>
          </w:tcPr>
          <w:p>
            <w:pPr>
              <w:snapToGrid w:val="0"/>
              <w:spacing w:line="400" w:lineRule="exact"/>
              <w:jc w:val="center"/>
              <w:rPr>
                <w:rFonts w:ascii="Times New Roman" w:hAnsi="Times New Roman" w:eastAsia="仿宋_GB2312"/>
              </w:rPr>
            </w:pPr>
            <w:r>
              <w:rPr>
                <w:rFonts w:ascii="Times New Roman" w:eastAsia="仿宋_GB2312"/>
              </w:rPr>
              <w:t>丰硕</w:t>
            </w:r>
          </w:p>
        </w:tc>
        <w:tc>
          <w:tcPr>
            <w:tcW w:w="747" w:type="pct"/>
            <w:vAlign w:val="center"/>
          </w:tcPr>
          <w:p>
            <w:pPr>
              <w:snapToGrid w:val="0"/>
              <w:spacing w:line="400" w:lineRule="exact"/>
              <w:jc w:val="center"/>
              <w:rPr>
                <w:rFonts w:ascii="Times New Roman" w:hAnsi="Times New Roman" w:eastAsia="仿宋_GB2312"/>
              </w:rPr>
            </w:pPr>
            <w:r>
              <w:rPr>
                <w:rFonts w:hint="eastAsia" w:ascii="Times New Roman" w:eastAsia="仿宋_GB2312"/>
              </w:rPr>
              <w:t>试验验证</w:t>
            </w:r>
          </w:p>
        </w:tc>
        <w:tc>
          <w:tcPr>
            <w:tcW w:w="1777" w:type="pct"/>
            <w:vAlign w:val="center"/>
          </w:tcPr>
          <w:p>
            <w:pPr>
              <w:snapToGrid w:val="0"/>
              <w:spacing w:line="400" w:lineRule="exact"/>
              <w:jc w:val="left"/>
              <w:rPr>
                <w:rFonts w:ascii="Times New Roman" w:hAnsi="Times New Roman" w:eastAsia="仿宋_GB2312"/>
              </w:rPr>
            </w:pPr>
            <w:r>
              <w:rPr>
                <w:rFonts w:ascii="Times New Roman" w:eastAsia="仿宋_GB2312"/>
              </w:rPr>
              <w:t>河北省农林科学院植物保护研究所</w:t>
            </w:r>
          </w:p>
        </w:tc>
        <w:tc>
          <w:tcPr>
            <w:tcW w:w="600" w:type="pct"/>
            <w:vAlign w:val="center"/>
          </w:tcPr>
          <w:p>
            <w:pPr>
              <w:snapToGrid w:val="0"/>
              <w:spacing w:line="400" w:lineRule="exact"/>
              <w:jc w:val="left"/>
              <w:rPr>
                <w:rFonts w:ascii="Times New Roman" w:hAnsi="Times New Roman" w:eastAsia="仿宋_GB2312"/>
              </w:rPr>
            </w:pPr>
            <w:r>
              <w:rPr>
                <w:rFonts w:ascii="Times New Roman" w:eastAsia="仿宋_GB2312"/>
              </w:rPr>
              <w:t>研究实习员</w:t>
            </w:r>
          </w:p>
        </w:tc>
        <w:tc>
          <w:tcPr>
            <w:tcW w:w="425" w:type="pct"/>
            <w:vAlign w:val="center"/>
          </w:tcPr>
          <w:p>
            <w:pPr>
              <w:snapToGrid w:val="0"/>
              <w:spacing w:line="400" w:lineRule="exact"/>
              <w:jc w:val="center"/>
              <w:rPr>
                <w:rFonts w:ascii="Times New Roman" w:hAnsi="Times New Roman" w:eastAsia="仿宋_GB2312"/>
              </w:rPr>
            </w:pPr>
            <w:r>
              <w:rPr>
                <w:rFonts w:ascii="Times New Roman" w:eastAsia="仿宋_GB2312"/>
              </w:rPr>
              <w:t>害虫生防</w:t>
            </w:r>
          </w:p>
        </w:tc>
        <w:tc>
          <w:tcPr>
            <w:tcW w:w="804" w:type="pct"/>
            <w:vAlign w:val="center"/>
          </w:tcPr>
          <w:p>
            <w:pPr>
              <w:snapToGrid w:val="0"/>
              <w:spacing w:line="400" w:lineRule="exact"/>
              <w:jc w:val="left"/>
              <w:rPr>
                <w:rFonts w:ascii="Times New Roman" w:hAnsi="Times New Roman" w:eastAsia="仿宋_GB2312"/>
              </w:rPr>
            </w:pPr>
            <w:r>
              <w:rPr>
                <w:rFonts w:ascii="Times New Roman" w:hAnsi="Times New Roman" w:eastAsia="仿宋_GB2312"/>
              </w:rPr>
              <w:t>13971245536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47" w:type="pct"/>
            <w:vAlign w:val="center"/>
          </w:tcPr>
          <w:p>
            <w:pPr>
              <w:snapToGrid w:val="0"/>
              <w:spacing w:line="400" w:lineRule="exact"/>
              <w:jc w:val="center"/>
              <w:rPr>
                <w:rFonts w:ascii="Times New Roman" w:hAnsi="Times New Roman" w:eastAsia="仿宋_GB2312"/>
              </w:rPr>
            </w:pPr>
            <w:r>
              <w:rPr>
                <w:rFonts w:ascii="Times New Roman" w:eastAsia="仿宋_GB2312"/>
              </w:rPr>
              <w:t>张海剑</w:t>
            </w:r>
          </w:p>
        </w:tc>
        <w:tc>
          <w:tcPr>
            <w:tcW w:w="747" w:type="pct"/>
            <w:vAlign w:val="center"/>
          </w:tcPr>
          <w:p>
            <w:pPr>
              <w:snapToGrid w:val="0"/>
              <w:spacing w:line="400" w:lineRule="exact"/>
              <w:jc w:val="center"/>
              <w:rPr>
                <w:rFonts w:ascii="Times New Roman" w:hAnsi="Times New Roman" w:eastAsia="仿宋_GB2312"/>
              </w:rPr>
            </w:pPr>
            <w:r>
              <w:rPr>
                <w:rFonts w:ascii="Times New Roman" w:eastAsia="仿宋_GB2312"/>
              </w:rPr>
              <w:t>撰写草案</w:t>
            </w:r>
          </w:p>
        </w:tc>
        <w:tc>
          <w:tcPr>
            <w:tcW w:w="1777" w:type="pct"/>
            <w:vAlign w:val="center"/>
          </w:tcPr>
          <w:p>
            <w:pPr>
              <w:snapToGrid w:val="0"/>
              <w:spacing w:line="400" w:lineRule="exact"/>
              <w:jc w:val="left"/>
              <w:rPr>
                <w:rFonts w:ascii="Times New Roman" w:hAnsi="Times New Roman" w:eastAsia="仿宋_GB2312"/>
              </w:rPr>
            </w:pPr>
            <w:r>
              <w:rPr>
                <w:rFonts w:ascii="Times New Roman" w:eastAsia="仿宋_GB2312"/>
              </w:rPr>
              <w:t>河北省农林科学院植物保护研究所</w:t>
            </w:r>
          </w:p>
        </w:tc>
        <w:tc>
          <w:tcPr>
            <w:tcW w:w="600" w:type="pct"/>
            <w:vAlign w:val="center"/>
          </w:tcPr>
          <w:p>
            <w:pPr>
              <w:snapToGrid w:val="0"/>
              <w:spacing w:line="400" w:lineRule="exact"/>
              <w:jc w:val="center"/>
              <w:rPr>
                <w:rFonts w:ascii="Times New Roman" w:hAnsi="Times New Roman" w:eastAsia="仿宋_GB2312"/>
              </w:rPr>
            </w:pPr>
            <w:r>
              <w:rPr>
                <w:rFonts w:ascii="Times New Roman" w:eastAsia="仿宋_GB2312"/>
              </w:rPr>
              <w:t>副研究员</w:t>
            </w:r>
          </w:p>
        </w:tc>
        <w:tc>
          <w:tcPr>
            <w:tcW w:w="425" w:type="pct"/>
            <w:vAlign w:val="center"/>
          </w:tcPr>
          <w:p>
            <w:pPr>
              <w:snapToGrid w:val="0"/>
              <w:spacing w:line="400" w:lineRule="exact"/>
              <w:jc w:val="center"/>
              <w:rPr>
                <w:rFonts w:ascii="Times New Roman" w:hAnsi="Times New Roman" w:eastAsia="仿宋_GB2312"/>
              </w:rPr>
            </w:pPr>
            <w:r>
              <w:rPr>
                <w:rFonts w:ascii="Times New Roman" w:eastAsia="仿宋_GB2312"/>
              </w:rPr>
              <w:t>害虫综防</w:t>
            </w:r>
          </w:p>
        </w:tc>
        <w:tc>
          <w:tcPr>
            <w:tcW w:w="804" w:type="pct"/>
            <w:vAlign w:val="center"/>
          </w:tcPr>
          <w:p>
            <w:pPr>
              <w:snapToGrid w:val="0"/>
              <w:spacing w:line="400" w:lineRule="exact"/>
              <w:jc w:val="left"/>
              <w:rPr>
                <w:rFonts w:ascii="Times New Roman" w:hAnsi="Times New Roman" w:eastAsia="仿宋_GB2312"/>
              </w:rPr>
            </w:pPr>
            <w:r>
              <w:rPr>
                <w:rFonts w:ascii="Times New Roman" w:hAnsi="Times New Roman" w:eastAsia="仿宋_GB2312"/>
              </w:rPr>
              <w:t>13931366246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47" w:type="pct"/>
            <w:vAlign w:val="center"/>
          </w:tcPr>
          <w:p>
            <w:pPr>
              <w:snapToGrid w:val="0"/>
              <w:spacing w:line="400" w:lineRule="exact"/>
              <w:jc w:val="center"/>
              <w:rPr>
                <w:rFonts w:ascii="Times New Roman" w:hAnsi="Times New Roman" w:eastAsia="仿宋_GB2312"/>
              </w:rPr>
            </w:pPr>
            <w:r>
              <w:rPr>
                <w:rFonts w:ascii="Times New Roman" w:eastAsia="仿宋_GB2312"/>
              </w:rPr>
              <w:t>段培姿</w:t>
            </w:r>
          </w:p>
        </w:tc>
        <w:tc>
          <w:tcPr>
            <w:tcW w:w="747" w:type="pct"/>
            <w:vAlign w:val="center"/>
          </w:tcPr>
          <w:p>
            <w:pPr>
              <w:snapToGrid w:val="0"/>
              <w:spacing w:line="400" w:lineRule="exact"/>
              <w:jc w:val="center"/>
              <w:rPr>
                <w:rFonts w:ascii="Times New Roman" w:hAnsi="Times New Roman" w:eastAsia="仿宋_GB2312"/>
              </w:rPr>
            </w:pPr>
            <w:r>
              <w:rPr>
                <w:rFonts w:ascii="Times New Roman" w:eastAsia="仿宋_GB2312"/>
              </w:rPr>
              <w:t>撰写草案</w:t>
            </w:r>
          </w:p>
        </w:tc>
        <w:tc>
          <w:tcPr>
            <w:tcW w:w="1777" w:type="pct"/>
            <w:vAlign w:val="center"/>
          </w:tcPr>
          <w:p>
            <w:pPr>
              <w:snapToGrid w:val="0"/>
              <w:spacing w:line="400" w:lineRule="exact"/>
              <w:jc w:val="left"/>
              <w:rPr>
                <w:rFonts w:ascii="Times New Roman" w:hAnsi="Times New Roman" w:eastAsia="仿宋_GB2312"/>
              </w:rPr>
            </w:pPr>
            <w:r>
              <w:rPr>
                <w:rFonts w:ascii="Times New Roman" w:eastAsia="仿宋_GB2312"/>
              </w:rPr>
              <w:t>衡水市农业环境与农畜产品质量监督管理站</w:t>
            </w:r>
          </w:p>
        </w:tc>
        <w:tc>
          <w:tcPr>
            <w:tcW w:w="600" w:type="pct"/>
            <w:vAlign w:val="center"/>
          </w:tcPr>
          <w:p>
            <w:pPr>
              <w:snapToGrid w:val="0"/>
              <w:spacing w:line="400" w:lineRule="exact"/>
              <w:jc w:val="left"/>
              <w:rPr>
                <w:rFonts w:ascii="Times New Roman" w:hAnsi="Times New Roman" w:eastAsia="仿宋_GB2312"/>
              </w:rPr>
            </w:pPr>
            <w:r>
              <w:rPr>
                <w:rFonts w:ascii="Times New Roman" w:eastAsia="仿宋_GB2312"/>
              </w:rPr>
              <w:t>正高级农艺师</w:t>
            </w:r>
          </w:p>
        </w:tc>
        <w:tc>
          <w:tcPr>
            <w:tcW w:w="425" w:type="pct"/>
            <w:vAlign w:val="center"/>
          </w:tcPr>
          <w:p>
            <w:pPr>
              <w:snapToGrid w:val="0"/>
              <w:spacing w:line="400" w:lineRule="exact"/>
              <w:jc w:val="left"/>
              <w:rPr>
                <w:rFonts w:ascii="Times New Roman" w:hAnsi="Times New Roman" w:eastAsia="仿宋_GB2312"/>
              </w:rPr>
            </w:pPr>
            <w:r>
              <w:rPr>
                <w:rFonts w:ascii="Times New Roman" w:eastAsia="仿宋_GB2312"/>
              </w:rPr>
              <w:t>农业技术推广</w:t>
            </w:r>
          </w:p>
        </w:tc>
        <w:tc>
          <w:tcPr>
            <w:tcW w:w="804" w:type="pct"/>
            <w:vAlign w:val="center"/>
          </w:tcPr>
          <w:p>
            <w:pPr>
              <w:snapToGrid w:val="0"/>
              <w:spacing w:line="400" w:lineRule="exact"/>
              <w:jc w:val="left"/>
              <w:rPr>
                <w:rFonts w:ascii="Times New Roman" w:hAnsi="Times New Roman" w:eastAsia="仿宋_GB2312"/>
              </w:rPr>
            </w:pPr>
            <w:r>
              <w:rPr>
                <w:rFonts w:ascii="Times New Roman" w:hAnsi="Times New Roman" w:eastAsia="仿宋_GB2312"/>
              </w:rPr>
              <w:t>13731379688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47" w:type="pct"/>
            <w:vAlign w:val="center"/>
          </w:tcPr>
          <w:p>
            <w:pPr>
              <w:snapToGrid w:val="0"/>
              <w:spacing w:line="400" w:lineRule="exact"/>
              <w:jc w:val="center"/>
              <w:rPr>
                <w:rFonts w:ascii="Times New Roman" w:hAnsi="Times New Roman" w:eastAsia="仿宋_GB2312"/>
              </w:rPr>
            </w:pPr>
            <w:r>
              <w:rPr>
                <w:rFonts w:ascii="Times New Roman" w:eastAsia="仿宋_GB2312"/>
              </w:rPr>
              <w:t>郭</w:t>
            </w:r>
            <w:r>
              <w:rPr>
                <w:rFonts w:ascii="Times New Roman" w:hAnsi="Times New Roman" w:eastAsia="仿宋_GB2312"/>
              </w:rPr>
              <w:t xml:space="preserve"> </w:t>
            </w:r>
            <w:r>
              <w:rPr>
                <w:rFonts w:ascii="Times New Roman" w:eastAsia="仿宋_GB2312"/>
              </w:rPr>
              <w:t>珠</w:t>
            </w:r>
          </w:p>
        </w:tc>
        <w:tc>
          <w:tcPr>
            <w:tcW w:w="747" w:type="pct"/>
            <w:vAlign w:val="center"/>
          </w:tcPr>
          <w:p>
            <w:pPr>
              <w:snapToGrid w:val="0"/>
              <w:spacing w:line="400" w:lineRule="exact"/>
              <w:jc w:val="center"/>
              <w:rPr>
                <w:rFonts w:ascii="Times New Roman" w:hAnsi="Times New Roman" w:eastAsia="仿宋_GB2312"/>
              </w:rPr>
            </w:pPr>
            <w:r>
              <w:rPr>
                <w:rFonts w:ascii="Times New Roman" w:eastAsia="仿宋_GB2312"/>
              </w:rPr>
              <w:t>撰写草案</w:t>
            </w:r>
          </w:p>
        </w:tc>
        <w:tc>
          <w:tcPr>
            <w:tcW w:w="1777" w:type="pct"/>
            <w:vAlign w:val="center"/>
          </w:tcPr>
          <w:p>
            <w:pPr>
              <w:snapToGrid w:val="0"/>
              <w:spacing w:line="400" w:lineRule="exact"/>
              <w:jc w:val="left"/>
              <w:rPr>
                <w:rFonts w:ascii="Times New Roman" w:hAnsi="Times New Roman" w:eastAsia="仿宋_GB2312"/>
              </w:rPr>
            </w:pPr>
            <w:r>
              <w:rPr>
                <w:rFonts w:ascii="Times New Roman" w:eastAsia="仿宋_GB2312"/>
              </w:rPr>
              <w:t>衡水市农业环境与农畜产品质量监督管理站</w:t>
            </w:r>
          </w:p>
        </w:tc>
        <w:tc>
          <w:tcPr>
            <w:tcW w:w="600" w:type="pct"/>
            <w:vAlign w:val="center"/>
          </w:tcPr>
          <w:p>
            <w:pPr>
              <w:snapToGrid w:val="0"/>
              <w:spacing w:line="400" w:lineRule="exact"/>
              <w:jc w:val="center"/>
              <w:rPr>
                <w:rFonts w:ascii="Times New Roman" w:hAnsi="Times New Roman" w:eastAsia="仿宋_GB2312"/>
              </w:rPr>
            </w:pPr>
            <w:r>
              <w:rPr>
                <w:rFonts w:ascii="Times New Roman" w:eastAsia="仿宋_GB2312"/>
              </w:rPr>
              <w:t>高级农艺师</w:t>
            </w:r>
          </w:p>
        </w:tc>
        <w:tc>
          <w:tcPr>
            <w:tcW w:w="425" w:type="pct"/>
            <w:vAlign w:val="center"/>
          </w:tcPr>
          <w:p>
            <w:pPr>
              <w:snapToGrid w:val="0"/>
              <w:spacing w:line="400" w:lineRule="exact"/>
              <w:jc w:val="left"/>
              <w:rPr>
                <w:rFonts w:ascii="Times New Roman" w:hAnsi="Times New Roman" w:eastAsia="仿宋_GB2312"/>
              </w:rPr>
            </w:pPr>
            <w:r>
              <w:rPr>
                <w:rFonts w:ascii="Times New Roman" w:eastAsia="仿宋_GB2312"/>
              </w:rPr>
              <w:t>农业技术推广</w:t>
            </w:r>
          </w:p>
        </w:tc>
        <w:tc>
          <w:tcPr>
            <w:tcW w:w="804" w:type="pct"/>
            <w:vAlign w:val="center"/>
          </w:tcPr>
          <w:p>
            <w:pPr>
              <w:snapToGrid w:val="0"/>
              <w:spacing w:line="400" w:lineRule="exact"/>
              <w:jc w:val="left"/>
              <w:rPr>
                <w:rFonts w:ascii="Times New Roman" w:hAnsi="Times New Roman" w:eastAsia="仿宋_GB2312"/>
              </w:rPr>
            </w:pPr>
            <w:r>
              <w:rPr>
                <w:rFonts w:ascii="Times New Roman" w:hAnsi="Times New Roman" w:eastAsia="仿宋_GB2312"/>
              </w:rPr>
              <w:t>13903281466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47" w:type="pct"/>
            <w:vAlign w:val="center"/>
          </w:tcPr>
          <w:p>
            <w:pPr>
              <w:snapToGrid w:val="0"/>
              <w:spacing w:line="400" w:lineRule="exact"/>
              <w:jc w:val="center"/>
              <w:rPr>
                <w:rFonts w:ascii="Times New Roman" w:eastAsia="仿宋_GB2312"/>
              </w:rPr>
            </w:pPr>
            <w:r>
              <w:rPr>
                <w:rFonts w:hint="eastAsia" w:ascii="Times New Roman" w:eastAsia="仿宋_GB2312"/>
              </w:rPr>
              <w:t>高 晶</w:t>
            </w:r>
          </w:p>
        </w:tc>
        <w:tc>
          <w:tcPr>
            <w:tcW w:w="747" w:type="pct"/>
            <w:vAlign w:val="center"/>
          </w:tcPr>
          <w:p>
            <w:pPr>
              <w:snapToGrid w:val="0"/>
              <w:spacing w:line="400" w:lineRule="exact"/>
              <w:jc w:val="center"/>
              <w:rPr>
                <w:rFonts w:ascii="Times New Roman" w:eastAsia="仿宋_GB2312"/>
              </w:rPr>
            </w:pPr>
            <w:r>
              <w:rPr>
                <w:rFonts w:hint="eastAsia" w:ascii="Times New Roman" w:eastAsia="仿宋_GB2312"/>
              </w:rPr>
              <w:t>撰写草案</w:t>
            </w:r>
          </w:p>
        </w:tc>
        <w:tc>
          <w:tcPr>
            <w:tcW w:w="1777" w:type="pct"/>
            <w:vAlign w:val="center"/>
          </w:tcPr>
          <w:p>
            <w:pPr>
              <w:snapToGrid w:val="0"/>
              <w:spacing w:line="400" w:lineRule="exact"/>
              <w:jc w:val="left"/>
              <w:rPr>
                <w:rFonts w:ascii="Times New Roman" w:eastAsia="仿宋_GB2312"/>
              </w:rPr>
            </w:pPr>
            <w:r>
              <w:rPr>
                <w:rFonts w:hint="eastAsia" w:ascii="Times New Roman" w:eastAsia="仿宋_GB2312"/>
              </w:rPr>
              <w:t>衡水市农业技术推广站</w:t>
            </w:r>
          </w:p>
        </w:tc>
        <w:tc>
          <w:tcPr>
            <w:tcW w:w="600" w:type="pct"/>
            <w:vAlign w:val="center"/>
          </w:tcPr>
          <w:p>
            <w:pPr>
              <w:snapToGrid w:val="0"/>
              <w:spacing w:line="400" w:lineRule="exact"/>
              <w:jc w:val="center"/>
              <w:rPr>
                <w:rFonts w:ascii="Times New Roman" w:eastAsia="仿宋_GB2312"/>
              </w:rPr>
            </w:pPr>
            <w:r>
              <w:rPr>
                <w:rFonts w:hint="eastAsia" w:ascii="Times New Roman" w:eastAsia="仿宋_GB2312"/>
              </w:rPr>
              <w:t>高级农艺师</w:t>
            </w:r>
          </w:p>
        </w:tc>
        <w:tc>
          <w:tcPr>
            <w:tcW w:w="425" w:type="pct"/>
            <w:vAlign w:val="center"/>
          </w:tcPr>
          <w:p>
            <w:pPr>
              <w:snapToGrid w:val="0"/>
              <w:spacing w:line="400" w:lineRule="exact"/>
              <w:jc w:val="left"/>
              <w:rPr>
                <w:rFonts w:ascii="Times New Roman" w:eastAsia="仿宋_GB2312"/>
              </w:rPr>
            </w:pPr>
            <w:r>
              <w:rPr>
                <w:rFonts w:hint="eastAsia" w:ascii="Times New Roman" w:eastAsia="仿宋_GB2312"/>
              </w:rPr>
              <w:t>农业推广</w:t>
            </w:r>
          </w:p>
        </w:tc>
        <w:tc>
          <w:tcPr>
            <w:tcW w:w="804" w:type="pct"/>
            <w:vAlign w:val="center"/>
          </w:tcPr>
          <w:p>
            <w:pPr>
              <w:snapToGrid w:val="0"/>
              <w:spacing w:line="400" w:lineRule="exact"/>
              <w:jc w:val="left"/>
              <w:rPr>
                <w:rFonts w:ascii="Times New Roman" w:hAnsi="Times New Roman" w:eastAsia="仿宋_GB2312"/>
              </w:rPr>
            </w:pPr>
            <w:r>
              <w:rPr>
                <w:rFonts w:hint="eastAsia" w:ascii="Times New Roman" w:hAnsi="Times New Roman" w:eastAsia="仿宋_GB2312"/>
              </w:rPr>
              <w:t>13102757973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47" w:type="pct"/>
            <w:vAlign w:val="center"/>
          </w:tcPr>
          <w:p>
            <w:pPr>
              <w:snapToGrid w:val="0"/>
              <w:jc w:val="center"/>
              <w:rPr>
                <w:rFonts w:ascii="Times New Roman" w:hAnsi="Times New Roman" w:eastAsia="仿宋_GB2312"/>
              </w:rPr>
            </w:pPr>
            <w:r>
              <w:rPr>
                <w:rFonts w:ascii="Times New Roman" w:eastAsia="仿宋_GB2312"/>
              </w:rPr>
              <w:t>武月鹏</w:t>
            </w:r>
          </w:p>
        </w:tc>
        <w:tc>
          <w:tcPr>
            <w:tcW w:w="747" w:type="pct"/>
            <w:vAlign w:val="center"/>
          </w:tcPr>
          <w:p>
            <w:pPr>
              <w:snapToGrid w:val="0"/>
              <w:jc w:val="center"/>
              <w:rPr>
                <w:rFonts w:ascii="Times New Roman" w:hAnsi="Times New Roman" w:eastAsia="仿宋_GB2312"/>
              </w:rPr>
            </w:pPr>
            <w:r>
              <w:rPr>
                <w:rFonts w:hint="eastAsia" w:ascii="Times New Roman" w:eastAsia="仿宋_GB2312"/>
              </w:rPr>
              <w:t>试验验证</w:t>
            </w:r>
            <w:r>
              <w:rPr>
                <w:rFonts w:ascii="Times New Roman" w:hAnsi="Times New Roman" w:eastAsia="仿宋_GB2312"/>
              </w:rPr>
              <w:t xml:space="preserve"> </w:t>
            </w:r>
          </w:p>
        </w:tc>
        <w:tc>
          <w:tcPr>
            <w:tcW w:w="1777" w:type="pct"/>
            <w:vAlign w:val="center"/>
          </w:tcPr>
          <w:p>
            <w:pPr>
              <w:snapToGrid w:val="0"/>
              <w:jc w:val="left"/>
              <w:rPr>
                <w:rFonts w:ascii="Times New Roman" w:hAnsi="Times New Roman" w:eastAsia="仿宋_GB2312"/>
              </w:rPr>
            </w:pPr>
            <w:r>
              <w:rPr>
                <w:rFonts w:ascii="Times New Roman" w:eastAsia="仿宋_GB2312"/>
              </w:rPr>
              <w:t>河北鑫鼎农业科技有限公司</w:t>
            </w:r>
          </w:p>
        </w:tc>
        <w:tc>
          <w:tcPr>
            <w:tcW w:w="600" w:type="pct"/>
            <w:vAlign w:val="center"/>
          </w:tcPr>
          <w:p>
            <w:pPr>
              <w:snapToGrid w:val="0"/>
              <w:jc w:val="left"/>
              <w:rPr>
                <w:rFonts w:ascii="Times New Roman" w:hAnsi="Times New Roman" w:eastAsia="仿宋_GB2312"/>
              </w:rPr>
            </w:pPr>
            <w:r>
              <w:rPr>
                <w:rFonts w:ascii="Times New Roman" w:eastAsia="仿宋_GB2312"/>
              </w:rPr>
              <w:t>助理工程师</w:t>
            </w:r>
          </w:p>
        </w:tc>
        <w:tc>
          <w:tcPr>
            <w:tcW w:w="425" w:type="pct"/>
            <w:vAlign w:val="center"/>
          </w:tcPr>
          <w:p>
            <w:pPr>
              <w:snapToGrid w:val="0"/>
              <w:jc w:val="center"/>
              <w:rPr>
                <w:rFonts w:ascii="Times New Roman" w:hAnsi="Times New Roman" w:eastAsia="仿宋_GB2312"/>
              </w:rPr>
            </w:pPr>
            <w:r>
              <w:rPr>
                <w:rFonts w:ascii="Times New Roman" w:eastAsia="仿宋_GB2312"/>
              </w:rPr>
              <w:t>园艺</w:t>
            </w:r>
          </w:p>
        </w:tc>
        <w:tc>
          <w:tcPr>
            <w:tcW w:w="804" w:type="pct"/>
            <w:vAlign w:val="center"/>
          </w:tcPr>
          <w:p>
            <w:pPr>
              <w:snapToGrid w:val="0"/>
              <w:jc w:val="left"/>
              <w:rPr>
                <w:rFonts w:ascii="Times New Roman" w:hAnsi="Times New Roman" w:eastAsia="仿宋_GB2312"/>
              </w:rPr>
            </w:pPr>
            <w:r>
              <w:rPr>
                <w:rFonts w:ascii="Times New Roman" w:hAnsi="Times New Roman" w:eastAsia="仿宋_GB2312"/>
              </w:rPr>
              <w:t>13473821111</w:t>
            </w:r>
          </w:p>
        </w:tc>
      </w:tr>
    </w:tbl>
    <w:p>
      <w:pPr>
        <w:spacing w:line="560" w:lineRule="exact"/>
        <w:ind w:firstLine="611" w:firstLineChars="196"/>
        <w:rPr>
          <w:rFonts w:ascii="黑体" w:hAnsi="黑体" w:eastAsia="黑体" w:cs="黑体"/>
          <w:bCs/>
          <w:spacing w:val="-4"/>
          <w:sz w:val="32"/>
          <w:szCs w:val="32"/>
        </w:rPr>
      </w:pPr>
      <w:r>
        <w:rPr>
          <w:rFonts w:hint="eastAsia" w:ascii="黑体" w:hAnsi="黑体" w:eastAsia="黑体" w:cs="黑体"/>
          <w:bCs/>
          <w:spacing w:val="-4"/>
          <w:sz w:val="32"/>
          <w:szCs w:val="32"/>
        </w:rPr>
        <w:t>二、制定标准的必要性和意义</w:t>
      </w:r>
    </w:p>
    <w:p>
      <w:pPr>
        <w:spacing w:line="560" w:lineRule="exact"/>
        <w:ind w:firstLine="627" w:firstLineChars="196"/>
        <w:rPr>
          <w:rFonts w:ascii="Times New Roman" w:hAnsi="Times New Roman" w:eastAsia="仿宋_GB2312"/>
          <w:sz w:val="32"/>
          <w:szCs w:val="32"/>
        </w:rPr>
      </w:pPr>
      <w:r>
        <w:rPr>
          <w:rFonts w:ascii="Times New Roman" w:hAnsi="仿宋_GB2312" w:eastAsia="仿宋_GB2312"/>
          <w:sz w:val="32"/>
          <w:szCs w:val="32"/>
        </w:rPr>
        <w:t>河北省是蔬菜种植大省，</w:t>
      </w:r>
      <w:r>
        <w:rPr>
          <w:rFonts w:ascii="Times New Roman" w:hAnsi="Times New Roman" w:eastAsia="仿宋_GB2312"/>
          <w:sz w:val="32"/>
          <w:szCs w:val="32"/>
        </w:rPr>
        <w:t>2019</w:t>
      </w:r>
      <w:r>
        <w:rPr>
          <w:rFonts w:ascii="Times New Roman" w:hAnsi="仿宋_GB2312" w:eastAsia="仿宋_GB2312"/>
          <w:sz w:val="32"/>
          <w:szCs w:val="32"/>
        </w:rPr>
        <w:t>年蔬菜播种面积</w:t>
      </w:r>
      <w:r>
        <w:rPr>
          <w:rFonts w:ascii="Times New Roman" w:hAnsi="Times New Roman" w:eastAsia="仿宋_GB2312"/>
          <w:sz w:val="32"/>
          <w:szCs w:val="32"/>
        </w:rPr>
        <w:t>79.5</w:t>
      </w:r>
      <w:r>
        <w:rPr>
          <w:rFonts w:ascii="Times New Roman" w:hAnsi="仿宋_GB2312" w:eastAsia="仿宋_GB2312"/>
          <w:sz w:val="32"/>
          <w:szCs w:val="32"/>
        </w:rPr>
        <w:t>万公顷，蔬菜产量</w:t>
      </w:r>
      <w:r>
        <w:rPr>
          <w:rFonts w:ascii="Times New Roman" w:hAnsi="Times New Roman" w:eastAsia="仿宋_GB2312"/>
          <w:sz w:val="32"/>
          <w:szCs w:val="32"/>
        </w:rPr>
        <w:t>5093.1</w:t>
      </w:r>
      <w:r>
        <w:rPr>
          <w:rFonts w:ascii="Times New Roman" w:hAnsi="仿宋_GB2312" w:eastAsia="仿宋_GB2312"/>
          <w:sz w:val="32"/>
          <w:szCs w:val="32"/>
        </w:rPr>
        <w:t>万吨。其中，设施蔬菜以其土地利用率高、投入成本较低、生产风险较小、种植茬口灵活、种植效益较高等特点，在河北省蔬菜设施类型中占有重要地位。据河北省农业农村厅数据统计，</w:t>
      </w:r>
      <w:r>
        <w:rPr>
          <w:rFonts w:ascii="Times New Roman" w:hAnsi="Times New Roman" w:eastAsia="仿宋_GB2312"/>
          <w:sz w:val="32"/>
          <w:szCs w:val="32"/>
        </w:rPr>
        <w:t>2019</w:t>
      </w:r>
      <w:r>
        <w:rPr>
          <w:rFonts w:ascii="Times New Roman" w:hAnsi="仿宋_GB2312" w:eastAsia="仿宋_GB2312"/>
          <w:sz w:val="32"/>
          <w:szCs w:val="32"/>
        </w:rPr>
        <w:t>年全省大棚瓜菜播种面积</w:t>
      </w:r>
      <w:r>
        <w:rPr>
          <w:rFonts w:ascii="Times New Roman" w:hAnsi="Times New Roman" w:eastAsia="仿宋_GB2312"/>
          <w:sz w:val="32"/>
          <w:szCs w:val="32"/>
        </w:rPr>
        <w:t xml:space="preserve"> 6.3</w:t>
      </w:r>
      <w:r>
        <w:rPr>
          <w:rFonts w:ascii="Times New Roman" w:hAnsi="仿宋_GB2312" w:eastAsia="仿宋_GB2312"/>
          <w:sz w:val="32"/>
          <w:szCs w:val="32"/>
        </w:rPr>
        <w:t>万公顷，产量为</w:t>
      </w:r>
      <w:r>
        <w:rPr>
          <w:rFonts w:ascii="Times New Roman" w:hAnsi="Times New Roman" w:eastAsia="仿宋_GB2312"/>
          <w:sz w:val="32"/>
          <w:szCs w:val="32"/>
        </w:rPr>
        <w:t xml:space="preserve"> 404 </w:t>
      </w:r>
      <w:r>
        <w:rPr>
          <w:rFonts w:ascii="Times New Roman" w:hAnsi="仿宋_GB2312" w:eastAsia="仿宋_GB2312"/>
          <w:sz w:val="32"/>
          <w:szCs w:val="32"/>
        </w:rPr>
        <w:t>万吨。</w:t>
      </w:r>
    </w:p>
    <w:p>
      <w:pPr>
        <w:pStyle w:val="16"/>
        <w:ind w:firstLine="640"/>
        <w:rPr>
          <w:rFonts w:ascii="Times New Roman" w:hAnsi="仿宋_GB2312" w:eastAsia="仿宋_GB2312"/>
          <w:kern w:val="2"/>
          <w:sz w:val="32"/>
          <w:szCs w:val="32"/>
        </w:rPr>
      </w:pPr>
      <w:r>
        <w:rPr>
          <w:rFonts w:hint="eastAsia" w:ascii="仿宋_GB2312" w:hAnsi="仿宋_GB2312" w:eastAsia="仿宋_GB2312" w:cs="仿宋_GB2312"/>
          <w:kern w:val="2"/>
          <w:sz w:val="32"/>
          <w:szCs w:val="32"/>
        </w:rPr>
        <w:t>甲虫是鞘翅目昆虫的统称，设施蔬菜甲虫类害虫主要指叶甲科害虫，在河北省</w:t>
      </w:r>
      <w:r>
        <w:rPr>
          <w:rFonts w:hint="eastAsia" w:ascii="Times New Roman" w:hAnsi="仿宋_GB2312" w:eastAsia="仿宋_GB2312"/>
          <w:kern w:val="2"/>
          <w:sz w:val="32"/>
          <w:szCs w:val="32"/>
        </w:rPr>
        <w:t>主要以大猿叶甲（</w:t>
      </w:r>
      <w:r>
        <w:rPr>
          <w:rFonts w:ascii="Times New Roman" w:hAnsi="仿宋_GB2312" w:eastAsia="仿宋_GB2312"/>
          <w:i/>
          <w:kern w:val="2"/>
          <w:sz w:val="32"/>
          <w:szCs w:val="32"/>
        </w:rPr>
        <w:t>Colaphellus bowringi</w:t>
      </w:r>
      <w:r>
        <w:rPr>
          <w:rFonts w:hint="eastAsia" w:ascii="Times New Roman" w:hAnsi="仿宋_GB2312" w:eastAsia="仿宋_GB2312"/>
          <w:kern w:val="2"/>
          <w:sz w:val="32"/>
          <w:szCs w:val="32"/>
        </w:rPr>
        <w:t>）、小猿叶甲（</w:t>
      </w:r>
      <w:r>
        <w:rPr>
          <w:rFonts w:ascii="Times New Roman" w:hAnsi="仿宋_GB2312" w:eastAsia="仿宋_GB2312"/>
          <w:i/>
          <w:kern w:val="2"/>
          <w:sz w:val="32"/>
          <w:szCs w:val="32"/>
        </w:rPr>
        <w:t>Phaedon brassicae</w:t>
      </w:r>
      <w:r>
        <w:rPr>
          <w:rFonts w:hint="eastAsia" w:ascii="Times New Roman" w:hAnsi="仿宋_GB2312" w:eastAsia="仿宋_GB2312"/>
          <w:kern w:val="2"/>
          <w:sz w:val="32"/>
          <w:szCs w:val="32"/>
        </w:rPr>
        <w:t>）、双斑萤叶甲（</w:t>
      </w:r>
      <w:r>
        <w:rPr>
          <w:rFonts w:ascii="Times New Roman" w:hAnsi="仿宋_GB2312" w:eastAsia="仿宋_GB2312"/>
          <w:i/>
          <w:kern w:val="2"/>
          <w:sz w:val="32"/>
          <w:szCs w:val="32"/>
        </w:rPr>
        <w:t>Monolepta hieroglyphica</w:t>
      </w:r>
      <w:r>
        <w:rPr>
          <w:rFonts w:hint="eastAsia" w:ascii="Times New Roman" w:hAnsi="仿宋_GB2312" w:eastAsia="仿宋_GB2312"/>
          <w:kern w:val="2"/>
          <w:sz w:val="32"/>
          <w:szCs w:val="32"/>
        </w:rPr>
        <w:t>）、黄曲条跳甲（</w:t>
      </w:r>
      <w:r>
        <w:rPr>
          <w:rFonts w:ascii="Times New Roman" w:hAnsi="仿宋_GB2312" w:eastAsia="仿宋_GB2312"/>
          <w:i/>
          <w:kern w:val="2"/>
          <w:sz w:val="32"/>
          <w:szCs w:val="32"/>
        </w:rPr>
        <w:t>Phyllotreta striolata</w:t>
      </w:r>
      <w:r>
        <w:rPr>
          <w:rFonts w:hint="eastAsia" w:ascii="Times New Roman" w:hAnsi="仿宋_GB2312" w:eastAsia="仿宋_GB2312"/>
          <w:kern w:val="2"/>
          <w:sz w:val="32"/>
          <w:szCs w:val="32"/>
        </w:rPr>
        <w:t>）和葱黄寡毛跳甲（</w:t>
      </w:r>
      <w:r>
        <w:rPr>
          <w:rFonts w:ascii="Times New Roman" w:hAnsi="仿宋_GB2312" w:eastAsia="仿宋_GB2312"/>
          <w:i/>
          <w:kern w:val="2"/>
          <w:sz w:val="32"/>
          <w:szCs w:val="32"/>
        </w:rPr>
        <w:t>Luperomorpha suturalis</w:t>
      </w:r>
      <w:r>
        <w:rPr>
          <w:rFonts w:hint="eastAsia" w:ascii="Times New Roman" w:hAnsi="仿宋_GB2312" w:eastAsia="仿宋_GB2312"/>
          <w:kern w:val="2"/>
          <w:sz w:val="32"/>
          <w:szCs w:val="32"/>
        </w:rPr>
        <w:t>）等为主。</w:t>
      </w:r>
    </w:p>
    <w:p>
      <w:pPr>
        <w:pStyle w:val="18"/>
        <w:shd w:val="clear" w:color="auto" w:fill="FFFFFF"/>
        <w:adjustRightInd w:val="0"/>
        <w:snapToGrid w:val="0"/>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目前设施蔬菜甲虫类害虫已成为设施蔬菜生产中的主要害虫，且近几年为害程度成逐年上升趋势。主要为害菜心、白萝卜、甘蓝等十字花科蔬菜，也为害果类、瓜类和豆类蔬菜等。其成虫啃食叶片，幼虫为害根部，还可引起软腐病等病害的传播</w:t>
      </w:r>
      <w:r>
        <w:rPr>
          <w:rFonts w:ascii="仿宋_GB2312" w:hAnsi="仿宋_GB2312" w:eastAsia="仿宋_GB2312" w:cs="仿宋_GB2312"/>
          <w:bCs/>
          <w:kern w:val="2"/>
          <w:sz w:val="32"/>
          <w:szCs w:val="32"/>
        </w:rPr>
        <w:t>，严重影响蔬菜的产量和品质</w:t>
      </w:r>
      <w:r>
        <w:rPr>
          <w:rFonts w:hint="eastAsia" w:ascii="仿宋_GB2312" w:hAnsi="仿宋_GB2312" w:eastAsia="仿宋_GB2312" w:cs="仿宋_GB2312"/>
          <w:kern w:val="2"/>
          <w:sz w:val="32"/>
          <w:szCs w:val="32"/>
        </w:rPr>
        <w:t>。</w:t>
      </w:r>
    </w:p>
    <w:p>
      <w:pPr>
        <w:pStyle w:val="18"/>
        <w:shd w:val="clear" w:color="auto" w:fill="FFFFFF"/>
        <w:adjustRightInd w:val="0"/>
        <w:snapToGrid w:val="0"/>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近年来，随着我省蔬菜种植规模的不断扩大，许多地区常年连作十字花科蔬菜品种，为甲虫类害虫的发生提供了有利的条件，</w:t>
      </w:r>
      <w:r>
        <w:rPr>
          <w:rFonts w:ascii="仿宋_GB2312" w:hAnsi="仿宋_GB2312" w:eastAsia="仿宋_GB2312" w:cs="仿宋_GB2312"/>
          <w:bCs/>
          <w:kern w:val="2"/>
          <w:sz w:val="32"/>
          <w:szCs w:val="32"/>
        </w:rPr>
        <w:t>由于</w:t>
      </w:r>
      <w:r>
        <w:rPr>
          <w:rFonts w:hint="eastAsia" w:ascii="仿宋_GB2312" w:hAnsi="仿宋_GB2312" w:eastAsia="仿宋_GB2312" w:cs="仿宋_GB2312"/>
          <w:kern w:val="2"/>
          <w:sz w:val="32"/>
          <w:szCs w:val="32"/>
        </w:rPr>
        <w:t>甲虫类害虫</w:t>
      </w:r>
      <w:r>
        <w:rPr>
          <w:rFonts w:ascii="仿宋_GB2312" w:hAnsi="仿宋_GB2312" w:eastAsia="仿宋_GB2312" w:cs="仿宋_GB2312"/>
          <w:bCs/>
          <w:kern w:val="2"/>
          <w:sz w:val="32"/>
          <w:szCs w:val="32"/>
        </w:rPr>
        <w:t>成虫善跳跃，发生代次多，常年发生7-8代，世代重叠严重，幼虫在地下，隐蔽性强，</w:t>
      </w:r>
      <w:r>
        <w:rPr>
          <w:rFonts w:hint="eastAsia" w:ascii="仿宋_GB2312" w:hAnsi="仿宋_GB2312" w:eastAsia="仿宋_GB2312" w:cs="仿宋_GB2312"/>
          <w:bCs/>
          <w:kern w:val="2"/>
          <w:sz w:val="32"/>
          <w:szCs w:val="32"/>
        </w:rPr>
        <w:t>防治困难，</w:t>
      </w:r>
      <w:r>
        <w:rPr>
          <w:rFonts w:hint="eastAsia" w:ascii="仿宋_GB2312" w:hAnsi="仿宋_GB2312" w:eastAsia="仿宋_GB2312" w:cs="仿宋_GB2312"/>
          <w:kern w:val="2"/>
          <w:sz w:val="32"/>
          <w:szCs w:val="32"/>
        </w:rPr>
        <w:t>导致其为害呈逐年加重的趋势。严重的年份，白菜、菜心等为害率可高达</w:t>
      </w:r>
      <w:r>
        <w:rPr>
          <w:rFonts w:ascii="仿宋_GB2312" w:hAnsi="仿宋_GB2312" w:eastAsia="仿宋_GB2312" w:cs="仿宋_GB2312"/>
          <w:kern w:val="2"/>
          <w:sz w:val="32"/>
          <w:szCs w:val="32"/>
        </w:rPr>
        <w:t>100%</w:t>
      </w:r>
      <w:r>
        <w:rPr>
          <w:rFonts w:hint="eastAsia" w:ascii="仿宋_GB2312" w:hAnsi="仿宋_GB2312" w:eastAsia="仿宋_GB2312" w:cs="仿宋_GB2312"/>
          <w:kern w:val="2"/>
          <w:sz w:val="32"/>
          <w:szCs w:val="32"/>
        </w:rPr>
        <w:t>，损失率为</w:t>
      </w:r>
      <w:r>
        <w:rPr>
          <w:rFonts w:ascii="仿宋_GB2312" w:hAnsi="仿宋_GB2312" w:eastAsia="仿宋_GB2312" w:cs="仿宋_GB2312"/>
          <w:kern w:val="2"/>
          <w:sz w:val="32"/>
          <w:szCs w:val="32"/>
        </w:rPr>
        <w:t>35%</w:t>
      </w:r>
      <w:r>
        <w:rPr>
          <w:rFonts w:hint="eastAsia" w:ascii="仿宋_GB2312" w:hAnsi="仿宋_GB2312" w:eastAsia="仿宋_GB2312" w:cs="仿宋_GB2312"/>
          <w:kern w:val="2"/>
          <w:sz w:val="32"/>
          <w:szCs w:val="32"/>
        </w:rPr>
        <w:t>～</w:t>
      </w:r>
      <w:r>
        <w:rPr>
          <w:rFonts w:ascii="仿宋_GB2312" w:hAnsi="仿宋_GB2312" w:eastAsia="仿宋_GB2312" w:cs="仿宋_GB2312"/>
          <w:kern w:val="2"/>
          <w:sz w:val="32"/>
          <w:szCs w:val="32"/>
        </w:rPr>
        <w:t>60%</w:t>
      </w:r>
      <w:r>
        <w:rPr>
          <w:rFonts w:hint="eastAsia" w:ascii="仿宋_GB2312" w:hAnsi="仿宋_GB2312" w:eastAsia="仿宋_GB2312" w:cs="仿宋_GB2312"/>
          <w:kern w:val="2"/>
          <w:sz w:val="32"/>
          <w:szCs w:val="32"/>
        </w:rPr>
        <w:t>。生产中，化学防治一直是控制甲虫类害虫的主要手段，但因长期不科学的使用，</w:t>
      </w:r>
      <w:r>
        <w:rPr>
          <w:rFonts w:ascii="仿宋_GB2312" w:hAnsi="仿宋_GB2312" w:eastAsia="仿宋_GB2312" w:cs="仿宋_GB2312"/>
          <w:bCs/>
          <w:kern w:val="2"/>
          <w:sz w:val="32"/>
          <w:szCs w:val="32"/>
        </w:rPr>
        <w:t>化学农药越用越多，农药残留超标风险持续加大，严重影响农业生态环境安全，</w:t>
      </w:r>
      <w:r>
        <w:rPr>
          <w:rFonts w:hint="eastAsia" w:ascii="仿宋_GB2312" w:hAnsi="仿宋_GB2312" w:eastAsia="仿宋_GB2312" w:cs="仿宋_GB2312"/>
          <w:kern w:val="2"/>
          <w:sz w:val="32"/>
          <w:szCs w:val="32"/>
        </w:rPr>
        <w:t>同时甲虫类害虫现已对有机磷类、拟除虫菊酯类、沙蚕毒素类等主要防治药剂产生了不同程度的抗药性，</w:t>
      </w:r>
      <w:r>
        <w:rPr>
          <w:rFonts w:hint="eastAsia" w:ascii="仿宋_GB2312" w:hAnsi="仿宋_GB2312" w:eastAsia="仿宋_GB2312" w:cs="仿宋_GB2312"/>
          <w:bCs/>
          <w:kern w:val="2"/>
          <w:sz w:val="32"/>
          <w:szCs w:val="32"/>
        </w:rPr>
        <w:t>造成</w:t>
      </w:r>
      <w:r>
        <w:rPr>
          <w:rFonts w:hint="eastAsia" w:ascii="仿宋_GB2312" w:hAnsi="仿宋_GB2312" w:eastAsia="仿宋_GB2312" w:cs="仿宋_GB2312"/>
          <w:kern w:val="2"/>
          <w:sz w:val="32"/>
          <w:szCs w:val="32"/>
        </w:rPr>
        <w:t>甲虫类害虫</w:t>
      </w:r>
      <w:r>
        <w:rPr>
          <w:rFonts w:hint="eastAsia" w:ascii="仿宋_GB2312" w:hAnsi="仿宋_GB2312" w:eastAsia="仿宋_GB2312" w:cs="仿宋_GB2312"/>
          <w:bCs/>
          <w:kern w:val="2"/>
          <w:sz w:val="32"/>
          <w:szCs w:val="32"/>
        </w:rPr>
        <w:t>防治陷入</w:t>
      </w:r>
      <w:r>
        <w:rPr>
          <w:rFonts w:ascii="仿宋_GB2312" w:hAnsi="仿宋_GB2312" w:eastAsia="仿宋_GB2312" w:cs="仿宋_GB2312"/>
          <w:bCs/>
          <w:kern w:val="2"/>
          <w:sz w:val="32"/>
          <w:szCs w:val="32"/>
        </w:rPr>
        <w:t>越来越难防的窘境。</w:t>
      </w:r>
    </w:p>
    <w:p>
      <w:pPr>
        <w:pStyle w:val="18"/>
        <w:shd w:val="clear" w:color="auto" w:fill="FFFFFF"/>
        <w:adjustRightInd w:val="0"/>
        <w:snapToGrid w:val="0"/>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在甲虫类害虫的防治中</w:t>
      </w:r>
      <w:r>
        <w:rPr>
          <w:rFonts w:ascii="Times New Roman" w:hAnsi="仿宋_GB2312" w:eastAsia="仿宋_GB2312" w:cs="Times New Roman"/>
          <w:kern w:val="2"/>
          <w:sz w:val="32"/>
          <w:szCs w:val="32"/>
        </w:rPr>
        <w:t>，存在着许多问题：</w:t>
      </w:r>
      <w:r>
        <w:rPr>
          <w:rFonts w:ascii="Times New Roman" w:hAnsi="Times New Roman" w:eastAsia="仿宋_GB2312" w:cs="Times New Roman"/>
          <w:kern w:val="2"/>
          <w:sz w:val="32"/>
          <w:szCs w:val="32"/>
        </w:rPr>
        <w:t>1.</w:t>
      </w:r>
      <w:r>
        <w:rPr>
          <w:rFonts w:ascii="Times New Roman" w:hAnsi="仿宋_GB2312" w:eastAsia="仿宋_GB2312" w:cs="Times New Roman"/>
          <w:kern w:val="2"/>
          <w:sz w:val="32"/>
          <w:szCs w:val="32"/>
        </w:rPr>
        <w:t>对科学使用药剂缺乏正确的认识。长期使用单一药剂，当防治效果降低时，直接加大药剂使用剂量和浓度，直至产生抗药性。</w:t>
      </w:r>
      <w:r>
        <w:rPr>
          <w:rFonts w:ascii="Times New Roman" w:hAnsi="Times New Roman" w:eastAsia="仿宋_GB2312" w:cs="Times New Roman"/>
          <w:kern w:val="2"/>
          <w:sz w:val="32"/>
          <w:szCs w:val="32"/>
        </w:rPr>
        <w:t xml:space="preserve">2. </w:t>
      </w:r>
      <w:r>
        <w:rPr>
          <w:rFonts w:ascii="Times New Roman" w:hAnsi="仿宋_GB2312" w:eastAsia="仿宋_GB2312" w:cs="Times New Roman"/>
          <w:kern w:val="2"/>
          <w:sz w:val="32"/>
          <w:szCs w:val="32"/>
        </w:rPr>
        <w:t>喷药时间把握不准。甲虫防治应把握在成虫产卵前，活跃的时间段喷药，一般是</w:t>
      </w:r>
      <w:r>
        <w:rPr>
          <w:rFonts w:ascii="Times New Roman" w:hAnsi="Times New Roman" w:eastAsia="仿宋_GB2312" w:cs="Times New Roman"/>
          <w:kern w:val="2"/>
          <w:sz w:val="32"/>
          <w:szCs w:val="32"/>
        </w:rPr>
        <w:t>10</w:t>
      </w:r>
      <w:r>
        <w:rPr>
          <w:rFonts w:ascii="Times New Roman" w:hAnsi="仿宋_GB2312" w:eastAsia="仿宋_GB2312" w:cs="Times New Roman"/>
          <w:kern w:val="2"/>
          <w:sz w:val="32"/>
          <w:szCs w:val="32"/>
        </w:rPr>
        <w:t>：</w:t>
      </w:r>
      <w:r>
        <w:rPr>
          <w:rFonts w:ascii="Times New Roman" w:hAnsi="Times New Roman" w:eastAsia="仿宋_GB2312" w:cs="Times New Roman"/>
          <w:kern w:val="2"/>
          <w:sz w:val="32"/>
          <w:szCs w:val="32"/>
        </w:rPr>
        <w:t>00</w:t>
      </w:r>
      <w:r>
        <w:rPr>
          <w:rFonts w:ascii="Times New Roman" w:hAnsi="仿宋_GB2312" w:eastAsia="仿宋_GB2312" w:cs="Times New Roman"/>
          <w:kern w:val="2"/>
          <w:sz w:val="32"/>
          <w:szCs w:val="32"/>
        </w:rPr>
        <w:t>前或</w:t>
      </w:r>
      <w:r>
        <w:rPr>
          <w:rFonts w:ascii="Times New Roman" w:hAnsi="Times New Roman" w:eastAsia="仿宋_GB2312" w:cs="Times New Roman"/>
          <w:kern w:val="2"/>
          <w:sz w:val="32"/>
          <w:szCs w:val="32"/>
        </w:rPr>
        <w:t>17</w:t>
      </w:r>
      <w:r>
        <w:rPr>
          <w:rFonts w:ascii="Times New Roman" w:hAnsi="仿宋_GB2312" w:eastAsia="仿宋_GB2312" w:cs="Times New Roman"/>
          <w:kern w:val="2"/>
          <w:sz w:val="32"/>
          <w:szCs w:val="32"/>
        </w:rPr>
        <w:t>：</w:t>
      </w:r>
      <w:r>
        <w:rPr>
          <w:rFonts w:ascii="Times New Roman" w:hAnsi="Times New Roman" w:eastAsia="仿宋_GB2312" w:cs="Times New Roman"/>
          <w:kern w:val="2"/>
          <w:sz w:val="32"/>
          <w:szCs w:val="32"/>
        </w:rPr>
        <w:t>00</w:t>
      </w:r>
      <w:r>
        <w:rPr>
          <w:rFonts w:ascii="Times New Roman" w:hAnsi="仿宋_GB2312" w:eastAsia="仿宋_GB2312" w:cs="Times New Roman"/>
          <w:kern w:val="2"/>
          <w:sz w:val="32"/>
          <w:szCs w:val="32"/>
        </w:rPr>
        <w:t>后〔夏季</w:t>
      </w:r>
      <w:r>
        <w:rPr>
          <w:rFonts w:ascii="Times New Roman" w:hAnsi="Times New Roman" w:eastAsia="仿宋_GB2312" w:cs="Times New Roman"/>
          <w:kern w:val="2"/>
          <w:sz w:val="32"/>
          <w:szCs w:val="32"/>
        </w:rPr>
        <w:t>9</w:t>
      </w:r>
      <w:r>
        <w:rPr>
          <w:rFonts w:ascii="Times New Roman" w:hAnsi="仿宋_GB2312" w:eastAsia="仿宋_GB2312" w:cs="Times New Roman"/>
          <w:kern w:val="2"/>
          <w:sz w:val="32"/>
          <w:szCs w:val="32"/>
        </w:rPr>
        <w:t>：</w:t>
      </w:r>
      <w:r>
        <w:rPr>
          <w:rFonts w:ascii="Times New Roman" w:hAnsi="Times New Roman" w:eastAsia="仿宋_GB2312" w:cs="Times New Roman"/>
          <w:kern w:val="2"/>
          <w:sz w:val="32"/>
          <w:szCs w:val="32"/>
        </w:rPr>
        <w:t>00</w:t>
      </w:r>
      <w:r>
        <w:rPr>
          <w:rFonts w:ascii="Times New Roman" w:hAnsi="仿宋_GB2312" w:eastAsia="仿宋_GB2312" w:cs="Times New Roman"/>
          <w:kern w:val="2"/>
          <w:sz w:val="32"/>
          <w:szCs w:val="32"/>
        </w:rPr>
        <w:t>前或</w:t>
      </w:r>
      <w:r>
        <w:rPr>
          <w:rFonts w:ascii="Times New Roman" w:hAnsi="Times New Roman" w:eastAsia="仿宋_GB2312" w:cs="Times New Roman"/>
          <w:kern w:val="2"/>
          <w:sz w:val="32"/>
          <w:szCs w:val="32"/>
        </w:rPr>
        <w:t>18</w:t>
      </w:r>
      <w:r>
        <w:rPr>
          <w:rFonts w:ascii="Times New Roman" w:hAnsi="仿宋_GB2312" w:eastAsia="仿宋_GB2312" w:cs="Times New Roman"/>
          <w:kern w:val="2"/>
          <w:sz w:val="32"/>
          <w:szCs w:val="32"/>
        </w:rPr>
        <w:t>：</w:t>
      </w:r>
      <w:r>
        <w:rPr>
          <w:rFonts w:ascii="Times New Roman" w:hAnsi="Times New Roman" w:eastAsia="仿宋_GB2312" w:cs="Times New Roman"/>
          <w:kern w:val="2"/>
          <w:sz w:val="32"/>
          <w:szCs w:val="32"/>
        </w:rPr>
        <w:t>00</w:t>
      </w:r>
      <w:r>
        <w:rPr>
          <w:rFonts w:ascii="Times New Roman" w:hAnsi="仿宋_GB2312" w:eastAsia="仿宋_GB2312" w:cs="Times New Roman"/>
          <w:kern w:val="2"/>
          <w:sz w:val="32"/>
          <w:szCs w:val="32"/>
        </w:rPr>
        <w:t>后〕。</w:t>
      </w:r>
      <w:r>
        <w:rPr>
          <w:rFonts w:ascii="Times New Roman" w:hAnsi="Times New Roman" w:eastAsia="仿宋_GB2312" w:cs="Times New Roman"/>
          <w:kern w:val="2"/>
          <w:sz w:val="32"/>
          <w:szCs w:val="32"/>
        </w:rPr>
        <w:t xml:space="preserve">3. </w:t>
      </w:r>
      <w:r>
        <w:rPr>
          <w:rFonts w:ascii="Times New Roman" w:hAnsi="仿宋_GB2312" w:eastAsia="仿宋_GB2312" w:cs="Times New Roman"/>
          <w:kern w:val="2"/>
          <w:sz w:val="32"/>
          <w:szCs w:val="32"/>
        </w:rPr>
        <w:t>喷药方式不科学。为防止跳跃黄曲条跳甲跳跃到相连地块为害或躲避，应在地块周围先喷一圈，形成阻隔带。</w:t>
      </w:r>
      <w:r>
        <w:rPr>
          <w:rFonts w:ascii="Times New Roman" w:hAnsi="Times New Roman" w:eastAsia="仿宋_GB2312" w:cs="Times New Roman"/>
          <w:kern w:val="2"/>
          <w:sz w:val="32"/>
          <w:szCs w:val="32"/>
        </w:rPr>
        <w:t xml:space="preserve">4. </w:t>
      </w:r>
      <w:r>
        <w:rPr>
          <w:rFonts w:ascii="Times New Roman" w:hAnsi="仿宋_GB2312" w:eastAsia="仿宋_GB2312" w:cs="Times New Roman"/>
          <w:kern w:val="2"/>
          <w:sz w:val="32"/>
          <w:szCs w:val="32"/>
        </w:rPr>
        <w:t>防治虫态单一。在实际生产中，只采取叶面喷药防治幼虫的现象比较普遍，一旦药效消失后，幼虫化蛹羽化为成虫出土继续为害。</w:t>
      </w:r>
      <w:r>
        <w:rPr>
          <w:rFonts w:ascii="Times New Roman" w:hAnsi="Times New Roman" w:eastAsia="仿宋_GB2312" w:cs="Times New Roman"/>
          <w:kern w:val="2"/>
          <w:sz w:val="32"/>
          <w:szCs w:val="32"/>
        </w:rPr>
        <w:t xml:space="preserve">5. </w:t>
      </w:r>
      <w:r>
        <w:rPr>
          <w:rFonts w:ascii="Times New Roman" w:hAnsi="仿宋_GB2312" w:eastAsia="仿宋_GB2312" w:cs="Times New Roman"/>
          <w:kern w:val="2"/>
          <w:sz w:val="32"/>
          <w:szCs w:val="32"/>
        </w:rPr>
        <w:t>防治方法单一。因化学防治操作简单、见效快，导致种植户高度依赖化学防治，无</w:t>
      </w:r>
      <w:r>
        <w:rPr>
          <w:rFonts w:hint="eastAsia" w:ascii="仿宋_GB2312" w:hAnsi="仿宋_GB2312" w:eastAsia="仿宋_GB2312" w:cs="仿宋_GB2312"/>
          <w:kern w:val="2"/>
          <w:sz w:val="32"/>
          <w:szCs w:val="32"/>
        </w:rPr>
        <w:t>视其他防治方式的现象。为了避免上述问题带来的生产成本增加、蔬菜品质下降、环境污染、抗药性等恶性生态循环现象的持续发生，亟待制定一套设施蔬菜甲虫类害虫的防治技术规程进行指导。</w:t>
      </w:r>
    </w:p>
    <w:p>
      <w:pPr>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目前我省还没有设施蔬菜甲虫类害虫的防治技术规程省级地方标准。项目组根据工作经验，结合蔬菜种植户生产情况，计划制定《设施蔬菜甲虫类害虫的防治技术规程》，为规范设施蔬菜甲虫类害虫的防治技术提供依据。</w:t>
      </w:r>
    </w:p>
    <w:p>
      <w:pPr>
        <w:spacing w:line="560" w:lineRule="exact"/>
        <w:ind w:firstLine="611" w:firstLineChars="196"/>
        <w:rPr>
          <w:rFonts w:ascii="黑体" w:hAnsi="黑体" w:eastAsia="黑体" w:cs="黑体"/>
          <w:bCs/>
          <w:spacing w:val="-4"/>
          <w:sz w:val="32"/>
          <w:szCs w:val="32"/>
        </w:rPr>
      </w:pPr>
      <w:r>
        <w:rPr>
          <w:rFonts w:hint="eastAsia" w:ascii="黑体" w:hAnsi="黑体" w:eastAsia="黑体" w:cs="黑体"/>
          <w:bCs/>
          <w:spacing w:val="-4"/>
          <w:sz w:val="32"/>
          <w:szCs w:val="32"/>
        </w:rPr>
        <w:t>三、主要起草过程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 2021年3-4月，完成数据的收集整理。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 2021年5月,召开标准起草首次会议，组成标准制定工作组，并根据每个人的情况确定了工作任务、工作进度。</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 2021年6-7月，资料收集、整理及分析研究等标准的前期预研和论证工作。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 2021年8月，工作组召开了标准编制讨论会，确定了标准制定的基本原则、内容，并形成了标准征求意见稿。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 2021年9月，向相关单位征求意见，并收集反馈意见。工作组召开内部讨论会，对标准反馈意见进行讨论，对标准征求意见稿进行修改，形成送审稿。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 2021年10月，向河北省市场监督管理局提出申请，组织专家对标准评审。</w:t>
      </w:r>
    </w:p>
    <w:p>
      <w:pPr>
        <w:spacing w:line="560" w:lineRule="exact"/>
        <w:ind w:firstLine="611" w:firstLineChars="196"/>
        <w:rPr>
          <w:rFonts w:ascii="黑体" w:hAnsi="黑体" w:eastAsia="黑体" w:cs="黑体"/>
          <w:bCs/>
          <w:spacing w:val="-4"/>
          <w:sz w:val="32"/>
          <w:szCs w:val="32"/>
        </w:rPr>
      </w:pPr>
      <w:r>
        <w:rPr>
          <w:rFonts w:hint="eastAsia" w:ascii="黑体" w:hAnsi="黑体" w:eastAsia="黑体" w:cs="黑体"/>
          <w:bCs/>
          <w:spacing w:val="-4"/>
          <w:sz w:val="32"/>
          <w:szCs w:val="32"/>
        </w:rPr>
        <w:t>四、制定标准的原则和依据，与现行法律、法规、标准的关系</w:t>
      </w:r>
    </w:p>
    <w:p>
      <w:pPr>
        <w:pStyle w:val="16"/>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本标准引用的标准主要有：</w:t>
      </w:r>
      <w:r>
        <w:rPr>
          <w:rFonts w:ascii="仿宋_GB2312" w:hAnsi="仿宋_GB2312" w:eastAsia="仿宋_GB2312" w:cs="仿宋_GB2312"/>
          <w:kern w:val="2"/>
          <w:sz w:val="32"/>
          <w:szCs w:val="32"/>
        </w:rPr>
        <w:t xml:space="preserve">GB 4285 </w:t>
      </w:r>
      <w:r>
        <w:rPr>
          <w:rFonts w:hint="eastAsia" w:ascii="仿宋_GB2312" w:hAnsi="仿宋_GB2312" w:eastAsia="仿宋_GB2312" w:cs="仿宋_GB2312"/>
          <w:kern w:val="2"/>
          <w:sz w:val="32"/>
          <w:szCs w:val="32"/>
        </w:rPr>
        <w:t>农药安全使用标准、</w:t>
      </w:r>
      <w:r>
        <w:rPr>
          <w:rFonts w:ascii="仿宋_GB2312" w:hAnsi="仿宋_GB2312" w:eastAsia="仿宋_GB2312" w:cs="仿宋_GB2312"/>
          <w:kern w:val="2"/>
          <w:sz w:val="32"/>
          <w:szCs w:val="32"/>
        </w:rPr>
        <w:t>GB/T 8321</w:t>
      </w:r>
      <w:r>
        <w:rPr>
          <w:rFonts w:hint="eastAsia" w:ascii="仿宋_GB2312" w:hAnsi="仿宋_GB2312" w:eastAsia="仿宋_GB2312" w:cs="仿宋_GB2312"/>
          <w:kern w:val="2"/>
          <w:sz w:val="32"/>
          <w:szCs w:val="32"/>
        </w:rPr>
        <w:t>（所有部分）农药合理使用准则、NY/T 393 绿色食品 农药使用准则。</w:t>
      </w:r>
    </w:p>
    <w:p>
      <w:pPr>
        <w:spacing w:line="56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本标准的编制符合标准化工作条例的有关规定，与现行法律、法规和强制性标准无相互矛盾和抵触的条款。</w:t>
      </w:r>
    </w:p>
    <w:p>
      <w:pPr>
        <w:spacing w:line="560" w:lineRule="exact"/>
        <w:ind w:firstLine="611" w:firstLineChars="196"/>
        <w:rPr>
          <w:rFonts w:ascii="黑体" w:hAnsi="黑体" w:eastAsia="黑体" w:cs="黑体"/>
          <w:bCs/>
          <w:spacing w:val="-4"/>
          <w:sz w:val="32"/>
          <w:szCs w:val="32"/>
        </w:rPr>
      </w:pPr>
      <w:r>
        <w:rPr>
          <w:rFonts w:hint="eastAsia" w:ascii="黑体" w:hAnsi="黑体" w:eastAsia="黑体" w:cs="黑体"/>
          <w:bCs/>
          <w:spacing w:val="-4"/>
          <w:sz w:val="32"/>
          <w:szCs w:val="32"/>
        </w:rPr>
        <w:t>五、主要条款的说明</w:t>
      </w:r>
    </w:p>
    <w:p>
      <w:pPr>
        <w:pStyle w:val="16"/>
        <w:tabs>
          <w:tab w:val="center" w:pos="4201"/>
          <w:tab w:val="right" w:leader="dot" w:pos="9298"/>
        </w:tabs>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（一）主要内容</w:t>
      </w:r>
    </w:p>
    <w:p>
      <w:pPr>
        <w:pStyle w:val="16"/>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本标准规定了设施蔬菜甲虫类害虫防治技术要求。主要包括鞘翅目叶甲科害虫：大猿叶甲（</w:t>
      </w:r>
      <w:r>
        <w:rPr>
          <w:rFonts w:ascii="仿宋_GB2312" w:hAnsi="仿宋_GB2312" w:eastAsia="仿宋_GB2312" w:cs="仿宋_GB2312"/>
          <w:i/>
          <w:kern w:val="2"/>
          <w:sz w:val="32"/>
          <w:szCs w:val="32"/>
        </w:rPr>
        <w:t>Colaphellus bowringi</w:t>
      </w:r>
      <w:r>
        <w:rPr>
          <w:rFonts w:hint="eastAsia" w:ascii="仿宋_GB2312" w:hAnsi="仿宋_GB2312" w:eastAsia="仿宋_GB2312" w:cs="仿宋_GB2312"/>
          <w:kern w:val="2"/>
          <w:sz w:val="32"/>
          <w:szCs w:val="32"/>
        </w:rPr>
        <w:t>）、小猿叶甲（</w:t>
      </w:r>
      <w:r>
        <w:rPr>
          <w:rFonts w:ascii="仿宋_GB2312" w:hAnsi="仿宋_GB2312" w:eastAsia="仿宋_GB2312" w:cs="仿宋_GB2312"/>
          <w:i/>
          <w:kern w:val="2"/>
          <w:sz w:val="32"/>
          <w:szCs w:val="32"/>
        </w:rPr>
        <w:t>Phaedon brassicae</w:t>
      </w:r>
      <w:r>
        <w:rPr>
          <w:rFonts w:hint="eastAsia" w:ascii="仿宋_GB2312" w:hAnsi="仿宋_GB2312" w:eastAsia="仿宋_GB2312" w:cs="仿宋_GB2312"/>
          <w:i/>
          <w:kern w:val="2"/>
          <w:sz w:val="32"/>
          <w:szCs w:val="32"/>
        </w:rPr>
        <w:t>）</w:t>
      </w:r>
      <w:r>
        <w:rPr>
          <w:rFonts w:hint="eastAsia" w:ascii="仿宋_GB2312" w:hAnsi="仿宋_GB2312" w:eastAsia="仿宋_GB2312" w:cs="仿宋_GB2312"/>
          <w:kern w:val="2"/>
          <w:sz w:val="32"/>
          <w:szCs w:val="32"/>
        </w:rPr>
        <w:t>、双斑萤叶甲（</w:t>
      </w:r>
      <w:r>
        <w:rPr>
          <w:rFonts w:ascii="仿宋_GB2312" w:hAnsi="仿宋_GB2312" w:eastAsia="仿宋_GB2312" w:cs="仿宋_GB2312"/>
          <w:i/>
          <w:kern w:val="2"/>
          <w:sz w:val="32"/>
          <w:szCs w:val="32"/>
        </w:rPr>
        <w:t>Monolepta hieroglyphica</w:t>
      </w:r>
      <w:r>
        <w:rPr>
          <w:rFonts w:hint="eastAsia" w:ascii="仿宋_GB2312" w:hAnsi="仿宋_GB2312" w:eastAsia="仿宋_GB2312" w:cs="仿宋_GB2312"/>
          <w:kern w:val="2"/>
          <w:sz w:val="32"/>
          <w:szCs w:val="32"/>
        </w:rPr>
        <w:t>）、黄曲条跳甲（</w:t>
      </w:r>
      <w:r>
        <w:rPr>
          <w:rFonts w:ascii="仿宋_GB2312" w:hAnsi="仿宋_GB2312" w:eastAsia="仿宋_GB2312" w:cs="仿宋_GB2312"/>
          <w:i/>
          <w:kern w:val="2"/>
          <w:sz w:val="32"/>
          <w:szCs w:val="32"/>
        </w:rPr>
        <w:t>Phyllotreta striolata</w:t>
      </w:r>
      <w:r>
        <w:rPr>
          <w:rFonts w:hint="eastAsia" w:ascii="仿宋_GB2312" w:hAnsi="仿宋_GB2312" w:eastAsia="仿宋_GB2312" w:cs="仿宋_GB2312"/>
          <w:kern w:val="2"/>
          <w:sz w:val="32"/>
          <w:szCs w:val="32"/>
        </w:rPr>
        <w:t>）和葱黄寡毛跳甲（</w:t>
      </w:r>
      <w:r>
        <w:rPr>
          <w:rFonts w:ascii="仿宋_GB2312" w:hAnsi="仿宋_GB2312" w:eastAsia="仿宋_GB2312" w:cs="仿宋_GB2312"/>
          <w:i/>
          <w:kern w:val="2"/>
          <w:sz w:val="32"/>
          <w:szCs w:val="32"/>
        </w:rPr>
        <w:t>Luperomorpha suturalis</w:t>
      </w:r>
      <w:r>
        <w:rPr>
          <w:rFonts w:hint="eastAsia" w:ascii="仿宋_GB2312" w:hAnsi="仿宋_GB2312" w:eastAsia="仿宋_GB2312" w:cs="仿宋_GB2312"/>
          <w:kern w:val="2"/>
          <w:sz w:val="32"/>
          <w:szCs w:val="32"/>
        </w:rPr>
        <w:t>）等。</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本标准适用于河北省设施蔬菜甲虫类害虫的防治。</w:t>
      </w:r>
    </w:p>
    <w:p>
      <w:pPr>
        <w:spacing w:line="606"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（二）防控技术</w:t>
      </w:r>
    </w:p>
    <w:p>
      <w:pPr>
        <w:spacing w:line="606"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确立依据:</w:t>
      </w:r>
      <w:r>
        <w:rPr>
          <w:rFonts w:ascii="仿宋_GB2312" w:hAnsi="仿宋_GB2312" w:eastAsia="仿宋_GB2312" w:cs="仿宋_GB2312"/>
          <w:sz w:val="32"/>
          <w:szCs w:val="32"/>
        </w:rPr>
        <w:t xml:space="preserve"> GB 4285 </w:t>
      </w:r>
      <w:r>
        <w:rPr>
          <w:rFonts w:hint="eastAsia" w:ascii="仿宋_GB2312" w:hAnsi="仿宋_GB2312" w:eastAsia="仿宋_GB2312" w:cs="仿宋_GB2312"/>
          <w:sz w:val="32"/>
          <w:szCs w:val="32"/>
        </w:rPr>
        <w:t>农药安全使用标准、</w:t>
      </w:r>
      <w:r>
        <w:rPr>
          <w:rFonts w:ascii="仿宋_GB2312" w:hAnsi="仿宋_GB2312" w:eastAsia="仿宋_GB2312" w:cs="仿宋_GB2312"/>
          <w:sz w:val="32"/>
          <w:szCs w:val="32"/>
        </w:rPr>
        <w:t>GB/T 8321</w:t>
      </w:r>
      <w:r>
        <w:rPr>
          <w:rFonts w:hint="eastAsia" w:ascii="仿宋_GB2312" w:hAnsi="仿宋_GB2312" w:eastAsia="仿宋_GB2312" w:cs="仿宋_GB2312"/>
          <w:sz w:val="32"/>
          <w:szCs w:val="32"/>
        </w:rPr>
        <w:t>（所有部分）农药合理使用准则、NY/T 393 绿色食品 农药使用准则</w:t>
      </w:r>
      <w:r>
        <w:rPr>
          <w:rFonts w:hint="eastAsia" w:ascii="仿宋_GB2312" w:hAnsi="仿宋_GB2312" w:eastAsia="仿宋_GB2312" w:cs="仿宋_GB2312"/>
          <w:color w:val="000000"/>
          <w:sz w:val="32"/>
          <w:szCs w:val="32"/>
        </w:rPr>
        <w:t>，以及科研试验结果。</w:t>
      </w:r>
    </w:p>
    <w:p>
      <w:pPr>
        <w:pStyle w:val="17"/>
        <w:numPr>
          <w:ilvl w:val="0"/>
          <w:numId w:val="2"/>
        </w:numPr>
        <w:adjustRightInd w:val="0"/>
        <w:snapToGrid w:val="0"/>
        <w:spacing w:beforeLines="0" w:afterLines="0" w:line="560" w:lineRule="exact"/>
        <w:ind w:left="0" w:firstLine="640" w:firstLineChars="200"/>
        <w:outlineLvl w:val="9"/>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农业防治</w:t>
      </w:r>
    </w:p>
    <w:p>
      <w:pPr>
        <w:pStyle w:val="16"/>
        <w:adjustRightInd w:val="0"/>
        <w:snapToGrid w:val="0"/>
        <w:spacing w:line="560" w:lineRule="exact"/>
        <w:ind w:firstLine="64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上茬作物收获后，及时清除残株、落叶和田间杂草，集中烧毁、深埋或沤肥，深翻灭茬，高温闷棚，有效降低后茬虫源。合理施肥，有机肥要充分腐熟，合理密植、培育壮苗，合理轮作，十字花科蔬菜与葱、蒜、菠菜、生菜等进行轮作或间作套种。</w:t>
      </w:r>
    </w:p>
    <w:p>
      <w:pPr>
        <w:pStyle w:val="17"/>
        <w:numPr>
          <w:ilvl w:val="0"/>
          <w:numId w:val="2"/>
        </w:numPr>
        <w:adjustRightInd w:val="0"/>
        <w:snapToGrid w:val="0"/>
        <w:spacing w:beforeLines="0" w:afterLines="0" w:line="560" w:lineRule="exact"/>
        <w:ind w:left="0" w:firstLine="640" w:firstLineChars="200"/>
        <w:outlineLvl w:val="9"/>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生物防治</w:t>
      </w:r>
    </w:p>
    <w:p>
      <w:pPr>
        <w:pStyle w:val="16"/>
        <w:adjustRightInd w:val="0"/>
        <w:snapToGrid w:val="0"/>
        <w:spacing w:line="560" w:lineRule="exact"/>
        <w:ind w:firstLine="64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害虫发生初期，采用苏云金芽胞杆菌、绿僵菌、鱼藤酮、苦皮藤素等生物药剂进行精准喷雾防治，具体药剂种类和注意事项见表1。</w:t>
      </w:r>
    </w:p>
    <w:p>
      <w:pPr>
        <w:pStyle w:val="17"/>
        <w:numPr>
          <w:ilvl w:val="1"/>
          <w:numId w:val="0"/>
        </w:numPr>
        <w:adjustRightInd w:val="0"/>
        <w:snapToGrid w:val="0"/>
        <w:spacing w:beforeLines="0" w:afterLines="0" w:line="560" w:lineRule="exact"/>
        <w:ind w:firstLine="640" w:firstLineChars="200"/>
        <w:outlineLvl w:val="9"/>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3. 物理防治</w:t>
      </w:r>
    </w:p>
    <w:p>
      <w:pPr>
        <w:pStyle w:val="17"/>
        <w:numPr>
          <w:ilvl w:val="1"/>
          <w:numId w:val="0"/>
        </w:numPr>
        <w:adjustRightInd w:val="0"/>
        <w:snapToGrid w:val="0"/>
        <w:spacing w:beforeLines="0" w:afterLines="0" w:line="560" w:lineRule="exact"/>
        <w:ind w:firstLine="640" w:firstLineChars="200"/>
        <w:outlineLvl w:val="9"/>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1）色板诱杀防治</w:t>
      </w:r>
    </w:p>
    <w:p>
      <w:pPr>
        <w:pStyle w:val="17"/>
        <w:numPr>
          <w:ilvl w:val="1"/>
          <w:numId w:val="0"/>
        </w:numPr>
        <w:adjustRightInd w:val="0"/>
        <w:snapToGrid w:val="0"/>
        <w:spacing w:beforeLines="0" w:afterLines="0" w:line="560" w:lineRule="exact"/>
        <w:ind w:firstLine="640" w:firstLineChars="200"/>
        <w:outlineLvl w:val="9"/>
        <w:rPr>
          <w:rFonts w:ascii="仿宋_GB2312" w:hAnsi="仿宋_GB2312" w:eastAsia="仿宋_GB2312" w:cs="仿宋_GB2312"/>
          <w:color w:val="000000"/>
          <w:kern w:val="2"/>
          <w:sz w:val="32"/>
          <w:szCs w:val="32"/>
        </w:rPr>
      </w:pPr>
      <w:r>
        <w:rPr>
          <w:rFonts w:ascii="仿宋_GB2312" w:hAnsi="仿宋_GB2312" w:eastAsia="仿宋_GB2312" w:cs="仿宋_GB2312"/>
          <w:color w:val="000000"/>
          <w:kern w:val="2"/>
          <w:sz w:val="32"/>
          <w:szCs w:val="32"/>
        </w:rPr>
        <w:t>成虫发生初期，采用</w:t>
      </w:r>
      <w:r>
        <w:rPr>
          <w:rFonts w:hint="eastAsia" w:ascii="仿宋_GB2312" w:hAnsi="仿宋_GB2312" w:eastAsia="仿宋_GB2312" w:cs="仿宋_GB2312"/>
          <w:color w:val="000000"/>
          <w:kern w:val="2"/>
          <w:sz w:val="32"/>
          <w:szCs w:val="32"/>
        </w:rPr>
        <w:t>黄色</w:t>
      </w:r>
      <w:r>
        <w:rPr>
          <w:rFonts w:ascii="仿宋_GB2312" w:hAnsi="仿宋_GB2312" w:eastAsia="仿宋_GB2312" w:cs="仿宋_GB2312"/>
          <w:color w:val="000000"/>
          <w:kern w:val="2"/>
          <w:sz w:val="32"/>
          <w:szCs w:val="32"/>
        </w:rPr>
        <w:t>粘虫板</w:t>
      </w:r>
      <w:r>
        <w:rPr>
          <w:rFonts w:hint="eastAsia" w:ascii="仿宋_GB2312" w:hAnsi="仿宋_GB2312" w:eastAsia="仿宋_GB2312" w:cs="仿宋_GB2312"/>
          <w:color w:val="000000"/>
          <w:kern w:val="2"/>
          <w:sz w:val="32"/>
          <w:szCs w:val="32"/>
        </w:rPr>
        <w:t>或白色粘虫板</w:t>
      </w:r>
      <w:r>
        <w:rPr>
          <w:rFonts w:ascii="仿宋_GB2312" w:hAnsi="仿宋_GB2312" w:eastAsia="仿宋_GB2312" w:cs="仿宋_GB2312"/>
          <w:color w:val="000000"/>
          <w:kern w:val="2"/>
          <w:sz w:val="32"/>
          <w:szCs w:val="32"/>
        </w:rPr>
        <w:t>（40 cm×25 cm），每亩地</w:t>
      </w:r>
      <w:r>
        <w:rPr>
          <w:rFonts w:hint="eastAsia" w:ascii="仿宋_GB2312" w:hAnsi="仿宋_GB2312" w:eastAsia="仿宋_GB2312" w:cs="仿宋_GB2312"/>
          <w:color w:val="000000"/>
          <w:kern w:val="2"/>
          <w:sz w:val="32"/>
          <w:szCs w:val="32"/>
        </w:rPr>
        <w:t>均匀放置30块</w:t>
      </w:r>
      <w:r>
        <w:rPr>
          <w:rFonts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rPr>
        <w:t>4</w:t>
      </w:r>
      <w:r>
        <w:rPr>
          <w:rFonts w:ascii="仿宋_GB2312" w:hAnsi="仿宋_GB2312" w:eastAsia="仿宋_GB2312" w:cs="仿宋_GB2312"/>
          <w:color w:val="000000"/>
          <w:kern w:val="2"/>
          <w:sz w:val="32"/>
          <w:szCs w:val="32"/>
        </w:rPr>
        <w:t>0</w:t>
      </w:r>
      <w:r>
        <w:rPr>
          <w:rFonts w:hint="eastAsia" w:ascii="仿宋_GB2312" w:hAnsi="仿宋_GB2312" w:eastAsia="仿宋_GB2312" w:cs="仿宋_GB2312"/>
          <w:color w:val="000000"/>
          <w:kern w:val="2"/>
          <w:sz w:val="32"/>
          <w:szCs w:val="32"/>
        </w:rPr>
        <w:t>块</w:t>
      </w:r>
      <w:r>
        <w:rPr>
          <w:rFonts w:ascii="仿宋_GB2312" w:hAnsi="仿宋_GB2312" w:eastAsia="仿宋_GB2312" w:cs="仿宋_GB2312"/>
          <w:color w:val="000000"/>
          <w:kern w:val="2"/>
          <w:sz w:val="32"/>
          <w:szCs w:val="32"/>
        </w:rPr>
        <w:t>，粘板高度与作物持平</w:t>
      </w:r>
      <w:r>
        <w:rPr>
          <w:rFonts w:hint="eastAsia" w:ascii="仿宋_GB2312" w:hAnsi="仿宋_GB2312" w:eastAsia="仿宋_GB2312" w:cs="仿宋_GB2312"/>
          <w:color w:val="000000"/>
          <w:kern w:val="2"/>
          <w:sz w:val="32"/>
          <w:szCs w:val="32"/>
        </w:rPr>
        <w:t>，接近作物幼嫩部位</w:t>
      </w:r>
      <w:r>
        <w:rPr>
          <w:rFonts w:ascii="仿宋_GB2312" w:hAnsi="仿宋_GB2312" w:eastAsia="仿宋_GB2312" w:cs="仿宋_GB2312"/>
          <w:color w:val="000000"/>
          <w:kern w:val="2"/>
          <w:sz w:val="32"/>
          <w:szCs w:val="32"/>
        </w:rPr>
        <w:t>，对成虫进行诱杀。</w:t>
      </w:r>
    </w:p>
    <w:p>
      <w:pPr>
        <w:pStyle w:val="17"/>
        <w:numPr>
          <w:ilvl w:val="1"/>
          <w:numId w:val="0"/>
        </w:numPr>
        <w:adjustRightInd w:val="0"/>
        <w:snapToGrid w:val="0"/>
        <w:spacing w:beforeLines="0" w:afterLines="0" w:line="560" w:lineRule="exact"/>
        <w:ind w:firstLine="640" w:firstLineChars="200"/>
        <w:outlineLvl w:val="9"/>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2）防虫网隔离防治</w:t>
      </w:r>
    </w:p>
    <w:p>
      <w:pPr>
        <w:pStyle w:val="18"/>
        <w:shd w:val="clear" w:color="auto" w:fill="FFFFFF"/>
        <w:adjustRightInd w:val="0"/>
        <w:snapToGrid w:val="0"/>
        <w:spacing w:before="0" w:beforeAutospacing="0" w:after="0" w:afterAutospacing="0" w:line="56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棚室蔬菜生产模式下，棚室通风口处</w:t>
      </w:r>
      <w:r>
        <w:rPr>
          <w:rFonts w:ascii="仿宋_GB2312" w:hAnsi="仿宋_GB2312" w:eastAsia="仿宋_GB2312" w:cs="仿宋_GB2312"/>
          <w:color w:val="000000"/>
          <w:kern w:val="2"/>
          <w:sz w:val="32"/>
          <w:szCs w:val="32"/>
        </w:rPr>
        <w:t>设置</w:t>
      </w:r>
      <w:r>
        <w:rPr>
          <w:rFonts w:hint="eastAsia" w:ascii="仿宋_GB2312" w:hAnsi="仿宋_GB2312" w:eastAsia="仿宋_GB2312" w:cs="仿宋_GB2312"/>
          <w:color w:val="000000"/>
          <w:kern w:val="2"/>
          <w:sz w:val="32"/>
          <w:szCs w:val="32"/>
        </w:rPr>
        <w:t>4</w:t>
      </w:r>
      <w:r>
        <w:rPr>
          <w:rFonts w:ascii="仿宋_GB2312" w:hAnsi="仿宋_GB2312" w:eastAsia="仿宋_GB2312" w:cs="仿宋_GB2312"/>
          <w:color w:val="000000"/>
          <w:kern w:val="2"/>
          <w:sz w:val="32"/>
          <w:szCs w:val="32"/>
        </w:rPr>
        <w:t>0</w:t>
      </w:r>
      <w:r>
        <w:rPr>
          <w:rFonts w:hint="eastAsia" w:ascii="仿宋_GB2312" w:hAnsi="仿宋_GB2312" w:eastAsia="仿宋_GB2312" w:cs="仿宋_GB2312"/>
          <w:color w:val="000000"/>
          <w:kern w:val="2"/>
          <w:sz w:val="32"/>
          <w:szCs w:val="32"/>
        </w:rPr>
        <w:t>~60目</w:t>
      </w:r>
      <w:r>
        <w:rPr>
          <w:rFonts w:ascii="仿宋_GB2312" w:hAnsi="仿宋_GB2312" w:eastAsia="仿宋_GB2312" w:cs="仿宋_GB2312"/>
          <w:color w:val="000000"/>
          <w:kern w:val="2"/>
          <w:sz w:val="32"/>
          <w:szCs w:val="32"/>
        </w:rPr>
        <w:t>的防虫网，</w:t>
      </w:r>
      <w:r>
        <w:rPr>
          <w:rFonts w:hint="eastAsia" w:ascii="仿宋_GB2312" w:hAnsi="仿宋_GB2312" w:eastAsia="仿宋_GB2312" w:cs="仿宋_GB2312"/>
          <w:color w:val="000000"/>
          <w:kern w:val="2"/>
          <w:sz w:val="32"/>
          <w:szCs w:val="32"/>
        </w:rPr>
        <w:t>阻止、</w:t>
      </w:r>
      <w:r>
        <w:rPr>
          <w:rFonts w:ascii="仿宋_GB2312" w:hAnsi="仿宋_GB2312" w:eastAsia="仿宋_GB2312" w:cs="仿宋_GB2312"/>
          <w:color w:val="000000"/>
          <w:kern w:val="2"/>
          <w:sz w:val="32"/>
          <w:szCs w:val="32"/>
        </w:rPr>
        <w:t>隔离</w:t>
      </w:r>
      <w:r>
        <w:rPr>
          <w:rFonts w:hint="eastAsia" w:ascii="仿宋_GB2312" w:hAnsi="仿宋_GB2312" w:eastAsia="仿宋_GB2312" w:cs="仿宋_GB2312"/>
          <w:color w:val="000000"/>
          <w:kern w:val="2"/>
          <w:sz w:val="32"/>
          <w:szCs w:val="32"/>
        </w:rPr>
        <w:t>甲虫</w:t>
      </w:r>
      <w:r>
        <w:rPr>
          <w:rFonts w:ascii="仿宋_GB2312" w:hAnsi="仿宋_GB2312" w:eastAsia="仿宋_GB2312" w:cs="仿宋_GB2312"/>
          <w:color w:val="000000"/>
          <w:kern w:val="2"/>
          <w:sz w:val="32"/>
          <w:szCs w:val="32"/>
        </w:rPr>
        <w:t>成虫侵</w:t>
      </w:r>
      <w:r>
        <w:rPr>
          <w:rFonts w:hint="eastAsia" w:ascii="仿宋_GB2312" w:hAnsi="仿宋_GB2312" w:eastAsia="仿宋_GB2312" w:cs="仿宋_GB2312"/>
          <w:color w:val="000000"/>
          <w:kern w:val="2"/>
          <w:sz w:val="32"/>
          <w:szCs w:val="32"/>
        </w:rPr>
        <w:t>入</w:t>
      </w:r>
      <w:r>
        <w:rPr>
          <w:rFonts w:ascii="仿宋_GB2312" w:hAnsi="仿宋_GB2312" w:eastAsia="仿宋_GB2312" w:cs="仿宋_GB2312"/>
          <w:color w:val="000000"/>
          <w:kern w:val="2"/>
          <w:sz w:val="32"/>
          <w:szCs w:val="32"/>
        </w:rPr>
        <w:t>和蔓延。</w:t>
      </w:r>
    </w:p>
    <w:p>
      <w:pPr>
        <w:pStyle w:val="18"/>
        <w:shd w:val="clear" w:color="auto" w:fill="FFFFFF"/>
        <w:adjustRightInd w:val="0"/>
        <w:snapToGrid w:val="0"/>
        <w:spacing w:before="0" w:beforeAutospacing="0" w:after="0" w:afterAutospacing="0" w:line="56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3）覆盖地膜</w:t>
      </w:r>
    </w:p>
    <w:p>
      <w:pPr>
        <w:pStyle w:val="18"/>
        <w:shd w:val="clear" w:color="auto" w:fill="FFFFFF"/>
        <w:adjustRightInd w:val="0"/>
        <w:snapToGrid w:val="0"/>
        <w:spacing w:before="0" w:beforeAutospacing="0" w:after="0" w:afterAutospacing="0" w:line="56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棚室地面覆盖黑色地膜，减少幼虫入土化蛹，降低成虫羽化率。</w:t>
      </w:r>
    </w:p>
    <w:p>
      <w:pPr>
        <w:pStyle w:val="18"/>
        <w:shd w:val="clear" w:color="auto" w:fill="FFFFFF"/>
        <w:adjustRightInd w:val="0"/>
        <w:snapToGrid w:val="0"/>
        <w:spacing w:before="0" w:beforeAutospacing="0" w:after="0" w:afterAutospacing="0" w:line="56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4）灯诱触杀</w:t>
      </w:r>
    </w:p>
    <w:p>
      <w:pPr>
        <w:pStyle w:val="18"/>
        <w:shd w:val="clear" w:color="auto" w:fill="FFFFFF"/>
        <w:adjustRightInd w:val="0"/>
        <w:snapToGrid w:val="0"/>
        <w:spacing w:before="0" w:beforeAutospacing="0" w:after="0" w:afterAutospacing="0" w:line="560" w:lineRule="exact"/>
        <w:ind w:firstLine="640" w:firstLineChars="200"/>
        <w:jc w:val="both"/>
        <w:rPr>
          <w:rFonts w:ascii="仿宋_GB2312" w:hAnsi="仿宋_GB2312" w:eastAsia="仿宋_GB2312" w:cs="仿宋_GB2312"/>
          <w:color w:val="000000"/>
          <w:kern w:val="2"/>
          <w:sz w:val="32"/>
          <w:szCs w:val="32"/>
        </w:rPr>
      </w:pPr>
      <w:r>
        <w:rPr>
          <w:rFonts w:ascii="仿宋_GB2312" w:hAnsi="仿宋_GB2312" w:eastAsia="仿宋_GB2312" w:cs="仿宋_GB2312"/>
          <w:color w:val="000000"/>
          <w:kern w:val="2"/>
          <w:sz w:val="32"/>
          <w:szCs w:val="32"/>
        </w:rPr>
        <w:t>成虫发生初期，</w:t>
      </w:r>
      <w:r>
        <w:rPr>
          <w:rFonts w:hint="eastAsia" w:ascii="仿宋_GB2312" w:hAnsi="仿宋_GB2312" w:eastAsia="仿宋_GB2312" w:cs="仿宋_GB2312"/>
          <w:color w:val="000000"/>
          <w:kern w:val="2"/>
          <w:sz w:val="32"/>
          <w:szCs w:val="32"/>
        </w:rPr>
        <w:t>根据害虫趋光特性，夜间</w:t>
      </w:r>
      <w:r>
        <w:rPr>
          <w:rFonts w:ascii="仿宋_GB2312" w:hAnsi="仿宋_GB2312" w:eastAsia="仿宋_GB2312" w:cs="仿宋_GB2312"/>
          <w:color w:val="000000"/>
          <w:kern w:val="2"/>
          <w:sz w:val="32"/>
          <w:szCs w:val="32"/>
        </w:rPr>
        <w:t>采用</w:t>
      </w:r>
      <w:r>
        <w:rPr>
          <w:rFonts w:hint="eastAsia" w:ascii="仿宋_GB2312" w:hAnsi="仿宋_GB2312" w:eastAsia="仿宋_GB2312" w:cs="仿宋_GB2312"/>
          <w:color w:val="000000"/>
          <w:kern w:val="2"/>
          <w:sz w:val="32"/>
          <w:szCs w:val="32"/>
        </w:rPr>
        <w:t>振频式杀虫灯，对成虫进行</w:t>
      </w:r>
      <w:r>
        <w:rPr>
          <w:rFonts w:ascii="仿宋_GB2312" w:hAnsi="仿宋_GB2312" w:eastAsia="仿宋_GB2312" w:cs="仿宋_GB2312"/>
          <w:color w:val="000000"/>
          <w:kern w:val="2"/>
          <w:sz w:val="32"/>
          <w:szCs w:val="32"/>
        </w:rPr>
        <w:t>诱集</w:t>
      </w:r>
      <w:r>
        <w:rPr>
          <w:rFonts w:hint="eastAsia" w:ascii="仿宋_GB2312" w:hAnsi="仿宋_GB2312" w:eastAsia="仿宋_GB2312" w:cs="仿宋_GB2312"/>
          <w:color w:val="000000"/>
          <w:kern w:val="2"/>
          <w:sz w:val="32"/>
          <w:szCs w:val="32"/>
        </w:rPr>
        <w:t>、</w:t>
      </w:r>
      <w:r>
        <w:rPr>
          <w:rFonts w:ascii="仿宋_GB2312" w:hAnsi="仿宋_GB2312" w:eastAsia="仿宋_GB2312" w:cs="仿宋_GB2312"/>
          <w:color w:val="000000"/>
          <w:kern w:val="2"/>
          <w:sz w:val="32"/>
          <w:szCs w:val="32"/>
        </w:rPr>
        <w:t>触杀，</w:t>
      </w:r>
      <w:r>
        <w:rPr>
          <w:rFonts w:hint="eastAsia" w:ascii="仿宋_GB2312" w:hAnsi="仿宋_GB2312" w:eastAsia="仿宋_GB2312" w:cs="仿宋_GB2312"/>
          <w:color w:val="000000"/>
          <w:kern w:val="2"/>
          <w:sz w:val="32"/>
          <w:szCs w:val="32"/>
        </w:rPr>
        <w:t>每个棚室设置1盏即可。</w:t>
      </w:r>
    </w:p>
    <w:p>
      <w:pPr>
        <w:pStyle w:val="18"/>
        <w:shd w:val="clear" w:color="auto" w:fill="FFFFFF"/>
        <w:adjustRightInd w:val="0"/>
        <w:snapToGrid w:val="0"/>
        <w:spacing w:before="0" w:beforeAutospacing="0" w:after="0" w:afterAutospacing="0" w:line="56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5）烟草趋避</w:t>
      </w:r>
    </w:p>
    <w:p>
      <w:pPr>
        <w:pStyle w:val="18"/>
        <w:shd w:val="clear" w:color="auto" w:fill="FFFFFF"/>
        <w:adjustRightInd w:val="0"/>
        <w:snapToGrid w:val="0"/>
        <w:spacing w:before="0" w:beforeAutospacing="0" w:after="0" w:afterAutospacing="0" w:line="56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将新出的烟草( 烟草叶和烟草梗) 密封堆压 2~3个月后, 将其切割成细小碎片, 按 1875~2250kg/ hm</w:t>
      </w:r>
      <w:r>
        <w:rPr>
          <w:rFonts w:hint="eastAsia" w:ascii="仿宋_GB2312" w:hAnsi="仿宋_GB2312" w:eastAsia="仿宋_GB2312" w:cs="仿宋_GB2312"/>
          <w:color w:val="000000"/>
          <w:kern w:val="2"/>
          <w:sz w:val="32"/>
          <w:szCs w:val="32"/>
          <w:vertAlign w:val="superscript"/>
        </w:rPr>
        <w:t xml:space="preserve"> 2 </w:t>
      </w:r>
      <w:r>
        <w:rPr>
          <w:rFonts w:hint="eastAsia" w:ascii="仿宋_GB2312" w:hAnsi="仿宋_GB2312" w:eastAsia="仿宋_GB2312" w:cs="仿宋_GB2312"/>
          <w:color w:val="000000"/>
          <w:kern w:val="2"/>
          <w:sz w:val="32"/>
          <w:szCs w:val="32"/>
        </w:rPr>
        <w:t>的量于蔬菜播种前，撒施于土壤表层。</w:t>
      </w:r>
    </w:p>
    <w:p>
      <w:pPr>
        <w:pStyle w:val="18"/>
        <w:numPr>
          <w:ilvl w:val="0"/>
          <w:numId w:val="3"/>
        </w:numPr>
        <w:shd w:val="clear" w:color="auto" w:fill="FFFFFF"/>
        <w:adjustRightInd w:val="0"/>
        <w:snapToGrid w:val="0"/>
        <w:spacing w:before="0" w:beforeAutospacing="0" w:after="0" w:afterAutospacing="0" w:line="560" w:lineRule="exact"/>
        <w:ind w:left="0"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化学</w:t>
      </w:r>
      <w:r>
        <w:rPr>
          <w:rFonts w:ascii="仿宋_GB2312" w:hAnsi="仿宋_GB2312" w:eastAsia="仿宋_GB2312" w:cs="仿宋_GB2312"/>
          <w:color w:val="000000"/>
          <w:kern w:val="2"/>
          <w:sz w:val="32"/>
          <w:szCs w:val="32"/>
        </w:rPr>
        <w:t>防治</w:t>
      </w:r>
    </w:p>
    <w:p>
      <w:pPr>
        <w:pStyle w:val="16"/>
        <w:adjustRightInd w:val="0"/>
        <w:snapToGrid w:val="0"/>
        <w:spacing w:line="560" w:lineRule="exact"/>
        <w:ind w:firstLine="64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ab/>
      </w:r>
      <w:r>
        <w:rPr>
          <w:rFonts w:ascii="仿宋_GB2312" w:hAnsi="仿宋_GB2312" w:eastAsia="仿宋_GB2312" w:cs="仿宋_GB2312"/>
          <w:color w:val="000000"/>
          <w:kern w:val="2"/>
          <w:sz w:val="32"/>
          <w:szCs w:val="32"/>
        </w:rPr>
        <w:t>根据预测预报</w:t>
      </w:r>
      <w:r>
        <w:rPr>
          <w:rFonts w:hint="eastAsia" w:ascii="仿宋_GB2312" w:hAnsi="仿宋_GB2312" w:eastAsia="仿宋_GB2312" w:cs="仿宋_GB2312"/>
          <w:color w:val="000000"/>
          <w:kern w:val="2"/>
          <w:sz w:val="32"/>
          <w:szCs w:val="32"/>
        </w:rPr>
        <w:t>，抓住防治最佳时期，选择触杀、内吸性好、杀虫杀卵相结合的农药种类，尽量减少用药量及用药次数，保护天敌；严格按照农药登记的标签或说明书中规定安全间隔期施用农药，施药必须均匀周到，合理轮换用药。具体药剂种类和注意事项见表1。其它按照GB4285、GB/T 8321和NY/T 393的最新规定执行，蔬菜上禁止使用的农药种类见附录B，并根据国家最新规定自动更新。</w:t>
      </w:r>
    </w:p>
    <w:p>
      <w:pPr>
        <w:pStyle w:val="16"/>
        <w:adjustRightInd w:val="0"/>
        <w:snapToGrid w:val="0"/>
        <w:spacing w:line="560" w:lineRule="exact"/>
        <w:ind w:firstLine="739" w:firstLineChars="231"/>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1）毒土法防治</w:t>
      </w:r>
    </w:p>
    <w:p>
      <w:pPr>
        <w:pStyle w:val="16"/>
        <w:adjustRightInd w:val="0"/>
        <w:snapToGrid w:val="0"/>
        <w:spacing w:line="560" w:lineRule="exact"/>
        <w:ind w:firstLine="64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在播前或定植前后，采用撒毒土、淋施药液法处理土壤，毒杀土壤中的虫卵、蛹。</w:t>
      </w:r>
    </w:p>
    <w:p>
      <w:pPr>
        <w:pStyle w:val="16"/>
        <w:adjustRightInd w:val="0"/>
        <w:snapToGrid w:val="0"/>
        <w:spacing w:line="560" w:lineRule="exact"/>
        <w:ind w:firstLine="64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2）围歼法防治</w:t>
      </w:r>
    </w:p>
    <w:p>
      <w:pPr>
        <w:pStyle w:val="16"/>
        <w:adjustRightInd w:val="0"/>
        <w:snapToGrid w:val="0"/>
        <w:spacing w:line="560" w:lineRule="exact"/>
        <w:ind w:firstLine="64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甲虫成虫发生期，选在成虫活动盛期，采用围歼法，从田块四周向中心喷雾，可防止成虫跳至相邻地块，以提高防治效果。</w:t>
      </w:r>
    </w:p>
    <w:p>
      <w:pPr>
        <w:pStyle w:val="16"/>
        <w:numPr>
          <w:ilvl w:val="0"/>
          <w:numId w:val="3"/>
        </w:numPr>
        <w:adjustRightInd w:val="0"/>
        <w:snapToGrid w:val="0"/>
        <w:spacing w:line="560" w:lineRule="exact"/>
        <w:ind w:left="0" w:firstLine="454" w:firstLineChars="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综合防治</w:t>
      </w:r>
    </w:p>
    <w:p>
      <w:pPr>
        <w:pStyle w:val="16"/>
        <w:adjustRightInd w:val="0"/>
        <w:snapToGrid w:val="0"/>
        <w:spacing w:line="560" w:lineRule="exact"/>
        <w:ind w:firstLine="64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协调应用农业、生物和化学等各种治理手段综合治理，维护菜田生态系统的自然平衡，具体防治措施包括：培育无虫壮苗，悬挂防虫网，定植后注意棚内温湿度及肥水管理，强壮植株，甲虫发生初期采用生物、物理防治技术，必要时采用高效低毒化学杀虫剂进行防治，收获后及时清除田园残株、消除残虫。</w:t>
      </w:r>
    </w:p>
    <w:p>
      <w:pPr>
        <w:pStyle w:val="16"/>
        <w:adjustRightInd w:val="0"/>
        <w:snapToGrid w:val="0"/>
        <w:spacing w:line="560" w:lineRule="exact"/>
        <w:ind w:firstLine="64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（三）设施蔬菜甲虫类害虫</w:t>
      </w:r>
      <w:r>
        <w:rPr>
          <w:rFonts w:ascii="仿宋_GB2312" w:hAnsi="仿宋_GB2312" w:eastAsia="仿宋_GB2312" w:cs="仿宋_GB2312"/>
          <w:color w:val="000000"/>
          <w:kern w:val="2"/>
          <w:sz w:val="32"/>
          <w:szCs w:val="32"/>
        </w:rPr>
        <w:t>防治标准的</w:t>
      </w:r>
      <w:r>
        <w:rPr>
          <w:rFonts w:hint="eastAsia" w:ascii="仿宋_GB2312" w:hAnsi="仿宋_GB2312" w:eastAsia="仿宋_GB2312" w:cs="仿宋_GB2312"/>
          <w:color w:val="000000"/>
          <w:kern w:val="2"/>
          <w:sz w:val="32"/>
          <w:szCs w:val="32"/>
        </w:rPr>
        <w:t>试验</w:t>
      </w:r>
      <w:r>
        <w:rPr>
          <w:rFonts w:ascii="仿宋_GB2312" w:hAnsi="仿宋_GB2312" w:eastAsia="仿宋_GB2312" w:cs="仿宋_GB2312"/>
          <w:color w:val="000000"/>
          <w:kern w:val="2"/>
          <w:sz w:val="32"/>
          <w:szCs w:val="32"/>
        </w:rPr>
        <w:t>验证</w:t>
      </w:r>
    </w:p>
    <w:p>
      <w:pPr>
        <w:pStyle w:val="16"/>
        <w:adjustRightInd w:val="0"/>
        <w:snapToGrid w:val="0"/>
        <w:spacing w:line="560" w:lineRule="exact"/>
        <w:ind w:firstLine="64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（1）苏云金芽胞杆菌防治蔬菜黄曲条跳甲的验证试验</w:t>
      </w:r>
    </w:p>
    <w:p>
      <w:pPr>
        <w:pStyle w:val="16"/>
        <w:adjustRightInd w:val="0"/>
        <w:snapToGrid w:val="0"/>
        <w:spacing w:line="560" w:lineRule="exact"/>
        <w:ind w:firstLine="640"/>
        <w:rPr>
          <w:rFonts w:ascii="Times New Roman" w:hAnsi="仿宋_GB2312" w:eastAsia="仿宋_GB2312"/>
          <w:color w:val="000000"/>
          <w:kern w:val="2"/>
          <w:sz w:val="32"/>
          <w:szCs w:val="32"/>
        </w:rPr>
      </w:pPr>
      <w:r>
        <w:rPr>
          <w:rFonts w:hint="eastAsia" w:ascii="仿宋_GB2312" w:hAnsi="仿宋_GB2312" w:eastAsia="仿宋_GB2312" w:cs="仿宋_GB2312"/>
          <w:color w:val="000000"/>
          <w:kern w:val="2"/>
          <w:sz w:val="32"/>
          <w:szCs w:val="32"/>
        </w:rPr>
        <w:t>苏云</w:t>
      </w:r>
      <w:r>
        <w:rPr>
          <w:rFonts w:ascii="Times New Roman" w:hAnsi="仿宋_GB2312" w:eastAsia="仿宋_GB2312"/>
          <w:color w:val="000000"/>
          <w:kern w:val="2"/>
          <w:sz w:val="32"/>
          <w:szCs w:val="32"/>
        </w:rPr>
        <w:t>金芽胞杆菌</w:t>
      </w:r>
      <w:r>
        <w:rPr>
          <w:rFonts w:ascii="Times New Roman" w:eastAsia="仿宋_GB2312"/>
          <w:color w:val="000000"/>
          <w:kern w:val="2"/>
          <w:sz w:val="32"/>
          <w:szCs w:val="32"/>
        </w:rPr>
        <w:t>G033A</w:t>
      </w:r>
      <w:r>
        <w:rPr>
          <w:rFonts w:hint="eastAsia" w:ascii="Times New Roman" w:eastAsia="仿宋_GB2312"/>
          <w:color w:val="000000"/>
          <w:kern w:val="2"/>
          <w:sz w:val="32"/>
          <w:szCs w:val="32"/>
        </w:rPr>
        <w:t>可湿性粉剂</w:t>
      </w:r>
      <w:r>
        <w:rPr>
          <w:rFonts w:ascii="Times New Roman" w:hAnsi="仿宋_GB2312" w:eastAsia="仿宋_GB2312"/>
          <w:color w:val="000000"/>
          <w:kern w:val="2"/>
          <w:sz w:val="32"/>
          <w:szCs w:val="32"/>
        </w:rPr>
        <w:t>是由中国农科院植保所和河北省农林科学院植物保护研究所联合开发的对甲虫类害虫具有较高防效的新型友好型生防制剂。通过多年的试验验证，明确了其稳定的防治效果。</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hAnsi="仿宋_GB2312" w:eastAsia="仿宋_GB2312"/>
          <w:color w:val="000000"/>
          <w:kern w:val="2"/>
          <w:sz w:val="32"/>
          <w:szCs w:val="32"/>
        </w:rPr>
        <w:t>中国农科院植保所植物病虫害生物学国家重点实验室</w:t>
      </w:r>
      <w:r>
        <w:rPr>
          <w:rFonts w:hint="eastAsia" w:ascii="Times New Roman" w:hAnsi="仿宋_GB2312" w:eastAsia="仿宋_GB2312"/>
          <w:color w:val="000000"/>
          <w:kern w:val="2"/>
          <w:sz w:val="32"/>
          <w:szCs w:val="32"/>
        </w:rPr>
        <w:t>通过室内和田间试验明确了，</w:t>
      </w:r>
      <w:r>
        <w:rPr>
          <w:rFonts w:ascii="Times New Roman" w:hAnsi="仿宋_GB2312" w:eastAsia="仿宋_GB2312"/>
          <w:color w:val="000000"/>
          <w:kern w:val="2"/>
          <w:sz w:val="32"/>
          <w:szCs w:val="32"/>
        </w:rPr>
        <w:t>苏云金芽胞杆菌</w:t>
      </w:r>
      <w:r>
        <w:rPr>
          <w:rFonts w:hint="eastAsia" w:ascii="Times New Roman" w:hAnsi="仿宋_GB2312" w:eastAsia="仿宋_GB2312"/>
          <w:color w:val="000000"/>
          <w:kern w:val="2"/>
          <w:sz w:val="32"/>
          <w:szCs w:val="32"/>
        </w:rPr>
        <w:t xml:space="preserve"> </w:t>
      </w:r>
      <w:r>
        <w:rPr>
          <w:rFonts w:ascii="Times New Roman" w:eastAsia="仿宋_GB2312"/>
          <w:color w:val="000000"/>
          <w:kern w:val="2"/>
          <w:sz w:val="32"/>
          <w:szCs w:val="32"/>
        </w:rPr>
        <w:t xml:space="preserve">G033A </w:t>
      </w:r>
      <w:r>
        <w:rPr>
          <w:rFonts w:hint="eastAsia" w:ascii="Times New Roman" w:eastAsia="仿宋_GB2312"/>
          <w:color w:val="000000"/>
          <w:kern w:val="2"/>
          <w:sz w:val="32"/>
          <w:szCs w:val="32"/>
        </w:rPr>
        <w:t>可湿性粉剂</w:t>
      </w:r>
      <w:r>
        <w:rPr>
          <w:rFonts w:ascii="Times New Roman" w:hAnsi="仿宋_GB2312" w:eastAsia="仿宋_GB2312"/>
          <w:color w:val="000000"/>
          <w:kern w:val="2"/>
          <w:sz w:val="32"/>
          <w:szCs w:val="32"/>
        </w:rPr>
        <w:t>对黄曲条跳甲有较好的防效，对成虫的</w:t>
      </w:r>
      <w:r>
        <w:rPr>
          <w:rFonts w:ascii="Times New Roman" w:eastAsia="仿宋_GB2312"/>
          <w:color w:val="000000"/>
          <w:kern w:val="2"/>
          <w:sz w:val="32"/>
          <w:szCs w:val="32"/>
        </w:rPr>
        <w:t xml:space="preserve"> LC</w:t>
      </w:r>
      <w:r>
        <w:rPr>
          <w:rFonts w:ascii="Times New Roman" w:eastAsia="仿宋_GB2312"/>
          <w:color w:val="000000"/>
          <w:kern w:val="2"/>
          <w:sz w:val="32"/>
          <w:szCs w:val="32"/>
          <w:vertAlign w:val="subscript"/>
        </w:rPr>
        <w:t xml:space="preserve"> 50 </w:t>
      </w:r>
      <w:r>
        <w:rPr>
          <w:rFonts w:ascii="Times New Roman" w:hAnsi="仿宋_GB2312" w:eastAsia="仿宋_GB2312"/>
          <w:color w:val="000000"/>
          <w:kern w:val="2"/>
          <w:sz w:val="32"/>
          <w:szCs w:val="32"/>
        </w:rPr>
        <w:t>为</w:t>
      </w:r>
      <w:r>
        <w:rPr>
          <w:rFonts w:ascii="Times New Roman" w:eastAsia="仿宋_GB2312"/>
          <w:color w:val="000000"/>
          <w:kern w:val="2"/>
          <w:sz w:val="32"/>
          <w:szCs w:val="32"/>
        </w:rPr>
        <w:t xml:space="preserve"> 26.15 mg/mL</w:t>
      </w:r>
      <w:r>
        <w:rPr>
          <w:rFonts w:ascii="Times New Roman" w:hAnsi="仿宋_GB2312" w:eastAsia="仿宋_GB2312"/>
          <w:color w:val="000000"/>
          <w:kern w:val="2"/>
          <w:sz w:val="32"/>
          <w:szCs w:val="32"/>
        </w:rPr>
        <w:t>。在成虫盛发初期使用，每亩用量</w:t>
      </w:r>
      <w:r>
        <w:rPr>
          <w:rFonts w:ascii="Times New Roman" w:eastAsia="仿宋_GB2312"/>
          <w:color w:val="000000"/>
          <w:kern w:val="2"/>
          <w:sz w:val="32"/>
          <w:szCs w:val="32"/>
        </w:rPr>
        <w:t xml:space="preserve"> 150</w:t>
      </w:r>
      <w:r>
        <w:rPr>
          <w:rFonts w:ascii="Times New Roman" w:hAnsi="仿宋_GB2312" w:eastAsia="仿宋_GB2312"/>
          <w:color w:val="000000"/>
          <w:kern w:val="2"/>
          <w:sz w:val="32"/>
          <w:szCs w:val="32"/>
        </w:rPr>
        <w:t>～</w:t>
      </w:r>
      <w:r>
        <w:rPr>
          <w:rFonts w:ascii="Times New Roman" w:eastAsia="仿宋_GB2312"/>
          <w:color w:val="000000"/>
          <w:kern w:val="2"/>
          <w:sz w:val="32"/>
          <w:szCs w:val="32"/>
        </w:rPr>
        <w:t xml:space="preserve">200 g G033A </w:t>
      </w:r>
      <w:r>
        <w:rPr>
          <w:rFonts w:ascii="Times New Roman" w:hAnsi="仿宋_GB2312" w:eastAsia="仿宋_GB2312"/>
          <w:color w:val="000000"/>
          <w:kern w:val="2"/>
          <w:sz w:val="32"/>
          <w:szCs w:val="32"/>
        </w:rPr>
        <w:t>可湿性粉剂兑水均匀喷雾，连用</w:t>
      </w:r>
      <w:r>
        <w:rPr>
          <w:rFonts w:ascii="Times New Roman" w:eastAsia="仿宋_GB2312"/>
          <w:color w:val="000000"/>
          <w:kern w:val="2"/>
          <w:sz w:val="32"/>
          <w:szCs w:val="32"/>
        </w:rPr>
        <w:t xml:space="preserve"> 2</w:t>
      </w:r>
      <w:r>
        <w:rPr>
          <w:rFonts w:ascii="Times New Roman" w:hAnsi="仿宋_GB2312" w:eastAsia="仿宋_GB2312"/>
          <w:color w:val="000000"/>
          <w:kern w:val="2"/>
          <w:sz w:val="32"/>
          <w:szCs w:val="32"/>
        </w:rPr>
        <w:t>～</w:t>
      </w:r>
      <w:r>
        <w:rPr>
          <w:rFonts w:ascii="Times New Roman" w:eastAsia="仿宋_GB2312"/>
          <w:color w:val="000000"/>
          <w:kern w:val="2"/>
          <w:sz w:val="32"/>
          <w:szCs w:val="32"/>
        </w:rPr>
        <w:t xml:space="preserve">3 </w:t>
      </w:r>
      <w:r>
        <w:rPr>
          <w:rFonts w:ascii="Times New Roman" w:hAnsi="仿宋_GB2312" w:eastAsia="仿宋_GB2312"/>
          <w:color w:val="000000"/>
          <w:kern w:val="2"/>
          <w:sz w:val="32"/>
          <w:szCs w:val="32"/>
        </w:rPr>
        <w:t>次，间隔</w:t>
      </w:r>
      <w:r>
        <w:rPr>
          <w:rFonts w:ascii="Times New Roman" w:eastAsia="仿宋_GB2312"/>
          <w:color w:val="000000"/>
          <w:kern w:val="2"/>
          <w:sz w:val="32"/>
          <w:szCs w:val="32"/>
        </w:rPr>
        <w:t xml:space="preserve"> 7</w:t>
      </w:r>
      <w:r>
        <w:rPr>
          <w:rFonts w:ascii="Times New Roman" w:hAnsi="仿宋_GB2312" w:eastAsia="仿宋_GB2312"/>
          <w:color w:val="000000"/>
          <w:kern w:val="2"/>
          <w:sz w:val="32"/>
          <w:szCs w:val="32"/>
        </w:rPr>
        <w:t>～</w:t>
      </w:r>
      <w:r>
        <w:rPr>
          <w:rFonts w:ascii="Times New Roman" w:eastAsia="仿宋_GB2312"/>
          <w:color w:val="000000"/>
          <w:kern w:val="2"/>
          <w:sz w:val="32"/>
          <w:szCs w:val="32"/>
        </w:rPr>
        <w:t>10 d</w:t>
      </w:r>
      <w:r>
        <w:rPr>
          <w:rFonts w:ascii="Times New Roman" w:hAnsi="仿宋_GB2312" w:eastAsia="仿宋_GB2312"/>
          <w:color w:val="000000"/>
          <w:kern w:val="2"/>
          <w:sz w:val="32"/>
          <w:szCs w:val="32"/>
        </w:rPr>
        <w:t>，喷药时间选择阴天或晴天傍晚，如果虫口较多，可与绿僵菌配合使用，防效更好。也可在播种时拌土使用，拌土剂量为工程菌</w:t>
      </w:r>
      <w:r>
        <w:rPr>
          <w:rFonts w:ascii="Times New Roman" w:eastAsia="仿宋_GB2312"/>
          <w:color w:val="000000"/>
          <w:kern w:val="2"/>
          <w:sz w:val="32"/>
          <w:szCs w:val="32"/>
        </w:rPr>
        <w:t xml:space="preserve"> G033A 200</w:t>
      </w:r>
      <w:r>
        <w:rPr>
          <w:rFonts w:ascii="Times New Roman" w:hAnsi="仿宋_GB2312" w:eastAsia="仿宋_GB2312"/>
          <w:color w:val="000000"/>
          <w:kern w:val="2"/>
          <w:sz w:val="32"/>
          <w:szCs w:val="32"/>
        </w:rPr>
        <w:t>～</w:t>
      </w:r>
      <w:r>
        <w:rPr>
          <w:rFonts w:ascii="Times New Roman" w:eastAsia="仿宋_GB2312"/>
          <w:color w:val="000000"/>
          <w:kern w:val="2"/>
          <w:sz w:val="32"/>
          <w:szCs w:val="32"/>
        </w:rPr>
        <w:t>300 g</w:t>
      </w:r>
      <w:r>
        <w:rPr>
          <w:rFonts w:ascii="Times New Roman" w:hAnsi="仿宋_GB2312" w:eastAsia="仿宋_GB2312"/>
          <w:color w:val="000000"/>
          <w:kern w:val="2"/>
          <w:sz w:val="32"/>
          <w:szCs w:val="32"/>
        </w:rPr>
        <w:t>＋</w:t>
      </w:r>
      <w:r>
        <w:rPr>
          <w:rFonts w:ascii="Times New Roman" w:eastAsia="仿宋_GB2312"/>
          <w:color w:val="000000"/>
          <w:kern w:val="2"/>
          <w:sz w:val="32"/>
          <w:szCs w:val="32"/>
        </w:rPr>
        <w:t xml:space="preserve">5 kg </w:t>
      </w:r>
      <w:r>
        <w:rPr>
          <w:rFonts w:ascii="Times New Roman" w:hAnsi="仿宋_GB2312" w:eastAsia="仿宋_GB2312"/>
          <w:color w:val="000000"/>
          <w:kern w:val="2"/>
          <w:sz w:val="32"/>
          <w:szCs w:val="32"/>
        </w:rPr>
        <w:t>细土</w:t>
      </w:r>
      <w:r>
        <w:rPr>
          <w:rFonts w:ascii="Times New Roman" w:eastAsia="仿宋_GB2312"/>
          <w:color w:val="000000"/>
          <w:kern w:val="2"/>
          <w:sz w:val="32"/>
          <w:szCs w:val="32"/>
        </w:rPr>
        <w:t>/</w:t>
      </w:r>
      <w:r>
        <w:rPr>
          <w:rFonts w:ascii="Times New Roman" w:hAnsi="仿宋_GB2312" w:eastAsia="仿宋_GB2312"/>
          <w:color w:val="000000"/>
          <w:kern w:val="2"/>
          <w:sz w:val="32"/>
          <w:szCs w:val="32"/>
        </w:rPr>
        <w:t>亩，可有效杀死土壤中黄曲条跳甲幼虫</w:t>
      </w:r>
      <w:r>
        <w:rPr>
          <w:rFonts w:ascii="Times New Roman" w:eastAsia="仿宋_GB2312"/>
          <w:color w:val="000000"/>
          <w:kern w:val="2"/>
          <w:sz w:val="32"/>
          <w:szCs w:val="32"/>
          <w:vertAlign w:val="superscript"/>
        </w:rPr>
        <w:t>[1]</w:t>
      </w:r>
      <w:r>
        <w:rPr>
          <w:rFonts w:ascii="Times New Roman" w:hAnsi="仿宋_GB2312" w:eastAsia="仿宋_GB2312"/>
          <w:color w:val="000000"/>
          <w:kern w:val="2"/>
          <w:sz w:val="32"/>
          <w:szCs w:val="32"/>
        </w:rPr>
        <w:t>。</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hAnsi="仿宋_GB2312" w:eastAsia="仿宋_GB2312"/>
          <w:color w:val="000000"/>
          <w:kern w:val="2"/>
          <w:sz w:val="32"/>
          <w:szCs w:val="32"/>
        </w:rPr>
        <w:t>在湖北与云南两地开展了产品</w:t>
      </w:r>
      <w:r>
        <w:rPr>
          <w:rFonts w:ascii="Times New Roman" w:eastAsia="仿宋_GB2312"/>
          <w:color w:val="000000"/>
          <w:kern w:val="2"/>
          <w:sz w:val="32"/>
          <w:szCs w:val="32"/>
        </w:rPr>
        <w:t xml:space="preserve">G033A </w:t>
      </w:r>
      <w:r>
        <w:rPr>
          <w:rFonts w:ascii="Times New Roman" w:hAnsi="仿宋_GB2312" w:eastAsia="仿宋_GB2312"/>
          <w:color w:val="000000"/>
          <w:kern w:val="2"/>
          <w:sz w:val="32"/>
          <w:szCs w:val="32"/>
        </w:rPr>
        <w:t>对萝卜黄曲条跳甲的田间药效，防效分别可达</w:t>
      </w:r>
      <w:r>
        <w:rPr>
          <w:rFonts w:ascii="Times New Roman" w:eastAsia="仿宋_GB2312"/>
          <w:color w:val="000000"/>
          <w:kern w:val="2"/>
          <w:sz w:val="32"/>
          <w:szCs w:val="32"/>
        </w:rPr>
        <w:t xml:space="preserve"> 85.6%</w:t>
      </w:r>
      <w:r>
        <w:rPr>
          <w:rFonts w:ascii="Times New Roman" w:hAnsi="仿宋_GB2312" w:eastAsia="仿宋_GB2312"/>
          <w:color w:val="000000"/>
          <w:kern w:val="2"/>
          <w:sz w:val="32"/>
          <w:szCs w:val="32"/>
        </w:rPr>
        <w:t>和</w:t>
      </w:r>
      <w:r>
        <w:rPr>
          <w:rFonts w:ascii="Times New Roman" w:eastAsia="仿宋_GB2312"/>
          <w:color w:val="000000"/>
          <w:kern w:val="2"/>
          <w:sz w:val="32"/>
          <w:szCs w:val="32"/>
        </w:rPr>
        <w:t xml:space="preserve"> 89.2%</w:t>
      </w:r>
      <w:r>
        <w:rPr>
          <w:rFonts w:ascii="Times New Roman" w:hAnsi="仿宋_GB2312" w:eastAsia="仿宋_GB2312"/>
          <w:color w:val="000000"/>
          <w:kern w:val="2"/>
          <w:sz w:val="32"/>
          <w:szCs w:val="32"/>
        </w:rPr>
        <w:t>，且对萝卜均表现安全</w:t>
      </w:r>
      <w:r>
        <w:rPr>
          <w:rFonts w:ascii="Times New Roman" w:eastAsia="仿宋_GB2312"/>
          <w:color w:val="000000"/>
          <w:kern w:val="2"/>
          <w:sz w:val="32"/>
          <w:szCs w:val="32"/>
          <w:vertAlign w:val="superscript"/>
        </w:rPr>
        <w:t>[2]</w:t>
      </w:r>
      <w:r>
        <w:rPr>
          <w:rFonts w:ascii="Times New Roman" w:hAnsi="仿宋_GB2312" w:eastAsia="仿宋_GB2312"/>
          <w:color w:val="000000"/>
          <w:kern w:val="2"/>
          <w:sz w:val="32"/>
          <w:szCs w:val="32"/>
        </w:rPr>
        <w:t>。</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hAnsi="仿宋_GB2312" w:eastAsia="仿宋_GB2312"/>
          <w:color w:val="000000"/>
          <w:kern w:val="2"/>
          <w:sz w:val="32"/>
          <w:szCs w:val="32"/>
        </w:rPr>
        <w:t>在山西省进行了</w:t>
      </w:r>
      <w:r>
        <w:rPr>
          <w:rFonts w:ascii="Times New Roman" w:eastAsia="仿宋_GB2312"/>
          <w:color w:val="000000"/>
          <w:kern w:val="2"/>
          <w:sz w:val="32"/>
          <w:szCs w:val="32"/>
        </w:rPr>
        <w:t xml:space="preserve"> G033A </w:t>
      </w:r>
      <w:r>
        <w:rPr>
          <w:rFonts w:ascii="Times New Roman" w:hAnsi="仿宋_GB2312" w:eastAsia="仿宋_GB2312"/>
          <w:color w:val="000000"/>
          <w:kern w:val="2"/>
          <w:sz w:val="32"/>
          <w:szCs w:val="32"/>
        </w:rPr>
        <w:t>对萝卜黄曲条跳甲田间试验，结果表明，</w:t>
      </w:r>
      <w:r>
        <w:rPr>
          <w:rFonts w:ascii="Times New Roman" w:eastAsia="仿宋_GB2312"/>
          <w:color w:val="000000"/>
          <w:kern w:val="2"/>
          <w:sz w:val="32"/>
          <w:szCs w:val="32"/>
        </w:rPr>
        <w:t>100</w:t>
      </w:r>
      <w:r>
        <w:rPr>
          <w:rFonts w:ascii="Times New Roman" w:hAnsi="仿宋_GB2312" w:eastAsia="仿宋_GB2312"/>
          <w:color w:val="000000"/>
          <w:kern w:val="2"/>
          <w:sz w:val="32"/>
          <w:szCs w:val="32"/>
        </w:rPr>
        <w:t>、</w:t>
      </w:r>
      <w:r>
        <w:rPr>
          <w:rFonts w:ascii="Times New Roman" w:eastAsia="仿宋_GB2312"/>
          <w:color w:val="000000"/>
          <w:kern w:val="2"/>
          <w:sz w:val="32"/>
          <w:szCs w:val="32"/>
        </w:rPr>
        <w:t>150</w:t>
      </w:r>
      <w:r>
        <w:rPr>
          <w:rFonts w:ascii="Times New Roman" w:hAnsi="仿宋_GB2312" w:eastAsia="仿宋_GB2312"/>
          <w:color w:val="000000"/>
          <w:kern w:val="2"/>
          <w:sz w:val="32"/>
          <w:szCs w:val="32"/>
        </w:rPr>
        <w:t>、</w:t>
      </w:r>
      <w:r>
        <w:rPr>
          <w:rFonts w:ascii="Times New Roman" w:eastAsia="仿宋_GB2312"/>
          <w:color w:val="000000"/>
          <w:kern w:val="2"/>
          <w:sz w:val="32"/>
          <w:szCs w:val="32"/>
        </w:rPr>
        <w:t>200 g/</w:t>
      </w:r>
      <w:r>
        <w:rPr>
          <w:rFonts w:ascii="Times New Roman" w:hAnsi="仿宋_GB2312" w:eastAsia="仿宋_GB2312"/>
          <w:color w:val="000000"/>
          <w:kern w:val="2"/>
          <w:sz w:val="32"/>
          <w:szCs w:val="32"/>
        </w:rPr>
        <w:t>亩用量下，药后</w:t>
      </w:r>
      <w:r>
        <w:rPr>
          <w:rFonts w:ascii="Times New Roman" w:eastAsia="仿宋_GB2312"/>
          <w:color w:val="000000"/>
          <w:kern w:val="2"/>
          <w:sz w:val="32"/>
          <w:szCs w:val="32"/>
        </w:rPr>
        <w:t xml:space="preserve"> 7 d </w:t>
      </w:r>
      <w:r>
        <w:rPr>
          <w:rFonts w:ascii="Times New Roman" w:hAnsi="仿宋_GB2312" w:eastAsia="仿宋_GB2312"/>
          <w:color w:val="000000"/>
          <w:kern w:val="2"/>
          <w:sz w:val="32"/>
          <w:szCs w:val="32"/>
        </w:rPr>
        <w:t>防效分别为</w:t>
      </w:r>
      <w:r>
        <w:rPr>
          <w:rFonts w:ascii="Times New Roman" w:eastAsia="仿宋_GB2312"/>
          <w:color w:val="000000"/>
          <w:kern w:val="2"/>
          <w:sz w:val="32"/>
          <w:szCs w:val="32"/>
        </w:rPr>
        <w:t xml:space="preserve"> 72.4%</w:t>
      </w:r>
      <w:r>
        <w:rPr>
          <w:rFonts w:ascii="Times New Roman" w:hAnsi="仿宋_GB2312" w:eastAsia="仿宋_GB2312"/>
          <w:color w:val="000000"/>
          <w:kern w:val="2"/>
          <w:sz w:val="32"/>
          <w:szCs w:val="32"/>
        </w:rPr>
        <w:t>、</w:t>
      </w:r>
      <w:r>
        <w:rPr>
          <w:rFonts w:ascii="Times New Roman" w:eastAsia="仿宋_GB2312"/>
          <w:color w:val="000000"/>
          <w:kern w:val="2"/>
          <w:sz w:val="32"/>
          <w:szCs w:val="32"/>
        </w:rPr>
        <w:t>85.6%</w:t>
      </w:r>
      <w:r>
        <w:rPr>
          <w:rFonts w:ascii="Times New Roman" w:hAnsi="仿宋_GB2312" w:eastAsia="仿宋_GB2312"/>
          <w:color w:val="000000"/>
          <w:kern w:val="2"/>
          <w:sz w:val="32"/>
          <w:szCs w:val="32"/>
        </w:rPr>
        <w:t>和</w:t>
      </w:r>
      <w:r>
        <w:rPr>
          <w:rFonts w:ascii="Times New Roman" w:eastAsia="仿宋_GB2312"/>
          <w:color w:val="000000"/>
          <w:kern w:val="2"/>
          <w:sz w:val="32"/>
          <w:szCs w:val="32"/>
        </w:rPr>
        <w:t xml:space="preserve"> 87.4%</w:t>
      </w:r>
      <w:r>
        <w:rPr>
          <w:rFonts w:ascii="Times New Roman" w:hAnsi="仿宋_GB2312" w:eastAsia="仿宋_GB2312"/>
          <w:color w:val="000000"/>
          <w:kern w:val="2"/>
          <w:sz w:val="32"/>
          <w:szCs w:val="32"/>
        </w:rPr>
        <w:t>，其中，</w:t>
      </w:r>
      <w:r>
        <w:rPr>
          <w:rFonts w:ascii="Times New Roman" w:eastAsia="仿宋_GB2312"/>
          <w:color w:val="000000"/>
          <w:kern w:val="2"/>
          <w:sz w:val="32"/>
          <w:szCs w:val="32"/>
        </w:rPr>
        <w:t>150</w:t>
      </w:r>
      <w:r>
        <w:rPr>
          <w:rFonts w:ascii="Times New Roman" w:hAnsi="仿宋_GB2312" w:eastAsia="仿宋_GB2312"/>
          <w:color w:val="000000"/>
          <w:kern w:val="2"/>
          <w:sz w:val="32"/>
          <w:szCs w:val="32"/>
        </w:rPr>
        <w:t>～</w:t>
      </w:r>
      <w:r>
        <w:rPr>
          <w:rFonts w:ascii="Times New Roman" w:eastAsia="仿宋_GB2312"/>
          <w:color w:val="000000"/>
          <w:kern w:val="2"/>
          <w:sz w:val="32"/>
          <w:szCs w:val="32"/>
        </w:rPr>
        <w:t>200 g/</w:t>
      </w:r>
      <w:r>
        <w:rPr>
          <w:rFonts w:ascii="Times New Roman" w:hAnsi="仿宋_GB2312" w:eastAsia="仿宋_GB2312"/>
          <w:color w:val="000000"/>
          <w:kern w:val="2"/>
          <w:sz w:val="32"/>
          <w:szCs w:val="32"/>
        </w:rPr>
        <w:t>亩用量下的防效显著高于对照药剂</w:t>
      </w:r>
      <w:r>
        <w:rPr>
          <w:rFonts w:ascii="Times New Roman" w:eastAsia="仿宋_GB2312"/>
          <w:color w:val="000000"/>
          <w:kern w:val="2"/>
          <w:sz w:val="32"/>
          <w:szCs w:val="32"/>
        </w:rPr>
        <w:t xml:space="preserve"> 5%</w:t>
      </w:r>
      <w:r>
        <w:rPr>
          <w:rFonts w:ascii="Times New Roman" w:hAnsi="仿宋_GB2312" w:eastAsia="仿宋_GB2312"/>
          <w:color w:val="000000"/>
          <w:kern w:val="2"/>
          <w:sz w:val="32"/>
          <w:szCs w:val="32"/>
        </w:rPr>
        <w:t>啶虫脒乳油</w:t>
      </w:r>
      <w:r>
        <w:rPr>
          <w:rFonts w:ascii="Times New Roman" w:eastAsia="仿宋_GB2312"/>
          <w:color w:val="000000"/>
          <w:kern w:val="2"/>
          <w:sz w:val="32"/>
          <w:szCs w:val="32"/>
          <w:vertAlign w:val="superscript"/>
        </w:rPr>
        <w:t>[3]</w:t>
      </w:r>
      <w:r>
        <w:rPr>
          <w:rFonts w:ascii="Times New Roman" w:hAnsi="仿宋_GB2312" w:eastAsia="仿宋_GB2312"/>
          <w:color w:val="000000"/>
          <w:kern w:val="2"/>
          <w:sz w:val="32"/>
          <w:szCs w:val="32"/>
        </w:rPr>
        <w:t>。</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eastAsia="仿宋_GB2312"/>
          <w:color w:val="000000"/>
          <w:kern w:val="2"/>
          <w:sz w:val="32"/>
          <w:szCs w:val="32"/>
        </w:rPr>
        <w:t xml:space="preserve">2019 </w:t>
      </w:r>
      <w:r>
        <w:rPr>
          <w:rFonts w:ascii="Times New Roman" w:hAnsi="仿宋_GB2312" w:eastAsia="仿宋_GB2312"/>
          <w:color w:val="000000"/>
          <w:kern w:val="2"/>
          <w:sz w:val="32"/>
          <w:szCs w:val="32"/>
        </w:rPr>
        <w:t>年，在湖北枝江进行大面积田间示范，发现每亩</w:t>
      </w:r>
      <w:r>
        <w:rPr>
          <w:rFonts w:ascii="Times New Roman" w:eastAsia="仿宋_GB2312"/>
          <w:color w:val="000000"/>
          <w:kern w:val="2"/>
          <w:sz w:val="32"/>
          <w:szCs w:val="32"/>
        </w:rPr>
        <w:t xml:space="preserve"> 300 g </w:t>
      </w:r>
      <w:r>
        <w:rPr>
          <w:rFonts w:ascii="Times New Roman" w:hAnsi="仿宋_GB2312" w:eastAsia="仿宋_GB2312"/>
          <w:color w:val="000000"/>
          <w:kern w:val="2"/>
          <w:sz w:val="32"/>
          <w:szCs w:val="32"/>
        </w:rPr>
        <w:t>土壤处理防治效果显著优于对照化学药剂，且持效期较长，具有明显的减药、省力、降成本作用；同时他们发现，全程生物防控技术不仅防治效果好，且较常规化学防治技术增产达到</w:t>
      </w:r>
      <w:r>
        <w:rPr>
          <w:rFonts w:ascii="Times New Roman" w:eastAsia="仿宋_GB2312"/>
          <w:color w:val="000000"/>
          <w:kern w:val="2"/>
          <w:sz w:val="32"/>
          <w:szCs w:val="32"/>
        </w:rPr>
        <w:t xml:space="preserve"> 14.8%</w:t>
      </w:r>
      <w:r>
        <w:rPr>
          <w:rFonts w:ascii="Times New Roman" w:hAnsi="仿宋_GB2312" w:eastAsia="仿宋_GB2312"/>
          <w:color w:val="000000"/>
          <w:kern w:val="2"/>
          <w:sz w:val="32"/>
          <w:szCs w:val="32"/>
        </w:rPr>
        <w:t>，品质得到了提升，商品优良率提高了</w:t>
      </w:r>
      <w:r>
        <w:rPr>
          <w:rFonts w:ascii="Times New Roman" w:eastAsia="仿宋_GB2312"/>
          <w:color w:val="000000"/>
          <w:kern w:val="2"/>
          <w:sz w:val="32"/>
          <w:szCs w:val="32"/>
        </w:rPr>
        <w:t xml:space="preserve"> 12%</w:t>
      </w:r>
      <w:r>
        <w:rPr>
          <w:rFonts w:ascii="Times New Roman" w:eastAsia="仿宋_GB2312"/>
          <w:color w:val="000000"/>
          <w:kern w:val="2"/>
          <w:sz w:val="32"/>
          <w:szCs w:val="32"/>
          <w:vertAlign w:val="superscript"/>
        </w:rPr>
        <w:t>[4]</w:t>
      </w:r>
      <w:r>
        <w:rPr>
          <w:rFonts w:ascii="Times New Roman" w:hAnsi="仿宋_GB2312" w:eastAsia="仿宋_GB2312"/>
          <w:color w:val="000000"/>
          <w:kern w:val="2"/>
          <w:sz w:val="32"/>
          <w:szCs w:val="32"/>
        </w:rPr>
        <w:t>。</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eastAsia="仿宋_GB2312"/>
          <w:color w:val="000000"/>
          <w:kern w:val="2"/>
          <w:sz w:val="32"/>
          <w:szCs w:val="32"/>
        </w:rPr>
        <w:t>2020</w:t>
      </w:r>
      <w:r>
        <w:rPr>
          <w:rFonts w:ascii="Times New Roman" w:hAnsi="仿宋_GB2312" w:eastAsia="仿宋_GB2312"/>
          <w:color w:val="000000"/>
          <w:kern w:val="2"/>
          <w:sz w:val="32"/>
          <w:szCs w:val="32"/>
        </w:rPr>
        <w:t>年</w:t>
      </w:r>
      <w:r>
        <w:rPr>
          <w:rFonts w:ascii="Times New Roman" w:eastAsia="仿宋_GB2312"/>
          <w:color w:val="000000"/>
          <w:kern w:val="2"/>
          <w:sz w:val="32"/>
          <w:szCs w:val="32"/>
        </w:rPr>
        <w:t xml:space="preserve"> 8—9 </w:t>
      </w:r>
      <w:r>
        <w:rPr>
          <w:rFonts w:ascii="Times New Roman" w:hAnsi="仿宋_GB2312" w:eastAsia="仿宋_GB2312"/>
          <w:color w:val="000000"/>
          <w:kern w:val="2"/>
          <w:sz w:val="32"/>
          <w:szCs w:val="32"/>
        </w:rPr>
        <w:t>月，在安徽合肥进行了</w:t>
      </w:r>
      <w:r>
        <w:rPr>
          <w:rFonts w:ascii="Times New Roman" w:eastAsia="仿宋_GB2312"/>
          <w:color w:val="000000"/>
          <w:kern w:val="2"/>
          <w:sz w:val="32"/>
          <w:szCs w:val="32"/>
        </w:rPr>
        <w:t xml:space="preserve"> G033A </w:t>
      </w:r>
      <w:r>
        <w:rPr>
          <w:rFonts w:ascii="Times New Roman" w:hAnsi="仿宋_GB2312" w:eastAsia="仿宋_GB2312"/>
          <w:color w:val="000000"/>
          <w:kern w:val="2"/>
          <w:sz w:val="32"/>
          <w:szCs w:val="32"/>
        </w:rPr>
        <w:t>对小白菜黄曲条跳甲的防治试验，结果显示</w:t>
      </w:r>
      <w:r>
        <w:rPr>
          <w:rFonts w:ascii="Times New Roman" w:eastAsia="仿宋_GB2312"/>
          <w:color w:val="000000"/>
          <w:kern w:val="2"/>
          <w:sz w:val="32"/>
          <w:szCs w:val="32"/>
        </w:rPr>
        <w:t xml:space="preserve"> 150 g/</w:t>
      </w:r>
      <w:r>
        <w:rPr>
          <w:rFonts w:ascii="Times New Roman" w:hAnsi="仿宋_GB2312" w:eastAsia="仿宋_GB2312"/>
          <w:color w:val="000000"/>
          <w:kern w:val="2"/>
          <w:sz w:val="32"/>
          <w:szCs w:val="32"/>
        </w:rPr>
        <w:t>亩用量下</w:t>
      </w:r>
      <w:r>
        <w:rPr>
          <w:rFonts w:ascii="Times New Roman" w:eastAsia="仿宋_GB2312"/>
          <w:color w:val="000000"/>
          <w:kern w:val="2"/>
          <w:sz w:val="32"/>
          <w:szCs w:val="32"/>
        </w:rPr>
        <w:t xml:space="preserve"> G033A </w:t>
      </w:r>
      <w:r>
        <w:rPr>
          <w:rFonts w:ascii="Times New Roman" w:hAnsi="仿宋_GB2312" w:eastAsia="仿宋_GB2312"/>
          <w:color w:val="000000"/>
          <w:kern w:val="2"/>
          <w:sz w:val="32"/>
          <w:szCs w:val="32"/>
        </w:rPr>
        <w:t>对土壤中黄曲条跳甲幼虫的防治效果能达到</w:t>
      </w:r>
      <w:r>
        <w:rPr>
          <w:rFonts w:ascii="Times New Roman" w:eastAsia="仿宋_GB2312"/>
          <w:color w:val="000000"/>
          <w:kern w:val="2"/>
          <w:sz w:val="32"/>
          <w:szCs w:val="32"/>
        </w:rPr>
        <w:t xml:space="preserve"> 80%</w:t>
      </w:r>
      <w:r>
        <w:rPr>
          <w:rFonts w:ascii="Times New Roman" w:hAnsi="仿宋_GB2312" w:eastAsia="仿宋_GB2312"/>
          <w:color w:val="000000"/>
          <w:kern w:val="2"/>
          <w:sz w:val="32"/>
          <w:szCs w:val="32"/>
        </w:rPr>
        <w:t>以上；土壤处理加叶面喷施的情况下对黄曲条跳甲成虫的防效亦可达到</w:t>
      </w:r>
      <w:r>
        <w:rPr>
          <w:rFonts w:ascii="Times New Roman" w:eastAsia="仿宋_GB2312"/>
          <w:color w:val="000000"/>
          <w:kern w:val="2"/>
          <w:sz w:val="32"/>
          <w:szCs w:val="32"/>
        </w:rPr>
        <w:t xml:space="preserve"> 80%</w:t>
      </w:r>
      <w:r>
        <w:rPr>
          <w:rFonts w:ascii="Times New Roman" w:hAnsi="仿宋_GB2312" w:eastAsia="仿宋_GB2312"/>
          <w:color w:val="000000"/>
          <w:kern w:val="2"/>
          <w:sz w:val="32"/>
          <w:szCs w:val="32"/>
        </w:rPr>
        <w:t>；</w:t>
      </w:r>
      <w:r>
        <w:rPr>
          <w:rFonts w:ascii="Times New Roman" w:eastAsia="仿宋_GB2312"/>
          <w:color w:val="000000"/>
          <w:kern w:val="2"/>
          <w:sz w:val="32"/>
          <w:szCs w:val="32"/>
        </w:rPr>
        <w:t xml:space="preserve">G033A </w:t>
      </w:r>
      <w:r>
        <w:rPr>
          <w:rFonts w:ascii="Times New Roman" w:hAnsi="仿宋_GB2312" w:eastAsia="仿宋_GB2312"/>
          <w:color w:val="000000"/>
          <w:kern w:val="2"/>
          <w:sz w:val="32"/>
          <w:szCs w:val="32"/>
        </w:rPr>
        <w:t>与金龟子绿僵菌</w:t>
      </w:r>
      <w:r>
        <w:rPr>
          <w:rFonts w:ascii="Times New Roman" w:eastAsia="仿宋_GB2312"/>
          <w:color w:val="000000"/>
          <w:kern w:val="2"/>
          <w:sz w:val="32"/>
          <w:szCs w:val="32"/>
        </w:rPr>
        <w:t xml:space="preserve"> CQMa421</w:t>
      </w:r>
      <w:r>
        <w:rPr>
          <w:rFonts w:ascii="Times New Roman" w:hAnsi="仿宋_GB2312" w:eastAsia="仿宋_GB2312"/>
          <w:color w:val="000000"/>
          <w:kern w:val="2"/>
          <w:sz w:val="32"/>
          <w:szCs w:val="32"/>
        </w:rPr>
        <w:t>（聚立信公司）联合使用，在喷施后</w:t>
      </w:r>
      <w:r>
        <w:rPr>
          <w:rFonts w:ascii="Times New Roman" w:eastAsia="仿宋_GB2312"/>
          <w:color w:val="000000"/>
          <w:kern w:val="2"/>
          <w:sz w:val="32"/>
          <w:szCs w:val="32"/>
        </w:rPr>
        <w:t xml:space="preserve"> 9 d </w:t>
      </w:r>
      <w:r>
        <w:rPr>
          <w:rFonts w:ascii="Times New Roman" w:hAnsi="仿宋_GB2312" w:eastAsia="仿宋_GB2312"/>
          <w:color w:val="000000"/>
          <w:kern w:val="2"/>
          <w:sz w:val="32"/>
          <w:szCs w:val="32"/>
        </w:rPr>
        <w:t>防效可达</w:t>
      </w:r>
      <w:r>
        <w:rPr>
          <w:rFonts w:ascii="Times New Roman" w:eastAsia="仿宋_GB2312"/>
          <w:color w:val="000000"/>
          <w:kern w:val="2"/>
          <w:sz w:val="32"/>
          <w:szCs w:val="32"/>
        </w:rPr>
        <w:t xml:space="preserve"> 90%</w:t>
      </w:r>
      <w:r>
        <w:rPr>
          <w:rFonts w:ascii="Times New Roman" w:hAnsi="仿宋_GB2312" w:eastAsia="仿宋_GB2312"/>
          <w:color w:val="000000"/>
          <w:kern w:val="2"/>
          <w:sz w:val="32"/>
          <w:szCs w:val="32"/>
        </w:rPr>
        <w:t>以上</w:t>
      </w:r>
      <w:r>
        <w:rPr>
          <w:rFonts w:ascii="Times New Roman" w:eastAsia="仿宋_GB2312"/>
          <w:color w:val="000000"/>
          <w:kern w:val="2"/>
          <w:sz w:val="32"/>
          <w:szCs w:val="32"/>
          <w:vertAlign w:val="superscript"/>
        </w:rPr>
        <w:t>[1]</w:t>
      </w:r>
      <w:r>
        <w:rPr>
          <w:rFonts w:ascii="Times New Roman" w:hAnsi="仿宋_GB2312" w:eastAsia="仿宋_GB2312"/>
          <w:color w:val="000000"/>
          <w:kern w:val="2"/>
          <w:sz w:val="32"/>
          <w:szCs w:val="32"/>
        </w:rPr>
        <w:t>。</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hAnsi="仿宋_GB2312" w:eastAsia="仿宋_GB2312"/>
          <w:color w:val="000000"/>
          <w:kern w:val="2"/>
          <w:sz w:val="32"/>
          <w:szCs w:val="32"/>
        </w:rPr>
        <w:t>在河北省衡水市武邑县武罗农产品种植专业合作社，采用</w:t>
      </w:r>
      <w:r>
        <w:rPr>
          <w:rFonts w:ascii="Times New Roman" w:eastAsia="仿宋_GB2312"/>
          <w:color w:val="000000"/>
          <w:kern w:val="2"/>
          <w:sz w:val="32"/>
          <w:szCs w:val="32"/>
        </w:rPr>
        <w:t>G033A</w:t>
      </w:r>
      <w:r>
        <w:rPr>
          <w:rFonts w:ascii="Times New Roman" w:hAnsi="仿宋_GB2312" w:eastAsia="仿宋_GB2312"/>
          <w:color w:val="000000"/>
          <w:kern w:val="2"/>
          <w:sz w:val="32"/>
          <w:szCs w:val="32"/>
        </w:rPr>
        <w:t>对萝卜黄曲条跳甲进行防治试验，结果显示</w:t>
      </w:r>
      <w:r>
        <w:rPr>
          <w:rFonts w:ascii="Times New Roman" w:eastAsia="仿宋_GB2312"/>
          <w:color w:val="000000"/>
          <w:kern w:val="2"/>
          <w:sz w:val="32"/>
          <w:szCs w:val="32"/>
        </w:rPr>
        <w:t>200 g/</w:t>
      </w:r>
      <w:r>
        <w:rPr>
          <w:rFonts w:ascii="Times New Roman" w:hAnsi="仿宋_GB2312" w:eastAsia="仿宋_GB2312"/>
          <w:color w:val="000000"/>
          <w:kern w:val="2"/>
          <w:sz w:val="32"/>
          <w:szCs w:val="32"/>
        </w:rPr>
        <w:t>亩用量下</w:t>
      </w:r>
      <w:r>
        <w:rPr>
          <w:rFonts w:ascii="Times New Roman" w:eastAsia="仿宋_GB2312"/>
          <w:color w:val="000000"/>
          <w:kern w:val="2"/>
          <w:sz w:val="32"/>
          <w:szCs w:val="32"/>
        </w:rPr>
        <w:t xml:space="preserve"> G033A </w:t>
      </w:r>
      <w:r>
        <w:rPr>
          <w:rFonts w:ascii="Times New Roman" w:hAnsi="仿宋_GB2312" w:eastAsia="仿宋_GB2312"/>
          <w:color w:val="000000"/>
          <w:kern w:val="2"/>
          <w:sz w:val="32"/>
          <w:szCs w:val="32"/>
        </w:rPr>
        <w:t>对土壤中黄曲条跳甲幼虫的防治效果能达到</w:t>
      </w:r>
      <w:r>
        <w:rPr>
          <w:rFonts w:ascii="Times New Roman" w:eastAsia="仿宋_GB2312"/>
          <w:color w:val="000000"/>
          <w:kern w:val="2"/>
          <w:sz w:val="32"/>
          <w:szCs w:val="32"/>
        </w:rPr>
        <w:t xml:space="preserve"> 80%</w:t>
      </w:r>
      <w:r>
        <w:rPr>
          <w:rFonts w:ascii="Times New Roman" w:hAnsi="仿宋_GB2312" w:eastAsia="仿宋_GB2312"/>
          <w:color w:val="000000"/>
          <w:kern w:val="2"/>
          <w:sz w:val="32"/>
          <w:szCs w:val="32"/>
        </w:rPr>
        <w:t>以上。</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hAnsi="仿宋_GB2312" w:eastAsia="仿宋_GB2312"/>
          <w:color w:val="000000"/>
          <w:kern w:val="2"/>
          <w:sz w:val="32"/>
          <w:szCs w:val="32"/>
        </w:rPr>
        <w:t>以上参考文献如下：</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eastAsia="仿宋_GB2312"/>
          <w:color w:val="000000"/>
          <w:kern w:val="2"/>
          <w:sz w:val="32"/>
          <w:szCs w:val="32"/>
        </w:rPr>
        <w:t xml:space="preserve">[1] </w:t>
      </w:r>
      <w:r>
        <w:rPr>
          <w:rFonts w:ascii="Times New Roman" w:hAnsi="仿宋_GB2312" w:eastAsia="仿宋_GB2312"/>
          <w:color w:val="000000"/>
          <w:kern w:val="2"/>
          <w:sz w:val="32"/>
          <w:szCs w:val="32"/>
        </w:rPr>
        <w:t>王宇航</w:t>
      </w:r>
      <w:r>
        <w:rPr>
          <w:rFonts w:ascii="Times New Roman" w:eastAsia="仿宋_GB2312"/>
          <w:color w:val="000000"/>
          <w:kern w:val="2"/>
          <w:sz w:val="32"/>
          <w:szCs w:val="32"/>
        </w:rPr>
        <w:t>,</w:t>
      </w:r>
      <w:r>
        <w:rPr>
          <w:rFonts w:ascii="Times New Roman" w:eastAsia="仿宋_GB2312"/>
          <w:color w:val="FF0000"/>
          <w:kern w:val="2"/>
          <w:sz w:val="32"/>
          <w:szCs w:val="32"/>
        </w:rPr>
        <w:t xml:space="preserve"> </w:t>
      </w:r>
      <w:r>
        <w:rPr>
          <w:rFonts w:ascii="Times New Roman" w:hAnsi="仿宋_GB2312" w:eastAsia="仿宋_GB2312"/>
          <w:kern w:val="2"/>
          <w:sz w:val="32"/>
          <w:szCs w:val="32"/>
        </w:rPr>
        <w:t>束长龙</w:t>
      </w:r>
      <w:r>
        <w:rPr>
          <w:rFonts w:ascii="Times New Roman" w:eastAsia="仿宋_GB2312"/>
          <w:color w:val="000000"/>
          <w:kern w:val="2"/>
          <w:sz w:val="32"/>
          <w:szCs w:val="32"/>
        </w:rPr>
        <w:t xml:space="preserve">, </w:t>
      </w:r>
      <w:r>
        <w:rPr>
          <w:rFonts w:ascii="Times New Roman" w:hAnsi="仿宋_GB2312" w:eastAsia="仿宋_GB2312"/>
          <w:color w:val="000000"/>
          <w:kern w:val="2"/>
          <w:sz w:val="32"/>
          <w:szCs w:val="32"/>
        </w:rPr>
        <w:t>耿丽丽</w:t>
      </w:r>
      <w:r>
        <w:rPr>
          <w:rFonts w:ascii="Times New Roman" w:eastAsia="仿宋_GB2312"/>
          <w:color w:val="000000"/>
          <w:kern w:val="2"/>
          <w:sz w:val="32"/>
          <w:szCs w:val="32"/>
        </w:rPr>
        <w:t xml:space="preserve">, </w:t>
      </w:r>
      <w:r>
        <w:rPr>
          <w:rFonts w:ascii="Times New Roman" w:hAnsi="仿宋_GB2312" w:eastAsia="仿宋_GB2312"/>
          <w:color w:val="000000"/>
          <w:kern w:val="2"/>
          <w:sz w:val="32"/>
          <w:szCs w:val="32"/>
        </w:rPr>
        <w:t>等</w:t>
      </w:r>
      <w:r>
        <w:rPr>
          <w:rFonts w:ascii="Times New Roman" w:eastAsia="仿宋_GB2312"/>
          <w:color w:val="000000"/>
          <w:kern w:val="2"/>
          <w:sz w:val="32"/>
          <w:szCs w:val="32"/>
        </w:rPr>
        <w:t xml:space="preserve">. </w:t>
      </w:r>
      <w:r>
        <w:rPr>
          <w:rFonts w:ascii="Times New Roman" w:hAnsi="仿宋_GB2312" w:eastAsia="仿宋_GB2312"/>
          <w:color w:val="000000"/>
          <w:kern w:val="2"/>
          <w:sz w:val="32"/>
          <w:szCs w:val="32"/>
        </w:rPr>
        <w:t>苏云金芽胞杆菌</w:t>
      </w:r>
      <w:r>
        <w:rPr>
          <w:rFonts w:ascii="Times New Roman" w:eastAsia="仿宋_GB2312"/>
          <w:color w:val="000000"/>
          <w:kern w:val="2"/>
          <w:sz w:val="32"/>
          <w:szCs w:val="32"/>
        </w:rPr>
        <w:t>G033A</w:t>
      </w:r>
      <w:r>
        <w:rPr>
          <w:rFonts w:ascii="Times New Roman" w:hAnsi="仿宋_GB2312" w:eastAsia="仿宋_GB2312"/>
          <w:color w:val="000000"/>
          <w:kern w:val="2"/>
          <w:sz w:val="32"/>
          <w:szCs w:val="32"/>
        </w:rPr>
        <w:t>产业化现状及应用前景分析</w:t>
      </w:r>
      <w:r>
        <w:rPr>
          <w:rFonts w:ascii="Times New Roman" w:eastAsia="仿宋_GB2312"/>
          <w:color w:val="000000"/>
          <w:kern w:val="2"/>
          <w:sz w:val="32"/>
          <w:szCs w:val="32"/>
        </w:rPr>
        <w:t xml:space="preserve">[J]. </w:t>
      </w:r>
      <w:r>
        <w:rPr>
          <w:rFonts w:ascii="Times New Roman" w:hAnsi="仿宋_GB2312" w:eastAsia="仿宋_GB2312"/>
          <w:color w:val="000000"/>
          <w:kern w:val="2"/>
          <w:sz w:val="32"/>
          <w:szCs w:val="32"/>
        </w:rPr>
        <w:t>中国生物防治学报</w:t>
      </w:r>
      <w:r>
        <w:rPr>
          <w:rFonts w:ascii="Times New Roman" w:eastAsia="仿宋_GB2312"/>
          <w:color w:val="000000"/>
          <w:kern w:val="2"/>
          <w:sz w:val="32"/>
          <w:szCs w:val="32"/>
        </w:rPr>
        <w:t>, 2020, 36(6): 837-841.</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eastAsia="仿宋_GB2312"/>
          <w:color w:val="000000"/>
          <w:kern w:val="2"/>
          <w:sz w:val="32"/>
          <w:szCs w:val="32"/>
        </w:rPr>
        <w:t>[2]</w:t>
      </w:r>
      <w:r>
        <w:rPr>
          <w:rFonts w:ascii="Times New Roman" w:hAnsi="仿宋_GB2312" w:eastAsia="仿宋_GB2312"/>
          <w:color w:val="000000"/>
          <w:kern w:val="2"/>
          <w:sz w:val="32"/>
          <w:szCs w:val="32"/>
        </w:rPr>
        <w:t>方国斌</w:t>
      </w:r>
      <w:r>
        <w:rPr>
          <w:rFonts w:ascii="Times New Roman" w:eastAsia="仿宋_GB2312"/>
          <w:color w:val="000000"/>
          <w:kern w:val="2"/>
          <w:sz w:val="32"/>
          <w:szCs w:val="32"/>
        </w:rPr>
        <w:t xml:space="preserve">, </w:t>
      </w:r>
      <w:r>
        <w:rPr>
          <w:rFonts w:ascii="Times New Roman" w:hAnsi="仿宋_GB2312" w:eastAsia="仿宋_GB2312"/>
          <w:color w:val="000000"/>
          <w:kern w:val="2"/>
          <w:sz w:val="32"/>
          <w:szCs w:val="32"/>
        </w:rPr>
        <w:t>王攀</w:t>
      </w:r>
      <w:r>
        <w:rPr>
          <w:rFonts w:ascii="Times New Roman" w:eastAsia="仿宋_GB2312"/>
          <w:color w:val="000000"/>
          <w:kern w:val="2"/>
          <w:sz w:val="32"/>
          <w:szCs w:val="32"/>
        </w:rPr>
        <w:t xml:space="preserve">, </w:t>
      </w:r>
      <w:r>
        <w:rPr>
          <w:rFonts w:ascii="Times New Roman" w:hAnsi="仿宋_GB2312" w:eastAsia="仿宋_GB2312"/>
          <w:color w:val="000000"/>
          <w:kern w:val="2"/>
          <w:sz w:val="32"/>
          <w:szCs w:val="32"/>
        </w:rPr>
        <w:t>望勇</w:t>
      </w:r>
      <w:r>
        <w:rPr>
          <w:rFonts w:ascii="Times New Roman" w:eastAsia="仿宋_GB2312"/>
          <w:color w:val="000000"/>
          <w:kern w:val="2"/>
          <w:sz w:val="32"/>
          <w:szCs w:val="32"/>
        </w:rPr>
        <w:t xml:space="preserve">, </w:t>
      </w:r>
      <w:r>
        <w:rPr>
          <w:rFonts w:ascii="Times New Roman" w:hAnsi="仿宋_GB2312" w:eastAsia="仿宋_GB2312"/>
          <w:color w:val="000000"/>
          <w:kern w:val="2"/>
          <w:sz w:val="32"/>
          <w:szCs w:val="32"/>
        </w:rPr>
        <w:t>等</w:t>
      </w:r>
      <w:r>
        <w:rPr>
          <w:rFonts w:ascii="Times New Roman" w:eastAsia="仿宋_GB2312"/>
          <w:color w:val="000000"/>
          <w:kern w:val="2"/>
          <w:sz w:val="32"/>
          <w:szCs w:val="32"/>
        </w:rPr>
        <w:t xml:space="preserve">. </w:t>
      </w:r>
      <w:r>
        <w:rPr>
          <w:rFonts w:ascii="Times New Roman" w:hAnsi="仿宋_GB2312" w:eastAsia="仿宋_GB2312"/>
          <w:color w:val="000000"/>
          <w:kern w:val="2"/>
          <w:sz w:val="32"/>
          <w:szCs w:val="32"/>
        </w:rPr>
        <w:t>苏云金芽胞杆菌</w:t>
      </w:r>
      <w:r>
        <w:rPr>
          <w:rFonts w:ascii="Times New Roman" w:eastAsia="仿宋_GB2312"/>
          <w:color w:val="000000"/>
          <w:kern w:val="2"/>
          <w:sz w:val="32"/>
          <w:szCs w:val="32"/>
        </w:rPr>
        <w:t xml:space="preserve"> G033A </w:t>
      </w:r>
      <w:r>
        <w:rPr>
          <w:rFonts w:ascii="Times New Roman" w:hAnsi="仿宋_GB2312" w:eastAsia="仿宋_GB2312"/>
          <w:color w:val="000000"/>
          <w:kern w:val="2"/>
          <w:sz w:val="32"/>
          <w:szCs w:val="32"/>
        </w:rPr>
        <w:t>对萝卜黄曲条跳甲的室内活性及田间药效</w:t>
      </w:r>
      <w:r>
        <w:rPr>
          <w:rFonts w:ascii="Times New Roman" w:eastAsia="仿宋_GB2312"/>
          <w:color w:val="000000"/>
          <w:kern w:val="2"/>
          <w:sz w:val="32"/>
          <w:szCs w:val="32"/>
        </w:rPr>
        <w:t xml:space="preserve">[J]. </w:t>
      </w:r>
      <w:r>
        <w:rPr>
          <w:rFonts w:ascii="Times New Roman" w:hAnsi="仿宋_GB2312" w:eastAsia="仿宋_GB2312"/>
          <w:color w:val="000000"/>
          <w:kern w:val="2"/>
          <w:sz w:val="32"/>
          <w:szCs w:val="32"/>
        </w:rPr>
        <w:t>长江蔬菜</w:t>
      </w:r>
      <w:r>
        <w:rPr>
          <w:rFonts w:ascii="Times New Roman" w:eastAsia="仿宋_GB2312"/>
          <w:color w:val="000000"/>
          <w:kern w:val="2"/>
          <w:sz w:val="32"/>
          <w:szCs w:val="32"/>
        </w:rPr>
        <w:t>, 2019(20): 73-75.</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eastAsia="仿宋_GB2312"/>
          <w:color w:val="000000"/>
          <w:kern w:val="2"/>
          <w:sz w:val="32"/>
          <w:szCs w:val="32"/>
        </w:rPr>
        <w:t xml:space="preserve">[3] </w:t>
      </w:r>
      <w:r>
        <w:rPr>
          <w:rFonts w:ascii="Times New Roman" w:hAnsi="仿宋_GB2312" w:eastAsia="仿宋_GB2312"/>
          <w:color w:val="000000"/>
          <w:kern w:val="2"/>
          <w:sz w:val="32"/>
          <w:szCs w:val="32"/>
        </w:rPr>
        <w:t>孙光忠</w:t>
      </w:r>
      <w:r>
        <w:rPr>
          <w:rFonts w:ascii="Times New Roman" w:eastAsia="仿宋_GB2312"/>
          <w:color w:val="000000"/>
          <w:kern w:val="2"/>
          <w:sz w:val="32"/>
          <w:szCs w:val="32"/>
        </w:rPr>
        <w:t xml:space="preserve">, </w:t>
      </w:r>
      <w:r>
        <w:rPr>
          <w:rFonts w:ascii="Times New Roman" w:hAnsi="仿宋_GB2312" w:eastAsia="仿宋_GB2312"/>
          <w:color w:val="000000"/>
          <w:kern w:val="2"/>
          <w:sz w:val="32"/>
          <w:szCs w:val="32"/>
        </w:rPr>
        <w:t>方国斌</w:t>
      </w:r>
      <w:r>
        <w:rPr>
          <w:rFonts w:ascii="Times New Roman" w:eastAsia="仿宋_GB2312"/>
          <w:color w:val="000000"/>
          <w:kern w:val="2"/>
          <w:sz w:val="32"/>
          <w:szCs w:val="32"/>
        </w:rPr>
        <w:t xml:space="preserve">, </w:t>
      </w:r>
      <w:r>
        <w:rPr>
          <w:rFonts w:ascii="Times New Roman" w:hAnsi="仿宋_GB2312" w:eastAsia="仿宋_GB2312"/>
          <w:color w:val="000000"/>
          <w:kern w:val="2"/>
          <w:sz w:val="32"/>
          <w:szCs w:val="32"/>
        </w:rPr>
        <w:t>匡辉</w:t>
      </w:r>
      <w:r>
        <w:rPr>
          <w:rFonts w:ascii="Times New Roman" w:eastAsia="仿宋_GB2312"/>
          <w:color w:val="000000"/>
          <w:kern w:val="2"/>
          <w:sz w:val="32"/>
          <w:szCs w:val="32"/>
        </w:rPr>
        <w:t xml:space="preserve">, </w:t>
      </w:r>
      <w:r>
        <w:rPr>
          <w:rFonts w:ascii="Times New Roman" w:hAnsi="仿宋_GB2312" w:eastAsia="仿宋_GB2312"/>
          <w:color w:val="000000"/>
          <w:kern w:val="2"/>
          <w:sz w:val="32"/>
          <w:szCs w:val="32"/>
        </w:rPr>
        <w:t>等</w:t>
      </w:r>
      <w:r>
        <w:rPr>
          <w:rFonts w:ascii="Times New Roman" w:eastAsia="仿宋_GB2312"/>
          <w:color w:val="000000"/>
          <w:kern w:val="2"/>
          <w:sz w:val="32"/>
          <w:szCs w:val="32"/>
        </w:rPr>
        <w:t xml:space="preserve">. </w:t>
      </w:r>
      <w:r>
        <w:rPr>
          <w:rFonts w:ascii="Times New Roman" w:hAnsi="仿宋_GB2312" w:eastAsia="仿宋_GB2312"/>
          <w:color w:val="000000"/>
          <w:kern w:val="2"/>
          <w:sz w:val="32"/>
          <w:szCs w:val="32"/>
        </w:rPr>
        <w:t>苏云金芽胞杆菌</w:t>
      </w:r>
      <w:r>
        <w:rPr>
          <w:rFonts w:ascii="Times New Roman" w:eastAsia="仿宋_GB2312"/>
          <w:color w:val="000000"/>
          <w:kern w:val="2"/>
          <w:sz w:val="32"/>
          <w:szCs w:val="32"/>
        </w:rPr>
        <w:t xml:space="preserve"> G033A </w:t>
      </w:r>
      <w:r>
        <w:rPr>
          <w:rFonts w:ascii="Times New Roman" w:hAnsi="仿宋_GB2312" w:eastAsia="仿宋_GB2312"/>
          <w:color w:val="000000"/>
          <w:kern w:val="2"/>
          <w:sz w:val="32"/>
          <w:szCs w:val="32"/>
        </w:rPr>
        <w:t>对萝卜黄曲条跳甲的防治效果研究</w:t>
      </w:r>
      <w:r>
        <w:rPr>
          <w:rFonts w:ascii="Times New Roman" w:eastAsia="仿宋_GB2312"/>
          <w:color w:val="000000"/>
          <w:kern w:val="2"/>
          <w:sz w:val="32"/>
          <w:szCs w:val="32"/>
        </w:rPr>
        <w:t xml:space="preserve">[J]. </w:t>
      </w:r>
      <w:r>
        <w:rPr>
          <w:rFonts w:ascii="Times New Roman" w:hAnsi="仿宋_GB2312" w:eastAsia="仿宋_GB2312"/>
          <w:color w:val="000000"/>
          <w:kern w:val="2"/>
          <w:sz w:val="32"/>
          <w:szCs w:val="32"/>
        </w:rPr>
        <w:t>植物医生</w:t>
      </w:r>
      <w:r>
        <w:rPr>
          <w:rFonts w:ascii="Times New Roman" w:eastAsia="仿宋_GB2312"/>
          <w:color w:val="000000"/>
          <w:kern w:val="2"/>
          <w:sz w:val="32"/>
          <w:szCs w:val="32"/>
        </w:rPr>
        <w:t>, 2019, 32(6): 62-64.</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eastAsia="仿宋_GB2312"/>
          <w:color w:val="000000"/>
          <w:kern w:val="2"/>
          <w:sz w:val="32"/>
          <w:szCs w:val="32"/>
        </w:rPr>
        <w:t xml:space="preserve">[4] </w:t>
      </w:r>
      <w:r>
        <w:rPr>
          <w:rFonts w:ascii="Times New Roman" w:hAnsi="仿宋_GB2312" w:eastAsia="仿宋_GB2312"/>
          <w:color w:val="000000"/>
          <w:kern w:val="2"/>
          <w:sz w:val="32"/>
          <w:szCs w:val="32"/>
        </w:rPr>
        <w:t>曹春霞</w:t>
      </w:r>
      <w:r>
        <w:rPr>
          <w:rFonts w:ascii="Times New Roman" w:eastAsia="仿宋_GB2312"/>
          <w:color w:val="000000"/>
          <w:kern w:val="2"/>
          <w:sz w:val="32"/>
          <w:szCs w:val="32"/>
        </w:rPr>
        <w:t xml:space="preserve">, </w:t>
      </w:r>
      <w:r>
        <w:rPr>
          <w:rFonts w:ascii="Times New Roman" w:hAnsi="仿宋_GB2312" w:eastAsia="仿宋_GB2312"/>
          <w:color w:val="000000"/>
          <w:kern w:val="2"/>
          <w:sz w:val="32"/>
          <w:szCs w:val="32"/>
        </w:rPr>
        <w:t>黄大野</w:t>
      </w:r>
      <w:r>
        <w:rPr>
          <w:rFonts w:ascii="Times New Roman" w:eastAsia="仿宋_GB2312"/>
          <w:color w:val="000000"/>
          <w:kern w:val="2"/>
          <w:sz w:val="32"/>
          <w:szCs w:val="32"/>
        </w:rPr>
        <w:t xml:space="preserve">, </w:t>
      </w:r>
      <w:r>
        <w:rPr>
          <w:rFonts w:ascii="Times New Roman" w:hAnsi="仿宋_GB2312" w:eastAsia="仿宋_GB2312"/>
          <w:color w:val="000000"/>
          <w:kern w:val="2"/>
          <w:sz w:val="32"/>
          <w:szCs w:val="32"/>
        </w:rPr>
        <w:t>姚经武</w:t>
      </w:r>
      <w:r>
        <w:rPr>
          <w:rFonts w:ascii="Times New Roman" w:eastAsia="仿宋_GB2312"/>
          <w:color w:val="000000"/>
          <w:kern w:val="2"/>
          <w:sz w:val="32"/>
          <w:szCs w:val="32"/>
        </w:rPr>
        <w:t xml:space="preserve">, </w:t>
      </w:r>
      <w:r>
        <w:rPr>
          <w:rFonts w:ascii="Times New Roman" w:hAnsi="仿宋_GB2312" w:eastAsia="仿宋_GB2312"/>
          <w:color w:val="000000"/>
          <w:kern w:val="2"/>
          <w:sz w:val="32"/>
          <w:szCs w:val="32"/>
        </w:rPr>
        <w:t>等</w:t>
      </w:r>
      <w:r>
        <w:rPr>
          <w:rFonts w:ascii="Times New Roman" w:eastAsia="仿宋_GB2312"/>
          <w:color w:val="000000"/>
          <w:kern w:val="2"/>
          <w:sz w:val="32"/>
          <w:szCs w:val="32"/>
        </w:rPr>
        <w:t xml:space="preserve">. </w:t>
      </w:r>
      <w:r>
        <w:rPr>
          <w:rFonts w:ascii="Times New Roman" w:hAnsi="仿宋_GB2312" w:eastAsia="仿宋_GB2312"/>
          <w:color w:val="000000"/>
          <w:kern w:val="2"/>
          <w:sz w:val="32"/>
          <w:szCs w:val="32"/>
        </w:rPr>
        <w:t>昆虫病原菌防治萝卜黄曲条跳甲田间应用技术</w:t>
      </w:r>
      <w:r>
        <w:rPr>
          <w:rFonts w:ascii="Times New Roman" w:eastAsia="仿宋_GB2312"/>
          <w:color w:val="000000"/>
          <w:kern w:val="2"/>
          <w:sz w:val="32"/>
          <w:szCs w:val="32"/>
        </w:rPr>
        <w:t xml:space="preserve">[J]. </w:t>
      </w:r>
      <w:r>
        <w:rPr>
          <w:rFonts w:ascii="Times New Roman" w:hAnsi="仿宋_GB2312" w:eastAsia="仿宋_GB2312"/>
          <w:color w:val="000000"/>
          <w:kern w:val="2"/>
          <w:sz w:val="32"/>
          <w:szCs w:val="32"/>
        </w:rPr>
        <w:t>中国生物防治学报</w:t>
      </w:r>
      <w:r>
        <w:rPr>
          <w:rFonts w:ascii="Times New Roman" w:eastAsia="仿宋_GB2312"/>
          <w:color w:val="000000"/>
          <w:kern w:val="2"/>
          <w:sz w:val="32"/>
          <w:szCs w:val="32"/>
        </w:rPr>
        <w:t>, 2020, 36(6): 987-991.</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hAnsi="仿宋_GB2312" w:eastAsia="仿宋_GB2312"/>
          <w:color w:val="000000"/>
          <w:kern w:val="2"/>
          <w:sz w:val="32"/>
          <w:szCs w:val="32"/>
        </w:rPr>
        <w:t>（</w:t>
      </w:r>
      <w:r>
        <w:rPr>
          <w:rFonts w:ascii="Times New Roman" w:eastAsia="仿宋_GB2312"/>
          <w:color w:val="000000"/>
          <w:kern w:val="2"/>
          <w:sz w:val="32"/>
          <w:szCs w:val="32"/>
        </w:rPr>
        <w:t>2</w:t>
      </w:r>
      <w:r>
        <w:rPr>
          <w:rFonts w:ascii="Times New Roman" w:hAnsi="仿宋_GB2312" w:eastAsia="仿宋_GB2312"/>
          <w:color w:val="000000"/>
          <w:kern w:val="2"/>
          <w:sz w:val="32"/>
          <w:szCs w:val="32"/>
        </w:rPr>
        <w:t>）高效低毒药剂验证试验</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hAnsi="仿宋_GB2312" w:eastAsia="仿宋_GB2312"/>
          <w:color w:val="000000"/>
          <w:kern w:val="2"/>
          <w:sz w:val="32"/>
          <w:szCs w:val="32"/>
        </w:rPr>
        <w:t>①试验方法</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eastAsia="仿宋_GB2312"/>
          <w:color w:val="000000"/>
          <w:kern w:val="2"/>
          <w:sz w:val="32"/>
          <w:szCs w:val="32"/>
        </w:rPr>
        <w:t>a.</w:t>
      </w:r>
      <w:r>
        <w:rPr>
          <w:rFonts w:ascii="Times New Roman" w:hAnsi="仿宋_GB2312" w:eastAsia="仿宋_GB2312"/>
          <w:color w:val="000000"/>
          <w:kern w:val="2"/>
          <w:sz w:val="32"/>
          <w:szCs w:val="32"/>
        </w:rPr>
        <w:t>室内毒力测定</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hAnsi="仿宋_GB2312" w:eastAsia="仿宋_GB2312"/>
          <w:color w:val="000000"/>
          <w:kern w:val="2"/>
          <w:sz w:val="32"/>
          <w:szCs w:val="32"/>
        </w:rPr>
        <w:t>药剂室内毒力测定采用浸叶法。选取未施用农药的甘蓝叶片，洗净晾干</w:t>
      </w:r>
      <w:r>
        <w:rPr>
          <w:rFonts w:ascii="Times New Roman" w:eastAsia="仿宋_GB2312"/>
          <w:color w:val="000000"/>
          <w:kern w:val="2"/>
          <w:sz w:val="32"/>
          <w:szCs w:val="32"/>
        </w:rPr>
        <w:t>;</w:t>
      </w:r>
      <w:r>
        <w:rPr>
          <w:rFonts w:ascii="Times New Roman" w:hAnsi="仿宋_GB2312" w:eastAsia="仿宋_GB2312"/>
          <w:color w:val="000000"/>
          <w:kern w:val="2"/>
          <w:sz w:val="32"/>
          <w:szCs w:val="32"/>
        </w:rPr>
        <w:t>分别将各供试药剂</w:t>
      </w:r>
      <w:r>
        <w:rPr>
          <w:rFonts w:ascii="Times New Roman" w:eastAsia="仿宋_GB2312"/>
          <w:color w:val="000000"/>
          <w:kern w:val="2"/>
          <w:sz w:val="32"/>
          <w:szCs w:val="32"/>
        </w:rPr>
        <w:t>(0.3%</w:t>
      </w:r>
      <w:r>
        <w:rPr>
          <w:rFonts w:ascii="Times New Roman" w:hAnsi="仿宋_GB2312" w:eastAsia="仿宋_GB2312"/>
          <w:color w:val="000000"/>
          <w:kern w:val="2"/>
          <w:sz w:val="32"/>
          <w:szCs w:val="32"/>
        </w:rPr>
        <w:t>苦皮藤素水乳剂、</w:t>
      </w:r>
      <w:r>
        <w:rPr>
          <w:rFonts w:ascii="Times New Roman" w:eastAsia="仿宋_GB2312"/>
          <w:color w:val="000000"/>
          <w:kern w:val="2"/>
          <w:sz w:val="32"/>
          <w:szCs w:val="32"/>
        </w:rPr>
        <w:t>5%</w:t>
      </w:r>
      <w:r>
        <w:rPr>
          <w:rFonts w:ascii="Times New Roman" w:hAnsi="仿宋_GB2312" w:eastAsia="仿宋_GB2312"/>
          <w:color w:val="000000"/>
          <w:kern w:val="2"/>
          <w:sz w:val="32"/>
          <w:szCs w:val="32"/>
        </w:rPr>
        <w:t>鱼藤酮鱼藤可溶液剂、</w:t>
      </w:r>
      <w:r>
        <w:rPr>
          <w:rFonts w:ascii="Times New Roman" w:eastAsia="仿宋_GB2312"/>
          <w:color w:val="000000"/>
          <w:kern w:val="2"/>
          <w:sz w:val="32"/>
          <w:szCs w:val="32"/>
        </w:rPr>
        <w:t xml:space="preserve">25% </w:t>
      </w:r>
      <w:r>
        <w:rPr>
          <w:rFonts w:ascii="Times New Roman" w:hAnsi="仿宋_GB2312" w:eastAsia="仿宋_GB2312"/>
          <w:color w:val="000000"/>
          <w:kern w:val="2"/>
          <w:sz w:val="32"/>
          <w:szCs w:val="32"/>
        </w:rPr>
        <w:t>噻虫嗪水分散粒剂、</w:t>
      </w:r>
      <w:r>
        <w:rPr>
          <w:rFonts w:ascii="Times New Roman" w:eastAsia="仿宋_GB2312"/>
          <w:color w:val="000000"/>
          <w:kern w:val="2"/>
          <w:sz w:val="32"/>
          <w:szCs w:val="32"/>
        </w:rPr>
        <w:t xml:space="preserve">5% </w:t>
      </w:r>
      <w:r>
        <w:rPr>
          <w:rFonts w:ascii="Times New Roman" w:hAnsi="仿宋_GB2312" w:eastAsia="仿宋_GB2312"/>
          <w:color w:val="000000"/>
          <w:kern w:val="2"/>
          <w:sz w:val="32"/>
          <w:szCs w:val="32"/>
        </w:rPr>
        <w:t>啶虫脒乳油、</w:t>
      </w:r>
      <w:r>
        <w:rPr>
          <w:rFonts w:ascii="Times New Roman" w:eastAsia="仿宋_GB2312"/>
          <w:color w:val="000000"/>
          <w:kern w:val="2"/>
          <w:sz w:val="32"/>
          <w:szCs w:val="32"/>
        </w:rPr>
        <w:t>10%</w:t>
      </w:r>
      <w:r>
        <w:rPr>
          <w:rFonts w:ascii="Times New Roman" w:hAnsi="仿宋_GB2312" w:eastAsia="仿宋_GB2312"/>
          <w:color w:val="000000"/>
          <w:kern w:val="2"/>
          <w:sz w:val="32"/>
          <w:szCs w:val="32"/>
        </w:rPr>
        <w:t>溴氰虫酰胺可分散油悬浮剂</w:t>
      </w:r>
      <w:r>
        <w:rPr>
          <w:rFonts w:ascii="Times New Roman" w:eastAsia="仿宋_GB2312"/>
          <w:color w:val="000000"/>
          <w:kern w:val="2"/>
          <w:sz w:val="32"/>
          <w:szCs w:val="32"/>
        </w:rPr>
        <w:t>)</w:t>
      </w:r>
      <w:r>
        <w:rPr>
          <w:rFonts w:ascii="Times New Roman" w:hAnsi="仿宋_GB2312" w:eastAsia="仿宋_GB2312"/>
          <w:color w:val="000000"/>
          <w:kern w:val="2"/>
          <w:sz w:val="32"/>
          <w:szCs w:val="32"/>
        </w:rPr>
        <w:t>稀释成</w:t>
      </w:r>
      <w:r>
        <w:rPr>
          <w:rFonts w:ascii="Times New Roman" w:eastAsia="仿宋_GB2312"/>
          <w:color w:val="000000"/>
          <w:kern w:val="2"/>
          <w:sz w:val="32"/>
          <w:szCs w:val="32"/>
        </w:rPr>
        <w:t xml:space="preserve"> 5—7 </w:t>
      </w:r>
      <w:r>
        <w:rPr>
          <w:rFonts w:ascii="Times New Roman" w:hAnsi="仿宋_GB2312" w:eastAsia="仿宋_GB2312"/>
          <w:color w:val="000000"/>
          <w:kern w:val="2"/>
          <w:sz w:val="32"/>
          <w:szCs w:val="32"/>
        </w:rPr>
        <w:t>个有效等倍梯度浓度药液，清水处理作为对照</w:t>
      </w:r>
      <w:r>
        <w:rPr>
          <w:rFonts w:ascii="Times New Roman" w:eastAsia="仿宋_GB2312"/>
          <w:color w:val="000000"/>
          <w:kern w:val="2"/>
          <w:sz w:val="32"/>
          <w:szCs w:val="32"/>
        </w:rPr>
        <w:t>;</w:t>
      </w:r>
      <w:r>
        <w:rPr>
          <w:rFonts w:ascii="Times New Roman" w:hAnsi="仿宋_GB2312" w:eastAsia="仿宋_GB2312"/>
          <w:color w:val="000000"/>
          <w:kern w:val="2"/>
          <w:sz w:val="32"/>
          <w:szCs w:val="32"/>
        </w:rPr>
        <w:t>将大小一致的甘蓝叶片分别浸入药液中，</w:t>
      </w:r>
      <w:r>
        <w:rPr>
          <w:rFonts w:ascii="Times New Roman" w:eastAsia="仿宋_GB2312"/>
          <w:color w:val="000000"/>
          <w:kern w:val="2"/>
          <w:sz w:val="32"/>
          <w:szCs w:val="32"/>
        </w:rPr>
        <w:t xml:space="preserve">10 s </w:t>
      </w:r>
      <w:r>
        <w:rPr>
          <w:rFonts w:ascii="Times New Roman" w:hAnsi="仿宋_GB2312" w:eastAsia="仿宋_GB2312"/>
          <w:color w:val="000000"/>
          <w:kern w:val="2"/>
          <w:sz w:val="32"/>
          <w:szCs w:val="32"/>
        </w:rPr>
        <w:t>后取出并晾干</w:t>
      </w:r>
      <w:r>
        <w:rPr>
          <w:rFonts w:ascii="Times New Roman" w:eastAsia="仿宋_GB2312"/>
          <w:color w:val="000000"/>
          <w:kern w:val="2"/>
          <w:sz w:val="32"/>
          <w:szCs w:val="32"/>
        </w:rPr>
        <w:t>;</w:t>
      </w:r>
      <w:r>
        <w:rPr>
          <w:rFonts w:ascii="Times New Roman" w:hAnsi="仿宋_GB2312" w:eastAsia="仿宋_GB2312"/>
          <w:color w:val="000000"/>
          <w:kern w:val="2"/>
          <w:sz w:val="32"/>
          <w:szCs w:val="32"/>
        </w:rPr>
        <w:t>将晾干的叶片放入生测试管中，每管接入</w:t>
      </w:r>
      <w:r>
        <w:rPr>
          <w:rFonts w:ascii="Times New Roman" w:eastAsia="仿宋_GB2312"/>
          <w:color w:val="000000"/>
          <w:kern w:val="2"/>
          <w:sz w:val="32"/>
          <w:szCs w:val="32"/>
        </w:rPr>
        <w:t xml:space="preserve"> 10—20 </w:t>
      </w:r>
      <w:r>
        <w:rPr>
          <w:rFonts w:ascii="Times New Roman" w:hAnsi="仿宋_GB2312" w:eastAsia="仿宋_GB2312"/>
          <w:color w:val="000000"/>
          <w:kern w:val="2"/>
          <w:sz w:val="32"/>
          <w:szCs w:val="32"/>
        </w:rPr>
        <w:t>头小猿叶甲</w:t>
      </w:r>
      <w:r>
        <w:rPr>
          <w:rFonts w:ascii="Times New Roman" w:eastAsia="仿宋_GB2312"/>
          <w:color w:val="000000"/>
          <w:kern w:val="2"/>
          <w:sz w:val="32"/>
          <w:szCs w:val="32"/>
        </w:rPr>
        <w:t xml:space="preserve"> 2 </w:t>
      </w:r>
      <w:r>
        <w:rPr>
          <w:rFonts w:ascii="Times New Roman" w:hAnsi="仿宋_GB2312" w:eastAsia="仿宋_GB2312"/>
          <w:color w:val="000000"/>
          <w:kern w:val="2"/>
          <w:sz w:val="32"/>
          <w:szCs w:val="32"/>
        </w:rPr>
        <w:t>龄幼虫，用纱布封好管口，每个浓度重复</w:t>
      </w:r>
      <w:r>
        <w:rPr>
          <w:rFonts w:ascii="Times New Roman" w:eastAsia="仿宋_GB2312"/>
          <w:color w:val="000000"/>
          <w:kern w:val="2"/>
          <w:sz w:val="32"/>
          <w:szCs w:val="32"/>
        </w:rPr>
        <w:t xml:space="preserve"> 3 </w:t>
      </w:r>
      <w:r>
        <w:rPr>
          <w:rFonts w:ascii="Times New Roman" w:hAnsi="仿宋_GB2312" w:eastAsia="仿宋_GB2312"/>
          <w:color w:val="000000"/>
          <w:kern w:val="2"/>
          <w:sz w:val="32"/>
          <w:szCs w:val="32"/>
        </w:rPr>
        <w:t>次</w:t>
      </w:r>
      <w:r>
        <w:rPr>
          <w:rFonts w:ascii="Times New Roman" w:eastAsia="仿宋_GB2312"/>
          <w:color w:val="000000"/>
          <w:kern w:val="2"/>
          <w:sz w:val="32"/>
          <w:szCs w:val="32"/>
        </w:rPr>
        <w:t>;</w:t>
      </w:r>
      <w:r>
        <w:rPr>
          <w:rFonts w:ascii="Times New Roman" w:hAnsi="仿宋_GB2312" w:eastAsia="仿宋_GB2312"/>
          <w:color w:val="000000"/>
          <w:kern w:val="2"/>
          <w:sz w:val="32"/>
          <w:szCs w:val="32"/>
        </w:rPr>
        <w:t>将试管置于光照培养箱内，饲养温度</w:t>
      </w:r>
      <w:r>
        <w:rPr>
          <w:rFonts w:ascii="Times New Roman" w:eastAsia="仿宋_GB2312"/>
          <w:color w:val="000000"/>
          <w:kern w:val="2"/>
          <w:sz w:val="32"/>
          <w:szCs w:val="32"/>
        </w:rPr>
        <w:t xml:space="preserve"> 25 </w:t>
      </w:r>
      <w:r>
        <w:rPr>
          <w:rFonts w:ascii="Times New Roman" w:hAnsi="仿宋_GB2312" w:eastAsia="仿宋_GB2312"/>
          <w:color w:val="000000"/>
          <w:kern w:val="2"/>
          <w:sz w:val="32"/>
          <w:szCs w:val="32"/>
        </w:rPr>
        <w:t>℃、相对湿度</w:t>
      </w:r>
      <w:r>
        <w:rPr>
          <w:rFonts w:ascii="Times New Roman" w:eastAsia="仿宋_GB2312"/>
          <w:color w:val="000000"/>
          <w:kern w:val="2"/>
          <w:sz w:val="32"/>
          <w:szCs w:val="32"/>
        </w:rPr>
        <w:t xml:space="preserve"> 75%—85%</w:t>
      </w:r>
      <w:r>
        <w:rPr>
          <w:rFonts w:ascii="Times New Roman" w:hAnsi="仿宋_GB2312" w:eastAsia="仿宋_GB2312"/>
          <w:color w:val="000000"/>
          <w:kern w:val="2"/>
          <w:sz w:val="32"/>
          <w:szCs w:val="32"/>
        </w:rPr>
        <w:t>、光照周期</w:t>
      </w:r>
      <w:r>
        <w:rPr>
          <w:rFonts w:ascii="Times New Roman" w:eastAsia="仿宋_GB2312"/>
          <w:color w:val="000000"/>
          <w:kern w:val="2"/>
          <w:sz w:val="32"/>
          <w:szCs w:val="32"/>
        </w:rPr>
        <w:t xml:space="preserve"> L(</w:t>
      </w:r>
      <w:r>
        <w:rPr>
          <w:rFonts w:ascii="Times New Roman" w:hAnsi="仿宋_GB2312" w:eastAsia="仿宋_GB2312"/>
          <w:color w:val="000000"/>
          <w:kern w:val="2"/>
          <w:sz w:val="32"/>
          <w:szCs w:val="32"/>
        </w:rPr>
        <w:t>光</w:t>
      </w:r>
      <w:r>
        <w:rPr>
          <w:rFonts w:ascii="Times New Roman" w:eastAsia="仿宋_GB2312"/>
          <w:color w:val="000000"/>
          <w:kern w:val="2"/>
          <w:sz w:val="32"/>
          <w:szCs w:val="32"/>
        </w:rPr>
        <w:t>)</w:t>
      </w:r>
      <w:r>
        <w:rPr>
          <w:rFonts w:ascii="Times New Roman" w:hAnsi="仿宋_GB2312" w:eastAsia="仿宋_GB2312"/>
          <w:color w:val="000000"/>
          <w:kern w:val="2"/>
          <w:sz w:val="32"/>
          <w:szCs w:val="32"/>
        </w:rPr>
        <w:t>∶</w:t>
      </w:r>
      <w:r>
        <w:rPr>
          <w:rFonts w:ascii="Times New Roman" w:eastAsia="仿宋_GB2312"/>
          <w:color w:val="000000"/>
          <w:kern w:val="2"/>
          <w:sz w:val="32"/>
          <w:szCs w:val="32"/>
        </w:rPr>
        <w:t xml:space="preserve"> D(</w:t>
      </w:r>
      <w:r>
        <w:rPr>
          <w:rFonts w:ascii="Times New Roman" w:hAnsi="仿宋_GB2312" w:eastAsia="仿宋_GB2312"/>
          <w:color w:val="000000"/>
          <w:kern w:val="2"/>
          <w:sz w:val="32"/>
          <w:szCs w:val="32"/>
        </w:rPr>
        <w:t>暗</w:t>
      </w:r>
      <w:r>
        <w:rPr>
          <w:rFonts w:ascii="Times New Roman" w:eastAsia="仿宋_GB2312"/>
          <w:color w:val="000000"/>
          <w:kern w:val="2"/>
          <w:sz w:val="32"/>
          <w:szCs w:val="32"/>
        </w:rPr>
        <w:t>)</w:t>
      </w:r>
      <w:r>
        <w:rPr>
          <w:rFonts w:ascii="Times New Roman" w:hAnsi="仿宋_GB2312" w:eastAsia="仿宋_GB2312"/>
          <w:color w:val="000000"/>
          <w:kern w:val="2"/>
          <w:sz w:val="32"/>
          <w:szCs w:val="32"/>
        </w:rPr>
        <w:t>为</w:t>
      </w:r>
      <w:r>
        <w:rPr>
          <w:rFonts w:ascii="Times New Roman" w:eastAsia="仿宋_GB2312"/>
          <w:color w:val="000000"/>
          <w:kern w:val="2"/>
          <w:sz w:val="32"/>
          <w:szCs w:val="32"/>
        </w:rPr>
        <w:t xml:space="preserve"> 14 h</w:t>
      </w:r>
      <w:r>
        <w:rPr>
          <w:rFonts w:ascii="Times New Roman" w:hAnsi="仿宋_GB2312" w:eastAsia="仿宋_GB2312"/>
          <w:color w:val="000000"/>
          <w:kern w:val="2"/>
          <w:sz w:val="32"/>
          <w:szCs w:val="32"/>
        </w:rPr>
        <w:t>∶</w:t>
      </w:r>
      <w:r>
        <w:rPr>
          <w:rFonts w:ascii="Times New Roman" w:eastAsia="仿宋_GB2312"/>
          <w:color w:val="000000"/>
          <w:kern w:val="2"/>
          <w:sz w:val="32"/>
          <w:szCs w:val="32"/>
        </w:rPr>
        <w:t xml:space="preserve"> 10 h</w:t>
      </w:r>
      <w:r>
        <w:rPr>
          <w:rFonts w:ascii="Times New Roman" w:hAnsi="仿宋_GB2312" w:eastAsia="仿宋_GB2312"/>
          <w:color w:val="000000"/>
          <w:kern w:val="2"/>
          <w:sz w:val="32"/>
          <w:szCs w:val="32"/>
        </w:rPr>
        <w:t>。每隔</w:t>
      </w:r>
      <w:r>
        <w:rPr>
          <w:rFonts w:ascii="Times New Roman" w:eastAsia="仿宋_GB2312"/>
          <w:color w:val="000000"/>
          <w:kern w:val="2"/>
          <w:sz w:val="32"/>
          <w:szCs w:val="32"/>
        </w:rPr>
        <w:t xml:space="preserve"> 24 h </w:t>
      </w:r>
      <w:r>
        <w:rPr>
          <w:rFonts w:ascii="Times New Roman" w:hAnsi="仿宋_GB2312" w:eastAsia="仿宋_GB2312"/>
          <w:color w:val="000000"/>
          <w:kern w:val="2"/>
          <w:sz w:val="32"/>
          <w:szCs w:val="32"/>
        </w:rPr>
        <w:t>查看一次虫子的死亡情况，</w:t>
      </w:r>
      <w:r>
        <w:rPr>
          <w:rFonts w:ascii="Times New Roman" w:eastAsia="仿宋_GB2312"/>
          <w:color w:val="000000"/>
          <w:kern w:val="2"/>
          <w:sz w:val="32"/>
          <w:szCs w:val="32"/>
        </w:rPr>
        <w:t xml:space="preserve">72 h </w:t>
      </w:r>
      <w:r>
        <w:rPr>
          <w:rFonts w:ascii="Times New Roman" w:hAnsi="仿宋_GB2312" w:eastAsia="仿宋_GB2312"/>
          <w:color w:val="000000"/>
          <w:kern w:val="2"/>
          <w:sz w:val="32"/>
          <w:szCs w:val="32"/>
        </w:rPr>
        <w:t>后计算死亡率。毛笔轻触虫体无反应视为死亡。</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eastAsia="仿宋_GB2312"/>
          <w:color w:val="000000"/>
          <w:kern w:val="2"/>
          <w:sz w:val="32"/>
          <w:szCs w:val="32"/>
        </w:rPr>
        <w:t>b.</w:t>
      </w:r>
      <w:r>
        <w:rPr>
          <w:rFonts w:ascii="Times New Roman" w:hAnsi="仿宋_GB2312" w:eastAsia="仿宋_GB2312"/>
          <w:color w:val="000000"/>
          <w:kern w:val="2"/>
          <w:sz w:val="32"/>
          <w:szCs w:val="32"/>
        </w:rPr>
        <w:t>田间防效试验</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hAnsi="仿宋_GB2312" w:eastAsia="仿宋_GB2312"/>
          <w:color w:val="000000"/>
          <w:kern w:val="2"/>
          <w:sz w:val="32"/>
          <w:szCs w:val="32"/>
        </w:rPr>
        <w:t>参照中华人民共和国国家标准《田间药效试验准则</w:t>
      </w:r>
      <w:r>
        <w:rPr>
          <w:rFonts w:ascii="Times New Roman" w:eastAsia="仿宋_GB2312"/>
          <w:color w:val="000000"/>
          <w:kern w:val="2"/>
          <w:sz w:val="32"/>
          <w:szCs w:val="32"/>
        </w:rPr>
        <w:t>(</w:t>
      </w:r>
      <w:r>
        <w:rPr>
          <w:rFonts w:ascii="Times New Roman" w:hAnsi="仿宋_GB2312" w:eastAsia="仿宋_GB2312"/>
          <w:color w:val="000000"/>
          <w:kern w:val="2"/>
          <w:sz w:val="32"/>
          <w:szCs w:val="32"/>
        </w:rPr>
        <w:t>一</w:t>
      </w:r>
      <w:r>
        <w:rPr>
          <w:rFonts w:ascii="Times New Roman" w:eastAsia="仿宋_GB2312"/>
          <w:color w:val="000000"/>
          <w:kern w:val="2"/>
          <w:sz w:val="32"/>
          <w:szCs w:val="32"/>
        </w:rPr>
        <w:t>)</w:t>
      </w:r>
      <w:r>
        <w:rPr>
          <w:rFonts w:ascii="Times New Roman" w:hAnsi="仿宋_GB2312" w:eastAsia="仿宋_GB2312"/>
          <w:color w:val="000000"/>
          <w:kern w:val="2"/>
          <w:sz w:val="32"/>
          <w:szCs w:val="32"/>
        </w:rPr>
        <w:t>》中的测定方法。小猿叶甲处于盛发期时对植株叶面通过喷雾的方式进行施药。药剂使用量严格按照说明书要求的剂量使用。试验共设</w:t>
      </w:r>
      <w:r>
        <w:rPr>
          <w:rFonts w:ascii="Times New Roman" w:eastAsia="仿宋_GB2312"/>
          <w:color w:val="000000"/>
          <w:kern w:val="2"/>
          <w:sz w:val="32"/>
          <w:szCs w:val="32"/>
        </w:rPr>
        <w:t>9</w:t>
      </w:r>
      <w:r>
        <w:rPr>
          <w:rFonts w:ascii="Times New Roman" w:hAnsi="仿宋_GB2312" w:eastAsia="仿宋_GB2312"/>
          <w:color w:val="000000"/>
          <w:kern w:val="2"/>
          <w:sz w:val="32"/>
          <w:szCs w:val="32"/>
        </w:rPr>
        <w:t>个药剂处理</w:t>
      </w:r>
      <w:r>
        <w:rPr>
          <w:rFonts w:ascii="Times New Roman" w:eastAsia="仿宋_GB2312"/>
          <w:color w:val="000000"/>
          <w:kern w:val="2"/>
          <w:sz w:val="32"/>
          <w:szCs w:val="32"/>
        </w:rPr>
        <w:t>(0.3%</w:t>
      </w:r>
      <w:r>
        <w:rPr>
          <w:rFonts w:ascii="Times New Roman" w:hAnsi="仿宋_GB2312" w:eastAsia="仿宋_GB2312"/>
          <w:color w:val="000000"/>
          <w:kern w:val="2"/>
          <w:sz w:val="32"/>
          <w:szCs w:val="32"/>
        </w:rPr>
        <w:t>苦皮藤素水乳剂、</w:t>
      </w:r>
      <w:r>
        <w:rPr>
          <w:rFonts w:ascii="Times New Roman" w:eastAsia="仿宋_GB2312"/>
          <w:color w:val="000000"/>
          <w:kern w:val="2"/>
          <w:sz w:val="32"/>
          <w:szCs w:val="32"/>
        </w:rPr>
        <w:t>5%</w:t>
      </w:r>
      <w:r>
        <w:rPr>
          <w:rFonts w:ascii="Times New Roman" w:hAnsi="仿宋_GB2312" w:eastAsia="仿宋_GB2312"/>
          <w:color w:val="000000"/>
          <w:kern w:val="2"/>
          <w:sz w:val="32"/>
          <w:szCs w:val="32"/>
        </w:rPr>
        <w:t>鱼藤酮鱼藤可溶液剂、</w:t>
      </w:r>
      <w:r>
        <w:rPr>
          <w:rFonts w:ascii="Times New Roman" w:eastAsia="仿宋_GB2312"/>
          <w:color w:val="000000"/>
          <w:kern w:val="2"/>
          <w:sz w:val="32"/>
          <w:szCs w:val="32"/>
        </w:rPr>
        <w:t xml:space="preserve">25% </w:t>
      </w:r>
      <w:r>
        <w:rPr>
          <w:rFonts w:ascii="Times New Roman" w:hAnsi="仿宋_GB2312" w:eastAsia="仿宋_GB2312"/>
          <w:color w:val="000000"/>
          <w:kern w:val="2"/>
          <w:sz w:val="32"/>
          <w:szCs w:val="32"/>
        </w:rPr>
        <w:t>噻虫嗪水分散粒剂、</w:t>
      </w:r>
      <w:r>
        <w:rPr>
          <w:rFonts w:ascii="Times New Roman" w:eastAsia="仿宋_GB2312"/>
          <w:color w:val="000000"/>
          <w:kern w:val="2"/>
          <w:sz w:val="32"/>
          <w:szCs w:val="32"/>
        </w:rPr>
        <w:t xml:space="preserve">5% </w:t>
      </w:r>
      <w:r>
        <w:rPr>
          <w:rFonts w:ascii="Times New Roman" w:hAnsi="仿宋_GB2312" w:eastAsia="仿宋_GB2312"/>
          <w:color w:val="000000"/>
          <w:kern w:val="2"/>
          <w:sz w:val="32"/>
          <w:szCs w:val="32"/>
        </w:rPr>
        <w:t>啶虫脒乳油、</w:t>
      </w:r>
      <w:r>
        <w:rPr>
          <w:rFonts w:ascii="Times New Roman" w:eastAsia="仿宋_GB2312"/>
          <w:color w:val="000000"/>
          <w:kern w:val="2"/>
          <w:sz w:val="32"/>
          <w:szCs w:val="32"/>
        </w:rPr>
        <w:t>10%</w:t>
      </w:r>
      <w:r>
        <w:rPr>
          <w:rFonts w:ascii="Times New Roman" w:hAnsi="仿宋_GB2312" w:eastAsia="仿宋_GB2312"/>
          <w:color w:val="000000"/>
          <w:kern w:val="2"/>
          <w:sz w:val="32"/>
          <w:szCs w:val="32"/>
        </w:rPr>
        <w:t>溴氰虫酰胺可分散油悬浮剂</w:t>
      </w:r>
      <w:r>
        <w:rPr>
          <w:rFonts w:ascii="Times New Roman" w:eastAsia="仿宋_GB2312"/>
          <w:color w:val="000000"/>
          <w:kern w:val="2"/>
          <w:sz w:val="32"/>
          <w:szCs w:val="32"/>
        </w:rPr>
        <w:t>)</w:t>
      </w:r>
      <w:r>
        <w:rPr>
          <w:rFonts w:ascii="Times New Roman" w:hAnsi="仿宋_GB2312" w:eastAsia="仿宋_GB2312"/>
          <w:color w:val="000000"/>
          <w:kern w:val="2"/>
          <w:sz w:val="32"/>
          <w:szCs w:val="32"/>
        </w:rPr>
        <w:t>和</w:t>
      </w:r>
      <w:r>
        <w:rPr>
          <w:rFonts w:ascii="Times New Roman" w:eastAsia="仿宋_GB2312"/>
          <w:color w:val="000000"/>
          <w:kern w:val="2"/>
          <w:sz w:val="32"/>
          <w:szCs w:val="32"/>
        </w:rPr>
        <w:t xml:space="preserve"> 1 </w:t>
      </w:r>
      <w:r>
        <w:rPr>
          <w:rFonts w:ascii="Times New Roman" w:hAnsi="仿宋_GB2312" w:eastAsia="仿宋_GB2312"/>
          <w:color w:val="000000"/>
          <w:kern w:val="2"/>
          <w:sz w:val="32"/>
          <w:szCs w:val="32"/>
        </w:rPr>
        <w:t>个清水处理</w:t>
      </w:r>
      <w:r>
        <w:rPr>
          <w:rFonts w:ascii="Times New Roman" w:eastAsia="仿宋_GB2312"/>
          <w:color w:val="000000"/>
          <w:kern w:val="2"/>
          <w:sz w:val="32"/>
          <w:szCs w:val="32"/>
        </w:rPr>
        <w:t>(CK)</w:t>
      </w:r>
      <w:r>
        <w:rPr>
          <w:rFonts w:ascii="Times New Roman" w:hAnsi="仿宋_GB2312" w:eastAsia="仿宋_GB2312"/>
          <w:color w:val="000000"/>
          <w:kern w:val="2"/>
          <w:sz w:val="32"/>
          <w:szCs w:val="32"/>
        </w:rPr>
        <w:t>，每处理重复</w:t>
      </w:r>
      <w:r>
        <w:rPr>
          <w:rFonts w:ascii="Times New Roman" w:eastAsia="仿宋_GB2312"/>
          <w:color w:val="000000"/>
          <w:kern w:val="2"/>
          <w:sz w:val="32"/>
          <w:szCs w:val="32"/>
        </w:rPr>
        <w:t xml:space="preserve"> 3 </w:t>
      </w:r>
      <w:r>
        <w:rPr>
          <w:rFonts w:ascii="Times New Roman" w:hAnsi="仿宋_GB2312" w:eastAsia="仿宋_GB2312"/>
          <w:color w:val="000000"/>
          <w:kern w:val="2"/>
          <w:sz w:val="32"/>
          <w:szCs w:val="32"/>
        </w:rPr>
        <w:t>次，小区面积</w:t>
      </w:r>
      <w:r>
        <w:rPr>
          <w:rFonts w:ascii="Times New Roman" w:eastAsia="仿宋_GB2312"/>
          <w:color w:val="000000"/>
          <w:kern w:val="2"/>
          <w:sz w:val="32"/>
          <w:szCs w:val="32"/>
        </w:rPr>
        <w:t xml:space="preserve"> 20 m</w:t>
      </w:r>
      <w:r>
        <w:rPr>
          <w:rFonts w:ascii="Times New Roman" w:eastAsia="仿宋_GB2312"/>
          <w:color w:val="000000"/>
          <w:kern w:val="2"/>
          <w:sz w:val="32"/>
          <w:szCs w:val="32"/>
          <w:vertAlign w:val="superscript"/>
        </w:rPr>
        <w:t>2</w:t>
      </w:r>
      <w:r>
        <w:rPr>
          <w:rFonts w:ascii="Times New Roman" w:hAnsi="仿宋_GB2312" w:eastAsia="仿宋_GB2312"/>
          <w:color w:val="000000"/>
          <w:kern w:val="2"/>
          <w:sz w:val="32"/>
          <w:szCs w:val="32"/>
        </w:rPr>
        <w:t>，随机区组排列。采用五点取样法，每样点调查</w:t>
      </w:r>
      <w:r>
        <w:rPr>
          <w:rFonts w:ascii="Times New Roman" w:eastAsia="仿宋_GB2312"/>
          <w:color w:val="000000"/>
          <w:kern w:val="2"/>
          <w:sz w:val="32"/>
          <w:szCs w:val="32"/>
        </w:rPr>
        <w:t xml:space="preserve"> 30 cm ×30 cm </w:t>
      </w:r>
      <w:r>
        <w:rPr>
          <w:rFonts w:ascii="Times New Roman" w:hAnsi="仿宋_GB2312" w:eastAsia="仿宋_GB2312"/>
          <w:color w:val="000000"/>
          <w:kern w:val="2"/>
          <w:sz w:val="32"/>
          <w:szCs w:val="32"/>
        </w:rPr>
        <w:t>面积内小白菜上黄曲条跳甲幼虫数量。分别于喷药前进行小猿叶甲虫口基数调查，药后</w:t>
      </w:r>
      <w:r>
        <w:rPr>
          <w:rFonts w:ascii="Times New Roman" w:eastAsia="仿宋_GB2312"/>
          <w:color w:val="000000"/>
          <w:kern w:val="2"/>
          <w:sz w:val="32"/>
          <w:szCs w:val="32"/>
        </w:rPr>
        <w:t xml:space="preserve"> 3 d</w:t>
      </w:r>
      <w:r>
        <w:rPr>
          <w:rFonts w:ascii="Times New Roman" w:hAnsi="仿宋_GB2312" w:eastAsia="仿宋_GB2312"/>
          <w:color w:val="000000"/>
          <w:kern w:val="2"/>
          <w:sz w:val="32"/>
          <w:szCs w:val="32"/>
        </w:rPr>
        <w:t>、</w:t>
      </w:r>
      <w:r>
        <w:rPr>
          <w:rFonts w:ascii="Times New Roman" w:eastAsia="仿宋_GB2312"/>
          <w:color w:val="000000"/>
          <w:kern w:val="2"/>
          <w:sz w:val="32"/>
          <w:szCs w:val="32"/>
        </w:rPr>
        <w:t>7 d</w:t>
      </w:r>
      <w:r>
        <w:rPr>
          <w:rFonts w:ascii="Times New Roman" w:hAnsi="仿宋_GB2312" w:eastAsia="仿宋_GB2312"/>
          <w:color w:val="000000"/>
          <w:kern w:val="2"/>
          <w:sz w:val="32"/>
          <w:szCs w:val="32"/>
        </w:rPr>
        <w:t>、</w:t>
      </w:r>
      <w:r>
        <w:rPr>
          <w:rFonts w:ascii="Times New Roman" w:eastAsia="仿宋_GB2312"/>
          <w:color w:val="000000"/>
          <w:kern w:val="2"/>
          <w:sz w:val="32"/>
          <w:szCs w:val="32"/>
        </w:rPr>
        <w:t xml:space="preserve">14 d </w:t>
      </w:r>
      <w:r>
        <w:rPr>
          <w:rFonts w:ascii="Times New Roman" w:hAnsi="仿宋_GB2312" w:eastAsia="仿宋_GB2312"/>
          <w:color w:val="000000"/>
          <w:kern w:val="2"/>
          <w:sz w:val="32"/>
          <w:szCs w:val="32"/>
        </w:rPr>
        <w:t>进行残存活虫数调查。依据施药前后处理区和空白对照区小猿叶甲的活虫数，计算减退率及防效。</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hAnsi="仿宋_GB2312" w:eastAsia="仿宋_GB2312"/>
          <w:color w:val="000000"/>
          <w:kern w:val="2"/>
          <w:sz w:val="32"/>
          <w:szCs w:val="32"/>
        </w:rPr>
        <w:t>②试验结果</w:t>
      </w:r>
      <w:r>
        <w:rPr>
          <w:rFonts w:ascii="Times New Roman" w:eastAsia="仿宋_GB2312"/>
          <w:color w:val="000000"/>
          <w:kern w:val="2"/>
          <w:sz w:val="32"/>
          <w:szCs w:val="32"/>
        </w:rPr>
        <w:t xml:space="preserve"> </w:t>
      </w:r>
    </w:p>
    <w:p>
      <w:pPr>
        <w:pStyle w:val="16"/>
        <w:adjustRightInd w:val="0"/>
        <w:snapToGrid w:val="0"/>
        <w:spacing w:line="560" w:lineRule="exact"/>
        <w:ind w:firstLine="640"/>
        <w:rPr>
          <w:rFonts w:ascii="Times New Roman" w:eastAsia="仿宋_GB2312"/>
          <w:color w:val="000000"/>
          <w:kern w:val="2"/>
          <w:sz w:val="32"/>
          <w:szCs w:val="32"/>
        </w:rPr>
      </w:pPr>
      <w:r>
        <w:rPr>
          <w:rFonts w:ascii="Times New Roman" w:hAnsi="仿宋_GB2312" w:eastAsia="仿宋_GB2312"/>
          <w:color w:val="000000"/>
          <w:kern w:val="2"/>
          <w:sz w:val="32"/>
          <w:szCs w:val="32"/>
        </w:rPr>
        <w:t>室内生测试验结果显示，</w:t>
      </w:r>
      <w:r>
        <w:rPr>
          <w:rFonts w:ascii="Times New Roman" w:eastAsia="仿宋_GB2312"/>
          <w:color w:val="000000"/>
          <w:kern w:val="2"/>
          <w:sz w:val="32"/>
          <w:szCs w:val="32"/>
        </w:rPr>
        <w:t>0.3%</w:t>
      </w:r>
      <w:r>
        <w:rPr>
          <w:rFonts w:ascii="Times New Roman" w:hAnsi="仿宋_GB2312" w:eastAsia="仿宋_GB2312"/>
          <w:color w:val="000000"/>
          <w:kern w:val="2"/>
          <w:sz w:val="32"/>
          <w:szCs w:val="32"/>
        </w:rPr>
        <w:t>苦皮藤素、</w:t>
      </w:r>
      <w:r>
        <w:rPr>
          <w:rFonts w:ascii="Times New Roman" w:eastAsia="仿宋_GB2312"/>
          <w:color w:val="000000"/>
          <w:kern w:val="2"/>
          <w:sz w:val="32"/>
          <w:szCs w:val="32"/>
        </w:rPr>
        <w:t>5%</w:t>
      </w:r>
      <w:r>
        <w:rPr>
          <w:rFonts w:ascii="Times New Roman" w:hAnsi="仿宋_GB2312" w:eastAsia="仿宋_GB2312"/>
          <w:color w:val="000000"/>
          <w:kern w:val="2"/>
          <w:sz w:val="32"/>
          <w:szCs w:val="32"/>
        </w:rPr>
        <w:t>鱼藤酮、</w:t>
      </w:r>
      <w:r>
        <w:rPr>
          <w:rFonts w:ascii="Times New Roman" w:eastAsia="仿宋_GB2312"/>
          <w:color w:val="000000"/>
          <w:kern w:val="2"/>
          <w:sz w:val="32"/>
          <w:szCs w:val="32"/>
        </w:rPr>
        <w:t xml:space="preserve">25% </w:t>
      </w:r>
      <w:r>
        <w:rPr>
          <w:rFonts w:ascii="Times New Roman" w:hAnsi="仿宋_GB2312" w:eastAsia="仿宋_GB2312"/>
          <w:color w:val="000000"/>
          <w:kern w:val="2"/>
          <w:sz w:val="32"/>
          <w:szCs w:val="32"/>
        </w:rPr>
        <w:t>噻虫嗪、</w:t>
      </w:r>
      <w:r>
        <w:rPr>
          <w:rFonts w:ascii="Times New Roman" w:eastAsia="仿宋_GB2312"/>
          <w:color w:val="000000"/>
          <w:kern w:val="2"/>
          <w:sz w:val="32"/>
          <w:szCs w:val="32"/>
        </w:rPr>
        <w:t xml:space="preserve">5% </w:t>
      </w:r>
      <w:r>
        <w:rPr>
          <w:rFonts w:ascii="Times New Roman" w:hAnsi="仿宋_GB2312" w:eastAsia="仿宋_GB2312"/>
          <w:color w:val="000000"/>
          <w:kern w:val="2"/>
          <w:sz w:val="32"/>
          <w:szCs w:val="32"/>
        </w:rPr>
        <w:t>啶虫脒、</w:t>
      </w:r>
      <w:r>
        <w:rPr>
          <w:rFonts w:ascii="Times New Roman" w:eastAsia="仿宋_GB2312"/>
          <w:color w:val="000000"/>
          <w:kern w:val="2"/>
          <w:sz w:val="32"/>
          <w:szCs w:val="32"/>
        </w:rPr>
        <w:t>10%</w:t>
      </w:r>
      <w:r>
        <w:rPr>
          <w:rFonts w:ascii="Times New Roman" w:hAnsi="仿宋_GB2312" w:eastAsia="仿宋_GB2312"/>
          <w:color w:val="000000"/>
          <w:kern w:val="2"/>
          <w:sz w:val="32"/>
          <w:szCs w:val="32"/>
        </w:rPr>
        <w:t>溴氰虫酰胺对小猿叶甲均具有较好的防治效果，各药剂毒力由高到低依次为</w:t>
      </w:r>
      <w:r>
        <w:rPr>
          <w:rFonts w:ascii="Times New Roman" w:eastAsia="仿宋_GB2312"/>
          <w:color w:val="000000"/>
          <w:kern w:val="2"/>
          <w:sz w:val="32"/>
          <w:szCs w:val="32"/>
        </w:rPr>
        <w:t>0.3%</w:t>
      </w:r>
      <w:r>
        <w:rPr>
          <w:rFonts w:ascii="Times New Roman" w:hAnsi="仿宋_GB2312" w:eastAsia="仿宋_GB2312"/>
          <w:color w:val="000000"/>
          <w:kern w:val="2"/>
          <w:sz w:val="32"/>
          <w:szCs w:val="32"/>
        </w:rPr>
        <w:t>苦皮藤素＞</w:t>
      </w:r>
      <w:r>
        <w:rPr>
          <w:rFonts w:ascii="Times New Roman" w:eastAsia="仿宋_GB2312"/>
          <w:color w:val="000000"/>
          <w:kern w:val="2"/>
          <w:sz w:val="32"/>
          <w:szCs w:val="32"/>
        </w:rPr>
        <w:t xml:space="preserve">5% </w:t>
      </w:r>
      <w:r>
        <w:rPr>
          <w:rFonts w:ascii="Times New Roman" w:hAnsi="仿宋_GB2312" w:eastAsia="仿宋_GB2312"/>
          <w:color w:val="000000"/>
          <w:kern w:val="2"/>
          <w:sz w:val="32"/>
          <w:szCs w:val="32"/>
        </w:rPr>
        <w:t>啶虫脒＞</w:t>
      </w:r>
      <w:r>
        <w:rPr>
          <w:rFonts w:ascii="Times New Roman" w:eastAsia="仿宋_GB2312"/>
          <w:color w:val="000000"/>
          <w:kern w:val="2"/>
          <w:sz w:val="32"/>
          <w:szCs w:val="32"/>
        </w:rPr>
        <w:t>10%</w:t>
      </w:r>
      <w:r>
        <w:rPr>
          <w:rFonts w:ascii="Times New Roman" w:hAnsi="仿宋_GB2312" w:eastAsia="仿宋_GB2312"/>
          <w:color w:val="000000"/>
          <w:kern w:val="2"/>
          <w:sz w:val="32"/>
          <w:szCs w:val="32"/>
        </w:rPr>
        <w:t>溴氰虫酰胺＞</w:t>
      </w:r>
      <w:r>
        <w:rPr>
          <w:rFonts w:ascii="Times New Roman" w:eastAsia="仿宋_GB2312"/>
          <w:color w:val="000000"/>
          <w:kern w:val="2"/>
          <w:sz w:val="32"/>
          <w:szCs w:val="32"/>
        </w:rPr>
        <w:t xml:space="preserve">25% </w:t>
      </w:r>
      <w:r>
        <w:rPr>
          <w:rFonts w:ascii="Times New Roman" w:hAnsi="仿宋_GB2312" w:eastAsia="仿宋_GB2312"/>
          <w:color w:val="000000"/>
          <w:kern w:val="2"/>
          <w:sz w:val="32"/>
          <w:szCs w:val="32"/>
        </w:rPr>
        <w:t>噻虫嗪＞</w:t>
      </w:r>
      <w:r>
        <w:rPr>
          <w:rFonts w:ascii="Times New Roman" w:eastAsia="仿宋_GB2312"/>
          <w:color w:val="000000"/>
          <w:kern w:val="2"/>
          <w:sz w:val="32"/>
          <w:szCs w:val="32"/>
        </w:rPr>
        <w:t>5%</w:t>
      </w:r>
      <w:r>
        <w:rPr>
          <w:rFonts w:ascii="Times New Roman" w:hAnsi="仿宋_GB2312" w:eastAsia="仿宋_GB2312"/>
          <w:color w:val="000000"/>
          <w:kern w:val="2"/>
          <w:sz w:val="32"/>
          <w:szCs w:val="32"/>
        </w:rPr>
        <w:t>鱼藤酮。</w:t>
      </w:r>
    </w:p>
    <w:p>
      <w:pPr>
        <w:jc w:val="center"/>
        <w:rPr>
          <w:rFonts w:ascii="Times New Roman"/>
          <w:sz w:val="24"/>
        </w:rPr>
      </w:pPr>
    </w:p>
    <w:p>
      <w:pPr>
        <w:jc w:val="center"/>
        <w:rPr>
          <w:rFonts w:ascii="Times New Roman"/>
          <w:sz w:val="24"/>
        </w:rPr>
      </w:pPr>
      <w:r>
        <w:rPr>
          <w:rFonts w:hint="eastAsia" w:ascii="Times New Roman"/>
          <w:sz w:val="24"/>
        </w:rPr>
        <w:t>表1 5种药剂对小猿叶甲室内毒力结果</w:t>
      </w:r>
    </w:p>
    <w:tbl>
      <w:tblPr>
        <w:tblStyle w:val="9"/>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51"/>
        <w:gridCol w:w="2269"/>
        <w:gridCol w:w="1133"/>
        <w:gridCol w:w="1986"/>
        <w:gridCol w:w="118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145" w:type="pct"/>
            <w:tcBorders>
              <w:top w:val="single" w:color="auto" w:sz="4" w:space="0"/>
              <w:bottom w:val="single" w:color="auto" w:sz="4" w:space="0"/>
            </w:tcBorders>
            <w:vAlign w:val="center"/>
          </w:tcPr>
          <w:p>
            <w:pPr>
              <w:jc w:val="center"/>
              <w:rPr>
                <w:rFonts w:ascii="Times New Roman" w:hAnsi="Times New Roman"/>
                <w:sz w:val="24"/>
              </w:rPr>
            </w:pPr>
            <w:r>
              <w:rPr>
                <w:rFonts w:ascii="Times New Roman"/>
                <w:sz w:val="24"/>
              </w:rPr>
              <w:t>药剂名称</w:t>
            </w:r>
          </w:p>
        </w:tc>
        <w:tc>
          <w:tcPr>
            <w:tcW w:w="1331" w:type="pct"/>
            <w:tcBorders>
              <w:top w:val="single" w:color="auto" w:sz="4" w:space="0"/>
              <w:bottom w:val="single" w:color="auto" w:sz="4" w:space="0"/>
            </w:tcBorders>
            <w:vAlign w:val="center"/>
          </w:tcPr>
          <w:p>
            <w:pPr>
              <w:jc w:val="center"/>
              <w:rPr>
                <w:rFonts w:ascii="Times New Roman" w:hAnsi="Times New Roman"/>
                <w:sz w:val="24"/>
              </w:rPr>
            </w:pPr>
            <w:r>
              <w:rPr>
                <w:rFonts w:ascii="Times New Roman"/>
                <w:sz w:val="24"/>
              </w:rPr>
              <w:t>毒力回归方程</w:t>
            </w:r>
          </w:p>
        </w:tc>
        <w:tc>
          <w:tcPr>
            <w:tcW w:w="665" w:type="pct"/>
            <w:tcBorders>
              <w:top w:val="single" w:color="auto" w:sz="4" w:space="0"/>
              <w:bottom w:val="single" w:color="auto" w:sz="4" w:space="0"/>
            </w:tcBorders>
            <w:vAlign w:val="center"/>
          </w:tcPr>
          <w:p>
            <w:pPr>
              <w:jc w:val="center"/>
              <w:rPr>
                <w:rFonts w:ascii="Times New Roman" w:hAnsi="Times New Roman"/>
                <w:sz w:val="24"/>
              </w:rPr>
            </w:pPr>
            <w:r>
              <w:rPr>
                <w:rFonts w:ascii="Times New Roman" w:hAnsi="Times New Roman"/>
                <w:sz w:val="24"/>
              </w:rPr>
              <w:t>LC50</w:t>
            </w:r>
          </w:p>
          <w:p>
            <w:pPr>
              <w:jc w:val="center"/>
              <w:rPr>
                <w:rFonts w:ascii="Times New Roman" w:hAnsi="Times New Roman"/>
                <w:sz w:val="24"/>
              </w:rPr>
            </w:pPr>
            <w:r>
              <w:rPr>
                <w:rFonts w:ascii="Times New Roman" w:hAnsi="Times New Roman"/>
                <w:sz w:val="24"/>
              </w:rPr>
              <w:t>(mg/L)</w:t>
            </w:r>
          </w:p>
        </w:tc>
        <w:tc>
          <w:tcPr>
            <w:tcW w:w="1165" w:type="pct"/>
            <w:tcBorders>
              <w:top w:val="single" w:color="auto" w:sz="4" w:space="0"/>
              <w:bottom w:val="single" w:color="auto" w:sz="4" w:space="0"/>
            </w:tcBorders>
            <w:vAlign w:val="center"/>
          </w:tcPr>
          <w:p>
            <w:pPr>
              <w:jc w:val="center"/>
              <w:rPr>
                <w:rFonts w:ascii="Times New Roman" w:hAnsi="Times New Roman"/>
                <w:sz w:val="24"/>
              </w:rPr>
            </w:pPr>
            <w:r>
              <w:rPr>
                <w:rFonts w:ascii="Times New Roman" w:hAnsi="Times New Roman"/>
                <w:sz w:val="24"/>
              </w:rPr>
              <w:t>95%</w:t>
            </w:r>
            <w:r>
              <w:rPr>
                <w:rFonts w:ascii="Times New Roman"/>
                <w:sz w:val="24"/>
              </w:rPr>
              <w:t>置信区间</w:t>
            </w:r>
            <w:r>
              <w:rPr>
                <w:rFonts w:ascii="Times New Roman" w:hAnsi="Times New Roman"/>
                <w:sz w:val="24"/>
              </w:rPr>
              <w:t>(mg/L )</w:t>
            </w:r>
          </w:p>
        </w:tc>
        <w:tc>
          <w:tcPr>
            <w:tcW w:w="694" w:type="pct"/>
            <w:tcBorders>
              <w:top w:val="single" w:color="auto" w:sz="4" w:space="0"/>
              <w:bottom w:val="single" w:color="auto" w:sz="4" w:space="0"/>
            </w:tcBorders>
            <w:vAlign w:val="center"/>
          </w:tcPr>
          <w:p>
            <w:pPr>
              <w:jc w:val="center"/>
              <w:rPr>
                <w:rFonts w:ascii="Times New Roman" w:hAnsi="Times New Roman"/>
                <w:sz w:val="24"/>
              </w:rPr>
            </w:pPr>
            <w:r>
              <w:rPr>
                <w:rFonts w:ascii="Times New Roman"/>
                <w:sz w:val="24"/>
              </w:rPr>
              <w:t>相关系数</w:t>
            </w:r>
          </w:p>
          <w:p>
            <w:pPr>
              <w:jc w:val="center"/>
              <w:rPr>
                <w:rFonts w:ascii="Times New Roman" w:hAnsi="Times New Roman"/>
                <w:sz w:val="24"/>
              </w:rPr>
            </w:pPr>
            <w:r>
              <w:rPr>
                <w:rFonts w:ascii="Times New Roman" w:hAnsi="Times New Roman"/>
                <w:sz w:val="24"/>
              </w:rPr>
              <w:t>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145" w:type="pct"/>
            <w:tcBorders>
              <w:top w:val="single" w:color="auto" w:sz="4" w:space="0"/>
            </w:tcBorders>
            <w:vAlign w:val="center"/>
          </w:tcPr>
          <w:p>
            <w:pPr>
              <w:jc w:val="center"/>
              <w:rPr>
                <w:rFonts w:ascii="Times New Roman" w:hAnsi="Times New Roman"/>
                <w:sz w:val="24"/>
              </w:rPr>
            </w:pPr>
            <w:r>
              <w:rPr>
                <w:rFonts w:ascii="Times New Roman" w:hAnsi="Times New Roman"/>
                <w:sz w:val="24"/>
              </w:rPr>
              <w:t>0.3%</w:t>
            </w:r>
            <w:r>
              <w:rPr>
                <w:rFonts w:ascii="Times New Roman"/>
                <w:sz w:val="24"/>
              </w:rPr>
              <w:t>苦皮藤素</w:t>
            </w:r>
          </w:p>
        </w:tc>
        <w:tc>
          <w:tcPr>
            <w:tcW w:w="1331" w:type="pct"/>
            <w:tcBorders>
              <w:top w:val="single" w:color="auto" w:sz="4" w:space="0"/>
            </w:tcBorders>
            <w:vAlign w:val="center"/>
          </w:tcPr>
          <w:p>
            <w:pPr>
              <w:jc w:val="center"/>
              <w:rPr>
                <w:rFonts w:ascii="Times New Roman" w:hAnsi="Times New Roman"/>
                <w:sz w:val="24"/>
              </w:rPr>
            </w:pPr>
            <w:r>
              <w:rPr>
                <w:rFonts w:ascii="Times New Roman" w:hAnsi="Times New Roman"/>
                <w:sz w:val="24"/>
              </w:rPr>
              <w:t>y =6.7149 +1.5485x</w:t>
            </w:r>
          </w:p>
        </w:tc>
        <w:tc>
          <w:tcPr>
            <w:tcW w:w="665" w:type="pct"/>
            <w:tcBorders>
              <w:top w:val="single" w:color="auto" w:sz="4" w:space="0"/>
            </w:tcBorders>
            <w:vAlign w:val="center"/>
          </w:tcPr>
          <w:p>
            <w:pPr>
              <w:jc w:val="center"/>
              <w:rPr>
                <w:rFonts w:ascii="Times New Roman" w:hAnsi="Times New Roman"/>
                <w:sz w:val="24"/>
              </w:rPr>
            </w:pPr>
            <w:r>
              <w:rPr>
                <w:rFonts w:ascii="Times New Roman" w:hAnsi="Times New Roman"/>
                <w:sz w:val="24"/>
              </w:rPr>
              <w:t>0.0781</w:t>
            </w:r>
          </w:p>
        </w:tc>
        <w:tc>
          <w:tcPr>
            <w:tcW w:w="1165" w:type="pct"/>
            <w:tcBorders>
              <w:top w:val="single" w:color="auto" w:sz="4" w:space="0"/>
            </w:tcBorders>
            <w:vAlign w:val="center"/>
          </w:tcPr>
          <w:p>
            <w:pPr>
              <w:jc w:val="center"/>
              <w:rPr>
                <w:rFonts w:ascii="Times New Roman" w:hAnsi="Times New Roman"/>
                <w:sz w:val="24"/>
              </w:rPr>
            </w:pPr>
            <w:r>
              <w:rPr>
                <w:rFonts w:ascii="Times New Roman" w:hAnsi="Times New Roman"/>
                <w:sz w:val="24"/>
              </w:rPr>
              <w:t>0.0540—0.1129</w:t>
            </w:r>
          </w:p>
        </w:tc>
        <w:tc>
          <w:tcPr>
            <w:tcW w:w="694" w:type="pct"/>
            <w:tcBorders>
              <w:top w:val="single" w:color="auto" w:sz="4" w:space="0"/>
            </w:tcBorders>
            <w:vAlign w:val="center"/>
          </w:tcPr>
          <w:p>
            <w:pPr>
              <w:jc w:val="center"/>
              <w:rPr>
                <w:rFonts w:ascii="Times New Roman" w:hAnsi="Times New Roman"/>
                <w:sz w:val="24"/>
              </w:rPr>
            </w:pPr>
            <w:r>
              <w:rPr>
                <w:rFonts w:ascii="Times New Roman" w:hAnsi="Times New Roman"/>
                <w:sz w:val="24"/>
              </w:rPr>
              <w:t>0.9947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145" w:type="pct"/>
            <w:vAlign w:val="center"/>
          </w:tcPr>
          <w:p>
            <w:pPr>
              <w:jc w:val="center"/>
              <w:rPr>
                <w:rFonts w:ascii="Times New Roman" w:hAnsi="Times New Roman"/>
                <w:sz w:val="24"/>
              </w:rPr>
            </w:pPr>
            <w:r>
              <w:rPr>
                <w:rFonts w:ascii="Times New Roman" w:hAnsi="Times New Roman"/>
                <w:sz w:val="24"/>
              </w:rPr>
              <w:t>5%</w:t>
            </w:r>
            <w:r>
              <w:rPr>
                <w:rFonts w:ascii="Times New Roman"/>
                <w:sz w:val="24"/>
              </w:rPr>
              <w:t>鱼藤酮</w:t>
            </w:r>
          </w:p>
        </w:tc>
        <w:tc>
          <w:tcPr>
            <w:tcW w:w="1331" w:type="pct"/>
            <w:vAlign w:val="center"/>
          </w:tcPr>
          <w:p>
            <w:pPr>
              <w:jc w:val="center"/>
              <w:rPr>
                <w:rFonts w:ascii="Times New Roman" w:hAnsi="Times New Roman"/>
                <w:sz w:val="24"/>
              </w:rPr>
            </w:pPr>
            <w:r>
              <w:rPr>
                <w:rFonts w:ascii="Times New Roman" w:hAnsi="Times New Roman"/>
                <w:sz w:val="24"/>
              </w:rPr>
              <w:t>y =3.9757 +1.1472x</w:t>
            </w:r>
          </w:p>
        </w:tc>
        <w:tc>
          <w:tcPr>
            <w:tcW w:w="665" w:type="pct"/>
            <w:vAlign w:val="center"/>
          </w:tcPr>
          <w:p>
            <w:pPr>
              <w:jc w:val="center"/>
              <w:rPr>
                <w:rFonts w:ascii="Times New Roman" w:hAnsi="Times New Roman"/>
                <w:sz w:val="24"/>
              </w:rPr>
            </w:pPr>
            <w:r>
              <w:rPr>
                <w:rFonts w:ascii="Times New Roman" w:hAnsi="Times New Roman"/>
                <w:sz w:val="24"/>
              </w:rPr>
              <w:t>7.8136</w:t>
            </w:r>
          </w:p>
        </w:tc>
        <w:tc>
          <w:tcPr>
            <w:tcW w:w="1165" w:type="pct"/>
            <w:vAlign w:val="center"/>
          </w:tcPr>
          <w:p>
            <w:pPr>
              <w:jc w:val="center"/>
              <w:rPr>
                <w:rFonts w:ascii="Times New Roman" w:hAnsi="Times New Roman"/>
                <w:sz w:val="24"/>
              </w:rPr>
            </w:pPr>
            <w:r>
              <w:rPr>
                <w:rFonts w:ascii="Times New Roman" w:hAnsi="Times New Roman"/>
                <w:sz w:val="24"/>
              </w:rPr>
              <w:t>5.1316—11.8974</w:t>
            </w:r>
          </w:p>
        </w:tc>
        <w:tc>
          <w:tcPr>
            <w:tcW w:w="694" w:type="pct"/>
            <w:vAlign w:val="center"/>
          </w:tcPr>
          <w:p>
            <w:pPr>
              <w:jc w:val="center"/>
              <w:rPr>
                <w:rFonts w:ascii="Times New Roman" w:hAnsi="Times New Roman"/>
                <w:sz w:val="24"/>
              </w:rPr>
            </w:pPr>
            <w:r>
              <w:rPr>
                <w:rFonts w:ascii="Times New Roman" w:hAnsi="Times New Roman"/>
                <w:sz w:val="24"/>
              </w:rPr>
              <w:t>0.9973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c>
          <w:tcPr>
            <w:tcW w:w="1145" w:type="pct"/>
            <w:vAlign w:val="center"/>
          </w:tcPr>
          <w:p>
            <w:pPr>
              <w:jc w:val="center"/>
              <w:rPr>
                <w:rFonts w:ascii="Times New Roman" w:hAnsi="Times New Roman"/>
                <w:sz w:val="24"/>
              </w:rPr>
            </w:pPr>
            <w:r>
              <w:rPr>
                <w:rFonts w:ascii="Times New Roman" w:hAnsi="Times New Roman"/>
                <w:sz w:val="24"/>
              </w:rPr>
              <w:t xml:space="preserve">25% </w:t>
            </w:r>
            <w:r>
              <w:rPr>
                <w:rFonts w:ascii="Times New Roman"/>
                <w:sz w:val="24"/>
              </w:rPr>
              <w:t>噻虫嗪</w:t>
            </w:r>
          </w:p>
        </w:tc>
        <w:tc>
          <w:tcPr>
            <w:tcW w:w="1331" w:type="pct"/>
            <w:vAlign w:val="center"/>
          </w:tcPr>
          <w:p>
            <w:pPr>
              <w:jc w:val="center"/>
              <w:rPr>
                <w:rFonts w:ascii="Times New Roman" w:hAnsi="Times New Roman"/>
                <w:sz w:val="24"/>
              </w:rPr>
            </w:pPr>
            <w:r>
              <w:rPr>
                <w:rFonts w:ascii="Times New Roman" w:hAnsi="Times New Roman"/>
                <w:sz w:val="24"/>
              </w:rPr>
              <w:t>y =3.1964 +2.2692x</w:t>
            </w:r>
          </w:p>
        </w:tc>
        <w:tc>
          <w:tcPr>
            <w:tcW w:w="665" w:type="pct"/>
            <w:vAlign w:val="center"/>
          </w:tcPr>
          <w:p>
            <w:pPr>
              <w:jc w:val="center"/>
              <w:rPr>
                <w:rFonts w:ascii="Times New Roman" w:hAnsi="Times New Roman"/>
                <w:sz w:val="24"/>
              </w:rPr>
            </w:pPr>
            <w:r>
              <w:rPr>
                <w:rFonts w:ascii="Times New Roman" w:hAnsi="Times New Roman"/>
                <w:sz w:val="24"/>
              </w:rPr>
              <w:t>6.2345</w:t>
            </w:r>
          </w:p>
        </w:tc>
        <w:tc>
          <w:tcPr>
            <w:tcW w:w="1165" w:type="pct"/>
            <w:vAlign w:val="center"/>
          </w:tcPr>
          <w:p>
            <w:pPr>
              <w:jc w:val="center"/>
              <w:rPr>
                <w:rFonts w:ascii="Times New Roman" w:hAnsi="Times New Roman"/>
                <w:sz w:val="24"/>
              </w:rPr>
            </w:pPr>
            <w:r>
              <w:rPr>
                <w:rFonts w:ascii="Times New Roman" w:hAnsi="Times New Roman"/>
                <w:sz w:val="24"/>
              </w:rPr>
              <w:t>4.9451—7.8601</w:t>
            </w:r>
          </w:p>
        </w:tc>
        <w:tc>
          <w:tcPr>
            <w:tcW w:w="694" w:type="pct"/>
            <w:vAlign w:val="center"/>
          </w:tcPr>
          <w:p>
            <w:pPr>
              <w:jc w:val="center"/>
              <w:rPr>
                <w:rFonts w:ascii="Times New Roman" w:hAnsi="Times New Roman"/>
                <w:sz w:val="24"/>
              </w:rPr>
            </w:pPr>
            <w:r>
              <w:rPr>
                <w:rFonts w:ascii="Times New Roman" w:hAnsi="Times New Roman"/>
                <w:sz w:val="24"/>
              </w:rPr>
              <w:t>0.9860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145" w:type="pct"/>
            <w:vAlign w:val="center"/>
          </w:tcPr>
          <w:p>
            <w:pPr>
              <w:jc w:val="center"/>
              <w:rPr>
                <w:rFonts w:ascii="Times New Roman" w:hAnsi="Times New Roman"/>
                <w:sz w:val="24"/>
              </w:rPr>
            </w:pPr>
            <w:r>
              <w:rPr>
                <w:rFonts w:ascii="Times New Roman" w:hAnsi="Times New Roman"/>
                <w:sz w:val="24"/>
              </w:rPr>
              <w:t xml:space="preserve">5% </w:t>
            </w:r>
            <w:r>
              <w:rPr>
                <w:rFonts w:ascii="Times New Roman"/>
                <w:sz w:val="24"/>
              </w:rPr>
              <w:t>啶虫脒</w:t>
            </w:r>
          </w:p>
        </w:tc>
        <w:tc>
          <w:tcPr>
            <w:tcW w:w="1331" w:type="pct"/>
            <w:vAlign w:val="center"/>
          </w:tcPr>
          <w:p>
            <w:pPr>
              <w:jc w:val="center"/>
              <w:rPr>
                <w:rFonts w:ascii="Times New Roman" w:hAnsi="Times New Roman"/>
                <w:sz w:val="24"/>
              </w:rPr>
            </w:pPr>
            <w:r>
              <w:rPr>
                <w:rFonts w:ascii="Times New Roman" w:hAnsi="Times New Roman"/>
                <w:sz w:val="24"/>
              </w:rPr>
              <w:t>y =5.3761 +1.1880x</w:t>
            </w:r>
          </w:p>
        </w:tc>
        <w:tc>
          <w:tcPr>
            <w:tcW w:w="665" w:type="pct"/>
            <w:vAlign w:val="center"/>
          </w:tcPr>
          <w:p>
            <w:pPr>
              <w:jc w:val="center"/>
              <w:rPr>
                <w:rFonts w:ascii="Times New Roman" w:hAnsi="Times New Roman"/>
                <w:sz w:val="24"/>
              </w:rPr>
            </w:pPr>
            <w:r>
              <w:rPr>
                <w:rFonts w:ascii="Times New Roman" w:hAnsi="Times New Roman"/>
                <w:sz w:val="24"/>
              </w:rPr>
              <w:t>0.4824</w:t>
            </w:r>
          </w:p>
        </w:tc>
        <w:tc>
          <w:tcPr>
            <w:tcW w:w="1165" w:type="pct"/>
            <w:vAlign w:val="center"/>
          </w:tcPr>
          <w:p>
            <w:pPr>
              <w:jc w:val="center"/>
              <w:rPr>
                <w:rFonts w:ascii="Times New Roman" w:hAnsi="Times New Roman"/>
                <w:sz w:val="24"/>
              </w:rPr>
            </w:pPr>
            <w:r>
              <w:rPr>
                <w:rFonts w:ascii="Times New Roman" w:hAnsi="Times New Roman"/>
                <w:sz w:val="24"/>
              </w:rPr>
              <w:t>0.3106—0.7491</w:t>
            </w:r>
          </w:p>
        </w:tc>
        <w:tc>
          <w:tcPr>
            <w:tcW w:w="694" w:type="pct"/>
            <w:vAlign w:val="center"/>
          </w:tcPr>
          <w:p>
            <w:pPr>
              <w:jc w:val="center"/>
              <w:rPr>
                <w:rFonts w:ascii="Times New Roman" w:hAnsi="Times New Roman"/>
                <w:sz w:val="24"/>
              </w:rPr>
            </w:pPr>
            <w:r>
              <w:rPr>
                <w:rFonts w:ascii="Times New Roman" w:hAnsi="Times New Roman"/>
                <w:sz w:val="24"/>
              </w:rPr>
              <w:t>0.9968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145" w:type="pct"/>
            <w:vAlign w:val="center"/>
          </w:tcPr>
          <w:p>
            <w:pPr>
              <w:jc w:val="center"/>
              <w:rPr>
                <w:rFonts w:ascii="Times New Roman" w:hAnsi="Times New Roman"/>
                <w:sz w:val="24"/>
              </w:rPr>
            </w:pPr>
            <w:r>
              <w:rPr>
                <w:rFonts w:ascii="Times New Roman" w:hAnsi="Times New Roman"/>
                <w:sz w:val="24"/>
              </w:rPr>
              <w:t>10%</w:t>
            </w:r>
            <w:r>
              <w:rPr>
                <w:rFonts w:ascii="Times New Roman"/>
                <w:sz w:val="24"/>
              </w:rPr>
              <w:t>溴氰虫酰胺</w:t>
            </w:r>
          </w:p>
        </w:tc>
        <w:tc>
          <w:tcPr>
            <w:tcW w:w="1331" w:type="pct"/>
            <w:vAlign w:val="center"/>
          </w:tcPr>
          <w:p>
            <w:pPr>
              <w:jc w:val="center"/>
              <w:rPr>
                <w:rFonts w:ascii="Times New Roman" w:hAnsi="Times New Roman"/>
                <w:sz w:val="24"/>
              </w:rPr>
            </w:pPr>
            <w:r>
              <w:rPr>
                <w:rFonts w:ascii="Times New Roman" w:hAnsi="Times New Roman"/>
                <w:sz w:val="24"/>
              </w:rPr>
              <w:t>y =4.1150 +2.1085x</w:t>
            </w:r>
          </w:p>
        </w:tc>
        <w:tc>
          <w:tcPr>
            <w:tcW w:w="665" w:type="pct"/>
            <w:vAlign w:val="center"/>
          </w:tcPr>
          <w:p>
            <w:pPr>
              <w:jc w:val="center"/>
              <w:rPr>
                <w:rFonts w:ascii="Times New Roman" w:hAnsi="Times New Roman"/>
                <w:sz w:val="24"/>
              </w:rPr>
            </w:pPr>
            <w:r>
              <w:rPr>
                <w:rFonts w:ascii="Times New Roman" w:hAnsi="Times New Roman"/>
                <w:sz w:val="24"/>
              </w:rPr>
              <w:t>2.6286</w:t>
            </w:r>
          </w:p>
        </w:tc>
        <w:tc>
          <w:tcPr>
            <w:tcW w:w="1165" w:type="pct"/>
            <w:vAlign w:val="center"/>
          </w:tcPr>
          <w:p>
            <w:pPr>
              <w:jc w:val="center"/>
              <w:rPr>
                <w:rFonts w:ascii="Times New Roman" w:hAnsi="Times New Roman"/>
                <w:sz w:val="24"/>
              </w:rPr>
            </w:pPr>
            <w:r>
              <w:rPr>
                <w:rFonts w:ascii="Times New Roman" w:hAnsi="Times New Roman"/>
                <w:sz w:val="24"/>
              </w:rPr>
              <w:t>2.0395—3.3879</w:t>
            </w:r>
          </w:p>
        </w:tc>
        <w:tc>
          <w:tcPr>
            <w:tcW w:w="694" w:type="pct"/>
            <w:vAlign w:val="center"/>
          </w:tcPr>
          <w:p>
            <w:pPr>
              <w:jc w:val="center"/>
              <w:rPr>
                <w:rFonts w:ascii="Times New Roman" w:hAnsi="Times New Roman"/>
                <w:sz w:val="24"/>
              </w:rPr>
            </w:pPr>
            <w:r>
              <w:rPr>
                <w:rFonts w:ascii="Times New Roman" w:hAnsi="Times New Roman"/>
                <w:sz w:val="24"/>
              </w:rPr>
              <w:t>0.9888</w:t>
            </w:r>
          </w:p>
        </w:tc>
      </w:tr>
    </w:tbl>
    <w:p>
      <w:pPr>
        <w:pStyle w:val="16"/>
        <w:adjustRightInd w:val="0"/>
        <w:snapToGrid w:val="0"/>
        <w:spacing w:line="560" w:lineRule="exact"/>
        <w:ind w:firstLine="640"/>
        <w:rPr>
          <w:rFonts w:ascii="Times New Roman" w:eastAsia="仿宋_GB2312"/>
          <w:color w:val="000000"/>
          <w:kern w:val="2"/>
          <w:sz w:val="32"/>
          <w:szCs w:val="32"/>
        </w:rPr>
      </w:pPr>
      <w:r>
        <w:rPr>
          <w:rFonts w:ascii="Times New Roman" w:hAnsi="仿宋_GB2312" w:eastAsia="仿宋_GB2312"/>
          <w:color w:val="000000"/>
          <w:kern w:val="2"/>
          <w:sz w:val="32"/>
          <w:szCs w:val="32"/>
        </w:rPr>
        <w:t>田间防效试验结果显示，</w:t>
      </w:r>
      <w:r>
        <w:rPr>
          <w:rFonts w:ascii="Times New Roman" w:eastAsia="仿宋_GB2312"/>
          <w:color w:val="000000"/>
          <w:kern w:val="2"/>
          <w:sz w:val="32"/>
          <w:szCs w:val="32"/>
        </w:rPr>
        <w:t>0.3%</w:t>
      </w:r>
      <w:r>
        <w:rPr>
          <w:rFonts w:ascii="Times New Roman" w:hAnsi="仿宋_GB2312" w:eastAsia="仿宋_GB2312"/>
          <w:color w:val="000000"/>
          <w:kern w:val="2"/>
          <w:sz w:val="32"/>
          <w:szCs w:val="32"/>
        </w:rPr>
        <w:t>苦皮藤素、</w:t>
      </w:r>
      <w:r>
        <w:rPr>
          <w:rFonts w:ascii="Times New Roman" w:eastAsia="仿宋_GB2312"/>
          <w:color w:val="000000"/>
          <w:kern w:val="2"/>
          <w:sz w:val="32"/>
          <w:szCs w:val="32"/>
        </w:rPr>
        <w:t>5%</w:t>
      </w:r>
      <w:r>
        <w:rPr>
          <w:rFonts w:ascii="Times New Roman" w:hAnsi="仿宋_GB2312" w:eastAsia="仿宋_GB2312"/>
          <w:color w:val="000000"/>
          <w:kern w:val="2"/>
          <w:sz w:val="32"/>
          <w:szCs w:val="32"/>
        </w:rPr>
        <w:t>鱼藤酮、</w:t>
      </w:r>
      <w:r>
        <w:rPr>
          <w:rFonts w:ascii="Times New Roman" w:eastAsia="仿宋_GB2312"/>
          <w:color w:val="000000"/>
          <w:kern w:val="2"/>
          <w:sz w:val="32"/>
          <w:szCs w:val="32"/>
        </w:rPr>
        <w:t xml:space="preserve">25% </w:t>
      </w:r>
      <w:r>
        <w:rPr>
          <w:rFonts w:ascii="Times New Roman" w:hAnsi="仿宋_GB2312" w:eastAsia="仿宋_GB2312"/>
          <w:color w:val="000000"/>
          <w:kern w:val="2"/>
          <w:sz w:val="32"/>
          <w:szCs w:val="32"/>
        </w:rPr>
        <w:t>噻虫嗪、</w:t>
      </w:r>
      <w:r>
        <w:rPr>
          <w:rFonts w:ascii="Times New Roman" w:eastAsia="仿宋_GB2312"/>
          <w:color w:val="000000"/>
          <w:kern w:val="2"/>
          <w:sz w:val="32"/>
          <w:szCs w:val="32"/>
        </w:rPr>
        <w:t xml:space="preserve">5% </w:t>
      </w:r>
      <w:r>
        <w:rPr>
          <w:rFonts w:ascii="Times New Roman" w:hAnsi="仿宋_GB2312" w:eastAsia="仿宋_GB2312"/>
          <w:color w:val="000000"/>
          <w:kern w:val="2"/>
          <w:sz w:val="32"/>
          <w:szCs w:val="32"/>
        </w:rPr>
        <w:t>啶虫脒、</w:t>
      </w:r>
      <w:r>
        <w:rPr>
          <w:rFonts w:ascii="Times New Roman" w:eastAsia="仿宋_GB2312"/>
          <w:color w:val="000000"/>
          <w:kern w:val="2"/>
          <w:sz w:val="32"/>
          <w:szCs w:val="32"/>
        </w:rPr>
        <w:t>10%</w:t>
      </w:r>
      <w:r>
        <w:rPr>
          <w:rFonts w:ascii="Times New Roman" w:hAnsi="仿宋_GB2312" w:eastAsia="仿宋_GB2312"/>
          <w:color w:val="000000"/>
          <w:kern w:val="2"/>
          <w:sz w:val="32"/>
          <w:szCs w:val="32"/>
        </w:rPr>
        <w:t>溴氰虫酰胺对小猿叶甲均具有较好的防治效果。各药剂毒力由高到低依次为</w:t>
      </w:r>
      <w:r>
        <w:rPr>
          <w:rFonts w:ascii="Times New Roman" w:eastAsia="仿宋_GB2312"/>
          <w:color w:val="000000"/>
          <w:kern w:val="2"/>
          <w:sz w:val="32"/>
          <w:szCs w:val="32"/>
        </w:rPr>
        <w:t>10%</w:t>
      </w:r>
      <w:r>
        <w:rPr>
          <w:rFonts w:ascii="Times New Roman" w:hAnsi="仿宋_GB2312" w:eastAsia="仿宋_GB2312"/>
          <w:color w:val="000000"/>
          <w:kern w:val="2"/>
          <w:sz w:val="32"/>
          <w:szCs w:val="32"/>
        </w:rPr>
        <w:t>溴氰虫酰胺＞</w:t>
      </w:r>
      <w:r>
        <w:rPr>
          <w:rFonts w:ascii="Times New Roman" w:eastAsia="仿宋_GB2312"/>
          <w:color w:val="000000"/>
          <w:kern w:val="2"/>
          <w:sz w:val="32"/>
          <w:szCs w:val="32"/>
        </w:rPr>
        <w:t>0.3%</w:t>
      </w:r>
      <w:r>
        <w:rPr>
          <w:rFonts w:ascii="Times New Roman" w:hAnsi="仿宋_GB2312" w:eastAsia="仿宋_GB2312"/>
          <w:color w:val="000000"/>
          <w:kern w:val="2"/>
          <w:sz w:val="32"/>
          <w:szCs w:val="32"/>
        </w:rPr>
        <w:t>苦皮藤素＞</w:t>
      </w:r>
      <w:r>
        <w:rPr>
          <w:rFonts w:ascii="Times New Roman" w:eastAsia="仿宋_GB2312"/>
          <w:color w:val="000000"/>
          <w:kern w:val="2"/>
          <w:sz w:val="32"/>
          <w:szCs w:val="32"/>
        </w:rPr>
        <w:t xml:space="preserve">25% </w:t>
      </w:r>
      <w:r>
        <w:rPr>
          <w:rFonts w:ascii="Times New Roman" w:hAnsi="仿宋_GB2312" w:eastAsia="仿宋_GB2312"/>
          <w:color w:val="000000"/>
          <w:kern w:val="2"/>
          <w:sz w:val="32"/>
          <w:szCs w:val="32"/>
        </w:rPr>
        <w:t>噻虫嗪＞</w:t>
      </w:r>
      <w:r>
        <w:rPr>
          <w:rFonts w:ascii="Times New Roman" w:eastAsia="仿宋_GB2312"/>
          <w:color w:val="000000"/>
          <w:kern w:val="2"/>
          <w:sz w:val="32"/>
          <w:szCs w:val="32"/>
        </w:rPr>
        <w:t xml:space="preserve">5% </w:t>
      </w:r>
      <w:r>
        <w:rPr>
          <w:rFonts w:ascii="Times New Roman" w:hAnsi="仿宋_GB2312" w:eastAsia="仿宋_GB2312"/>
          <w:color w:val="000000"/>
          <w:kern w:val="2"/>
          <w:sz w:val="32"/>
          <w:szCs w:val="32"/>
        </w:rPr>
        <w:t>啶虫脒＞</w:t>
      </w:r>
      <w:r>
        <w:rPr>
          <w:rFonts w:ascii="Times New Roman" w:eastAsia="仿宋_GB2312"/>
          <w:color w:val="000000"/>
          <w:kern w:val="2"/>
          <w:sz w:val="32"/>
          <w:szCs w:val="32"/>
        </w:rPr>
        <w:t>5%</w:t>
      </w:r>
      <w:r>
        <w:rPr>
          <w:rFonts w:ascii="Times New Roman" w:hAnsi="仿宋_GB2312" w:eastAsia="仿宋_GB2312"/>
          <w:color w:val="000000"/>
          <w:kern w:val="2"/>
          <w:sz w:val="32"/>
          <w:szCs w:val="32"/>
        </w:rPr>
        <w:t>鱼藤酮。</w:t>
      </w:r>
    </w:p>
    <w:p>
      <w:pPr>
        <w:jc w:val="center"/>
        <w:rPr>
          <w:rFonts w:ascii="Times New Roman" w:hAnsi="Times New Roman" w:eastAsiaTheme="minorEastAsia"/>
          <w:sz w:val="24"/>
        </w:rPr>
      </w:pPr>
      <w:r>
        <w:rPr>
          <w:rFonts w:ascii="Times New Roman" w:hAnsiTheme="minorEastAsia" w:eastAsiaTheme="minorEastAsia"/>
          <w:sz w:val="24"/>
        </w:rPr>
        <w:t>表</w:t>
      </w:r>
      <w:r>
        <w:rPr>
          <w:rFonts w:ascii="Times New Roman" w:hAnsi="Times New Roman" w:eastAsiaTheme="minorEastAsia"/>
          <w:sz w:val="24"/>
        </w:rPr>
        <w:t>2 5</w:t>
      </w:r>
      <w:r>
        <w:rPr>
          <w:rFonts w:ascii="Times New Roman" w:hAnsiTheme="minorEastAsia" w:eastAsiaTheme="minorEastAsia"/>
          <w:sz w:val="24"/>
        </w:rPr>
        <w:t>种药剂对小猿叶甲的田间防治效果</w:t>
      </w:r>
    </w:p>
    <w:tbl>
      <w:tblPr>
        <w:tblStyle w:val="9"/>
        <w:tblW w:w="505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2"/>
        <w:gridCol w:w="1276"/>
        <w:gridCol w:w="990"/>
        <w:gridCol w:w="811"/>
        <w:gridCol w:w="1032"/>
        <w:gridCol w:w="851"/>
        <w:gridCol w:w="856"/>
        <w:gridCol w:w="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3" w:type="pct"/>
            <w:vMerge w:val="restart"/>
            <w:tcBorders>
              <w:left w:val="nil"/>
              <w:right w:val="nil"/>
            </w:tcBorders>
            <w:vAlign w:val="center"/>
          </w:tcPr>
          <w:p>
            <w:pPr>
              <w:jc w:val="center"/>
              <w:rPr>
                <w:rFonts w:ascii="Times New Roman" w:hAnsi="Times New Roman" w:eastAsiaTheme="minorEastAsia"/>
                <w:sz w:val="24"/>
              </w:rPr>
            </w:pPr>
            <w:r>
              <w:rPr>
                <w:rFonts w:ascii="Times New Roman" w:hAnsiTheme="minorEastAsia" w:eastAsiaTheme="minorEastAsia"/>
                <w:sz w:val="24"/>
              </w:rPr>
              <w:t>药剂名称</w:t>
            </w:r>
          </w:p>
        </w:tc>
        <w:tc>
          <w:tcPr>
            <w:tcW w:w="741" w:type="pct"/>
            <w:vMerge w:val="restart"/>
            <w:tcBorders>
              <w:left w:val="nil"/>
              <w:right w:val="nil"/>
            </w:tcBorders>
            <w:vAlign w:val="center"/>
          </w:tcPr>
          <w:p>
            <w:pPr>
              <w:jc w:val="center"/>
              <w:rPr>
                <w:rFonts w:ascii="Times New Roman" w:hAnsi="Times New Roman" w:eastAsiaTheme="minorEastAsia"/>
                <w:sz w:val="24"/>
              </w:rPr>
            </w:pPr>
            <w:r>
              <w:rPr>
                <w:rFonts w:ascii="Times New Roman" w:hAnsiTheme="minorEastAsia" w:eastAsiaTheme="minorEastAsia"/>
                <w:sz w:val="24"/>
              </w:rPr>
              <w:t>制剂量</w:t>
            </w:r>
            <w:r>
              <w:rPr>
                <w:rFonts w:ascii="Times New Roman" w:hAnsi="Times New Roman" w:eastAsiaTheme="minorEastAsia"/>
                <w:sz w:val="24"/>
              </w:rPr>
              <w:t>/</w:t>
            </w:r>
            <w:r>
              <w:rPr>
                <w:rFonts w:ascii="Times New Roman" w:hAnsiTheme="minorEastAsia" w:eastAsiaTheme="minorEastAsia"/>
                <w:sz w:val="24"/>
              </w:rPr>
              <w:t>亩</w:t>
            </w:r>
          </w:p>
        </w:tc>
        <w:tc>
          <w:tcPr>
            <w:tcW w:w="1046" w:type="pct"/>
            <w:gridSpan w:val="2"/>
            <w:tcBorders>
              <w:left w:val="nil"/>
              <w:right w:val="nil"/>
            </w:tcBorders>
            <w:vAlign w:val="center"/>
          </w:tcPr>
          <w:p>
            <w:pPr>
              <w:jc w:val="center"/>
              <w:rPr>
                <w:rFonts w:ascii="Times New Roman" w:hAnsi="Times New Roman" w:eastAsiaTheme="minorEastAsia"/>
                <w:sz w:val="24"/>
              </w:rPr>
            </w:pPr>
            <w:r>
              <w:rPr>
                <w:rFonts w:ascii="Times New Roman" w:hAnsiTheme="minorEastAsia" w:eastAsiaTheme="minorEastAsia"/>
                <w:sz w:val="24"/>
              </w:rPr>
              <w:t>药后</w:t>
            </w:r>
            <w:r>
              <w:rPr>
                <w:rFonts w:ascii="Times New Roman" w:hAnsi="Times New Roman" w:eastAsiaTheme="minorEastAsia"/>
                <w:sz w:val="24"/>
              </w:rPr>
              <w:t xml:space="preserve"> 3 d/%</w:t>
            </w:r>
          </w:p>
        </w:tc>
        <w:tc>
          <w:tcPr>
            <w:tcW w:w="1093" w:type="pct"/>
            <w:gridSpan w:val="2"/>
            <w:tcBorders>
              <w:left w:val="nil"/>
              <w:right w:val="nil"/>
            </w:tcBorders>
            <w:vAlign w:val="center"/>
          </w:tcPr>
          <w:p>
            <w:pPr>
              <w:jc w:val="center"/>
              <w:rPr>
                <w:rFonts w:ascii="Times New Roman" w:hAnsi="Times New Roman" w:eastAsiaTheme="minorEastAsia"/>
                <w:sz w:val="24"/>
              </w:rPr>
            </w:pPr>
            <w:r>
              <w:rPr>
                <w:rFonts w:ascii="Times New Roman" w:hAnsiTheme="minorEastAsia" w:eastAsiaTheme="minorEastAsia"/>
                <w:sz w:val="24"/>
              </w:rPr>
              <w:t>药后</w:t>
            </w:r>
            <w:r>
              <w:rPr>
                <w:rFonts w:ascii="Times New Roman" w:hAnsi="Times New Roman" w:eastAsiaTheme="minorEastAsia"/>
                <w:sz w:val="24"/>
              </w:rPr>
              <w:t xml:space="preserve"> 7 d/%</w:t>
            </w:r>
          </w:p>
        </w:tc>
        <w:tc>
          <w:tcPr>
            <w:tcW w:w="987" w:type="pct"/>
            <w:gridSpan w:val="2"/>
            <w:tcBorders>
              <w:left w:val="nil"/>
              <w:right w:val="nil"/>
            </w:tcBorders>
            <w:vAlign w:val="center"/>
          </w:tcPr>
          <w:p>
            <w:pPr>
              <w:jc w:val="center"/>
              <w:rPr>
                <w:rFonts w:ascii="Times New Roman" w:hAnsi="Times New Roman" w:eastAsiaTheme="minorEastAsia"/>
                <w:sz w:val="24"/>
              </w:rPr>
            </w:pPr>
            <w:r>
              <w:rPr>
                <w:rFonts w:ascii="Times New Roman" w:hAnsiTheme="minorEastAsia" w:eastAsiaTheme="minorEastAsia"/>
                <w:sz w:val="24"/>
              </w:rPr>
              <w:t>药后</w:t>
            </w:r>
            <w:r>
              <w:rPr>
                <w:rFonts w:ascii="Times New Roman" w:hAnsi="Times New Roman" w:eastAsiaTheme="minorEastAsia"/>
                <w:sz w:val="24"/>
              </w:rPr>
              <w:t xml:space="preserve"> 14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3" w:type="pct"/>
            <w:vMerge w:val="continue"/>
            <w:tcBorders>
              <w:left w:val="nil"/>
              <w:bottom w:val="single" w:color="auto" w:sz="4" w:space="0"/>
              <w:right w:val="nil"/>
            </w:tcBorders>
            <w:vAlign w:val="center"/>
          </w:tcPr>
          <w:p>
            <w:pPr>
              <w:jc w:val="center"/>
              <w:rPr>
                <w:rFonts w:ascii="Times New Roman" w:hAnsi="Times New Roman" w:eastAsiaTheme="minorEastAsia"/>
                <w:sz w:val="24"/>
              </w:rPr>
            </w:pPr>
          </w:p>
        </w:tc>
        <w:tc>
          <w:tcPr>
            <w:tcW w:w="741" w:type="pct"/>
            <w:vMerge w:val="continue"/>
            <w:tcBorders>
              <w:left w:val="nil"/>
              <w:bottom w:val="single" w:color="auto" w:sz="4" w:space="0"/>
              <w:right w:val="nil"/>
            </w:tcBorders>
            <w:vAlign w:val="center"/>
          </w:tcPr>
          <w:p>
            <w:pPr>
              <w:jc w:val="center"/>
              <w:rPr>
                <w:rFonts w:ascii="Times New Roman" w:hAnsi="Times New Roman" w:eastAsiaTheme="minorEastAsia"/>
                <w:sz w:val="24"/>
              </w:rPr>
            </w:pPr>
          </w:p>
        </w:tc>
        <w:tc>
          <w:tcPr>
            <w:tcW w:w="575" w:type="pct"/>
            <w:tcBorders>
              <w:left w:val="nil"/>
              <w:bottom w:val="single" w:color="auto" w:sz="4" w:space="0"/>
              <w:right w:val="nil"/>
            </w:tcBorders>
            <w:vAlign w:val="center"/>
          </w:tcPr>
          <w:p>
            <w:pPr>
              <w:jc w:val="center"/>
              <w:rPr>
                <w:rFonts w:ascii="Times New Roman" w:hAnsi="Times New Roman" w:eastAsiaTheme="minorEastAsia"/>
                <w:sz w:val="24"/>
              </w:rPr>
            </w:pPr>
            <w:r>
              <w:rPr>
                <w:rFonts w:ascii="Times New Roman" w:hAnsiTheme="minorEastAsia" w:eastAsiaTheme="minorEastAsia"/>
                <w:sz w:val="24"/>
              </w:rPr>
              <w:t>减退率</w:t>
            </w:r>
          </w:p>
        </w:tc>
        <w:tc>
          <w:tcPr>
            <w:tcW w:w="471" w:type="pct"/>
            <w:tcBorders>
              <w:left w:val="nil"/>
              <w:bottom w:val="single" w:color="auto" w:sz="4" w:space="0"/>
              <w:right w:val="nil"/>
            </w:tcBorders>
            <w:vAlign w:val="center"/>
          </w:tcPr>
          <w:p>
            <w:pPr>
              <w:jc w:val="center"/>
              <w:rPr>
                <w:rFonts w:ascii="Times New Roman" w:hAnsi="Times New Roman" w:eastAsiaTheme="minorEastAsia"/>
                <w:sz w:val="24"/>
              </w:rPr>
            </w:pPr>
            <w:r>
              <w:rPr>
                <w:rFonts w:ascii="Times New Roman" w:hAnsiTheme="minorEastAsia" w:eastAsiaTheme="minorEastAsia"/>
                <w:sz w:val="24"/>
              </w:rPr>
              <w:t>防效</w:t>
            </w:r>
          </w:p>
        </w:tc>
        <w:tc>
          <w:tcPr>
            <w:tcW w:w="599" w:type="pct"/>
            <w:tcBorders>
              <w:left w:val="nil"/>
              <w:bottom w:val="single" w:color="auto" w:sz="4" w:space="0"/>
              <w:right w:val="nil"/>
            </w:tcBorders>
            <w:vAlign w:val="center"/>
          </w:tcPr>
          <w:p>
            <w:pPr>
              <w:jc w:val="center"/>
              <w:rPr>
                <w:rFonts w:ascii="Times New Roman" w:hAnsi="Times New Roman" w:eastAsiaTheme="minorEastAsia"/>
                <w:sz w:val="24"/>
              </w:rPr>
            </w:pPr>
            <w:r>
              <w:rPr>
                <w:rFonts w:ascii="Times New Roman" w:hAnsiTheme="minorEastAsia" w:eastAsiaTheme="minorEastAsia"/>
                <w:sz w:val="24"/>
              </w:rPr>
              <w:t>减退率</w:t>
            </w:r>
          </w:p>
        </w:tc>
        <w:tc>
          <w:tcPr>
            <w:tcW w:w="494" w:type="pct"/>
            <w:tcBorders>
              <w:left w:val="nil"/>
              <w:bottom w:val="single" w:color="auto" w:sz="4" w:space="0"/>
              <w:right w:val="nil"/>
            </w:tcBorders>
            <w:vAlign w:val="center"/>
          </w:tcPr>
          <w:p>
            <w:pPr>
              <w:jc w:val="center"/>
              <w:rPr>
                <w:rFonts w:ascii="Times New Roman" w:hAnsi="Times New Roman" w:eastAsiaTheme="minorEastAsia"/>
                <w:sz w:val="24"/>
              </w:rPr>
            </w:pPr>
            <w:r>
              <w:rPr>
                <w:rFonts w:ascii="Times New Roman" w:hAnsiTheme="minorEastAsia" w:eastAsiaTheme="minorEastAsia"/>
                <w:sz w:val="24"/>
              </w:rPr>
              <w:t>防效</w:t>
            </w:r>
          </w:p>
        </w:tc>
        <w:tc>
          <w:tcPr>
            <w:tcW w:w="497" w:type="pct"/>
            <w:tcBorders>
              <w:left w:val="nil"/>
              <w:bottom w:val="single" w:color="auto" w:sz="4" w:space="0"/>
              <w:right w:val="nil"/>
            </w:tcBorders>
            <w:vAlign w:val="center"/>
          </w:tcPr>
          <w:p>
            <w:pPr>
              <w:jc w:val="center"/>
              <w:rPr>
                <w:rFonts w:ascii="Times New Roman" w:hAnsi="Times New Roman" w:eastAsiaTheme="minorEastAsia"/>
                <w:sz w:val="24"/>
              </w:rPr>
            </w:pPr>
            <w:r>
              <w:rPr>
                <w:rFonts w:ascii="Times New Roman" w:hAnsiTheme="minorEastAsia" w:eastAsiaTheme="minorEastAsia"/>
                <w:sz w:val="24"/>
              </w:rPr>
              <w:t>减退率</w:t>
            </w:r>
          </w:p>
        </w:tc>
        <w:tc>
          <w:tcPr>
            <w:tcW w:w="490" w:type="pct"/>
            <w:tcBorders>
              <w:left w:val="nil"/>
              <w:bottom w:val="single" w:color="auto" w:sz="4" w:space="0"/>
              <w:right w:val="nil"/>
            </w:tcBorders>
            <w:vAlign w:val="center"/>
          </w:tcPr>
          <w:p>
            <w:pPr>
              <w:jc w:val="center"/>
              <w:rPr>
                <w:rFonts w:ascii="Times New Roman" w:hAnsi="Times New Roman" w:eastAsiaTheme="minorEastAsia"/>
                <w:sz w:val="24"/>
              </w:rPr>
            </w:pPr>
            <w:r>
              <w:rPr>
                <w:rFonts w:ascii="Times New Roman" w:hAnsiTheme="minorEastAsia" w:eastAsiaTheme="minorEastAsia"/>
                <w:sz w:val="24"/>
              </w:rPr>
              <w:t>防效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3" w:type="pct"/>
            <w:tcBorders>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0.3%</w:t>
            </w:r>
            <w:r>
              <w:rPr>
                <w:rFonts w:ascii="Times New Roman" w:hAnsiTheme="minorEastAsia" w:eastAsiaTheme="minorEastAsia"/>
                <w:sz w:val="24"/>
              </w:rPr>
              <w:t>苦皮藤素</w:t>
            </w:r>
          </w:p>
        </w:tc>
        <w:tc>
          <w:tcPr>
            <w:tcW w:w="741" w:type="pct"/>
            <w:tcBorders>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120mL</w:t>
            </w:r>
          </w:p>
        </w:tc>
        <w:tc>
          <w:tcPr>
            <w:tcW w:w="575" w:type="pct"/>
            <w:tcBorders>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95.81</w:t>
            </w:r>
          </w:p>
        </w:tc>
        <w:tc>
          <w:tcPr>
            <w:tcW w:w="471" w:type="pct"/>
            <w:tcBorders>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96.31</w:t>
            </w:r>
          </w:p>
        </w:tc>
        <w:tc>
          <w:tcPr>
            <w:tcW w:w="599" w:type="pct"/>
            <w:tcBorders>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98.731</w:t>
            </w:r>
          </w:p>
        </w:tc>
        <w:tc>
          <w:tcPr>
            <w:tcW w:w="494" w:type="pct"/>
            <w:tcBorders>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98.75</w:t>
            </w:r>
          </w:p>
        </w:tc>
        <w:tc>
          <w:tcPr>
            <w:tcW w:w="497" w:type="pct"/>
            <w:tcBorders>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89.01</w:t>
            </w:r>
          </w:p>
        </w:tc>
        <w:tc>
          <w:tcPr>
            <w:tcW w:w="490" w:type="pct"/>
            <w:tcBorders>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91.77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3"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5%</w:t>
            </w:r>
            <w:r>
              <w:rPr>
                <w:rFonts w:ascii="Times New Roman" w:hAnsiTheme="minorEastAsia" w:eastAsiaTheme="minorEastAsia"/>
                <w:sz w:val="24"/>
              </w:rPr>
              <w:t>鱼藤酮</w:t>
            </w:r>
          </w:p>
        </w:tc>
        <w:tc>
          <w:tcPr>
            <w:tcW w:w="741"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200mL</w:t>
            </w:r>
          </w:p>
        </w:tc>
        <w:tc>
          <w:tcPr>
            <w:tcW w:w="575"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88.12</w:t>
            </w:r>
          </w:p>
        </w:tc>
        <w:tc>
          <w:tcPr>
            <w:tcW w:w="471"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89.91</w:t>
            </w:r>
          </w:p>
        </w:tc>
        <w:tc>
          <w:tcPr>
            <w:tcW w:w="599"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82.53</w:t>
            </w:r>
          </w:p>
        </w:tc>
        <w:tc>
          <w:tcPr>
            <w:tcW w:w="494"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87.78</w:t>
            </w:r>
          </w:p>
        </w:tc>
        <w:tc>
          <w:tcPr>
            <w:tcW w:w="497"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73.99</w:t>
            </w:r>
          </w:p>
        </w:tc>
        <w:tc>
          <w:tcPr>
            <w:tcW w:w="490"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80.82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3"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 xml:space="preserve">25% </w:t>
            </w:r>
            <w:r>
              <w:rPr>
                <w:rFonts w:ascii="Times New Roman" w:hAnsiTheme="minorEastAsia" w:eastAsiaTheme="minorEastAsia"/>
                <w:sz w:val="24"/>
              </w:rPr>
              <w:t>噻虫嗪</w:t>
            </w:r>
          </w:p>
        </w:tc>
        <w:tc>
          <w:tcPr>
            <w:tcW w:w="741"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15g</w:t>
            </w:r>
          </w:p>
        </w:tc>
        <w:tc>
          <w:tcPr>
            <w:tcW w:w="575"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96.31</w:t>
            </w:r>
          </w:p>
        </w:tc>
        <w:tc>
          <w:tcPr>
            <w:tcW w:w="471"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96.79</w:t>
            </w:r>
          </w:p>
        </w:tc>
        <w:tc>
          <w:tcPr>
            <w:tcW w:w="599"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87.91</w:t>
            </w:r>
          </w:p>
        </w:tc>
        <w:tc>
          <w:tcPr>
            <w:tcW w:w="494"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91.58</w:t>
            </w:r>
          </w:p>
        </w:tc>
        <w:tc>
          <w:tcPr>
            <w:tcW w:w="497"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87.10</w:t>
            </w:r>
          </w:p>
        </w:tc>
        <w:tc>
          <w:tcPr>
            <w:tcW w:w="490"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90.44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3"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 xml:space="preserve">5% </w:t>
            </w:r>
            <w:r>
              <w:rPr>
                <w:rFonts w:ascii="Times New Roman" w:hAnsiTheme="minorEastAsia" w:eastAsiaTheme="minorEastAsia"/>
                <w:sz w:val="24"/>
              </w:rPr>
              <w:t>啶虫脒</w:t>
            </w:r>
          </w:p>
        </w:tc>
        <w:tc>
          <w:tcPr>
            <w:tcW w:w="741"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120mL</w:t>
            </w:r>
          </w:p>
        </w:tc>
        <w:tc>
          <w:tcPr>
            <w:tcW w:w="575"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88.45</w:t>
            </w:r>
          </w:p>
        </w:tc>
        <w:tc>
          <w:tcPr>
            <w:tcW w:w="471"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90.78</w:t>
            </w:r>
          </w:p>
        </w:tc>
        <w:tc>
          <w:tcPr>
            <w:tcW w:w="599"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67.90</w:t>
            </w:r>
          </w:p>
        </w:tc>
        <w:tc>
          <w:tcPr>
            <w:tcW w:w="494"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77.48</w:t>
            </w:r>
          </w:p>
        </w:tc>
        <w:tc>
          <w:tcPr>
            <w:tcW w:w="497"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76.33</w:t>
            </w:r>
          </w:p>
        </w:tc>
        <w:tc>
          <w:tcPr>
            <w:tcW w:w="490" w:type="pct"/>
            <w:tcBorders>
              <w:top w:val="nil"/>
              <w:left w:val="nil"/>
              <w:bottom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82.40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3" w:type="pct"/>
            <w:tcBorders>
              <w:top w:val="nil"/>
              <w:left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10%</w:t>
            </w:r>
            <w:r>
              <w:rPr>
                <w:rFonts w:ascii="Times New Roman" w:hAnsiTheme="minorEastAsia" w:eastAsiaTheme="minorEastAsia"/>
                <w:sz w:val="24"/>
              </w:rPr>
              <w:t>溴氰虫酰胺</w:t>
            </w:r>
          </w:p>
        </w:tc>
        <w:tc>
          <w:tcPr>
            <w:tcW w:w="741" w:type="pct"/>
            <w:tcBorders>
              <w:top w:val="nil"/>
              <w:left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28mL</w:t>
            </w:r>
          </w:p>
        </w:tc>
        <w:tc>
          <w:tcPr>
            <w:tcW w:w="575" w:type="pct"/>
            <w:tcBorders>
              <w:top w:val="nil"/>
              <w:left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100.00</w:t>
            </w:r>
          </w:p>
        </w:tc>
        <w:tc>
          <w:tcPr>
            <w:tcW w:w="471" w:type="pct"/>
            <w:tcBorders>
              <w:top w:val="nil"/>
              <w:left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100.0</w:t>
            </w:r>
          </w:p>
        </w:tc>
        <w:tc>
          <w:tcPr>
            <w:tcW w:w="599" w:type="pct"/>
            <w:tcBorders>
              <w:top w:val="nil"/>
              <w:left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100.00</w:t>
            </w:r>
          </w:p>
        </w:tc>
        <w:tc>
          <w:tcPr>
            <w:tcW w:w="494" w:type="pct"/>
            <w:tcBorders>
              <w:top w:val="nil"/>
              <w:left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100.0</w:t>
            </w:r>
          </w:p>
        </w:tc>
        <w:tc>
          <w:tcPr>
            <w:tcW w:w="497" w:type="pct"/>
            <w:tcBorders>
              <w:top w:val="nil"/>
              <w:left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99.05</w:t>
            </w:r>
          </w:p>
        </w:tc>
        <w:tc>
          <w:tcPr>
            <w:tcW w:w="490" w:type="pct"/>
            <w:tcBorders>
              <w:top w:val="nil"/>
              <w:left w:val="nil"/>
              <w:right w:val="nil"/>
            </w:tcBorders>
            <w:vAlign w:val="center"/>
          </w:tcPr>
          <w:p>
            <w:pPr>
              <w:jc w:val="center"/>
              <w:rPr>
                <w:rFonts w:ascii="Times New Roman" w:hAnsi="Times New Roman" w:eastAsiaTheme="minorEastAsia"/>
                <w:sz w:val="24"/>
              </w:rPr>
            </w:pPr>
            <w:r>
              <w:rPr>
                <w:rFonts w:ascii="Times New Roman" w:hAnsi="Times New Roman" w:eastAsiaTheme="minorEastAsia"/>
                <w:sz w:val="24"/>
              </w:rPr>
              <w:t>95.77</w:t>
            </w:r>
          </w:p>
        </w:tc>
      </w:tr>
    </w:tbl>
    <w:p>
      <w:pPr>
        <w:pStyle w:val="16"/>
        <w:adjustRightInd w:val="0"/>
        <w:snapToGrid w:val="0"/>
        <w:spacing w:line="560" w:lineRule="exact"/>
        <w:ind w:firstLine="0" w:firstLineChars="0"/>
        <w:rPr>
          <w:rFonts w:ascii="Times New Roman" w:hAnsi="仿宋_GB2312" w:eastAsia="仿宋_GB2312"/>
          <w:color w:val="000000"/>
          <w:kern w:val="2"/>
          <w:sz w:val="32"/>
          <w:szCs w:val="32"/>
        </w:rPr>
      </w:pPr>
    </w:p>
    <w:p>
      <w:pPr>
        <w:spacing w:line="560" w:lineRule="exact"/>
        <w:ind w:firstLine="611" w:firstLineChars="196"/>
        <w:rPr>
          <w:rFonts w:ascii="黑体" w:hAnsi="黑体" w:eastAsia="黑体" w:cs="黑体"/>
          <w:bCs/>
          <w:spacing w:val="-4"/>
          <w:sz w:val="32"/>
          <w:szCs w:val="32"/>
        </w:rPr>
      </w:pPr>
      <w:r>
        <w:rPr>
          <w:rFonts w:hint="eastAsia" w:ascii="黑体" w:hAnsi="黑体" w:eastAsia="黑体" w:cs="黑体"/>
          <w:bCs/>
          <w:spacing w:val="-4"/>
          <w:sz w:val="32"/>
          <w:szCs w:val="32"/>
        </w:rPr>
        <w:t>六、重大分歧意见的处理依据和结果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在征求意见过程中，发送“征求意见稿”给</w:t>
      </w:r>
      <w:r>
        <w:rPr>
          <w:rFonts w:ascii="仿宋_GB2312" w:hAnsi="仿宋_GB2312" w:eastAsia="仿宋_GB2312" w:cs="仿宋_GB2312"/>
          <w:sz w:val="32"/>
          <w:szCs w:val="32"/>
        </w:rPr>
        <w:t>从事植保</w:t>
      </w:r>
      <w:r>
        <w:rPr>
          <w:rFonts w:hint="eastAsia" w:ascii="仿宋_GB2312" w:hAnsi="仿宋_GB2312" w:eastAsia="仿宋_GB2312" w:cs="仿宋_GB2312"/>
          <w:sz w:val="32"/>
          <w:szCs w:val="32"/>
        </w:rPr>
        <w:t>的</w:t>
      </w:r>
      <w:r>
        <w:rPr>
          <w:rFonts w:ascii="仿宋_GB2312" w:hAnsi="仿宋_GB2312" w:eastAsia="仿宋_GB2312" w:cs="仿宋_GB2312"/>
          <w:sz w:val="32"/>
          <w:szCs w:val="32"/>
        </w:rPr>
        <w:t>科研、教学、</w:t>
      </w:r>
      <w:r>
        <w:rPr>
          <w:rFonts w:hint="eastAsia" w:ascii="仿宋_GB2312" w:hAnsi="仿宋_GB2312" w:eastAsia="仿宋_GB2312" w:cs="仿宋_GB2312"/>
          <w:sz w:val="32"/>
          <w:szCs w:val="32"/>
        </w:rPr>
        <w:t>推广等</w:t>
      </w:r>
      <w:r>
        <w:rPr>
          <w:rFonts w:ascii="仿宋_GB2312" w:hAnsi="仿宋_GB2312" w:eastAsia="仿宋_GB2312" w:cs="仿宋_GB2312"/>
          <w:sz w:val="32"/>
          <w:szCs w:val="32"/>
        </w:rPr>
        <w:t>单位的有关专家，分别征求其对本标准的修改意见。共发送《征求意见稿》的单位或个人数</w:t>
      </w:r>
      <w:r>
        <w:rPr>
          <w:rFonts w:hint="eastAsia" w:ascii="仿宋_GB2312" w:hAnsi="仿宋_GB2312" w:eastAsia="仿宋_GB2312" w:cs="仿宋_GB2312"/>
          <w:sz w:val="32"/>
          <w:szCs w:val="32"/>
        </w:rPr>
        <w:t>8</w:t>
      </w:r>
      <w:r>
        <w:rPr>
          <w:rFonts w:ascii="仿宋_GB2312" w:hAnsi="仿宋_GB2312" w:eastAsia="仿宋_GB2312" w:cs="仿宋_GB2312"/>
          <w:sz w:val="32"/>
          <w:szCs w:val="32"/>
        </w:rPr>
        <w:t>个，收到有修改意见的单位或个人</w:t>
      </w:r>
      <w:r>
        <w:rPr>
          <w:rFonts w:hint="eastAsia" w:ascii="仿宋_GB2312" w:hAnsi="仿宋_GB2312" w:eastAsia="仿宋_GB2312" w:cs="仿宋_GB2312"/>
          <w:sz w:val="32"/>
          <w:szCs w:val="32"/>
        </w:rPr>
        <w:t>8</w:t>
      </w:r>
      <w:r>
        <w:rPr>
          <w:rFonts w:ascii="仿宋_GB2312" w:hAnsi="仿宋_GB2312" w:eastAsia="仿宋_GB2312" w:cs="仿宋_GB2312"/>
          <w:sz w:val="32"/>
          <w:szCs w:val="32"/>
        </w:rPr>
        <w:t>个。共收到修改意见</w:t>
      </w:r>
      <w:r>
        <w:rPr>
          <w:rFonts w:hint="eastAsia" w:ascii="仿宋_GB2312" w:hAnsi="仿宋_GB2312" w:eastAsia="仿宋_GB2312" w:cs="仿宋_GB2312"/>
          <w:sz w:val="32"/>
          <w:szCs w:val="32"/>
        </w:rPr>
        <w:t>36</w:t>
      </w:r>
      <w:r>
        <w:rPr>
          <w:rFonts w:ascii="仿宋_GB2312" w:hAnsi="仿宋_GB2312" w:eastAsia="仿宋_GB2312" w:cs="仿宋_GB2312"/>
          <w:sz w:val="32"/>
          <w:szCs w:val="32"/>
        </w:rPr>
        <w:t>条，其中采纳</w:t>
      </w:r>
      <w:r>
        <w:rPr>
          <w:rFonts w:hint="eastAsia" w:ascii="仿宋_GB2312" w:hAnsi="仿宋_GB2312" w:eastAsia="仿宋_GB2312" w:cs="仿宋_GB2312"/>
          <w:sz w:val="32"/>
          <w:szCs w:val="32"/>
        </w:rPr>
        <w:t>36</w:t>
      </w:r>
      <w:r>
        <w:rPr>
          <w:rFonts w:ascii="仿宋_GB2312" w:hAnsi="仿宋_GB2312" w:eastAsia="仿宋_GB2312" w:cs="仿宋_GB2312"/>
          <w:sz w:val="32"/>
          <w:szCs w:val="32"/>
        </w:rPr>
        <w:t>条，</w:t>
      </w:r>
      <w:r>
        <w:rPr>
          <w:rFonts w:hint="eastAsia" w:ascii="仿宋_GB2312" w:hAnsi="仿宋_GB2312" w:eastAsia="仿宋_GB2312" w:cs="仿宋_GB2312"/>
          <w:sz w:val="32"/>
          <w:szCs w:val="32"/>
        </w:rPr>
        <w:t>部分和未</w:t>
      </w:r>
      <w:r>
        <w:rPr>
          <w:rFonts w:ascii="仿宋_GB2312" w:hAnsi="仿宋_GB2312" w:eastAsia="仿宋_GB2312" w:cs="仿宋_GB2312"/>
          <w:sz w:val="32"/>
          <w:szCs w:val="32"/>
        </w:rPr>
        <w:t>采纳</w:t>
      </w:r>
      <w:r>
        <w:rPr>
          <w:rFonts w:hint="eastAsia" w:ascii="仿宋_GB2312" w:hAnsi="仿宋_GB2312" w:eastAsia="仿宋_GB2312" w:cs="仿宋_GB2312"/>
          <w:sz w:val="32"/>
          <w:szCs w:val="32"/>
        </w:rPr>
        <w:t>0</w:t>
      </w:r>
      <w:r>
        <w:rPr>
          <w:rFonts w:ascii="仿宋_GB2312" w:hAnsi="仿宋_GB2312" w:eastAsia="仿宋_GB2312" w:cs="仿宋_GB2312"/>
          <w:sz w:val="32"/>
          <w:szCs w:val="32"/>
        </w:rPr>
        <w:t>条。</w:t>
      </w:r>
    </w:p>
    <w:p>
      <w:pPr>
        <w:spacing w:line="560" w:lineRule="exact"/>
        <w:ind w:firstLine="624" w:firstLineChars="200"/>
        <w:rPr>
          <w:rFonts w:ascii="黑体" w:hAnsi="黑体" w:eastAsia="黑体" w:cs="黑体"/>
          <w:bCs/>
          <w:spacing w:val="-4"/>
          <w:sz w:val="32"/>
          <w:szCs w:val="32"/>
        </w:rPr>
      </w:pPr>
      <w:r>
        <w:rPr>
          <w:rFonts w:hint="eastAsia" w:ascii="黑体" w:hAnsi="黑体" w:eastAsia="黑体" w:cs="黑体"/>
          <w:bCs/>
          <w:spacing w:val="-4"/>
          <w:sz w:val="32"/>
          <w:szCs w:val="32"/>
        </w:rPr>
        <w:t>七、采标情况</w:t>
      </w:r>
    </w:p>
    <w:p>
      <w:pPr>
        <w:pStyle w:val="3"/>
        <w:spacing w:line="560" w:lineRule="exact"/>
        <w:ind w:firstLine="640" w:firstLineChars="200"/>
        <w:rPr>
          <w:rFonts w:ascii="仿宋_GB2312" w:eastAsia="仿宋_GB2312"/>
          <w:spacing w:val="-4"/>
          <w:sz w:val="32"/>
          <w:szCs w:val="32"/>
          <w:lang w:val="en-US" w:bidi="ar-SA"/>
        </w:rPr>
      </w:pPr>
      <w:r>
        <w:rPr>
          <w:rFonts w:hint="eastAsia" w:ascii="仿宋_GB2312" w:hAnsi="仿宋_GB2312" w:eastAsia="仿宋_GB2312" w:cs="仿宋_GB2312"/>
          <w:color w:val="000000"/>
          <w:sz w:val="32"/>
          <w:szCs w:val="32"/>
          <w:lang w:val="en-US" w:bidi="ar-SA"/>
        </w:rPr>
        <w:t>无。</w:t>
      </w:r>
    </w:p>
    <w:p>
      <w:pPr>
        <w:spacing w:line="560" w:lineRule="exact"/>
        <w:ind w:firstLine="611" w:firstLineChars="196"/>
        <w:rPr>
          <w:rFonts w:ascii="黑体" w:hAnsi="黑体" w:eastAsia="黑体" w:cs="黑体"/>
          <w:bCs/>
          <w:spacing w:val="-4"/>
          <w:sz w:val="32"/>
          <w:szCs w:val="32"/>
        </w:rPr>
      </w:pPr>
      <w:r>
        <w:rPr>
          <w:rFonts w:hint="eastAsia" w:ascii="黑体" w:hAnsi="黑体" w:eastAsia="黑体" w:cs="黑体"/>
          <w:bCs/>
          <w:spacing w:val="-4"/>
          <w:sz w:val="32"/>
          <w:szCs w:val="32"/>
        </w:rPr>
        <w:t>八、贯彻实施标准的要求、措施等</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该标准的制定将对我省设施蔬菜甲虫类害虫的可持续控制提供可靠的依据。在蔬菜生产上的应用，可以做到蔬菜安全生产技术规程更具有科学性，这样可以有效的减药增效,提高蔬菜品质，减轻环境污染，确保蔬菜的食用安全，保护广大消费者的身体健康。根据</w:t>
      </w:r>
      <w:r>
        <w:rPr>
          <w:rFonts w:hint="eastAsia" w:ascii="仿宋_GB2312" w:hAnsi="仿宋_GB2312" w:eastAsia="仿宋_GB2312" w:cs="仿宋_GB2312"/>
          <w:color w:val="000000"/>
          <w:sz w:val="32"/>
          <w:szCs w:val="32"/>
          <w:lang w:eastAsia="zh-CN"/>
        </w:rPr>
        <w:t>《中华人民共和国标准化法》</w:t>
      </w:r>
      <w:r>
        <w:rPr>
          <w:rFonts w:hint="eastAsia" w:ascii="仿宋_GB2312" w:hAnsi="仿宋_GB2312" w:eastAsia="仿宋_GB2312" w:cs="仿宋_GB2312"/>
          <w:color w:val="000000"/>
          <w:sz w:val="32"/>
          <w:szCs w:val="32"/>
        </w:rPr>
        <w:t>的有关规定，结合我省设施蔬菜甲虫类害虫的防控实际，为规范设施蔬菜甲虫类害虫绿色防控技术，为环保部门提供判断依据，建议本标准为河北省推荐性地方标准发布实施。</w:t>
      </w:r>
    </w:p>
    <w:p>
      <w:pPr>
        <w:spacing w:line="560" w:lineRule="exact"/>
        <w:ind w:firstLine="611" w:firstLineChars="196"/>
        <w:rPr>
          <w:rFonts w:ascii="黑体" w:hAnsi="黑体" w:eastAsia="黑体" w:cs="黑体"/>
          <w:bCs/>
          <w:spacing w:val="-4"/>
          <w:sz w:val="32"/>
          <w:szCs w:val="32"/>
        </w:rPr>
      </w:pPr>
      <w:r>
        <w:rPr>
          <w:rFonts w:hint="eastAsia" w:ascii="黑体" w:hAnsi="黑体" w:eastAsia="黑体" w:cs="黑体"/>
          <w:bCs/>
          <w:spacing w:val="-4"/>
          <w:sz w:val="32"/>
          <w:szCs w:val="32"/>
        </w:rPr>
        <w:t>九、涉及专利的有关说明</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无。</w:t>
      </w:r>
    </w:p>
    <w:p>
      <w:pPr>
        <w:spacing w:line="560" w:lineRule="exact"/>
        <w:ind w:firstLine="611" w:firstLineChars="196"/>
        <w:rPr>
          <w:rFonts w:ascii="黑体" w:hAnsi="黑体" w:eastAsia="黑体" w:cs="黑体"/>
          <w:bCs/>
          <w:spacing w:val="-4"/>
          <w:sz w:val="32"/>
          <w:szCs w:val="32"/>
        </w:rPr>
      </w:pPr>
      <w:r>
        <w:rPr>
          <w:rFonts w:hint="eastAsia" w:ascii="黑体" w:hAnsi="黑体" w:eastAsia="黑体" w:cs="黑体"/>
          <w:bCs/>
          <w:spacing w:val="-4"/>
          <w:sz w:val="32"/>
          <w:szCs w:val="32"/>
        </w:rPr>
        <w:t>十、预期的经济、社会、生态效益</w:t>
      </w:r>
    </w:p>
    <w:p>
      <w:pPr>
        <w:spacing w:line="60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制定一套设施蔬菜甲虫类害虫绿色防治技术规程对生产具有规范和指导作用，为规范设施蔬菜甲虫类害虫的防控技术提供依据，保护设施生态环境，对实现我省农业绿色、健康、可持续发展具有重要意义。</w:t>
      </w:r>
      <w:r>
        <w:rPr>
          <w:rFonts w:hint="eastAsia" w:ascii="仿宋_GB2312" w:hAnsi="仿宋_GB2312" w:eastAsia="仿宋_GB2312" w:cs="仿宋_GB2312"/>
          <w:color w:val="000000"/>
          <w:sz w:val="32"/>
          <w:szCs w:val="32"/>
        </w:rPr>
        <w:t>不仅可以提升我省蔬菜质量和品质，而且还可以保护生态环境、保障食品安全，是一项利国利民的技术规程。</w:t>
      </w:r>
    </w:p>
    <w:p>
      <w:pPr>
        <w:spacing w:line="560" w:lineRule="exact"/>
        <w:ind w:firstLine="640" w:firstLineChars="200"/>
        <w:rPr>
          <w:rFonts w:ascii="仿宋_GB2312" w:hAnsi="仿宋_GB2312" w:eastAsia="仿宋_GB2312" w:cs="仿宋_GB2312"/>
          <w:color w:val="000000"/>
          <w:sz w:val="32"/>
          <w:szCs w:val="32"/>
        </w:rPr>
      </w:pP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《设施蔬菜甲虫类害虫绿色防治技术规程》</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标准起草小组</w:t>
      </w:r>
    </w:p>
    <w:p>
      <w:pPr>
        <w:spacing w:line="560" w:lineRule="exact"/>
        <w:ind w:firstLine="640"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 xml:space="preserve">                          2021</w:t>
      </w:r>
      <w:r>
        <w:rPr>
          <w:rFonts w:hint="eastAsia" w:ascii="仿宋_GB2312" w:hAnsi="仿宋_GB2312" w:eastAsia="仿宋_GB2312" w:cs="仿宋_GB2312"/>
          <w:color w:val="000000"/>
          <w:sz w:val="32"/>
          <w:szCs w:val="32"/>
          <w:lang w:val="zh-CN"/>
        </w:rPr>
        <w:t>年</w:t>
      </w:r>
      <w:r>
        <w:rPr>
          <w:rFonts w:hint="eastAsia" w:ascii="仿宋_GB2312" w:hAnsi="仿宋_GB2312" w:eastAsia="仿宋_GB2312" w:cs="仿宋_GB2312"/>
          <w:color w:val="000000"/>
          <w:sz w:val="32"/>
          <w:szCs w:val="32"/>
        </w:rPr>
        <w:t>10</w:t>
      </w:r>
      <w:r>
        <w:rPr>
          <w:rFonts w:hint="eastAsia" w:ascii="仿宋_GB2312" w:hAnsi="仿宋_GB2312" w:eastAsia="仿宋_GB2312" w:cs="仿宋_GB2312"/>
          <w:color w:val="000000"/>
          <w:sz w:val="32"/>
          <w:szCs w:val="32"/>
          <w:lang w:val="zh-CN"/>
        </w:rPr>
        <w:t>月</w:t>
      </w:r>
      <w:r>
        <w:rPr>
          <w:rFonts w:hint="eastAsia" w:ascii="仿宋_GB2312" w:hAnsi="仿宋_GB2312" w:eastAsia="仿宋_GB2312" w:cs="仿宋_GB2312"/>
          <w:color w:val="000000"/>
          <w:sz w:val="32"/>
          <w:szCs w:val="32"/>
        </w:rPr>
        <w:t>22</w:t>
      </w:r>
      <w:r>
        <w:rPr>
          <w:rFonts w:hint="eastAsia" w:ascii="仿宋_GB2312" w:hAnsi="仿宋_GB2312" w:eastAsia="仿宋_GB2312" w:cs="仿宋_GB2312"/>
          <w:color w:val="000000"/>
          <w:sz w:val="32"/>
          <w:szCs w:val="32"/>
          <w:lang w:val="zh-CN"/>
        </w:rPr>
        <w:t>日</w:t>
      </w:r>
    </w:p>
    <w:p>
      <w:pPr>
        <w:spacing w:line="606" w:lineRule="exact"/>
        <w:ind w:firstLine="640" w:firstLineChars="200"/>
        <w:rPr>
          <w:rFonts w:ascii="仿宋_GB2312" w:hAnsi="仿宋_GB2312" w:eastAsia="仿宋_GB2312" w:cs="仿宋_GB2312"/>
          <w:color w:val="000000"/>
          <w:sz w:val="32"/>
          <w:szCs w:val="32"/>
        </w:rPr>
      </w:pPr>
    </w:p>
    <w:p>
      <w:pPr>
        <w:spacing w:line="606" w:lineRule="exact"/>
        <w:ind w:firstLine="640" w:firstLineChars="200"/>
        <w:rPr>
          <w:rFonts w:ascii="仿宋_GB2312" w:hAnsi="仿宋_GB2312" w:eastAsia="仿宋_GB2312" w:cs="仿宋_GB2312"/>
          <w:color w:val="00000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BE69B0"/>
    <w:multiLevelType w:val="multilevel"/>
    <w:tmpl w:val="57BE69B0"/>
    <w:lvl w:ilvl="0" w:tentative="0">
      <w:start w:val="4"/>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5140A61"/>
    <w:multiLevelType w:val="multilevel"/>
    <w:tmpl w:val="65140A6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17"/>
      <w:suff w:val="nothing"/>
      <w:lvlText w:val="%1%2　"/>
      <w:lvlJc w:val="left"/>
      <w:pPr>
        <w:ind w:left="210" w:firstLine="0"/>
      </w:pPr>
      <w:rPr>
        <w:rFonts w:hint="eastAsia" w:ascii="黑体" w:hAnsi="Times New Roman" w:eastAsia="黑体"/>
        <w:b w:val="0"/>
        <w:i w:val="0"/>
        <w:sz w:val="21"/>
      </w:rPr>
    </w:lvl>
    <w:lvl w:ilvl="2" w:tentative="0">
      <w:start w:val="1"/>
      <w:numFmt w:val="decimal"/>
      <w:pStyle w:val="15"/>
      <w:suff w:val="nothing"/>
      <w:lvlText w:val="%1%2.%3　"/>
      <w:lvlJc w:val="left"/>
      <w:pPr>
        <w:ind w:left="315" w:firstLine="0"/>
      </w:pPr>
      <w:rPr>
        <w:rFonts w:hint="eastAsia" w:ascii="黑体" w:hAnsi="Times New Roman" w:eastAsia="黑体"/>
        <w:b w:val="0"/>
        <w:i w:val="0"/>
        <w:sz w:val="21"/>
      </w:rPr>
    </w:lvl>
    <w:lvl w:ilvl="3" w:tentative="0">
      <w:start w:val="1"/>
      <w:numFmt w:val="decimal"/>
      <w:suff w:val="nothing"/>
      <w:lvlText w:val="%1%2.%3.%4　"/>
      <w:lvlJc w:val="left"/>
      <w:pPr>
        <w:ind w:left="525"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55DFA"/>
    <w:rsid w:val="00003213"/>
    <w:rsid w:val="000216D9"/>
    <w:rsid w:val="00026652"/>
    <w:rsid w:val="00035A1F"/>
    <w:rsid w:val="000366F4"/>
    <w:rsid w:val="0006216A"/>
    <w:rsid w:val="00071EA4"/>
    <w:rsid w:val="00080E10"/>
    <w:rsid w:val="00083EE4"/>
    <w:rsid w:val="000C3256"/>
    <w:rsid w:val="000C3E2A"/>
    <w:rsid w:val="000F6AC4"/>
    <w:rsid w:val="00127092"/>
    <w:rsid w:val="00140B67"/>
    <w:rsid w:val="00160FE6"/>
    <w:rsid w:val="00171274"/>
    <w:rsid w:val="0017389F"/>
    <w:rsid w:val="001854E5"/>
    <w:rsid w:val="00192ABD"/>
    <w:rsid w:val="001B1582"/>
    <w:rsid w:val="001D1A0D"/>
    <w:rsid w:val="002008F4"/>
    <w:rsid w:val="00211AF3"/>
    <w:rsid w:val="002204CE"/>
    <w:rsid w:val="00261F26"/>
    <w:rsid w:val="00263177"/>
    <w:rsid w:val="00282975"/>
    <w:rsid w:val="00284F3C"/>
    <w:rsid w:val="002F1155"/>
    <w:rsid w:val="003514EC"/>
    <w:rsid w:val="00355DFA"/>
    <w:rsid w:val="00386ABB"/>
    <w:rsid w:val="003E34B3"/>
    <w:rsid w:val="003E353A"/>
    <w:rsid w:val="0042327E"/>
    <w:rsid w:val="00425925"/>
    <w:rsid w:val="00430577"/>
    <w:rsid w:val="00433E00"/>
    <w:rsid w:val="00495C98"/>
    <w:rsid w:val="00503D04"/>
    <w:rsid w:val="005A0B04"/>
    <w:rsid w:val="005E1B56"/>
    <w:rsid w:val="006212C3"/>
    <w:rsid w:val="00633CDA"/>
    <w:rsid w:val="00642E4E"/>
    <w:rsid w:val="00692B21"/>
    <w:rsid w:val="006C1882"/>
    <w:rsid w:val="006F4BFE"/>
    <w:rsid w:val="007509F4"/>
    <w:rsid w:val="007710C5"/>
    <w:rsid w:val="007765DC"/>
    <w:rsid w:val="00776D7B"/>
    <w:rsid w:val="007C77C4"/>
    <w:rsid w:val="00806EA5"/>
    <w:rsid w:val="0088365E"/>
    <w:rsid w:val="00890C56"/>
    <w:rsid w:val="008C0378"/>
    <w:rsid w:val="008D6127"/>
    <w:rsid w:val="009004E0"/>
    <w:rsid w:val="0090286C"/>
    <w:rsid w:val="00904063"/>
    <w:rsid w:val="00970A36"/>
    <w:rsid w:val="00972CAB"/>
    <w:rsid w:val="0099279C"/>
    <w:rsid w:val="009D7C28"/>
    <w:rsid w:val="009E62AB"/>
    <w:rsid w:val="00A96607"/>
    <w:rsid w:val="00AC106C"/>
    <w:rsid w:val="00AC4FE9"/>
    <w:rsid w:val="00AD6F05"/>
    <w:rsid w:val="00B53E3E"/>
    <w:rsid w:val="00B53E69"/>
    <w:rsid w:val="00B8027E"/>
    <w:rsid w:val="00B94598"/>
    <w:rsid w:val="00BB56C5"/>
    <w:rsid w:val="00BD6DE9"/>
    <w:rsid w:val="00C1755D"/>
    <w:rsid w:val="00C6072C"/>
    <w:rsid w:val="00C64E2C"/>
    <w:rsid w:val="00C71833"/>
    <w:rsid w:val="00C7566D"/>
    <w:rsid w:val="00C80392"/>
    <w:rsid w:val="00C8350C"/>
    <w:rsid w:val="00C9097B"/>
    <w:rsid w:val="00C972EE"/>
    <w:rsid w:val="00CA4DFE"/>
    <w:rsid w:val="00CC3FE9"/>
    <w:rsid w:val="00CE4DE3"/>
    <w:rsid w:val="00CF2D9A"/>
    <w:rsid w:val="00D13447"/>
    <w:rsid w:val="00D27CAD"/>
    <w:rsid w:val="00D5741F"/>
    <w:rsid w:val="00DB10BE"/>
    <w:rsid w:val="00DC4862"/>
    <w:rsid w:val="00DC6CEC"/>
    <w:rsid w:val="00DE262E"/>
    <w:rsid w:val="00DE3524"/>
    <w:rsid w:val="00DF67A5"/>
    <w:rsid w:val="00E23360"/>
    <w:rsid w:val="00E53B11"/>
    <w:rsid w:val="00E774B3"/>
    <w:rsid w:val="00EC6410"/>
    <w:rsid w:val="00F5557F"/>
    <w:rsid w:val="00FC5797"/>
    <w:rsid w:val="00FE49D1"/>
    <w:rsid w:val="00FF318D"/>
    <w:rsid w:val="FFDBB1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24"/>
    <w:qFormat/>
    <w:uiPriority w:val="9"/>
    <w:pPr>
      <w:widowControl/>
      <w:spacing w:before="100" w:beforeAutospacing="1" w:after="100" w:afterAutospacing="1"/>
      <w:jc w:val="left"/>
      <w:outlineLvl w:val="1"/>
    </w:pPr>
    <w:rPr>
      <w:rFonts w:ascii="宋体" w:hAnsi="宋体" w:cs="宋体"/>
      <w:b/>
      <w:bCs/>
      <w:kern w:val="0"/>
      <w:sz w:val="36"/>
      <w:szCs w:val="36"/>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3"/>
    <w:qFormat/>
    <w:uiPriority w:val="1"/>
    <w:rPr>
      <w:rFonts w:ascii="宋体" w:hAnsi="宋体" w:cs="宋体"/>
      <w:szCs w:val="21"/>
      <w:lang w:val="zh-CN" w:bidi="zh-CN"/>
    </w:rPr>
  </w:style>
  <w:style w:type="paragraph" w:styleId="4">
    <w:name w:val="Balloon Text"/>
    <w:basedOn w:val="1"/>
    <w:link w:val="21"/>
    <w:semiHidden/>
    <w:unhideWhenUsed/>
    <w:qFormat/>
    <w:uiPriority w:val="99"/>
    <w:rPr>
      <w:sz w:val="18"/>
      <w:szCs w:val="18"/>
    </w:rPr>
  </w:style>
  <w:style w:type="paragraph" w:styleId="5">
    <w:name w:val="footer"/>
    <w:basedOn w:val="1"/>
    <w:link w:val="14"/>
    <w:semiHidden/>
    <w:unhideWhenUsed/>
    <w:qFormat/>
    <w:uiPriority w:val="99"/>
    <w:pPr>
      <w:tabs>
        <w:tab w:val="center" w:pos="4153"/>
        <w:tab w:val="right" w:pos="8306"/>
      </w:tabs>
      <w:snapToGrid w:val="0"/>
      <w:jc w:val="left"/>
    </w:pPr>
    <w:rPr>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link w:val="1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22"/>
    <w:rPr>
      <w:b/>
      <w:bCs/>
    </w:rPr>
  </w:style>
  <w:style w:type="character" w:styleId="12">
    <w:name w:val="Hyperlink"/>
    <w:basedOn w:val="10"/>
    <w:semiHidden/>
    <w:unhideWhenUsed/>
    <w:qFormat/>
    <w:uiPriority w:val="99"/>
    <w:rPr>
      <w:color w:val="0000FF"/>
      <w:u w:val="single"/>
    </w:rPr>
  </w:style>
  <w:style w:type="character" w:customStyle="1" w:styleId="13">
    <w:name w:val="页眉 Char"/>
    <w:basedOn w:val="10"/>
    <w:link w:val="6"/>
    <w:semiHidden/>
    <w:qFormat/>
    <w:uiPriority w:val="99"/>
    <w:rPr>
      <w:sz w:val="18"/>
      <w:szCs w:val="18"/>
    </w:rPr>
  </w:style>
  <w:style w:type="character" w:customStyle="1" w:styleId="14">
    <w:name w:val="页脚 Char"/>
    <w:basedOn w:val="10"/>
    <w:link w:val="5"/>
    <w:semiHidden/>
    <w:qFormat/>
    <w:uiPriority w:val="99"/>
    <w:rPr>
      <w:sz w:val="18"/>
      <w:szCs w:val="18"/>
    </w:rPr>
  </w:style>
  <w:style w:type="paragraph" w:customStyle="1" w:styleId="15">
    <w:name w:val="一级条标题"/>
    <w:next w:val="16"/>
    <w:qFormat/>
    <w:uiPriority w:val="0"/>
    <w:pPr>
      <w:numPr>
        <w:ilvl w:val="2"/>
        <w:numId w:val="1"/>
      </w:numPr>
      <w:outlineLvl w:val="2"/>
    </w:pPr>
    <w:rPr>
      <w:rFonts w:ascii="Times New Roman" w:hAnsi="Times New Roman" w:eastAsia="黑体" w:cs="Times New Roman"/>
      <w:kern w:val="0"/>
      <w:sz w:val="21"/>
      <w:szCs w:val="20"/>
      <w:lang w:val="en-US" w:eastAsia="zh-CN" w:bidi="ar-SA"/>
    </w:rPr>
  </w:style>
  <w:style w:type="paragraph" w:customStyle="1" w:styleId="16">
    <w:name w:val="段"/>
    <w:qFormat/>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paragraph" w:customStyle="1" w:styleId="17">
    <w:name w:val="章标题"/>
    <w:next w:val="16"/>
    <w:qFormat/>
    <w:uiPriority w:val="0"/>
    <w:pPr>
      <w:numPr>
        <w:ilvl w:val="1"/>
        <w:numId w:val="1"/>
      </w:numPr>
      <w:spacing w:beforeLines="50" w:afterLines="50"/>
      <w:jc w:val="both"/>
      <w:outlineLvl w:val="1"/>
    </w:pPr>
    <w:rPr>
      <w:rFonts w:ascii="黑体" w:hAnsi="Times New Roman" w:eastAsia="黑体" w:cs="Times New Roman"/>
      <w:kern w:val="0"/>
      <w:sz w:val="21"/>
      <w:szCs w:val="20"/>
      <w:lang w:val="en-US" w:eastAsia="zh-CN" w:bidi="ar-SA"/>
    </w:rPr>
  </w:style>
  <w:style w:type="paragraph" w:customStyle="1" w:styleId="18">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9">
    <w:name w:val="HTML 预设格式 Char"/>
    <w:basedOn w:val="10"/>
    <w:link w:val="7"/>
    <w:qFormat/>
    <w:uiPriority w:val="99"/>
    <w:rPr>
      <w:rFonts w:ascii="宋体" w:hAnsi="宋体" w:eastAsia="宋体" w:cs="宋体"/>
      <w:kern w:val="0"/>
      <w:sz w:val="24"/>
      <w:szCs w:val="24"/>
    </w:rPr>
  </w:style>
  <w:style w:type="character" w:customStyle="1" w:styleId="20">
    <w:name w:val="description"/>
    <w:basedOn w:val="10"/>
    <w:qFormat/>
    <w:uiPriority w:val="0"/>
  </w:style>
  <w:style w:type="character" w:customStyle="1" w:styleId="21">
    <w:name w:val="批注框文本 Char"/>
    <w:basedOn w:val="10"/>
    <w:link w:val="4"/>
    <w:semiHidden/>
    <w:qFormat/>
    <w:uiPriority w:val="99"/>
    <w:rPr>
      <w:sz w:val="18"/>
      <w:szCs w:val="18"/>
    </w:rPr>
  </w:style>
  <w:style w:type="character" w:customStyle="1" w:styleId="22">
    <w:name w:val="number"/>
    <w:basedOn w:val="10"/>
    <w:qFormat/>
    <w:uiPriority w:val="0"/>
  </w:style>
  <w:style w:type="character" w:customStyle="1" w:styleId="23">
    <w:name w:val="正文文本 Char"/>
    <w:basedOn w:val="10"/>
    <w:link w:val="3"/>
    <w:qFormat/>
    <w:uiPriority w:val="1"/>
    <w:rPr>
      <w:rFonts w:ascii="宋体" w:hAnsi="宋体" w:eastAsia="宋体" w:cs="宋体"/>
      <w:szCs w:val="21"/>
      <w:lang w:val="zh-CN" w:bidi="zh-CN"/>
    </w:rPr>
  </w:style>
  <w:style w:type="character" w:customStyle="1" w:styleId="24">
    <w:name w:val="标题 2 Char"/>
    <w:basedOn w:val="10"/>
    <w:link w:val="2"/>
    <w:qFormat/>
    <w:uiPriority w:val="9"/>
    <w:rPr>
      <w:rFonts w:ascii="宋体" w:hAnsi="宋体" w:eastAsia="宋体" w:cs="宋体"/>
      <w:b/>
      <w:bCs/>
      <w:kern w:val="0"/>
      <w:sz w:val="36"/>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1074</Words>
  <Characters>6123</Characters>
  <Lines>51</Lines>
  <Paragraphs>14</Paragraphs>
  <TotalTime>1</TotalTime>
  <ScaleCrop>false</ScaleCrop>
  <LinksUpToDate>false</LinksUpToDate>
  <CharactersWithSpaces>7183</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2021-11-03T08:26:00Z</dcterms:created>
  <dc:creator>zbssj</dc:creator>
  <cp:lastModifiedBy>uos</cp:lastModifiedBy>
  <dcterms:modified xsi:type="dcterms:W3CDTF">2025-06-06T17:21:35Z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