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4"/>
        <w:framePr/>
      </w:pPr>
      <w:bookmarkStart w:id="0" w:name="WXFLH"/>
      <w:r>
        <w:rPr>
          <w:rFonts w:ascii="Times New Roman"/>
        </w:rPr>
        <w:t>ICS</w:t>
      </w:r>
      <w:r>
        <w:rPr>
          <w:rFonts w:hAnsi="黑体"/>
        </w:rPr>
        <w:t> </w:t>
      </w:r>
      <w:r>
        <w:t xml:space="preserve">03.100.01 </w:t>
      </w:r>
    </w:p>
    <w:p>
      <w:pPr>
        <w:pStyle w:val="124"/>
        <w:framePr/>
      </w:pPr>
      <w:r>
        <w:t>A 02</w:t>
      </w:r>
      <w:bookmarkEnd w:id="0"/>
      <w:r>
        <w:t xml:space="preserve"> </w:t>
      </w:r>
    </w:p>
    <w:p>
      <w:pPr>
        <w:pStyle w:val="124"/>
        <w:framePr/>
      </w:pPr>
    </w:p>
    <w:p>
      <w:pPr>
        <w:pStyle w:val="110"/>
        <w:framePr/>
        <w:rPr>
          <w:sz w:val="21"/>
          <w:szCs w:val="21"/>
        </w:rPr>
      </w:pPr>
      <w:r>
        <w:rPr>
          <w:sz w:val="21"/>
          <w:szCs w:val="21"/>
        </w:rPr>
        <w:t>DB</w:t>
      </w:r>
      <w:bookmarkStart w:id="1" w:name="c3"/>
      <w:r>
        <w:rPr>
          <w:sz w:val="21"/>
          <w:szCs w:val="21"/>
        </w:rPr>
        <w:t>13</w:t>
      </w:r>
      <w:bookmarkEnd w:id="1"/>
    </w:p>
    <w:p>
      <w:pPr>
        <w:pStyle w:val="111"/>
        <w:framePr/>
        <w:rPr>
          <w:szCs w:val="48"/>
        </w:rPr>
      </w:pPr>
      <w:bookmarkStart w:id="2" w:name="c4"/>
      <w:r>
        <w:rPr>
          <w:rFonts w:hint="eastAsia"/>
          <w:szCs w:val="48"/>
        </w:rPr>
        <w:t>河北省</w:t>
      </w:r>
      <w:bookmarkEnd w:id="2"/>
      <w:r>
        <w:rPr>
          <w:rFonts w:hint="eastAsia"/>
          <w:szCs w:val="48"/>
        </w:rPr>
        <w:t>地方标准</w:t>
      </w:r>
    </w:p>
    <w:p>
      <w:pPr>
        <w:pStyle w:val="48"/>
        <w:framePr/>
        <w:rPr>
          <w:rFonts w:hAnsi="黑体"/>
        </w:rPr>
      </w:pPr>
      <w:r>
        <w:rPr>
          <w:rFonts w:ascii="Times New Roman"/>
        </w:rPr>
        <w:t xml:space="preserve">DB </w:t>
      </w:r>
      <w:bookmarkStart w:id="3" w:name="StdNo0"/>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Ansi="黑体"/>
        </w:rPr>
        <w:t>13</w:t>
      </w:r>
      <w:r>
        <w:rPr>
          <w:rFonts w:hAnsi="黑体"/>
        </w:rPr>
        <w:fldChar w:fldCharType="end"/>
      </w:r>
      <w:bookmarkEnd w:id="3"/>
      <w:r>
        <w:rPr>
          <w:rFonts w:hAnsi="黑体"/>
        </w:rPr>
        <w:t xml:space="preserve">/T </w:t>
      </w:r>
      <w:r>
        <w:rPr>
          <w:rFonts w:hAnsi="黑体"/>
        </w:rPr>
        <w:fldChar w:fldCharType="begin">
          <w:ffData>
            <w:name w:val="StdNo1"/>
            <w:enabled/>
            <w:calcOnExit w:val="0"/>
            <w:textInput>
              <w:default w:val="XXXX"/>
            </w:textInput>
          </w:ffData>
        </w:fldChar>
      </w:r>
      <w:bookmarkStart w:id="4"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4"/>
      <w:r>
        <w:rPr>
          <w:rFonts w:hAnsi="黑体"/>
        </w:rPr>
        <w:t>—</w:t>
      </w:r>
      <w:bookmarkStart w:id="5"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5"/>
    </w:p>
    <w:tbl>
      <w:tblPr>
        <w:tblStyle w:val="34"/>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7"/>
              <w:framePr/>
              <w:rPr>
                <w:sz w:val="28"/>
                <w:szCs w:val="28"/>
              </w:rPr>
            </w:pPr>
            <w:bookmarkStart w:id="6" w:name="DT"/>
            <w:r>
              <w:rPr>
                <w:sz w:val="28"/>
                <w:szCs w:val="28"/>
              </w:rP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true"/>
                            </wps:cNvSpPr>
                            <wps:spPr bwMode="auto">
                              <a:xfrm>
                                <a:off x="0" y="0"/>
                                <a:ext cx="982980" cy="196215"/>
                              </a:xfrm>
                              <a:prstGeom prst="rect">
                                <a:avLst/>
                              </a:prstGeom>
                              <a:solidFill>
                                <a:srgbClr val="FFFFFF"/>
                              </a:solidFill>
                              <a:ln>
                                <a:noFill/>
                              </a:ln>
                            </wps:spPr>
                            <wps:txbx>
                              <w:txbxContent>
                                <w:p>
                                  <w:pPr>
                                    <w:jc w:val="center"/>
                                  </w:pPr>
                                </w:p>
                              </w:txbxContent>
                            </wps:txbx>
                            <wps:bodyPr rot="0" vert="horz" wrap="square" lIns="91440" tIns="45720" rIns="91440" bIns="45720" anchor="t" anchorCtr="false" upright="true">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PUYaFdcAAAAIAQAADwAAAAAAAAAB&#10;ACAAAAA4AAAAZHJzL2Rvd25yZXYueG1sUEsBAhQAFAAAAAgAh07iQIRs1gf7AQAA5wMAAA4AAAAA&#10;AAAAAQAgAAAAPAEAAGRycy9lMm9Eb2MueG1sUEsFBgAAAAAGAAYAWQEAAKkFAAAAAA==&#10;">
                      <v:fill on="t" focussize="0,0"/>
                      <v:stroke on="f"/>
                      <v:imagedata o:title=""/>
                      <o:lock v:ext="edit" aspectratio="f"/>
                      <v:textbox>
                        <w:txbxContent>
                          <w:p>
                            <w:pPr>
                              <w:jc w:val="center"/>
                            </w:pPr>
                          </w:p>
                        </w:txbxContent>
                      </v:textbox>
                    </v:rect>
                  </w:pict>
                </mc:Fallback>
              </mc:AlternateContent>
            </w:r>
            <w:r>
              <w:rPr>
                <w:sz w:val="28"/>
                <w:szCs w:val="28"/>
              </w:rPr>
              <w:fldChar w:fldCharType="begin">
                <w:ffData>
                  <w:name w:val="DT"/>
                  <w:enabled/>
                  <w:calcOnExit w:val="0"/>
                  <w:textInput/>
                </w:ffData>
              </w:fldChar>
            </w:r>
            <w:r>
              <w:rPr>
                <w:sz w:val="28"/>
                <w:szCs w:val="28"/>
              </w:rPr>
              <w:instrText xml:space="preserve"> FORMTEXT </w:instrText>
            </w:r>
            <w:r>
              <w:rPr>
                <w:sz w:val="28"/>
                <w:szCs w:val="28"/>
              </w:rPr>
              <w:fldChar w:fldCharType="separate"/>
            </w:r>
            <w:r>
              <w:rPr>
                <w:sz w:val="28"/>
                <w:szCs w:val="28"/>
              </w:rPr>
              <w:t>     </w:t>
            </w:r>
            <w:r>
              <w:rPr>
                <w:sz w:val="28"/>
                <w:szCs w:val="28"/>
              </w:rPr>
              <w:fldChar w:fldCharType="end"/>
            </w:r>
            <w:bookmarkEnd w:id="6"/>
          </w:p>
        </w:tc>
      </w:tr>
    </w:tbl>
    <w:p>
      <w:pPr>
        <w:pStyle w:val="48"/>
        <w:framePr/>
        <w:rPr>
          <w:rFonts w:hAnsi="黑体"/>
          <w:sz w:val="21"/>
          <w:szCs w:val="21"/>
        </w:rPr>
      </w:pPr>
    </w:p>
    <w:p>
      <w:pPr>
        <w:pStyle w:val="48"/>
        <w:framePr/>
        <w:rPr>
          <w:rFonts w:hAnsi="黑体"/>
          <w:sz w:val="21"/>
          <w:szCs w:val="21"/>
        </w:rPr>
      </w:pPr>
    </w:p>
    <w:p>
      <w:pPr>
        <w:pStyle w:val="79"/>
        <w:framePr w:y="6061"/>
        <w:rPr>
          <w:rFonts w:hint="eastAsia" w:eastAsia="黑体"/>
          <w:szCs w:val="52"/>
          <w:lang w:eastAsia="zh-CN"/>
        </w:rPr>
      </w:pPr>
      <w:r>
        <w:rPr>
          <w:rFonts w:hint="eastAsia"/>
          <w:szCs w:val="52"/>
        </w:rPr>
        <w:t>土工管袋</w:t>
      </w:r>
      <w:r>
        <w:rPr>
          <w:rFonts w:hint="eastAsia"/>
          <w:szCs w:val="52"/>
          <w:lang w:val="en-US" w:eastAsia="zh-CN"/>
        </w:rPr>
        <w:t>应用</w:t>
      </w:r>
      <w:r>
        <w:rPr>
          <w:szCs w:val="52"/>
        </w:rPr>
        <w:t>技术</w:t>
      </w:r>
      <w:r>
        <w:rPr>
          <w:rFonts w:hint="eastAsia"/>
          <w:szCs w:val="52"/>
          <w:lang w:val="en-US" w:eastAsia="zh-CN"/>
        </w:rPr>
        <w:t>规范</w:t>
      </w:r>
    </w:p>
    <w:p>
      <w:pPr>
        <w:pStyle w:val="80"/>
        <w:framePr w:y="6061"/>
        <w:rPr>
          <w:sz w:val="21"/>
          <w:szCs w:val="21"/>
        </w:rPr>
      </w:pPr>
    </w:p>
    <w:p>
      <w:pPr>
        <w:pStyle w:val="81"/>
        <w:framePr w:y="6061"/>
        <w:rPr>
          <w:sz w:val="21"/>
          <w:szCs w:val="21"/>
        </w:rPr>
      </w:pPr>
    </w:p>
    <w:tbl>
      <w:tblPr>
        <w:tblStyle w:val="34"/>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2"/>
              <w:framePr w:y="6061"/>
              <w:rPr>
                <w:szCs w:val="24"/>
              </w:rPr>
            </w:pPr>
            <w:r>
              <w:rPr>
                <w:szCs w:val="24"/>
              </w:rP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true"/>
                            </wps:cNvSpPr>
                            <wps:spPr bwMode="auto">
                              <a:xfrm>
                                <a:off x="0" y="0"/>
                                <a:ext cx="1562100" cy="208280"/>
                              </a:xfrm>
                              <a:prstGeom prst="rect">
                                <a:avLst/>
                              </a:prstGeom>
                              <a:solidFill>
                                <a:srgbClr val="FFFFFF"/>
                              </a:solidFill>
                              <a:ln>
                                <a:noFill/>
                              </a:ln>
                            </wps:spPr>
                            <wps:txbx>
                              <w:txbxContent>
                                <w:p>
                                  <w:pPr>
                                    <w:jc w:val="center"/>
                                  </w:pPr>
                                </w:p>
                              </w:txbxContent>
                            </wps:txbx>
                            <wps:bodyPr rot="0" vert="horz" wrap="square" lIns="91440" tIns="45720" rIns="91440" bIns="45720" anchor="t" anchorCtr="false" upright="true">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CtrumfXAAAACgEAAA8AAAAAAAAA&#10;AQAgAAAAOAAAAGRycy9kb3ducmV2LnhtbFBLAQIUABQAAAAIAIdO4kA9Krar/AEAAOgDAAAOAAAA&#10;AAAAAAEAIAAAADwBAABkcnMvZTJvRG9jLnhtbFBLBQYAAAAABgAGAFkBAACqBQAAAAA=&#10;">
                      <v:fill on="t" focussize="0,0"/>
                      <v:stroke on="f"/>
                      <v:imagedata o:title=""/>
                      <o:lock v:ext="edit" aspectratio="f"/>
                      <v:textbox>
                        <w:txbxContent>
                          <w:p>
                            <w:pPr>
                              <w:jc w:val="center"/>
                            </w:pPr>
                          </w:p>
                        </w:txbxContent>
                      </v:textbox>
                      <w10:anchorlock/>
                    </v:rect>
                  </w:pict>
                </mc:Fallback>
              </mc:AlternateContent>
            </w:r>
            <w:r>
              <w:rPr>
                <w:szCs w:val="24"/>
              </w:rP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true"/>
                            </wps:cNvSpPr>
                            <wps:spPr bwMode="auto">
                              <a:xfrm>
                                <a:off x="0" y="0"/>
                                <a:ext cx="1041400" cy="249555"/>
                              </a:xfrm>
                              <a:prstGeom prst="rect">
                                <a:avLst/>
                              </a:prstGeom>
                              <a:solidFill>
                                <a:srgbClr val="FFFFFF"/>
                              </a:solidFill>
                              <a:ln>
                                <a:noFill/>
                              </a:ln>
                            </wps:spPr>
                            <wps:txbx>
                              <w:txbxContent>
                                <w:p>
                                  <w:pPr>
                                    <w:jc w:val="center"/>
                                  </w:pPr>
                                </w:p>
                              </w:txbxContent>
                            </wps:txbx>
                            <wps:bodyPr rot="0" vert="horz" wrap="square" lIns="91440" tIns="45720" rIns="91440" bIns="45720" anchor="t" anchorCtr="false" upright="true">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yKh6bdcAAAAJAQAADwAAAAAAAAAB&#10;ACAAAAA4AAAAZHJzL2Rvd25yZXYueG1sUEsBAhQAFAAAAAgAh07iQG5zsz37AQAA6AMAAA4AAAAA&#10;AAAAAQAgAAAAPAEAAGRycy9lMm9Eb2MueG1sUEsFBgAAAAAGAAYAWQEAAKkFAAAAAA==&#10;">
                      <v:fill on="t" focussize="0,0"/>
                      <v:stroke on="f"/>
                      <v:imagedata o:title=""/>
                      <o:lock v:ext="edit" aspectratio="f"/>
                      <v:textbox>
                        <w:txbxContent>
                          <w:p>
                            <w:pPr>
                              <w:jc w:val="center"/>
                            </w:pPr>
                          </w:p>
                        </w:txbxContent>
                      </v:textbox>
                    </v:rect>
                  </w:pict>
                </mc:Fallback>
              </mc:AlternateContent>
            </w:r>
            <w:r>
              <w:rPr>
                <w:rFonts w:hint="eastAsia"/>
                <w:szCs w:val="24"/>
              </w:rPr>
              <w:t>（</w:t>
            </w:r>
            <w:r>
              <w:rPr>
                <w:rFonts w:hint="eastAsia"/>
                <w:szCs w:val="24"/>
                <w:lang w:val="en-US" w:eastAsia="zh-CN"/>
              </w:rPr>
              <w:t>网上征求意见稿</w:t>
            </w:r>
            <w:r>
              <w:rPr>
                <w:rFonts w:hint="eastAsia"/>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3"/>
              <w:framePr w:y="6061"/>
              <w:rPr>
                <w:szCs w:val="21"/>
              </w:rPr>
            </w:pPr>
          </w:p>
        </w:tc>
      </w:tr>
    </w:tbl>
    <w:p>
      <w:pPr>
        <w:pStyle w:val="132"/>
        <w:framePr w:hAnchor="page" w:x="1396" w:y="14191"/>
        <w:rPr>
          <w:szCs w:val="28"/>
        </w:rPr>
      </w:pPr>
      <w:bookmarkStart w:id="7" w:name="FY"/>
      <w:r>
        <w:rPr>
          <w:rFonts w:ascii="黑体"/>
          <w:szCs w:val="28"/>
        </w:rPr>
        <w:fldChar w:fldCharType="begin">
          <w:ffData>
            <w:name w:val="FY"/>
            <w:enabled/>
            <w:calcOnExit w:val="0"/>
            <w:textInput>
              <w:default w:val="XXXX"/>
              <w:maxLength w:val="4"/>
            </w:textInput>
          </w:ffData>
        </w:fldChar>
      </w:r>
      <w:r>
        <w:rPr>
          <w:rFonts w:ascii="黑体"/>
          <w:szCs w:val="28"/>
        </w:rPr>
        <w:instrText xml:space="preserve"> FORMTEXT </w:instrText>
      </w:r>
      <w:r>
        <w:rPr>
          <w:rFonts w:ascii="黑体"/>
          <w:szCs w:val="28"/>
        </w:rPr>
        <w:fldChar w:fldCharType="separate"/>
      </w:r>
      <w:r>
        <w:rPr>
          <w:rFonts w:ascii="黑体"/>
          <w:szCs w:val="28"/>
        </w:rPr>
        <w:t>XXXX</w:t>
      </w:r>
      <w:r>
        <w:rPr>
          <w:rFonts w:ascii="黑体"/>
          <w:szCs w:val="28"/>
        </w:rPr>
        <w:fldChar w:fldCharType="end"/>
      </w:r>
      <w:bookmarkEnd w:id="7"/>
      <w:r>
        <w:rPr>
          <w:szCs w:val="28"/>
        </w:rPr>
        <w:t xml:space="preserve"> </w:t>
      </w:r>
      <w:r>
        <w:rPr>
          <w:rFonts w:ascii="黑体"/>
          <w:szCs w:val="28"/>
        </w:rPr>
        <w:t>-</w:t>
      </w:r>
      <w:r>
        <w:rPr>
          <w:szCs w:val="28"/>
        </w:rPr>
        <w:t xml:space="preserve"> </w:t>
      </w:r>
      <w:r>
        <w:rPr>
          <w:rFonts w:ascii="黑体"/>
          <w:szCs w:val="28"/>
        </w:rPr>
        <w:fldChar w:fldCharType="begin">
          <w:ffData>
            <w:name w:val="FM"/>
            <w:enabled/>
            <w:calcOnExit w:val="0"/>
            <w:textInput>
              <w:default w:val="XX"/>
              <w:maxLength w:val="2"/>
            </w:textInput>
          </w:ffData>
        </w:fldChar>
      </w:r>
      <w:r>
        <w:rPr>
          <w:rFonts w:ascii="黑体"/>
          <w:szCs w:val="28"/>
        </w:rPr>
        <w:instrText xml:space="preserve"> FORMTEXT </w:instrText>
      </w:r>
      <w:r>
        <w:rPr>
          <w:rFonts w:ascii="黑体"/>
          <w:szCs w:val="28"/>
        </w:rPr>
        <w:fldChar w:fldCharType="separate"/>
      </w:r>
      <w:r>
        <w:rPr>
          <w:rFonts w:ascii="黑体"/>
          <w:szCs w:val="28"/>
        </w:rPr>
        <w:t>XX</w:t>
      </w:r>
      <w:r>
        <w:rPr>
          <w:rFonts w:ascii="黑体"/>
          <w:szCs w:val="28"/>
        </w:rPr>
        <w:fldChar w:fldCharType="end"/>
      </w:r>
      <w:r>
        <w:rPr>
          <w:szCs w:val="28"/>
        </w:rPr>
        <w:t xml:space="preserve"> </w:t>
      </w:r>
      <w:r>
        <w:rPr>
          <w:rFonts w:ascii="黑体"/>
          <w:szCs w:val="28"/>
        </w:rPr>
        <w:t>-</w:t>
      </w:r>
      <w:r>
        <w:rPr>
          <w:szCs w:val="28"/>
        </w:rPr>
        <w:t xml:space="preserve"> </w:t>
      </w:r>
      <w:bookmarkStart w:id="8" w:name="FD"/>
      <w:r>
        <w:rPr>
          <w:rFonts w:ascii="黑体"/>
          <w:szCs w:val="28"/>
        </w:rPr>
        <w:fldChar w:fldCharType="begin">
          <w:ffData>
            <w:name w:val="FD"/>
            <w:enabled/>
            <w:calcOnExit w:val="0"/>
            <w:textInput>
              <w:default w:val="XX"/>
              <w:maxLength w:val="2"/>
            </w:textInput>
          </w:ffData>
        </w:fldChar>
      </w:r>
      <w:r>
        <w:rPr>
          <w:rFonts w:ascii="黑体"/>
          <w:szCs w:val="28"/>
        </w:rPr>
        <w:instrText xml:space="preserve"> FORMTEXT </w:instrText>
      </w:r>
      <w:r>
        <w:rPr>
          <w:rFonts w:ascii="黑体"/>
          <w:szCs w:val="28"/>
        </w:rPr>
        <w:fldChar w:fldCharType="separate"/>
      </w:r>
      <w:r>
        <w:rPr>
          <w:rFonts w:ascii="黑体"/>
          <w:szCs w:val="28"/>
        </w:rPr>
        <w:t>XX</w:t>
      </w:r>
      <w:r>
        <w:rPr>
          <w:rFonts w:ascii="黑体"/>
          <w:szCs w:val="28"/>
        </w:rPr>
        <w:fldChar w:fldCharType="end"/>
      </w:r>
      <w:bookmarkEnd w:id="8"/>
      <w:r>
        <w:rPr>
          <w:rFonts w:hint="eastAsia"/>
          <w:szCs w:val="28"/>
        </w:rPr>
        <w:t>发布</w:t>
      </w:r>
    </w:p>
    <w:p>
      <w:pPr>
        <w:pStyle w:val="133"/>
        <w:framePr w:hAnchor="page" w:x="7066" w:y="14116"/>
        <w:rPr>
          <w:szCs w:val="28"/>
        </w:rPr>
      </w:pPr>
      <w:bookmarkStart w:id="9" w:name="SY"/>
      <w:r>
        <w:rPr>
          <w:rFonts w:ascii="黑体"/>
          <w:szCs w:val="28"/>
        </w:rPr>
        <w:fldChar w:fldCharType="begin">
          <w:ffData>
            <w:name w:val="SY"/>
            <w:enabled/>
            <w:calcOnExit w:val="0"/>
            <w:textInput>
              <w:default w:val="XXXX"/>
              <w:maxLength w:val="4"/>
            </w:textInput>
          </w:ffData>
        </w:fldChar>
      </w:r>
      <w:r>
        <w:rPr>
          <w:rFonts w:ascii="黑体"/>
          <w:szCs w:val="28"/>
        </w:rPr>
        <w:instrText xml:space="preserve"> FORMTEXT </w:instrText>
      </w:r>
      <w:r>
        <w:rPr>
          <w:rFonts w:ascii="黑体"/>
          <w:szCs w:val="28"/>
        </w:rPr>
        <w:fldChar w:fldCharType="separate"/>
      </w:r>
      <w:r>
        <w:rPr>
          <w:rFonts w:ascii="黑体"/>
          <w:szCs w:val="28"/>
        </w:rPr>
        <w:t>XXXX</w:t>
      </w:r>
      <w:r>
        <w:rPr>
          <w:rFonts w:ascii="黑体"/>
          <w:szCs w:val="28"/>
        </w:rPr>
        <w:fldChar w:fldCharType="end"/>
      </w:r>
      <w:bookmarkEnd w:id="9"/>
      <w:r>
        <w:rPr>
          <w:szCs w:val="28"/>
        </w:rPr>
        <w:t xml:space="preserve"> </w:t>
      </w:r>
      <w:r>
        <w:rPr>
          <w:rFonts w:ascii="黑体"/>
          <w:szCs w:val="28"/>
        </w:rPr>
        <w:t>-</w:t>
      </w:r>
      <w:r>
        <w:rPr>
          <w:szCs w:val="28"/>
        </w:rPr>
        <w:t xml:space="preserve"> </w:t>
      </w:r>
      <w:bookmarkStart w:id="10" w:name="SM"/>
      <w:r>
        <w:rPr>
          <w:rFonts w:ascii="黑体"/>
          <w:szCs w:val="28"/>
        </w:rPr>
        <w:fldChar w:fldCharType="begin">
          <w:ffData>
            <w:name w:val="SM"/>
            <w:enabled/>
            <w:calcOnExit w:val="0"/>
            <w:textInput>
              <w:default w:val="XX"/>
              <w:maxLength w:val="2"/>
            </w:textInput>
          </w:ffData>
        </w:fldChar>
      </w:r>
      <w:r>
        <w:rPr>
          <w:rFonts w:ascii="黑体"/>
          <w:szCs w:val="28"/>
        </w:rPr>
        <w:instrText xml:space="preserve"> FORMTEXT </w:instrText>
      </w:r>
      <w:r>
        <w:rPr>
          <w:rFonts w:ascii="黑体"/>
          <w:szCs w:val="28"/>
        </w:rPr>
        <w:fldChar w:fldCharType="separate"/>
      </w:r>
      <w:r>
        <w:rPr>
          <w:rFonts w:ascii="黑体"/>
          <w:szCs w:val="28"/>
        </w:rPr>
        <w:t>XX</w:t>
      </w:r>
      <w:r>
        <w:rPr>
          <w:rFonts w:ascii="黑体"/>
          <w:szCs w:val="28"/>
        </w:rPr>
        <w:fldChar w:fldCharType="end"/>
      </w:r>
      <w:bookmarkEnd w:id="10"/>
      <w:r>
        <w:rPr>
          <w:szCs w:val="28"/>
        </w:rPr>
        <w:t xml:space="preserve"> </w:t>
      </w:r>
      <w:r>
        <w:rPr>
          <w:rFonts w:ascii="黑体"/>
          <w:szCs w:val="28"/>
        </w:rPr>
        <w:t>-</w:t>
      </w:r>
      <w:r>
        <w:rPr>
          <w:szCs w:val="28"/>
        </w:rPr>
        <w:t xml:space="preserve"> </w:t>
      </w:r>
      <w:bookmarkStart w:id="11" w:name="SD"/>
      <w:r>
        <w:rPr>
          <w:rFonts w:ascii="黑体"/>
          <w:szCs w:val="28"/>
        </w:rPr>
        <w:fldChar w:fldCharType="begin">
          <w:ffData>
            <w:name w:val="SD"/>
            <w:enabled/>
            <w:calcOnExit w:val="0"/>
            <w:textInput>
              <w:default w:val="XX"/>
              <w:maxLength w:val="2"/>
            </w:textInput>
          </w:ffData>
        </w:fldChar>
      </w:r>
      <w:r>
        <w:rPr>
          <w:rFonts w:ascii="黑体"/>
          <w:szCs w:val="28"/>
        </w:rPr>
        <w:instrText xml:space="preserve"> FORMTEXT </w:instrText>
      </w:r>
      <w:r>
        <w:rPr>
          <w:rFonts w:ascii="黑体"/>
          <w:szCs w:val="28"/>
        </w:rPr>
        <w:fldChar w:fldCharType="separate"/>
      </w:r>
      <w:r>
        <w:rPr>
          <w:rFonts w:ascii="黑体"/>
          <w:szCs w:val="28"/>
        </w:rPr>
        <w:t>XX</w:t>
      </w:r>
      <w:r>
        <w:rPr>
          <w:rFonts w:ascii="黑体"/>
          <w:szCs w:val="28"/>
        </w:rPr>
        <w:fldChar w:fldCharType="end"/>
      </w:r>
      <w:bookmarkEnd w:id="11"/>
      <w:r>
        <w:rPr>
          <w:rFonts w:hint="eastAsia"/>
          <w:szCs w:val="28"/>
        </w:rPr>
        <w:t>实施</w:t>
      </w:r>
    </w:p>
    <w:p>
      <w:pPr>
        <w:pStyle w:val="112"/>
        <w:framePr/>
        <w:rPr>
          <w:szCs w:val="28"/>
        </w:rPr>
      </w:pPr>
      <w:bookmarkStart w:id="12" w:name="fm"/>
      <w:r>
        <w:rPr>
          <w:rFonts w:hint="eastAsia"/>
          <w:szCs w:val="28"/>
        </w:rPr>
        <w:t>河北省市场监督</w:t>
      </w:r>
      <w:r>
        <w:rPr>
          <w:szCs w:val="28"/>
        </w:rPr>
        <w:t>管理局</w:t>
      </w:r>
      <w:bookmarkEnd w:id="12"/>
      <w:r>
        <w:rPr>
          <w:rFonts w:hAnsi="黑体"/>
          <w:szCs w:val="28"/>
        </w:rPr>
        <w:t>   </w:t>
      </w:r>
      <w:r>
        <w:rPr>
          <w:rStyle w:val="74"/>
          <w:rFonts w:hint="eastAsia"/>
        </w:rPr>
        <w:t>发布</w:t>
      </w:r>
    </w:p>
    <w:p>
      <w:pPr>
        <w:pStyle w:val="24"/>
        <w:rPr>
          <w:szCs w:val="21"/>
        </w:rPr>
        <w:sectPr>
          <w:pgSz w:w="11906" w:h="16838"/>
          <w:pgMar w:top="567" w:right="850" w:bottom="1134" w:left="1418" w:header="0" w:footer="0" w:gutter="0"/>
          <w:pgNumType w:start="1"/>
          <w:cols w:space="425" w:num="1"/>
          <w:docGrid w:type="lines" w:linePitch="312" w:charSpace="0"/>
        </w:sectPr>
      </w:pPr>
      <w:r>
        <w:rPr>
          <w:szCs w:val="21"/>
        </w:rP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3360;mso-width-relative:page;mso-height-relative:page;" filled="f" stroked="t" coordsize="21600,21600" o:gfxdata="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3UUFbWAAAACwEAAA8AAAAAAAAAAQAgAAAAOAAAAGRycy9kb3du&#10;cmV2LnhtbFBLAQIUABQAAAAIAIdO4kD646/esgEAAFYDAAAOAAAAAAAAAAEAIAAAADsBAABkcnMv&#10;ZTJvRG9jLnhtbFBLBQYAAAAABgAGAFkBAABf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g+je+1wAAAAkBAAAPAAAAAAAAAAEAIAAAADgAAABkcnMvZG93&#10;bnJldi54bWxQSwECFAAUAAAACACHTuJAww02KbIBAABWAwAADgAAAAAAAAABACAAAAA8AQAAZHJz&#10;L2Uyb0RvYy54bWxQSwUGAAAAAAYABgBZAQAAYAUAAAAA&#10;">
                <v:fill on="f" focussize="0,0"/>
                <v:stroke color="#000000" joinstyle="round"/>
                <v:imagedata o:title=""/>
                <o:lock v:ext="edit" aspectratio="f"/>
              </v:line>
            </w:pict>
          </mc:Fallback>
        </mc:AlternateContent>
      </w:r>
    </w:p>
    <w:p>
      <w:pPr>
        <w:pStyle w:val="51"/>
        <w:rPr>
          <w:szCs w:val="32"/>
        </w:rPr>
      </w:pPr>
      <w:r>
        <w:rPr>
          <w:rFonts w:hint="eastAsia"/>
          <w:szCs w:val="32"/>
        </w:rPr>
        <w:t>目</w:t>
      </w:r>
      <w:r>
        <w:rPr>
          <w:rFonts w:hAnsi="黑体"/>
          <w:szCs w:val="32"/>
        </w:rPr>
        <w:t>  </w:t>
      </w:r>
      <w:r>
        <w:rPr>
          <w:rFonts w:hint="eastAsia"/>
          <w:szCs w:val="32"/>
        </w:rPr>
        <w:t>次</w:t>
      </w:r>
    </w:p>
    <w:p>
      <w:pPr>
        <w:pStyle w:val="20"/>
        <w:tabs>
          <w:tab w:val="right" w:leader="dot" w:pos="9354"/>
          <w:tab w:val="clear" w:pos="9242"/>
        </w:tabs>
        <w:spacing w:before="78" w:after="78"/>
      </w:pPr>
      <w:r>
        <w:rPr>
          <w:rFonts w:hAnsi="宋体"/>
        </w:rPr>
        <w:fldChar w:fldCharType="begin"/>
      </w:r>
      <w:r>
        <w:rPr>
          <w:rFonts w:hAnsi="宋体"/>
        </w:rPr>
        <w:instrText xml:space="preserve"> TOC \h \z \t "一级条标题,2,章标题,1,参考文献、索引标题,1,附录标识,1,附录标题,1,附录章标题,2,前言、引言标题,1" </w:instrText>
      </w:r>
      <w:r>
        <w:rPr>
          <w:rFonts w:hAnsi="宋体"/>
        </w:rPr>
        <w:fldChar w:fldCharType="separate"/>
      </w:r>
      <w:r>
        <w:fldChar w:fldCharType="begin"/>
      </w:r>
      <w:r>
        <w:instrText xml:space="preserve"> HYPERLINK \l "_Toc10183" </w:instrText>
      </w:r>
      <w:r>
        <w:fldChar w:fldCharType="separate"/>
      </w:r>
      <w:r>
        <w:rPr>
          <w:rFonts w:hint="eastAsia"/>
        </w:rPr>
        <w:t>前</w:t>
      </w:r>
      <w:r>
        <w:rPr>
          <w:rFonts w:hAnsi="黑体"/>
        </w:rPr>
        <w:t>  </w:t>
      </w:r>
      <w:r>
        <w:rPr>
          <w:rFonts w:hint="eastAsia"/>
        </w:rPr>
        <w:t>言</w:t>
      </w:r>
      <w:r>
        <w:tab/>
      </w:r>
      <w:r>
        <w:fldChar w:fldCharType="begin"/>
      </w:r>
      <w:r>
        <w:instrText xml:space="preserve"> PAGEREF _Toc10183 \h </w:instrText>
      </w:r>
      <w:r>
        <w:fldChar w:fldCharType="separate"/>
      </w:r>
      <w:r>
        <w:t>II</w:t>
      </w:r>
      <w:r>
        <w:fldChar w:fldCharType="end"/>
      </w:r>
      <w:r>
        <w:fldChar w:fldCharType="end"/>
      </w:r>
    </w:p>
    <w:p>
      <w:pPr>
        <w:pStyle w:val="20"/>
        <w:tabs>
          <w:tab w:val="right" w:leader="dot" w:pos="9354"/>
          <w:tab w:val="clear" w:pos="9242"/>
        </w:tabs>
        <w:spacing w:before="78" w:after="78"/>
      </w:pPr>
      <w:r>
        <w:fldChar w:fldCharType="begin"/>
      </w:r>
      <w:r>
        <w:instrText xml:space="preserve"> HYPERLINK \l "_Toc29966" </w:instrText>
      </w:r>
      <w:r>
        <w:fldChar w:fldCharType="separate"/>
      </w:r>
      <w:r>
        <w:rPr>
          <w:rFonts w:hint="eastAsia" w:eastAsia="黑体"/>
        </w:rPr>
        <w:t xml:space="preserve">1 </w:t>
      </w:r>
      <w:r>
        <w:rPr>
          <w:rFonts w:hint="eastAsia"/>
        </w:rPr>
        <w:t>范围</w:t>
      </w:r>
      <w:r>
        <w:tab/>
      </w:r>
      <w:r>
        <w:fldChar w:fldCharType="begin"/>
      </w:r>
      <w:r>
        <w:instrText xml:space="preserve"> PAGEREF _Toc29966 \h </w:instrText>
      </w:r>
      <w:r>
        <w:fldChar w:fldCharType="separate"/>
      </w:r>
      <w:r>
        <w:t>1</w:t>
      </w:r>
      <w:r>
        <w:fldChar w:fldCharType="end"/>
      </w:r>
      <w:r>
        <w:fldChar w:fldCharType="end"/>
      </w:r>
    </w:p>
    <w:p>
      <w:pPr>
        <w:pStyle w:val="20"/>
        <w:tabs>
          <w:tab w:val="right" w:leader="dot" w:pos="9354"/>
          <w:tab w:val="clear" w:pos="9242"/>
        </w:tabs>
        <w:spacing w:before="78" w:after="78"/>
      </w:pPr>
      <w:r>
        <w:fldChar w:fldCharType="begin"/>
      </w:r>
      <w:r>
        <w:instrText xml:space="preserve"> HYPERLINK \l "_Toc17333" </w:instrText>
      </w:r>
      <w:r>
        <w:fldChar w:fldCharType="separate"/>
      </w:r>
      <w:r>
        <w:rPr>
          <w:rFonts w:hint="eastAsia" w:eastAsia="黑体"/>
        </w:rPr>
        <w:t xml:space="preserve">2 </w:t>
      </w:r>
      <w:r>
        <w:rPr>
          <w:rFonts w:hint="eastAsia"/>
        </w:rPr>
        <w:t>规范性引用文件</w:t>
      </w:r>
      <w:r>
        <w:tab/>
      </w:r>
      <w:r>
        <w:fldChar w:fldCharType="begin"/>
      </w:r>
      <w:r>
        <w:instrText xml:space="preserve"> PAGEREF _Toc17333 \h </w:instrText>
      </w:r>
      <w:r>
        <w:fldChar w:fldCharType="separate"/>
      </w:r>
      <w:r>
        <w:t>1</w:t>
      </w:r>
      <w:r>
        <w:fldChar w:fldCharType="end"/>
      </w:r>
      <w:r>
        <w:fldChar w:fldCharType="end"/>
      </w:r>
    </w:p>
    <w:p>
      <w:pPr>
        <w:pStyle w:val="20"/>
        <w:tabs>
          <w:tab w:val="right" w:leader="dot" w:pos="9354"/>
          <w:tab w:val="clear" w:pos="9242"/>
        </w:tabs>
        <w:spacing w:before="78" w:after="78"/>
      </w:pPr>
      <w:r>
        <w:fldChar w:fldCharType="begin"/>
      </w:r>
      <w:r>
        <w:instrText xml:space="preserve"> HYPERLINK \l "_Toc31357" </w:instrText>
      </w:r>
      <w:r>
        <w:fldChar w:fldCharType="separate"/>
      </w:r>
      <w:r>
        <w:rPr>
          <w:rFonts w:hint="eastAsia" w:eastAsia="黑体"/>
        </w:rPr>
        <w:t xml:space="preserve">3 </w:t>
      </w:r>
      <w:r>
        <w:rPr>
          <w:rFonts w:hint="eastAsia"/>
        </w:rPr>
        <w:t>术语和定义</w:t>
      </w:r>
      <w:r>
        <w:tab/>
      </w:r>
      <w:r>
        <w:fldChar w:fldCharType="begin"/>
      </w:r>
      <w:r>
        <w:instrText xml:space="preserve"> PAGEREF _Toc31357 \h </w:instrText>
      </w:r>
      <w:r>
        <w:fldChar w:fldCharType="separate"/>
      </w:r>
      <w:r>
        <w:t>1</w:t>
      </w:r>
      <w:r>
        <w:fldChar w:fldCharType="end"/>
      </w:r>
      <w:r>
        <w:fldChar w:fldCharType="end"/>
      </w:r>
    </w:p>
    <w:p>
      <w:pPr>
        <w:pStyle w:val="20"/>
        <w:tabs>
          <w:tab w:val="right" w:leader="dot" w:pos="9354"/>
          <w:tab w:val="clear" w:pos="9242"/>
        </w:tabs>
        <w:spacing w:before="78" w:after="78"/>
      </w:pPr>
      <w:r>
        <w:fldChar w:fldCharType="begin"/>
      </w:r>
      <w:r>
        <w:instrText xml:space="preserve"> HYPERLINK \l "_Toc8486" </w:instrText>
      </w:r>
      <w:r>
        <w:fldChar w:fldCharType="separate"/>
      </w:r>
      <w:r>
        <w:rPr>
          <w:rFonts w:hint="eastAsia" w:eastAsia="黑体"/>
        </w:rPr>
        <w:t xml:space="preserve">4 </w:t>
      </w:r>
      <w:r>
        <w:rPr>
          <w:rFonts w:hint="eastAsia"/>
        </w:rPr>
        <w:t>基本规定</w:t>
      </w:r>
      <w:r>
        <w:tab/>
      </w:r>
      <w:r>
        <w:fldChar w:fldCharType="begin"/>
      </w:r>
      <w:r>
        <w:instrText xml:space="preserve"> PAGEREF _Toc8486 \h </w:instrText>
      </w:r>
      <w:r>
        <w:fldChar w:fldCharType="separate"/>
      </w:r>
      <w:r>
        <w:t>2</w:t>
      </w:r>
      <w:r>
        <w:fldChar w:fldCharType="end"/>
      </w:r>
      <w:r>
        <w:fldChar w:fldCharType="end"/>
      </w:r>
    </w:p>
    <w:p>
      <w:pPr>
        <w:pStyle w:val="20"/>
        <w:tabs>
          <w:tab w:val="right" w:leader="dot" w:pos="9354"/>
          <w:tab w:val="clear" w:pos="9242"/>
        </w:tabs>
        <w:spacing w:before="78" w:after="78"/>
      </w:pPr>
      <w:r>
        <w:fldChar w:fldCharType="begin"/>
      </w:r>
      <w:r>
        <w:instrText xml:space="preserve"> HYPERLINK \l "_Toc18790" </w:instrText>
      </w:r>
      <w:r>
        <w:fldChar w:fldCharType="separate"/>
      </w:r>
      <w:r>
        <w:rPr>
          <w:rFonts w:hint="eastAsia" w:eastAsia="黑体"/>
        </w:rPr>
        <w:t xml:space="preserve">5 </w:t>
      </w:r>
      <w:r>
        <w:rPr>
          <w:rFonts w:hint="eastAsia"/>
        </w:rPr>
        <w:t>设计</w:t>
      </w:r>
      <w:r>
        <w:tab/>
      </w:r>
      <w:r>
        <w:fldChar w:fldCharType="begin"/>
      </w:r>
      <w:r>
        <w:instrText xml:space="preserve"> PAGEREF _Toc18790 \h </w:instrText>
      </w:r>
      <w:r>
        <w:fldChar w:fldCharType="separate"/>
      </w:r>
      <w:r>
        <w:t>2</w:t>
      </w:r>
      <w:r>
        <w:fldChar w:fldCharType="end"/>
      </w:r>
      <w:r>
        <w:fldChar w:fldCharType="end"/>
      </w:r>
    </w:p>
    <w:p>
      <w:pPr>
        <w:pStyle w:val="20"/>
        <w:tabs>
          <w:tab w:val="right" w:leader="dot" w:pos="9354"/>
          <w:tab w:val="clear" w:pos="9242"/>
        </w:tabs>
        <w:spacing w:before="78" w:after="78"/>
      </w:pPr>
      <w:r>
        <w:fldChar w:fldCharType="begin"/>
      </w:r>
      <w:r>
        <w:instrText xml:space="preserve"> HYPERLINK \l "_Toc13824" </w:instrText>
      </w:r>
      <w:r>
        <w:fldChar w:fldCharType="separate"/>
      </w:r>
      <w:r>
        <w:rPr>
          <w:rFonts w:hint="eastAsia" w:eastAsia="黑体"/>
        </w:rPr>
        <w:t xml:space="preserve">6 </w:t>
      </w:r>
      <w:r>
        <w:rPr>
          <w:rFonts w:hint="eastAsia"/>
        </w:rPr>
        <w:t>施工</w:t>
      </w:r>
      <w:r>
        <w:tab/>
      </w:r>
      <w:r>
        <w:fldChar w:fldCharType="begin"/>
      </w:r>
      <w:r>
        <w:instrText xml:space="preserve"> PAGEREF _Toc13824 \h </w:instrText>
      </w:r>
      <w:r>
        <w:fldChar w:fldCharType="separate"/>
      </w:r>
      <w:r>
        <w:t>3</w:t>
      </w:r>
      <w:r>
        <w:fldChar w:fldCharType="end"/>
      </w:r>
      <w:r>
        <w:fldChar w:fldCharType="end"/>
      </w:r>
    </w:p>
    <w:p>
      <w:pPr>
        <w:pStyle w:val="20"/>
        <w:tabs>
          <w:tab w:val="right" w:leader="dot" w:pos="9354"/>
          <w:tab w:val="clear" w:pos="9242"/>
        </w:tabs>
        <w:spacing w:before="78" w:after="78"/>
      </w:pPr>
      <w:r>
        <w:fldChar w:fldCharType="begin"/>
      </w:r>
      <w:r>
        <w:instrText xml:space="preserve"> HYPERLINK \l "_Toc3317" </w:instrText>
      </w:r>
      <w:r>
        <w:fldChar w:fldCharType="separate"/>
      </w:r>
      <w:r>
        <w:rPr>
          <w:rFonts w:hint="eastAsia" w:eastAsia="黑体"/>
        </w:rPr>
        <w:t xml:space="preserve">7 </w:t>
      </w:r>
      <w:r>
        <w:rPr>
          <w:rFonts w:hint="eastAsia"/>
        </w:rPr>
        <w:t>试验方法</w:t>
      </w:r>
      <w:r>
        <w:tab/>
      </w:r>
      <w:r>
        <w:fldChar w:fldCharType="begin"/>
      </w:r>
      <w:r>
        <w:instrText xml:space="preserve"> PAGEREF _Toc3317 \h </w:instrText>
      </w:r>
      <w:r>
        <w:fldChar w:fldCharType="separate"/>
      </w:r>
      <w:r>
        <w:t>4</w:t>
      </w:r>
      <w:r>
        <w:fldChar w:fldCharType="end"/>
      </w:r>
      <w:r>
        <w:fldChar w:fldCharType="end"/>
      </w:r>
    </w:p>
    <w:p>
      <w:pPr>
        <w:pStyle w:val="20"/>
        <w:tabs>
          <w:tab w:val="right" w:leader="dot" w:pos="9354"/>
          <w:tab w:val="clear" w:pos="9242"/>
        </w:tabs>
        <w:spacing w:before="78" w:after="78"/>
      </w:pPr>
      <w:r>
        <w:fldChar w:fldCharType="begin"/>
      </w:r>
      <w:r>
        <w:instrText xml:space="preserve"> HYPERLINK \l "_Toc13416" </w:instrText>
      </w:r>
      <w:r>
        <w:fldChar w:fldCharType="separate"/>
      </w:r>
      <w:r>
        <w:rPr>
          <w:rFonts w:hint="eastAsia" w:eastAsia="黑体"/>
        </w:rPr>
        <w:t xml:space="preserve">8 </w:t>
      </w:r>
      <w:r>
        <w:rPr>
          <w:rFonts w:hint="eastAsia"/>
        </w:rPr>
        <w:t>检验规则</w:t>
      </w:r>
      <w:r>
        <w:tab/>
      </w:r>
      <w:r>
        <w:fldChar w:fldCharType="begin"/>
      </w:r>
      <w:r>
        <w:instrText xml:space="preserve"> PAGEREF _Toc13416 \h </w:instrText>
      </w:r>
      <w:r>
        <w:fldChar w:fldCharType="separate"/>
      </w:r>
      <w:r>
        <w:t>5</w:t>
      </w:r>
      <w:r>
        <w:fldChar w:fldCharType="end"/>
      </w:r>
      <w:r>
        <w:fldChar w:fldCharType="end"/>
      </w:r>
    </w:p>
    <w:p>
      <w:pPr>
        <w:pStyle w:val="20"/>
        <w:tabs>
          <w:tab w:val="right" w:leader="dot" w:pos="9354"/>
          <w:tab w:val="clear" w:pos="9242"/>
        </w:tabs>
        <w:spacing w:before="78" w:after="78"/>
      </w:pPr>
      <w:r>
        <w:fldChar w:fldCharType="begin"/>
      </w:r>
      <w:r>
        <w:instrText xml:space="preserve"> HYPERLINK \l "_Toc21328" </w:instrText>
      </w:r>
      <w:r>
        <w:fldChar w:fldCharType="separate"/>
      </w:r>
      <w:r>
        <w:rPr>
          <w:rFonts w:hint="eastAsia" w:eastAsia="黑体"/>
        </w:rPr>
        <w:t xml:space="preserve">9 </w:t>
      </w:r>
      <w:r>
        <w:rPr>
          <w:rFonts w:hint="eastAsia"/>
        </w:rPr>
        <w:t>质量评定</w:t>
      </w:r>
      <w:r>
        <w:tab/>
      </w:r>
      <w:r>
        <w:fldChar w:fldCharType="begin"/>
      </w:r>
      <w:r>
        <w:instrText xml:space="preserve"> PAGEREF _Toc21328 \h </w:instrText>
      </w:r>
      <w:r>
        <w:fldChar w:fldCharType="separate"/>
      </w:r>
      <w:r>
        <w:t>5</w:t>
      </w:r>
      <w:r>
        <w:fldChar w:fldCharType="end"/>
      </w:r>
      <w:r>
        <w:fldChar w:fldCharType="end"/>
      </w:r>
    </w:p>
    <w:p>
      <w:pPr>
        <w:pStyle w:val="20"/>
        <w:tabs>
          <w:tab w:val="right" w:leader="dot" w:pos="9354"/>
          <w:tab w:val="clear" w:pos="9242"/>
        </w:tabs>
        <w:spacing w:before="78" w:after="78"/>
      </w:pPr>
      <w:r>
        <w:fldChar w:fldCharType="begin"/>
      </w:r>
      <w:r>
        <w:instrText xml:space="preserve"> HYPERLINK \l "_Toc22192" </w:instrText>
      </w:r>
      <w:r>
        <w:fldChar w:fldCharType="separate"/>
      </w:r>
      <w:r>
        <w:rPr>
          <w:rFonts w:hint="eastAsia" w:ascii="黑体" w:eastAsia="黑体"/>
        </w:rPr>
        <w:t xml:space="preserve">附　录　A </w:t>
      </w:r>
      <w:r>
        <w:rPr>
          <w:rFonts w:hint="eastAsia"/>
        </w:rPr>
        <w:t>土工管袋筑堤工程单元工程质量等级评定表</w:t>
      </w:r>
      <w:r>
        <w:tab/>
      </w:r>
      <w:r>
        <w:fldChar w:fldCharType="begin"/>
      </w:r>
      <w:r>
        <w:instrText xml:space="preserve"> PAGEREF _Toc22192 \h </w:instrText>
      </w:r>
      <w:r>
        <w:fldChar w:fldCharType="separate"/>
      </w:r>
      <w:r>
        <w:t>7</w:t>
      </w:r>
      <w:r>
        <w:fldChar w:fldCharType="end"/>
      </w:r>
      <w:r>
        <w:fldChar w:fldCharType="end"/>
      </w:r>
    </w:p>
    <w:p>
      <w:pPr>
        <w:tabs>
          <w:tab w:val="left" w:pos="8647"/>
        </w:tabs>
        <w:ind w:firstLine="420" w:firstLineChars="200"/>
        <w:rPr>
          <w:rFonts w:ascii="宋体" w:hAnsi="宋体"/>
          <w:szCs w:val="21"/>
        </w:rPr>
      </w:pPr>
      <w:r>
        <w:rPr>
          <w:rFonts w:ascii="宋体" w:hAnsi="宋体"/>
          <w:szCs w:val="21"/>
        </w:rPr>
        <w:fldChar w:fldCharType="end"/>
      </w:r>
    </w:p>
    <w:p>
      <w:pPr>
        <w:pStyle w:val="113"/>
        <w:rPr>
          <w:sz w:val="21"/>
          <w:szCs w:val="21"/>
        </w:rPr>
      </w:pPr>
      <w:bookmarkStart w:id="13" w:name="_Toc10183"/>
      <w:bookmarkStart w:id="14" w:name="_Toc475694823"/>
      <w:r>
        <w:rPr>
          <w:rFonts w:hint="eastAsia"/>
          <w:sz w:val="21"/>
          <w:szCs w:val="21"/>
        </w:rPr>
        <w:t>前</w:t>
      </w:r>
      <w:bookmarkStart w:id="15" w:name="BKQY"/>
      <w:r>
        <w:rPr>
          <w:rFonts w:hAnsi="黑体"/>
          <w:sz w:val="21"/>
          <w:szCs w:val="21"/>
        </w:rPr>
        <w:t>  </w:t>
      </w:r>
      <w:r>
        <w:rPr>
          <w:rFonts w:hint="eastAsia"/>
          <w:sz w:val="21"/>
          <w:szCs w:val="21"/>
        </w:rPr>
        <w:t>言</w:t>
      </w:r>
      <w:bookmarkEnd w:id="13"/>
      <w:bookmarkEnd w:id="14"/>
      <w:bookmarkEnd w:id="15"/>
    </w:p>
    <w:p>
      <w:pPr>
        <w:ind w:firstLine="420" w:firstLineChars="200"/>
        <w:rPr>
          <w:rFonts w:ascii="宋体" w:hAnsi="宋体"/>
          <w:szCs w:val="21"/>
        </w:rPr>
      </w:pPr>
      <w:r>
        <w:rPr>
          <w:rFonts w:hint="eastAsia" w:ascii="宋体" w:hAnsi="宋体"/>
          <w:szCs w:val="21"/>
        </w:rPr>
        <w:t>本文件按照GB/T</w:t>
      </w:r>
      <w:r>
        <w:rPr>
          <w:szCs w:val="21"/>
        </w:rPr>
        <w:t> </w:t>
      </w:r>
      <w:r>
        <w:rPr>
          <w:rFonts w:hint="eastAsia" w:ascii="宋体" w:hAnsi="宋体"/>
          <w:szCs w:val="21"/>
        </w:rPr>
        <w:t>1.1—20</w:t>
      </w:r>
      <w:r>
        <w:rPr>
          <w:rFonts w:ascii="宋体" w:hAnsi="宋体"/>
          <w:szCs w:val="21"/>
        </w:rPr>
        <w:t>20</w:t>
      </w:r>
      <w:r>
        <w:rPr>
          <w:rFonts w:hint="eastAsia" w:ascii="宋体" w:hAnsi="宋体"/>
          <w:szCs w:val="21"/>
        </w:rPr>
        <w:t>《标准化工作导则  第1部分：标准化文件的结构和起草规则》的规定起草。</w:t>
      </w:r>
    </w:p>
    <w:p>
      <w:pPr>
        <w:ind w:firstLine="420" w:firstLineChars="200"/>
        <w:rPr>
          <w:rFonts w:ascii="宋体" w:hAnsi="宋体"/>
          <w:szCs w:val="21"/>
        </w:rPr>
      </w:pPr>
      <w:r>
        <w:rPr>
          <w:rFonts w:hint="eastAsia" w:ascii="宋体" w:hAnsi="宋体"/>
          <w:szCs w:val="21"/>
        </w:rPr>
        <w:t>本</w:t>
      </w:r>
      <w:r>
        <w:rPr>
          <w:rFonts w:hint="eastAsia"/>
          <w:szCs w:val="21"/>
        </w:rPr>
        <w:t>文件</w:t>
      </w:r>
      <w:r>
        <w:rPr>
          <w:rFonts w:hint="eastAsia" w:ascii="宋体" w:hAnsi="宋体"/>
          <w:szCs w:val="21"/>
        </w:rPr>
        <w:t>由河北省</w:t>
      </w:r>
      <w:r>
        <w:rPr>
          <w:rFonts w:ascii="宋体" w:hAnsi="宋体"/>
          <w:szCs w:val="21"/>
        </w:rPr>
        <w:t>水利厅</w:t>
      </w:r>
      <w:r>
        <w:rPr>
          <w:rFonts w:hint="eastAsia" w:ascii="宋体" w:hAnsi="宋体"/>
          <w:szCs w:val="21"/>
        </w:rPr>
        <w:t>提出。</w:t>
      </w:r>
    </w:p>
    <w:p>
      <w:pPr>
        <w:ind w:firstLine="420" w:firstLineChars="200"/>
        <w:rPr>
          <w:rFonts w:ascii="宋体" w:hAnsi="宋体"/>
          <w:szCs w:val="21"/>
        </w:rPr>
      </w:pPr>
      <w:r>
        <w:rPr>
          <w:rFonts w:hint="eastAsia" w:ascii="宋体" w:hAnsi="宋体"/>
          <w:szCs w:val="21"/>
        </w:rPr>
        <w:t>本</w:t>
      </w:r>
      <w:r>
        <w:rPr>
          <w:rFonts w:hint="eastAsia"/>
          <w:szCs w:val="21"/>
        </w:rPr>
        <w:t>文件</w:t>
      </w:r>
      <w:r>
        <w:rPr>
          <w:rFonts w:hint="eastAsia" w:ascii="宋体" w:hAnsi="宋体"/>
          <w:szCs w:val="21"/>
        </w:rPr>
        <w:t>由河北省</w:t>
      </w:r>
      <w:r>
        <w:rPr>
          <w:rFonts w:ascii="宋体" w:hAnsi="宋体"/>
          <w:szCs w:val="21"/>
        </w:rPr>
        <w:t>水利厅归口。</w:t>
      </w:r>
    </w:p>
    <w:p>
      <w:pPr>
        <w:ind w:firstLine="420" w:firstLineChars="200"/>
        <w:rPr>
          <w:rFonts w:ascii="宋体" w:hAnsi="宋体"/>
          <w:szCs w:val="21"/>
        </w:rPr>
      </w:pPr>
      <w:r>
        <w:rPr>
          <w:rFonts w:hint="eastAsia" w:ascii="宋体" w:hAnsi="宋体"/>
          <w:szCs w:val="21"/>
        </w:rPr>
        <w:t>本</w:t>
      </w:r>
      <w:r>
        <w:rPr>
          <w:rFonts w:hint="eastAsia"/>
          <w:szCs w:val="21"/>
        </w:rPr>
        <w:t>文件</w:t>
      </w:r>
      <w:r>
        <w:rPr>
          <w:rFonts w:ascii="宋体" w:hAnsi="宋体"/>
          <w:szCs w:val="21"/>
        </w:rPr>
        <w:t>起草单位：</w:t>
      </w:r>
      <w:r>
        <w:rPr>
          <w:rFonts w:hint="eastAsia" w:ascii="宋体" w:hAnsi="宋体"/>
          <w:szCs w:val="21"/>
        </w:rPr>
        <w:t>。</w:t>
      </w:r>
    </w:p>
    <w:p>
      <w:pPr>
        <w:ind w:firstLine="420" w:firstLineChars="200"/>
        <w:rPr>
          <w:rFonts w:ascii="宋体" w:hAnsi="宋体"/>
          <w:szCs w:val="21"/>
        </w:rPr>
      </w:pPr>
      <w:r>
        <w:rPr>
          <w:rFonts w:hint="eastAsia" w:ascii="宋体" w:hAnsi="宋体"/>
          <w:szCs w:val="21"/>
        </w:rPr>
        <w:t>本</w:t>
      </w:r>
      <w:r>
        <w:rPr>
          <w:rFonts w:hint="eastAsia"/>
          <w:szCs w:val="21"/>
        </w:rPr>
        <w:t>文件</w:t>
      </w:r>
      <w:r>
        <w:rPr>
          <w:rFonts w:hint="eastAsia" w:ascii="宋体" w:hAnsi="宋体"/>
          <w:szCs w:val="21"/>
        </w:rPr>
        <w:t>主要起草人：。</w:t>
      </w:r>
    </w:p>
    <w:p/>
    <w:p>
      <w:pPr>
        <w:widowControl/>
        <w:jc w:val="left"/>
        <w:rPr>
          <w:szCs w:val="21"/>
        </w:rPr>
      </w:pPr>
      <w:r>
        <w:rPr>
          <w:szCs w:val="21"/>
        </w:rPr>
        <w:br w:type="page"/>
      </w:r>
    </w:p>
    <w:p>
      <w:pPr>
        <w:pStyle w:val="24"/>
        <w:rPr>
          <w:szCs w:val="21"/>
        </w:rPr>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1"/>
        <w:rPr>
          <w:rFonts w:hint="eastAsia" w:eastAsia="黑体"/>
          <w:sz w:val="21"/>
          <w:szCs w:val="21"/>
          <w:lang w:eastAsia="zh-CN"/>
        </w:rPr>
      </w:pPr>
      <w:r>
        <w:rPr>
          <w:rFonts w:hint="eastAsia"/>
          <w:sz w:val="21"/>
          <w:szCs w:val="21"/>
        </w:rPr>
        <w:t>土工管袋</w:t>
      </w:r>
      <w:r>
        <w:rPr>
          <w:rFonts w:hint="eastAsia"/>
          <w:sz w:val="21"/>
          <w:szCs w:val="21"/>
          <w:lang w:val="en-US" w:eastAsia="zh-CN"/>
        </w:rPr>
        <w:t>应用</w:t>
      </w:r>
      <w:r>
        <w:rPr>
          <w:sz w:val="21"/>
          <w:szCs w:val="21"/>
        </w:rPr>
        <w:t>技术</w:t>
      </w:r>
      <w:r>
        <w:rPr>
          <w:rFonts w:hint="eastAsia"/>
          <w:sz w:val="21"/>
          <w:szCs w:val="21"/>
          <w:lang w:val="en-US" w:eastAsia="zh-CN"/>
        </w:rPr>
        <w:t>规范</w:t>
      </w:r>
    </w:p>
    <w:p>
      <w:pPr>
        <w:pStyle w:val="46"/>
        <w:numPr>
          <w:ilvl w:val="0"/>
          <w:numId w:val="19"/>
        </w:numPr>
        <w:spacing w:before="312" w:after="312"/>
        <w:rPr>
          <w:szCs w:val="21"/>
        </w:rPr>
      </w:pPr>
      <w:bookmarkStart w:id="16" w:name="_Toc29966"/>
      <w:bookmarkStart w:id="17" w:name="_Toc475694825"/>
      <w:r>
        <w:rPr>
          <w:rFonts w:hint="eastAsia"/>
          <w:szCs w:val="21"/>
        </w:rPr>
        <w:t>范围</w:t>
      </w:r>
      <w:bookmarkEnd w:id="16"/>
    </w:p>
    <w:p>
      <w:pPr>
        <w:pStyle w:val="24"/>
        <w:rPr>
          <w:szCs w:val="21"/>
        </w:rPr>
      </w:pPr>
      <w:r>
        <w:rPr>
          <w:rFonts w:hint="eastAsia"/>
          <w:szCs w:val="21"/>
        </w:rPr>
        <w:t>本文件规定了土工管袋的设计、施工、试验方法、检验规则、质量评定的要求。</w:t>
      </w:r>
    </w:p>
    <w:p>
      <w:pPr>
        <w:pStyle w:val="24"/>
        <w:rPr>
          <w:szCs w:val="21"/>
        </w:rPr>
      </w:pPr>
      <w:r>
        <w:rPr>
          <w:rFonts w:hint="eastAsia"/>
          <w:szCs w:val="21"/>
        </w:rPr>
        <w:t>本文件适用于大中小型河道治理工程清淤</w:t>
      </w:r>
      <w:r>
        <w:rPr>
          <w:rFonts w:hint="eastAsia"/>
          <w:szCs w:val="21"/>
          <w:lang w:val="en-US" w:eastAsia="zh-CN"/>
        </w:rPr>
        <w:t>后，土工管袋在</w:t>
      </w:r>
      <w:r>
        <w:rPr>
          <w:rFonts w:hint="eastAsia"/>
          <w:szCs w:val="21"/>
        </w:rPr>
        <w:t>护坡工程</w:t>
      </w:r>
      <w:r>
        <w:rPr>
          <w:rFonts w:hint="eastAsia"/>
          <w:szCs w:val="21"/>
          <w:lang w:val="en-US" w:eastAsia="zh-CN"/>
        </w:rPr>
        <w:t>中的应用</w:t>
      </w:r>
      <w:r>
        <w:rPr>
          <w:rFonts w:hint="eastAsia"/>
          <w:szCs w:val="21"/>
        </w:rPr>
        <w:t>。</w:t>
      </w:r>
    </w:p>
    <w:p>
      <w:pPr>
        <w:pStyle w:val="46"/>
        <w:numPr>
          <w:ilvl w:val="0"/>
          <w:numId w:val="19"/>
        </w:numPr>
        <w:spacing w:before="312" w:after="312"/>
        <w:rPr>
          <w:szCs w:val="21"/>
        </w:rPr>
      </w:pPr>
      <w:bookmarkStart w:id="18" w:name="_Toc17333"/>
      <w:r>
        <w:rPr>
          <w:rFonts w:hint="eastAsia"/>
          <w:szCs w:val="21"/>
        </w:rPr>
        <w:t>规范性引用文件</w:t>
      </w:r>
      <w:bookmarkEnd w:id="18"/>
    </w:p>
    <w:p>
      <w:pPr>
        <w:pStyle w:val="24"/>
        <w:rPr>
          <w:szCs w:val="21"/>
        </w:rPr>
      </w:pPr>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4"/>
        <w:rPr>
          <w:rFonts w:hAnsi="宋体" w:cs="宋体"/>
          <w:color w:val="000000"/>
          <w:szCs w:val="21"/>
          <w:shd w:val="clear" w:color="auto" w:fill="FFFFFF"/>
        </w:rPr>
      </w:pPr>
      <w:r>
        <w:rPr>
          <w:rFonts w:hint="eastAsia" w:hAnsi="宋体" w:cs="宋体"/>
        </w:rPr>
        <w:t xml:space="preserve">GB/T 4666 </w:t>
      </w:r>
      <w:r>
        <w:rPr>
          <w:rFonts w:hint="eastAsia" w:hAnsi="宋体" w:cs="宋体"/>
          <w:color w:val="000000"/>
          <w:szCs w:val="21"/>
          <w:shd w:val="clear" w:color="auto" w:fill="FFFFFF"/>
        </w:rPr>
        <w:t>纺织品 织物长度和幅宽的测定</w:t>
      </w:r>
    </w:p>
    <w:p>
      <w:pPr>
        <w:pStyle w:val="24"/>
        <w:rPr>
          <w:rFonts w:hAnsi="宋体" w:cs="宋体"/>
          <w:color w:val="000000"/>
          <w:szCs w:val="21"/>
          <w:shd w:val="clear" w:color="auto" w:fill="FFFFFF"/>
        </w:rPr>
      </w:pPr>
      <w:r>
        <w:rPr>
          <w:rFonts w:hint="eastAsia"/>
        </w:rPr>
        <w:t>GB</w:t>
      </w:r>
      <w:r>
        <w:t>/T </w:t>
      </w:r>
      <w:r>
        <w:rPr>
          <w:rFonts w:hint="eastAsia"/>
        </w:rPr>
        <w:t xml:space="preserve">13760 </w:t>
      </w:r>
      <w:r>
        <w:rPr>
          <w:rFonts w:hint="eastAsia" w:hAnsi="宋体" w:cs="宋体"/>
          <w:color w:val="000000"/>
          <w:szCs w:val="21"/>
          <w:shd w:val="clear" w:color="auto" w:fill="FFFFFF"/>
        </w:rPr>
        <w:t>土工合成材料 取样和试样准备</w:t>
      </w:r>
    </w:p>
    <w:p>
      <w:pPr>
        <w:pStyle w:val="24"/>
        <w:rPr>
          <w:rFonts w:hAnsi="宋体" w:cs="宋体"/>
          <w:color w:val="000000"/>
          <w:szCs w:val="21"/>
          <w:shd w:val="clear" w:color="auto" w:fill="FFFFFF"/>
        </w:rPr>
      </w:pPr>
      <w:r>
        <w:rPr>
          <w:rFonts w:hint="eastAsia" w:hAnsi="宋体" w:cs="宋体"/>
        </w:rPr>
        <w:t xml:space="preserve">GB/T 13762 </w:t>
      </w:r>
      <w:r>
        <w:rPr>
          <w:rFonts w:hint="eastAsia" w:hAnsi="宋体" w:cs="宋体"/>
          <w:color w:val="000000"/>
          <w:szCs w:val="21"/>
          <w:shd w:val="clear" w:color="auto" w:fill="FFFFFF"/>
        </w:rPr>
        <w:t>土工合成材料 土工布及土工布有关产品单位面积质量的测定方法</w:t>
      </w:r>
    </w:p>
    <w:p>
      <w:pPr>
        <w:pStyle w:val="24"/>
        <w:rPr>
          <w:rFonts w:hAnsi="宋体" w:cs="宋体"/>
          <w:color w:val="000000"/>
          <w:szCs w:val="21"/>
          <w:shd w:val="clear" w:color="auto" w:fill="FFFFFF"/>
        </w:rPr>
      </w:pPr>
      <w:r>
        <w:rPr>
          <w:rFonts w:hint="eastAsia" w:hAnsi="宋体" w:cs="宋体"/>
        </w:rPr>
        <w:t xml:space="preserve">GB/T 14799 </w:t>
      </w:r>
      <w:r>
        <w:rPr>
          <w:rFonts w:hint="eastAsia" w:hAnsi="宋体" w:cs="宋体"/>
          <w:color w:val="000000"/>
          <w:szCs w:val="21"/>
          <w:shd w:val="clear" w:color="auto" w:fill="FFFFFF"/>
        </w:rPr>
        <w:t>土工布及其有关产品 有效孔径的测定 干筛法</w:t>
      </w:r>
    </w:p>
    <w:p>
      <w:pPr>
        <w:pStyle w:val="24"/>
        <w:rPr>
          <w:rFonts w:hAnsi="宋体" w:cs="宋体"/>
          <w:color w:val="000000"/>
          <w:szCs w:val="21"/>
          <w:shd w:val="clear" w:color="auto" w:fill="FFFFFF"/>
        </w:rPr>
      </w:pPr>
      <w:r>
        <w:rPr>
          <w:rFonts w:hint="eastAsia" w:hAnsi="宋体" w:cs="宋体"/>
        </w:rPr>
        <w:t xml:space="preserve">GB/T 14800 </w:t>
      </w:r>
      <w:r>
        <w:rPr>
          <w:rFonts w:hint="eastAsia" w:hAnsi="宋体" w:cs="宋体"/>
          <w:color w:val="000000"/>
          <w:szCs w:val="21"/>
          <w:shd w:val="clear" w:color="auto" w:fill="FFFFFF"/>
        </w:rPr>
        <w:t>土工合成材料 静态顶破试验法（CBR法）</w:t>
      </w:r>
    </w:p>
    <w:p>
      <w:pPr>
        <w:pStyle w:val="24"/>
        <w:rPr>
          <w:rFonts w:hAnsi="宋体" w:cs="宋体"/>
          <w:color w:val="000000"/>
          <w:szCs w:val="21"/>
          <w:shd w:val="clear" w:color="auto" w:fill="FFFFFF"/>
        </w:rPr>
      </w:pPr>
      <w:r>
        <w:rPr>
          <w:rFonts w:hint="eastAsia" w:hAnsi="宋体" w:cs="宋体"/>
        </w:rPr>
        <w:t xml:space="preserve">GB/T 15788 </w:t>
      </w:r>
      <w:r>
        <w:rPr>
          <w:rFonts w:hint="eastAsia" w:hAnsi="宋体" w:cs="宋体"/>
          <w:color w:val="000000"/>
          <w:szCs w:val="21"/>
          <w:shd w:val="clear" w:color="auto" w:fill="FFFFFF"/>
        </w:rPr>
        <w:t>土工合成材料 宽条拉伸试验方法</w:t>
      </w:r>
    </w:p>
    <w:p>
      <w:pPr>
        <w:pStyle w:val="24"/>
        <w:rPr>
          <w:rFonts w:hAnsi="宋体" w:cs="宋体"/>
        </w:rPr>
      </w:pPr>
      <w:r>
        <w:rPr>
          <w:rFonts w:hint="eastAsia" w:hAnsi="宋体" w:cs="宋体"/>
        </w:rPr>
        <w:t xml:space="preserve">GB/T 15789 </w:t>
      </w:r>
      <w:r>
        <w:rPr>
          <w:rFonts w:hint="eastAsia" w:hAnsi="宋体" w:cs="宋体"/>
          <w:color w:val="000000"/>
          <w:szCs w:val="21"/>
          <w:shd w:val="clear" w:color="auto" w:fill="FFFFFF"/>
        </w:rPr>
        <w:t>土工布及其有关产品 无负荷时垂直渗透特性的测定</w:t>
      </w:r>
    </w:p>
    <w:p>
      <w:pPr>
        <w:pStyle w:val="24"/>
        <w:rPr>
          <w:rFonts w:hAnsi="宋体" w:cs="宋体"/>
        </w:rPr>
      </w:pPr>
      <w:r>
        <w:rPr>
          <w:rFonts w:hint="eastAsia" w:hAnsi="宋体" w:cs="宋体"/>
        </w:rPr>
        <w:t xml:space="preserve">GB/T 16422.1 </w:t>
      </w:r>
      <w:r>
        <w:rPr>
          <w:rFonts w:hint="eastAsia" w:hAnsi="宋体" w:cs="宋体"/>
          <w:color w:val="000000"/>
          <w:szCs w:val="21"/>
          <w:shd w:val="clear" w:color="auto" w:fill="FFFFFF"/>
        </w:rPr>
        <w:t>塑料 实验室光源暴露试验方法 第1部分：总则</w:t>
      </w:r>
    </w:p>
    <w:p>
      <w:pPr>
        <w:pStyle w:val="24"/>
      </w:pPr>
      <w:r>
        <w:rPr>
          <w:rFonts w:hint="eastAsia"/>
        </w:rPr>
        <w:t>GB</w:t>
      </w:r>
      <w:r>
        <w:t>/T </w:t>
      </w:r>
      <w:r>
        <w:rPr>
          <w:rFonts w:hint="eastAsia"/>
        </w:rPr>
        <w:t xml:space="preserve">16422.2 </w:t>
      </w:r>
      <w:r>
        <w:rPr>
          <w:rFonts w:hint="eastAsia" w:hAnsi="宋体" w:cs="宋体"/>
          <w:color w:val="000000"/>
          <w:szCs w:val="21"/>
          <w:shd w:val="clear" w:color="auto" w:fill="FFFFFF"/>
        </w:rPr>
        <w:t>塑料 实验室光源暴露试验方法 第2部分：氙弧灯</w:t>
      </w:r>
    </w:p>
    <w:p>
      <w:pPr>
        <w:pStyle w:val="24"/>
      </w:pPr>
      <w:r>
        <w:rPr>
          <w:rFonts w:hint="eastAsia"/>
        </w:rPr>
        <w:t>GB</w:t>
      </w:r>
      <w:r>
        <w:t>/T </w:t>
      </w:r>
      <w:r>
        <w:rPr>
          <w:rFonts w:hint="eastAsia"/>
        </w:rPr>
        <w:t xml:space="preserve">16422.3 </w:t>
      </w:r>
      <w:r>
        <w:rPr>
          <w:rFonts w:hint="eastAsia" w:hAnsi="宋体" w:cs="宋体"/>
          <w:color w:val="000000"/>
          <w:szCs w:val="21"/>
          <w:shd w:val="clear" w:color="auto" w:fill="FFFFFF"/>
        </w:rPr>
        <w:t>塑料 实验室光源暴露试验方法 第3部分：荧光紫外灯</w:t>
      </w:r>
    </w:p>
    <w:p>
      <w:pPr>
        <w:pStyle w:val="24"/>
      </w:pPr>
      <w:r>
        <w:rPr>
          <w:rFonts w:hint="eastAsia"/>
        </w:rPr>
        <w:t>GB</w:t>
      </w:r>
      <w:r>
        <w:t>/T </w:t>
      </w:r>
      <w:r>
        <w:rPr>
          <w:rFonts w:hint="eastAsia"/>
        </w:rPr>
        <w:t xml:space="preserve">17630 </w:t>
      </w:r>
      <w:r>
        <w:rPr>
          <w:rFonts w:hint="eastAsia" w:hAnsi="宋体" w:cs="宋体"/>
          <w:color w:val="000000"/>
          <w:szCs w:val="21"/>
          <w:shd w:val="clear" w:color="auto" w:fill="FFFFFF"/>
        </w:rPr>
        <w:t>土工布及其有关产品动态穿孔试验 落锥法</w:t>
      </w:r>
    </w:p>
    <w:p>
      <w:pPr>
        <w:pStyle w:val="24"/>
        <w:rPr>
          <w:rFonts w:hAnsi="宋体" w:cs="宋体"/>
        </w:rPr>
      </w:pPr>
      <w:r>
        <w:rPr>
          <w:rFonts w:hint="eastAsia" w:hAnsi="宋体" w:cs="宋体"/>
        </w:rPr>
        <w:t xml:space="preserve">GB/T 17631 </w:t>
      </w:r>
      <w:r>
        <w:rPr>
          <w:rFonts w:hint="eastAsia" w:hAnsi="宋体" w:cs="宋体"/>
          <w:color w:val="000000"/>
          <w:szCs w:val="21"/>
          <w:shd w:val="clear" w:color="auto" w:fill="FFFFFF"/>
        </w:rPr>
        <w:t>土工布及其有关产品抗氧化性能的试验方法</w:t>
      </w:r>
    </w:p>
    <w:p>
      <w:pPr>
        <w:pStyle w:val="24"/>
        <w:rPr>
          <w:rFonts w:hAnsi="宋体" w:cs="宋体"/>
        </w:rPr>
      </w:pPr>
      <w:r>
        <w:rPr>
          <w:rFonts w:hint="eastAsia" w:hAnsi="宋体" w:cs="宋体"/>
        </w:rPr>
        <w:t xml:space="preserve">GB/T 17632 </w:t>
      </w:r>
      <w:r>
        <w:rPr>
          <w:rFonts w:hint="eastAsia" w:hAnsi="宋体" w:cs="宋体"/>
          <w:color w:val="000000"/>
          <w:szCs w:val="21"/>
          <w:shd w:val="clear" w:color="auto" w:fill="FFFFFF"/>
        </w:rPr>
        <w:t>土工布及其有关产品抗酸、碱液性能的试验方法</w:t>
      </w:r>
    </w:p>
    <w:p>
      <w:pPr>
        <w:pStyle w:val="24"/>
        <w:rPr>
          <w:rFonts w:hAnsi="宋体" w:cs="宋体"/>
          <w:color w:val="000000"/>
          <w:szCs w:val="21"/>
          <w:shd w:val="clear" w:color="auto" w:fill="FFFFFF"/>
        </w:rPr>
      </w:pPr>
      <w:r>
        <w:rPr>
          <w:rFonts w:hint="eastAsia" w:hAnsi="宋体" w:cs="宋体"/>
        </w:rPr>
        <w:t xml:space="preserve">GB/T 17634 </w:t>
      </w:r>
      <w:r>
        <w:rPr>
          <w:rFonts w:hint="eastAsia" w:hAnsi="宋体" w:cs="宋体"/>
          <w:color w:val="000000"/>
          <w:szCs w:val="21"/>
          <w:shd w:val="clear" w:color="auto" w:fill="FFFFFF"/>
        </w:rPr>
        <w:t>土工布及其有关产品 有效孔径的测定 湿筛法</w:t>
      </w:r>
    </w:p>
    <w:p>
      <w:pPr>
        <w:pStyle w:val="24"/>
        <w:rPr>
          <w:rFonts w:hAnsi="宋体" w:cs="宋体"/>
          <w:color w:val="000000"/>
          <w:szCs w:val="21"/>
          <w:shd w:val="clear" w:color="auto" w:fill="FFFFFF"/>
        </w:rPr>
      </w:pPr>
      <w:r>
        <w:rPr>
          <w:rFonts w:hint="eastAsia" w:hAnsi="宋体" w:cs="宋体"/>
        </w:rPr>
        <w:t xml:space="preserve">GB/T 17635.1 </w:t>
      </w:r>
      <w:r>
        <w:rPr>
          <w:rFonts w:hint="eastAsia" w:hAnsi="宋体" w:cs="宋体"/>
          <w:color w:val="000000"/>
          <w:szCs w:val="21"/>
          <w:shd w:val="clear" w:color="auto" w:fill="FFFFFF"/>
        </w:rPr>
        <w:t>土工布及其有关产品 摩擦特性的测定 第1部分：直接剪切试验</w:t>
      </w:r>
    </w:p>
    <w:p>
      <w:pPr>
        <w:pStyle w:val="24"/>
        <w:rPr>
          <w:rFonts w:hAnsi="宋体" w:cs="宋体"/>
        </w:rPr>
      </w:pPr>
      <w:r>
        <w:rPr>
          <w:rFonts w:hint="eastAsia" w:hAnsi="宋体" w:cs="宋体"/>
        </w:rPr>
        <w:t xml:space="preserve">GB/T 17636 </w:t>
      </w:r>
      <w:r>
        <w:rPr>
          <w:rFonts w:hint="eastAsia" w:hAnsi="宋体" w:cs="宋体"/>
          <w:color w:val="000000"/>
          <w:szCs w:val="21"/>
          <w:shd w:val="clear" w:color="auto" w:fill="FFFFFF"/>
        </w:rPr>
        <w:t>土工布及其有关产品 抗磨损性能的测定 砂布/滑块法</w:t>
      </w:r>
    </w:p>
    <w:p>
      <w:pPr>
        <w:pStyle w:val="24"/>
        <w:rPr>
          <w:rFonts w:ascii="瀹嬩綋" w:hAnsi="瀹嬩綋" w:eastAsia="瀹嬩綋" w:cs="瀹嬩綋"/>
          <w:color w:val="000000"/>
          <w:szCs w:val="21"/>
          <w:shd w:val="clear" w:color="auto" w:fill="FFFFFF"/>
        </w:rPr>
      </w:pPr>
      <w:r>
        <w:rPr>
          <w:rFonts w:hint="eastAsia" w:hAnsi="宋体" w:cs="宋体"/>
        </w:rPr>
        <w:t xml:space="preserve">GB/T 17637 </w:t>
      </w:r>
      <w:r>
        <w:rPr>
          <w:rFonts w:hint="eastAsia" w:hAnsi="宋体" w:cs="宋体"/>
          <w:color w:val="000000"/>
          <w:szCs w:val="21"/>
          <w:shd w:val="clear" w:color="auto" w:fill="FFFFFF"/>
        </w:rPr>
        <w:t>土工布及其有关产品拉伸蠕变和拉伸蠕变断裂性能的测定</w:t>
      </w:r>
    </w:p>
    <w:p>
      <w:pPr>
        <w:pStyle w:val="46"/>
        <w:numPr>
          <w:ilvl w:val="0"/>
          <w:numId w:val="19"/>
        </w:numPr>
        <w:spacing w:before="312" w:after="312"/>
        <w:rPr>
          <w:szCs w:val="21"/>
        </w:rPr>
      </w:pPr>
      <w:bookmarkStart w:id="19" w:name="_Toc31357"/>
      <w:r>
        <w:rPr>
          <w:rFonts w:hint="eastAsia"/>
          <w:szCs w:val="21"/>
        </w:rPr>
        <w:t>术语和定义</w:t>
      </w:r>
      <w:bookmarkEnd w:id="19"/>
    </w:p>
    <w:p>
      <w:pPr>
        <w:pStyle w:val="24"/>
        <w:rPr>
          <w:szCs w:val="21"/>
        </w:rPr>
      </w:pPr>
      <w:r>
        <w:rPr>
          <w:rFonts w:hint="eastAsia"/>
          <w:szCs w:val="21"/>
        </w:rPr>
        <w:t>下列术语和定义适用于本文件。</w:t>
      </w:r>
    </w:p>
    <w:p>
      <w:pPr>
        <w:pStyle w:val="43"/>
      </w:pPr>
      <w:bookmarkStart w:id="20" w:name="_Toc19207"/>
      <w:bookmarkEnd w:id="20"/>
      <w:bookmarkStart w:id="21" w:name="_Toc23391"/>
      <w:bookmarkEnd w:id="21"/>
      <w:bookmarkStart w:id="22" w:name="_Toc24371"/>
      <w:bookmarkEnd w:id="22"/>
      <w:bookmarkStart w:id="23" w:name="_Toc8193"/>
      <w:bookmarkEnd w:id="23"/>
      <w:bookmarkStart w:id="24" w:name="_Toc58411919"/>
      <w:bookmarkStart w:id="25" w:name="_Toc57297958"/>
    </w:p>
    <w:bookmarkEnd w:id="24"/>
    <w:bookmarkEnd w:id="25"/>
    <w:p>
      <w:pPr>
        <w:pStyle w:val="24"/>
        <w:ind w:firstLine="422"/>
        <w:rPr>
          <w:rFonts w:hint="eastAsia" w:eastAsia="宋体"/>
          <w:b/>
          <w:lang w:val="en-US" w:eastAsia="zh-CN"/>
        </w:rPr>
      </w:pPr>
      <w:bookmarkStart w:id="26" w:name="_Toc2631"/>
      <w:bookmarkEnd w:id="26"/>
      <w:bookmarkStart w:id="27" w:name="_Toc26359"/>
      <w:bookmarkEnd w:id="27"/>
      <w:bookmarkStart w:id="28" w:name="_Toc11383"/>
      <w:bookmarkEnd w:id="28"/>
      <w:bookmarkStart w:id="29" w:name="_Toc6093"/>
      <w:bookmarkEnd w:id="29"/>
      <w:bookmarkStart w:id="30" w:name="_Toc556"/>
      <w:bookmarkEnd w:id="30"/>
      <w:r>
        <w:rPr>
          <w:rFonts w:hint="eastAsia"/>
          <w:b/>
          <w:lang w:val="en-US" w:eastAsia="zh-CN"/>
        </w:rPr>
        <w:t>土工管袋</w:t>
      </w:r>
    </w:p>
    <w:p>
      <w:pPr>
        <w:pStyle w:val="24"/>
        <w:rPr>
          <w:rFonts w:hint="eastAsia"/>
          <w:szCs w:val="21"/>
        </w:rPr>
      </w:pPr>
      <w:r>
        <w:rPr>
          <w:rFonts w:hint="eastAsia"/>
          <w:szCs w:val="21"/>
          <w:lang w:val="en-US" w:eastAsia="zh-CN"/>
        </w:rPr>
        <w:t>土工管袋是一种由高强土工织物制成的可降解且具备脱水固化功能的大型管袋及包裹体</w:t>
      </w:r>
      <w:r>
        <w:rPr>
          <w:rFonts w:hint="eastAsia"/>
          <w:szCs w:val="21"/>
        </w:rPr>
        <w:t>。</w:t>
      </w:r>
    </w:p>
    <w:p>
      <w:pPr>
        <w:pStyle w:val="43"/>
      </w:pPr>
    </w:p>
    <w:p>
      <w:pPr>
        <w:pStyle w:val="24"/>
        <w:ind w:firstLine="422"/>
        <w:rPr>
          <w:rFonts w:hint="default" w:eastAsia="宋体"/>
          <w:b/>
          <w:lang w:val="en-US" w:eastAsia="zh-CN"/>
        </w:rPr>
      </w:pPr>
      <w:r>
        <w:rPr>
          <w:rFonts w:hint="eastAsia"/>
          <w:b/>
          <w:lang w:val="en-US" w:eastAsia="zh-CN"/>
        </w:rPr>
        <w:t>充填排水</w:t>
      </w:r>
    </w:p>
    <w:p>
      <w:pPr>
        <w:pStyle w:val="24"/>
        <w:rPr>
          <w:szCs w:val="21"/>
        </w:rPr>
      </w:pPr>
      <w:r>
        <w:rPr>
          <w:rFonts w:hint="eastAsia"/>
          <w:szCs w:val="21"/>
          <w:lang w:val="en-US" w:eastAsia="zh-CN"/>
        </w:rPr>
        <w:t>将泥浆充填至土工管袋袋体后，利用泥浆的自重使水分从土工管袋孔隙渗出</w:t>
      </w:r>
      <w:r>
        <w:rPr>
          <w:rFonts w:hint="eastAsia"/>
          <w:szCs w:val="21"/>
        </w:rPr>
        <w:t>。</w:t>
      </w:r>
    </w:p>
    <w:p>
      <w:pPr>
        <w:pStyle w:val="43"/>
      </w:pPr>
      <w:bookmarkStart w:id="31" w:name="_Toc2628"/>
      <w:bookmarkEnd w:id="31"/>
      <w:bookmarkStart w:id="32" w:name="_Toc12047"/>
      <w:bookmarkEnd w:id="32"/>
      <w:bookmarkStart w:id="33" w:name="_Toc8377"/>
      <w:bookmarkEnd w:id="33"/>
    </w:p>
    <w:p>
      <w:pPr>
        <w:pStyle w:val="24"/>
        <w:ind w:firstLine="422"/>
        <w:rPr>
          <w:rFonts w:hint="default" w:eastAsia="宋体"/>
          <w:b/>
          <w:lang w:val="en-US" w:eastAsia="zh-CN"/>
        </w:rPr>
      </w:pPr>
      <w:r>
        <w:rPr>
          <w:rFonts w:hint="eastAsia"/>
          <w:b/>
          <w:lang w:val="en-US" w:eastAsia="zh-CN"/>
        </w:rPr>
        <w:t>铺设</w:t>
      </w:r>
    </w:p>
    <w:p>
      <w:pPr>
        <w:pStyle w:val="24"/>
        <w:rPr>
          <w:szCs w:val="21"/>
        </w:rPr>
      </w:pPr>
      <w:r>
        <w:rPr>
          <w:rFonts w:hint="eastAsia"/>
          <w:szCs w:val="21"/>
          <w:lang w:val="en-US" w:eastAsia="zh-CN"/>
        </w:rPr>
        <w:t>将装有泥浆的土工管袋脱水固化后，做为堤防护坡工程材料</w:t>
      </w:r>
      <w:r>
        <w:rPr>
          <w:rFonts w:hint="eastAsia"/>
          <w:szCs w:val="21"/>
        </w:rPr>
        <w:t>。</w:t>
      </w:r>
    </w:p>
    <w:p>
      <w:pPr>
        <w:pStyle w:val="43"/>
      </w:pPr>
      <w:bookmarkStart w:id="34" w:name="_Toc11049"/>
      <w:bookmarkEnd w:id="34"/>
      <w:bookmarkStart w:id="35" w:name="_Toc28320"/>
      <w:bookmarkEnd w:id="35"/>
      <w:bookmarkStart w:id="36" w:name="_Toc29080"/>
      <w:bookmarkEnd w:id="36"/>
    </w:p>
    <w:p>
      <w:pPr>
        <w:pStyle w:val="24"/>
        <w:ind w:firstLine="422"/>
        <w:rPr>
          <w:b/>
        </w:rPr>
      </w:pPr>
      <w:r>
        <w:rPr>
          <w:rFonts w:hint="eastAsia"/>
          <w:b/>
          <w:lang w:val="en-US" w:eastAsia="zh-CN"/>
        </w:rPr>
        <w:t>断裂</w:t>
      </w:r>
      <w:r>
        <w:rPr>
          <w:rFonts w:hint="eastAsia"/>
          <w:b/>
        </w:rPr>
        <w:t>强度</w:t>
      </w:r>
    </w:p>
    <w:p>
      <w:pPr>
        <w:pStyle w:val="24"/>
        <w:rPr>
          <w:szCs w:val="21"/>
        </w:rPr>
      </w:pPr>
      <w:r>
        <w:rPr>
          <w:rFonts w:hint="eastAsia"/>
          <w:szCs w:val="21"/>
        </w:rPr>
        <w:t>土工管带进行拉伸强度试验时，试样受外力拉伸直至断裂时所具有的最大拉力，并换算到每单位宽度上具有的最大拉断力。。</w:t>
      </w:r>
    </w:p>
    <w:p>
      <w:pPr>
        <w:pStyle w:val="43"/>
      </w:pPr>
      <w:bookmarkStart w:id="37" w:name="_Toc20839"/>
      <w:bookmarkEnd w:id="37"/>
      <w:bookmarkStart w:id="38" w:name="_Toc2578"/>
      <w:bookmarkEnd w:id="38"/>
      <w:bookmarkStart w:id="39" w:name="_Toc13986"/>
      <w:bookmarkEnd w:id="39"/>
    </w:p>
    <w:p>
      <w:pPr>
        <w:pStyle w:val="24"/>
        <w:ind w:firstLine="422"/>
        <w:rPr>
          <w:b/>
        </w:rPr>
      </w:pPr>
      <w:r>
        <w:rPr>
          <w:rFonts w:hint="eastAsia"/>
          <w:b/>
        </w:rPr>
        <w:t>纵向</w:t>
      </w:r>
    </w:p>
    <w:p>
      <w:pPr>
        <w:pStyle w:val="24"/>
        <w:rPr>
          <w:szCs w:val="21"/>
        </w:rPr>
      </w:pPr>
      <w:r>
        <w:rPr>
          <w:rFonts w:hint="eastAsia"/>
          <w:szCs w:val="21"/>
        </w:rPr>
        <w:t>产品的输出方向。</w:t>
      </w:r>
    </w:p>
    <w:p>
      <w:pPr>
        <w:pStyle w:val="43"/>
      </w:pPr>
      <w:bookmarkStart w:id="40" w:name="_Toc22830"/>
      <w:bookmarkEnd w:id="40"/>
      <w:bookmarkStart w:id="41" w:name="_Toc26939"/>
      <w:bookmarkEnd w:id="41"/>
      <w:bookmarkStart w:id="42" w:name="_Toc23331"/>
      <w:bookmarkEnd w:id="42"/>
    </w:p>
    <w:p>
      <w:pPr>
        <w:pStyle w:val="24"/>
        <w:ind w:firstLine="422"/>
        <w:rPr>
          <w:b/>
        </w:rPr>
      </w:pPr>
      <w:r>
        <w:rPr>
          <w:rFonts w:hint="eastAsia"/>
          <w:b/>
        </w:rPr>
        <w:t>横向</w:t>
      </w:r>
    </w:p>
    <w:p>
      <w:pPr>
        <w:pStyle w:val="24"/>
        <w:rPr>
          <w:szCs w:val="21"/>
        </w:rPr>
      </w:pPr>
      <w:r>
        <w:rPr>
          <w:rFonts w:hint="eastAsia"/>
          <w:szCs w:val="21"/>
        </w:rPr>
        <w:t>与产品的输出方向垂直的方向。</w:t>
      </w:r>
    </w:p>
    <w:p>
      <w:pPr>
        <w:pStyle w:val="46"/>
        <w:numPr>
          <w:ilvl w:val="0"/>
          <w:numId w:val="19"/>
        </w:numPr>
        <w:spacing w:before="312" w:after="312"/>
      </w:pPr>
      <w:bookmarkStart w:id="43" w:name="_Toc3426"/>
      <w:bookmarkEnd w:id="43"/>
      <w:bookmarkStart w:id="44" w:name="_Toc8486"/>
      <w:r>
        <w:rPr>
          <w:rFonts w:hint="eastAsia"/>
        </w:rPr>
        <w:t>基本规定</w:t>
      </w:r>
      <w:bookmarkEnd w:id="44"/>
    </w:p>
    <w:p>
      <w:pPr>
        <w:pStyle w:val="126"/>
      </w:pPr>
      <w:r>
        <w:rPr>
          <w:rFonts w:hint="eastAsia"/>
        </w:rPr>
        <w:t>材料的种类应根据设计功能、工程要求、环境条件、施工条件等选用，选用时应考虑土工合成材料的</w:t>
      </w:r>
      <w:r>
        <w:rPr>
          <w:rFonts w:hint="eastAsia"/>
          <w:lang w:val="en-US" w:eastAsia="zh-CN"/>
        </w:rPr>
        <w:t>拉伸强度、纵向、横向、接缝抗拉强度、渗透性、抗紫外线能力等</w:t>
      </w:r>
      <w:r>
        <w:rPr>
          <w:rFonts w:hint="eastAsia"/>
        </w:rPr>
        <w:t>物理性能、力学性能、水力学性能、耐久性和产品形态</w:t>
      </w:r>
      <w:r>
        <w:rPr>
          <w:rFonts w:hint="eastAsia"/>
          <w:lang w:val="en-US" w:eastAsia="zh-CN"/>
        </w:rPr>
        <w:t>指标。</w:t>
      </w:r>
    </w:p>
    <w:p>
      <w:pPr>
        <w:pStyle w:val="126"/>
      </w:pPr>
      <w:r>
        <w:rPr>
          <w:rFonts w:hint="eastAsia"/>
        </w:rPr>
        <w:t>材料出厂时，每卷应有合格证、产品名称、类型规格、产品标准号、检验员签章、生产日期、厂名、厂址等标志内容。</w:t>
      </w:r>
    </w:p>
    <w:p>
      <w:pPr>
        <w:pStyle w:val="126"/>
      </w:pPr>
      <w:r>
        <w:rPr>
          <w:rFonts w:hint="eastAsia"/>
        </w:rPr>
        <w:t>材料</w:t>
      </w:r>
      <w:r>
        <w:t>运至现场后应按规定进行检测，并符合设计要求和相关标准、文件及本文件规定，检测合格后方可使用</w:t>
      </w:r>
      <w:r>
        <w:rPr>
          <w:rFonts w:hint="eastAsia"/>
        </w:rPr>
        <w:t>。</w:t>
      </w:r>
    </w:p>
    <w:p>
      <w:pPr>
        <w:pStyle w:val="126"/>
      </w:pPr>
      <w:r>
        <w:rPr>
          <w:rFonts w:hint="eastAsia"/>
        </w:rPr>
        <w:t>材料应用宜</w:t>
      </w:r>
      <w:bookmarkStart w:id="87" w:name="_GoBack"/>
      <w:bookmarkEnd w:id="87"/>
      <w:r>
        <w:rPr>
          <w:rFonts w:hint="default"/>
          <w:lang w:val="en"/>
        </w:rPr>
        <w:t>采</w:t>
      </w:r>
      <w:r>
        <w:rPr>
          <w:rFonts w:hint="eastAsia"/>
        </w:rPr>
        <w:t>取掩埋覆盖等保护措施，在暴露使用条件下应选用具有防老化性能的土工合成材料。</w:t>
      </w:r>
    </w:p>
    <w:p>
      <w:pPr>
        <w:pStyle w:val="126"/>
      </w:pPr>
      <w:r>
        <w:rPr>
          <w:rFonts w:hint="eastAsia"/>
        </w:rPr>
        <w:t>长期受力的材料应考虑其强度随时间的衰减。</w:t>
      </w:r>
    </w:p>
    <w:p>
      <w:pPr>
        <w:pStyle w:val="46"/>
        <w:numPr>
          <w:ilvl w:val="0"/>
          <w:numId w:val="19"/>
        </w:numPr>
        <w:spacing w:before="312" w:after="312"/>
      </w:pPr>
      <w:bookmarkStart w:id="45" w:name="_Toc18790"/>
      <w:r>
        <w:rPr>
          <w:rFonts w:hint="eastAsia"/>
        </w:rPr>
        <w:t>设计</w:t>
      </w:r>
      <w:bookmarkEnd w:id="45"/>
    </w:p>
    <w:p>
      <w:pPr>
        <w:pStyle w:val="126"/>
      </w:pPr>
      <w:r>
        <w:rPr>
          <w:rFonts w:hint="eastAsia"/>
          <w:lang w:val="en-US" w:eastAsia="zh-CN"/>
        </w:rPr>
        <w:t>护坡应用断面形式</w:t>
      </w:r>
      <w:r>
        <w:rPr>
          <w:rFonts w:hint="eastAsia"/>
        </w:rPr>
        <w:t>应根据工程要求和水文地质条件等选用双棱体、单棱体或全棱体等</w:t>
      </w:r>
      <w:r>
        <w:rPr>
          <w:rFonts w:hint="eastAsia"/>
          <w:lang w:val="en-US" w:eastAsia="zh-CN"/>
        </w:rPr>
        <w:t>确定</w:t>
      </w:r>
      <w:r>
        <w:rPr>
          <w:rFonts w:hint="eastAsia"/>
        </w:rPr>
        <w:t>。</w:t>
      </w:r>
    </w:p>
    <w:p>
      <w:pPr>
        <w:pStyle w:val="126"/>
      </w:pPr>
      <w:r>
        <w:rPr>
          <w:rFonts w:hint="eastAsia"/>
        </w:rPr>
        <w:t>堤身高度小于4m时，宜</w:t>
      </w:r>
      <w:r>
        <w:rPr>
          <w:rFonts w:hint="default"/>
          <w:lang w:val="en"/>
        </w:rPr>
        <w:t>采</w:t>
      </w:r>
      <w:r>
        <w:rPr>
          <w:rFonts w:hint="eastAsia"/>
        </w:rPr>
        <w:t>用全棱体断面形式；堤身高度大于4m时，宜采用双棱体或单棱体断面形式</w:t>
      </w:r>
      <w:r>
        <w:rPr>
          <w:rFonts w:hint="eastAsia"/>
          <w:lang w:eastAsia="zh-CN"/>
        </w:rPr>
        <w:t>；</w:t>
      </w:r>
      <w:r>
        <w:rPr>
          <w:rFonts w:hint="eastAsia"/>
          <w:lang w:val="en-US" w:eastAsia="zh-CN"/>
        </w:rPr>
        <w:t>地下水位较高时应考虑布设排水管</w:t>
      </w:r>
      <w:r>
        <w:rPr>
          <w:rFonts w:hint="eastAsia"/>
        </w:rPr>
        <w:t>。</w:t>
      </w:r>
    </w:p>
    <w:p>
      <w:pPr>
        <w:pStyle w:val="126"/>
      </w:pPr>
      <w:r>
        <w:rPr>
          <w:rFonts w:hint="eastAsia"/>
        </w:rPr>
        <w:t>断面尺寸应根据堤身稳定、材料特性和使用要求通过计算分析确定。</w:t>
      </w:r>
    </w:p>
    <w:p>
      <w:pPr>
        <w:pStyle w:val="126"/>
      </w:pPr>
      <w:r>
        <w:rPr>
          <w:rFonts w:hint="eastAsia"/>
          <w:lang w:eastAsia="zh-CN"/>
        </w:rPr>
        <w:t>背水坡</w:t>
      </w:r>
      <w:r>
        <w:rPr>
          <w:rFonts w:hint="eastAsia"/>
        </w:rPr>
        <w:t>坡度宜取1：1.5</w:t>
      </w:r>
      <w:r>
        <w:rPr>
          <w:rFonts w:hint="eastAsia" w:hAnsi="宋体" w:cs="宋体"/>
        </w:rPr>
        <w:t>～</w:t>
      </w:r>
      <w:r>
        <w:rPr>
          <w:rFonts w:hint="eastAsia"/>
        </w:rPr>
        <w:t>1：3，</w:t>
      </w:r>
      <w:r>
        <w:rPr>
          <w:rFonts w:hint="eastAsia"/>
          <w:lang w:eastAsia="zh-CN"/>
        </w:rPr>
        <w:t>迎水坡</w:t>
      </w:r>
      <w:r>
        <w:rPr>
          <w:rFonts w:hint="eastAsia"/>
        </w:rPr>
        <w:t>坡度</w:t>
      </w:r>
      <w:r>
        <w:rPr>
          <w:rFonts w:hint="eastAsia"/>
          <w:lang w:val="en-US" w:eastAsia="zh-CN"/>
        </w:rPr>
        <w:t>要考虑防浪要求、地基条件、护面施工方便等情况。</w:t>
      </w:r>
      <w:r>
        <w:rPr>
          <w:rFonts w:hint="eastAsia"/>
        </w:rPr>
        <w:t>防浪要求低、地基条件好、护面施工方便的可取较陡的坡度</w:t>
      </w:r>
      <w:r>
        <w:rPr>
          <w:rFonts w:hint="eastAsia"/>
          <w:lang w:eastAsia="zh-CN"/>
        </w:rPr>
        <w:t>；</w:t>
      </w:r>
      <w:r>
        <w:rPr>
          <w:rFonts w:hint="eastAsia"/>
        </w:rPr>
        <w:t>反之，宜取较缓的坡度。</w:t>
      </w:r>
    </w:p>
    <w:p>
      <w:pPr>
        <w:pStyle w:val="126"/>
      </w:pPr>
      <w:r>
        <w:rPr>
          <w:rFonts w:hint="eastAsia"/>
        </w:rPr>
        <w:t>风浪较小时可</w:t>
      </w:r>
      <w:r>
        <w:rPr>
          <w:rFonts w:hint="default"/>
          <w:lang w:val="en"/>
        </w:rPr>
        <w:t>采</w:t>
      </w:r>
      <w:r>
        <w:rPr>
          <w:rFonts w:hint="eastAsia"/>
        </w:rPr>
        <w:t>用100g/m</w:t>
      </w:r>
      <w:r>
        <w:rPr>
          <w:rFonts w:hint="eastAsia"/>
          <w:vertAlign w:val="superscript"/>
        </w:rPr>
        <w:t>2</w:t>
      </w:r>
      <w:r>
        <w:rPr>
          <w:rFonts w:hint="eastAsia" w:hAnsi="宋体" w:cs="宋体"/>
        </w:rPr>
        <w:t>～</w:t>
      </w:r>
      <w:r>
        <w:rPr>
          <w:rFonts w:hint="eastAsia"/>
        </w:rPr>
        <w:t>230g/m</w:t>
      </w:r>
      <w:r>
        <w:rPr>
          <w:rFonts w:hint="eastAsia"/>
          <w:vertAlign w:val="superscript"/>
        </w:rPr>
        <w:t>2</w:t>
      </w:r>
      <w:r>
        <w:rPr>
          <w:rFonts w:hint="eastAsia"/>
        </w:rPr>
        <w:t>的有纺土工织物；风浪较大时，宜</w:t>
      </w:r>
      <w:r>
        <w:rPr>
          <w:rFonts w:hint="default"/>
          <w:lang w:val="en"/>
        </w:rPr>
        <w:t>采</w:t>
      </w:r>
      <w:r>
        <w:rPr>
          <w:rFonts w:hint="eastAsia"/>
        </w:rPr>
        <w:t>用230g/m</w:t>
      </w:r>
      <w:r>
        <w:rPr>
          <w:rFonts w:hint="eastAsia"/>
          <w:vertAlign w:val="superscript"/>
        </w:rPr>
        <w:t>2</w:t>
      </w:r>
      <w:r>
        <w:rPr>
          <w:rFonts w:hint="eastAsia"/>
        </w:rPr>
        <w:t>以上的有纺土工织物，且迎浪面和顶部宜采用土工复合材料。</w:t>
      </w:r>
    </w:p>
    <w:p>
      <w:pPr>
        <w:pStyle w:val="126"/>
      </w:pPr>
      <w:r>
        <w:rPr>
          <w:rFonts w:hint="default"/>
          <w:lang w:val="en"/>
        </w:rPr>
        <w:t>采</w:t>
      </w:r>
      <w:r>
        <w:rPr>
          <w:rFonts w:hint="eastAsia"/>
        </w:rPr>
        <w:t>用抛填施工的袋体宜采用230g/m</w:t>
      </w:r>
      <w:r>
        <w:rPr>
          <w:rFonts w:hint="eastAsia"/>
          <w:vertAlign w:val="superscript"/>
        </w:rPr>
        <w:t>2</w:t>
      </w:r>
      <w:r>
        <w:rPr>
          <w:rFonts w:hint="eastAsia"/>
        </w:rPr>
        <w:t>以上的有纺土工织物或土工复合材料，单个袋体尺寸宜取(3m</w:t>
      </w:r>
      <w:r>
        <w:rPr>
          <w:rFonts w:hint="eastAsia" w:hAnsi="宋体" w:cs="宋体"/>
        </w:rPr>
        <w:t>～</w:t>
      </w:r>
      <w:r>
        <w:rPr>
          <w:rFonts w:hint="eastAsia"/>
        </w:rPr>
        <w:t>6m)*(4m</w:t>
      </w:r>
      <w:r>
        <w:rPr>
          <w:rFonts w:hint="eastAsia" w:hAnsi="宋体" w:cs="宋体"/>
        </w:rPr>
        <w:t>～</w:t>
      </w:r>
      <w:r>
        <w:rPr>
          <w:rFonts w:hint="eastAsia"/>
        </w:rPr>
        <w:t>8m)。</w:t>
      </w:r>
    </w:p>
    <w:p>
      <w:pPr>
        <w:pStyle w:val="126"/>
      </w:pPr>
      <w:r>
        <w:rPr>
          <w:rFonts w:hint="eastAsia"/>
        </w:rPr>
        <w:t>充填料宜选用砂性土</w:t>
      </w:r>
      <w:r>
        <w:rPr>
          <w:rFonts w:hint="eastAsia"/>
          <w:lang w:eastAsia="zh-CN"/>
        </w:rPr>
        <w:t>，</w:t>
      </w:r>
      <w:r>
        <w:rPr>
          <w:rFonts w:hint="eastAsia"/>
          <w:lang w:val="en-US" w:eastAsia="zh-CN"/>
        </w:rPr>
        <w:t>并</w:t>
      </w:r>
      <w:r>
        <w:rPr>
          <w:rFonts w:hint="eastAsia" w:ascii="宋体" w:hAnsi="宋体" w:cs="宋体"/>
          <w:color w:val="000000"/>
          <w:kern w:val="0"/>
          <w:sz w:val="21"/>
          <w:szCs w:val="21"/>
          <w:lang w:val="en-US" w:eastAsia="zh-CN" w:bidi="en-US"/>
        </w:rPr>
        <w:t>按照其所在堤防级别满足密实度要求</w:t>
      </w:r>
      <w:r>
        <w:rPr>
          <w:rFonts w:hint="eastAsia"/>
        </w:rPr>
        <w:t>，粒径大于0.075mm的颗粒含量应大于50%，黏粒含量应小于10%。</w:t>
      </w:r>
    </w:p>
    <w:p>
      <w:pPr>
        <w:pStyle w:val="126"/>
      </w:pPr>
      <w:r>
        <w:rPr>
          <w:rFonts w:hint="eastAsia"/>
        </w:rPr>
        <w:t>充填袋筑堤的边坡宜</w:t>
      </w:r>
      <w:r>
        <w:rPr>
          <w:rFonts w:hint="default"/>
          <w:lang w:val="en"/>
        </w:rPr>
        <w:t>采</w:t>
      </w:r>
      <w:r>
        <w:rPr>
          <w:rFonts w:hint="eastAsia"/>
        </w:rPr>
        <w:t>用无纺土工织物反滤层，并覆盖碎石、袋装碎石垫层进行保护，迎水坡水下部分保护层厚度不宜小于300mm，迎水坡水上部分及背水坡不宜小于150mm。</w:t>
      </w:r>
    </w:p>
    <w:p>
      <w:pPr>
        <w:pStyle w:val="126"/>
      </w:pPr>
      <w:r>
        <w:rPr>
          <w:rFonts w:hint="eastAsia"/>
        </w:rPr>
        <w:t>土工管袋充填后，逐步失水固结，其高度逐渐降低。固结后的稳定高度应进行估算，需满足工程设计要求。</w:t>
      </w:r>
    </w:p>
    <w:p>
      <w:pPr>
        <w:pStyle w:val="46"/>
        <w:numPr>
          <w:ilvl w:val="0"/>
          <w:numId w:val="19"/>
        </w:numPr>
        <w:spacing w:before="312" w:after="312"/>
      </w:pPr>
      <w:bookmarkStart w:id="46" w:name="_Toc13824"/>
      <w:r>
        <w:rPr>
          <w:rFonts w:hint="eastAsia"/>
        </w:rPr>
        <w:t>施工</w:t>
      </w:r>
      <w:bookmarkEnd w:id="46"/>
    </w:p>
    <w:p>
      <w:pPr>
        <w:pStyle w:val="43"/>
      </w:pPr>
      <w:bookmarkStart w:id="47" w:name="_Toc915"/>
      <w:bookmarkStart w:id="48" w:name="_Toc14134"/>
      <w:bookmarkStart w:id="49" w:name="_Toc16027"/>
      <w:r>
        <w:rPr>
          <w:rFonts w:hint="eastAsia"/>
        </w:rPr>
        <w:t>一般规定</w:t>
      </w:r>
      <w:bookmarkEnd w:id="47"/>
      <w:bookmarkEnd w:id="48"/>
      <w:bookmarkEnd w:id="49"/>
    </w:p>
    <w:p>
      <w:pPr>
        <w:pStyle w:val="64"/>
      </w:pPr>
      <w:r>
        <w:rPr>
          <w:rFonts w:hint="eastAsia"/>
        </w:rPr>
        <w:t>产品在运输过程中应有防晒、防雨等措施，装卸过程中防止尖锐物体钩划。</w:t>
      </w:r>
    </w:p>
    <w:p>
      <w:pPr>
        <w:pStyle w:val="64"/>
      </w:pPr>
      <w:r>
        <w:rPr>
          <w:rFonts w:hint="eastAsia"/>
        </w:rPr>
        <w:t>原材料应遮盖储存在阴凉、通风、干燥的地方，暴露存放不得超过3个月。</w:t>
      </w:r>
    </w:p>
    <w:p>
      <w:pPr>
        <w:pStyle w:val="64"/>
        <w:rPr>
          <w:color w:val="FF0000"/>
        </w:rPr>
      </w:pPr>
      <w:r>
        <w:rPr>
          <w:rFonts w:hint="eastAsia"/>
        </w:rPr>
        <w:t>施工前应制定铺设规划，材料应按铺设规划方案裁剪和拼接，不得被污染和损伤。</w:t>
      </w:r>
    </w:p>
    <w:p>
      <w:pPr>
        <w:pStyle w:val="64"/>
        <w:rPr>
          <w:color w:val="FF0000"/>
        </w:rPr>
      </w:pPr>
      <w:r>
        <w:rPr>
          <w:rFonts w:hint="eastAsia"/>
        </w:rPr>
        <w:t>施工时间应避免在高温、寒冷或多雨季节</w:t>
      </w:r>
      <w:r>
        <w:rPr>
          <w:rFonts w:hint="eastAsia"/>
          <w:lang w:eastAsia="zh-CN"/>
        </w:rPr>
        <w:t>。</w:t>
      </w:r>
    </w:p>
    <w:p>
      <w:pPr>
        <w:pStyle w:val="43"/>
      </w:pPr>
      <w:r>
        <w:rPr>
          <w:rFonts w:hint="eastAsia"/>
          <w:lang w:val="en-US" w:eastAsia="zh-CN"/>
        </w:rPr>
        <w:t>充填铺设</w:t>
      </w:r>
    </w:p>
    <w:p>
      <w:pPr>
        <w:pStyle w:val="64"/>
      </w:pPr>
      <w:r>
        <w:rPr>
          <w:rFonts w:hint="eastAsia"/>
        </w:rPr>
        <w:t>材料的品种、规格和强度、渗透性、抗老化性能等应满足设计和相关产品技术标准要求，接缝处强度不宜低于土工织物拉伸强度的</w:t>
      </w:r>
      <w:r>
        <w:rPr>
          <w:rFonts w:hint="eastAsia"/>
          <w:lang w:val="en-US" w:eastAsia="zh-CN"/>
        </w:rPr>
        <w:t>70</w:t>
      </w:r>
      <w:r>
        <w:rPr>
          <w:rFonts w:hint="eastAsia"/>
        </w:rPr>
        <w:t>%。</w:t>
      </w:r>
    </w:p>
    <w:p>
      <w:pPr>
        <w:pStyle w:val="64"/>
      </w:pPr>
      <w:r>
        <w:rPr>
          <w:rFonts w:hint="eastAsia"/>
        </w:rPr>
        <w:t>宜</w:t>
      </w:r>
      <w:r>
        <w:rPr>
          <w:rFonts w:hint="default"/>
          <w:lang w:val="en"/>
        </w:rPr>
        <w:t>采</w:t>
      </w:r>
      <w:r>
        <w:rPr>
          <w:rFonts w:hint="eastAsia"/>
        </w:rPr>
        <w:t>用水力方法造浆和充填，充填压力应控制在袋体强度允许范围内，充填饱满度宜为80% 。</w:t>
      </w:r>
      <w:r>
        <w:rPr>
          <w:rFonts w:hint="eastAsia"/>
          <w:lang w:val="en-US" w:eastAsia="zh-CN"/>
        </w:rPr>
        <w:t>充填</w:t>
      </w:r>
      <w:r>
        <w:rPr>
          <w:rFonts w:hint="eastAsia"/>
        </w:rPr>
        <w:t>排水固结后的厚度不应小于设计要求，充填料干重度不应小于14.5kN/m</w:t>
      </w:r>
      <w:r>
        <w:rPr>
          <w:rFonts w:hint="eastAsia"/>
          <w:vertAlign w:val="superscript"/>
        </w:rPr>
        <w:t>3</w:t>
      </w:r>
      <w:r>
        <w:rPr>
          <w:rFonts w:hint="eastAsia"/>
        </w:rPr>
        <w:t>。</w:t>
      </w:r>
    </w:p>
    <w:p>
      <w:pPr>
        <w:pStyle w:val="64"/>
      </w:pPr>
      <w:r>
        <w:rPr>
          <w:rFonts w:hint="eastAsia"/>
        </w:rPr>
        <w:t>充填口应布置在袋体上表面，充填口数量应根据袋体的尺寸、充填料粒径和充填压力确定，充填时应确保袋体的充填饱满度和平整度。</w:t>
      </w:r>
    </w:p>
    <w:p>
      <w:pPr>
        <w:pStyle w:val="64"/>
      </w:pPr>
      <w:r>
        <w:rPr>
          <w:color w:val="000000"/>
        </w:rPr>
        <w:t>风浪较大或床面具有一定坡度时，充填袋内宜设置一定数量的隔仓</w:t>
      </w:r>
      <w:r>
        <w:rPr>
          <w:rFonts w:hint="eastAsia"/>
          <w:color w:val="000000"/>
        </w:rPr>
        <w:t>。</w:t>
      </w:r>
      <w:r>
        <w:rPr>
          <w:rFonts w:hint="eastAsia"/>
        </w:rPr>
        <w:t>充填完成后，应及时绑扎充填口。</w:t>
      </w:r>
    </w:p>
    <w:p>
      <w:pPr>
        <w:pStyle w:val="64"/>
      </w:pPr>
      <w:r>
        <w:rPr>
          <w:rFonts w:hint="eastAsia"/>
        </w:rPr>
        <w:t>充填料取料位置位于堤体附近时,取料坑应与堤体的坡趾具有足够的距离。</w:t>
      </w:r>
    </w:p>
    <w:p>
      <w:pPr>
        <w:pStyle w:val="64"/>
      </w:pPr>
      <w:r>
        <w:rPr>
          <w:rFonts w:hint="eastAsia"/>
        </w:rPr>
        <w:t>同层相邻袋体接缝处应预留收缩量，充填后的袋体不应形成水平通缝。</w:t>
      </w:r>
    </w:p>
    <w:p>
      <w:pPr>
        <w:pStyle w:val="64"/>
      </w:pPr>
      <w:r>
        <w:rPr>
          <w:rFonts w:hint="eastAsia"/>
          <w:lang w:val="en-US" w:eastAsia="zh-CN"/>
        </w:rPr>
        <w:t>铺设前</w:t>
      </w:r>
      <w:r>
        <w:rPr>
          <w:rFonts w:hint="eastAsia"/>
        </w:rPr>
        <w:t>应对基底进行处理，表面存在杂物和薄层流泥时应予清除，存在局部凸起或坑洼时宜进行整平。</w:t>
      </w:r>
    </w:p>
    <w:p>
      <w:pPr>
        <w:pStyle w:val="64"/>
      </w:pPr>
      <w:r>
        <w:rPr>
          <w:rFonts w:hint="eastAsia"/>
          <w:lang w:val="en-US" w:eastAsia="zh-CN"/>
        </w:rPr>
        <w:t>铺设时</w:t>
      </w:r>
      <w:r>
        <w:rPr>
          <w:rFonts w:hint="eastAsia"/>
        </w:rPr>
        <w:t>应垂直于堤轴线方向连续铺设,上下袋体应错缝排列，应分层施工，上下层袋体施工间歇时间应满足充填袋排水固结要求。地基采用排水固结法处理时，加载速度尚应满足地基承载力要求。</w:t>
      </w:r>
    </w:p>
    <w:p>
      <w:pPr>
        <w:pStyle w:val="64"/>
      </w:pPr>
      <w:r>
        <w:rPr>
          <w:rFonts w:hint="eastAsia"/>
        </w:rPr>
        <w:t>铺设后的外形尺寸应满足设计要求。</w:t>
      </w:r>
    </w:p>
    <w:p>
      <w:pPr>
        <w:pStyle w:val="64"/>
      </w:pPr>
      <w:r>
        <w:rPr>
          <w:rFonts w:hint="eastAsia"/>
        </w:rPr>
        <w:t>覆盖保护前，应检査袋体是否有破损，有破损时应及时修补或更换袋体。</w:t>
      </w:r>
    </w:p>
    <w:p>
      <w:pPr>
        <w:pStyle w:val="43"/>
      </w:pPr>
      <w:bookmarkStart w:id="50" w:name="_Toc2622"/>
      <w:bookmarkStart w:id="51" w:name="_Toc27987"/>
      <w:bookmarkStart w:id="52" w:name="_Toc31107"/>
      <w:r>
        <w:rPr>
          <w:rFonts w:hint="eastAsia"/>
        </w:rPr>
        <w:t>质量检查</w:t>
      </w:r>
      <w:bookmarkEnd w:id="50"/>
      <w:bookmarkEnd w:id="51"/>
      <w:bookmarkEnd w:id="52"/>
    </w:p>
    <w:p>
      <w:pPr>
        <w:pStyle w:val="64"/>
        <w:rPr>
          <w:color w:val="FF0000"/>
        </w:rPr>
      </w:pPr>
      <w:r>
        <w:rPr>
          <w:rFonts w:hint="eastAsia"/>
        </w:rPr>
        <w:t>应根据工程实际情况，制定施工质量检查细则。</w:t>
      </w:r>
    </w:p>
    <w:p>
      <w:pPr>
        <w:pStyle w:val="64"/>
        <w:rPr>
          <w:color w:val="FF0000"/>
        </w:rPr>
      </w:pPr>
      <w:r>
        <w:rPr>
          <w:rFonts w:hint="eastAsia"/>
        </w:rPr>
        <w:t>施工时应有专人随时检查，隐蔽工程应进行实时检查，每完成一道工序应按设计要求及时进行质量检查，合格后方可进行下道工序。</w:t>
      </w:r>
    </w:p>
    <w:p>
      <w:pPr>
        <w:pStyle w:val="64"/>
      </w:pPr>
      <w:r>
        <w:rPr>
          <w:rFonts w:hint="eastAsia"/>
        </w:rPr>
        <w:t>基面处理质量检查应符合以下要求：</w:t>
      </w:r>
    </w:p>
    <w:p>
      <w:pPr>
        <w:pStyle w:val="106"/>
      </w:pPr>
      <w:r>
        <w:rPr>
          <w:rFonts w:hint="eastAsia"/>
        </w:rPr>
        <w:t>检查项目包括基面清理、基面平整；</w:t>
      </w:r>
    </w:p>
    <w:p>
      <w:pPr>
        <w:pStyle w:val="106"/>
      </w:pPr>
      <w:r>
        <w:rPr>
          <w:rFonts w:hint="eastAsia"/>
        </w:rPr>
        <w:t>基面清理采用观察法进行全数检查，质量标准符合设计要求；</w:t>
      </w:r>
    </w:p>
    <w:p>
      <w:pPr>
        <w:pStyle w:val="106"/>
      </w:pPr>
      <w:r>
        <w:rPr>
          <w:rFonts w:hint="eastAsia"/>
        </w:rPr>
        <w:t>基面平整采用观察法进行全数检查，质量标准平顺、无带棱杂物，符合设计要求；</w:t>
      </w:r>
    </w:p>
    <w:p>
      <w:pPr>
        <w:pStyle w:val="64"/>
      </w:pPr>
      <w:r>
        <w:rPr>
          <w:rFonts w:hint="eastAsia"/>
        </w:rPr>
        <w:t>袋体充填质量检查应符合以下要求：</w:t>
      </w:r>
    </w:p>
    <w:p>
      <w:pPr>
        <w:pStyle w:val="106"/>
        <w:numPr>
          <w:ilvl w:val="0"/>
          <w:numId w:val="20"/>
        </w:numPr>
      </w:pPr>
      <w:r>
        <w:rPr>
          <w:rFonts w:hint="eastAsia"/>
        </w:rPr>
        <w:t>检查项目包括堤顶高程、堤顶轴线偏移、充填材料、搭接和固定方式、相邻袋体间局部最大缝宽、积水和泌水、袋体外观；</w:t>
      </w:r>
    </w:p>
    <w:p>
      <w:pPr>
        <w:pStyle w:val="106"/>
        <w:numPr>
          <w:ilvl w:val="0"/>
          <w:numId w:val="20"/>
        </w:numPr>
      </w:pPr>
      <w:r>
        <w:rPr>
          <w:rFonts w:hint="eastAsia"/>
        </w:rPr>
        <w:t>堤顶高程和堤顶轴线偏移采用量测法进行全数检查，质量标准符合设计要求；</w:t>
      </w:r>
    </w:p>
    <w:p>
      <w:pPr>
        <w:pStyle w:val="106"/>
        <w:numPr>
          <w:ilvl w:val="0"/>
          <w:numId w:val="20"/>
        </w:numPr>
      </w:pPr>
      <w:r>
        <w:rPr>
          <w:rFonts w:hint="eastAsia"/>
        </w:rPr>
        <w:t>充填材料通过试验法进行检查，检查数量应符合试验检测频次，质量标准符合设计要求；</w:t>
      </w:r>
    </w:p>
    <w:p>
      <w:pPr>
        <w:pStyle w:val="106"/>
        <w:numPr>
          <w:ilvl w:val="0"/>
          <w:numId w:val="20"/>
        </w:numPr>
      </w:pPr>
      <w:r>
        <w:rPr>
          <w:rFonts w:hint="eastAsia"/>
        </w:rPr>
        <w:t>搭接和固定方式采用观察法进行全数检查，质量标准符合设计要求；</w:t>
      </w:r>
    </w:p>
    <w:p>
      <w:pPr>
        <w:pStyle w:val="106"/>
        <w:numPr>
          <w:ilvl w:val="0"/>
          <w:numId w:val="20"/>
        </w:numPr>
      </w:pPr>
      <w:r>
        <w:rPr>
          <w:rFonts w:hint="eastAsia"/>
        </w:rPr>
        <w:t>相邻袋体间局部最大缝宽采用量测法进行全数检查，质量标准符合设计要求；</w:t>
      </w:r>
    </w:p>
    <w:p>
      <w:pPr>
        <w:pStyle w:val="106"/>
        <w:numPr>
          <w:ilvl w:val="0"/>
          <w:numId w:val="20"/>
        </w:numPr>
      </w:pPr>
      <w:r>
        <w:rPr>
          <w:rFonts w:hint="eastAsia"/>
        </w:rPr>
        <w:t>积水和泌水采用观察法进行全数检查，质量标准无外部水流入，泌水排出及时；</w:t>
      </w:r>
    </w:p>
    <w:p>
      <w:pPr>
        <w:pStyle w:val="106"/>
        <w:numPr>
          <w:ilvl w:val="0"/>
          <w:numId w:val="20"/>
        </w:numPr>
      </w:pPr>
      <w:r>
        <w:rPr>
          <w:rFonts w:hint="eastAsia"/>
        </w:rPr>
        <w:t>袋体外观采用量测法进行检查，每批不少于3个测点，质量标准无破损，尺寸、附件符合设计要求。</w:t>
      </w:r>
    </w:p>
    <w:p>
      <w:pPr>
        <w:pStyle w:val="46"/>
        <w:numPr>
          <w:ilvl w:val="0"/>
          <w:numId w:val="19"/>
        </w:numPr>
        <w:spacing w:before="312" w:after="312"/>
      </w:pPr>
      <w:bookmarkStart w:id="53" w:name="_Toc3317"/>
      <w:r>
        <w:rPr>
          <w:rFonts w:hint="eastAsia"/>
        </w:rPr>
        <w:t>试验方法</w:t>
      </w:r>
      <w:bookmarkEnd w:id="53"/>
    </w:p>
    <w:p>
      <w:pPr>
        <w:pStyle w:val="43"/>
      </w:pPr>
      <w:bookmarkStart w:id="54" w:name="_Toc122"/>
      <w:r>
        <w:rPr>
          <w:rFonts w:hint="eastAsia"/>
        </w:rPr>
        <w:t>单位面积质量偏差率</w:t>
      </w:r>
      <w:bookmarkEnd w:id="54"/>
    </w:p>
    <w:p>
      <w:pPr>
        <w:pStyle w:val="64"/>
      </w:pPr>
      <w:r>
        <w:rPr>
          <w:rFonts w:hint="eastAsia"/>
        </w:rPr>
        <w:t>按GB</w:t>
      </w:r>
      <w:r>
        <w:t>/T </w:t>
      </w:r>
      <w:r>
        <w:rPr>
          <w:rFonts w:hint="eastAsia"/>
        </w:rPr>
        <w:t>13762的规定执行，以标称值作为基准值计算单位面积质量偏差率，以百分率表示，精确到0.1%</w:t>
      </w:r>
      <w:r>
        <w:t>。</w:t>
      </w:r>
    </w:p>
    <w:p>
      <w:pPr>
        <w:pStyle w:val="43"/>
      </w:pPr>
      <w:bookmarkStart w:id="55" w:name="_Toc28580"/>
      <w:r>
        <w:rPr>
          <w:rFonts w:hint="eastAsia"/>
        </w:rPr>
        <w:t>幅宽偏差率</w:t>
      </w:r>
      <w:bookmarkEnd w:id="55"/>
    </w:p>
    <w:p>
      <w:pPr>
        <w:pStyle w:val="64"/>
      </w:pPr>
      <w:r>
        <w:rPr>
          <w:rFonts w:hint="eastAsia"/>
        </w:rPr>
        <w:t>按GB</w:t>
      </w:r>
      <w:r>
        <w:t>/T </w:t>
      </w:r>
      <w:r>
        <w:rPr>
          <w:rFonts w:hint="eastAsia"/>
        </w:rPr>
        <w:t>4666的规定执行，幅宽超过4m至少2人测定，以标称值作为基准值计算幅宽偏差率，以百分率表示，精确到0.1%</w:t>
      </w:r>
      <w:r>
        <w:t>。</w:t>
      </w:r>
    </w:p>
    <w:p>
      <w:pPr>
        <w:pStyle w:val="43"/>
      </w:pPr>
      <w:bookmarkStart w:id="56" w:name="_Toc20201"/>
      <w:r>
        <w:rPr>
          <w:rFonts w:hint="eastAsia"/>
        </w:rPr>
        <w:t>断裂强度和标称断裂强度</w:t>
      </w:r>
      <w:bookmarkEnd w:id="56"/>
    </w:p>
    <w:p>
      <w:pPr>
        <w:pStyle w:val="64"/>
      </w:pPr>
      <w:r>
        <w:rPr>
          <w:rFonts w:hint="eastAsia"/>
        </w:rPr>
        <w:t>按GB</w:t>
      </w:r>
      <w:r>
        <w:t>/T </w:t>
      </w:r>
      <w:r>
        <w:rPr>
          <w:rFonts w:hint="eastAsia"/>
        </w:rPr>
        <w:t>15788的规定执行。</w:t>
      </w:r>
    </w:p>
    <w:p>
      <w:pPr>
        <w:pStyle w:val="43"/>
      </w:pPr>
      <w:bookmarkStart w:id="57" w:name="_Toc19713"/>
      <w:r>
        <w:rPr>
          <w:rFonts w:hint="eastAsia"/>
        </w:rPr>
        <w:t>顶破强力</w:t>
      </w:r>
      <w:bookmarkEnd w:id="57"/>
    </w:p>
    <w:p>
      <w:pPr>
        <w:pStyle w:val="64"/>
      </w:pPr>
      <w:r>
        <w:rPr>
          <w:rFonts w:hint="eastAsia"/>
        </w:rPr>
        <w:t>按GB</w:t>
      </w:r>
      <w:r>
        <w:t>/T </w:t>
      </w:r>
      <w:r>
        <w:rPr>
          <w:rFonts w:hint="eastAsia"/>
        </w:rPr>
        <w:t>14800的规定执行。</w:t>
      </w:r>
    </w:p>
    <w:p>
      <w:pPr>
        <w:pStyle w:val="43"/>
      </w:pPr>
      <w:bookmarkStart w:id="58" w:name="_Toc22642"/>
      <w:r>
        <w:rPr>
          <w:rFonts w:hint="eastAsia"/>
        </w:rPr>
        <w:t>垂直渗透系数</w:t>
      </w:r>
      <w:bookmarkEnd w:id="58"/>
    </w:p>
    <w:p>
      <w:pPr>
        <w:pStyle w:val="64"/>
      </w:pPr>
      <w:r>
        <w:rPr>
          <w:rFonts w:hint="eastAsia"/>
        </w:rPr>
        <w:t>按GB</w:t>
      </w:r>
      <w:r>
        <w:t>/T </w:t>
      </w:r>
      <w:r>
        <w:rPr>
          <w:rFonts w:hint="eastAsia"/>
        </w:rPr>
        <w:t>15789的规定执行。</w:t>
      </w:r>
    </w:p>
    <w:p>
      <w:pPr>
        <w:pStyle w:val="43"/>
      </w:pPr>
      <w:bookmarkStart w:id="59" w:name="_Toc22690"/>
      <w:r>
        <w:rPr>
          <w:rFonts w:hint="eastAsia"/>
        </w:rPr>
        <w:t>有效孔径</w:t>
      </w:r>
      <w:bookmarkEnd w:id="59"/>
    </w:p>
    <w:p>
      <w:pPr>
        <w:pStyle w:val="64"/>
      </w:pPr>
      <w:r>
        <w:rPr>
          <w:rFonts w:hint="eastAsia"/>
        </w:rPr>
        <w:t>按GB</w:t>
      </w:r>
      <w:r>
        <w:t>/T </w:t>
      </w:r>
      <w:r>
        <w:rPr>
          <w:rFonts w:hint="eastAsia"/>
        </w:rPr>
        <w:t>14799的规定执行。</w:t>
      </w:r>
    </w:p>
    <w:p>
      <w:pPr>
        <w:pStyle w:val="43"/>
      </w:pPr>
      <w:bookmarkStart w:id="60" w:name="_Toc5493"/>
      <w:r>
        <w:rPr>
          <w:rFonts w:hint="eastAsia"/>
        </w:rPr>
        <w:t>动态穿孔性能</w:t>
      </w:r>
      <w:bookmarkEnd w:id="60"/>
    </w:p>
    <w:p>
      <w:pPr>
        <w:pStyle w:val="64"/>
      </w:pPr>
      <w:r>
        <w:rPr>
          <w:rFonts w:hint="eastAsia"/>
        </w:rPr>
        <w:t>按GB</w:t>
      </w:r>
      <w:r>
        <w:t>/T </w:t>
      </w:r>
      <w:r>
        <w:rPr>
          <w:rFonts w:hint="eastAsia"/>
        </w:rPr>
        <w:t>17630的规定执行。</w:t>
      </w:r>
    </w:p>
    <w:p>
      <w:pPr>
        <w:pStyle w:val="43"/>
      </w:pPr>
      <w:bookmarkStart w:id="61" w:name="_Toc30726"/>
      <w:r>
        <w:rPr>
          <w:rFonts w:hint="eastAsia"/>
        </w:rPr>
        <w:t>刺破强力</w:t>
      </w:r>
      <w:bookmarkEnd w:id="61"/>
    </w:p>
    <w:p>
      <w:pPr>
        <w:pStyle w:val="64"/>
      </w:pPr>
      <w:r>
        <w:rPr>
          <w:rFonts w:hint="eastAsia"/>
        </w:rPr>
        <w:t>按GB</w:t>
      </w:r>
      <w:r>
        <w:t>/T </w:t>
      </w:r>
      <w:r>
        <w:rPr>
          <w:rFonts w:hint="eastAsia"/>
        </w:rPr>
        <w:t>19978的规定执行。</w:t>
      </w:r>
    </w:p>
    <w:p>
      <w:pPr>
        <w:pStyle w:val="43"/>
      </w:pPr>
      <w:bookmarkStart w:id="62" w:name="_Toc20906"/>
      <w:r>
        <w:rPr>
          <w:rFonts w:hint="eastAsia"/>
        </w:rPr>
        <w:t>湿筛孔径</w:t>
      </w:r>
      <w:bookmarkEnd w:id="62"/>
    </w:p>
    <w:p>
      <w:pPr>
        <w:pStyle w:val="64"/>
      </w:pPr>
      <w:r>
        <w:rPr>
          <w:rFonts w:hint="eastAsia"/>
        </w:rPr>
        <w:t>按GB</w:t>
      </w:r>
      <w:r>
        <w:t>/T </w:t>
      </w:r>
      <w:r>
        <w:rPr>
          <w:rFonts w:hint="eastAsia"/>
        </w:rPr>
        <w:t>17634的规定执行。</w:t>
      </w:r>
    </w:p>
    <w:p>
      <w:pPr>
        <w:pStyle w:val="43"/>
      </w:pPr>
      <w:bookmarkStart w:id="63" w:name="_Toc7015"/>
      <w:r>
        <w:rPr>
          <w:rFonts w:hint="eastAsia"/>
        </w:rPr>
        <w:t>摩擦系数</w:t>
      </w:r>
      <w:bookmarkEnd w:id="63"/>
    </w:p>
    <w:p>
      <w:pPr>
        <w:pStyle w:val="64"/>
      </w:pPr>
      <w:r>
        <w:rPr>
          <w:rFonts w:hint="eastAsia"/>
        </w:rPr>
        <w:t>按GB</w:t>
      </w:r>
      <w:r>
        <w:t>/T </w:t>
      </w:r>
      <w:r>
        <w:rPr>
          <w:rFonts w:hint="eastAsia"/>
        </w:rPr>
        <w:t>17635.1的规定执行。</w:t>
      </w:r>
    </w:p>
    <w:p>
      <w:pPr>
        <w:pStyle w:val="43"/>
      </w:pPr>
      <w:bookmarkStart w:id="64" w:name="_Toc27167"/>
      <w:r>
        <w:rPr>
          <w:rFonts w:hint="eastAsia"/>
        </w:rPr>
        <w:t>抗紫外线性能</w:t>
      </w:r>
      <w:bookmarkEnd w:id="64"/>
    </w:p>
    <w:p>
      <w:pPr>
        <w:pStyle w:val="64"/>
      </w:pPr>
      <w:r>
        <w:rPr>
          <w:rFonts w:hint="eastAsia"/>
        </w:rPr>
        <w:t>按GB</w:t>
      </w:r>
      <w:r>
        <w:t>/T </w:t>
      </w:r>
      <w:r>
        <w:rPr>
          <w:rFonts w:hint="eastAsia"/>
        </w:rPr>
        <w:t>16422.1</w:t>
      </w:r>
      <w:r>
        <w:rPr>
          <w:rFonts w:hint="eastAsia" w:hAnsi="宋体" w:cs="宋体"/>
        </w:rPr>
        <w:t>～16422.3</w:t>
      </w:r>
      <w:r>
        <w:rPr>
          <w:rFonts w:hint="eastAsia"/>
        </w:rPr>
        <w:t>的规定执行，通常测定光照后强力保持率，试验时间可根据需要选定。</w:t>
      </w:r>
    </w:p>
    <w:p>
      <w:pPr>
        <w:pStyle w:val="43"/>
      </w:pPr>
      <w:bookmarkStart w:id="65" w:name="_Toc10844"/>
      <w:r>
        <w:rPr>
          <w:rFonts w:hint="eastAsia"/>
        </w:rPr>
        <w:t>抗酸碱性能</w:t>
      </w:r>
      <w:bookmarkEnd w:id="65"/>
    </w:p>
    <w:p>
      <w:pPr>
        <w:pStyle w:val="64"/>
      </w:pPr>
      <w:r>
        <w:rPr>
          <w:rFonts w:hint="eastAsia"/>
        </w:rPr>
        <w:t>按GB</w:t>
      </w:r>
      <w:r>
        <w:t>/T </w:t>
      </w:r>
      <w:r>
        <w:rPr>
          <w:rFonts w:hint="eastAsia"/>
        </w:rPr>
        <w:t>17632的规定执行。</w:t>
      </w:r>
    </w:p>
    <w:p>
      <w:pPr>
        <w:pStyle w:val="43"/>
      </w:pPr>
      <w:bookmarkStart w:id="66" w:name="_Toc5095"/>
      <w:r>
        <w:rPr>
          <w:rFonts w:hint="eastAsia"/>
        </w:rPr>
        <w:t>抗氧化性能</w:t>
      </w:r>
      <w:bookmarkEnd w:id="66"/>
    </w:p>
    <w:p>
      <w:pPr>
        <w:pStyle w:val="64"/>
      </w:pPr>
      <w:r>
        <w:rPr>
          <w:rFonts w:hint="eastAsia"/>
        </w:rPr>
        <w:t>按GB</w:t>
      </w:r>
      <w:r>
        <w:t>/T </w:t>
      </w:r>
      <w:r>
        <w:rPr>
          <w:rFonts w:hint="eastAsia"/>
        </w:rPr>
        <w:t>17631的规定执行。</w:t>
      </w:r>
    </w:p>
    <w:p>
      <w:pPr>
        <w:pStyle w:val="43"/>
      </w:pPr>
      <w:bookmarkStart w:id="67" w:name="_Toc2611"/>
      <w:r>
        <w:rPr>
          <w:rFonts w:hint="eastAsia"/>
        </w:rPr>
        <w:t>抗磨损性能</w:t>
      </w:r>
      <w:bookmarkEnd w:id="67"/>
    </w:p>
    <w:p>
      <w:pPr>
        <w:pStyle w:val="64"/>
      </w:pPr>
      <w:r>
        <w:rPr>
          <w:rFonts w:hint="eastAsia"/>
        </w:rPr>
        <w:t>按GB</w:t>
      </w:r>
      <w:r>
        <w:t>/T </w:t>
      </w:r>
      <w:r>
        <w:rPr>
          <w:rFonts w:hint="eastAsia"/>
        </w:rPr>
        <w:t>17636的规定执行。</w:t>
      </w:r>
    </w:p>
    <w:p>
      <w:pPr>
        <w:pStyle w:val="43"/>
      </w:pPr>
      <w:bookmarkStart w:id="68" w:name="_Toc14711"/>
      <w:r>
        <w:rPr>
          <w:rFonts w:hint="eastAsia"/>
        </w:rPr>
        <w:t>蠕变性能</w:t>
      </w:r>
      <w:bookmarkEnd w:id="68"/>
    </w:p>
    <w:p>
      <w:pPr>
        <w:pStyle w:val="64"/>
      </w:pPr>
      <w:r>
        <w:rPr>
          <w:rFonts w:hint="eastAsia"/>
        </w:rPr>
        <w:t>按GB</w:t>
      </w:r>
      <w:r>
        <w:t>/T </w:t>
      </w:r>
      <w:r>
        <w:rPr>
          <w:rFonts w:hint="eastAsia"/>
        </w:rPr>
        <w:t>17637的规定执行。</w:t>
      </w:r>
    </w:p>
    <w:p>
      <w:pPr>
        <w:pStyle w:val="46"/>
        <w:numPr>
          <w:ilvl w:val="0"/>
          <w:numId w:val="19"/>
        </w:numPr>
        <w:spacing w:before="312" w:after="312"/>
      </w:pPr>
      <w:bookmarkStart w:id="69" w:name="_Toc13416"/>
      <w:r>
        <w:rPr>
          <w:rFonts w:hint="eastAsia"/>
        </w:rPr>
        <w:t>检验规则</w:t>
      </w:r>
      <w:bookmarkEnd w:id="69"/>
    </w:p>
    <w:p>
      <w:pPr>
        <w:pStyle w:val="43"/>
      </w:pPr>
      <w:bookmarkStart w:id="70" w:name="_Toc9804"/>
      <w:bookmarkStart w:id="71" w:name="_Toc11209"/>
      <w:r>
        <w:rPr>
          <w:rFonts w:hint="eastAsia"/>
        </w:rPr>
        <w:t>检验项目</w:t>
      </w:r>
      <w:bookmarkEnd w:id="70"/>
      <w:bookmarkEnd w:id="71"/>
    </w:p>
    <w:p>
      <w:pPr>
        <w:pStyle w:val="64"/>
      </w:pPr>
      <w:r>
        <w:rPr>
          <w:rFonts w:hint="eastAsia"/>
        </w:rPr>
        <w:t>外观质量检验项目包括断经、断纬，缺经、缺纬，布面不匀、折痕，杂物，破损等。</w:t>
      </w:r>
    </w:p>
    <w:p>
      <w:pPr>
        <w:pStyle w:val="64"/>
      </w:pPr>
      <w:r>
        <w:rPr>
          <w:rFonts w:hint="eastAsia"/>
        </w:rPr>
        <w:t>内在质量检验项目包括纵向和横向标称断裂强度、单位面积质量偏差率、幅宽偏差率、断裂强度、标称断裂强度对应伸长率、顶破强力、垂直渗透系数、有效孔径、动态穿孔性能、刺破强力、摩擦系数、湿筛孔径、抗紫外线性能、抗酸碱性能、抗氧化性能、抗磨损性能、蠕变性能等。</w:t>
      </w:r>
    </w:p>
    <w:p>
      <w:pPr>
        <w:pStyle w:val="43"/>
      </w:pPr>
      <w:bookmarkStart w:id="72" w:name="_Toc29505"/>
      <w:bookmarkStart w:id="73" w:name="_Toc17844"/>
      <w:r>
        <w:rPr>
          <w:rFonts w:hint="eastAsia"/>
        </w:rPr>
        <w:t>检验批</w:t>
      </w:r>
      <w:bookmarkEnd w:id="72"/>
      <w:bookmarkEnd w:id="73"/>
    </w:p>
    <w:p>
      <w:pPr>
        <w:pStyle w:val="64"/>
      </w:pPr>
      <w:r>
        <w:rPr>
          <w:rFonts w:hint="eastAsia"/>
        </w:rPr>
        <w:t>按交货批号的同一品种、同一规格的产品作为检验批。</w:t>
      </w:r>
    </w:p>
    <w:p>
      <w:pPr>
        <w:pStyle w:val="43"/>
      </w:pPr>
      <w:bookmarkStart w:id="74" w:name="_Toc3518"/>
      <w:bookmarkStart w:id="75" w:name="_Toc5479"/>
      <w:r>
        <w:rPr>
          <w:rFonts w:hint="eastAsia"/>
        </w:rPr>
        <w:t>抽样</w:t>
      </w:r>
      <w:bookmarkEnd w:id="74"/>
      <w:bookmarkEnd w:id="75"/>
    </w:p>
    <w:p>
      <w:pPr>
        <w:pStyle w:val="64"/>
      </w:pPr>
      <w:r>
        <w:rPr>
          <w:rFonts w:hint="eastAsia"/>
        </w:rPr>
        <w:t>检验批不大于50卷，抽样数量为2卷；检验批大于50卷，抽样数量为3卷；</w:t>
      </w:r>
    </w:p>
    <w:p>
      <w:pPr>
        <w:pStyle w:val="64"/>
      </w:pPr>
      <w:r>
        <w:rPr>
          <w:rFonts w:hint="eastAsia"/>
        </w:rPr>
        <w:t>从一批产品中随机抽取相应数量的卷数，样品的抽取和试样的制备按GB</w:t>
      </w:r>
      <w:r>
        <w:t>/T </w:t>
      </w:r>
      <w:r>
        <w:rPr>
          <w:rFonts w:hint="eastAsia"/>
        </w:rPr>
        <w:t>13760的规定执行。</w:t>
      </w:r>
    </w:p>
    <w:p>
      <w:pPr>
        <w:pStyle w:val="43"/>
      </w:pPr>
      <w:bookmarkStart w:id="76" w:name="_Toc29297"/>
      <w:bookmarkStart w:id="77" w:name="_Toc13264"/>
      <w:r>
        <w:rPr>
          <w:rFonts w:hint="eastAsia"/>
        </w:rPr>
        <w:t>判定</w:t>
      </w:r>
      <w:bookmarkEnd w:id="76"/>
      <w:bookmarkEnd w:id="77"/>
    </w:p>
    <w:p>
      <w:pPr>
        <w:pStyle w:val="64"/>
      </w:pPr>
      <w:r>
        <w:rPr>
          <w:rFonts w:hint="eastAsia"/>
        </w:rPr>
        <w:t>内在质量的检验应从批样的每一卷中距端头至少3m随机剪取样品，以所有样品的平均结果表示该批产品的内在质量。</w:t>
      </w:r>
    </w:p>
    <w:p>
      <w:pPr>
        <w:pStyle w:val="64"/>
      </w:pPr>
      <w:r>
        <w:rPr>
          <w:rFonts w:hint="eastAsia"/>
        </w:rPr>
        <w:t>外观质量检验应对批样的每卷进行评定，如果所有卷均合格，则外观质量合格。如出现不合格卷时，则该批产品重新取样进行复检。若复检卷均合格，则该批产品外观质量合格；如果复检结果仍有不合格卷，则该批产品外观质量不合格。</w:t>
      </w:r>
    </w:p>
    <w:p>
      <w:pPr>
        <w:pStyle w:val="64"/>
      </w:pPr>
      <w:r>
        <w:rPr>
          <w:rFonts w:hint="eastAsia"/>
        </w:rPr>
        <w:t>内在质量判定和外观质量判定均为合格，则该批产品合格。</w:t>
      </w:r>
    </w:p>
    <w:p>
      <w:pPr>
        <w:pStyle w:val="46"/>
        <w:numPr>
          <w:ilvl w:val="0"/>
          <w:numId w:val="19"/>
        </w:numPr>
        <w:spacing w:before="312" w:after="312"/>
      </w:pPr>
      <w:bookmarkStart w:id="78" w:name="_Toc21328"/>
      <w:r>
        <w:rPr>
          <w:rFonts w:hint="eastAsia"/>
        </w:rPr>
        <w:t>质量评定</w:t>
      </w:r>
      <w:bookmarkEnd w:id="78"/>
    </w:p>
    <w:p>
      <w:pPr>
        <w:pStyle w:val="43"/>
      </w:pPr>
      <w:bookmarkStart w:id="79" w:name="_Toc29563"/>
      <w:bookmarkStart w:id="80" w:name="_Toc6924"/>
      <w:bookmarkStart w:id="81" w:name="_Toc29068"/>
      <w:r>
        <w:rPr>
          <w:rFonts w:hint="eastAsia"/>
        </w:rPr>
        <w:t>一般规定</w:t>
      </w:r>
      <w:bookmarkEnd w:id="79"/>
      <w:bookmarkEnd w:id="80"/>
      <w:bookmarkEnd w:id="81"/>
    </w:p>
    <w:p>
      <w:pPr>
        <w:pStyle w:val="64"/>
      </w:pPr>
      <w:r>
        <w:rPr>
          <w:rFonts w:hint="eastAsia"/>
        </w:rPr>
        <w:t>单元工程质量等级划分为优良</w:t>
      </w:r>
      <w:r>
        <w:rPr>
          <w:rFonts w:hint="eastAsia"/>
          <w:lang w:eastAsia="zh-CN"/>
        </w:rPr>
        <w:t>、</w:t>
      </w:r>
      <w:r>
        <w:rPr>
          <w:rFonts w:hint="eastAsia"/>
        </w:rPr>
        <w:t>合格</w:t>
      </w:r>
      <w:r>
        <w:rPr>
          <w:rFonts w:hint="eastAsia"/>
          <w:lang w:eastAsia="zh-CN"/>
        </w:rPr>
        <w:t>、</w:t>
      </w:r>
      <w:r>
        <w:rPr>
          <w:rFonts w:hint="eastAsia"/>
          <w:lang w:val="en-US" w:eastAsia="zh-CN"/>
        </w:rPr>
        <w:t>不合格</w:t>
      </w:r>
      <w:r>
        <w:rPr>
          <w:rFonts w:hint="eastAsia"/>
        </w:rPr>
        <w:t>，不合格单元工程应经过处理，达到合格标准后，再进行单元工程质量复评。</w:t>
      </w:r>
    </w:p>
    <w:p>
      <w:pPr>
        <w:pStyle w:val="64"/>
      </w:pPr>
      <w:r>
        <w:rPr>
          <w:rFonts w:hint="eastAsia"/>
        </w:rPr>
        <w:t>单元工程质量评定应提交初检记录、复检记录、终检记录和材料检验检测资料。</w:t>
      </w:r>
    </w:p>
    <w:p>
      <w:pPr>
        <w:pStyle w:val="64"/>
      </w:pPr>
      <w:r>
        <w:rPr>
          <w:rFonts w:hint="eastAsia"/>
        </w:rPr>
        <w:t>单元工程按设计或施工检查验收的区段划分，每一区段为一个单元工程。</w:t>
      </w:r>
    </w:p>
    <w:p>
      <w:pPr>
        <w:pStyle w:val="64"/>
      </w:pPr>
      <w:r>
        <w:rPr>
          <w:rFonts w:hint="eastAsia"/>
        </w:rPr>
        <w:t>单元工程质量检查项目分为主控项目和一般项目两类。主控项目有基面清理、堤顶高程、堤顶轴线偏移、充填材料、搭接和固定方式。</w:t>
      </w:r>
    </w:p>
    <w:p>
      <w:pPr>
        <w:pStyle w:val="43"/>
      </w:pPr>
      <w:bookmarkStart w:id="82" w:name="_Toc15251"/>
      <w:bookmarkStart w:id="83" w:name="_Toc20038"/>
      <w:bookmarkStart w:id="84" w:name="_Toc19610"/>
      <w:r>
        <w:rPr>
          <w:rFonts w:hint="eastAsia"/>
        </w:rPr>
        <w:t>单元工程质量评定</w:t>
      </w:r>
      <w:bookmarkEnd w:id="82"/>
      <w:bookmarkEnd w:id="83"/>
      <w:bookmarkEnd w:id="84"/>
    </w:p>
    <w:p>
      <w:pPr>
        <w:pStyle w:val="64"/>
      </w:pPr>
      <w:r>
        <w:rPr>
          <w:rFonts w:hint="eastAsia"/>
        </w:rPr>
        <w:t>合格，主控项目符合质量标准，一般项目每项应有不少于70%的检查点符合质量标准，且不合格点不应集中。</w:t>
      </w:r>
    </w:p>
    <w:p>
      <w:pPr>
        <w:pStyle w:val="64"/>
      </w:pPr>
      <w:r>
        <w:rPr>
          <w:rFonts w:hint="eastAsia"/>
        </w:rPr>
        <w:t>优良，主控项目符合质量标准，一般项目每项应有不少于90%的检查点符合质量标准，且不合格点不应集中。</w:t>
      </w:r>
    </w:p>
    <w:p>
      <w:pPr>
        <w:pStyle w:val="64"/>
      </w:pPr>
      <w:r>
        <w:rPr>
          <w:rFonts w:hint="eastAsia"/>
        </w:rPr>
        <w:t>土工管袋筑堤工程单元工程质量等级评定表按附录A表的格式填写。</w:t>
      </w:r>
    </w:p>
    <w:p>
      <w:pPr>
        <w:pStyle w:val="43"/>
        <w:numPr>
          <w:ilvl w:val="1"/>
          <w:numId w:val="0"/>
        </w:numPr>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24"/>
      </w:pPr>
    </w:p>
    <w:p>
      <w:pPr>
        <w:pStyle w:val="85"/>
      </w:pPr>
      <w:bookmarkStart w:id="85" w:name="_Toc22192"/>
      <w:r>
        <w:rPr>
          <w:rFonts w:hint="eastAsia"/>
        </w:rPr>
        <w:t>土工管袋筑堤工程单元工程质量等级评定表</w:t>
      </w:r>
      <w:bookmarkEnd w:id="85"/>
    </w:p>
    <w:p>
      <w:pPr>
        <w:pStyle w:val="24"/>
        <w:jc w:val="center"/>
        <w:rPr>
          <w:rFonts w:ascii="黑体" w:hAnsi="黑体" w:eastAsia="黑体"/>
        </w:rPr>
      </w:pPr>
      <w:r>
        <w:rPr>
          <w:rFonts w:hint="eastAsia" w:ascii="黑体" w:hAnsi="黑体" w:eastAsia="黑体"/>
        </w:rPr>
        <w:t>（规范性附录）</w:t>
      </w:r>
    </w:p>
    <w:p>
      <w:pPr>
        <w:pStyle w:val="24"/>
        <w:ind w:firstLine="0" w:firstLineChars="0"/>
        <w:jc w:val="center"/>
        <w:rPr>
          <w:sz w:val="24"/>
          <w:szCs w:val="22"/>
        </w:rPr>
      </w:pPr>
      <w:bookmarkStart w:id="86" w:name="_Toc57297994"/>
      <w:r>
        <w:rPr>
          <w:rFonts w:hint="eastAsia"/>
          <w:sz w:val="24"/>
          <w:szCs w:val="22"/>
        </w:rPr>
        <w:t>土工管袋筑堤工程单元工程质量等级评定表</w:t>
      </w:r>
    </w:p>
    <w:bookmarkEnd w:id="17"/>
    <w:bookmarkEnd w:id="86"/>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747"/>
        <w:gridCol w:w="554"/>
        <w:gridCol w:w="1050"/>
        <w:gridCol w:w="2032"/>
        <w:gridCol w:w="532"/>
        <w:gridCol w:w="1282"/>
        <w:gridCol w:w="504"/>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945" w:type="dxa"/>
            <w:gridSpan w:val="4"/>
            <w:vAlign w:val="center"/>
          </w:tcPr>
          <w:p>
            <w:pPr>
              <w:pStyle w:val="106"/>
              <w:numPr>
                <w:ilvl w:val="0"/>
                <w:numId w:val="0"/>
              </w:numPr>
              <w:jc w:val="center"/>
              <w:rPr>
                <w:szCs w:val="18"/>
              </w:rPr>
            </w:pPr>
            <w:r>
              <w:rPr>
                <w:rFonts w:hint="eastAsia"/>
                <w:szCs w:val="18"/>
              </w:rPr>
              <w:t>单位工程名称</w:t>
            </w:r>
          </w:p>
        </w:tc>
        <w:tc>
          <w:tcPr>
            <w:tcW w:w="2032" w:type="dxa"/>
          </w:tcPr>
          <w:p>
            <w:pPr>
              <w:pStyle w:val="106"/>
              <w:numPr>
                <w:ilvl w:val="0"/>
                <w:numId w:val="0"/>
              </w:numPr>
              <w:rPr>
                <w:szCs w:val="18"/>
              </w:rPr>
            </w:pPr>
          </w:p>
        </w:tc>
        <w:tc>
          <w:tcPr>
            <w:tcW w:w="2318" w:type="dxa"/>
            <w:gridSpan w:val="3"/>
            <w:vAlign w:val="center"/>
          </w:tcPr>
          <w:p>
            <w:pPr>
              <w:pStyle w:val="106"/>
              <w:numPr>
                <w:ilvl w:val="0"/>
                <w:numId w:val="0"/>
              </w:numPr>
              <w:jc w:val="center"/>
              <w:rPr>
                <w:szCs w:val="18"/>
              </w:rPr>
            </w:pPr>
            <w:r>
              <w:rPr>
                <w:rFonts w:hint="eastAsia"/>
                <w:szCs w:val="18"/>
              </w:rPr>
              <w:t>单元工程量</w:t>
            </w:r>
          </w:p>
        </w:tc>
        <w:tc>
          <w:tcPr>
            <w:tcW w:w="2275" w:type="dxa"/>
            <w:vAlign w:val="center"/>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945" w:type="dxa"/>
            <w:gridSpan w:val="4"/>
            <w:vAlign w:val="center"/>
          </w:tcPr>
          <w:p>
            <w:pPr>
              <w:pStyle w:val="106"/>
              <w:numPr>
                <w:ilvl w:val="0"/>
                <w:numId w:val="0"/>
              </w:numPr>
              <w:jc w:val="center"/>
              <w:rPr>
                <w:szCs w:val="18"/>
              </w:rPr>
            </w:pPr>
            <w:r>
              <w:rPr>
                <w:rFonts w:hint="eastAsia"/>
                <w:szCs w:val="18"/>
              </w:rPr>
              <w:t>分部工程名称</w:t>
            </w:r>
          </w:p>
        </w:tc>
        <w:tc>
          <w:tcPr>
            <w:tcW w:w="2032" w:type="dxa"/>
          </w:tcPr>
          <w:p>
            <w:pPr>
              <w:pStyle w:val="106"/>
              <w:numPr>
                <w:ilvl w:val="0"/>
                <w:numId w:val="0"/>
              </w:numPr>
              <w:rPr>
                <w:szCs w:val="18"/>
              </w:rPr>
            </w:pPr>
          </w:p>
        </w:tc>
        <w:tc>
          <w:tcPr>
            <w:tcW w:w="2318" w:type="dxa"/>
            <w:gridSpan w:val="3"/>
            <w:vAlign w:val="center"/>
          </w:tcPr>
          <w:p>
            <w:pPr>
              <w:pStyle w:val="106"/>
              <w:numPr>
                <w:ilvl w:val="0"/>
                <w:numId w:val="0"/>
              </w:numPr>
              <w:jc w:val="center"/>
              <w:rPr>
                <w:szCs w:val="18"/>
              </w:rPr>
            </w:pPr>
            <w:r>
              <w:rPr>
                <w:rFonts w:hint="eastAsia"/>
                <w:szCs w:val="18"/>
              </w:rPr>
              <w:t>起止桩号（高程）</w:t>
            </w:r>
          </w:p>
        </w:tc>
        <w:tc>
          <w:tcPr>
            <w:tcW w:w="2275" w:type="dxa"/>
            <w:vAlign w:val="center"/>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945" w:type="dxa"/>
            <w:gridSpan w:val="4"/>
            <w:vAlign w:val="center"/>
          </w:tcPr>
          <w:p>
            <w:pPr>
              <w:pStyle w:val="106"/>
              <w:numPr>
                <w:ilvl w:val="0"/>
                <w:numId w:val="0"/>
              </w:numPr>
              <w:jc w:val="center"/>
              <w:rPr>
                <w:szCs w:val="18"/>
              </w:rPr>
            </w:pPr>
            <w:r>
              <w:rPr>
                <w:rFonts w:hint="eastAsia"/>
                <w:szCs w:val="18"/>
              </w:rPr>
              <w:t>单元工程名称、部位</w:t>
            </w:r>
          </w:p>
        </w:tc>
        <w:tc>
          <w:tcPr>
            <w:tcW w:w="2032" w:type="dxa"/>
          </w:tcPr>
          <w:p>
            <w:pPr>
              <w:pStyle w:val="106"/>
              <w:numPr>
                <w:ilvl w:val="0"/>
                <w:numId w:val="0"/>
              </w:numPr>
              <w:rPr>
                <w:szCs w:val="18"/>
              </w:rPr>
            </w:pPr>
          </w:p>
        </w:tc>
        <w:tc>
          <w:tcPr>
            <w:tcW w:w="2318" w:type="dxa"/>
            <w:gridSpan w:val="3"/>
            <w:vAlign w:val="center"/>
          </w:tcPr>
          <w:p>
            <w:pPr>
              <w:pStyle w:val="106"/>
              <w:numPr>
                <w:ilvl w:val="0"/>
                <w:numId w:val="0"/>
              </w:numPr>
              <w:jc w:val="center"/>
              <w:rPr>
                <w:szCs w:val="18"/>
              </w:rPr>
            </w:pPr>
            <w:r>
              <w:rPr>
                <w:rFonts w:hint="eastAsia"/>
                <w:szCs w:val="18"/>
              </w:rPr>
              <w:t>检验日期</w:t>
            </w:r>
          </w:p>
        </w:tc>
        <w:tc>
          <w:tcPr>
            <w:tcW w:w="2275" w:type="dxa"/>
            <w:vAlign w:val="center"/>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Align w:val="center"/>
          </w:tcPr>
          <w:p>
            <w:pPr>
              <w:pStyle w:val="106"/>
              <w:numPr>
                <w:ilvl w:val="0"/>
                <w:numId w:val="0"/>
              </w:numPr>
              <w:jc w:val="center"/>
              <w:rPr>
                <w:szCs w:val="18"/>
              </w:rPr>
            </w:pPr>
            <w:r>
              <w:rPr>
                <w:rFonts w:hint="eastAsia"/>
                <w:szCs w:val="18"/>
              </w:rPr>
              <w:t>项类</w:t>
            </w:r>
          </w:p>
        </w:tc>
        <w:tc>
          <w:tcPr>
            <w:tcW w:w="2351" w:type="dxa"/>
            <w:gridSpan w:val="3"/>
            <w:vAlign w:val="center"/>
          </w:tcPr>
          <w:p>
            <w:pPr>
              <w:pStyle w:val="106"/>
              <w:numPr>
                <w:ilvl w:val="0"/>
                <w:numId w:val="0"/>
              </w:numPr>
              <w:jc w:val="center"/>
              <w:rPr>
                <w:szCs w:val="18"/>
              </w:rPr>
            </w:pPr>
            <w:r>
              <w:rPr>
                <w:rFonts w:hint="eastAsia"/>
                <w:szCs w:val="18"/>
              </w:rPr>
              <w:t>检查项目</w:t>
            </w:r>
          </w:p>
        </w:tc>
        <w:tc>
          <w:tcPr>
            <w:tcW w:w="2032" w:type="dxa"/>
            <w:vAlign w:val="center"/>
          </w:tcPr>
          <w:p>
            <w:pPr>
              <w:pStyle w:val="106"/>
              <w:numPr>
                <w:ilvl w:val="0"/>
                <w:numId w:val="0"/>
              </w:numPr>
              <w:jc w:val="center"/>
              <w:rPr>
                <w:szCs w:val="18"/>
              </w:rPr>
            </w:pPr>
            <w:r>
              <w:rPr>
                <w:rFonts w:hint="eastAsia"/>
                <w:szCs w:val="18"/>
              </w:rPr>
              <w:t>质量标准</w:t>
            </w:r>
          </w:p>
        </w:tc>
        <w:tc>
          <w:tcPr>
            <w:tcW w:w="4593" w:type="dxa"/>
            <w:gridSpan w:val="4"/>
            <w:vAlign w:val="center"/>
          </w:tcPr>
          <w:p>
            <w:pPr>
              <w:pStyle w:val="106"/>
              <w:numPr>
                <w:ilvl w:val="0"/>
                <w:numId w:val="0"/>
              </w:numPr>
              <w:jc w:val="center"/>
              <w:rPr>
                <w:szCs w:val="18"/>
              </w:rPr>
            </w:pPr>
            <w:r>
              <w:rPr>
                <w:rFonts w:hint="eastAsia"/>
                <w:szCs w:val="18"/>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restart"/>
            <w:vAlign w:val="center"/>
          </w:tcPr>
          <w:p>
            <w:pPr>
              <w:pStyle w:val="106"/>
              <w:numPr>
                <w:ilvl w:val="0"/>
                <w:numId w:val="0"/>
              </w:numPr>
              <w:jc w:val="center"/>
              <w:rPr>
                <w:szCs w:val="18"/>
              </w:rPr>
            </w:pPr>
            <w:r>
              <w:rPr>
                <w:rFonts w:hint="eastAsia"/>
                <w:szCs w:val="18"/>
              </w:rPr>
              <w:t>主控项目</w:t>
            </w:r>
          </w:p>
        </w:tc>
        <w:tc>
          <w:tcPr>
            <w:tcW w:w="747" w:type="dxa"/>
            <w:vAlign w:val="center"/>
          </w:tcPr>
          <w:p>
            <w:pPr>
              <w:pStyle w:val="106"/>
              <w:numPr>
                <w:ilvl w:val="0"/>
                <w:numId w:val="0"/>
              </w:numPr>
              <w:jc w:val="center"/>
              <w:rPr>
                <w:szCs w:val="18"/>
              </w:rPr>
            </w:pPr>
            <w:r>
              <w:rPr>
                <w:rFonts w:hint="eastAsia"/>
                <w:szCs w:val="18"/>
              </w:rPr>
              <w:t>1</w:t>
            </w:r>
          </w:p>
        </w:tc>
        <w:tc>
          <w:tcPr>
            <w:tcW w:w="1604" w:type="dxa"/>
            <w:gridSpan w:val="2"/>
            <w:vAlign w:val="center"/>
          </w:tcPr>
          <w:p>
            <w:pPr>
              <w:pStyle w:val="106"/>
              <w:numPr>
                <w:ilvl w:val="0"/>
                <w:numId w:val="0"/>
              </w:numPr>
              <w:jc w:val="center"/>
              <w:rPr>
                <w:szCs w:val="18"/>
              </w:rPr>
            </w:pPr>
            <w:r>
              <w:rPr>
                <w:rFonts w:hint="eastAsia"/>
                <w:szCs w:val="18"/>
              </w:rPr>
              <w:t>基面清理</w:t>
            </w:r>
          </w:p>
        </w:tc>
        <w:tc>
          <w:tcPr>
            <w:tcW w:w="2032" w:type="dxa"/>
            <w:vAlign w:val="center"/>
          </w:tcPr>
          <w:p>
            <w:pPr>
              <w:pStyle w:val="106"/>
              <w:numPr>
                <w:ilvl w:val="0"/>
                <w:numId w:val="0"/>
              </w:numPr>
              <w:jc w:val="center"/>
              <w:rPr>
                <w:szCs w:val="18"/>
              </w:rPr>
            </w:pPr>
            <w:r>
              <w:rPr>
                <w:rFonts w:hint="eastAsia"/>
                <w:szCs w:val="18"/>
              </w:rPr>
              <w:t>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2</w:t>
            </w:r>
          </w:p>
        </w:tc>
        <w:tc>
          <w:tcPr>
            <w:tcW w:w="1604" w:type="dxa"/>
            <w:gridSpan w:val="2"/>
            <w:vAlign w:val="center"/>
          </w:tcPr>
          <w:p>
            <w:pPr>
              <w:pStyle w:val="106"/>
              <w:numPr>
                <w:ilvl w:val="0"/>
                <w:numId w:val="0"/>
              </w:numPr>
              <w:jc w:val="center"/>
              <w:rPr>
                <w:szCs w:val="18"/>
              </w:rPr>
            </w:pPr>
            <w:r>
              <w:rPr>
                <w:rFonts w:hint="eastAsia"/>
                <w:szCs w:val="18"/>
              </w:rPr>
              <w:t>堤顶高程</w:t>
            </w:r>
          </w:p>
        </w:tc>
        <w:tc>
          <w:tcPr>
            <w:tcW w:w="2032" w:type="dxa"/>
            <w:vAlign w:val="center"/>
          </w:tcPr>
          <w:p>
            <w:pPr>
              <w:pStyle w:val="106"/>
              <w:numPr>
                <w:ilvl w:val="0"/>
                <w:numId w:val="0"/>
              </w:numPr>
              <w:jc w:val="center"/>
              <w:rPr>
                <w:szCs w:val="18"/>
              </w:rPr>
            </w:pPr>
            <w:r>
              <w:rPr>
                <w:rFonts w:hint="eastAsia"/>
                <w:szCs w:val="18"/>
              </w:rPr>
              <w:t>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3</w:t>
            </w:r>
          </w:p>
        </w:tc>
        <w:tc>
          <w:tcPr>
            <w:tcW w:w="1604" w:type="dxa"/>
            <w:gridSpan w:val="2"/>
            <w:vAlign w:val="center"/>
          </w:tcPr>
          <w:p>
            <w:pPr>
              <w:pStyle w:val="106"/>
              <w:numPr>
                <w:ilvl w:val="0"/>
                <w:numId w:val="0"/>
              </w:numPr>
              <w:jc w:val="center"/>
              <w:rPr>
                <w:szCs w:val="18"/>
              </w:rPr>
            </w:pPr>
            <w:r>
              <w:rPr>
                <w:rFonts w:hint="eastAsia"/>
                <w:szCs w:val="18"/>
              </w:rPr>
              <w:t>堤顶轴线偏移</w:t>
            </w:r>
          </w:p>
        </w:tc>
        <w:tc>
          <w:tcPr>
            <w:tcW w:w="2032" w:type="dxa"/>
            <w:vAlign w:val="center"/>
          </w:tcPr>
          <w:p>
            <w:pPr>
              <w:pStyle w:val="106"/>
              <w:numPr>
                <w:ilvl w:val="0"/>
                <w:numId w:val="0"/>
              </w:numPr>
              <w:jc w:val="center"/>
              <w:rPr>
                <w:szCs w:val="18"/>
              </w:rPr>
            </w:pPr>
            <w:r>
              <w:rPr>
                <w:rFonts w:hint="eastAsia"/>
                <w:szCs w:val="18"/>
              </w:rPr>
              <w:t>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4</w:t>
            </w:r>
          </w:p>
        </w:tc>
        <w:tc>
          <w:tcPr>
            <w:tcW w:w="1604" w:type="dxa"/>
            <w:gridSpan w:val="2"/>
            <w:vAlign w:val="center"/>
          </w:tcPr>
          <w:p>
            <w:pPr>
              <w:pStyle w:val="106"/>
              <w:numPr>
                <w:ilvl w:val="0"/>
                <w:numId w:val="0"/>
              </w:numPr>
              <w:jc w:val="center"/>
              <w:rPr>
                <w:szCs w:val="18"/>
              </w:rPr>
            </w:pPr>
            <w:r>
              <w:rPr>
                <w:rFonts w:hint="eastAsia"/>
                <w:szCs w:val="18"/>
              </w:rPr>
              <w:t>充填材料</w:t>
            </w:r>
          </w:p>
        </w:tc>
        <w:tc>
          <w:tcPr>
            <w:tcW w:w="2032" w:type="dxa"/>
            <w:vAlign w:val="center"/>
          </w:tcPr>
          <w:p>
            <w:pPr>
              <w:pStyle w:val="106"/>
              <w:numPr>
                <w:ilvl w:val="0"/>
                <w:numId w:val="0"/>
              </w:numPr>
              <w:jc w:val="center"/>
              <w:rPr>
                <w:szCs w:val="18"/>
              </w:rPr>
            </w:pPr>
            <w:r>
              <w:rPr>
                <w:rFonts w:hint="eastAsia"/>
                <w:szCs w:val="18"/>
              </w:rPr>
              <w:t>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5</w:t>
            </w:r>
          </w:p>
        </w:tc>
        <w:tc>
          <w:tcPr>
            <w:tcW w:w="1604" w:type="dxa"/>
            <w:gridSpan w:val="2"/>
            <w:vAlign w:val="center"/>
          </w:tcPr>
          <w:p>
            <w:pPr>
              <w:pStyle w:val="106"/>
              <w:numPr>
                <w:ilvl w:val="0"/>
                <w:numId w:val="0"/>
              </w:numPr>
              <w:jc w:val="center"/>
              <w:rPr>
                <w:szCs w:val="18"/>
              </w:rPr>
            </w:pPr>
            <w:r>
              <w:rPr>
                <w:rFonts w:hint="eastAsia"/>
                <w:szCs w:val="18"/>
              </w:rPr>
              <w:t>搭接和</w:t>
            </w:r>
          </w:p>
          <w:p>
            <w:pPr>
              <w:pStyle w:val="106"/>
              <w:numPr>
                <w:ilvl w:val="0"/>
                <w:numId w:val="0"/>
              </w:numPr>
              <w:jc w:val="center"/>
              <w:rPr>
                <w:szCs w:val="18"/>
              </w:rPr>
            </w:pPr>
            <w:r>
              <w:rPr>
                <w:rFonts w:hint="eastAsia"/>
                <w:szCs w:val="18"/>
              </w:rPr>
              <w:t>固定方式</w:t>
            </w:r>
          </w:p>
        </w:tc>
        <w:tc>
          <w:tcPr>
            <w:tcW w:w="2032" w:type="dxa"/>
            <w:vAlign w:val="center"/>
          </w:tcPr>
          <w:p>
            <w:pPr>
              <w:pStyle w:val="106"/>
              <w:numPr>
                <w:ilvl w:val="0"/>
                <w:numId w:val="0"/>
              </w:numPr>
              <w:jc w:val="center"/>
              <w:rPr>
                <w:szCs w:val="18"/>
              </w:rPr>
            </w:pPr>
            <w:r>
              <w:rPr>
                <w:rFonts w:hint="eastAsia"/>
                <w:szCs w:val="18"/>
              </w:rPr>
              <w:t>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restart"/>
            <w:vAlign w:val="center"/>
          </w:tcPr>
          <w:p>
            <w:pPr>
              <w:pStyle w:val="106"/>
              <w:numPr>
                <w:ilvl w:val="0"/>
                <w:numId w:val="0"/>
              </w:numPr>
              <w:jc w:val="center"/>
              <w:rPr>
                <w:szCs w:val="18"/>
              </w:rPr>
            </w:pPr>
            <w:r>
              <w:rPr>
                <w:rFonts w:hint="eastAsia"/>
                <w:szCs w:val="18"/>
              </w:rPr>
              <w:t>一般项目</w:t>
            </w:r>
          </w:p>
        </w:tc>
        <w:tc>
          <w:tcPr>
            <w:tcW w:w="2351" w:type="dxa"/>
            <w:gridSpan w:val="3"/>
            <w:vAlign w:val="center"/>
          </w:tcPr>
          <w:p>
            <w:pPr>
              <w:pStyle w:val="106"/>
              <w:numPr>
                <w:ilvl w:val="0"/>
                <w:numId w:val="0"/>
              </w:numPr>
              <w:jc w:val="center"/>
              <w:rPr>
                <w:szCs w:val="18"/>
              </w:rPr>
            </w:pPr>
            <w:r>
              <w:rPr>
                <w:rFonts w:hint="eastAsia"/>
                <w:szCs w:val="18"/>
              </w:rPr>
              <w:t>检查项目</w:t>
            </w:r>
          </w:p>
        </w:tc>
        <w:tc>
          <w:tcPr>
            <w:tcW w:w="2032" w:type="dxa"/>
            <w:vAlign w:val="center"/>
          </w:tcPr>
          <w:p>
            <w:pPr>
              <w:pStyle w:val="106"/>
              <w:numPr>
                <w:ilvl w:val="0"/>
                <w:numId w:val="0"/>
              </w:numPr>
              <w:jc w:val="center"/>
              <w:rPr>
                <w:szCs w:val="18"/>
              </w:rPr>
            </w:pPr>
            <w:r>
              <w:rPr>
                <w:rFonts w:hint="eastAsia"/>
                <w:szCs w:val="18"/>
              </w:rPr>
              <w:t>质量标准</w:t>
            </w:r>
          </w:p>
        </w:tc>
        <w:tc>
          <w:tcPr>
            <w:tcW w:w="4593" w:type="dxa"/>
            <w:gridSpan w:val="4"/>
            <w:vAlign w:val="center"/>
          </w:tcPr>
          <w:p>
            <w:pPr>
              <w:pStyle w:val="106"/>
              <w:numPr>
                <w:ilvl w:val="0"/>
                <w:numId w:val="0"/>
              </w:numPr>
              <w:jc w:val="center"/>
              <w:rPr>
                <w:szCs w:val="18"/>
              </w:rPr>
            </w:pPr>
            <w:r>
              <w:rPr>
                <w:rFonts w:hint="eastAsia"/>
                <w:szCs w:val="18"/>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1</w:t>
            </w:r>
          </w:p>
        </w:tc>
        <w:tc>
          <w:tcPr>
            <w:tcW w:w="1604" w:type="dxa"/>
            <w:gridSpan w:val="2"/>
            <w:vAlign w:val="center"/>
          </w:tcPr>
          <w:p>
            <w:pPr>
              <w:pStyle w:val="106"/>
              <w:numPr>
                <w:ilvl w:val="0"/>
                <w:numId w:val="0"/>
              </w:numPr>
              <w:jc w:val="center"/>
              <w:rPr>
                <w:szCs w:val="18"/>
              </w:rPr>
            </w:pPr>
            <w:r>
              <w:rPr>
                <w:rFonts w:hint="eastAsia"/>
                <w:szCs w:val="18"/>
              </w:rPr>
              <w:t>基面平整</w:t>
            </w:r>
          </w:p>
        </w:tc>
        <w:tc>
          <w:tcPr>
            <w:tcW w:w="2032" w:type="dxa"/>
            <w:vAlign w:val="center"/>
          </w:tcPr>
          <w:p>
            <w:pPr>
              <w:pStyle w:val="106"/>
              <w:numPr>
                <w:ilvl w:val="0"/>
                <w:numId w:val="0"/>
              </w:numPr>
              <w:jc w:val="center"/>
              <w:rPr>
                <w:szCs w:val="18"/>
              </w:rPr>
            </w:pPr>
            <w:r>
              <w:rPr>
                <w:rFonts w:hint="eastAsia"/>
                <w:szCs w:val="18"/>
              </w:rPr>
              <w:t>平顺、无带棱杂物，符合设计要求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2</w:t>
            </w:r>
          </w:p>
        </w:tc>
        <w:tc>
          <w:tcPr>
            <w:tcW w:w="1604" w:type="dxa"/>
            <w:gridSpan w:val="2"/>
            <w:vAlign w:val="center"/>
          </w:tcPr>
          <w:p>
            <w:pPr>
              <w:pStyle w:val="106"/>
              <w:numPr>
                <w:ilvl w:val="0"/>
                <w:numId w:val="0"/>
              </w:numPr>
              <w:jc w:val="center"/>
              <w:rPr>
                <w:szCs w:val="18"/>
              </w:rPr>
            </w:pPr>
            <w:r>
              <w:rPr>
                <w:rFonts w:hint="eastAsia"/>
                <w:szCs w:val="18"/>
              </w:rPr>
              <w:t>相邻袋体间</w:t>
            </w:r>
          </w:p>
          <w:p>
            <w:pPr>
              <w:pStyle w:val="106"/>
              <w:numPr>
                <w:ilvl w:val="0"/>
                <w:numId w:val="0"/>
              </w:numPr>
              <w:jc w:val="center"/>
              <w:rPr>
                <w:szCs w:val="18"/>
              </w:rPr>
            </w:pPr>
            <w:r>
              <w:rPr>
                <w:rFonts w:hint="eastAsia"/>
                <w:szCs w:val="18"/>
              </w:rPr>
              <w:t>局部最大缝宽</w:t>
            </w:r>
          </w:p>
        </w:tc>
        <w:tc>
          <w:tcPr>
            <w:tcW w:w="2032" w:type="dxa"/>
            <w:vAlign w:val="center"/>
          </w:tcPr>
          <w:p>
            <w:pPr>
              <w:pStyle w:val="106"/>
              <w:numPr>
                <w:ilvl w:val="0"/>
                <w:numId w:val="0"/>
              </w:numPr>
              <w:jc w:val="center"/>
              <w:rPr>
                <w:szCs w:val="18"/>
              </w:rPr>
            </w:pPr>
            <w:r>
              <w:rPr>
                <w:rFonts w:hint="eastAsia"/>
                <w:szCs w:val="18"/>
              </w:rPr>
              <w:t>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3</w:t>
            </w:r>
          </w:p>
        </w:tc>
        <w:tc>
          <w:tcPr>
            <w:tcW w:w="1604" w:type="dxa"/>
            <w:gridSpan w:val="2"/>
            <w:vAlign w:val="center"/>
          </w:tcPr>
          <w:p>
            <w:pPr>
              <w:pStyle w:val="106"/>
              <w:numPr>
                <w:ilvl w:val="0"/>
                <w:numId w:val="0"/>
              </w:numPr>
              <w:jc w:val="center"/>
              <w:rPr>
                <w:szCs w:val="18"/>
              </w:rPr>
            </w:pPr>
            <w:r>
              <w:rPr>
                <w:rFonts w:hint="eastAsia"/>
                <w:szCs w:val="18"/>
              </w:rPr>
              <w:t>积水和泌水</w:t>
            </w:r>
          </w:p>
        </w:tc>
        <w:tc>
          <w:tcPr>
            <w:tcW w:w="2032" w:type="dxa"/>
            <w:vAlign w:val="center"/>
          </w:tcPr>
          <w:p>
            <w:pPr>
              <w:pStyle w:val="106"/>
              <w:numPr>
                <w:ilvl w:val="0"/>
                <w:numId w:val="0"/>
              </w:numPr>
              <w:jc w:val="center"/>
              <w:rPr>
                <w:szCs w:val="18"/>
              </w:rPr>
            </w:pPr>
            <w:r>
              <w:rPr>
                <w:rFonts w:hint="eastAsia"/>
                <w:szCs w:val="18"/>
              </w:rPr>
              <w:t>无外部水流入，</w:t>
            </w:r>
          </w:p>
          <w:p>
            <w:pPr>
              <w:pStyle w:val="106"/>
              <w:numPr>
                <w:ilvl w:val="0"/>
                <w:numId w:val="0"/>
              </w:numPr>
              <w:jc w:val="center"/>
              <w:rPr>
                <w:szCs w:val="18"/>
              </w:rPr>
            </w:pPr>
            <w:r>
              <w:rPr>
                <w:rFonts w:hint="eastAsia"/>
                <w:szCs w:val="18"/>
              </w:rPr>
              <w:t>泌水排出及时</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747" w:type="dxa"/>
            <w:vAlign w:val="center"/>
          </w:tcPr>
          <w:p>
            <w:pPr>
              <w:pStyle w:val="106"/>
              <w:numPr>
                <w:ilvl w:val="0"/>
                <w:numId w:val="0"/>
              </w:numPr>
              <w:jc w:val="center"/>
              <w:rPr>
                <w:szCs w:val="18"/>
              </w:rPr>
            </w:pPr>
            <w:r>
              <w:rPr>
                <w:rFonts w:hint="eastAsia"/>
                <w:szCs w:val="18"/>
              </w:rPr>
              <w:t>4</w:t>
            </w:r>
          </w:p>
        </w:tc>
        <w:tc>
          <w:tcPr>
            <w:tcW w:w="1604" w:type="dxa"/>
            <w:gridSpan w:val="2"/>
            <w:vAlign w:val="center"/>
          </w:tcPr>
          <w:p>
            <w:pPr>
              <w:pStyle w:val="106"/>
              <w:numPr>
                <w:ilvl w:val="0"/>
                <w:numId w:val="0"/>
              </w:numPr>
              <w:jc w:val="center"/>
              <w:rPr>
                <w:szCs w:val="18"/>
              </w:rPr>
            </w:pPr>
            <w:r>
              <w:rPr>
                <w:rFonts w:hint="eastAsia"/>
                <w:szCs w:val="18"/>
              </w:rPr>
              <w:t>袋体外观</w:t>
            </w:r>
          </w:p>
        </w:tc>
        <w:tc>
          <w:tcPr>
            <w:tcW w:w="2032" w:type="dxa"/>
            <w:vAlign w:val="center"/>
          </w:tcPr>
          <w:p>
            <w:pPr>
              <w:pStyle w:val="106"/>
              <w:numPr>
                <w:ilvl w:val="0"/>
                <w:numId w:val="0"/>
              </w:numPr>
              <w:jc w:val="center"/>
              <w:rPr>
                <w:szCs w:val="18"/>
              </w:rPr>
            </w:pPr>
            <w:r>
              <w:rPr>
                <w:rFonts w:hint="eastAsia"/>
                <w:szCs w:val="18"/>
              </w:rPr>
              <w:t>无破损，尺寸、</w:t>
            </w:r>
          </w:p>
          <w:p>
            <w:pPr>
              <w:pStyle w:val="106"/>
              <w:numPr>
                <w:ilvl w:val="0"/>
                <w:numId w:val="0"/>
              </w:numPr>
              <w:jc w:val="center"/>
              <w:rPr>
                <w:szCs w:val="18"/>
              </w:rPr>
            </w:pPr>
            <w:r>
              <w:rPr>
                <w:rFonts w:hint="eastAsia"/>
                <w:szCs w:val="18"/>
              </w:rPr>
              <w:t>附件符合设计要求</w:t>
            </w:r>
          </w:p>
        </w:tc>
        <w:tc>
          <w:tcPr>
            <w:tcW w:w="4593" w:type="dxa"/>
            <w:gridSpan w:val="4"/>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restart"/>
            <w:vAlign w:val="center"/>
          </w:tcPr>
          <w:p>
            <w:pPr>
              <w:pStyle w:val="106"/>
              <w:numPr>
                <w:ilvl w:val="0"/>
                <w:numId w:val="0"/>
              </w:numPr>
              <w:jc w:val="center"/>
              <w:rPr>
                <w:szCs w:val="18"/>
              </w:rPr>
            </w:pPr>
            <w:r>
              <w:rPr>
                <w:rFonts w:hint="eastAsia"/>
                <w:szCs w:val="18"/>
              </w:rPr>
              <w:t>施工单位</w:t>
            </w:r>
          </w:p>
        </w:tc>
        <w:tc>
          <w:tcPr>
            <w:tcW w:w="1301" w:type="dxa"/>
            <w:gridSpan w:val="2"/>
            <w:vMerge w:val="restart"/>
            <w:vAlign w:val="center"/>
          </w:tcPr>
          <w:p>
            <w:pPr>
              <w:pStyle w:val="106"/>
              <w:numPr>
                <w:ilvl w:val="0"/>
                <w:numId w:val="0"/>
              </w:numPr>
              <w:jc w:val="center"/>
              <w:rPr>
                <w:szCs w:val="18"/>
              </w:rPr>
            </w:pPr>
            <w:r>
              <w:rPr>
                <w:rFonts w:hint="eastAsia"/>
                <w:szCs w:val="18"/>
              </w:rPr>
              <w:t>自检结果</w:t>
            </w:r>
          </w:p>
        </w:tc>
        <w:tc>
          <w:tcPr>
            <w:tcW w:w="3082" w:type="dxa"/>
            <w:gridSpan w:val="2"/>
            <w:vAlign w:val="center"/>
          </w:tcPr>
          <w:p>
            <w:pPr>
              <w:pStyle w:val="106"/>
              <w:numPr>
                <w:ilvl w:val="0"/>
                <w:numId w:val="0"/>
              </w:numPr>
              <w:jc w:val="both"/>
              <w:rPr>
                <w:szCs w:val="18"/>
              </w:rPr>
            </w:pPr>
            <w:r>
              <w:rPr>
                <w:rFonts w:hint="eastAsia"/>
                <w:szCs w:val="18"/>
              </w:rPr>
              <w:t>主控项目</w:t>
            </w:r>
          </w:p>
        </w:tc>
        <w:tc>
          <w:tcPr>
            <w:tcW w:w="532" w:type="dxa"/>
            <w:vMerge w:val="restart"/>
            <w:vAlign w:val="center"/>
          </w:tcPr>
          <w:p>
            <w:pPr>
              <w:pStyle w:val="106"/>
              <w:numPr>
                <w:ilvl w:val="0"/>
                <w:numId w:val="0"/>
              </w:numPr>
              <w:jc w:val="center"/>
              <w:rPr>
                <w:szCs w:val="18"/>
              </w:rPr>
            </w:pPr>
            <w:r>
              <w:rPr>
                <w:rFonts w:hint="eastAsia"/>
                <w:szCs w:val="18"/>
              </w:rPr>
              <w:t>监</w:t>
            </w:r>
          </w:p>
          <w:p>
            <w:pPr>
              <w:pStyle w:val="106"/>
              <w:numPr>
                <w:ilvl w:val="0"/>
                <w:numId w:val="0"/>
              </w:numPr>
              <w:jc w:val="center"/>
              <w:rPr>
                <w:szCs w:val="18"/>
              </w:rPr>
            </w:pPr>
            <w:r>
              <w:rPr>
                <w:rFonts w:hint="eastAsia"/>
                <w:szCs w:val="18"/>
              </w:rPr>
              <w:t>理</w:t>
            </w:r>
          </w:p>
          <w:p>
            <w:pPr>
              <w:pStyle w:val="106"/>
              <w:numPr>
                <w:ilvl w:val="0"/>
                <w:numId w:val="0"/>
              </w:numPr>
              <w:jc w:val="center"/>
              <w:rPr>
                <w:szCs w:val="18"/>
              </w:rPr>
            </w:pPr>
            <w:r>
              <w:rPr>
                <w:rFonts w:hint="eastAsia"/>
                <w:szCs w:val="18"/>
              </w:rPr>
              <w:t>单</w:t>
            </w:r>
          </w:p>
          <w:p>
            <w:pPr>
              <w:pStyle w:val="106"/>
              <w:numPr>
                <w:ilvl w:val="0"/>
                <w:numId w:val="0"/>
              </w:numPr>
              <w:jc w:val="center"/>
              <w:rPr>
                <w:szCs w:val="18"/>
              </w:rPr>
            </w:pPr>
            <w:r>
              <w:rPr>
                <w:rFonts w:hint="eastAsia"/>
                <w:szCs w:val="18"/>
              </w:rPr>
              <w:t>位</w:t>
            </w:r>
          </w:p>
        </w:tc>
        <w:tc>
          <w:tcPr>
            <w:tcW w:w="1282" w:type="dxa"/>
            <w:vMerge w:val="restart"/>
            <w:vAlign w:val="center"/>
          </w:tcPr>
          <w:p>
            <w:pPr>
              <w:pStyle w:val="106"/>
              <w:numPr>
                <w:ilvl w:val="0"/>
                <w:numId w:val="0"/>
              </w:numPr>
              <w:jc w:val="center"/>
              <w:rPr>
                <w:szCs w:val="18"/>
              </w:rPr>
            </w:pPr>
            <w:r>
              <w:rPr>
                <w:rFonts w:hint="eastAsia"/>
                <w:szCs w:val="18"/>
              </w:rPr>
              <w:t>检查结果</w:t>
            </w:r>
          </w:p>
        </w:tc>
        <w:tc>
          <w:tcPr>
            <w:tcW w:w="2779" w:type="dxa"/>
            <w:gridSpan w:val="2"/>
            <w:vAlign w:val="center"/>
          </w:tcPr>
          <w:p>
            <w:pPr>
              <w:pStyle w:val="106"/>
              <w:numPr>
                <w:ilvl w:val="0"/>
                <w:numId w:val="0"/>
              </w:numPr>
              <w:rPr>
                <w:szCs w:val="18"/>
              </w:rPr>
            </w:pPr>
            <w:r>
              <w:rPr>
                <w:rFonts w:hint="eastAsia"/>
                <w:szCs w:val="18"/>
              </w:rPr>
              <w:t>主控项目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rPr>
                <w:szCs w:val="18"/>
              </w:rPr>
            </w:pPr>
          </w:p>
        </w:tc>
        <w:tc>
          <w:tcPr>
            <w:tcW w:w="1301" w:type="dxa"/>
            <w:gridSpan w:val="2"/>
            <w:vMerge w:val="continue"/>
          </w:tcPr>
          <w:p>
            <w:pPr>
              <w:pStyle w:val="106"/>
              <w:rPr>
                <w:szCs w:val="18"/>
              </w:rPr>
            </w:pPr>
          </w:p>
        </w:tc>
        <w:tc>
          <w:tcPr>
            <w:tcW w:w="3082" w:type="dxa"/>
            <w:gridSpan w:val="2"/>
            <w:vAlign w:val="center"/>
          </w:tcPr>
          <w:p>
            <w:pPr>
              <w:pStyle w:val="106"/>
              <w:numPr>
                <w:ilvl w:val="0"/>
                <w:numId w:val="0"/>
              </w:numPr>
              <w:jc w:val="both"/>
              <w:rPr>
                <w:szCs w:val="18"/>
              </w:rPr>
            </w:pPr>
            <w:r>
              <w:rPr>
                <w:rFonts w:hint="eastAsia"/>
                <w:szCs w:val="18"/>
              </w:rPr>
              <w:t>一般项目</w:t>
            </w:r>
          </w:p>
        </w:tc>
        <w:tc>
          <w:tcPr>
            <w:tcW w:w="532" w:type="dxa"/>
            <w:vMerge w:val="continue"/>
          </w:tcPr>
          <w:p>
            <w:pPr>
              <w:pStyle w:val="106"/>
              <w:rPr>
                <w:szCs w:val="18"/>
              </w:rPr>
            </w:pPr>
          </w:p>
        </w:tc>
        <w:tc>
          <w:tcPr>
            <w:tcW w:w="1282" w:type="dxa"/>
            <w:vMerge w:val="continue"/>
            <w:vAlign w:val="center"/>
          </w:tcPr>
          <w:p>
            <w:pPr>
              <w:pStyle w:val="106"/>
              <w:jc w:val="center"/>
              <w:rPr>
                <w:szCs w:val="18"/>
              </w:rPr>
            </w:pPr>
          </w:p>
        </w:tc>
        <w:tc>
          <w:tcPr>
            <w:tcW w:w="2779" w:type="dxa"/>
            <w:gridSpan w:val="2"/>
            <w:vAlign w:val="center"/>
          </w:tcPr>
          <w:p>
            <w:pPr>
              <w:pStyle w:val="106"/>
              <w:numPr>
                <w:ilvl w:val="0"/>
                <w:numId w:val="0"/>
              </w:numPr>
              <w:rPr>
                <w:szCs w:val="18"/>
              </w:rPr>
            </w:pPr>
            <w:r>
              <w:rPr>
                <w:rFonts w:hint="eastAsia"/>
                <w:szCs w:val="18"/>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 w:type="dxa"/>
            <w:vMerge w:val="continue"/>
          </w:tcPr>
          <w:p>
            <w:pPr>
              <w:pStyle w:val="106"/>
              <w:numPr>
                <w:ilvl w:val="0"/>
                <w:numId w:val="0"/>
              </w:numPr>
              <w:rPr>
                <w:szCs w:val="18"/>
              </w:rPr>
            </w:pPr>
          </w:p>
        </w:tc>
        <w:tc>
          <w:tcPr>
            <w:tcW w:w="1301" w:type="dxa"/>
            <w:gridSpan w:val="2"/>
            <w:vAlign w:val="center"/>
          </w:tcPr>
          <w:p>
            <w:pPr>
              <w:pStyle w:val="106"/>
              <w:numPr>
                <w:ilvl w:val="0"/>
                <w:numId w:val="0"/>
              </w:numPr>
              <w:jc w:val="center"/>
              <w:rPr>
                <w:szCs w:val="18"/>
              </w:rPr>
            </w:pPr>
            <w:r>
              <w:rPr>
                <w:rFonts w:hint="eastAsia"/>
                <w:szCs w:val="18"/>
              </w:rPr>
              <w:t>评定等级</w:t>
            </w:r>
          </w:p>
        </w:tc>
        <w:tc>
          <w:tcPr>
            <w:tcW w:w="3082" w:type="dxa"/>
            <w:gridSpan w:val="2"/>
          </w:tcPr>
          <w:p>
            <w:pPr>
              <w:pStyle w:val="106"/>
              <w:numPr>
                <w:ilvl w:val="0"/>
                <w:numId w:val="0"/>
              </w:numPr>
              <w:rPr>
                <w:szCs w:val="18"/>
              </w:rPr>
            </w:pPr>
          </w:p>
        </w:tc>
        <w:tc>
          <w:tcPr>
            <w:tcW w:w="532" w:type="dxa"/>
            <w:vMerge w:val="continue"/>
          </w:tcPr>
          <w:p>
            <w:pPr>
              <w:pStyle w:val="106"/>
              <w:numPr>
                <w:ilvl w:val="0"/>
                <w:numId w:val="0"/>
              </w:numPr>
              <w:rPr>
                <w:szCs w:val="18"/>
              </w:rPr>
            </w:pPr>
          </w:p>
        </w:tc>
        <w:tc>
          <w:tcPr>
            <w:tcW w:w="1282" w:type="dxa"/>
            <w:vAlign w:val="center"/>
          </w:tcPr>
          <w:p>
            <w:pPr>
              <w:pStyle w:val="106"/>
              <w:numPr>
                <w:ilvl w:val="0"/>
                <w:numId w:val="0"/>
              </w:numPr>
              <w:jc w:val="center"/>
              <w:rPr>
                <w:szCs w:val="18"/>
              </w:rPr>
            </w:pPr>
            <w:r>
              <w:rPr>
                <w:rFonts w:hint="eastAsia"/>
                <w:szCs w:val="18"/>
              </w:rPr>
              <w:t>评定等级</w:t>
            </w:r>
          </w:p>
        </w:tc>
        <w:tc>
          <w:tcPr>
            <w:tcW w:w="2779" w:type="dxa"/>
            <w:gridSpan w:val="2"/>
            <w:vAlign w:val="center"/>
          </w:tcPr>
          <w:p>
            <w:pPr>
              <w:pStyle w:val="106"/>
              <w:numPr>
                <w:ilvl w:val="0"/>
                <w:numId w:val="0"/>
              </w:numPr>
              <w:rPr>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trPr>
        <w:tc>
          <w:tcPr>
            <w:tcW w:w="594" w:type="dxa"/>
            <w:vMerge w:val="continue"/>
          </w:tcPr>
          <w:p>
            <w:pPr>
              <w:pStyle w:val="106"/>
              <w:numPr>
                <w:ilvl w:val="0"/>
                <w:numId w:val="0"/>
              </w:numPr>
              <w:rPr>
                <w:szCs w:val="18"/>
              </w:rPr>
            </w:pPr>
          </w:p>
        </w:tc>
        <w:tc>
          <w:tcPr>
            <w:tcW w:w="1301" w:type="dxa"/>
            <w:gridSpan w:val="2"/>
            <w:vAlign w:val="center"/>
          </w:tcPr>
          <w:p>
            <w:pPr>
              <w:pStyle w:val="106"/>
              <w:numPr>
                <w:ilvl w:val="0"/>
                <w:numId w:val="0"/>
              </w:numPr>
              <w:jc w:val="center"/>
              <w:rPr>
                <w:szCs w:val="18"/>
              </w:rPr>
            </w:pPr>
            <w:r>
              <w:rPr>
                <w:rFonts w:hint="eastAsia"/>
                <w:szCs w:val="18"/>
              </w:rPr>
              <w:t>质量负责人</w:t>
            </w:r>
          </w:p>
        </w:tc>
        <w:tc>
          <w:tcPr>
            <w:tcW w:w="3082" w:type="dxa"/>
            <w:gridSpan w:val="2"/>
            <w:vAlign w:val="bottom"/>
          </w:tcPr>
          <w:p>
            <w:pPr>
              <w:pStyle w:val="106"/>
              <w:numPr>
                <w:ilvl w:val="0"/>
                <w:numId w:val="0"/>
              </w:numPr>
              <w:wordWrap w:val="0"/>
              <w:jc w:val="both"/>
              <w:rPr>
                <w:szCs w:val="18"/>
              </w:rPr>
            </w:pPr>
            <w:r>
              <w:rPr>
                <w:rFonts w:hint="eastAsia"/>
                <w:szCs w:val="18"/>
              </w:rPr>
              <w:t xml:space="preserve">       </w:t>
            </w:r>
          </w:p>
        </w:tc>
        <w:tc>
          <w:tcPr>
            <w:tcW w:w="532" w:type="dxa"/>
            <w:vMerge w:val="continue"/>
          </w:tcPr>
          <w:p>
            <w:pPr>
              <w:pStyle w:val="106"/>
              <w:numPr>
                <w:ilvl w:val="0"/>
                <w:numId w:val="0"/>
              </w:numPr>
              <w:rPr>
                <w:szCs w:val="18"/>
              </w:rPr>
            </w:pPr>
          </w:p>
        </w:tc>
        <w:tc>
          <w:tcPr>
            <w:tcW w:w="1282" w:type="dxa"/>
            <w:vAlign w:val="center"/>
          </w:tcPr>
          <w:p>
            <w:pPr>
              <w:pStyle w:val="106"/>
              <w:numPr>
                <w:ilvl w:val="0"/>
                <w:numId w:val="0"/>
              </w:numPr>
              <w:jc w:val="center"/>
              <w:rPr>
                <w:szCs w:val="18"/>
              </w:rPr>
            </w:pPr>
            <w:r>
              <w:rPr>
                <w:rFonts w:hint="eastAsia"/>
                <w:szCs w:val="18"/>
              </w:rPr>
              <w:t>监理工程师</w:t>
            </w:r>
          </w:p>
        </w:tc>
        <w:tc>
          <w:tcPr>
            <w:tcW w:w="2779" w:type="dxa"/>
            <w:gridSpan w:val="2"/>
            <w:vAlign w:val="bottom"/>
          </w:tcPr>
          <w:p>
            <w:pPr>
              <w:pStyle w:val="106"/>
              <w:numPr>
                <w:ilvl w:val="0"/>
                <w:numId w:val="0"/>
              </w:numPr>
              <w:jc w:val="both"/>
              <w:rPr>
                <w:szCs w:val="18"/>
              </w:rPr>
            </w:pPr>
            <w:r>
              <w:rPr>
                <w:rFonts w:hint="eastAsia"/>
                <w:szCs w:val="18"/>
              </w:rPr>
              <w:t xml:space="preserve">        </w:t>
            </w:r>
          </w:p>
        </w:tc>
      </w:tr>
    </w:tbl>
    <w:p>
      <w:pPr>
        <w:pStyle w:val="106"/>
        <w:numPr>
          <w:ilvl w:val="0"/>
          <w:numId w:val="0"/>
        </w:numPr>
        <w:ind w:left="839"/>
        <w:rPr>
          <w:szCs w:val="21"/>
        </w:rPr>
      </w:pPr>
      <w:r>
        <mc:AlternateContent>
          <mc:Choice Requires="wps">
            <w:drawing>
              <wp:anchor distT="0" distB="0" distL="114300" distR="114300" simplePos="0" relativeHeight="251664384" behindDoc="0" locked="0" layoutInCell="1" allowOverlap="1">
                <wp:simplePos x="0" y="0"/>
                <wp:positionH relativeFrom="column">
                  <wp:posOffset>1763395</wp:posOffset>
                </wp:positionH>
                <wp:positionV relativeFrom="paragraph">
                  <wp:posOffset>139700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8.85pt;margin-top:11pt;height:0pt;width:190.5pt;z-index:251664384;mso-width-relative:page;mso-height-relative:page;" filled="f" stroked="t" coordsize="21600,21600" o:gfxdata="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7LiitNUAAAAJAQAADwAAAAAA&#10;AAABACAAAAA4AAAAZHJzL2Rvd25yZXYueG1sUEsBAhQAFAAAAAgAh07iQHGkqC7HAQAAZQMAAA4A&#10;AAAAAAAAAQAgAAAAOgEAAGRycy9lMm9Eb2MueG1sUEsFBgAAAAAGAAYAWQEAAHMFAAAAAA==&#10;">
                <v:fill on="f" focussize="0,0"/>
                <v:stroke weight="0.5pt" color="#000000 [3213]" miterlimit="8" joinstyle="miter"/>
                <v:imagedata o:title=""/>
                <o:lock v:ext="edit" aspectratio="f"/>
              </v:line>
            </w:pict>
          </mc:Fallback>
        </mc:AlternateContent>
      </w:r>
    </w:p>
    <w:sectPr>
      <w:footerReference r:id="rId5"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Calibri Light">
    <w:altName w:val="DejaVu Sans"/>
    <w:panose1 w:val="020F0302020204030204"/>
    <w:charset w:val="00"/>
    <w:family w:val="swiss"/>
    <w:pitch w:val="default"/>
    <w:sig w:usb0="00000000" w:usb1="00000000" w:usb2="00000009" w:usb3="00000000" w:csb0="200001FF" w:csb1="00000000"/>
  </w:font>
  <w:font w:name="瀹嬩綋">
    <w:altName w:val="仿宋_GB2312"/>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881152"/>
    </w:sdtPr>
    <w:sdtContent>
      <w:p>
        <w:pPr>
          <w:pStyle w:val="18"/>
          <w:jc w:val="center"/>
        </w:pPr>
        <w:r>
          <w:fldChar w:fldCharType="begin"/>
        </w:r>
        <w:r>
          <w:instrText xml:space="preserve">PAGE   \* MERGEFORMAT</w:instrText>
        </w:r>
        <w:r>
          <w:fldChar w:fldCharType="separate"/>
        </w:r>
        <w:r>
          <w:rPr>
            <w:lang w:val="zh-CN"/>
          </w:rPr>
          <w:t>II</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3859416"/>
    </w:sdtPr>
    <w:sdtContent>
      <w:p>
        <w:pPr>
          <w:pStyle w:val="18"/>
          <w:jc w:val="center"/>
        </w:pPr>
        <w:r>
          <w:fldChar w:fldCharType="begin"/>
        </w:r>
        <w:r>
          <w:instrText xml:space="preserve">PAGE   \* MERGEFORMAT</w:instrText>
        </w:r>
        <w:r>
          <w:fldChar w:fldCharType="separate"/>
        </w:r>
        <w:r>
          <w:rPr>
            <w:lang w:val="zh-CN"/>
          </w:rPr>
          <w:t>7</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9"/>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2"/>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0"/>
      <w:lvlText w:val="%1)"/>
      <w:lvlJc w:val="left"/>
      <w:pPr>
        <w:tabs>
          <w:tab w:val="left" w:pos="840"/>
        </w:tabs>
        <w:ind w:left="839" w:hanging="419"/>
      </w:pPr>
      <w:rPr>
        <w:rFonts w:hint="eastAsia"/>
        <w:b w:val="0"/>
        <w:i w:val="0"/>
        <w:sz w:val="21"/>
        <w:szCs w:val="21"/>
      </w:rPr>
    </w:lvl>
    <w:lvl w:ilvl="1" w:tentative="0">
      <w:start w:val="1"/>
      <w:numFmt w:val="decimal"/>
      <w:pStyle w:val="5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5"/>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99"/>
      <w:suff w:val="space"/>
      <w:lvlText w:val="%1"/>
      <w:lvlJc w:val="left"/>
      <w:pPr>
        <w:ind w:left="623" w:hanging="425"/>
      </w:pPr>
      <w:rPr>
        <w:rFonts w:hint="eastAsia"/>
      </w:rPr>
    </w:lvl>
    <w:lvl w:ilvl="1" w:tentative="0">
      <w:start w:val="1"/>
      <w:numFmt w:val="decimal"/>
      <w:pStyle w:val="10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49"/>
      <w:suff w:val="nothing"/>
      <w:lvlText w:val="%1——"/>
      <w:lvlJc w:val="left"/>
      <w:pPr>
        <w:ind w:left="833" w:hanging="408"/>
      </w:pPr>
      <w:rPr>
        <w:rFonts w:hint="eastAsia"/>
      </w:rPr>
    </w:lvl>
    <w:lvl w:ilvl="1" w:tentative="0">
      <w:start w:val="1"/>
      <w:numFmt w:val="bullet"/>
      <w:pStyle w:val="50"/>
      <w:lvlText w:val=""/>
      <w:lvlJc w:val="left"/>
      <w:pPr>
        <w:tabs>
          <w:tab w:val="left" w:pos="760"/>
        </w:tabs>
        <w:ind w:left="1264" w:hanging="413"/>
      </w:pPr>
      <w:rPr>
        <w:rFonts w:hint="default" w:ascii="Symbol" w:hAnsi="Symbol"/>
        <w:color w:val="auto"/>
      </w:rPr>
    </w:lvl>
    <w:lvl w:ilvl="2" w:tentative="0">
      <w:start w:val="1"/>
      <w:numFmt w:val="bullet"/>
      <w:pStyle w:val="6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pStyle w:val="46"/>
      <w:suff w:val="space"/>
      <w:lvlText w:val="%1 "/>
      <w:lvlJc w:val="left"/>
      <w:pPr>
        <w:ind w:left="0" w:firstLine="0"/>
      </w:pPr>
      <w:rPr>
        <w:rFonts w:hint="eastAsia" w:eastAsia="黑体"/>
        <w:sz w:val="21"/>
      </w:rPr>
    </w:lvl>
    <w:lvl w:ilvl="1" w:tentative="0">
      <w:start w:val="1"/>
      <w:numFmt w:val="decimal"/>
      <w:pStyle w:val="43"/>
      <w:suff w:val="space"/>
      <w:lvlText w:val="%1.%2 "/>
      <w:lvlJc w:val="left"/>
      <w:pPr>
        <w:ind w:left="0" w:firstLine="0"/>
      </w:pPr>
      <w:rPr>
        <w:rFonts w:hint="eastAsia"/>
      </w:rPr>
    </w:lvl>
    <w:lvl w:ilvl="2" w:tentative="0">
      <w:start w:val="1"/>
      <w:numFmt w:val="decimal"/>
      <w:pStyle w:val="47"/>
      <w:suff w:val="space"/>
      <w:lvlText w:val="%1.%2.%3 "/>
      <w:lvlJc w:val="left"/>
      <w:pPr>
        <w:ind w:left="0" w:firstLine="0"/>
      </w:pPr>
      <w:rPr>
        <w:rFonts w:hint="eastAsia"/>
        <w:color w:val="auto"/>
      </w:rPr>
    </w:lvl>
    <w:lvl w:ilvl="3" w:tentative="0">
      <w:start w:val="1"/>
      <w:numFmt w:val="decimal"/>
      <w:pStyle w:val="52"/>
      <w:suff w:val="space"/>
      <w:lvlText w:val="%1.%2.%3.%4 "/>
      <w:lvlJc w:val="left"/>
      <w:pPr>
        <w:ind w:left="0" w:firstLine="0"/>
      </w:pPr>
      <w:rPr>
        <w:b w:val="0"/>
        <w:bCs w:val="0"/>
        <w:i w:val="0"/>
        <w:iCs w:val="0"/>
        <w:caps w:val="0"/>
        <w:smallCaps w:val="0"/>
        <w:strike w:val="0"/>
        <w:dstrike w:val="0"/>
        <w:outline w:val="0"/>
        <w:shadow w:val="0"/>
        <w:emboss w:val="0"/>
        <w:imprint w:val="0"/>
        <w:vanish w:val="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4" w:tentative="0">
      <w:start w:val="1"/>
      <w:numFmt w:val="decimal"/>
      <w:pStyle w:val="56"/>
      <w:suff w:val="space"/>
      <w:lvlText w:val="%1.%2.%3.%4.%5 "/>
      <w:lvlJc w:val="left"/>
      <w:pPr>
        <w:ind w:left="0" w:firstLine="0"/>
      </w:pPr>
      <w:rPr>
        <w:rFonts w:hint="eastAsia"/>
      </w:rPr>
    </w:lvl>
    <w:lvl w:ilvl="5" w:tentative="0">
      <w:start w:val="1"/>
      <w:numFmt w:val="decimal"/>
      <w:pStyle w:val="57"/>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7"/>
      <w:lvlText w:val="%1"/>
      <w:lvlJc w:val="left"/>
      <w:pPr>
        <w:tabs>
          <w:tab w:val="left" w:pos="0"/>
        </w:tabs>
        <w:ind w:left="0" w:hanging="425"/>
      </w:pPr>
      <w:rPr>
        <w:rFonts w:hint="eastAsia"/>
      </w:rPr>
    </w:lvl>
    <w:lvl w:ilvl="1" w:tentative="0">
      <w:start w:val="1"/>
      <w:numFmt w:val="decimal"/>
      <w:pStyle w:val="8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5"/>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3"/>
      <w:suff w:val="nothing"/>
      <w:lvlText w:val="%1.%2　"/>
      <w:lvlJc w:val="left"/>
      <w:pPr>
        <w:ind w:left="1701" w:firstLine="0"/>
      </w:pPr>
      <w:rPr>
        <w:rFonts w:hint="eastAsia" w:ascii="黑体" w:hAnsi="Times New Roman" w:eastAsia="黑体"/>
        <w:b w:val="0"/>
        <w:i w:val="0"/>
        <w:snapToGrid/>
        <w:spacing w:val="0"/>
        <w:w w:val="100"/>
        <w:kern w:val="21"/>
        <w:sz w:val="21"/>
      </w:rPr>
    </w:lvl>
    <w:lvl w:ilvl="2" w:tentative="0">
      <w:start w:val="1"/>
      <w:numFmt w:val="decimal"/>
      <w:pStyle w:val="104"/>
      <w:suff w:val="nothing"/>
      <w:lvlText w:val="%1.%2.%3　"/>
      <w:lvlJc w:val="left"/>
      <w:pPr>
        <w:ind w:left="993" w:firstLine="0"/>
      </w:pPr>
      <w:rPr>
        <w:rFonts w:hint="eastAsia" w:ascii="黑体" w:hAnsi="Times New Roman" w:eastAsia="黑体"/>
        <w:b w:val="0"/>
        <w:i w:val="0"/>
        <w:sz w:val="21"/>
      </w:rPr>
    </w:lvl>
    <w:lvl w:ilvl="3" w:tentative="0">
      <w:start w:val="1"/>
      <w:numFmt w:val="decimal"/>
      <w:pStyle w:val="89"/>
      <w:suff w:val="nothing"/>
      <w:lvlText w:val="%1.%2.%3.%4　"/>
      <w:lvlJc w:val="left"/>
      <w:pPr>
        <w:ind w:left="0" w:firstLine="0"/>
      </w:pPr>
      <w:rPr>
        <w:rFonts w:hint="eastAsia" w:ascii="黑体" w:hAnsi="Times New Roman" w:eastAsia="黑体"/>
        <w:b w:val="0"/>
        <w:i w:val="0"/>
        <w:sz w:val="21"/>
      </w:rPr>
    </w:lvl>
    <w:lvl w:ilvl="4" w:tentative="0">
      <w:start w:val="1"/>
      <w:numFmt w:val="decimal"/>
      <w:pStyle w:val="94"/>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10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06"/>
      <w:lvlText w:val="%1)"/>
      <w:lvlJc w:val="left"/>
      <w:pPr>
        <w:tabs>
          <w:tab w:val="left" w:pos="839"/>
        </w:tabs>
        <w:ind w:left="839" w:hanging="419"/>
      </w:pPr>
      <w:rPr>
        <w:rFonts w:hint="eastAsia" w:ascii="宋体" w:eastAsia="宋体"/>
        <w:b w:val="0"/>
        <w:i w:val="0"/>
        <w:sz w:val="21"/>
      </w:rPr>
    </w:lvl>
    <w:lvl w:ilvl="1" w:tentative="0">
      <w:start w:val="1"/>
      <w:numFmt w:val="decimal"/>
      <w:pStyle w:val="9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0"/>
  </w:num>
  <w:num w:numId="3">
    <w:abstractNumId w:val="8"/>
  </w:num>
  <w:num w:numId="4">
    <w:abstractNumId w:val="2"/>
  </w:num>
  <w:num w:numId="5">
    <w:abstractNumId w:val="5"/>
  </w:num>
  <w:num w:numId="6">
    <w:abstractNumId w:val="17"/>
  </w:num>
  <w:num w:numId="7">
    <w:abstractNumId w:val="0"/>
  </w:num>
  <w:num w:numId="8">
    <w:abstractNumId w:val="11"/>
  </w:num>
  <w:num w:numId="9">
    <w:abstractNumId w:val="6"/>
  </w:num>
  <w:num w:numId="10">
    <w:abstractNumId w:val="15"/>
  </w:num>
  <w:num w:numId="11">
    <w:abstractNumId w:val="14"/>
  </w:num>
  <w:num w:numId="12">
    <w:abstractNumId w:val="12"/>
  </w:num>
  <w:num w:numId="13">
    <w:abstractNumId w:val="16"/>
  </w:num>
  <w:num w:numId="14">
    <w:abstractNumId w:val="7"/>
  </w:num>
  <w:num w:numId="15">
    <w:abstractNumId w:val="1"/>
  </w:num>
  <w:num w:numId="16">
    <w:abstractNumId w:val="4"/>
  </w:num>
  <w:num w:numId="17">
    <w:abstractNumId w:val="13"/>
  </w:num>
  <w:num w:numId="18">
    <w:abstractNumId w:val="3"/>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attachedTemplate r:id="rId1"/>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ZGUyMjliMTMzMDQ4ZjUxNjUwMzhlOTdkNjg2NDYifQ=="/>
  </w:docVars>
  <w:rsids>
    <w:rsidRoot w:val="006B2306"/>
    <w:rsid w:val="00000244"/>
    <w:rsid w:val="0000185F"/>
    <w:rsid w:val="000053B0"/>
    <w:rsid w:val="0000586F"/>
    <w:rsid w:val="00006A6E"/>
    <w:rsid w:val="0000799C"/>
    <w:rsid w:val="00007DE9"/>
    <w:rsid w:val="0001233B"/>
    <w:rsid w:val="0001301D"/>
    <w:rsid w:val="00013D86"/>
    <w:rsid w:val="00013E02"/>
    <w:rsid w:val="0002121F"/>
    <w:rsid w:val="0002143C"/>
    <w:rsid w:val="000215FE"/>
    <w:rsid w:val="00025489"/>
    <w:rsid w:val="00025A65"/>
    <w:rsid w:val="00026C31"/>
    <w:rsid w:val="00027280"/>
    <w:rsid w:val="00027869"/>
    <w:rsid w:val="00031D14"/>
    <w:rsid w:val="000320A7"/>
    <w:rsid w:val="00033FBA"/>
    <w:rsid w:val="00034CE5"/>
    <w:rsid w:val="0003578B"/>
    <w:rsid w:val="00035925"/>
    <w:rsid w:val="000378F3"/>
    <w:rsid w:val="0004077A"/>
    <w:rsid w:val="000432E5"/>
    <w:rsid w:val="000456E4"/>
    <w:rsid w:val="00050549"/>
    <w:rsid w:val="00053025"/>
    <w:rsid w:val="00055016"/>
    <w:rsid w:val="0005676A"/>
    <w:rsid w:val="00056891"/>
    <w:rsid w:val="00060186"/>
    <w:rsid w:val="00061BD7"/>
    <w:rsid w:val="000651BA"/>
    <w:rsid w:val="00066E9E"/>
    <w:rsid w:val="00067CDF"/>
    <w:rsid w:val="00070887"/>
    <w:rsid w:val="0007478C"/>
    <w:rsid w:val="00074FBE"/>
    <w:rsid w:val="00075D22"/>
    <w:rsid w:val="00081D80"/>
    <w:rsid w:val="00082A7E"/>
    <w:rsid w:val="00083640"/>
    <w:rsid w:val="00083A09"/>
    <w:rsid w:val="00084969"/>
    <w:rsid w:val="000873CC"/>
    <w:rsid w:val="00087F5D"/>
    <w:rsid w:val="0009005E"/>
    <w:rsid w:val="00090B04"/>
    <w:rsid w:val="00091627"/>
    <w:rsid w:val="00092857"/>
    <w:rsid w:val="00094926"/>
    <w:rsid w:val="000979C3"/>
    <w:rsid w:val="000A20A9"/>
    <w:rsid w:val="000A24CB"/>
    <w:rsid w:val="000A3168"/>
    <w:rsid w:val="000A37C0"/>
    <w:rsid w:val="000A45C4"/>
    <w:rsid w:val="000A48B1"/>
    <w:rsid w:val="000A68AB"/>
    <w:rsid w:val="000A7CE1"/>
    <w:rsid w:val="000B0CA9"/>
    <w:rsid w:val="000B2587"/>
    <w:rsid w:val="000B3143"/>
    <w:rsid w:val="000B3C4F"/>
    <w:rsid w:val="000C582C"/>
    <w:rsid w:val="000C6B05"/>
    <w:rsid w:val="000C6DD6"/>
    <w:rsid w:val="000C73D4"/>
    <w:rsid w:val="000D2CF3"/>
    <w:rsid w:val="000D3D4C"/>
    <w:rsid w:val="000D4F51"/>
    <w:rsid w:val="000D6CFF"/>
    <w:rsid w:val="000D718B"/>
    <w:rsid w:val="000E0C46"/>
    <w:rsid w:val="000E0D69"/>
    <w:rsid w:val="000E6EC9"/>
    <w:rsid w:val="000E78FD"/>
    <w:rsid w:val="000F030C"/>
    <w:rsid w:val="000F129C"/>
    <w:rsid w:val="000F429B"/>
    <w:rsid w:val="000F58B9"/>
    <w:rsid w:val="00100680"/>
    <w:rsid w:val="00104F16"/>
    <w:rsid w:val="001056DE"/>
    <w:rsid w:val="001124C0"/>
    <w:rsid w:val="00116FFA"/>
    <w:rsid w:val="001230FD"/>
    <w:rsid w:val="00125A8B"/>
    <w:rsid w:val="0013156E"/>
    <w:rsid w:val="0013161C"/>
    <w:rsid w:val="0013175F"/>
    <w:rsid w:val="0013332E"/>
    <w:rsid w:val="0013554D"/>
    <w:rsid w:val="00137A49"/>
    <w:rsid w:val="00140BBB"/>
    <w:rsid w:val="00140C93"/>
    <w:rsid w:val="00142131"/>
    <w:rsid w:val="0014319E"/>
    <w:rsid w:val="00147B89"/>
    <w:rsid w:val="001512B4"/>
    <w:rsid w:val="00151930"/>
    <w:rsid w:val="00152390"/>
    <w:rsid w:val="001534BD"/>
    <w:rsid w:val="001559F2"/>
    <w:rsid w:val="001620A5"/>
    <w:rsid w:val="001629BC"/>
    <w:rsid w:val="00164E53"/>
    <w:rsid w:val="001668AD"/>
    <w:rsid w:val="0016699D"/>
    <w:rsid w:val="001748C0"/>
    <w:rsid w:val="00175159"/>
    <w:rsid w:val="00176208"/>
    <w:rsid w:val="00176AA8"/>
    <w:rsid w:val="00176DCF"/>
    <w:rsid w:val="0018211B"/>
    <w:rsid w:val="00183C89"/>
    <w:rsid w:val="001840D3"/>
    <w:rsid w:val="00185E08"/>
    <w:rsid w:val="00186C51"/>
    <w:rsid w:val="00187759"/>
    <w:rsid w:val="001900F8"/>
    <w:rsid w:val="00191258"/>
    <w:rsid w:val="00192680"/>
    <w:rsid w:val="00193037"/>
    <w:rsid w:val="00193A2C"/>
    <w:rsid w:val="00193D05"/>
    <w:rsid w:val="00195A71"/>
    <w:rsid w:val="001A210A"/>
    <w:rsid w:val="001A288E"/>
    <w:rsid w:val="001B0AA8"/>
    <w:rsid w:val="001B5853"/>
    <w:rsid w:val="001B5B9B"/>
    <w:rsid w:val="001B6DC2"/>
    <w:rsid w:val="001B7F45"/>
    <w:rsid w:val="001C149C"/>
    <w:rsid w:val="001C1C23"/>
    <w:rsid w:val="001C1F6B"/>
    <w:rsid w:val="001C21AC"/>
    <w:rsid w:val="001C2A0D"/>
    <w:rsid w:val="001C2FAA"/>
    <w:rsid w:val="001C47BA"/>
    <w:rsid w:val="001C59EA"/>
    <w:rsid w:val="001D024A"/>
    <w:rsid w:val="001D102C"/>
    <w:rsid w:val="001D25EF"/>
    <w:rsid w:val="001D3894"/>
    <w:rsid w:val="001D406C"/>
    <w:rsid w:val="001D41EE"/>
    <w:rsid w:val="001D7BE1"/>
    <w:rsid w:val="001E0380"/>
    <w:rsid w:val="001E135E"/>
    <w:rsid w:val="001E13B1"/>
    <w:rsid w:val="001E13E8"/>
    <w:rsid w:val="001E35DF"/>
    <w:rsid w:val="001E4196"/>
    <w:rsid w:val="001E4C0E"/>
    <w:rsid w:val="001E563D"/>
    <w:rsid w:val="001E7022"/>
    <w:rsid w:val="001F3A19"/>
    <w:rsid w:val="00202AA4"/>
    <w:rsid w:val="002046D4"/>
    <w:rsid w:val="0020719B"/>
    <w:rsid w:val="002139C6"/>
    <w:rsid w:val="00215F0E"/>
    <w:rsid w:val="00215F95"/>
    <w:rsid w:val="00221B0E"/>
    <w:rsid w:val="002245D5"/>
    <w:rsid w:val="00225C8E"/>
    <w:rsid w:val="00226814"/>
    <w:rsid w:val="00234467"/>
    <w:rsid w:val="002346F0"/>
    <w:rsid w:val="00237D8D"/>
    <w:rsid w:val="00241DA2"/>
    <w:rsid w:val="00245A0E"/>
    <w:rsid w:val="00246C16"/>
    <w:rsid w:val="00247FEE"/>
    <w:rsid w:val="00250E7D"/>
    <w:rsid w:val="002559A7"/>
    <w:rsid w:val="0025654C"/>
    <w:rsid w:val="002565D5"/>
    <w:rsid w:val="00261E4A"/>
    <w:rsid w:val="002622C0"/>
    <w:rsid w:val="00271195"/>
    <w:rsid w:val="002717C6"/>
    <w:rsid w:val="00274CC1"/>
    <w:rsid w:val="00274D48"/>
    <w:rsid w:val="00276A65"/>
    <w:rsid w:val="002778AE"/>
    <w:rsid w:val="0028129D"/>
    <w:rsid w:val="0028269A"/>
    <w:rsid w:val="00283590"/>
    <w:rsid w:val="0028373D"/>
    <w:rsid w:val="00284F69"/>
    <w:rsid w:val="00286973"/>
    <w:rsid w:val="00292704"/>
    <w:rsid w:val="00292BE5"/>
    <w:rsid w:val="002946B7"/>
    <w:rsid w:val="00294AAC"/>
    <w:rsid w:val="00294E70"/>
    <w:rsid w:val="002A0F5C"/>
    <w:rsid w:val="002A141D"/>
    <w:rsid w:val="002A1924"/>
    <w:rsid w:val="002A629F"/>
    <w:rsid w:val="002A7420"/>
    <w:rsid w:val="002B0F12"/>
    <w:rsid w:val="002B1308"/>
    <w:rsid w:val="002B1D86"/>
    <w:rsid w:val="002B4554"/>
    <w:rsid w:val="002B5B99"/>
    <w:rsid w:val="002C1B99"/>
    <w:rsid w:val="002C2ED6"/>
    <w:rsid w:val="002C6126"/>
    <w:rsid w:val="002C72D8"/>
    <w:rsid w:val="002D11FA"/>
    <w:rsid w:val="002D322F"/>
    <w:rsid w:val="002D327C"/>
    <w:rsid w:val="002D6055"/>
    <w:rsid w:val="002E0DDF"/>
    <w:rsid w:val="002E2906"/>
    <w:rsid w:val="002E363B"/>
    <w:rsid w:val="002E4928"/>
    <w:rsid w:val="002E50A6"/>
    <w:rsid w:val="002E5635"/>
    <w:rsid w:val="002E64C3"/>
    <w:rsid w:val="002E6A2C"/>
    <w:rsid w:val="002E6EBC"/>
    <w:rsid w:val="002F05A5"/>
    <w:rsid w:val="002F1D8C"/>
    <w:rsid w:val="002F21DA"/>
    <w:rsid w:val="002F3489"/>
    <w:rsid w:val="00301F39"/>
    <w:rsid w:val="00304C5F"/>
    <w:rsid w:val="00310A54"/>
    <w:rsid w:val="0031380D"/>
    <w:rsid w:val="00315E5D"/>
    <w:rsid w:val="00317A41"/>
    <w:rsid w:val="00324677"/>
    <w:rsid w:val="00325926"/>
    <w:rsid w:val="003268D1"/>
    <w:rsid w:val="003277B3"/>
    <w:rsid w:val="00327A8A"/>
    <w:rsid w:val="00331D31"/>
    <w:rsid w:val="00336610"/>
    <w:rsid w:val="00337F11"/>
    <w:rsid w:val="00340FFA"/>
    <w:rsid w:val="00343F73"/>
    <w:rsid w:val="00344F93"/>
    <w:rsid w:val="00345060"/>
    <w:rsid w:val="00346FE0"/>
    <w:rsid w:val="00351B28"/>
    <w:rsid w:val="0035323B"/>
    <w:rsid w:val="0035378A"/>
    <w:rsid w:val="00356989"/>
    <w:rsid w:val="00356F97"/>
    <w:rsid w:val="003609D2"/>
    <w:rsid w:val="00363F22"/>
    <w:rsid w:val="003654C4"/>
    <w:rsid w:val="003674EB"/>
    <w:rsid w:val="00375564"/>
    <w:rsid w:val="00377DB7"/>
    <w:rsid w:val="003821A8"/>
    <w:rsid w:val="00382EAB"/>
    <w:rsid w:val="00383191"/>
    <w:rsid w:val="003854DA"/>
    <w:rsid w:val="00386DED"/>
    <w:rsid w:val="003912E7"/>
    <w:rsid w:val="0039273A"/>
    <w:rsid w:val="00393947"/>
    <w:rsid w:val="0039552F"/>
    <w:rsid w:val="003A170B"/>
    <w:rsid w:val="003A1C6A"/>
    <w:rsid w:val="003A2275"/>
    <w:rsid w:val="003A2A45"/>
    <w:rsid w:val="003A6A4F"/>
    <w:rsid w:val="003A7088"/>
    <w:rsid w:val="003B00DF"/>
    <w:rsid w:val="003B114F"/>
    <w:rsid w:val="003B1275"/>
    <w:rsid w:val="003B1778"/>
    <w:rsid w:val="003B2EAC"/>
    <w:rsid w:val="003B6DF1"/>
    <w:rsid w:val="003C11CB"/>
    <w:rsid w:val="003C1F63"/>
    <w:rsid w:val="003C75F3"/>
    <w:rsid w:val="003C78A3"/>
    <w:rsid w:val="003D14C0"/>
    <w:rsid w:val="003D6D58"/>
    <w:rsid w:val="003E1867"/>
    <w:rsid w:val="003E5729"/>
    <w:rsid w:val="003E5EAE"/>
    <w:rsid w:val="003E6A28"/>
    <w:rsid w:val="003E7514"/>
    <w:rsid w:val="003F2AF5"/>
    <w:rsid w:val="003F3E91"/>
    <w:rsid w:val="003F4EE0"/>
    <w:rsid w:val="003F5AC7"/>
    <w:rsid w:val="003F7207"/>
    <w:rsid w:val="004009C8"/>
    <w:rsid w:val="00400E9E"/>
    <w:rsid w:val="00402153"/>
    <w:rsid w:val="00402FC1"/>
    <w:rsid w:val="004035C7"/>
    <w:rsid w:val="004046C4"/>
    <w:rsid w:val="004100FE"/>
    <w:rsid w:val="00410D24"/>
    <w:rsid w:val="0041188B"/>
    <w:rsid w:val="00421E5E"/>
    <w:rsid w:val="00425082"/>
    <w:rsid w:val="00427D04"/>
    <w:rsid w:val="00431DEB"/>
    <w:rsid w:val="0043263E"/>
    <w:rsid w:val="00436B51"/>
    <w:rsid w:val="00440A09"/>
    <w:rsid w:val="004410AF"/>
    <w:rsid w:val="00443515"/>
    <w:rsid w:val="00443D02"/>
    <w:rsid w:val="00446B29"/>
    <w:rsid w:val="00447308"/>
    <w:rsid w:val="00453F9A"/>
    <w:rsid w:val="00455CE5"/>
    <w:rsid w:val="00462CEC"/>
    <w:rsid w:val="00464D1A"/>
    <w:rsid w:val="004650C1"/>
    <w:rsid w:val="0046603C"/>
    <w:rsid w:val="00471E91"/>
    <w:rsid w:val="00473A52"/>
    <w:rsid w:val="00474675"/>
    <w:rsid w:val="0047470C"/>
    <w:rsid w:val="00485BDC"/>
    <w:rsid w:val="004906F6"/>
    <w:rsid w:val="00492D95"/>
    <w:rsid w:val="00493BC3"/>
    <w:rsid w:val="0049613A"/>
    <w:rsid w:val="004969B2"/>
    <w:rsid w:val="00496F58"/>
    <w:rsid w:val="004A35F9"/>
    <w:rsid w:val="004A5FB4"/>
    <w:rsid w:val="004A7F6F"/>
    <w:rsid w:val="004B15D8"/>
    <w:rsid w:val="004B24C1"/>
    <w:rsid w:val="004B5351"/>
    <w:rsid w:val="004B79DD"/>
    <w:rsid w:val="004C292F"/>
    <w:rsid w:val="004C5C89"/>
    <w:rsid w:val="004C711D"/>
    <w:rsid w:val="004C75A1"/>
    <w:rsid w:val="004D1D6D"/>
    <w:rsid w:val="004D4F0A"/>
    <w:rsid w:val="004D56B9"/>
    <w:rsid w:val="004E3212"/>
    <w:rsid w:val="004F49A3"/>
    <w:rsid w:val="004F49F6"/>
    <w:rsid w:val="004F73D0"/>
    <w:rsid w:val="005008F7"/>
    <w:rsid w:val="00501F7B"/>
    <w:rsid w:val="00507C63"/>
    <w:rsid w:val="00510280"/>
    <w:rsid w:val="00512188"/>
    <w:rsid w:val="00512F3E"/>
    <w:rsid w:val="00513D73"/>
    <w:rsid w:val="00514A43"/>
    <w:rsid w:val="005160E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2246"/>
    <w:rsid w:val="005636DF"/>
    <w:rsid w:val="00563EBE"/>
    <w:rsid w:val="00564C39"/>
    <w:rsid w:val="00565966"/>
    <w:rsid w:val="00570354"/>
    <w:rsid w:val="005703DE"/>
    <w:rsid w:val="00570CF6"/>
    <w:rsid w:val="0057196D"/>
    <w:rsid w:val="005725BC"/>
    <w:rsid w:val="0057501A"/>
    <w:rsid w:val="00575F5E"/>
    <w:rsid w:val="00581128"/>
    <w:rsid w:val="0058464E"/>
    <w:rsid w:val="0058610C"/>
    <w:rsid w:val="0059030D"/>
    <w:rsid w:val="00593B48"/>
    <w:rsid w:val="00596272"/>
    <w:rsid w:val="005A01CB"/>
    <w:rsid w:val="005A0D5D"/>
    <w:rsid w:val="005A0D62"/>
    <w:rsid w:val="005A58FF"/>
    <w:rsid w:val="005A5EAF"/>
    <w:rsid w:val="005A64C0"/>
    <w:rsid w:val="005A7487"/>
    <w:rsid w:val="005B0023"/>
    <w:rsid w:val="005B0A4B"/>
    <w:rsid w:val="005B3C11"/>
    <w:rsid w:val="005B4FF9"/>
    <w:rsid w:val="005B5A19"/>
    <w:rsid w:val="005C0079"/>
    <w:rsid w:val="005C1706"/>
    <w:rsid w:val="005C1C28"/>
    <w:rsid w:val="005C53B2"/>
    <w:rsid w:val="005C6DB5"/>
    <w:rsid w:val="005D39B7"/>
    <w:rsid w:val="005E19E7"/>
    <w:rsid w:val="005E1AC6"/>
    <w:rsid w:val="005E232A"/>
    <w:rsid w:val="005E259F"/>
    <w:rsid w:val="005E59DE"/>
    <w:rsid w:val="005E60CE"/>
    <w:rsid w:val="005F0D35"/>
    <w:rsid w:val="005F3A96"/>
    <w:rsid w:val="005F724D"/>
    <w:rsid w:val="005F7640"/>
    <w:rsid w:val="005F7E9E"/>
    <w:rsid w:val="0060413E"/>
    <w:rsid w:val="00604B74"/>
    <w:rsid w:val="00607EC9"/>
    <w:rsid w:val="006126C0"/>
    <w:rsid w:val="006128E9"/>
    <w:rsid w:val="006149F1"/>
    <w:rsid w:val="0061716C"/>
    <w:rsid w:val="006243A1"/>
    <w:rsid w:val="006278EC"/>
    <w:rsid w:val="006305B2"/>
    <w:rsid w:val="0063162D"/>
    <w:rsid w:val="00631E62"/>
    <w:rsid w:val="00632E56"/>
    <w:rsid w:val="00635CBA"/>
    <w:rsid w:val="006372CF"/>
    <w:rsid w:val="006407B5"/>
    <w:rsid w:val="006428DD"/>
    <w:rsid w:val="0064338B"/>
    <w:rsid w:val="00646542"/>
    <w:rsid w:val="006504F4"/>
    <w:rsid w:val="006507F4"/>
    <w:rsid w:val="00651F45"/>
    <w:rsid w:val="00654BC9"/>
    <w:rsid w:val="006552CA"/>
    <w:rsid w:val="006552FD"/>
    <w:rsid w:val="0065690F"/>
    <w:rsid w:val="00663AF3"/>
    <w:rsid w:val="00666B6C"/>
    <w:rsid w:val="0066776B"/>
    <w:rsid w:val="0066799C"/>
    <w:rsid w:val="00675F88"/>
    <w:rsid w:val="00676405"/>
    <w:rsid w:val="00682682"/>
    <w:rsid w:val="00682702"/>
    <w:rsid w:val="00682CAE"/>
    <w:rsid w:val="00682DF1"/>
    <w:rsid w:val="00684333"/>
    <w:rsid w:val="00687003"/>
    <w:rsid w:val="00692368"/>
    <w:rsid w:val="00692DB1"/>
    <w:rsid w:val="00693782"/>
    <w:rsid w:val="00693C38"/>
    <w:rsid w:val="006A0055"/>
    <w:rsid w:val="006A01CA"/>
    <w:rsid w:val="006A160C"/>
    <w:rsid w:val="006A1AB3"/>
    <w:rsid w:val="006A227E"/>
    <w:rsid w:val="006A2EBC"/>
    <w:rsid w:val="006A5EA0"/>
    <w:rsid w:val="006A783B"/>
    <w:rsid w:val="006A7B33"/>
    <w:rsid w:val="006B020F"/>
    <w:rsid w:val="006B204A"/>
    <w:rsid w:val="006B2306"/>
    <w:rsid w:val="006B4E13"/>
    <w:rsid w:val="006B61FC"/>
    <w:rsid w:val="006B75DD"/>
    <w:rsid w:val="006C08B7"/>
    <w:rsid w:val="006C62D5"/>
    <w:rsid w:val="006C67E0"/>
    <w:rsid w:val="006C7ABA"/>
    <w:rsid w:val="006D0D60"/>
    <w:rsid w:val="006D1122"/>
    <w:rsid w:val="006D2090"/>
    <w:rsid w:val="006D2F81"/>
    <w:rsid w:val="006D3C00"/>
    <w:rsid w:val="006D4330"/>
    <w:rsid w:val="006D6CF4"/>
    <w:rsid w:val="006E05BB"/>
    <w:rsid w:val="006E11C4"/>
    <w:rsid w:val="006E2AF4"/>
    <w:rsid w:val="006E3675"/>
    <w:rsid w:val="006E431E"/>
    <w:rsid w:val="006E4A7F"/>
    <w:rsid w:val="006E59DB"/>
    <w:rsid w:val="006F5451"/>
    <w:rsid w:val="006F75ED"/>
    <w:rsid w:val="00701D24"/>
    <w:rsid w:val="007045DE"/>
    <w:rsid w:val="00704DF6"/>
    <w:rsid w:val="0070651C"/>
    <w:rsid w:val="007132A3"/>
    <w:rsid w:val="007134EB"/>
    <w:rsid w:val="0071447D"/>
    <w:rsid w:val="00716421"/>
    <w:rsid w:val="007248B4"/>
    <w:rsid w:val="00724EFB"/>
    <w:rsid w:val="00725FD8"/>
    <w:rsid w:val="00726FFE"/>
    <w:rsid w:val="0073036F"/>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6ABD"/>
    <w:rsid w:val="00774FCA"/>
    <w:rsid w:val="00780812"/>
    <w:rsid w:val="007823C1"/>
    <w:rsid w:val="007909D8"/>
    <w:rsid w:val="007913AB"/>
    <w:rsid w:val="007914F7"/>
    <w:rsid w:val="007972CC"/>
    <w:rsid w:val="00797409"/>
    <w:rsid w:val="007A6D6B"/>
    <w:rsid w:val="007B1625"/>
    <w:rsid w:val="007B2949"/>
    <w:rsid w:val="007B3631"/>
    <w:rsid w:val="007B5A52"/>
    <w:rsid w:val="007B65F0"/>
    <w:rsid w:val="007B6C5B"/>
    <w:rsid w:val="007B706E"/>
    <w:rsid w:val="007B71EB"/>
    <w:rsid w:val="007B7457"/>
    <w:rsid w:val="007B7A39"/>
    <w:rsid w:val="007C1A4D"/>
    <w:rsid w:val="007C6205"/>
    <w:rsid w:val="007C6359"/>
    <w:rsid w:val="007C686A"/>
    <w:rsid w:val="007C728E"/>
    <w:rsid w:val="007C7F3F"/>
    <w:rsid w:val="007D2C53"/>
    <w:rsid w:val="007D3D60"/>
    <w:rsid w:val="007D66C9"/>
    <w:rsid w:val="007D6B2A"/>
    <w:rsid w:val="007E1980"/>
    <w:rsid w:val="007E1EEB"/>
    <w:rsid w:val="007E4B76"/>
    <w:rsid w:val="007E5EA8"/>
    <w:rsid w:val="007F052A"/>
    <w:rsid w:val="007F0CF1"/>
    <w:rsid w:val="007F12A5"/>
    <w:rsid w:val="007F1923"/>
    <w:rsid w:val="007F26FD"/>
    <w:rsid w:val="007F4CF1"/>
    <w:rsid w:val="007F758D"/>
    <w:rsid w:val="007F7D52"/>
    <w:rsid w:val="00801608"/>
    <w:rsid w:val="00802672"/>
    <w:rsid w:val="0080654C"/>
    <w:rsid w:val="00806796"/>
    <w:rsid w:val="008071C6"/>
    <w:rsid w:val="00812D4B"/>
    <w:rsid w:val="00813900"/>
    <w:rsid w:val="00814471"/>
    <w:rsid w:val="00815D7E"/>
    <w:rsid w:val="00817A00"/>
    <w:rsid w:val="0082108D"/>
    <w:rsid w:val="00821CAE"/>
    <w:rsid w:val="008235F0"/>
    <w:rsid w:val="00825DC3"/>
    <w:rsid w:val="00831AA2"/>
    <w:rsid w:val="00834220"/>
    <w:rsid w:val="00835DB3"/>
    <w:rsid w:val="0083617B"/>
    <w:rsid w:val="008370D2"/>
    <w:rsid w:val="008371BD"/>
    <w:rsid w:val="00841E8E"/>
    <w:rsid w:val="0084297F"/>
    <w:rsid w:val="008446E3"/>
    <w:rsid w:val="008447FF"/>
    <w:rsid w:val="008504A8"/>
    <w:rsid w:val="0085202D"/>
    <w:rsid w:val="00852108"/>
    <w:rsid w:val="0085282E"/>
    <w:rsid w:val="008652BC"/>
    <w:rsid w:val="0087198C"/>
    <w:rsid w:val="00872C1F"/>
    <w:rsid w:val="008735C6"/>
    <w:rsid w:val="00873B42"/>
    <w:rsid w:val="00873F6C"/>
    <w:rsid w:val="008768B0"/>
    <w:rsid w:val="00885446"/>
    <w:rsid w:val="008856D8"/>
    <w:rsid w:val="0089069C"/>
    <w:rsid w:val="008916C2"/>
    <w:rsid w:val="00892E82"/>
    <w:rsid w:val="00893D49"/>
    <w:rsid w:val="00896411"/>
    <w:rsid w:val="00896E69"/>
    <w:rsid w:val="008A1536"/>
    <w:rsid w:val="008A236D"/>
    <w:rsid w:val="008A753A"/>
    <w:rsid w:val="008A75BD"/>
    <w:rsid w:val="008B276C"/>
    <w:rsid w:val="008C06EB"/>
    <w:rsid w:val="008C1B4A"/>
    <w:rsid w:val="008C1B58"/>
    <w:rsid w:val="008C39AE"/>
    <w:rsid w:val="008C590D"/>
    <w:rsid w:val="008C67C7"/>
    <w:rsid w:val="008D0215"/>
    <w:rsid w:val="008D06E7"/>
    <w:rsid w:val="008D1911"/>
    <w:rsid w:val="008D2FAF"/>
    <w:rsid w:val="008D3E2C"/>
    <w:rsid w:val="008D55FD"/>
    <w:rsid w:val="008D564F"/>
    <w:rsid w:val="008D565B"/>
    <w:rsid w:val="008D6781"/>
    <w:rsid w:val="008D758F"/>
    <w:rsid w:val="008E031B"/>
    <w:rsid w:val="008E059C"/>
    <w:rsid w:val="008E1C59"/>
    <w:rsid w:val="008E5E48"/>
    <w:rsid w:val="008E7029"/>
    <w:rsid w:val="008E7749"/>
    <w:rsid w:val="008E7EF6"/>
    <w:rsid w:val="008F1F98"/>
    <w:rsid w:val="008F329C"/>
    <w:rsid w:val="008F4675"/>
    <w:rsid w:val="008F650E"/>
    <w:rsid w:val="008F6758"/>
    <w:rsid w:val="008F692D"/>
    <w:rsid w:val="008F716A"/>
    <w:rsid w:val="00900275"/>
    <w:rsid w:val="009040DD"/>
    <w:rsid w:val="00904828"/>
    <w:rsid w:val="00905B47"/>
    <w:rsid w:val="009072C5"/>
    <w:rsid w:val="00911190"/>
    <w:rsid w:val="0091331C"/>
    <w:rsid w:val="00913C85"/>
    <w:rsid w:val="00915E33"/>
    <w:rsid w:val="00921F4F"/>
    <w:rsid w:val="00927443"/>
    <w:rsid w:val="009279DE"/>
    <w:rsid w:val="00930116"/>
    <w:rsid w:val="00930D34"/>
    <w:rsid w:val="00935495"/>
    <w:rsid w:val="0094212C"/>
    <w:rsid w:val="009438A2"/>
    <w:rsid w:val="0094647C"/>
    <w:rsid w:val="009468EF"/>
    <w:rsid w:val="0095100A"/>
    <w:rsid w:val="009543BE"/>
    <w:rsid w:val="00954689"/>
    <w:rsid w:val="00955A90"/>
    <w:rsid w:val="00955E6E"/>
    <w:rsid w:val="009617C9"/>
    <w:rsid w:val="00961C93"/>
    <w:rsid w:val="00963DD4"/>
    <w:rsid w:val="00965324"/>
    <w:rsid w:val="0097091E"/>
    <w:rsid w:val="009739DE"/>
    <w:rsid w:val="009760D3"/>
    <w:rsid w:val="009770CC"/>
    <w:rsid w:val="00977132"/>
    <w:rsid w:val="009805EA"/>
    <w:rsid w:val="0098100A"/>
    <w:rsid w:val="00981A4B"/>
    <w:rsid w:val="00982501"/>
    <w:rsid w:val="00986B9C"/>
    <w:rsid w:val="009877D3"/>
    <w:rsid w:val="00987806"/>
    <w:rsid w:val="00990471"/>
    <w:rsid w:val="0099200F"/>
    <w:rsid w:val="00992CA5"/>
    <w:rsid w:val="009939DD"/>
    <w:rsid w:val="00994E8F"/>
    <w:rsid w:val="009951DC"/>
    <w:rsid w:val="009958CA"/>
    <w:rsid w:val="009959BB"/>
    <w:rsid w:val="00997158"/>
    <w:rsid w:val="009A1324"/>
    <w:rsid w:val="009A2D72"/>
    <w:rsid w:val="009A3A7C"/>
    <w:rsid w:val="009A6F7F"/>
    <w:rsid w:val="009B2186"/>
    <w:rsid w:val="009B2293"/>
    <w:rsid w:val="009B2ADB"/>
    <w:rsid w:val="009B603A"/>
    <w:rsid w:val="009C0DF3"/>
    <w:rsid w:val="009C2D0E"/>
    <w:rsid w:val="009C3DAC"/>
    <w:rsid w:val="009C42E0"/>
    <w:rsid w:val="009C6B8E"/>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3FFC"/>
    <w:rsid w:val="00A16306"/>
    <w:rsid w:val="00A22154"/>
    <w:rsid w:val="00A24CA6"/>
    <w:rsid w:val="00A25C38"/>
    <w:rsid w:val="00A27CA2"/>
    <w:rsid w:val="00A31C69"/>
    <w:rsid w:val="00A3328C"/>
    <w:rsid w:val="00A3618A"/>
    <w:rsid w:val="00A36B07"/>
    <w:rsid w:val="00A36BBE"/>
    <w:rsid w:val="00A403E4"/>
    <w:rsid w:val="00A40DA4"/>
    <w:rsid w:val="00A4307A"/>
    <w:rsid w:val="00A45884"/>
    <w:rsid w:val="00A46208"/>
    <w:rsid w:val="00A47EBB"/>
    <w:rsid w:val="00A5103A"/>
    <w:rsid w:val="00A51890"/>
    <w:rsid w:val="00A51CDD"/>
    <w:rsid w:val="00A54FD3"/>
    <w:rsid w:val="00A5580E"/>
    <w:rsid w:val="00A5714F"/>
    <w:rsid w:val="00A62EA1"/>
    <w:rsid w:val="00A6457A"/>
    <w:rsid w:val="00A66513"/>
    <w:rsid w:val="00A6730D"/>
    <w:rsid w:val="00A7086D"/>
    <w:rsid w:val="00A70B14"/>
    <w:rsid w:val="00A71625"/>
    <w:rsid w:val="00A71B9B"/>
    <w:rsid w:val="00A72534"/>
    <w:rsid w:val="00A751C7"/>
    <w:rsid w:val="00A769E6"/>
    <w:rsid w:val="00A77E57"/>
    <w:rsid w:val="00A80D1E"/>
    <w:rsid w:val="00A8178C"/>
    <w:rsid w:val="00A81974"/>
    <w:rsid w:val="00A836A4"/>
    <w:rsid w:val="00A84816"/>
    <w:rsid w:val="00A86922"/>
    <w:rsid w:val="00A873DE"/>
    <w:rsid w:val="00A87798"/>
    <w:rsid w:val="00A87844"/>
    <w:rsid w:val="00A95699"/>
    <w:rsid w:val="00A977ED"/>
    <w:rsid w:val="00AA038C"/>
    <w:rsid w:val="00AA3705"/>
    <w:rsid w:val="00AA7A09"/>
    <w:rsid w:val="00AB3235"/>
    <w:rsid w:val="00AB3B1C"/>
    <w:rsid w:val="00AB3B50"/>
    <w:rsid w:val="00AB5E69"/>
    <w:rsid w:val="00AB5FFA"/>
    <w:rsid w:val="00AB78F9"/>
    <w:rsid w:val="00AC05B1"/>
    <w:rsid w:val="00AC08AB"/>
    <w:rsid w:val="00AC5220"/>
    <w:rsid w:val="00AC63DF"/>
    <w:rsid w:val="00AD356C"/>
    <w:rsid w:val="00AD5177"/>
    <w:rsid w:val="00AD7634"/>
    <w:rsid w:val="00AD7D5B"/>
    <w:rsid w:val="00AE0EE4"/>
    <w:rsid w:val="00AE2914"/>
    <w:rsid w:val="00AE375D"/>
    <w:rsid w:val="00AE4FD7"/>
    <w:rsid w:val="00AE647E"/>
    <w:rsid w:val="00AE6D15"/>
    <w:rsid w:val="00AE7AC7"/>
    <w:rsid w:val="00AF28B2"/>
    <w:rsid w:val="00AF3D92"/>
    <w:rsid w:val="00B00E13"/>
    <w:rsid w:val="00B017DA"/>
    <w:rsid w:val="00B02CB7"/>
    <w:rsid w:val="00B03527"/>
    <w:rsid w:val="00B04182"/>
    <w:rsid w:val="00B05887"/>
    <w:rsid w:val="00B06C4F"/>
    <w:rsid w:val="00B07AE3"/>
    <w:rsid w:val="00B07CCD"/>
    <w:rsid w:val="00B10718"/>
    <w:rsid w:val="00B10F81"/>
    <w:rsid w:val="00B11430"/>
    <w:rsid w:val="00B11D69"/>
    <w:rsid w:val="00B11EF6"/>
    <w:rsid w:val="00B1718F"/>
    <w:rsid w:val="00B23A84"/>
    <w:rsid w:val="00B242BD"/>
    <w:rsid w:val="00B26FAF"/>
    <w:rsid w:val="00B353EB"/>
    <w:rsid w:val="00B3550C"/>
    <w:rsid w:val="00B439C4"/>
    <w:rsid w:val="00B4535E"/>
    <w:rsid w:val="00B52554"/>
    <w:rsid w:val="00B52A8C"/>
    <w:rsid w:val="00B5449E"/>
    <w:rsid w:val="00B56A98"/>
    <w:rsid w:val="00B57EF4"/>
    <w:rsid w:val="00B61351"/>
    <w:rsid w:val="00B61764"/>
    <w:rsid w:val="00B636A8"/>
    <w:rsid w:val="00B665C6"/>
    <w:rsid w:val="00B71E88"/>
    <w:rsid w:val="00B7534A"/>
    <w:rsid w:val="00B805AF"/>
    <w:rsid w:val="00B82543"/>
    <w:rsid w:val="00B869EC"/>
    <w:rsid w:val="00B86DC7"/>
    <w:rsid w:val="00B91C4A"/>
    <w:rsid w:val="00B93704"/>
    <w:rsid w:val="00B9397A"/>
    <w:rsid w:val="00B9633D"/>
    <w:rsid w:val="00BA0447"/>
    <w:rsid w:val="00BA0B75"/>
    <w:rsid w:val="00BA2810"/>
    <w:rsid w:val="00BA2EBE"/>
    <w:rsid w:val="00BA6D23"/>
    <w:rsid w:val="00BB0E1E"/>
    <w:rsid w:val="00BB0F28"/>
    <w:rsid w:val="00BB2720"/>
    <w:rsid w:val="00BB2F33"/>
    <w:rsid w:val="00BB3ED1"/>
    <w:rsid w:val="00BB458A"/>
    <w:rsid w:val="00BC6A9F"/>
    <w:rsid w:val="00BD00D3"/>
    <w:rsid w:val="00BD0785"/>
    <w:rsid w:val="00BD1659"/>
    <w:rsid w:val="00BD3AA9"/>
    <w:rsid w:val="00BD4A18"/>
    <w:rsid w:val="00BD5ABE"/>
    <w:rsid w:val="00BD69A8"/>
    <w:rsid w:val="00BD6DB2"/>
    <w:rsid w:val="00BD79B5"/>
    <w:rsid w:val="00BE11CF"/>
    <w:rsid w:val="00BE21AB"/>
    <w:rsid w:val="00BE55CB"/>
    <w:rsid w:val="00BF617A"/>
    <w:rsid w:val="00BF6FCE"/>
    <w:rsid w:val="00C00794"/>
    <w:rsid w:val="00C0379D"/>
    <w:rsid w:val="00C038E9"/>
    <w:rsid w:val="00C03931"/>
    <w:rsid w:val="00C04D89"/>
    <w:rsid w:val="00C05A76"/>
    <w:rsid w:val="00C05FE3"/>
    <w:rsid w:val="00C153C6"/>
    <w:rsid w:val="00C1634B"/>
    <w:rsid w:val="00C2136D"/>
    <w:rsid w:val="00C214EE"/>
    <w:rsid w:val="00C2314B"/>
    <w:rsid w:val="00C24971"/>
    <w:rsid w:val="00C26BE5"/>
    <w:rsid w:val="00C26E4D"/>
    <w:rsid w:val="00C27357"/>
    <w:rsid w:val="00C27909"/>
    <w:rsid w:val="00C27B03"/>
    <w:rsid w:val="00C3076F"/>
    <w:rsid w:val="00C30D69"/>
    <w:rsid w:val="00C314E1"/>
    <w:rsid w:val="00C34397"/>
    <w:rsid w:val="00C34927"/>
    <w:rsid w:val="00C34E41"/>
    <w:rsid w:val="00C361CD"/>
    <w:rsid w:val="00C368BE"/>
    <w:rsid w:val="00C3788B"/>
    <w:rsid w:val="00C4095D"/>
    <w:rsid w:val="00C447C4"/>
    <w:rsid w:val="00C4529D"/>
    <w:rsid w:val="00C47D1A"/>
    <w:rsid w:val="00C55A36"/>
    <w:rsid w:val="00C601D2"/>
    <w:rsid w:val="00C65BCC"/>
    <w:rsid w:val="00C65FBC"/>
    <w:rsid w:val="00C66970"/>
    <w:rsid w:val="00C732CC"/>
    <w:rsid w:val="00C74886"/>
    <w:rsid w:val="00C8340D"/>
    <w:rsid w:val="00C85A67"/>
    <w:rsid w:val="00C8691C"/>
    <w:rsid w:val="00C8772C"/>
    <w:rsid w:val="00C93987"/>
    <w:rsid w:val="00C952D7"/>
    <w:rsid w:val="00C97F28"/>
    <w:rsid w:val="00CA046B"/>
    <w:rsid w:val="00CA15B9"/>
    <w:rsid w:val="00CA168A"/>
    <w:rsid w:val="00CA3025"/>
    <w:rsid w:val="00CA357E"/>
    <w:rsid w:val="00CA44F9"/>
    <w:rsid w:val="00CA49C9"/>
    <w:rsid w:val="00CA4A69"/>
    <w:rsid w:val="00CB2D56"/>
    <w:rsid w:val="00CB6968"/>
    <w:rsid w:val="00CB6E9C"/>
    <w:rsid w:val="00CC0922"/>
    <w:rsid w:val="00CC3E0C"/>
    <w:rsid w:val="00CC4599"/>
    <w:rsid w:val="00CC56E2"/>
    <w:rsid w:val="00CC58D3"/>
    <w:rsid w:val="00CC6BC3"/>
    <w:rsid w:val="00CC784D"/>
    <w:rsid w:val="00CD11F7"/>
    <w:rsid w:val="00CD7858"/>
    <w:rsid w:val="00CE0024"/>
    <w:rsid w:val="00CE095F"/>
    <w:rsid w:val="00CE2DDE"/>
    <w:rsid w:val="00CE50BB"/>
    <w:rsid w:val="00CE5BF1"/>
    <w:rsid w:val="00CE6C85"/>
    <w:rsid w:val="00CE7211"/>
    <w:rsid w:val="00CF2C7A"/>
    <w:rsid w:val="00CF425A"/>
    <w:rsid w:val="00CF4B8D"/>
    <w:rsid w:val="00CF50A6"/>
    <w:rsid w:val="00CF51BD"/>
    <w:rsid w:val="00CF5580"/>
    <w:rsid w:val="00CF56F7"/>
    <w:rsid w:val="00D00C42"/>
    <w:rsid w:val="00D01A9E"/>
    <w:rsid w:val="00D02467"/>
    <w:rsid w:val="00D0337B"/>
    <w:rsid w:val="00D04DD5"/>
    <w:rsid w:val="00D079B2"/>
    <w:rsid w:val="00D114E9"/>
    <w:rsid w:val="00D116CD"/>
    <w:rsid w:val="00D11C0C"/>
    <w:rsid w:val="00D174F2"/>
    <w:rsid w:val="00D17A82"/>
    <w:rsid w:val="00D258AB"/>
    <w:rsid w:val="00D30301"/>
    <w:rsid w:val="00D324D3"/>
    <w:rsid w:val="00D362A9"/>
    <w:rsid w:val="00D36907"/>
    <w:rsid w:val="00D42827"/>
    <w:rsid w:val="00D429C6"/>
    <w:rsid w:val="00D47748"/>
    <w:rsid w:val="00D54CC3"/>
    <w:rsid w:val="00D57710"/>
    <w:rsid w:val="00D603DE"/>
    <w:rsid w:val="00D6041A"/>
    <w:rsid w:val="00D62B03"/>
    <w:rsid w:val="00D633EB"/>
    <w:rsid w:val="00D650D8"/>
    <w:rsid w:val="00D65A9F"/>
    <w:rsid w:val="00D66B2B"/>
    <w:rsid w:val="00D6739B"/>
    <w:rsid w:val="00D71773"/>
    <w:rsid w:val="00D73699"/>
    <w:rsid w:val="00D81822"/>
    <w:rsid w:val="00D82FF7"/>
    <w:rsid w:val="00D847FE"/>
    <w:rsid w:val="00D87922"/>
    <w:rsid w:val="00D9055F"/>
    <w:rsid w:val="00D9070D"/>
    <w:rsid w:val="00D9262C"/>
    <w:rsid w:val="00D9303B"/>
    <w:rsid w:val="00D964EA"/>
    <w:rsid w:val="00D966D0"/>
    <w:rsid w:val="00DA0C59"/>
    <w:rsid w:val="00DA3991"/>
    <w:rsid w:val="00DA40E3"/>
    <w:rsid w:val="00DA5EE5"/>
    <w:rsid w:val="00DA79E0"/>
    <w:rsid w:val="00DB0990"/>
    <w:rsid w:val="00DB2C4C"/>
    <w:rsid w:val="00DB56D7"/>
    <w:rsid w:val="00DB7A00"/>
    <w:rsid w:val="00DB7A07"/>
    <w:rsid w:val="00DB7E6C"/>
    <w:rsid w:val="00DC296C"/>
    <w:rsid w:val="00DD17E6"/>
    <w:rsid w:val="00DD4A93"/>
    <w:rsid w:val="00DD4DEA"/>
    <w:rsid w:val="00DD5A29"/>
    <w:rsid w:val="00DD5D9D"/>
    <w:rsid w:val="00DD6CAC"/>
    <w:rsid w:val="00DD7BD3"/>
    <w:rsid w:val="00DE35CB"/>
    <w:rsid w:val="00DF031E"/>
    <w:rsid w:val="00DF19EC"/>
    <w:rsid w:val="00DF21E9"/>
    <w:rsid w:val="00DF3602"/>
    <w:rsid w:val="00E0018E"/>
    <w:rsid w:val="00E00F14"/>
    <w:rsid w:val="00E0104C"/>
    <w:rsid w:val="00E01E5D"/>
    <w:rsid w:val="00E01FFC"/>
    <w:rsid w:val="00E0302E"/>
    <w:rsid w:val="00E06386"/>
    <w:rsid w:val="00E117D0"/>
    <w:rsid w:val="00E12664"/>
    <w:rsid w:val="00E15072"/>
    <w:rsid w:val="00E173CE"/>
    <w:rsid w:val="00E214BC"/>
    <w:rsid w:val="00E24B93"/>
    <w:rsid w:val="00E24EB4"/>
    <w:rsid w:val="00E26AB3"/>
    <w:rsid w:val="00E320ED"/>
    <w:rsid w:val="00E32C33"/>
    <w:rsid w:val="00E339DA"/>
    <w:rsid w:val="00E33AFB"/>
    <w:rsid w:val="00E34218"/>
    <w:rsid w:val="00E36530"/>
    <w:rsid w:val="00E36BA6"/>
    <w:rsid w:val="00E44E1F"/>
    <w:rsid w:val="00E46282"/>
    <w:rsid w:val="00E5216E"/>
    <w:rsid w:val="00E57187"/>
    <w:rsid w:val="00E67142"/>
    <w:rsid w:val="00E72AA5"/>
    <w:rsid w:val="00E7378A"/>
    <w:rsid w:val="00E73E16"/>
    <w:rsid w:val="00E7509E"/>
    <w:rsid w:val="00E807F5"/>
    <w:rsid w:val="00E81396"/>
    <w:rsid w:val="00E81A7A"/>
    <w:rsid w:val="00E81D77"/>
    <w:rsid w:val="00E82344"/>
    <w:rsid w:val="00E84C82"/>
    <w:rsid w:val="00E84D64"/>
    <w:rsid w:val="00E86E3C"/>
    <w:rsid w:val="00E87408"/>
    <w:rsid w:val="00E914C4"/>
    <w:rsid w:val="00E934F5"/>
    <w:rsid w:val="00E95524"/>
    <w:rsid w:val="00E96961"/>
    <w:rsid w:val="00E978C6"/>
    <w:rsid w:val="00EA3C1C"/>
    <w:rsid w:val="00EA6ED4"/>
    <w:rsid w:val="00EA72EC"/>
    <w:rsid w:val="00EB11CB"/>
    <w:rsid w:val="00EB19CE"/>
    <w:rsid w:val="00EB275A"/>
    <w:rsid w:val="00EB29A1"/>
    <w:rsid w:val="00EB468B"/>
    <w:rsid w:val="00EB4D7C"/>
    <w:rsid w:val="00EB6345"/>
    <w:rsid w:val="00EB786A"/>
    <w:rsid w:val="00EC1578"/>
    <w:rsid w:val="00EC1C72"/>
    <w:rsid w:val="00EC385A"/>
    <w:rsid w:val="00EC3CC9"/>
    <w:rsid w:val="00EC55A7"/>
    <w:rsid w:val="00EC6047"/>
    <w:rsid w:val="00EC680A"/>
    <w:rsid w:val="00ED14EF"/>
    <w:rsid w:val="00ED35D0"/>
    <w:rsid w:val="00ED532B"/>
    <w:rsid w:val="00ED7160"/>
    <w:rsid w:val="00ED7999"/>
    <w:rsid w:val="00ED7F55"/>
    <w:rsid w:val="00EE2BED"/>
    <w:rsid w:val="00EE374B"/>
    <w:rsid w:val="00EE39A6"/>
    <w:rsid w:val="00EE430A"/>
    <w:rsid w:val="00EE62B1"/>
    <w:rsid w:val="00EE62FA"/>
    <w:rsid w:val="00EE7AF7"/>
    <w:rsid w:val="00EF1500"/>
    <w:rsid w:val="00EF2FAB"/>
    <w:rsid w:val="00EF508D"/>
    <w:rsid w:val="00EF76AB"/>
    <w:rsid w:val="00F02756"/>
    <w:rsid w:val="00F04D4C"/>
    <w:rsid w:val="00F07F16"/>
    <w:rsid w:val="00F116ED"/>
    <w:rsid w:val="00F11BB5"/>
    <w:rsid w:val="00F12B73"/>
    <w:rsid w:val="00F1417B"/>
    <w:rsid w:val="00F20367"/>
    <w:rsid w:val="00F2605B"/>
    <w:rsid w:val="00F30D1F"/>
    <w:rsid w:val="00F327DD"/>
    <w:rsid w:val="00F328CE"/>
    <w:rsid w:val="00F34311"/>
    <w:rsid w:val="00F34B99"/>
    <w:rsid w:val="00F363DC"/>
    <w:rsid w:val="00F40985"/>
    <w:rsid w:val="00F42F3E"/>
    <w:rsid w:val="00F44367"/>
    <w:rsid w:val="00F44DB6"/>
    <w:rsid w:val="00F47529"/>
    <w:rsid w:val="00F512B5"/>
    <w:rsid w:val="00F51DFB"/>
    <w:rsid w:val="00F52DAB"/>
    <w:rsid w:val="00F5325B"/>
    <w:rsid w:val="00F543F0"/>
    <w:rsid w:val="00F60887"/>
    <w:rsid w:val="00F61A57"/>
    <w:rsid w:val="00F633F5"/>
    <w:rsid w:val="00F63464"/>
    <w:rsid w:val="00F63DB1"/>
    <w:rsid w:val="00F64463"/>
    <w:rsid w:val="00F64FDC"/>
    <w:rsid w:val="00F65F4C"/>
    <w:rsid w:val="00F7033B"/>
    <w:rsid w:val="00F72932"/>
    <w:rsid w:val="00F74DC5"/>
    <w:rsid w:val="00F77003"/>
    <w:rsid w:val="00F77DB4"/>
    <w:rsid w:val="00F81675"/>
    <w:rsid w:val="00F81D29"/>
    <w:rsid w:val="00F84A0E"/>
    <w:rsid w:val="00F85769"/>
    <w:rsid w:val="00F8694B"/>
    <w:rsid w:val="00F91C4D"/>
    <w:rsid w:val="00F92FD9"/>
    <w:rsid w:val="00FA00A3"/>
    <w:rsid w:val="00FA190C"/>
    <w:rsid w:val="00FA2BE5"/>
    <w:rsid w:val="00FA46F4"/>
    <w:rsid w:val="00FA6684"/>
    <w:rsid w:val="00FA731E"/>
    <w:rsid w:val="00FB0F2B"/>
    <w:rsid w:val="00FB2B38"/>
    <w:rsid w:val="00FB3952"/>
    <w:rsid w:val="00FC16B9"/>
    <w:rsid w:val="00FC6358"/>
    <w:rsid w:val="00FC7BE9"/>
    <w:rsid w:val="00FD01CF"/>
    <w:rsid w:val="00FD229E"/>
    <w:rsid w:val="00FD320D"/>
    <w:rsid w:val="00FE1C50"/>
    <w:rsid w:val="00FE1E23"/>
    <w:rsid w:val="00FE23C7"/>
    <w:rsid w:val="00FE23DE"/>
    <w:rsid w:val="00FE54DF"/>
    <w:rsid w:val="00FE71EC"/>
    <w:rsid w:val="00FF04A9"/>
    <w:rsid w:val="00FF34EC"/>
    <w:rsid w:val="01D9415D"/>
    <w:rsid w:val="02624152"/>
    <w:rsid w:val="09E10052"/>
    <w:rsid w:val="0AF344E1"/>
    <w:rsid w:val="0C185FE5"/>
    <w:rsid w:val="0F3F1AA3"/>
    <w:rsid w:val="0F76123D"/>
    <w:rsid w:val="0FA638D0"/>
    <w:rsid w:val="0FBA737B"/>
    <w:rsid w:val="0FF87EA4"/>
    <w:rsid w:val="10C646C7"/>
    <w:rsid w:val="11D566EF"/>
    <w:rsid w:val="13CB5FFB"/>
    <w:rsid w:val="15DD5B72"/>
    <w:rsid w:val="166444E5"/>
    <w:rsid w:val="16B234A2"/>
    <w:rsid w:val="17712A16"/>
    <w:rsid w:val="17CA1504"/>
    <w:rsid w:val="194B373A"/>
    <w:rsid w:val="19A960F2"/>
    <w:rsid w:val="19E571BA"/>
    <w:rsid w:val="1A4A1E01"/>
    <w:rsid w:val="1A7D161A"/>
    <w:rsid w:val="1DF900D4"/>
    <w:rsid w:val="1E2B6A4E"/>
    <w:rsid w:val="2031617F"/>
    <w:rsid w:val="225D0766"/>
    <w:rsid w:val="232079E6"/>
    <w:rsid w:val="23827D58"/>
    <w:rsid w:val="24803401"/>
    <w:rsid w:val="2504136D"/>
    <w:rsid w:val="26A60202"/>
    <w:rsid w:val="27FE6547"/>
    <w:rsid w:val="2858552C"/>
    <w:rsid w:val="2C2E6CCF"/>
    <w:rsid w:val="2CCC18BE"/>
    <w:rsid w:val="2E440758"/>
    <w:rsid w:val="2E954DE4"/>
    <w:rsid w:val="2EA8435B"/>
    <w:rsid w:val="2EDA4EED"/>
    <w:rsid w:val="2EDF0755"/>
    <w:rsid w:val="2FB7447E"/>
    <w:rsid w:val="3159659D"/>
    <w:rsid w:val="32C24615"/>
    <w:rsid w:val="33251C93"/>
    <w:rsid w:val="34FA3BF3"/>
    <w:rsid w:val="34FC64FF"/>
    <w:rsid w:val="365E4655"/>
    <w:rsid w:val="36A858D0"/>
    <w:rsid w:val="37092813"/>
    <w:rsid w:val="37403D5B"/>
    <w:rsid w:val="37DC3A83"/>
    <w:rsid w:val="37E1553E"/>
    <w:rsid w:val="37F708BD"/>
    <w:rsid w:val="38AC5B4C"/>
    <w:rsid w:val="39276F80"/>
    <w:rsid w:val="3C88242C"/>
    <w:rsid w:val="3CE8111C"/>
    <w:rsid w:val="3E9E2A21"/>
    <w:rsid w:val="3ED5122D"/>
    <w:rsid w:val="3F6F1681"/>
    <w:rsid w:val="3FF43934"/>
    <w:rsid w:val="40EC0E0D"/>
    <w:rsid w:val="42206C63"/>
    <w:rsid w:val="42EB101F"/>
    <w:rsid w:val="430B16C1"/>
    <w:rsid w:val="43334D92"/>
    <w:rsid w:val="4412468D"/>
    <w:rsid w:val="44395CCF"/>
    <w:rsid w:val="44C61D43"/>
    <w:rsid w:val="44CD4E80"/>
    <w:rsid w:val="454A2974"/>
    <w:rsid w:val="45806396"/>
    <w:rsid w:val="4590011C"/>
    <w:rsid w:val="465869CB"/>
    <w:rsid w:val="472A6E17"/>
    <w:rsid w:val="475278BE"/>
    <w:rsid w:val="489857A5"/>
    <w:rsid w:val="4A8A736F"/>
    <w:rsid w:val="4AF56EDE"/>
    <w:rsid w:val="4BB328F5"/>
    <w:rsid w:val="4D6D71CA"/>
    <w:rsid w:val="4E1F6008"/>
    <w:rsid w:val="4E626B0A"/>
    <w:rsid w:val="4EC94BF8"/>
    <w:rsid w:val="512A273A"/>
    <w:rsid w:val="51640CA2"/>
    <w:rsid w:val="52331739"/>
    <w:rsid w:val="525210BA"/>
    <w:rsid w:val="53956947"/>
    <w:rsid w:val="54134879"/>
    <w:rsid w:val="552705DC"/>
    <w:rsid w:val="562B1713"/>
    <w:rsid w:val="57DB3900"/>
    <w:rsid w:val="588E0972"/>
    <w:rsid w:val="589D2963"/>
    <w:rsid w:val="59012EF2"/>
    <w:rsid w:val="5A112A8C"/>
    <w:rsid w:val="5A7B6CD4"/>
    <w:rsid w:val="5ABA15AB"/>
    <w:rsid w:val="5BBB7CD0"/>
    <w:rsid w:val="5C4F21C6"/>
    <w:rsid w:val="5D6458D1"/>
    <w:rsid w:val="5E2A56EC"/>
    <w:rsid w:val="5EF57055"/>
    <w:rsid w:val="5FB36828"/>
    <w:rsid w:val="613D2D02"/>
    <w:rsid w:val="62A019CE"/>
    <w:rsid w:val="630E2DDB"/>
    <w:rsid w:val="65295CAB"/>
    <w:rsid w:val="66342B59"/>
    <w:rsid w:val="681E62EA"/>
    <w:rsid w:val="68423901"/>
    <w:rsid w:val="686E1C26"/>
    <w:rsid w:val="694D5CE0"/>
    <w:rsid w:val="6A016B20"/>
    <w:rsid w:val="6B060658"/>
    <w:rsid w:val="6B2A0BF9"/>
    <w:rsid w:val="6BD66460"/>
    <w:rsid w:val="6E380D0C"/>
    <w:rsid w:val="6F0B5C90"/>
    <w:rsid w:val="6F3E67F6"/>
    <w:rsid w:val="6FC53AB1"/>
    <w:rsid w:val="70877D29"/>
    <w:rsid w:val="70DA047E"/>
    <w:rsid w:val="71566079"/>
    <w:rsid w:val="72785B7B"/>
    <w:rsid w:val="74132508"/>
    <w:rsid w:val="74F02F30"/>
    <w:rsid w:val="76284056"/>
    <w:rsid w:val="773B361B"/>
    <w:rsid w:val="77DE0B76"/>
    <w:rsid w:val="78654DF4"/>
    <w:rsid w:val="786A196B"/>
    <w:rsid w:val="78743289"/>
    <w:rsid w:val="7CED616F"/>
    <w:rsid w:val="7D364DB0"/>
    <w:rsid w:val="7D3B0266"/>
    <w:rsid w:val="7DA0242A"/>
    <w:rsid w:val="7F0C4559"/>
    <w:rsid w:val="7FAB3A34"/>
    <w:rsid w:val="7FBFE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0"/>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1"/>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qFormat/>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qFormat/>
    <w:uiPriority w:val="39"/>
    <w:pPr>
      <w:tabs>
        <w:tab w:val="right" w:leader="dot" w:pos="9241"/>
      </w:tabs>
      <w:ind w:firstLine="100" w:firstLineChars="100"/>
      <w:jc w:val="left"/>
    </w:pPr>
    <w:rPr>
      <w:rFonts w:ascii="宋体"/>
      <w:szCs w:val="21"/>
    </w:rPr>
  </w:style>
  <w:style w:type="paragraph" w:styleId="14">
    <w:name w:val="toc 8"/>
    <w:basedOn w:val="1"/>
    <w:next w:val="1"/>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142"/>
    <w:qFormat/>
    <w:uiPriority w:val="0"/>
    <w:rPr>
      <w:sz w:val="18"/>
      <w:szCs w:val="18"/>
    </w:rPr>
  </w:style>
  <w:style w:type="paragraph" w:styleId="18">
    <w:name w:val="footer"/>
    <w:basedOn w:val="1"/>
    <w:link w:val="147"/>
    <w:qFormat/>
    <w:uiPriority w:val="99"/>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pPr>
      <w:tabs>
        <w:tab w:val="right" w:leader="dot" w:pos="9242"/>
      </w:tabs>
      <w:spacing w:beforeLines="25" w:afterLines="25"/>
      <w:jc w:val="left"/>
    </w:pPr>
    <w:rPr>
      <w:rFonts w:ascii="宋体"/>
      <w:szCs w:val="21"/>
    </w:rPr>
  </w:style>
  <w:style w:type="paragraph" w:styleId="21">
    <w:name w:val="toc 4"/>
    <w:basedOn w:val="1"/>
    <w:next w:val="1"/>
    <w:semiHidden/>
    <w:qFormat/>
    <w:uiPriority w:val="0"/>
    <w:pPr>
      <w:tabs>
        <w:tab w:val="right" w:leader="dot" w:pos="9241"/>
      </w:tabs>
      <w:ind w:firstLine="200"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0"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qFormat/>
    <w:uiPriority w:val="39"/>
    <w:pPr>
      <w:tabs>
        <w:tab w:val="right" w:leader="dot" w:pos="9242"/>
      </w:tabs>
      <w:ind w:left="100" w:leftChars="100"/>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2">
    <w:name w:val="index 2"/>
    <w:basedOn w:val="1"/>
    <w:next w:val="1"/>
    <w:qFormat/>
    <w:uiPriority w:val="0"/>
    <w:pPr>
      <w:ind w:left="420" w:hanging="210"/>
      <w:jc w:val="left"/>
    </w:pPr>
    <w:rPr>
      <w:rFonts w:ascii="Calibri" w:hAnsi="Calibri"/>
      <w:sz w:val="20"/>
      <w:szCs w:val="20"/>
    </w:rPr>
  </w:style>
  <w:style w:type="paragraph" w:styleId="33">
    <w:name w:val="Title"/>
    <w:basedOn w:val="1"/>
    <w:next w:val="1"/>
    <w:link w:val="146"/>
    <w:qFormat/>
    <w:uiPriority w:val="0"/>
    <w:pPr>
      <w:spacing w:before="240" w:after="60"/>
      <w:jc w:val="center"/>
      <w:outlineLvl w:val="0"/>
    </w:pPr>
    <w:rPr>
      <w:rFonts w:asciiTheme="majorHAnsi" w:hAnsiTheme="majorHAnsi" w:eastAsiaTheme="majorEastAsia" w:cstheme="majorBidi"/>
      <w:b/>
      <w:bCs/>
      <w:sz w:val="32"/>
      <w:szCs w:val="32"/>
    </w:rPr>
  </w:style>
  <w:style w:type="table" w:styleId="35">
    <w:name w:val="Table Grid"/>
    <w:basedOn w:val="3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qFormat/>
    <w:uiPriority w:val="22"/>
    <w:rPr>
      <w:b/>
      <w:bCs/>
    </w:rPr>
  </w:style>
  <w:style w:type="character" w:styleId="38">
    <w:name w:val="endnote reference"/>
    <w:semiHidden/>
    <w:qFormat/>
    <w:uiPriority w:val="0"/>
    <w:rPr>
      <w:vertAlign w:val="superscript"/>
    </w:rPr>
  </w:style>
  <w:style w:type="character" w:styleId="39">
    <w:name w:val="page number"/>
    <w:qFormat/>
    <w:uiPriority w:val="0"/>
    <w:rPr>
      <w:rFonts w:ascii="Times New Roman" w:hAnsi="Times New Roman" w:eastAsia="宋体"/>
      <w:sz w:val="18"/>
    </w:rPr>
  </w:style>
  <w:style w:type="character" w:styleId="40">
    <w:name w:val="Hyperlink"/>
    <w:qFormat/>
    <w:uiPriority w:val="99"/>
    <w:rPr>
      <w:color w:val="0000FF"/>
      <w:spacing w:val="0"/>
      <w:w w:val="100"/>
      <w:szCs w:val="21"/>
      <w:u w:val="single"/>
    </w:rPr>
  </w:style>
  <w:style w:type="character" w:styleId="41">
    <w:name w:val="footnote reference"/>
    <w:semiHidden/>
    <w:qFormat/>
    <w:uiPriority w:val="0"/>
    <w:rPr>
      <w:vertAlign w:val="superscript"/>
    </w:rPr>
  </w:style>
  <w:style w:type="character" w:customStyle="1" w:styleId="42">
    <w:name w:val="段 Char"/>
    <w:link w:val="24"/>
    <w:qFormat/>
    <w:uiPriority w:val="0"/>
    <w:rPr>
      <w:rFonts w:ascii="宋体"/>
      <w:sz w:val="21"/>
      <w:lang w:val="en-US" w:eastAsia="zh-CN" w:bidi="ar-SA"/>
    </w:rPr>
  </w:style>
  <w:style w:type="paragraph" w:customStyle="1" w:styleId="43">
    <w:name w:val="一级条标题"/>
    <w:next w:val="24"/>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6">
    <w:name w:val="章标题"/>
    <w:next w:val="24"/>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7">
    <w:name w:val="二级条标题"/>
    <w:basedOn w:val="43"/>
    <w:next w:val="24"/>
    <w:qFormat/>
    <w:uiPriority w:val="0"/>
    <w:pPr>
      <w:numPr>
        <w:ilvl w:val="2"/>
      </w:numPr>
      <w:outlineLvl w:val="3"/>
    </w:pPr>
  </w:style>
  <w:style w:type="paragraph" w:customStyle="1" w:styleId="4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9">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0">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1">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2">
    <w:name w:val="三级条标题"/>
    <w:basedOn w:val="47"/>
    <w:next w:val="24"/>
    <w:qFormat/>
    <w:uiPriority w:val="0"/>
    <w:pPr>
      <w:numPr>
        <w:ilvl w:val="3"/>
      </w:numPr>
      <w:outlineLvl w:val="4"/>
    </w:pPr>
  </w:style>
  <w:style w:type="paragraph" w:customStyle="1" w:styleId="53">
    <w:name w:val="示例"/>
    <w:next w:val="54"/>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4">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5">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6">
    <w:name w:val="四级条标题"/>
    <w:basedOn w:val="52"/>
    <w:next w:val="24"/>
    <w:qFormat/>
    <w:uiPriority w:val="0"/>
    <w:pPr>
      <w:numPr>
        <w:ilvl w:val="4"/>
      </w:numPr>
      <w:outlineLvl w:val="5"/>
    </w:pPr>
  </w:style>
  <w:style w:type="paragraph" w:customStyle="1" w:styleId="57">
    <w:name w:val="五级条标题"/>
    <w:basedOn w:val="56"/>
    <w:next w:val="24"/>
    <w:qFormat/>
    <w:uiPriority w:val="0"/>
    <w:pPr>
      <w:numPr>
        <w:ilvl w:val="5"/>
      </w:numPr>
      <w:outlineLvl w:val="6"/>
    </w:pPr>
  </w:style>
  <w:style w:type="paragraph" w:customStyle="1" w:styleId="58">
    <w:name w:val="注："/>
    <w:next w:val="24"/>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9">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1">
    <w:name w:val="列项◆（三级）"/>
    <w:basedOn w:val="1"/>
    <w:qFormat/>
    <w:uiPriority w:val="0"/>
    <w:pPr>
      <w:numPr>
        <w:ilvl w:val="2"/>
        <w:numId w:val="3"/>
      </w:numPr>
    </w:pPr>
    <w:rPr>
      <w:rFonts w:ascii="宋体"/>
      <w:szCs w:val="21"/>
    </w:rPr>
  </w:style>
  <w:style w:type="paragraph" w:customStyle="1" w:styleId="62">
    <w:name w:val="编号列项（三级）"/>
    <w:qFormat/>
    <w:uiPriority w:val="0"/>
    <w:rPr>
      <w:rFonts w:ascii="宋体" w:hAnsi="Times New Roman" w:eastAsia="宋体" w:cs="Times New Roman"/>
      <w:sz w:val="21"/>
      <w:lang w:val="en-US" w:eastAsia="zh-CN" w:bidi="ar-SA"/>
    </w:rPr>
  </w:style>
  <w:style w:type="paragraph" w:customStyle="1" w:styleId="63">
    <w:name w:val="示例×："/>
    <w:basedOn w:val="46"/>
    <w:qFormat/>
    <w:uiPriority w:val="0"/>
    <w:pPr>
      <w:numPr>
        <w:numId w:val="8"/>
      </w:numPr>
      <w:spacing w:beforeLines="0" w:afterLines="0"/>
      <w:outlineLvl w:val="9"/>
    </w:pPr>
    <w:rPr>
      <w:rFonts w:ascii="宋体" w:eastAsia="宋体"/>
      <w:sz w:val="18"/>
      <w:szCs w:val="18"/>
    </w:rPr>
  </w:style>
  <w:style w:type="paragraph" w:customStyle="1" w:styleId="64">
    <w:name w:val="二级无"/>
    <w:basedOn w:val="47"/>
    <w:qFormat/>
    <w:uiPriority w:val="0"/>
    <w:pPr>
      <w:spacing w:before="0" w:beforeLines="0" w:after="0" w:afterLines="0"/>
      <w:jc w:val="both"/>
    </w:pPr>
    <w:rPr>
      <w:rFonts w:ascii="宋体" w:eastAsia="宋体"/>
    </w:rPr>
  </w:style>
  <w:style w:type="paragraph" w:customStyle="1" w:styleId="65">
    <w:name w:val="注：（正文）"/>
    <w:basedOn w:val="58"/>
    <w:next w:val="24"/>
    <w:qFormat/>
    <w:uiPriority w:val="0"/>
    <w:pPr>
      <w:numPr>
        <w:ilvl w:val="0"/>
        <w:numId w:val="9"/>
      </w:numPr>
    </w:pPr>
  </w:style>
  <w:style w:type="paragraph" w:customStyle="1" w:styleId="66">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0">
    <w:name w:val="标准书眉_偶数页"/>
    <w:basedOn w:val="45"/>
    <w:next w:val="1"/>
    <w:qFormat/>
    <w:uiPriority w:val="0"/>
    <w:pPr>
      <w:jc w:val="left"/>
    </w:pPr>
  </w:style>
  <w:style w:type="paragraph" w:customStyle="1" w:styleId="71">
    <w:name w:val="标准书眉一"/>
    <w:qFormat/>
    <w:uiPriority w:val="0"/>
    <w:pPr>
      <w:jc w:val="both"/>
    </w:pPr>
    <w:rPr>
      <w:rFonts w:ascii="Times New Roman" w:hAnsi="Times New Roman" w:eastAsia="宋体" w:cs="Times New Roman"/>
      <w:lang w:val="en-US" w:eastAsia="zh-CN" w:bidi="ar-SA"/>
    </w:rPr>
  </w:style>
  <w:style w:type="paragraph" w:customStyle="1" w:styleId="72">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3">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4">
    <w:name w:val="发布"/>
    <w:qFormat/>
    <w:uiPriority w:val="0"/>
    <w:rPr>
      <w:rFonts w:ascii="黑体" w:eastAsia="黑体"/>
      <w:spacing w:val="85"/>
      <w:w w:val="100"/>
      <w:position w:val="3"/>
      <w:sz w:val="28"/>
      <w:szCs w:val="28"/>
    </w:rPr>
  </w:style>
  <w:style w:type="paragraph" w:customStyle="1" w:styleId="75">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7">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0">
    <w:name w:val="封面标准英文名称"/>
    <w:basedOn w:val="79"/>
    <w:qFormat/>
    <w:uiPriority w:val="0"/>
    <w:pPr>
      <w:framePr/>
      <w:spacing w:before="370" w:line="400" w:lineRule="exact"/>
    </w:pPr>
    <w:rPr>
      <w:rFonts w:ascii="Times New Roman"/>
      <w:sz w:val="28"/>
      <w:szCs w:val="28"/>
    </w:rPr>
  </w:style>
  <w:style w:type="paragraph" w:customStyle="1" w:styleId="81">
    <w:name w:val="封面一致性程度标识"/>
    <w:basedOn w:val="80"/>
    <w:qFormat/>
    <w:uiPriority w:val="0"/>
    <w:pPr>
      <w:framePr/>
      <w:spacing w:before="440"/>
    </w:pPr>
    <w:rPr>
      <w:rFonts w:ascii="宋体" w:eastAsia="宋体"/>
    </w:rPr>
  </w:style>
  <w:style w:type="paragraph" w:customStyle="1" w:styleId="82">
    <w:name w:val="封面标准文稿类别"/>
    <w:basedOn w:val="81"/>
    <w:qFormat/>
    <w:uiPriority w:val="0"/>
    <w:pPr>
      <w:framePr/>
      <w:spacing w:after="160" w:line="240" w:lineRule="auto"/>
    </w:pPr>
    <w:rPr>
      <w:sz w:val="24"/>
    </w:rPr>
  </w:style>
  <w:style w:type="paragraph" w:customStyle="1" w:styleId="83">
    <w:name w:val="封面标准文稿编辑信息"/>
    <w:basedOn w:val="82"/>
    <w:qFormat/>
    <w:uiPriority w:val="0"/>
    <w:pPr>
      <w:framePr/>
      <w:spacing w:before="180" w:line="180" w:lineRule="exact"/>
    </w:pPr>
    <w:rPr>
      <w:sz w:val="21"/>
    </w:rPr>
  </w:style>
  <w:style w:type="paragraph" w:customStyle="1" w:styleId="84">
    <w:name w:val="封面正文"/>
    <w:qFormat/>
    <w:uiPriority w:val="0"/>
    <w:pPr>
      <w:jc w:val="both"/>
    </w:pPr>
    <w:rPr>
      <w:rFonts w:ascii="Times New Roman" w:hAnsi="Times New Roman" w:eastAsia="宋体" w:cs="Times New Roman"/>
      <w:lang w:val="en-US" w:eastAsia="zh-CN" w:bidi="ar-SA"/>
    </w:rPr>
  </w:style>
  <w:style w:type="paragraph" w:customStyle="1" w:styleId="85">
    <w:name w:val="附录标识"/>
    <w:basedOn w:val="1"/>
    <w:next w:val="2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6">
    <w:name w:val="附录标题"/>
    <w:basedOn w:val="24"/>
    <w:next w:val="24"/>
    <w:qFormat/>
    <w:uiPriority w:val="0"/>
    <w:pPr>
      <w:ind w:firstLine="0" w:firstLineChars="0"/>
      <w:jc w:val="center"/>
    </w:pPr>
    <w:rPr>
      <w:rFonts w:ascii="黑体" w:eastAsia="黑体"/>
    </w:rPr>
  </w:style>
  <w:style w:type="paragraph" w:customStyle="1" w:styleId="87">
    <w:name w:val="附录表标号"/>
    <w:basedOn w:val="1"/>
    <w:next w:val="24"/>
    <w:qFormat/>
    <w:uiPriority w:val="0"/>
    <w:pPr>
      <w:numPr>
        <w:ilvl w:val="0"/>
        <w:numId w:val="12"/>
      </w:numPr>
      <w:spacing w:line="14" w:lineRule="exact"/>
      <w:ind w:left="811" w:hanging="448"/>
      <w:jc w:val="center"/>
      <w:outlineLvl w:val="0"/>
    </w:pPr>
    <w:rPr>
      <w:color w:val="FFFFFF"/>
    </w:rPr>
  </w:style>
  <w:style w:type="paragraph" w:customStyle="1" w:styleId="88">
    <w:name w:val="附录表标题"/>
    <w:basedOn w:val="1"/>
    <w:next w:val="2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89">
    <w:name w:val="附录二级条标题"/>
    <w:basedOn w:val="1"/>
    <w:next w:val="24"/>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0">
    <w:name w:val="附录二级无"/>
    <w:basedOn w:val="89"/>
    <w:qFormat/>
    <w:uiPriority w:val="0"/>
    <w:pPr>
      <w:tabs>
        <w:tab w:val="clear" w:pos="360"/>
      </w:tabs>
      <w:spacing w:beforeLines="0" w:afterLines="0"/>
    </w:pPr>
    <w:rPr>
      <w:rFonts w:ascii="宋体" w:eastAsia="宋体"/>
      <w:szCs w:val="21"/>
    </w:rPr>
  </w:style>
  <w:style w:type="paragraph" w:customStyle="1" w:styleId="91">
    <w:name w:val="附录公式"/>
    <w:basedOn w:val="24"/>
    <w:next w:val="24"/>
    <w:link w:val="92"/>
    <w:qFormat/>
    <w:uiPriority w:val="0"/>
  </w:style>
  <w:style w:type="character" w:customStyle="1" w:styleId="92">
    <w:name w:val="附录公式 Char"/>
    <w:basedOn w:val="42"/>
    <w:link w:val="91"/>
    <w:qFormat/>
    <w:uiPriority w:val="0"/>
    <w:rPr>
      <w:rFonts w:ascii="宋体"/>
      <w:sz w:val="21"/>
      <w:lang w:val="en-US" w:eastAsia="zh-CN" w:bidi="ar-SA"/>
    </w:rPr>
  </w:style>
  <w:style w:type="paragraph" w:customStyle="1" w:styleId="93">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4">
    <w:name w:val="附录三级条标题"/>
    <w:basedOn w:val="89"/>
    <w:next w:val="24"/>
    <w:qFormat/>
    <w:uiPriority w:val="0"/>
    <w:pPr>
      <w:numPr>
        <w:ilvl w:val="4"/>
      </w:numPr>
      <w:outlineLvl w:val="4"/>
    </w:pPr>
  </w:style>
  <w:style w:type="paragraph" w:customStyle="1" w:styleId="95">
    <w:name w:val="附录三级无"/>
    <w:basedOn w:val="94"/>
    <w:qFormat/>
    <w:uiPriority w:val="0"/>
    <w:pPr>
      <w:tabs>
        <w:tab w:val="clear" w:pos="360"/>
      </w:tabs>
      <w:spacing w:beforeLines="0" w:afterLines="0"/>
    </w:pPr>
    <w:rPr>
      <w:rFonts w:ascii="宋体" w:eastAsia="宋体"/>
      <w:szCs w:val="21"/>
    </w:rPr>
  </w:style>
  <w:style w:type="paragraph" w:customStyle="1" w:styleId="96">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7">
    <w:name w:val="附录四级条标题"/>
    <w:basedOn w:val="94"/>
    <w:next w:val="24"/>
    <w:qFormat/>
    <w:uiPriority w:val="0"/>
    <w:pPr>
      <w:numPr>
        <w:ilvl w:val="5"/>
      </w:numPr>
      <w:outlineLvl w:val="5"/>
    </w:pPr>
  </w:style>
  <w:style w:type="paragraph" w:customStyle="1" w:styleId="98">
    <w:name w:val="附录四级无"/>
    <w:basedOn w:val="97"/>
    <w:qFormat/>
    <w:uiPriority w:val="0"/>
    <w:pPr>
      <w:tabs>
        <w:tab w:val="clear" w:pos="360"/>
      </w:tabs>
      <w:spacing w:beforeLines="0" w:afterLines="0"/>
    </w:pPr>
    <w:rPr>
      <w:rFonts w:ascii="宋体" w:eastAsia="宋体"/>
      <w:szCs w:val="21"/>
    </w:rPr>
  </w:style>
  <w:style w:type="paragraph" w:customStyle="1" w:styleId="99">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0">
    <w:name w:val="附录图标题"/>
    <w:basedOn w:val="1"/>
    <w:next w:val="24"/>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1">
    <w:name w:val="附录五级条标题"/>
    <w:basedOn w:val="97"/>
    <w:next w:val="24"/>
    <w:qFormat/>
    <w:uiPriority w:val="0"/>
    <w:pPr>
      <w:numPr>
        <w:ilvl w:val="6"/>
      </w:numPr>
      <w:outlineLvl w:val="6"/>
    </w:pPr>
  </w:style>
  <w:style w:type="paragraph" w:customStyle="1" w:styleId="102">
    <w:name w:val="附录五级无"/>
    <w:basedOn w:val="101"/>
    <w:qFormat/>
    <w:uiPriority w:val="0"/>
    <w:pPr>
      <w:tabs>
        <w:tab w:val="clear" w:pos="360"/>
      </w:tabs>
      <w:spacing w:beforeLines="0" w:afterLines="0"/>
    </w:pPr>
    <w:rPr>
      <w:rFonts w:ascii="宋体" w:eastAsia="宋体"/>
      <w:szCs w:val="21"/>
    </w:rPr>
  </w:style>
  <w:style w:type="paragraph" w:customStyle="1" w:styleId="103">
    <w:name w:val="附录章标题"/>
    <w:next w:val="24"/>
    <w:qFormat/>
    <w:uiPriority w:val="0"/>
    <w:pPr>
      <w:numPr>
        <w:ilvl w:val="1"/>
        <w:numId w:val="11"/>
      </w:numPr>
      <w:tabs>
        <w:tab w:val="left" w:pos="360"/>
      </w:tabs>
      <w:wordWrap w:val="0"/>
      <w:overflowPunct w:val="0"/>
      <w:autoSpaceDE w:val="0"/>
      <w:spacing w:before="312" w:beforeLines="100" w:after="312" w:afterLines="100"/>
      <w:ind w:left="0"/>
      <w:jc w:val="both"/>
      <w:textAlignment w:val="baseline"/>
      <w:outlineLvl w:val="1"/>
    </w:pPr>
    <w:rPr>
      <w:rFonts w:eastAsia="黑体" w:cs="Times New Roman" w:asciiTheme="minorEastAsia" w:hAnsiTheme="minorEastAsia"/>
      <w:kern w:val="21"/>
      <w:sz w:val="21"/>
      <w:lang w:val="en-US" w:eastAsia="zh-CN" w:bidi="ar-SA"/>
    </w:rPr>
  </w:style>
  <w:style w:type="paragraph" w:customStyle="1" w:styleId="104">
    <w:name w:val="附录一级条标题"/>
    <w:basedOn w:val="103"/>
    <w:next w:val="24"/>
    <w:qFormat/>
    <w:uiPriority w:val="0"/>
    <w:pPr>
      <w:numPr>
        <w:ilvl w:val="2"/>
      </w:numPr>
      <w:autoSpaceDN w:val="0"/>
      <w:spacing w:before="50" w:beforeLines="50" w:after="50" w:afterLines="50"/>
      <w:ind w:left="0"/>
      <w:outlineLvl w:val="2"/>
    </w:pPr>
  </w:style>
  <w:style w:type="paragraph" w:customStyle="1" w:styleId="105">
    <w:name w:val="附录一级无"/>
    <w:basedOn w:val="104"/>
    <w:qFormat/>
    <w:uiPriority w:val="0"/>
    <w:pPr>
      <w:tabs>
        <w:tab w:val="clear" w:pos="360"/>
      </w:tabs>
      <w:spacing w:beforeLines="0" w:afterLines="0"/>
    </w:pPr>
    <w:rPr>
      <w:rFonts w:ascii="宋体" w:eastAsia="宋体"/>
      <w:szCs w:val="21"/>
    </w:rPr>
  </w:style>
  <w:style w:type="paragraph" w:customStyle="1" w:styleId="106">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0">
    <w:name w:val="其他标准标志"/>
    <w:basedOn w:val="67"/>
    <w:qFormat/>
    <w:uiPriority w:val="0"/>
    <w:pPr>
      <w:framePr w:w="6101" w:vAnchor="page" w:hAnchor="page" w:x="4673" w:y="942"/>
    </w:pPr>
    <w:rPr>
      <w:w w:val="130"/>
    </w:rPr>
  </w:style>
  <w:style w:type="paragraph" w:customStyle="1" w:styleId="11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2">
    <w:name w:val="其他发布部门"/>
    <w:basedOn w:val="75"/>
    <w:qFormat/>
    <w:uiPriority w:val="0"/>
    <w:pPr>
      <w:framePr w:y="15310"/>
      <w:spacing w:line="0" w:lineRule="atLeast"/>
    </w:pPr>
    <w:rPr>
      <w:rFonts w:ascii="黑体" w:eastAsia="黑体"/>
      <w:b w:val="0"/>
    </w:rPr>
  </w:style>
  <w:style w:type="paragraph" w:customStyle="1" w:styleId="113">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4">
    <w:name w:val="三级无"/>
    <w:basedOn w:val="52"/>
    <w:qFormat/>
    <w:uiPriority w:val="0"/>
    <w:pPr>
      <w:spacing w:before="0" w:beforeLines="0" w:after="0" w:afterLines="0"/>
    </w:pPr>
    <w:rPr>
      <w:rFonts w:asciiTheme="minorEastAsia" w:hAnsiTheme="minorEastAsia" w:eastAsiaTheme="minorEastAsia"/>
    </w:rPr>
  </w:style>
  <w:style w:type="paragraph" w:customStyle="1" w:styleId="115">
    <w:name w:val="实施日期"/>
    <w:basedOn w:val="76"/>
    <w:qFormat/>
    <w:uiPriority w:val="0"/>
    <w:pPr>
      <w:framePr w:vAnchor="page" w:hAnchor="text"/>
      <w:jc w:val="right"/>
    </w:pPr>
  </w:style>
  <w:style w:type="paragraph" w:customStyle="1" w:styleId="116">
    <w:name w:val="示例后文字"/>
    <w:basedOn w:val="24"/>
    <w:next w:val="24"/>
    <w:qFormat/>
    <w:uiPriority w:val="0"/>
    <w:pPr>
      <w:ind w:firstLine="360"/>
    </w:pPr>
    <w:rPr>
      <w:sz w:val="18"/>
    </w:rPr>
  </w:style>
  <w:style w:type="paragraph" w:customStyle="1" w:styleId="117">
    <w:name w:val="首示例"/>
    <w:next w:val="24"/>
    <w:link w:val="118"/>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18">
    <w:name w:val="首示例 Char"/>
    <w:link w:val="117"/>
    <w:qFormat/>
    <w:uiPriority w:val="0"/>
    <w:rPr>
      <w:rFonts w:ascii="宋体" w:hAnsi="宋体" w:eastAsia="宋体" w:cs="Times New Roman"/>
      <w:kern w:val="2"/>
      <w:sz w:val="18"/>
      <w:szCs w:val="18"/>
    </w:rPr>
  </w:style>
  <w:style w:type="paragraph" w:customStyle="1" w:styleId="119">
    <w:name w:val="四级无"/>
    <w:basedOn w:val="56"/>
    <w:qFormat/>
    <w:uiPriority w:val="0"/>
    <w:pPr>
      <w:spacing w:before="0" w:beforeLines="0" w:after="0" w:afterLines="0"/>
    </w:pPr>
    <w:rPr>
      <w:rFonts w:asciiTheme="minorEastAsia" w:hAnsiTheme="minorEastAsia" w:eastAsiaTheme="minorEastAsia"/>
    </w:rPr>
  </w:style>
  <w:style w:type="paragraph" w:customStyle="1" w:styleId="120">
    <w:name w:val="条文脚注"/>
    <w:basedOn w:val="25"/>
    <w:qFormat/>
    <w:uiPriority w:val="0"/>
    <w:pPr>
      <w:numPr>
        <w:numId w:val="0"/>
      </w:numPr>
      <w:jc w:val="both"/>
    </w:pPr>
  </w:style>
  <w:style w:type="paragraph" w:customStyle="1" w:styleId="121">
    <w:name w:val="图标脚注说明"/>
    <w:basedOn w:val="24"/>
    <w:qFormat/>
    <w:uiPriority w:val="0"/>
    <w:pPr>
      <w:ind w:left="840" w:hanging="420" w:firstLineChars="0"/>
    </w:pPr>
    <w:rPr>
      <w:sz w:val="18"/>
      <w:szCs w:val="18"/>
    </w:rPr>
  </w:style>
  <w:style w:type="paragraph" w:customStyle="1" w:styleId="122">
    <w:name w:val="图表脚注说明"/>
    <w:basedOn w:val="1"/>
    <w:qFormat/>
    <w:uiPriority w:val="0"/>
    <w:pPr>
      <w:numPr>
        <w:ilvl w:val="0"/>
        <w:numId w:val="16"/>
      </w:numPr>
    </w:pPr>
    <w:rPr>
      <w:rFonts w:ascii="宋体"/>
      <w:sz w:val="18"/>
      <w:szCs w:val="18"/>
    </w:rPr>
  </w:style>
  <w:style w:type="paragraph" w:customStyle="1" w:styleId="123">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5">
    <w:name w:val="五级无"/>
    <w:basedOn w:val="57"/>
    <w:qFormat/>
    <w:uiPriority w:val="0"/>
    <w:pPr>
      <w:spacing w:before="0" w:beforeLines="0" w:after="0" w:afterLines="0"/>
    </w:pPr>
    <w:rPr>
      <w:rFonts w:asciiTheme="minorEastAsia" w:hAnsiTheme="minorEastAsia" w:eastAsiaTheme="minorEastAsia"/>
    </w:rPr>
  </w:style>
  <w:style w:type="paragraph" w:customStyle="1" w:styleId="126">
    <w:name w:val="一级无"/>
    <w:basedOn w:val="43"/>
    <w:qFormat/>
    <w:uiPriority w:val="0"/>
    <w:pPr>
      <w:spacing w:before="0" w:beforeLines="0" w:after="0" w:afterLines="0"/>
    </w:pPr>
    <w:rPr>
      <w:rFonts w:ascii="宋体" w:eastAsia="宋体"/>
    </w:rPr>
  </w:style>
  <w:style w:type="character" w:customStyle="1" w:styleId="127">
    <w:name w:val="已访问的超链接1"/>
    <w:qFormat/>
    <w:uiPriority w:val="0"/>
    <w:rPr>
      <w:color w:val="800080"/>
      <w:u w:val="single"/>
    </w:rPr>
  </w:style>
  <w:style w:type="paragraph" w:customStyle="1" w:styleId="128">
    <w:name w:val="正文表标题"/>
    <w:next w:val="2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9">
    <w:name w:val="正文公式编号制表符"/>
    <w:basedOn w:val="24"/>
    <w:next w:val="24"/>
    <w:qFormat/>
    <w:uiPriority w:val="0"/>
    <w:pPr>
      <w:ind w:firstLine="0" w:firstLineChars="0"/>
    </w:pPr>
  </w:style>
  <w:style w:type="paragraph" w:customStyle="1" w:styleId="130">
    <w:name w:val="正文图标题"/>
    <w:next w:val="24"/>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1">
    <w:name w:val="终结线"/>
    <w:basedOn w:val="1"/>
    <w:qFormat/>
    <w:uiPriority w:val="0"/>
    <w:pPr>
      <w:framePr w:hSpace="181" w:vSpace="181" w:wrap="around" w:vAnchor="text" w:hAnchor="margin" w:xAlign="center" w:y="285"/>
    </w:pPr>
  </w:style>
  <w:style w:type="paragraph" w:customStyle="1" w:styleId="132">
    <w:name w:val="其他发布日期"/>
    <w:basedOn w:val="76"/>
    <w:qFormat/>
    <w:uiPriority w:val="0"/>
    <w:pPr>
      <w:framePr w:vAnchor="page" w:hAnchor="text" w:x="1419"/>
    </w:pPr>
  </w:style>
  <w:style w:type="paragraph" w:customStyle="1" w:styleId="133">
    <w:name w:val="其他实施日期"/>
    <w:basedOn w:val="115"/>
    <w:qFormat/>
    <w:uiPriority w:val="0"/>
    <w:pPr>
      <w:framePr/>
    </w:pPr>
  </w:style>
  <w:style w:type="paragraph" w:customStyle="1" w:styleId="134">
    <w:name w:val="封面标准名称2"/>
    <w:basedOn w:val="79"/>
    <w:qFormat/>
    <w:uiPriority w:val="0"/>
    <w:pPr>
      <w:framePr w:y="4469"/>
      <w:spacing w:beforeLines="630"/>
    </w:pPr>
  </w:style>
  <w:style w:type="paragraph" w:customStyle="1" w:styleId="135">
    <w:name w:val="封面标准英文名称2"/>
    <w:basedOn w:val="80"/>
    <w:qFormat/>
    <w:uiPriority w:val="0"/>
    <w:pPr>
      <w:framePr w:y="4469"/>
    </w:pPr>
  </w:style>
  <w:style w:type="paragraph" w:customStyle="1" w:styleId="136">
    <w:name w:val="封面一致性程度标识2"/>
    <w:basedOn w:val="81"/>
    <w:qFormat/>
    <w:uiPriority w:val="0"/>
    <w:pPr>
      <w:framePr w:y="4469"/>
    </w:pPr>
  </w:style>
  <w:style w:type="paragraph" w:customStyle="1" w:styleId="137">
    <w:name w:val="封面标准文稿类别2"/>
    <w:basedOn w:val="82"/>
    <w:qFormat/>
    <w:uiPriority w:val="0"/>
    <w:pPr>
      <w:framePr w:y="4469"/>
    </w:pPr>
  </w:style>
  <w:style w:type="paragraph" w:customStyle="1" w:styleId="138">
    <w:name w:val="封面标准文稿编辑信息2"/>
    <w:basedOn w:val="83"/>
    <w:qFormat/>
    <w:uiPriority w:val="0"/>
    <w:pPr>
      <w:framePr w:y="4469"/>
    </w:pPr>
  </w:style>
  <w:style w:type="paragraph" w:customStyle="1" w:styleId="139">
    <w:name w:val="列出段落1"/>
    <w:basedOn w:val="1"/>
    <w:qFormat/>
    <w:uiPriority w:val="34"/>
    <w:pPr>
      <w:ind w:firstLine="420" w:firstLineChars="200"/>
    </w:pPr>
    <w:rPr>
      <w:rFonts w:ascii="Calibri" w:hAnsi="Calibri"/>
      <w:sz w:val="28"/>
      <w:szCs w:val="22"/>
    </w:rPr>
  </w:style>
  <w:style w:type="character" w:customStyle="1" w:styleId="140">
    <w:name w:val="标题 2 字符"/>
    <w:link w:val="3"/>
    <w:qFormat/>
    <w:uiPriority w:val="9"/>
    <w:rPr>
      <w:rFonts w:ascii="Cambria" w:hAnsi="Cambria" w:eastAsia="宋体" w:cs="Times New Roman"/>
      <w:b/>
      <w:bCs/>
      <w:kern w:val="2"/>
      <w:sz w:val="32"/>
      <w:szCs w:val="32"/>
    </w:rPr>
  </w:style>
  <w:style w:type="character" w:customStyle="1" w:styleId="141">
    <w:name w:val="标题 3 字符"/>
    <w:link w:val="4"/>
    <w:qFormat/>
    <w:uiPriority w:val="9"/>
    <w:rPr>
      <w:rFonts w:ascii="Calibri" w:hAnsi="Calibri" w:eastAsia="宋体" w:cs="Times New Roman"/>
      <w:b/>
      <w:bCs/>
      <w:kern w:val="2"/>
      <w:sz w:val="32"/>
      <w:szCs w:val="32"/>
    </w:rPr>
  </w:style>
  <w:style w:type="character" w:customStyle="1" w:styleId="142">
    <w:name w:val="批注框文本 字符"/>
    <w:link w:val="17"/>
    <w:qFormat/>
    <w:uiPriority w:val="0"/>
    <w:rPr>
      <w:kern w:val="2"/>
      <w:sz w:val="18"/>
      <w:szCs w:val="18"/>
    </w:rPr>
  </w:style>
  <w:style w:type="character" w:customStyle="1" w:styleId="143">
    <w:name w:val="标题 1 字符"/>
    <w:link w:val="2"/>
    <w:qFormat/>
    <w:uiPriority w:val="0"/>
    <w:rPr>
      <w:b/>
      <w:bCs/>
      <w:kern w:val="44"/>
      <w:sz w:val="44"/>
      <w:szCs w:val="44"/>
    </w:rPr>
  </w:style>
  <w:style w:type="paragraph" w:customStyle="1" w:styleId="144">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46">
    <w:name w:val="标题 字符"/>
    <w:basedOn w:val="36"/>
    <w:link w:val="33"/>
    <w:qFormat/>
    <w:uiPriority w:val="0"/>
    <w:rPr>
      <w:rFonts w:asciiTheme="majorHAnsi" w:hAnsiTheme="majorHAnsi" w:eastAsiaTheme="majorEastAsia" w:cstheme="majorBidi"/>
      <w:b/>
      <w:bCs/>
      <w:kern w:val="2"/>
      <w:sz w:val="32"/>
      <w:szCs w:val="32"/>
    </w:rPr>
  </w:style>
  <w:style w:type="character" w:customStyle="1" w:styleId="147">
    <w:name w:val="页脚 字符"/>
    <w:basedOn w:val="36"/>
    <w:link w:val="18"/>
    <w:qFormat/>
    <w:uiPriority w:val="99"/>
    <w:rPr>
      <w:kern w:val="2"/>
      <w:sz w:val="18"/>
      <w:szCs w:val="18"/>
    </w:rPr>
  </w:style>
  <w:style w:type="paragraph" w:customStyle="1" w:styleId="148">
    <w:name w:val="Body text|2"/>
    <w:basedOn w:val="1"/>
    <w:qFormat/>
    <w:uiPriority w:val="0"/>
    <w:pPr>
      <w:spacing w:line="670" w:lineRule="exact"/>
      <w:ind w:firstLine="820"/>
      <w:jc w:val="left"/>
    </w:pPr>
    <w:rPr>
      <w:color w:val="000000"/>
      <w:kern w:val="0"/>
      <w:sz w:val="40"/>
      <w:szCs w:val="40"/>
    </w:rPr>
  </w:style>
  <w:style w:type="paragraph" w:customStyle="1" w:styleId="149">
    <w:name w:val="Body text|1"/>
    <w:basedOn w:val="1"/>
    <w:qFormat/>
    <w:uiPriority w:val="0"/>
    <w:pPr>
      <w:spacing w:line="352" w:lineRule="auto"/>
      <w:ind w:firstLine="400"/>
      <w:jc w:val="left"/>
    </w:pPr>
    <w:rPr>
      <w:rFonts w:ascii="宋体" w:hAnsi="宋体" w:cs="宋体"/>
      <w:color w:val="000000"/>
      <w:kern w:val="0"/>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Users\HP\Desktop\6%20&#23457;&#23450;&#20250;&#35758;\&#27827;&#21271;&#30465;&#22320;&#26041;&#26631;&#20934;&#65288;&#24066;&#22330;&#30417;&#31649;&#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河北省地方标准（市场监管局 2020版）.dotx</Template>
  <Company>zle</Company>
  <Pages>10</Pages>
  <Words>4055</Words>
  <Characters>4508</Characters>
  <Lines>40</Lines>
  <Paragraphs>11</Paragraphs>
  <TotalTime>12</TotalTime>
  <ScaleCrop>false</ScaleCrop>
  <LinksUpToDate>false</LinksUpToDate>
  <CharactersWithSpaces>4600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2020-11-24T10:47:00Z</dcterms:created>
  <dc:creator>HP</dc:creator>
  <cp:lastModifiedBy>uos</cp:lastModifiedBy>
  <cp:lastPrinted>2023-03-29T15:35:00Z</cp:lastPrinted>
  <dcterms:modified xsi:type="dcterms:W3CDTF">2025-05-08T09:44:04Z</dcterms:modified>
  <dc:title>标准名称</dc:title>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F731BCF28A834BF3A97541FB9BC4BDBE_13</vt:lpwstr>
  </property>
</Properties>
</file>