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01.120</w:t>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00</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6"/>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红色乡村建设指南</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eastAsia="黑体"/>
          <w:szCs w:val="28"/>
        </w:rPr>
        <w:t>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87860378"/>
      <w:bookmarkStart w:id="23" w:name="_Toc133182122"/>
      <w:bookmarkStart w:id="24" w:name="_Toc165407696"/>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"_Toc187865074" </w:instrText>
      </w:r>
      <w:r>
        <w:fldChar w:fldCharType="separate"/>
      </w:r>
      <w:r>
        <w:rPr>
          <w:rStyle w:val="32"/>
          <w:rFonts w:hint="eastAsia"/>
        </w:rPr>
        <w:t>前言</w:t>
      </w:r>
      <w:r>
        <w:tab/>
      </w:r>
      <w:r>
        <w:fldChar w:fldCharType="begin"/>
      </w:r>
      <w:r>
        <w:instrText xml:space="preserve"> PAGEREF _Toc187865074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"_Toc187865075" </w:instrText>
      </w:r>
      <w:r>
        <w:fldChar w:fldCharType="separate"/>
      </w:r>
      <w:r>
        <w:rPr>
          <w:rStyle w:val="32"/>
        </w:rPr>
        <w:t xml:space="preserve">1 </w:t>
      </w:r>
      <w:r>
        <w:rPr>
          <w:rStyle w:val="32"/>
          <w:rFonts w:hint="eastAsia"/>
        </w:rPr>
        <w:t xml:space="preserve"> 范围</w:t>
      </w:r>
      <w:r>
        <w:tab/>
      </w:r>
      <w:r>
        <w:fldChar w:fldCharType="begin"/>
      </w:r>
      <w:r>
        <w:instrText xml:space="preserve"> PAGEREF _Toc187865075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"_Toc187865076" </w:instrText>
      </w:r>
      <w:r>
        <w:fldChar w:fldCharType="separate"/>
      </w:r>
      <w:r>
        <w:rPr>
          <w:rStyle w:val="32"/>
        </w:rPr>
        <w:t xml:space="preserve">2 </w:t>
      </w:r>
      <w:r>
        <w:rPr>
          <w:rStyle w:val="32"/>
          <w:rFonts w:hint="eastAsia"/>
        </w:rPr>
        <w:t xml:space="preserve"> 规范性引用文件</w:t>
      </w:r>
      <w:r>
        <w:tab/>
      </w:r>
      <w:r>
        <w:fldChar w:fldCharType="begin"/>
      </w:r>
      <w:r>
        <w:instrText xml:space="preserve"> PAGEREF _Toc187865076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"_Toc187865077" </w:instrText>
      </w:r>
      <w:r>
        <w:fldChar w:fldCharType="separate"/>
      </w:r>
      <w:r>
        <w:rPr>
          <w:rStyle w:val="32"/>
        </w:rPr>
        <w:t xml:space="preserve">3 </w:t>
      </w:r>
      <w:r>
        <w:rPr>
          <w:rStyle w:val="32"/>
          <w:rFonts w:hint="eastAsia"/>
        </w:rPr>
        <w:t xml:space="preserve"> 术语和定义</w:t>
      </w:r>
      <w:r>
        <w:tab/>
      </w:r>
      <w:r>
        <w:fldChar w:fldCharType="begin"/>
      </w:r>
      <w:r>
        <w:instrText xml:space="preserve"> PAGEREF _Toc187865077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"_Toc187865078" </w:instrText>
      </w:r>
      <w:r>
        <w:fldChar w:fldCharType="separate"/>
      </w:r>
      <w:r>
        <w:rPr>
          <w:rStyle w:val="32"/>
        </w:rPr>
        <w:t xml:space="preserve">4 </w:t>
      </w:r>
      <w:r>
        <w:rPr>
          <w:rStyle w:val="32"/>
          <w:rFonts w:hint="eastAsia"/>
        </w:rPr>
        <w:t xml:space="preserve"> 总体原则</w:t>
      </w:r>
      <w:r>
        <w:tab/>
      </w:r>
      <w:r>
        <w:fldChar w:fldCharType="begin"/>
      </w:r>
      <w:r>
        <w:instrText xml:space="preserve"> PAGEREF _Toc187865078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"_Toc187865079" </w:instrText>
      </w:r>
      <w:r>
        <w:fldChar w:fldCharType="separate"/>
      </w:r>
      <w:r>
        <w:rPr>
          <w:rStyle w:val="32"/>
        </w:rPr>
        <w:t xml:space="preserve">5 </w:t>
      </w:r>
      <w:r>
        <w:rPr>
          <w:rStyle w:val="32"/>
          <w:rFonts w:hint="eastAsia"/>
        </w:rPr>
        <w:t xml:space="preserve"> 需考虑的因素</w:t>
      </w:r>
      <w:r>
        <w:tab/>
      </w:r>
      <w:r>
        <w:fldChar w:fldCharType="begin"/>
      </w:r>
      <w:r>
        <w:instrText xml:space="preserve"> PAGEREF _Toc187865079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"_Toc187865080" </w:instrText>
      </w:r>
      <w:r>
        <w:fldChar w:fldCharType="separate"/>
      </w:r>
      <w:r>
        <w:rPr>
          <w:rStyle w:val="32"/>
        </w:rPr>
        <w:t xml:space="preserve">6 </w:t>
      </w:r>
      <w:r>
        <w:rPr>
          <w:rStyle w:val="32"/>
          <w:rFonts w:hint="eastAsia"/>
        </w:rPr>
        <w:t xml:space="preserve"> 红色元素发掘</w:t>
      </w:r>
      <w:r>
        <w:tab/>
      </w:r>
      <w:r>
        <w:fldChar w:fldCharType="begin"/>
      </w:r>
      <w:r>
        <w:instrText xml:space="preserve"> PAGEREF _Toc187865080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"_Toc187865081" </w:instrText>
      </w:r>
      <w:r>
        <w:fldChar w:fldCharType="separate"/>
      </w:r>
      <w:r>
        <w:rPr>
          <w:rStyle w:val="32"/>
        </w:rPr>
        <w:t xml:space="preserve">7 </w:t>
      </w:r>
      <w:r>
        <w:rPr>
          <w:rStyle w:val="32"/>
          <w:rFonts w:hint="eastAsia"/>
        </w:rPr>
        <w:t xml:space="preserve"> 红色资源整理</w:t>
      </w:r>
      <w:r>
        <w:tab/>
      </w:r>
      <w:r>
        <w:fldChar w:fldCharType="begin"/>
      </w:r>
      <w:r>
        <w:instrText xml:space="preserve"> PAGEREF _Toc187865081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"_Toc187865082" </w:instrText>
      </w:r>
      <w:r>
        <w:fldChar w:fldCharType="separate"/>
      </w:r>
      <w:r>
        <w:rPr>
          <w:rStyle w:val="32"/>
        </w:rPr>
        <w:t xml:space="preserve">8 </w:t>
      </w:r>
      <w:r>
        <w:rPr>
          <w:rStyle w:val="32"/>
          <w:rFonts w:hint="eastAsia"/>
        </w:rPr>
        <w:t xml:space="preserve"> 红色文化保护</w:t>
      </w:r>
      <w:r>
        <w:tab/>
      </w:r>
      <w:r>
        <w:fldChar w:fldCharType="begin"/>
      </w:r>
      <w:r>
        <w:instrText xml:space="preserve"> PAGEREF _Toc187865082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"_Toc187865083" </w:instrText>
      </w:r>
      <w:r>
        <w:fldChar w:fldCharType="separate"/>
      </w:r>
      <w:r>
        <w:rPr>
          <w:rStyle w:val="32"/>
          <w14:scene3d w14:prst="orthographicFront">
            <w14:lightRig w14:rig="threePt" w14:dir="t">
              <w14:rot w14:lat="0" w14:lon="0" w14:rev="0"/>
            </w14:lightRig>
          </w14:scene3d>
        </w:rPr>
        <w:t xml:space="preserve">8.1 </w:t>
      </w:r>
      <w:r>
        <w:rPr>
          <w:rStyle w:val="32"/>
          <w:rFonts w:hint="eastAsia"/>
        </w:rPr>
        <w:t xml:space="preserve"> 红色文化研究</w:t>
      </w:r>
      <w:r>
        <w:tab/>
      </w:r>
      <w:r>
        <w:fldChar w:fldCharType="begin"/>
      </w:r>
      <w:r>
        <w:instrText xml:space="preserve"> PAGEREF _Toc187865083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"_Toc187865084" </w:instrText>
      </w:r>
      <w:r>
        <w:fldChar w:fldCharType="separate"/>
      </w:r>
      <w:r>
        <w:rPr>
          <w:rStyle w:val="32"/>
          <w14:scene3d w14:prst="orthographicFront">
            <w14:lightRig w14:rig="threePt" w14:dir="t">
              <w14:rot w14:lat="0" w14:lon="0" w14:rev="0"/>
            </w14:lightRig>
          </w14:scene3d>
        </w:rPr>
        <w:t xml:space="preserve">8.2 </w:t>
      </w:r>
      <w:r>
        <w:rPr>
          <w:rStyle w:val="32"/>
          <w:rFonts w:hint="eastAsia"/>
        </w:rPr>
        <w:t xml:space="preserve"> 红色文化宣传</w:t>
      </w:r>
      <w:r>
        <w:tab/>
      </w:r>
      <w:r>
        <w:fldChar w:fldCharType="begin"/>
      </w:r>
      <w:r>
        <w:instrText xml:space="preserve"> PAGEREF _Toc187865084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"_Toc187865085" </w:instrText>
      </w:r>
      <w:r>
        <w:fldChar w:fldCharType="separate"/>
      </w:r>
      <w:r>
        <w:rPr>
          <w:rStyle w:val="32"/>
          <w14:scene3d w14:prst="orthographicFront">
            <w14:lightRig w14:rig="threePt" w14:dir="t">
              <w14:rot w14:lat="0" w14:lon="0" w14:rev="0"/>
            </w14:lightRig>
          </w14:scene3d>
        </w:rPr>
        <w:t xml:space="preserve">8.3 </w:t>
      </w:r>
      <w:r>
        <w:rPr>
          <w:rStyle w:val="32"/>
          <w:rFonts w:hint="eastAsia"/>
        </w:rPr>
        <w:t xml:space="preserve"> 红色文化保护</w:t>
      </w:r>
      <w:r>
        <w:tab/>
      </w:r>
      <w:r>
        <w:fldChar w:fldCharType="begin"/>
      </w:r>
      <w:r>
        <w:instrText xml:space="preserve"> PAGEREF _Toc187865085 \h </w:instrText>
      </w:r>
      <w:r>
        <w:fldChar w:fldCharType="separate"/>
      </w:r>
      <w:r>
        <w:t>2</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"_Toc187865086" </w:instrText>
      </w:r>
      <w:r>
        <w:fldChar w:fldCharType="separate"/>
      </w:r>
      <w:r>
        <w:rPr>
          <w:rStyle w:val="32"/>
          <w14:scene3d w14:prst="orthographicFront">
            <w14:lightRig w14:rig="threePt" w14:dir="t">
              <w14:rot w14:lat="0" w14:lon="0" w14:rev="0"/>
            </w14:lightRig>
          </w14:scene3d>
        </w:rPr>
        <w:t xml:space="preserve">8.4 </w:t>
      </w:r>
      <w:r>
        <w:rPr>
          <w:rStyle w:val="32"/>
          <w:rFonts w:hint="eastAsia"/>
        </w:rPr>
        <w:t xml:space="preserve"> 红色乡村建设</w:t>
      </w:r>
      <w:r>
        <w:tab/>
      </w:r>
      <w:r>
        <w:fldChar w:fldCharType="begin"/>
      </w:r>
      <w:r>
        <w:instrText xml:space="preserve"> PAGEREF _Toc187865086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"_Toc187865087" </w:instrText>
      </w:r>
      <w:r>
        <w:fldChar w:fldCharType="separate"/>
      </w:r>
      <w:r>
        <w:rPr>
          <w:rStyle w:val="32"/>
        </w:rPr>
        <w:t xml:space="preserve">9 </w:t>
      </w:r>
      <w:r>
        <w:rPr>
          <w:rStyle w:val="32"/>
          <w:rFonts w:hint="eastAsia"/>
        </w:rPr>
        <w:t xml:space="preserve"> 红色价值转换</w:t>
      </w:r>
      <w:r>
        <w:tab/>
      </w:r>
      <w:r>
        <w:fldChar w:fldCharType="begin"/>
      </w:r>
      <w:r>
        <w:instrText xml:space="preserve"> PAGEREF _Toc187865087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"_Toc187865088" </w:instrText>
      </w:r>
      <w:r>
        <w:fldChar w:fldCharType="separate"/>
      </w:r>
      <w:r>
        <w:rPr>
          <w:rStyle w:val="32"/>
          <w14:scene3d w14:prst="orthographicFront">
            <w14:lightRig w14:rig="threePt" w14:dir="t">
              <w14:rot w14:lat="0" w14:lon="0" w14:rev="0"/>
            </w14:lightRig>
          </w14:scene3d>
        </w:rPr>
        <w:t xml:space="preserve">9.1 </w:t>
      </w:r>
      <w:r>
        <w:rPr>
          <w:rStyle w:val="32"/>
          <w:rFonts w:hint="eastAsia"/>
        </w:rPr>
        <w:t xml:space="preserve"> 红色价值内涵</w:t>
      </w:r>
      <w:r>
        <w:tab/>
      </w:r>
      <w:r>
        <w:fldChar w:fldCharType="begin"/>
      </w:r>
      <w:r>
        <w:instrText xml:space="preserve"> PAGEREF _Toc187865088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"_Toc187865089" </w:instrText>
      </w:r>
      <w:r>
        <w:fldChar w:fldCharType="separate"/>
      </w:r>
      <w:r>
        <w:rPr>
          <w:rStyle w:val="32"/>
          <w14:scene3d w14:prst="orthographicFront">
            <w14:lightRig w14:rig="threePt" w14:dir="t">
              <w14:rot w14:lat="0" w14:lon="0" w14:rev="0"/>
            </w14:lightRig>
          </w14:scene3d>
        </w:rPr>
        <w:t xml:space="preserve">9.2 </w:t>
      </w:r>
      <w:r>
        <w:rPr>
          <w:rStyle w:val="32"/>
          <w:rFonts w:hint="eastAsia"/>
        </w:rPr>
        <w:t xml:space="preserve"> 政治价值转换</w:t>
      </w:r>
      <w:r>
        <w:tab/>
      </w:r>
      <w:r>
        <w:fldChar w:fldCharType="begin"/>
      </w:r>
      <w:r>
        <w:instrText xml:space="preserve"> PAGEREF _Toc187865089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"_Toc187865090" </w:instrText>
      </w:r>
      <w:r>
        <w:fldChar w:fldCharType="separate"/>
      </w:r>
      <w:r>
        <w:rPr>
          <w:rStyle w:val="32"/>
          <w14:scene3d w14:prst="orthographicFront">
            <w14:lightRig w14:rig="threePt" w14:dir="t">
              <w14:rot w14:lat="0" w14:lon="0" w14:rev="0"/>
            </w14:lightRig>
          </w14:scene3d>
        </w:rPr>
        <w:t xml:space="preserve">9.3 </w:t>
      </w:r>
      <w:r>
        <w:rPr>
          <w:rStyle w:val="32"/>
          <w:rFonts w:hint="eastAsia"/>
        </w:rPr>
        <w:t xml:space="preserve"> 社会价值转换</w:t>
      </w:r>
      <w:r>
        <w:tab/>
      </w:r>
      <w:r>
        <w:fldChar w:fldCharType="begin"/>
      </w:r>
      <w:r>
        <w:instrText xml:space="preserve"> PAGEREF _Toc187865090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"_Toc187865091" </w:instrText>
      </w:r>
      <w:r>
        <w:fldChar w:fldCharType="separate"/>
      </w:r>
      <w:r>
        <w:rPr>
          <w:rStyle w:val="32"/>
          <w14:scene3d w14:prst="orthographicFront">
            <w14:lightRig w14:rig="threePt" w14:dir="t">
              <w14:rot w14:lat="0" w14:lon="0" w14:rev="0"/>
            </w14:lightRig>
          </w14:scene3d>
        </w:rPr>
        <w:t xml:space="preserve">9.4 </w:t>
      </w:r>
      <w:r>
        <w:rPr>
          <w:rStyle w:val="32"/>
          <w:rFonts w:hint="eastAsia"/>
        </w:rPr>
        <w:t xml:space="preserve"> 经济价值转换</w:t>
      </w:r>
      <w:r>
        <w:tab/>
      </w:r>
      <w:r>
        <w:fldChar w:fldCharType="begin"/>
      </w:r>
      <w:r>
        <w:instrText xml:space="preserve"> PAGEREF _Toc187865091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"_Toc187865092" </w:instrText>
      </w:r>
      <w:r>
        <w:fldChar w:fldCharType="separate"/>
      </w:r>
      <w:r>
        <w:rPr>
          <w:rStyle w:val="32"/>
          <w14:scene3d w14:prst="orthographicFront">
            <w14:lightRig w14:rig="threePt" w14:dir="t">
              <w14:rot w14:lat="0" w14:lon="0" w14:rev="0"/>
            </w14:lightRig>
          </w14:scene3d>
        </w:rPr>
        <w:t xml:space="preserve">9.5 </w:t>
      </w:r>
      <w:r>
        <w:rPr>
          <w:rStyle w:val="32"/>
          <w:rFonts w:hint="eastAsia"/>
        </w:rPr>
        <w:t xml:space="preserve"> 文化价值转换</w:t>
      </w:r>
      <w:r>
        <w:tab/>
      </w:r>
      <w:r>
        <w:fldChar w:fldCharType="begin"/>
      </w:r>
      <w:r>
        <w:instrText xml:space="preserve"> PAGEREF _Toc187865092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"_Toc187865093" </w:instrText>
      </w:r>
      <w:r>
        <w:fldChar w:fldCharType="separate"/>
      </w:r>
      <w:r>
        <w:rPr>
          <w:rStyle w:val="32"/>
          <w14:scene3d w14:prst="orthographicFront">
            <w14:lightRig w14:rig="threePt" w14:dir="t">
              <w14:rot w14:lat="0" w14:lon="0" w14:rev="0"/>
            </w14:lightRig>
          </w14:scene3d>
        </w:rPr>
        <w:t xml:space="preserve">9.6 </w:t>
      </w:r>
      <w:r>
        <w:rPr>
          <w:rStyle w:val="32"/>
          <w:rFonts w:hint="eastAsia"/>
        </w:rPr>
        <w:t xml:space="preserve"> 生态价值转换</w:t>
      </w:r>
      <w:r>
        <w:tab/>
      </w:r>
      <w:r>
        <w:fldChar w:fldCharType="begin"/>
      </w:r>
      <w:r>
        <w:instrText xml:space="preserve"> PAGEREF _Toc187865093 \h </w:instrText>
      </w:r>
      <w:r>
        <w:fldChar w:fldCharType="separate"/>
      </w:r>
      <w:r>
        <w:t>3</w:t>
      </w:r>
      <w:r>
        <w:fldChar w:fldCharType="end"/>
      </w:r>
      <w:r>
        <w:fldChar w:fldCharType="end"/>
      </w:r>
    </w:p>
    <w:p>
      <w:pPr>
        <w:pStyle w:val="24"/>
        <w:rPr>
          <w:rFonts w:asciiTheme="minorHAnsi" w:hAnsiTheme="minorHAnsi" w:eastAsiaTheme="minorEastAsia" w:cstheme="minorBidi"/>
          <w:szCs w:val="22"/>
        </w:rPr>
      </w:pPr>
      <w:r>
        <w:fldChar w:fldCharType="begin"/>
      </w:r>
      <w:r>
        <w:instrText xml:space="preserve"> HYPERLINK \l "_Toc187865094" </w:instrText>
      </w:r>
      <w:r>
        <w:fldChar w:fldCharType="separate"/>
      </w:r>
      <w:r>
        <w:rPr>
          <w:rStyle w:val="32"/>
          <w14:scene3d w14:prst="orthographicFront">
            <w14:lightRig w14:rig="threePt" w14:dir="t">
              <w14:rot w14:lat="0" w14:lon="0" w14:rev="0"/>
            </w14:lightRig>
          </w14:scene3d>
        </w:rPr>
        <w:t xml:space="preserve">9.7 </w:t>
      </w:r>
      <w:r>
        <w:rPr>
          <w:rStyle w:val="32"/>
          <w:rFonts w:hint="eastAsia"/>
        </w:rPr>
        <w:t xml:space="preserve"> 红色业态形成</w:t>
      </w:r>
      <w:r>
        <w:tab/>
      </w:r>
      <w:r>
        <w:fldChar w:fldCharType="begin"/>
      </w:r>
      <w:r>
        <w:instrText xml:space="preserve"> PAGEREF _Toc187865094 \h </w:instrText>
      </w:r>
      <w:r>
        <w:fldChar w:fldCharType="separate"/>
      </w:r>
      <w:r>
        <w:t>3</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"_Toc187865095" </w:instrText>
      </w:r>
      <w:r>
        <w:fldChar w:fldCharType="separate"/>
      </w:r>
      <w:r>
        <w:rPr>
          <w:rStyle w:val="32"/>
        </w:rPr>
        <w:t xml:space="preserve">10 </w:t>
      </w:r>
      <w:r>
        <w:rPr>
          <w:rStyle w:val="32"/>
          <w:rFonts w:hint="eastAsia"/>
        </w:rPr>
        <w:t xml:space="preserve"> 红色精神传承</w:t>
      </w:r>
      <w:r>
        <w:tab/>
      </w:r>
      <w:r>
        <w:fldChar w:fldCharType="begin"/>
      </w:r>
      <w:r>
        <w:instrText xml:space="preserve"> PAGEREF _Toc187865095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"_Toc187865096" </w:instrText>
      </w:r>
      <w:r>
        <w:fldChar w:fldCharType="separate"/>
      </w:r>
      <w:r>
        <w:rPr>
          <w:rStyle w:val="32"/>
        </w:rPr>
        <w:t xml:space="preserve">11 </w:t>
      </w:r>
      <w:r>
        <w:rPr>
          <w:rStyle w:val="32"/>
          <w:rFonts w:hint="eastAsia"/>
        </w:rPr>
        <w:t xml:space="preserve"> 红色乡村经营</w:t>
      </w:r>
      <w:r>
        <w:tab/>
      </w:r>
      <w:r>
        <w:fldChar w:fldCharType="begin"/>
      </w:r>
      <w:r>
        <w:instrText xml:space="preserve"> PAGEREF _Toc187865096 \h </w:instrText>
      </w:r>
      <w:r>
        <w:fldChar w:fldCharType="separate"/>
      </w:r>
      <w:r>
        <w:t>4</w:t>
      </w:r>
      <w:r>
        <w:fldChar w:fldCharType="end"/>
      </w:r>
      <w:r>
        <w:fldChar w:fldCharType="end"/>
      </w:r>
    </w:p>
    <w:p>
      <w:pPr>
        <w:pStyle w:val="19"/>
        <w:tabs>
          <w:tab w:val="right" w:leader="dot" w:pos="9344"/>
        </w:tabs>
        <w:rPr>
          <w:rFonts w:asciiTheme="minorHAnsi" w:hAnsiTheme="minorHAnsi" w:eastAsiaTheme="minorEastAsia" w:cstheme="minorBidi"/>
          <w:szCs w:val="22"/>
        </w:rPr>
      </w:pPr>
      <w:r>
        <w:fldChar w:fldCharType="begin"/>
      </w:r>
      <w:r>
        <w:instrText xml:space="preserve"> HYPERLINK \l "_Toc187865097" </w:instrText>
      </w:r>
      <w:r>
        <w:fldChar w:fldCharType="separate"/>
      </w:r>
      <w:r>
        <w:rPr>
          <w:rStyle w:val="32"/>
          <w:rFonts w:hint="eastAsia"/>
        </w:rPr>
        <w:t>参考文献</w:t>
      </w:r>
      <w:r>
        <w:tab/>
      </w:r>
      <w:r>
        <w:fldChar w:fldCharType="begin"/>
      </w:r>
      <w:r>
        <w:instrText xml:space="preserve"> PAGEREF _Toc187865097 \h </w:instrText>
      </w:r>
      <w:r>
        <w:fldChar w:fldCharType="separate"/>
      </w:r>
      <w:r>
        <w:t>5</w:t>
      </w:r>
      <w:r>
        <w:fldChar w:fldCharType="end"/>
      </w:r>
      <w:r>
        <w:fldChar w:fldCharType="end"/>
      </w:r>
    </w:p>
    <w:p>
      <w:pPr>
        <w:pStyle w:val="91"/>
        <w:spacing w:after="468"/>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5" w:name="_Toc187865074"/>
      <w:bookmarkStart w:id="26" w:name="BookMark2"/>
      <w:r>
        <w:rPr>
          <w:spacing w:val="320"/>
        </w:rPr>
        <w:t>前</w:t>
      </w:r>
      <w:r>
        <w:t>言</w:t>
      </w:r>
      <w:bookmarkEnd w:id="22"/>
      <w:bookmarkEnd w:id="23"/>
      <w:bookmarkEnd w:id="24"/>
      <w:bookmarkEnd w:id="25"/>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本文件由河北省文化和旅游厅提出并归口。</w:t>
      </w:r>
    </w:p>
    <w:p>
      <w:pPr>
        <w:pStyle w:val="56"/>
        <w:ind w:firstLine="420"/>
      </w:pPr>
      <w:r>
        <w:rPr>
          <w:rFonts w:hint="eastAsia"/>
        </w:rPr>
        <w:t>本文件起草单位：</w:t>
      </w:r>
      <w:r>
        <w:t xml:space="preserve"> </w:t>
      </w:r>
    </w:p>
    <w:p>
      <w:pPr>
        <w:pStyle w:val="56"/>
        <w:ind w:firstLine="420"/>
      </w:pPr>
      <w:r>
        <w:rPr>
          <w:rFonts w:hint="eastAsia"/>
        </w:rPr>
        <w:t>本文件主要起草人：</w:t>
      </w:r>
      <w:r>
        <w:t xml:space="preserve"> </w:t>
      </w:r>
    </w:p>
    <w:p>
      <w:pPr>
        <w:pStyle w:val="56"/>
        <w:ind w:firstLine="420"/>
        <w:sectPr>
          <w:pgSz w:w="11906" w:h="16838"/>
          <w:pgMar w:top="1928" w:right="1134" w:bottom="1134" w:left="1134" w:header="1418" w:footer="1134" w:gutter="284"/>
          <w:pgNumType w:fmt="upperRoman"/>
          <w:cols w:space="425" w:num="1"/>
          <w:formProt w:val="0"/>
          <w:docGrid w:type="lines" w:linePitch="312" w:charSpace="0"/>
        </w:sectPr>
      </w:pPr>
    </w:p>
    <w:bookmarkEnd w:id="26"/>
    <w:p>
      <w:pPr>
        <w:spacing w:line="20" w:lineRule="exact"/>
        <w:jc w:val="center"/>
        <w:rPr>
          <w:rFonts w:ascii="黑体" w:hAnsi="黑体" w:eastAsia="黑体"/>
          <w:sz w:val="32"/>
          <w:szCs w:val="32"/>
        </w:rPr>
      </w:pPr>
      <w:bookmarkStart w:id="27" w:name="BookMark4"/>
    </w:p>
    <w:p>
      <w:pPr>
        <w:spacing w:line="20" w:lineRule="exact"/>
        <w:jc w:val="center"/>
        <w:rPr>
          <w:rFonts w:ascii="黑体" w:hAnsi="黑体" w:eastAsia="黑体"/>
          <w:sz w:val="32"/>
          <w:szCs w:val="32"/>
        </w:rPr>
      </w:pPr>
    </w:p>
    <w:sdt>
      <w:sdtPr>
        <w:tag w:val="NEW_STAND_NAME"/>
        <w:id w:val="595910757"/>
        <w:lock w:val="sdtLocked"/>
        <w:placeholder>
          <w:docPart w:val="7675BE10F6D443EC96635881288AF3FE"/>
        </w:placeholder>
      </w:sdtPr>
      <w:sdtContent>
        <w:p>
          <w:pPr>
            <w:pStyle w:val="177"/>
            <w:spacing w:before="3" w:beforeLines="1" w:after="686" w:afterLines="220"/>
          </w:pPr>
          <w:bookmarkStart w:id="28" w:name="NEW_STAND_NAME"/>
          <w:r>
            <w:rPr>
              <w:rFonts w:hint="eastAsia"/>
            </w:rPr>
            <w:t>红色乡村建设指南</w:t>
          </w:r>
        </w:p>
      </w:sdtContent>
    </w:sdt>
    <w:bookmarkEnd w:id="28"/>
    <w:p>
      <w:pPr>
        <w:pStyle w:val="104"/>
        <w:spacing w:before="312" w:after="312"/>
      </w:pPr>
      <w:bookmarkStart w:id="29" w:name="_Toc26648465"/>
      <w:bookmarkStart w:id="30" w:name="_Toc24884218"/>
      <w:bookmarkStart w:id="31" w:name="_Toc17233333"/>
      <w:bookmarkStart w:id="32" w:name="_Toc97191423"/>
      <w:bookmarkStart w:id="33" w:name="_Toc26986771"/>
      <w:bookmarkStart w:id="34" w:name="_Toc26718930"/>
      <w:bookmarkStart w:id="35" w:name="_Toc17233325"/>
      <w:bookmarkStart w:id="36" w:name="_Toc165407697"/>
      <w:bookmarkStart w:id="37" w:name="_Toc187865075"/>
      <w:bookmarkStart w:id="38" w:name="_Toc24884211"/>
      <w:bookmarkStart w:id="39" w:name="_Toc187860379"/>
      <w:bookmarkStart w:id="40" w:name="_Toc133182123"/>
      <w:bookmarkStart w:id="41" w:name="_Toc26986530"/>
      <w:r>
        <w:rPr>
          <w:rFonts w:hint="eastAsia"/>
        </w:rPr>
        <w:t>范围</w:t>
      </w:r>
      <w:bookmarkEnd w:id="29"/>
      <w:bookmarkEnd w:id="30"/>
      <w:bookmarkEnd w:id="31"/>
      <w:bookmarkEnd w:id="32"/>
      <w:bookmarkEnd w:id="33"/>
      <w:bookmarkEnd w:id="34"/>
      <w:bookmarkEnd w:id="35"/>
      <w:bookmarkEnd w:id="36"/>
      <w:bookmarkEnd w:id="37"/>
      <w:bookmarkEnd w:id="38"/>
      <w:bookmarkEnd w:id="39"/>
      <w:bookmarkEnd w:id="40"/>
      <w:bookmarkEnd w:id="41"/>
    </w:p>
    <w:p>
      <w:pPr>
        <w:pStyle w:val="56"/>
        <w:ind w:firstLine="420"/>
      </w:pPr>
      <w:bookmarkStart w:id="42" w:name="_Toc17233334"/>
      <w:bookmarkStart w:id="43" w:name="_Toc17233326"/>
      <w:bookmarkStart w:id="44" w:name="_Toc24884219"/>
      <w:bookmarkStart w:id="45" w:name="_Toc26648466"/>
      <w:bookmarkStart w:id="46" w:name="_Toc24884212"/>
      <w:r>
        <w:rPr>
          <w:rFonts w:hint="eastAsia"/>
        </w:rPr>
        <w:t>本文件给出了红色乡村建设的总体原则、需考虑的因素，并从红色元素发掘、红色资源整理、红色文化保护、红色价值转换、红色精神传承、红色乡村经营方面提出了建议。</w:t>
      </w:r>
    </w:p>
    <w:p>
      <w:pPr>
        <w:pStyle w:val="56"/>
        <w:ind w:firstLine="420"/>
      </w:pPr>
      <w:r>
        <w:rPr>
          <w:rFonts w:hint="eastAsia"/>
        </w:rPr>
        <w:t>本文件适用于指导河北省红色乡村建设。</w:t>
      </w:r>
    </w:p>
    <w:p>
      <w:pPr>
        <w:pStyle w:val="104"/>
        <w:spacing w:before="312" w:after="312"/>
      </w:pPr>
      <w:bookmarkStart w:id="47" w:name="_Toc26986531"/>
      <w:bookmarkStart w:id="48" w:name="_Toc133182124"/>
      <w:bookmarkStart w:id="49" w:name="_Toc187860380"/>
      <w:bookmarkStart w:id="50" w:name="_Toc97191424"/>
      <w:bookmarkStart w:id="51" w:name="_Toc187865076"/>
      <w:bookmarkStart w:id="52" w:name="_Toc26986772"/>
      <w:bookmarkStart w:id="53" w:name="_Toc165407698"/>
      <w:bookmarkStart w:id="54" w:name="_Toc26718931"/>
      <w:r>
        <w:rPr>
          <w:rFonts w:hint="eastAsia"/>
        </w:rPr>
        <w:t>规范性引用文件</w:t>
      </w:r>
      <w:bookmarkEnd w:id="42"/>
      <w:bookmarkEnd w:id="43"/>
      <w:bookmarkEnd w:id="44"/>
      <w:bookmarkEnd w:id="45"/>
      <w:bookmarkEnd w:id="46"/>
      <w:bookmarkEnd w:id="47"/>
      <w:bookmarkEnd w:id="48"/>
      <w:bookmarkEnd w:id="49"/>
      <w:bookmarkEnd w:id="50"/>
      <w:bookmarkEnd w:id="51"/>
      <w:bookmarkEnd w:id="52"/>
      <w:bookmarkEnd w:id="53"/>
      <w:bookmarkEnd w:id="54"/>
    </w:p>
    <w:sdt>
      <w:sdtPr>
        <w:rPr>
          <w:rFonts w:hint="eastAsia"/>
        </w:rPr>
        <w:id w:val="715848253"/>
        <w:placeholder>
          <w:docPart w:val="85DF6168373047FBB93551652798518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6"/>
            <w:ind w:firstLine="420"/>
          </w:pPr>
          <w:r>
            <w:rPr>
              <w:rFonts w:hint="eastAsia"/>
            </w:rPr>
            <w:t>本文件没有规范性引用文件。</w:t>
          </w:r>
        </w:p>
      </w:sdtContent>
    </w:sdt>
    <w:p>
      <w:pPr>
        <w:pStyle w:val="104"/>
        <w:spacing w:before="312" w:after="312"/>
      </w:pPr>
      <w:bookmarkStart w:id="55" w:name="_Toc187865077"/>
      <w:bookmarkStart w:id="56" w:name="_Toc187860381"/>
      <w:bookmarkStart w:id="57" w:name="_Toc97191425"/>
      <w:bookmarkStart w:id="58" w:name="_Toc133182125"/>
      <w:bookmarkStart w:id="59" w:name="_Toc165407699"/>
      <w:r>
        <w:rPr>
          <w:rFonts w:hint="eastAsia"/>
          <w:szCs w:val="21"/>
        </w:rPr>
        <w:t>术语和定义</w:t>
      </w:r>
      <w:bookmarkEnd w:id="55"/>
      <w:bookmarkEnd w:id="56"/>
      <w:bookmarkEnd w:id="57"/>
      <w:bookmarkEnd w:id="58"/>
      <w:bookmarkEnd w:id="59"/>
    </w:p>
    <w:sdt>
      <w:sdtPr>
        <w:id w:val="-1909835108"/>
        <w:placeholder>
          <w:docPart w:val="24047B7908D64610902AA83274B3734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56"/>
            <w:ind w:firstLine="420"/>
          </w:pPr>
          <w:bookmarkStart w:id="60" w:name="_Toc26986532"/>
          <w:bookmarkEnd w:id="60"/>
          <w:r>
            <w:t>下列术语和定义适用于本文件。</w:t>
          </w:r>
        </w:p>
      </w:sdtContent>
    </w:sdt>
    <w:p>
      <w:pPr>
        <w:pStyle w:val="223"/>
        <w:ind w:left="420" w:hanging="420" w:hangingChars="200"/>
        <w:rPr>
          <w:rFonts w:ascii="黑体" w:hAnsi="黑体" w:eastAsia="黑体"/>
        </w:rPr>
      </w:pPr>
      <w:r>
        <w:rPr>
          <w:rFonts w:ascii="黑体" w:hAnsi="黑体" w:eastAsia="黑体"/>
        </w:rPr>
        <w:br w:type="textWrapping"/>
      </w:r>
      <w:r>
        <w:rPr>
          <w:rFonts w:hint="eastAsia" w:ascii="黑体" w:hAnsi="黑体" w:eastAsia="黑体"/>
        </w:rPr>
        <w:t xml:space="preserve">红色乡村 </w:t>
      </w:r>
      <w:r>
        <w:rPr>
          <w:rFonts w:ascii="Times New Roman" w:eastAsia="黑体"/>
        </w:rPr>
        <w:t>red countryside</w:t>
      </w:r>
    </w:p>
    <w:p>
      <w:pPr>
        <w:pStyle w:val="56"/>
        <w:ind w:firstLine="420"/>
      </w:pPr>
      <w:r>
        <w:rPr>
          <w:rFonts w:hint="eastAsia"/>
        </w:rPr>
        <w:t>新民主主义革命以来，中国共产党带领全省各族人民进行革命、建设、改革活动所形成的，具有历史意义、纪念意义、教育意义的旧址、遗址、遗迹、实物和纪念设施所在地的乡村。</w:t>
      </w:r>
    </w:p>
    <w:p>
      <w:pPr>
        <w:pStyle w:val="104"/>
        <w:spacing w:before="312" w:after="312"/>
      </w:pPr>
      <w:bookmarkStart w:id="61" w:name="_Toc133182126"/>
      <w:bookmarkStart w:id="62" w:name="_Toc187860382"/>
      <w:bookmarkStart w:id="63" w:name="_Toc165407700"/>
      <w:bookmarkStart w:id="64" w:name="_Toc187865078"/>
      <w:r>
        <w:rPr>
          <w:rFonts w:hint="eastAsia"/>
        </w:rPr>
        <w:t>总体原则</w:t>
      </w:r>
      <w:bookmarkEnd w:id="61"/>
      <w:bookmarkEnd w:id="62"/>
      <w:bookmarkEnd w:id="63"/>
      <w:bookmarkEnd w:id="64"/>
    </w:p>
    <w:p>
      <w:pPr>
        <w:pStyle w:val="162"/>
      </w:pPr>
      <w:r>
        <w:rPr>
          <w:rFonts w:hint="eastAsia"/>
        </w:rPr>
        <w:t>以“西柏坡精神”“太行精神”“两个第一精神”为引领，发掘、整理红色元素。</w:t>
      </w:r>
    </w:p>
    <w:p>
      <w:pPr>
        <w:pStyle w:val="162"/>
      </w:pPr>
      <w:r>
        <w:rPr>
          <w:rFonts w:hint="eastAsia"/>
        </w:rPr>
        <w:t>以“红色资源利用好、红色传统发扬好、红色基因传承好”为理念，开展红色乡村建设。</w:t>
      </w:r>
    </w:p>
    <w:p>
      <w:pPr>
        <w:pStyle w:val="162"/>
      </w:pPr>
      <w:r>
        <w:rPr>
          <w:rFonts w:hint="eastAsia"/>
        </w:rPr>
        <w:t>以人为本，因地制宜，促进当地经济发展和人民群众生活改善。</w:t>
      </w:r>
    </w:p>
    <w:p>
      <w:pPr>
        <w:pStyle w:val="162"/>
      </w:pPr>
      <w:r>
        <w:rPr>
          <w:rFonts w:hint="eastAsia"/>
        </w:rPr>
        <w:t>保留红色底蕴，杜绝过度开发，做好红色乡村建设规划。</w:t>
      </w:r>
    </w:p>
    <w:p>
      <w:pPr>
        <w:pStyle w:val="104"/>
        <w:spacing w:before="312" w:after="312"/>
      </w:pPr>
      <w:bookmarkStart w:id="65" w:name="_Toc133182127"/>
      <w:bookmarkStart w:id="66" w:name="_Toc165407701"/>
      <w:bookmarkStart w:id="67" w:name="_Toc187860383"/>
      <w:bookmarkStart w:id="68" w:name="_Toc187865079"/>
      <w:r>
        <w:rPr>
          <w:rFonts w:hint="eastAsia"/>
        </w:rPr>
        <w:t>需考虑的因素</w:t>
      </w:r>
      <w:bookmarkEnd w:id="65"/>
      <w:bookmarkEnd w:id="66"/>
      <w:bookmarkEnd w:id="67"/>
      <w:bookmarkEnd w:id="68"/>
    </w:p>
    <w:p>
      <w:pPr>
        <w:pStyle w:val="162"/>
      </w:pPr>
      <w:r>
        <w:rPr>
          <w:rFonts w:hint="eastAsia"/>
        </w:rPr>
        <w:t>宜考虑红色元素发掘，确立红色主题。</w:t>
      </w:r>
    </w:p>
    <w:p>
      <w:pPr>
        <w:pStyle w:val="162"/>
      </w:pPr>
      <w:r>
        <w:rPr>
          <w:rFonts w:hint="eastAsia"/>
        </w:rPr>
        <w:t>宜考虑红色资源整理，设计红色场景。</w:t>
      </w:r>
    </w:p>
    <w:p>
      <w:pPr>
        <w:pStyle w:val="162"/>
      </w:pPr>
      <w:r>
        <w:rPr>
          <w:rFonts w:hint="eastAsia"/>
        </w:rPr>
        <w:t>宜考虑红色文化保护，保留红色记忆。</w:t>
      </w:r>
    </w:p>
    <w:p>
      <w:pPr>
        <w:pStyle w:val="162"/>
      </w:pPr>
      <w:r>
        <w:rPr>
          <w:rFonts w:hint="eastAsia"/>
        </w:rPr>
        <w:t>宜考虑红色价值转换，形成红色业态。</w:t>
      </w:r>
    </w:p>
    <w:p>
      <w:pPr>
        <w:pStyle w:val="162"/>
      </w:pPr>
      <w:r>
        <w:rPr>
          <w:rFonts w:hint="eastAsia"/>
        </w:rPr>
        <w:t>宜考虑红色精神传承，倡导红色村风。</w:t>
      </w:r>
    </w:p>
    <w:p>
      <w:pPr>
        <w:pStyle w:val="162"/>
      </w:pPr>
      <w:r>
        <w:rPr>
          <w:rFonts w:hint="eastAsia"/>
        </w:rPr>
        <w:t>宜考虑红色乡村经营，发展红色旅游。</w:t>
      </w:r>
    </w:p>
    <w:p>
      <w:pPr>
        <w:pStyle w:val="104"/>
        <w:spacing w:before="312" w:after="312"/>
      </w:pPr>
      <w:bookmarkStart w:id="69" w:name="_Toc165407702"/>
      <w:bookmarkStart w:id="70" w:name="_Toc133182128"/>
      <w:bookmarkStart w:id="71" w:name="_Toc187860384"/>
      <w:bookmarkStart w:id="72" w:name="_Toc187865080"/>
      <w:r>
        <w:rPr>
          <w:rFonts w:hint="eastAsia"/>
        </w:rPr>
        <w:t>红色元素发掘</w:t>
      </w:r>
      <w:bookmarkEnd w:id="69"/>
      <w:bookmarkEnd w:id="70"/>
      <w:bookmarkEnd w:id="71"/>
      <w:bookmarkEnd w:id="72"/>
    </w:p>
    <w:p>
      <w:pPr>
        <w:pStyle w:val="162"/>
      </w:pPr>
      <w:r>
        <w:rPr>
          <w:rFonts w:hint="eastAsia"/>
        </w:rPr>
        <w:t>宜统一制定红色乡村建设整体规划，确立推进步骤。</w:t>
      </w:r>
    </w:p>
    <w:p>
      <w:pPr>
        <w:pStyle w:val="162"/>
      </w:pPr>
      <w:r>
        <w:rPr>
          <w:rFonts w:hint="eastAsia"/>
        </w:rPr>
        <w:t>宜开展红色元素普查，选好普查人员、筹集必要经费、注重学习互鉴，通过现场调查、走访、历史文献查阅等形式，调查本村新民主主义革命以来的历史遗存，包括战场、会址、旧居、物品、故事、人物、贡献、地位等，摸清本村拥有的红色元素情况，根据相关标准判断其价值。</w:t>
      </w:r>
    </w:p>
    <w:p>
      <w:pPr>
        <w:pStyle w:val="162"/>
      </w:pPr>
      <w:r>
        <w:rPr>
          <w:rFonts w:hint="eastAsia"/>
        </w:rPr>
        <w:t>具备整理价值的乡村宜设立红色乡村建设领导小组，根据当地红色元素特点，确定红色主题，主题不宜雷同，宜分为：人物类、组织类和事件类。</w:t>
      </w:r>
    </w:p>
    <w:p>
      <w:pPr>
        <w:pStyle w:val="104"/>
        <w:spacing w:before="312" w:after="312"/>
      </w:pPr>
      <w:bookmarkStart w:id="73" w:name="_Toc187860385"/>
      <w:bookmarkStart w:id="74" w:name="_Toc133182129"/>
      <w:bookmarkStart w:id="75" w:name="_Toc187865081"/>
      <w:bookmarkStart w:id="76" w:name="_Toc165407703"/>
      <w:r>
        <w:rPr>
          <w:rFonts w:hint="eastAsia"/>
        </w:rPr>
        <w:t>红色资源整理</w:t>
      </w:r>
      <w:bookmarkEnd w:id="73"/>
      <w:bookmarkEnd w:id="74"/>
      <w:bookmarkEnd w:id="75"/>
      <w:bookmarkEnd w:id="76"/>
    </w:p>
    <w:p>
      <w:pPr>
        <w:pStyle w:val="162"/>
      </w:pPr>
      <w:r>
        <w:rPr>
          <w:rFonts w:hint="eastAsia"/>
        </w:rPr>
        <w:t>红色乡村建设管理部门、确立红色主题的乡村宜整理革命人物、遗址、遗迹、基地、建筑等红色资源，围绕红色主题，清理、修缮、建设红色场景。红色场景宜包括红色展馆、红色民俗馆、红色广场（包括红色剧场）、红色街路巷著名等。</w:t>
      </w:r>
    </w:p>
    <w:p>
      <w:pPr>
        <w:pStyle w:val="162"/>
      </w:pPr>
      <w:r>
        <w:rPr>
          <w:rFonts w:hint="eastAsia"/>
        </w:rPr>
        <w:t>红色展馆建设宜调集多方资源、广泛收集红色文物和红色故事，丰富展馆内容。</w:t>
      </w:r>
    </w:p>
    <w:p>
      <w:pPr>
        <w:pStyle w:val="162"/>
      </w:pPr>
      <w:r>
        <w:rPr>
          <w:rFonts w:hint="eastAsia"/>
        </w:rPr>
        <w:t>红色民俗馆建设主要展示红色文化的群众基础，红色乡村的民间文化。如，全村军人照片墙、光荣榜等。</w:t>
      </w:r>
    </w:p>
    <w:p>
      <w:pPr>
        <w:pStyle w:val="162"/>
      </w:pPr>
      <w:r>
        <w:rPr>
          <w:rFonts w:hint="eastAsia"/>
        </w:rPr>
        <w:t>红色广场宜根据各村红色主题建设，有条件的村还可配套建设红色剧场等设施。</w:t>
      </w:r>
    </w:p>
    <w:p>
      <w:pPr>
        <w:pStyle w:val="162"/>
      </w:pPr>
      <w:r>
        <w:rPr>
          <w:rFonts w:hint="eastAsia"/>
        </w:rPr>
        <w:t>宜开展红色街路巷著名行动，体现红色寓意，并符合相关要求。</w:t>
      </w:r>
    </w:p>
    <w:p>
      <w:pPr>
        <w:pStyle w:val="162"/>
      </w:pPr>
      <w:r>
        <w:rPr>
          <w:rFonts w:hint="eastAsia"/>
        </w:rPr>
        <w:t>红色场景建设时宜注意整体环境与历史风貌相协调，与革命历史氛围相适应，杜绝庸俗化和娱乐化倾向。</w:t>
      </w:r>
    </w:p>
    <w:p>
      <w:pPr>
        <w:pStyle w:val="104"/>
        <w:spacing w:before="312" w:after="312"/>
      </w:pPr>
      <w:bookmarkStart w:id="77" w:name="_Toc187865082"/>
      <w:bookmarkStart w:id="78" w:name="_Toc187860386"/>
      <w:bookmarkStart w:id="79" w:name="_Toc133182130"/>
      <w:bookmarkStart w:id="80" w:name="_Toc165407704"/>
      <w:r>
        <w:rPr>
          <w:rFonts w:hint="eastAsia"/>
        </w:rPr>
        <w:t>红色文化保护</w:t>
      </w:r>
      <w:bookmarkEnd w:id="77"/>
      <w:bookmarkEnd w:id="78"/>
      <w:bookmarkEnd w:id="79"/>
      <w:bookmarkEnd w:id="80"/>
    </w:p>
    <w:p>
      <w:pPr>
        <w:pStyle w:val="105"/>
        <w:spacing w:before="156" w:after="156"/>
      </w:pPr>
      <w:bookmarkStart w:id="81" w:name="_Toc133182131"/>
      <w:bookmarkStart w:id="82" w:name="_Toc187865083"/>
      <w:bookmarkStart w:id="83" w:name="_Toc187860387"/>
      <w:bookmarkStart w:id="84" w:name="_Toc165407705"/>
      <w:r>
        <w:rPr>
          <w:rFonts w:hint="eastAsia"/>
        </w:rPr>
        <w:t>红色文化研究</w:t>
      </w:r>
      <w:bookmarkEnd w:id="81"/>
      <w:bookmarkEnd w:id="82"/>
      <w:bookmarkEnd w:id="83"/>
      <w:bookmarkEnd w:id="84"/>
    </w:p>
    <w:p>
      <w:pPr>
        <w:pStyle w:val="165"/>
      </w:pPr>
      <w:r>
        <w:rPr>
          <w:rFonts w:hint="eastAsia"/>
        </w:rPr>
        <w:t>红色乡村建设管理部门、红色文化社会团体宜开展红色资源研究，整理革命事迹等，挖掘革命文物背后的故事，形成红色理论体系，编辑史料，印制红色出版物。</w:t>
      </w:r>
    </w:p>
    <w:p>
      <w:pPr>
        <w:pStyle w:val="165"/>
      </w:pPr>
      <w:r>
        <w:rPr>
          <w:rFonts w:hint="eastAsia"/>
        </w:rPr>
        <w:t>红色乡村建设领导小组宜组织文史研究者、志愿村民，走访老党员、老红军、老堡垒户、老交通员及其后人，通过口述历史等形式抢救革命故事、革命事迹，形成影像资料。</w:t>
      </w:r>
    </w:p>
    <w:p>
      <w:pPr>
        <w:pStyle w:val="165"/>
      </w:pPr>
      <w:r>
        <w:rPr>
          <w:rFonts w:hint="eastAsia"/>
        </w:rPr>
        <w:t>重要历史事件宜从历史地位、社会影响、革命贡献等方面进行深入研究。</w:t>
      </w:r>
    </w:p>
    <w:p>
      <w:pPr>
        <w:pStyle w:val="105"/>
        <w:spacing w:before="156" w:after="156"/>
      </w:pPr>
      <w:bookmarkStart w:id="85" w:name="_Toc133182132"/>
      <w:bookmarkStart w:id="86" w:name="_Toc187865084"/>
      <w:bookmarkStart w:id="87" w:name="_Toc187860388"/>
      <w:bookmarkStart w:id="88" w:name="_Toc165407706"/>
      <w:r>
        <w:rPr>
          <w:rFonts w:hint="eastAsia"/>
        </w:rPr>
        <w:t>红色文化宣传</w:t>
      </w:r>
      <w:bookmarkEnd w:id="85"/>
      <w:bookmarkEnd w:id="86"/>
      <w:bookmarkEnd w:id="87"/>
      <w:bookmarkEnd w:id="88"/>
    </w:p>
    <w:p>
      <w:pPr>
        <w:pStyle w:val="165"/>
      </w:pPr>
      <w:r>
        <w:rPr>
          <w:rFonts w:hint="eastAsia"/>
        </w:rPr>
        <w:t>宜建设红色村史馆，撰写红色讲解词。</w:t>
      </w:r>
    </w:p>
    <w:p>
      <w:pPr>
        <w:pStyle w:val="165"/>
      </w:pPr>
      <w:r>
        <w:rPr>
          <w:rFonts w:hint="eastAsia"/>
        </w:rPr>
        <w:t>宜组织编排创作报告文学、电影、戏曲等红色文创节目，开展红色文化展演，举办红色文化村晚。</w:t>
      </w:r>
    </w:p>
    <w:p>
      <w:pPr>
        <w:pStyle w:val="165"/>
      </w:pPr>
      <w:r>
        <w:rPr>
          <w:rFonts w:hint="eastAsia"/>
        </w:rPr>
        <w:t>宜开展红色文化进课堂等活动，如：撰写中小学生喜闻乐见的红色故事、培育红领巾讲解员、举办红色故事演讲比赛等。</w:t>
      </w:r>
    </w:p>
    <w:p>
      <w:pPr>
        <w:pStyle w:val="165"/>
      </w:pPr>
      <w:r>
        <w:rPr>
          <w:rFonts w:hint="eastAsia"/>
        </w:rPr>
        <w:t>宜制定乡规民约、家风家训，保护红色文化传统。</w:t>
      </w:r>
    </w:p>
    <w:p>
      <w:pPr>
        <w:pStyle w:val="105"/>
        <w:spacing w:before="156" w:after="156"/>
      </w:pPr>
      <w:bookmarkStart w:id="89" w:name="_Toc133182133"/>
      <w:bookmarkStart w:id="90" w:name="_Toc165407707"/>
      <w:bookmarkStart w:id="91" w:name="_Toc187860389"/>
      <w:bookmarkStart w:id="92" w:name="_Toc187865085"/>
      <w:r>
        <w:rPr>
          <w:rFonts w:hint="eastAsia"/>
        </w:rPr>
        <w:t>红色文化保护</w:t>
      </w:r>
      <w:bookmarkEnd w:id="89"/>
      <w:bookmarkEnd w:id="90"/>
      <w:bookmarkEnd w:id="91"/>
      <w:bookmarkEnd w:id="92"/>
    </w:p>
    <w:p>
      <w:pPr>
        <w:pStyle w:val="165"/>
      </w:pPr>
      <w:r>
        <w:rPr>
          <w:rFonts w:hint="eastAsia"/>
        </w:rPr>
        <w:t>乡村建设管理部门宜建立革命遗址保护名录，一般包含革命遗址的名称、编号、类型、地址、保护范围和史实说明等内容。</w:t>
      </w:r>
    </w:p>
    <w:p>
      <w:pPr>
        <w:pStyle w:val="165"/>
      </w:pPr>
      <w:r>
        <w:rPr>
          <w:rFonts w:hint="eastAsia"/>
        </w:rPr>
        <w:t>宜对红色古建筑和红色文物开展保护，设立保护标志、制定保护措施，重现历史场景。</w:t>
      </w:r>
    </w:p>
    <w:p>
      <w:pPr>
        <w:pStyle w:val="105"/>
        <w:spacing w:before="156" w:after="156"/>
      </w:pPr>
      <w:bookmarkStart w:id="93" w:name="_Toc133182134"/>
      <w:bookmarkStart w:id="94" w:name="_Toc165407708"/>
      <w:bookmarkStart w:id="95" w:name="_Toc187860390"/>
      <w:bookmarkStart w:id="96" w:name="_Toc187865086"/>
      <w:r>
        <w:rPr>
          <w:rFonts w:hint="eastAsia"/>
        </w:rPr>
        <w:t>红色乡村建设</w:t>
      </w:r>
      <w:bookmarkEnd w:id="93"/>
      <w:bookmarkEnd w:id="94"/>
      <w:bookmarkEnd w:id="95"/>
      <w:bookmarkEnd w:id="96"/>
    </w:p>
    <w:p>
      <w:pPr>
        <w:pStyle w:val="56"/>
        <w:ind w:firstLine="420"/>
      </w:pPr>
      <w:r>
        <w:rPr>
          <w:rFonts w:hint="eastAsia"/>
        </w:rPr>
        <w:t>宜整合红色文化资源，开展红色乡村建设。红色乡村宜包括下列要素：</w:t>
      </w:r>
    </w:p>
    <w:p>
      <w:pPr>
        <w:pStyle w:val="174"/>
        <w:numPr>
          <w:ilvl w:val="0"/>
          <w:numId w:val="32"/>
        </w:numPr>
      </w:pPr>
      <w:r>
        <w:rPr>
          <w:rFonts w:hint="eastAsia"/>
        </w:rPr>
        <w:t>红色主题；</w:t>
      </w:r>
    </w:p>
    <w:p>
      <w:pPr>
        <w:pStyle w:val="174"/>
        <w:numPr>
          <w:ilvl w:val="0"/>
          <w:numId w:val="32"/>
        </w:numPr>
      </w:pPr>
      <w:r>
        <w:rPr>
          <w:rFonts w:hint="eastAsia"/>
        </w:rPr>
        <w:t>红色展馆、红色民俗馆、红色广场（包括红色剧场）；</w:t>
      </w:r>
    </w:p>
    <w:p>
      <w:pPr>
        <w:pStyle w:val="174"/>
        <w:numPr>
          <w:ilvl w:val="0"/>
          <w:numId w:val="32"/>
        </w:numPr>
      </w:pPr>
      <w:r>
        <w:rPr>
          <w:rFonts w:hint="eastAsia"/>
        </w:rPr>
        <w:t>与本村相关的红色党史资料、红色影像资料、红色文创产品等。</w:t>
      </w:r>
    </w:p>
    <w:p>
      <w:pPr>
        <w:pStyle w:val="104"/>
        <w:spacing w:before="312" w:after="312"/>
      </w:pPr>
      <w:bookmarkStart w:id="97" w:name="_Toc133182135"/>
      <w:bookmarkStart w:id="98" w:name="_Toc165407709"/>
      <w:bookmarkStart w:id="99" w:name="_Toc187860391"/>
      <w:bookmarkStart w:id="100" w:name="_Toc187865087"/>
      <w:r>
        <w:rPr>
          <w:rFonts w:hint="eastAsia"/>
        </w:rPr>
        <w:t>红色价值转换</w:t>
      </w:r>
      <w:bookmarkEnd w:id="97"/>
      <w:bookmarkEnd w:id="98"/>
      <w:bookmarkEnd w:id="99"/>
      <w:bookmarkEnd w:id="100"/>
    </w:p>
    <w:p>
      <w:pPr>
        <w:pStyle w:val="105"/>
        <w:spacing w:before="156" w:after="156"/>
      </w:pPr>
      <w:bookmarkStart w:id="101" w:name="_Toc133182136"/>
      <w:bookmarkStart w:id="102" w:name="_Toc165407710"/>
      <w:bookmarkStart w:id="103" w:name="_Toc187860392"/>
      <w:bookmarkStart w:id="104" w:name="_Toc187865088"/>
      <w:r>
        <w:rPr>
          <w:rFonts w:hint="eastAsia"/>
        </w:rPr>
        <w:t>红色价值内涵</w:t>
      </w:r>
      <w:bookmarkEnd w:id="101"/>
      <w:bookmarkEnd w:id="102"/>
      <w:bookmarkEnd w:id="103"/>
      <w:bookmarkEnd w:id="104"/>
    </w:p>
    <w:p>
      <w:pPr>
        <w:pStyle w:val="56"/>
        <w:ind w:firstLine="420"/>
      </w:pPr>
      <w:r>
        <w:rPr>
          <w:rFonts w:hint="eastAsia"/>
        </w:rPr>
        <w:t>红色价值分为政治价值、社会价值、经济价值、文化价值、生态价值。红色建设管理部门、红色乡村宜开展红色价值转换研究，从五个方面发掘每个红色乡村的红色内涵，打造红色旅游业态。</w:t>
      </w:r>
    </w:p>
    <w:p>
      <w:pPr>
        <w:pStyle w:val="105"/>
        <w:spacing w:before="156" w:after="156"/>
      </w:pPr>
      <w:bookmarkStart w:id="105" w:name="_Toc133182137"/>
      <w:bookmarkStart w:id="106" w:name="_Toc165407711"/>
      <w:bookmarkStart w:id="107" w:name="_Toc187860393"/>
      <w:bookmarkStart w:id="108" w:name="_Toc187865089"/>
      <w:r>
        <w:rPr>
          <w:rFonts w:hint="eastAsia"/>
        </w:rPr>
        <w:t>政治价值转换</w:t>
      </w:r>
      <w:bookmarkEnd w:id="105"/>
      <w:bookmarkEnd w:id="106"/>
      <w:bookmarkEnd w:id="107"/>
      <w:bookmarkEnd w:id="108"/>
    </w:p>
    <w:p>
      <w:pPr>
        <w:pStyle w:val="56"/>
        <w:ind w:firstLine="420"/>
      </w:pPr>
      <w:r>
        <w:rPr>
          <w:rFonts w:hint="eastAsia"/>
        </w:rPr>
        <w:t>宜结合党史</w:t>
      </w:r>
      <w:r>
        <w:rPr>
          <w:rFonts w:hint="eastAsia"/>
          <w:lang w:eastAsia="zh-CN"/>
        </w:rPr>
        <w:t>学习</w:t>
      </w:r>
      <w:bookmarkStart w:id="143" w:name="_GoBack"/>
      <w:bookmarkEnd w:id="143"/>
      <w:r>
        <w:rPr>
          <w:rFonts w:hint="eastAsia"/>
        </w:rPr>
        <w:t>教育、基层组织建设加强政治宣传，通过纸质媒介、电子媒介、数字媒介以及校园红色文化教育、红色革命旧址参观等宣传方式，增强道路自信。</w:t>
      </w:r>
    </w:p>
    <w:p>
      <w:pPr>
        <w:pStyle w:val="105"/>
        <w:spacing w:before="156" w:after="156"/>
      </w:pPr>
      <w:bookmarkStart w:id="109" w:name="_Toc133182138"/>
      <w:bookmarkStart w:id="110" w:name="_Toc165407712"/>
      <w:bookmarkStart w:id="111" w:name="_Toc187860394"/>
      <w:bookmarkStart w:id="112" w:name="_Toc187865090"/>
      <w:r>
        <w:rPr>
          <w:rFonts w:hint="eastAsia"/>
        </w:rPr>
        <w:t>社会价值转换</w:t>
      </w:r>
      <w:bookmarkEnd w:id="109"/>
      <w:bookmarkEnd w:id="110"/>
      <w:bookmarkEnd w:id="111"/>
      <w:bookmarkEnd w:id="112"/>
    </w:p>
    <w:p>
      <w:pPr>
        <w:pStyle w:val="56"/>
        <w:ind w:firstLine="420"/>
      </w:pPr>
      <w:r>
        <w:rPr>
          <w:rFonts w:hint="eastAsia"/>
        </w:rPr>
        <w:t>宜加强红色乡村社会治理研究，建立红色廉政乡风、村风和家风，树立正确的价值导向，增强理论自信。</w:t>
      </w:r>
    </w:p>
    <w:p>
      <w:pPr>
        <w:pStyle w:val="105"/>
        <w:spacing w:before="156" w:after="156"/>
      </w:pPr>
      <w:bookmarkStart w:id="113" w:name="_Toc133182139"/>
      <w:bookmarkStart w:id="114" w:name="_Toc165407713"/>
      <w:bookmarkStart w:id="115" w:name="_Toc187860395"/>
      <w:bookmarkStart w:id="116" w:name="_Toc187865091"/>
      <w:r>
        <w:rPr>
          <w:rFonts w:hint="eastAsia"/>
        </w:rPr>
        <w:t>经济价值转换</w:t>
      </w:r>
      <w:bookmarkEnd w:id="113"/>
      <w:bookmarkEnd w:id="114"/>
      <w:bookmarkEnd w:id="115"/>
      <w:bookmarkEnd w:id="116"/>
    </w:p>
    <w:p>
      <w:pPr>
        <w:pStyle w:val="56"/>
        <w:ind w:firstLine="420"/>
      </w:pPr>
      <w:r>
        <w:rPr>
          <w:rFonts w:hint="eastAsia"/>
        </w:rPr>
        <w:t>宜发展红色产业，带动经济增长、村民增收，提升人民群众获得感，增强制度自信：</w:t>
      </w:r>
    </w:p>
    <w:p>
      <w:pPr>
        <w:pStyle w:val="174"/>
        <w:numPr>
          <w:ilvl w:val="0"/>
          <w:numId w:val="33"/>
        </w:numPr>
      </w:pPr>
      <w:r>
        <w:rPr>
          <w:rFonts w:hint="eastAsia"/>
        </w:rPr>
        <w:t>打造绿色生态环保的红色乡村生态旅游产业链，推进红色文化与生态游憩、古村落、乡村旅游、健康养生、休闲运动、民族风情等融合发展；</w:t>
      </w:r>
    </w:p>
    <w:p>
      <w:pPr>
        <w:pStyle w:val="174"/>
        <w:numPr>
          <w:ilvl w:val="0"/>
          <w:numId w:val="33"/>
        </w:numPr>
      </w:pPr>
      <w:r>
        <w:rPr>
          <w:rFonts w:hint="eastAsia"/>
        </w:rPr>
        <w:t>培育红色乡村民宿、红色乡村养老、红色乡村文创等产业；</w:t>
      </w:r>
    </w:p>
    <w:p>
      <w:pPr>
        <w:pStyle w:val="174"/>
        <w:numPr>
          <w:ilvl w:val="0"/>
          <w:numId w:val="33"/>
        </w:numPr>
      </w:pPr>
      <w:r>
        <w:rPr>
          <w:rFonts w:hint="eastAsia"/>
        </w:rPr>
        <w:t>结合当地农产品区域公共品牌，将红色文化元素融入农产品包装，推进红色农产品向旅游产品转变；</w:t>
      </w:r>
    </w:p>
    <w:p>
      <w:pPr>
        <w:pStyle w:val="174"/>
        <w:numPr>
          <w:ilvl w:val="0"/>
          <w:numId w:val="33"/>
        </w:numPr>
      </w:pPr>
      <w:r>
        <w:rPr>
          <w:rFonts w:hint="eastAsia"/>
        </w:rPr>
        <w:t>结合当地特色产业，培育红色家庭农场、手工作坊、乡村车间等环境友好型企业；</w:t>
      </w:r>
    </w:p>
    <w:p>
      <w:pPr>
        <w:pStyle w:val="174"/>
        <w:numPr>
          <w:ilvl w:val="0"/>
          <w:numId w:val="33"/>
        </w:numPr>
      </w:pPr>
      <w:r>
        <w:rPr>
          <w:rFonts w:hint="eastAsia"/>
        </w:rPr>
        <w:t>争创红色旅游经典景区，打造红色旅游精品线路，培育红色旅游品牌；</w:t>
      </w:r>
    </w:p>
    <w:p>
      <w:pPr>
        <w:pStyle w:val="174"/>
        <w:numPr>
          <w:ilvl w:val="0"/>
          <w:numId w:val="33"/>
        </w:numPr>
      </w:pPr>
      <w:r>
        <w:rPr>
          <w:rFonts w:hint="eastAsia"/>
        </w:rPr>
        <w:t>邀请在本村生活过的知名人士及其后辈回乡考察调研，提供智力支持，共谋经济发展。</w:t>
      </w:r>
    </w:p>
    <w:p>
      <w:pPr>
        <w:pStyle w:val="105"/>
        <w:spacing w:before="156" w:after="156"/>
      </w:pPr>
      <w:bookmarkStart w:id="117" w:name="_Toc133182140"/>
      <w:bookmarkStart w:id="118" w:name="_Toc165407714"/>
      <w:bookmarkStart w:id="119" w:name="_Toc187860396"/>
      <w:bookmarkStart w:id="120" w:name="_Toc187865092"/>
      <w:r>
        <w:rPr>
          <w:rFonts w:hint="eastAsia"/>
        </w:rPr>
        <w:t>文化价值转换</w:t>
      </w:r>
      <w:bookmarkEnd w:id="117"/>
      <w:bookmarkEnd w:id="118"/>
      <w:bookmarkEnd w:id="119"/>
      <w:bookmarkEnd w:id="120"/>
    </w:p>
    <w:p>
      <w:pPr>
        <w:pStyle w:val="56"/>
        <w:ind w:firstLine="420"/>
      </w:pPr>
      <w:r>
        <w:rPr>
          <w:rFonts w:hint="eastAsia"/>
        </w:rPr>
        <w:t>红色乡村是“西柏坡精神”“太行精神”“两个第一精神”的体现，宜发挥红色文化教化作用，开展丰富多彩的红色乡村文化活动，增强文化自信。</w:t>
      </w:r>
    </w:p>
    <w:p>
      <w:pPr>
        <w:pStyle w:val="105"/>
        <w:spacing w:before="156" w:after="156"/>
      </w:pPr>
      <w:bookmarkStart w:id="121" w:name="_Toc133182141"/>
      <w:bookmarkStart w:id="122" w:name="_Toc165407715"/>
      <w:bookmarkStart w:id="123" w:name="_Toc187860397"/>
      <w:bookmarkStart w:id="124" w:name="_Toc187865093"/>
      <w:r>
        <w:rPr>
          <w:rFonts w:hint="eastAsia"/>
        </w:rPr>
        <w:t>生态价值转换</w:t>
      </w:r>
      <w:bookmarkEnd w:id="121"/>
      <w:bookmarkEnd w:id="122"/>
      <w:bookmarkEnd w:id="123"/>
      <w:bookmarkEnd w:id="124"/>
    </w:p>
    <w:p>
      <w:pPr>
        <w:pStyle w:val="56"/>
        <w:ind w:firstLine="420"/>
      </w:pPr>
      <w:r>
        <w:rPr>
          <w:rFonts w:hint="eastAsia"/>
        </w:rPr>
        <w:t>宜拓宽红色文化生态产品价值实现路径，依托红色乡村原始、自然风貌，保护特有绿色生态，实现红绿融合。</w:t>
      </w:r>
    </w:p>
    <w:p>
      <w:pPr>
        <w:pStyle w:val="105"/>
        <w:spacing w:before="156" w:after="156"/>
      </w:pPr>
      <w:bookmarkStart w:id="125" w:name="_Toc133182142"/>
      <w:bookmarkStart w:id="126" w:name="_Toc165407716"/>
      <w:bookmarkStart w:id="127" w:name="_Toc187860398"/>
      <w:bookmarkStart w:id="128" w:name="_Toc187865094"/>
      <w:r>
        <w:rPr>
          <w:rFonts w:hint="eastAsia"/>
        </w:rPr>
        <w:t>红色业态形成</w:t>
      </w:r>
      <w:bookmarkEnd w:id="125"/>
      <w:bookmarkEnd w:id="126"/>
      <w:bookmarkEnd w:id="127"/>
      <w:bookmarkEnd w:id="128"/>
    </w:p>
    <w:p>
      <w:pPr>
        <w:pStyle w:val="56"/>
        <w:ind w:firstLine="420"/>
      </w:pPr>
      <w:r>
        <w:rPr>
          <w:rFonts w:hint="eastAsia"/>
        </w:rPr>
        <w:t>红色价值宜实现转换，形成红色业态，包括但不限于：</w:t>
      </w:r>
    </w:p>
    <w:p>
      <w:pPr>
        <w:pStyle w:val="174"/>
        <w:numPr>
          <w:ilvl w:val="0"/>
          <w:numId w:val="34"/>
        </w:numPr>
      </w:pPr>
      <w:r>
        <w:rPr>
          <w:rFonts w:hint="eastAsia"/>
        </w:rPr>
        <w:t>基层党校；</w:t>
      </w:r>
    </w:p>
    <w:p>
      <w:pPr>
        <w:pStyle w:val="174"/>
        <w:numPr>
          <w:ilvl w:val="0"/>
          <w:numId w:val="34"/>
        </w:numPr>
      </w:pPr>
      <w:r>
        <w:rPr>
          <w:rFonts w:hint="eastAsia"/>
        </w:rPr>
        <w:t>干部实训基地；</w:t>
      </w:r>
    </w:p>
    <w:p>
      <w:pPr>
        <w:pStyle w:val="174"/>
        <w:numPr>
          <w:ilvl w:val="0"/>
          <w:numId w:val="34"/>
        </w:numPr>
      </w:pPr>
      <w:r>
        <w:rPr>
          <w:rFonts w:hint="eastAsia"/>
        </w:rPr>
        <w:t>爱国主义教育基地；</w:t>
      </w:r>
    </w:p>
    <w:p>
      <w:pPr>
        <w:pStyle w:val="174"/>
        <w:numPr>
          <w:ilvl w:val="0"/>
          <w:numId w:val="34"/>
        </w:numPr>
      </w:pPr>
      <w:r>
        <w:rPr>
          <w:rFonts w:hint="eastAsia"/>
        </w:rPr>
        <w:t>红色乡村生态旅游、康养、文创产业链；</w:t>
      </w:r>
    </w:p>
    <w:p>
      <w:pPr>
        <w:pStyle w:val="174"/>
        <w:numPr>
          <w:ilvl w:val="0"/>
          <w:numId w:val="34"/>
        </w:numPr>
      </w:pPr>
      <w:r>
        <w:rPr>
          <w:rFonts w:hint="eastAsia"/>
        </w:rPr>
        <w:t>绿色农产品产业链；</w:t>
      </w:r>
    </w:p>
    <w:p>
      <w:pPr>
        <w:pStyle w:val="174"/>
        <w:numPr>
          <w:ilvl w:val="0"/>
          <w:numId w:val="34"/>
        </w:numPr>
      </w:pPr>
      <w:r>
        <w:rPr>
          <w:rFonts w:hint="eastAsia"/>
        </w:rPr>
        <w:t>环境友好型企业。</w:t>
      </w:r>
    </w:p>
    <w:p>
      <w:pPr>
        <w:pStyle w:val="104"/>
        <w:spacing w:before="312" w:after="312"/>
      </w:pPr>
      <w:bookmarkStart w:id="129" w:name="_Toc133182143"/>
      <w:bookmarkStart w:id="130" w:name="_Toc165407717"/>
      <w:bookmarkStart w:id="131" w:name="_Toc187860399"/>
      <w:bookmarkStart w:id="132" w:name="_Toc187865095"/>
      <w:r>
        <w:rPr>
          <w:rFonts w:hint="eastAsia"/>
        </w:rPr>
        <w:t>红色精神传承</w:t>
      </w:r>
      <w:bookmarkEnd w:id="129"/>
      <w:bookmarkEnd w:id="130"/>
      <w:bookmarkEnd w:id="131"/>
      <w:bookmarkEnd w:id="132"/>
    </w:p>
    <w:p>
      <w:pPr>
        <w:pStyle w:val="162"/>
      </w:pPr>
      <w:r>
        <w:rPr>
          <w:rFonts w:hint="eastAsia"/>
        </w:rPr>
        <w:t>红色乡村建设管理部门、红色乡村组织宜开展以下活动，传承红色精神：</w:t>
      </w:r>
    </w:p>
    <w:p>
      <w:pPr>
        <w:pStyle w:val="174"/>
        <w:numPr>
          <w:ilvl w:val="0"/>
          <w:numId w:val="35"/>
        </w:numPr>
      </w:pPr>
      <w:r>
        <w:rPr>
          <w:rFonts w:hint="eastAsia"/>
        </w:rPr>
        <w:t>组织红色生活回忆；</w:t>
      </w:r>
    </w:p>
    <w:p>
      <w:pPr>
        <w:pStyle w:val="174"/>
        <w:numPr>
          <w:ilvl w:val="0"/>
          <w:numId w:val="35"/>
        </w:numPr>
      </w:pPr>
      <w:r>
        <w:rPr>
          <w:rFonts w:hint="eastAsia"/>
        </w:rPr>
        <w:t>展售红色商品；</w:t>
      </w:r>
    </w:p>
    <w:p>
      <w:pPr>
        <w:pStyle w:val="174"/>
        <w:numPr>
          <w:ilvl w:val="0"/>
          <w:numId w:val="35"/>
        </w:numPr>
      </w:pPr>
      <w:r>
        <w:rPr>
          <w:rFonts w:hint="eastAsia"/>
        </w:rPr>
        <w:t>征集红色故事；</w:t>
      </w:r>
    </w:p>
    <w:p>
      <w:pPr>
        <w:pStyle w:val="174"/>
        <w:numPr>
          <w:ilvl w:val="0"/>
          <w:numId w:val="35"/>
        </w:numPr>
      </w:pPr>
      <w:r>
        <w:rPr>
          <w:rFonts w:hint="eastAsia"/>
        </w:rPr>
        <w:t>培育红色故事讲解员，宣讲红色故事。</w:t>
      </w:r>
    </w:p>
    <w:p>
      <w:pPr>
        <w:pStyle w:val="162"/>
      </w:pPr>
      <w:r>
        <w:rPr>
          <w:rFonts w:hint="eastAsia"/>
        </w:rPr>
        <w:t>红色乡村组织宜开展以下活动，保留红色乡风：</w:t>
      </w:r>
    </w:p>
    <w:p>
      <w:pPr>
        <w:pStyle w:val="174"/>
        <w:numPr>
          <w:ilvl w:val="0"/>
          <w:numId w:val="36"/>
        </w:numPr>
      </w:pPr>
      <w:r>
        <w:rPr>
          <w:rFonts w:hint="eastAsia"/>
        </w:rPr>
        <w:t>组织红色论坛；</w:t>
      </w:r>
    </w:p>
    <w:p>
      <w:pPr>
        <w:pStyle w:val="174"/>
        <w:numPr>
          <w:ilvl w:val="0"/>
          <w:numId w:val="36"/>
        </w:numPr>
      </w:pPr>
      <w:r>
        <w:rPr>
          <w:rFonts w:hint="eastAsia"/>
        </w:rPr>
        <w:t>制定红色乡规民约；</w:t>
      </w:r>
    </w:p>
    <w:p>
      <w:pPr>
        <w:pStyle w:val="174"/>
        <w:numPr>
          <w:ilvl w:val="0"/>
          <w:numId w:val="36"/>
        </w:numPr>
      </w:pPr>
      <w:r>
        <w:rPr>
          <w:rFonts w:hint="eastAsia"/>
        </w:rPr>
        <w:t>推举红色乡贤；</w:t>
      </w:r>
    </w:p>
    <w:p>
      <w:pPr>
        <w:pStyle w:val="174"/>
        <w:numPr>
          <w:ilvl w:val="0"/>
          <w:numId w:val="36"/>
        </w:numPr>
      </w:pPr>
      <w:r>
        <w:rPr>
          <w:rFonts w:hint="eastAsia"/>
        </w:rPr>
        <w:t>评选红色家风典型；</w:t>
      </w:r>
    </w:p>
    <w:p>
      <w:pPr>
        <w:pStyle w:val="174"/>
        <w:numPr>
          <w:ilvl w:val="0"/>
          <w:numId w:val="36"/>
        </w:numPr>
      </w:pPr>
      <w:r>
        <w:rPr>
          <w:rFonts w:hint="eastAsia"/>
        </w:rPr>
        <w:t>开展学生红色乡村教育活动、社会实践活动和研学旅游活动。</w:t>
      </w:r>
    </w:p>
    <w:p>
      <w:pPr>
        <w:pStyle w:val="104"/>
        <w:spacing w:before="312" w:after="312"/>
      </w:pPr>
      <w:bookmarkStart w:id="133" w:name="_Toc133182144"/>
      <w:bookmarkStart w:id="134" w:name="_Toc165407718"/>
      <w:bookmarkStart w:id="135" w:name="_Toc187860400"/>
      <w:bookmarkStart w:id="136" w:name="_Toc187865096"/>
      <w:r>
        <w:rPr>
          <w:rFonts w:hint="eastAsia"/>
        </w:rPr>
        <w:t>红色乡村经营</w:t>
      </w:r>
      <w:bookmarkEnd w:id="133"/>
      <w:bookmarkEnd w:id="134"/>
      <w:bookmarkEnd w:id="135"/>
      <w:bookmarkEnd w:id="136"/>
    </w:p>
    <w:p>
      <w:pPr>
        <w:pStyle w:val="162"/>
      </w:pPr>
      <w:r>
        <w:rPr>
          <w:rFonts w:hint="eastAsia"/>
        </w:rPr>
        <w:t>红色乡村以“美丽乡村建设指南”（见GB/T 32000）为目标，开展红色乡村治理、基本公共服务建设和乡村产业运营。</w:t>
      </w:r>
    </w:p>
    <w:p>
      <w:pPr>
        <w:pStyle w:val="162"/>
      </w:pPr>
      <w:r>
        <w:rPr>
          <w:rFonts w:hint="eastAsia"/>
        </w:rPr>
        <w:t>宜开展红色乡村治理，包括：</w:t>
      </w:r>
    </w:p>
    <w:p>
      <w:pPr>
        <w:pStyle w:val="174"/>
        <w:numPr>
          <w:ilvl w:val="0"/>
          <w:numId w:val="37"/>
        </w:numPr>
      </w:pPr>
      <w:r>
        <w:rPr>
          <w:rFonts w:hint="eastAsia"/>
        </w:rPr>
        <w:t>通过党群共建等模式，化解村民矛盾，做到小矛盾不出村；</w:t>
      </w:r>
    </w:p>
    <w:p>
      <w:pPr>
        <w:pStyle w:val="174"/>
        <w:numPr>
          <w:ilvl w:val="0"/>
          <w:numId w:val="37"/>
        </w:numPr>
      </w:pPr>
      <w:r>
        <w:rPr>
          <w:rFonts w:hint="eastAsia"/>
        </w:rPr>
        <w:t>建立村民互助机制，走群众路线，为村民纾困；</w:t>
      </w:r>
    </w:p>
    <w:p>
      <w:pPr>
        <w:pStyle w:val="174"/>
        <w:numPr>
          <w:ilvl w:val="0"/>
          <w:numId w:val="37"/>
        </w:numPr>
      </w:pPr>
      <w:r>
        <w:rPr>
          <w:rFonts w:hint="eastAsia"/>
        </w:rPr>
        <w:t>开展生态环境治理，公共设施建设宜与整体风貌相协调，保护红色乡村风韵。</w:t>
      </w:r>
    </w:p>
    <w:p>
      <w:pPr>
        <w:pStyle w:val="162"/>
      </w:pPr>
      <w:r>
        <w:rPr>
          <w:rFonts w:hint="eastAsia"/>
        </w:rPr>
        <w:t>宜开展基本公共服务建设，包括：</w:t>
      </w:r>
    </w:p>
    <w:p>
      <w:pPr>
        <w:pStyle w:val="174"/>
        <w:numPr>
          <w:ilvl w:val="0"/>
          <w:numId w:val="38"/>
        </w:numPr>
      </w:pPr>
      <w:r>
        <w:rPr>
          <w:rFonts w:hint="eastAsia"/>
        </w:rPr>
        <w:t>基础教育；</w:t>
      </w:r>
    </w:p>
    <w:p>
      <w:pPr>
        <w:pStyle w:val="174"/>
        <w:numPr>
          <w:ilvl w:val="0"/>
          <w:numId w:val="38"/>
        </w:numPr>
      </w:pPr>
      <w:r>
        <w:rPr>
          <w:rFonts w:hint="eastAsia"/>
        </w:rPr>
        <w:t>医疗卫生；</w:t>
      </w:r>
    </w:p>
    <w:p>
      <w:pPr>
        <w:pStyle w:val="174"/>
        <w:numPr>
          <w:ilvl w:val="0"/>
          <w:numId w:val="38"/>
        </w:numPr>
      </w:pPr>
      <w:r>
        <w:rPr>
          <w:rFonts w:hint="eastAsia"/>
        </w:rPr>
        <w:t>养老服务；</w:t>
      </w:r>
    </w:p>
    <w:p>
      <w:pPr>
        <w:pStyle w:val="174"/>
        <w:numPr>
          <w:ilvl w:val="0"/>
          <w:numId w:val="38"/>
        </w:numPr>
      </w:pPr>
      <w:r>
        <w:rPr>
          <w:rFonts w:hint="eastAsia"/>
        </w:rPr>
        <w:t>劳动就业；</w:t>
      </w:r>
    </w:p>
    <w:p>
      <w:pPr>
        <w:pStyle w:val="174"/>
        <w:numPr>
          <w:ilvl w:val="0"/>
          <w:numId w:val="38"/>
        </w:numPr>
      </w:pPr>
      <w:r>
        <w:rPr>
          <w:rFonts w:hint="eastAsia"/>
        </w:rPr>
        <w:t>救助帮扶；</w:t>
      </w:r>
    </w:p>
    <w:p>
      <w:pPr>
        <w:pStyle w:val="174"/>
        <w:numPr>
          <w:ilvl w:val="0"/>
          <w:numId w:val="38"/>
        </w:numPr>
      </w:pPr>
      <w:r>
        <w:rPr>
          <w:rFonts w:hint="eastAsia"/>
        </w:rPr>
        <w:t>生活便利。</w:t>
      </w:r>
    </w:p>
    <w:p>
      <w:pPr>
        <w:pStyle w:val="162"/>
      </w:pPr>
      <w:r>
        <w:rPr>
          <w:rFonts w:hint="eastAsia"/>
        </w:rPr>
        <w:t>宜开展乡村产业经营，壮大村集体经济，提高村民收入，实现红色乡村可持续发展。</w:t>
      </w:r>
      <w:bookmarkEnd w:id="27"/>
      <w:bookmarkStart w:id="137" w:name="BookMark6"/>
    </w:p>
    <w:p>
      <w:pPr>
        <w:pStyle w:val="162"/>
        <w:sectPr>
          <w:pgSz w:w="11906" w:h="16838"/>
          <w:pgMar w:top="1928" w:right="1134" w:bottom="1134" w:left="1134" w:header="1418" w:footer="1134" w:gutter="284"/>
          <w:pgNumType w:start="1"/>
          <w:cols w:space="425" w:num="1"/>
          <w:formProt w:val="0"/>
          <w:docGrid w:type="lines" w:linePitch="312" w:charSpace="0"/>
        </w:sectPr>
      </w:pPr>
      <w:r>
        <w:rPr>
          <w:rFonts w:hint="eastAsia"/>
        </w:rPr>
        <w:t>宜鼓励开展第三方村民满意度调查，及时公开调查结果。</w:t>
      </w:r>
    </w:p>
    <w:p>
      <w:pPr>
        <w:pStyle w:val="63"/>
        <w:spacing w:after="156"/>
      </w:pPr>
      <w:bookmarkStart w:id="138" w:name="_Toc133182145"/>
      <w:bookmarkStart w:id="139" w:name="_Toc165407719"/>
      <w:bookmarkStart w:id="140" w:name="_Toc187860401"/>
      <w:bookmarkStart w:id="141" w:name="_Toc187865097"/>
      <w:r>
        <w:rPr>
          <w:rFonts w:hint="eastAsia"/>
          <w:spacing w:val="105"/>
        </w:rPr>
        <w:t>参考文</w:t>
      </w:r>
      <w:r>
        <w:rPr>
          <w:rFonts w:hint="eastAsia"/>
        </w:rPr>
        <w:t>献</w:t>
      </w:r>
      <w:bookmarkEnd w:id="138"/>
      <w:bookmarkEnd w:id="139"/>
      <w:bookmarkEnd w:id="140"/>
      <w:bookmarkEnd w:id="141"/>
    </w:p>
    <w:p>
      <w:pPr>
        <w:pStyle w:val="56"/>
        <w:ind w:firstLine="420"/>
      </w:pPr>
      <w:r>
        <w:rPr>
          <w:rFonts w:hint="eastAsia"/>
        </w:rPr>
        <w:t>[1] GB/T 32000-2015 美丽乡村建设指南</w:t>
      </w:r>
    </w:p>
    <w:p>
      <w:pPr>
        <w:pStyle w:val="56"/>
        <w:ind w:firstLine="420"/>
      </w:pPr>
      <w:r>
        <w:rPr>
          <w:rFonts w:hint="eastAsia"/>
        </w:rPr>
        <w:t>[2] GB/T 50445-2019 村庄整治技术标准</w:t>
      </w:r>
    </w:p>
    <w:p>
      <w:pPr>
        <w:pStyle w:val="56"/>
        <w:ind w:firstLine="420"/>
      </w:pPr>
      <w:r>
        <w:rPr>
          <w:rFonts w:hint="eastAsia"/>
        </w:rPr>
        <w:t>[3] GB/T 22527-2008 文物保护单位标志</w:t>
      </w:r>
    </w:p>
    <w:p>
      <w:pPr>
        <w:pStyle w:val="56"/>
        <w:ind w:firstLine="420"/>
      </w:pPr>
      <w:r>
        <w:rPr>
          <w:rFonts w:hint="eastAsia"/>
        </w:rPr>
        <w:t>[4] DB13/T 5557-2022 村庄规划技术规范</w:t>
      </w:r>
    </w:p>
    <w:p>
      <w:pPr>
        <w:pStyle w:val="56"/>
        <w:ind w:firstLine="420"/>
      </w:pPr>
      <w:r>
        <w:rPr>
          <w:rFonts w:hint="eastAsia"/>
        </w:rPr>
        <w:t>[5] 河北省人民代表大会常务委员会关于加强革命文物保护利用的决定</w:t>
      </w:r>
    </w:p>
    <w:p>
      <w:pPr>
        <w:pStyle w:val="56"/>
        <w:ind w:firstLine="420"/>
      </w:pPr>
      <w:r>
        <w:rPr>
          <w:rFonts w:hint="eastAsia"/>
        </w:rPr>
        <w:t>[6] 民政部关于开展“乡村著名行动”助力乡村振兴的通知</w:t>
      </w:r>
    </w:p>
    <w:p>
      <w:pPr>
        <w:pStyle w:val="56"/>
        <w:ind w:firstLine="420"/>
      </w:pPr>
    </w:p>
    <w:bookmarkEnd w:id="137"/>
    <w:p>
      <w:pPr>
        <w:pStyle w:val="56"/>
        <w:ind w:firstLine="0" w:firstLineChars="0"/>
        <w:jc w:val="center"/>
      </w:pPr>
      <w:bookmarkStart w:id="142" w:name="BookMark8"/>
      <w: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6"/>
                    <a:stretch>
                      <a:fillRect/>
                    </a:stretch>
                  </pic:blipFill>
                  <pic:spPr>
                    <a:xfrm>
                      <a:off x="0" y="0"/>
                      <a:ext cx="1485900" cy="317500"/>
                    </a:xfrm>
                    <a:prstGeom prst="rect">
                      <a:avLst/>
                    </a:prstGeom>
                  </pic:spPr>
                </pic:pic>
              </a:graphicData>
            </a:graphic>
          </wp:inline>
        </w:drawing>
      </w:r>
      <w:bookmarkEnd w:id="142"/>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20B0604020202020204"/>
    <w:charset w:val="00"/>
    <w:family w:val="swiss"/>
    <w:pitch w:val="default"/>
    <w:sig w:usb0="00000000" w:usb1="00000000" w:usb2="00000009" w:usb3="00000000" w:csb0="000001FF" w:csb1="00000000"/>
  </w:font>
  <w:font w:name="等线">
    <w:altName w:val="仿宋_GB2312"/>
    <w:panose1 w:val="00000000000000000000"/>
    <w:charset w:val="86"/>
    <w:family w:val="auto"/>
    <w:pitch w:val="default"/>
    <w:sig w:usb0="00000000" w:usb1="00000000" w:usb2="00000016" w:usb3="00000000" w:csb0="0004000F" w:csb1="00000000"/>
  </w:font>
  <w:font w:name="等线 Light">
    <w:altName w:val="仿宋_GB2312"/>
    <w:panose1 w:val="00000000000000000000"/>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NanumGothic">
    <w:panose1 w:val="020D0604000000000000"/>
    <w:charset w:val="81"/>
    <w:family w:val="auto"/>
    <w:pitch w:val="default"/>
    <w:sig w:usb0="900002A7" w:usb1="29D7FCFB" w:usb2="00000010" w:usb3="00000000" w:csb0="00080001" w:csb1="00000000"/>
  </w:font>
  <w:font w:name="等线">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attachedTemplate r:id="rId1"/>
  <w:documentProtection w:edit="forms" w:enforcement="1" w:cryptProviderType="rsaAES" w:cryptAlgorithmClass="hash" w:cryptAlgorithmType="typeAny" w:cryptAlgorithmSid="14" w:cryptSpinCount="100000" w:hash="qQeeRyMgl6+UKRen59SI82nfpo626jPySQXxXXsVa+zKJgKGPlA1F9IoomQAdEnidNyk2lIM8ZY4+dPJgrgADA==" w:salt="y1eAR77jdECGv4OXLa7M/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mZjE1MjI4ODQwMTgzNWZlOWU4MDk3OTI0MDU2N2YifQ=="/>
  </w:docVars>
  <w:rsids>
    <w:rsidRoot w:val="00F02363"/>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47F6E"/>
    <w:rsid w:val="000503AA"/>
    <w:rsid w:val="000506A1"/>
    <w:rsid w:val="000515DD"/>
    <w:rsid w:val="0005265A"/>
    <w:rsid w:val="000539DD"/>
    <w:rsid w:val="00053BD3"/>
    <w:rsid w:val="000556ED"/>
    <w:rsid w:val="00055FE2"/>
    <w:rsid w:val="0005616F"/>
    <w:rsid w:val="00060C2E"/>
    <w:rsid w:val="00061033"/>
    <w:rsid w:val="000612C9"/>
    <w:rsid w:val="000619E9"/>
    <w:rsid w:val="000622D4"/>
    <w:rsid w:val="0006357D"/>
    <w:rsid w:val="00066918"/>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C63"/>
    <w:rsid w:val="000A0EB8"/>
    <w:rsid w:val="000A19FC"/>
    <w:rsid w:val="000A296B"/>
    <w:rsid w:val="000A41DC"/>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5F55"/>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739"/>
    <w:rsid w:val="00173FB1"/>
    <w:rsid w:val="00176DFD"/>
    <w:rsid w:val="00184B29"/>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6D2C"/>
    <w:rsid w:val="001C7FEA"/>
    <w:rsid w:val="001D0499"/>
    <w:rsid w:val="001D0BBE"/>
    <w:rsid w:val="001D0ED4"/>
    <w:rsid w:val="001D212F"/>
    <w:rsid w:val="001D29D7"/>
    <w:rsid w:val="001D2DE7"/>
    <w:rsid w:val="001D411C"/>
    <w:rsid w:val="001E1B6A"/>
    <w:rsid w:val="001E21E2"/>
    <w:rsid w:val="001E2484"/>
    <w:rsid w:val="001E3CC4"/>
    <w:rsid w:val="001E4882"/>
    <w:rsid w:val="001E73AB"/>
    <w:rsid w:val="001F092D"/>
    <w:rsid w:val="001F143A"/>
    <w:rsid w:val="001F1605"/>
    <w:rsid w:val="001F2508"/>
    <w:rsid w:val="001F4816"/>
    <w:rsid w:val="001F4EE9"/>
    <w:rsid w:val="001F5305"/>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37935"/>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79D"/>
    <w:rsid w:val="002A4CEA"/>
    <w:rsid w:val="002A5977"/>
    <w:rsid w:val="002A5A13"/>
    <w:rsid w:val="002A757F"/>
    <w:rsid w:val="002A7F44"/>
    <w:rsid w:val="002B0C40"/>
    <w:rsid w:val="002B1790"/>
    <w:rsid w:val="002B1966"/>
    <w:rsid w:val="002B4508"/>
    <w:rsid w:val="002B5779"/>
    <w:rsid w:val="002B7332"/>
    <w:rsid w:val="002B7F51"/>
    <w:rsid w:val="002C09E7"/>
    <w:rsid w:val="002C1E06"/>
    <w:rsid w:val="002C1E1C"/>
    <w:rsid w:val="002C3F07"/>
    <w:rsid w:val="002C5278"/>
    <w:rsid w:val="002C7EBB"/>
    <w:rsid w:val="002D06C1"/>
    <w:rsid w:val="002D0AC0"/>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1C95"/>
    <w:rsid w:val="003221B4"/>
    <w:rsid w:val="0032258D"/>
    <w:rsid w:val="00322E62"/>
    <w:rsid w:val="00324D13"/>
    <w:rsid w:val="00324D2A"/>
    <w:rsid w:val="00324EDD"/>
    <w:rsid w:val="0033001E"/>
    <w:rsid w:val="003315A9"/>
    <w:rsid w:val="003331E4"/>
    <w:rsid w:val="00333803"/>
    <w:rsid w:val="00333E63"/>
    <w:rsid w:val="00336C64"/>
    <w:rsid w:val="00337162"/>
    <w:rsid w:val="0034018C"/>
    <w:rsid w:val="0034194F"/>
    <w:rsid w:val="0034331D"/>
    <w:rsid w:val="00344605"/>
    <w:rsid w:val="003474AA"/>
    <w:rsid w:val="00350D1D"/>
    <w:rsid w:val="00352C83"/>
    <w:rsid w:val="003530EE"/>
    <w:rsid w:val="00361327"/>
    <w:rsid w:val="003615D2"/>
    <w:rsid w:val="0036429C"/>
    <w:rsid w:val="00364A53"/>
    <w:rsid w:val="003654CB"/>
    <w:rsid w:val="00365AA9"/>
    <w:rsid w:val="00365F86"/>
    <w:rsid w:val="00365F87"/>
    <w:rsid w:val="00366E89"/>
    <w:rsid w:val="003705F4"/>
    <w:rsid w:val="00370D58"/>
    <w:rsid w:val="00371316"/>
    <w:rsid w:val="00376713"/>
    <w:rsid w:val="00377614"/>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B63"/>
    <w:rsid w:val="003D6D61"/>
    <w:rsid w:val="003D79C6"/>
    <w:rsid w:val="003E091D"/>
    <w:rsid w:val="003E1C53"/>
    <w:rsid w:val="003E2A69"/>
    <w:rsid w:val="003E2D49"/>
    <w:rsid w:val="003E2FD4"/>
    <w:rsid w:val="003E49F6"/>
    <w:rsid w:val="003E660F"/>
    <w:rsid w:val="003E6FC4"/>
    <w:rsid w:val="003F0841"/>
    <w:rsid w:val="003F23D3"/>
    <w:rsid w:val="003F3F08"/>
    <w:rsid w:val="003F49F1"/>
    <w:rsid w:val="003F6272"/>
    <w:rsid w:val="003F6DED"/>
    <w:rsid w:val="00400E72"/>
    <w:rsid w:val="00401400"/>
    <w:rsid w:val="00404869"/>
    <w:rsid w:val="00405884"/>
    <w:rsid w:val="00407D39"/>
    <w:rsid w:val="0041477A"/>
    <w:rsid w:val="004167A3"/>
    <w:rsid w:val="00420466"/>
    <w:rsid w:val="00432DAA"/>
    <w:rsid w:val="00434305"/>
    <w:rsid w:val="004349B1"/>
    <w:rsid w:val="00435DF7"/>
    <w:rsid w:val="0044083F"/>
    <w:rsid w:val="00441AE7"/>
    <w:rsid w:val="00445574"/>
    <w:rsid w:val="004467FB"/>
    <w:rsid w:val="00452D6B"/>
    <w:rsid w:val="00454484"/>
    <w:rsid w:val="0045517B"/>
    <w:rsid w:val="00460B79"/>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03E7"/>
    <w:rsid w:val="004A07D6"/>
    <w:rsid w:val="004A12DF"/>
    <w:rsid w:val="004A17E6"/>
    <w:rsid w:val="004A1BA8"/>
    <w:rsid w:val="004A37F9"/>
    <w:rsid w:val="004A4B57"/>
    <w:rsid w:val="004A63FA"/>
    <w:rsid w:val="004B0272"/>
    <w:rsid w:val="004B1041"/>
    <w:rsid w:val="004B2701"/>
    <w:rsid w:val="004B2E1B"/>
    <w:rsid w:val="004B3AA8"/>
    <w:rsid w:val="004B3E93"/>
    <w:rsid w:val="004B7535"/>
    <w:rsid w:val="004C1FBC"/>
    <w:rsid w:val="004C3F1D"/>
    <w:rsid w:val="004C3F88"/>
    <w:rsid w:val="004C458D"/>
    <w:rsid w:val="004C4DFA"/>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44D"/>
    <w:rsid w:val="00543BDA"/>
    <w:rsid w:val="005441CC"/>
    <w:rsid w:val="0054556C"/>
    <w:rsid w:val="005479DA"/>
    <w:rsid w:val="00547BCC"/>
    <w:rsid w:val="0055013B"/>
    <w:rsid w:val="00551F6F"/>
    <w:rsid w:val="00552EE3"/>
    <w:rsid w:val="00555044"/>
    <w:rsid w:val="00561475"/>
    <w:rsid w:val="0056487B"/>
    <w:rsid w:val="00564FB9"/>
    <w:rsid w:val="00571F42"/>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6BD2"/>
    <w:rsid w:val="005C7156"/>
    <w:rsid w:val="005C7DF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2C25"/>
    <w:rsid w:val="006B54BF"/>
    <w:rsid w:val="006B5F44"/>
    <w:rsid w:val="006B5F90"/>
    <w:rsid w:val="006B62E4"/>
    <w:rsid w:val="006B7F07"/>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6175"/>
    <w:rsid w:val="006F03A8"/>
    <w:rsid w:val="006F2ACA"/>
    <w:rsid w:val="006F2ADC"/>
    <w:rsid w:val="006F2BFE"/>
    <w:rsid w:val="006F309C"/>
    <w:rsid w:val="006F31E9"/>
    <w:rsid w:val="006F6284"/>
    <w:rsid w:val="007002C5"/>
    <w:rsid w:val="00700EC7"/>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48C1"/>
    <w:rsid w:val="0074548E"/>
    <w:rsid w:val="00745773"/>
    <w:rsid w:val="00746800"/>
    <w:rsid w:val="007501A8"/>
    <w:rsid w:val="00750D61"/>
    <w:rsid w:val="00750EE1"/>
    <w:rsid w:val="00752B4D"/>
    <w:rsid w:val="00755402"/>
    <w:rsid w:val="00756B26"/>
    <w:rsid w:val="00756EDF"/>
    <w:rsid w:val="007600E3"/>
    <w:rsid w:val="00760ABB"/>
    <w:rsid w:val="00765C43"/>
    <w:rsid w:val="00765EFB"/>
    <w:rsid w:val="00766B68"/>
    <w:rsid w:val="007671CA"/>
    <w:rsid w:val="00767C61"/>
    <w:rsid w:val="0077008A"/>
    <w:rsid w:val="00773C1F"/>
    <w:rsid w:val="00774DA4"/>
    <w:rsid w:val="00776599"/>
    <w:rsid w:val="0078114B"/>
    <w:rsid w:val="00781DD2"/>
    <w:rsid w:val="00782E07"/>
    <w:rsid w:val="00783ECF"/>
    <w:rsid w:val="0078413A"/>
    <w:rsid w:val="007959E8"/>
    <w:rsid w:val="00795E9C"/>
    <w:rsid w:val="007A0521"/>
    <w:rsid w:val="007A2E12"/>
    <w:rsid w:val="007A3475"/>
    <w:rsid w:val="007A41C8"/>
    <w:rsid w:val="007A54CE"/>
    <w:rsid w:val="007A6FD9"/>
    <w:rsid w:val="007A7FFA"/>
    <w:rsid w:val="007B04EB"/>
    <w:rsid w:val="007B0D4F"/>
    <w:rsid w:val="007B3A80"/>
    <w:rsid w:val="007B4A66"/>
    <w:rsid w:val="007B5A3D"/>
    <w:rsid w:val="007B5B95"/>
    <w:rsid w:val="007B68EA"/>
    <w:rsid w:val="007B7453"/>
    <w:rsid w:val="007C1E8B"/>
    <w:rsid w:val="007C2D89"/>
    <w:rsid w:val="007C4593"/>
    <w:rsid w:val="007C5309"/>
    <w:rsid w:val="007C6069"/>
    <w:rsid w:val="007D06C4"/>
    <w:rsid w:val="007D1352"/>
    <w:rsid w:val="007D20F9"/>
    <w:rsid w:val="007D2508"/>
    <w:rsid w:val="007D346A"/>
    <w:rsid w:val="007D4310"/>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167"/>
    <w:rsid w:val="008163C8"/>
    <w:rsid w:val="008164A1"/>
    <w:rsid w:val="00817325"/>
    <w:rsid w:val="008209E6"/>
    <w:rsid w:val="00822B97"/>
    <w:rsid w:val="00823303"/>
    <w:rsid w:val="008233B2"/>
    <w:rsid w:val="00823A9F"/>
    <w:rsid w:val="00823C85"/>
    <w:rsid w:val="00825138"/>
    <w:rsid w:val="008269DD"/>
    <w:rsid w:val="00830621"/>
    <w:rsid w:val="00833276"/>
    <w:rsid w:val="0083348C"/>
    <w:rsid w:val="0083485B"/>
    <w:rsid w:val="00835AF1"/>
    <w:rsid w:val="008373D3"/>
    <w:rsid w:val="00840617"/>
    <w:rsid w:val="00840F84"/>
    <w:rsid w:val="00842A47"/>
    <w:rsid w:val="00843C13"/>
    <w:rsid w:val="008454F8"/>
    <w:rsid w:val="0085173A"/>
    <w:rsid w:val="00856316"/>
    <w:rsid w:val="00857B2F"/>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2E75"/>
    <w:rsid w:val="008A3215"/>
    <w:rsid w:val="008A57E6"/>
    <w:rsid w:val="008A6F81"/>
    <w:rsid w:val="008A769A"/>
    <w:rsid w:val="008B0C9C"/>
    <w:rsid w:val="008B166D"/>
    <w:rsid w:val="008B17F4"/>
    <w:rsid w:val="008B3615"/>
    <w:rsid w:val="008B4AC4"/>
    <w:rsid w:val="008B50C8"/>
    <w:rsid w:val="008B5281"/>
    <w:rsid w:val="008B58AB"/>
    <w:rsid w:val="008B71F6"/>
    <w:rsid w:val="008B7E05"/>
    <w:rsid w:val="008C1797"/>
    <w:rsid w:val="008C219C"/>
    <w:rsid w:val="008C475E"/>
    <w:rsid w:val="008C619A"/>
    <w:rsid w:val="008D0CE8"/>
    <w:rsid w:val="008D290C"/>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2D7"/>
    <w:rsid w:val="008F23A5"/>
    <w:rsid w:val="008F4280"/>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0C08"/>
    <w:rsid w:val="009A118E"/>
    <w:rsid w:val="009A21CD"/>
    <w:rsid w:val="009A278C"/>
    <w:rsid w:val="009A2BC2"/>
    <w:rsid w:val="009A42C1"/>
    <w:rsid w:val="009A5429"/>
    <w:rsid w:val="009A72AD"/>
    <w:rsid w:val="009A77B9"/>
    <w:rsid w:val="009B09E0"/>
    <w:rsid w:val="009B0BC5"/>
    <w:rsid w:val="009B0CE6"/>
    <w:rsid w:val="009B1247"/>
    <w:rsid w:val="009B46F9"/>
    <w:rsid w:val="009B6029"/>
    <w:rsid w:val="009B6971"/>
    <w:rsid w:val="009C27F1"/>
    <w:rsid w:val="009C2A66"/>
    <w:rsid w:val="009C3152"/>
    <w:rsid w:val="009C4CFA"/>
    <w:rsid w:val="009C5070"/>
    <w:rsid w:val="009D112C"/>
    <w:rsid w:val="009D2D2A"/>
    <w:rsid w:val="009D47FA"/>
    <w:rsid w:val="009D4C5B"/>
    <w:rsid w:val="009D50D2"/>
    <w:rsid w:val="009D6BCA"/>
    <w:rsid w:val="009D74E5"/>
    <w:rsid w:val="009E0F62"/>
    <w:rsid w:val="009E4A58"/>
    <w:rsid w:val="009E5A2D"/>
    <w:rsid w:val="009E5AB2"/>
    <w:rsid w:val="009E6219"/>
    <w:rsid w:val="009E7242"/>
    <w:rsid w:val="009F03B3"/>
    <w:rsid w:val="00A0096C"/>
    <w:rsid w:val="00A01757"/>
    <w:rsid w:val="00A028C0"/>
    <w:rsid w:val="00A02BAE"/>
    <w:rsid w:val="00A055D9"/>
    <w:rsid w:val="00A06A6B"/>
    <w:rsid w:val="00A07E47"/>
    <w:rsid w:val="00A11784"/>
    <w:rsid w:val="00A129D0"/>
    <w:rsid w:val="00A12C33"/>
    <w:rsid w:val="00A138BA"/>
    <w:rsid w:val="00A14C8E"/>
    <w:rsid w:val="00A15063"/>
    <w:rsid w:val="00A153D9"/>
    <w:rsid w:val="00A15F09"/>
    <w:rsid w:val="00A169B6"/>
    <w:rsid w:val="00A2271D"/>
    <w:rsid w:val="00A237D5"/>
    <w:rsid w:val="00A26DB5"/>
    <w:rsid w:val="00A30EFC"/>
    <w:rsid w:val="00A31984"/>
    <w:rsid w:val="00A32D73"/>
    <w:rsid w:val="00A3367B"/>
    <w:rsid w:val="00A33893"/>
    <w:rsid w:val="00A3597D"/>
    <w:rsid w:val="00A36DD1"/>
    <w:rsid w:val="00A4006C"/>
    <w:rsid w:val="00A40091"/>
    <w:rsid w:val="00A4030F"/>
    <w:rsid w:val="00A41C79"/>
    <w:rsid w:val="00A41CB5"/>
    <w:rsid w:val="00A42CDF"/>
    <w:rsid w:val="00A4452E"/>
    <w:rsid w:val="00A4472C"/>
    <w:rsid w:val="00A44E69"/>
    <w:rsid w:val="00A4661E"/>
    <w:rsid w:val="00A53A4B"/>
    <w:rsid w:val="00A54E3A"/>
    <w:rsid w:val="00A55BD6"/>
    <w:rsid w:val="00A55D50"/>
    <w:rsid w:val="00A57142"/>
    <w:rsid w:val="00A648CD"/>
    <w:rsid w:val="00A6537A"/>
    <w:rsid w:val="00A67866"/>
    <w:rsid w:val="00A707E8"/>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24D3"/>
    <w:rsid w:val="00AB41D5"/>
    <w:rsid w:val="00AB6309"/>
    <w:rsid w:val="00AB6C5F"/>
    <w:rsid w:val="00AB7129"/>
    <w:rsid w:val="00AC27A6"/>
    <w:rsid w:val="00AC30F7"/>
    <w:rsid w:val="00AC3A5A"/>
    <w:rsid w:val="00AC4D95"/>
    <w:rsid w:val="00AC5DF4"/>
    <w:rsid w:val="00AD0AEF"/>
    <w:rsid w:val="00AD11B7"/>
    <w:rsid w:val="00AD1387"/>
    <w:rsid w:val="00AD1A94"/>
    <w:rsid w:val="00AD1C05"/>
    <w:rsid w:val="00AD4126"/>
    <w:rsid w:val="00AD421C"/>
    <w:rsid w:val="00AD44FA"/>
    <w:rsid w:val="00AE070A"/>
    <w:rsid w:val="00AE101C"/>
    <w:rsid w:val="00AE37E5"/>
    <w:rsid w:val="00AE5EB4"/>
    <w:rsid w:val="00AF0C18"/>
    <w:rsid w:val="00AF47C5"/>
    <w:rsid w:val="00AF5398"/>
    <w:rsid w:val="00B049AF"/>
    <w:rsid w:val="00B05BCA"/>
    <w:rsid w:val="00B07242"/>
    <w:rsid w:val="00B10534"/>
    <w:rsid w:val="00B113DB"/>
    <w:rsid w:val="00B11D8A"/>
    <w:rsid w:val="00B12981"/>
    <w:rsid w:val="00B147DD"/>
    <w:rsid w:val="00B156FD"/>
    <w:rsid w:val="00B17B40"/>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52BB"/>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27DB"/>
    <w:rsid w:val="00BA42B2"/>
    <w:rsid w:val="00BA58D4"/>
    <w:rsid w:val="00BA5B9E"/>
    <w:rsid w:val="00BA7C9A"/>
    <w:rsid w:val="00BB203B"/>
    <w:rsid w:val="00BB5F8F"/>
    <w:rsid w:val="00BB657A"/>
    <w:rsid w:val="00BC1A4E"/>
    <w:rsid w:val="00BC4790"/>
    <w:rsid w:val="00BC5DC7"/>
    <w:rsid w:val="00BC6B8B"/>
    <w:rsid w:val="00BC71D5"/>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CA4"/>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0BD4"/>
    <w:rsid w:val="00C521D6"/>
    <w:rsid w:val="00C54131"/>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09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3F06"/>
    <w:rsid w:val="00CB517D"/>
    <w:rsid w:val="00CC038D"/>
    <w:rsid w:val="00CC08DB"/>
    <w:rsid w:val="00CC39FF"/>
    <w:rsid w:val="00CC3C2F"/>
    <w:rsid w:val="00CC3EF6"/>
    <w:rsid w:val="00CC4AC8"/>
    <w:rsid w:val="00CC5233"/>
    <w:rsid w:val="00CC5DE6"/>
    <w:rsid w:val="00CC63D3"/>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5192"/>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00C8"/>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0BEC"/>
    <w:rsid w:val="00D834F8"/>
    <w:rsid w:val="00D8384E"/>
    <w:rsid w:val="00D84941"/>
    <w:rsid w:val="00D84FA1"/>
    <w:rsid w:val="00D851F0"/>
    <w:rsid w:val="00D86DB7"/>
    <w:rsid w:val="00D87E4C"/>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A3C"/>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DF6AE1"/>
    <w:rsid w:val="00E01138"/>
    <w:rsid w:val="00E02DFB"/>
    <w:rsid w:val="00E030F9"/>
    <w:rsid w:val="00E0311A"/>
    <w:rsid w:val="00E03138"/>
    <w:rsid w:val="00E06404"/>
    <w:rsid w:val="00E065D2"/>
    <w:rsid w:val="00E11A85"/>
    <w:rsid w:val="00E12495"/>
    <w:rsid w:val="00E15CCD"/>
    <w:rsid w:val="00E202EF"/>
    <w:rsid w:val="00E20E73"/>
    <w:rsid w:val="00E210B5"/>
    <w:rsid w:val="00E23D99"/>
    <w:rsid w:val="00E2552F"/>
    <w:rsid w:val="00E3137A"/>
    <w:rsid w:val="00E32CCF"/>
    <w:rsid w:val="00E34A98"/>
    <w:rsid w:val="00E35D1E"/>
    <w:rsid w:val="00E35F44"/>
    <w:rsid w:val="00E364F9"/>
    <w:rsid w:val="00E365FA"/>
    <w:rsid w:val="00E36789"/>
    <w:rsid w:val="00E44A83"/>
    <w:rsid w:val="00E502C1"/>
    <w:rsid w:val="00E502DD"/>
    <w:rsid w:val="00E50D3A"/>
    <w:rsid w:val="00E51387"/>
    <w:rsid w:val="00E51E68"/>
    <w:rsid w:val="00E52EFD"/>
    <w:rsid w:val="00E5408A"/>
    <w:rsid w:val="00E55F10"/>
    <w:rsid w:val="00E56800"/>
    <w:rsid w:val="00E60C63"/>
    <w:rsid w:val="00E62FF9"/>
    <w:rsid w:val="00E635D6"/>
    <w:rsid w:val="00E639BC"/>
    <w:rsid w:val="00E664CC"/>
    <w:rsid w:val="00E70388"/>
    <w:rsid w:val="00E70F92"/>
    <w:rsid w:val="00E74C54"/>
    <w:rsid w:val="00E77A03"/>
    <w:rsid w:val="00E809E6"/>
    <w:rsid w:val="00E822E8"/>
    <w:rsid w:val="00E82554"/>
    <w:rsid w:val="00E82606"/>
    <w:rsid w:val="00E846C8"/>
    <w:rsid w:val="00E84957"/>
    <w:rsid w:val="00E84A55"/>
    <w:rsid w:val="00E85BFF"/>
    <w:rsid w:val="00E90391"/>
    <w:rsid w:val="00E906C2"/>
    <w:rsid w:val="00E91C49"/>
    <w:rsid w:val="00E9311F"/>
    <w:rsid w:val="00E934D1"/>
    <w:rsid w:val="00E94AF0"/>
    <w:rsid w:val="00E95D13"/>
    <w:rsid w:val="00E95DD3"/>
    <w:rsid w:val="00E969D5"/>
    <w:rsid w:val="00E969FB"/>
    <w:rsid w:val="00EA58D1"/>
    <w:rsid w:val="00EA61BC"/>
    <w:rsid w:val="00EA681A"/>
    <w:rsid w:val="00EA735B"/>
    <w:rsid w:val="00EB0AAE"/>
    <w:rsid w:val="00EB17DE"/>
    <w:rsid w:val="00EB1E69"/>
    <w:rsid w:val="00EB2086"/>
    <w:rsid w:val="00EB5EDF"/>
    <w:rsid w:val="00EB60FE"/>
    <w:rsid w:val="00EB74DB"/>
    <w:rsid w:val="00EC4781"/>
    <w:rsid w:val="00EC5359"/>
    <w:rsid w:val="00EC562A"/>
    <w:rsid w:val="00ED067A"/>
    <w:rsid w:val="00ED2B50"/>
    <w:rsid w:val="00EE0350"/>
    <w:rsid w:val="00EE0719"/>
    <w:rsid w:val="00EE0E80"/>
    <w:rsid w:val="00EE54A6"/>
    <w:rsid w:val="00EE613F"/>
    <w:rsid w:val="00EE7295"/>
    <w:rsid w:val="00EE7869"/>
    <w:rsid w:val="00EF054A"/>
    <w:rsid w:val="00EF0B46"/>
    <w:rsid w:val="00EF3235"/>
    <w:rsid w:val="00EF6B89"/>
    <w:rsid w:val="00EF7E72"/>
    <w:rsid w:val="00F02363"/>
    <w:rsid w:val="00F06D37"/>
    <w:rsid w:val="00F07B9D"/>
    <w:rsid w:val="00F10B25"/>
    <w:rsid w:val="00F11586"/>
    <w:rsid w:val="00F1183B"/>
    <w:rsid w:val="00F11C9F"/>
    <w:rsid w:val="00F12263"/>
    <w:rsid w:val="00F1409D"/>
    <w:rsid w:val="00F14214"/>
    <w:rsid w:val="00F157A9"/>
    <w:rsid w:val="00F25BB6"/>
    <w:rsid w:val="00F26B7E"/>
    <w:rsid w:val="00F27A3B"/>
    <w:rsid w:val="00F33817"/>
    <w:rsid w:val="00F35319"/>
    <w:rsid w:val="00F40F7E"/>
    <w:rsid w:val="00F420D5"/>
    <w:rsid w:val="00F451EA"/>
    <w:rsid w:val="00F45447"/>
    <w:rsid w:val="00F456C6"/>
    <w:rsid w:val="00F4577B"/>
    <w:rsid w:val="00F46496"/>
    <w:rsid w:val="00F474D0"/>
    <w:rsid w:val="00F50179"/>
    <w:rsid w:val="00F515EE"/>
    <w:rsid w:val="00F56511"/>
    <w:rsid w:val="00F6194E"/>
    <w:rsid w:val="00F61BB1"/>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3C17"/>
    <w:rsid w:val="00FA3FC0"/>
    <w:rsid w:val="00FA4DAC"/>
    <w:rsid w:val="00FA662D"/>
    <w:rsid w:val="00FA73B1"/>
    <w:rsid w:val="00FB0CB9"/>
    <w:rsid w:val="00FB231D"/>
    <w:rsid w:val="00FB45F1"/>
    <w:rsid w:val="00FB4A72"/>
    <w:rsid w:val="00FB54E8"/>
    <w:rsid w:val="00FB7054"/>
    <w:rsid w:val="00FC17B7"/>
    <w:rsid w:val="00FC1884"/>
    <w:rsid w:val="00FC2CB7"/>
    <w:rsid w:val="00FC4090"/>
    <w:rsid w:val="00FC4C18"/>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4C74CFD"/>
    <w:rsid w:val="0B714996"/>
    <w:rsid w:val="1310364A"/>
    <w:rsid w:val="13132387"/>
    <w:rsid w:val="5A263C44"/>
    <w:rsid w:val="5B3845B5"/>
    <w:rsid w:val="7FD93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2 Char"/>
    <w:link w:val="3"/>
    <w:qFormat/>
    <w:uiPriority w:val="0"/>
    <w:rPr>
      <w:rFonts w:ascii="Arial" w:hAnsi="Arial" w:eastAsia="黑体"/>
      <w:b/>
      <w:bCs/>
      <w:kern w:val="2"/>
      <w:sz w:val="32"/>
      <w:szCs w:val="32"/>
    </w:rPr>
  </w:style>
  <w:style w:type="character" w:customStyle="1" w:styleId="35">
    <w:name w:val="标题 1 Char"/>
    <w:link w:val="2"/>
    <w:qFormat/>
    <w:uiPriority w:val="0"/>
    <w:rPr>
      <w:b/>
      <w:bCs/>
      <w:kern w:val="44"/>
      <w:sz w:val="44"/>
      <w:szCs w:val="44"/>
    </w:rPr>
  </w:style>
  <w:style w:type="character" w:customStyle="1" w:styleId="36">
    <w:name w:val="标题 3 Char"/>
    <w:link w:val="4"/>
    <w:qFormat/>
    <w:uiPriority w:val="0"/>
    <w:rPr>
      <w:b/>
      <w:bCs/>
      <w:kern w:val="2"/>
      <w:sz w:val="32"/>
      <w:szCs w:val="32"/>
    </w:rPr>
  </w:style>
  <w:style w:type="character" w:customStyle="1" w:styleId="37">
    <w:name w:val="标题 4 Char"/>
    <w:link w:val="5"/>
    <w:qFormat/>
    <w:uiPriority w:val="0"/>
    <w:rPr>
      <w:rFonts w:ascii="Arial" w:hAnsi="Arial" w:eastAsia="黑体"/>
      <w:b/>
      <w:bCs/>
      <w:kern w:val="2"/>
      <w:sz w:val="28"/>
      <w:szCs w:val="28"/>
    </w:rPr>
  </w:style>
  <w:style w:type="character" w:customStyle="1" w:styleId="38">
    <w:name w:val="标题 5 Char"/>
    <w:link w:val="6"/>
    <w:qFormat/>
    <w:uiPriority w:val="0"/>
    <w:rPr>
      <w:b/>
      <w:bCs/>
      <w:kern w:val="2"/>
      <w:sz w:val="28"/>
      <w:szCs w:val="28"/>
    </w:rPr>
  </w:style>
  <w:style w:type="character" w:customStyle="1" w:styleId="39">
    <w:name w:val="标题 6 Char"/>
    <w:link w:val="7"/>
    <w:qFormat/>
    <w:uiPriority w:val="0"/>
    <w:rPr>
      <w:rFonts w:ascii="Arial" w:hAnsi="Arial" w:eastAsia="黑体"/>
      <w:b/>
      <w:bCs/>
      <w:kern w:val="2"/>
      <w:sz w:val="24"/>
      <w:szCs w:val="24"/>
    </w:rPr>
  </w:style>
  <w:style w:type="character" w:customStyle="1" w:styleId="40">
    <w:name w:val="标题 7 Char"/>
    <w:link w:val="8"/>
    <w:qFormat/>
    <w:uiPriority w:val="0"/>
    <w:rPr>
      <w:b/>
      <w:bCs/>
      <w:kern w:val="2"/>
      <w:sz w:val="24"/>
      <w:szCs w:val="24"/>
    </w:rPr>
  </w:style>
  <w:style w:type="character" w:customStyle="1" w:styleId="41">
    <w:name w:val="标题 8 Char"/>
    <w:link w:val="9"/>
    <w:qFormat/>
    <w:uiPriority w:val="0"/>
    <w:rPr>
      <w:rFonts w:ascii="Arial" w:hAnsi="Arial" w:eastAsia="黑体"/>
      <w:kern w:val="2"/>
      <w:sz w:val="24"/>
      <w:szCs w:val="24"/>
    </w:rPr>
  </w:style>
  <w:style w:type="character" w:customStyle="1" w:styleId="42">
    <w:name w:val="标题 9 Char"/>
    <w:link w:val="10"/>
    <w:qFormat/>
    <w:uiPriority w:val="0"/>
    <w:rPr>
      <w:rFonts w:ascii="Arial" w:hAnsi="Arial" w:eastAsia="黑体"/>
      <w:kern w:val="2"/>
      <w:sz w:val="21"/>
      <w:szCs w:val="21"/>
    </w:rPr>
  </w:style>
  <w:style w:type="character" w:customStyle="1" w:styleId="43">
    <w:name w:val="页眉 Char"/>
    <w:link w:val="18"/>
    <w:qFormat/>
    <w:uiPriority w:val="99"/>
    <w:rPr>
      <w:kern w:val="2"/>
      <w:sz w:val="18"/>
      <w:szCs w:val="18"/>
    </w:rPr>
  </w:style>
  <w:style w:type="character" w:customStyle="1" w:styleId="44">
    <w:name w:val="页脚 Char"/>
    <w:link w:val="17"/>
    <w:qFormat/>
    <w:uiPriority w:val="99"/>
    <w:rPr>
      <w:rFonts w:ascii="宋体"/>
      <w:kern w:val="2"/>
      <w:sz w:val="18"/>
      <w:szCs w:val="18"/>
    </w:rPr>
  </w:style>
  <w:style w:type="character" w:customStyle="1" w:styleId="45">
    <w:name w:val="批注框文本 Char"/>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Char"/>
    <w:link w:val="46"/>
    <w:qFormat/>
    <w:uiPriority w:val="29"/>
    <w:rPr>
      <w:i/>
      <w:iCs/>
      <w:color w:val="000000"/>
      <w:kern w:val="2"/>
      <w:sz w:val="21"/>
      <w:szCs w:val="21"/>
    </w:rPr>
  </w:style>
  <w:style w:type="character" w:customStyle="1" w:styleId="48">
    <w:name w:val="标题 Char"/>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Char"/>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Char"/>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frame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675BE10F6D443EC96635881288AF3FE"/>
        <w:style w:val=""/>
        <w:category>
          <w:name w:val="常规"/>
          <w:gallery w:val="placeholder"/>
        </w:category>
        <w:types>
          <w:type w:val="bbPlcHdr"/>
        </w:types>
        <w:behaviors>
          <w:behavior w:val="content"/>
        </w:behaviors>
        <w:description w:val=""/>
        <w:guid w:val="{08F94576-93FD-4694-A785-F8CE6D894B07}"/>
      </w:docPartPr>
      <w:docPartBody>
        <w:p>
          <w:pPr>
            <w:pStyle w:val="5"/>
          </w:pPr>
          <w:r>
            <w:rPr>
              <w:rStyle w:val="4"/>
              <w:rFonts w:hint="eastAsia"/>
            </w:rPr>
            <w:t>单击或点击此处输入文字。</w:t>
          </w:r>
        </w:p>
      </w:docPartBody>
    </w:docPart>
    <w:docPart>
      <w:docPartPr>
        <w:name w:val="85DF6168373047FBB935516527985180"/>
        <w:style w:val=""/>
        <w:category>
          <w:name w:val="常规"/>
          <w:gallery w:val="placeholder"/>
        </w:category>
        <w:types>
          <w:type w:val="bbPlcHdr"/>
        </w:types>
        <w:behaviors>
          <w:behavior w:val="content"/>
        </w:behaviors>
        <w:description w:val=""/>
        <w:guid w:val="{733ADE04-D0CB-4A8B-B28B-CC2D5DE54BF6}"/>
      </w:docPartPr>
      <w:docPartBody>
        <w:p>
          <w:pPr>
            <w:pStyle w:val="6"/>
          </w:pPr>
          <w:r>
            <w:rPr>
              <w:rStyle w:val="4"/>
              <w:rFonts w:hint="eastAsia"/>
            </w:rPr>
            <w:t>选择一项。</w:t>
          </w:r>
        </w:p>
      </w:docPartBody>
    </w:docPart>
    <w:docPart>
      <w:docPartPr>
        <w:name w:val="24047B7908D64610902AA83274B37342"/>
        <w:style w:val=""/>
        <w:category>
          <w:name w:val="常规"/>
          <w:gallery w:val="placeholder"/>
        </w:category>
        <w:types>
          <w:type w:val="bbPlcHdr"/>
        </w:types>
        <w:behaviors>
          <w:behavior w:val="content"/>
        </w:behaviors>
        <w:description w:val=""/>
        <w:guid w:val="{5F10168F-E5E5-40E8-88B4-64A0C3E226DA}"/>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仿宋_GB2312"/>
    <w:panose1 w:val="00000000000000000000"/>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695"/>
    <w:rsid w:val="001478B0"/>
    <w:rsid w:val="001A1026"/>
    <w:rsid w:val="001B46E3"/>
    <w:rsid w:val="0034671C"/>
    <w:rsid w:val="003D5184"/>
    <w:rsid w:val="003D6163"/>
    <w:rsid w:val="004948DA"/>
    <w:rsid w:val="00604695"/>
    <w:rsid w:val="00605899"/>
    <w:rsid w:val="00645363"/>
    <w:rsid w:val="006D3925"/>
    <w:rsid w:val="006D5282"/>
    <w:rsid w:val="008A25AD"/>
    <w:rsid w:val="008B336A"/>
    <w:rsid w:val="009F6AE8"/>
    <w:rsid w:val="00A6025C"/>
    <w:rsid w:val="00B80104"/>
    <w:rsid w:val="00BA5001"/>
    <w:rsid w:val="00C10D71"/>
    <w:rsid w:val="00C56E56"/>
    <w:rsid w:val="00CA5AB4"/>
    <w:rsid w:val="00CC23D8"/>
    <w:rsid w:val="00DF664F"/>
    <w:rsid w:val="00E9705F"/>
    <w:rsid w:val="00EB55D7"/>
    <w:rsid w:val="00F253CD"/>
    <w:rsid w:val="00FF7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675BE10F6D443EC96635881288AF3F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5DF6168373047FBB93551652798518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4047B7908D64610902AA83274B37342"/>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799</Words>
  <Characters>4558</Characters>
  <Lines>37</Lines>
  <Paragraphs>10</Paragraphs>
  <TotalTime>102</TotalTime>
  <ScaleCrop>false</ScaleCrop>
  <LinksUpToDate>false</LinksUpToDate>
  <CharactersWithSpaces>5347</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2023-04-18T18:41:00Z</dcterms:created>
  <dc:creator>user</dc:creator>
  <dc:description>&lt;config cover="true" show_menu="true" version="1.0.0" doctype="SDKXY"&gt;_x000d_
&lt;/config&gt;</dc:description>
  <cp:lastModifiedBy>uos</cp:lastModifiedBy>
  <cp:lastPrinted>2025-01-15T21:22:00Z</cp:lastPrinted>
  <dcterms:modified xsi:type="dcterms:W3CDTF">2025-04-22T11:38:19Z</dcterms:modified>
  <dc:title>地方标准</dc:title>
  <cp:revision>107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2052-11.8.2.9958</vt:lpwstr>
  </property>
  <property fmtid="{D5CDD505-2E9C-101B-9397-08002B2CF9AE}" pid="15" name="ICV">
    <vt:lpwstr>6EA12E5FE01241A38BBD611389FD813D</vt:lpwstr>
  </property>
</Properties>
</file>