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3"/>
        <w:tblpPr w:leftFromText="180" w:rightFromText="180" w:vertAnchor="page" w:horzAnchor="margin" w:tblpY="56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4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20"/>
              <w:ind w:firstLine="0" w:firstLineChars="0"/>
              <w:rPr>
                <w:rFonts w:hint="eastAsia"/>
              </w:rPr>
            </w:pPr>
            <w:bookmarkStart w:id="60" w:name="_GoBack"/>
            <w:r>
              <w:rPr>
                <w:rFonts w:hint="eastAsia"/>
              </w:rPr>
              <w:t>eICS</w:t>
            </w:r>
          </w:p>
        </w:tc>
        <w:tc>
          <w:tcPr>
            <w:tcW w:w="484" w:type="dxa"/>
          </w:tcPr>
          <w:p>
            <w:pPr>
              <w:pStyle w:val="20"/>
              <w:ind w:firstLine="0" w:firstLineChars="0"/>
              <w:rPr>
                <w:rFonts w:hint="eastAsia" w:ascii="黑体" w:eastAsia="黑体"/>
                <w:sz w:val="21"/>
                <w:szCs w:val="21"/>
              </w:rPr>
            </w:pPr>
            <w:r>
              <w:rPr>
                <w:rFonts w:hint="eastAsia"/>
              </w:rPr>
              <w:t>XXXX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20"/>
              <w:ind w:firstLine="0" w:firstLineChars="0"/>
              <w:rPr>
                <w:rFonts w:hint="eastAsia"/>
              </w:rPr>
            </w:pPr>
            <w:r>
              <w:rPr>
                <w:rFonts w:hint="eastAsia"/>
              </w:rPr>
              <w:t>CCS</w:t>
            </w:r>
          </w:p>
        </w:tc>
        <w:tc>
          <w:tcPr>
            <w:tcW w:w="484" w:type="dxa"/>
          </w:tcPr>
          <w:p>
            <w:pPr>
              <w:pStyle w:val="20"/>
              <w:ind w:firstLine="0" w:firstLineChars="0"/>
              <w:rPr>
                <w:rFonts w:hint="eastAsia" w:ascii="黑体" w:eastAsia="黑体"/>
                <w:sz w:val="21"/>
                <w:szCs w:val="21"/>
              </w:rPr>
            </w:pPr>
            <w:r>
              <w:rPr>
                <w:rFonts w:hint="eastAsia"/>
              </w:rPr>
              <w:t>XXXX</w:t>
            </w:r>
          </w:p>
        </w:tc>
      </w:tr>
    </w:tbl>
    <w:p>
      <w:pPr>
        <w:spacing w:line="240" w:lineRule="auto"/>
        <w:ind w:firstLine="520" w:firstLineChars="0"/>
        <w:jc w:val="right"/>
        <w:rPr>
          <w:rFonts w:hint="eastAsia"/>
        </w:rPr>
      </w:pPr>
    </w:p>
    <w:p>
      <w:pPr>
        <w:spacing w:line="240" w:lineRule="auto"/>
        <w:ind w:firstLine="520" w:firstLineChars="0"/>
        <w:jc w:val="right"/>
        <w:rPr>
          <w:rFonts w:hint="eastAsia"/>
        </w:rPr>
      </w:pPr>
    </w:p>
    <w:p>
      <w:pPr>
        <w:spacing w:line="240" w:lineRule="auto"/>
        <w:ind w:firstLine="520" w:firstLineChars="0"/>
        <w:jc w:val="right"/>
        <w:rPr>
          <w:rFonts w:hint="eastAsia"/>
        </w:rPr>
      </w:pPr>
    </w:p>
    <w:p>
      <w:pPr>
        <w:spacing w:line="240" w:lineRule="auto"/>
        <w:ind w:firstLine="520" w:firstLineChars="0"/>
        <w:jc w:val="right"/>
        <w:rPr>
          <w:rFonts w:hint="eastAsia"/>
        </w:rPr>
      </w:pPr>
    </w:p>
    <w:p>
      <w:pPr>
        <w:spacing w:line="240" w:lineRule="auto"/>
        <w:ind w:firstLine="520" w:firstLineChars="0"/>
        <w:jc w:val="right"/>
        <w:rPr>
          <w:rFonts w:hint="eastAsia"/>
        </w:rPr>
      </w:pPr>
    </w:p>
    <w:p>
      <w:pPr>
        <w:spacing w:line="240" w:lineRule="auto"/>
        <w:ind w:firstLine="520" w:firstLineChars="0"/>
        <w:jc w:val="right"/>
        <w:rPr>
          <w:rFonts w:hint="eastAsia"/>
        </w:rPr>
      </w:pPr>
    </w:p>
    <w:p>
      <w:pPr>
        <w:spacing w:line="240" w:lineRule="auto"/>
        <w:ind w:firstLine="520" w:firstLineChars="0"/>
        <w:jc w:val="right"/>
        <w:rPr>
          <w:rFonts w:hint="eastAsia"/>
        </w:rPr>
      </w:pPr>
      <w:r>
        <w:rPr>
          <w:rFonts w:hint="eastAsia"/>
        </w:rPr>
        <w:t xml:space="preserve"> </w:t>
      </w:r>
      <w:r>
        <w:rPr>
          <w:rFonts w:hint="eastAsia" w:ascii="楷体_GB2312" w:hAnsi="方正粗黑宋简体" w:eastAsia="楷体_GB2312"/>
          <w:b/>
          <w:snapToGrid w:val="0"/>
          <w:kern w:val="10"/>
          <w:sz w:val="90"/>
          <w:szCs w:val="90"/>
          <w:lang w:val="en-US"/>
        </w:rPr>
        <w:t>DB13</w:t>
      </w:r>
    </w:p>
    <w:p>
      <w:pPr>
        <w:spacing w:line="240" w:lineRule="auto"/>
        <w:ind w:firstLine="520" w:firstLineChars="0"/>
        <w:jc w:val="distribute"/>
        <w:rPr>
          <w:rFonts w:hint="eastAsia" w:ascii="黑体" w:hAnsi="黑体" w:eastAsia="黑体"/>
          <w:kern w:val="0"/>
          <w:sz w:val="52"/>
          <w:szCs w:val="52"/>
          <w:lang w:val="en-US"/>
        </w:rPr>
      </w:pPr>
      <w:r>
        <w:rPr>
          <w:rFonts w:ascii="黑体" w:hAnsi="黑体" w:eastAsia="黑体"/>
          <w:kern w:val="0"/>
          <w:sz w:val="52"/>
          <w:szCs w:val="52"/>
          <w:lang w:val="en-US"/>
        </w:rPr>
        <mc:AlternateContent>
          <mc:Choice Requires="wps">
            <w:drawing>
              <wp:anchor distT="0" distB="0" distL="114300" distR="114300" simplePos="0" relativeHeight="251660288" behindDoc="0" locked="0" layoutInCell="1" allowOverlap="0">
                <wp:simplePos x="0" y="0"/>
                <wp:positionH relativeFrom="margin">
                  <wp:posOffset>-7620</wp:posOffset>
                </wp:positionH>
                <wp:positionV relativeFrom="page">
                  <wp:posOffset>3197860</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6pt;margin-top:251.8pt;height:0pt;width:481.9pt;mso-position-horizontal-relative:margin;mso-position-vertical-relative:page;z-index:251660288;mso-width-relative:page;mso-height-relative:page;" filled="f" stroked="t" coordsize="21600,21600" o:allowoverlap="f" o:gfxdata="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GTQtVXWAAAA&#10;CgEAAA8AAAAAAAAAAQAgAAAAOAAAAGRycy9kb3ducmV2LnhtbFBLAQIUABQAAAAIAIdO4kAJgJny&#10;0AEAAG8DAAAOAAAAAAAAAAEAIAAAADsBAABkcnMvZTJvRG9jLnhtbFBLBQYAAAAABgAGAFkBAAB9&#10;BQAAAAA=&#10;">
                <v:fill on="f" focussize="0,0"/>
                <v:stroke color="#000000" joinstyle="round"/>
                <v:imagedata o:title=""/>
                <o:lock v:ext="edit" aspectratio="f"/>
              </v:line>
            </w:pict>
          </mc:Fallback>
        </mc:AlternateContent>
      </w:r>
      <w:r>
        <w:rPr>
          <w:rFonts w:hint="eastAsia" w:ascii="黑体" w:hAnsi="黑体" w:eastAsia="黑体"/>
          <w:kern w:val="0"/>
          <w:sz w:val="52"/>
          <w:szCs w:val="52"/>
          <w:lang w:val="en-US"/>
        </w:rPr>
        <w:t>河   北   省   地   方   标   准</w:t>
      </w:r>
    </w:p>
    <w:p>
      <w:pPr>
        <w:pStyle w:val="205"/>
        <w:framePr w:x="1357" w:y="5857"/>
        <w:rPr>
          <w:rFonts w:hint="eastAsia"/>
        </w:rPr>
      </w:pPr>
      <w:r>
        <w:rPr>
          <w:rFonts w:hint="eastAsia"/>
        </w:rPr>
        <w:t>氢气管束式集装箱充装安全技术规范</w:t>
      </w:r>
    </w:p>
    <w:p>
      <w:pPr>
        <w:pStyle w:val="205"/>
        <w:framePr w:x="1357" w:y="5857"/>
        <w:rPr>
          <w:rFonts w:hint="eastAsia"/>
        </w:rPr>
      </w:pPr>
      <w:r>
        <w:rPr>
          <w:rFonts w:hint="eastAsia"/>
        </w:rPr>
        <w:t>（</w:t>
      </w:r>
      <w:r>
        <w:rPr>
          <w:rFonts w:hint="eastAsia"/>
          <w:lang w:val="en-US" w:eastAsia="zh-CN"/>
        </w:rPr>
        <w:t>征求意见</w:t>
      </w:r>
      <w:r>
        <w:rPr>
          <w:rFonts w:hint="eastAsia"/>
        </w:rPr>
        <w:t>稿）</w:t>
      </w:r>
    </w:p>
    <w:p>
      <w:pPr>
        <w:pStyle w:val="203"/>
        <w:framePr w:x="1463" w:y="4417"/>
        <w:rPr>
          <w:rFonts w:hint="eastAsia" w:hAnsi="黑体"/>
        </w:rPr>
      </w:pPr>
      <w:r>
        <w:rPr>
          <w:rFonts w:hint="eastAsia"/>
        </w:rPr>
        <w:t>DB 13</w:t>
      </w:r>
      <w:r>
        <w:t>/</w:t>
      </w:r>
      <w:r>
        <w:rPr>
          <w:rFonts w:hint="eastAsia"/>
        </w:rPr>
        <w:t xml:space="preserve">  </w:t>
      </w:r>
      <w:r>
        <w:rPr>
          <w:rFonts w:hint="eastAsia" w:hAnsi="黑体"/>
        </w:rPr>
        <w:t>XXXX—</w:t>
      </w:r>
      <w:r>
        <w:rPr>
          <w:rFonts w:hint="eastAsia"/>
        </w:rPr>
        <w:t>202</w:t>
      </w:r>
      <w:r>
        <w:rPr>
          <w:rFonts w:hint="eastAsia" w:hAnsi="黑体"/>
        </w:rPr>
        <w:t>X</w:t>
      </w:r>
    </w:p>
    <w:p>
      <w:pPr>
        <w:pStyle w:val="14"/>
        <w:ind w:firstLine="640"/>
        <w:rPr>
          <w:rFonts w:hint="eastAsia"/>
        </w:rPr>
      </w:pPr>
      <w:r>
        <w:rPr>
          <w:rFonts w:hint="eastAsia"/>
        </w:rPr>
        <w:t xml:space="preserve">                                     </w:t>
      </w:r>
    </w:p>
    <w:p>
      <w:pPr>
        <w:pStyle w:val="201"/>
        <w:framePr w:y="14176"/>
      </w:pPr>
      <w:r>
        <w:rPr>
          <w:rFonts w:ascii="黑体"/>
        </w:rPr>
        <w:t>202</w:t>
      </w:r>
      <w:r>
        <w:rPr>
          <w:rFonts w:hint="eastAsia" w:ascii="黑体" w:hAnsi="黑体"/>
        </w:rPr>
        <w:t>X</w:t>
      </w:r>
      <w:r>
        <w:rPr>
          <w:rFonts w:ascii="黑体"/>
        </w:rPr>
        <w:t>-</w:t>
      </w:r>
      <w:r>
        <w:rPr>
          <w:rFonts w:hint="eastAsia" w:ascii="黑体" w:hAnsi="黑体"/>
        </w:rPr>
        <w:t>XX</w:t>
      </w:r>
      <w:r>
        <w:rPr>
          <w:rFonts w:ascii="黑体"/>
        </w:rPr>
        <w:t>-</w:t>
      </w:r>
      <w:r>
        <w:rPr>
          <w:rFonts w:hint="eastAsia" w:ascii="黑体" w:hAnsi="黑体"/>
        </w:rPr>
        <w:t>XX</w:t>
      </w:r>
      <w:r>
        <w:rPr>
          <w:rFonts w:hint="eastAsia"/>
        </w:rPr>
        <w:t xml:space="preserve">发布  </w:t>
      </w:r>
    </w:p>
    <w:p>
      <w:pPr>
        <w:pStyle w:val="202"/>
        <w:framePr w:y="14176"/>
      </w:pPr>
      <w:r>
        <w:rPr>
          <w:rFonts w:ascii="黑体"/>
        </w:rPr>
        <w:t>202</w:t>
      </w:r>
      <w:r>
        <w:rPr>
          <w:rFonts w:hint="eastAsia" w:ascii="黑体" w:hAnsi="黑体"/>
        </w:rPr>
        <w:t>X</w:t>
      </w:r>
      <w:r>
        <w:rPr>
          <w:rFonts w:ascii="黑体"/>
        </w:rPr>
        <w:t>-</w:t>
      </w:r>
      <w:bookmarkStart w:id="0" w:name="_Hlk164848179"/>
      <w:r>
        <w:rPr>
          <w:rFonts w:hint="eastAsia" w:ascii="黑体" w:hAnsi="黑体"/>
        </w:rPr>
        <w:t>XX</w:t>
      </w:r>
      <w:r>
        <w:rPr>
          <w:rFonts w:ascii="黑体"/>
        </w:rPr>
        <w:t>-</w:t>
      </w:r>
      <w:bookmarkStart w:id="1" w:name="_Hlk164848163"/>
      <w:r>
        <w:rPr>
          <w:rFonts w:hint="eastAsia" w:ascii="黑体" w:hAnsi="黑体"/>
        </w:rPr>
        <w:t>XX</w:t>
      </w:r>
      <w:bookmarkEnd w:id="0"/>
      <w:bookmarkEnd w:id="1"/>
      <w:r>
        <w:rPr>
          <w:rFonts w:hint="eastAsia"/>
        </w:rPr>
        <w:t>实施</w:t>
      </w:r>
    </w:p>
    <w:p>
      <w:pPr>
        <w:pStyle w:val="159"/>
        <w:framePr w:h="584" w:hRule="exact" w:hSpace="181" w:vSpace="181" w:vAnchor="page" w:hAnchor="page" w:x="2400" w:y="14836"/>
        <w:rPr>
          <w:rFonts w:hint="eastAsia" w:hAnsi="黑体"/>
        </w:rPr>
      </w:pPr>
      <w:r>
        <w:rPr>
          <w:rFonts w:hint="eastAsia" w:hAnsi="黑体"/>
          <w:w w:val="100"/>
          <w:sz w:val="28"/>
        </w:rPr>
        <w:t>河北省市场监督管理局</w:t>
      </w:r>
      <w:r>
        <w:rPr>
          <w:rFonts w:ascii="Times New Roman"/>
          <w:w w:val="100"/>
          <w:sz w:val="28"/>
        </w:rPr>
        <w:t>  </w:t>
      </w:r>
      <w:r>
        <w:rPr>
          <w:rStyle w:val="237"/>
          <w:rFonts w:hint="eastAsia" w:hAnsi="黑体"/>
          <w:position w:val="0"/>
        </w:rPr>
        <w:t>发</w:t>
      </w:r>
      <w:r>
        <w:rPr>
          <w:rStyle w:val="237"/>
          <w:rFonts w:hint="eastAsia" w:hAnsi="黑体"/>
          <w:spacing w:val="0"/>
          <w:position w:val="0"/>
        </w:rPr>
        <w:t>布</w:t>
      </w:r>
    </w:p>
    <w:p>
      <w:pPr>
        <w:rPr>
          <w:rFonts w:hint="eastAsia"/>
        </w:rPr>
        <w:sectPr>
          <w:headerReference r:id="rId5" w:type="default"/>
          <w:footerReference r:id="rId6" w:type="even"/>
          <w:type w:val="continuous"/>
          <w:pgSz w:w="11906" w:h="16838"/>
          <w:pgMar w:top="567" w:right="1134" w:bottom="1134" w:left="1134" w:header="1418" w:footer="1134" w:gutter="284"/>
          <w:cols w:space="425" w:num="1"/>
          <w:titlePg/>
          <w:docGrid w:linePitch="312" w:charSpace="0"/>
        </w:sectPr>
      </w:pPr>
      <w:r>
        <mc:AlternateContent>
          <mc:Choice Requires="wps">
            <w:drawing>
              <wp:anchor distT="0" distB="0" distL="114300" distR="114300" simplePos="0" relativeHeight="251659264" behindDoc="0" locked="1" layoutInCell="1" allowOverlap="1">
                <wp:simplePos x="0" y="0"/>
                <wp:positionH relativeFrom="page">
                  <wp:posOffset>899795</wp:posOffset>
                </wp:positionH>
                <wp:positionV relativeFrom="page">
                  <wp:posOffset>9253220</wp:posOffset>
                </wp:positionV>
                <wp:extent cx="6120130" cy="0"/>
                <wp:effectExtent l="0" t="4445" r="0" b="508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59264;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qzMc+9cAAAAO&#10;AQAADwAAAAAAAAABACAAAAA4AAAAZHJzL2Rvd25yZXYueG1sUEsBAhQAFAAAAAgAh07iQGSNHbPO&#10;AQAAbQMAAA4AAAAAAAAAAQAgAAAAPAEAAGRycy9lMm9Eb2MueG1sUEsFBgAAAAAGAAYAWQEAAHwF&#10;AAAAAA==&#10;">
                <v:fill on="f" focussize="0,0"/>
                <v:stroke color="#000000" joinstyle="round"/>
                <v:imagedata o:title=""/>
                <o:lock v:ext="edit" aspectratio="f"/>
                <w10:anchorlock/>
              </v:line>
            </w:pict>
          </mc:Fallback>
        </mc:AlternateContent>
      </w:r>
    </w:p>
    <w:p>
      <w:pPr>
        <w:pStyle w:val="99"/>
        <w:rPr>
          <w:rFonts w:hint="eastAsia"/>
        </w:rPr>
      </w:pPr>
      <w:bookmarkStart w:id="2" w:name="BookMark1"/>
      <w:r>
        <w:rPr>
          <w:rFonts w:hint="eastAsia"/>
          <w:spacing w:val="320"/>
        </w:rPr>
        <w:t>目</w:t>
      </w:r>
      <w:r>
        <w:rPr>
          <w:rFonts w:hint="eastAsia"/>
        </w:rPr>
        <w:t>次</w:t>
      </w:r>
    </w:p>
    <w:sdt>
      <w:sdtPr>
        <w:rPr>
          <w:rFonts w:ascii="楷体" w:hAnsi="楷体" w:eastAsia="楷体" w:cs="Times New Roman"/>
          <w:snapToGrid/>
          <w:color w:val="auto"/>
          <w:kern w:val="2"/>
          <w:sz w:val="21"/>
          <w:szCs w:val="21"/>
        </w:rPr>
        <w:id w:val="-1572727664"/>
        <w:docPartObj>
          <w:docPartGallery w:val="Table of Contents"/>
          <w:docPartUnique/>
        </w:docPartObj>
      </w:sdtPr>
      <w:sdtEndPr>
        <w:rPr>
          <w:rFonts w:ascii="宋体" w:hAnsi="宋体" w:eastAsia="宋体" w:cs="Times New Roman"/>
          <w:snapToGrid/>
          <w:color w:val="auto"/>
          <w:kern w:val="2"/>
          <w:sz w:val="18"/>
          <w:szCs w:val="18"/>
        </w:rPr>
      </w:sdtEndPr>
      <w:sdtContent>
        <w:p>
          <w:pPr>
            <w:pStyle w:val="329"/>
            <w:rPr>
              <w:rFonts w:hint="eastAsia" w:ascii="宋体" w:hAnsi="宋体" w:eastAsia="宋体"/>
              <w:sz w:val="24"/>
              <w:szCs w:val="24"/>
            </w:rPr>
          </w:pPr>
        </w:p>
        <w:p>
          <w:pPr>
            <w:pStyle w:val="21"/>
            <w:tabs>
              <w:tab w:val="right" w:leader="dot" w:pos="9354"/>
            </w:tabs>
          </w:pPr>
          <w:r>
            <w:rPr>
              <w:spacing w:val="320"/>
            </w:rPr>
            <w:t>前</w:t>
          </w:r>
          <w:r>
            <w:t>言</w:t>
          </w:r>
          <w:r>
            <w:tab/>
          </w:r>
          <w:r>
            <w:t>II</w:t>
          </w:r>
        </w:p>
        <w:p>
          <w:pPr>
            <w:pStyle w:val="21"/>
            <w:tabs>
              <w:tab w:val="right" w:leader="dot" w:pos="9354"/>
            </w:tabs>
          </w:pPr>
          <w:r>
            <w:rPr>
              <w:rFonts w:hint="default"/>
              <w:szCs w:val="21"/>
            </w:rPr>
            <w:t xml:space="preserve">1 </w:t>
          </w:r>
          <w:r>
            <w:rPr>
              <w:rFonts w:hint="eastAsia"/>
              <w:szCs w:val="21"/>
            </w:rPr>
            <w:t>范围</w:t>
          </w:r>
          <w:r>
            <w:tab/>
          </w:r>
          <w:r>
            <w:t>1</w:t>
          </w:r>
        </w:p>
        <w:p>
          <w:pPr>
            <w:pStyle w:val="21"/>
            <w:tabs>
              <w:tab w:val="right" w:leader="dot" w:pos="9354"/>
            </w:tabs>
          </w:pPr>
          <w:r>
            <w:rPr>
              <w:rFonts w:hint="default"/>
              <w:szCs w:val="21"/>
            </w:rPr>
            <w:t xml:space="preserve">2 </w:t>
          </w:r>
          <w:r>
            <w:rPr>
              <w:rFonts w:hint="eastAsia"/>
              <w:szCs w:val="21"/>
            </w:rPr>
            <w:t>规范性引用文件</w:t>
          </w:r>
          <w:r>
            <w:tab/>
          </w:r>
          <w:r>
            <w:t>1</w:t>
          </w:r>
        </w:p>
        <w:p>
          <w:pPr>
            <w:pStyle w:val="21"/>
            <w:tabs>
              <w:tab w:val="right" w:leader="dot" w:pos="9354"/>
            </w:tabs>
          </w:pPr>
          <w:r>
            <w:rPr>
              <w:rFonts w:hint="default"/>
              <w:szCs w:val="21"/>
            </w:rPr>
            <w:t xml:space="preserve">3 </w:t>
          </w:r>
          <w:r>
            <w:rPr>
              <w:rFonts w:hint="eastAsia"/>
              <w:szCs w:val="21"/>
            </w:rPr>
            <w:t>术语和定义</w:t>
          </w:r>
          <w:r>
            <w:tab/>
          </w:r>
          <w:r>
            <w:t>2</w:t>
          </w:r>
        </w:p>
        <w:p>
          <w:pPr>
            <w:pStyle w:val="21"/>
            <w:tabs>
              <w:tab w:val="right" w:leader="dot" w:pos="9354"/>
            </w:tabs>
          </w:pPr>
          <w:r>
            <w:rPr>
              <w:rFonts w:hint="default"/>
              <w:szCs w:val="21"/>
            </w:rPr>
            <w:t xml:space="preserve">4 </w:t>
          </w:r>
          <w:r>
            <w:rPr>
              <w:rFonts w:hint="eastAsia"/>
              <w:szCs w:val="21"/>
            </w:rPr>
            <w:t>基本要求</w:t>
          </w:r>
          <w:r>
            <w:tab/>
          </w:r>
          <w:r>
            <w:t>3</w:t>
          </w:r>
        </w:p>
        <w:p>
          <w:pPr>
            <w:pStyle w:val="21"/>
            <w:tabs>
              <w:tab w:val="right" w:leader="dot" w:pos="9354"/>
            </w:tabs>
          </w:pPr>
          <w:r>
            <w:rPr>
              <w:rFonts w:hint="default"/>
              <w:szCs w:val="21"/>
            </w:rPr>
            <w:t xml:space="preserve">5 </w:t>
          </w:r>
          <w:r>
            <w:rPr>
              <w:rFonts w:hint="eastAsia"/>
              <w:szCs w:val="21"/>
              <w:lang w:val="en-US" w:eastAsia="zh-CN"/>
            </w:rPr>
            <w:t>充装作业</w:t>
          </w:r>
          <w:r>
            <w:tab/>
          </w:r>
          <w:r>
            <w:t>5</w:t>
          </w:r>
        </w:p>
        <w:p>
          <w:pPr>
            <w:pStyle w:val="21"/>
            <w:tabs>
              <w:tab w:val="right" w:leader="dot" w:pos="9354"/>
            </w:tabs>
          </w:pPr>
          <w:r>
            <w:rPr>
              <w:rFonts w:hint="default"/>
              <w:szCs w:val="21"/>
              <w:lang w:val="en-US" w:eastAsia="zh-CN"/>
            </w:rPr>
            <w:t xml:space="preserve">6 </w:t>
          </w:r>
          <w:r>
            <w:rPr>
              <w:rFonts w:hint="eastAsia"/>
              <w:szCs w:val="21"/>
              <w:lang w:val="en-US" w:eastAsia="zh-CN"/>
            </w:rPr>
            <w:t>质量保障</w:t>
          </w:r>
          <w:r>
            <w:tab/>
          </w:r>
          <w:r>
            <w:t>7</w:t>
          </w:r>
        </w:p>
        <w:p>
          <w:pPr>
            <w:pStyle w:val="21"/>
            <w:tabs>
              <w:tab w:val="right" w:leader="dot" w:pos="9354"/>
            </w:tabs>
          </w:pPr>
          <w:r>
            <w:rPr>
              <w:rFonts w:hint="default"/>
              <w:bCs w:val="0"/>
              <w:szCs w:val="21"/>
            </w:rPr>
            <w:t xml:space="preserve">7 </w:t>
          </w:r>
          <w:r>
            <w:rPr>
              <w:rFonts w:hint="eastAsia"/>
              <w:bCs w:val="0"/>
              <w:szCs w:val="21"/>
              <w:lang w:val="en-US" w:eastAsia="zh-CN"/>
            </w:rPr>
            <w:t>禁控现象和异常情况</w:t>
          </w:r>
          <w:r>
            <w:tab/>
          </w:r>
          <w:r>
            <w:t>8</w:t>
          </w:r>
        </w:p>
        <w:p>
          <w:pPr>
            <w:pStyle w:val="21"/>
            <w:tabs>
              <w:tab w:val="right" w:leader="dot" w:pos="9354"/>
            </w:tabs>
          </w:pPr>
          <w:r>
            <w:rPr>
              <w:rFonts w:hint="default"/>
              <w:bCs w:val="0"/>
              <w:szCs w:val="21"/>
              <w:lang w:val="en-US" w:eastAsia="zh-CN"/>
            </w:rPr>
            <w:t xml:space="preserve">8 </w:t>
          </w:r>
          <w:r>
            <w:rPr>
              <w:rFonts w:hint="eastAsia"/>
              <w:bCs w:val="0"/>
              <w:szCs w:val="21"/>
              <w:lang w:val="en-US" w:eastAsia="zh-CN"/>
            </w:rPr>
            <w:t>应急与救援</w:t>
          </w:r>
          <w:r>
            <w:tab/>
          </w:r>
          <w:r>
            <w:t>9</w:t>
          </w:r>
        </w:p>
        <w:p>
          <w:pPr>
            <w:pStyle w:val="21"/>
            <w:tabs>
              <w:tab w:val="right" w:leader="dot" w:pos="9354"/>
            </w:tabs>
          </w:pPr>
          <w:r>
            <w:rPr>
              <w:rFonts w:hint="eastAsia"/>
            </w:rPr>
            <w:t>附录A</w:t>
          </w:r>
          <w:r>
            <w:tab/>
          </w:r>
          <w:r>
            <w:t>10</w:t>
          </w:r>
        </w:p>
        <w:p>
          <w:pPr>
            <w:pStyle w:val="21"/>
            <w:tabs>
              <w:tab w:val="right" w:leader="dot" w:pos="9354"/>
            </w:tabs>
          </w:pPr>
          <w:r>
            <w:rPr>
              <w:rFonts w:hint="eastAsia"/>
            </w:rPr>
            <w:t>附录B</w:t>
          </w:r>
          <w:r>
            <w:tab/>
          </w:r>
          <w:r>
            <w:t>10</w:t>
          </w:r>
        </w:p>
        <w:p>
          <w:pPr>
            <w:pStyle w:val="21"/>
            <w:tabs>
              <w:tab w:val="right" w:leader="dot" w:pos="9354"/>
            </w:tabs>
          </w:pPr>
          <w:r>
            <w:rPr>
              <w:rFonts w:hint="eastAsia"/>
              <w:szCs w:val="21"/>
            </w:rPr>
            <w:t>参考文献</w:t>
          </w:r>
          <w:r>
            <w:tab/>
          </w:r>
          <w:r>
            <w:t>12</w:t>
          </w:r>
        </w:p>
        <w:p>
          <w:pPr>
            <w:ind w:firstLine="480"/>
            <w:rPr>
              <w:rFonts w:hint="eastAsia"/>
            </w:rPr>
          </w:pPr>
        </w:p>
      </w:sdtContent>
    </w:sdt>
    <w:p>
      <w:pPr>
        <w:pStyle w:val="21"/>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97"/>
        <w:spacing w:after="360"/>
      </w:pPr>
      <w:bookmarkStart w:id="3" w:name="_Toc183285796"/>
      <w:bookmarkStart w:id="4" w:name="_Toc89843752"/>
      <w:bookmarkStart w:id="5" w:name="_Toc29609"/>
      <w:r>
        <w:rPr>
          <w:spacing w:val="320"/>
        </w:rPr>
        <w:t>前</w:t>
      </w:r>
      <w:r>
        <w:t>言</w:t>
      </w:r>
      <w:bookmarkEnd w:id="3"/>
      <w:bookmarkEnd w:id="4"/>
      <w:bookmarkEnd w:id="5"/>
    </w:p>
    <w:p>
      <w:pPr>
        <w:pStyle w:val="64"/>
        <w:adjustRightInd/>
        <w:snapToGrid/>
        <w:spacing w:before="0" w:after="0"/>
        <w:ind w:right="0" w:rightChars="0" w:firstLine="480"/>
        <w:rPr>
          <w:rFonts w:hint="eastAsia"/>
          <w:sz w:val="21"/>
          <w:szCs w:val="21"/>
        </w:rPr>
      </w:pPr>
      <w:r>
        <w:rPr>
          <w:rFonts w:hint="eastAsia"/>
          <w:sz w:val="21"/>
          <w:szCs w:val="21"/>
        </w:rPr>
        <w:t>本文件按照GB/T 1.1—2020《标准化工作导则  第1部分：标准化文件的结构和起草规则》</w:t>
      </w:r>
      <w:r>
        <w:rPr>
          <w:rFonts w:hint="eastAsia"/>
          <w:sz w:val="21"/>
          <w:szCs w:val="21"/>
          <w:lang w:val="en-US" w:eastAsia="zh-CN"/>
        </w:rPr>
        <w:t>的规定</w:t>
      </w:r>
      <w:r>
        <w:rPr>
          <w:rFonts w:hint="eastAsia"/>
          <w:sz w:val="21"/>
          <w:szCs w:val="21"/>
        </w:rPr>
        <w:t>起草。</w:t>
      </w:r>
    </w:p>
    <w:p>
      <w:pPr>
        <w:pStyle w:val="64"/>
        <w:adjustRightInd/>
        <w:snapToGrid/>
        <w:spacing w:before="0" w:after="0"/>
        <w:ind w:right="0" w:rightChars="0" w:firstLine="480"/>
        <w:rPr>
          <w:sz w:val="21"/>
          <w:szCs w:val="21"/>
        </w:rPr>
      </w:pPr>
      <w:r>
        <w:rPr>
          <w:rFonts w:hint="eastAsia"/>
          <w:sz w:val="21"/>
          <w:szCs w:val="21"/>
        </w:rPr>
        <w:t>请注意本文件的某些内容可能涉及专利。本文件的发布机构不承担识别专利的责任。</w:t>
      </w:r>
    </w:p>
    <w:p>
      <w:pPr>
        <w:pStyle w:val="64"/>
        <w:adjustRightInd/>
        <w:snapToGrid/>
        <w:spacing w:before="0" w:after="0"/>
        <w:ind w:right="0" w:rightChars="0" w:firstLine="480"/>
        <w:rPr>
          <w:sz w:val="21"/>
          <w:szCs w:val="21"/>
        </w:rPr>
      </w:pPr>
      <w:r>
        <w:rPr>
          <w:rFonts w:hint="eastAsia"/>
          <w:sz w:val="21"/>
          <w:szCs w:val="21"/>
        </w:rPr>
        <w:t>本文件由河北省市场监督管理局提出。</w:t>
      </w:r>
    </w:p>
    <w:p>
      <w:pPr>
        <w:pStyle w:val="64"/>
        <w:adjustRightInd/>
        <w:snapToGrid/>
        <w:spacing w:before="0" w:after="0"/>
        <w:ind w:right="0" w:rightChars="0" w:firstLine="480"/>
        <w:rPr>
          <w:sz w:val="21"/>
          <w:szCs w:val="21"/>
        </w:rPr>
      </w:pPr>
      <w:r>
        <w:rPr>
          <w:rFonts w:hint="eastAsia"/>
          <w:sz w:val="21"/>
          <w:szCs w:val="21"/>
        </w:rPr>
        <w:t>本文件由河北省市场监督管理局归口。</w:t>
      </w:r>
    </w:p>
    <w:p>
      <w:pPr>
        <w:pStyle w:val="64"/>
        <w:adjustRightInd/>
        <w:snapToGrid/>
        <w:spacing w:before="0" w:after="0"/>
        <w:ind w:right="0" w:rightChars="0" w:firstLine="480"/>
        <w:rPr>
          <w:rFonts w:hint="eastAsia"/>
          <w:sz w:val="21"/>
          <w:szCs w:val="21"/>
          <w:lang w:val="en-US" w:eastAsia="zh-CN"/>
        </w:rPr>
      </w:pPr>
      <w:r>
        <w:rPr>
          <w:rFonts w:hint="eastAsia"/>
          <w:sz w:val="21"/>
          <w:szCs w:val="21"/>
        </w:rPr>
        <w:t>本文件起草单位</w:t>
      </w:r>
      <w:r>
        <w:rPr>
          <w:rFonts w:hint="eastAsia"/>
          <w:sz w:val="21"/>
          <w:szCs w:val="21"/>
          <w:lang w:val="en-US" w:eastAsia="zh-CN"/>
        </w:rPr>
        <w:t>：</w:t>
      </w:r>
      <w:r>
        <w:rPr>
          <w:rFonts w:hint="eastAsia"/>
          <w:sz w:val="21"/>
          <w:szCs w:val="21"/>
        </w:rPr>
        <w:t>河北启明氢能源发展有限公司、</w:t>
      </w:r>
      <w:r>
        <w:rPr>
          <w:rFonts w:hint="eastAsia"/>
          <w:sz w:val="21"/>
          <w:szCs w:val="21"/>
          <w:lang w:val="en-US" w:eastAsia="zh-CN"/>
        </w:rPr>
        <w:t>河北省特种设备技术检查中心、</w:t>
      </w:r>
      <w:r>
        <w:rPr>
          <w:rFonts w:hint="eastAsia"/>
          <w:sz w:val="21"/>
          <w:szCs w:val="21"/>
        </w:rPr>
        <w:t>石家庄高新技术产业开发区市场监督管理局</w:t>
      </w:r>
      <w:r>
        <w:rPr>
          <w:rFonts w:hint="eastAsia"/>
          <w:sz w:val="21"/>
          <w:szCs w:val="21"/>
          <w:lang w:eastAsia="zh-CN"/>
        </w:rPr>
        <w:t>、</w:t>
      </w:r>
      <w:r>
        <w:rPr>
          <w:rFonts w:hint="eastAsia"/>
          <w:sz w:val="21"/>
          <w:szCs w:val="21"/>
        </w:rPr>
        <w:t>濮阳市伟祺化工物资有限公司衡水分公司、河北欣国氢能科技有限公司</w:t>
      </w:r>
      <w:r>
        <w:rPr>
          <w:rFonts w:hint="eastAsia"/>
          <w:sz w:val="21"/>
          <w:szCs w:val="21"/>
          <w:lang w:eastAsia="zh-CN"/>
        </w:rPr>
        <w:t>、</w:t>
      </w:r>
      <w:r>
        <w:rPr>
          <w:rFonts w:hint="eastAsia"/>
          <w:sz w:val="21"/>
          <w:szCs w:val="21"/>
          <w:lang w:val="en-US" w:eastAsia="zh-CN"/>
        </w:rPr>
        <w:t>定州旭阳氢能有限公司</w:t>
      </w:r>
      <w:r>
        <w:rPr>
          <w:rFonts w:hint="eastAsia"/>
          <w:sz w:val="21"/>
          <w:szCs w:val="21"/>
          <w:lang w:eastAsia="zh-CN"/>
        </w:rPr>
        <w:t>。</w:t>
      </w:r>
      <w:r>
        <w:rPr>
          <w:rFonts w:hint="eastAsia"/>
          <w:sz w:val="21"/>
          <w:szCs w:val="21"/>
          <w:lang w:val="en-US" w:eastAsia="zh-CN"/>
        </w:rPr>
        <w:t xml:space="preserve"> </w:t>
      </w:r>
    </w:p>
    <w:p>
      <w:pPr>
        <w:pStyle w:val="64"/>
        <w:adjustRightInd/>
        <w:snapToGrid/>
        <w:spacing w:before="0" w:after="0"/>
        <w:ind w:right="0" w:rightChars="0" w:firstLine="480"/>
        <w:rPr>
          <w:rFonts w:hint="default"/>
          <w:sz w:val="21"/>
          <w:szCs w:val="21"/>
          <w:lang w:val="en-US" w:eastAsia="zh-CN"/>
        </w:rPr>
      </w:pPr>
      <w:r>
        <w:rPr>
          <w:rFonts w:hint="eastAsia"/>
          <w:sz w:val="21"/>
          <w:szCs w:val="21"/>
        </w:rPr>
        <w:t>本文件主要起草人：李吉海</w:t>
      </w:r>
      <w:r>
        <w:rPr>
          <w:rFonts w:hint="eastAsia"/>
          <w:sz w:val="21"/>
          <w:szCs w:val="21"/>
          <w:lang w:eastAsia="zh-CN"/>
        </w:rPr>
        <w:t>、屈颖、薛寅浩、陶雷、李黎、钟海龙、冯敏、宋柯、姚嘉宁、孟祥钦、魏国强、杨国宾、韩振威、王占杰、杨嘉伟、</w:t>
      </w:r>
      <w:r>
        <w:rPr>
          <w:rFonts w:hint="eastAsia"/>
          <w:sz w:val="21"/>
          <w:szCs w:val="21"/>
          <w:lang w:val="en-US" w:eastAsia="zh-CN"/>
        </w:rPr>
        <w:t>郄迎立、</w:t>
      </w:r>
      <w:r>
        <w:rPr>
          <w:rFonts w:hint="eastAsia"/>
          <w:sz w:val="21"/>
          <w:szCs w:val="21"/>
          <w:lang w:eastAsia="zh-CN"/>
        </w:rPr>
        <w:t>常慧娟、王统军、李广海、马二亮、李畅、邢亚峰、郝立松</w:t>
      </w:r>
      <w:r>
        <w:rPr>
          <w:rFonts w:hint="eastAsia"/>
          <w:sz w:val="21"/>
          <w:szCs w:val="21"/>
          <w:lang w:val="en-US" w:eastAsia="zh-CN"/>
        </w:rPr>
        <w:t>、李双泉、娄申浩、</w:t>
      </w:r>
      <w:r>
        <w:rPr>
          <w:rFonts w:hint="eastAsia"/>
          <w:sz w:val="21"/>
          <w:szCs w:val="21"/>
          <w:lang w:eastAsia="zh-CN"/>
        </w:rPr>
        <w:t>李艳敏。</w:t>
      </w:r>
    </w:p>
    <w:p>
      <w:pPr>
        <w:rPr>
          <w:rFonts w:hint="eastAsia"/>
        </w:rPr>
      </w:pPr>
    </w:p>
    <w:p>
      <w:pPr>
        <w:rPr>
          <w:rFonts w:hint="eastAsia"/>
        </w:rPr>
        <w:sectPr>
          <w:headerReference r:id="rId7" w:type="default"/>
          <w:footerReference r:id="rId9" w:type="default"/>
          <w:headerReference r:id="rId8" w:type="even"/>
          <w:pgSz w:w="11906" w:h="16838"/>
          <w:pgMar w:top="2410" w:right="1134" w:bottom="1134" w:left="1134" w:header="1418" w:footer="1134" w:gutter="284"/>
          <w:pgNumType w:fmt="upperRoman" w:start="1"/>
          <w:cols w:space="425" w:num="1"/>
          <w:formProt w:val="0"/>
          <w:docGrid w:linePitch="312" w:charSpace="0"/>
        </w:sectPr>
      </w:pPr>
    </w:p>
    <w:bookmarkEnd w:id="2"/>
    <w:p>
      <w:pPr>
        <w:widowControl/>
        <w:adjustRightInd/>
        <w:snapToGrid/>
        <w:spacing w:line="240" w:lineRule="auto"/>
        <w:ind w:firstLine="0" w:firstLineChars="0"/>
        <w:jc w:val="left"/>
        <w:rPr>
          <w:rFonts w:hint="eastAsia"/>
        </w:rPr>
      </w:pPr>
      <w:bookmarkStart w:id="6" w:name="BookMark2"/>
    </w:p>
    <w:bookmarkEnd w:id="6"/>
    <w:sdt>
      <w:sdtPr>
        <w:rPr>
          <w:rFonts w:ascii="黑体" w:hAnsi="黑体" w:eastAsia="黑体"/>
          <w:kern w:val="0"/>
          <w:sz w:val="32"/>
          <w:szCs w:val="32"/>
        </w:rPr>
        <w:tag w:val="NEW_STAND_NAME"/>
        <w:id w:val="595910757"/>
        <w:lock w:val="sdtLocked"/>
        <w:placeholder>
          <w:docPart w:val="C59BB6FE5E404E18A02FC52511CA7956"/>
        </w:placeholder>
      </w:sdtPr>
      <w:sdtEndPr>
        <w:rPr>
          <w:rFonts w:ascii="黑体" w:hAnsi="黑体" w:eastAsia="黑体"/>
          <w:kern w:val="0"/>
          <w:sz w:val="32"/>
          <w:szCs w:val="32"/>
        </w:rPr>
      </w:sdtEndPr>
      <w:sdtContent>
        <w:p>
          <w:pPr>
            <w:ind w:firstLine="0" w:firstLineChars="0"/>
            <w:jc w:val="center"/>
            <w:rPr>
              <w:rFonts w:hint="eastAsia" w:ascii="黑体" w:hAnsi="黑体" w:eastAsia="黑体"/>
              <w:bCs/>
              <w:kern w:val="0"/>
              <w:sz w:val="52"/>
              <w:szCs w:val="20"/>
              <w:lang w:val="en-US"/>
            </w:rPr>
          </w:pPr>
          <w:bookmarkStart w:id="7" w:name="NEW_STAND_NAME"/>
          <w:r>
            <w:rPr>
              <w:rFonts w:hint="eastAsia" w:ascii="黑体" w:hAnsi="黑体" w:eastAsia="黑体"/>
              <w:bCs/>
              <w:kern w:val="0"/>
              <w:sz w:val="52"/>
              <w:szCs w:val="20"/>
              <w:lang w:val="en-US"/>
            </w:rPr>
            <w:t>氢气管束式集装箱充装安全技术规范</w:t>
          </w:r>
        </w:p>
        <w:p>
          <w:pPr>
            <w:ind w:firstLine="0" w:firstLineChars="0"/>
            <w:jc w:val="center"/>
            <w:rPr>
              <w:rFonts w:hint="eastAsia"/>
            </w:rPr>
          </w:pPr>
          <w:r>
            <w:rPr>
              <w:rFonts w:hint="eastAsia"/>
              <w:bCs/>
              <w:sz w:val="44"/>
              <w:szCs w:val="44"/>
              <w:lang w:val="en-US"/>
            </w:rPr>
            <w:t>（</w:t>
          </w:r>
          <w:r>
            <w:rPr>
              <w:rFonts w:hint="eastAsia"/>
              <w:bCs/>
              <w:sz w:val="44"/>
              <w:szCs w:val="44"/>
              <w:lang w:val="en-US" w:eastAsia="zh-CN"/>
            </w:rPr>
            <w:t>征求意见</w:t>
          </w:r>
          <w:r>
            <w:rPr>
              <w:rFonts w:hint="eastAsia"/>
              <w:bCs/>
              <w:sz w:val="44"/>
              <w:szCs w:val="44"/>
              <w:lang w:val="en-US"/>
            </w:rPr>
            <w:t>稿）</w:t>
          </w:r>
          <w:r>
            <w:rPr>
              <w:rFonts w:hint="eastAsia"/>
              <w:bCs/>
              <w:sz w:val="44"/>
              <w:szCs w:val="44"/>
              <w:lang w:val="en-US" w:eastAsia="zh-CN"/>
            </w:rPr>
            <w:t xml:space="preserve">        </w:t>
          </w:r>
        </w:p>
      </w:sdtContent>
    </w:sdt>
    <w:bookmarkEnd w:id="7"/>
    <w:p>
      <w:pPr>
        <w:pStyle w:val="112"/>
        <w:keepNext w:val="0"/>
        <w:keepLines w:val="0"/>
        <w:pageBreakBefore w:val="0"/>
        <w:widowControl/>
        <w:numPr>
          <w:ilvl w:val="0"/>
          <w:numId w:val="37"/>
        </w:numPr>
        <w:kinsoku/>
        <w:wordWrap/>
        <w:overflowPunct/>
        <w:topLinePunct w:val="0"/>
        <w:autoSpaceDE/>
        <w:autoSpaceDN/>
        <w:bidi w:val="0"/>
        <w:adjustRightInd w:val="0"/>
        <w:snapToGrid w:val="0"/>
        <w:ind w:left="425" w:leftChars="0" w:hanging="425" w:firstLineChars="0"/>
        <w:textAlignment w:val="auto"/>
        <w:rPr>
          <w:rFonts w:hint="eastAsia"/>
          <w:sz w:val="21"/>
          <w:szCs w:val="21"/>
        </w:rPr>
      </w:pPr>
      <w:bookmarkStart w:id="8" w:name="_Toc183285797"/>
      <w:bookmarkStart w:id="9" w:name="_Toc26986771"/>
      <w:bookmarkStart w:id="10" w:name="_Toc17233325"/>
      <w:bookmarkStart w:id="11" w:name="_Toc26718930"/>
      <w:bookmarkStart w:id="12" w:name="_Toc24884218"/>
      <w:bookmarkStart w:id="13" w:name="_Toc26986530"/>
      <w:bookmarkStart w:id="14" w:name="_Toc10513"/>
      <w:bookmarkStart w:id="15" w:name="_Toc17233333"/>
      <w:bookmarkStart w:id="16" w:name="_Toc24884211"/>
      <w:bookmarkStart w:id="17" w:name="_Toc26648465"/>
      <w:r>
        <w:rPr>
          <w:rFonts w:hint="eastAsia"/>
          <w:sz w:val="21"/>
          <w:szCs w:val="21"/>
        </w:rPr>
        <w:t>范围</w:t>
      </w:r>
      <w:bookmarkEnd w:id="8"/>
      <w:bookmarkEnd w:id="9"/>
      <w:bookmarkEnd w:id="10"/>
      <w:bookmarkEnd w:id="11"/>
      <w:bookmarkEnd w:id="12"/>
      <w:bookmarkEnd w:id="13"/>
      <w:bookmarkEnd w:id="14"/>
      <w:bookmarkEnd w:id="15"/>
      <w:bookmarkEnd w:id="16"/>
      <w:bookmarkEnd w:id="17"/>
    </w:p>
    <w:p>
      <w:pPr>
        <w:ind w:firstLine="210" w:firstLineChars="100"/>
        <w:jc w:val="both"/>
        <w:rPr>
          <w:color w:val="auto"/>
          <w:sz w:val="21"/>
          <w:szCs w:val="21"/>
        </w:rPr>
      </w:pPr>
      <w:bookmarkStart w:id="18" w:name="_Hlk183343021"/>
      <w:bookmarkStart w:id="19" w:name="_Toc24884212"/>
      <w:bookmarkStart w:id="20" w:name="_Toc26648466"/>
      <w:bookmarkStart w:id="21" w:name="_Toc17233334"/>
      <w:bookmarkStart w:id="22" w:name="_Toc17233326"/>
      <w:bookmarkStart w:id="23" w:name="_Toc24884219"/>
      <w:r>
        <w:rPr>
          <w:rFonts w:hint="eastAsia"/>
          <w:sz w:val="21"/>
          <w:szCs w:val="21"/>
          <w:lang w:val="en-US" w:eastAsia="zh-CN"/>
        </w:rPr>
        <w:t xml:space="preserve"> </w:t>
      </w:r>
      <w:r>
        <w:rPr>
          <w:rFonts w:hint="eastAsia"/>
          <w:color w:val="auto"/>
          <w:sz w:val="21"/>
          <w:szCs w:val="21"/>
          <w:lang w:val="en-US" w:eastAsia="zh-CN"/>
        </w:rPr>
        <w:t xml:space="preserve"> </w:t>
      </w:r>
      <w:r>
        <w:rPr>
          <w:color w:val="auto"/>
          <w:sz w:val="21"/>
          <w:szCs w:val="21"/>
        </w:rPr>
        <w:t>本文件规定了氢气管束式集装箱充装的基本要求、作业流程、充装安全、质量安全</w:t>
      </w:r>
      <w:r>
        <w:rPr>
          <w:rFonts w:hint="eastAsia"/>
          <w:color w:val="auto"/>
          <w:sz w:val="21"/>
          <w:szCs w:val="21"/>
        </w:rPr>
        <w:t>、</w:t>
      </w:r>
      <w:r>
        <w:rPr>
          <w:color w:val="auto"/>
          <w:sz w:val="21"/>
          <w:szCs w:val="21"/>
        </w:rPr>
        <w:t>停止充装</w:t>
      </w:r>
      <w:r>
        <w:rPr>
          <w:rFonts w:hint="eastAsia"/>
          <w:color w:val="auto"/>
          <w:sz w:val="21"/>
          <w:szCs w:val="21"/>
          <w:lang w:eastAsia="zh-CN"/>
        </w:rPr>
        <w:t>、</w:t>
      </w:r>
      <w:r>
        <w:rPr>
          <w:rFonts w:hint="eastAsia"/>
          <w:color w:val="auto"/>
          <w:sz w:val="21"/>
          <w:szCs w:val="21"/>
          <w:lang w:val="en-US" w:eastAsia="zh-CN"/>
        </w:rPr>
        <w:t>禁控现象、异常情况和应急救援</w:t>
      </w:r>
      <w:r>
        <w:rPr>
          <w:color w:val="auto"/>
          <w:sz w:val="21"/>
          <w:szCs w:val="21"/>
        </w:rPr>
        <w:t>的要求。</w:t>
      </w:r>
    </w:p>
    <w:p>
      <w:pPr>
        <w:pStyle w:val="64"/>
        <w:adjustRightInd/>
        <w:snapToGrid/>
        <w:spacing w:before="0" w:after="0"/>
        <w:ind w:right="0" w:rightChars="0" w:firstLine="480"/>
        <w:jc w:val="both"/>
        <w:rPr>
          <w:rFonts w:hint="eastAsia"/>
          <w:sz w:val="21"/>
          <w:szCs w:val="21"/>
        </w:rPr>
      </w:pPr>
      <w:r>
        <w:rPr>
          <w:rFonts w:hint="eastAsia"/>
          <w:sz w:val="21"/>
          <w:szCs w:val="21"/>
        </w:rPr>
        <w:t>本文件适用于河北省内氢气</w:t>
      </w:r>
      <w:r>
        <w:rPr>
          <w:rFonts w:hint="eastAsia"/>
          <w:sz w:val="21"/>
          <w:szCs w:val="21"/>
          <w:lang w:val="en-US" w:eastAsia="zh-CN"/>
        </w:rPr>
        <w:t>充装站</w:t>
      </w:r>
      <w:r>
        <w:rPr>
          <w:rFonts w:hint="eastAsia"/>
          <w:sz w:val="21"/>
          <w:szCs w:val="21"/>
        </w:rPr>
        <w:t>管束式集装箱</w:t>
      </w:r>
      <w:r>
        <w:rPr>
          <w:rFonts w:hint="eastAsia"/>
          <w:sz w:val="21"/>
          <w:szCs w:val="21"/>
          <w:lang w:val="en-US" w:eastAsia="zh-CN"/>
        </w:rPr>
        <w:t>充装条件核查和氢气管束式集装箱</w:t>
      </w:r>
      <w:r>
        <w:rPr>
          <w:rFonts w:hint="eastAsia"/>
          <w:sz w:val="21"/>
          <w:szCs w:val="21"/>
        </w:rPr>
        <w:t>充装作业</w:t>
      </w:r>
      <w:r>
        <w:rPr>
          <w:rFonts w:hint="eastAsia"/>
          <w:sz w:val="21"/>
          <w:szCs w:val="21"/>
          <w:lang w:val="en-US" w:eastAsia="zh-CN"/>
        </w:rPr>
        <w:t>、管束式集装箱氢气充装质量管理。</w:t>
      </w:r>
    </w:p>
    <w:bookmarkEnd w:id="18"/>
    <w:p>
      <w:pPr>
        <w:pStyle w:val="112"/>
        <w:keepNext w:val="0"/>
        <w:keepLines w:val="0"/>
        <w:pageBreakBefore w:val="0"/>
        <w:widowControl/>
        <w:numPr>
          <w:ilvl w:val="0"/>
          <w:numId w:val="37"/>
        </w:numPr>
        <w:kinsoku/>
        <w:wordWrap/>
        <w:overflowPunct/>
        <w:topLinePunct w:val="0"/>
        <w:autoSpaceDE/>
        <w:autoSpaceDN/>
        <w:bidi w:val="0"/>
        <w:adjustRightInd w:val="0"/>
        <w:snapToGrid w:val="0"/>
        <w:ind w:left="425" w:leftChars="0" w:hanging="425" w:firstLineChars="0"/>
        <w:textAlignment w:val="auto"/>
        <w:rPr>
          <w:rFonts w:hint="eastAsia"/>
          <w:sz w:val="21"/>
          <w:szCs w:val="21"/>
        </w:rPr>
      </w:pPr>
      <w:bookmarkStart w:id="24" w:name="_Toc26986772"/>
      <w:bookmarkStart w:id="25" w:name="_Toc183285798"/>
      <w:bookmarkStart w:id="26" w:name="_Toc11554"/>
      <w:bookmarkStart w:id="27" w:name="_Toc26718931"/>
      <w:bookmarkStart w:id="28" w:name="_Toc26986531"/>
      <w:r>
        <w:rPr>
          <w:rFonts w:hint="eastAsia"/>
          <w:sz w:val="21"/>
          <w:szCs w:val="21"/>
        </w:rPr>
        <w:t>规范性引用文件</w:t>
      </w:r>
      <w:bookmarkEnd w:id="19"/>
      <w:bookmarkEnd w:id="20"/>
      <w:bookmarkEnd w:id="21"/>
      <w:bookmarkEnd w:id="22"/>
      <w:bookmarkEnd w:id="23"/>
      <w:bookmarkEnd w:id="24"/>
      <w:bookmarkEnd w:id="25"/>
      <w:bookmarkEnd w:id="26"/>
      <w:bookmarkEnd w:id="27"/>
      <w:bookmarkEnd w:id="28"/>
    </w:p>
    <w:sdt>
      <w:sdtPr>
        <w:rPr>
          <w:rFonts w:hint="eastAsia"/>
          <w:sz w:val="21"/>
          <w:szCs w:val="21"/>
        </w:rPr>
        <w:id w:val="715848253"/>
        <w:placeholder>
          <w:docPart w:val="750C01E4936E4B54B8866B1873A18203"/>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sz w:val="21"/>
          <w:szCs w:val="21"/>
        </w:rPr>
      </w:sdtEndPr>
      <w:sdtContent>
        <w:p>
          <w:pPr>
            <w:pStyle w:val="64"/>
            <w:ind w:firstLine="480"/>
            <w:rPr>
              <w:sz w:val="21"/>
              <w:szCs w:val="21"/>
            </w:rPr>
          </w:pPr>
          <w:r>
            <w:rPr>
              <w:rFonts w:hint="eastAsia"/>
              <w:sz w:val="21"/>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64"/>
        <w:keepNext w:val="0"/>
        <w:keepLines w:val="0"/>
        <w:pageBreakBefore w:val="0"/>
        <w:widowControl/>
        <w:kinsoku/>
        <w:wordWrap/>
        <w:overflowPunct/>
        <w:topLinePunct w:val="0"/>
        <w:autoSpaceDE w:val="0"/>
        <w:autoSpaceDN w:val="0"/>
        <w:bidi w:val="0"/>
        <w:adjustRightInd w:val="0"/>
        <w:snapToGrid w:val="0"/>
        <w:ind w:right="0" w:rightChars="0" w:firstLine="480"/>
        <w:textAlignment w:val="auto"/>
        <w:rPr>
          <w:rFonts w:hAnsi="宋体"/>
          <w:sz w:val="21"/>
          <w:szCs w:val="21"/>
        </w:rPr>
      </w:pPr>
      <w:bookmarkStart w:id="29" w:name="_Hlk164857264"/>
      <w:r>
        <w:rPr>
          <w:rFonts w:hAnsi="宋体"/>
          <w:sz w:val="21"/>
          <w:szCs w:val="21"/>
        </w:rPr>
        <w:t>GB</w:t>
      </w:r>
      <w:r>
        <w:rPr>
          <w:rFonts w:hint="eastAsia" w:hAnsi="宋体"/>
          <w:sz w:val="21"/>
          <w:szCs w:val="21"/>
        </w:rPr>
        <w:t xml:space="preserve"> </w:t>
      </w:r>
      <w:r>
        <w:rPr>
          <w:rFonts w:hAnsi="宋体"/>
          <w:sz w:val="21"/>
          <w:szCs w:val="21"/>
        </w:rPr>
        <w:t>2894</w:t>
      </w:r>
      <w:r>
        <w:rPr>
          <w:rFonts w:hint="eastAsia" w:hAnsi="宋体"/>
          <w:sz w:val="21"/>
          <w:szCs w:val="21"/>
          <w:lang w:val="en-US" w:eastAsia="zh-CN"/>
        </w:rPr>
        <w:t xml:space="preserve">  </w:t>
      </w:r>
      <w:r>
        <w:rPr>
          <w:rFonts w:hAnsi="宋体"/>
          <w:sz w:val="21"/>
          <w:szCs w:val="21"/>
        </w:rPr>
        <w:t>安全标志及其使用导则</w:t>
      </w:r>
    </w:p>
    <w:p>
      <w:pPr>
        <w:pStyle w:val="64"/>
        <w:keepNext w:val="0"/>
        <w:keepLines w:val="0"/>
        <w:pageBreakBefore w:val="0"/>
        <w:widowControl/>
        <w:kinsoku/>
        <w:wordWrap/>
        <w:overflowPunct/>
        <w:topLinePunct w:val="0"/>
        <w:autoSpaceDE w:val="0"/>
        <w:autoSpaceDN w:val="0"/>
        <w:bidi w:val="0"/>
        <w:adjustRightInd w:val="0"/>
        <w:snapToGrid w:val="0"/>
        <w:ind w:right="0" w:rightChars="0" w:firstLine="480"/>
        <w:textAlignment w:val="auto"/>
        <w:rPr>
          <w:rFonts w:hAnsi="宋体"/>
          <w:sz w:val="21"/>
          <w:szCs w:val="21"/>
        </w:rPr>
      </w:pPr>
      <w:r>
        <w:rPr>
          <w:rFonts w:hAnsi="宋体"/>
          <w:sz w:val="21"/>
          <w:szCs w:val="21"/>
        </w:rPr>
        <w:t xml:space="preserve">GB 31633 </w:t>
      </w:r>
      <w:r>
        <w:rPr>
          <w:rFonts w:hint="eastAsia" w:hAnsi="宋体"/>
          <w:sz w:val="21"/>
          <w:szCs w:val="21"/>
          <w:lang w:val="en-US" w:eastAsia="zh-CN"/>
        </w:rPr>
        <w:t xml:space="preserve"> </w:t>
      </w:r>
      <w:r>
        <w:rPr>
          <w:rFonts w:hAnsi="宋体"/>
          <w:sz w:val="21"/>
          <w:szCs w:val="21"/>
        </w:rPr>
        <w:t>食品安全国家标准 食品添加剂 氢气</w:t>
      </w:r>
    </w:p>
    <w:p>
      <w:pPr>
        <w:pStyle w:val="64"/>
        <w:keepNext w:val="0"/>
        <w:keepLines w:val="0"/>
        <w:pageBreakBefore w:val="0"/>
        <w:widowControl/>
        <w:kinsoku/>
        <w:wordWrap/>
        <w:overflowPunct/>
        <w:topLinePunct w:val="0"/>
        <w:autoSpaceDE w:val="0"/>
        <w:autoSpaceDN w:val="0"/>
        <w:bidi w:val="0"/>
        <w:adjustRightInd w:val="0"/>
        <w:snapToGrid w:val="0"/>
        <w:ind w:right="0" w:rightChars="0" w:firstLine="480"/>
        <w:textAlignment w:val="auto"/>
        <w:rPr>
          <w:rFonts w:hint="eastAsia" w:hAnsi="宋体"/>
          <w:sz w:val="21"/>
          <w:szCs w:val="21"/>
        </w:rPr>
      </w:pPr>
      <w:r>
        <w:rPr>
          <w:rFonts w:hint="eastAsia" w:hAnsi="宋体"/>
          <w:sz w:val="21"/>
          <w:szCs w:val="21"/>
        </w:rPr>
        <w:t>GB 4962  氢气使用安全技术规程</w:t>
      </w:r>
    </w:p>
    <w:p>
      <w:pPr>
        <w:pStyle w:val="64"/>
        <w:keepNext w:val="0"/>
        <w:keepLines w:val="0"/>
        <w:pageBreakBefore w:val="0"/>
        <w:widowControl/>
        <w:kinsoku/>
        <w:wordWrap/>
        <w:overflowPunct/>
        <w:topLinePunct w:val="0"/>
        <w:autoSpaceDE w:val="0"/>
        <w:autoSpaceDN w:val="0"/>
        <w:bidi w:val="0"/>
        <w:adjustRightInd w:val="0"/>
        <w:snapToGrid w:val="0"/>
        <w:ind w:right="0" w:rightChars="0" w:firstLine="480"/>
        <w:textAlignment w:val="auto"/>
        <w:rPr>
          <w:rFonts w:hint="eastAsia" w:hAnsi="宋体"/>
          <w:sz w:val="21"/>
          <w:szCs w:val="21"/>
        </w:rPr>
      </w:pPr>
      <w:r>
        <w:rPr>
          <w:rFonts w:hint="eastAsia" w:hAnsi="宋体"/>
          <w:sz w:val="21"/>
          <w:szCs w:val="21"/>
          <w:lang w:val="en-US" w:eastAsia="zh-CN"/>
        </w:rPr>
        <w:t>GB 50177  氢气站设计规范</w:t>
      </w:r>
    </w:p>
    <w:p>
      <w:pPr>
        <w:pStyle w:val="64"/>
        <w:keepNext w:val="0"/>
        <w:keepLines w:val="0"/>
        <w:pageBreakBefore w:val="0"/>
        <w:widowControl/>
        <w:kinsoku/>
        <w:wordWrap/>
        <w:overflowPunct/>
        <w:topLinePunct w:val="0"/>
        <w:autoSpaceDE w:val="0"/>
        <w:autoSpaceDN w:val="0"/>
        <w:bidi w:val="0"/>
        <w:adjustRightInd w:val="0"/>
        <w:snapToGrid w:val="0"/>
        <w:ind w:right="0" w:rightChars="0" w:firstLine="480"/>
        <w:textAlignment w:val="auto"/>
        <w:rPr>
          <w:rFonts w:hint="eastAsia" w:hAnsi="宋体"/>
          <w:sz w:val="21"/>
          <w:szCs w:val="21"/>
        </w:rPr>
      </w:pPr>
      <w:r>
        <w:rPr>
          <w:rFonts w:hAnsi="宋体"/>
          <w:sz w:val="21"/>
          <w:szCs w:val="21"/>
        </w:rPr>
        <w:t>GB/T 24499</w:t>
      </w:r>
      <w:r>
        <w:rPr>
          <w:rFonts w:hint="eastAsia" w:hAnsi="宋体"/>
          <w:sz w:val="21"/>
          <w:szCs w:val="21"/>
        </w:rPr>
        <w:t xml:space="preserve">  氢气、氢能与氢能系统术语</w:t>
      </w:r>
    </w:p>
    <w:p>
      <w:pPr>
        <w:pStyle w:val="64"/>
        <w:keepNext w:val="0"/>
        <w:keepLines w:val="0"/>
        <w:pageBreakBefore w:val="0"/>
        <w:widowControl/>
        <w:kinsoku/>
        <w:wordWrap/>
        <w:overflowPunct/>
        <w:topLinePunct w:val="0"/>
        <w:autoSpaceDE w:val="0"/>
        <w:autoSpaceDN w:val="0"/>
        <w:bidi w:val="0"/>
        <w:adjustRightInd w:val="0"/>
        <w:snapToGrid w:val="0"/>
        <w:ind w:right="0" w:rightChars="0" w:firstLine="480"/>
        <w:textAlignment w:val="auto"/>
        <w:rPr>
          <w:rFonts w:hint="eastAsia" w:hAnsi="宋体"/>
          <w:sz w:val="21"/>
          <w:szCs w:val="21"/>
        </w:rPr>
      </w:pPr>
      <w:r>
        <w:rPr>
          <w:rFonts w:hAnsi="宋体"/>
          <w:sz w:val="21"/>
          <w:szCs w:val="21"/>
        </w:rPr>
        <w:t>GB/T 29729</w:t>
      </w:r>
      <w:r>
        <w:rPr>
          <w:rFonts w:hint="eastAsia" w:hAnsi="宋体"/>
          <w:sz w:val="21"/>
          <w:szCs w:val="21"/>
          <w:lang w:val="en-US" w:eastAsia="zh-CN"/>
        </w:rPr>
        <w:t xml:space="preserve"> </w:t>
      </w:r>
      <w:r>
        <w:rPr>
          <w:rFonts w:hAnsi="宋体"/>
          <w:sz w:val="21"/>
          <w:szCs w:val="21"/>
        </w:rPr>
        <w:t xml:space="preserve"> </w:t>
      </w:r>
      <w:r>
        <w:rPr>
          <w:rFonts w:hint="eastAsia" w:hAnsi="宋体"/>
          <w:sz w:val="21"/>
          <w:szCs w:val="21"/>
        </w:rPr>
        <w:t>氢系统安全的基本要求</w:t>
      </w:r>
    </w:p>
    <w:p>
      <w:pPr>
        <w:pStyle w:val="64"/>
        <w:keepNext w:val="0"/>
        <w:keepLines w:val="0"/>
        <w:pageBreakBefore w:val="0"/>
        <w:widowControl/>
        <w:kinsoku/>
        <w:wordWrap/>
        <w:overflowPunct/>
        <w:topLinePunct w:val="0"/>
        <w:autoSpaceDE w:val="0"/>
        <w:autoSpaceDN w:val="0"/>
        <w:bidi w:val="0"/>
        <w:adjustRightInd w:val="0"/>
        <w:snapToGrid w:val="0"/>
        <w:ind w:right="0" w:rightChars="0" w:firstLine="480"/>
        <w:textAlignment w:val="auto"/>
        <w:rPr>
          <w:rFonts w:hint="eastAsia" w:hAnsi="宋体"/>
          <w:sz w:val="21"/>
          <w:szCs w:val="21"/>
        </w:rPr>
      </w:pPr>
      <w:r>
        <w:rPr>
          <w:rFonts w:hAnsi="宋体"/>
          <w:sz w:val="21"/>
          <w:szCs w:val="21"/>
        </w:rPr>
        <w:t xml:space="preserve">GB/T </w:t>
      </w:r>
      <w:r>
        <w:rPr>
          <w:rFonts w:hint="eastAsia" w:hAnsi="宋体"/>
          <w:sz w:val="21"/>
          <w:szCs w:val="21"/>
        </w:rPr>
        <w:t>3634.1  氢气 第1部分：工业氢</w:t>
      </w:r>
    </w:p>
    <w:p>
      <w:pPr>
        <w:pStyle w:val="64"/>
        <w:keepNext w:val="0"/>
        <w:keepLines w:val="0"/>
        <w:pageBreakBefore w:val="0"/>
        <w:widowControl/>
        <w:kinsoku/>
        <w:wordWrap/>
        <w:overflowPunct/>
        <w:topLinePunct w:val="0"/>
        <w:autoSpaceDE w:val="0"/>
        <w:autoSpaceDN w:val="0"/>
        <w:bidi w:val="0"/>
        <w:adjustRightInd w:val="0"/>
        <w:snapToGrid w:val="0"/>
        <w:ind w:right="0" w:rightChars="0" w:firstLine="480"/>
        <w:textAlignment w:val="auto"/>
        <w:rPr>
          <w:rFonts w:hint="eastAsia" w:hAnsi="宋体"/>
          <w:sz w:val="21"/>
          <w:szCs w:val="21"/>
        </w:rPr>
      </w:pPr>
      <w:r>
        <w:rPr>
          <w:rFonts w:hAnsi="宋体"/>
          <w:sz w:val="21"/>
          <w:szCs w:val="21"/>
        </w:rPr>
        <w:t xml:space="preserve">GB/T </w:t>
      </w:r>
      <w:r>
        <w:rPr>
          <w:rFonts w:hint="eastAsia" w:hAnsi="宋体"/>
          <w:sz w:val="21"/>
          <w:szCs w:val="21"/>
        </w:rPr>
        <w:t xml:space="preserve">3634.2  </w:t>
      </w:r>
      <w:r>
        <w:rPr>
          <w:rFonts w:hAnsi="宋体"/>
          <w:sz w:val="21"/>
          <w:szCs w:val="21"/>
        </w:rPr>
        <w:t>氢气(第</w:t>
      </w:r>
      <w:r>
        <w:rPr>
          <w:rFonts w:hint="eastAsia" w:hAnsi="宋体"/>
          <w:sz w:val="21"/>
          <w:szCs w:val="21"/>
        </w:rPr>
        <w:t>2</w:t>
      </w:r>
      <w:r>
        <w:rPr>
          <w:rFonts w:hAnsi="宋体"/>
          <w:sz w:val="21"/>
          <w:szCs w:val="21"/>
        </w:rPr>
        <w:t>部分)</w:t>
      </w:r>
      <w:r>
        <w:rPr>
          <w:rFonts w:hint="eastAsia" w:hAnsi="宋体"/>
          <w:sz w:val="21"/>
          <w:szCs w:val="21"/>
        </w:rPr>
        <w:t>：纯氢、高纯氢和超纯氢</w:t>
      </w:r>
    </w:p>
    <w:p>
      <w:pPr>
        <w:pStyle w:val="64"/>
        <w:keepNext w:val="0"/>
        <w:keepLines w:val="0"/>
        <w:pageBreakBefore w:val="0"/>
        <w:widowControl/>
        <w:kinsoku/>
        <w:wordWrap/>
        <w:overflowPunct/>
        <w:topLinePunct w:val="0"/>
        <w:autoSpaceDE w:val="0"/>
        <w:autoSpaceDN w:val="0"/>
        <w:bidi w:val="0"/>
        <w:adjustRightInd w:val="0"/>
        <w:snapToGrid w:val="0"/>
        <w:ind w:right="0" w:rightChars="0" w:firstLine="480"/>
        <w:textAlignment w:val="auto"/>
        <w:rPr>
          <w:rFonts w:hint="eastAsia" w:hAnsi="宋体"/>
          <w:sz w:val="21"/>
          <w:szCs w:val="21"/>
        </w:rPr>
      </w:pPr>
      <w:r>
        <w:rPr>
          <w:rFonts w:hint="eastAsia" w:hAnsi="宋体"/>
          <w:sz w:val="21"/>
          <w:szCs w:val="21"/>
        </w:rPr>
        <w:t>GB/T 37244  质子交换膜燃料电池汽车用燃料氢气</w:t>
      </w:r>
    </w:p>
    <w:p>
      <w:pPr>
        <w:pStyle w:val="64"/>
        <w:keepNext w:val="0"/>
        <w:keepLines w:val="0"/>
        <w:pageBreakBefore w:val="0"/>
        <w:widowControl/>
        <w:kinsoku/>
        <w:wordWrap/>
        <w:overflowPunct/>
        <w:topLinePunct w:val="0"/>
        <w:autoSpaceDE w:val="0"/>
        <w:autoSpaceDN w:val="0"/>
        <w:bidi w:val="0"/>
        <w:adjustRightInd w:val="0"/>
        <w:snapToGrid w:val="0"/>
        <w:ind w:right="0" w:rightChars="0" w:firstLine="480"/>
        <w:textAlignment w:val="auto"/>
        <w:rPr>
          <w:rFonts w:hint="eastAsia" w:hAnsi="宋体"/>
          <w:sz w:val="21"/>
          <w:szCs w:val="21"/>
        </w:rPr>
      </w:pPr>
      <w:r>
        <w:rPr>
          <w:rFonts w:hAnsi="宋体"/>
          <w:sz w:val="21"/>
          <w:szCs w:val="21"/>
        </w:rPr>
        <w:t xml:space="preserve">NB/T 10355 </w:t>
      </w:r>
      <w:r>
        <w:rPr>
          <w:rFonts w:hint="eastAsia" w:hAnsi="宋体"/>
          <w:sz w:val="21"/>
          <w:szCs w:val="21"/>
          <w:lang w:val="en-US" w:eastAsia="zh-CN"/>
        </w:rPr>
        <w:t xml:space="preserve"> </w:t>
      </w:r>
      <w:r>
        <w:rPr>
          <w:rFonts w:hint="eastAsia" w:hAnsi="宋体"/>
          <w:sz w:val="21"/>
          <w:szCs w:val="21"/>
        </w:rPr>
        <w:t>管束式集装箱</w:t>
      </w:r>
    </w:p>
    <w:p>
      <w:pPr>
        <w:pStyle w:val="64"/>
        <w:keepNext w:val="0"/>
        <w:keepLines w:val="0"/>
        <w:pageBreakBefore w:val="0"/>
        <w:widowControl/>
        <w:kinsoku/>
        <w:wordWrap/>
        <w:overflowPunct/>
        <w:topLinePunct w:val="0"/>
        <w:autoSpaceDE w:val="0"/>
        <w:autoSpaceDN w:val="0"/>
        <w:bidi w:val="0"/>
        <w:adjustRightInd w:val="0"/>
        <w:snapToGrid w:val="0"/>
        <w:ind w:right="0" w:rightChars="0"/>
        <w:textAlignment w:val="auto"/>
        <w:rPr>
          <w:sz w:val="21"/>
          <w:szCs w:val="21"/>
        </w:rPr>
      </w:pPr>
      <w:r>
        <w:rPr>
          <w:rFonts w:hint="eastAsia"/>
          <w:sz w:val="21"/>
          <w:szCs w:val="21"/>
        </w:rPr>
        <w:t>TSG 07</w:t>
      </w:r>
      <w:r>
        <w:rPr>
          <w:rFonts w:hint="eastAsia"/>
          <w:sz w:val="21"/>
          <w:szCs w:val="21"/>
          <w:lang w:val="en-US" w:eastAsia="zh-CN"/>
        </w:rPr>
        <w:t xml:space="preserve">  </w:t>
      </w:r>
      <w:r>
        <w:rPr>
          <w:rFonts w:hint="eastAsia"/>
          <w:sz w:val="21"/>
          <w:szCs w:val="21"/>
        </w:rPr>
        <w:t>特种设备生产和充装单位许可规则</w:t>
      </w:r>
    </w:p>
    <w:bookmarkEnd w:id="29"/>
    <w:p>
      <w:pPr>
        <w:pStyle w:val="112"/>
        <w:keepNext w:val="0"/>
        <w:keepLines w:val="0"/>
        <w:pageBreakBefore w:val="0"/>
        <w:widowControl/>
        <w:numPr>
          <w:ilvl w:val="0"/>
          <w:numId w:val="37"/>
        </w:numPr>
        <w:kinsoku/>
        <w:wordWrap/>
        <w:overflowPunct/>
        <w:topLinePunct w:val="0"/>
        <w:autoSpaceDE/>
        <w:autoSpaceDN/>
        <w:bidi w:val="0"/>
        <w:adjustRightInd w:val="0"/>
        <w:snapToGrid w:val="0"/>
        <w:ind w:left="425" w:leftChars="0" w:hanging="425" w:firstLineChars="0"/>
        <w:textAlignment w:val="auto"/>
        <w:rPr>
          <w:rFonts w:hint="eastAsia"/>
          <w:sz w:val="21"/>
          <w:szCs w:val="21"/>
        </w:rPr>
      </w:pPr>
      <w:bookmarkStart w:id="30" w:name="_Toc183285799"/>
      <w:bookmarkStart w:id="31" w:name="_Toc2176"/>
      <w:r>
        <w:rPr>
          <w:rFonts w:hint="eastAsia"/>
          <w:sz w:val="21"/>
          <w:szCs w:val="21"/>
        </w:rPr>
        <w:t>术语和定义</w:t>
      </w:r>
      <w:bookmarkEnd w:id="30"/>
      <w:bookmarkEnd w:id="31"/>
    </w:p>
    <w:p>
      <w:pPr>
        <w:pStyle w:val="238"/>
        <w:ind w:firstLine="480"/>
        <w:rPr>
          <w:rFonts w:hint="eastAsia" w:ascii="宋体" w:hAnsi="宋体"/>
          <w:sz w:val="21"/>
          <w:szCs w:val="21"/>
          <w:lang w:val="en-US"/>
        </w:rPr>
      </w:pPr>
      <w:r>
        <w:rPr>
          <w:rFonts w:hint="eastAsia" w:ascii="宋体" w:hAnsi="宋体" w:eastAsia="宋体" w:cs="Calibri"/>
          <w:kern w:val="2"/>
          <w:sz w:val="21"/>
          <w:szCs w:val="21"/>
          <w:lang w:val="en-GB" w:eastAsia="zh-CN" w:bidi="ar-SA"/>
        </w:rPr>
        <w:t>GB/T 24499、T/CCGA 40003界定的以及下列术语和定义适用于本文件</w:t>
      </w:r>
      <w:sdt>
        <w:sdtPr>
          <w:rPr>
            <w:rFonts w:hint="eastAsia" w:ascii="宋体" w:hAnsi="宋体" w:eastAsia="宋体" w:cs="Calibri"/>
            <w:kern w:val="2"/>
            <w:sz w:val="21"/>
            <w:szCs w:val="21"/>
            <w:lang w:val="en-US" w:eastAsia="zh-CN" w:bidi="ar-SA"/>
          </w:rPr>
          <w:id w:val="-1909835108"/>
          <w:placeholder>
            <w:docPart w:val="6DD43CAB99954FFD8015931CA13D20BF"/>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eastAsia" w:ascii="宋体" w:hAnsi="宋体" w:eastAsia="宋体" w:cs="Calibri"/>
            <w:kern w:val="2"/>
            <w:sz w:val="21"/>
            <w:szCs w:val="21"/>
            <w:lang w:val="en-US" w:eastAsia="zh-CN" w:bidi="ar-SA"/>
          </w:rPr>
        </w:sdtEndPr>
        <w:sdtContent>
          <w:r>
            <w:rPr>
              <w:rFonts w:hint="eastAsia" w:ascii="宋体" w:hAnsi="宋体" w:eastAsia="宋体" w:cs="Calibri"/>
              <w:kern w:val="2"/>
              <w:sz w:val="21"/>
              <w:szCs w:val="21"/>
              <w:lang w:val="en-US" w:eastAsia="zh-CN" w:bidi="ar-SA"/>
            </w:rPr>
            <w:t>。</w:t>
          </w:r>
        </w:sdtContent>
      </w:sdt>
    </w:p>
    <w:p>
      <w:pPr>
        <w:pStyle w:val="238"/>
        <w:keepNext w:val="0"/>
        <w:keepLines w:val="0"/>
        <w:pageBreakBefore w:val="0"/>
        <w:widowControl w:val="0"/>
        <w:numPr>
          <w:ilvl w:val="1"/>
          <w:numId w:val="37"/>
        </w:numPr>
        <w:kinsoku/>
        <w:wordWrap/>
        <w:overflowPunct/>
        <w:topLinePunct w:val="0"/>
        <w:autoSpaceDE/>
        <w:autoSpaceDN/>
        <w:bidi w:val="0"/>
        <w:adjustRightInd w:val="0"/>
        <w:snapToGrid/>
        <w:ind w:left="567" w:leftChars="0" w:right="0" w:rightChars="0" w:hanging="567" w:firstLineChars="0"/>
        <w:textAlignment w:val="auto"/>
        <w:rPr>
          <w:rFonts w:hint="eastAsia" w:ascii="Times New Roman" w:hAnsi="Times New Roman" w:eastAsia="宋体"/>
          <w:b/>
          <w:bCs/>
          <w:sz w:val="21"/>
          <w:szCs w:val="21"/>
          <w:highlight w:val="none"/>
          <w:lang w:val="en-US" w:eastAsia="zh-CN"/>
        </w:rPr>
      </w:pPr>
    </w:p>
    <w:p>
      <w:pPr>
        <w:pStyle w:val="238"/>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0" w:firstLine="420" w:firstLineChars="20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氢气充装站  Hydrogen filling station</w:t>
      </w:r>
    </w:p>
    <w:p>
      <w:pPr>
        <w:pStyle w:val="64"/>
        <w:keepNext w:val="0"/>
        <w:keepLines w:val="0"/>
        <w:pageBreakBefore w:val="0"/>
        <w:kinsoku/>
        <w:wordWrap/>
        <w:overflowPunct/>
        <w:topLinePunct w:val="0"/>
        <w:bidi w:val="0"/>
        <w:adjustRightInd w:val="0"/>
        <w:spacing w:before="0" w:after="0"/>
        <w:ind w:right="0" w:rightChars="0" w:firstLine="480"/>
        <w:textAlignment w:val="auto"/>
        <w:rPr>
          <w:rFonts w:hint="eastAsia" w:hAnsi="宋体" w:cs="Calibri"/>
          <w:kern w:val="2"/>
          <w:sz w:val="21"/>
          <w:szCs w:val="21"/>
        </w:rPr>
      </w:pPr>
      <w:r>
        <w:rPr>
          <w:rFonts w:hint="eastAsia" w:hAnsi="宋体" w:cs="Calibri"/>
          <w:kern w:val="2"/>
          <w:sz w:val="21"/>
          <w:szCs w:val="21"/>
        </w:rPr>
        <w:t>能够开展氢气管束式集装箱充装业务的充装单位（充装站），以下称充装站。</w:t>
      </w:r>
    </w:p>
    <w:p>
      <w:pPr>
        <w:pStyle w:val="238"/>
        <w:keepNext w:val="0"/>
        <w:keepLines w:val="0"/>
        <w:pageBreakBefore w:val="0"/>
        <w:widowControl w:val="0"/>
        <w:numPr>
          <w:ilvl w:val="1"/>
          <w:numId w:val="37"/>
        </w:numPr>
        <w:kinsoku/>
        <w:wordWrap/>
        <w:overflowPunct/>
        <w:topLinePunct w:val="0"/>
        <w:autoSpaceDE/>
        <w:autoSpaceDN/>
        <w:bidi w:val="0"/>
        <w:adjustRightInd w:val="0"/>
        <w:snapToGrid/>
        <w:ind w:left="567" w:leftChars="0" w:right="0" w:rightChars="0" w:hanging="567" w:firstLineChars="0"/>
        <w:textAlignment w:val="auto"/>
        <w:rPr>
          <w:rFonts w:hint="eastAsia" w:ascii="Times New Roman" w:hAnsi="Times New Roman" w:eastAsia="宋体"/>
          <w:b/>
          <w:bCs/>
          <w:sz w:val="21"/>
          <w:szCs w:val="21"/>
          <w:highlight w:val="none"/>
          <w:lang w:val="en-US" w:eastAsia="zh-CN"/>
        </w:rPr>
      </w:pPr>
    </w:p>
    <w:p>
      <w:pPr>
        <w:pStyle w:val="238"/>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0" w:firstLine="420" w:firstLineChars="200"/>
        <w:textAlignment w:val="auto"/>
        <w:rPr>
          <w:rFonts w:hint="default"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氢气管束式集装箱</w:t>
      </w:r>
      <w:r>
        <w:rPr>
          <w:rFonts w:hint="eastAsia"/>
          <w:b w:val="0"/>
          <w:bCs w:val="0"/>
          <w:sz w:val="21"/>
          <w:szCs w:val="21"/>
          <w:highlight w:val="none"/>
          <w:lang w:val="en-US" w:eastAsia="zh-CN"/>
        </w:rPr>
        <w:t xml:space="preserve">  </w:t>
      </w:r>
      <w:r>
        <w:rPr>
          <w:rFonts w:hint="eastAsia" w:ascii="黑体" w:hAnsi="黑体" w:eastAsia="黑体" w:cs="黑体"/>
          <w:b w:val="0"/>
          <w:bCs w:val="0"/>
          <w:sz w:val="21"/>
          <w:szCs w:val="21"/>
          <w:highlight w:val="none"/>
          <w:lang w:val="en-US" w:eastAsia="zh-CN"/>
        </w:rPr>
        <w:t>Hydrogen tube bundle container</w:t>
      </w:r>
    </w:p>
    <w:p>
      <w:pPr>
        <w:pStyle w:val="64"/>
        <w:keepNext w:val="0"/>
        <w:keepLines w:val="0"/>
        <w:pageBreakBefore w:val="0"/>
        <w:kinsoku/>
        <w:wordWrap/>
        <w:overflowPunct/>
        <w:topLinePunct w:val="0"/>
        <w:bidi w:val="0"/>
        <w:adjustRightInd w:val="0"/>
        <w:spacing w:before="0" w:after="0"/>
        <w:ind w:right="0" w:rightChars="0" w:firstLine="480"/>
        <w:textAlignment w:val="auto"/>
        <w:rPr>
          <w:rFonts w:hint="eastAsia" w:hAnsi="宋体" w:cs="Calibri"/>
          <w:kern w:val="2"/>
          <w:sz w:val="21"/>
          <w:szCs w:val="21"/>
        </w:rPr>
      </w:pPr>
      <w:r>
        <w:rPr>
          <w:rFonts w:hint="eastAsia" w:hAnsi="宋体" w:cs="Calibri"/>
          <w:kern w:val="2"/>
          <w:sz w:val="21"/>
          <w:szCs w:val="21"/>
        </w:rPr>
        <w:t>由单只储氢气瓶，通过支撑端板与框架采用永久性连接，且与管路、安全附件、仪表、装卸附件等部件组成的装运压缩氢气的移动式压力容器。</w:t>
      </w:r>
    </w:p>
    <w:p>
      <w:pPr>
        <w:pStyle w:val="64"/>
        <w:keepNext w:val="0"/>
        <w:keepLines w:val="0"/>
        <w:pageBreakBefore w:val="0"/>
        <w:kinsoku/>
        <w:wordWrap/>
        <w:overflowPunct/>
        <w:topLinePunct w:val="0"/>
        <w:bidi w:val="0"/>
        <w:adjustRightInd w:val="0"/>
        <w:spacing w:before="0" w:after="0"/>
        <w:ind w:right="0" w:rightChars="0" w:firstLine="480"/>
        <w:textAlignment w:val="auto"/>
        <w:rPr>
          <w:rFonts w:hint="eastAsia" w:hAnsi="宋体" w:cs="Calibri"/>
          <w:kern w:val="2"/>
          <w:sz w:val="21"/>
          <w:szCs w:val="21"/>
        </w:rPr>
      </w:pPr>
      <w:r>
        <w:rPr>
          <w:rFonts w:hint="eastAsia" w:hAnsi="宋体" w:cs="Calibri"/>
          <w:kern w:val="2"/>
          <w:sz w:val="21"/>
          <w:szCs w:val="21"/>
        </w:rPr>
        <w:t>氢气管束式集装箱</w:t>
      </w:r>
      <w:r>
        <w:rPr>
          <w:rFonts w:hint="eastAsia" w:hAnsi="宋体" w:cs="Calibri"/>
          <w:kern w:val="2"/>
          <w:sz w:val="21"/>
          <w:szCs w:val="21"/>
          <w:lang w:val="en-US" w:eastAsia="zh-CN"/>
        </w:rPr>
        <w:t>和底盘由</w:t>
      </w:r>
      <w:r>
        <w:rPr>
          <w:rFonts w:hint="eastAsia" w:hAnsi="宋体" w:cs="Calibri"/>
          <w:kern w:val="2"/>
          <w:sz w:val="21"/>
          <w:szCs w:val="21"/>
        </w:rPr>
        <w:t>牵引车头牵引运行，本文件中也分别称挂车和车头。</w:t>
      </w:r>
    </w:p>
    <w:p>
      <w:pPr>
        <w:pStyle w:val="238"/>
        <w:keepNext w:val="0"/>
        <w:keepLines w:val="0"/>
        <w:pageBreakBefore w:val="0"/>
        <w:widowControl w:val="0"/>
        <w:numPr>
          <w:ilvl w:val="1"/>
          <w:numId w:val="37"/>
        </w:numPr>
        <w:kinsoku/>
        <w:wordWrap/>
        <w:overflowPunct/>
        <w:topLinePunct w:val="0"/>
        <w:autoSpaceDE/>
        <w:autoSpaceDN/>
        <w:bidi w:val="0"/>
        <w:adjustRightInd w:val="0"/>
        <w:snapToGrid/>
        <w:ind w:left="567" w:leftChars="0" w:right="0" w:rightChars="0" w:hanging="567" w:firstLineChars="0"/>
        <w:textAlignment w:val="auto"/>
        <w:rPr>
          <w:rFonts w:hint="eastAsia" w:ascii="Times New Roman" w:hAnsi="Times New Roman" w:eastAsia="宋体"/>
          <w:b/>
          <w:bCs/>
          <w:sz w:val="21"/>
          <w:szCs w:val="21"/>
          <w:highlight w:val="none"/>
          <w:lang w:val="en-US" w:eastAsia="zh-CN"/>
        </w:rPr>
      </w:pPr>
    </w:p>
    <w:p>
      <w:pPr>
        <w:pStyle w:val="238"/>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0" w:firstLine="420" w:firstLineChars="20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氢气管束式集装箱车  Hydrogen gas tube bundle type container truck</w:t>
      </w:r>
    </w:p>
    <w:p>
      <w:pPr>
        <w:pStyle w:val="238"/>
        <w:keepNext w:val="0"/>
        <w:keepLines w:val="0"/>
        <w:pageBreakBefore w:val="0"/>
        <w:widowControl w:val="0"/>
        <w:numPr>
          <w:ilvl w:val="0"/>
          <w:numId w:val="0"/>
        </w:numPr>
        <w:kinsoku/>
        <w:wordWrap/>
        <w:overflowPunct/>
        <w:topLinePunct w:val="0"/>
        <w:autoSpaceDE/>
        <w:autoSpaceDN/>
        <w:bidi w:val="0"/>
        <w:adjustRightInd w:val="0"/>
        <w:snapToGrid/>
        <w:ind w:leftChars="0" w:right="0" w:rightChars="0" w:firstLine="420" w:firstLineChars="200"/>
        <w:textAlignment w:val="auto"/>
        <w:rPr>
          <w:rFonts w:hint="default" w:ascii="Times New Roman" w:hAnsi="Times New Roman" w:eastAsia="宋体"/>
          <w:sz w:val="21"/>
          <w:szCs w:val="21"/>
          <w:highlight w:val="none"/>
          <w:lang w:val="en-US" w:eastAsia="zh-CN"/>
        </w:rPr>
      </w:pPr>
      <w:r>
        <w:rPr>
          <w:rFonts w:hint="eastAsia"/>
          <w:sz w:val="21"/>
          <w:szCs w:val="21"/>
          <w:highlight w:val="none"/>
          <w:lang w:val="en-US" w:eastAsia="zh-CN"/>
        </w:rPr>
        <w:t>分挂车（氢气管束式集装箱、承载底盘组成）和</w:t>
      </w:r>
      <w:r>
        <w:rPr>
          <w:rFonts w:hint="eastAsia" w:ascii="Times New Roman" w:hAnsi="Times New Roman" w:eastAsia="宋体"/>
          <w:sz w:val="21"/>
          <w:szCs w:val="21"/>
          <w:highlight w:val="none"/>
          <w:lang w:val="en-US" w:eastAsia="zh-CN"/>
        </w:rPr>
        <w:t>牵引车头</w:t>
      </w:r>
      <w:r>
        <w:rPr>
          <w:rFonts w:hint="eastAsia"/>
          <w:sz w:val="21"/>
          <w:szCs w:val="21"/>
          <w:highlight w:val="none"/>
          <w:lang w:val="en-US" w:eastAsia="zh-CN"/>
        </w:rPr>
        <w:t>两部分，用于装运压缩氢气。</w:t>
      </w:r>
    </w:p>
    <w:p>
      <w:pPr>
        <w:pStyle w:val="64"/>
        <w:keepNext w:val="0"/>
        <w:keepLines w:val="0"/>
        <w:pageBreakBefore w:val="0"/>
        <w:kinsoku/>
        <w:wordWrap/>
        <w:overflowPunct/>
        <w:topLinePunct w:val="0"/>
        <w:bidi w:val="0"/>
        <w:adjustRightInd w:val="0"/>
        <w:spacing w:before="0" w:after="0"/>
        <w:ind w:right="0" w:rightChars="0" w:firstLine="480"/>
        <w:textAlignment w:val="auto"/>
        <w:rPr>
          <w:rFonts w:hint="eastAsia" w:hAnsi="宋体" w:cs="Calibri"/>
          <w:kern w:val="2"/>
          <w:sz w:val="21"/>
          <w:szCs w:val="21"/>
        </w:rPr>
      </w:pPr>
      <w:r>
        <w:rPr>
          <w:rFonts w:hint="eastAsia" w:hAnsi="宋体" w:cs="Calibri"/>
          <w:kern w:val="2"/>
          <w:sz w:val="21"/>
          <w:szCs w:val="21"/>
        </w:rPr>
        <w:t>牵引</w:t>
      </w:r>
      <w:r>
        <w:rPr>
          <w:rFonts w:hint="eastAsia" w:hAnsi="宋体" w:cs="Calibri"/>
          <w:kern w:val="2"/>
          <w:sz w:val="21"/>
          <w:szCs w:val="21"/>
          <w:lang w:val="en-US" w:eastAsia="zh-CN"/>
        </w:rPr>
        <w:t>车头为</w:t>
      </w:r>
      <w:r>
        <w:rPr>
          <w:rFonts w:hint="eastAsia" w:hAnsi="宋体" w:cs="Calibri"/>
          <w:kern w:val="2"/>
          <w:sz w:val="21"/>
          <w:szCs w:val="21"/>
        </w:rPr>
        <w:t>氢气管束式集装箱（挂车）移动的动力设备。</w:t>
      </w:r>
    </w:p>
    <w:p>
      <w:pPr>
        <w:pStyle w:val="238"/>
        <w:keepNext w:val="0"/>
        <w:keepLines w:val="0"/>
        <w:pageBreakBefore w:val="0"/>
        <w:widowControl w:val="0"/>
        <w:numPr>
          <w:ilvl w:val="1"/>
          <w:numId w:val="37"/>
        </w:numPr>
        <w:kinsoku/>
        <w:wordWrap/>
        <w:overflowPunct/>
        <w:topLinePunct w:val="0"/>
        <w:autoSpaceDE/>
        <w:autoSpaceDN/>
        <w:bidi w:val="0"/>
        <w:adjustRightInd w:val="0"/>
        <w:snapToGrid/>
        <w:ind w:left="567" w:leftChars="0" w:right="0" w:rightChars="0" w:hanging="567" w:firstLineChars="0"/>
        <w:textAlignment w:val="auto"/>
        <w:rPr>
          <w:rFonts w:hint="eastAsia" w:ascii="Times New Roman" w:hAnsi="Times New Roman" w:eastAsia="宋体"/>
          <w:b/>
          <w:bCs/>
          <w:sz w:val="21"/>
          <w:szCs w:val="21"/>
          <w:highlight w:val="none"/>
          <w:lang w:val="en-US" w:eastAsia="zh-CN"/>
        </w:rPr>
      </w:pPr>
    </w:p>
    <w:p>
      <w:pPr>
        <w:pStyle w:val="238"/>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0" w:firstLine="420" w:firstLineChars="20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检查场地  Inspect the venue</w:t>
      </w:r>
    </w:p>
    <w:p>
      <w:pPr>
        <w:pStyle w:val="64"/>
        <w:keepNext w:val="0"/>
        <w:keepLines w:val="0"/>
        <w:pageBreakBefore w:val="0"/>
        <w:kinsoku/>
        <w:wordWrap/>
        <w:overflowPunct/>
        <w:topLinePunct w:val="0"/>
        <w:bidi w:val="0"/>
        <w:adjustRightInd w:val="0"/>
        <w:spacing w:before="0" w:after="0"/>
        <w:ind w:right="0" w:rightChars="0" w:firstLine="480"/>
        <w:textAlignment w:val="auto"/>
        <w:rPr>
          <w:rFonts w:hint="eastAsia" w:hAnsi="宋体" w:cs="Calibri"/>
          <w:kern w:val="2"/>
          <w:sz w:val="21"/>
          <w:szCs w:val="21"/>
        </w:rPr>
      </w:pPr>
      <w:r>
        <w:rPr>
          <w:rFonts w:hint="eastAsia" w:hAnsi="宋体" w:cs="Calibri"/>
          <w:kern w:val="2"/>
          <w:sz w:val="21"/>
          <w:szCs w:val="21"/>
        </w:rPr>
        <w:t>对氢气管束式集装箱及车辆的车况、证书、车内介质、安全附件、随车人员、车上违禁物品等进行检查及检测取样时，供车辆（包括牵引车头、管束式集装箱）驻留、停靠的场所、区域。</w:t>
      </w:r>
    </w:p>
    <w:p>
      <w:pPr>
        <w:pStyle w:val="238"/>
        <w:keepNext w:val="0"/>
        <w:keepLines w:val="0"/>
        <w:pageBreakBefore w:val="0"/>
        <w:widowControl w:val="0"/>
        <w:numPr>
          <w:ilvl w:val="1"/>
          <w:numId w:val="37"/>
        </w:numPr>
        <w:kinsoku/>
        <w:wordWrap/>
        <w:overflowPunct/>
        <w:topLinePunct w:val="0"/>
        <w:autoSpaceDE/>
        <w:autoSpaceDN/>
        <w:bidi w:val="0"/>
        <w:adjustRightInd w:val="0"/>
        <w:snapToGrid/>
        <w:ind w:left="567" w:leftChars="0" w:right="0" w:rightChars="0" w:hanging="567" w:firstLineChars="0"/>
        <w:textAlignment w:val="auto"/>
        <w:rPr>
          <w:rFonts w:hint="eastAsia" w:ascii="Times New Roman" w:hAnsi="Times New Roman" w:eastAsia="宋体"/>
          <w:b/>
          <w:bCs/>
          <w:sz w:val="21"/>
          <w:szCs w:val="21"/>
          <w:highlight w:val="none"/>
          <w:lang w:val="en-US" w:eastAsia="zh-CN"/>
        </w:rPr>
      </w:pPr>
    </w:p>
    <w:p>
      <w:pPr>
        <w:pStyle w:val="238"/>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0" w:firstLine="420" w:firstLineChars="20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押运资格证书  Escort Qualification Certificate</w:t>
      </w:r>
    </w:p>
    <w:p>
      <w:pPr>
        <w:pStyle w:val="64"/>
        <w:keepNext w:val="0"/>
        <w:keepLines w:val="0"/>
        <w:pageBreakBefore w:val="0"/>
        <w:kinsoku/>
        <w:wordWrap/>
        <w:overflowPunct/>
        <w:topLinePunct w:val="0"/>
        <w:bidi w:val="0"/>
        <w:adjustRightInd w:val="0"/>
        <w:spacing w:before="0" w:after="0"/>
        <w:ind w:right="0" w:rightChars="0" w:firstLine="480"/>
        <w:textAlignment w:val="auto"/>
        <w:rPr>
          <w:rFonts w:hint="eastAsia" w:hAnsi="宋体" w:cs="Calibri"/>
          <w:kern w:val="2"/>
          <w:sz w:val="21"/>
          <w:szCs w:val="21"/>
        </w:rPr>
      </w:pPr>
      <w:r>
        <w:rPr>
          <w:rFonts w:hint="eastAsia" w:hAnsi="宋体" w:cs="Calibri"/>
          <w:kern w:val="2"/>
          <w:sz w:val="21"/>
          <w:szCs w:val="21"/>
        </w:rPr>
        <w:t>氢气</w:t>
      </w:r>
      <w:r>
        <w:rPr>
          <w:rFonts w:hint="eastAsia" w:hAnsi="宋体" w:cs="Calibri"/>
          <w:kern w:val="2"/>
          <w:sz w:val="21"/>
          <w:szCs w:val="21"/>
          <w:lang w:val="en-US" w:eastAsia="zh-CN"/>
        </w:rPr>
        <w:t>危险化学品</w:t>
      </w:r>
      <w:r>
        <w:rPr>
          <w:rFonts w:hint="eastAsia" w:hAnsi="宋体" w:cs="Calibri"/>
          <w:kern w:val="2"/>
          <w:sz w:val="21"/>
          <w:szCs w:val="21"/>
        </w:rPr>
        <w:t>道路运输从业资格证</w:t>
      </w:r>
    </w:p>
    <w:p>
      <w:pPr>
        <w:pStyle w:val="238"/>
        <w:keepNext w:val="0"/>
        <w:keepLines w:val="0"/>
        <w:pageBreakBefore w:val="0"/>
        <w:widowControl w:val="0"/>
        <w:numPr>
          <w:ilvl w:val="1"/>
          <w:numId w:val="37"/>
        </w:numPr>
        <w:kinsoku/>
        <w:wordWrap/>
        <w:overflowPunct/>
        <w:topLinePunct w:val="0"/>
        <w:autoSpaceDE/>
        <w:autoSpaceDN/>
        <w:bidi w:val="0"/>
        <w:adjustRightInd w:val="0"/>
        <w:snapToGrid/>
        <w:ind w:left="567" w:leftChars="0" w:right="0" w:rightChars="0" w:hanging="567" w:firstLineChars="0"/>
        <w:textAlignment w:val="auto"/>
        <w:rPr>
          <w:rFonts w:hint="eastAsia" w:ascii="Times New Roman" w:hAnsi="Times New Roman" w:eastAsia="宋体"/>
          <w:b/>
          <w:bCs/>
          <w:sz w:val="21"/>
          <w:szCs w:val="21"/>
          <w:highlight w:val="none"/>
          <w:lang w:val="en-US" w:eastAsia="zh-CN"/>
        </w:rPr>
      </w:pPr>
    </w:p>
    <w:p>
      <w:pPr>
        <w:pStyle w:val="238"/>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0" w:firstLine="420" w:firstLineChars="20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押运员  supercargo</w:t>
      </w:r>
    </w:p>
    <w:p>
      <w:pPr>
        <w:pStyle w:val="238"/>
        <w:keepNext w:val="0"/>
        <w:keepLines w:val="0"/>
        <w:pageBreakBefore w:val="0"/>
        <w:widowControl w:val="0"/>
        <w:numPr>
          <w:ilvl w:val="0"/>
          <w:numId w:val="0"/>
        </w:numPr>
        <w:kinsoku/>
        <w:wordWrap/>
        <w:overflowPunct/>
        <w:topLinePunct w:val="0"/>
        <w:autoSpaceDE/>
        <w:autoSpaceDN/>
        <w:bidi w:val="0"/>
        <w:adjustRightInd w:val="0"/>
        <w:snapToGrid/>
        <w:ind w:leftChars="0" w:right="0" w:rightChars="0" w:firstLine="420" w:firstLineChars="200"/>
        <w:textAlignment w:val="auto"/>
        <w:rPr>
          <w:rFonts w:hint="default" w:ascii="宋体" w:hAnsi="宋体" w:eastAsia="宋体" w:cs="Calibri"/>
          <w:kern w:val="2"/>
          <w:sz w:val="21"/>
          <w:szCs w:val="21"/>
          <w:lang w:val="en-US" w:eastAsia="zh-CN" w:bidi="ar-SA"/>
        </w:rPr>
      </w:pPr>
      <w:r>
        <w:rPr>
          <w:rFonts w:hint="eastAsia" w:ascii="宋体" w:hAnsi="宋体" w:eastAsia="宋体" w:cs="Calibri"/>
          <w:kern w:val="2"/>
          <w:sz w:val="21"/>
          <w:szCs w:val="21"/>
          <w:lang w:val="en-US" w:eastAsia="zh-CN" w:bidi="ar-SA"/>
        </w:rPr>
        <w:t>氢气化学危险品道路运输</w:t>
      </w:r>
      <w:r>
        <w:rPr>
          <w:rFonts w:hint="eastAsia" w:ascii="宋体" w:hAnsi="宋体" w:cs="Calibri"/>
          <w:kern w:val="2"/>
          <w:sz w:val="21"/>
          <w:szCs w:val="21"/>
          <w:lang w:val="en-US" w:eastAsia="zh-CN" w:bidi="ar-SA"/>
        </w:rPr>
        <w:t>押运人员</w:t>
      </w:r>
    </w:p>
    <w:p>
      <w:pPr>
        <w:pStyle w:val="238"/>
        <w:keepNext w:val="0"/>
        <w:keepLines w:val="0"/>
        <w:pageBreakBefore w:val="0"/>
        <w:widowControl w:val="0"/>
        <w:numPr>
          <w:ilvl w:val="1"/>
          <w:numId w:val="37"/>
        </w:numPr>
        <w:kinsoku/>
        <w:wordWrap/>
        <w:overflowPunct/>
        <w:topLinePunct w:val="0"/>
        <w:autoSpaceDE/>
        <w:autoSpaceDN/>
        <w:bidi w:val="0"/>
        <w:adjustRightInd w:val="0"/>
        <w:snapToGrid/>
        <w:ind w:left="567" w:leftChars="0" w:right="0" w:rightChars="0" w:hanging="567" w:firstLineChars="0"/>
        <w:textAlignment w:val="auto"/>
        <w:rPr>
          <w:rFonts w:hint="eastAsia" w:ascii="Times New Roman" w:hAnsi="Times New Roman" w:eastAsia="宋体"/>
          <w:b/>
          <w:bCs/>
          <w:sz w:val="21"/>
          <w:szCs w:val="21"/>
          <w:highlight w:val="none"/>
          <w:lang w:val="en-US" w:eastAsia="zh-CN"/>
        </w:rPr>
      </w:pPr>
    </w:p>
    <w:p>
      <w:pPr>
        <w:pStyle w:val="238"/>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0" w:firstLine="420" w:firstLineChars="20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氢气过充  Excessive hydrogen filling</w:t>
      </w:r>
    </w:p>
    <w:p>
      <w:pPr>
        <w:pStyle w:val="64"/>
        <w:keepNext w:val="0"/>
        <w:keepLines w:val="0"/>
        <w:pageBreakBefore w:val="0"/>
        <w:kinsoku/>
        <w:wordWrap/>
        <w:overflowPunct/>
        <w:topLinePunct w:val="0"/>
        <w:bidi w:val="0"/>
        <w:adjustRightInd w:val="0"/>
        <w:spacing w:before="0" w:after="0"/>
        <w:ind w:right="0" w:rightChars="0" w:firstLine="480"/>
        <w:textAlignment w:val="auto"/>
        <w:rPr>
          <w:rFonts w:hint="eastAsia" w:hAnsi="宋体" w:cs="Calibri"/>
          <w:kern w:val="2"/>
          <w:sz w:val="21"/>
          <w:szCs w:val="21"/>
        </w:rPr>
      </w:pPr>
      <w:r>
        <w:rPr>
          <w:rFonts w:hint="eastAsia" w:hAnsi="宋体" w:cs="Calibri"/>
          <w:kern w:val="2"/>
          <w:sz w:val="21"/>
          <w:szCs w:val="21"/>
        </w:rPr>
        <w:t>管束式集装箱中的氢气充装压力高于规定的充装压力。</w:t>
      </w:r>
    </w:p>
    <w:p>
      <w:pPr>
        <w:pStyle w:val="64"/>
        <w:keepNext w:val="0"/>
        <w:keepLines w:val="0"/>
        <w:pageBreakBefore w:val="0"/>
        <w:kinsoku/>
        <w:wordWrap/>
        <w:overflowPunct/>
        <w:topLinePunct w:val="0"/>
        <w:bidi w:val="0"/>
        <w:adjustRightInd w:val="0"/>
        <w:spacing w:before="0" w:after="0"/>
        <w:ind w:right="0" w:rightChars="0" w:firstLine="480"/>
        <w:textAlignment w:val="auto"/>
        <w:rPr>
          <w:rFonts w:hint="eastAsia" w:hAnsi="宋体" w:cs="Calibri"/>
          <w:kern w:val="2"/>
          <w:sz w:val="21"/>
          <w:szCs w:val="21"/>
        </w:rPr>
      </w:pPr>
      <w:r>
        <w:rPr>
          <w:rFonts w:hint="eastAsia" w:hAnsi="宋体" w:cs="Calibri"/>
          <w:kern w:val="2"/>
          <w:sz w:val="21"/>
          <w:szCs w:val="21"/>
        </w:rPr>
        <w:t xml:space="preserve"> </w:t>
      </w:r>
    </w:p>
    <w:p>
      <w:pPr>
        <w:pStyle w:val="238"/>
        <w:keepNext w:val="0"/>
        <w:keepLines w:val="0"/>
        <w:pageBreakBefore w:val="0"/>
        <w:widowControl w:val="0"/>
        <w:numPr>
          <w:ilvl w:val="1"/>
          <w:numId w:val="37"/>
        </w:numPr>
        <w:kinsoku/>
        <w:wordWrap/>
        <w:overflowPunct/>
        <w:topLinePunct w:val="0"/>
        <w:autoSpaceDE/>
        <w:autoSpaceDN/>
        <w:bidi w:val="0"/>
        <w:adjustRightInd w:val="0"/>
        <w:snapToGrid/>
        <w:ind w:left="567" w:leftChars="0" w:right="0" w:rightChars="0" w:hanging="567" w:firstLineChars="0"/>
        <w:textAlignment w:val="auto"/>
        <w:rPr>
          <w:rFonts w:hint="eastAsia" w:ascii="Times New Roman" w:hAnsi="Times New Roman" w:eastAsia="宋体"/>
          <w:b/>
          <w:bCs/>
          <w:sz w:val="21"/>
          <w:szCs w:val="21"/>
          <w:highlight w:val="none"/>
          <w:lang w:val="en-US" w:eastAsia="zh-CN"/>
        </w:rPr>
      </w:pPr>
    </w:p>
    <w:p>
      <w:pPr>
        <w:pStyle w:val="238"/>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0" w:firstLine="420" w:firstLineChars="20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氢气安全卸放  Hydrogen safety venting</w:t>
      </w:r>
    </w:p>
    <w:p>
      <w:pPr>
        <w:pStyle w:val="64"/>
        <w:keepNext w:val="0"/>
        <w:keepLines w:val="0"/>
        <w:pageBreakBefore w:val="0"/>
        <w:kinsoku/>
        <w:wordWrap/>
        <w:overflowPunct/>
        <w:topLinePunct w:val="0"/>
        <w:bidi w:val="0"/>
        <w:adjustRightInd w:val="0"/>
        <w:spacing w:before="0" w:after="0"/>
        <w:ind w:right="0" w:rightChars="0" w:firstLine="480"/>
        <w:textAlignment w:val="auto"/>
        <w:rPr>
          <w:rFonts w:hint="eastAsia" w:hAnsi="宋体" w:cs="Calibri"/>
          <w:kern w:val="2"/>
          <w:sz w:val="21"/>
          <w:szCs w:val="21"/>
        </w:rPr>
      </w:pPr>
      <w:r>
        <w:rPr>
          <w:rFonts w:hint="eastAsia" w:hAnsi="宋体" w:cs="Calibri"/>
          <w:kern w:val="2"/>
          <w:sz w:val="21"/>
          <w:szCs w:val="21"/>
          <w:lang w:val="en-US" w:eastAsia="zh-CN"/>
        </w:rPr>
        <w:t>氢气</w:t>
      </w:r>
      <w:r>
        <w:rPr>
          <w:rFonts w:hint="eastAsia" w:hAnsi="宋体" w:cs="Calibri"/>
          <w:kern w:val="2"/>
          <w:sz w:val="21"/>
          <w:szCs w:val="21"/>
        </w:rPr>
        <w:t>过充时，为降低管束中氢气压力，对管束式集装箱中氢气的安全放空。</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b/>
          <w:bCs/>
          <w:sz w:val="21"/>
          <w:szCs w:val="21"/>
          <w:highlight w:val="none"/>
          <w:lang w:val="en-US" w:eastAsia="zh-CN"/>
        </w:rPr>
      </w:pPr>
    </w:p>
    <w:p>
      <w:pPr>
        <w:pStyle w:val="238"/>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0" w:firstLine="420" w:firstLineChars="20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氢气充装  Hydrogen filling</w:t>
      </w:r>
    </w:p>
    <w:p>
      <w:pPr>
        <w:pStyle w:val="64"/>
        <w:keepNext w:val="0"/>
        <w:keepLines w:val="0"/>
        <w:pageBreakBefore w:val="0"/>
        <w:kinsoku/>
        <w:wordWrap/>
        <w:overflowPunct/>
        <w:topLinePunct w:val="0"/>
        <w:bidi w:val="0"/>
        <w:adjustRightInd w:val="0"/>
        <w:spacing w:before="0" w:after="0"/>
        <w:ind w:right="0" w:rightChars="0" w:firstLine="480"/>
        <w:textAlignment w:val="auto"/>
        <w:rPr>
          <w:rFonts w:hint="eastAsia" w:hAnsi="宋体" w:cs="Calibri"/>
          <w:kern w:val="2"/>
          <w:sz w:val="21"/>
          <w:szCs w:val="21"/>
        </w:rPr>
      </w:pPr>
      <w:r>
        <w:rPr>
          <w:rFonts w:hint="eastAsia" w:hAnsi="宋体" w:cs="Calibri"/>
          <w:kern w:val="2"/>
          <w:sz w:val="21"/>
          <w:szCs w:val="21"/>
        </w:rPr>
        <w:t>通过增压将氢气充入氢气管束式集装箱的过程。</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b/>
          <w:bCs/>
          <w:sz w:val="21"/>
          <w:szCs w:val="21"/>
          <w:highlight w:val="none"/>
          <w:lang w:val="en-US" w:eastAsia="zh-CN"/>
        </w:rPr>
      </w:pPr>
    </w:p>
    <w:p>
      <w:pPr>
        <w:pStyle w:val="238"/>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ind w:leftChars="0" w:firstLine="421" w:firstLineChars="200"/>
        <w:textAlignment w:val="auto"/>
        <w:rPr>
          <w:rFonts w:hint="eastAsia"/>
          <w:b/>
          <w:bCs/>
          <w:sz w:val="21"/>
          <w:szCs w:val="21"/>
          <w:highlight w:val="none"/>
          <w:lang w:val="en-US" w:eastAsia="zh-CN"/>
        </w:rPr>
      </w:pPr>
      <w:r>
        <w:rPr>
          <w:rFonts w:hint="eastAsia"/>
          <w:b/>
          <w:bCs/>
          <w:sz w:val="21"/>
          <w:szCs w:val="21"/>
          <w:highlight w:val="none"/>
          <w:lang w:val="en-US" w:eastAsia="zh-CN"/>
        </w:rPr>
        <w:t>中控人员  Central control personnel</w:t>
      </w:r>
    </w:p>
    <w:p>
      <w:pPr>
        <w:pStyle w:val="64"/>
        <w:keepNext w:val="0"/>
        <w:keepLines w:val="0"/>
        <w:pageBreakBefore w:val="0"/>
        <w:kinsoku/>
        <w:wordWrap/>
        <w:overflowPunct/>
        <w:topLinePunct w:val="0"/>
        <w:bidi w:val="0"/>
        <w:adjustRightInd w:val="0"/>
        <w:spacing w:before="0" w:after="0"/>
        <w:ind w:right="0" w:rightChars="0" w:firstLine="480"/>
        <w:textAlignment w:val="auto"/>
        <w:rPr>
          <w:rFonts w:hint="eastAsia" w:hAnsi="宋体" w:cs="Calibri"/>
          <w:kern w:val="2"/>
          <w:sz w:val="21"/>
          <w:szCs w:val="21"/>
        </w:rPr>
      </w:pPr>
      <w:r>
        <w:rPr>
          <w:rFonts w:hint="eastAsia" w:hAnsi="宋体" w:cs="Calibri"/>
          <w:kern w:val="2"/>
          <w:sz w:val="21"/>
          <w:szCs w:val="21"/>
        </w:rPr>
        <w:t>充装站集中控制岗位的监控操作人员。</w:t>
      </w:r>
    </w:p>
    <w:p>
      <w:pPr>
        <w:pStyle w:val="112"/>
        <w:keepNext w:val="0"/>
        <w:keepLines w:val="0"/>
        <w:pageBreakBefore w:val="0"/>
        <w:widowControl/>
        <w:numPr>
          <w:ilvl w:val="0"/>
          <w:numId w:val="37"/>
        </w:numPr>
        <w:kinsoku/>
        <w:wordWrap/>
        <w:overflowPunct/>
        <w:topLinePunct w:val="0"/>
        <w:autoSpaceDE/>
        <w:autoSpaceDN/>
        <w:bidi w:val="0"/>
        <w:adjustRightInd w:val="0"/>
        <w:snapToGrid w:val="0"/>
        <w:ind w:left="425" w:leftChars="0" w:hanging="425" w:firstLineChars="0"/>
        <w:textAlignment w:val="auto"/>
        <w:rPr>
          <w:rFonts w:hint="eastAsia"/>
          <w:sz w:val="21"/>
          <w:szCs w:val="21"/>
        </w:rPr>
      </w:pPr>
      <w:bookmarkStart w:id="32" w:name="_Toc183285800"/>
      <w:bookmarkStart w:id="33" w:name="_Toc611"/>
      <w:bookmarkStart w:id="34" w:name="_Hlk165958935"/>
      <w:r>
        <w:rPr>
          <w:rFonts w:hint="eastAsia"/>
          <w:sz w:val="21"/>
          <w:szCs w:val="21"/>
          <w:lang w:val="en-US" w:eastAsia="zh-CN"/>
        </w:rPr>
        <w:t>基本</w:t>
      </w:r>
      <w:r>
        <w:rPr>
          <w:rFonts w:hint="eastAsia"/>
          <w:sz w:val="21"/>
          <w:szCs w:val="21"/>
        </w:rPr>
        <w:t>要求</w:t>
      </w:r>
      <w:bookmarkEnd w:id="32"/>
      <w:bookmarkEnd w:id="33"/>
    </w:p>
    <w:bookmarkEnd w:id="34"/>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资质条件</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应取得相应的移动式压力容器充装许可证，且充装介质类别为压缩气体，充装介质名称为氢，并在有效期内。</w:t>
      </w:r>
      <w:bookmarkStart w:id="35" w:name="_Hlk165959822"/>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单位管理和负责人应按规定取得相应资质。</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应取得应急、环保及与充装氢气种类对应的其他资质条件，无或不在停业期内，无其他不能开展氢气管束式集装箱充装业务的情况。</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除移动式压力容器充装许可证外，充装列入国家行政许可范围的氢气产品，还应按规定取得相关的国家行政许可。</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人员配置</w:t>
      </w:r>
    </w:p>
    <w:bookmarkEnd w:id="35"/>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709" w:leftChars="0" w:hanging="709"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各类人员配置满足规范要求，作业分工明确，并按规定取得相应的资格证书。</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709" w:leftChars="0" w:hanging="709"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 xml:space="preserve">现场充装作业人员须经安全、技能培训，并考核合格。 </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709" w:leftChars="0" w:hanging="709"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有关人员有国家规定的受教育背景和从业经历。</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场地设置</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bookmarkStart w:id="36" w:name="_Hlk165959009"/>
      <w:r>
        <w:rPr>
          <w:rFonts w:hint="eastAsia" w:ascii="Times New Roman" w:hAnsi="Times New Roman" w:eastAsia="宋体"/>
          <w:sz w:val="21"/>
          <w:szCs w:val="21"/>
          <w:highlight w:val="none"/>
          <w:lang w:val="en-US" w:eastAsia="zh-CN"/>
        </w:rPr>
        <w:t>充装站应有相对独立的位置场所，与外部分界及距离符合安全要求，入口设立进站须知牌，</w:t>
      </w:r>
      <w:r>
        <w:rPr>
          <w:rFonts w:hint="eastAsia"/>
          <w:sz w:val="21"/>
          <w:szCs w:val="21"/>
          <w:highlight w:val="none"/>
          <w:lang w:val="en-US" w:eastAsia="zh-CN"/>
        </w:rPr>
        <w:t>按规定</w:t>
      </w:r>
      <w:r>
        <w:rPr>
          <w:rFonts w:hint="eastAsia" w:ascii="Times New Roman" w:hAnsi="Times New Roman" w:eastAsia="宋体"/>
          <w:sz w:val="21"/>
          <w:szCs w:val="21"/>
          <w:highlight w:val="none"/>
          <w:lang w:val="en-US" w:eastAsia="zh-CN"/>
        </w:rPr>
        <w:t>设置防爆型人体静电消除装置。</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站内氢气相关的各功能区域应有良好的通风换气条件，避免形成危险的爆炸性混合物或毒性气体聚集，以及出现富氧或缺氧现象等。</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站内安全检查、充装、辅助等各功能区划分、分隔合理，设置符合规范的内部道路及出入口，满足氢气管束式集装箱充装作业需求，并配置必要的设备设施。</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站内应地面开阔平整，视野良好，按设计要求硬化；有醒目的充装位标线、标识、编号和车辆运行参照，有必要的应设置转角镜等。</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709" w:leftChars="0" w:hanging="709"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有充足的安全照明条件，保障夜间充装时，无照明盲区</w:t>
      </w:r>
      <w:r>
        <w:rPr>
          <w:rFonts w:hint="eastAsia"/>
          <w:sz w:val="21"/>
          <w:szCs w:val="21"/>
          <w:highlight w:val="none"/>
          <w:lang w:val="en-US" w:eastAsia="zh-CN"/>
        </w:rPr>
        <w:t>，充装区有防爆型应急照明</w:t>
      </w:r>
      <w:r>
        <w:rPr>
          <w:rFonts w:hint="eastAsia" w:ascii="Times New Roman" w:hAnsi="Times New Roman" w:eastAsia="宋体"/>
          <w:sz w:val="21"/>
          <w:szCs w:val="21"/>
          <w:highlight w:val="none"/>
          <w:lang w:val="en-US" w:eastAsia="zh-CN"/>
        </w:rPr>
        <w:t>。</w:t>
      </w:r>
      <w:bookmarkEnd w:id="36"/>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站内安全检查场地</w:t>
      </w:r>
      <w:bookmarkStart w:id="37" w:name="_Hlk164874300"/>
      <w:r>
        <w:rPr>
          <w:rFonts w:hint="eastAsia" w:ascii="Times New Roman" w:hAnsi="Times New Roman" w:eastAsia="宋体"/>
          <w:sz w:val="21"/>
          <w:szCs w:val="21"/>
          <w:highlight w:val="none"/>
          <w:lang w:val="en-US" w:eastAsia="zh-CN"/>
        </w:rPr>
        <w:t>应设置在站内</w:t>
      </w:r>
      <w:bookmarkEnd w:id="37"/>
      <w:r>
        <w:rPr>
          <w:rFonts w:hint="eastAsia" w:ascii="Times New Roman" w:hAnsi="Times New Roman" w:eastAsia="宋体"/>
          <w:sz w:val="21"/>
          <w:szCs w:val="21"/>
          <w:highlight w:val="none"/>
          <w:lang w:val="en-US" w:eastAsia="zh-CN"/>
        </w:rPr>
        <w:t>充装区以外区域，与充装区及其他区域保持距离，面积和位置应满足至少一台氢气管束式集装箱整车（含车头）停放、进出和检查需要。 设置多个检查车位的，应标明车位编号。</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充装区应与检查区分开设置，充装位（柱）分布合理，多个充装位（柱）应明显编号。</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充装区应有充装操作平台或辅助平台，充装操作平台或辅助平台高度应与管束集装箱挂车平板一致，有上下步梯，有必要的防护栏杆并连接防静电接地装置，钢柱结构应有防火保护层。</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安全检查及充装区均应设置在防雷设施保护范围内，地面平整硬化，与安全通道、紧急疏散口之间应保持畅通，能看到风向标。</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安全检查及充装区均应场地专用，有停车方向指示、停车位边界线等地面划线、标识。</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安全检查及充装区均不设置工作人员休息处，不设置座椅等人员休息停留设施。</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安全检查及充装区场地四周均应无易燃、易爆物质存放，无静电释放源等。</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bookmarkStart w:id="38" w:name="_Hlk165960061"/>
      <w:r>
        <w:rPr>
          <w:rFonts w:hint="eastAsia" w:ascii="黑体" w:hAnsi="黑体" w:eastAsia="黑体" w:cs="黑体"/>
          <w:b w:val="0"/>
          <w:bCs w:val="0"/>
          <w:sz w:val="21"/>
          <w:szCs w:val="21"/>
          <w:highlight w:val="none"/>
          <w:lang w:val="en-US" w:eastAsia="zh-CN"/>
        </w:rPr>
        <w:t>设备设施</w:t>
      </w:r>
    </w:p>
    <w:bookmarkEnd w:id="38"/>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709" w:leftChars="0" w:hanging="709"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氢气管束式集装箱车安全检查场地应配置必要的维修、警示、安全设施和应急设备。如：</w:t>
      </w:r>
    </w:p>
    <w:p>
      <w:pPr>
        <w:pStyle w:val="64"/>
        <w:keepNext w:val="0"/>
        <w:keepLines w:val="0"/>
        <w:pageBreakBefore w:val="0"/>
        <w:widowControl/>
        <w:numPr>
          <w:ilvl w:val="0"/>
          <w:numId w:val="38"/>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铜制扳手、千斤顶、拖车钩、拖车绳、氢气漏气检测仪等必要的检查和临时维修用工器具。</w:t>
      </w:r>
    </w:p>
    <w:p>
      <w:pPr>
        <w:pStyle w:val="64"/>
        <w:keepNext w:val="0"/>
        <w:keepLines w:val="0"/>
        <w:pageBreakBefore w:val="0"/>
        <w:widowControl/>
        <w:numPr>
          <w:ilvl w:val="0"/>
          <w:numId w:val="38"/>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灭火器、地面消防栓、消防栓箱、应急包等消防和应急用器材。</w:t>
      </w:r>
    </w:p>
    <w:p>
      <w:pPr>
        <w:pStyle w:val="64"/>
        <w:keepNext w:val="0"/>
        <w:keepLines w:val="0"/>
        <w:pageBreakBefore w:val="0"/>
        <w:widowControl/>
        <w:numPr>
          <w:ilvl w:val="0"/>
          <w:numId w:val="38"/>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手持式带有荧光反射的车辆引导指示牌、工业水龙头、备用防静电服、防静电鞋（鞋套）、安全帽等必要的其他物资材料。</w:t>
      </w:r>
    </w:p>
    <w:p>
      <w:pPr>
        <w:pStyle w:val="64"/>
        <w:keepNext w:val="0"/>
        <w:keepLines w:val="0"/>
        <w:pageBreakBefore w:val="0"/>
        <w:widowControl/>
        <w:numPr>
          <w:ilvl w:val="0"/>
          <w:numId w:val="38"/>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应设置禁止带入充装区的物质、物品临时集中存放处。</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709" w:leftChars="0" w:hanging="709"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氢气充装场地的设备设施配置应满足下列要求：</w:t>
      </w:r>
    </w:p>
    <w:p>
      <w:pPr>
        <w:pStyle w:val="64"/>
        <w:keepNext w:val="0"/>
        <w:keepLines w:val="0"/>
        <w:pageBreakBefore w:val="0"/>
        <w:widowControl/>
        <w:numPr>
          <w:ilvl w:val="0"/>
          <w:numId w:val="39"/>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充装区充装平台附近放置灭火器、灭火毯、消防砂箱，有挡车设施、视频监视、氢气过充报警、氢气安全卸放装置。</w:t>
      </w:r>
    </w:p>
    <w:p>
      <w:pPr>
        <w:pStyle w:val="64"/>
        <w:keepNext w:val="0"/>
        <w:keepLines w:val="0"/>
        <w:pageBreakBefore w:val="0"/>
        <w:widowControl/>
        <w:numPr>
          <w:ilvl w:val="0"/>
          <w:numId w:val="39"/>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专用的充装软管有防止充装软管拉脱的措施，并经过检验合格且在检验有效期内。</w:t>
      </w:r>
    </w:p>
    <w:p>
      <w:pPr>
        <w:pStyle w:val="64"/>
        <w:keepNext w:val="0"/>
        <w:keepLines w:val="0"/>
        <w:pageBreakBefore w:val="0"/>
        <w:widowControl/>
        <w:numPr>
          <w:ilvl w:val="0"/>
          <w:numId w:val="39"/>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按规定装设氢气泄漏报警装置和静电消除报警装置。</w:t>
      </w:r>
    </w:p>
    <w:p>
      <w:pPr>
        <w:pStyle w:val="64"/>
        <w:keepNext w:val="0"/>
        <w:keepLines w:val="0"/>
        <w:pageBreakBefore w:val="0"/>
        <w:widowControl/>
        <w:numPr>
          <w:ilvl w:val="0"/>
          <w:numId w:val="39"/>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有手动紧急停止充装装置。</w:t>
      </w:r>
    </w:p>
    <w:p>
      <w:pPr>
        <w:pStyle w:val="64"/>
        <w:keepNext w:val="0"/>
        <w:keepLines w:val="0"/>
        <w:pageBreakBefore w:val="0"/>
        <w:widowControl/>
        <w:numPr>
          <w:ilvl w:val="0"/>
          <w:numId w:val="39"/>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有必要的夏季高温和冬季低温期间充装应对措施。</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警示标识</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充装站门口应明显标示严禁烟火、无关人员禁止入内等警示标识。</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各功能区，压缩机(泵)房、变配电室等重要部位规范标识，并有安全警示、路线引导和报警电话号码标识。</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充装站内氢气储存、压缩、检查、充装场所及设备设施的规定范围内，应有杜绝火源和热源等警示标识。</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有关区域有严禁烟火、佩</w:t>
      </w:r>
      <w:r>
        <w:rPr>
          <w:rFonts w:hint="eastAsia"/>
          <w:sz w:val="21"/>
          <w:szCs w:val="21"/>
          <w:highlight w:val="none"/>
          <w:lang w:val="en-US" w:eastAsia="zh-CN"/>
        </w:rPr>
        <w:t>戴安全帽</w:t>
      </w:r>
      <w:r>
        <w:rPr>
          <w:rFonts w:hint="eastAsia" w:ascii="Times New Roman" w:hAnsi="Times New Roman" w:eastAsia="宋体"/>
          <w:sz w:val="21"/>
          <w:szCs w:val="21"/>
          <w:highlight w:val="none"/>
          <w:lang w:val="en-US" w:eastAsia="zh-CN"/>
        </w:rPr>
        <w:t>、火警电话、佩带耳机、禁止使用手机等警示标识。</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设备启停装置、阀门、开关、急停按钮等关键部位处有禁止操作等警示禁识。</w:t>
      </w:r>
    </w:p>
    <w:p>
      <w:pPr>
        <w:pStyle w:val="112"/>
        <w:keepNext w:val="0"/>
        <w:keepLines w:val="0"/>
        <w:pageBreakBefore w:val="0"/>
        <w:widowControl/>
        <w:numPr>
          <w:ilvl w:val="0"/>
          <w:numId w:val="37"/>
        </w:numPr>
        <w:kinsoku/>
        <w:wordWrap/>
        <w:overflowPunct/>
        <w:topLinePunct w:val="0"/>
        <w:autoSpaceDE/>
        <w:autoSpaceDN/>
        <w:bidi w:val="0"/>
        <w:adjustRightInd w:val="0"/>
        <w:snapToGrid w:val="0"/>
        <w:ind w:left="425" w:leftChars="0" w:hanging="425" w:firstLineChars="0"/>
        <w:textAlignment w:val="auto"/>
        <w:rPr>
          <w:rFonts w:hint="eastAsia"/>
          <w:sz w:val="21"/>
          <w:szCs w:val="21"/>
        </w:rPr>
      </w:pPr>
      <w:bookmarkStart w:id="39" w:name="_Toc26802"/>
      <w:bookmarkStart w:id="40" w:name="_Toc183285802"/>
      <w:r>
        <w:rPr>
          <w:rFonts w:hint="eastAsia"/>
          <w:sz w:val="21"/>
          <w:szCs w:val="21"/>
          <w:lang w:val="en-US" w:eastAsia="zh-CN"/>
        </w:rPr>
        <w:t>充装作业</w:t>
      </w:r>
      <w:bookmarkEnd w:id="39"/>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充装条件</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充装站充装作业开始前，应安全、操作、中控及辅助、专职安全检查等各岗位人员就位，并进入工作状态；安全检查人员不应由充装操作人员兼任。</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氢气充装作业开始前，应确认：</w:t>
      </w:r>
    </w:p>
    <w:p>
      <w:pPr>
        <w:pStyle w:val="64"/>
        <w:keepNext w:val="0"/>
        <w:keepLines w:val="0"/>
        <w:pageBreakBefore w:val="0"/>
        <w:widowControl/>
        <w:numPr>
          <w:ilvl w:val="0"/>
          <w:numId w:val="40"/>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氢气供应系统正常。</w:t>
      </w:r>
    </w:p>
    <w:p>
      <w:pPr>
        <w:pStyle w:val="64"/>
        <w:keepNext w:val="0"/>
        <w:keepLines w:val="0"/>
        <w:pageBreakBefore w:val="0"/>
        <w:widowControl/>
        <w:numPr>
          <w:ilvl w:val="0"/>
          <w:numId w:val="40"/>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ascii="Times New Roman" w:hAnsi="Times New Roman" w:eastAsia="宋体"/>
          <w:sz w:val="21"/>
          <w:szCs w:val="21"/>
          <w:highlight w:val="none"/>
          <w:lang w:val="en-US" w:eastAsia="zh-CN"/>
        </w:rPr>
      </w:pPr>
      <w:r>
        <w:rPr>
          <w:rFonts w:hint="eastAsia" w:hAnsi="宋体" w:cs="Calibri"/>
          <w:kern w:val="2"/>
          <w:sz w:val="21"/>
          <w:szCs w:val="21"/>
          <w:lang w:val="en-US" w:eastAsia="zh-CN"/>
        </w:rPr>
        <w:t>压缩及配套辅助系统工作正常。</w:t>
      </w:r>
    </w:p>
    <w:p>
      <w:pPr>
        <w:pStyle w:val="64"/>
        <w:keepNext w:val="0"/>
        <w:keepLines w:val="0"/>
        <w:pageBreakBefore w:val="0"/>
        <w:widowControl/>
        <w:numPr>
          <w:ilvl w:val="0"/>
          <w:numId w:val="40"/>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ascii="Times New Roman" w:hAnsi="Times New Roman" w:eastAsia="宋体"/>
          <w:sz w:val="21"/>
          <w:szCs w:val="21"/>
          <w:highlight w:val="none"/>
          <w:lang w:val="en-US" w:eastAsia="zh-CN"/>
        </w:rPr>
      </w:pPr>
      <w:r>
        <w:rPr>
          <w:rFonts w:hint="eastAsia" w:ascii="Times New Roman"/>
          <w:sz w:val="21"/>
          <w:szCs w:val="21"/>
          <w:highlight w:val="none"/>
          <w:lang w:val="en-US" w:eastAsia="zh-CN"/>
        </w:rPr>
        <w:t>安全检查及充装区场地、工器具配置正常。</w:t>
      </w:r>
    </w:p>
    <w:p>
      <w:pPr>
        <w:pStyle w:val="64"/>
        <w:keepNext w:val="0"/>
        <w:keepLines w:val="0"/>
        <w:pageBreakBefore w:val="0"/>
        <w:widowControl/>
        <w:numPr>
          <w:ilvl w:val="0"/>
          <w:numId w:val="40"/>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消防安全及应急系统正常。</w:t>
      </w:r>
    </w:p>
    <w:p>
      <w:pPr>
        <w:pStyle w:val="64"/>
        <w:keepNext w:val="0"/>
        <w:keepLines w:val="0"/>
        <w:pageBreakBefore w:val="0"/>
        <w:widowControl/>
        <w:numPr>
          <w:ilvl w:val="0"/>
          <w:numId w:val="40"/>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ascii="Times New Roman" w:hAnsi="Times New Roman" w:eastAsia="宋体"/>
          <w:sz w:val="21"/>
          <w:szCs w:val="21"/>
          <w:highlight w:val="none"/>
          <w:lang w:val="en-US" w:eastAsia="zh-CN"/>
        </w:rPr>
      </w:pPr>
      <w:r>
        <w:rPr>
          <w:rFonts w:hint="eastAsia" w:ascii="Times New Roman"/>
          <w:sz w:val="21"/>
          <w:szCs w:val="21"/>
          <w:highlight w:val="none"/>
          <w:lang w:val="en-US" w:eastAsia="zh-CN"/>
        </w:rPr>
        <w:t>通讯及控制系统工作正常。</w:t>
      </w:r>
    </w:p>
    <w:p>
      <w:pPr>
        <w:pStyle w:val="64"/>
        <w:keepNext w:val="0"/>
        <w:keepLines w:val="0"/>
        <w:pageBreakBefore w:val="0"/>
        <w:widowControl/>
        <w:numPr>
          <w:ilvl w:val="0"/>
          <w:numId w:val="40"/>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ascii="Times New Roman" w:hAnsi="Times New Roman" w:eastAsia="宋体"/>
          <w:sz w:val="21"/>
          <w:szCs w:val="21"/>
          <w:highlight w:val="none"/>
          <w:lang w:val="en-US" w:eastAsia="zh-CN"/>
        </w:rPr>
      </w:pPr>
      <w:r>
        <w:rPr>
          <w:rFonts w:hint="eastAsia" w:ascii="Times New Roman"/>
          <w:sz w:val="21"/>
          <w:szCs w:val="21"/>
          <w:highlight w:val="none"/>
          <w:lang w:val="en-US" w:eastAsia="zh-CN"/>
        </w:rPr>
        <w:t>无其它影响正常充装的异常情况。</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作业流程</w:t>
      </w:r>
      <w:bookmarkEnd w:id="40"/>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充装站应有符合规范和实际需求的充装作业流程，见附录A。</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default"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充装站氢气管束式集装箱充装作业流程应包括氢气管束式集装箱车进站告知、安全检查、充装、充装量检查、充装完成离站及不合格情况处理等步骤，覆盖氢气管束式集装箱充装全过程。</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安全检查</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氢气管束式集装箱车进入充装站前应进行安全告知，告知进站须知及注意事项，并进行进站检查：</w:t>
      </w:r>
    </w:p>
    <w:p>
      <w:pPr>
        <w:pStyle w:val="64"/>
        <w:keepNext w:val="0"/>
        <w:keepLines w:val="0"/>
        <w:pageBreakBefore w:val="0"/>
        <w:widowControl/>
        <w:numPr>
          <w:ilvl w:val="0"/>
          <w:numId w:val="41"/>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检查车牌、车号、车型、行车证、驾驶证、押运资格证书、车上充装气体证明、车辆及管束检验合格证等车辆信息。</w:t>
      </w:r>
    </w:p>
    <w:p>
      <w:pPr>
        <w:pStyle w:val="64"/>
        <w:keepNext w:val="0"/>
        <w:keepLines w:val="0"/>
        <w:pageBreakBefore w:val="0"/>
        <w:widowControl/>
        <w:numPr>
          <w:ilvl w:val="0"/>
          <w:numId w:val="41"/>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将车辆信息与车况外观对照，包括车辆外观、车身标识、充装介质标识、安全附件及其检验信息、安装防火帽、车上人员着装等。</w:t>
      </w:r>
    </w:p>
    <w:p>
      <w:pPr>
        <w:pStyle w:val="64"/>
        <w:keepNext w:val="0"/>
        <w:keepLines w:val="0"/>
        <w:pageBreakBefore w:val="0"/>
        <w:widowControl/>
        <w:numPr>
          <w:ilvl w:val="0"/>
          <w:numId w:val="41"/>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检查车内介质与充装站氢气种类是否一致，必要时取样检测对照。</w:t>
      </w:r>
    </w:p>
    <w:p>
      <w:pPr>
        <w:pStyle w:val="64"/>
        <w:keepNext w:val="0"/>
        <w:keepLines w:val="0"/>
        <w:pageBreakBefore w:val="0"/>
        <w:widowControl/>
        <w:numPr>
          <w:ilvl w:val="0"/>
          <w:numId w:val="41"/>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 xml:space="preserve">检查车上有无打火机、手机、酒精、汽油、机油、油棉纱等违禁物品和物质。 </w:t>
      </w:r>
    </w:p>
    <w:p>
      <w:pPr>
        <w:pStyle w:val="64"/>
        <w:keepNext w:val="0"/>
        <w:keepLines w:val="0"/>
        <w:pageBreakBefore w:val="0"/>
        <w:widowControl/>
        <w:numPr>
          <w:ilvl w:val="0"/>
          <w:numId w:val="41"/>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充装有特殊用途、品质要求的氢气，根据对应的规范和要求增加检查项目。</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bookmarkStart w:id="41" w:name="_Hlk183514634"/>
      <w:r>
        <w:rPr>
          <w:rFonts w:hint="eastAsia" w:ascii="Times New Roman" w:hAnsi="Times New Roman" w:eastAsia="宋体"/>
          <w:sz w:val="21"/>
          <w:szCs w:val="21"/>
          <w:highlight w:val="none"/>
          <w:lang w:val="en-US" w:eastAsia="zh-CN"/>
        </w:rPr>
        <w:t>氢气管束式集装箱车进站后</w:t>
      </w:r>
      <w:bookmarkEnd w:id="41"/>
      <w:r>
        <w:rPr>
          <w:rFonts w:hint="eastAsia" w:ascii="Times New Roman" w:hAnsi="Times New Roman" w:eastAsia="宋体"/>
          <w:sz w:val="21"/>
          <w:szCs w:val="21"/>
          <w:highlight w:val="none"/>
          <w:lang w:val="en-US" w:eastAsia="zh-CN"/>
        </w:rPr>
        <w:t>，应引导到检查车位，同时进入检查场地的车辆数量不应超过检查车位数量，并进行充装前检查：</w:t>
      </w:r>
    </w:p>
    <w:p>
      <w:pPr>
        <w:pStyle w:val="64"/>
        <w:keepNext w:val="0"/>
        <w:keepLines w:val="0"/>
        <w:pageBreakBefore w:val="0"/>
        <w:widowControl/>
        <w:numPr>
          <w:ilvl w:val="0"/>
          <w:numId w:val="42"/>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检查车辆整体状况，有无明显损坏、损毁现象，轮胎压力有无明显异常等。</w:t>
      </w:r>
    </w:p>
    <w:p>
      <w:pPr>
        <w:pStyle w:val="64"/>
        <w:keepNext w:val="0"/>
        <w:keepLines w:val="0"/>
        <w:pageBreakBefore w:val="0"/>
        <w:widowControl/>
        <w:numPr>
          <w:ilvl w:val="0"/>
          <w:numId w:val="42"/>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检查余压、温度、余量等是否符合充装要求，确认介质种类是否一致。</w:t>
      </w:r>
    </w:p>
    <w:p>
      <w:pPr>
        <w:pStyle w:val="64"/>
        <w:keepNext w:val="0"/>
        <w:keepLines w:val="0"/>
        <w:pageBreakBefore w:val="0"/>
        <w:widowControl/>
        <w:numPr>
          <w:ilvl w:val="0"/>
          <w:numId w:val="42"/>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检查管束式集装箱及充装附件齐全、完好。</w:t>
      </w:r>
    </w:p>
    <w:p>
      <w:pPr>
        <w:pStyle w:val="64"/>
        <w:keepNext w:val="0"/>
        <w:keepLines w:val="0"/>
        <w:pageBreakBefore w:val="0"/>
        <w:widowControl/>
        <w:numPr>
          <w:ilvl w:val="0"/>
          <w:numId w:val="42"/>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检查车辆的导静电橡胶拖地带，接地端无论空、满载应始终接地。</w:t>
      </w:r>
    </w:p>
    <w:p>
      <w:pPr>
        <w:pStyle w:val="64"/>
        <w:keepNext w:val="0"/>
        <w:keepLines w:val="0"/>
        <w:pageBreakBefore w:val="0"/>
        <w:widowControl/>
        <w:numPr>
          <w:ilvl w:val="0"/>
          <w:numId w:val="42"/>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必要时，每次充装前取样分析车内氢气纯度及含氧情况。</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氢气管束式集装箱车经充装前安全检查合格后，并进行充装条件确认：</w:t>
      </w:r>
    </w:p>
    <w:p>
      <w:pPr>
        <w:pStyle w:val="64"/>
        <w:keepNext w:val="0"/>
        <w:keepLines w:val="0"/>
        <w:pageBreakBefore w:val="0"/>
        <w:widowControl/>
        <w:numPr>
          <w:ilvl w:val="0"/>
          <w:numId w:val="43"/>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应与车上人员确认已发放氢气安全技术说明书和安全标签，专人引导车辆进入充装位。</w:t>
      </w:r>
    </w:p>
    <w:p>
      <w:pPr>
        <w:pStyle w:val="64"/>
        <w:keepNext w:val="0"/>
        <w:keepLines w:val="0"/>
        <w:pageBreakBefore w:val="0"/>
        <w:widowControl/>
        <w:numPr>
          <w:ilvl w:val="0"/>
          <w:numId w:val="43"/>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开始充装前，牵引车头应驶离充装区，熄火停放在充装站指定位置，不应停在充装区、消防通道、安全出口前及其他影响安全和正常作业的位置。</w:t>
      </w:r>
    </w:p>
    <w:p>
      <w:pPr>
        <w:pStyle w:val="64"/>
        <w:keepNext w:val="0"/>
        <w:keepLines w:val="0"/>
        <w:pageBreakBefore w:val="0"/>
        <w:widowControl/>
        <w:numPr>
          <w:ilvl w:val="0"/>
          <w:numId w:val="43"/>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氢气管束式集装箱进入充装位后，应放置挡车装置，并确认紧固连接防静电接地。</w:t>
      </w:r>
    </w:p>
    <w:p>
      <w:pPr>
        <w:pStyle w:val="64"/>
        <w:keepNext w:val="0"/>
        <w:keepLines w:val="0"/>
        <w:pageBreakBefore w:val="0"/>
        <w:widowControl/>
        <w:numPr>
          <w:ilvl w:val="0"/>
          <w:numId w:val="43"/>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应使用充装站自备的检验合格并在检验有效期内的充装软管充装，检查快装接头密封面完好，无裂纹、擦伤、毛刺和砂眼。</w:t>
      </w:r>
    </w:p>
    <w:p>
      <w:pPr>
        <w:pStyle w:val="64"/>
        <w:keepNext w:val="0"/>
        <w:keepLines w:val="0"/>
        <w:pageBreakBefore w:val="0"/>
        <w:widowControl/>
        <w:numPr>
          <w:ilvl w:val="0"/>
          <w:numId w:val="43"/>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充装前应对充装管路进行置换。</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充装氢气</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通过安全检查，并确认充装条件后，按操作规程进行充装，充装过程检查及控制由充装站负责，应：</w:t>
      </w:r>
    </w:p>
    <w:p>
      <w:pPr>
        <w:pStyle w:val="64"/>
        <w:keepNext w:val="0"/>
        <w:keepLines w:val="0"/>
        <w:pageBreakBefore w:val="0"/>
        <w:widowControl/>
        <w:numPr>
          <w:ilvl w:val="0"/>
          <w:numId w:val="44"/>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充装操作由两名及以上操作人员配合完成。</w:t>
      </w:r>
    </w:p>
    <w:p>
      <w:pPr>
        <w:pStyle w:val="64"/>
        <w:keepNext w:val="0"/>
        <w:keepLines w:val="0"/>
        <w:pageBreakBefore w:val="0"/>
        <w:widowControl/>
        <w:numPr>
          <w:ilvl w:val="0"/>
          <w:numId w:val="44"/>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定期对在充管束集装箱的即时压力、温度、外观状况和充装设施及系统进行巡检等进行巡回检查，两次巡查间隔不应超过1小时。</w:t>
      </w:r>
    </w:p>
    <w:p>
      <w:pPr>
        <w:pStyle w:val="64"/>
        <w:keepNext w:val="0"/>
        <w:keepLines w:val="0"/>
        <w:pageBreakBefore w:val="0"/>
        <w:widowControl/>
        <w:numPr>
          <w:ilvl w:val="0"/>
          <w:numId w:val="44"/>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检查和操作时携带和使用便携式氢气检测仪、防爆通讯工具等。</w:t>
      </w:r>
    </w:p>
    <w:p>
      <w:pPr>
        <w:pStyle w:val="64"/>
        <w:keepNext w:val="0"/>
        <w:keepLines w:val="0"/>
        <w:pageBreakBefore w:val="0"/>
        <w:widowControl/>
        <w:numPr>
          <w:ilvl w:val="0"/>
          <w:numId w:val="44"/>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安全检查与充装作业人员分工明确，不互相替代或兼任。</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正常充装期间，充状系统的安全连锁报警保护装置应处于完好状态。</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充装站中控人员应全程监控充装指标，及相应的现场情况。</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应控制充装速度，控制管道内氢气流速不高于允许流速。</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充装压力达到规定压力80%时，中控人员应提醒操作人员做好相应氢气管束式集装箱的充装停止准备。</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sz w:val="21"/>
          <w:szCs w:val="21"/>
          <w:highlight w:val="none"/>
          <w:lang w:val="en-US" w:eastAsia="zh-CN"/>
        </w:rPr>
        <w:t>充装软管与管束式集装箱解离后，与管束集装箱连接的一端应安全挂起。</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充后复检</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达到充装量结束充装后，应对</w:t>
      </w:r>
      <w:bookmarkStart w:id="42" w:name="_Hlk184310834"/>
      <w:r>
        <w:rPr>
          <w:rFonts w:hint="eastAsia" w:ascii="Times New Roman" w:hAnsi="Times New Roman" w:eastAsia="宋体"/>
          <w:sz w:val="21"/>
          <w:szCs w:val="21"/>
          <w:highlight w:val="none"/>
          <w:lang w:val="en-US" w:eastAsia="zh-CN"/>
        </w:rPr>
        <w:t>氢气管束式集装箱</w:t>
      </w:r>
      <w:bookmarkEnd w:id="42"/>
      <w:r>
        <w:rPr>
          <w:rFonts w:hint="eastAsia" w:ascii="Times New Roman" w:hAnsi="Times New Roman" w:eastAsia="宋体"/>
          <w:sz w:val="21"/>
          <w:szCs w:val="21"/>
          <w:highlight w:val="none"/>
          <w:lang w:val="en-US" w:eastAsia="zh-CN"/>
        </w:rPr>
        <w:t>充装口进行气密验证。</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完成充装并确认无泄漏后的车辆，应及时安排离开充装区进入复检区复检，同时在充装场地的氢气管束式集装箱车数量不应超过充装车位数量。</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应重点复查管束内的氢气充装压力、温度等，确认不存在氢气过充现象。</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车辆离站</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应及时安排复检或氢气过充处理（氢气安全卸放）合格的辆离开充装站。</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应不充许复检不合格的车辆，未经安全泄放或消除异常直接离开充装站。</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对不能直接出站的车辆，充装站应有进一步处置和响应措施。</w:t>
      </w:r>
    </w:p>
    <w:p>
      <w:pPr>
        <w:pStyle w:val="112"/>
        <w:keepNext w:val="0"/>
        <w:keepLines w:val="0"/>
        <w:pageBreakBefore w:val="0"/>
        <w:widowControl/>
        <w:numPr>
          <w:ilvl w:val="0"/>
          <w:numId w:val="37"/>
        </w:numPr>
        <w:kinsoku/>
        <w:wordWrap/>
        <w:overflowPunct/>
        <w:topLinePunct w:val="0"/>
        <w:autoSpaceDE/>
        <w:autoSpaceDN/>
        <w:bidi w:val="0"/>
        <w:adjustRightInd w:val="0"/>
        <w:snapToGrid w:val="0"/>
        <w:ind w:left="425" w:leftChars="0" w:hanging="425" w:firstLineChars="0"/>
        <w:textAlignment w:val="auto"/>
        <w:rPr>
          <w:rFonts w:hint="eastAsia"/>
          <w:sz w:val="21"/>
          <w:szCs w:val="21"/>
          <w:lang w:val="en-US" w:eastAsia="zh-CN"/>
        </w:rPr>
      </w:pPr>
      <w:bookmarkStart w:id="43" w:name="_Toc183285803"/>
      <w:bookmarkStart w:id="44" w:name="_Toc4621"/>
      <w:r>
        <w:rPr>
          <w:rFonts w:hint="eastAsia"/>
          <w:sz w:val="21"/>
          <w:szCs w:val="21"/>
          <w:lang w:val="en-US" w:eastAsia="zh-CN"/>
        </w:rPr>
        <w:t>质量</w:t>
      </w:r>
      <w:bookmarkEnd w:id="43"/>
      <w:r>
        <w:rPr>
          <w:rFonts w:hint="eastAsia"/>
          <w:sz w:val="21"/>
          <w:szCs w:val="21"/>
          <w:lang w:val="en-US" w:eastAsia="zh-CN"/>
        </w:rPr>
        <w:t>保障</w:t>
      </w:r>
      <w:bookmarkEnd w:id="44"/>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过程保障</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充装作业流程各步骤应顺序合理，内容符合规范和充装站实际，与所充装氢气产品对应。</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充装作业流程各步骤应规范操作，执行到位，有执行规程和应急措施。</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正常充装时，充装作业流程各步骤应按顺序全部执行，不随意删减步骤或调整执行顺序。</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管束式集装箱充装各项检查均应有记录。参考记录表见附录B。</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充装站宜提高自动化、智能化水平，应能集中控制和记录及在线检测作业过程中的指标参数，并按规范存储。</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品质保障</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充装站应有相应的产品检验检测能力和质量控制措施，按要求对所充装产品进行必要的检验分析，并出具检测报告</w:t>
      </w:r>
      <w:r>
        <w:rPr>
          <w:rFonts w:hint="eastAsia"/>
          <w:sz w:val="21"/>
          <w:szCs w:val="21"/>
          <w:highlight w:val="none"/>
          <w:lang w:val="en-US" w:eastAsia="zh-CN"/>
        </w:rPr>
        <w:t>。</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检验分析方法应有并符合规范依据，并与所充装的氢气产品对应一致。</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取样器具、方式、方法、时间、位置、样品量等应符合规范要求。</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检验分析设备及数据精度应符合要求。</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检测分析结果不符合要求时，应分析原因，重新取样分析。</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经取样分析，确定达不到相应品级的已充装氢气，按实际能达到的品级或降低品级使用处理，并附检验检测报告。</w:t>
      </w:r>
    </w:p>
    <w:p>
      <w:pPr>
        <w:pStyle w:val="238"/>
        <w:keepNext w:val="0"/>
        <w:keepLines w:val="0"/>
        <w:pageBreakBefore w:val="0"/>
        <w:widowControl w:val="0"/>
        <w:numPr>
          <w:ilvl w:val="2"/>
          <w:numId w:val="37"/>
        </w:numPr>
        <w:kinsoku/>
        <w:wordWrap/>
        <w:overflowPunct/>
        <w:topLinePunct w:val="0"/>
        <w:autoSpaceDE/>
        <w:autoSpaceDN/>
        <w:bidi w:val="0"/>
        <w:adjustRightInd w:val="0"/>
        <w:snapToGrid w:val="0"/>
        <w:ind w:left="0" w:leftChars="0" w:firstLine="0" w:firstLineChars="0"/>
        <w:textAlignment w:val="auto"/>
        <w:rPr>
          <w:rFonts w:hint="eastAsia" w:ascii="Times New Roman" w:hAnsi="Times New Roman" w:eastAsia="宋体"/>
          <w:sz w:val="21"/>
          <w:szCs w:val="21"/>
          <w:highlight w:val="none"/>
          <w:lang w:val="en-US" w:eastAsia="zh-CN"/>
        </w:rPr>
      </w:pPr>
      <w:r>
        <w:rPr>
          <w:rFonts w:hint="eastAsia" w:ascii="Times New Roman" w:hAnsi="Times New Roman" w:eastAsia="宋体"/>
          <w:sz w:val="21"/>
          <w:szCs w:val="21"/>
          <w:highlight w:val="none"/>
          <w:lang w:val="en-US" w:eastAsia="zh-CN"/>
        </w:rPr>
        <w:t>氢气质量不能稳定达到相应品质时，不应开展相应质量品级的氢气充装。</w:t>
      </w:r>
    </w:p>
    <w:p>
      <w:pPr>
        <w:pStyle w:val="112"/>
        <w:keepNext w:val="0"/>
        <w:keepLines w:val="0"/>
        <w:pageBreakBefore w:val="0"/>
        <w:widowControl/>
        <w:numPr>
          <w:ilvl w:val="0"/>
          <w:numId w:val="37"/>
        </w:numPr>
        <w:kinsoku/>
        <w:wordWrap/>
        <w:overflowPunct/>
        <w:topLinePunct w:val="0"/>
        <w:autoSpaceDE/>
        <w:autoSpaceDN/>
        <w:bidi w:val="0"/>
        <w:adjustRightInd w:val="0"/>
        <w:snapToGrid w:val="0"/>
        <w:ind w:left="425" w:leftChars="0" w:hanging="425" w:firstLineChars="0"/>
        <w:textAlignment w:val="auto"/>
        <w:rPr>
          <w:rFonts w:hint="eastAsia"/>
          <w:b w:val="0"/>
          <w:bCs w:val="0"/>
          <w:sz w:val="21"/>
          <w:szCs w:val="21"/>
        </w:rPr>
      </w:pPr>
      <w:bookmarkStart w:id="45" w:name="_Toc14487"/>
      <w:r>
        <w:rPr>
          <w:rFonts w:hint="eastAsia"/>
          <w:b w:val="0"/>
          <w:bCs w:val="0"/>
          <w:sz w:val="21"/>
          <w:szCs w:val="21"/>
          <w:lang w:val="en-US" w:eastAsia="zh-CN"/>
        </w:rPr>
        <w:t>禁控现象和异常情况</w:t>
      </w:r>
      <w:bookmarkEnd w:id="45"/>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禁控现象</w:t>
      </w:r>
    </w:p>
    <w:p>
      <w:pPr>
        <w:pStyle w:val="238"/>
        <w:spacing w:before="120" w:beforeLines="50" w:after="120" w:afterLines="50"/>
        <w:ind w:firstLine="480"/>
        <w:rPr>
          <w:rFonts w:hint="eastAsia" w:ascii="黑体" w:hAnsi="黑体" w:eastAsia="黑体" w:cs="黑体"/>
          <w:b w:val="0"/>
          <w:bCs w:val="0"/>
          <w:sz w:val="21"/>
          <w:szCs w:val="21"/>
          <w:lang w:val="en-US"/>
        </w:rPr>
      </w:pPr>
      <w:r>
        <w:rPr>
          <w:rFonts w:hint="eastAsia" w:ascii="黑体" w:hAnsi="黑体" w:eastAsia="黑体" w:cs="黑体"/>
          <w:b w:val="0"/>
          <w:bCs w:val="0"/>
          <w:sz w:val="21"/>
          <w:szCs w:val="21"/>
          <w:lang w:val="en-US"/>
        </w:rPr>
        <w:t>为保证充装作业过程</w:t>
      </w:r>
      <w:r>
        <w:rPr>
          <w:rFonts w:hint="eastAsia" w:ascii="黑体" w:hAnsi="黑体" w:eastAsia="黑体" w:cs="黑体"/>
          <w:b w:val="0"/>
          <w:bCs w:val="0"/>
          <w:sz w:val="21"/>
          <w:szCs w:val="21"/>
          <w:lang w:val="en-US" w:eastAsia="zh-CN"/>
        </w:rPr>
        <w:t>和质量</w:t>
      </w:r>
      <w:r>
        <w:rPr>
          <w:rFonts w:hint="eastAsia" w:ascii="黑体" w:hAnsi="黑体" w:eastAsia="黑体" w:cs="黑体"/>
          <w:b w:val="0"/>
          <w:bCs w:val="0"/>
          <w:sz w:val="21"/>
          <w:szCs w:val="21"/>
          <w:lang w:val="en-US"/>
        </w:rPr>
        <w:t>安全，充装站应</w:t>
      </w:r>
      <w:r>
        <w:rPr>
          <w:rFonts w:hint="eastAsia" w:ascii="黑体" w:hAnsi="黑体" w:eastAsia="黑体" w:cs="黑体"/>
          <w:b w:val="0"/>
          <w:bCs w:val="0"/>
          <w:sz w:val="21"/>
          <w:szCs w:val="21"/>
          <w:lang w:val="en-US" w:eastAsia="zh-CN"/>
        </w:rPr>
        <w:t>禁止违犯以下各项</w:t>
      </w:r>
      <w:r>
        <w:rPr>
          <w:rFonts w:hint="eastAsia" w:ascii="黑体" w:hAnsi="黑体" w:eastAsia="黑体" w:cs="黑体"/>
          <w:b w:val="0"/>
          <w:bCs w:val="0"/>
          <w:sz w:val="21"/>
          <w:szCs w:val="21"/>
          <w:lang w:val="en-US"/>
        </w:rPr>
        <w:t>：</w:t>
      </w:r>
    </w:p>
    <w:p>
      <w:pPr>
        <w:pStyle w:val="64"/>
        <w:keepNext w:val="0"/>
        <w:keepLines w:val="0"/>
        <w:pageBreakBefore w:val="0"/>
        <w:widowControl/>
        <w:numPr>
          <w:ilvl w:val="0"/>
          <w:numId w:val="45"/>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充装作业人员工作中应保持良好的精神和身体状态，不应酒后和带病上岗。</w:t>
      </w:r>
    </w:p>
    <w:p>
      <w:pPr>
        <w:pStyle w:val="64"/>
        <w:keepNext w:val="0"/>
        <w:keepLines w:val="0"/>
        <w:pageBreakBefore w:val="0"/>
        <w:widowControl/>
        <w:numPr>
          <w:ilvl w:val="0"/>
          <w:numId w:val="45"/>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应使用符合规范的设备、设施、器材、物资进行操作和施工。</w:t>
      </w:r>
    </w:p>
    <w:p>
      <w:pPr>
        <w:pStyle w:val="64"/>
        <w:keepNext w:val="0"/>
        <w:keepLines w:val="0"/>
        <w:pageBreakBefore w:val="0"/>
        <w:widowControl/>
        <w:numPr>
          <w:ilvl w:val="0"/>
          <w:numId w:val="45"/>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进入充装站应规范着装和穿戴劳动防护，不携带违禁物品。</w:t>
      </w:r>
    </w:p>
    <w:p>
      <w:pPr>
        <w:pStyle w:val="64"/>
        <w:keepNext w:val="0"/>
        <w:keepLines w:val="0"/>
        <w:pageBreakBefore w:val="0"/>
        <w:widowControl/>
        <w:numPr>
          <w:ilvl w:val="0"/>
          <w:numId w:val="45"/>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无关人员进入充装站，应经批准并由专人带领，不应随意进入无关区域，不应随意触碰或操作充装站设备设施和仪器装置。</w:t>
      </w:r>
    </w:p>
    <w:p>
      <w:pPr>
        <w:pStyle w:val="64"/>
        <w:keepNext w:val="0"/>
        <w:keepLines w:val="0"/>
        <w:pageBreakBefore w:val="0"/>
        <w:widowControl/>
        <w:numPr>
          <w:ilvl w:val="0"/>
          <w:numId w:val="45"/>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充装站正常运行期间，应不允许进站前检查不合格车辆进入充装站；不符合充装要求的车辆应及时处理或安排离站，管束气瓶的</w:t>
      </w:r>
      <w:r>
        <w:rPr>
          <w:rFonts w:hint="eastAsia"/>
          <w:color w:val="auto"/>
          <w:sz w:val="21"/>
          <w:szCs w:val="21"/>
          <w:lang w:val="en-US" w:eastAsia="zh-CN"/>
        </w:rPr>
        <w:t>加热、抽空、置换和</w:t>
      </w:r>
      <w:r>
        <w:rPr>
          <w:rFonts w:hint="eastAsia" w:hAnsi="宋体" w:cs="Calibri"/>
          <w:kern w:val="2"/>
          <w:sz w:val="21"/>
          <w:szCs w:val="21"/>
          <w:lang w:val="en-US" w:eastAsia="zh-CN"/>
        </w:rPr>
        <w:t>非必需的车辆维修不在充装站内进行。</w:t>
      </w:r>
    </w:p>
    <w:p>
      <w:pPr>
        <w:pStyle w:val="64"/>
        <w:keepNext w:val="0"/>
        <w:keepLines w:val="0"/>
        <w:pageBreakBefore w:val="0"/>
        <w:widowControl/>
        <w:numPr>
          <w:ilvl w:val="0"/>
          <w:numId w:val="45"/>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充装站内含现场氢气管束式集装箱在内的氢气总量，应不超过充装站消防和应急系统的设计防控能力。</w:t>
      </w:r>
    </w:p>
    <w:p>
      <w:pPr>
        <w:pStyle w:val="64"/>
        <w:keepNext w:val="0"/>
        <w:keepLines w:val="0"/>
        <w:pageBreakBefore w:val="0"/>
        <w:widowControl/>
        <w:numPr>
          <w:ilvl w:val="0"/>
          <w:numId w:val="45"/>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正常充装期间消防系统应正常，消防水不用作降温喷淋或洒扫绿化用水。</w:t>
      </w:r>
    </w:p>
    <w:p>
      <w:pPr>
        <w:pStyle w:val="64"/>
        <w:keepNext w:val="0"/>
        <w:keepLines w:val="0"/>
        <w:pageBreakBefore w:val="0"/>
        <w:widowControl/>
        <w:numPr>
          <w:ilvl w:val="0"/>
          <w:numId w:val="45"/>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充装过程中，氢气管束式集装箱车上人员应在充装作业现场外指定场所等候。</w:t>
      </w:r>
    </w:p>
    <w:p>
      <w:pPr>
        <w:pStyle w:val="64"/>
        <w:keepNext w:val="0"/>
        <w:keepLines w:val="0"/>
        <w:pageBreakBefore w:val="0"/>
        <w:widowControl/>
        <w:numPr>
          <w:ilvl w:val="0"/>
          <w:numId w:val="45"/>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充装作业及特种设备管理人应取得国家规定的资格证书，持证上岗。</w:t>
      </w:r>
    </w:p>
    <w:p>
      <w:pPr>
        <w:pStyle w:val="64"/>
        <w:keepNext w:val="0"/>
        <w:keepLines w:val="0"/>
        <w:pageBreakBefore w:val="0"/>
        <w:widowControl/>
        <w:numPr>
          <w:ilvl w:val="0"/>
          <w:numId w:val="45"/>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default" w:hAnsi="宋体" w:cs="Calibri"/>
          <w:kern w:val="2"/>
          <w:sz w:val="21"/>
          <w:szCs w:val="21"/>
          <w:lang w:val="en-US" w:eastAsia="zh-CN"/>
        </w:rPr>
      </w:pPr>
      <w:r>
        <w:rPr>
          <w:rFonts w:hint="eastAsia" w:hAnsi="宋体" w:cs="Calibri"/>
          <w:kern w:val="2"/>
          <w:sz w:val="21"/>
          <w:szCs w:val="21"/>
          <w:lang w:val="en-US" w:eastAsia="zh-CN"/>
        </w:rPr>
        <w:t>充装有国家行政许可要求的氢气产品，应取得相应的国家行政许可。</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异常情况</w:t>
      </w:r>
    </w:p>
    <w:p>
      <w:pPr>
        <w:pStyle w:val="238"/>
        <w:spacing w:before="120" w:beforeLines="50" w:after="120" w:afterLines="50"/>
        <w:ind w:firstLine="480"/>
        <w:rPr>
          <w:rFonts w:hint="eastAsia" w:ascii="黑体" w:hAnsi="黑体" w:eastAsia="黑体" w:cs="黑体"/>
          <w:b w:val="0"/>
          <w:bCs w:val="0"/>
          <w:sz w:val="21"/>
          <w:szCs w:val="21"/>
          <w:lang w:val="en-US"/>
        </w:rPr>
      </w:pPr>
      <w:r>
        <w:rPr>
          <w:rFonts w:hint="eastAsia" w:ascii="黑体" w:hAnsi="黑体" w:eastAsia="黑体" w:cs="黑体"/>
          <w:b w:val="0"/>
          <w:bCs w:val="0"/>
          <w:sz w:val="21"/>
          <w:szCs w:val="21"/>
          <w:lang w:val="en-US"/>
        </w:rPr>
        <w:t>出现以下情况应停止充装，并有相应安全措施。</w:t>
      </w:r>
    </w:p>
    <w:p>
      <w:pPr>
        <w:pStyle w:val="64"/>
        <w:keepNext w:val="0"/>
        <w:keepLines w:val="0"/>
        <w:pageBreakBefore w:val="0"/>
        <w:widowControl/>
        <w:numPr>
          <w:ilvl w:val="0"/>
          <w:numId w:val="46"/>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供电、通讯、道路、在充装的车辆异常。</w:t>
      </w:r>
    </w:p>
    <w:p>
      <w:pPr>
        <w:pStyle w:val="64"/>
        <w:keepNext w:val="0"/>
        <w:keepLines w:val="0"/>
        <w:pageBreakBefore w:val="0"/>
        <w:widowControl/>
        <w:numPr>
          <w:ilvl w:val="0"/>
          <w:numId w:val="46"/>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雷电、暴雨、暴雪、极寒等异常恶劣天气。</w:t>
      </w:r>
    </w:p>
    <w:p>
      <w:pPr>
        <w:pStyle w:val="64"/>
        <w:keepNext w:val="0"/>
        <w:keepLines w:val="0"/>
        <w:pageBreakBefore w:val="0"/>
        <w:widowControl/>
        <w:numPr>
          <w:ilvl w:val="0"/>
          <w:numId w:val="46"/>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站内氢气、充装系统及上下游关联单位装置异常。</w:t>
      </w:r>
    </w:p>
    <w:p>
      <w:pPr>
        <w:pStyle w:val="64"/>
        <w:keepNext w:val="0"/>
        <w:keepLines w:val="0"/>
        <w:pageBreakBefore w:val="0"/>
        <w:widowControl/>
        <w:numPr>
          <w:ilvl w:val="0"/>
          <w:numId w:val="46"/>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充装站氢气品质不符合要求。</w:t>
      </w:r>
    </w:p>
    <w:p>
      <w:pPr>
        <w:pStyle w:val="64"/>
        <w:keepNext w:val="0"/>
        <w:keepLines w:val="0"/>
        <w:pageBreakBefore w:val="0"/>
        <w:widowControl/>
        <w:numPr>
          <w:ilvl w:val="0"/>
          <w:numId w:val="46"/>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外围环境影响等其他需停止充装的情况。</w:t>
      </w:r>
    </w:p>
    <w:p>
      <w:pPr>
        <w:pStyle w:val="112"/>
        <w:keepNext w:val="0"/>
        <w:keepLines w:val="0"/>
        <w:pageBreakBefore w:val="0"/>
        <w:widowControl/>
        <w:numPr>
          <w:ilvl w:val="0"/>
          <w:numId w:val="37"/>
        </w:numPr>
        <w:kinsoku/>
        <w:wordWrap/>
        <w:overflowPunct/>
        <w:topLinePunct w:val="0"/>
        <w:autoSpaceDE/>
        <w:autoSpaceDN/>
        <w:bidi w:val="0"/>
        <w:adjustRightInd w:val="0"/>
        <w:snapToGrid w:val="0"/>
        <w:ind w:left="425" w:leftChars="0" w:hanging="425" w:firstLineChars="0"/>
        <w:textAlignment w:val="auto"/>
        <w:rPr>
          <w:rFonts w:hint="eastAsia"/>
          <w:b w:val="0"/>
          <w:bCs w:val="0"/>
          <w:sz w:val="21"/>
          <w:szCs w:val="21"/>
          <w:lang w:val="en-US" w:eastAsia="zh-CN"/>
        </w:rPr>
      </w:pPr>
      <w:bookmarkStart w:id="46" w:name="_Toc30424"/>
      <w:r>
        <w:rPr>
          <w:rFonts w:hint="eastAsia"/>
          <w:b w:val="0"/>
          <w:bCs w:val="0"/>
          <w:sz w:val="21"/>
          <w:szCs w:val="21"/>
          <w:lang w:val="en-US" w:eastAsia="zh-CN"/>
        </w:rPr>
        <w:t>应急与救援</w:t>
      </w:r>
      <w:bookmarkEnd w:id="46"/>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应急预案</w:t>
      </w:r>
    </w:p>
    <w:p>
      <w:pPr>
        <w:pStyle w:val="64"/>
        <w:keepNext w:val="0"/>
        <w:keepLines w:val="0"/>
        <w:pageBreakBefore w:val="0"/>
        <w:widowControl/>
        <w:numPr>
          <w:ilvl w:val="0"/>
          <w:numId w:val="0"/>
        </w:numPr>
        <w:kinsoku/>
        <w:wordWrap/>
        <w:overflowPunct/>
        <w:topLinePunct w:val="0"/>
        <w:autoSpaceDE w:val="0"/>
        <w:autoSpaceDN w:val="0"/>
        <w:bidi w:val="0"/>
        <w:adjustRightInd w:val="0"/>
        <w:snapToGrid w:val="0"/>
        <w:spacing w:before="0" w:after="0"/>
        <w:ind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氢气管束式集装箱的氢气充装单位，应按GB/T 29639的规定编制生产安全事故应急预案，制定演练计划，并进行演练，应急预案应根据需要和实际进行修订。</w:t>
      </w:r>
    </w:p>
    <w:p>
      <w:pPr>
        <w:pStyle w:val="238"/>
        <w:keepNext w:val="0"/>
        <w:keepLines w:val="0"/>
        <w:pageBreakBefore w:val="0"/>
        <w:widowControl w:val="0"/>
        <w:numPr>
          <w:ilvl w:val="1"/>
          <w:numId w:val="37"/>
        </w:numPr>
        <w:kinsoku/>
        <w:wordWrap/>
        <w:overflowPunct/>
        <w:topLinePunct w:val="0"/>
        <w:autoSpaceDE/>
        <w:autoSpaceDN/>
        <w:bidi w:val="0"/>
        <w:adjustRightInd/>
        <w:snapToGrid/>
        <w:spacing w:before="157" w:beforeLines="50" w:after="157" w:afterLines="50"/>
        <w:ind w:left="567" w:leftChars="0" w:hanging="567" w:firstLineChars="0"/>
        <w:textAlignment w:val="auto"/>
        <w:rPr>
          <w:rFonts w:hint="eastAsia" w:ascii="黑体" w:hAnsi="黑体" w:eastAsia="黑体" w:cs="黑体"/>
          <w:b w:val="0"/>
          <w:bCs w:val="0"/>
          <w:sz w:val="21"/>
          <w:szCs w:val="21"/>
          <w:highlight w:val="none"/>
          <w:lang w:val="en-US" w:eastAsia="zh-CN"/>
        </w:rPr>
      </w:pPr>
      <w:r>
        <w:rPr>
          <w:rFonts w:hint="eastAsia" w:ascii="黑体" w:hAnsi="黑体" w:eastAsia="黑体" w:cs="黑体"/>
          <w:b w:val="0"/>
          <w:bCs w:val="0"/>
          <w:sz w:val="21"/>
          <w:szCs w:val="21"/>
          <w:highlight w:val="none"/>
          <w:lang w:val="en-US" w:eastAsia="zh-CN"/>
        </w:rPr>
        <w:t>应急救援</w:t>
      </w:r>
    </w:p>
    <w:p>
      <w:pPr>
        <w:pStyle w:val="64"/>
        <w:keepNext w:val="0"/>
        <w:keepLines w:val="0"/>
        <w:pageBreakBefore w:val="0"/>
        <w:widowControl/>
        <w:numPr>
          <w:ilvl w:val="0"/>
          <w:numId w:val="0"/>
        </w:numPr>
        <w:kinsoku/>
        <w:wordWrap/>
        <w:overflowPunct/>
        <w:topLinePunct w:val="0"/>
        <w:autoSpaceDE w:val="0"/>
        <w:autoSpaceDN w:val="0"/>
        <w:bidi w:val="0"/>
        <w:adjustRightInd w:val="0"/>
        <w:snapToGrid w:val="0"/>
        <w:spacing w:before="0" w:after="0"/>
        <w:ind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t>应建立、完善应急通讯系统和网络，与地方政府及公安、交通、环保、医疗、消防、周边应急队伍</w:t>
      </w:r>
    </w:p>
    <w:p>
      <w:pPr>
        <w:pStyle w:val="64"/>
        <w:keepNext w:val="0"/>
        <w:keepLines w:val="0"/>
        <w:pageBreakBefore w:val="0"/>
        <w:widowControl/>
        <w:numPr>
          <w:ilvl w:val="0"/>
          <w:numId w:val="0"/>
        </w:numPr>
        <w:kinsoku/>
        <w:wordWrap/>
        <w:overflowPunct/>
        <w:topLinePunct w:val="0"/>
        <w:autoSpaceDE w:val="0"/>
        <w:autoSpaceDN w:val="0"/>
        <w:bidi w:val="0"/>
        <w:adjustRightInd w:val="0"/>
        <w:snapToGrid w:val="0"/>
        <w:spacing w:before="0" w:after="0"/>
        <w:ind w:right="0" w:rightChars="0"/>
        <w:textAlignment w:val="auto"/>
        <w:rPr>
          <w:rFonts w:hint="eastAsia" w:hAnsi="宋体" w:cs="Calibri"/>
          <w:kern w:val="2"/>
          <w:sz w:val="21"/>
          <w:szCs w:val="21"/>
          <w:lang w:val="en-US" w:eastAsia="zh-CN"/>
        </w:rPr>
      </w:pPr>
      <w:r>
        <w:rPr>
          <w:rFonts w:hint="eastAsia" w:hAnsi="宋体" w:cs="Calibri"/>
          <w:kern w:val="2"/>
          <w:sz w:val="21"/>
          <w:szCs w:val="21"/>
          <w:lang w:val="en-US" w:eastAsia="zh-CN"/>
        </w:rPr>
        <w:t>等相关机构建立通讯联系和应急协调工作机制。现场应急能力不能满足应急需要时，应向地方政府、周</w:t>
      </w:r>
    </w:p>
    <w:p>
      <w:pPr>
        <w:pStyle w:val="64"/>
        <w:keepNext w:val="0"/>
        <w:keepLines w:val="0"/>
        <w:pageBreakBefore w:val="0"/>
        <w:widowControl/>
        <w:numPr>
          <w:ilvl w:val="0"/>
          <w:numId w:val="0"/>
        </w:numPr>
        <w:kinsoku/>
        <w:wordWrap/>
        <w:overflowPunct/>
        <w:topLinePunct w:val="0"/>
        <w:autoSpaceDE w:val="0"/>
        <w:autoSpaceDN w:val="0"/>
        <w:bidi w:val="0"/>
        <w:adjustRightInd w:val="0"/>
        <w:snapToGrid w:val="0"/>
        <w:spacing w:before="0" w:after="0"/>
        <w:ind w:right="0" w:rightChars="0"/>
        <w:textAlignment w:val="auto"/>
        <w:rPr>
          <w:rFonts w:hint="default" w:hAnsi="宋体" w:cs="Calibri"/>
          <w:kern w:val="2"/>
          <w:sz w:val="21"/>
          <w:szCs w:val="21"/>
          <w:lang w:val="en-US" w:eastAsia="zh-CN"/>
        </w:rPr>
      </w:pPr>
      <w:r>
        <w:rPr>
          <w:rFonts w:hint="eastAsia" w:hAnsi="宋体" w:cs="Calibri"/>
          <w:kern w:val="2"/>
          <w:sz w:val="21"/>
          <w:szCs w:val="21"/>
          <w:lang w:val="en-US" w:eastAsia="zh-CN"/>
        </w:rPr>
        <w:t>边企业、外协单位等求援。</w:t>
      </w:r>
    </w:p>
    <w:p>
      <w:pPr>
        <w:pStyle w:val="64"/>
        <w:keepNext w:val="0"/>
        <w:keepLines w:val="0"/>
        <w:pageBreakBefore w:val="0"/>
        <w:widowControl/>
        <w:numPr>
          <w:ilvl w:val="0"/>
          <w:numId w:val="47"/>
        </w:numPr>
        <w:kinsoku/>
        <w:wordWrap/>
        <w:overflowPunct/>
        <w:topLinePunct w:val="0"/>
        <w:autoSpaceDE w:val="0"/>
        <w:autoSpaceDN w:val="0"/>
        <w:bidi w:val="0"/>
        <w:adjustRightInd w:val="0"/>
        <w:snapToGrid w:val="0"/>
        <w:spacing w:before="0" w:after="0"/>
        <w:ind w:left="0" w:leftChars="0" w:right="0" w:rightChars="0" w:firstLine="420" w:firstLineChars="200"/>
        <w:textAlignment w:val="auto"/>
        <w:rPr>
          <w:rFonts w:hint="eastAsia" w:hAnsi="宋体" w:cs="Calibri"/>
          <w:kern w:val="2"/>
          <w:sz w:val="21"/>
          <w:szCs w:val="21"/>
          <w:lang w:val="en-US" w:eastAsia="zh-CN"/>
        </w:rPr>
      </w:pPr>
      <w:r>
        <w:rPr>
          <w:rFonts w:hint="eastAsia" w:hAnsi="宋体" w:cs="Calibri"/>
          <w:kern w:val="2"/>
          <w:sz w:val="21"/>
          <w:szCs w:val="21"/>
          <w:lang w:val="en-US" w:eastAsia="zh-CN"/>
        </w:rPr>
        <w:br w:type="page"/>
      </w:r>
    </w:p>
    <w:p>
      <w:pPr>
        <w:pStyle w:val="112"/>
        <w:keepNext w:val="0"/>
        <w:keepLines w:val="0"/>
        <w:pageBreakBefore w:val="0"/>
        <w:numPr>
          <w:ilvl w:val="0"/>
          <w:numId w:val="0"/>
        </w:numPr>
        <w:kinsoku/>
        <w:wordWrap/>
        <w:overflowPunct/>
        <w:topLinePunct w:val="0"/>
        <w:autoSpaceDE/>
        <w:autoSpaceDN/>
        <w:bidi w:val="0"/>
        <w:adjustRightInd w:val="0"/>
        <w:snapToGrid w:val="0"/>
        <w:spacing w:before="0" w:beforeLines="0" w:after="0" w:afterLines="0"/>
        <w:jc w:val="center"/>
        <w:textAlignment w:val="auto"/>
        <w:rPr>
          <w:rFonts w:hint="eastAsia"/>
        </w:rPr>
      </w:pPr>
      <w:bookmarkStart w:id="47" w:name="_Toc6503"/>
      <w:bookmarkStart w:id="48" w:name="_Toc183285805"/>
      <w:r>
        <w:rPr>
          <w:rFonts w:hint="eastAsia"/>
        </w:rPr>
        <w:t>附录A</w:t>
      </w:r>
      <w:bookmarkEnd w:id="47"/>
    </w:p>
    <w:p>
      <w:pPr>
        <w:keepNext w:val="0"/>
        <w:keepLines w:val="0"/>
        <w:pageBreakBefore w:val="0"/>
        <w:kinsoku/>
        <w:wordWrap/>
        <w:overflowPunct/>
        <w:topLinePunct w:val="0"/>
        <w:autoSpaceDE/>
        <w:autoSpaceDN/>
        <w:bidi w:val="0"/>
        <w:adjustRightInd w:val="0"/>
        <w:snapToGrid w:val="0"/>
        <w:ind w:left="0" w:lef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drawing>
          <wp:anchor distT="0" distB="0" distL="114300" distR="114300" simplePos="0" relativeHeight="251662336" behindDoc="0" locked="0" layoutInCell="1" allowOverlap="1">
            <wp:simplePos x="0" y="0"/>
            <wp:positionH relativeFrom="page">
              <wp:posOffset>1060450</wp:posOffset>
            </wp:positionH>
            <wp:positionV relativeFrom="page">
              <wp:posOffset>2468880</wp:posOffset>
            </wp:positionV>
            <wp:extent cx="5477510" cy="2019300"/>
            <wp:effectExtent l="0" t="0" r="8890" b="7620"/>
            <wp:wrapTopAndBottom/>
            <wp:docPr id="1300085145"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00085145" name="图片 3"/>
                    <pic:cNvPicPr>
                      <a:picLocks noChangeAspect="true" noChangeArrowheads="true"/>
                    </pic:cNvPicPr>
                  </pic:nvPicPr>
                  <pic:blipFill>
                    <a:blip r:embed="rId15">
                      <a:extLst>
                        <a:ext uri="{28A0092B-C50C-407E-A947-70E740481C1C}">
                          <a14:useLocalDpi xmlns:a14="http://schemas.microsoft.com/office/drawing/2010/main" val="false"/>
                        </a:ext>
                      </a:extLst>
                    </a:blip>
                    <a:srcRect/>
                    <a:stretch>
                      <a:fillRect/>
                    </a:stretch>
                  </pic:blipFill>
                  <pic:spPr>
                    <a:xfrm>
                      <a:off x="0" y="0"/>
                      <a:ext cx="5477510" cy="2019300"/>
                    </a:xfrm>
                    <a:prstGeom prst="rect">
                      <a:avLst/>
                    </a:prstGeom>
                    <a:noFill/>
                    <a:ln>
                      <a:noFill/>
                    </a:ln>
                  </pic:spPr>
                </pic:pic>
              </a:graphicData>
            </a:graphic>
          </wp:anchor>
        </w:drawing>
      </w:r>
      <w:bookmarkEnd w:id="48"/>
      <w:r>
        <w:rPr>
          <w:rFonts w:hint="eastAsia" w:ascii="宋体" w:hAnsi="宋体" w:eastAsia="宋体" w:cs="宋体"/>
          <w:sz w:val="21"/>
          <w:szCs w:val="21"/>
          <w:lang w:val="en-US" w:eastAsia="zh-CN"/>
        </w:rPr>
        <w:t>氢气管束式集装箱充装流程图</w:t>
      </w:r>
    </w:p>
    <w:p>
      <w:pPr>
        <w:keepNext w:val="0"/>
        <w:keepLines w:val="0"/>
        <w:pageBreakBefore w:val="0"/>
        <w:kinsoku/>
        <w:wordWrap/>
        <w:overflowPunct/>
        <w:topLinePunct w:val="0"/>
        <w:autoSpaceDE/>
        <w:autoSpaceDN/>
        <w:bidi w:val="0"/>
        <w:adjustRightInd w:val="0"/>
        <w:snapToGrid w:val="0"/>
        <w:ind w:left="0" w:leftChars="0" w:firstLine="0" w:firstLineChars="0"/>
        <w:jc w:val="left"/>
        <w:textAlignment w:val="auto"/>
        <w:rPr>
          <w:rFonts w:hint="default" w:ascii="宋体" w:hAnsi="宋体" w:eastAsia="宋体" w:cs="宋体"/>
          <w:sz w:val="21"/>
          <w:szCs w:val="21"/>
          <w:lang w:val="en-US"/>
        </w:rPr>
      </w:pPr>
      <w:r>
        <w:rPr>
          <w:rFonts w:hint="eastAsia" w:ascii="宋体" w:hAnsi="宋体" w:eastAsia="宋体" w:cs="宋体"/>
          <w:sz w:val="21"/>
          <w:szCs w:val="21"/>
          <w:lang w:val="en-US" w:eastAsia="zh-CN"/>
        </w:rPr>
        <w:t>氢气管束式集装箱充装流程图</w:t>
      </w:r>
      <w:r>
        <w:rPr>
          <w:rFonts w:hint="eastAsia" w:cs="宋体"/>
          <w:sz w:val="21"/>
          <w:szCs w:val="21"/>
          <w:lang w:val="en-US" w:eastAsia="zh-CN"/>
        </w:rPr>
        <w:t>A.1</w:t>
      </w:r>
    </w:p>
    <w:p>
      <w:pPr>
        <w:keepNext w:val="0"/>
        <w:keepLines w:val="0"/>
        <w:pageBreakBefore w:val="0"/>
        <w:kinsoku/>
        <w:wordWrap/>
        <w:overflowPunct/>
        <w:topLinePunct w:val="0"/>
        <w:autoSpaceDE/>
        <w:autoSpaceDN/>
        <w:bidi w:val="0"/>
        <w:adjustRightInd w:val="0"/>
        <w:snapToGrid w:val="0"/>
        <w:ind w:left="0" w:leftChars="0"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rPr>
        <w:drawing>
          <wp:anchor distT="0" distB="0" distL="114300" distR="114300" simplePos="0" relativeHeight="251663360" behindDoc="0" locked="0" layoutInCell="1" allowOverlap="1">
            <wp:simplePos x="0" y="0"/>
            <wp:positionH relativeFrom="page">
              <wp:posOffset>1067435</wp:posOffset>
            </wp:positionH>
            <wp:positionV relativeFrom="page">
              <wp:posOffset>2496820</wp:posOffset>
            </wp:positionV>
            <wp:extent cx="5477510" cy="2019300"/>
            <wp:effectExtent l="0" t="0" r="8890" b="7620"/>
            <wp:wrapTopAndBottom/>
            <wp:docPr id="2"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true" noChangeArrowheads="true"/>
                    </pic:cNvPicPr>
                  </pic:nvPicPr>
                  <pic:blipFill>
                    <a:blip r:embed="rId15">
                      <a:extLst>
                        <a:ext uri="{28A0092B-C50C-407E-A947-70E740481C1C}">
                          <a14:useLocalDpi xmlns:a14="http://schemas.microsoft.com/office/drawing/2010/main" val="false"/>
                        </a:ext>
                      </a:extLst>
                    </a:blip>
                    <a:srcRect/>
                    <a:stretch>
                      <a:fillRect/>
                    </a:stretch>
                  </pic:blipFill>
                  <pic:spPr>
                    <a:xfrm>
                      <a:off x="0" y="0"/>
                      <a:ext cx="5477510" cy="2019300"/>
                    </a:xfrm>
                    <a:prstGeom prst="rect">
                      <a:avLst/>
                    </a:prstGeom>
                    <a:noFill/>
                    <a:ln>
                      <a:noFill/>
                    </a:ln>
                  </pic:spPr>
                </pic:pic>
              </a:graphicData>
            </a:graphic>
          </wp:anchor>
        </w:drawing>
      </w:r>
    </w:p>
    <w:p>
      <w:pPr>
        <w:pStyle w:val="64"/>
        <w:jc w:val="center"/>
        <w:rPr>
          <w:rFonts w:hint="default" w:eastAsia="宋体"/>
          <w:lang w:val="en-US" w:eastAsia="zh-CN"/>
        </w:rPr>
      </w:pPr>
      <w:r>
        <w:rPr>
          <w:rFonts w:hint="eastAsia"/>
          <w:lang w:val="en-US" w:eastAsia="zh-CN"/>
        </w:rPr>
        <w:t>图A.1 氢气管束式集装箱充装流程图</w:t>
      </w:r>
    </w:p>
    <w:p>
      <w:pPr>
        <w:pStyle w:val="64"/>
      </w:pPr>
    </w:p>
    <w:p>
      <w:pPr>
        <w:pStyle w:val="112"/>
        <w:keepNext w:val="0"/>
        <w:keepLines w:val="0"/>
        <w:pageBreakBefore w:val="0"/>
        <w:numPr>
          <w:ilvl w:val="0"/>
          <w:numId w:val="0"/>
        </w:numPr>
        <w:kinsoku/>
        <w:wordWrap/>
        <w:overflowPunct/>
        <w:topLinePunct w:val="0"/>
        <w:autoSpaceDE/>
        <w:autoSpaceDN/>
        <w:bidi w:val="0"/>
        <w:adjustRightInd w:val="0"/>
        <w:snapToGrid w:val="0"/>
        <w:spacing w:before="0" w:beforeLines="0" w:after="0" w:afterLines="0"/>
        <w:jc w:val="center"/>
        <w:textAlignment w:val="auto"/>
      </w:pPr>
      <w:bookmarkStart w:id="49" w:name="_Toc183285806"/>
      <w:bookmarkStart w:id="50" w:name="_Toc248"/>
      <w:r>
        <w:rPr>
          <w:rFonts w:hint="eastAsia"/>
        </w:rPr>
        <w:t>附录B</w:t>
      </w:r>
      <w:bookmarkEnd w:id="49"/>
      <w:bookmarkEnd w:id="50"/>
    </w:p>
    <w:p>
      <w:pPr>
        <w:keepNext w:val="0"/>
        <w:keepLines w:val="0"/>
        <w:pageBreakBefore w:val="0"/>
        <w:kinsoku/>
        <w:wordWrap/>
        <w:overflowPunct/>
        <w:topLinePunct w:val="0"/>
        <w:autoSpaceDE/>
        <w:autoSpaceDN/>
        <w:bidi w:val="0"/>
        <w:adjustRightInd w:val="0"/>
        <w:snapToGrid w:val="0"/>
        <w:ind w:firstLine="560"/>
        <w:jc w:val="center"/>
        <w:textAlignment w:val="auto"/>
        <w:rPr>
          <w:rFonts w:hint="eastAsia" w:ascii="宋体" w:hAnsi="宋体" w:eastAsia="宋体" w:cs="宋体"/>
          <w:sz w:val="21"/>
          <w:szCs w:val="21"/>
        </w:rPr>
      </w:pPr>
      <w:bookmarkStart w:id="51" w:name="_Toc19298"/>
      <w:bookmarkStart w:id="52" w:name="_Toc11652"/>
      <w:bookmarkStart w:id="53" w:name="_Toc7381"/>
      <w:bookmarkStart w:id="54" w:name="_Toc8695"/>
      <w:bookmarkStart w:id="55" w:name="_Toc31805"/>
      <w:r>
        <w:rPr>
          <w:rFonts w:hint="eastAsia" w:ascii="宋体" w:hAnsi="宋体" w:eastAsia="宋体" w:cs="宋体"/>
          <w:sz w:val="21"/>
          <w:szCs w:val="21"/>
        </w:rPr>
        <w:t>氢气管束式集装箱充装安全检查表</w:t>
      </w:r>
    </w:p>
    <w:p>
      <w:pPr>
        <w:keepNext w:val="0"/>
        <w:keepLines w:val="0"/>
        <w:pageBreakBefore w:val="0"/>
        <w:kinsoku/>
        <w:wordWrap/>
        <w:overflowPunct/>
        <w:topLinePunct w:val="0"/>
        <w:autoSpaceDE/>
        <w:autoSpaceDN/>
        <w:bidi w:val="0"/>
        <w:adjustRightInd w:val="0"/>
        <w:snapToGrid w:val="0"/>
        <w:ind w:firstLine="56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rPr>
        <w:t>氢气管束式集装箱充装安全检查表</w:t>
      </w:r>
      <w:r>
        <w:rPr>
          <w:rFonts w:hint="eastAsia" w:cs="宋体"/>
          <w:sz w:val="21"/>
          <w:szCs w:val="21"/>
          <w:lang w:val="en-US" w:eastAsia="zh-CN"/>
        </w:rPr>
        <w:t>B.1</w:t>
      </w:r>
    </w:p>
    <w:p>
      <w:pPr>
        <w:ind w:firstLine="560"/>
        <w:jc w:val="left"/>
        <w:rPr>
          <w:rFonts w:hint="eastAsia"/>
        </w:rPr>
      </w:pPr>
      <w:r>
        <w:rPr>
          <w:rFonts w:hint="eastAsia" w:ascii="黑体" w:hAnsi="黑体" w:eastAsia="黑体"/>
          <w:sz w:val="21"/>
          <w:szCs w:val="21"/>
        </w:rPr>
        <w:t>氢气种类：</w:t>
      </w:r>
      <w:r>
        <w:rPr>
          <w:rFonts w:hint="eastAsia" w:ascii="宋体" w:hAnsi="宋体" w:eastAsia="宋体" w:cs="宋体"/>
          <w:sz w:val="21"/>
          <w:szCs w:val="21"/>
        </w:rPr>
        <w:t xml:space="preserve">工业氢□  </w:t>
      </w:r>
      <w:bookmarkStart w:id="56" w:name="_Hlk183189748"/>
      <w:r>
        <w:rPr>
          <w:rFonts w:hint="eastAsia" w:ascii="宋体" w:hAnsi="宋体" w:eastAsia="宋体" w:cs="宋体"/>
          <w:sz w:val="21"/>
          <w:szCs w:val="21"/>
        </w:rPr>
        <w:t xml:space="preserve">纯氢□  </w:t>
      </w:r>
      <w:bookmarkEnd w:id="56"/>
      <w:r>
        <w:rPr>
          <w:rFonts w:hint="eastAsia" w:ascii="宋体" w:hAnsi="宋体" w:eastAsia="宋体" w:cs="宋体"/>
          <w:sz w:val="21"/>
          <w:szCs w:val="21"/>
        </w:rPr>
        <w:t>高纯氢□  超纯氢</w:t>
      </w:r>
      <w:r>
        <w:rPr>
          <w:rFonts w:hint="eastAsia" w:ascii="宋体" w:hAnsi="宋体" w:eastAsia="宋体" w:cs="宋体"/>
          <w:sz w:val="21"/>
          <w:szCs w:val="21"/>
          <w:lang w:eastAsia="zh-CN"/>
        </w:rPr>
        <w:t>□</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其它</w:t>
      </w:r>
      <w:r>
        <w:rPr>
          <w:rFonts w:hint="eastAsia" w:ascii="宋体" w:hAnsi="宋体" w:eastAsia="宋体" w:cs="宋体"/>
          <w:sz w:val="21"/>
          <w:szCs w:val="21"/>
          <w:lang w:eastAsia="zh-CN"/>
        </w:rPr>
        <w:t>□</w:t>
      </w:r>
      <w:r>
        <w:rPr>
          <w:rFonts w:hint="eastAsia" w:ascii="宋体" w:hAnsi="宋体" w:eastAsia="宋体" w:cs="宋体"/>
          <w:sz w:val="21"/>
          <w:szCs w:val="21"/>
        </w:rPr>
        <w:t xml:space="preserve">  </w:t>
      </w:r>
      <w:r>
        <w:rPr>
          <w:rFonts w:hint="eastAsia"/>
        </w:rPr>
        <w:t xml:space="preserve">                                           </w:t>
      </w:r>
      <w:bookmarkEnd w:id="51"/>
      <w:bookmarkEnd w:id="52"/>
      <w:bookmarkEnd w:id="53"/>
      <w:bookmarkEnd w:id="54"/>
      <w:bookmarkEnd w:id="55"/>
    </w:p>
    <w:tbl>
      <w:tblPr>
        <w:tblStyle w:val="32"/>
        <w:tblpPr w:leftFromText="180" w:rightFromText="180" w:vertAnchor="text" w:horzAnchor="page" w:tblpX="1415" w:tblpY="90"/>
        <w:tblOverlap w:val="never"/>
        <w:tblW w:w="9057" w:type="dxa"/>
        <w:tblInd w:w="0" w:type="dxa"/>
        <w:tblLayout w:type="fixed"/>
        <w:tblCellMar>
          <w:top w:w="15" w:type="dxa"/>
          <w:left w:w="15" w:type="dxa"/>
          <w:bottom w:w="15" w:type="dxa"/>
          <w:right w:w="15" w:type="dxa"/>
        </w:tblCellMar>
      </w:tblPr>
      <w:tblGrid>
        <w:gridCol w:w="438"/>
        <w:gridCol w:w="552"/>
        <w:gridCol w:w="1780"/>
        <w:gridCol w:w="838"/>
        <w:gridCol w:w="703"/>
        <w:gridCol w:w="365"/>
        <w:gridCol w:w="1176"/>
        <w:gridCol w:w="1221"/>
        <w:gridCol w:w="320"/>
        <w:gridCol w:w="613"/>
        <w:gridCol w:w="1051"/>
      </w:tblGrid>
      <w:tr>
        <w:trPr>
          <w:trHeight w:val="90" w:hRule="atLeast"/>
        </w:trPr>
        <w:tc>
          <w:tcPr>
            <w:tcW w:w="2770" w:type="dxa"/>
            <w:gridSpan w:val="3"/>
            <w:tcBorders>
              <w:top w:val="single" w:color="000000" w:sz="12" w:space="0"/>
              <w:left w:val="single" w:color="000000" w:sz="12" w:space="0"/>
              <w:bottom w:val="single" w:color="000000" w:sz="12" w:space="0"/>
              <w:right w:val="single" w:color="000000" w:sz="4" w:space="0"/>
            </w:tcBorders>
            <w:vAlign w:val="center"/>
          </w:tcPr>
          <w:p>
            <w:pPr>
              <w:rPr>
                <w:rFonts w:hint="eastAsia"/>
              </w:rPr>
            </w:pPr>
            <w:r>
              <w:rPr>
                <w:rFonts w:hint="eastAsia"/>
                <w:lang w:bidi="ar"/>
              </w:rPr>
              <w:t>登记时间</w:t>
            </w:r>
          </w:p>
        </w:tc>
        <w:tc>
          <w:tcPr>
            <w:tcW w:w="1906" w:type="dxa"/>
            <w:gridSpan w:val="3"/>
            <w:tcBorders>
              <w:top w:val="single" w:color="000000" w:sz="12" w:space="0"/>
              <w:left w:val="single" w:color="000000" w:sz="4" w:space="0"/>
              <w:bottom w:val="single" w:color="000000" w:sz="12" w:space="0"/>
              <w:right w:val="single" w:color="000000" w:sz="4" w:space="0"/>
            </w:tcBorders>
            <w:vAlign w:val="center"/>
          </w:tcPr>
          <w:p>
            <w:pPr>
              <w:ind w:firstLine="0" w:firstLineChars="0"/>
              <w:jc w:val="left"/>
              <w:rPr>
                <w:rFonts w:hint="eastAsia"/>
              </w:rPr>
            </w:pPr>
            <w:r>
              <w:rPr>
                <w:rFonts w:hint="eastAsia"/>
                <w:lang w:bidi="ar"/>
              </w:rPr>
              <w:t xml:space="preserve"> 年  月  日  时  分</w:t>
            </w:r>
          </w:p>
        </w:tc>
        <w:tc>
          <w:tcPr>
            <w:tcW w:w="2397" w:type="dxa"/>
            <w:gridSpan w:val="2"/>
            <w:tcBorders>
              <w:top w:val="single" w:color="000000" w:sz="12" w:space="0"/>
              <w:left w:val="single" w:color="000000" w:sz="4" w:space="0"/>
              <w:bottom w:val="single" w:color="000000" w:sz="12" w:space="0"/>
              <w:right w:val="single" w:color="000000" w:sz="4" w:space="0"/>
            </w:tcBorders>
            <w:vAlign w:val="center"/>
          </w:tcPr>
          <w:p>
            <w:pPr>
              <w:rPr>
                <w:rFonts w:hint="eastAsia"/>
              </w:rPr>
            </w:pPr>
            <w:r>
              <w:rPr>
                <w:rFonts w:hint="eastAsia"/>
                <w:lang w:bidi="ar"/>
              </w:rPr>
              <w:t>运输单位</w:t>
            </w:r>
          </w:p>
        </w:tc>
        <w:tc>
          <w:tcPr>
            <w:tcW w:w="1984" w:type="dxa"/>
            <w:gridSpan w:val="3"/>
            <w:tcBorders>
              <w:top w:val="single" w:color="000000" w:sz="12" w:space="0"/>
              <w:left w:val="single" w:color="000000" w:sz="4" w:space="0"/>
              <w:bottom w:val="single" w:color="000000" w:sz="12" w:space="0"/>
              <w:right w:val="single" w:color="000000" w:sz="12" w:space="0"/>
            </w:tcBorders>
            <w:vAlign w:val="center"/>
          </w:tcPr>
          <w:p>
            <w:pPr>
              <w:rPr>
                <w:rFonts w:hint="eastAsia"/>
              </w:rPr>
            </w:pPr>
          </w:p>
        </w:tc>
      </w:tr>
      <w:tr>
        <w:tblPrEx>
          <w:tblCellMar>
            <w:top w:w="15" w:type="dxa"/>
            <w:left w:w="15" w:type="dxa"/>
            <w:bottom w:w="15" w:type="dxa"/>
            <w:right w:w="15" w:type="dxa"/>
          </w:tblCellMar>
        </w:tblPrEx>
        <w:trPr>
          <w:trHeight w:val="90" w:hRule="atLeast"/>
        </w:trPr>
        <w:tc>
          <w:tcPr>
            <w:tcW w:w="438" w:type="dxa"/>
            <w:vMerge w:val="restart"/>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r>
              <w:rPr>
                <w:rFonts w:hint="eastAsia"/>
                <w:lang w:bidi="ar"/>
              </w:rPr>
              <w:t>充装前检查</w:t>
            </w:r>
          </w:p>
        </w:tc>
        <w:tc>
          <w:tcPr>
            <w:tcW w:w="552" w:type="dxa"/>
            <w:vMerge w:val="restart"/>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r>
              <w:rPr>
                <w:rFonts w:hint="eastAsia"/>
                <w:lang w:bidi="ar"/>
              </w:rPr>
              <w:t>管束车集装箱车辆检查区检查项</w:t>
            </w:r>
          </w:p>
        </w:tc>
        <w:tc>
          <w:tcPr>
            <w:tcW w:w="1780" w:type="dxa"/>
            <w:tcBorders>
              <w:top w:val="single" w:color="000000" w:sz="12"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购货单位</w:t>
            </w:r>
          </w:p>
        </w:tc>
        <w:tc>
          <w:tcPr>
            <w:tcW w:w="1906" w:type="dxa"/>
            <w:gridSpan w:val="3"/>
            <w:tcBorders>
              <w:top w:val="single" w:color="000000" w:sz="12" w:space="0"/>
              <w:left w:val="single" w:color="000000" w:sz="4" w:space="0"/>
              <w:bottom w:val="single" w:color="000000" w:sz="4" w:space="0"/>
              <w:right w:val="single" w:color="000000" w:sz="4" w:space="0"/>
            </w:tcBorders>
            <w:vAlign w:val="center"/>
          </w:tcPr>
          <w:p>
            <w:pPr>
              <w:spacing w:line="276" w:lineRule="auto"/>
              <w:rPr>
                <w:rFonts w:hint="eastAsia"/>
              </w:rPr>
            </w:pPr>
          </w:p>
        </w:tc>
        <w:tc>
          <w:tcPr>
            <w:tcW w:w="2397" w:type="dxa"/>
            <w:gridSpan w:val="2"/>
            <w:tcBorders>
              <w:top w:val="single" w:color="000000" w:sz="12"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道路运输经营许可证编号</w:t>
            </w:r>
          </w:p>
        </w:tc>
        <w:tc>
          <w:tcPr>
            <w:tcW w:w="1984" w:type="dxa"/>
            <w:gridSpan w:val="3"/>
            <w:tcBorders>
              <w:top w:val="single" w:color="000000" w:sz="12" w:space="0"/>
              <w:left w:val="single" w:color="000000" w:sz="4" w:space="0"/>
              <w:bottom w:val="single" w:color="000000" w:sz="4" w:space="0"/>
              <w:right w:val="single" w:color="000000" w:sz="12" w:space="0"/>
            </w:tcBorders>
            <w:vAlign w:val="center"/>
          </w:tcPr>
          <w:p>
            <w:pPr>
              <w:spacing w:line="276" w:lineRule="auto"/>
              <w:rPr>
                <w:rFonts w:hint="eastAsia"/>
              </w:rPr>
            </w:pPr>
          </w:p>
        </w:tc>
      </w:tr>
      <w:tr>
        <w:tblPrEx>
          <w:tblCellMar>
            <w:top w:w="15" w:type="dxa"/>
            <w:left w:w="15" w:type="dxa"/>
            <w:bottom w:w="15" w:type="dxa"/>
            <w:right w:w="15" w:type="dxa"/>
          </w:tblCellMar>
        </w:tblPrEx>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主车牌号</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挂车牌号</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使用证编号</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挂车下次全面检验日期</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r>
              <w:rPr>
                <w:rFonts w:hint="eastAsia"/>
                <w:lang w:bidi="ar"/>
              </w:rPr>
              <w:t xml:space="preserve">        年     月     </w:t>
            </w: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驾驶员姓名</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驾驶员</w:t>
            </w:r>
            <w:r>
              <w:rPr>
                <w:rFonts w:hint="eastAsia"/>
                <w:lang w:val="en-US" w:eastAsia="zh-CN" w:bidi="ar"/>
              </w:rPr>
              <w:t>道路运输</w:t>
            </w:r>
            <w:r>
              <w:rPr>
                <w:rFonts w:hint="eastAsia"/>
                <w:lang w:bidi="ar"/>
              </w:rPr>
              <w:t>资格证编号</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p>
        </w:tc>
      </w:tr>
      <w:tr>
        <w:tblPrEx>
          <w:tblCellMar>
            <w:top w:w="15" w:type="dxa"/>
            <w:left w:w="15" w:type="dxa"/>
            <w:bottom w:w="15" w:type="dxa"/>
            <w:right w:w="15" w:type="dxa"/>
          </w:tblCellMar>
        </w:tblPrEx>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lang w:bidi="ar"/>
              </w:rPr>
            </w:pPr>
            <w:r>
              <w:rPr>
                <w:rFonts w:hint="eastAsia"/>
                <w:lang w:bidi="ar"/>
              </w:rPr>
              <w:t>驾驶员驾驶证是否在有效期内</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lang w:bidi="ar"/>
              </w:rPr>
            </w:pPr>
            <w:r>
              <w:rPr>
                <w:rFonts w:hint="eastAsia"/>
                <w:lang w:bidi="ar"/>
              </w:rPr>
              <w:t xml:space="preserve">  是□      否□</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lang w:bidi="ar"/>
              </w:rPr>
            </w:pPr>
            <w:r>
              <w:rPr>
                <w:rFonts w:hint="eastAsia"/>
                <w:lang w:bidi="ar"/>
              </w:rPr>
              <w:t>道路运输驾驶员从业资格证是否在有效期内</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r>
              <w:rPr>
                <w:rFonts w:hint="eastAsia"/>
                <w:lang w:bidi="ar"/>
              </w:rPr>
              <w:t xml:space="preserve">   是□      否□</w:t>
            </w:r>
          </w:p>
        </w:tc>
      </w:tr>
      <w:tr>
        <w:tblPrEx>
          <w:tblCellMar>
            <w:top w:w="15" w:type="dxa"/>
            <w:left w:w="15" w:type="dxa"/>
            <w:bottom w:w="15" w:type="dxa"/>
            <w:right w:w="15" w:type="dxa"/>
          </w:tblCellMar>
        </w:tblPrEx>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lang w:bidi="ar"/>
              </w:rPr>
            </w:pPr>
            <w:r>
              <w:rPr>
                <w:rFonts w:hint="eastAsia"/>
                <w:lang w:bidi="ar"/>
              </w:rPr>
              <w:t>机动车行驶证是否在有效期内</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lang w:bidi="ar"/>
              </w:rPr>
            </w:pPr>
            <w:r>
              <w:rPr>
                <w:rFonts w:hint="eastAsia"/>
                <w:lang w:bidi="ar"/>
              </w:rPr>
              <w:t xml:space="preserve">  是□      否□</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lang w:bidi="ar"/>
              </w:rPr>
            </w:pPr>
            <w:r>
              <w:rPr>
                <w:rFonts w:hint="eastAsia"/>
                <w:lang w:bidi="ar"/>
              </w:rPr>
              <w:t>押运员道路危险货物运输操作证编号</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lang w:bidi="ar"/>
              </w:rPr>
            </w:pPr>
            <w:r>
              <w:rPr>
                <w:rFonts w:hint="eastAsia"/>
                <w:lang w:bidi="ar"/>
              </w:rPr>
              <w:t>押运员姓名</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lang w:bidi="ar"/>
              </w:rPr>
            </w:pP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lang w:bidi="ar"/>
              </w:rPr>
            </w:pPr>
            <w:r>
              <w:rPr>
                <w:rFonts w:hint="eastAsia"/>
                <w:lang w:bidi="ar"/>
              </w:rPr>
              <w:t>押运员道路危险货物运输操作证是否在有效期内</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r>
              <w:rPr>
                <w:rFonts w:hint="eastAsia"/>
                <w:lang w:bidi="ar"/>
              </w:rPr>
              <w:t xml:space="preserve">   是□      否□</w:t>
            </w: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挂车水容积 （m</w:t>
            </w:r>
            <w:r>
              <w:rPr>
                <w:rFonts w:ascii="Calibri" w:hAnsi="Calibri" w:cs="Calibri"/>
                <w:lang w:bidi="ar"/>
              </w:rPr>
              <w:t>³</w:t>
            </w:r>
            <w:r>
              <w:rPr>
                <w:rFonts w:hint="eastAsia" w:cs="楷体"/>
                <w:lang w:bidi="ar"/>
              </w:rPr>
              <w:t>）</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挂车充装前温度（℃）</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p>
        </w:tc>
      </w:tr>
      <w:tr>
        <w:tblPrEx>
          <w:tblCellMar>
            <w:top w:w="15" w:type="dxa"/>
            <w:left w:w="15" w:type="dxa"/>
            <w:bottom w:w="15" w:type="dxa"/>
            <w:right w:w="15" w:type="dxa"/>
          </w:tblCellMar>
        </w:tblPrEx>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挂车充装前压力（MPa)＞0.5</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挂车充装前压力是否符合要求</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r>
              <w:rPr>
                <w:rFonts w:hint="eastAsia"/>
                <w:lang w:bidi="ar"/>
              </w:rPr>
              <w:t xml:space="preserve">  是□      否□</w:t>
            </w:r>
          </w:p>
        </w:tc>
      </w:tr>
      <w:tr>
        <w:tblPrEx>
          <w:tblCellMar>
            <w:top w:w="15" w:type="dxa"/>
            <w:left w:w="15" w:type="dxa"/>
            <w:bottom w:w="15" w:type="dxa"/>
            <w:right w:w="15" w:type="dxa"/>
          </w:tblCellMar>
        </w:tblPrEx>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lang w:bidi="ar"/>
              </w:rPr>
            </w:pPr>
            <w:r>
              <w:rPr>
                <w:rFonts w:hint="eastAsia"/>
                <w:lang w:bidi="ar"/>
              </w:rPr>
              <w:t>车内介质是否与所要充介质一致</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lang w:bidi="ar"/>
              </w:rPr>
            </w:pPr>
            <w:r>
              <w:rPr>
                <w:rFonts w:hint="eastAsia"/>
                <w:lang w:bidi="ar"/>
              </w:rPr>
              <w:t xml:space="preserve">  是□      否□</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lang w:bidi="ar"/>
              </w:rPr>
            </w:pPr>
            <w:r>
              <w:rPr>
                <w:rFonts w:hint="eastAsia"/>
                <w:lang w:bidi="ar"/>
              </w:rPr>
              <w:t>挂车</w:t>
            </w:r>
            <w:r>
              <w:rPr>
                <w:rFonts w:hint="eastAsia"/>
                <w:lang w:val="en-US" w:eastAsia="zh-CN" w:bidi="ar"/>
              </w:rPr>
              <w:t>操作</w:t>
            </w:r>
            <w:r>
              <w:rPr>
                <w:rFonts w:hint="eastAsia"/>
                <w:lang w:bidi="ar"/>
              </w:rPr>
              <w:t>底阀是否关闭</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r>
              <w:rPr>
                <w:rFonts w:hint="eastAsia"/>
                <w:lang w:bidi="ar"/>
              </w:rPr>
              <w:t xml:space="preserve">   是□      否□</w:t>
            </w: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lang w:bidi="ar"/>
              </w:rPr>
            </w:pPr>
            <w:r>
              <w:rPr>
                <w:rFonts w:hint="eastAsia"/>
                <w:lang w:bidi="ar"/>
              </w:rPr>
              <w:t>司机、押运员着装是否符合要求</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lang w:bidi="ar"/>
              </w:rPr>
            </w:pPr>
            <w:r>
              <w:rPr>
                <w:rFonts w:hint="eastAsia"/>
                <w:lang w:bidi="ar"/>
              </w:rPr>
              <w:t xml:space="preserve">  是□      否□</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lang w:bidi="ar"/>
              </w:rPr>
            </w:pPr>
            <w:r>
              <w:rPr>
                <w:rFonts w:hint="eastAsia"/>
                <w:lang w:bidi="ar"/>
              </w:rPr>
              <w:t>挂车有无泄漏</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r>
              <w:rPr>
                <w:rFonts w:hint="eastAsia"/>
                <w:lang w:bidi="ar"/>
              </w:rPr>
              <w:t xml:space="preserve">   无□      有□</w:t>
            </w: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lang w:bidi="ar"/>
              </w:rPr>
            </w:pPr>
            <w:r>
              <w:rPr>
                <w:rFonts w:hint="eastAsia"/>
                <w:lang w:bidi="ar"/>
              </w:rPr>
              <w:t>灭火器是否在有效期内</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lang w:bidi="ar"/>
              </w:rPr>
            </w:pPr>
            <w:r>
              <w:rPr>
                <w:rFonts w:hint="eastAsia"/>
                <w:lang w:bidi="ar"/>
              </w:rPr>
              <w:t xml:space="preserve">  是□      否□</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lang w:bidi="ar"/>
              </w:rPr>
            </w:pPr>
            <w:r>
              <w:rPr>
                <w:rFonts w:hint="eastAsia"/>
                <w:lang w:bidi="ar"/>
              </w:rPr>
              <w:t>挂车压力表是否完好并在检验有效期内</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r>
              <w:rPr>
                <w:rFonts w:hint="eastAsia"/>
                <w:lang w:bidi="ar"/>
              </w:rPr>
              <w:t xml:space="preserve">   是□      否□</w:t>
            </w:r>
          </w:p>
        </w:tc>
      </w:tr>
      <w:tr>
        <w:tblPrEx>
          <w:tblCellMar>
            <w:top w:w="15" w:type="dxa"/>
            <w:left w:w="15" w:type="dxa"/>
            <w:bottom w:w="15" w:type="dxa"/>
            <w:right w:w="15" w:type="dxa"/>
          </w:tblCellMar>
        </w:tblPrEx>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lang w:bidi="ar"/>
              </w:rPr>
            </w:pPr>
            <w:r>
              <w:rPr>
                <w:rFonts w:hint="eastAsia"/>
                <w:lang w:bidi="ar"/>
              </w:rPr>
              <w:t>防爆危险标示是否完好</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lang w:bidi="ar"/>
              </w:rPr>
            </w:pPr>
            <w:r>
              <w:rPr>
                <w:rFonts w:hint="eastAsia"/>
                <w:lang w:bidi="ar"/>
              </w:rPr>
              <w:t xml:space="preserve">  是□      否□</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lang w:bidi="ar"/>
              </w:rPr>
            </w:pPr>
            <w:r>
              <w:rPr>
                <w:rFonts w:hint="eastAsia"/>
                <w:lang w:bidi="ar"/>
              </w:rPr>
              <w:t>挂车温度表是否完好，并在检验有效期内</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r>
              <w:rPr>
                <w:rFonts w:hint="eastAsia"/>
                <w:lang w:bidi="ar"/>
              </w:rPr>
              <w:t xml:space="preserve">  是□      否□</w:t>
            </w:r>
          </w:p>
        </w:tc>
      </w:tr>
      <w:tr>
        <w:tblPrEx>
          <w:tblCellMar>
            <w:top w:w="15" w:type="dxa"/>
            <w:left w:w="15" w:type="dxa"/>
            <w:bottom w:w="15" w:type="dxa"/>
            <w:right w:w="15" w:type="dxa"/>
          </w:tblCellMar>
        </w:tblPrEx>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挂车各密封是否完好</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r>
              <w:rPr>
                <w:rFonts w:hint="eastAsia"/>
                <w:lang w:bidi="ar"/>
              </w:rPr>
              <w:t xml:space="preserve">  是□      否□</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left"/>
              <w:rPr>
                <w:rFonts w:hint="eastAsia"/>
              </w:rPr>
            </w:pPr>
            <w:r>
              <w:rPr>
                <w:rFonts w:hint="eastAsia"/>
                <w:lang w:bidi="ar"/>
              </w:rPr>
              <w:t>GPS是否运行良好</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r>
              <w:rPr>
                <w:rFonts w:hint="eastAsia"/>
                <w:lang w:bidi="ar"/>
              </w:rPr>
              <w:t xml:space="preserve">   是□      否□</w:t>
            </w: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三角顶灯是否完好</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r>
              <w:rPr>
                <w:rFonts w:hint="eastAsia"/>
                <w:lang w:bidi="ar"/>
              </w:rPr>
              <w:t xml:space="preserve">  是□      否□</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rPr>
            </w:pPr>
            <w:r>
              <w:rPr>
                <w:rFonts w:hint="eastAsia"/>
                <w:lang w:bidi="ar"/>
              </w:rPr>
              <w:t>挂车、静电接地是否完好</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r>
              <w:rPr>
                <w:rFonts w:hint="eastAsia"/>
                <w:lang w:bidi="ar"/>
              </w:rPr>
              <w:t xml:space="preserve">   是□      否□</w:t>
            </w: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防火帽安装是否完好</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r>
              <w:rPr>
                <w:rFonts w:hint="eastAsia"/>
                <w:lang w:bidi="ar"/>
              </w:rPr>
              <w:t xml:space="preserve">  是□      否□</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rPr>
            </w:pPr>
            <w:r>
              <w:rPr>
                <w:rFonts w:hint="eastAsia"/>
                <w:lang w:bidi="ar"/>
              </w:rPr>
              <w:t>气瓶与走行装置或者框架的连接应当完好、可靠</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r>
              <w:rPr>
                <w:rFonts w:hint="eastAsia"/>
                <w:lang w:bidi="ar"/>
              </w:rPr>
              <w:t xml:space="preserve">   是□      否□</w:t>
            </w:r>
          </w:p>
        </w:tc>
      </w:tr>
      <w:tr>
        <w:tblPrEx>
          <w:tblCellMar>
            <w:top w:w="15" w:type="dxa"/>
            <w:left w:w="15" w:type="dxa"/>
            <w:bottom w:w="15" w:type="dxa"/>
            <w:right w:w="15" w:type="dxa"/>
          </w:tblCellMar>
        </w:tblPrEx>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6083" w:type="dxa"/>
            <w:gridSpan w:val="6"/>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lang w:bidi="ar"/>
              </w:rPr>
            </w:pPr>
            <w:r>
              <w:rPr>
                <w:rFonts w:hint="eastAsia"/>
                <w:lang w:bidi="ar"/>
              </w:rPr>
              <w:t>充装软管连接口不得存在磨损、变形、局部缺口、漏检等缺陷。</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lang w:bidi="ar"/>
              </w:rPr>
            </w:pPr>
            <w:r>
              <w:rPr>
                <w:rFonts w:hint="eastAsia"/>
                <w:lang w:bidi="ar"/>
              </w:rPr>
              <w:t xml:space="preserve">  是□      否□</w:t>
            </w:r>
          </w:p>
        </w:tc>
      </w:tr>
      <w:tr>
        <w:tblPrEx>
          <w:tblCellMar>
            <w:top w:w="15" w:type="dxa"/>
            <w:left w:w="15" w:type="dxa"/>
            <w:bottom w:w="15" w:type="dxa"/>
            <w:right w:w="15" w:type="dxa"/>
          </w:tblCellMar>
        </w:tblPrEx>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3686" w:type="dxa"/>
            <w:gridSpan w:val="4"/>
            <w:tcBorders>
              <w:top w:val="single" w:color="000000" w:sz="4" w:space="0"/>
              <w:left w:val="single" w:color="000000" w:sz="4" w:space="0"/>
              <w:bottom w:val="single" w:color="000000" w:sz="4" w:space="0"/>
              <w:right w:val="single" w:color="auto" w:sz="4" w:space="0"/>
            </w:tcBorders>
            <w:vAlign w:val="center"/>
          </w:tcPr>
          <w:p>
            <w:pPr>
              <w:spacing w:line="276" w:lineRule="auto"/>
              <w:ind w:firstLine="0" w:firstLineChars="0"/>
              <w:jc w:val="left"/>
              <w:rPr>
                <w:rFonts w:hint="eastAsia"/>
                <w:lang w:bidi="ar"/>
              </w:rPr>
            </w:pPr>
            <w:r>
              <w:rPr>
                <w:rFonts w:hint="eastAsia"/>
                <w:lang w:bidi="ar"/>
              </w:rPr>
              <w:t xml:space="preserve">氢气安全技术说明书+安全标签已经发放            </w:t>
            </w:r>
          </w:p>
        </w:tc>
        <w:tc>
          <w:tcPr>
            <w:tcW w:w="2397" w:type="dxa"/>
            <w:gridSpan w:val="2"/>
            <w:tcBorders>
              <w:top w:val="single" w:color="000000" w:sz="4" w:space="0"/>
              <w:left w:val="single" w:color="auto" w:sz="4" w:space="0"/>
              <w:bottom w:val="single" w:color="000000" w:sz="4" w:space="0"/>
              <w:right w:val="single" w:color="000000" w:sz="4" w:space="0"/>
            </w:tcBorders>
            <w:vAlign w:val="center"/>
          </w:tcPr>
          <w:p>
            <w:pPr>
              <w:spacing w:line="276" w:lineRule="auto"/>
              <w:ind w:left="0" w:leftChars="0" w:firstLine="0" w:firstLineChars="0"/>
              <w:jc w:val="both"/>
              <w:rPr>
                <w:rFonts w:hint="eastAsia"/>
                <w:lang w:bidi="ar"/>
              </w:rPr>
            </w:pPr>
            <w:r>
              <w:rPr>
                <w:rFonts w:hint="eastAsia"/>
                <w:lang w:bidi="ar"/>
              </w:rPr>
              <w:t>领取人签字确认</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lang w:bidi="ar"/>
              </w:rPr>
            </w:pP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检查人签名确认</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p>
        </w:tc>
        <w:tc>
          <w:tcPr>
            <w:tcW w:w="2397" w:type="dxa"/>
            <w:gridSpan w:val="2"/>
            <w:tcBorders>
              <w:top w:val="single" w:color="000000" w:sz="4" w:space="0"/>
              <w:left w:val="single" w:color="000000" w:sz="4" w:space="0"/>
              <w:bottom w:val="single" w:color="000000" w:sz="4" w:space="0"/>
              <w:right w:val="single" w:color="auto" w:sz="4" w:space="0"/>
            </w:tcBorders>
            <w:vAlign w:val="center"/>
          </w:tcPr>
          <w:p>
            <w:pPr>
              <w:spacing w:line="276" w:lineRule="auto"/>
              <w:ind w:left="0" w:leftChars="0" w:firstLine="0" w:firstLineChars="0"/>
              <w:jc w:val="both"/>
              <w:rPr>
                <w:rFonts w:hint="eastAsia"/>
              </w:rPr>
            </w:pPr>
            <w:r>
              <w:rPr>
                <w:rFonts w:hint="eastAsia"/>
                <w:lang w:bidi="ar"/>
              </w:rPr>
              <w:t>驾驶员签名确认</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8067" w:type="dxa"/>
            <w:gridSpan w:val="9"/>
            <w:tcBorders>
              <w:top w:val="single" w:color="000000" w:sz="4" w:space="0"/>
              <w:left w:val="single" w:color="000000" w:sz="4" w:space="0"/>
              <w:bottom w:val="single" w:color="000000" w:sz="12" w:space="0"/>
              <w:right w:val="single" w:color="000000" w:sz="12" w:space="0"/>
            </w:tcBorders>
            <w:vAlign w:val="center"/>
          </w:tcPr>
          <w:p>
            <w:pPr>
              <w:spacing w:line="276" w:lineRule="auto"/>
              <w:rPr>
                <w:rFonts w:hint="eastAsia"/>
              </w:rPr>
            </w:pPr>
            <w:r>
              <w:rPr>
                <w:rFonts w:hint="eastAsia"/>
                <w:lang w:bidi="ar"/>
              </w:rPr>
              <w:t>检查区检查不合格的车辆严禁驶入充装区！</w:t>
            </w:r>
          </w:p>
        </w:tc>
      </w:tr>
      <w:tr>
        <w:tblPrEx>
          <w:tblCellMar>
            <w:top w:w="15" w:type="dxa"/>
            <w:left w:w="15" w:type="dxa"/>
            <w:bottom w:w="15" w:type="dxa"/>
            <w:right w:w="15" w:type="dxa"/>
          </w:tblCellMar>
        </w:tblPrEx>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restart"/>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eastAsia="宋体"/>
                <w:lang w:val="en-US" w:eastAsia="zh-CN"/>
              </w:rPr>
            </w:pPr>
            <w:r>
              <w:rPr>
                <w:rFonts w:hint="eastAsia"/>
                <w:lang w:bidi="ar"/>
              </w:rPr>
              <w:t>充装区检查</w:t>
            </w:r>
          </w:p>
        </w:tc>
        <w:tc>
          <w:tcPr>
            <w:tcW w:w="1780" w:type="dxa"/>
            <w:tcBorders>
              <w:top w:val="single" w:color="000000" w:sz="12"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rPr>
            </w:pPr>
            <w:r>
              <w:rPr>
                <w:rFonts w:hint="eastAsia"/>
                <w:lang w:bidi="ar"/>
              </w:rPr>
              <w:t>车头是否与挂车分离</w:t>
            </w:r>
          </w:p>
        </w:tc>
        <w:tc>
          <w:tcPr>
            <w:tcW w:w="1906" w:type="dxa"/>
            <w:gridSpan w:val="3"/>
            <w:tcBorders>
              <w:top w:val="single" w:color="000000" w:sz="12" w:space="0"/>
              <w:left w:val="single" w:color="000000" w:sz="4" w:space="0"/>
              <w:bottom w:val="single" w:color="000000" w:sz="4" w:space="0"/>
              <w:right w:val="single" w:color="000000" w:sz="4" w:space="0"/>
            </w:tcBorders>
            <w:vAlign w:val="center"/>
          </w:tcPr>
          <w:p>
            <w:pPr>
              <w:spacing w:line="276" w:lineRule="auto"/>
              <w:rPr>
                <w:rFonts w:hint="eastAsia"/>
              </w:rPr>
            </w:pPr>
            <w:r>
              <w:rPr>
                <w:rFonts w:hint="eastAsia"/>
                <w:lang w:bidi="ar"/>
              </w:rPr>
              <w:t xml:space="preserve">  是□      否□</w:t>
            </w:r>
          </w:p>
        </w:tc>
        <w:tc>
          <w:tcPr>
            <w:tcW w:w="2397" w:type="dxa"/>
            <w:gridSpan w:val="2"/>
            <w:tcBorders>
              <w:top w:val="single" w:color="000000" w:sz="12"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挡车器是否已经放好</w:t>
            </w:r>
          </w:p>
        </w:tc>
        <w:tc>
          <w:tcPr>
            <w:tcW w:w="1984" w:type="dxa"/>
            <w:gridSpan w:val="3"/>
            <w:tcBorders>
              <w:top w:val="single" w:color="000000" w:sz="12" w:space="0"/>
              <w:left w:val="single" w:color="000000" w:sz="4" w:space="0"/>
              <w:bottom w:val="single" w:color="000000" w:sz="4" w:space="0"/>
              <w:right w:val="single" w:color="000000" w:sz="12" w:space="0"/>
            </w:tcBorders>
            <w:vAlign w:val="center"/>
          </w:tcPr>
          <w:p>
            <w:pPr>
              <w:spacing w:line="276" w:lineRule="auto"/>
              <w:rPr>
                <w:rFonts w:hint="eastAsia"/>
              </w:rPr>
            </w:pPr>
            <w:r>
              <w:rPr>
                <w:rFonts w:hint="eastAsia"/>
                <w:lang w:bidi="ar"/>
              </w:rPr>
              <w:t xml:space="preserve">   是□      否□</w:t>
            </w:r>
          </w:p>
        </w:tc>
      </w:tr>
      <w:tr>
        <w:tblPrEx>
          <w:tblCellMar>
            <w:top w:w="15" w:type="dxa"/>
            <w:left w:w="15" w:type="dxa"/>
            <w:bottom w:w="15" w:type="dxa"/>
            <w:right w:w="15" w:type="dxa"/>
          </w:tblCellMar>
        </w:tblPrEx>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eastAsia="宋体"/>
                <w:lang w:eastAsia="zh-CN"/>
              </w:rPr>
            </w:pPr>
            <w:r>
              <w:rPr>
                <w:rFonts w:hint="eastAsia"/>
                <w:lang w:bidi="ar"/>
              </w:rPr>
              <w:t>操作工防护是否</w:t>
            </w:r>
            <w:r>
              <w:rPr>
                <w:rFonts w:hint="eastAsia"/>
                <w:lang w:val="en-US" w:eastAsia="zh-CN" w:bidi="ar"/>
              </w:rPr>
              <w:t>规范</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r>
              <w:rPr>
                <w:rFonts w:hint="eastAsia"/>
                <w:lang w:bidi="ar"/>
              </w:rPr>
              <w:t xml:space="preserve">  是□      否□</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充装软管是否完好</w:t>
            </w:r>
          </w:p>
        </w:tc>
        <w:tc>
          <w:tcPr>
            <w:tcW w:w="1984" w:type="dxa"/>
            <w:gridSpan w:val="3"/>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r>
              <w:rPr>
                <w:rFonts w:hint="eastAsia"/>
                <w:lang w:bidi="ar"/>
              </w:rPr>
              <w:t xml:space="preserve">  是□      否□</w:t>
            </w: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rPr>
            </w:pPr>
            <w:r>
              <w:rPr>
                <w:rFonts w:hint="eastAsia"/>
                <w:lang w:bidi="ar"/>
              </w:rPr>
              <w:t>充装静电接地是否正常</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r>
              <w:rPr>
                <w:rFonts w:hint="eastAsia"/>
                <w:lang w:bidi="ar"/>
              </w:rPr>
              <w:t xml:space="preserve">  是□      否□</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充装软管是否紧固好</w:t>
            </w:r>
          </w:p>
        </w:tc>
        <w:tc>
          <w:tcPr>
            <w:tcW w:w="1984" w:type="dxa"/>
            <w:gridSpan w:val="3"/>
            <w:tcBorders>
              <w:top w:val="single" w:color="000000" w:sz="4" w:space="0"/>
              <w:left w:val="single" w:color="000000" w:sz="4" w:space="0"/>
              <w:right w:val="single" w:color="000000" w:sz="12" w:space="0"/>
            </w:tcBorders>
            <w:vAlign w:val="center"/>
          </w:tcPr>
          <w:p>
            <w:pPr>
              <w:spacing w:line="276" w:lineRule="auto"/>
              <w:rPr>
                <w:rFonts w:hint="eastAsia"/>
              </w:rPr>
            </w:pPr>
            <w:r>
              <w:rPr>
                <w:rFonts w:hint="eastAsia"/>
                <w:lang w:bidi="ar"/>
              </w:rPr>
              <w:t xml:space="preserve">   是□      否□</w:t>
            </w: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12" w:space="0"/>
            </w:tcBorders>
            <w:textDirection w:val="tbRlV"/>
            <w:vAlign w:val="center"/>
          </w:tcPr>
          <w:p>
            <w:pPr>
              <w:rPr>
                <w:rFonts w:hint="eastAsia"/>
              </w:rPr>
            </w:pPr>
          </w:p>
        </w:tc>
        <w:tc>
          <w:tcPr>
            <w:tcW w:w="552"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12" w:space="0"/>
              <w:right w:val="single" w:color="000000" w:sz="4" w:space="0"/>
            </w:tcBorders>
            <w:vAlign w:val="center"/>
          </w:tcPr>
          <w:p>
            <w:pPr>
              <w:spacing w:line="276" w:lineRule="auto"/>
              <w:ind w:firstLine="0" w:firstLineChars="0"/>
              <w:jc w:val="left"/>
              <w:rPr>
                <w:rFonts w:hint="eastAsia"/>
              </w:rPr>
            </w:pPr>
            <w:r>
              <w:rPr>
                <w:rFonts w:hint="eastAsia"/>
                <w:lang w:bidi="ar"/>
              </w:rPr>
              <w:t>充装前各瓶阀是否全打开</w:t>
            </w:r>
          </w:p>
        </w:tc>
        <w:tc>
          <w:tcPr>
            <w:tcW w:w="1906" w:type="dxa"/>
            <w:gridSpan w:val="3"/>
            <w:tcBorders>
              <w:top w:val="single" w:color="000000" w:sz="4" w:space="0"/>
              <w:left w:val="single" w:color="000000" w:sz="4" w:space="0"/>
              <w:bottom w:val="single" w:color="000000" w:sz="12" w:space="0"/>
              <w:right w:val="single" w:color="000000" w:sz="4" w:space="0"/>
            </w:tcBorders>
            <w:vAlign w:val="center"/>
          </w:tcPr>
          <w:p>
            <w:pPr>
              <w:spacing w:line="276" w:lineRule="auto"/>
              <w:rPr>
                <w:rFonts w:hint="eastAsia"/>
              </w:rPr>
            </w:pPr>
            <w:r>
              <w:rPr>
                <w:rFonts w:hint="eastAsia"/>
                <w:lang w:bidi="ar"/>
              </w:rPr>
              <w:t xml:space="preserve">  是□      否□</w:t>
            </w:r>
          </w:p>
        </w:tc>
        <w:tc>
          <w:tcPr>
            <w:tcW w:w="2397" w:type="dxa"/>
            <w:gridSpan w:val="2"/>
            <w:tcBorders>
              <w:top w:val="single" w:color="000000" w:sz="4" w:space="0"/>
              <w:left w:val="single" w:color="000000" w:sz="4" w:space="0"/>
              <w:bottom w:val="single" w:color="000000" w:sz="12" w:space="0"/>
              <w:right w:val="single" w:color="000000" w:sz="4" w:space="0"/>
            </w:tcBorders>
            <w:vAlign w:val="center"/>
          </w:tcPr>
          <w:p>
            <w:pPr>
              <w:spacing w:line="276" w:lineRule="auto"/>
              <w:ind w:left="0" w:leftChars="0" w:firstLine="0" w:firstLineChars="0"/>
              <w:jc w:val="both"/>
              <w:rPr>
                <w:rFonts w:hint="eastAsia"/>
              </w:rPr>
            </w:pPr>
            <w:r>
              <w:rPr>
                <w:rFonts w:hint="eastAsia"/>
                <w:lang w:bidi="ar"/>
              </w:rPr>
              <w:t>充装软管是否置换</w:t>
            </w:r>
          </w:p>
        </w:tc>
        <w:tc>
          <w:tcPr>
            <w:tcW w:w="1984" w:type="dxa"/>
            <w:gridSpan w:val="3"/>
            <w:tcBorders>
              <w:top w:val="single" w:color="000000" w:sz="4" w:space="0"/>
              <w:left w:val="single" w:color="000000" w:sz="4" w:space="0"/>
              <w:bottom w:val="single" w:color="000000" w:sz="12" w:space="0"/>
              <w:right w:val="single" w:color="000000" w:sz="12" w:space="0"/>
            </w:tcBorders>
            <w:vAlign w:val="center"/>
          </w:tcPr>
          <w:p>
            <w:pPr>
              <w:spacing w:line="276" w:lineRule="auto"/>
              <w:rPr>
                <w:rFonts w:hint="eastAsia"/>
              </w:rPr>
            </w:pPr>
            <w:r>
              <w:rPr>
                <w:rFonts w:hint="eastAsia"/>
                <w:lang w:bidi="ar"/>
              </w:rPr>
              <w:t xml:space="preserve">   是□      否□</w:t>
            </w:r>
          </w:p>
        </w:tc>
      </w:tr>
      <w:tr>
        <w:tblPrEx>
          <w:tblCellMar>
            <w:top w:w="15" w:type="dxa"/>
            <w:left w:w="15" w:type="dxa"/>
            <w:bottom w:w="15" w:type="dxa"/>
            <w:right w:w="15" w:type="dxa"/>
          </w:tblCellMar>
        </w:tblPrEx>
        <w:trPr>
          <w:trHeight w:val="90" w:hRule="atLeast"/>
        </w:trPr>
        <w:tc>
          <w:tcPr>
            <w:tcW w:w="438" w:type="dxa"/>
            <w:vMerge w:val="restart"/>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r>
              <w:rPr>
                <w:rFonts w:hint="eastAsia"/>
                <w:lang w:bidi="ar"/>
              </w:rPr>
              <w:t>充装中检查</w:t>
            </w:r>
          </w:p>
        </w:tc>
        <w:tc>
          <w:tcPr>
            <w:tcW w:w="2332" w:type="dxa"/>
            <w:gridSpan w:val="2"/>
            <w:tcBorders>
              <w:top w:val="single" w:color="000000" w:sz="12" w:space="0"/>
              <w:left w:val="single" w:color="000000" w:sz="4" w:space="0"/>
              <w:bottom w:val="single" w:color="000000" w:sz="4" w:space="0"/>
              <w:right w:val="single" w:color="000000" w:sz="4" w:space="0"/>
            </w:tcBorders>
            <w:vAlign w:val="center"/>
          </w:tcPr>
          <w:p>
            <w:pPr>
              <w:spacing w:line="276" w:lineRule="auto"/>
              <w:rPr>
                <w:rFonts w:hint="eastAsia"/>
              </w:rPr>
            </w:pPr>
            <w:r>
              <w:rPr>
                <w:rFonts w:hint="eastAsia"/>
                <w:lang w:bidi="ar"/>
              </w:rPr>
              <w:t>充装开始时间</w:t>
            </w:r>
          </w:p>
        </w:tc>
        <w:tc>
          <w:tcPr>
            <w:tcW w:w="1906" w:type="dxa"/>
            <w:gridSpan w:val="3"/>
            <w:tcBorders>
              <w:top w:val="single" w:color="000000" w:sz="12" w:space="0"/>
              <w:left w:val="single" w:color="000000" w:sz="4" w:space="0"/>
              <w:bottom w:val="single" w:color="000000" w:sz="4" w:space="0"/>
              <w:right w:val="single" w:color="000000" w:sz="4" w:space="0"/>
            </w:tcBorders>
            <w:vAlign w:val="center"/>
          </w:tcPr>
          <w:p>
            <w:pPr>
              <w:spacing w:line="276" w:lineRule="auto"/>
              <w:rPr>
                <w:rFonts w:hint="eastAsia"/>
              </w:rPr>
            </w:pPr>
            <w:r>
              <w:rPr>
                <w:rFonts w:hint="eastAsia"/>
                <w:lang w:bidi="ar"/>
              </w:rPr>
              <w:t xml:space="preserve">    年  月  日  时   分</w:t>
            </w:r>
          </w:p>
        </w:tc>
        <w:tc>
          <w:tcPr>
            <w:tcW w:w="2397" w:type="dxa"/>
            <w:gridSpan w:val="2"/>
            <w:tcBorders>
              <w:top w:val="single" w:color="000000" w:sz="12" w:space="0"/>
              <w:left w:val="single" w:color="000000" w:sz="4" w:space="0"/>
              <w:bottom w:val="single" w:color="000000" w:sz="4" w:space="0"/>
              <w:right w:val="single" w:color="000000" w:sz="4" w:space="0"/>
            </w:tcBorders>
            <w:vAlign w:val="center"/>
          </w:tcPr>
          <w:p>
            <w:pPr>
              <w:spacing w:line="276" w:lineRule="auto"/>
              <w:rPr>
                <w:rFonts w:hint="eastAsia"/>
              </w:rPr>
            </w:pPr>
            <w:r>
              <w:rPr>
                <w:rFonts w:hint="eastAsia"/>
                <w:lang w:bidi="ar"/>
              </w:rPr>
              <w:t>充装结束时间</w:t>
            </w:r>
          </w:p>
        </w:tc>
        <w:tc>
          <w:tcPr>
            <w:tcW w:w="1984" w:type="dxa"/>
            <w:gridSpan w:val="3"/>
            <w:tcBorders>
              <w:top w:val="single" w:color="000000" w:sz="12" w:space="0"/>
              <w:left w:val="single" w:color="000000" w:sz="4" w:space="0"/>
              <w:right w:val="single" w:color="000000" w:sz="12" w:space="0"/>
            </w:tcBorders>
            <w:vAlign w:val="center"/>
          </w:tcPr>
          <w:p>
            <w:pPr>
              <w:spacing w:line="276" w:lineRule="auto"/>
              <w:rPr>
                <w:rFonts w:hint="eastAsia"/>
              </w:rPr>
            </w:pPr>
            <w:r>
              <w:rPr>
                <w:rFonts w:hint="eastAsia"/>
                <w:lang w:bidi="ar"/>
              </w:rPr>
              <w:t xml:space="preserve">     年   月   日   时   分</w:t>
            </w:r>
          </w:p>
        </w:tc>
      </w:tr>
      <w:tr>
        <w:tblPrEx>
          <w:tblCellMar>
            <w:top w:w="15" w:type="dxa"/>
            <w:left w:w="15" w:type="dxa"/>
            <w:bottom w:w="15" w:type="dxa"/>
            <w:right w:w="15" w:type="dxa"/>
          </w:tblCellMar>
        </w:tblPrEx>
        <w:trPr>
          <w:trHeight w:val="90" w:hRule="atLeast"/>
        </w:trPr>
        <w:tc>
          <w:tcPr>
            <w:tcW w:w="438"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2332"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lang w:bidi="ar"/>
              </w:rPr>
            </w:pPr>
            <w:r>
              <w:rPr>
                <w:rFonts w:hint="eastAsia"/>
                <w:lang w:bidi="ar"/>
              </w:rPr>
              <w:t>挂车压力（MPa)</w:t>
            </w:r>
          </w:p>
        </w:tc>
        <w:tc>
          <w:tcPr>
            <w:tcW w:w="838" w:type="dxa"/>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lang w:bidi="ar"/>
              </w:rPr>
            </w:pPr>
            <w:r>
              <w:rPr>
                <w:rFonts w:hint="eastAsia"/>
                <w:lang w:bidi="ar"/>
              </w:rPr>
              <w:t>挂车温度℃</w:t>
            </w:r>
          </w:p>
        </w:tc>
        <w:tc>
          <w:tcPr>
            <w:tcW w:w="1068" w:type="dxa"/>
            <w:gridSpan w:val="2"/>
            <w:tcBorders>
              <w:top w:val="single" w:color="000000" w:sz="4" w:space="0"/>
              <w:bottom w:val="single" w:color="000000" w:sz="4" w:space="0"/>
              <w:right w:val="single" w:color="000000" w:sz="4" w:space="0"/>
            </w:tcBorders>
            <w:vAlign w:val="center"/>
          </w:tcPr>
          <w:p>
            <w:pPr>
              <w:spacing w:line="276" w:lineRule="auto"/>
              <w:ind w:firstLine="0" w:firstLineChars="0"/>
              <w:jc w:val="left"/>
              <w:rPr>
                <w:rFonts w:hint="eastAsia"/>
                <w:lang w:bidi="ar"/>
              </w:rPr>
            </w:pPr>
            <w:r>
              <w:rPr>
                <w:rFonts w:hint="eastAsia"/>
                <w:lang w:bidi="ar"/>
              </w:rPr>
              <w:t>静电接地</w:t>
            </w:r>
          </w:p>
          <w:p>
            <w:pPr>
              <w:spacing w:line="276" w:lineRule="auto"/>
              <w:ind w:firstLine="0" w:firstLineChars="0"/>
              <w:jc w:val="left"/>
              <w:rPr>
                <w:rFonts w:hint="eastAsia"/>
                <w:lang w:bidi="ar"/>
              </w:rPr>
            </w:pPr>
            <w:r>
              <w:rPr>
                <w:rFonts w:hint="eastAsia"/>
                <w:lang w:bidi="ar"/>
              </w:rPr>
              <w:t>是否正常</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left"/>
              <w:rPr>
                <w:rFonts w:hint="eastAsia"/>
                <w:lang w:bidi="ar"/>
              </w:rPr>
            </w:pPr>
            <w:r>
              <w:rPr>
                <w:rFonts w:hint="eastAsia"/>
                <w:lang w:bidi="ar"/>
              </w:rPr>
              <w:t>挂车连接部件及充装软管接头是否泄漏</w:t>
            </w:r>
          </w:p>
        </w:tc>
        <w:tc>
          <w:tcPr>
            <w:tcW w:w="933"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rPr>
            </w:pPr>
            <w:r>
              <w:rPr>
                <w:rFonts w:hint="eastAsia"/>
                <w:lang w:bidi="ar"/>
              </w:rPr>
              <w:t>充装流速是否正常</w:t>
            </w:r>
          </w:p>
        </w:tc>
        <w:tc>
          <w:tcPr>
            <w:tcW w:w="1051" w:type="dxa"/>
            <w:tcBorders>
              <w:top w:val="single" w:color="000000" w:sz="4" w:space="0"/>
              <w:left w:val="single" w:color="000000" w:sz="4" w:space="0"/>
              <w:bottom w:val="single" w:color="000000" w:sz="4" w:space="0"/>
              <w:right w:val="single" w:color="000000" w:sz="12" w:space="0"/>
            </w:tcBorders>
            <w:vAlign w:val="center"/>
          </w:tcPr>
          <w:p>
            <w:pPr>
              <w:spacing w:line="276" w:lineRule="auto"/>
              <w:ind w:firstLine="0" w:firstLineChars="0"/>
              <w:jc w:val="left"/>
              <w:rPr>
                <w:rFonts w:hint="eastAsia"/>
              </w:rPr>
            </w:pPr>
            <w:r>
              <w:rPr>
                <w:rFonts w:hint="eastAsia"/>
                <w:lang w:bidi="ar"/>
              </w:rPr>
              <w:t>检查人签字</w:t>
            </w: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2332"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p>
        </w:tc>
        <w:tc>
          <w:tcPr>
            <w:tcW w:w="838" w:type="dxa"/>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p>
        </w:tc>
        <w:tc>
          <w:tcPr>
            <w:tcW w:w="1068"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rPr>
            </w:pPr>
            <w:r>
              <w:rPr>
                <w:rFonts w:hint="eastAsia"/>
                <w:lang w:bidi="ar"/>
              </w:rPr>
              <w:t xml:space="preserve"> 是□  否□</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r>
              <w:rPr>
                <w:rFonts w:hint="eastAsia"/>
                <w:lang w:bidi="ar"/>
              </w:rPr>
              <w:t xml:space="preserve">     是□      否□</w:t>
            </w:r>
          </w:p>
        </w:tc>
        <w:tc>
          <w:tcPr>
            <w:tcW w:w="933"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rPr>
            </w:pPr>
            <w:r>
              <w:rPr>
                <w:rFonts w:hint="eastAsia"/>
                <w:lang w:bidi="ar"/>
              </w:rPr>
              <w:t>是□  否□</w:t>
            </w:r>
          </w:p>
        </w:tc>
        <w:tc>
          <w:tcPr>
            <w:tcW w:w="1051" w:type="dxa"/>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p>
        </w:tc>
      </w:tr>
      <w:tr>
        <w:trPr>
          <w:trHeight w:val="90" w:hRule="atLeast"/>
        </w:trPr>
        <w:tc>
          <w:tcPr>
            <w:tcW w:w="438"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2332"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p>
        </w:tc>
        <w:tc>
          <w:tcPr>
            <w:tcW w:w="838" w:type="dxa"/>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p>
        </w:tc>
        <w:tc>
          <w:tcPr>
            <w:tcW w:w="1068"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rPr>
            </w:pPr>
            <w:r>
              <w:rPr>
                <w:rFonts w:hint="eastAsia"/>
                <w:lang w:bidi="ar"/>
              </w:rPr>
              <w:t>是□  否□</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rPr>
            </w:pPr>
            <w:r>
              <w:rPr>
                <w:rFonts w:hint="eastAsia"/>
                <w:lang w:bidi="ar"/>
              </w:rPr>
              <w:t xml:space="preserve">     是□      否□</w:t>
            </w:r>
          </w:p>
        </w:tc>
        <w:tc>
          <w:tcPr>
            <w:tcW w:w="933"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rPr>
            </w:pPr>
            <w:r>
              <w:rPr>
                <w:rFonts w:hint="eastAsia"/>
                <w:lang w:bidi="ar"/>
              </w:rPr>
              <w:t>是□  否□</w:t>
            </w:r>
          </w:p>
        </w:tc>
        <w:tc>
          <w:tcPr>
            <w:tcW w:w="1051" w:type="dxa"/>
            <w:tcBorders>
              <w:top w:val="single" w:color="000000" w:sz="4" w:space="0"/>
              <w:left w:val="single" w:color="000000" w:sz="4" w:space="0"/>
              <w:bottom w:val="single" w:color="000000" w:sz="4" w:space="0"/>
              <w:right w:val="single" w:color="000000" w:sz="12" w:space="0"/>
            </w:tcBorders>
            <w:vAlign w:val="center"/>
          </w:tcPr>
          <w:p>
            <w:pPr>
              <w:spacing w:line="276" w:lineRule="auto"/>
              <w:rPr>
                <w:rFonts w:hint="eastAsia"/>
              </w:rPr>
            </w:pPr>
          </w:p>
        </w:tc>
      </w:tr>
      <w:tr>
        <w:tblPrEx>
          <w:tblCellMar>
            <w:top w:w="15" w:type="dxa"/>
            <w:left w:w="15" w:type="dxa"/>
            <w:bottom w:w="15" w:type="dxa"/>
            <w:right w:w="15" w:type="dxa"/>
          </w:tblCellMar>
        </w:tblPrEx>
        <w:trPr>
          <w:trHeight w:val="90" w:hRule="atLeast"/>
        </w:trPr>
        <w:tc>
          <w:tcPr>
            <w:tcW w:w="438" w:type="dxa"/>
            <w:vMerge w:val="continue"/>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2332" w:type="dxa"/>
            <w:gridSpan w:val="2"/>
            <w:tcBorders>
              <w:top w:val="single" w:color="000000" w:sz="4" w:space="0"/>
              <w:left w:val="single" w:color="000000" w:sz="4" w:space="0"/>
              <w:bottom w:val="single" w:color="000000" w:sz="12" w:space="0"/>
              <w:right w:val="single" w:color="000000" w:sz="4" w:space="0"/>
            </w:tcBorders>
            <w:vAlign w:val="center"/>
          </w:tcPr>
          <w:p>
            <w:pPr>
              <w:spacing w:line="276" w:lineRule="auto"/>
              <w:rPr>
                <w:rFonts w:hint="eastAsia"/>
              </w:rPr>
            </w:pPr>
          </w:p>
        </w:tc>
        <w:tc>
          <w:tcPr>
            <w:tcW w:w="838" w:type="dxa"/>
            <w:tcBorders>
              <w:top w:val="single" w:color="000000" w:sz="4" w:space="0"/>
              <w:left w:val="single" w:color="000000" w:sz="4" w:space="0"/>
              <w:bottom w:val="single" w:color="000000" w:sz="12" w:space="0"/>
              <w:right w:val="single" w:color="000000" w:sz="4" w:space="0"/>
            </w:tcBorders>
            <w:vAlign w:val="center"/>
          </w:tcPr>
          <w:p>
            <w:pPr>
              <w:spacing w:line="276" w:lineRule="auto"/>
              <w:rPr>
                <w:rFonts w:hint="eastAsia"/>
              </w:rPr>
            </w:pPr>
          </w:p>
        </w:tc>
        <w:tc>
          <w:tcPr>
            <w:tcW w:w="1068" w:type="dxa"/>
            <w:gridSpan w:val="2"/>
            <w:tcBorders>
              <w:top w:val="single" w:color="000000" w:sz="4" w:space="0"/>
              <w:left w:val="single" w:color="000000" w:sz="4" w:space="0"/>
              <w:bottom w:val="single" w:color="000000" w:sz="12" w:space="0"/>
              <w:right w:val="single" w:color="000000" w:sz="4" w:space="0"/>
            </w:tcBorders>
            <w:vAlign w:val="center"/>
          </w:tcPr>
          <w:p>
            <w:pPr>
              <w:spacing w:line="276" w:lineRule="auto"/>
              <w:ind w:firstLine="0" w:firstLineChars="0"/>
              <w:jc w:val="left"/>
              <w:rPr>
                <w:rFonts w:hint="eastAsia"/>
              </w:rPr>
            </w:pPr>
            <w:r>
              <w:rPr>
                <w:rFonts w:hint="eastAsia"/>
                <w:lang w:bidi="ar"/>
              </w:rPr>
              <w:t>是□  否□</w:t>
            </w:r>
          </w:p>
        </w:tc>
        <w:tc>
          <w:tcPr>
            <w:tcW w:w="2397" w:type="dxa"/>
            <w:gridSpan w:val="2"/>
            <w:tcBorders>
              <w:top w:val="single" w:color="000000" w:sz="4" w:space="0"/>
              <w:left w:val="single" w:color="000000" w:sz="4" w:space="0"/>
              <w:bottom w:val="single" w:color="000000" w:sz="12" w:space="0"/>
              <w:right w:val="single" w:color="000000" w:sz="4" w:space="0"/>
            </w:tcBorders>
            <w:vAlign w:val="center"/>
          </w:tcPr>
          <w:p>
            <w:pPr>
              <w:spacing w:line="276" w:lineRule="auto"/>
              <w:rPr>
                <w:rFonts w:hint="eastAsia"/>
              </w:rPr>
            </w:pPr>
            <w:r>
              <w:rPr>
                <w:rFonts w:hint="eastAsia"/>
                <w:lang w:bidi="ar"/>
              </w:rPr>
              <w:t xml:space="preserve">     是□      否□</w:t>
            </w:r>
          </w:p>
        </w:tc>
        <w:tc>
          <w:tcPr>
            <w:tcW w:w="933" w:type="dxa"/>
            <w:gridSpan w:val="2"/>
            <w:tcBorders>
              <w:top w:val="single" w:color="000000" w:sz="4" w:space="0"/>
              <w:left w:val="single" w:color="000000" w:sz="4" w:space="0"/>
              <w:bottom w:val="single" w:color="000000" w:sz="12" w:space="0"/>
              <w:right w:val="single" w:color="000000" w:sz="4" w:space="0"/>
            </w:tcBorders>
            <w:vAlign w:val="center"/>
          </w:tcPr>
          <w:p>
            <w:pPr>
              <w:spacing w:line="276" w:lineRule="auto"/>
              <w:ind w:firstLine="0" w:firstLineChars="0"/>
              <w:jc w:val="left"/>
              <w:rPr>
                <w:rFonts w:hint="eastAsia"/>
              </w:rPr>
            </w:pPr>
            <w:r>
              <w:rPr>
                <w:rFonts w:hint="eastAsia"/>
                <w:lang w:bidi="ar"/>
              </w:rPr>
              <w:t>是□  否□</w:t>
            </w:r>
          </w:p>
        </w:tc>
        <w:tc>
          <w:tcPr>
            <w:tcW w:w="1051" w:type="dxa"/>
            <w:tcBorders>
              <w:top w:val="single" w:color="000000" w:sz="4" w:space="0"/>
              <w:left w:val="single" w:color="000000" w:sz="4" w:space="0"/>
              <w:bottom w:val="single" w:color="000000" w:sz="12" w:space="0"/>
              <w:right w:val="single" w:color="000000" w:sz="12" w:space="0"/>
            </w:tcBorders>
            <w:vAlign w:val="center"/>
          </w:tcPr>
          <w:p>
            <w:pPr>
              <w:spacing w:line="276" w:lineRule="auto"/>
              <w:rPr>
                <w:rFonts w:hint="eastAsia"/>
              </w:rPr>
            </w:pPr>
          </w:p>
        </w:tc>
      </w:tr>
      <w:tr>
        <w:tblPrEx>
          <w:tblCellMar>
            <w:top w:w="15" w:type="dxa"/>
            <w:left w:w="15" w:type="dxa"/>
            <w:bottom w:w="15" w:type="dxa"/>
            <w:right w:w="15" w:type="dxa"/>
          </w:tblCellMar>
        </w:tblPrEx>
        <w:trPr>
          <w:trHeight w:val="90" w:hRule="atLeast"/>
        </w:trPr>
        <w:tc>
          <w:tcPr>
            <w:tcW w:w="438" w:type="dxa"/>
            <w:vMerge w:val="restart"/>
            <w:tcBorders>
              <w:top w:val="single" w:color="000000" w:sz="12" w:space="0"/>
              <w:left w:val="single" w:color="000000" w:sz="12" w:space="0"/>
              <w:bottom w:val="single" w:color="000000" w:sz="12" w:space="0"/>
            </w:tcBorders>
            <w:textDirection w:val="tbRlV"/>
            <w:vAlign w:val="center"/>
          </w:tcPr>
          <w:p>
            <w:pPr>
              <w:rPr>
                <w:rFonts w:hint="eastAsia"/>
              </w:rPr>
            </w:pPr>
            <w:r>
              <w:rPr>
                <w:rFonts w:hint="eastAsia"/>
                <w:lang w:bidi="ar"/>
              </w:rPr>
              <w:t>充装后</w:t>
            </w:r>
          </w:p>
        </w:tc>
        <w:tc>
          <w:tcPr>
            <w:tcW w:w="552" w:type="dxa"/>
            <w:vMerge w:val="restart"/>
            <w:tcBorders>
              <w:top w:val="single" w:color="000000" w:sz="12" w:space="0"/>
              <w:bottom w:val="single" w:color="000000" w:sz="12" w:space="0"/>
            </w:tcBorders>
            <w:textDirection w:val="tbRlV"/>
            <w:vAlign w:val="center"/>
          </w:tcPr>
          <w:p>
            <w:pPr>
              <w:rPr>
                <w:rFonts w:hint="eastAsia"/>
              </w:rPr>
            </w:pPr>
            <w:r>
              <w:rPr>
                <w:rFonts w:hint="eastAsia"/>
                <w:lang w:bidi="ar"/>
              </w:rPr>
              <w:t>检查</w:t>
            </w:r>
          </w:p>
        </w:tc>
        <w:tc>
          <w:tcPr>
            <w:tcW w:w="1780" w:type="dxa"/>
            <w:tcBorders>
              <w:top w:val="single" w:color="000000" w:sz="12"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lang w:bidi="ar"/>
              </w:rPr>
            </w:pPr>
            <w:r>
              <w:rPr>
                <w:rFonts w:hint="eastAsia"/>
                <w:lang w:bidi="ar"/>
              </w:rPr>
              <w:t>是否关闭挂车充装总阀及各瓶阀</w:t>
            </w:r>
          </w:p>
        </w:tc>
        <w:tc>
          <w:tcPr>
            <w:tcW w:w="1906" w:type="dxa"/>
            <w:gridSpan w:val="3"/>
            <w:tcBorders>
              <w:top w:val="single" w:color="000000" w:sz="12" w:space="0"/>
              <w:left w:val="single" w:color="000000" w:sz="4" w:space="0"/>
              <w:bottom w:val="single" w:color="000000" w:sz="4" w:space="0"/>
              <w:right w:val="single" w:color="000000" w:sz="4" w:space="0"/>
            </w:tcBorders>
            <w:vAlign w:val="center"/>
          </w:tcPr>
          <w:p>
            <w:pPr>
              <w:spacing w:line="276" w:lineRule="auto"/>
              <w:rPr>
                <w:rFonts w:hint="eastAsia"/>
                <w:lang w:bidi="ar"/>
              </w:rPr>
            </w:pPr>
            <w:r>
              <w:rPr>
                <w:rFonts w:hint="eastAsia"/>
                <w:lang w:bidi="ar"/>
              </w:rPr>
              <w:t>是□       否□</w:t>
            </w:r>
          </w:p>
        </w:tc>
        <w:tc>
          <w:tcPr>
            <w:tcW w:w="2397" w:type="dxa"/>
            <w:gridSpan w:val="2"/>
            <w:tcBorders>
              <w:top w:val="single" w:color="000000" w:sz="12"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lang w:bidi="ar"/>
              </w:rPr>
            </w:pPr>
            <w:r>
              <w:rPr>
                <w:rFonts w:hint="eastAsia"/>
                <w:lang w:bidi="ar"/>
              </w:rPr>
              <w:t>是否泄压并拆除充装软管</w:t>
            </w:r>
          </w:p>
        </w:tc>
        <w:tc>
          <w:tcPr>
            <w:tcW w:w="933" w:type="dxa"/>
            <w:gridSpan w:val="2"/>
            <w:tcBorders>
              <w:top w:val="single" w:color="000000" w:sz="12"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rPr>
            </w:pPr>
            <w:r>
              <w:rPr>
                <w:rFonts w:hint="eastAsia"/>
                <w:lang w:bidi="ar"/>
              </w:rPr>
              <w:t>是□  否□</w:t>
            </w:r>
          </w:p>
        </w:tc>
        <w:tc>
          <w:tcPr>
            <w:tcW w:w="1051" w:type="dxa"/>
            <w:tcBorders>
              <w:top w:val="single" w:color="000000" w:sz="12" w:space="0"/>
              <w:left w:val="single" w:color="000000" w:sz="4" w:space="0"/>
              <w:bottom w:val="single" w:color="000000" w:sz="4" w:space="0"/>
              <w:right w:val="single" w:color="000000" w:sz="12" w:space="0"/>
            </w:tcBorders>
            <w:vAlign w:val="center"/>
          </w:tcPr>
          <w:p>
            <w:pPr>
              <w:spacing w:line="276" w:lineRule="auto"/>
              <w:ind w:firstLine="0" w:firstLineChars="0"/>
              <w:jc w:val="left"/>
              <w:rPr>
                <w:rFonts w:hint="eastAsia"/>
              </w:rPr>
            </w:pPr>
            <w:r>
              <w:rPr>
                <w:rFonts w:hint="eastAsia"/>
                <w:lang w:bidi="ar"/>
              </w:rPr>
              <w:t>检查人签字</w:t>
            </w:r>
          </w:p>
        </w:tc>
      </w:tr>
      <w:tr>
        <w:trPr>
          <w:trHeight w:val="90" w:hRule="atLeast"/>
        </w:trPr>
        <w:tc>
          <w:tcPr>
            <w:tcW w:w="438" w:type="dxa"/>
            <w:vMerge w:val="continue"/>
            <w:tcBorders>
              <w:top w:val="single" w:color="000000" w:sz="12" w:space="0"/>
              <w:left w:val="single" w:color="000000" w:sz="12" w:space="0"/>
              <w:bottom w:val="single" w:color="000000" w:sz="12" w:space="0"/>
            </w:tcBorders>
            <w:textDirection w:val="tbRlV"/>
            <w:vAlign w:val="center"/>
          </w:tcPr>
          <w:p>
            <w:pPr>
              <w:rPr>
                <w:rFonts w:hint="eastAsia"/>
              </w:rPr>
            </w:pPr>
          </w:p>
        </w:tc>
        <w:tc>
          <w:tcPr>
            <w:tcW w:w="552" w:type="dxa"/>
            <w:vMerge w:val="continue"/>
            <w:tcBorders>
              <w:top w:val="single" w:color="000000" w:sz="12" w:space="0"/>
              <w:bottom w:val="single" w:color="000000" w:sz="12"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4" w:space="0"/>
              <w:right w:val="single" w:color="000000" w:sz="4" w:space="0"/>
            </w:tcBorders>
            <w:vAlign w:val="center"/>
          </w:tcPr>
          <w:p>
            <w:pPr>
              <w:spacing w:line="276" w:lineRule="auto"/>
              <w:ind w:left="0" w:leftChars="0" w:firstLine="0" w:firstLineChars="0"/>
              <w:jc w:val="both"/>
              <w:rPr>
                <w:rFonts w:hint="eastAsia"/>
                <w:lang w:bidi="ar"/>
              </w:rPr>
            </w:pPr>
            <w:r>
              <w:rPr>
                <w:rFonts w:hint="eastAsia"/>
                <w:lang w:bidi="ar"/>
              </w:rPr>
              <w:t>挂车各部位有无泄漏</w:t>
            </w:r>
          </w:p>
        </w:tc>
        <w:tc>
          <w:tcPr>
            <w:tcW w:w="1906"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lang w:bidi="ar"/>
              </w:rPr>
            </w:pPr>
            <w:r>
              <w:rPr>
                <w:rFonts w:hint="eastAsia"/>
                <w:lang w:bidi="ar"/>
              </w:rPr>
              <w:t>无□      有□</w:t>
            </w:r>
          </w:p>
        </w:tc>
        <w:tc>
          <w:tcPr>
            <w:tcW w:w="2397"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rPr>
                <w:rFonts w:hint="eastAsia"/>
                <w:lang w:bidi="ar"/>
              </w:rPr>
            </w:pPr>
            <w:r>
              <w:rPr>
                <w:rFonts w:hint="eastAsia"/>
                <w:lang w:bidi="ar"/>
              </w:rPr>
              <w:t>是否超装</w:t>
            </w:r>
          </w:p>
        </w:tc>
        <w:tc>
          <w:tcPr>
            <w:tcW w:w="933" w:type="dxa"/>
            <w:gridSpan w:val="2"/>
            <w:tcBorders>
              <w:top w:val="single" w:color="000000" w:sz="4" w:space="0"/>
              <w:left w:val="single" w:color="000000" w:sz="4" w:space="0"/>
              <w:bottom w:val="single" w:color="000000" w:sz="4" w:space="0"/>
              <w:right w:val="single" w:color="000000" w:sz="4" w:space="0"/>
            </w:tcBorders>
            <w:vAlign w:val="center"/>
          </w:tcPr>
          <w:p>
            <w:pPr>
              <w:spacing w:line="276" w:lineRule="auto"/>
              <w:ind w:firstLine="0" w:firstLineChars="0"/>
              <w:jc w:val="left"/>
              <w:rPr>
                <w:rFonts w:hint="eastAsia"/>
              </w:rPr>
            </w:pPr>
            <w:r>
              <w:rPr>
                <w:rFonts w:hint="eastAsia"/>
                <w:lang w:bidi="ar"/>
              </w:rPr>
              <w:t>是□  否□</w:t>
            </w:r>
          </w:p>
        </w:tc>
        <w:tc>
          <w:tcPr>
            <w:tcW w:w="1051" w:type="dxa"/>
            <w:vMerge w:val="restart"/>
            <w:tcBorders>
              <w:top w:val="single" w:color="000000" w:sz="4" w:space="0"/>
              <w:left w:val="single" w:color="000000" w:sz="4" w:space="0"/>
              <w:bottom w:val="single" w:color="000000" w:sz="12" w:space="0"/>
              <w:right w:val="single" w:color="000000" w:sz="12" w:space="0"/>
            </w:tcBorders>
            <w:vAlign w:val="center"/>
          </w:tcPr>
          <w:p>
            <w:pPr>
              <w:spacing w:line="276" w:lineRule="auto"/>
              <w:rPr>
                <w:rFonts w:hint="eastAsia"/>
              </w:rPr>
            </w:pPr>
          </w:p>
        </w:tc>
      </w:tr>
      <w:tr>
        <w:trPr>
          <w:trHeight w:val="90" w:hRule="atLeast"/>
        </w:trPr>
        <w:tc>
          <w:tcPr>
            <w:tcW w:w="438" w:type="dxa"/>
            <w:vMerge w:val="continue"/>
            <w:tcBorders>
              <w:top w:val="single" w:color="000000" w:sz="12" w:space="0"/>
              <w:left w:val="single" w:color="000000" w:sz="12" w:space="0"/>
              <w:bottom w:val="single" w:color="000000" w:sz="12" w:space="0"/>
            </w:tcBorders>
            <w:textDirection w:val="tbRlV"/>
            <w:vAlign w:val="center"/>
          </w:tcPr>
          <w:p>
            <w:pPr>
              <w:rPr>
                <w:rFonts w:hint="eastAsia"/>
              </w:rPr>
            </w:pPr>
          </w:p>
        </w:tc>
        <w:tc>
          <w:tcPr>
            <w:tcW w:w="552" w:type="dxa"/>
            <w:vMerge w:val="continue"/>
            <w:tcBorders>
              <w:top w:val="single" w:color="000000" w:sz="12" w:space="0"/>
              <w:bottom w:val="single" w:color="000000" w:sz="12" w:space="0"/>
            </w:tcBorders>
            <w:textDirection w:val="tbRlV"/>
            <w:vAlign w:val="center"/>
          </w:tcPr>
          <w:p>
            <w:pPr>
              <w:rPr>
                <w:rFonts w:hint="eastAsia"/>
              </w:rPr>
            </w:pPr>
          </w:p>
        </w:tc>
        <w:tc>
          <w:tcPr>
            <w:tcW w:w="1780" w:type="dxa"/>
            <w:tcBorders>
              <w:top w:val="single" w:color="000000" w:sz="4" w:space="0"/>
              <w:left w:val="single" w:color="000000" w:sz="4" w:space="0"/>
              <w:bottom w:val="single" w:color="000000" w:sz="12" w:space="0"/>
              <w:right w:val="single" w:color="000000" w:sz="4" w:space="0"/>
            </w:tcBorders>
            <w:vAlign w:val="center"/>
          </w:tcPr>
          <w:p>
            <w:pPr>
              <w:ind w:left="0" w:leftChars="0" w:firstLine="0" w:firstLineChars="0"/>
              <w:jc w:val="both"/>
              <w:rPr>
                <w:rFonts w:hint="eastAsia"/>
                <w:lang w:bidi="ar"/>
              </w:rPr>
            </w:pPr>
            <w:r>
              <w:rPr>
                <w:rFonts w:hint="eastAsia"/>
                <w:lang w:bidi="ar"/>
              </w:rPr>
              <w:t>充装完成压力（MPa)</w:t>
            </w:r>
          </w:p>
        </w:tc>
        <w:tc>
          <w:tcPr>
            <w:tcW w:w="1906" w:type="dxa"/>
            <w:gridSpan w:val="3"/>
            <w:tcBorders>
              <w:top w:val="single" w:color="000000" w:sz="4" w:space="0"/>
              <w:left w:val="single" w:color="000000" w:sz="4" w:space="0"/>
              <w:bottom w:val="single" w:color="000000" w:sz="12" w:space="0"/>
              <w:right w:val="single" w:color="000000" w:sz="4" w:space="0"/>
            </w:tcBorders>
            <w:vAlign w:val="center"/>
          </w:tcPr>
          <w:p>
            <w:pPr>
              <w:rPr>
                <w:rFonts w:hint="eastAsia"/>
                <w:lang w:bidi="ar"/>
              </w:rPr>
            </w:pPr>
          </w:p>
        </w:tc>
        <w:tc>
          <w:tcPr>
            <w:tcW w:w="2397" w:type="dxa"/>
            <w:gridSpan w:val="2"/>
            <w:tcBorders>
              <w:top w:val="single" w:color="000000" w:sz="4" w:space="0"/>
              <w:left w:val="single" w:color="000000" w:sz="4" w:space="0"/>
              <w:bottom w:val="single" w:color="000000" w:sz="12" w:space="0"/>
              <w:right w:val="single" w:color="000000" w:sz="4" w:space="0"/>
            </w:tcBorders>
            <w:vAlign w:val="center"/>
          </w:tcPr>
          <w:p>
            <w:pPr>
              <w:rPr>
                <w:rFonts w:hint="eastAsia"/>
                <w:lang w:bidi="ar"/>
              </w:rPr>
            </w:pPr>
            <w:r>
              <w:rPr>
                <w:rFonts w:hint="eastAsia"/>
                <w:lang w:bidi="ar"/>
              </w:rPr>
              <w:t>充装完成温度（℃）</w:t>
            </w:r>
          </w:p>
        </w:tc>
        <w:tc>
          <w:tcPr>
            <w:tcW w:w="933" w:type="dxa"/>
            <w:gridSpan w:val="2"/>
            <w:tcBorders>
              <w:top w:val="single" w:color="000000" w:sz="4" w:space="0"/>
              <w:left w:val="single" w:color="000000" w:sz="4" w:space="0"/>
              <w:bottom w:val="single" w:color="000000" w:sz="12" w:space="0"/>
              <w:right w:val="single" w:color="000000" w:sz="4" w:space="0"/>
            </w:tcBorders>
            <w:vAlign w:val="center"/>
          </w:tcPr>
          <w:p>
            <w:pPr>
              <w:rPr>
                <w:rFonts w:hint="eastAsia"/>
              </w:rPr>
            </w:pPr>
          </w:p>
        </w:tc>
        <w:tc>
          <w:tcPr>
            <w:tcW w:w="1051" w:type="dxa"/>
            <w:vMerge w:val="continue"/>
            <w:tcBorders>
              <w:top w:val="single" w:color="000000" w:sz="4" w:space="0"/>
              <w:left w:val="single" w:color="000000" w:sz="4" w:space="0"/>
              <w:bottom w:val="single" w:color="000000" w:sz="12" w:space="0"/>
              <w:right w:val="single" w:color="000000" w:sz="12" w:space="0"/>
            </w:tcBorders>
            <w:vAlign w:val="center"/>
          </w:tcPr>
          <w:p>
            <w:pPr>
              <w:rPr>
                <w:rFonts w:hint="eastAsia"/>
              </w:rPr>
            </w:pPr>
          </w:p>
        </w:tc>
      </w:tr>
      <w:tr>
        <w:tblPrEx>
          <w:tblCellMar>
            <w:top w:w="15" w:type="dxa"/>
            <w:left w:w="15" w:type="dxa"/>
            <w:bottom w:w="15" w:type="dxa"/>
            <w:right w:w="15" w:type="dxa"/>
          </w:tblCellMar>
        </w:tblPrEx>
        <w:trPr>
          <w:trHeight w:val="90" w:hRule="atLeast"/>
        </w:trPr>
        <w:tc>
          <w:tcPr>
            <w:tcW w:w="438" w:type="dxa"/>
            <w:tcBorders>
              <w:top w:val="single" w:color="000000" w:sz="12" w:space="0"/>
              <w:left w:val="single" w:color="000000" w:sz="12" w:space="0"/>
              <w:bottom w:val="single" w:color="000000" w:sz="12" w:space="0"/>
              <w:right w:val="single" w:color="000000" w:sz="4" w:space="0"/>
            </w:tcBorders>
            <w:textDirection w:val="tbRlV"/>
            <w:vAlign w:val="center"/>
          </w:tcPr>
          <w:p>
            <w:pPr>
              <w:rPr>
                <w:rFonts w:hint="eastAsia"/>
              </w:rPr>
            </w:pPr>
          </w:p>
        </w:tc>
        <w:tc>
          <w:tcPr>
            <w:tcW w:w="552" w:type="dxa"/>
            <w:tcBorders>
              <w:top w:val="single" w:color="000000" w:sz="12" w:space="0"/>
              <w:left w:val="single" w:color="000000" w:sz="4" w:space="0"/>
              <w:bottom w:val="single" w:color="000000" w:sz="12" w:space="0"/>
              <w:right w:val="single" w:color="000000" w:sz="4" w:space="0"/>
            </w:tcBorders>
            <w:vAlign w:val="center"/>
          </w:tcPr>
          <w:p>
            <w:pPr>
              <w:ind w:firstLine="0" w:firstLineChars="0"/>
              <w:jc w:val="left"/>
              <w:rPr>
                <w:rFonts w:hint="eastAsia"/>
                <w:lang w:bidi="ar"/>
              </w:rPr>
            </w:pPr>
            <w:r>
              <w:rPr>
                <w:rFonts w:hint="eastAsia"/>
              </w:rPr>
              <w:t>发车时间</w:t>
            </w:r>
          </w:p>
        </w:tc>
        <w:tc>
          <w:tcPr>
            <w:tcW w:w="1780" w:type="dxa"/>
            <w:tcBorders>
              <w:top w:val="single" w:color="000000" w:sz="12" w:space="0"/>
              <w:left w:val="single" w:color="000000" w:sz="4" w:space="0"/>
              <w:bottom w:val="single" w:color="000000" w:sz="12" w:space="0"/>
              <w:right w:val="single" w:color="000000" w:sz="4" w:space="0"/>
            </w:tcBorders>
            <w:vAlign w:val="center"/>
          </w:tcPr>
          <w:p>
            <w:pPr>
              <w:rPr>
                <w:rFonts w:hint="eastAsia"/>
              </w:rPr>
            </w:pPr>
            <w:r>
              <w:rPr>
                <w:rFonts w:hint="eastAsia"/>
              </w:rPr>
              <w:t>年   月   日</w:t>
            </w:r>
          </w:p>
        </w:tc>
        <w:tc>
          <w:tcPr>
            <w:tcW w:w="1541" w:type="dxa"/>
            <w:gridSpan w:val="2"/>
            <w:tcBorders>
              <w:top w:val="single" w:color="000000" w:sz="12" w:space="0"/>
              <w:left w:val="single" w:color="000000" w:sz="4" w:space="0"/>
              <w:bottom w:val="single" w:color="000000" w:sz="12" w:space="0"/>
              <w:right w:val="single" w:color="000000" w:sz="4" w:space="0"/>
            </w:tcBorders>
            <w:vAlign w:val="center"/>
          </w:tcPr>
          <w:p>
            <w:pPr>
              <w:rPr>
                <w:rFonts w:hint="eastAsia"/>
              </w:rPr>
            </w:pPr>
            <w:r>
              <w:rPr>
                <w:rFonts w:hint="eastAsia"/>
                <w:lang w:bidi="ar"/>
              </w:rPr>
              <w:t>发车时温度</w:t>
            </w:r>
          </w:p>
        </w:tc>
        <w:tc>
          <w:tcPr>
            <w:tcW w:w="1541" w:type="dxa"/>
            <w:gridSpan w:val="2"/>
            <w:tcBorders>
              <w:top w:val="single" w:color="000000" w:sz="12" w:space="0"/>
              <w:left w:val="single" w:color="000000" w:sz="4" w:space="0"/>
              <w:bottom w:val="single" w:color="000000" w:sz="12" w:space="0"/>
              <w:right w:val="single" w:color="000000" w:sz="4" w:space="0"/>
            </w:tcBorders>
            <w:vAlign w:val="center"/>
          </w:tcPr>
          <w:p>
            <w:pPr>
              <w:rPr>
                <w:rFonts w:hint="eastAsia"/>
                <w:lang w:bidi="ar"/>
              </w:rPr>
            </w:pPr>
            <w:r>
              <w:rPr>
                <w:rFonts w:hint="eastAsia"/>
                <w:lang w:bidi="ar"/>
              </w:rPr>
              <w:t xml:space="preserve">      ℃</w:t>
            </w:r>
          </w:p>
        </w:tc>
        <w:tc>
          <w:tcPr>
            <w:tcW w:w="1541" w:type="dxa"/>
            <w:gridSpan w:val="2"/>
            <w:tcBorders>
              <w:top w:val="single" w:color="000000" w:sz="12" w:space="0"/>
              <w:left w:val="single" w:color="000000" w:sz="4" w:space="0"/>
              <w:bottom w:val="single" w:color="000000" w:sz="12" w:space="0"/>
              <w:right w:val="single" w:color="000000" w:sz="4" w:space="0"/>
            </w:tcBorders>
            <w:vAlign w:val="center"/>
          </w:tcPr>
          <w:p>
            <w:pPr>
              <w:rPr>
                <w:rFonts w:hint="eastAsia"/>
                <w:lang w:bidi="ar"/>
              </w:rPr>
            </w:pPr>
            <w:r>
              <w:rPr>
                <w:rFonts w:hint="eastAsia"/>
                <w:lang w:bidi="ar"/>
              </w:rPr>
              <w:t>发车时压力</w:t>
            </w:r>
          </w:p>
        </w:tc>
        <w:tc>
          <w:tcPr>
            <w:tcW w:w="1664" w:type="dxa"/>
            <w:gridSpan w:val="2"/>
            <w:tcBorders>
              <w:top w:val="single" w:color="000000" w:sz="12" w:space="0"/>
              <w:left w:val="single" w:color="000000" w:sz="4" w:space="0"/>
              <w:bottom w:val="single" w:color="000000" w:sz="12" w:space="0"/>
              <w:right w:val="single" w:color="000000" w:sz="12" w:space="0"/>
            </w:tcBorders>
            <w:vAlign w:val="center"/>
          </w:tcPr>
          <w:p>
            <w:pPr>
              <w:rPr>
                <w:rFonts w:hint="eastAsia"/>
                <w:lang w:bidi="ar"/>
              </w:rPr>
            </w:pPr>
            <w:r>
              <w:rPr>
                <w:rFonts w:hint="eastAsia"/>
                <w:lang w:bidi="ar"/>
              </w:rPr>
              <w:t xml:space="preserve">  MPa</w:t>
            </w:r>
          </w:p>
        </w:tc>
      </w:tr>
    </w:tbl>
    <w:p>
      <w:pPr>
        <w:keepNext w:val="0"/>
        <w:keepLines w:val="0"/>
        <w:pageBreakBefore w:val="0"/>
        <w:kinsoku/>
        <w:wordWrap/>
        <w:overflowPunct/>
        <w:topLinePunct w:val="0"/>
        <w:autoSpaceDE/>
        <w:autoSpaceDN/>
        <w:bidi w:val="0"/>
        <w:adjustRightInd w:val="0"/>
        <w:snapToGrid w:val="0"/>
        <w:ind w:firstLine="560"/>
        <w:jc w:val="center"/>
        <w:textAlignment w:val="auto"/>
        <w:rPr>
          <w:rFonts w:hint="eastAsia" w:ascii="宋体" w:hAnsi="宋体" w:eastAsia="宋体" w:cs="宋体"/>
          <w:sz w:val="21"/>
          <w:szCs w:val="21"/>
        </w:rPr>
      </w:pPr>
    </w:p>
    <w:p>
      <w:pPr>
        <w:keepNext w:val="0"/>
        <w:keepLines w:val="0"/>
        <w:pageBreakBefore w:val="0"/>
        <w:kinsoku/>
        <w:wordWrap/>
        <w:overflowPunct/>
        <w:topLinePunct w:val="0"/>
        <w:autoSpaceDE/>
        <w:autoSpaceDN/>
        <w:bidi w:val="0"/>
        <w:adjustRightInd w:val="0"/>
        <w:snapToGrid w:val="0"/>
        <w:ind w:left="0" w:lef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rPr>
        <w:t>氢气管束式集装箱充装安全检查表</w:t>
      </w:r>
      <w:r>
        <w:rPr>
          <w:rFonts w:hint="eastAsia" w:cs="宋体"/>
          <w:sz w:val="21"/>
          <w:szCs w:val="21"/>
          <w:lang w:val="en-US" w:eastAsia="zh-CN"/>
        </w:rPr>
        <w:t>B.1</w:t>
      </w:r>
    </w:p>
    <w:p>
      <w:pPr>
        <w:rPr>
          <w:rFonts w:hint="eastAsia"/>
        </w:rPr>
      </w:pPr>
    </w:p>
    <w:p>
      <w:pPr>
        <w:rPr>
          <w:rFonts w:hint="eastAsia"/>
        </w:rPr>
      </w:pPr>
    </w:p>
    <w:p>
      <w:pPr>
        <w:rPr>
          <w:rFonts w:hint="eastAsia"/>
        </w:rPr>
      </w:pPr>
    </w:p>
    <w:p>
      <w:pPr>
        <w:pStyle w:val="112"/>
        <w:numPr>
          <w:ilvl w:val="0"/>
          <w:numId w:val="0"/>
        </w:numPr>
        <w:rPr>
          <w:sz w:val="21"/>
          <w:szCs w:val="21"/>
        </w:rPr>
      </w:pPr>
      <w:bookmarkStart w:id="57" w:name="_Toc26358"/>
      <w:bookmarkStart w:id="58" w:name="_Toc183285807"/>
      <w:r>
        <w:rPr>
          <w:rFonts w:hint="eastAsia"/>
          <w:sz w:val="21"/>
          <w:szCs w:val="21"/>
        </w:rPr>
        <w:t>参考文献</w:t>
      </w:r>
      <w:bookmarkEnd w:id="57"/>
      <w:bookmarkEnd w:id="58"/>
    </w:p>
    <w:p>
      <w:pPr>
        <w:pStyle w:val="64"/>
        <w:numPr>
          <w:ilvl w:val="0"/>
          <w:numId w:val="0"/>
        </w:numPr>
        <w:ind w:right="90" w:rightChars="50" w:firstLine="420" w:firstLineChars="200"/>
        <w:rPr>
          <w:sz w:val="21"/>
          <w:szCs w:val="21"/>
        </w:rPr>
      </w:pPr>
      <w:bookmarkStart w:id="59" w:name="_Hlk183019728"/>
      <w:r>
        <w:rPr>
          <w:rFonts w:hint="eastAsia"/>
          <w:sz w:val="21"/>
          <w:szCs w:val="21"/>
        </w:rPr>
        <w:t>[1] 《危险化学品安全管理条例》(国务院令第591号)</w:t>
      </w:r>
    </w:p>
    <w:p>
      <w:pPr>
        <w:pStyle w:val="64"/>
        <w:rPr>
          <w:rFonts w:hint="eastAsia"/>
          <w:sz w:val="21"/>
          <w:szCs w:val="21"/>
        </w:rPr>
      </w:pPr>
      <w:r>
        <w:rPr>
          <w:rFonts w:hint="eastAsia"/>
          <w:sz w:val="21"/>
          <w:szCs w:val="21"/>
        </w:rPr>
        <w:t>[2]《国务院关于修改〈特种设备安全监察条例〉的决定》（国务院令第549号）</w:t>
      </w:r>
    </w:p>
    <w:p>
      <w:pPr>
        <w:pStyle w:val="64"/>
        <w:rPr>
          <w:rFonts w:hAnsi="宋体"/>
          <w:sz w:val="21"/>
          <w:szCs w:val="21"/>
        </w:rPr>
      </w:pPr>
      <w:r>
        <w:rPr>
          <w:rFonts w:hint="eastAsia"/>
          <w:sz w:val="21"/>
          <w:szCs w:val="21"/>
        </w:rPr>
        <w:t>[3]</w:t>
      </w:r>
      <w:r>
        <w:rPr>
          <w:rFonts w:hint="eastAsia" w:hAnsi="宋体"/>
          <w:sz w:val="21"/>
          <w:szCs w:val="21"/>
        </w:rPr>
        <w:t>《道路危险货物运输管理规定》（中华人民共和国交通运输部令 2019年第42号）</w:t>
      </w:r>
    </w:p>
    <w:p>
      <w:pPr>
        <w:pStyle w:val="64"/>
        <w:rPr>
          <w:rFonts w:hint="eastAsia"/>
          <w:sz w:val="21"/>
          <w:szCs w:val="21"/>
        </w:rPr>
      </w:pPr>
      <w:r>
        <w:rPr>
          <w:rFonts w:hint="eastAsia"/>
          <w:sz w:val="21"/>
          <w:szCs w:val="21"/>
        </w:rPr>
        <w:t xml:space="preserve">[4] </w:t>
      </w:r>
      <w:bookmarkEnd w:id="59"/>
      <w:r>
        <w:rPr>
          <w:rFonts w:hint="eastAsia"/>
          <w:sz w:val="21"/>
          <w:szCs w:val="21"/>
        </w:rPr>
        <w:t>《河北省氢能产业安全管理办法（试行）》</w:t>
      </w:r>
    </w:p>
    <w:p>
      <w:pPr>
        <w:pStyle w:val="64"/>
        <w:rPr>
          <w:rFonts w:hint="eastAsia"/>
          <w:sz w:val="21"/>
          <w:szCs w:val="21"/>
        </w:rPr>
      </w:pPr>
      <w:r>
        <w:rPr>
          <w:rFonts w:hint="eastAsia"/>
          <w:sz w:val="21"/>
          <w:szCs w:val="21"/>
        </w:rPr>
        <w:t>[5]</w:t>
      </w:r>
      <w:r>
        <w:rPr>
          <w:rFonts w:hint="eastAsia"/>
          <w:sz w:val="21"/>
          <w:szCs w:val="21"/>
          <w:lang w:val="en-US" w:eastAsia="zh-CN"/>
        </w:rPr>
        <w:t xml:space="preserve"> </w:t>
      </w:r>
      <w:r>
        <w:rPr>
          <w:rFonts w:hint="eastAsia" w:hAnsi="宋体"/>
          <w:sz w:val="21"/>
          <w:szCs w:val="21"/>
          <w:lang w:val="en-US" w:eastAsia="zh-CN"/>
        </w:rPr>
        <w:t>DB 13/T 5753-2023 长管拖车氢气运输技术要求</w:t>
      </w:r>
    </w:p>
    <w:p>
      <w:pPr>
        <w:pStyle w:val="64"/>
        <w:ind w:firstLine="480"/>
        <w:rPr>
          <w:rFonts w:hint="eastAsia" w:hAnsi="宋体"/>
          <w:sz w:val="21"/>
          <w:szCs w:val="21"/>
        </w:rPr>
      </w:pPr>
      <w:r>
        <w:rPr>
          <w:rFonts w:hint="eastAsia"/>
          <w:sz w:val="21"/>
          <w:szCs w:val="21"/>
        </w:rPr>
        <w:t>[</w:t>
      </w:r>
      <w:r>
        <w:rPr>
          <w:rFonts w:hint="eastAsia"/>
          <w:sz w:val="21"/>
          <w:szCs w:val="21"/>
          <w:lang w:val="en-US" w:eastAsia="zh-CN"/>
        </w:rPr>
        <w:t>6</w:t>
      </w:r>
      <w:r>
        <w:rPr>
          <w:rFonts w:hint="eastAsia"/>
          <w:sz w:val="21"/>
          <w:szCs w:val="21"/>
        </w:rPr>
        <w:t>]</w:t>
      </w:r>
      <w:r>
        <w:rPr>
          <w:rFonts w:hint="eastAsia"/>
          <w:sz w:val="21"/>
          <w:szCs w:val="21"/>
          <w:lang w:val="en-US" w:eastAsia="zh-CN"/>
        </w:rPr>
        <w:t xml:space="preserve"> </w:t>
      </w:r>
      <w:r>
        <w:rPr>
          <w:rFonts w:hint="eastAsia" w:hAnsi="宋体"/>
          <w:sz w:val="21"/>
          <w:szCs w:val="21"/>
          <w:lang w:val="en-US" w:eastAsia="zh-CN"/>
        </w:rPr>
        <w:t>SH3221  石油化工物料汽车装卸设施设计标准。</w:t>
      </w:r>
    </w:p>
    <w:p>
      <w:pPr>
        <w:pStyle w:val="64"/>
        <w:rPr>
          <w:sz w:val="21"/>
          <w:szCs w:val="21"/>
        </w:rPr>
      </w:pPr>
      <w:r>
        <w:rPr>
          <w:rFonts w:hint="eastAsia"/>
          <w:sz w:val="21"/>
          <w:szCs w:val="21"/>
        </w:rPr>
        <w:t>[</w:t>
      </w:r>
      <w:r>
        <w:rPr>
          <w:rFonts w:hint="eastAsia"/>
          <w:sz w:val="21"/>
          <w:szCs w:val="21"/>
          <w:lang w:val="en-US" w:eastAsia="zh-CN"/>
        </w:rPr>
        <w:t>7</w:t>
      </w:r>
      <w:r>
        <w:rPr>
          <w:rFonts w:hint="eastAsia"/>
          <w:sz w:val="21"/>
          <w:szCs w:val="21"/>
        </w:rPr>
        <w:t>]</w:t>
      </w:r>
      <w:r>
        <w:rPr>
          <w:rFonts w:hint="eastAsia"/>
          <w:sz w:val="21"/>
          <w:szCs w:val="21"/>
          <w:lang w:val="en-US" w:eastAsia="zh-CN"/>
        </w:rPr>
        <w:t xml:space="preserve"> </w:t>
      </w:r>
      <w:r>
        <w:rPr>
          <w:rFonts w:hint="eastAsia"/>
          <w:sz w:val="21"/>
          <w:szCs w:val="21"/>
        </w:rPr>
        <w:t>TSG 07-2019 《特种设备生产和充装单位许可规则》</w:t>
      </w:r>
    </w:p>
    <w:p>
      <w:pPr>
        <w:pStyle w:val="64"/>
        <w:ind w:firstLine="480"/>
        <w:rPr>
          <w:rFonts w:hint="eastAsia" w:hAnsi="宋体"/>
          <w:sz w:val="21"/>
          <w:szCs w:val="21"/>
        </w:rPr>
      </w:pPr>
    </w:p>
    <w:p>
      <w:pPr>
        <w:pStyle w:val="64"/>
        <w:ind w:firstLine="480"/>
        <w:rPr>
          <w:rFonts w:hint="eastAsia" w:hAnsi="宋体"/>
          <w:sz w:val="21"/>
          <w:szCs w:val="21"/>
        </w:rPr>
      </w:pPr>
    </w:p>
    <w:p>
      <w:pPr>
        <w:pStyle w:val="64"/>
        <w:rPr>
          <w:rFonts w:hint="eastAsia"/>
          <w:sz w:val="21"/>
          <w:szCs w:val="21"/>
        </w:rPr>
      </w:pPr>
    </w:p>
    <w:bookmarkEnd w:id="60"/>
    <w:sectPr>
      <w:headerReference r:id="rId10" w:type="default"/>
      <w:footerReference r:id="rId12" w:type="default"/>
      <w:headerReference r:id="rId11" w:type="even"/>
      <w:footerReference r:id="rId13" w:type="even"/>
      <w:pgSz w:w="11906" w:h="16838"/>
      <w:pgMar w:top="2410" w:right="1134" w:bottom="1134" w:left="1134" w:header="1418" w:footer="1134" w:gutter="284"/>
      <w:pgNumType w:start="1"/>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360"/>
      </w:pPr>
      <w:r>
        <w:separator/>
      </w:r>
    </w:p>
  </w:endnote>
  <w:endnote w:type="continuationSeparator" w:id="1">
    <w:p>
      <w:pPr>
        <w:spacing w:line="240" w:lineRule="auto"/>
        <w:ind w:firstLine="3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楷体">
    <w:altName w:val="方正楷体_GBK"/>
    <w:panose1 w:val="02010609060101010101"/>
    <w:charset w:val="86"/>
    <w:family w:val="modern"/>
    <w:pitch w:val="default"/>
    <w:sig w:usb0="00000000" w:usb1="00000000" w:usb2="00000016" w:usb3="00000000" w:csb0="00040001" w:csb1="00000000"/>
  </w:font>
  <w:font w:name="等线 Light">
    <w:altName w:val="汉仪中宋简"/>
    <w:panose1 w:val="02010600030101010101"/>
    <w:charset w:val="86"/>
    <w:family w:val="auto"/>
    <w:pitch w:val="default"/>
    <w:sig w:usb0="00000000" w:usb1="00000000"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方正粗黑宋简体">
    <w:altName w:val="方正书宋_GBK"/>
    <w:panose1 w:val="02000000000000000000"/>
    <w:charset w:val="86"/>
    <w:family w:val="auto"/>
    <w:pitch w:val="default"/>
    <w:sig w:usb0="00000000" w:usb1="00000000"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等线">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left"/>
      <w:rPr>
        <w:rFonts w:hint="eastAsia"/>
      </w:rPr>
    </w:pPr>
    <w:r>
      <w:fldChar w:fldCharType="begin"/>
    </w:r>
    <w:r>
      <w:instrText xml:space="preserve">PAGE   \* MERGEFORMAT</w:instrText>
    </w:r>
    <w:r>
      <w:fldChar w:fldCharType="separate"/>
    </w:r>
    <w: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rFonts w:hint="eastAsia"/>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pStyle w:val="19"/>
                            <w:rPr>
                              <w:rFonts w:hint="eastAsia"/>
                            </w:rPr>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zql5uc8AAAAFAQAADwAAAAAAAAAB&#10;ACAAAAA4AAAAZHJzL2Rvd25yZXYueG1sUEsBAhQAFAAAAAgAh07iQPyM/vfKAQAAdAMAAA4AAAAA&#10;AAAAAQAgAAAANAEAAGRycy9lMm9Eb2MueG1sUEsFBgAAAAAGAAYAWQEAAHAFAAAAAA==&#10;">
              <v:fill on="f" focussize="0,0"/>
              <v:stroke on="f"/>
              <v:imagedata o:title=""/>
              <o:lock v:ext="edit" aspectratio="f"/>
              <v:textbox inset="0mm,0mm,0mm,0mm" style="mso-fit-shape-to-text:t;">
                <w:txbxContent>
                  <w:p>
                    <w:pPr>
                      <w:pStyle w:val="19"/>
                      <w:rPr>
                        <w:rFonts w:hint="eastAsia"/>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hint="eastAsia"/>
      </w:rPr>
    </w:pPr>
    <w:r>
      <w:fldChar w:fldCharType="begin"/>
    </w:r>
    <w:r>
      <w:instrText xml:space="preserve">PAGE   \* MERGEFORMAT</w:instrText>
    </w:r>
    <w:r>
      <w:fldChar w:fldCharType="separate"/>
    </w:r>
    <w:r>
      <w:t>2</w:t>
    </w:r>
    <w:r>
      <w:fldChar w:fldCharType="end"/>
    </w:r>
  </w:p>
  <w:p>
    <w:pPr>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rPr>
        <w:rFonts w:hint="eastAsia"/>
      </w:rPr>
    </w:pPr>
    <w:r>
      <w:fldChar w:fldCharType="begin"/>
    </w:r>
    <w:r>
      <w:instrText xml:space="preserve">PAGE   \* MERGEFORMAT</w:instrText>
    </w:r>
    <w:r>
      <w:fldChar w:fldCharType="separate"/>
    </w:r>
    <w:r>
      <w:t>2</w:t>
    </w:r>
    <w:r>
      <w:fldChar w:fldCharType="end"/>
    </w:r>
  </w:p>
  <w:p>
    <w:pPr>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360"/>
      </w:pPr>
      <w:r>
        <w:separator/>
      </w:r>
    </w:p>
  </w:footnote>
  <w:footnote w:type="continuationSeparator" w:id="1">
    <w:p>
      <w:pPr>
        <w:spacing w:line="240" w:lineRule="auto"/>
        <w:ind w:firstLine="3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rPr>
        <w:rFonts w:hint="eastAsia"/>
      </w:rPr>
    </w:pPr>
    <w:r>
      <w:t>Q/LB.</w:t>
    </w:r>
    <w:r>
      <w:rPr>
        <w:rFonts w:hint="eastAsia"/>
      </w:rPr>
      <w:t>□</w:t>
    </w:r>
    <w: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9"/>
      <w:rPr>
        <w:rFonts w:hint="eastAsia"/>
      </w:rPr>
    </w:pPr>
    <w:r>
      <w:fldChar w:fldCharType="begin"/>
    </w:r>
    <w:r>
      <w:instrText xml:space="preserve"> STYLEREF  标准文件_文件编号  \* MERGEFORMAT </w:instrText>
    </w:r>
    <w:r>
      <w:fldChar w:fldCharType="separate"/>
    </w:r>
    <w:r>
      <w:t>DB 13/  XXXX—202X</w:t>
    </w:r>
    <w:r>
      <w:fldChar w:fldCharType="end"/>
    </w:r>
  </w:p>
  <w:p>
    <w:pPr>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rPr>
        <w:rFonts w:hint="eastAsia"/>
      </w:rPr>
    </w:pPr>
    <w:r>
      <w:fldChar w:fldCharType="begin"/>
    </w:r>
    <w:r>
      <w:instrText xml:space="preserve"> STYLEREF  标准文件_文件编号  \* MERGEFORMAT </w:instrText>
    </w:r>
    <w:r>
      <w:fldChar w:fldCharType="separate"/>
    </w:r>
    <w:r>
      <w:t>DB 13/  XXXX—202X</w:t>
    </w:r>
    <w:r>
      <w:rPr>
        <w:rFonts w:hint="eastAsia"/>
      </w:rPr>
      <w:fldChar w:fldCharType="end"/>
    </w:r>
  </w:p>
  <w:p>
    <w:pP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4CC162"/>
    <w:multiLevelType w:val="singleLevel"/>
    <w:tmpl w:val="BC4CC162"/>
    <w:lvl w:ilvl="0" w:tentative="0">
      <w:start w:val="1"/>
      <w:numFmt w:val="lowerLetter"/>
      <w:suff w:val="space"/>
      <w:lvlText w:val="%1)"/>
      <w:lvlJc w:val="left"/>
    </w:lvl>
  </w:abstractNum>
  <w:abstractNum w:abstractNumId="1">
    <w:nsid w:val="E34181EE"/>
    <w:multiLevelType w:val="singleLevel"/>
    <w:tmpl w:val="E34181EE"/>
    <w:lvl w:ilvl="0" w:tentative="0">
      <w:start w:val="1"/>
      <w:numFmt w:val="lowerLetter"/>
      <w:suff w:val="space"/>
      <w:lvlText w:val="%1)"/>
      <w:lvlJc w:val="left"/>
    </w:lvl>
  </w:abstractNum>
  <w:abstractNum w:abstractNumId="2">
    <w:nsid w:val="E9A70583"/>
    <w:multiLevelType w:val="singleLevel"/>
    <w:tmpl w:val="E9A70583"/>
    <w:lvl w:ilvl="0" w:tentative="0">
      <w:start w:val="1"/>
      <w:numFmt w:val="lowerLetter"/>
      <w:suff w:val="space"/>
      <w:lvlText w:val="%1)"/>
      <w:lvlJc w:val="left"/>
    </w:lvl>
  </w:abstractNum>
  <w:abstractNum w:abstractNumId="3">
    <w:nsid w:val="F428CCFC"/>
    <w:multiLevelType w:val="singleLevel"/>
    <w:tmpl w:val="F428CCFC"/>
    <w:lvl w:ilvl="0" w:tentative="0">
      <w:start w:val="1"/>
      <w:numFmt w:val="lowerLetter"/>
      <w:suff w:val="space"/>
      <w:lvlText w:val="%1)"/>
      <w:lvlJc w:val="left"/>
    </w:lvl>
  </w:abstractNum>
  <w:abstractNum w:abstractNumId="4">
    <w:nsid w:val="02837933"/>
    <w:multiLevelType w:val="multilevel"/>
    <w:tmpl w:val="02837933"/>
    <w:lvl w:ilvl="0" w:tentative="0">
      <w:start w:val="1"/>
      <w:numFmt w:val="decimal"/>
      <w:pStyle w:val="72"/>
      <w:lvlText w:val="[%1]"/>
      <w:lvlJc w:val="left"/>
      <w:pPr>
        <w:tabs>
          <w:tab w:val="left" w:pos="1646"/>
        </w:tabs>
        <w:ind w:left="1646" w:hanging="648"/>
      </w:pPr>
    </w:lvl>
    <w:lvl w:ilvl="1" w:tentative="0">
      <w:start w:val="1"/>
      <w:numFmt w:val="lowerLetter"/>
      <w:pStyle w:val="256"/>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5">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7"/>
      <w:suff w:val="nothing"/>
      <w:lvlText w:val="%1%2.%3　"/>
      <w:lvlJc w:val="left"/>
      <w:pPr>
        <w:ind w:left="0" w:firstLine="0"/>
      </w:pPr>
    </w:lvl>
    <w:lvl w:ilvl="3" w:tentative="0">
      <w:start w:val="1"/>
      <w:numFmt w:val="decimal"/>
      <w:pStyle w:val="126"/>
      <w:suff w:val="nothing"/>
      <w:lvlText w:val="%1%2.%3.%4　"/>
      <w:lvlJc w:val="left"/>
      <w:pPr>
        <w:ind w:left="0" w:firstLine="0"/>
      </w:pPr>
    </w:lvl>
    <w:lvl w:ilvl="4" w:tentative="0">
      <w:start w:val="1"/>
      <w:numFmt w:val="decimal"/>
      <w:pStyle w:val="161"/>
      <w:suff w:val="nothing"/>
      <w:lvlText w:val="%1%2.%3.%4.%5　"/>
      <w:lvlJc w:val="left"/>
      <w:pPr>
        <w:ind w:left="0" w:firstLine="0"/>
      </w:pPr>
    </w:lvl>
    <w:lvl w:ilvl="5" w:tentative="0">
      <w:start w:val="1"/>
      <w:numFmt w:val="decimal"/>
      <w:pStyle w:val="163"/>
      <w:suff w:val="nothing"/>
      <w:lvlText w:val="%1%2.%3.%4.%5.%6　"/>
      <w:lvlJc w:val="left"/>
      <w:pPr>
        <w:ind w:left="0" w:firstLine="0"/>
      </w:pPr>
    </w:lvl>
    <w:lvl w:ilvl="6" w:tentative="0">
      <w:start w:val="1"/>
      <w:numFmt w:val="decimal"/>
      <w:pStyle w:val="166"/>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6">
    <w:nsid w:val="079102AD"/>
    <w:multiLevelType w:val="multilevel"/>
    <w:tmpl w:val="079102AD"/>
    <w:lvl w:ilvl="0" w:tentative="0">
      <w:start w:val="1"/>
      <w:numFmt w:val="decimal"/>
      <w:pStyle w:val="188"/>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7">
    <w:nsid w:val="07ED3FEA"/>
    <w:multiLevelType w:val="multilevel"/>
    <w:tmpl w:val="07ED3FEA"/>
    <w:lvl w:ilvl="0" w:tentative="0">
      <w:start w:val="1"/>
      <w:numFmt w:val="none"/>
      <w:pStyle w:val="97"/>
      <w:lvlText w:val="%1"/>
      <w:lvlJc w:val="left"/>
      <w:pPr>
        <w:ind w:left="425" w:hanging="425"/>
      </w:pPr>
      <w:rPr>
        <w:rFonts w:hint="eastAsia"/>
      </w:rPr>
    </w:lvl>
    <w:lvl w:ilvl="1" w:tentative="0">
      <w:start w:val="1"/>
      <w:numFmt w:val="decimal"/>
      <w:pStyle w:val="208"/>
      <w:suff w:val="nothing"/>
      <w:lvlText w:val="%10.%2 "/>
      <w:lvlJc w:val="left"/>
      <w:pPr>
        <w:ind w:left="0" w:firstLine="0"/>
      </w:pPr>
      <w:rPr>
        <w:rFonts w:hint="eastAsia" w:ascii="黑体" w:eastAsia="黑体" w:hAnsiTheme="minorHAnsi"/>
        <w:b w:val="0"/>
        <w:i w:val="0"/>
        <w:sz w:val="21"/>
      </w:rPr>
    </w:lvl>
    <w:lvl w:ilvl="2" w:tentative="0">
      <w:start w:val="1"/>
      <w:numFmt w:val="decimal"/>
      <w:pStyle w:val="209"/>
      <w:suff w:val="nothing"/>
      <w:lvlText w:val="%10.%2.%3 "/>
      <w:lvlJc w:val="left"/>
      <w:pPr>
        <w:ind w:left="0" w:firstLine="0"/>
      </w:pPr>
      <w:rPr>
        <w:rFonts w:hint="eastAsia" w:ascii="黑体" w:eastAsia="黑体" w:hAnsiTheme="minorHAnsi"/>
        <w:b w:val="0"/>
        <w:i w:val="0"/>
        <w:sz w:val="21"/>
      </w:rPr>
    </w:lvl>
    <w:lvl w:ilvl="3" w:tentative="0">
      <w:start w:val="1"/>
      <w:numFmt w:val="decimal"/>
      <w:pStyle w:val="210"/>
      <w:suff w:val="nothing"/>
      <w:lvlText w:val="%10.%2.%3.%4 "/>
      <w:lvlJc w:val="left"/>
      <w:pPr>
        <w:ind w:left="0" w:firstLine="0"/>
      </w:pPr>
      <w:rPr>
        <w:rFonts w:hint="eastAsia" w:ascii="黑体" w:eastAsia="黑体" w:hAnsiTheme="minorHAnsi"/>
        <w:b w:val="0"/>
        <w:i w:val="0"/>
        <w:sz w:val="21"/>
      </w:rPr>
    </w:lvl>
    <w:lvl w:ilvl="4" w:tentative="0">
      <w:start w:val="1"/>
      <w:numFmt w:val="decimal"/>
      <w:pStyle w:val="211"/>
      <w:suff w:val="nothing"/>
      <w:lvlText w:val="%10.%2.%3.%4.%5 "/>
      <w:lvlJc w:val="left"/>
      <w:pPr>
        <w:ind w:left="0" w:firstLine="0"/>
      </w:pPr>
      <w:rPr>
        <w:rFonts w:hint="eastAsia" w:ascii="黑体" w:eastAsia="黑体" w:hAnsiTheme="minorHAnsi"/>
        <w:b w:val="0"/>
        <w:i w:val="0"/>
        <w:sz w:val="21"/>
      </w:rPr>
    </w:lvl>
    <w:lvl w:ilvl="5" w:tentative="0">
      <w:start w:val="1"/>
      <w:numFmt w:val="decimal"/>
      <w:pStyle w:val="212"/>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0AE367E9"/>
    <w:multiLevelType w:val="multilevel"/>
    <w:tmpl w:val="0AE367E9"/>
    <w:lvl w:ilvl="0" w:tentative="0">
      <w:start w:val="1"/>
      <w:numFmt w:val="none"/>
      <w:pStyle w:val="189"/>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9">
    <w:nsid w:val="0BDC1670"/>
    <w:multiLevelType w:val="multilevel"/>
    <w:tmpl w:val="0BDC1670"/>
    <w:lvl w:ilvl="0" w:tentative="0">
      <w:start w:val="1"/>
      <w:numFmt w:val="decimal"/>
      <w:pStyle w:val="75"/>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D051F45"/>
    <w:multiLevelType w:val="multilevel"/>
    <w:tmpl w:val="0D051F45"/>
    <w:lvl w:ilvl="0" w:tentative="0">
      <w:start w:val="1"/>
      <w:numFmt w:val="lowerRoman"/>
      <w:pStyle w:val="177"/>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11">
    <w:nsid w:val="11B9E3C0"/>
    <w:multiLevelType w:val="singleLevel"/>
    <w:tmpl w:val="11B9E3C0"/>
    <w:lvl w:ilvl="0" w:tentative="0">
      <w:start w:val="1"/>
      <w:numFmt w:val="lowerLetter"/>
      <w:suff w:val="space"/>
      <w:lvlText w:val="%1)"/>
      <w:lvlJc w:val="left"/>
    </w:lvl>
  </w:abstractNum>
  <w:abstractNum w:abstractNumId="12">
    <w:nsid w:val="19C12CB8"/>
    <w:multiLevelType w:val="multilevel"/>
    <w:tmpl w:val="19C12CB8"/>
    <w:lvl w:ilvl="0" w:tentative="0">
      <w:start w:val="1"/>
      <w:numFmt w:val="decimal"/>
      <w:pStyle w:val="112"/>
      <w:lvlText w:val="%1"/>
      <w:lvlJc w:val="left"/>
      <w:pPr>
        <w:ind w:left="425" w:hanging="425"/>
      </w:pPr>
      <w:rPr>
        <w:rFonts w:hint="default"/>
      </w:r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13">
    <w:nsid w:val="1AD20F90"/>
    <w:multiLevelType w:val="multilevel"/>
    <w:tmpl w:val="1AD20F90"/>
    <w:lvl w:ilvl="0" w:tentative="0">
      <w:start w:val="1"/>
      <w:numFmt w:val="none"/>
      <w:pStyle w:val="118"/>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1AF15012"/>
    <w:multiLevelType w:val="multilevel"/>
    <w:tmpl w:val="1AF15012"/>
    <w:lvl w:ilvl="0" w:tentative="0">
      <w:start w:val="1"/>
      <w:numFmt w:val="upperLetter"/>
      <w:pStyle w:val="93"/>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5">
    <w:nsid w:val="1E3C2409"/>
    <w:multiLevelType w:val="multilevel"/>
    <w:tmpl w:val="1E3C2409"/>
    <w:lvl w:ilvl="0" w:tentative="0">
      <w:start w:val="1"/>
      <w:numFmt w:val="lowerLetter"/>
      <w:lvlText w:val="%1)"/>
      <w:lvlJc w:val="left"/>
      <w:pPr>
        <w:ind w:left="780" w:hanging="360"/>
      </w:pPr>
      <w:rPr>
        <w:rFonts w:hint="default" w:cs="宋体"/>
      </w:rPr>
    </w:lvl>
    <w:lvl w:ilvl="1" w:tentative="0">
      <w:start w:val="1"/>
      <w:numFmt w:val="lowerLetter"/>
      <w:pStyle w:val="245"/>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1EAA1992"/>
    <w:multiLevelType w:val="multilevel"/>
    <w:tmpl w:val="1EAA1992"/>
    <w:lvl w:ilvl="0" w:tentative="0">
      <w:start w:val="1"/>
      <w:numFmt w:val="none"/>
      <w:pStyle w:val="100"/>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7">
    <w:nsid w:val="235C331C"/>
    <w:multiLevelType w:val="singleLevel"/>
    <w:tmpl w:val="235C331C"/>
    <w:lvl w:ilvl="0" w:tentative="0">
      <w:start w:val="1"/>
      <w:numFmt w:val="lowerLetter"/>
      <w:suff w:val="space"/>
      <w:lvlText w:val="%1)"/>
      <w:lvlJc w:val="left"/>
    </w:lvl>
  </w:abstractNum>
  <w:abstractNum w:abstractNumId="18">
    <w:nsid w:val="2C5917C3"/>
    <w:multiLevelType w:val="multilevel"/>
    <w:tmpl w:val="2C5917C3"/>
    <w:lvl w:ilvl="0" w:tentative="0">
      <w:start w:val="1"/>
      <w:numFmt w:val="none"/>
      <w:pStyle w:val="140"/>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5"/>
      <w:lvlText w:val=""/>
      <w:lvlJc w:val="left"/>
      <w:pPr>
        <w:ind w:left="851" w:hanging="431"/>
      </w:pPr>
      <w:rPr>
        <w:rFonts w:hint="default" w:ascii="Symbol" w:hAnsi="Symbol"/>
        <w:sz w:val="21"/>
      </w:rPr>
    </w:lvl>
    <w:lvl w:ilvl="2" w:tentative="0">
      <w:start w:val="1"/>
      <w:numFmt w:val="bullet"/>
      <w:pStyle w:val="180"/>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9">
    <w:nsid w:val="2E32610F"/>
    <w:multiLevelType w:val="multilevel"/>
    <w:tmpl w:val="2E32610F"/>
    <w:lvl w:ilvl="0" w:tentative="0">
      <w:start w:val="1"/>
      <w:numFmt w:val="decimal"/>
      <w:pStyle w:val="251"/>
      <w:lvlText w:val="图%1 "/>
      <w:lvlJc w:val="left"/>
      <w:pPr>
        <w:ind w:left="220" w:hanging="420"/>
      </w:pPr>
      <w:rPr>
        <w:rFonts w:hint="default" w:ascii="Times New Roman" w:hAnsi="Times New Roman" w:eastAsia="黑体"/>
        <w:sz w:val="21"/>
      </w:rPr>
    </w:lvl>
    <w:lvl w:ilvl="1" w:tentative="0">
      <w:start w:val="1"/>
      <w:numFmt w:val="lowerLetter"/>
      <w:lvlText w:val="%2)"/>
      <w:lvlJc w:val="left"/>
      <w:pPr>
        <w:ind w:left="640" w:hanging="420"/>
      </w:pPr>
    </w:lvl>
    <w:lvl w:ilvl="2" w:tentative="0">
      <w:start w:val="1"/>
      <w:numFmt w:val="lowerRoman"/>
      <w:lvlText w:val="%3."/>
      <w:lvlJc w:val="right"/>
      <w:pPr>
        <w:ind w:left="1060" w:hanging="420"/>
      </w:pPr>
    </w:lvl>
    <w:lvl w:ilvl="3" w:tentative="0">
      <w:start w:val="1"/>
      <w:numFmt w:val="decimal"/>
      <w:lvlText w:val="%4."/>
      <w:lvlJc w:val="left"/>
      <w:pPr>
        <w:ind w:left="1480" w:hanging="420"/>
      </w:pPr>
    </w:lvl>
    <w:lvl w:ilvl="4" w:tentative="0">
      <w:start w:val="1"/>
      <w:numFmt w:val="lowerLetter"/>
      <w:lvlText w:val="%5)"/>
      <w:lvlJc w:val="left"/>
      <w:pPr>
        <w:ind w:left="1900" w:hanging="420"/>
      </w:pPr>
    </w:lvl>
    <w:lvl w:ilvl="5" w:tentative="0">
      <w:start w:val="1"/>
      <w:numFmt w:val="lowerRoman"/>
      <w:lvlText w:val="%6."/>
      <w:lvlJc w:val="right"/>
      <w:pPr>
        <w:ind w:left="2320" w:hanging="420"/>
      </w:pPr>
    </w:lvl>
    <w:lvl w:ilvl="6" w:tentative="0">
      <w:start w:val="1"/>
      <w:numFmt w:val="decimal"/>
      <w:lvlText w:val="%7."/>
      <w:lvlJc w:val="left"/>
      <w:pPr>
        <w:ind w:left="2740" w:hanging="420"/>
      </w:pPr>
    </w:lvl>
    <w:lvl w:ilvl="7" w:tentative="0">
      <w:start w:val="1"/>
      <w:numFmt w:val="lowerLetter"/>
      <w:lvlText w:val="%8)"/>
      <w:lvlJc w:val="left"/>
      <w:pPr>
        <w:ind w:left="3160" w:hanging="420"/>
      </w:pPr>
    </w:lvl>
    <w:lvl w:ilvl="8" w:tentative="0">
      <w:start w:val="1"/>
      <w:numFmt w:val="lowerRoman"/>
      <w:lvlText w:val="%9."/>
      <w:lvlJc w:val="right"/>
      <w:pPr>
        <w:ind w:left="3580" w:hanging="420"/>
      </w:pPr>
    </w:lvl>
  </w:abstractNum>
  <w:abstractNum w:abstractNumId="20">
    <w:nsid w:val="2FD97F2A"/>
    <w:multiLevelType w:val="singleLevel"/>
    <w:tmpl w:val="2FD97F2A"/>
    <w:lvl w:ilvl="0" w:tentative="0">
      <w:start w:val="1"/>
      <w:numFmt w:val="lowerLetter"/>
      <w:suff w:val="space"/>
      <w:lvlText w:val="%1)"/>
      <w:lvlJc w:val="left"/>
    </w:lvl>
  </w:abstractNum>
  <w:abstractNum w:abstractNumId="21">
    <w:nsid w:val="32F04FB2"/>
    <w:multiLevelType w:val="multilevel"/>
    <w:tmpl w:val="32F04FB2"/>
    <w:lvl w:ilvl="0" w:tentative="0">
      <w:start w:val="1"/>
      <w:numFmt w:val="lowerLetter"/>
      <w:pStyle w:val="109"/>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2">
    <w:nsid w:val="3D1C17D8"/>
    <w:multiLevelType w:val="multilevel"/>
    <w:tmpl w:val="3D1C17D8"/>
    <w:lvl w:ilvl="0" w:tentative="0">
      <w:start w:val="1"/>
      <w:numFmt w:val="decimal"/>
      <w:pStyle w:val="243"/>
      <w:lvlText w:val="表%1 "/>
      <w:lvlJc w:val="left"/>
      <w:pPr>
        <w:ind w:left="420" w:hanging="420"/>
      </w:pPr>
      <w:rPr>
        <w:rFonts w:hint="default" w:ascii="Times New Roman" w:hAnsi="Times New Roman" w:eastAsia="黑体"/>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3DF787A7"/>
    <w:multiLevelType w:val="singleLevel"/>
    <w:tmpl w:val="3DF787A7"/>
    <w:lvl w:ilvl="0" w:tentative="0">
      <w:start w:val="1"/>
      <w:numFmt w:val="lowerLetter"/>
      <w:suff w:val="space"/>
      <w:lvlText w:val="%1)"/>
      <w:lvlJc w:val="left"/>
    </w:lvl>
  </w:abstractNum>
  <w:abstractNum w:abstractNumId="24">
    <w:nsid w:val="44C50F90"/>
    <w:multiLevelType w:val="multilevel"/>
    <w:tmpl w:val="44C50F90"/>
    <w:lvl w:ilvl="0" w:tentative="0">
      <w:start w:val="1"/>
      <w:numFmt w:val="lowerLetter"/>
      <w:pStyle w:val="182"/>
      <w:lvlText w:val="%1)"/>
      <w:lvlJc w:val="left"/>
      <w:pPr>
        <w:tabs>
          <w:tab w:val="left" w:pos="851"/>
        </w:tabs>
        <w:ind w:left="851" w:hanging="426"/>
      </w:pPr>
      <w:rPr>
        <w:rFonts w:hint="eastAsia" w:ascii="宋体" w:hAnsi="Times New Roman" w:eastAsia="宋体"/>
        <w:sz w:val="21"/>
      </w:rPr>
    </w:lvl>
    <w:lvl w:ilvl="1" w:tentative="0">
      <w:start w:val="1"/>
      <w:numFmt w:val="decimal"/>
      <w:pStyle w:val="117"/>
      <w:lvlText w:val="%2)"/>
      <w:lvlJc w:val="left"/>
      <w:pPr>
        <w:tabs>
          <w:tab w:val="left" w:pos="1276"/>
        </w:tabs>
        <w:ind w:left="1276" w:hanging="425"/>
      </w:pPr>
      <w:rPr>
        <w:rFonts w:hint="eastAsia" w:ascii="宋体" w:hAnsi="Times New Roman" w:eastAsia="宋体"/>
        <w:sz w:val="21"/>
      </w:rPr>
    </w:lvl>
    <w:lvl w:ilvl="2" w:tentative="0">
      <w:start w:val="1"/>
      <w:numFmt w:val="decimal"/>
      <w:pStyle w:val="125"/>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5">
    <w:nsid w:val="48802D1C"/>
    <w:multiLevelType w:val="multilevel"/>
    <w:tmpl w:val="48802D1C"/>
    <w:lvl w:ilvl="0" w:tentative="0">
      <w:start w:val="1"/>
      <w:numFmt w:val="upperLetter"/>
      <w:pStyle w:val="206"/>
      <w:lvlText w:val="%1"/>
      <w:lvlJc w:val="left"/>
      <w:pPr>
        <w:ind w:left="420" w:hanging="420"/>
      </w:pPr>
      <w:rPr>
        <w:rFonts w:hint="eastAsia"/>
      </w:rPr>
    </w:lvl>
    <w:lvl w:ilvl="1" w:tentative="0">
      <w:start w:val="1"/>
      <w:numFmt w:val="decimal"/>
      <w:pStyle w:val="91"/>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6">
    <w:nsid w:val="4B733A5F"/>
    <w:multiLevelType w:val="multilevel"/>
    <w:tmpl w:val="4B733A5F"/>
    <w:lvl w:ilvl="0" w:tentative="0">
      <w:start w:val="1"/>
      <w:numFmt w:val="decimal"/>
      <w:pStyle w:val="191"/>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7">
    <w:nsid w:val="4C349C28"/>
    <w:multiLevelType w:val="multilevel"/>
    <w:tmpl w:val="4C349C28"/>
    <w:lvl w:ilvl="0" w:tentative="0">
      <w:start w:val="1"/>
      <w:numFmt w:val="decimal"/>
      <w:suff w:val="space"/>
      <w:lvlText w:val="%1"/>
      <w:lvlJc w:val="left"/>
      <w:pPr>
        <w:ind w:left="425" w:hanging="425"/>
      </w:pPr>
      <w:rPr>
        <w:rFonts w:hint="default"/>
      </w:rPr>
    </w:lvl>
    <w:lvl w:ilvl="1" w:tentative="0">
      <w:start w:val="1"/>
      <w:numFmt w:val="decimal"/>
      <w:suff w:val="space"/>
      <w:lvlText w:val="%1.%2"/>
      <w:lvlJc w:val="left"/>
      <w:pPr>
        <w:ind w:left="567" w:hanging="567"/>
      </w:pPr>
      <w:rPr>
        <w:rFonts w:hint="default"/>
      </w:rPr>
    </w:lvl>
    <w:lvl w:ilvl="2" w:tentative="0">
      <w:start w:val="1"/>
      <w:numFmt w:val="decimal"/>
      <w:suff w:val="space"/>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8">
    <w:nsid w:val="4D6C5F56"/>
    <w:multiLevelType w:val="multilevel"/>
    <w:tmpl w:val="4D6C5F56"/>
    <w:lvl w:ilvl="0" w:tentative="0">
      <w:start w:val="1"/>
      <w:numFmt w:val="decimal"/>
      <w:lvlText w:val="%1"/>
      <w:lvlJc w:val="left"/>
      <w:pPr>
        <w:ind w:left="425" w:hanging="425"/>
      </w:pPr>
      <w:rPr>
        <w:rFonts w:hint="eastAsia"/>
      </w:rPr>
    </w:lvl>
    <w:lvl w:ilvl="1" w:tentative="0">
      <w:start w:val="1"/>
      <w:numFmt w:val="none"/>
      <w:pStyle w:val="246"/>
      <w:lvlText w:val="7.2.1"/>
      <w:lvlJc w:val="left"/>
      <w:pPr>
        <w:ind w:left="0" w:firstLine="284"/>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9">
    <w:nsid w:val="4E5D0534"/>
    <w:multiLevelType w:val="multilevel"/>
    <w:tmpl w:val="4E5D0534"/>
    <w:lvl w:ilvl="0" w:tentative="0">
      <w:start w:val="1"/>
      <w:numFmt w:val="decimal"/>
      <w:pStyle w:val="124"/>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54632751"/>
    <w:multiLevelType w:val="multilevel"/>
    <w:tmpl w:val="54632751"/>
    <w:lvl w:ilvl="0" w:tentative="0">
      <w:start w:val="1"/>
      <w:numFmt w:val="none"/>
      <w:pStyle w:val="101"/>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31">
    <w:nsid w:val="557C2AF5"/>
    <w:multiLevelType w:val="multilevel"/>
    <w:tmpl w:val="557C2AF5"/>
    <w:lvl w:ilvl="0" w:tentative="0">
      <w:start w:val="1"/>
      <w:numFmt w:val="decimal"/>
      <w:pStyle w:val="122"/>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2">
    <w:nsid w:val="5603797C"/>
    <w:multiLevelType w:val="multilevel"/>
    <w:tmpl w:val="5603797C"/>
    <w:lvl w:ilvl="0" w:tentative="0">
      <w:start w:val="1"/>
      <w:numFmt w:val="upperLetter"/>
      <w:pStyle w:val="207"/>
      <w:suff w:val="space"/>
      <w:lvlText w:val="%1"/>
      <w:lvlJc w:val="left"/>
      <w:pPr>
        <w:ind w:left="425" w:hanging="425"/>
      </w:pPr>
      <w:rPr>
        <w:rFonts w:hint="eastAsia"/>
      </w:rPr>
    </w:lvl>
    <w:lvl w:ilvl="1" w:tentative="0">
      <w:start w:val="1"/>
      <w:numFmt w:val="decimal"/>
      <w:pStyle w:val="85"/>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3">
    <w:nsid w:val="564D2089"/>
    <w:multiLevelType w:val="multilevel"/>
    <w:tmpl w:val="564D2089"/>
    <w:lvl w:ilvl="0" w:tentative="0">
      <w:start w:val="1"/>
      <w:numFmt w:val="none"/>
      <w:pStyle w:val="119"/>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4">
    <w:nsid w:val="591079F2"/>
    <w:multiLevelType w:val="multilevel"/>
    <w:tmpl w:val="591079F2"/>
    <w:lvl w:ilvl="0" w:tentative="0">
      <w:start w:val="1"/>
      <w:numFmt w:val="decimal"/>
      <w:pStyle w:val="289"/>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5CF7BDF2"/>
    <w:multiLevelType w:val="singleLevel"/>
    <w:tmpl w:val="5CF7BDF2"/>
    <w:lvl w:ilvl="0" w:tentative="0">
      <w:start w:val="1"/>
      <w:numFmt w:val="lowerLetter"/>
      <w:suff w:val="space"/>
      <w:lvlText w:val="%1)"/>
      <w:lvlJc w:val="left"/>
    </w:lvl>
  </w:abstractNum>
  <w:abstractNum w:abstractNumId="36">
    <w:nsid w:val="644622F9"/>
    <w:multiLevelType w:val="multilevel"/>
    <w:tmpl w:val="644622F9"/>
    <w:lvl w:ilvl="0" w:tentative="0">
      <w:start w:val="1"/>
      <w:numFmt w:val="upperRoman"/>
      <w:pStyle w:val="176"/>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37">
    <w:nsid w:val="646260FA"/>
    <w:multiLevelType w:val="multilevel"/>
    <w:tmpl w:val="646260FA"/>
    <w:lvl w:ilvl="0" w:tentative="0">
      <w:start w:val="1"/>
      <w:numFmt w:val="decimal"/>
      <w:pStyle w:val="120"/>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8">
    <w:nsid w:val="654A26C9"/>
    <w:multiLevelType w:val="multilevel"/>
    <w:tmpl w:val="654A26C9"/>
    <w:lvl w:ilvl="0" w:tentative="0">
      <w:start w:val="1"/>
      <w:numFmt w:val="none"/>
      <w:pStyle w:val="197"/>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39">
    <w:nsid w:val="657D3FBC"/>
    <w:multiLevelType w:val="multilevel"/>
    <w:tmpl w:val="657D3FBC"/>
    <w:lvl w:ilvl="0" w:tentative="0">
      <w:start w:val="1"/>
      <w:numFmt w:val="upperLetter"/>
      <w:pStyle w:val="84"/>
      <w:suff w:val="nothing"/>
      <w:lvlText w:val="附录%1"/>
      <w:lvlJc w:val="left"/>
      <w:pPr>
        <w:ind w:left="0" w:firstLine="0"/>
      </w:pPr>
      <w:rPr>
        <w:rFonts w:hint="eastAsia"/>
        <w:spacing w:val="100"/>
      </w:rPr>
    </w:lvl>
    <w:lvl w:ilvl="1" w:tentative="0">
      <w:start w:val="1"/>
      <w:numFmt w:val="decimal"/>
      <w:pStyle w:val="86"/>
      <w:suff w:val="nothing"/>
      <w:lvlText w:val="%1.%2　"/>
      <w:lvlJc w:val="left"/>
      <w:pPr>
        <w:ind w:left="0" w:firstLine="0"/>
      </w:pPr>
      <w:rPr>
        <w:rFonts w:hint="eastAsia" w:ascii="黑体" w:eastAsia="黑体"/>
        <w:b w:val="0"/>
        <w:i w:val="0"/>
        <w:sz w:val="21"/>
      </w:rPr>
    </w:lvl>
    <w:lvl w:ilvl="2" w:tentative="0">
      <w:start w:val="1"/>
      <w:numFmt w:val="decimal"/>
      <w:pStyle w:val="87"/>
      <w:suff w:val="nothing"/>
      <w:lvlText w:val="%1.%2.%3　"/>
      <w:lvlJc w:val="left"/>
      <w:pPr>
        <w:ind w:left="0" w:firstLine="0"/>
      </w:pPr>
      <w:rPr>
        <w:rFonts w:hint="eastAsia" w:ascii="黑体" w:eastAsia="黑体"/>
        <w:b w:val="0"/>
        <w:i w:val="0"/>
        <w:sz w:val="21"/>
      </w:rPr>
    </w:lvl>
    <w:lvl w:ilvl="3" w:tentative="0">
      <w:start w:val="1"/>
      <w:numFmt w:val="decimal"/>
      <w:pStyle w:val="89"/>
      <w:suff w:val="nothing"/>
      <w:lvlText w:val="%1.%2.%3.%4　"/>
      <w:lvlJc w:val="left"/>
      <w:pPr>
        <w:ind w:left="0" w:firstLine="0"/>
      </w:pPr>
      <w:rPr>
        <w:rFonts w:hint="eastAsia" w:ascii="黑体" w:eastAsia="黑体"/>
        <w:b w:val="0"/>
        <w:i w:val="0"/>
        <w:sz w:val="21"/>
      </w:rPr>
    </w:lvl>
    <w:lvl w:ilvl="4" w:tentative="0">
      <w:start w:val="1"/>
      <w:numFmt w:val="decimal"/>
      <w:pStyle w:val="90"/>
      <w:suff w:val="nothing"/>
      <w:lvlText w:val="%1.%2.%3.%4.%5　"/>
      <w:lvlJc w:val="left"/>
      <w:pPr>
        <w:ind w:left="0" w:firstLine="0"/>
      </w:pPr>
      <w:rPr>
        <w:rFonts w:hint="eastAsia" w:ascii="黑体" w:eastAsia="黑体"/>
        <w:b w:val="0"/>
        <w:i w:val="0"/>
        <w:sz w:val="21"/>
      </w:rPr>
    </w:lvl>
    <w:lvl w:ilvl="5" w:tentative="0">
      <w:start w:val="1"/>
      <w:numFmt w:val="decimal"/>
      <w:pStyle w:val="92"/>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0">
    <w:nsid w:val="69506ABF"/>
    <w:multiLevelType w:val="multilevel"/>
    <w:tmpl w:val="69506ABF"/>
    <w:lvl w:ilvl="0" w:tentative="0">
      <w:start w:val="1"/>
      <w:numFmt w:val="bullet"/>
      <w:pStyle w:val="196"/>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41">
    <w:nsid w:val="6CA41985"/>
    <w:multiLevelType w:val="multilevel"/>
    <w:tmpl w:val="6CA41985"/>
    <w:lvl w:ilvl="0" w:tentative="0">
      <w:start w:val="1"/>
      <w:numFmt w:val="decimal"/>
      <w:pStyle w:val="105"/>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2">
    <w:nsid w:val="6CE42AC1"/>
    <w:multiLevelType w:val="multilevel"/>
    <w:tmpl w:val="6CE42AC1"/>
    <w:lvl w:ilvl="0" w:tentative="0">
      <w:start w:val="1"/>
      <w:numFmt w:val="lowerLetter"/>
      <w:pStyle w:val="181"/>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6DBF04F4"/>
    <w:multiLevelType w:val="multilevel"/>
    <w:tmpl w:val="6DBF04F4"/>
    <w:lvl w:ilvl="0" w:tentative="0">
      <w:start w:val="1"/>
      <w:numFmt w:val="none"/>
      <w:pStyle w:val="187"/>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44">
    <w:nsid w:val="6DF35F19"/>
    <w:multiLevelType w:val="multilevel"/>
    <w:tmpl w:val="6DF35F19"/>
    <w:lvl w:ilvl="0" w:tentative="0">
      <w:start w:val="1"/>
      <w:numFmt w:val="decimal"/>
      <w:pStyle w:val="123"/>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45">
    <w:nsid w:val="6F604E34"/>
    <w:multiLevelType w:val="singleLevel"/>
    <w:tmpl w:val="6F604E34"/>
    <w:lvl w:ilvl="0" w:tentative="0">
      <w:start w:val="1"/>
      <w:numFmt w:val="lowerLetter"/>
      <w:suff w:val="space"/>
      <w:lvlText w:val="%1)"/>
      <w:lvlJc w:val="left"/>
    </w:lvl>
  </w:abstractNum>
  <w:abstractNum w:abstractNumId="46">
    <w:nsid w:val="76933334"/>
    <w:multiLevelType w:val="multilevel"/>
    <w:tmpl w:val="76933334"/>
    <w:lvl w:ilvl="0" w:tentative="0">
      <w:start w:val="1"/>
      <w:numFmt w:val="none"/>
      <w:pStyle w:val="147"/>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9"/>
  </w:num>
  <w:num w:numId="3">
    <w:abstractNumId w:val="39"/>
  </w:num>
  <w:num w:numId="4">
    <w:abstractNumId w:val="32"/>
  </w:num>
  <w:num w:numId="5">
    <w:abstractNumId w:val="25"/>
  </w:num>
  <w:num w:numId="6">
    <w:abstractNumId w:val="14"/>
  </w:num>
  <w:num w:numId="7">
    <w:abstractNumId w:val="7"/>
  </w:num>
  <w:num w:numId="8">
    <w:abstractNumId w:val="16"/>
  </w:num>
  <w:num w:numId="9">
    <w:abstractNumId w:val="30"/>
  </w:num>
  <w:num w:numId="10">
    <w:abstractNumId w:val="41"/>
  </w:num>
  <w:num w:numId="11">
    <w:abstractNumId w:val="21"/>
  </w:num>
  <w:num w:numId="12">
    <w:abstractNumId w:val="12"/>
  </w:num>
  <w:num w:numId="13">
    <w:abstractNumId w:val="24"/>
  </w:num>
  <w:num w:numId="14">
    <w:abstractNumId w:val="13"/>
  </w:num>
  <w:num w:numId="15">
    <w:abstractNumId w:val="33"/>
  </w:num>
  <w:num w:numId="16">
    <w:abstractNumId w:val="37"/>
  </w:num>
  <w:num w:numId="17">
    <w:abstractNumId w:val="31"/>
  </w:num>
  <w:num w:numId="18">
    <w:abstractNumId w:val="44"/>
  </w:num>
  <w:num w:numId="19">
    <w:abstractNumId w:val="29"/>
  </w:num>
  <w:num w:numId="20">
    <w:abstractNumId w:val="5"/>
  </w:num>
  <w:num w:numId="21">
    <w:abstractNumId w:val="18"/>
  </w:num>
  <w:num w:numId="22">
    <w:abstractNumId w:val="46"/>
  </w:num>
  <w:num w:numId="23">
    <w:abstractNumId w:val="36"/>
  </w:num>
  <w:num w:numId="24">
    <w:abstractNumId w:val="10"/>
  </w:num>
  <w:num w:numId="25">
    <w:abstractNumId w:val="42"/>
  </w:num>
  <w:num w:numId="26">
    <w:abstractNumId w:val="43"/>
  </w:num>
  <w:num w:numId="27">
    <w:abstractNumId w:val="6"/>
  </w:num>
  <w:num w:numId="28">
    <w:abstractNumId w:val="8"/>
  </w:num>
  <w:num w:numId="29">
    <w:abstractNumId w:val="26"/>
  </w:num>
  <w:num w:numId="30">
    <w:abstractNumId w:val="40"/>
  </w:num>
  <w:num w:numId="31">
    <w:abstractNumId w:val="38"/>
  </w:num>
  <w:num w:numId="32">
    <w:abstractNumId w:val="22"/>
  </w:num>
  <w:num w:numId="33">
    <w:abstractNumId w:val="15"/>
  </w:num>
  <w:num w:numId="34">
    <w:abstractNumId w:val="28"/>
  </w:num>
  <w:num w:numId="35">
    <w:abstractNumId w:val="19"/>
  </w:num>
  <w:num w:numId="36">
    <w:abstractNumId w:val="34"/>
  </w:num>
  <w:num w:numId="37">
    <w:abstractNumId w:val="27"/>
  </w:num>
  <w:num w:numId="38">
    <w:abstractNumId w:val="0"/>
  </w:num>
  <w:num w:numId="39">
    <w:abstractNumId w:val="20"/>
  </w:num>
  <w:num w:numId="40">
    <w:abstractNumId w:val="11"/>
  </w:num>
  <w:num w:numId="41">
    <w:abstractNumId w:val="2"/>
  </w:num>
  <w:num w:numId="42">
    <w:abstractNumId w:val="17"/>
  </w:num>
  <w:num w:numId="43">
    <w:abstractNumId w:val="1"/>
  </w:num>
  <w:num w:numId="44">
    <w:abstractNumId w:val="45"/>
  </w:num>
  <w:num w:numId="45">
    <w:abstractNumId w:val="35"/>
  </w:num>
  <w:num w:numId="46">
    <w:abstractNumId w:val="3"/>
  </w:num>
  <w:num w:numId="4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true"/>
  <w:bordersDoNotSurroundHeader w:val="false"/>
  <w:bordersDoNotSurroundFooter w:val="false"/>
  <w:attachedTemplate r:id="rId1"/>
  <w:documentProtection w:edit="forms" w:enforcement="0"/>
  <w:defaultTabStop w:val="0"/>
  <w:evenAndOddHeaders w:val="true"/>
  <w:drawingGridHorizontalSpacing w:val="105"/>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ZiMThjMWJhNmNkMTA2ZmE3YjdmMTZiMDY5NzQxZmQifQ=="/>
  </w:docVars>
  <w:rsids>
    <w:rsidRoot w:val="000615F7"/>
    <w:rsid w:val="0000040A"/>
    <w:rsid w:val="00000A94"/>
    <w:rsid w:val="000018B8"/>
    <w:rsid w:val="00001972"/>
    <w:rsid w:val="00001D9A"/>
    <w:rsid w:val="00001DC1"/>
    <w:rsid w:val="000044D7"/>
    <w:rsid w:val="00005280"/>
    <w:rsid w:val="00007B3A"/>
    <w:rsid w:val="000107E0"/>
    <w:rsid w:val="00011FDE"/>
    <w:rsid w:val="00012FFD"/>
    <w:rsid w:val="00013DFF"/>
    <w:rsid w:val="00014162"/>
    <w:rsid w:val="00014340"/>
    <w:rsid w:val="00014984"/>
    <w:rsid w:val="00014CF3"/>
    <w:rsid w:val="000150CF"/>
    <w:rsid w:val="000166FB"/>
    <w:rsid w:val="00016A9C"/>
    <w:rsid w:val="000203A8"/>
    <w:rsid w:val="00022184"/>
    <w:rsid w:val="00022762"/>
    <w:rsid w:val="000238E0"/>
    <w:rsid w:val="000249DB"/>
    <w:rsid w:val="0002595E"/>
    <w:rsid w:val="00027A5C"/>
    <w:rsid w:val="000303C3"/>
    <w:rsid w:val="000304E3"/>
    <w:rsid w:val="00031E27"/>
    <w:rsid w:val="00032909"/>
    <w:rsid w:val="000331D3"/>
    <w:rsid w:val="00033F39"/>
    <w:rsid w:val="000346A5"/>
    <w:rsid w:val="000359C3"/>
    <w:rsid w:val="00035A7D"/>
    <w:rsid w:val="00036380"/>
    <w:rsid w:val="000365ED"/>
    <w:rsid w:val="000375ED"/>
    <w:rsid w:val="00037C03"/>
    <w:rsid w:val="0004169D"/>
    <w:rsid w:val="000419ED"/>
    <w:rsid w:val="00041DDD"/>
    <w:rsid w:val="0004249A"/>
    <w:rsid w:val="00043282"/>
    <w:rsid w:val="00044286"/>
    <w:rsid w:val="000453CA"/>
    <w:rsid w:val="00045633"/>
    <w:rsid w:val="00046227"/>
    <w:rsid w:val="000470E3"/>
    <w:rsid w:val="00047F28"/>
    <w:rsid w:val="000503AA"/>
    <w:rsid w:val="000506A1"/>
    <w:rsid w:val="000515DD"/>
    <w:rsid w:val="0005265A"/>
    <w:rsid w:val="000532F4"/>
    <w:rsid w:val="000539DD"/>
    <w:rsid w:val="00053BD3"/>
    <w:rsid w:val="000556ED"/>
    <w:rsid w:val="00055FE2"/>
    <w:rsid w:val="0005616F"/>
    <w:rsid w:val="0005734F"/>
    <w:rsid w:val="00060B65"/>
    <w:rsid w:val="00060C2E"/>
    <w:rsid w:val="00060E31"/>
    <w:rsid w:val="00061033"/>
    <w:rsid w:val="000615F7"/>
    <w:rsid w:val="0006167F"/>
    <w:rsid w:val="000619E9"/>
    <w:rsid w:val="000622D4"/>
    <w:rsid w:val="00062C54"/>
    <w:rsid w:val="00062F8E"/>
    <w:rsid w:val="0006357D"/>
    <w:rsid w:val="000645BB"/>
    <w:rsid w:val="000669D5"/>
    <w:rsid w:val="00067F1E"/>
    <w:rsid w:val="00070514"/>
    <w:rsid w:val="00071CC0"/>
    <w:rsid w:val="00071CFC"/>
    <w:rsid w:val="00072C55"/>
    <w:rsid w:val="00073C8C"/>
    <w:rsid w:val="00073D9B"/>
    <w:rsid w:val="00074B39"/>
    <w:rsid w:val="00075036"/>
    <w:rsid w:val="00075769"/>
    <w:rsid w:val="00077B64"/>
    <w:rsid w:val="00077FB6"/>
    <w:rsid w:val="00080A1C"/>
    <w:rsid w:val="00082317"/>
    <w:rsid w:val="00082E52"/>
    <w:rsid w:val="00083D2C"/>
    <w:rsid w:val="0008564F"/>
    <w:rsid w:val="0008681B"/>
    <w:rsid w:val="00086AA1"/>
    <w:rsid w:val="00087A77"/>
    <w:rsid w:val="00090522"/>
    <w:rsid w:val="00090CA6"/>
    <w:rsid w:val="00092B8A"/>
    <w:rsid w:val="00092CE2"/>
    <w:rsid w:val="00092FB0"/>
    <w:rsid w:val="000934C5"/>
    <w:rsid w:val="00093D25"/>
    <w:rsid w:val="00093DAB"/>
    <w:rsid w:val="00094D73"/>
    <w:rsid w:val="0009500E"/>
    <w:rsid w:val="00095C77"/>
    <w:rsid w:val="00096869"/>
    <w:rsid w:val="00096D63"/>
    <w:rsid w:val="00097DBB"/>
    <w:rsid w:val="000A0B60"/>
    <w:rsid w:val="000A0EB8"/>
    <w:rsid w:val="000A19FC"/>
    <w:rsid w:val="000A296B"/>
    <w:rsid w:val="000A7311"/>
    <w:rsid w:val="000A7BB2"/>
    <w:rsid w:val="000B060F"/>
    <w:rsid w:val="000B1592"/>
    <w:rsid w:val="000B1E30"/>
    <w:rsid w:val="000B1FF2"/>
    <w:rsid w:val="000B3CDA"/>
    <w:rsid w:val="000B6A0B"/>
    <w:rsid w:val="000B6B34"/>
    <w:rsid w:val="000B7DAB"/>
    <w:rsid w:val="000C0F6C"/>
    <w:rsid w:val="000C11C0"/>
    <w:rsid w:val="000C11DB"/>
    <w:rsid w:val="000C1492"/>
    <w:rsid w:val="000C2FBD"/>
    <w:rsid w:val="000C330D"/>
    <w:rsid w:val="000C3626"/>
    <w:rsid w:val="000C3629"/>
    <w:rsid w:val="000C4B41"/>
    <w:rsid w:val="000C57D6"/>
    <w:rsid w:val="000C6362"/>
    <w:rsid w:val="000C7666"/>
    <w:rsid w:val="000D05AA"/>
    <w:rsid w:val="000D0A9C"/>
    <w:rsid w:val="000D1795"/>
    <w:rsid w:val="000D197C"/>
    <w:rsid w:val="000D329A"/>
    <w:rsid w:val="000D4B9C"/>
    <w:rsid w:val="000D4D41"/>
    <w:rsid w:val="000D4EB6"/>
    <w:rsid w:val="000D4FF6"/>
    <w:rsid w:val="000D6A50"/>
    <w:rsid w:val="000D753B"/>
    <w:rsid w:val="000E0C00"/>
    <w:rsid w:val="000E4C9E"/>
    <w:rsid w:val="000E60D9"/>
    <w:rsid w:val="000E6FD7"/>
    <w:rsid w:val="000F06E1"/>
    <w:rsid w:val="000F0E3C"/>
    <w:rsid w:val="000F109D"/>
    <w:rsid w:val="000F12DA"/>
    <w:rsid w:val="000F19D5"/>
    <w:rsid w:val="000F1AB5"/>
    <w:rsid w:val="000F37FF"/>
    <w:rsid w:val="000F4050"/>
    <w:rsid w:val="000F4AEA"/>
    <w:rsid w:val="000F67E9"/>
    <w:rsid w:val="001008B6"/>
    <w:rsid w:val="00102649"/>
    <w:rsid w:val="00102A79"/>
    <w:rsid w:val="00102E93"/>
    <w:rsid w:val="001032C7"/>
    <w:rsid w:val="00103BFD"/>
    <w:rsid w:val="00104926"/>
    <w:rsid w:val="00104BDC"/>
    <w:rsid w:val="00105D51"/>
    <w:rsid w:val="001105C2"/>
    <w:rsid w:val="001106D4"/>
    <w:rsid w:val="001108E0"/>
    <w:rsid w:val="00111B2D"/>
    <w:rsid w:val="00112D49"/>
    <w:rsid w:val="001133AB"/>
    <w:rsid w:val="001136E1"/>
    <w:rsid w:val="00113B1E"/>
    <w:rsid w:val="001140B5"/>
    <w:rsid w:val="0011612C"/>
    <w:rsid w:val="0011711C"/>
    <w:rsid w:val="00117721"/>
    <w:rsid w:val="001215DC"/>
    <w:rsid w:val="001236B2"/>
    <w:rsid w:val="00124D26"/>
    <w:rsid w:val="00124E4F"/>
    <w:rsid w:val="001260B7"/>
    <w:rsid w:val="00126143"/>
    <w:rsid w:val="001265CB"/>
    <w:rsid w:val="00126855"/>
    <w:rsid w:val="0012714F"/>
    <w:rsid w:val="0013062E"/>
    <w:rsid w:val="001321C6"/>
    <w:rsid w:val="001325C4"/>
    <w:rsid w:val="00133010"/>
    <w:rsid w:val="0013332E"/>
    <w:rsid w:val="001338EE"/>
    <w:rsid w:val="00133AAE"/>
    <w:rsid w:val="00135323"/>
    <w:rsid w:val="001356C4"/>
    <w:rsid w:val="00136949"/>
    <w:rsid w:val="0013743D"/>
    <w:rsid w:val="00137565"/>
    <w:rsid w:val="0014056B"/>
    <w:rsid w:val="00140922"/>
    <w:rsid w:val="00141114"/>
    <w:rsid w:val="001416D5"/>
    <w:rsid w:val="001424F0"/>
    <w:rsid w:val="00142969"/>
    <w:rsid w:val="00143035"/>
    <w:rsid w:val="00143E37"/>
    <w:rsid w:val="001446C2"/>
    <w:rsid w:val="00144BE1"/>
    <w:rsid w:val="001457E7"/>
    <w:rsid w:val="00145D9D"/>
    <w:rsid w:val="001461BC"/>
    <w:rsid w:val="00146388"/>
    <w:rsid w:val="0014650A"/>
    <w:rsid w:val="00146852"/>
    <w:rsid w:val="001472D8"/>
    <w:rsid w:val="00150556"/>
    <w:rsid w:val="001529E5"/>
    <w:rsid w:val="00152FB3"/>
    <w:rsid w:val="001536E0"/>
    <w:rsid w:val="00153C7E"/>
    <w:rsid w:val="00156B25"/>
    <w:rsid w:val="00156E1A"/>
    <w:rsid w:val="00157595"/>
    <w:rsid w:val="00157894"/>
    <w:rsid w:val="00157B55"/>
    <w:rsid w:val="00160AFE"/>
    <w:rsid w:val="00160CFE"/>
    <w:rsid w:val="001642FA"/>
    <w:rsid w:val="001649EB"/>
    <w:rsid w:val="00164BAF"/>
    <w:rsid w:val="00164FA8"/>
    <w:rsid w:val="00165065"/>
    <w:rsid w:val="00165434"/>
    <w:rsid w:val="0016580B"/>
    <w:rsid w:val="00165F49"/>
    <w:rsid w:val="00166B88"/>
    <w:rsid w:val="0016770A"/>
    <w:rsid w:val="00170327"/>
    <w:rsid w:val="00170804"/>
    <w:rsid w:val="001708E9"/>
    <w:rsid w:val="0017340B"/>
    <w:rsid w:val="00173FB1"/>
    <w:rsid w:val="00176B90"/>
    <w:rsid w:val="00176DFD"/>
    <w:rsid w:val="001818BA"/>
    <w:rsid w:val="00182277"/>
    <w:rsid w:val="001852C9"/>
    <w:rsid w:val="00187A0B"/>
    <w:rsid w:val="00187A33"/>
    <w:rsid w:val="00190087"/>
    <w:rsid w:val="001913C4"/>
    <w:rsid w:val="0019348F"/>
    <w:rsid w:val="00193A07"/>
    <w:rsid w:val="00194C95"/>
    <w:rsid w:val="00195C34"/>
    <w:rsid w:val="001966ED"/>
    <w:rsid w:val="00196C6A"/>
    <w:rsid w:val="00196EF5"/>
    <w:rsid w:val="001A1A53"/>
    <w:rsid w:val="001A20E9"/>
    <w:rsid w:val="001A234A"/>
    <w:rsid w:val="001A3343"/>
    <w:rsid w:val="001A4CF3"/>
    <w:rsid w:val="001A6696"/>
    <w:rsid w:val="001A7DE4"/>
    <w:rsid w:val="001B010C"/>
    <w:rsid w:val="001B01EA"/>
    <w:rsid w:val="001B06E8"/>
    <w:rsid w:val="001B1CAB"/>
    <w:rsid w:val="001B3C80"/>
    <w:rsid w:val="001B4430"/>
    <w:rsid w:val="001B4C4D"/>
    <w:rsid w:val="001B5E03"/>
    <w:rsid w:val="001B71D0"/>
    <w:rsid w:val="001B71EE"/>
    <w:rsid w:val="001B79C3"/>
    <w:rsid w:val="001B7E58"/>
    <w:rsid w:val="001C04A8"/>
    <w:rsid w:val="001C0C46"/>
    <w:rsid w:val="001C24FA"/>
    <w:rsid w:val="001C2C03"/>
    <w:rsid w:val="001C42F7"/>
    <w:rsid w:val="001C49E5"/>
    <w:rsid w:val="001C50CB"/>
    <w:rsid w:val="001C680C"/>
    <w:rsid w:val="001C7FEA"/>
    <w:rsid w:val="001D0499"/>
    <w:rsid w:val="001D0BBE"/>
    <w:rsid w:val="001D0ED4"/>
    <w:rsid w:val="001D212F"/>
    <w:rsid w:val="001D29D7"/>
    <w:rsid w:val="001D2DE7"/>
    <w:rsid w:val="001D3216"/>
    <w:rsid w:val="001D352B"/>
    <w:rsid w:val="001D40B3"/>
    <w:rsid w:val="001D411C"/>
    <w:rsid w:val="001E1B6A"/>
    <w:rsid w:val="001E2484"/>
    <w:rsid w:val="001E2E13"/>
    <w:rsid w:val="001E3CC4"/>
    <w:rsid w:val="001E4882"/>
    <w:rsid w:val="001E5D2F"/>
    <w:rsid w:val="001E6806"/>
    <w:rsid w:val="001E73AB"/>
    <w:rsid w:val="001F092D"/>
    <w:rsid w:val="001F143A"/>
    <w:rsid w:val="001F1605"/>
    <w:rsid w:val="001F182C"/>
    <w:rsid w:val="001F1C1A"/>
    <w:rsid w:val="001F21A0"/>
    <w:rsid w:val="001F2508"/>
    <w:rsid w:val="001F4509"/>
    <w:rsid w:val="001F4816"/>
    <w:rsid w:val="001F69B4"/>
    <w:rsid w:val="001F77C7"/>
    <w:rsid w:val="00200183"/>
    <w:rsid w:val="00200333"/>
    <w:rsid w:val="00200AF2"/>
    <w:rsid w:val="00201006"/>
    <w:rsid w:val="0020107D"/>
    <w:rsid w:val="0020289C"/>
    <w:rsid w:val="00202AA4"/>
    <w:rsid w:val="00203190"/>
    <w:rsid w:val="002031F7"/>
    <w:rsid w:val="002040E6"/>
    <w:rsid w:val="0020527B"/>
    <w:rsid w:val="002058D8"/>
    <w:rsid w:val="00205F2C"/>
    <w:rsid w:val="00206A5B"/>
    <w:rsid w:val="00207CE0"/>
    <w:rsid w:val="00210B15"/>
    <w:rsid w:val="00210E9C"/>
    <w:rsid w:val="0021271A"/>
    <w:rsid w:val="00212B7B"/>
    <w:rsid w:val="002142EA"/>
    <w:rsid w:val="00215ADD"/>
    <w:rsid w:val="002204BB"/>
    <w:rsid w:val="00221B79"/>
    <w:rsid w:val="00221C6B"/>
    <w:rsid w:val="00222EED"/>
    <w:rsid w:val="002253A1"/>
    <w:rsid w:val="00225CF8"/>
    <w:rsid w:val="00227643"/>
    <w:rsid w:val="0022794E"/>
    <w:rsid w:val="00230FA6"/>
    <w:rsid w:val="00231697"/>
    <w:rsid w:val="00231A66"/>
    <w:rsid w:val="002331ED"/>
    <w:rsid w:val="002335CE"/>
    <w:rsid w:val="002337E8"/>
    <w:rsid w:val="00233D64"/>
    <w:rsid w:val="002340F9"/>
    <w:rsid w:val="00234437"/>
    <w:rsid w:val="0023482A"/>
    <w:rsid w:val="002359CB"/>
    <w:rsid w:val="002364FA"/>
    <w:rsid w:val="00243540"/>
    <w:rsid w:val="0024487B"/>
    <w:rsid w:val="0024497B"/>
    <w:rsid w:val="0024515B"/>
    <w:rsid w:val="00246021"/>
    <w:rsid w:val="0024666E"/>
    <w:rsid w:val="00247F52"/>
    <w:rsid w:val="002505E4"/>
    <w:rsid w:val="00250B25"/>
    <w:rsid w:val="00250BBE"/>
    <w:rsid w:val="002515C2"/>
    <w:rsid w:val="0025194F"/>
    <w:rsid w:val="00252B72"/>
    <w:rsid w:val="00252FA1"/>
    <w:rsid w:val="00253F8C"/>
    <w:rsid w:val="00254327"/>
    <w:rsid w:val="00256ADF"/>
    <w:rsid w:val="0026148A"/>
    <w:rsid w:val="00262696"/>
    <w:rsid w:val="00263D25"/>
    <w:rsid w:val="002643C3"/>
    <w:rsid w:val="00264A0C"/>
    <w:rsid w:val="00266EEB"/>
    <w:rsid w:val="002678C4"/>
    <w:rsid w:val="00267EF4"/>
    <w:rsid w:val="00270CB8"/>
    <w:rsid w:val="00271D06"/>
    <w:rsid w:val="00272B08"/>
    <w:rsid w:val="002734F1"/>
    <w:rsid w:val="002806C5"/>
    <w:rsid w:val="00281BB8"/>
    <w:rsid w:val="00281E9E"/>
    <w:rsid w:val="00282405"/>
    <w:rsid w:val="002831F7"/>
    <w:rsid w:val="0028325F"/>
    <w:rsid w:val="00283A81"/>
    <w:rsid w:val="00285170"/>
    <w:rsid w:val="00285361"/>
    <w:rsid w:val="002866BB"/>
    <w:rsid w:val="00287F16"/>
    <w:rsid w:val="0029057D"/>
    <w:rsid w:val="00292D60"/>
    <w:rsid w:val="00293B30"/>
    <w:rsid w:val="00294D34"/>
    <w:rsid w:val="00294E3B"/>
    <w:rsid w:val="00295C2F"/>
    <w:rsid w:val="00296193"/>
    <w:rsid w:val="002964A2"/>
    <w:rsid w:val="00296C66"/>
    <w:rsid w:val="00296EBE"/>
    <w:rsid w:val="00297204"/>
    <w:rsid w:val="002974E3"/>
    <w:rsid w:val="002A084B"/>
    <w:rsid w:val="002A1260"/>
    <w:rsid w:val="002A1589"/>
    <w:rsid w:val="002A1608"/>
    <w:rsid w:val="002A25DC"/>
    <w:rsid w:val="002A306B"/>
    <w:rsid w:val="002A3AAB"/>
    <w:rsid w:val="002A4CEA"/>
    <w:rsid w:val="002A5977"/>
    <w:rsid w:val="002A5A13"/>
    <w:rsid w:val="002A757F"/>
    <w:rsid w:val="002A7F44"/>
    <w:rsid w:val="002B0C40"/>
    <w:rsid w:val="002B10AA"/>
    <w:rsid w:val="002B1966"/>
    <w:rsid w:val="002B1B84"/>
    <w:rsid w:val="002B4508"/>
    <w:rsid w:val="002B5779"/>
    <w:rsid w:val="002B619C"/>
    <w:rsid w:val="002B7332"/>
    <w:rsid w:val="002B7419"/>
    <w:rsid w:val="002B7F51"/>
    <w:rsid w:val="002C09E7"/>
    <w:rsid w:val="002C1E06"/>
    <w:rsid w:val="002C3190"/>
    <w:rsid w:val="002C3F07"/>
    <w:rsid w:val="002C5278"/>
    <w:rsid w:val="002C7EBB"/>
    <w:rsid w:val="002D06C1"/>
    <w:rsid w:val="002D12A4"/>
    <w:rsid w:val="002D2157"/>
    <w:rsid w:val="002D426B"/>
    <w:rsid w:val="002D42B5"/>
    <w:rsid w:val="002D4F1A"/>
    <w:rsid w:val="002D5D6B"/>
    <w:rsid w:val="002D6EC6"/>
    <w:rsid w:val="002D79AC"/>
    <w:rsid w:val="002E0185"/>
    <w:rsid w:val="002E039D"/>
    <w:rsid w:val="002E1E04"/>
    <w:rsid w:val="002E4D5A"/>
    <w:rsid w:val="002E60D2"/>
    <w:rsid w:val="002E6326"/>
    <w:rsid w:val="002E69B7"/>
    <w:rsid w:val="002E6E16"/>
    <w:rsid w:val="002E7495"/>
    <w:rsid w:val="002E7A86"/>
    <w:rsid w:val="002F30E0"/>
    <w:rsid w:val="002F35E4"/>
    <w:rsid w:val="002F3730"/>
    <w:rsid w:val="002F38E1"/>
    <w:rsid w:val="002F40FB"/>
    <w:rsid w:val="002F4C1A"/>
    <w:rsid w:val="002F58CB"/>
    <w:rsid w:val="002F7AF6"/>
    <w:rsid w:val="00300E63"/>
    <w:rsid w:val="00302F5F"/>
    <w:rsid w:val="0030441D"/>
    <w:rsid w:val="00306063"/>
    <w:rsid w:val="003071F6"/>
    <w:rsid w:val="00310CBA"/>
    <w:rsid w:val="00311ED6"/>
    <w:rsid w:val="00313690"/>
    <w:rsid w:val="00313B85"/>
    <w:rsid w:val="00316014"/>
    <w:rsid w:val="003165E6"/>
    <w:rsid w:val="00316880"/>
    <w:rsid w:val="00317988"/>
    <w:rsid w:val="00317A51"/>
    <w:rsid w:val="00320501"/>
    <w:rsid w:val="00321FAB"/>
    <w:rsid w:val="003221B4"/>
    <w:rsid w:val="0032258D"/>
    <w:rsid w:val="00322E62"/>
    <w:rsid w:val="00324D13"/>
    <w:rsid w:val="00324EDD"/>
    <w:rsid w:val="00327A12"/>
    <w:rsid w:val="00327E09"/>
    <w:rsid w:val="003329BD"/>
    <w:rsid w:val="003331E4"/>
    <w:rsid w:val="00334A6F"/>
    <w:rsid w:val="00336C64"/>
    <w:rsid w:val="0033707E"/>
    <w:rsid w:val="00337162"/>
    <w:rsid w:val="00337D51"/>
    <w:rsid w:val="00337FDE"/>
    <w:rsid w:val="00341218"/>
    <w:rsid w:val="0034194F"/>
    <w:rsid w:val="00344605"/>
    <w:rsid w:val="003474AA"/>
    <w:rsid w:val="00350132"/>
    <w:rsid w:val="00350D1D"/>
    <w:rsid w:val="00351CD5"/>
    <w:rsid w:val="00352580"/>
    <w:rsid w:val="00352C83"/>
    <w:rsid w:val="00352F1A"/>
    <w:rsid w:val="0036107C"/>
    <w:rsid w:val="003615D2"/>
    <w:rsid w:val="00361AA8"/>
    <w:rsid w:val="00362432"/>
    <w:rsid w:val="0036429C"/>
    <w:rsid w:val="00364A53"/>
    <w:rsid w:val="003654CB"/>
    <w:rsid w:val="00365AA9"/>
    <w:rsid w:val="00365F86"/>
    <w:rsid w:val="00365F87"/>
    <w:rsid w:val="003665DB"/>
    <w:rsid w:val="0036679B"/>
    <w:rsid w:val="00366E89"/>
    <w:rsid w:val="0036717D"/>
    <w:rsid w:val="003703DF"/>
    <w:rsid w:val="003705F4"/>
    <w:rsid w:val="00370D58"/>
    <w:rsid w:val="00371316"/>
    <w:rsid w:val="00376713"/>
    <w:rsid w:val="00376DCA"/>
    <w:rsid w:val="0038044F"/>
    <w:rsid w:val="00381815"/>
    <w:rsid w:val="003819AF"/>
    <w:rsid w:val="00381DE1"/>
    <w:rsid w:val="003820E9"/>
    <w:rsid w:val="00382DE7"/>
    <w:rsid w:val="00384FFC"/>
    <w:rsid w:val="003850FA"/>
    <w:rsid w:val="0038672A"/>
    <w:rsid w:val="003872FC"/>
    <w:rsid w:val="00387ADC"/>
    <w:rsid w:val="00390020"/>
    <w:rsid w:val="003903D6"/>
    <w:rsid w:val="00390609"/>
    <w:rsid w:val="00390EE6"/>
    <w:rsid w:val="0039118F"/>
    <w:rsid w:val="00391685"/>
    <w:rsid w:val="003922B3"/>
    <w:rsid w:val="003922EF"/>
    <w:rsid w:val="00392AD7"/>
    <w:rsid w:val="00393348"/>
    <w:rsid w:val="003938D9"/>
    <w:rsid w:val="00394376"/>
    <w:rsid w:val="003943BF"/>
    <w:rsid w:val="003943FF"/>
    <w:rsid w:val="00395FEA"/>
    <w:rsid w:val="00396A30"/>
    <w:rsid w:val="003974EB"/>
    <w:rsid w:val="00397CC5"/>
    <w:rsid w:val="003A0B44"/>
    <w:rsid w:val="003A1582"/>
    <w:rsid w:val="003A28E1"/>
    <w:rsid w:val="003A3D9C"/>
    <w:rsid w:val="003A4077"/>
    <w:rsid w:val="003A4800"/>
    <w:rsid w:val="003A4AA7"/>
    <w:rsid w:val="003A4BFE"/>
    <w:rsid w:val="003A69FB"/>
    <w:rsid w:val="003B01C4"/>
    <w:rsid w:val="003B020A"/>
    <w:rsid w:val="003B09AD"/>
    <w:rsid w:val="003B0C17"/>
    <w:rsid w:val="003B1F18"/>
    <w:rsid w:val="003B365A"/>
    <w:rsid w:val="003B5BF0"/>
    <w:rsid w:val="003B5FE3"/>
    <w:rsid w:val="003B60BF"/>
    <w:rsid w:val="003B619B"/>
    <w:rsid w:val="003B6BE3"/>
    <w:rsid w:val="003C010C"/>
    <w:rsid w:val="003C01E0"/>
    <w:rsid w:val="003C0A6C"/>
    <w:rsid w:val="003C14F8"/>
    <w:rsid w:val="003C5A43"/>
    <w:rsid w:val="003C7036"/>
    <w:rsid w:val="003C7605"/>
    <w:rsid w:val="003D0519"/>
    <w:rsid w:val="003D0FF6"/>
    <w:rsid w:val="003D262C"/>
    <w:rsid w:val="003D6D61"/>
    <w:rsid w:val="003E091D"/>
    <w:rsid w:val="003E1C53"/>
    <w:rsid w:val="003E2A69"/>
    <w:rsid w:val="003E2D49"/>
    <w:rsid w:val="003E2FD4"/>
    <w:rsid w:val="003E49F6"/>
    <w:rsid w:val="003E4A93"/>
    <w:rsid w:val="003E4F2E"/>
    <w:rsid w:val="003E660F"/>
    <w:rsid w:val="003E695D"/>
    <w:rsid w:val="003E7203"/>
    <w:rsid w:val="003F008B"/>
    <w:rsid w:val="003F0841"/>
    <w:rsid w:val="003F18F6"/>
    <w:rsid w:val="003F20F1"/>
    <w:rsid w:val="003F23D3"/>
    <w:rsid w:val="003F3F08"/>
    <w:rsid w:val="003F49F1"/>
    <w:rsid w:val="003F55E6"/>
    <w:rsid w:val="003F6272"/>
    <w:rsid w:val="003F6BA1"/>
    <w:rsid w:val="003F7AD6"/>
    <w:rsid w:val="004005BA"/>
    <w:rsid w:val="00400E72"/>
    <w:rsid w:val="00401400"/>
    <w:rsid w:val="00402226"/>
    <w:rsid w:val="00404869"/>
    <w:rsid w:val="00405756"/>
    <w:rsid w:val="00405884"/>
    <w:rsid w:val="00405F51"/>
    <w:rsid w:val="00407643"/>
    <w:rsid w:val="00407D39"/>
    <w:rsid w:val="00410E43"/>
    <w:rsid w:val="00411081"/>
    <w:rsid w:val="004131C3"/>
    <w:rsid w:val="0041477A"/>
    <w:rsid w:val="004167A3"/>
    <w:rsid w:val="00417DDF"/>
    <w:rsid w:val="00422B9E"/>
    <w:rsid w:val="00425418"/>
    <w:rsid w:val="0042617B"/>
    <w:rsid w:val="004302B8"/>
    <w:rsid w:val="0043033C"/>
    <w:rsid w:val="00432DAA"/>
    <w:rsid w:val="00434305"/>
    <w:rsid w:val="0043515E"/>
    <w:rsid w:val="00435DF7"/>
    <w:rsid w:val="00437C37"/>
    <w:rsid w:val="0044083F"/>
    <w:rsid w:val="00441135"/>
    <w:rsid w:val="00441AE7"/>
    <w:rsid w:val="0044410D"/>
    <w:rsid w:val="00445574"/>
    <w:rsid w:val="004467FB"/>
    <w:rsid w:val="00447435"/>
    <w:rsid w:val="00447B9E"/>
    <w:rsid w:val="00450325"/>
    <w:rsid w:val="00452D6B"/>
    <w:rsid w:val="004532C5"/>
    <w:rsid w:val="00454484"/>
    <w:rsid w:val="0045517B"/>
    <w:rsid w:val="00455C27"/>
    <w:rsid w:val="00456D78"/>
    <w:rsid w:val="00463B77"/>
    <w:rsid w:val="00463C7B"/>
    <w:rsid w:val="004644A6"/>
    <w:rsid w:val="004644C3"/>
    <w:rsid w:val="004659BD"/>
    <w:rsid w:val="00465E68"/>
    <w:rsid w:val="00470775"/>
    <w:rsid w:val="00470B50"/>
    <w:rsid w:val="00473B85"/>
    <w:rsid w:val="00473BD1"/>
    <w:rsid w:val="004746B1"/>
    <w:rsid w:val="0047526B"/>
    <w:rsid w:val="0047583F"/>
    <w:rsid w:val="00475DE8"/>
    <w:rsid w:val="00480A02"/>
    <w:rsid w:val="00481C44"/>
    <w:rsid w:val="0048444D"/>
    <w:rsid w:val="00484936"/>
    <w:rsid w:val="00485C89"/>
    <w:rsid w:val="00486339"/>
    <w:rsid w:val="00486686"/>
    <w:rsid w:val="00486BE3"/>
    <w:rsid w:val="004874C1"/>
    <w:rsid w:val="00487668"/>
    <w:rsid w:val="00487CB5"/>
    <w:rsid w:val="004905E4"/>
    <w:rsid w:val="00490A89"/>
    <w:rsid w:val="00490AB4"/>
    <w:rsid w:val="00490BE3"/>
    <w:rsid w:val="00490C26"/>
    <w:rsid w:val="004917DB"/>
    <w:rsid w:val="00491E20"/>
    <w:rsid w:val="00492F02"/>
    <w:rsid w:val="004938FC"/>
    <w:rsid w:val="004939AE"/>
    <w:rsid w:val="0049511D"/>
    <w:rsid w:val="00496559"/>
    <w:rsid w:val="004A12DF"/>
    <w:rsid w:val="004A1BA8"/>
    <w:rsid w:val="004A1EA6"/>
    <w:rsid w:val="004A3349"/>
    <w:rsid w:val="004A4B57"/>
    <w:rsid w:val="004A5A81"/>
    <w:rsid w:val="004A63FA"/>
    <w:rsid w:val="004A6A3D"/>
    <w:rsid w:val="004A723D"/>
    <w:rsid w:val="004A73C6"/>
    <w:rsid w:val="004B0272"/>
    <w:rsid w:val="004B035A"/>
    <w:rsid w:val="004B0389"/>
    <w:rsid w:val="004B0966"/>
    <w:rsid w:val="004B152B"/>
    <w:rsid w:val="004B2701"/>
    <w:rsid w:val="004B2E1B"/>
    <w:rsid w:val="004B31D4"/>
    <w:rsid w:val="004B3AA8"/>
    <w:rsid w:val="004B3E93"/>
    <w:rsid w:val="004B5F81"/>
    <w:rsid w:val="004B7A90"/>
    <w:rsid w:val="004C1FBC"/>
    <w:rsid w:val="004C24EF"/>
    <w:rsid w:val="004C25A2"/>
    <w:rsid w:val="004C33A1"/>
    <w:rsid w:val="004C3F1D"/>
    <w:rsid w:val="004C458D"/>
    <w:rsid w:val="004C7556"/>
    <w:rsid w:val="004C7E8B"/>
    <w:rsid w:val="004C7E9D"/>
    <w:rsid w:val="004C7F67"/>
    <w:rsid w:val="004D076D"/>
    <w:rsid w:val="004D0EF1"/>
    <w:rsid w:val="004D2253"/>
    <w:rsid w:val="004D261B"/>
    <w:rsid w:val="004D2AF5"/>
    <w:rsid w:val="004D4406"/>
    <w:rsid w:val="004D7C42"/>
    <w:rsid w:val="004E0465"/>
    <w:rsid w:val="004E127B"/>
    <w:rsid w:val="004E1C0A"/>
    <w:rsid w:val="004E2F34"/>
    <w:rsid w:val="004E30C5"/>
    <w:rsid w:val="004E3837"/>
    <w:rsid w:val="004E39DE"/>
    <w:rsid w:val="004E42E2"/>
    <w:rsid w:val="004E4AA5"/>
    <w:rsid w:val="004E4AEE"/>
    <w:rsid w:val="004E4D44"/>
    <w:rsid w:val="004E59E3"/>
    <w:rsid w:val="004E67C0"/>
    <w:rsid w:val="004F0B3E"/>
    <w:rsid w:val="004F2DE4"/>
    <w:rsid w:val="004F391A"/>
    <w:rsid w:val="004F3CFB"/>
    <w:rsid w:val="004F416B"/>
    <w:rsid w:val="004F5624"/>
    <w:rsid w:val="004F6222"/>
    <w:rsid w:val="004F6456"/>
    <w:rsid w:val="004F695B"/>
    <w:rsid w:val="004F696E"/>
    <w:rsid w:val="004F6C71"/>
    <w:rsid w:val="004F7CE1"/>
    <w:rsid w:val="00501139"/>
    <w:rsid w:val="00503130"/>
    <w:rsid w:val="0050363E"/>
    <w:rsid w:val="005039BC"/>
    <w:rsid w:val="005043BB"/>
    <w:rsid w:val="00504A3D"/>
    <w:rsid w:val="00505767"/>
    <w:rsid w:val="005073F0"/>
    <w:rsid w:val="005073F6"/>
    <w:rsid w:val="005107D3"/>
    <w:rsid w:val="00510A7B"/>
    <w:rsid w:val="00510BDE"/>
    <w:rsid w:val="005127F4"/>
    <w:rsid w:val="00512F6E"/>
    <w:rsid w:val="00513038"/>
    <w:rsid w:val="00514174"/>
    <w:rsid w:val="0051480A"/>
    <w:rsid w:val="005155A6"/>
    <w:rsid w:val="00515E34"/>
    <w:rsid w:val="00516088"/>
    <w:rsid w:val="00516B0B"/>
    <w:rsid w:val="005220EC"/>
    <w:rsid w:val="00522579"/>
    <w:rsid w:val="00523F95"/>
    <w:rsid w:val="00524D65"/>
    <w:rsid w:val="00525B16"/>
    <w:rsid w:val="00526B21"/>
    <w:rsid w:val="00531311"/>
    <w:rsid w:val="00533D04"/>
    <w:rsid w:val="00534804"/>
    <w:rsid w:val="00534BDF"/>
    <w:rsid w:val="005354EA"/>
    <w:rsid w:val="0053585F"/>
    <w:rsid w:val="00535EC4"/>
    <w:rsid w:val="00535ED9"/>
    <w:rsid w:val="0053692B"/>
    <w:rsid w:val="005370E4"/>
    <w:rsid w:val="0054130B"/>
    <w:rsid w:val="00541853"/>
    <w:rsid w:val="00543458"/>
    <w:rsid w:val="00543BDA"/>
    <w:rsid w:val="005441CC"/>
    <w:rsid w:val="00544AAF"/>
    <w:rsid w:val="0054598B"/>
    <w:rsid w:val="005479DA"/>
    <w:rsid w:val="00547BCC"/>
    <w:rsid w:val="0055013B"/>
    <w:rsid w:val="005504AF"/>
    <w:rsid w:val="00550B2B"/>
    <w:rsid w:val="005519FA"/>
    <w:rsid w:val="00551F6F"/>
    <w:rsid w:val="00552C06"/>
    <w:rsid w:val="00555044"/>
    <w:rsid w:val="00555173"/>
    <w:rsid w:val="0055759F"/>
    <w:rsid w:val="00561475"/>
    <w:rsid w:val="00561AF4"/>
    <w:rsid w:val="00562308"/>
    <w:rsid w:val="00563E19"/>
    <w:rsid w:val="0056487B"/>
    <w:rsid w:val="00564FB9"/>
    <w:rsid w:val="005677A0"/>
    <w:rsid w:val="005702BB"/>
    <w:rsid w:val="00572DF7"/>
    <w:rsid w:val="00573D9E"/>
    <w:rsid w:val="00574E83"/>
    <w:rsid w:val="005773A3"/>
    <w:rsid w:val="005801E3"/>
    <w:rsid w:val="00581802"/>
    <w:rsid w:val="005836A8"/>
    <w:rsid w:val="0058409C"/>
    <w:rsid w:val="00584262"/>
    <w:rsid w:val="00585673"/>
    <w:rsid w:val="00585C2E"/>
    <w:rsid w:val="00586630"/>
    <w:rsid w:val="00587ADD"/>
    <w:rsid w:val="00592E82"/>
    <w:rsid w:val="00593A49"/>
    <w:rsid w:val="00594E93"/>
    <w:rsid w:val="0059589A"/>
    <w:rsid w:val="00596160"/>
    <w:rsid w:val="005962E6"/>
    <w:rsid w:val="005966E2"/>
    <w:rsid w:val="00596AF8"/>
    <w:rsid w:val="00597007"/>
    <w:rsid w:val="00597425"/>
    <w:rsid w:val="00597BF7"/>
    <w:rsid w:val="005A0966"/>
    <w:rsid w:val="005A11B7"/>
    <w:rsid w:val="005A1350"/>
    <w:rsid w:val="005A260B"/>
    <w:rsid w:val="005A33DE"/>
    <w:rsid w:val="005A4146"/>
    <w:rsid w:val="005A4980"/>
    <w:rsid w:val="005A4A1B"/>
    <w:rsid w:val="005A63B3"/>
    <w:rsid w:val="005A6F15"/>
    <w:rsid w:val="005A72AE"/>
    <w:rsid w:val="005A75D4"/>
    <w:rsid w:val="005A7830"/>
    <w:rsid w:val="005A7FCE"/>
    <w:rsid w:val="005B0006"/>
    <w:rsid w:val="005B0F3F"/>
    <w:rsid w:val="005B134D"/>
    <w:rsid w:val="005B191C"/>
    <w:rsid w:val="005B434A"/>
    <w:rsid w:val="005B4903"/>
    <w:rsid w:val="005B51CE"/>
    <w:rsid w:val="005B5885"/>
    <w:rsid w:val="005B5CD7"/>
    <w:rsid w:val="005B6653"/>
    <w:rsid w:val="005B6CF6"/>
    <w:rsid w:val="005B7422"/>
    <w:rsid w:val="005C1BA4"/>
    <w:rsid w:val="005C29B8"/>
    <w:rsid w:val="005C5F21"/>
    <w:rsid w:val="005C7156"/>
    <w:rsid w:val="005C752C"/>
    <w:rsid w:val="005D0C75"/>
    <w:rsid w:val="005D4171"/>
    <w:rsid w:val="005D563A"/>
    <w:rsid w:val="005D6A95"/>
    <w:rsid w:val="005D6B2C"/>
    <w:rsid w:val="005D6D9C"/>
    <w:rsid w:val="005D6EB9"/>
    <w:rsid w:val="005E0ED6"/>
    <w:rsid w:val="005E2335"/>
    <w:rsid w:val="005E349D"/>
    <w:rsid w:val="005E34CA"/>
    <w:rsid w:val="005E3C18"/>
    <w:rsid w:val="005E4250"/>
    <w:rsid w:val="005E6812"/>
    <w:rsid w:val="005E7881"/>
    <w:rsid w:val="005E78E0"/>
    <w:rsid w:val="005F0D9C"/>
    <w:rsid w:val="005F284E"/>
    <w:rsid w:val="005F2B11"/>
    <w:rsid w:val="005F6B22"/>
    <w:rsid w:val="0060035B"/>
    <w:rsid w:val="0060133B"/>
    <w:rsid w:val="006015CE"/>
    <w:rsid w:val="006031E0"/>
    <w:rsid w:val="00604784"/>
    <w:rsid w:val="00605535"/>
    <w:rsid w:val="00606419"/>
    <w:rsid w:val="00607D29"/>
    <w:rsid w:val="00611317"/>
    <w:rsid w:val="00612952"/>
    <w:rsid w:val="00614307"/>
    <w:rsid w:val="006143DD"/>
    <w:rsid w:val="00614CC1"/>
    <w:rsid w:val="00615A9D"/>
    <w:rsid w:val="00616AC2"/>
    <w:rsid w:val="00617387"/>
    <w:rsid w:val="0062038E"/>
    <w:rsid w:val="006205D6"/>
    <w:rsid w:val="006211BE"/>
    <w:rsid w:val="00623286"/>
    <w:rsid w:val="006252D8"/>
    <w:rsid w:val="006259BC"/>
    <w:rsid w:val="0062636B"/>
    <w:rsid w:val="006300CD"/>
    <w:rsid w:val="0063059B"/>
    <w:rsid w:val="006305DC"/>
    <w:rsid w:val="0063131E"/>
    <w:rsid w:val="00632182"/>
    <w:rsid w:val="00632AE0"/>
    <w:rsid w:val="00632B5A"/>
    <w:rsid w:val="00633C17"/>
    <w:rsid w:val="00634D9E"/>
    <w:rsid w:val="00635F8A"/>
    <w:rsid w:val="006369C0"/>
    <w:rsid w:val="00636E3E"/>
    <w:rsid w:val="006379F7"/>
    <w:rsid w:val="00637E4D"/>
    <w:rsid w:val="006401CF"/>
    <w:rsid w:val="00640620"/>
    <w:rsid w:val="0064129D"/>
    <w:rsid w:val="00641A1F"/>
    <w:rsid w:val="006436AB"/>
    <w:rsid w:val="00644DC3"/>
    <w:rsid w:val="00645904"/>
    <w:rsid w:val="0064631B"/>
    <w:rsid w:val="00650957"/>
    <w:rsid w:val="00651262"/>
    <w:rsid w:val="00651ACB"/>
    <w:rsid w:val="00651C47"/>
    <w:rsid w:val="00652AB2"/>
    <w:rsid w:val="006533C9"/>
    <w:rsid w:val="0065350F"/>
    <w:rsid w:val="00653FED"/>
    <w:rsid w:val="006547BD"/>
    <w:rsid w:val="00654EC0"/>
    <w:rsid w:val="0065525B"/>
    <w:rsid w:val="00655D4F"/>
    <w:rsid w:val="00656D29"/>
    <w:rsid w:val="00660B5A"/>
    <w:rsid w:val="00660EF2"/>
    <w:rsid w:val="006640E5"/>
    <w:rsid w:val="006646F1"/>
    <w:rsid w:val="00664929"/>
    <w:rsid w:val="00664E73"/>
    <w:rsid w:val="00664F62"/>
    <w:rsid w:val="006655E1"/>
    <w:rsid w:val="00667F1B"/>
    <w:rsid w:val="00670F0E"/>
    <w:rsid w:val="00671274"/>
    <w:rsid w:val="00672060"/>
    <w:rsid w:val="00672BFD"/>
    <w:rsid w:val="00675774"/>
    <w:rsid w:val="00675877"/>
    <w:rsid w:val="006770F4"/>
    <w:rsid w:val="00677306"/>
    <w:rsid w:val="00677A84"/>
    <w:rsid w:val="0068026D"/>
    <w:rsid w:val="00680A27"/>
    <w:rsid w:val="006816A4"/>
    <w:rsid w:val="006819B8"/>
    <w:rsid w:val="00682236"/>
    <w:rsid w:val="006827D9"/>
    <w:rsid w:val="006840A6"/>
    <w:rsid w:val="006845E3"/>
    <w:rsid w:val="006850CD"/>
    <w:rsid w:val="0068549E"/>
    <w:rsid w:val="00685AAB"/>
    <w:rsid w:val="00686014"/>
    <w:rsid w:val="0068628D"/>
    <w:rsid w:val="00687BC4"/>
    <w:rsid w:val="00690912"/>
    <w:rsid w:val="006934FA"/>
    <w:rsid w:val="00696CDB"/>
    <w:rsid w:val="00697C27"/>
    <w:rsid w:val="00697EBD"/>
    <w:rsid w:val="006A07AA"/>
    <w:rsid w:val="006A2296"/>
    <w:rsid w:val="006A25E5"/>
    <w:rsid w:val="006A2B46"/>
    <w:rsid w:val="006A336D"/>
    <w:rsid w:val="006A37B9"/>
    <w:rsid w:val="006A43F2"/>
    <w:rsid w:val="006A518F"/>
    <w:rsid w:val="006B2672"/>
    <w:rsid w:val="006B2BCB"/>
    <w:rsid w:val="006B2DFE"/>
    <w:rsid w:val="006B3FB3"/>
    <w:rsid w:val="006B54BF"/>
    <w:rsid w:val="006B5F44"/>
    <w:rsid w:val="006B5F90"/>
    <w:rsid w:val="006B62E4"/>
    <w:rsid w:val="006B6332"/>
    <w:rsid w:val="006B6D77"/>
    <w:rsid w:val="006B7FD7"/>
    <w:rsid w:val="006C095E"/>
    <w:rsid w:val="006C1BBA"/>
    <w:rsid w:val="006C2079"/>
    <w:rsid w:val="006C22D7"/>
    <w:rsid w:val="006C4B5E"/>
    <w:rsid w:val="006C52A8"/>
    <w:rsid w:val="006C5A62"/>
    <w:rsid w:val="006C5D68"/>
    <w:rsid w:val="006C63ED"/>
    <w:rsid w:val="006C6976"/>
    <w:rsid w:val="006C6DD0"/>
    <w:rsid w:val="006D04EA"/>
    <w:rsid w:val="006D0F0C"/>
    <w:rsid w:val="006D16C4"/>
    <w:rsid w:val="006D3E96"/>
    <w:rsid w:val="006D4515"/>
    <w:rsid w:val="006D4BB1"/>
    <w:rsid w:val="006D6593"/>
    <w:rsid w:val="006E5DD3"/>
    <w:rsid w:val="006F03A8"/>
    <w:rsid w:val="006F09EB"/>
    <w:rsid w:val="006F162D"/>
    <w:rsid w:val="006F2ACA"/>
    <w:rsid w:val="006F2ADC"/>
    <w:rsid w:val="006F2BFE"/>
    <w:rsid w:val="006F31E9"/>
    <w:rsid w:val="006F41EF"/>
    <w:rsid w:val="006F6284"/>
    <w:rsid w:val="007002C5"/>
    <w:rsid w:val="00700F46"/>
    <w:rsid w:val="0070433A"/>
    <w:rsid w:val="00704387"/>
    <w:rsid w:val="0070486A"/>
    <w:rsid w:val="00705450"/>
    <w:rsid w:val="007072F0"/>
    <w:rsid w:val="00707669"/>
    <w:rsid w:val="00711CBA"/>
    <w:rsid w:val="00711FB5"/>
    <w:rsid w:val="00712A01"/>
    <w:rsid w:val="007136E8"/>
    <w:rsid w:val="007137AC"/>
    <w:rsid w:val="0071468B"/>
    <w:rsid w:val="00714E09"/>
    <w:rsid w:val="00714F58"/>
    <w:rsid w:val="007153B3"/>
    <w:rsid w:val="007202B6"/>
    <w:rsid w:val="00722FBF"/>
    <w:rsid w:val="00722FC2"/>
    <w:rsid w:val="00724E1B"/>
    <w:rsid w:val="007251EF"/>
    <w:rsid w:val="007253E6"/>
    <w:rsid w:val="00725909"/>
    <w:rsid w:val="00725949"/>
    <w:rsid w:val="007268B8"/>
    <w:rsid w:val="00727CD8"/>
    <w:rsid w:val="00727DAC"/>
    <w:rsid w:val="00727FA2"/>
    <w:rsid w:val="007322D9"/>
    <w:rsid w:val="00732BC0"/>
    <w:rsid w:val="00733BE3"/>
    <w:rsid w:val="0073720F"/>
    <w:rsid w:val="00737796"/>
    <w:rsid w:val="0074165C"/>
    <w:rsid w:val="00742C35"/>
    <w:rsid w:val="007432CA"/>
    <w:rsid w:val="007439EB"/>
    <w:rsid w:val="00743CB4"/>
    <w:rsid w:val="00743F0A"/>
    <w:rsid w:val="007444E8"/>
    <w:rsid w:val="00744B77"/>
    <w:rsid w:val="0074548E"/>
    <w:rsid w:val="00745773"/>
    <w:rsid w:val="00746800"/>
    <w:rsid w:val="00747FE0"/>
    <w:rsid w:val="007501A8"/>
    <w:rsid w:val="007503C5"/>
    <w:rsid w:val="007509E1"/>
    <w:rsid w:val="00750D61"/>
    <w:rsid w:val="00750EE1"/>
    <w:rsid w:val="00752B4D"/>
    <w:rsid w:val="00755402"/>
    <w:rsid w:val="007563D6"/>
    <w:rsid w:val="00756B26"/>
    <w:rsid w:val="00756EDF"/>
    <w:rsid w:val="007576D8"/>
    <w:rsid w:val="007600E3"/>
    <w:rsid w:val="007629CB"/>
    <w:rsid w:val="007633C5"/>
    <w:rsid w:val="00765C43"/>
    <w:rsid w:val="00765EFB"/>
    <w:rsid w:val="007671CA"/>
    <w:rsid w:val="00767C61"/>
    <w:rsid w:val="0077008A"/>
    <w:rsid w:val="007702E1"/>
    <w:rsid w:val="0077118B"/>
    <w:rsid w:val="00773C1F"/>
    <w:rsid w:val="00773DCB"/>
    <w:rsid w:val="007748C1"/>
    <w:rsid w:val="00774DA4"/>
    <w:rsid w:val="00776599"/>
    <w:rsid w:val="0078033E"/>
    <w:rsid w:val="0078114B"/>
    <w:rsid w:val="00781DD2"/>
    <w:rsid w:val="007837CD"/>
    <w:rsid w:val="00783ECF"/>
    <w:rsid w:val="0078413A"/>
    <w:rsid w:val="00787033"/>
    <w:rsid w:val="007900FA"/>
    <w:rsid w:val="00790732"/>
    <w:rsid w:val="0079178F"/>
    <w:rsid w:val="0079567C"/>
    <w:rsid w:val="007959E8"/>
    <w:rsid w:val="00795E9C"/>
    <w:rsid w:val="007A0521"/>
    <w:rsid w:val="007A1F15"/>
    <w:rsid w:val="007A2E12"/>
    <w:rsid w:val="007A3475"/>
    <w:rsid w:val="007A41C8"/>
    <w:rsid w:val="007A4740"/>
    <w:rsid w:val="007A5350"/>
    <w:rsid w:val="007A54CE"/>
    <w:rsid w:val="007A6852"/>
    <w:rsid w:val="007A6FD9"/>
    <w:rsid w:val="007A7FFA"/>
    <w:rsid w:val="007B0055"/>
    <w:rsid w:val="007B01BD"/>
    <w:rsid w:val="007B04EB"/>
    <w:rsid w:val="007B0D4F"/>
    <w:rsid w:val="007B4C4D"/>
    <w:rsid w:val="007B5A3D"/>
    <w:rsid w:val="007B5B46"/>
    <w:rsid w:val="007B5B95"/>
    <w:rsid w:val="007B6032"/>
    <w:rsid w:val="007B68EA"/>
    <w:rsid w:val="007B7453"/>
    <w:rsid w:val="007C0DAD"/>
    <w:rsid w:val="007C2D89"/>
    <w:rsid w:val="007C359E"/>
    <w:rsid w:val="007C4593"/>
    <w:rsid w:val="007C5309"/>
    <w:rsid w:val="007C5B20"/>
    <w:rsid w:val="007C6069"/>
    <w:rsid w:val="007D06C4"/>
    <w:rsid w:val="007D1323"/>
    <w:rsid w:val="007D1352"/>
    <w:rsid w:val="007D2508"/>
    <w:rsid w:val="007D3379"/>
    <w:rsid w:val="007D346A"/>
    <w:rsid w:val="007D6518"/>
    <w:rsid w:val="007D76BD"/>
    <w:rsid w:val="007D771F"/>
    <w:rsid w:val="007E0BF1"/>
    <w:rsid w:val="007E2287"/>
    <w:rsid w:val="007E55F7"/>
    <w:rsid w:val="007E75C2"/>
    <w:rsid w:val="007E76AD"/>
    <w:rsid w:val="007E78A0"/>
    <w:rsid w:val="007F0ED8"/>
    <w:rsid w:val="007F0F63"/>
    <w:rsid w:val="007F135F"/>
    <w:rsid w:val="007F7369"/>
    <w:rsid w:val="007F75CE"/>
    <w:rsid w:val="00800C78"/>
    <w:rsid w:val="008013A4"/>
    <w:rsid w:val="00801B1D"/>
    <w:rsid w:val="008027CE"/>
    <w:rsid w:val="00802861"/>
    <w:rsid w:val="00802F42"/>
    <w:rsid w:val="00803591"/>
    <w:rsid w:val="00804383"/>
    <w:rsid w:val="00804BB7"/>
    <w:rsid w:val="00804D41"/>
    <w:rsid w:val="00810257"/>
    <w:rsid w:val="008104F5"/>
    <w:rsid w:val="00811072"/>
    <w:rsid w:val="00811369"/>
    <w:rsid w:val="008118A8"/>
    <w:rsid w:val="0081279B"/>
    <w:rsid w:val="00814688"/>
    <w:rsid w:val="0081493C"/>
    <w:rsid w:val="00815419"/>
    <w:rsid w:val="008163C8"/>
    <w:rsid w:val="008164A1"/>
    <w:rsid w:val="00816999"/>
    <w:rsid w:val="00816A4E"/>
    <w:rsid w:val="00816F6E"/>
    <w:rsid w:val="00817325"/>
    <w:rsid w:val="008176AA"/>
    <w:rsid w:val="008209E6"/>
    <w:rsid w:val="008231D3"/>
    <w:rsid w:val="00823303"/>
    <w:rsid w:val="008233B2"/>
    <w:rsid w:val="00823A9F"/>
    <w:rsid w:val="00823C85"/>
    <w:rsid w:val="00825138"/>
    <w:rsid w:val="00825290"/>
    <w:rsid w:val="008269DD"/>
    <w:rsid w:val="00830621"/>
    <w:rsid w:val="0083348C"/>
    <w:rsid w:val="00836015"/>
    <w:rsid w:val="008373D3"/>
    <w:rsid w:val="00840617"/>
    <w:rsid w:val="00840D97"/>
    <w:rsid w:val="00840F84"/>
    <w:rsid w:val="00842A47"/>
    <w:rsid w:val="00842B82"/>
    <w:rsid w:val="00843C13"/>
    <w:rsid w:val="00843E38"/>
    <w:rsid w:val="008454F8"/>
    <w:rsid w:val="00845A2C"/>
    <w:rsid w:val="00847B9B"/>
    <w:rsid w:val="00850873"/>
    <w:rsid w:val="008509BD"/>
    <w:rsid w:val="0085173A"/>
    <w:rsid w:val="00853C7E"/>
    <w:rsid w:val="0085624F"/>
    <w:rsid w:val="008566C1"/>
    <w:rsid w:val="008603CE"/>
    <w:rsid w:val="008620FC"/>
    <w:rsid w:val="008627A5"/>
    <w:rsid w:val="00862A96"/>
    <w:rsid w:val="00863E05"/>
    <w:rsid w:val="00865ACA"/>
    <w:rsid w:val="00865D28"/>
    <w:rsid w:val="00865F85"/>
    <w:rsid w:val="00867C10"/>
    <w:rsid w:val="00870439"/>
    <w:rsid w:val="00870A12"/>
    <w:rsid w:val="00870DA1"/>
    <w:rsid w:val="00871A51"/>
    <w:rsid w:val="0087245C"/>
    <w:rsid w:val="0087273A"/>
    <w:rsid w:val="00875698"/>
    <w:rsid w:val="00875D17"/>
    <w:rsid w:val="008763D1"/>
    <w:rsid w:val="00877B08"/>
    <w:rsid w:val="00877B22"/>
    <w:rsid w:val="00880F6F"/>
    <w:rsid w:val="00880FB6"/>
    <w:rsid w:val="00883F93"/>
    <w:rsid w:val="008849F8"/>
    <w:rsid w:val="00884DB3"/>
    <w:rsid w:val="008857D9"/>
    <w:rsid w:val="00885A9D"/>
    <w:rsid w:val="008864F6"/>
    <w:rsid w:val="0088664C"/>
    <w:rsid w:val="0089019F"/>
    <w:rsid w:val="0089049D"/>
    <w:rsid w:val="008920C6"/>
    <w:rsid w:val="008928C9"/>
    <w:rsid w:val="00892B53"/>
    <w:rsid w:val="008930CB"/>
    <w:rsid w:val="00893750"/>
    <w:rsid w:val="008938DC"/>
    <w:rsid w:val="00893FD1"/>
    <w:rsid w:val="00894836"/>
    <w:rsid w:val="00895172"/>
    <w:rsid w:val="00895680"/>
    <w:rsid w:val="00896DFF"/>
    <w:rsid w:val="0089762C"/>
    <w:rsid w:val="008A133C"/>
    <w:rsid w:val="008A173B"/>
    <w:rsid w:val="008A1893"/>
    <w:rsid w:val="008A1A33"/>
    <w:rsid w:val="008A57E6"/>
    <w:rsid w:val="008A5DF0"/>
    <w:rsid w:val="008A5F7B"/>
    <w:rsid w:val="008A6F81"/>
    <w:rsid w:val="008A769A"/>
    <w:rsid w:val="008B0C9C"/>
    <w:rsid w:val="008B1170"/>
    <w:rsid w:val="008B166D"/>
    <w:rsid w:val="008B17F4"/>
    <w:rsid w:val="008B3615"/>
    <w:rsid w:val="008B39DA"/>
    <w:rsid w:val="008B40ED"/>
    <w:rsid w:val="008B4AC4"/>
    <w:rsid w:val="008B50C8"/>
    <w:rsid w:val="008B5281"/>
    <w:rsid w:val="008B6B80"/>
    <w:rsid w:val="008B7E05"/>
    <w:rsid w:val="008C1797"/>
    <w:rsid w:val="008C219C"/>
    <w:rsid w:val="008C3A1E"/>
    <w:rsid w:val="008C475E"/>
    <w:rsid w:val="008C47F6"/>
    <w:rsid w:val="008C5304"/>
    <w:rsid w:val="008C619A"/>
    <w:rsid w:val="008C7139"/>
    <w:rsid w:val="008D0CE8"/>
    <w:rsid w:val="008D185E"/>
    <w:rsid w:val="008D26AA"/>
    <w:rsid w:val="008D2D1D"/>
    <w:rsid w:val="008D453D"/>
    <w:rsid w:val="008D53AD"/>
    <w:rsid w:val="008D555C"/>
    <w:rsid w:val="008D562B"/>
    <w:rsid w:val="008D5733"/>
    <w:rsid w:val="008D5E85"/>
    <w:rsid w:val="008D622B"/>
    <w:rsid w:val="008D666C"/>
    <w:rsid w:val="008D7B54"/>
    <w:rsid w:val="008E0C9D"/>
    <w:rsid w:val="008E11C7"/>
    <w:rsid w:val="008E1648"/>
    <w:rsid w:val="008E1B3E"/>
    <w:rsid w:val="008E2319"/>
    <w:rsid w:val="008E27DD"/>
    <w:rsid w:val="008E3503"/>
    <w:rsid w:val="008E4BB6"/>
    <w:rsid w:val="008E5518"/>
    <w:rsid w:val="008E6A84"/>
    <w:rsid w:val="008E6B31"/>
    <w:rsid w:val="008F026B"/>
    <w:rsid w:val="008F0CDC"/>
    <w:rsid w:val="008F17A3"/>
    <w:rsid w:val="008F1ED3"/>
    <w:rsid w:val="008F2753"/>
    <w:rsid w:val="008F4A1F"/>
    <w:rsid w:val="008F4C29"/>
    <w:rsid w:val="008F532E"/>
    <w:rsid w:val="008F5415"/>
    <w:rsid w:val="008F5FF5"/>
    <w:rsid w:val="008F70BD"/>
    <w:rsid w:val="008F788F"/>
    <w:rsid w:val="008F7E5D"/>
    <w:rsid w:val="008F7EA2"/>
    <w:rsid w:val="00901A7B"/>
    <w:rsid w:val="00902722"/>
    <w:rsid w:val="009027BC"/>
    <w:rsid w:val="00902DF5"/>
    <w:rsid w:val="0090366C"/>
    <w:rsid w:val="0090557F"/>
    <w:rsid w:val="009062E6"/>
    <w:rsid w:val="00906788"/>
    <w:rsid w:val="00907BED"/>
    <w:rsid w:val="00911BE5"/>
    <w:rsid w:val="00913CA9"/>
    <w:rsid w:val="009145AE"/>
    <w:rsid w:val="009146CE"/>
    <w:rsid w:val="00914CA7"/>
    <w:rsid w:val="00915C3E"/>
    <w:rsid w:val="009161A8"/>
    <w:rsid w:val="00916208"/>
    <w:rsid w:val="00923AB6"/>
    <w:rsid w:val="009244AC"/>
    <w:rsid w:val="009245AE"/>
    <w:rsid w:val="009245F5"/>
    <w:rsid w:val="009246AB"/>
    <w:rsid w:val="009249EC"/>
    <w:rsid w:val="00924BA8"/>
    <w:rsid w:val="00924EAD"/>
    <w:rsid w:val="009273B3"/>
    <w:rsid w:val="009305B5"/>
    <w:rsid w:val="0093106A"/>
    <w:rsid w:val="00931696"/>
    <w:rsid w:val="00933AEC"/>
    <w:rsid w:val="00934399"/>
    <w:rsid w:val="009378DD"/>
    <w:rsid w:val="009419FF"/>
    <w:rsid w:val="009429D5"/>
    <w:rsid w:val="00942BF1"/>
    <w:rsid w:val="009449C9"/>
    <w:rsid w:val="00945180"/>
    <w:rsid w:val="00945428"/>
    <w:rsid w:val="009457FE"/>
    <w:rsid w:val="0094607B"/>
    <w:rsid w:val="00946221"/>
    <w:rsid w:val="00947814"/>
    <w:rsid w:val="00947BE8"/>
    <w:rsid w:val="009521D0"/>
    <w:rsid w:val="00953604"/>
    <w:rsid w:val="00953EB4"/>
    <w:rsid w:val="00954711"/>
    <w:rsid w:val="0095496B"/>
    <w:rsid w:val="00955685"/>
    <w:rsid w:val="00960F1E"/>
    <w:rsid w:val="009610DC"/>
    <w:rsid w:val="00961490"/>
    <w:rsid w:val="0096216C"/>
    <w:rsid w:val="00963277"/>
    <w:rsid w:val="0096368D"/>
    <w:rsid w:val="0096381A"/>
    <w:rsid w:val="00965E04"/>
    <w:rsid w:val="00966940"/>
    <w:rsid w:val="009674AD"/>
    <w:rsid w:val="00970CDC"/>
    <w:rsid w:val="0097295F"/>
    <w:rsid w:val="00973C01"/>
    <w:rsid w:val="009743BB"/>
    <w:rsid w:val="00975727"/>
    <w:rsid w:val="009764EC"/>
    <w:rsid w:val="00977010"/>
    <w:rsid w:val="00977D02"/>
    <w:rsid w:val="00977FF9"/>
    <w:rsid w:val="00980043"/>
    <w:rsid w:val="009809BB"/>
    <w:rsid w:val="00981209"/>
    <w:rsid w:val="0098364B"/>
    <w:rsid w:val="00985239"/>
    <w:rsid w:val="00985351"/>
    <w:rsid w:val="009908A3"/>
    <w:rsid w:val="009911AF"/>
    <w:rsid w:val="00991875"/>
    <w:rsid w:val="00991F92"/>
    <w:rsid w:val="00992985"/>
    <w:rsid w:val="00993889"/>
    <w:rsid w:val="009948CF"/>
    <w:rsid w:val="0099551B"/>
    <w:rsid w:val="00996BD2"/>
    <w:rsid w:val="009976FE"/>
    <w:rsid w:val="00997BF1"/>
    <w:rsid w:val="009A089C"/>
    <w:rsid w:val="009A118E"/>
    <w:rsid w:val="009A21CD"/>
    <w:rsid w:val="009A2394"/>
    <w:rsid w:val="009A278C"/>
    <w:rsid w:val="009A2BC2"/>
    <w:rsid w:val="009A42C1"/>
    <w:rsid w:val="009A4645"/>
    <w:rsid w:val="009A5429"/>
    <w:rsid w:val="009A72AD"/>
    <w:rsid w:val="009B09E0"/>
    <w:rsid w:val="009B0BC5"/>
    <w:rsid w:val="009B1247"/>
    <w:rsid w:val="009B3C98"/>
    <w:rsid w:val="009B492E"/>
    <w:rsid w:val="009B4E06"/>
    <w:rsid w:val="009B6029"/>
    <w:rsid w:val="009B6971"/>
    <w:rsid w:val="009C27F1"/>
    <w:rsid w:val="009C3152"/>
    <w:rsid w:val="009C3257"/>
    <w:rsid w:val="009C4CFA"/>
    <w:rsid w:val="009C5070"/>
    <w:rsid w:val="009D112C"/>
    <w:rsid w:val="009D1385"/>
    <w:rsid w:val="009D47FA"/>
    <w:rsid w:val="009D4C5B"/>
    <w:rsid w:val="009D50D2"/>
    <w:rsid w:val="009D6BCA"/>
    <w:rsid w:val="009D73F1"/>
    <w:rsid w:val="009E0F62"/>
    <w:rsid w:val="009E14EB"/>
    <w:rsid w:val="009E28FF"/>
    <w:rsid w:val="009E3D3C"/>
    <w:rsid w:val="009E4A58"/>
    <w:rsid w:val="009E5A2D"/>
    <w:rsid w:val="009E5AB2"/>
    <w:rsid w:val="009E6219"/>
    <w:rsid w:val="009E66A3"/>
    <w:rsid w:val="009F0343"/>
    <w:rsid w:val="009F03B3"/>
    <w:rsid w:val="009F0590"/>
    <w:rsid w:val="009F104C"/>
    <w:rsid w:val="009F11A6"/>
    <w:rsid w:val="009F1BD2"/>
    <w:rsid w:val="009F4BFE"/>
    <w:rsid w:val="00A0096C"/>
    <w:rsid w:val="00A00A69"/>
    <w:rsid w:val="00A01757"/>
    <w:rsid w:val="00A028C0"/>
    <w:rsid w:val="00A02BAE"/>
    <w:rsid w:val="00A05717"/>
    <w:rsid w:val="00A06A6B"/>
    <w:rsid w:val="00A07E47"/>
    <w:rsid w:val="00A107F6"/>
    <w:rsid w:val="00A11492"/>
    <w:rsid w:val="00A1227D"/>
    <w:rsid w:val="00A129D0"/>
    <w:rsid w:val="00A12C33"/>
    <w:rsid w:val="00A138BA"/>
    <w:rsid w:val="00A14010"/>
    <w:rsid w:val="00A149B3"/>
    <w:rsid w:val="00A14C5C"/>
    <w:rsid w:val="00A14C8E"/>
    <w:rsid w:val="00A14CB0"/>
    <w:rsid w:val="00A153D9"/>
    <w:rsid w:val="00A15A3C"/>
    <w:rsid w:val="00A15F09"/>
    <w:rsid w:val="00A16184"/>
    <w:rsid w:val="00A169B6"/>
    <w:rsid w:val="00A16D76"/>
    <w:rsid w:val="00A16D95"/>
    <w:rsid w:val="00A2271D"/>
    <w:rsid w:val="00A23362"/>
    <w:rsid w:val="00A237D5"/>
    <w:rsid w:val="00A24408"/>
    <w:rsid w:val="00A254CC"/>
    <w:rsid w:val="00A26239"/>
    <w:rsid w:val="00A27804"/>
    <w:rsid w:val="00A30EFC"/>
    <w:rsid w:val="00A314DF"/>
    <w:rsid w:val="00A31984"/>
    <w:rsid w:val="00A31BEE"/>
    <w:rsid w:val="00A32D73"/>
    <w:rsid w:val="00A32F51"/>
    <w:rsid w:val="00A3367B"/>
    <w:rsid w:val="00A33B47"/>
    <w:rsid w:val="00A33D4B"/>
    <w:rsid w:val="00A3597D"/>
    <w:rsid w:val="00A36DD1"/>
    <w:rsid w:val="00A4006C"/>
    <w:rsid w:val="00A40091"/>
    <w:rsid w:val="00A4030F"/>
    <w:rsid w:val="00A40F48"/>
    <w:rsid w:val="00A41C79"/>
    <w:rsid w:val="00A41CB5"/>
    <w:rsid w:val="00A4217A"/>
    <w:rsid w:val="00A42CDF"/>
    <w:rsid w:val="00A43EF2"/>
    <w:rsid w:val="00A4452E"/>
    <w:rsid w:val="00A4472C"/>
    <w:rsid w:val="00A44E3F"/>
    <w:rsid w:val="00A44E69"/>
    <w:rsid w:val="00A4572C"/>
    <w:rsid w:val="00A4661E"/>
    <w:rsid w:val="00A50631"/>
    <w:rsid w:val="00A515A1"/>
    <w:rsid w:val="00A55BD6"/>
    <w:rsid w:val="00A55D50"/>
    <w:rsid w:val="00A57142"/>
    <w:rsid w:val="00A57D50"/>
    <w:rsid w:val="00A610F3"/>
    <w:rsid w:val="00A636A5"/>
    <w:rsid w:val="00A648CD"/>
    <w:rsid w:val="00A6537A"/>
    <w:rsid w:val="00A67651"/>
    <w:rsid w:val="00A67866"/>
    <w:rsid w:val="00A70B07"/>
    <w:rsid w:val="00A70CE1"/>
    <w:rsid w:val="00A723F8"/>
    <w:rsid w:val="00A726BB"/>
    <w:rsid w:val="00A73052"/>
    <w:rsid w:val="00A74D9C"/>
    <w:rsid w:val="00A76236"/>
    <w:rsid w:val="00A77CCB"/>
    <w:rsid w:val="00A832D7"/>
    <w:rsid w:val="00A83D8D"/>
    <w:rsid w:val="00A8446B"/>
    <w:rsid w:val="00A8473F"/>
    <w:rsid w:val="00A851FA"/>
    <w:rsid w:val="00A85638"/>
    <w:rsid w:val="00A862D6"/>
    <w:rsid w:val="00A86980"/>
    <w:rsid w:val="00A8715E"/>
    <w:rsid w:val="00A87173"/>
    <w:rsid w:val="00A92711"/>
    <w:rsid w:val="00A9295B"/>
    <w:rsid w:val="00A93B09"/>
    <w:rsid w:val="00A94B41"/>
    <w:rsid w:val="00A952D7"/>
    <w:rsid w:val="00A9566A"/>
    <w:rsid w:val="00A963F7"/>
    <w:rsid w:val="00A96AD8"/>
    <w:rsid w:val="00AA052C"/>
    <w:rsid w:val="00AA0F91"/>
    <w:rsid w:val="00AA13EB"/>
    <w:rsid w:val="00AA193F"/>
    <w:rsid w:val="00AA1E45"/>
    <w:rsid w:val="00AA2DAE"/>
    <w:rsid w:val="00AA427E"/>
    <w:rsid w:val="00AA4286"/>
    <w:rsid w:val="00AA456B"/>
    <w:rsid w:val="00AA57F5"/>
    <w:rsid w:val="00AA611B"/>
    <w:rsid w:val="00AA672E"/>
    <w:rsid w:val="00AA6EC9"/>
    <w:rsid w:val="00AB1F11"/>
    <w:rsid w:val="00AB31DC"/>
    <w:rsid w:val="00AB3C54"/>
    <w:rsid w:val="00AB4175"/>
    <w:rsid w:val="00AB55BB"/>
    <w:rsid w:val="00AB6309"/>
    <w:rsid w:val="00AB6C5F"/>
    <w:rsid w:val="00AB7030"/>
    <w:rsid w:val="00AB7129"/>
    <w:rsid w:val="00AB73E4"/>
    <w:rsid w:val="00AB7C6C"/>
    <w:rsid w:val="00AC27A6"/>
    <w:rsid w:val="00AC30F7"/>
    <w:rsid w:val="00AC3A5A"/>
    <w:rsid w:val="00AC426B"/>
    <w:rsid w:val="00AC4D95"/>
    <w:rsid w:val="00AC5DF4"/>
    <w:rsid w:val="00AC6AFA"/>
    <w:rsid w:val="00AC7641"/>
    <w:rsid w:val="00AC79D1"/>
    <w:rsid w:val="00AD0922"/>
    <w:rsid w:val="00AD0AEF"/>
    <w:rsid w:val="00AD11B7"/>
    <w:rsid w:val="00AD149F"/>
    <w:rsid w:val="00AD1A94"/>
    <w:rsid w:val="00AD1C05"/>
    <w:rsid w:val="00AD2E89"/>
    <w:rsid w:val="00AD3472"/>
    <w:rsid w:val="00AD4126"/>
    <w:rsid w:val="00AD421C"/>
    <w:rsid w:val="00AD44FA"/>
    <w:rsid w:val="00AD48A9"/>
    <w:rsid w:val="00AD4D09"/>
    <w:rsid w:val="00AD6EC9"/>
    <w:rsid w:val="00AD7A03"/>
    <w:rsid w:val="00AE070A"/>
    <w:rsid w:val="00AE0B69"/>
    <w:rsid w:val="00AE101C"/>
    <w:rsid w:val="00AE2A69"/>
    <w:rsid w:val="00AE3759"/>
    <w:rsid w:val="00AE37E5"/>
    <w:rsid w:val="00AE429A"/>
    <w:rsid w:val="00AE5EB4"/>
    <w:rsid w:val="00AF0C18"/>
    <w:rsid w:val="00AF1E98"/>
    <w:rsid w:val="00AF47C5"/>
    <w:rsid w:val="00AF5398"/>
    <w:rsid w:val="00AF79C5"/>
    <w:rsid w:val="00B00973"/>
    <w:rsid w:val="00B0117E"/>
    <w:rsid w:val="00B049AF"/>
    <w:rsid w:val="00B06267"/>
    <w:rsid w:val="00B07242"/>
    <w:rsid w:val="00B10534"/>
    <w:rsid w:val="00B109F0"/>
    <w:rsid w:val="00B113DB"/>
    <w:rsid w:val="00B11A15"/>
    <w:rsid w:val="00B11D8A"/>
    <w:rsid w:val="00B12934"/>
    <w:rsid w:val="00B12981"/>
    <w:rsid w:val="00B12B58"/>
    <w:rsid w:val="00B1402D"/>
    <w:rsid w:val="00B147DD"/>
    <w:rsid w:val="00B15503"/>
    <w:rsid w:val="00B156FD"/>
    <w:rsid w:val="00B16868"/>
    <w:rsid w:val="00B21F61"/>
    <w:rsid w:val="00B21F67"/>
    <w:rsid w:val="00B25722"/>
    <w:rsid w:val="00B261F1"/>
    <w:rsid w:val="00B265BC"/>
    <w:rsid w:val="00B31FB1"/>
    <w:rsid w:val="00B32458"/>
    <w:rsid w:val="00B32EEF"/>
    <w:rsid w:val="00B33952"/>
    <w:rsid w:val="00B33C5E"/>
    <w:rsid w:val="00B342F4"/>
    <w:rsid w:val="00B34369"/>
    <w:rsid w:val="00B34DC2"/>
    <w:rsid w:val="00B362A3"/>
    <w:rsid w:val="00B378E5"/>
    <w:rsid w:val="00B37E16"/>
    <w:rsid w:val="00B4083E"/>
    <w:rsid w:val="00B4125D"/>
    <w:rsid w:val="00B4346D"/>
    <w:rsid w:val="00B440F4"/>
    <w:rsid w:val="00B447A5"/>
    <w:rsid w:val="00B4654C"/>
    <w:rsid w:val="00B469CB"/>
    <w:rsid w:val="00B47293"/>
    <w:rsid w:val="00B50E50"/>
    <w:rsid w:val="00B52002"/>
    <w:rsid w:val="00B52120"/>
    <w:rsid w:val="00B54ABC"/>
    <w:rsid w:val="00B54CFD"/>
    <w:rsid w:val="00B56FBE"/>
    <w:rsid w:val="00B60ACF"/>
    <w:rsid w:val="00B614C4"/>
    <w:rsid w:val="00B62B58"/>
    <w:rsid w:val="00B62D8F"/>
    <w:rsid w:val="00B65149"/>
    <w:rsid w:val="00B66567"/>
    <w:rsid w:val="00B66F52"/>
    <w:rsid w:val="00B66FE5"/>
    <w:rsid w:val="00B675CC"/>
    <w:rsid w:val="00B67C04"/>
    <w:rsid w:val="00B72880"/>
    <w:rsid w:val="00B74269"/>
    <w:rsid w:val="00B744C6"/>
    <w:rsid w:val="00B758BF"/>
    <w:rsid w:val="00B75A6D"/>
    <w:rsid w:val="00B7735C"/>
    <w:rsid w:val="00B77EC8"/>
    <w:rsid w:val="00B8081B"/>
    <w:rsid w:val="00B827A6"/>
    <w:rsid w:val="00B831CE"/>
    <w:rsid w:val="00B847F5"/>
    <w:rsid w:val="00B851E3"/>
    <w:rsid w:val="00B8524C"/>
    <w:rsid w:val="00B85E00"/>
    <w:rsid w:val="00B86677"/>
    <w:rsid w:val="00B869DC"/>
    <w:rsid w:val="00B870F4"/>
    <w:rsid w:val="00B87131"/>
    <w:rsid w:val="00B9114C"/>
    <w:rsid w:val="00B939B1"/>
    <w:rsid w:val="00B93CD4"/>
    <w:rsid w:val="00B956CC"/>
    <w:rsid w:val="00B96D40"/>
    <w:rsid w:val="00B97386"/>
    <w:rsid w:val="00BA2193"/>
    <w:rsid w:val="00BA263B"/>
    <w:rsid w:val="00BA3B28"/>
    <w:rsid w:val="00BA42B2"/>
    <w:rsid w:val="00BA55FA"/>
    <w:rsid w:val="00BA58D4"/>
    <w:rsid w:val="00BA5B9E"/>
    <w:rsid w:val="00BA7C9A"/>
    <w:rsid w:val="00BB0B70"/>
    <w:rsid w:val="00BB1F52"/>
    <w:rsid w:val="00BB50D0"/>
    <w:rsid w:val="00BB5F8F"/>
    <w:rsid w:val="00BB657A"/>
    <w:rsid w:val="00BB6C09"/>
    <w:rsid w:val="00BB6FE3"/>
    <w:rsid w:val="00BC1910"/>
    <w:rsid w:val="00BC1A44"/>
    <w:rsid w:val="00BC1A4E"/>
    <w:rsid w:val="00BC225A"/>
    <w:rsid w:val="00BC4F3F"/>
    <w:rsid w:val="00BC5335"/>
    <w:rsid w:val="00BC5DC7"/>
    <w:rsid w:val="00BC6B8B"/>
    <w:rsid w:val="00BC73D8"/>
    <w:rsid w:val="00BD0338"/>
    <w:rsid w:val="00BD0B9D"/>
    <w:rsid w:val="00BD0BC4"/>
    <w:rsid w:val="00BD0C6C"/>
    <w:rsid w:val="00BD19B0"/>
    <w:rsid w:val="00BD1B42"/>
    <w:rsid w:val="00BD1C1D"/>
    <w:rsid w:val="00BD4CB9"/>
    <w:rsid w:val="00BD52D7"/>
    <w:rsid w:val="00BD5AD2"/>
    <w:rsid w:val="00BE0D4A"/>
    <w:rsid w:val="00BE2268"/>
    <w:rsid w:val="00BE22F3"/>
    <w:rsid w:val="00BE238D"/>
    <w:rsid w:val="00BE34DB"/>
    <w:rsid w:val="00BE4F19"/>
    <w:rsid w:val="00BE5B52"/>
    <w:rsid w:val="00BE6A4D"/>
    <w:rsid w:val="00BE7B8D"/>
    <w:rsid w:val="00BF0993"/>
    <w:rsid w:val="00BF10A9"/>
    <w:rsid w:val="00BF1703"/>
    <w:rsid w:val="00BF231C"/>
    <w:rsid w:val="00BF4117"/>
    <w:rsid w:val="00BF4206"/>
    <w:rsid w:val="00BF4557"/>
    <w:rsid w:val="00BF51E5"/>
    <w:rsid w:val="00BF74A6"/>
    <w:rsid w:val="00C013AD"/>
    <w:rsid w:val="00C0145E"/>
    <w:rsid w:val="00C03A0F"/>
    <w:rsid w:val="00C03F5B"/>
    <w:rsid w:val="00C041A7"/>
    <w:rsid w:val="00C04904"/>
    <w:rsid w:val="00C056B2"/>
    <w:rsid w:val="00C056B3"/>
    <w:rsid w:val="00C059C8"/>
    <w:rsid w:val="00C0671A"/>
    <w:rsid w:val="00C06B29"/>
    <w:rsid w:val="00C077A3"/>
    <w:rsid w:val="00C07D88"/>
    <w:rsid w:val="00C103E5"/>
    <w:rsid w:val="00C1275A"/>
    <w:rsid w:val="00C12BDE"/>
    <w:rsid w:val="00C13319"/>
    <w:rsid w:val="00C13EE9"/>
    <w:rsid w:val="00C17BA7"/>
    <w:rsid w:val="00C17F3A"/>
    <w:rsid w:val="00C21540"/>
    <w:rsid w:val="00C21906"/>
    <w:rsid w:val="00C21BFA"/>
    <w:rsid w:val="00C2478B"/>
    <w:rsid w:val="00C248B7"/>
    <w:rsid w:val="00C24C8D"/>
    <w:rsid w:val="00C25FE2"/>
    <w:rsid w:val="00C267E8"/>
    <w:rsid w:val="00C26B53"/>
    <w:rsid w:val="00C279B2"/>
    <w:rsid w:val="00C30523"/>
    <w:rsid w:val="00C33E50"/>
    <w:rsid w:val="00C34A4F"/>
    <w:rsid w:val="00C34C20"/>
    <w:rsid w:val="00C35A3E"/>
    <w:rsid w:val="00C379B1"/>
    <w:rsid w:val="00C42130"/>
    <w:rsid w:val="00C423A4"/>
    <w:rsid w:val="00C423E3"/>
    <w:rsid w:val="00C44943"/>
    <w:rsid w:val="00C44BF5"/>
    <w:rsid w:val="00C44F7E"/>
    <w:rsid w:val="00C45267"/>
    <w:rsid w:val="00C51C59"/>
    <w:rsid w:val="00C521D6"/>
    <w:rsid w:val="00C5223E"/>
    <w:rsid w:val="00C5260D"/>
    <w:rsid w:val="00C535AC"/>
    <w:rsid w:val="00C55232"/>
    <w:rsid w:val="00C553A4"/>
    <w:rsid w:val="00C553D8"/>
    <w:rsid w:val="00C55A06"/>
    <w:rsid w:val="00C55D03"/>
    <w:rsid w:val="00C601BC"/>
    <w:rsid w:val="00C626CC"/>
    <w:rsid w:val="00C6329F"/>
    <w:rsid w:val="00C63340"/>
    <w:rsid w:val="00C6354F"/>
    <w:rsid w:val="00C643F9"/>
    <w:rsid w:val="00C649A8"/>
    <w:rsid w:val="00C64E95"/>
    <w:rsid w:val="00C6682E"/>
    <w:rsid w:val="00C67AFB"/>
    <w:rsid w:val="00C71372"/>
    <w:rsid w:val="00C71C45"/>
    <w:rsid w:val="00C72410"/>
    <w:rsid w:val="00C7287F"/>
    <w:rsid w:val="00C72A52"/>
    <w:rsid w:val="00C739F5"/>
    <w:rsid w:val="00C76E99"/>
    <w:rsid w:val="00C8007C"/>
    <w:rsid w:val="00C80CB8"/>
    <w:rsid w:val="00C81579"/>
    <w:rsid w:val="00C819F8"/>
    <w:rsid w:val="00C8248C"/>
    <w:rsid w:val="00C84E33"/>
    <w:rsid w:val="00C86D6F"/>
    <w:rsid w:val="00C905FC"/>
    <w:rsid w:val="00C92D03"/>
    <w:rsid w:val="00C9319C"/>
    <w:rsid w:val="00C9435D"/>
    <w:rsid w:val="00C94DF2"/>
    <w:rsid w:val="00C96741"/>
    <w:rsid w:val="00C96B71"/>
    <w:rsid w:val="00C97D1F"/>
    <w:rsid w:val="00C97F5E"/>
    <w:rsid w:val="00CA0B49"/>
    <w:rsid w:val="00CA24F3"/>
    <w:rsid w:val="00CA2D1B"/>
    <w:rsid w:val="00CA3691"/>
    <w:rsid w:val="00CA375D"/>
    <w:rsid w:val="00CA4E3A"/>
    <w:rsid w:val="00CA662A"/>
    <w:rsid w:val="00CA7AFD"/>
    <w:rsid w:val="00CA7C3C"/>
    <w:rsid w:val="00CB0189"/>
    <w:rsid w:val="00CB0BA2"/>
    <w:rsid w:val="00CB1A42"/>
    <w:rsid w:val="00CB1B0C"/>
    <w:rsid w:val="00CB2C0B"/>
    <w:rsid w:val="00CB3A40"/>
    <w:rsid w:val="00CB517D"/>
    <w:rsid w:val="00CB6040"/>
    <w:rsid w:val="00CB7169"/>
    <w:rsid w:val="00CC038D"/>
    <w:rsid w:val="00CC08DB"/>
    <w:rsid w:val="00CC39FF"/>
    <w:rsid w:val="00CC3C2F"/>
    <w:rsid w:val="00CC3D51"/>
    <w:rsid w:val="00CC4140"/>
    <w:rsid w:val="00CC4AC8"/>
    <w:rsid w:val="00CC511D"/>
    <w:rsid w:val="00CC5233"/>
    <w:rsid w:val="00CC5DE6"/>
    <w:rsid w:val="00CC63E6"/>
    <w:rsid w:val="00CC6E4E"/>
    <w:rsid w:val="00CC6FE8"/>
    <w:rsid w:val="00CC7202"/>
    <w:rsid w:val="00CC76ED"/>
    <w:rsid w:val="00CD03C1"/>
    <w:rsid w:val="00CD135B"/>
    <w:rsid w:val="00CD2808"/>
    <w:rsid w:val="00CD28BF"/>
    <w:rsid w:val="00CD4092"/>
    <w:rsid w:val="00CD4A20"/>
    <w:rsid w:val="00CD50A1"/>
    <w:rsid w:val="00CD519E"/>
    <w:rsid w:val="00CD6FC3"/>
    <w:rsid w:val="00CE0A98"/>
    <w:rsid w:val="00CE0C4F"/>
    <w:rsid w:val="00CE22BC"/>
    <w:rsid w:val="00CE30EA"/>
    <w:rsid w:val="00CF048A"/>
    <w:rsid w:val="00CF0CF3"/>
    <w:rsid w:val="00CF155A"/>
    <w:rsid w:val="00CF2947"/>
    <w:rsid w:val="00CF416E"/>
    <w:rsid w:val="00CF5D53"/>
    <w:rsid w:val="00CF686F"/>
    <w:rsid w:val="00CF6A20"/>
    <w:rsid w:val="00CF6E60"/>
    <w:rsid w:val="00CF75C8"/>
    <w:rsid w:val="00CF7BCA"/>
    <w:rsid w:val="00D008FD"/>
    <w:rsid w:val="00D02E61"/>
    <w:rsid w:val="00D0321C"/>
    <w:rsid w:val="00D03269"/>
    <w:rsid w:val="00D035EC"/>
    <w:rsid w:val="00D04988"/>
    <w:rsid w:val="00D06AB1"/>
    <w:rsid w:val="00D06FC1"/>
    <w:rsid w:val="00D072ED"/>
    <w:rsid w:val="00D079D0"/>
    <w:rsid w:val="00D07A16"/>
    <w:rsid w:val="00D07DD2"/>
    <w:rsid w:val="00D1067E"/>
    <w:rsid w:val="00D10F50"/>
    <w:rsid w:val="00D11272"/>
    <w:rsid w:val="00D126F5"/>
    <w:rsid w:val="00D1440B"/>
    <w:rsid w:val="00D1489E"/>
    <w:rsid w:val="00D15B5D"/>
    <w:rsid w:val="00D17127"/>
    <w:rsid w:val="00D20737"/>
    <w:rsid w:val="00D209BD"/>
    <w:rsid w:val="00D21E81"/>
    <w:rsid w:val="00D223DE"/>
    <w:rsid w:val="00D247CA"/>
    <w:rsid w:val="00D25E37"/>
    <w:rsid w:val="00D26008"/>
    <w:rsid w:val="00D2661A"/>
    <w:rsid w:val="00D27582"/>
    <w:rsid w:val="00D27EC4"/>
    <w:rsid w:val="00D30F2C"/>
    <w:rsid w:val="00D30FA4"/>
    <w:rsid w:val="00D323DC"/>
    <w:rsid w:val="00D32719"/>
    <w:rsid w:val="00D328F1"/>
    <w:rsid w:val="00D33333"/>
    <w:rsid w:val="00D33B06"/>
    <w:rsid w:val="00D352A2"/>
    <w:rsid w:val="00D35F8B"/>
    <w:rsid w:val="00D4162B"/>
    <w:rsid w:val="00D4219E"/>
    <w:rsid w:val="00D43477"/>
    <w:rsid w:val="00D4514F"/>
    <w:rsid w:val="00D451E2"/>
    <w:rsid w:val="00D45C78"/>
    <w:rsid w:val="00D45E89"/>
    <w:rsid w:val="00D45E8D"/>
    <w:rsid w:val="00D466AE"/>
    <w:rsid w:val="00D4734F"/>
    <w:rsid w:val="00D47966"/>
    <w:rsid w:val="00D47D16"/>
    <w:rsid w:val="00D47E50"/>
    <w:rsid w:val="00D51BF3"/>
    <w:rsid w:val="00D51EA0"/>
    <w:rsid w:val="00D532BF"/>
    <w:rsid w:val="00D548D5"/>
    <w:rsid w:val="00D6245F"/>
    <w:rsid w:val="00D62717"/>
    <w:rsid w:val="00D631DB"/>
    <w:rsid w:val="00D66846"/>
    <w:rsid w:val="00D675FB"/>
    <w:rsid w:val="00D67F0C"/>
    <w:rsid w:val="00D71151"/>
    <w:rsid w:val="00D71F25"/>
    <w:rsid w:val="00D72A9C"/>
    <w:rsid w:val="00D74816"/>
    <w:rsid w:val="00D77031"/>
    <w:rsid w:val="00D77ED4"/>
    <w:rsid w:val="00D80077"/>
    <w:rsid w:val="00D84941"/>
    <w:rsid w:val="00D84FA1"/>
    <w:rsid w:val="00D851F0"/>
    <w:rsid w:val="00D86DB7"/>
    <w:rsid w:val="00D87706"/>
    <w:rsid w:val="00D87BF5"/>
    <w:rsid w:val="00D90721"/>
    <w:rsid w:val="00D9142D"/>
    <w:rsid w:val="00D91547"/>
    <w:rsid w:val="00D926D0"/>
    <w:rsid w:val="00D93030"/>
    <w:rsid w:val="00D950E1"/>
    <w:rsid w:val="00D952A6"/>
    <w:rsid w:val="00D95ADC"/>
    <w:rsid w:val="00D96B22"/>
    <w:rsid w:val="00D97A39"/>
    <w:rsid w:val="00D97F99"/>
    <w:rsid w:val="00DA1E08"/>
    <w:rsid w:val="00DA23E7"/>
    <w:rsid w:val="00DA24F8"/>
    <w:rsid w:val="00DA28E8"/>
    <w:rsid w:val="00DA2C0B"/>
    <w:rsid w:val="00DA38D3"/>
    <w:rsid w:val="00DA3932"/>
    <w:rsid w:val="00DA3AFC"/>
    <w:rsid w:val="00DA4CC7"/>
    <w:rsid w:val="00DA64F8"/>
    <w:rsid w:val="00DA6C15"/>
    <w:rsid w:val="00DA77CE"/>
    <w:rsid w:val="00DB0258"/>
    <w:rsid w:val="00DB0AB3"/>
    <w:rsid w:val="00DB1C2F"/>
    <w:rsid w:val="00DB28C7"/>
    <w:rsid w:val="00DB38EE"/>
    <w:rsid w:val="00DB498B"/>
    <w:rsid w:val="00DB4CEE"/>
    <w:rsid w:val="00DB58BF"/>
    <w:rsid w:val="00DB66CA"/>
    <w:rsid w:val="00DB6BCA"/>
    <w:rsid w:val="00DB6F54"/>
    <w:rsid w:val="00DB73F7"/>
    <w:rsid w:val="00DC0321"/>
    <w:rsid w:val="00DC2151"/>
    <w:rsid w:val="00DC3067"/>
    <w:rsid w:val="00DC370B"/>
    <w:rsid w:val="00DC48B0"/>
    <w:rsid w:val="00DC5B90"/>
    <w:rsid w:val="00DC7C16"/>
    <w:rsid w:val="00DD00FF"/>
    <w:rsid w:val="00DD0619"/>
    <w:rsid w:val="00DD07FB"/>
    <w:rsid w:val="00DD2592"/>
    <w:rsid w:val="00DD25C6"/>
    <w:rsid w:val="00DD2791"/>
    <w:rsid w:val="00DD3BA4"/>
    <w:rsid w:val="00DD3F3A"/>
    <w:rsid w:val="00DD440E"/>
    <w:rsid w:val="00DD45B0"/>
    <w:rsid w:val="00DD4FE5"/>
    <w:rsid w:val="00DD54B0"/>
    <w:rsid w:val="00DD57EE"/>
    <w:rsid w:val="00DD6BCC"/>
    <w:rsid w:val="00DD6CAF"/>
    <w:rsid w:val="00DE0A4B"/>
    <w:rsid w:val="00DE114A"/>
    <w:rsid w:val="00DE208C"/>
    <w:rsid w:val="00DE2410"/>
    <w:rsid w:val="00DE2939"/>
    <w:rsid w:val="00DE6E81"/>
    <w:rsid w:val="00DE703F"/>
    <w:rsid w:val="00DE7595"/>
    <w:rsid w:val="00DF0FD6"/>
    <w:rsid w:val="00DF1961"/>
    <w:rsid w:val="00DF1D15"/>
    <w:rsid w:val="00DF44DE"/>
    <w:rsid w:val="00E00B11"/>
    <w:rsid w:val="00E01138"/>
    <w:rsid w:val="00E02DFB"/>
    <w:rsid w:val="00E030F9"/>
    <w:rsid w:val="00E0311A"/>
    <w:rsid w:val="00E03138"/>
    <w:rsid w:val="00E055DE"/>
    <w:rsid w:val="00E06404"/>
    <w:rsid w:val="00E07741"/>
    <w:rsid w:val="00E11A85"/>
    <w:rsid w:val="00E12495"/>
    <w:rsid w:val="00E15B46"/>
    <w:rsid w:val="00E15CCD"/>
    <w:rsid w:val="00E163D3"/>
    <w:rsid w:val="00E1772C"/>
    <w:rsid w:val="00E202EF"/>
    <w:rsid w:val="00E210B5"/>
    <w:rsid w:val="00E2552F"/>
    <w:rsid w:val="00E25A9E"/>
    <w:rsid w:val="00E273CA"/>
    <w:rsid w:val="00E3024B"/>
    <w:rsid w:val="00E304A2"/>
    <w:rsid w:val="00E30A2D"/>
    <w:rsid w:val="00E30FB7"/>
    <w:rsid w:val="00E3137A"/>
    <w:rsid w:val="00E32CCF"/>
    <w:rsid w:val="00E34A98"/>
    <w:rsid w:val="00E35D1E"/>
    <w:rsid w:val="00E361B3"/>
    <w:rsid w:val="00E364F9"/>
    <w:rsid w:val="00E365FA"/>
    <w:rsid w:val="00E36789"/>
    <w:rsid w:val="00E41554"/>
    <w:rsid w:val="00E41FA4"/>
    <w:rsid w:val="00E44271"/>
    <w:rsid w:val="00E44A83"/>
    <w:rsid w:val="00E4500E"/>
    <w:rsid w:val="00E502C1"/>
    <w:rsid w:val="00E502DD"/>
    <w:rsid w:val="00E508E5"/>
    <w:rsid w:val="00E50C7C"/>
    <w:rsid w:val="00E50D3A"/>
    <w:rsid w:val="00E51387"/>
    <w:rsid w:val="00E51A64"/>
    <w:rsid w:val="00E51E68"/>
    <w:rsid w:val="00E52EFD"/>
    <w:rsid w:val="00E5408A"/>
    <w:rsid w:val="00E5436E"/>
    <w:rsid w:val="00E56710"/>
    <w:rsid w:val="00E56800"/>
    <w:rsid w:val="00E57D3A"/>
    <w:rsid w:val="00E60C63"/>
    <w:rsid w:val="00E61976"/>
    <w:rsid w:val="00E61D71"/>
    <w:rsid w:val="00E626E4"/>
    <w:rsid w:val="00E62C79"/>
    <w:rsid w:val="00E62FF9"/>
    <w:rsid w:val="00E635D6"/>
    <w:rsid w:val="00E639BC"/>
    <w:rsid w:val="00E64FA6"/>
    <w:rsid w:val="00E664CC"/>
    <w:rsid w:val="00E70388"/>
    <w:rsid w:val="00E70F92"/>
    <w:rsid w:val="00E72B64"/>
    <w:rsid w:val="00E74313"/>
    <w:rsid w:val="00E74C54"/>
    <w:rsid w:val="00E753B5"/>
    <w:rsid w:val="00E756AB"/>
    <w:rsid w:val="00E75B67"/>
    <w:rsid w:val="00E77A03"/>
    <w:rsid w:val="00E77C4D"/>
    <w:rsid w:val="00E816DA"/>
    <w:rsid w:val="00E819A2"/>
    <w:rsid w:val="00E822E8"/>
    <w:rsid w:val="00E82554"/>
    <w:rsid w:val="00E82606"/>
    <w:rsid w:val="00E831C1"/>
    <w:rsid w:val="00E83FC5"/>
    <w:rsid w:val="00E842B8"/>
    <w:rsid w:val="00E846C8"/>
    <w:rsid w:val="00E84957"/>
    <w:rsid w:val="00E84A55"/>
    <w:rsid w:val="00E85BFF"/>
    <w:rsid w:val="00E90327"/>
    <w:rsid w:val="00E90350"/>
    <w:rsid w:val="00E90391"/>
    <w:rsid w:val="00E906C2"/>
    <w:rsid w:val="00E9262E"/>
    <w:rsid w:val="00E9311F"/>
    <w:rsid w:val="00E934D1"/>
    <w:rsid w:val="00E93863"/>
    <w:rsid w:val="00E93FFE"/>
    <w:rsid w:val="00E94AF0"/>
    <w:rsid w:val="00E9517E"/>
    <w:rsid w:val="00E95D13"/>
    <w:rsid w:val="00E95DD3"/>
    <w:rsid w:val="00E9661F"/>
    <w:rsid w:val="00E969D5"/>
    <w:rsid w:val="00EA1083"/>
    <w:rsid w:val="00EA39E7"/>
    <w:rsid w:val="00EA42B7"/>
    <w:rsid w:val="00EA448B"/>
    <w:rsid w:val="00EA58D1"/>
    <w:rsid w:val="00EA61BC"/>
    <w:rsid w:val="00EA681A"/>
    <w:rsid w:val="00EA6865"/>
    <w:rsid w:val="00EA735B"/>
    <w:rsid w:val="00EA7C59"/>
    <w:rsid w:val="00EB1221"/>
    <w:rsid w:val="00EB1E69"/>
    <w:rsid w:val="00EB2086"/>
    <w:rsid w:val="00EB31ED"/>
    <w:rsid w:val="00EB40E8"/>
    <w:rsid w:val="00EB5EDF"/>
    <w:rsid w:val="00EB60FE"/>
    <w:rsid w:val="00EB63DC"/>
    <w:rsid w:val="00EB66C1"/>
    <w:rsid w:val="00EB74DB"/>
    <w:rsid w:val="00EB7DFD"/>
    <w:rsid w:val="00EC14A7"/>
    <w:rsid w:val="00EC24B5"/>
    <w:rsid w:val="00EC49FD"/>
    <w:rsid w:val="00EC5359"/>
    <w:rsid w:val="00EC562A"/>
    <w:rsid w:val="00EC7352"/>
    <w:rsid w:val="00ED02BC"/>
    <w:rsid w:val="00ED067A"/>
    <w:rsid w:val="00ED06E1"/>
    <w:rsid w:val="00ED2B50"/>
    <w:rsid w:val="00ED52F6"/>
    <w:rsid w:val="00ED5662"/>
    <w:rsid w:val="00ED6D23"/>
    <w:rsid w:val="00EE0350"/>
    <w:rsid w:val="00EE0719"/>
    <w:rsid w:val="00EE0757"/>
    <w:rsid w:val="00EE0E80"/>
    <w:rsid w:val="00EE5177"/>
    <w:rsid w:val="00EE613F"/>
    <w:rsid w:val="00EE6B04"/>
    <w:rsid w:val="00EE6FFB"/>
    <w:rsid w:val="00EE7295"/>
    <w:rsid w:val="00EE7869"/>
    <w:rsid w:val="00EF054A"/>
    <w:rsid w:val="00EF091E"/>
    <w:rsid w:val="00EF3235"/>
    <w:rsid w:val="00EF4BEC"/>
    <w:rsid w:val="00EF582A"/>
    <w:rsid w:val="00EF5964"/>
    <w:rsid w:val="00EF7E72"/>
    <w:rsid w:val="00F04D46"/>
    <w:rsid w:val="00F0619A"/>
    <w:rsid w:val="00F06D37"/>
    <w:rsid w:val="00F07569"/>
    <w:rsid w:val="00F07B9D"/>
    <w:rsid w:val="00F10F2C"/>
    <w:rsid w:val="00F11586"/>
    <w:rsid w:val="00F1183B"/>
    <w:rsid w:val="00F11C9F"/>
    <w:rsid w:val="00F12263"/>
    <w:rsid w:val="00F135A7"/>
    <w:rsid w:val="00F13862"/>
    <w:rsid w:val="00F13CBF"/>
    <w:rsid w:val="00F1409D"/>
    <w:rsid w:val="00F14214"/>
    <w:rsid w:val="00F152C6"/>
    <w:rsid w:val="00F157A9"/>
    <w:rsid w:val="00F16DC7"/>
    <w:rsid w:val="00F16F00"/>
    <w:rsid w:val="00F24507"/>
    <w:rsid w:val="00F25BB6"/>
    <w:rsid w:val="00F25D39"/>
    <w:rsid w:val="00F26B7E"/>
    <w:rsid w:val="00F27334"/>
    <w:rsid w:val="00F27A3B"/>
    <w:rsid w:val="00F30026"/>
    <w:rsid w:val="00F30249"/>
    <w:rsid w:val="00F3343A"/>
    <w:rsid w:val="00F33817"/>
    <w:rsid w:val="00F36C74"/>
    <w:rsid w:val="00F4114E"/>
    <w:rsid w:val="00F41586"/>
    <w:rsid w:val="00F420D5"/>
    <w:rsid w:val="00F42705"/>
    <w:rsid w:val="00F442E6"/>
    <w:rsid w:val="00F451EA"/>
    <w:rsid w:val="00F45447"/>
    <w:rsid w:val="00F456C6"/>
    <w:rsid w:val="00F4577B"/>
    <w:rsid w:val="00F46496"/>
    <w:rsid w:val="00F4739A"/>
    <w:rsid w:val="00F474D0"/>
    <w:rsid w:val="00F50179"/>
    <w:rsid w:val="00F515EE"/>
    <w:rsid w:val="00F51BB5"/>
    <w:rsid w:val="00F51BF3"/>
    <w:rsid w:val="00F54A48"/>
    <w:rsid w:val="00F55BF0"/>
    <w:rsid w:val="00F56511"/>
    <w:rsid w:val="00F6194E"/>
    <w:rsid w:val="00F623AC"/>
    <w:rsid w:val="00F6412A"/>
    <w:rsid w:val="00F65325"/>
    <w:rsid w:val="00F65893"/>
    <w:rsid w:val="00F66A4A"/>
    <w:rsid w:val="00F71E22"/>
    <w:rsid w:val="00F72142"/>
    <w:rsid w:val="00F72AE7"/>
    <w:rsid w:val="00F75324"/>
    <w:rsid w:val="00F75E21"/>
    <w:rsid w:val="00F831B7"/>
    <w:rsid w:val="00F833BA"/>
    <w:rsid w:val="00F84F99"/>
    <w:rsid w:val="00F84FD0"/>
    <w:rsid w:val="00F84FEE"/>
    <w:rsid w:val="00F859A8"/>
    <w:rsid w:val="00F86D87"/>
    <w:rsid w:val="00F909DA"/>
    <w:rsid w:val="00F9108B"/>
    <w:rsid w:val="00F91349"/>
    <w:rsid w:val="00F91436"/>
    <w:rsid w:val="00F91E23"/>
    <w:rsid w:val="00F91E85"/>
    <w:rsid w:val="00F93A8A"/>
    <w:rsid w:val="00F94DC5"/>
    <w:rsid w:val="00F95248"/>
    <w:rsid w:val="00F956A9"/>
    <w:rsid w:val="00F956FB"/>
    <w:rsid w:val="00F963ED"/>
    <w:rsid w:val="00F966CF"/>
    <w:rsid w:val="00F96CAE"/>
    <w:rsid w:val="00F9781C"/>
    <w:rsid w:val="00F97C99"/>
    <w:rsid w:val="00FA187C"/>
    <w:rsid w:val="00FA4F45"/>
    <w:rsid w:val="00FA4FA2"/>
    <w:rsid w:val="00FA50FD"/>
    <w:rsid w:val="00FA5558"/>
    <w:rsid w:val="00FA60FA"/>
    <w:rsid w:val="00FA662D"/>
    <w:rsid w:val="00FA73B1"/>
    <w:rsid w:val="00FB0CB9"/>
    <w:rsid w:val="00FB231D"/>
    <w:rsid w:val="00FB26E7"/>
    <w:rsid w:val="00FB2836"/>
    <w:rsid w:val="00FB3FC3"/>
    <w:rsid w:val="00FB45F1"/>
    <w:rsid w:val="00FB4A72"/>
    <w:rsid w:val="00FB52AE"/>
    <w:rsid w:val="00FB54E8"/>
    <w:rsid w:val="00FB7054"/>
    <w:rsid w:val="00FB7318"/>
    <w:rsid w:val="00FC17B7"/>
    <w:rsid w:val="00FC26B1"/>
    <w:rsid w:val="00FC2CB7"/>
    <w:rsid w:val="00FC4090"/>
    <w:rsid w:val="00FC43D4"/>
    <w:rsid w:val="00FC487B"/>
    <w:rsid w:val="00FC55B4"/>
    <w:rsid w:val="00FD00E6"/>
    <w:rsid w:val="00FD09A1"/>
    <w:rsid w:val="00FD0B23"/>
    <w:rsid w:val="00FD1EEE"/>
    <w:rsid w:val="00FD2A7C"/>
    <w:rsid w:val="00FD3D7F"/>
    <w:rsid w:val="00FD4927"/>
    <w:rsid w:val="00FD4B32"/>
    <w:rsid w:val="00FD5499"/>
    <w:rsid w:val="00FD59EB"/>
    <w:rsid w:val="00FD7299"/>
    <w:rsid w:val="00FE1FBE"/>
    <w:rsid w:val="00FE3016"/>
    <w:rsid w:val="00FE32A9"/>
    <w:rsid w:val="00FE3901"/>
    <w:rsid w:val="00FE39D3"/>
    <w:rsid w:val="00FE4BCE"/>
    <w:rsid w:val="00FE54AE"/>
    <w:rsid w:val="00FE576A"/>
    <w:rsid w:val="00FE7355"/>
    <w:rsid w:val="00FE7E79"/>
    <w:rsid w:val="00FF0F67"/>
    <w:rsid w:val="00FF169E"/>
    <w:rsid w:val="00FF24C0"/>
    <w:rsid w:val="00FF3E7D"/>
    <w:rsid w:val="00FF422E"/>
    <w:rsid w:val="00FF460A"/>
    <w:rsid w:val="00FF589B"/>
    <w:rsid w:val="00FF5B99"/>
    <w:rsid w:val="00FF730C"/>
    <w:rsid w:val="00FF73F4"/>
    <w:rsid w:val="00FF76A1"/>
    <w:rsid w:val="00FF7CE4"/>
    <w:rsid w:val="00FF7E39"/>
    <w:rsid w:val="01617316"/>
    <w:rsid w:val="01B663F7"/>
    <w:rsid w:val="01F75CD6"/>
    <w:rsid w:val="02134680"/>
    <w:rsid w:val="023D4E04"/>
    <w:rsid w:val="02B57269"/>
    <w:rsid w:val="02F25408"/>
    <w:rsid w:val="02F27CE1"/>
    <w:rsid w:val="03CA1151"/>
    <w:rsid w:val="045D78CC"/>
    <w:rsid w:val="04652902"/>
    <w:rsid w:val="05F824D9"/>
    <w:rsid w:val="07350F20"/>
    <w:rsid w:val="078C0855"/>
    <w:rsid w:val="07C41656"/>
    <w:rsid w:val="07DB0C2F"/>
    <w:rsid w:val="08240426"/>
    <w:rsid w:val="085105F6"/>
    <w:rsid w:val="0869091A"/>
    <w:rsid w:val="08AE4799"/>
    <w:rsid w:val="09B342AE"/>
    <w:rsid w:val="0AA15FE0"/>
    <w:rsid w:val="0AC3709D"/>
    <w:rsid w:val="0B2967C1"/>
    <w:rsid w:val="0B7E60D8"/>
    <w:rsid w:val="0BB51797"/>
    <w:rsid w:val="0C05521D"/>
    <w:rsid w:val="0C3049F2"/>
    <w:rsid w:val="0E415563"/>
    <w:rsid w:val="0E7A6B2F"/>
    <w:rsid w:val="0EB30222"/>
    <w:rsid w:val="0F0C432A"/>
    <w:rsid w:val="0F7D0E67"/>
    <w:rsid w:val="0FD348E1"/>
    <w:rsid w:val="124473D0"/>
    <w:rsid w:val="125875BD"/>
    <w:rsid w:val="12BD2F6C"/>
    <w:rsid w:val="12DC491C"/>
    <w:rsid w:val="137E0758"/>
    <w:rsid w:val="139E0CAA"/>
    <w:rsid w:val="148F7029"/>
    <w:rsid w:val="157D1577"/>
    <w:rsid w:val="158703BA"/>
    <w:rsid w:val="15F110D6"/>
    <w:rsid w:val="16500A3A"/>
    <w:rsid w:val="16683834"/>
    <w:rsid w:val="16D30F1D"/>
    <w:rsid w:val="17A979B1"/>
    <w:rsid w:val="184D4EB8"/>
    <w:rsid w:val="19232435"/>
    <w:rsid w:val="19BD699E"/>
    <w:rsid w:val="19CA6C64"/>
    <w:rsid w:val="1A3A2F9C"/>
    <w:rsid w:val="1B2C6221"/>
    <w:rsid w:val="1B2D1349"/>
    <w:rsid w:val="1B310219"/>
    <w:rsid w:val="1B8D71DC"/>
    <w:rsid w:val="1BC86BBE"/>
    <w:rsid w:val="1BED36D1"/>
    <w:rsid w:val="1D2A3C46"/>
    <w:rsid w:val="1E3A5269"/>
    <w:rsid w:val="1EE933CB"/>
    <w:rsid w:val="1F75241C"/>
    <w:rsid w:val="1FC7002C"/>
    <w:rsid w:val="1FE85338"/>
    <w:rsid w:val="203F5E7C"/>
    <w:rsid w:val="21A74694"/>
    <w:rsid w:val="21B06F44"/>
    <w:rsid w:val="223929A7"/>
    <w:rsid w:val="227A4D7C"/>
    <w:rsid w:val="22AA649B"/>
    <w:rsid w:val="23376868"/>
    <w:rsid w:val="235C3A7D"/>
    <w:rsid w:val="23A33009"/>
    <w:rsid w:val="24864FCD"/>
    <w:rsid w:val="24B81555"/>
    <w:rsid w:val="251C7DC6"/>
    <w:rsid w:val="257E5DFB"/>
    <w:rsid w:val="258C32BC"/>
    <w:rsid w:val="25AC3B96"/>
    <w:rsid w:val="25CB1597"/>
    <w:rsid w:val="26BE36E4"/>
    <w:rsid w:val="27B36CF2"/>
    <w:rsid w:val="285A6A7A"/>
    <w:rsid w:val="28F21DA1"/>
    <w:rsid w:val="299C1B3B"/>
    <w:rsid w:val="29F37A7F"/>
    <w:rsid w:val="2A0A16A0"/>
    <w:rsid w:val="2A6416FD"/>
    <w:rsid w:val="2A8E2CF7"/>
    <w:rsid w:val="2B492C31"/>
    <w:rsid w:val="2B4A1AA4"/>
    <w:rsid w:val="2B8A5138"/>
    <w:rsid w:val="2C0400ED"/>
    <w:rsid w:val="2C1C27A9"/>
    <w:rsid w:val="2C5B617A"/>
    <w:rsid w:val="2CBE44D6"/>
    <w:rsid w:val="2CC31FB6"/>
    <w:rsid w:val="2DB41821"/>
    <w:rsid w:val="2DE926D4"/>
    <w:rsid w:val="2DEA1554"/>
    <w:rsid w:val="2E021A19"/>
    <w:rsid w:val="2E241154"/>
    <w:rsid w:val="2F12028D"/>
    <w:rsid w:val="2F2D6F70"/>
    <w:rsid w:val="2F573E98"/>
    <w:rsid w:val="2F86158C"/>
    <w:rsid w:val="30193FED"/>
    <w:rsid w:val="30C11399"/>
    <w:rsid w:val="313B4368"/>
    <w:rsid w:val="32215D33"/>
    <w:rsid w:val="322F478B"/>
    <w:rsid w:val="32815639"/>
    <w:rsid w:val="32D9336C"/>
    <w:rsid w:val="33BB4F6C"/>
    <w:rsid w:val="33EE28C7"/>
    <w:rsid w:val="3427403C"/>
    <w:rsid w:val="348E47AF"/>
    <w:rsid w:val="35167A69"/>
    <w:rsid w:val="35221634"/>
    <w:rsid w:val="3569521C"/>
    <w:rsid w:val="358E5CB8"/>
    <w:rsid w:val="35AC4A89"/>
    <w:rsid w:val="35AF5D9F"/>
    <w:rsid w:val="35D6501A"/>
    <w:rsid w:val="361C55FE"/>
    <w:rsid w:val="36721372"/>
    <w:rsid w:val="36DE0D29"/>
    <w:rsid w:val="36F62FFA"/>
    <w:rsid w:val="37803486"/>
    <w:rsid w:val="37925451"/>
    <w:rsid w:val="37AC0BCE"/>
    <w:rsid w:val="38086EBE"/>
    <w:rsid w:val="38892B83"/>
    <w:rsid w:val="389425B0"/>
    <w:rsid w:val="38B761F8"/>
    <w:rsid w:val="392341A3"/>
    <w:rsid w:val="395E0781"/>
    <w:rsid w:val="397F651D"/>
    <w:rsid w:val="39822C77"/>
    <w:rsid w:val="39AF37E8"/>
    <w:rsid w:val="3A0223B5"/>
    <w:rsid w:val="3A056354"/>
    <w:rsid w:val="3B2103E6"/>
    <w:rsid w:val="3BAC19F6"/>
    <w:rsid w:val="3C010CAA"/>
    <w:rsid w:val="3C6651FB"/>
    <w:rsid w:val="3D0B3B11"/>
    <w:rsid w:val="3D304062"/>
    <w:rsid w:val="3DBC0DAD"/>
    <w:rsid w:val="3DEC0D61"/>
    <w:rsid w:val="3DF84B88"/>
    <w:rsid w:val="3E06586C"/>
    <w:rsid w:val="3E1821B4"/>
    <w:rsid w:val="3E352F9F"/>
    <w:rsid w:val="3EAE1716"/>
    <w:rsid w:val="3ED902D9"/>
    <w:rsid w:val="3EDD4405"/>
    <w:rsid w:val="3EFD13D7"/>
    <w:rsid w:val="3F16726C"/>
    <w:rsid w:val="3FB928FC"/>
    <w:rsid w:val="409C5D9C"/>
    <w:rsid w:val="40B051DC"/>
    <w:rsid w:val="40C559FD"/>
    <w:rsid w:val="410F5832"/>
    <w:rsid w:val="41482682"/>
    <w:rsid w:val="417265A9"/>
    <w:rsid w:val="41E163E2"/>
    <w:rsid w:val="41FF7BB9"/>
    <w:rsid w:val="424D19B6"/>
    <w:rsid w:val="43FB1735"/>
    <w:rsid w:val="44663EED"/>
    <w:rsid w:val="44780FD8"/>
    <w:rsid w:val="44C304A5"/>
    <w:rsid w:val="44E1044F"/>
    <w:rsid w:val="46C545BE"/>
    <w:rsid w:val="473606C3"/>
    <w:rsid w:val="47567AAE"/>
    <w:rsid w:val="478B5BE9"/>
    <w:rsid w:val="48047B7F"/>
    <w:rsid w:val="48487E0F"/>
    <w:rsid w:val="48756281"/>
    <w:rsid w:val="48796334"/>
    <w:rsid w:val="488F0780"/>
    <w:rsid w:val="48C141D1"/>
    <w:rsid w:val="4A0D3830"/>
    <w:rsid w:val="4A83454A"/>
    <w:rsid w:val="4B0E1224"/>
    <w:rsid w:val="4B253F7D"/>
    <w:rsid w:val="4B2C0426"/>
    <w:rsid w:val="4B866569"/>
    <w:rsid w:val="4BDF7418"/>
    <w:rsid w:val="4BF33004"/>
    <w:rsid w:val="4CD64F4D"/>
    <w:rsid w:val="4D3637DE"/>
    <w:rsid w:val="4D4B7289"/>
    <w:rsid w:val="4DD9434D"/>
    <w:rsid w:val="4ED938C8"/>
    <w:rsid w:val="4F4B059F"/>
    <w:rsid w:val="4FB135B2"/>
    <w:rsid w:val="4FED2FCA"/>
    <w:rsid w:val="5001153B"/>
    <w:rsid w:val="51081923"/>
    <w:rsid w:val="51677198"/>
    <w:rsid w:val="52100AA2"/>
    <w:rsid w:val="52484682"/>
    <w:rsid w:val="527A7A2D"/>
    <w:rsid w:val="53046272"/>
    <w:rsid w:val="539352A0"/>
    <w:rsid w:val="53C62AFC"/>
    <w:rsid w:val="54161C73"/>
    <w:rsid w:val="54743529"/>
    <w:rsid w:val="553A3451"/>
    <w:rsid w:val="55683FB3"/>
    <w:rsid w:val="55801A9A"/>
    <w:rsid w:val="55E80BB7"/>
    <w:rsid w:val="55ED1100"/>
    <w:rsid w:val="56110808"/>
    <w:rsid w:val="56B07C27"/>
    <w:rsid w:val="576135FB"/>
    <w:rsid w:val="57AC1C95"/>
    <w:rsid w:val="584D35F3"/>
    <w:rsid w:val="59520784"/>
    <w:rsid w:val="5980475F"/>
    <w:rsid w:val="59853AE4"/>
    <w:rsid w:val="59BA0B35"/>
    <w:rsid w:val="59F97492"/>
    <w:rsid w:val="5A0802B0"/>
    <w:rsid w:val="5A151506"/>
    <w:rsid w:val="5A8738CB"/>
    <w:rsid w:val="5B55445C"/>
    <w:rsid w:val="5B7B3430"/>
    <w:rsid w:val="5C5572A8"/>
    <w:rsid w:val="5CCE1A66"/>
    <w:rsid w:val="5D82220D"/>
    <w:rsid w:val="5DFF008E"/>
    <w:rsid w:val="5E401C90"/>
    <w:rsid w:val="5EBE300E"/>
    <w:rsid w:val="5EFF68D5"/>
    <w:rsid w:val="5F947B69"/>
    <w:rsid w:val="5FDC0AAF"/>
    <w:rsid w:val="5FFF5F1A"/>
    <w:rsid w:val="60B57553"/>
    <w:rsid w:val="60FB503C"/>
    <w:rsid w:val="611355C1"/>
    <w:rsid w:val="625474C2"/>
    <w:rsid w:val="62B92F47"/>
    <w:rsid w:val="62D743C4"/>
    <w:rsid w:val="64283592"/>
    <w:rsid w:val="64325587"/>
    <w:rsid w:val="65962310"/>
    <w:rsid w:val="65F129AC"/>
    <w:rsid w:val="66A575B3"/>
    <w:rsid w:val="66FB7D42"/>
    <w:rsid w:val="67F508D5"/>
    <w:rsid w:val="686A409C"/>
    <w:rsid w:val="689E1495"/>
    <w:rsid w:val="690D143F"/>
    <w:rsid w:val="693316B1"/>
    <w:rsid w:val="69D402A6"/>
    <w:rsid w:val="69FE5404"/>
    <w:rsid w:val="6AB002C4"/>
    <w:rsid w:val="6C122690"/>
    <w:rsid w:val="6C742CA2"/>
    <w:rsid w:val="6CA64EA7"/>
    <w:rsid w:val="6CC16156"/>
    <w:rsid w:val="6CFC7200"/>
    <w:rsid w:val="6D1C1317"/>
    <w:rsid w:val="6D2A0127"/>
    <w:rsid w:val="6DA44327"/>
    <w:rsid w:val="6DC17314"/>
    <w:rsid w:val="6E7B234E"/>
    <w:rsid w:val="6EE802F1"/>
    <w:rsid w:val="6F27128C"/>
    <w:rsid w:val="6F3C5A98"/>
    <w:rsid w:val="70523676"/>
    <w:rsid w:val="706765E7"/>
    <w:rsid w:val="70983FE3"/>
    <w:rsid w:val="71175551"/>
    <w:rsid w:val="71CC3170"/>
    <w:rsid w:val="72046A0E"/>
    <w:rsid w:val="72174750"/>
    <w:rsid w:val="730F09D9"/>
    <w:rsid w:val="73234248"/>
    <w:rsid w:val="73279E71"/>
    <w:rsid w:val="73AB1F81"/>
    <w:rsid w:val="74736F39"/>
    <w:rsid w:val="74816EDD"/>
    <w:rsid w:val="74AB426F"/>
    <w:rsid w:val="757207CD"/>
    <w:rsid w:val="76085D38"/>
    <w:rsid w:val="77982782"/>
    <w:rsid w:val="781538EE"/>
    <w:rsid w:val="78B375E8"/>
    <w:rsid w:val="7AD63D87"/>
    <w:rsid w:val="7B142DB7"/>
    <w:rsid w:val="7B166658"/>
    <w:rsid w:val="7B8726A6"/>
    <w:rsid w:val="7B8C2698"/>
    <w:rsid w:val="7BDB42CC"/>
    <w:rsid w:val="7BF07B2F"/>
    <w:rsid w:val="7BFE4B2A"/>
    <w:rsid w:val="7C145088"/>
    <w:rsid w:val="7C2C4E0C"/>
    <w:rsid w:val="7CB35BA7"/>
    <w:rsid w:val="7CFB23D2"/>
    <w:rsid w:val="7D537077"/>
    <w:rsid w:val="7D8555F0"/>
    <w:rsid w:val="7D975C9C"/>
    <w:rsid w:val="7E0E1A8A"/>
    <w:rsid w:val="7E931112"/>
    <w:rsid w:val="7F6D44BC"/>
    <w:rsid w:val="7FD069C5"/>
    <w:rsid w:val="AF6BBAA9"/>
    <w:rsid w:val="C4BF25E2"/>
    <w:rsid w:val="ECA375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99" w:name="table of figures"/>
    <w:lsdException w:uiPriority="99" w:name="envelope address"/>
    <w:lsdException w:uiPriority="99" w:name="envelope return"/>
    <w:lsdException w:qFormat="1" w:unhideWhenUsed="0" w:uiPriority="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360" w:firstLineChars="200"/>
      <w:jc w:val="center"/>
    </w:pPr>
    <w:rPr>
      <w:rFonts w:ascii="宋体" w:hAnsi="宋体" w:eastAsia="宋体" w:cs="Times New Roman"/>
      <w:kern w:val="2"/>
      <w:sz w:val="18"/>
      <w:szCs w:val="18"/>
      <w:lang w:val="zh-CN" w:eastAsia="zh-CN" w:bidi="ar-SA"/>
    </w:rPr>
  </w:style>
  <w:style w:type="paragraph" w:styleId="2">
    <w:name w:val="heading 1"/>
    <w:basedOn w:val="1"/>
    <w:next w:val="1"/>
    <w:link w:val="4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4"/>
    <w:qFormat/>
    <w:uiPriority w:val="9"/>
    <w:pPr>
      <w:keepNext/>
      <w:keepLines/>
      <w:spacing w:before="260" w:after="260" w:line="416" w:lineRule="auto"/>
      <w:outlineLvl w:val="2"/>
    </w:pPr>
    <w:rPr>
      <w:b/>
      <w:bCs/>
      <w:sz w:val="32"/>
      <w:szCs w:val="32"/>
    </w:rPr>
  </w:style>
  <w:style w:type="paragraph" w:styleId="5">
    <w:name w:val="heading 4"/>
    <w:basedOn w:val="1"/>
    <w:next w:val="1"/>
    <w:link w:val="45"/>
    <w:qFormat/>
    <w:uiPriority w:val="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6"/>
    <w:qFormat/>
    <w:uiPriority w:val="9"/>
    <w:pPr>
      <w:keepNext/>
      <w:keepLines/>
      <w:adjustRightInd/>
      <w:spacing w:before="280" w:after="290" w:line="376" w:lineRule="auto"/>
      <w:outlineLvl w:val="4"/>
    </w:pPr>
    <w:rPr>
      <w:b/>
      <w:bCs/>
      <w:sz w:val="28"/>
      <w:szCs w:val="28"/>
    </w:rPr>
  </w:style>
  <w:style w:type="paragraph" w:styleId="7">
    <w:name w:val="heading 6"/>
    <w:basedOn w:val="1"/>
    <w:next w:val="1"/>
    <w:link w:val="47"/>
    <w:qFormat/>
    <w:uiPriority w:val="9"/>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8"/>
    <w:qFormat/>
    <w:uiPriority w:val="9"/>
    <w:pPr>
      <w:keepNext/>
      <w:keepLines/>
      <w:adjustRightInd/>
      <w:spacing w:before="240" w:after="64" w:line="320" w:lineRule="auto"/>
      <w:outlineLvl w:val="6"/>
    </w:pPr>
    <w:rPr>
      <w:b/>
      <w:bCs/>
      <w:sz w:val="24"/>
      <w:szCs w:val="24"/>
    </w:rPr>
  </w:style>
  <w:style w:type="paragraph" w:styleId="9">
    <w:name w:val="heading 8"/>
    <w:basedOn w:val="1"/>
    <w:next w:val="1"/>
    <w:link w:val="49"/>
    <w:qFormat/>
    <w:uiPriority w:val="9"/>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50"/>
    <w:qFormat/>
    <w:uiPriority w:val="9"/>
    <w:pPr>
      <w:keepNext/>
      <w:keepLines/>
      <w:adjustRightInd/>
      <w:spacing w:before="240" w:after="64" w:line="320" w:lineRule="auto"/>
      <w:outlineLvl w:val="8"/>
    </w:pPr>
    <w:rPr>
      <w:rFonts w:ascii="Arial" w:hAnsi="Arial" w:eastAsia="黑体"/>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style>
  <w:style w:type="paragraph" w:styleId="12">
    <w:name w:val="Normal Indent"/>
    <w:basedOn w:val="1"/>
    <w:qFormat/>
    <w:uiPriority w:val="0"/>
  </w:style>
  <w:style w:type="paragraph" w:styleId="13">
    <w:name w:val="annotation text"/>
    <w:basedOn w:val="1"/>
    <w:link w:val="253"/>
    <w:unhideWhenUsed/>
    <w:qFormat/>
    <w:uiPriority w:val="0"/>
  </w:style>
  <w:style w:type="paragraph" w:styleId="14">
    <w:name w:val="Body Text"/>
    <w:basedOn w:val="1"/>
    <w:link w:val="94"/>
    <w:qFormat/>
    <w:uiPriority w:val="0"/>
    <w:pPr>
      <w:spacing w:after="120"/>
    </w:pPr>
    <w:rPr>
      <w:rFonts w:ascii="黑体" w:hAnsi="黑体" w:eastAsia="黑体"/>
      <w:kern w:val="0"/>
      <w:sz w:val="32"/>
      <w:szCs w:val="32"/>
    </w:rPr>
  </w:style>
  <w:style w:type="paragraph" w:styleId="15">
    <w:name w:val="Body Text Indent"/>
    <w:basedOn w:val="1"/>
    <w:link w:val="327"/>
    <w:semiHidden/>
    <w:unhideWhenUsed/>
    <w:qFormat/>
    <w:uiPriority w:val="99"/>
    <w:pPr>
      <w:spacing w:after="120"/>
      <w:ind w:left="420" w:leftChars="200"/>
    </w:pPr>
  </w:style>
  <w:style w:type="paragraph" w:styleId="16">
    <w:name w:val="toc 5"/>
    <w:basedOn w:val="1"/>
    <w:next w:val="1"/>
    <w:unhideWhenUsed/>
    <w:qFormat/>
    <w:uiPriority w:val="39"/>
    <w:pPr>
      <w:ind w:left="839"/>
    </w:pPr>
  </w:style>
  <w:style w:type="paragraph" w:styleId="17">
    <w:name w:val="toc 3"/>
    <w:basedOn w:val="1"/>
    <w:next w:val="1"/>
    <w:unhideWhenUsed/>
    <w:qFormat/>
    <w:uiPriority w:val="39"/>
    <w:pPr>
      <w:spacing w:line="300" w:lineRule="exact"/>
      <w:ind w:left="420"/>
    </w:pPr>
  </w:style>
  <w:style w:type="paragraph" w:styleId="18">
    <w:name w:val="Balloon Text"/>
    <w:basedOn w:val="1"/>
    <w:link w:val="53"/>
    <w:semiHidden/>
    <w:unhideWhenUsed/>
    <w:qFormat/>
    <w:uiPriority w:val="99"/>
  </w:style>
  <w:style w:type="paragraph" w:styleId="19">
    <w:name w:val="footer"/>
    <w:basedOn w:val="1"/>
    <w:link w:val="52"/>
    <w:qFormat/>
    <w:uiPriority w:val="99"/>
    <w:pPr>
      <w:tabs>
        <w:tab w:val="center" w:pos="4153"/>
        <w:tab w:val="right" w:pos="8306"/>
      </w:tabs>
      <w:adjustRightInd/>
      <w:spacing w:line="240" w:lineRule="auto"/>
    </w:pPr>
  </w:style>
  <w:style w:type="paragraph" w:styleId="20">
    <w:name w:val="header"/>
    <w:basedOn w:val="1"/>
    <w:link w:val="51"/>
    <w:qFormat/>
    <w:uiPriority w:val="99"/>
    <w:pPr>
      <w:tabs>
        <w:tab w:val="center" w:pos="4153"/>
        <w:tab w:val="right" w:pos="8306"/>
      </w:tabs>
      <w:adjustRightInd/>
      <w:jc w:val="left"/>
    </w:pPr>
  </w:style>
  <w:style w:type="paragraph" w:styleId="21">
    <w:name w:val="toc 1"/>
    <w:basedOn w:val="1"/>
    <w:next w:val="1"/>
    <w:unhideWhenUsed/>
    <w:qFormat/>
    <w:uiPriority w:val="39"/>
  </w:style>
  <w:style w:type="paragraph" w:styleId="22">
    <w:name w:val="toc 4"/>
    <w:basedOn w:val="1"/>
    <w:next w:val="1"/>
    <w:unhideWhenUsed/>
    <w:qFormat/>
    <w:uiPriority w:val="39"/>
    <w:pPr>
      <w:tabs>
        <w:tab w:val="right" w:leader="dot" w:pos="9344"/>
      </w:tabs>
      <w:spacing w:line="300" w:lineRule="exact"/>
      <w:ind w:left="629"/>
    </w:pPr>
  </w:style>
  <w:style w:type="paragraph" w:styleId="23">
    <w:name w:val="Subtitle"/>
    <w:basedOn w:val="1"/>
    <w:next w:val="1"/>
    <w:link w:val="255"/>
    <w:qFormat/>
    <w:uiPriority w:val="11"/>
    <w:pPr>
      <w:spacing w:before="240" w:after="60" w:line="312" w:lineRule="atLeast"/>
      <w:outlineLvl w:val="1"/>
    </w:pPr>
    <w:rPr>
      <w:rFonts w:asciiTheme="minorHAnsi" w:hAnsiTheme="minorHAnsi" w:eastAsiaTheme="minorEastAsia" w:cstheme="minorBidi"/>
      <w:b/>
      <w:bCs/>
      <w:kern w:val="28"/>
      <w:sz w:val="32"/>
      <w:szCs w:val="32"/>
    </w:rPr>
  </w:style>
  <w:style w:type="paragraph" w:styleId="24">
    <w:name w:val="footnote text"/>
    <w:basedOn w:val="1"/>
    <w:next w:val="1"/>
    <w:link w:val="107"/>
    <w:semiHidden/>
    <w:qFormat/>
    <w:uiPriority w:val="0"/>
    <w:pPr>
      <w:adjustRightInd/>
      <w:spacing w:line="300" w:lineRule="exact"/>
      <w:ind w:left="400" w:leftChars="200" w:hanging="200" w:hangingChars="200"/>
    </w:pPr>
  </w:style>
  <w:style w:type="paragraph" w:styleId="25">
    <w:name w:val="toc 6"/>
    <w:basedOn w:val="1"/>
    <w:next w:val="1"/>
    <w:unhideWhenUsed/>
    <w:qFormat/>
    <w:uiPriority w:val="39"/>
    <w:pPr>
      <w:spacing w:line="300" w:lineRule="exact"/>
      <w:ind w:left="1049"/>
    </w:pPr>
  </w:style>
  <w:style w:type="paragraph" w:styleId="26">
    <w:name w:val="table of figures"/>
    <w:basedOn w:val="1"/>
    <w:next w:val="1"/>
    <w:link w:val="269"/>
    <w:semiHidden/>
    <w:qFormat/>
    <w:uiPriority w:val="99"/>
    <w:pPr>
      <w:adjustRightInd/>
      <w:spacing w:line="240" w:lineRule="auto"/>
    </w:pPr>
    <w:rPr>
      <w:szCs w:val="24"/>
    </w:rPr>
  </w:style>
  <w:style w:type="paragraph" w:styleId="27">
    <w:name w:val="toc 2"/>
    <w:basedOn w:val="1"/>
    <w:next w:val="1"/>
    <w:unhideWhenUsed/>
    <w:qFormat/>
    <w:uiPriority w:val="39"/>
    <w:pPr>
      <w:tabs>
        <w:tab w:val="right" w:leader="dot" w:pos="9344"/>
      </w:tabs>
      <w:spacing w:line="300" w:lineRule="exact"/>
      <w:ind w:left="210"/>
    </w:pPr>
  </w:style>
  <w:style w:type="paragraph" w:styleId="28">
    <w:name w:val="Normal (Web)"/>
    <w:basedOn w:val="1"/>
    <w:qFormat/>
    <w:uiPriority w:val="99"/>
    <w:pPr>
      <w:widowControl/>
      <w:adjustRightInd/>
      <w:spacing w:line="240" w:lineRule="auto"/>
    </w:pPr>
    <w:rPr>
      <w:rFonts w:cs="宋体"/>
      <w:kern w:val="0"/>
    </w:rPr>
  </w:style>
  <w:style w:type="paragraph" w:styleId="29">
    <w:name w:val="Title"/>
    <w:basedOn w:val="1"/>
    <w:link w:val="56"/>
    <w:qFormat/>
    <w:uiPriority w:val="10"/>
    <w:pPr>
      <w:spacing w:before="240" w:after="60"/>
      <w:outlineLvl w:val="0"/>
    </w:pPr>
    <w:rPr>
      <w:rFonts w:ascii="Arial" w:hAnsi="Arial" w:cs="Arial"/>
      <w:b/>
      <w:bCs/>
      <w:sz w:val="32"/>
      <w:szCs w:val="32"/>
    </w:rPr>
  </w:style>
  <w:style w:type="paragraph" w:styleId="30">
    <w:name w:val="annotation subject"/>
    <w:basedOn w:val="13"/>
    <w:next w:val="13"/>
    <w:link w:val="254"/>
    <w:semiHidden/>
    <w:unhideWhenUsed/>
    <w:qFormat/>
    <w:uiPriority w:val="99"/>
    <w:rPr>
      <w:b/>
      <w:bCs/>
    </w:rPr>
  </w:style>
  <w:style w:type="paragraph" w:styleId="31">
    <w:name w:val="Body Text First Indent 2"/>
    <w:basedOn w:val="15"/>
    <w:link w:val="328"/>
    <w:semiHidden/>
    <w:unhideWhenUsed/>
    <w:qFormat/>
    <w:uiPriority w:val="99"/>
  </w:style>
  <w:style w:type="table" w:styleId="33">
    <w:name w:val="Table Grid"/>
    <w:basedOn w:val="3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qFormat/>
    <w:uiPriority w:val="22"/>
    <w:rPr>
      <w:b/>
      <w:bCs/>
    </w:rPr>
  </w:style>
  <w:style w:type="character" w:styleId="36">
    <w:name w:val="page number"/>
    <w:qFormat/>
    <w:uiPriority w:val="0"/>
    <w:rPr>
      <w:rFonts w:ascii="宋体" w:hAnsi="Times New Roman" w:eastAsia="宋体"/>
      <w:sz w:val="18"/>
    </w:rPr>
  </w:style>
  <w:style w:type="character" w:styleId="37">
    <w:name w:val="FollowedHyperlink"/>
    <w:basedOn w:val="34"/>
    <w:semiHidden/>
    <w:unhideWhenUsed/>
    <w:qFormat/>
    <w:uiPriority w:val="99"/>
    <w:rPr>
      <w:color w:val="800080"/>
      <w:u w:val="single"/>
    </w:rPr>
  </w:style>
  <w:style w:type="character" w:styleId="38">
    <w:name w:val="Emphasis"/>
    <w:qFormat/>
    <w:uiPriority w:val="20"/>
    <w:rPr>
      <w:i/>
      <w:iCs/>
    </w:rPr>
  </w:style>
  <w:style w:type="character" w:styleId="39">
    <w:name w:val="Hyperlink"/>
    <w:qFormat/>
    <w:uiPriority w:val="99"/>
    <w:rPr>
      <w:rFonts w:ascii="宋体" w:hAnsi="Times New Roman" w:eastAsia="宋体"/>
      <w:color w:val="auto"/>
      <w:spacing w:val="0"/>
      <w:w w:val="100"/>
      <w:position w:val="0"/>
      <w:sz w:val="21"/>
      <w:u w:val="none"/>
      <w:vertAlign w:val="baseline"/>
    </w:rPr>
  </w:style>
  <w:style w:type="character" w:styleId="40">
    <w:name w:val="annotation reference"/>
    <w:basedOn w:val="34"/>
    <w:unhideWhenUsed/>
    <w:qFormat/>
    <w:uiPriority w:val="0"/>
    <w:rPr>
      <w:sz w:val="21"/>
      <w:szCs w:val="21"/>
    </w:rPr>
  </w:style>
  <w:style w:type="character" w:styleId="41">
    <w:name w:val="footnote reference"/>
    <w:semiHidden/>
    <w:qFormat/>
    <w:uiPriority w:val="0"/>
    <w:rPr>
      <w:rFonts w:ascii="宋体" w:hAnsi="宋体" w:eastAsia="宋体" w:cs="Times New Roman"/>
      <w:spacing w:val="0"/>
      <w:sz w:val="18"/>
      <w:vertAlign w:val="superscript"/>
    </w:rPr>
  </w:style>
  <w:style w:type="character" w:customStyle="1" w:styleId="42">
    <w:name w:val="标题 1 字符"/>
    <w:link w:val="2"/>
    <w:qFormat/>
    <w:uiPriority w:val="9"/>
    <w:rPr>
      <w:rFonts w:ascii="Times New Roman" w:hAnsi="Times New Roman" w:eastAsia="宋体" w:cs="Times New Roman"/>
      <w:b/>
      <w:bCs/>
      <w:kern w:val="44"/>
      <w:sz w:val="44"/>
      <w:szCs w:val="44"/>
    </w:rPr>
  </w:style>
  <w:style w:type="character" w:customStyle="1" w:styleId="43">
    <w:name w:val="标题 2 字符"/>
    <w:link w:val="3"/>
    <w:qFormat/>
    <w:uiPriority w:val="9"/>
    <w:rPr>
      <w:rFonts w:ascii="Arial" w:hAnsi="Arial" w:eastAsia="黑体" w:cs="Times New Roman"/>
      <w:b/>
      <w:bCs/>
      <w:sz w:val="32"/>
      <w:szCs w:val="32"/>
    </w:rPr>
  </w:style>
  <w:style w:type="character" w:customStyle="1" w:styleId="44">
    <w:name w:val="标题 3 字符"/>
    <w:link w:val="4"/>
    <w:qFormat/>
    <w:uiPriority w:val="9"/>
    <w:rPr>
      <w:rFonts w:ascii="Times New Roman" w:hAnsi="Times New Roman" w:eastAsia="宋体" w:cs="Times New Roman"/>
      <w:b/>
      <w:bCs/>
      <w:sz w:val="32"/>
      <w:szCs w:val="32"/>
    </w:rPr>
  </w:style>
  <w:style w:type="character" w:customStyle="1" w:styleId="45">
    <w:name w:val="标题 4 字符"/>
    <w:link w:val="5"/>
    <w:qFormat/>
    <w:uiPriority w:val="9"/>
    <w:rPr>
      <w:rFonts w:ascii="Arial" w:hAnsi="Arial" w:eastAsia="黑体" w:cs="Times New Roman"/>
      <w:b/>
      <w:bCs/>
      <w:sz w:val="28"/>
      <w:szCs w:val="28"/>
    </w:rPr>
  </w:style>
  <w:style w:type="character" w:customStyle="1" w:styleId="46">
    <w:name w:val="标题 5 字符"/>
    <w:link w:val="6"/>
    <w:qFormat/>
    <w:uiPriority w:val="9"/>
    <w:rPr>
      <w:rFonts w:ascii="Times New Roman" w:hAnsi="Times New Roman" w:eastAsia="宋体" w:cs="Times New Roman"/>
      <w:b/>
      <w:bCs/>
      <w:sz w:val="28"/>
      <w:szCs w:val="28"/>
    </w:rPr>
  </w:style>
  <w:style w:type="character" w:customStyle="1" w:styleId="47">
    <w:name w:val="标题 6 字符"/>
    <w:link w:val="7"/>
    <w:qFormat/>
    <w:uiPriority w:val="9"/>
    <w:rPr>
      <w:rFonts w:ascii="Arial" w:hAnsi="Arial" w:eastAsia="黑体" w:cs="Times New Roman"/>
      <w:b/>
      <w:bCs/>
      <w:sz w:val="24"/>
      <w:szCs w:val="24"/>
    </w:rPr>
  </w:style>
  <w:style w:type="character" w:customStyle="1" w:styleId="48">
    <w:name w:val="标题 7 字符"/>
    <w:link w:val="8"/>
    <w:qFormat/>
    <w:uiPriority w:val="9"/>
    <w:rPr>
      <w:rFonts w:ascii="Times New Roman" w:hAnsi="Times New Roman" w:eastAsia="宋体" w:cs="Times New Roman"/>
      <w:b/>
      <w:bCs/>
      <w:sz w:val="24"/>
      <w:szCs w:val="24"/>
    </w:rPr>
  </w:style>
  <w:style w:type="character" w:customStyle="1" w:styleId="49">
    <w:name w:val="标题 8 字符"/>
    <w:link w:val="9"/>
    <w:qFormat/>
    <w:uiPriority w:val="9"/>
    <w:rPr>
      <w:rFonts w:ascii="Arial" w:hAnsi="Arial" w:eastAsia="黑体" w:cs="Times New Roman"/>
      <w:sz w:val="24"/>
      <w:szCs w:val="24"/>
    </w:rPr>
  </w:style>
  <w:style w:type="character" w:customStyle="1" w:styleId="50">
    <w:name w:val="标题 9 字符"/>
    <w:link w:val="10"/>
    <w:qFormat/>
    <w:uiPriority w:val="9"/>
    <w:rPr>
      <w:rFonts w:ascii="Arial" w:hAnsi="Arial" w:eastAsia="黑体" w:cs="Times New Roman"/>
      <w:szCs w:val="21"/>
    </w:rPr>
  </w:style>
  <w:style w:type="character" w:customStyle="1" w:styleId="51">
    <w:name w:val="页眉 字符"/>
    <w:link w:val="20"/>
    <w:qFormat/>
    <w:uiPriority w:val="99"/>
    <w:rPr>
      <w:rFonts w:ascii="宋体" w:hAnsi="宋体"/>
      <w:kern w:val="2"/>
      <w:sz w:val="18"/>
      <w:szCs w:val="18"/>
    </w:rPr>
  </w:style>
  <w:style w:type="character" w:customStyle="1" w:styleId="52">
    <w:name w:val="页脚 字符"/>
    <w:link w:val="19"/>
    <w:qFormat/>
    <w:uiPriority w:val="99"/>
    <w:rPr>
      <w:rFonts w:ascii="宋体" w:hAnsi="楷体" w:eastAsia="楷体"/>
      <w:snapToGrid w:val="0"/>
      <w:kern w:val="2"/>
      <w:sz w:val="18"/>
      <w:szCs w:val="18"/>
    </w:rPr>
  </w:style>
  <w:style w:type="character" w:customStyle="1" w:styleId="53">
    <w:name w:val="批注框文本 字符"/>
    <w:link w:val="18"/>
    <w:semiHidden/>
    <w:qFormat/>
    <w:uiPriority w:val="99"/>
    <w:rPr>
      <w:sz w:val="18"/>
      <w:szCs w:val="18"/>
    </w:rPr>
  </w:style>
  <w:style w:type="paragraph" w:styleId="54">
    <w:name w:val="Quote"/>
    <w:basedOn w:val="1"/>
    <w:next w:val="1"/>
    <w:link w:val="55"/>
    <w:qFormat/>
    <w:uiPriority w:val="29"/>
    <w:rPr>
      <w:i/>
      <w:iCs/>
      <w:color w:val="000000"/>
    </w:rPr>
  </w:style>
  <w:style w:type="character" w:customStyle="1" w:styleId="55">
    <w:name w:val="引用 字符"/>
    <w:link w:val="54"/>
    <w:qFormat/>
    <w:uiPriority w:val="29"/>
    <w:rPr>
      <w:i/>
      <w:iCs/>
      <w:color w:val="000000"/>
    </w:rPr>
  </w:style>
  <w:style w:type="character" w:customStyle="1" w:styleId="56">
    <w:name w:val="标题 字符"/>
    <w:link w:val="29"/>
    <w:qFormat/>
    <w:uiPriority w:val="10"/>
    <w:rPr>
      <w:rFonts w:ascii="Arial" w:hAnsi="Arial" w:eastAsia="宋体" w:cs="Arial"/>
      <w:b/>
      <w:bCs/>
      <w:sz w:val="32"/>
      <w:szCs w:val="32"/>
    </w:rPr>
  </w:style>
  <w:style w:type="paragraph" w:customStyle="1" w:styleId="57">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8">
    <w:name w:val="标准称谓"/>
    <w:next w:val="1"/>
    <w:qFormat/>
    <w:uiPriority w:val="9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9">
    <w:name w:val="标准文件_页脚偶数页"/>
    <w:qFormat/>
    <w:uiPriority w:val="99"/>
    <w:pPr>
      <w:ind w:left="198"/>
    </w:pPr>
    <w:rPr>
      <w:rFonts w:ascii="宋体" w:hAnsi="Times New Roman" w:eastAsia="宋体" w:cs="Times New Roman"/>
      <w:sz w:val="18"/>
      <w:lang w:val="en-US" w:eastAsia="zh-CN" w:bidi="ar-SA"/>
    </w:rPr>
  </w:style>
  <w:style w:type="paragraph" w:customStyle="1" w:styleId="60">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61">
    <w:name w:val="标准书眉一"/>
    <w:qFormat/>
    <w:uiPriority w:val="0"/>
    <w:pPr>
      <w:jc w:val="both"/>
    </w:pPr>
    <w:rPr>
      <w:rFonts w:ascii="Times New Roman" w:hAnsi="Times New Roman" w:eastAsia="宋体" w:cs="Times New Roman"/>
      <w:lang w:val="en-US" w:eastAsia="zh-CN" w:bidi="ar-SA"/>
    </w:rPr>
  </w:style>
  <w:style w:type="paragraph" w:customStyle="1" w:styleId="62">
    <w:name w:val="标准文件_ICS"/>
    <w:basedOn w:val="1"/>
    <w:qFormat/>
    <w:uiPriority w:val="0"/>
    <w:pPr>
      <w:spacing w:line="0" w:lineRule="atLeast"/>
    </w:pPr>
    <w:rPr>
      <w:rFonts w:ascii="黑体" w:eastAsia="黑体"/>
    </w:rPr>
  </w:style>
  <w:style w:type="paragraph" w:customStyle="1" w:styleId="63">
    <w:name w:val="标准文件_标准正文"/>
    <w:basedOn w:val="1"/>
    <w:next w:val="64"/>
    <w:qFormat/>
    <w:uiPriority w:val="0"/>
    <w:pPr>
      <w:ind w:firstLine="200"/>
    </w:pPr>
    <w:rPr>
      <w:kern w:val="0"/>
    </w:rPr>
  </w:style>
  <w:style w:type="paragraph" w:customStyle="1" w:styleId="64">
    <w:name w:val="标准文件_段"/>
    <w:link w:val="192"/>
    <w:qFormat/>
    <w:uiPriority w:val="99"/>
    <w:pPr>
      <w:autoSpaceDE w:val="0"/>
      <w:autoSpaceDN w:val="0"/>
      <w:adjustRightInd w:val="0"/>
      <w:snapToGrid w:val="0"/>
      <w:spacing w:before="100" w:after="100" w:line="360" w:lineRule="auto"/>
      <w:ind w:right="90" w:rightChars="50" w:firstLine="420" w:firstLineChars="200"/>
      <w:jc w:val="both"/>
    </w:pPr>
    <w:rPr>
      <w:rFonts w:ascii="宋体" w:hAnsi="Times New Roman" w:eastAsia="宋体" w:cs="Times New Roman"/>
      <w:sz w:val="21"/>
      <w:lang w:val="en-US" w:eastAsia="zh-CN" w:bidi="ar-SA"/>
    </w:rPr>
  </w:style>
  <w:style w:type="paragraph" w:customStyle="1" w:styleId="65">
    <w:name w:val="标准文件_版本"/>
    <w:basedOn w:val="63"/>
    <w:qFormat/>
    <w:uiPriority w:val="0"/>
    <w:pPr>
      <w:adjustRightInd/>
      <w:snapToGrid/>
      <w:ind w:firstLine="0" w:firstLineChars="0"/>
    </w:pPr>
    <w:rPr>
      <w:kern w:val="2"/>
    </w:rPr>
  </w:style>
  <w:style w:type="paragraph" w:customStyle="1" w:styleId="66">
    <w:name w:val="标准文件_标准部门"/>
    <w:basedOn w:val="1"/>
    <w:qFormat/>
    <w:uiPriority w:val="0"/>
    <w:rPr>
      <w:rFonts w:ascii="黑体" w:eastAsia="黑体"/>
      <w:kern w:val="0"/>
      <w:sz w:val="44"/>
    </w:rPr>
  </w:style>
  <w:style w:type="paragraph" w:customStyle="1" w:styleId="67">
    <w:name w:val="标准文件_标准代替"/>
    <w:basedOn w:val="1"/>
    <w:next w:val="1"/>
    <w:qFormat/>
    <w:uiPriority w:val="0"/>
    <w:pPr>
      <w:spacing w:line="310" w:lineRule="exact"/>
      <w:jc w:val="right"/>
    </w:pPr>
    <w:rPr>
      <w:kern w:val="0"/>
    </w:rPr>
  </w:style>
  <w:style w:type="paragraph" w:customStyle="1" w:styleId="68">
    <w:name w:val="标准文件_标准名称标题"/>
    <w:basedOn w:val="1"/>
    <w:next w:val="1"/>
    <w:qFormat/>
    <w:uiPriority w:val="0"/>
    <w:pPr>
      <w:widowControl/>
      <w:shd w:val="clear" w:color="FFFFFF" w:fill="FFFFFF"/>
      <w:adjustRightInd/>
      <w:spacing w:before="640" w:after="100"/>
    </w:pPr>
    <w:rPr>
      <w:rFonts w:ascii="黑体" w:eastAsia="黑体"/>
      <w:kern w:val="0"/>
      <w:sz w:val="32"/>
    </w:rPr>
  </w:style>
  <w:style w:type="paragraph" w:customStyle="1" w:styleId="69">
    <w:name w:val="标准文件_页眉奇数页"/>
    <w:next w:val="1"/>
    <w:qFormat/>
    <w:uiPriority w:val="0"/>
    <w:pPr>
      <w:tabs>
        <w:tab w:val="center" w:pos="4154"/>
        <w:tab w:val="right" w:pos="8306"/>
      </w:tabs>
      <w:spacing w:after="120"/>
      <w:jc w:val="right"/>
    </w:pPr>
    <w:rPr>
      <w:rFonts w:ascii="黑体" w:hAnsi="宋体" w:eastAsia="黑体" w:cs="Times New Roman"/>
      <w:sz w:val="18"/>
      <w:szCs w:val="18"/>
      <w:lang w:val="en-US" w:eastAsia="zh-CN" w:bidi="ar-SA"/>
    </w:rPr>
  </w:style>
  <w:style w:type="paragraph" w:customStyle="1" w:styleId="70">
    <w:name w:val="标准文件_页眉偶数页"/>
    <w:basedOn w:val="69"/>
    <w:next w:val="1"/>
    <w:qFormat/>
    <w:uiPriority w:val="0"/>
    <w:pPr>
      <w:jc w:val="left"/>
    </w:pPr>
  </w:style>
  <w:style w:type="paragraph" w:customStyle="1" w:styleId="71">
    <w:name w:val="标准文件_参考文献标题"/>
    <w:basedOn w:val="1"/>
    <w:next w:val="1"/>
    <w:qFormat/>
    <w:uiPriority w:val="0"/>
    <w:pPr>
      <w:widowControl/>
      <w:shd w:val="clear" w:color="FFFFFF" w:fill="FFFFFF"/>
      <w:adjustRightInd/>
      <w:spacing w:beforeLines="40" w:afterLines="50" w:line="240" w:lineRule="auto"/>
      <w:outlineLvl w:val="0"/>
    </w:pPr>
    <w:rPr>
      <w:rFonts w:ascii="黑体" w:eastAsia="黑体"/>
      <w:kern w:val="0"/>
    </w:rPr>
  </w:style>
  <w:style w:type="paragraph" w:customStyle="1" w:styleId="72">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73">
    <w:name w:val="标准文件_二级条标题"/>
    <w:next w:val="64"/>
    <w:link w:val="268"/>
    <w:qFormat/>
    <w:uiPriority w:val="99"/>
    <w:pPr>
      <w:widowControl w:val="0"/>
      <w:spacing w:beforeLines="50" w:afterLines="50"/>
      <w:jc w:val="both"/>
      <w:outlineLvl w:val="2"/>
    </w:pPr>
    <w:rPr>
      <w:rFonts w:ascii="黑体" w:hAnsi="Times New Roman" w:eastAsia="黑体" w:cs="Times New Roman"/>
      <w:sz w:val="21"/>
      <w:lang w:val="en-US" w:eastAsia="zh-CN" w:bidi="ar-SA"/>
    </w:rPr>
  </w:style>
  <w:style w:type="character" w:customStyle="1" w:styleId="74">
    <w:name w:val="标准文件_发布"/>
    <w:qFormat/>
    <w:uiPriority w:val="0"/>
    <w:rPr>
      <w:rFonts w:ascii="黑体" w:eastAsia="黑体"/>
      <w:spacing w:val="0"/>
      <w:w w:val="100"/>
      <w:position w:val="3"/>
      <w:sz w:val="28"/>
    </w:rPr>
  </w:style>
  <w:style w:type="paragraph" w:customStyle="1" w:styleId="75">
    <w:name w:val="标准文件_方框数字列项"/>
    <w:basedOn w:val="64"/>
    <w:qFormat/>
    <w:uiPriority w:val="0"/>
    <w:pPr>
      <w:numPr>
        <w:ilvl w:val="0"/>
        <w:numId w:val="2"/>
      </w:numPr>
      <w:ind w:firstLine="0" w:firstLineChars="0"/>
    </w:pPr>
  </w:style>
  <w:style w:type="paragraph" w:customStyle="1" w:styleId="76">
    <w:name w:val="标准文件_封面标准编号"/>
    <w:basedOn w:val="1"/>
    <w:next w:val="67"/>
    <w:qFormat/>
    <w:uiPriority w:val="0"/>
    <w:pPr>
      <w:spacing w:line="310" w:lineRule="exact"/>
      <w:jc w:val="right"/>
    </w:pPr>
    <w:rPr>
      <w:rFonts w:ascii="黑体" w:eastAsia="黑体"/>
      <w:kern w:val="0"/>
      <w:sz w:val="28"/>
    </w:rPr>
  </w:style>
  <w:style w:type="paragraph" w:customStyle="1" w:styleId="77">
    <w:name w:val="标准文件_封面标准分类号"/>
    <w:basedOn w:val="1"/>
    <w:qFormat/>
    <w:uiPriority w:val="0"/>
    <w:rPr>
      <w:rFonts w:ascii="黑体" w:eastAsia="黑体"/>
      <w:b/>
      <w:kern w:val="0"/>
      <w:sz w:val="28"/>
    </w:rPr>
  </w:style>
  <w:style w:type="paragraph" w:customStyle="1" w:styleId="78">
    <w:name w:val="标准文件_封面标准名称"/>
    <w:basedOn w:val="1"/>
    <w:qFormat/>
    <w:uiPriority w:val="0"/>
    <w:pPr>
      <w:spacing w:line="240" w:lineRule="auto"/>
    </w:pPr>
    <w:rPr>
      <w:rFonts w:ascii="黑体" w:eastAsia="黑体"/>
      <w:kern w:val="0"/>
      <w:sz w:val="52"/>
    </w:rPr>
  </w:style>
  <w:style w:type="paragraph" w:customStyle="1" w:styleId="79">
    <w:name w:val="标准文件_封面标准英文名称"/>
    <w:basedOn w:val="1"/>
    <w:qFormat/>
    <w:uiPriority w:val="0"/>
    <w:pPr>
      <w:spacing w:line="240" w:lineRule="auto"/>
    </w:pPr>
    <w:rPr>
      <w:rFonts w:ascii="黑体" w:eastAsia="黑体"/>
      <w:b/>
      <w:sz w:val="28"/>
    </w:rPr>
  </w:style>
  <w:style w:type="paragraph" w:customStyle="1" w:styleId="80">
    <w:name w:val="标准文件_封面发布日期"/>
    <w:basedOn w:val="1"/>
    <w:qFormat/>
    <w:uiPriority w:val="0"/>
    <w:pPr>
      <w:spacing w:line="310" w:lineRule="exact"/>
    </w:pPr>
    <w:rPr>
      <w:rFonts w:ascii="黑体" w:eastAsia="黑体"/>
      <w:kern w:val="0"/>
      <w:sz w:val="28"/>
    </w:rPr>
  </w:style>
  <w:style w:type="paragraph" w:customStyle="1" w:styleId="81">
    <w:name w:val="标准文件_封面密级"/>
    <w:basedOn w:val="1"/>
    <w:qFormat/>
    <w:uiPriority w:val="0"/>
    <w:rPr>
      <w:rFonts w:eastAsia="黑体"/>
      <w:sz w:val="32"/>
    </w:rPr>
  </w:style>
  <w:style w:type="paragraph" w:customStyle="1" w:styleId="82">
    <w:name w:val="标准文件_封面实施日期"/>
    <w:basedOn w:val="1"/>
    <w:qFormat/>
    <w:uiPriority w:val="0"/>
    <w:pPr>
      <w:spacing w:line="310" w:lineRule="exact"/>
      <w:jc w:val="right"/>
    </w:pPr>
    <w:rPr>
      <w:rFonts w:ascii="黑体" w:eastAsia="黑体"/>
      <w:sz w:val="28"/>
    </w:rPr>
  </w:style>
  <w:style w:type="paragraph" w:customStyle="1" w:styleId="83">
    <w:name w:val="标准文件_封面抬头"/>
    <w:basedOn w:val="64"/>
    <w:qFormat/>
    <w:uiPriority w:val="0"/>
    <w:pPr>
      <w:spacing w:line="800" w:lineRule="exact"/>
      <w:ind w:firstLine="0" w:firstLineChars="0"/>
      <w:jc w:val="distribute"/>
    </w:pPr>
    <w:rPr>
      <w:rFonts w:ascii="黑体" w:eastAsia="黑体"/>
      <w:b/>
      <w:sz w:val="64"/>
    </w:rPr>
  </w:style>
  <w:style w:type="paragraph" w:customStyle="1" w:styleId="84">
    <w:name w:val="标准文件_附录标识"/>
    <w:next w:val="64"/>
    <w:qFormat/>
    <w:uiPriority w:val="0"/>
    <w:pPr>
      <w:numPr>
        <w:ilvl w:val="0"/>
        <w:numId w:val="3"/>
      </w:numPr>
      <w:shd w:val="clear" w:color="FFFFFF" w:fill="FFFFFF"/>
      <w:tabs>
        <w:tab w:val="left" w:pos="6406"/>
      </w:tabs>
      <w:spacing w:beforeLines="25" w:afterLines="50"/>
      <w:jc w:val="center"/>
      <w:outlineLvl w:val="0"/>
    </w:pPr>
    <w:rPr>
      <w:rFonts w:ascii="黑体" w:hAnsi="Times New Roman" w:eastAsia="黑体" w:cs="Times New Roman"/>
      <w:sz w:val="21"/>
      <w:lang w:val="en-US" w:eastAsia="zh-CN" w:bidi="ar-SA"/>
    </w:rPr>
  </w:style>
  <w:style w:type="paragraph" w:customStyle="1" w:styleId="85">
    <w:name w:val="标准文件_附录表标题"/>
    <w:next w:val="64"/>
    <w:qFormat/>
    <w:uiPriority w:val="0"/>
    <w:pPr>
      <w:numPr>
        <w:ilvl w:val="1"/>
        <w:numId w:val="4"/>
      </w:numPr>
      <w:adjustRightInd w:val="0"/>
      <w:snapToGrid w:val="0"/>
      <w:spacing w:beforeLines="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86">
    <w:name w:val="标准文件_附录一级条标题"/>
    <w:next w:val="64"/>
    <w:qFormat/>
    <w:uiPriority w:val="0"/>
    <w:pPr>
      <w:widowControl w:val="0"/>
      <w:numPr>
        <w:ilvl w:val="1"/>
        <w:numId w:val="3"/>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87">
    <w:name w:val="标准文件_附录二级条标题"/>
    <w:basedOn w:val="86"/>
    <w:next w:val="64"/>
    <w:qFormat/>
    <w:uiPriority w:val="0"/>
    <w:pPr>
      <w:widowControl/>
      <w:numPr>
        <w:ilvl w:val="2"/>
      </w:numPr>
      <w:wordWrap w:val="0"/>
      <w:overflowPunct w:val="0"/>
      <w:autoSpaceDE w:val="0"/>
      <w:autoSpaceDN w:val="0"/>
      <w:textAlignment w:val="baseline"/>
      <w:outlineLvl w:val="3"/>
    </w:pPr>
  </w:style>
  <w:style w:type="paragraph" w:customStyle="1" w:styleId="88">
    <w:name w:val="标准文件_附录公式"/>
    <w:basedOn w:val="63"/>
    <w:next w:val="63"/>
    <w:qFormat/>
    <w:uiPriority w:val="0"/>
    <w:pPr>
      <w:tabs>
        <w:tab w:val="center" w:pos="4678"/>
        <w:tab w:val="right" w:leader="middleDot" w:pos="9356"/>
      </w:tabs>
      <w:spacing w:line="240" w:lineRule="auto"/>
      <w:ind w:right="-51" w:firstLine="0" w:firstLineChars="0"/>
    </w:pPr>
  </w:style>
  <w:style w:type="paragraph" w:customStyle="1" w:styleId="89">
    <w:name w:val="标准文件_附录三级条标题"/>
    <w:next w:val="64"/>
    <w:qFormat/>
    <w:uiPriority w:val="0"/>
    <w:pPr>
      <w:widowControl w:val="0"/>
      <w:numPr>
        <w:ilvl w:val="3"/>
        <w:numId w:val="3"/>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90">
    <w:name w:val="标准文件_附录四级条标题"/>
    <w:next w:val="64"/>
    <w:qFormat/>
    <w:uiPriority w:val="0"/>
    <w:pPr>
      <w:widowControl w:val="0"/>
      <w:numPr>
        <w:ilvl w:val="4"/>
        <w:numId w:val="3"/>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91">
    <w:name w:val="标准文件_附录图标题"/>
    <w:next w:val="64"/>
    <w:qFormat/>
    <w:uiPriority w:val="0"/>
    <w:pPr>
      <w:numPr>
        <w:ilvl w:val="1"/>
        <w:numId w:val="5"/>
      </w:numPr>
      <w:adjustRightInd w:val="0"/>
      <w:snapToGrid w:val="0"/>
      <w:spacing w:beforeLines="50" w:afterLines="50"/>
      <w:ind w:firstLine="420"/>
      <w:jc w:val="center"/>
    </w:pPr>
    <w:rPr>
      <w:rFonts w:ascii="黑体" w:hAnsi="Times New Roman" w:eastAsia="黑体" w:cs="Times New Roman"/>
      <w:sz w:val="21"/>
      <w:lang w:val="en-US" w:eastAsia="zh-CN" w:bidi="ar-SA"/>
    </w:rPr>
  </w:style>
  <w:style w:type="paragraph" w:customStyle="1" w:styleId="92">
    <w:name w:val="标准文件_附录五级条标题"/>
    <w:next w:val="64"/>
    <w:qFormat/>
    <w:uiPriority w:val="0"/>
    <w:pPr>
      <w:widowControl w:val="0"/>
      <w:numPr>
        <w:ilvl w:val="5"/>
        <w:numId w:val="3"/>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93">
    <w:name w:val="标准文件_附录英文标识"/>
    <w:next w:val="14"/>
    <w:qFormat/>
    <w:uiPriority w:val="0"/>
    <w:pPr>
      <w:numPr>
        <w:ilvl w:val="0"/>
        <w:numId w:val="6"/>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94">
    <w:name w:val="正文文本 字符"/>
    <w:link w:val="14"/>
    <w:qFormat/>
    <w:uiPriority w:val="0"/>
    <w:rPr>
      <w:rFonts w:ascii="黑体" w:hAnsi="黑体" w:eastAsia="黑体"/>
      <w:sz w:val="32"/>
      <w:szCs w:val="32"/>
    </w:rPr>
  </w:style>
  <w:style w:type="paragraph" w:customStyle="1" w:styleId="95">
    <w:name w:val="标准文件_附录章标题"/>
    <w:next w:val="64"/>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6">
    <w:name w:val="标准文件_公式后的破折号"/>
    <w:basedOn w:val="64"/>
    <w:next w:val="64"/>
    <w:qFormat/>
    <w:uiPriority w:val="0"/>
    <w:pPr>
      <w:ind w:left="488" w:leftChars="200" w:hanging="289" w:hangingChars="290"/>
    </w:pPr>
  </w:style>
  <w:style w:type="paragraph" w:customStyle="1" w:styleId="97">
    <w:name w:val="标准文件_前言、引言标题"/>
    <w:next w:val="1"/>
    <w:qFormat/>
    <w:uiPriority w:val="0"/>
    <w:pPr>
      <w:numPr>
        <w:ilvl w:val="0"/>
        <w:numId w:val="7"/>
      </w:numPr>
      <w:shd w:val="clear" w:color="FFFFFF" w:fill="FFFFFF"/>
      <w:spacing w:afterLines="150"/>
      <w:ind w:left="0" w:firstLine="0"/>
      <w:jc w:val="center"/>
      <w:outlineLvl w:val="0"/>
    </w:pPr>
    <w:rPr>
      <w:rFonts w:ascii="黑体" w:hAnsi="Times New Roman" w:eastAsia="黑体" w:cs="Times New Roman"/>
      <w:sz w:val="32"/>
      <w:lang w:val="en-US" w:eastAsia="zh-CN" w:bidi="ar-SA"/>
    </w:rPr>
  </w:style>
  <w:style w:type="paragraph" w:customStyle="1" w:styleId="98">
    <w:name w:val="标准文件_目次、标准名称标题"/>
    <w:basedOn w:val="97"/>
    <w:next w:val="64"/>
    <w:qFormat/>
    <w:uiPriority w:val="0"/>
    <w:pPr>
      <w:spacing w:line="460" w:lineRule="exact"/>
    </w:pPr>
  </w:style>
  <w:style w:type="paragraph" w:customStyle="1" w:styleId="99">
    <w:name w:val="标准文件_目录标题"/>
    <w:basedOn w:val="1"/>
    <w:qFormat/>
    <w:uiPriority w:val="0"/>
    <w:pPr>
      <w:spacing w:after="360" w:afterLines="150" w:line="240" w:lineRule="auto"/>
      <w:ind w:firstLine="0" w:firstLineChars="0"/>
    </w:pPr>
    <w:rPr>
      <w:rFonts w:ascii="黑体" w:eastAsia="黑体"/>
      <w:sz w:val="32"/>
    </w:rPr>
  </w:style>
  <w:style w:type="paragraph" w:customStyle="1" w:styleId="100">
    <w:name w:val="标准文件_破折号列项"/>
    <w:qFormat/>
    <w:uiPriority w:val="0"/>
    <w:pPr>
      <w:numPr>
        <w:ilvl w:val="0"/>
        <w:numId w:val="8"/>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101">
    <w:name w:val="标准文件_破折号列项（二级）"/>
    <w:basedOn w:val="100"/>
    <w:qFormat/>
    <w:uiPriority w:val="0"/>
    <w:pPr>
      <w:numPr>
        <w:numId w:val="9"/>
      </w:numPr>
      <w:ind w:left="0" w:firstLine="200"/>
    </w:pPr>
  </w:style>
  <w:style w:type="paragraph" w:customStyle="1" w:styleId="102">
    <w:name w:val="标准文件_三级条标题"/>
    <w:basedOn w:val="73"/>
    <w:next w:val="64"/>
    <w:link w:val="272"/>
    <w:qFormat/>
    <w:uiPriority w:val="99"/>
    <w:pPr>
      <w:widowControl/>
      <w:outlineLvl w:val="3"/>
    </w:pPr>
  </w:style>
  <w:style w:type="character" w:customStyle="1" w:styleId="103">
    <w:name w:val="不明显参考1"/>
    <w:qFormat/>
    <w:uiPriority w:val="31"/>
    <w:rPr>
      <w:smallCaps/>
      <w:color w:val="C0504D"/>
      <w:u w:val="single"/>
    </w:rPr>
  </w:style>
  <w:style w:type="paragraph" w:customStyle="1" w:styleId="104">
    <w:name w:val="标准文件_示例后续"/>
    <w:basedOn w:val="1"/>
    <w:qFormat/>
    <w:uiPriority w:val="0"/>
    <w:pPr>
      <w:adjustRightInd/>
      <w:spacing w:line="240" w:lineRule="auto"/>
      <w:ind w:firstLine="200"/>
    </w:pPr>
    <w:rPr>
      <w:szCs w:val="24"/>
    </w:rPr>
  </w:style>
  <w:style w:type="paragraph" w:customStyle="1" w:styleId="105">
    <w:name w:val="标准文件_数字编号列项"/>
    <w:qFormat/>
    <w:uiPriority w:val="0"/>
    <w:pPr>
      <w:numPr>
        <w:ilvl w:val="0"/>
        <w:numId w:val="10"/>
      </w:numPr>
      <w:jc w:val="both"/>
    </w:pPr>
    <w:rPr>
      <w:rFonts w:ascii="宋体" w:hAnsi="宋体" w:eastAsia="宋体" w:cs="Times New Roman"/>
      <w:sz w:val="21"/>
      <w:lang w:val="en-US" w:eastAsia="zh-CN" w:bidi="ar-SA"/>
    </w:rPr>
  </w:style>
  <w:style w:type="paragraph" w:customStyle="1" w:styleId="106">
    <w:name w:val="标准文件_四级条标题"/>
    <w:next w:val="64"/>
    <w:qFormat/>
    <w:uiPriority w:val="99"/>
    <w:pPr>
      <w:widowControl w:val="0"/>
      <w:spacing w:beforeLines="50" w:afterLines="50"/>
      <w:jc w:val="both"/>
      <w:outlineLvl w:val="4"/>
    </w:pPr>
    <w:rPr>
      <w:rFonts w:ascii="黑体" w:hAnsi="Times New Roman" w:eastAsia="黑体" w:cs="Times New Roman"/>
      <w:sz w:val="21"/>
      <w:lang w:val="en-US" w:eastAsia="zh-CN" w:bidi="ar-SA"/>
    </w:rPr>
  </w:style>
  <w:style w:type="character" w:customStyle="1" w:styleId="107">
    <w:name w:val="脚注文本 字符"/>
    <w:link w:val="24"/>
    <w:semiHidden/>
    <w:qFormat/>
    <w:uiPriority w:val="0"/>
    <w:rPr>
      <w:rFonts w:ascii="宋体" w:hAnsi="Times New Roman" w:eastAsia="宋体" w:cs="Times New Roman"/>
      <w:sz w:val="18"/>
      <w:szCs w:val="18"/>
    </w:rPr>
  </w:style>
  <w:style w:type="paragraph" w:customStyle="1" w:styleId="108">
    <w:name w:val="标准文件_条文脚注"/>
    <w:basedOn w:val="24"/>
    <w:qFormat/>
    <w:uiPriority w:val="0"/>
    <w:pPr>
      <w:adjustRightInd w:val="0"/>
      <w:spacing w:line="240" w:lineRule="auto"/>
      <w:ind w:left="0" w:leftChars="0" w:firstLine="200" w:firstLineChars="200"/>
      <w:jc w:val="both"/>
    </w:pPr>
  </w:style>
  <w:style w:type="paragraph" w:customStyle="1" w:styleId="109">
    <w:name w:val="标准文件_图表脚注"/>
    <w:basedOn w:val="1"/>
    <w:next w:val="64"/>
    <w:qFormat/>
    <w:uiPriority w:val="0"/>
    <w:pPr>
      <w:numPr>
        <w:ilvl w:val="0"/>
        <w:numId w:val="11"/>
      </w:numPr>
      <w:spacing w:line="240" w:lineRule="auto"/>
    </w:pPr>
  </w:style>
  <w:style w:type="character" w:customStyle="1" w:styleId="110">
    <w:name w:val="标准文件_图表脚注内容"/>
    <w:qFormat/>
    <w:uiPriority w:val="0"/>
    <w:rPr>
      <w:rFonts w:ascii="宋体" w:hAnsi="宋体" w:eastAsia="宋体" w:cs="Times New Roman"/>
      <w:spacing w:val="0"/>
      <w:sz w:val="18"/>
      <w:vertAlign w:val="superscript"/>
    </w:rPr>
  </w:style>
  <w:style w:type="paragraph" w:customStyle="1" w:styleId="111">
    <w:name w:val="标准文件_五级条标题"/>
    <w:next w:val="64"/>
    <w:qFormat/>
    <w:uiPriority w:val="99"/>
    <w:pPr>
      <w:widowControl w:val="0"/>
      <w:spacing w:beforeLines="50" w:afterLines="50"/>
      <w:jc w:val="both"/>
      <w:outlineLvl w:val="5"/>
    </w:pPr>
    <w:rPr>
      <w:rFonts w:ascii="黑体" w:hAnsi="Times New Roman" w:eastAsia="黑体" w:cs="Times New Roman"/>
      <w:sz w:val="21"/>
      <w:lang w:val="en-US" w:eastAsia="zh-CN" w:bidi="ar-SA"/>
    </w:rPr>
  </w:style>
  <w:style w:type="paragraph" w:customStyle="1" w:styleId="112">
    <w:name w:val="标准文件_章标题"/>
    <w:next w:val="64"/>
    <w:qFormat/>
    <w:uiPriority w:val="0"/>
    <w:pPr>
      <w:numPr>
        <w:ilvl w:val="0"/>
        <w:numId w:val="12"/>
      </w:numPr>
      <w:adjustRightInd w:val="0"/>
      <w:snapToGrid w:val="0"/>
      <w:spacing w:before="240" w:beforeLines="100" w:after="240" w:afterLines="100" w:line="360" w:lineRule="auto"/>
      <w:jc w:val="both"/>
      <w:outlineLvl w:val="0"/>
    </w:pPr>
    <w:rPr>
      <w:rFonts w:ascii="黑体" w:hAnsi="Times New Roman" w:eastAsia="黑体" w:cs="Times New Roman"/>
      <w:sz w:val="24"/>
      <w:szCs w:val="24"/>
      <w:lang w:val="en-US" w:eastAsia="zh-CN" w:bidi="ar-SA"/>
    </w:rPr>
  </w:style>
  <w:style w:type="paragraph" w:customStyle="1" w:styleId="113">
    <w:name w:val="标准文件_一级条标题"/>
    <w:basedOn w:val="112"/>
    <w:next w:val="64"/>
    <w:link w:val="262"/>
    <w:qFormat/>
    <w:uiPriority w:val="99"/>
    <w:pPr>
      <w:spacing w:beforeLines="50" w:afterLines="50"/>
      <w:outlineLvl w:val="1"/>
    </w:pPr>
  </w:style>
  <w:style w:type="paragraph" w:customStyle="1" w:styleId="114">
    <w:name w:val="标准文件_一致程度"/>
    <w:basedOn w:val="1"/>
    <w:qFormat/>
    <w:uiPriority w:val="0"/>
    <w:pPr>
      <w:spacing w:line="440" w:lineRule="exact"/>
    </w:pPr>
    <w:rPr>
      <w:sz w:val="28"/>
    </w:rPr>
  </w:style>
  <w:style w:type="paragraph" w:customStyle="1" w:styleId="115">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6">
    <w:name w:val="标准文件_英文图表脚注"/>
    <w:basedOn w:val="63"/>
    <w:qFormat/>
    <w:uiPriority w:val="0"/>
    <w:pPr>
      <w:widowControl/>
      <w:adjustRightInd/>
      <w:snapToGrid/>
      <w:spacing w:line="240" w:lineRule="auto"/>
      <w:ind w:left="79" w:hanging="79" w:hangingChars="80"/>
    </w:pPr>
  </w:style>
  <w:style w:type="paragraph" w:customStyle="1" w:styleId="117">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8">
    <w:name w:val="标准文件_英文注："/>
    <w:basedOn w:val="1"/>
    <w:next w:val="64"/>
    <w:qFormat/>
    <w:uiPriority w:val="0"/>
    <w:pPr>
      <w:numPr>
        <w:ilvl w:val="0"/>
        <w:numId w:val="14"/>
      </w:numPr>
      <w:tabs>
        <w:tab w:val="left" w:pos="420"/>
      </w:tabs>
      <w:autoSpaceDE w:val="0"/>
      <w:autoSpaceDN w:val="0"/>
      <w:spacing w:line="240" w:lineRule="auto"/>
    </w:pPr>
    <w:rPr>
      <w:kern w:val="0"/>
      <w:szCs w:val="20"/>
    </w:rPr>
  </w:style>
  <w:style w:type="paragraph" w:customStyle="1" w:styleId="119">
    <w:name w:val="标准文件_英文注×："/>
    <w:basedOn w:val="1"/>
    <w:qFormat/>
    <w:uiPriority w:val="0"/>
    <w:pPr>
      <w:numPr>
        <w:ilvl w:val="0"/>
        <w:numId w:val="15"/>
      </w:numPr>
      <w:tabs>
        <w:tab w:val="left" w:pos="210"/>
      </w:tabs>
      <w:autoSpaceDE w:val="0"/>
      <w:autoSpaceDN w:val="0"/>
      <w:spacing w:line="240" w:lineRule="auto"/>
    </w:pPr>
    <w:rPr>
      <w:kern w:val="0"/>
      <w:szCs w:val="20"/>
    </w:rPr>
  </w:style>
  <w:style w:type="paragraph" w:customStyle="1" w:styleId="120">
    <w:name w:val="标准文件_正文表标题"/>
    <w:next w:val="64"/>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21">
    <w:name w:val="标准文件_正文公式"/>
    <w:basedOn w:val="1"/>
    <w:next w:val="63"/>
    <w:qFormat/>
    <w:uiPriority w:val="0"/>
    <w:pPr>
      <w:tabs>
        <w:tab w:val="center" w:pos="4678"/>
        <w:tab w:val="right" w:leader="middleDot" w:pos="9356"/>
      </w:tabs>
      <w:spacing w:line="240" w:lineRule="auto"/>
    </w:pPr>
  </w:style>
  <w:style w:type="paragraph" w:customStyle="1" w:styleId="122">
    <w:name w:val="标准文件_正文图标题"/>
    <w:next w:val="64"/>
    <w:qFormat/>
    <w:uiPriority w:val="99"/>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23">
    <w:name w:val="标准文件_正文英文表标题"/>
    <w:next w:val="64"/>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24">
    <w:name w:val="标准文件_正文英文图标题"/>
    <w:next w:val="64"/>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5">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6">
    <w:name w:val="二级无标题条"/>
    <w:basedOn w:val="1"/>
    <w:qFormat/>
    <w:uiPriority w:val="0"/>
    <w:pPr>
      <w:numPr>
        <w:ilvl w:val="3"/>
        <w:numId w:val="20"/>
      </w:numPr>
      <w:adjustRightInd/>
      <w:spacing w:line="240" w:lineRule="auto"/>
    </w:pPr>
    <w:rPr>
      <w:szCs w:val="24"/>
    </w:rPr>
  </w:style>
  <w:style w:type="paragraph" w:customStyle="1" w:styleId="127">
    <w:name w:val="发布部门"/>
    <w:next w:val="64"/>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8">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9">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hAnsi="Times New Roman"/>
      <w:kern w:val="0"/>
      <w:szCs w:val="20"/>
    </w:rPr>
  </w:style>
  <w:style w:type="paragraph" w:customStyle="1" w:styleId="130">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31">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32">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33">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34">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5">
    <w:name w:val="封面正文"/>
    <w:qFormat/>
    <w:uiPriority w:val="0"/>
    <w:pPr>
      <w:jc w:val="both"/>
    </w:pPr>
    <w:rPr>
      <w:rFonts w:ascii="Times New Roman" w:hAnsi="Times New Roman" w:eastAsia="宋体" w:cs="Times New Roman"/>
      <w:lang w:val="en-US" w:eastAsia="zh-CN" w:bidi="ar-SA"/>
    </w:rPr>
  </w:style>
  <w:style w:type="paragraph" w:customStyle="1" w:styleId="136">
    <w:name w:val="附录二级无标题条"/>
    <w:basedOn w:val="1"/>
    <w:next w:val="64"/>
    <w:qFormat/>
    <w:uiPriority w:val="0"/>
    <w:pPr>
      <w:widowControl/>
      <w:wordWrap w:val="0"/>
      <w:overflowPunct w:val="0"/>
      <w:autoSpaceDE w:val="0"/>
      <w:autoSpaceDN w:val="0"/>
      <w:adjustRightInd/>
      <w:spacing w:line="240" w:lineRule="auto"/>
      <w:textAlignment w:val="baseline"/>
      <w:outlineLvl w:val="3"/>
    </w:pPr>
    <w:rPr>
      <w:kern w:val="21"/>
    </w:rPr>
  </w:style>
  <w:style w:type="paragraph" w:customStyle="1" w:styleId="137">
    <w:name w:val="附录三级无标题条"/>
    <w:basedOn w:val="136"/>
    <w:next w:val="64"/>
    <w:qFormat/>
    <w:uiPriority w:val="0"/>
    <w:pPr>
      <w:outlineLvl w:val="4"/>
    </w:pPr>
  </w:style>
  <w:style w:type="paragraph" w:customStyle="1" w:styleId="138">
    <w:name w:val="附录四级无标题条"/>
    <w:basedOn w:val="137"/>
    <w:next w:val="64"/>
    <w:qFormat/>
    <w:uiPriority w:val="0"/>
    <w:pPr>
      <w:outlineLvl w:val="5"/>
    </w:pPr>
  </w:style>
  <w:style w:type="paragraph" w:customStyle="1" w:styleId="139">
    <w:name w:val="附录图"/>
    <w:next w:val="64"/>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40">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41">
    <w:name w:val="附录五级无标题条"/>
    <w:basedOn w:val="138"/>
    <w:next w:val="64"/>
    <w:qFormat/>
    <w:uiPriority w:val="0"/>
    <w:pPr>
      <w:outlineLvl w:val="6"/>
    </w:pPr>
  </w:style>
  <w:style w:type="paragraph" w:customStyle="1" w:styleId="142">
    <w:name w:val="附录性质"/>
    <w:basedOn w:val="1"/>
    <w:qFormat/>
    <w:uiPriority w:val="0"/>
    <w:pPr>
      <w:widowControl/>
      <w:adjustRightInd/>
    </w:pPr>
    <w:rPr>
      <w:rFonts w:ascii="黑体" w:eastAsia="黑体"/>
    </w:rPr>
  </w:style>
  <w:style w:type="paragraph" w:customStyle="1" w:styleId="143">
    <w:name w:val="附录一级无标题条"/>
    <w:basedOn w:val="95"/>
    <w:next w:val="64"/>
    <w:qFormat/>
    <w:uiPriority w:val="0"/>
    <w:pPr>
      <w:autoSpaceDN w:val="0"/>
      <w:outlineLvl w:val="2"/>
    </w:pPr>
    <w:rPr>
      <w:rFonts w:ascii="宋体" w:hAnsi="宋体" w:eastAsia="宋体"/>
    </w:rPr>
  </w:style>
  <w:style w:type="character" w:customStyle="1" w:styleId="144">
    <w:name w:val="个人答复风格"/>
    <w:qFormat/>
    <w:uiPriority w:val="0"/>
    <w:rPr>
      <w:rFonts w:ascii="Arial" w:hAnsi="Arial" w:eastAsia="宋体" w:cs="Arial"/>
      <w:color w:val="auto"/>
      <w:spacing w:val="0"/>
      <w:sz w:val="20"/>
    </w:rPr>
  </w:style>
  <w:style w:type="character" w:customStyle="1" w:styleId="145">
    <w:name w:val="个人撰写风格"/>
    <w:qFormat/>
    <w:uiPriority w:val="0"/>
    <w:rPr>
      <w:rFonts w:ascii="Arial" w:hAnsi="Arial" w:eastAsia="宋体" w:cs="Arial"/>
      <w:color w:val="auto"/>
      <w:spacing w:val="0"/>
      <w:sz w:val="20"/>
    </w:rPr>
  </w:style>
  <w:style w:type="paragraph" w:customStyle="1" w:styleId="146">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7">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8">
    <w:name w:val="列项·"/>
    <w:basedOn w:val="64"/>
    <w:qFormat/>
    <w:uiPriority w:val="0"/>
    <w:pPr>
      <w:tabs>
        <w:tab w:val="left" w:pos="840"/>
      </w:tabs>
    </w:pPr>
  </w:style>
  <w:style w:type="paragraph" w:customStyle="1" w:styleId="149">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50">
    <w:name w:val="目录 21"/>
    <w:basedOn w:val="1"/>
    <w:next w:val="1"/>
    <w:semiHidden/>
    <w:qFormat/>
    <w:uiPriority w:val="0"/>
    <w:pPr>
      <w:adjustRightInd/>
      <w:spacing w:line="240" w:lineRule="auto"/>
    </w:pPr>
    <w:rPr>
      <w:bCs/>
      <w:iCs/>
    </w:rPr>
  </w:style>
  <w:style w:type="paragraph" w:customStyle="1" w:styleId="151">
    <w:name w:val="目录 31"/>
    <w:basedOn w:val="1"/>
    <w:next w:val="1"/>
    <w:semiHidden/>
    <w:qFormat/>
    <w:uiPriority w:val="0"/>
    <w:pPr>
      <w:spacing w:line="240" w:lineRule="auto"/>
    </w:pPr>
    <w:rPr>
      <w:iCs/>
    </w:rPr>
  </w:style>
  <w:style w:type="paragraph" w:customStyle="1" w:styleId="152">
    <w:name w:val="目录 41"/>
    <w:basedOn w:val="1"/>
    <w:next w:val="1"/>
    <w:semiHidden/>
    <w:qFormat/>
    <w:uiPriority w:val="0"/>
    <w:pPr>
      <w:adjustRightInd/>
      <w:spacing w:line="240" w:lineRule="auto"/>
    </w:pPr>
  </w:style>
  <w:style w:type="paragraph" w:customStyle="1" w:styleId="153">
    <w:name w:val="目录 51"/>
    <w:basedOn w:val="1"/>
    <w:next w:val="1"/>
    <w:semiHidden/>
    <w:qFormat/>
    <w:uiPriority w:val="0"/>
    <w:pPr>
      <w:spacing w:line="240" w:lineRule="auto"/>
    </w:pPr>
  </w:style>
  <w:style w:type="paragraph" w:customStyle="1" w:styleId="154">
    <w:name w:val="目录 61"/>
    <w:basedOn w:val="1"/>
    <w:next w:val="1"/>
    <w:semiHidden/>
    <w:qFormat/>
    <w:uiPriority w:val="0"/>
    <w:pPr>
      <w:adjustRightInd/>
      <w:spacing w:line="240" w:lineRule="auto"/>
    </w:pPr>
  </w:style>
  <w:style w:type="paragraph" w:customStyle="1" w:styleId="155">
    <w:name w:val="目录 71"/>
    <w:basedOn w:val="154"/>
    <w:semiHidden/>
    <w:qFormat/>
    <w:uiPriority w:val="0"/>
    <w:pPr>
      <w:ind w:left="1260"/>
    </w:pPr>
  </w:style>
  <w:style w:type="paragraph" w:customStyle="1" w:styleId="156">
    <w:name w:val="目录 81"/>
    <w:basedOn w:val="155"/>
    <w:semiHidden/>
    <w:qFormat/>
    <w:uiPriority w:val="0"/>
    <w:pPr>
      <w:ind w:left="1470"/>
    </w:pPr>
  </w:style>
  <w:style w:type="paragraph" w:customStyle="1" w:styleId="157">
    <w:name w:val="目录 91"/>
    <w:basedOn w:val="156"/>
    <w:semiHidden/>
    <w:qFormat/>
    <w:uiPriority w:val="0"/>
    <w:pPr>
      <w:ind w:left="1680"/>
    </w:pPr>
  </w:style>
  <w:style w:type="paragraph" w:customStyle="1" w:styleId="158">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9">
    <w:name w:val="其他发布部门"/>
    <w:basedOn w:val="127"/>
    <w:qFormat/>
    <w:uiPriority w:val="0"/>
    <w:pPr>
      <w:framePr/>
      <w:spacing w:line="0" w:lineRule="atLeast"/>
    </w:pPr>
    <w:rPr>
      <w:rFonts w:ascii="黑体" w:eastAsia="黑体"/>
      <w:b w:val="0"/>
    </w:rPr>
  </w:style>
  <w:style w:type="paragraph" w:customStyle="1" w:styleId="160">
    <w:name w:val="前言标题"/>
    <w:next w:val="1"/>
    <w:qFormat/>
    <w:uiPriority w:val="99"/>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61">
    <w:name w:val="三级无标题条"/>
    <w:basedOn w:val="1"/>
    <w:qFormat/>
    <w:uiPriority w:val="0"/>
    <w:pPr>
      <w:numPr>
        <w:ilvl w:val="4"/>
        <w:numId w:val="20"/>
      </w:numPr>
      <w:adjustRightInd/>
      <w:spacing w:line="240" w:lineRule="auto"/>
    </w:pPr>
    <w:rPr>
      <w:szCs w:val="24"/>
    </w:rPr>
  </w:style>
  <w:style w:type="paragraph" w:customStyle="1" w:styleId="162">
    <w:name w:val="实施日期"/>
    <w:basedOn w:val="128"/>
    <w:qFormat/>
    <w:uiPriority w:val="0"/>
    <w:pPr>
      <w:framePr w:hSpace="0" w:xAlign="right"/>
      <w:jc w:val="right"/>
    </w:pPr>
  </w:style>
  <w:style w:type="paragraph" w:customStyle="1" w:styleId="163">
    <w:name w:val="四级无标题条"/>
    <w:basedOn w:val="1"/>
    <w:qFormat/>
    <w:uiPriority w:val="0"/>
    <w:pPr>
      <w:numPr>
        <w:ilvl w:val="5"/>
        <w:numId w:val="20"/>
      </w:numPr>
      <w:adjustRightInd/>
      <w:spacing w:line="240" w:lineRule="auto"/>
    </w:pPr>
    <w:rPr>
      <w:szCs w:val="24"/>
    </w:rPr>
  </w:style>
  <w:style w:type="paragraph" w:customStyle="1" w:styleId="164">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5">
    <w:name w:val="无标题条"/>
    <w:next w:val="64"/>
    <w:qFormat/>
    <w:uiPriority w:val="0"/>
    <w:pPr>
      <w:jc w:val="both"/>
    </w:pPr>
    <w:rPr>
      <w:rFonts w:ascii="宋体" w:hAnsi="宋体" w:eastAsia="宋体" w:cs="Times New Roman"/>
      <w:sz w:val="21"/>
      <w:lang w:val="en-US" w:eastAsia="zh-CN" w:bidi="ar-SA"/>
    </w:rPr>
  </w:style>
  <w:style w:type="paragraph" w:customStyle="1" w:styleId="166">
    <w:name w:val="五级无标题条"/>
    <w:basedOn w:val="1"/>
    <w:qFormat/>
    <w:uiPriority w:val="0"/>
    <w:pPr>
      <w:numPr>
        <w:ilvl w:val="6"/>
        <w:numId w:val="20"/>
      </w:numPr>
      <w:adjustRightInd/>
    </w:pPr>
    <w:rPr>
      <w:szCs w:val="24"/>
    </w:rPr>
  </w:style>
  <w:style w:type="paragraph" w:customStyle="1" w:styleId="167">
    <w:name w:val="一级无标题条"/>
    <w:basedOn w:val="1"/>
    <w:qFormat/>
    <w:uiPriority w:val="0"/>
    <w:pPr>
      <w:numPr>
        <w:ilvl w:val="2"/>
        <w:numId w:val="20"/>
      </w:numPr>
      <w:adjustRightInd/>
      <w:spacing w:before="10" w:after="10" w:line="240" w:lineRule="auto"/>
    </w:pPr>
    <w:rPr>
      <w:szCs w:val="24"/>
    </w:rPr>
  </w:style>
  <w:style w:type="paragraph" w:customStyle="1" w:styleId="168">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9">
    <w:name w:val="注×:后续"/>
    <w:basedOn w:val="168"/>
    <w:qFormat/>
    <w:uiPriority w:val="0"/>
    <w:pPr>
      <w:ind w:left="1406" w:leftChars="0" w:hanging="499" w:firstLineChars="0"/>
    </w:pPr>
  </w:style>
  <w:style w:type="paragraph" w:customStyle="1" w:styleId="170">
    <w:name w:val="标准文件_一级无标题"/>
    <w:basedOn w:val="113"/>
    <w:qFormat/>
    <w:uiPriority w:val="0"/>
    <w:pPr>
      <w:spacing w:beforeLines="0" w:afterLines="0"/>
      <w:outlineLvl w:val="9"/>
    </w:pPr>
    <w:rPr>
      <w:rFonts w:eastAsia="宋体"/>
    </w:rPr>
  </w:style>
  <w:style w:type="paragraph" w:customStyle="1" w:styleId="171">
    <w:name w:val="标准文件_五级无标题"/>
    <w:basedOn w:val="111"/>
    <w:qFormat/>
    <w:uiPriority w:val="0"/>
    <w:pPr>
      <w:spacing w:beforeLines="0" w:afterLines="0"/>
      <w:outlineLvl w:val="9"/>
    </w:pPr>
    <w:rPr>
      <w:rFonts w:ascii="宋体" w:eastAsia="宋体"/>
    </w:rPr>
  </w:style>
  <w:style w:type="paragraph" w:customStyle="1" w:styleId="172">
    <w:name w:val="标准文件_三级无标题"/>
    <w:basedOn w:val="102"/>
    <w:qFormat/>
    <w:uiPriority w:val="0"/>
    <w:pPr>
      <w:spacing w:beforeLines="0" w:afterLines="0"/>
      <w:outlineLvl w:val="9"/>
    </w:pPr>
    <w:rPr>
      <w:rFonts w:ascii="宋体" w:eastAsia="宋体"/>
    </w:rPr>
  </w:style>
  <w:style w:type="paragraph" w:customStyle="1" w:styleId="173">
    <w:name w:val="标准文件_二级无标题"/>
    <w:basedOn w:val="73"/>
    <w:qFormat/>
    <w:uiPriority w:val="0"/>
    <w:pPr>
      <w:spacing w:beforeLines="0" w:afterLines="0"/>
      <w:outlineLvl w:val="9"/>
    </w:pPr>
    <w:rPr>
      <w:rFonts w:ascii="宋体" w:eastAsia="宋体"/>
    </w:rPr>
  </w:style>
  <w:style w:type="paragraph" w:customStyle="1" w:styleId="174">
    <w:name w:val="标准_四级无标题"/>
    <w:basedOn w:val="106"/>
    <w:next w:val="64"/>
    <w:qFormat/>
    <w:uiPriority w:val="0"/>
    <w:rPr>
      <w:rFonts w:eastAsia="宋体"/>
    </w:rPr>
  </w:style>
  <w:style w:type="paragraph" w:customStyle="1" w:styleId="175">
    <w:name w:val="标准文件_四级无标题"/>
    <w:basedOn w:val="106"/>
    <w:qFormat/>
    <w:uiPriority w:val="0"/>
    <w:pPr>
      <w:spacing w:beforeLines="0" w:afterLines="0"/>
      <w:outlineLvl w:val="9"/>
    </w:pPr>
    <w:rPr>
      <w:rFonts w:ascii="宋体" w:hAnsi="黑体" w:eastAsia="宋体"/>
      <w:szCs w:val="52"/>
    </w:rPr>
  </w:style>
  <w:style w:type="paragraph" w:customStyle="1" w:styleId="176">
    <w:name w:val="标准文件_大写罗马数字编号列项"/>
    <w:basedOn w:val="64"/>
    <w:qFormat/>
    <w:uiPriority w:val="0"/>
    <w:pPr>
      <w:numPr>
        <w:ilvl w:val="0"/>
        <w:numId w:val="23"/>
      </w:numPr>
      <w:ind w:firstLine="0" w:firstLineChars="0"/>
    </w:pPr>
    <w:rPr>
      <w:rFonts w:ascii="Times New Roman" w:cs="Arial"/>
      <w:szCs w:val="28"/>
    </w:rPr>
  </w:style>
  <w:style w:type="paragraph" w:customStyle="1" w:styleId="177">
    <w:name w:val="标准文件_小写罗马数字编号列项"/>
    <w:basedOn w:val="64"/>
    <w:qFormat/>
    <w:uiPriority w:val="0"/>
    <w:pPr>
      <w:numPr>
        <w:ilvl w:val="0"/>
        <w:numId w:val="24"/>
      </w:numPr>
      <w:ind w:firstLine="0" w:firstLineChars="0"/>
    </w:pPr>
    <w:rPr>
      <w:rFonts w:cs="Arial"/>
      <w:szCs w:val="28"/>
    </w:rPr>
  </w:style>
  <w:style w:type="paragraph" w:customStyle="1" w:styleId="178">
    <w:name w:val="标准文件_附录标题"/>
    <w:basedOn w:val="84"/>
    <w:qFormat/>
    <w:uiPriority w:val="0"/>
    <w:pPr>
      <w:numPr>
        <w:numId w:val="0"/>
      </w:numPr>
      <w:spacing w:after="280"/>
      <w:outlineLvl w:val="9"/>
    </w:pPr>
  </w:style>
  <w:style w:type="paragraph" w:customStyle="1" w:styleId="179">
    <w:name w:val="标准文件_二级项"/>
    <w:qFormat/>
    <w:uiPriority w:val="0"/>
    <w:rPr>
      <w:rFonts w:ascii="宋体" w:hAnsi="Times New Roman" w:eastAsia="宋体" w:cs="Times New Roman"/>
      <w:sz w:val="21"/>
      <w:lang w:val="en-US" w:eastAsia="zh-CN" w:bidi="ar-SA"/>
    </w:rPr>
  </w:style>
  <w:style w:type="paragraph" w:customStyle="1" w:styleId="180">
    <w:name w:val="标准文件_三级项"/>
    <w:basedOn w:val="1"/>
    <w:qFormat/>
    <w:uiPriority w:val="0"/>
    <w:pPr>
      <w:numPr>
        <w:ilvl w:val="2"/>
        <w:numId w:val="21"/>
      </w:numPr>
      <w:spacing w:line="536870612" w:lineRule="auto"/>
    </w:pPr>
    <w:rPr>
      <w:rFonts w:ascii="Times New Roman" w:hAnsi="Times New Roman"/>
    </w:rPr>
  </w:style>
  <w:style w:type="paragraph" w:customStyle="1" w:styleId="181">
    <w:name w:val="图表脚注说明"/>
    <w:basedOn w:val="1"/>
    <w:next w:val="64"/>
    <w:qFormat/>
    <w:uiPriority w:val="0"/>
    <w:pPr>
      <w:numPr>
        <w:ilvl w:val="0"/>
        <w:numId w:val="25"/>
      </w:numPr>
      <w:adjustRightInd/>
      <w:spacing w:line="240" w:lineRule="auto"/>
      <w:ind w:left="783"/>
    </w:pPr>
    <w:rPr>
      <w:rFonts w:hAnsi="Times New Roman"/>
    </w:rPr>
  </w:style>
  <w:style w:type="paragraph" w:customStyle="1" w:styleId="182">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83">
    <w:name w:val="标准文件_索引字母"/>
    <w:next w:val="64"/>
    <w:qFormat/>
    <w:uiPriority w:val="0"/>
    <w:pPr>
      <w:jc w:val="center"/>
    </w:pPr>
    <w:rPr>
      <w:rFonts w:ascii="宋体" w:hAnsi="宋体" w:eastAsia="Times New Roman" w:cs="Times New Roman"/>
      <w:b/>
      <w:kern w:val="2"/>
      <w:sz w:val="21"/>
      <w:lang w:val="en-US" w:eastAsia="zh-CN" w:bidi="ar-SA"/>
    </w:rPr>
  </w:style>
  <w:style w:type="paragraph" w:customStyle="1" w:styleId="184">
    <w:name w:val="标准文件_附录前"/>
    <w:next w:val="64"/>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5">
    <w:name w:val="标准文件_正文标准名称"/>
    <w:qFormat/>
    <w:uiPriority w:val="0"/>
    <w:pPr>
      <w:spacing w:after="640" w:line="400" w:lineRule="exact"/>
      <w:jc w:val="center"/>
    </w:pPr>
    <w:rPr>
      <w:rFonts w:ascii="黑体" w:hAnsi="黑体" w:eastAsia="黑体" w:cs="Times New Roman"/>
      <w:kern w:val="2"/>
      <w:sz w:val="32"/>
      <w:szCs w:val="32"/>
      <w:lang w:val="en-US" w:eastAsia="zh-CN" w:bidi="ar-SA"/>
    </w:rPr>
  </w:style>
  <w:style w:type="paragraph" w:customStyle="1" w:styleId="186">
    <w:name w:val="标准文件_表格"/>
    <w:basedOn w:val="64"/>
    <w:qFormat/>
    <w:uiPriority w:val="0"/>
    <w:pPr>
      <w:ind w:firstLine="0" w:firstLineChars="0"/>
      <w:jc w:val="center"/>
    </w:pPr>
    <w:rPr>
      <w:sz w:val="18"/>
    </w:rPr>
  </w:style>
  <w:style w:type="paragraph" w:customStyle="1" w:styleId="187">
    <w:name w:val="标准文件_注："/>
    <w:next w:val="64"/>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8">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9">
    <w:name w:val="标准文件_示例："/>
    <w:next w:val="190"/>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90">
    <w:name w:val="标准文件_示例内容"/>
    <w:basedOn w:val="64"/>
    <w:qFormat/>
    <w:uiPriority w:val="0"/>
    <w:rPr>
      <w:sz w:val="18"/>
    </w:rPr>
  </w:style>
  <w:style w:type="paragraph" w:customStyle="1" w:styleId="191">
    <w:name w:val="标准文件_示例×："/>
    <w:basedOn w:val="1"/>
    <w:next w:val="190"/>
    <w:qFormat/>
    <w:uiPriority w:val="0"/>
    <w:pPr>
      <w:widowControl/>
      <w:numPr>
        <w:ilvl w:val="0"/>
        <w:numId w:val="29"/>
      </w:numPr>
      <w:adjustRightInd/>
      <w:spacing w:line="240" w:lineRule="auto"/>
    </w:pPr>
    <w:rPr>
      <w:rFonts w:hAnsi="Times New Roman"/>
      <w:kern w:val="0"/>
    </w:rPr>
  </w:style>
  <w:style w:type="character" w:customStyle="1" w:styleId="192">
    <w:name w:val="标准文件_段 Char"/>
    <w:link w:val="64"/>
    <w:qFormat/>
    <w:uiPriority w:val="0"/>
    <w:rPr>
      <w:rFonts w:ascii="宋体"/>
      <w:sz w:val="21"/>
    </w:rPr>
  </w:style>
  <w:style w:type="paragraph" w:customStyle="1" w:styleId="193">
    <w:name w:val="标准文件_表格续"/>
    <w:basedOn w:val="64"/>
    <w:next w:val="64"/>
    <w:qFormat/>
    <w:uiPriority w:val="0"/>
    <w:pPr>
      <w:jc w:val="center"/>
    </w:pPr>
    <w:rPr>
      <w:rFonts w:ascii="黑体" w:hAnsi="黑体" w:eastAsia="黑体"/>
    </w:rPr>
  </w:style>
  <w:style w:type="character" w:styleId="194">
    <w:name w:val="Placeholder Text"/>
    <w:basedOn w:val="34"/>
    <w:semiHidden/>
    <w:qFormat/>
    <w:uiPriority w:val="99"/>
    <w:rPr>
      <w:color w:val="808080"/>
    </w:rPr>
  </w:style>
  <w:style w:type="paragraph" w:customStyle="1" w:styleId="195">
    <w:name w:val="标准文件_二级项2"/>
    <w:basedOn w:val="64"/>
    <w:qFormat/>
    <w:uiPriority w:val="0"/>
    <w:pPr>
      <w:numPr>
        <w:ilvl w:val="1"/>
        <w:numId w:val="21"/>
      </w:numPr>
      <w:ind w:left="1271" w:hanging="420" w:firstLineChars="0"/>
    </w:pPr>
  </w:style>
  <w:style w:type="paragraph" w:customStyle="1" w:styleId="196">
    <w:name w:val="标准文件_三级项2"/>
    <w:basedOn w:val="64"/>
    <w:qFormat/>
    <w:uiPriority w:val="0"/>
    <w:pPr>
      <w:numPr>
        <w:ilvl w:val="0"/>
        <w:numId w:val="30"/>
      </w:numPr>
      <w:spacing w:line="300" w:lineRule="exact"/>
      <w:ind w:left="1276" w:hanging="425" w:firstLineChars="0"/>
    </w:pPr>
    <w:rPr>
      <w:rFonts w:ascii="Times New Roman"/>
    </w:rPr>
  </w:style>
  <w:style w:type="paragraph" w:customStyle="1" w:styleId="197">
    <w:name w:val="标准文件_一级项2"/>
    <w:basedOn w:val="64"/>
    <w:qFormat/>
    <w:uiPriority w:val="0"/>
    <w:pPr>
      <w:numPr>
        <w:ilvl w:val="0"/>
        <w:numId w:val="31"/>
      </w:numPr>
      <w:spacing w:line="300" w:lineRule="exact"/>
      <w:ind w:left="1271" w:hanging="420" w:firstLineChars="0"/>
    </w:pPr>
    <w:rPr>
      <w:rFonts w:ascii="Times New Roman"/>
    </w:rPr>
  </w:style>
  <w:style w:type="paragraph" w:customStyle="1" w:styleId="198">
    <w:name w:val="标准文件_提示"/>
    <w:basedOn w:val="64"/>
    <w:next w:val="64"/>
    <w:qFormat/>
    <w:uiPriority w:val="0"/>
    <w:rPr>
      <w:rFonts w:ascii="黑体" w:eastAsia="黑体"/>
    </w:rPr>
  </w:style>
  <w:style w:type="character" w:customStyle="1" w:styleId="199">
    <w:name w:val="标准文件_来源"/>
    <w:basedOn w:val="34"/>
    <w:qFormat/>
    <w:uiPriority w:val="1"/>
    <w:rPr>
      <w:rFonts w:eastAsia="宋体"/>
      <w:sz w:val="21"/>
    </w:rPr>
  </w:style>
  <w:style w:type="paragraph" w:customStyle="1" w:styleId="200">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201">
    <w:name w:val="其他发布日期"/>
    <w:basedOn w:val="128"/>
    <w:qFormat/>
    <w:uiPriority w:val="0"/>
    <w:pPr>
      <w:framePr w:w="3997" w:h="471" w:hRule="exact" w:hSpace="0" w:vSpace="181" w:vAnchor="page" w:hAnchor="page" w:x="1419" w:y="14097"/>
    </w:pPr>
  </w:style>
  <w:style w:type="paragraph" w:customStyle="1" w:styleId="202">
    <w:name w:val="其他实施日期"/>
    <w:basedOn w:val="162"/>
    <w:qFormat/>
    <w:uiPriority w:val="0"/>
    <w:pPr>
      <w:framePr w:w="3997" w:h="471" w:hRule="exact" w:vSpace="181" w:vAnchor="page" w:hAnchor="page" w:x="7089" w:y="14097"/>
    </w:pPr>
  </w:style>
  <w:style w:type="paragraph" w:customStyle="1" w:styleId="203">
    <w:name w:val="标准文件_文件编号"/>
    <w:basedOn w:val="64"/>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204">
    <w:name w:val="标准文件_替换文件编号"/>
    <w:basedOn w:val="203"/>
    <w:qFormat/>
    <w:uiPriority w:val="0"/>
    <w:pPr>
      <w:framePr/>
      <w:spacing w:before="57"/>
    </w:pPr>
    <w:rPr>
      <w:sz w:val="21"/>
    </w:rPr>
  </w:style>
  <w:style w:type="paragraph" w:customStyle="1" w:styleId="205">
    <w:name w:val="标准文件_文件名称"/>
    <w:basedOn w:val="64"/>
    <w:next w:val="64"/>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206">
    <w:name w:val="标准文件_附录图标号"/>
    <w:basedOn w:val="64"/>
    <w:next w:val="64"/>
    <w:qFormat/>
    <w:uiPriority w:val="0"/>
    <w:pPr>
      <w:numPr>
        <w:ilvl w:val="0"/>
        <w:numId w:val="5"/>
      </w:numPr>
      <w:spacing w:line="14" w:lineRule="exact"/>
      <w:ind w:firstLine="0" w:firstLineChars="0"/>
      <w:jc w:val="center"/>
    </w:pPr>
    <w:rPr>
      <w:rFonts w:ascii="黑体" w:hAnsi="黑体" w:eastAsia="黑体"/>
      <w:vanish/>
      <w:sz w:val="2"/>
      <w:szCs w:val="21"/>
    </w:rPr>
  </w:style>
  <w:style w:type="paragraph" w:customStyle="1" w:styleId="207">
    <w:name w:val="标准文件_附录表标号"/>
    <w:basedOn w:val="64"/>
    <w:next w:val="64"/>
    <w:qFormat/>
    <w:uiPriority w:val="0"/>
    <w:pPr>
      <w:numPr>
        <w:ilvl w:val="0"/>
        <w:numId w:val="4"/>
      </w:numPr>
      <w:spacing w:line="14" w:lineRule="exact"/>
      <w:ind w:firstLine="0" w:firstLineChars="0"/>
      <w:jc w:val="center"/>
    </w:pPr>
    <w:rPr>
      <w:rFonts w:eastAsia="黑体"/>
      <w:vanish/>
      <w:sz w:val="2"/>
    </w:rPr>
  </w:style>
  <w:style w:type="paragraph" w:customStyle="1" w:styleId="208">
    <w:name w:val="标准文件_引言一级条标题"/>
    <w:basedOn w:val="64"/>
    <w:next w:val="64"/>
    <w:qFormat/>
    <w:uiPriority w:val="0"/>
    <w:pPr>
      <w:numPr>
        <w:ilvl w:val="1"/>
        <w:numId w:val="7"/>
      </w:numPr>
      <w:spacing w:beforeLines="50" w:afterLines="50"/>
      <w:ind w:firstLineChars="0"/>
    </w:pPr>
    <w:rPr>
      <w:rFonts w:ascii="黑体" w:eastAsia="黑体"/>
    </w:rPr>
  </w:style>
  <w:style w:type="paragraph" w:customStyle="1" w:styleId="209">
    <w:name w:val="标准文件_引言二级条标题"/>
    <w:basedOn w:val="64"/>
    <w:next w:val="64"/>
    <w:qFormat/>
    <w:uiPriority w:val="0"/>
    <w:pPr>
      <w:numPr>
        <w:ilvl w:val="2"/>
        <w:numId w:val="7"/>
      </w:numPr>
      <w:spacing w:beforeLines="50" w:afterLines="50"/>
      <w:ind w:firstLineChars="0"/>
    </w:pPr>
    <w:rPr>
      <w:rFonts w:ascii="黑体" w:eastAsia="黑体"/>
    </w:rPr>
  </w:style>
  <w:style w:type="paragraph" w:customStyle="1" w:styleId="210">
    <w:name w:val="标准文件_引言三级条标题"/>
    <w:basedOn w:val="64"/>
    <w:next w:val="64"/>
    <w:qFormat/>
    <w:uiPriority w:val="0"/>
    <w:pPr>
      <w:numPr>
        <w:ilvl w:val="3"/>
        <w:numId w:val="7"/>
      </w:numPr>
      <w:spacing w:beforeLines="50" w:afterLines="50"/>
      <w:ind w:firstLineChars="0"/>
    </w:pPr>
    <w:rPr>
      <w:rFonts w:ascii="黑体" w:eastAsia="黑体"/>
    </w:rPr>
  </w:style>
  <w:style w:type="paragraph" w:customStyle="1" w:styleId="211">
    <w:name w:val="标准文件_引言四级条标题"/>
    <w:basedOn w:val="64"/>
    <w:next w:val="64"/>
    <w:qFormat/>
    <w:uiPriority w:val="0"/>
    <w:pPr>
      <w:numPr>
        <w:ilvl w:val="4"/>
        <w:numId w:val="7"/>
      </w:numPr>
      <w:spacing w:beforeLines="50" w:afterLines="50"/>
      <w:ind w:firstLineChars="0"/>
    </w:pPr>
    <w:rPr>
      <w:rFonts w:ascii="黑体" w:eastAsia="黑体"/>
    </w:rPr>
  </w:style>
  <w:style w:type="paragraph" w:customStyle="1" w:styleId="212">
    <w:name w:val="标准文件_引言五级条标题"/>
    <w:basedOn w:val="64"/>
    <w:next w:val="64"/>
    <w:qFormat/>
    <w:uiPriority w:val="0"/>
    <w:pPr>
      <w:numPr>
        <w:ilvl w:val="5"/>
        <w:numId w:val="7"/>
      </w:numPr>
      <w:spacing w:beforeLines="50" w:afterLines="50"/>
      <w:ind w:firstLineChars="0"/>
    </w:pPr>
    <w:rPr>
      <w:rFonts w:ascii="黑体" w:eastAsia="黑体"/>
    </w:rPr>
  </w:style>
  <w:style w:type="paragraph" w:customStyle="1" w:styleId="213">
    <w:name w:val="标准文件_注后"/>
    <w:basedOn w:val="64"/>
    <w:qFormat/>
    <w:uiPriority w:val="0"/>
    <w:pPr>
      <w:ind w:left="811" w:firstLine="0" w:firstLineChars="0"/>
    </w:pPr>
    <w:rPr>
      <w:sz w:val="18"/>
    </w:rPr>
  </w:style>
  <w:style w:type="paragraph" w:customStyle="1" w:styleId="214">
    <w:name w:val="标准文件_注X后"/>
    <w:basedOn w:val="64"/>
    <w:qFormat/>
    <w:uiPriority w:val="0"/>
    <w:pPr>
      <w:ind w:left="811" w:firstLine="0" w:firstLineChars="0"/>
    </w:pPr>
    <w:rPr>
      <w:sz w:val="18"/>
    </w:rPr>
  </w:style>
  <w:style w:type="paragraph" w:customStyle="1" w:styleId="215">
    <w:name w:val="标准文件_示例后"/>
    <w:basedOn w:val="64"/>
    <w:qFormat/>
    <w:uiPriority w:val="0"/>
    <w:pPr>
      <w:ind w:left="964" w:firstLine="0" w:firstLineChars="0"/>
    </w:pPr>
    <w:rPr>
      <w:sz w:val="18"/>
    </w:rPr>
  </w:style>
  <w:style w:type="paragraph" w:customStyle="1" w:styleId="216">
    <w:name w:val="标准文件_示例X后"/>
    <w:basedOn w:val="64"/>
    <w:link w:val="217"/>
    <w:qFormat/>
    <w:uiPriority w:val="0"/>
    <w:pPr>
      <w:ind w:left="1049" w:firstLine="0" w:firstLineChars="0"/>
    </w:pPr>
    <w:rPr>
      <w:sz w:val="18"/>
    </w:rPr>
  </w:style>
  <w:style w:type="character" w:customStyle="1" w:styleId="217">
    <w:name w:val="标准文件_示例X后 字符"/>
    <w:basedOn w:val="192"/>
    <w:link w:val="216"/>
    <w:qFormat/>
    <w:uiPriority w:val="0"/>
    <w:rPr>
      <w:rFonts w:ascii="宋体" w:hAnsi="Times New Roman"/>
      <w:sz w:val="18"/>
    </w:rPr>
  </w:style>
  <w:style w:type="paragraph" w:customStyle="1" w:styleId="218">
    <w:name w:val="标准文件_索引项"/>
    <w:basedOn w:val="64"/>
    <w:next w:val="64"/>
    <w:qFormat/>
    <w:uiPriority w:val="0"/>
    <w:pPr>
      <w:tabs>
        <w:tab w:val="right" w:leader="dot" w:pos="9356"/>
      </w:tabs>
      <w:ind w:left="210" w:hanging="210" w:firstLineChars="0"/>
    </w:pPr>
  </w:style>
  <w:style w:type="paragraph" w:customStyle="1" w:styleId="219">
    <w:name w:val="标准文件_附录一级无标题"/>
    <w:basedOn w:val="86"/>
    <w:qFormat/>
    <w:uiPriority w:val="0"/>
    <w:pPr>
      <w:spacing w:beforeLines="0" w:afterLines="0" w:line="276" w:lineRule="auto"/>
      <w:outlineLvl w:val="9"/>
    </w:pPr>
    <w:rPr>
      <w:rFonts w:ascii="宋体" w:eastAsia="宋体"/>
    </w:rPr>
  </w:style>
  <w:style w:type="paragraph" w:customStyle="1" w:styleId="220">
    <w:name w:val="标准文件_附录二级无标题"/>
    <w:basedOn w:val="87"/>
    <w:qFormat/>
    <w:uiPriority w:val="0"/>
    <w:pPr>
      <w:spacing w:beforeLines="0" w:afterLines="0" w:line="276" w:lineRule="auto"/>
      <w:outlineLvl w:val="9"/>
    </w:pPr>
    <w:rPr>
      <w:rFonts w:ascii="宋体" w:eastAsia="宋体"/>
    </w:rPr>
  </w:style>
  <w:style w:type="paragraph" w:customStyle="1" w:styleId="221">
    <w:name w:val="标准文件_附录三级无标题"/>
    <w:basedOn w:val="89"/>
    <w:qFormat/>
    <w:uiPriority w:val="0"/>
    <w:pPr>
      <w:spacing w:beforeLines="0" w:afterLines="0" w:line="276" w:lineRule="auto"/>
      <w:outlineLvl w:val="9"/>
    </w:pPr>
    <w:rPr>
      <w:rFonts w:ascii="宋体" w:eastAsia="宋体"/>
    </w:rPr>
  </w:style>
  <w:style w:type="paragraph" w:customStyle="1" w:styleId="222">
    <w:name w:val="标准文件_附录四级无标题"/>
    <w:basedOn w:val="90"/>
    <w:qFormat/>
    <w:uiPriority w:val="0"/>
    <w:pPr>
      <w:spacing w:beforeLines="0" w:afterLines="0" w:line="276" w:lineRule="auto"/>
      <w:outlineLvl w:val="9"/>
    </w:pPr>
    <w:rPr>
      <w:rFonts w:ascii="宋体" w:eastAsia="宋体"/>
    </w:rPr>
  </w:style>
  <w:style w:type="paragraph" w:customStyle="1" w:styleId="223">
    <w:name w:val="标准文件_附录五级无标题"/>
    <w:basedOn w:val="92"/>
    <w:qFormat/>
    <w:uiPriority w:val="0"/>
    <w:pPr>
      <w:spacing w:beforeLines="0" w:afterLines="0" w:line="276" w:lineRule="auto"/>
      <w:outlineLvl w:val="9"/>
    </w:pPr>
    <w:rPr>
      <w:rFonts w:ascii="宋体" w:eastAsia="宋体"/>
    </w:rPr>
  </w:style>
  <w:style w:type="paragraph" w:customStyle="1" w:styleId="224">
    <w:name w:val="标准文件_引言一级无标题"/>
    <w:basedOn w:val="208"/>
    <w:next w:val="64"/>
    <w:qFormat/>
    <w:uiPriority w:val="0"/>
    <w:pPr>
      <w:spacing w:beforeLines="0" w:afterLines="0" w:line="276" w:lineRule="auto"/>
    </w:pPr>
    <w:rPr>
      <w:rFonts w:ascii="宋体" w:eastAsia="宋体"/>
    </w:rPr>
  </w:style>
  <w:style w:type="paragraph" w:customStyle="1" w:styleId="225">
    <w:name w:val="标准文件_引言二级无标题"/>
    <w:basedOn w:val="209"/>
    <w:next w:val="64"/>
    <w:qFormat/>
    <w:uiPriority w:val="0"/>
    <w:pPr>
      <w:spacing w:beforeLines="0" w:afterLines="0" w:line="276" w:lineRule="auto"/>
    </w:pPr>
    <w:rPr>
      <w:rFonts w:ascii="宋体" w:eastAsia="宋体"/>
    </w:rPr>
  </w:style>
  <w:style w:type="paragraph" w:customStyle="1" w:styleId="226">
    <w:name w:val="标准文件_引言三级无标题"/>
    <w:basedOn w:val="210"/>
    <w:next w:val="64"/>
    <w:qFormat/>
    <w:uiPriority w:val="0"/>
    <w:pPr>
      <w:spacing w:beforeLines="0" w:afterLines="0" w:line="276" w:lineRule="auto"/>
    </w:pPr>
    <w:rPr>
      <w:rFonts w:ascii="宋体" w:eastAsia="宋体"/>
    </w:rPr>
  </w:style>
  <w:style w:type="paragraph" w:customStyle="1" w:styleId="227">
    <w:name w:val="标准文件_引言四级无标题"/>
    <w:basedOn w:val="211"/>
    <w:next w:val="64"/>
    <w:qFormat/>
    <w:uiPriority w:val="0"/>
    <w:pPr>
      <w:spacing w:beforeLines="0" w:afterLines="0" w:line="276" w:lineRule="auto"/>
    </w:pPr>
    <w:rPr>
      <w:rFonts w:ascii="宋体" w:eastAsia="宋体"/>
    </w:rPr>
  </w:style>
  <w:style w:type="paragraph" w:customStyle="1" w:styleId="228">
    <w:name w:val="标准文件_引言五级无标题"/>
    <w:basedOn w:val="212"/>
    <w:next w:val="64"/>
    <w:qFormat/>
    <w:uiPriority w:val="0"/>
    <w:pPr>
      <w:spacing w:beforeLines="0" w:afterLines="0" w:line="276" w:lineRule="auto"/>
    </w:pPr>
    <w:rPr>
      <w:rFonts w:ascii="宋体" w:eastAsia="宋体"/>
    </w:rPr>
  </w:style>
  <w:style w:type="paragraph" w:customStyle="1" w:styleId="229">
    <w:name w:val="标准文件_索引标题"/>
    <w:basedOn w:val="71"/>
    <w:next w:val="64"/>
    <w:qFormat/>
    <w:uiPriority w:val="0"/>
    <w:rPr>
      <w:rFonts w:hAnsi="黑体"/>
    </w:rPr>
  </w:style>
  <w:style w:type="paragraph" w:customStyle="1" w:styleId="230">
    <w:name w:val="标准文件_脚注内容"/>
    <w:basedOn w:val="64"/>
    <w:qFormat/>
    <w:uiPriority w:val="0"/>
    <w:pPr>
      <w:ind w:left="400" w:leftChars="200" w:hanging="200" w:hangingChars="200"/>
    </w:pPr>
    <w:rPr>
      <w:sz w:val="15"/>
    </w:rPr>
  </w:style>
  <w:style w:type="paragraph" w:customStyle="1" w:styleId="231">
    <w:name w:val="标准文件_术语条一"/>
    <w:basedOn w:val="170"/>
    <w:next w:val="64"/>
    <w:qFormat/>
    <w:uiPriority w:val="0"/>
  </w:style>
  <w:style w:type="paragraph" w:customStyle="1" w:styleId="232">
    <w:name w:val="标准文件_术语条二"/>
    <w:basedOn w:val="173"/>
    <w:next w:val="64"/>
    <w:qFormat/>
    <w:uiPriority w:val="0"/>
  </w:style>
  <w:style w:type="paragraph" w:customStyle="1" w:styleId="233">
    <w:name w:val="标准文件_术语条三"/>
    <w:basedOn w:val="172"/>
    <w:next w:val="64"/>
    <w:qFormat/>
    <w:uiPriority w:val="0"/>
  </w:style>
  <w:style w:type="paragraph" w:customStyle="1" w:styleId="234">
    <w:name w:val="标准文件_术语条四"/>
    <w:basedOn w:val="175"/>
    <w:next w:val="64"/>
    <w:qFormat/>
    <w:uiPriority w:val="0"/>
  </w:style>
  <w:style w:type="paragraph" w:customStyle="1" w:styleId="235">
    <w:name w:val="标准文件_术语条五"/>
    <w:basedOn w:val="171"/>
    <w:next w:val="64"/>
    <w:qFormat/>
    <w:uiPriority w:val="0"/>
  </w:style>
  <w:style w:type="paragraph" w:customStyle="1" w:styleId="23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7">
    <w:name w:val="发布"/>
    <w:basedOn w:val="34"/>
    <w:qFormat/>
    <w:uiPriority w:val="0"/>
    <w:rPr>
      <w:rFonts w:ascii="黑体" w:eastAsia="黑体"/>
      <w:spacing w:val="85"/>
      <w:w w:val="100"/>
      <w:position w:val="3"/>
      <w:sz w:val="28"/>
      <w:szCs w:val="28"/>
    </w:rPr>
  </w:style>
  <w:style w:type="paragraph" w:customStyle="1" w:styleId="238">
    <w:name w:val="段"/>
    <w:basedOn w:val="1"/>
    <w:link w:val="239"/>
    <w:qFormat/>
    <w:uiPriority w:val="0"/>
    <w:pPr>
      <w:ind w:firstLine="420"/>
      <w:jc w:val="both"/>
    </w:pPr>
    <w:rPr>
      <w:rFonts w:ascii="Times New Roman" w:hAnsi="Times New Roman" w:cs="Calibri"/>
    </w:rPr>
  </w:style>
  <w:style w:type="character" w:customStyle="1" w:styleId="239">
    <w:name w:val="段 字符"/>
    <w:basedOn w:val="34"/>
    <w:link w:val="238"/>
    <w:qFormat/>
    <w:uiPriority w:val="0"/>
    <w:rPr>
      <w:rFonts w:cs="Calibri"/>
      <w:kern w:val="2"/>
      <w:sz w:val="18"/>
      <w:szCs w:val="18"/>
      <w:lang w:val="zh-CN"/>
    </w:rPr>
  </w:style>
  <w:style w:type="paragraph" w:customStyle="1" w:styleId="240">
    <w:name w:val="1章标题"/>
    <w:next w:val="64"/>
    <w:link w:val="260"/>
    <w:qFormat/>
    <w:uiPriority w:val="99"/>
    <w:pPr>
      <w:spacing w:beforeLines="50" w:afterLines="50"/>
      <w:jc w:val="both"/>
      <w:outlineLvl w:val="0"/>
    </w:pPr>
    <w:rPr>
      <w:rFonts w:ascii="黑体" w:hAnsi="Times New Roman" w:eastAsia="黑体" w:cs="黑体"/>
      <w:sz w:val="21"/>
      <w:szCs w:val="21"/>
      <w:lang w:val="en-US" w:eastAsia="zh-CN" w:bidi="ar-SA"/>
    </w:rPr>
  </w:style>
  <w:style w:type="paragraph" w:customStyle="1" w:styleId="241">
    <w:name w:val="一级条标题"/>
    <w:basedOn w:val="113"/>
    <w:next w:val="238"/>
    <w:link w:val="242"/>
    <w:qFormat/>
    <w:uiPriority w:val="0"/>
    <w:pPr>
      <w:tabs>
        <w:tab w:val="left" w:pos="1646"/>
        <w:tab w:val="left" w:pos="2258"/>
      </w:tabs>
      <w:spacing w:before="156" w:after="156"/>
    </w:pPr>
    <w:rPr>
      <w:rFonts w:ascii="Times New Roman" w:cs="黑体"/>
      <w:szCs w:val="21"/>
    </w:rPr>
  </w:style>
  <w:style w:type="character" w:customStyle="1" w:styleId="242">
    <w:name w:val="一级条标题 字符"/>
    <w:basedOn w:val="34"/>
    <w:link w:val="241"/>
    <w:qFormat/>
    <w:uiPriority w:val="0"/>
    <w:rPr>
      <w:rFonts w:hAnsi="宋体" w:eastAsia="黑体" w:cs="黑体"/>
      <w:b/>
      <w:bCs/>
      <w:sz w:val="21"/>
      <w:szCs w:val="21"/>
    </w:rPr>
  </w:style>
  <w:style w:type="paragraph" w:customStyle="1" w:styleId="243">
    <w:name w:val="正文表标题"/>
    <w:basedOn w:val="1"/>
    <w:next w:val="238"/>
    <w:link w:val="244"/>
    <w:qFormat/>
    <w:uiPriority w:val="0"/>
    <w:pPr>
      <w:numPr>
        <w:ilvl w:val="0"/>
        <w:numId w:val="32"/>
      </w:numPr>
      <w:spacing w:beforeLines="50" w:afterLines="50" w:line="240" w:lineRule="auto"/>
      <w:ind w:left="0" w:firstLine="0"/>
    </w:pPr>
    <w:rPr>
      <w:rFonts w:ascii="Times New Roman" w:hAnsi="Times New Roman" w:eastAsia="黑体" w:cs="Calibri"/>
    </w:rPr>
  </w:style>
  <w:style w:type="character" w:customStyle="1" w:styleId="244">
    <w:name w:val="正文表标题 字符"/>
    <w:basedOn w:val="34"/>
    <w:link w:val="243"/>
    <w:qFormat/>
    <w:uiPriority w:val="0"/>
    <w:rPr>
      <w:rFonts w:eastAsia="黑体" w:cs="Calibri"/>
      <w:kern w:val="2"/>
      <w:sz w:val="18"/>
      <w:szCs w:val="18"/>
      <w:lang w:val="zh-CN"/>
    </w:rPr>
  </w:style>
  <w:style w:type="paragraph" w:customStyle="1" w:styleId="245">
    <w:name w:val="字母列项"/>
    <w:basedOn w:val="246"/>
    <w:next w:val="238"/>
    <w:link w:val="247"/>
    <w:qFormat/>
    <w:uiPriority w:val="0"/>
    <w:pPr>
      <w:numPr>
        <w:numId w:val="33"/>
      </w:numPr>
      <w:adjustRightInd/>
      <w:spacing w:line="240" w:lineRule="auto"/>
      <w:ind w:firstLine="0" w:firstLineChars="0"/>
    </w:pPr>
    <w:rPr>
      <w:rFonts w:ascii="Times New Roman" w:hAnsi="Times New Roman" w:cs="宋体"/>
      <w:kern w:val="0"/>
    </w:rPr>
  </w:style>
  <w:style w:type="paragraph" w:styleId="246">
    <w:name w:val="List Paragraph"/>
    <w:basedOn w:val="1"/>
    <w:link w:val="250"/>
    <w:qFormat/>
    <w:uiPriority w:val="1"/>
    <w:pPr>
      <w:numPr>
        <w:ilvl w:val="1"/>
        <w:numId w:val="34"/>
      </w:numPr>
    </w:pPr>
  </w:style>
  <w:style w:type="character" w:customStyle="1" w:styleId="247">
    <w:name w:val="字母列项 字符"/>
    <w:basedOn w:val="34"/>
    <w:link w:val="245"/>
    <w:qFormat/>
    <w:uiPriority w:val="0"/>
    <w:rPr>
      <w:rFonts w:cs="宋体"/>
      <w:sz w:val="18"/>
      <w:szCs w:val="18"/>
      <w:lang w:val="zh-CN"/>
    </w:rPr>
  </w:style>
  <w:style w:type="paragraph" w:customStyle="1" w:styleId="248">
    <w:name w:val="二级条标题"/>
    <w:basedOn w:val="73"/>
    <w:next w:val="238"/>
    <w:link w:val="249"/>
    <w:qFormat/>
    <w:uiPriority w:val="0"/>
    <w:pPr>
      <w:tabs>
        <w:tab w:val="left" w:pos="1646"/>
      </w:tabs>
    </w:pPr>
    <w:rPr>
      <w:rFonts w:ascii="Times New Roman" w:cs="黑体"/>
      <w:szCs w:val="21"/>
    </w:rPr>
  </w:style>
  <w:style w:type="character" w:customStyle="1" w:styleId="249">
    <w:name w:val="二级条标题 字符"/>
    <w:basedOn w:val="34"/>
    <w:link w:val="248"/>
    <w:qFormat/>
    <w:uiPriority w:val="0"/>
    <w:rPr>
      <w:rFonts w:ascii="Times New Roman" w:hAnsi="Times New Roman" w:eastAsia="黑体" w:cs="黑体"/>
      <w:sz w:val="21"/>
      <w:szCs w:val="21"/>
    </w:rPr>
  </w:style>
  <w:style w:type="character" w:customStyle="1" w:styleId="250">
    <w:name w:val="列表段落 字符"/>
    <w:basedOn w:val="34"/>
    <w:link w:val="246"/>
    <w:qFormat/>
    <w:uiPriority w:val="1"/>
    <w:rPr>
      <w:rFonts w:ascii="宋体" w:hAnsi="宋体"/>
      <w:kern w:val="2"/>
      <w:sz w:val="18"/>
      <w:szCs w:val="18"/>
      <w:lang w:val="zh-CN"/>
    </w:rPr>
  </w:style>
  <w:style w:type="paragraph" w:customStyle="1" w:styleId="251">
    <w:name w:val="正文图题"/>
    <w:basedOn w:val="26"/>
    <w:next w:val="238"/>
    <w:link w:val="252"/>
    <w:qFormat/>
    <w:uiPriority w:val="0"/>
    <w:pPr>
      <w:numPr>
        <w:ilvl w:val="0"/>
        <w:numId w:val="35"/>
      </w:numPr>
      <w:adjustRightInd w:val="0"/>
      <w:spacing w:beforeLines="50" w:afterLines="50"/>
      <w:ind w:left="0" w:firstLine="0"/>
    </w:pPr>
    <w:rPr>
      <w:rFonts w:ascii="Times New Roman" w:hAnsi="Times New Roman" w:eastAsia="黑体" w:cs="Calibri"/>
      <w:szCs w:val="21"/>
    </w:rPr>
  </w:style>
  <w:style w:type="character" w:customStyle="1" w:styleId="252">
    <w:name w:val="正文图题 字符"/>
    <w:basedOn w:val="34"/>
    <w:link w:val="251"/>
    <w:qFormat/>
    <w:uiPriority w:val="0"/>
    <w:rPr>
      <w:rFonts w:eastAsia="黑体" w:cs="Calibri"/>
      <w:kern w:val="2"/>
      <w:sz w:val="18"/>
      <w:szCs w:val="21"/>
      <w:lang w:val="zh-CN"/>
    </w:rPr>
  </w:style>
  <w:style w:type="character" w:customStyle="1" w:styleId="253">
    <w:name w:val="批注文字 字符"/>
    <w:basedOn w:val="34"/>
    <w:link w:val="13"/>
    <w:semiHidden/>
    <w:qFormat/>
    <w:uiPriority w:val="99"/>
    <w:rPr>
      <w:kern w:val="2"/>
      <w:sz w:val="21"/>
      <w:szCs w:val="21"/>
    </w:rPr>
  </w:style>
  <w:style w:type="character" w:customStyle="1" w:styleId="254">
    <w:name w:val="批注主题 字符"/>
    <w:basedOn w:val="253"/>
    <w:link w:val="30"/>
    <w:semiHidden/>
    <w:qFormat/>
    <w:uiPriority w:val="99"/>
    <w:rPr>
      <w:b/>
      <w:bCs/>
      <w:kern w:val="2"/>
      <w:sz w:val="21"/>
      <w:szCs w:val="21"/>
    </w:rPr>
  </w:style>
  <w:style w:type="character" w:customStyle="1" w:styleId="255">
    <w:name w:val="副标题 字符"/>
    <w:basedOn w:val="34"/>
    <w:link w:val="23"/>
    <w:qFormat/>
    <w:uiPriority w:val="11"/>
    <w:rPr>
      <w:rFonts w:asciiTheme="minorHAnsi" w:hAnsiTheme="minorHAnsi" w:eastAsiaTheme="minorEastAsia" w:cstheme="minorBidi"/>
      <w:b/>
      <w:bCs/>
      <w:kern w:val="28"/>
      <w:sz w:val="32"/>
      <w:szCs w:val="32"/>
    </w:rPr>
  </w:style>
  <w:style w:type="paragraph" w:customStyle="1" w:styleId="256">
    <w:name w:val="章标题"/>
    <w:basedOn w:val="240"/>
    <w:next w:val="238"/>
    <w:link w:val="261"/>
    <w:qFormat/>
    <w:uiPriority w:val="0"/>
    <w:pPr>
      <w:numPr>
        <w:ilvl w:val="1"/>
        <w:numId w:val="1"/>
      </w:numPr>
      <w:spacing w:beforeLines="100" w:afterLines="100"/>
    </w:pPr>
    <w:rPr>
      <w:rFonts w:ascii="Times New Roman"/>
    </w:rPr>
  </w:style>
  <w:style w:type="character" w:customStyle="1" w:styleId="257">
    <w:name w:val="不明显强调1"/>
    <w:basedOn w:val="34"/>
    <w:qFormat/>
    <w:uiPriority w:val="19"/>
    <w:rPr>
      <w:i/>
      <w:iCs/>
      <w:color w:val="404040" w:themeColor="text1" w:themeTint="BF"/>
      <w14:textFill>
        <w14:solidFill>
          <w14:schemeClr w14:val="tx1">
            <w14:lumMod w14:val="75000"/>
            <w14:lumOff w14:val="25000"/>
          </w14:schemeClr>
        </w14:solidFill>
      </w14:textFill>
    </w:rPr>
  </w:style>
  <w:style w:type="paragraph" w:customStyle="1" w:styleId="258">
    <w:name w:val="目次、前言、引言"/>
    <w:basedOn w:val="29"/>
    <w:next w:val="238"/>
    <w:link w:val="259"/>
    <w:qFormat/>
    <w:uiPriority w:val="0"/>
    <w:pPr>
      <w:spacing w:before="851" w:after="680" w:line="240" w:lineRule="auto"/>
    </w:pPr>
    <w:rPr>
      <w:rFonts w:eastAsia="黑体" w:asciiTheme="majorHAnsi" w:hAnsiTheme="majorHAnsi" w:cstheme="majorBidi"/>
      <w:b w:val="0"/>
    </w:rPr>
  </w:style>
  <w:style w:type="character" w:customStyle="1" w:styleId="259">
    <w:name w:val="目次、前言、引言 字符"/>
    <w:basedOn w:val="56"/>
    <w:link w:val="258"/>
    <w:qFormat/>
    <w:uiPriority w:val="0"/>
    <w:rPr>
      <w:rFonts w:eastAsia="黑体" w:asciiTheme="majorHAnsi" w:hAnsiTheme="majorHAnsi" w:cstheme="majorBidi"/>
      <w:b w:val="0"/>
      <w:kern w:val="2"/>
      <w:sz w:val="32"/>
      <w:szCs w:val="32"/>
    </w:rPr>
  </w:style>
  <w:style w:type="character" w:customStyle="1" w:styleId="260">
    <w:name w:val="1章标题 字符"/>
    <w:basedOn w:val="34"/>
    <w:link w:val="240"/>
    <w:qFormat/>
    <w:uiPriority w:val="99"/>
    <w:rPr>
      <w:rFonts w:ascii="黑体" w:hAnsi="Times New Roman" w:eastAsia="黑体" w:cs="黑体"/>
      <w:sz w:val="21"/>
      <w:szCs w:val="21"/>
    </w:rPr>
  </w:style>
  <w:style w:type="character" w:customStyle="1" w:styleId="261">
    <w:name w:val="章标题 字符"/>
    <w:basedOn w:val="260"/>
    <w:link w:val="256"/>
    <w:qFormat/>
    <w:uiPriority w:val="0"/>
    <w:rPr>
      <w:rFonts w:ascii="黑体" w:hAnsi="Times New Roman" w:eastAsia="黑体" w:cs="黑体"/>
      <w:sz w:val="21"/>
      <w:szCs w:val="21"/>
    </w:rPr>
  </w:style>
  <w:style w:type="character" w:customStyle="1" w:styleId="262">
    <w:name w:val="标准文件_一级条标题 字符"/>
    <w:basedOn w:val="260"/>
    <w:link w:val="113"/>
    <w:qFormat/>
    <w:uiPriority w:val="99"/>
    <w:rPr>
      <w:rFonts w:ascii="宋体" w:hAnsi="宋体" w:eastAsia="黑体" w:cs="黑体"/>
      <w:b/>
      <w:bCs/>
      <w:sz w:val="21"/>
      <w:szCs w:val="21"/>
    </w:rPr>
  </w:style>
  <w:style w:type="paragraph" w:customStyle="1" w:styleId="263">
    <w:name w:val="术语"/>
    <w:basedOn w:val="238"/>
    <w:next w:val="238"/>
    <w:link w:val="265"/>
    <w:qFormat/>
    <w:uiPriority w:val="0"/>
    <w:rPr>
      <w:rFonts w:eastAsia="黑体"/>
    </w:rPr>
  </w:style>
  <w:style w:type="character" w:customStyle="1" w:styleId="264">
    <w:name w:val="段 Char"/>
    <w:qFormat/>
    <w:uiPriority w:val="0"/>
    <w:rPr>
      <w:rFonts w:ascii="宋体"/>
      <w:sz w:val="21"/>
      <w:lang w:val="en-US" w:eastAsia="zh-CN" w:bidi="ar-SA"/>
    </w:rPr>
  </w:style>
  <w:style w:type="character" w:customStyle="1" w:styleId="265">
    <w:name w:val="术语 字符"/>
    <w:basedOn w:val="239"/>
    <w:link w:val="263"/>
    <w:qFormat/>
    <w:uiPriority w:val="0"/>
    <w:rPr>
      <w:rFonts w:ascii="Times New Roman" w:hAnsi="Times New Roman" w:eastAsia="黑体" w:cs="Calibri"/>
      <w:kern w:val="2"/>
      <w:sz w:val="21"/>
      <w:szCs w:val="21"/>
      <w:lang w:val="zh-CN"/>
    </w:rPr>
  </w:style>
  <w:style w:type="paragraph" w:customStyle="1" w:styleId="266">
    <w:name w:val="注"/>
    <w:basedOn w:val="238"/>
    <w:next w:val="238"/>
    <w:link w:val="267"/>
    <w:qFormat/>
    <w:uiPriority w:val="0"/>
    <w:pPr>
      <w:widowControl/>
      <w:tabs>
        <w:tab w:val="center" w:pos="4201"/>
        <w:tab w:val="right" w:leader="dot" w:pos="9298"/>
      </w:tabs>
      <w:autoSpaceDE w:val="0"/>
      <w:autoSpaceDN w:val="0"/>
      <w:adjustRightInd/>
    </w:pPr>
    <w:rPr>
      <w:rFonts w:eastAsia="黑体"/>
    </w:rPr>
  </w:style>
  <w:style w:type="character" w:customStyle="1" w:styleId="267">
    <w:name w:val="注 字符"/>
    <w:basedOn w:val="239"/>
    <w:link w:val="266"/>
    <w:qFormat/>
    <w:uiPriority w:val="0"/>
    <w:rPr>
      <w:rFonts w:ascii="Times New Roman" w:hAnsi="Times New Roman" w:eastAsia="黑体" w:cs="Calibri"/>
      <w:kern w:val="2"/>
      <w:sz w:val="18"/>
      <w:szCs w:val="18"/>
      <w:lang w:val="zh-CN"/>
    </w:rPr>
  </w:style>
  <w:style w:type="character" w:customStyle="1" w:styleId="268">
    <w:name w:val="标准文件_二级条标题 字符"/>
    <w:basedOn w:val="34"/>
    <w:link w:val="73"/>
    <w:qFormat/>
    <w:uiPriority w:val="99"/>
    <w:rPr>
      <w:rFonts w:ascii="黑体" w:hAnsi="Times New Roman" w:eastAsia="黑体"/>
      <w:sz w:val="21"/>
    </w:rPr>
  </w:style>
  <w:style w:type="character" w:customStyle="1" w:styleId="269">
    <w:name w:val="图表目录 字符"/>
    <w:basedOn w:val="34"/>
    <w:link w:val="26"/>
    <w:semiHidden/>
    <w:qFormat/>
    <w:uiPriority w:val="99"/>
    <w:rPr>
      <w:kern w:val="2"/>
      <w:sz w:val="21"/>
      <w:szCs w:val="24"/>
    </w:rPr>
  </w:style>
  <w:style w:type="paragraph" w:customStyle="1" w:styleId="270">
    <w:name w:val="三级条标题"/>
    <w:basedOn w:val="102"/>
    <w:next w:val="238"/>
    <w:link w:val="273"/>
    <w:qFormat/>
    <w:uiPriority w:val="0"/>
    <w:pPr>
      <w:tabs>
        <w:tab w:val="left" w:pos="1646"/>
        <w:tab w:val="left" w:pos="3098"/>
      </w:tabs>
      <w:spacing w:before="156" w:after="156"/>
    </w:pPr>
    <w:rPr>
      <w:rFonts w:ascii="Times New Roman" w:cs="黑体"/>
      <w:szCs w:val="21"/>
    </w:rPr>
  </w:style>
  <w:style w:type="paragraph" w:customStyle="1" w:styleId="271">
    <w:name w:val="列项（——）"/>
    <w:basedOn w:val="1"/>
    <w:link w:val="275"/>
    <w:qFormat/>
    <w:uiPriority w:val="0"/>
    <w:pPr>
      <w:widowControl/>
      <w:tabs>
        <w:tab w:val="center" w:pos="4201"/>
        <w:tab w:val="right" w:leader="dot" w:pos="9298"/>
      </w:tabs>
      <w:autoSpaceDE w:val="0"/>
      <w:autoSpaceDN w:val="0"/>
      <w:adjustRightInd/>
      <w:spacing w:line="240" w:lineRule="auto"/>
      <w:ind w:left="400" w:leftChars="200" w:hanging="200" w:hangingChars="200"/>
    </w:pPr>
    <w:rPr>
      <w:rFonts w:ascii="Times New Roman" w:hAnsi="Times New Roman" w:cs="黑体"/>
      <w:kern w:val="0"/>
    </w:rPr>
  </w:style>
  <w:style w:type="character" w:customStyle="1" w:styleId="272">
    <w:name w:val="标准文件_三级条标题 字符"/>
    <w:basedOn w:val="268"/>
    <w:link w:val="102"/>
    <w:qFormat/>
    <w:uiPriority w:val="99"/>
    <w:rPr>
      <w:rFonts w:ascii="黑体" w:hAnsi="Times New Roman" w:eastAsia="黑体"/>
      <w:sz w:val="21"/>
    </w:rPr>
  </w:style>
  <w:style w:type="character" w:customStyle="1" w:styleId="273">
    <w:name w:val="三级条标题 字符"/>
    <w:basedOn w:val="272"/>
    <w:link w:val="270"/>
    <w:qFormat/>
    <w:uiPriority w:val="0"/>
    <w:rPr>
      <w:rFonts w:ascii="黑体" w:hAnsi="Times New Roman" w:eastAsia="黑体" w:cs="黑体"/>
      <w:sz w:val="21"/>
      <w:szCs w:val="21"/>
    </w:rPr>
  </w:style>
  <w:style w:type="table" w:customStyle="1" w:styleId="274">
    <w:name w:val="网格型1"/>
    <w:basedOn w:val="32"/>
    <w:qFormat/>
    <w:uiPriority w:val="9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75">
    <w:name w:val="列项（——） 字符"/>
    <w:basedOn w:val="34"/>
    <w:link w:val="271"/>
    <w:qFormat/>
    <w:uiPriority w:val="0"/>
    <w:rPr>
      <w:rFonts w:ascii="Times New Roman" w:hAnsi="Times New Roman" w:cs="黑体"/>
      <w:sz w:val="21"/>
      <w:szCs w:val="21"/>
    </w:rPr>
  </w:style>
  <w:style w:type="paragraph" w:customStyle="1" w:styleId="276">
    <w:name w:val="正文公式"/>
    <w:basedOn w:val="1"/>
    <w:link w:val="278"/>
    <w:qFormat/>
    <w:uiPriority w:val="0"/>
    <w:pPr>
      <w:tabs>
        <w:tab w:val="center" w:pos="2520"/>
        <w:tab w:val="right" w:pos="5040"/>
      </w:tabs>
      <w:adjustRightInd/>
      <w:spacing w:line="240" w:lineRule="auto"/>
    </w:pPr>
    <w:rPr>
      <w:rFonts w:cs="宋体"/>
    </w:rPr>
  </w:style>
  <w:style w:type="paragraph" w:customStyle="1" w:styleId="277">
    <w:name w:val="正文公式1"/>
    <w:basedOn w:val="238"/>
    <w:next w:val="238"/>
    <w:qFormat/>
    <w:uiPriority w:val="0"/>
    <w:pPr>
      <w:tabs>
        <w:tab w:val="center" w:pos="4200"/>
        <w:tab w:val="right" w:leader="dot" w:pos="9030"/>
      </w:tabs>
    </w:pPr>
  </w:style>
  <w:style w:type="character" w:customStyle="1" w:styleId="278">
    <w:name w:val="正文公式 字符"/>
    <w:basedOn w:val="34"/>
    <w:link w:val="276"/>
    <w:qFormat/>
    <w:uiPriority w:val="0"/>
    <w:rPr>
      <w:rFonts w:ascii="宋体" w:hAnsi="宋体" w:cs="宋体"/>
      <w:kern w:val="2"/>
      <w:sz w:val="21"/>
      <w:szCs w:val="18"/>
    </w:rPr>
  </w:style>
  <w:style w:type="character" w:customStyle="1" w:styleId="279">
    <w:name w:val="批注文字 字符1"/>
    <w:qFormat/>
    <w:uiPriority w:val="0"/>
    <w:rPr>
      <w:szCs w:val="24"/>
    </w:rPr>
  </w:style>
  <w:style w:type="paragraph" w:customStyle="1" w:styleId="280">
    <w:name w:val="附录标识"/>
    <w:basedOn w:val="1"/>
    <w:next w:val="238"/>
    <w:link w:val="283"/>
    <w:qFormat/>
    <w:uiPriority w:val="0"/>
    <w:pPr>
      <w:keepNext/>
      <w:widowControl/>
      <w:shd w:val="clear" w:color="FFFFFF" w:fill="FFFFFF"/>
      <w:tabs>
        <w:tab w:val="left" w:pos="360"/>
        <w:tab w:val="left" w:pos="6405"/>
      </w:tabs>
      <w:adjustRightInd/>
      <w:spacing w:before="640" w:after="280" w:line="240" w:lineRule="auto"/>
      <w:outlineLvl w:val="0"/>
    </w:pPr>
    <w:rPr>
      <w:rFonts w:ascii="黑体" w:hAnsi="Times New Roman" w:eastAsia="黑体"/>
      <w:kern w:val="0"/>
      <w:szCs w:val="20"/>
    </w:rPr>
  </w:style>
  <w:style w:type="paragraph" w:customStyle="1" w:styleId="281">
    <w:name w:val="附录标题"/>
    <w:basedOn w:val="280"/>
    <w:next w:val="238"/>
    <w:link w:val="284"/>
    <w:qFormat/>
    <w:uiPriority w:val="0"/>
    <w:pPr>
      <w:spacing w:after="360" w:line="360" w:lineRule="exact"/>
    </w:pPr>
  </w:style>
  <w:style w:type="paragraph" w:customStyle="1" w:styleId="282">
    <w:name w:val="附录章标题"/>
    <w:basedOn w:val="281"/>
    <w:next w:val="238"/>
    <w:link w:val="285"/>
    <w:qFormat/>
    <w:uiPriority w:val="0"/>
    <w:pPr>
      <w:tabs>
        <w:tab w:val="clear" w:pos="360"/>
        <w:tab w:val="clear" w:pos="6405"/>
      </w:tabs>
      <w:spacing w:beforeLines="100" w:afterLines="100" w:line="240" w:lineRule="auto"/>
      <w:jc w:val="left"/>
    </w:pPr>
  </w:style>
  <w:style w:type="character" w:customStyle="1" w:styleId="283">
    <w:name w:val="附录标识 字符"/>
    <w:basedOn w:val="34"/>
    <w:link w:val="280"/>
    <w:qFormat/>
    <w:uiPriority w:val="0"/>
    <w:rPr>
      <w:rFonts w:ascii="黑体" w:hAnsi="Times New Roman" w:eastAsia="黑体"/>
      <w:sz w:val="21"/>
      <w:shd w:val="clear" w:color="FFFFFF" w:fill="FFFFFF"/>
    </w:rPr>
  </w:style>
  <w:style w:type="character" w:customStyle="1" w:styleId="284">
    <w:name w:val="附录标题 字符"/>
    <w:basedOn w:val="283"/>
    <w:link w:val="281"/>
    <w:qFormat/>
    <w:uiPriority w:val="0"/>
    <w:rPr>
      <w:rFonts w:ascii="黑体" w:hAnsi="Times New Roman" w:eastAsia="黑体"/>
      <w:sz w:val="21"/>
      <w:shd w:val="clear" w:color="FFFFFF" w:fill="FFFFFF"/>
    </w:rPr>
  </w:style>
  <w:style w:type="character" w:customStyle="1" w:styleId="285">
    <w:name w:val="附录章标题 字符"/>
    <w:basedOn w:val="284"/>
    <w:link w:val="282"/>
    <w:qFormat/>
    <w:uiPriority w:val="0"/>
    <w:rPr>
      <w:rFonts w:ascii="黑体" w:hAnsi="Times New Roman" w:eastAsia="黑体"/>
      <w:sz w:val="21"/>
      <w:shd w:val="clear" w:color="FFFFFF" w:fill="FFFFFF"/>
    </w:rPr>
  </w:style>
  <w:style w:type="paragraph" w:customStyle="1" w:styleId="286">
    <w:name w:val="正文图标题"/>
    <w:next w:val="238"/>
    <w:qFormat/>
    <w:uiPriority w:val="99"/>
    <w:pPr>
      <w:tabs>
        <w:tab w:val="left" w:pos="360"/>
      </w:tabs>
      <w:spacing w:beforeLines="50" w:afterLines="50"/>
      <w:ind w:left="823" w:hanging="420"/>
      <w:jc w:val="center"/>
    </w:pPr>
    <w:rPr>
      <w:rFonts w:ascii="黑体" w:hAnsi="Times New Roman" w:eastAsia="黑体" w:cs="黑体"/>
      <w:sz w:val="21"/>
      <w:szCs w:val="21"/>
      <w:lang w:val="en-US" w:eastAsia="zh-CN" w:bidi="ar-SA"/>
    </w:rPr>
  </w:style>
  <w:style w:type="paragraph" w:customStyle="1" w:styleId="287">
    <w:name w:val="附录一级条标题"/>
    <w:basedOn w:val="282"/>
    <w:next w:val="238"/>
    <w:link w:val="288"/>
    <w:qFormat/>
    <w:uiPriority w:val="0"/>
    <w:pPr>
      <w:spacing w:beforeLines="50" w:afterLines="50"/>
    </w:pPr>
  </w:style>
  <w:style w:type="character" w:customStyle="1" w:styleId="288">
    <w:name w:val="附录一级条标题 字符"/>
    <w:basedOn w:val="285"/>
    <w:link w:val="287"/>
    <w:qFormat/>
    <w:uiPriority w:val="0"/>
    <w:rPr>
      <w:rFonts w:ascii="黑体" w:hAnsi="Times New Roman" w:eastAsia="黑体"/>
      <w:sz w:val="21"/>
      <w:shd w:val="clear" w:color="FFFFFF" w:fill="FFFFFF"/>
    </w:rPr>
  </w:style>
  <w:style w:type="paragraph" w:customStyle="1" w:styleId="289">
    <w:name w:val="附录图标题"/>
    <w:basedOn w:val="281"/>
    <w:next w:val="238"/>
    <w:link w:val="291"/>
    <w:qFormat/>
    <w:uiPriority w:val="0"/>
    <w:pPr>
      <w:numPr>
        <w:ilvl w:val="0"/>
        <w:numId w:val="36"/>
      </w:numPr>
      <w:spacing w:beforeLines="50" w:afterLines="50" w:line="240" w:lineRule="auto"/>
    </w:pPr>
    <w:rPr>
      <w:rFonts w:ascii="Times New Roman"/>
    </w:rPr>
  </w:style>
  <w:style w:type="paragraph" w:customStyle="1" w:styleId="290">
    <w:name w:val="附录表标题"/>
    <w:basedOn w:val="1"/>
    <w:next w:val="238"/>
    <w:qFormat/>
    <w:uiPriority w:val="0"/>
    <w:pPr>
      <w:tabs>
        <w:tab w:val="left" w:pos="180"/>
      </w:tabs>
      <w:adjustRightInd/>
      <w:spacing w:beforeLines="50" w:afterLines="50" w:line="240" w:lineRule="auto"/>
    </w:pPr>
    <w:rPr>
      <w:rFonts w:ascii="黑体" w:hAnsi="Times New Roman" w:eastAsia="黑体"/>
    </w:rPr>
  </w:style>
  <w:style w:type="character" w:customStyle="1" w:styleId="291">
    <w:name w:val="附录图标题 字符"/>
    <w:basedOn w:val="284"/>
    <w:link w:val="289"/>
    <w:qFormat/>
    <w:uiPriority w:val="0"/>
    <w:rPr>
      <w:rFonts w:ascii="黑体" w:hAnsi="Times New Roman" w:eastAsia="黑体"/>
      <w:sz w:val="18"/>
      <w:shd w:val="clear" w:color="FFFFFF" w:fill="FFFFFF"/>
      <w:lang w:val="zh-CN"/>
    </w:rPr>
  </w:style>
  <w:style w:type="paragraph" w:customStyle="1" w:styleId="292">
    <w:name w:val="样式1"/>
    <w:basedOn w:val="280"/>
    <w:next w:val="238"/>
    <w:link w:val="293"/>
    <w:qFormat/>
    <w:uiPriority w:val="0"/>
    <w:pPr>
      <w:spacing w:before="312" w:after="312"/>
    </w:pPr>
  </w:style>
  <w:style w:type="character" w:customStyle="1" w:styleId="293">
    <w:name w:val="样式1 字符"/>
    <w:basedOn w:val="283"/>
    <w:link w:val="292"/>
    <w:qFormat/>
    <w:uiPriority w:val="0"/>
    <w:rPr>
      <w:rFonts w:ascii="黑体" w:hAnsi="Times New Roman" w:eastAsia="黑体"/>
      <w:sz w:val="21"/>
      <w:shd w:val="clear" w:color="FFFFFF" w:fill="FFFFFF"/>
    </w:rPr>
  </w:style>
  <w:style w:type="paragraph" w:customStyle="1" w:styleId="294">
    <w:name w:val="附录图标题1"/>
    <w:basedOn w:val="23"/>
    <w:next w:val="238"/>
    <w:link w:val="296"/>
    <w:qFormat/>
    <w:uiPriority w:val="0"/>
    <w:pPr>
      <w:spacing w:beforeLines="50" w:afterLines="50" w:line="240" w:lineRule="auto"/>
    </w:pPr>
    <w:rPr>
      <w:rFonts w:ascii="Times New Roman" w:hAnsi="Times New Roman" w:eastAsia="黑体"/>
      <w:b w:val="0"/>
      <w:sz w:val="21"/>
    </w:rPr>
  </w:style>
  <w:style w:type="paragraph" w:customStyle="1" w:styleId="295">
    <w:name w:val="附录表标题1"/>
    <w:basedOn w:val="294"/>
    <w:next w:val="238"/>
    <w:link w:val="297"/>
    <w:qFormat/>
    <w:uiPriority w:val="0"/>
    <w:pPr>
      <w:spacing w:before="50" w:after="50"/>
    </w:pPr>
  </w:style>
  <w:style w:type="character" w:customStyle="1" w:styleId="296">
    <w:name w:val="附录图标题1 字符"/>
    <w:basedOn w:val="255"/>
    <w:link w:val="294"/>
    <w:qFormat/>
    <w:uiPriority w:val="0"/>
    <w:rPr>
      <w:rFonts w:ascii="Times New Roman" w:hAnsi="Times New Roman" w:eastAsia="黑体" w:cstheme="minorBidi"/>
      <w:b w:val="0"/>
      <w:kern w:val="28"/>
      <w:sz w:val="21"/>
      <w:szCs w:val="32"/>
    </w:rPr>
  </w:style>
  <w:style w:type="character" w:customStyle="1" w:styleId="297">
    <w:name w:val="附录表标题1 字符"/>
    <w:basedOn w:val="296"/>
    <w:link w:val="295"/>
    <w:qFormat/>
    <w:uiPriority w:val="0"/>
    <w:rPr>
      <w:rFonts w:ascii="Times New Roman" w:hAnsi="Times New Roman" w:eastAsia="黑体" w:cstheme="minorBidi"/>
      <w:kern w:val="28"/>
      <w:sz w:val="21"/>
      <w:szCs w:val="32"/>
    </w:rPr>
  </w:style>
  <w:style w:type="paragraph" w:customStyle="1" w:styleId="298">
    <w:name w:val="参考文献、索引"/>
    <w:basedOn w:val="258"/>
    <w:next w:val="238"/>
    <w:link w:val="299"/>
    <w:qFormat/>
    <w:uiPriority w:val="0"/>
    <w:pPr>
      <w:spacing w:after="284"/>
    </w:pPr>
    <w:rPr>
      <w:rFonts w:ascii="黑体"/>
      <w:sz w:val="21"/>
    </w:rPr>
  </w:style>
  <w:style w:type="character" w:customStyle="1" w:styleId="299">
    <w:name w:val="参考文献、索引 字符"/>
    <w:basedOn w:val="259"/>
    <w:link w:val="298"/>
    <w:qFormat/>
    <w:uiPriority w:val="0"/>
    <w:rPr>
      <w:rFonts w:ascii="黑体" w:eastAsia="黑体" w:hAnsiTheme="majorHAnsi" w:cstheme="majorBidi"/>
      <w:kern w:val="2"/>
      <w:sz w:val="21"/>
      <w:szCs w:val="32"/>
    </w:rPr>
  </w:style>
  <w:style w:type="character" w:customStyle="1" w:styleId="300">
    <w:name w:val="未处理的提及1"/>
    <w:basedOn w:val="34"/>
    <w:semiHidden/>
    <w:unhideWhenUsed/>
    <w:qFormat/>
    <w:uiPriority w:val="99"/>
    <w:rPr>
      <w:color w:val="605E5C"/>
      <w:shd w:val="clear" w:color="auto" w:fill="E1DFDD"/>
    </w:rPr>
  </w:style>
  <w:style w:type="paragraph" w:customStyle="1" w:styleId="301">
    <w:name w:val="TOC 标题1"/>
    <w:basedOn w:val="2"/>
    <w:next w:val="1"/>
    <w:unhideWhenUsed/>
    <w:qFormat/>
    <w:uiPriority w:val="39"/>
    <w:pPr>
      <w:widowControl/>
      <w:adjustRightInd/>
      <w:spacing w:before="240" w:after="0" w:line="259" w:lineRule="auto"/>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02">
    <w:name w:val="msonormal"/>
    <w:basedOn w:val="1"/>
    <w:qFormat/>
    <w:uiPriority w:val="0"/>
    <w:pPr>
      <w:widowControl/>
      <w:adjustRightInd/>
      <w:spacing w:before="100" w:beforeAutospacing="1" w:after="100" w:afterAutospacing="1" w:line="240" w:lineRule="auto"/>
    </w:pPr>
    <w:rPr>
      <w:rFonts w:cs="宋体"/>
      <w:kern w:val="0"/>
      <w:sz w:val="24"/>
      <w:szCs w:val="24"/>
    </w:rPr>
  </w:style>
  <w:style w:type="paragraph" w:customStyle="1" w:styleId="303">
    <w:name w:val="font5"/>
    <w:basedOn w:val="1"/>
    <w:qFormat/>
    <w:uiPriority w:val="0"/>
    <w:pPr>
      <w:widowControl/>
      <w:adjustRightInd/>
      <w:spacing w:before="100" w:beforeAutospacing="1" w:after="100" w:afterAutospacing="1" w:line="240" w:lineRule="auto"/>
    </w:pPr>
    <w:rPr>
      <w:rFonts w:cs="宋体"/>
      <w:color w:val="000000"/>
      <w:kern w:val="0"/>
    </w:rPr>
  </w:style>
  <w:style w:type="paragraph" w:customStyle="1" w:styleId="304">
    <w:name w:val="font6"/>
    <w:basedOn w:val="1"/>
    <w:qFormat/>
    <w:uiPriority w:val="0"/>
    <w:pPr>
      <w:widowControl/>
      <w:adjustRightInd/>
      <w:spacing w:before="100" w:beforeAutospacing="1" w:after="100" w:afterAutospacing="1" w:line="240" w:lineRule="auto"/>
    </w:pPr>
    <w:rPr>
      <w:rFonts w:ascii="Arial" w:hAnsi="Arial" w:cs="Arial"/>
      <w:color w:val="000000"/>
      <w:kern w:val="0"/>
    </w:rPr>
  </w:style>
  <w:style w:type="paragraph" w:customStyle="1" w:styleId="305">
    <w:name w:val="font7"/>
    <w:basedOn w:val="1"/>
    <w:qFormat/>
    <w:uiPriority w:val="0"/>
    <w:pPr>
      <w:widowControl/>
      <w:adjustRightInd/>
      <w:spacing w:before="100" w:beforeAutospacing="1" w:after="100" w:afterAutospacing="1" w:line="240" w:lineRule="auto"/>
    </w:pPr>
    <w:rPr>
      <w:rFonts w:ascii="Arial" w:hAnsi="Arial" w:cs="Arial"/>
      <w:color w:val="000000"/>
      <w:kern w:val="0"/>
    </w:rPr>
  </w:style>
  <w:style w:type="paragraph" w:customStyle="1" w:styleId="306">
    <w:name w:val="xl65"/>
    <w:basedOn w:val="1"/>
    <w:qFormat/>
    <w:uiPriority w:val="0"/>
    <w:pPr>
      <w:widowControl/>
      <w:pBdr>
        <w:top w:val="single" w:color="auto" w:sz="8" w:space="0"/>
        <w:left w:val="single" w:color="auto" w:sz="8" w:space="0"/>
        <w:bottom w:val="single" w:color="auto" w:sz="8" w:space="0"/>
        <w:right w:val="single" w:color="auto" w:sz="8" w:space="0"/>
      </w:pBdr>
      <w:adjustRightInd/>
      <w:spacing w:before="100" w:beforeAutospacing="1" w:after="100" w:afterAutospacing="1" w:line="240" w:lineRule="auto"/>
    </w:pPr>
    <w:rPr>
      <w:rFonts w:cs="宋体"/>
      <w:b/>
      <w:bCs/>
      <w:color w:val="000000"/>
      <w:kern w:val="0"/>
    </w:rPr>
  </w:style>
  <w:style w:type="paragraph" w:customStyle="1" w:styleId="307">
    <w:name w:val="xl66"/>
    <w:basedOn w:val="1"/>
    <w:qFormat/>
    <w:uiPriority w:val="0"/>
    <w:pPr>
      <w:widowControl/>
      <w:pBdr>
        <w:top w:val="single" w:color="auto" w:sz="8" w:space="0"/>
        <w:bottom w:val="single" w:color="auto" w:sz="8" w:space="0"/>
        <w:right w:val="single" w:color="auto" w:sz="8" w:space="0"/>
      </w:pBdr>
      <w:adjustRightInd/>
      <w:spacing w:before="100" w:beforeAutospacing="1" w:after="100" w:afterAutospacing="1" w:line="240" w:lineRule="auto"/>
    </w:pPr>
    <w:rPr>
      <w:rFonts w:cs="宋体"/>
      <w:b/>
      <w:bCs/>
      <w:color w:val="000000"/>
      <w:kern w:val="0"/>
    </w:rPr>
  </w:style>
  <w:style w:type="paragraph" w:customStyle="1" w:styleId="308">
    <w:name w:val="xl67"/>
    <w:basedOn w:val="1"/>
    <w:qFormat/>
    <w:uiPriority w:val="0"/>
    <w:pPr>
      <w:widowControl/>
      <w:pBdr>
        <w:bottom w:val="single" w:color="auto" w:sz="8" w:space="0"/>
        <w:right w:val="single" w:color="auto" w:sz="8" w:space="0"/>
      </w:pBdr>
      <w:adjustRightInd/>
      <w:spacing w:before="100" w:beforeAutospacing="1" w:after="100" w:afterAutospacing="1" w:line="240" w:lineRule="auto"/>
    </w:pPr>
    <w:rPr>
      <w:rFonts w:cs="宋体"/>
      <w:color w:val="000000"/>
      <w:kern w:val="0"/>
    </w:rPr>
  </w:style>
  <w:style w:type="paragraph" w:customStyle="1" w:styleId="309">
    <w:name w:val="xl68"/>
    <w:basedOn w:val="1"/>
    <w:qFormat/>
    <w:uiPriority w:val="0"/>
    <w:pPr>
      <w:widowControl/>
      <w:pBdr>
        <w:top w:val="single" w:color="auto" w:sz="8" w:space="0"/>
        <w:bottom w:val="single" w:color="auto" w:sz="8" w:space="0"/>
        <w:right w:val="single" w:color="auto" w:sz="8" w:space="0"/>
      </w:pBdr>
      <w:adjustRightInd/>
      <w:spacing w:before="100" w:beforeAutospacing="1" w:after="100" w:afterAutospacing="1" w:line="240" w:lineRule="auto"/>
    </w:pPr>
    <w:rPr>
      <w:rFonts w:cs="宋体"/>
      <w:color w:val="000000"/>
      <w:kern w:val="0"/>
    </w:rPr>
  </w:style>
  <w:style w:type="paragraph" w:customStyle="1" w:styleId="310">
    <w:name w:val="xl69"/>
    <w:basedOn w:val="1"/>
    <w:qFormat/>
    <w:uiPriority w:val="0"/>
    <w:pPr>
      <w:widowControl/>
      <w:pBdr>
        <w:right w:val="single" w:color="auto" w:sz="8" w:space="0"/>
      </w:pBdr>
      <w:adjustRightInd/>
      <w:spacing w:before="100" w:beforeAutospacing="1" w:after="100" w:afterAutospacing="1" w:line="240" w:lineRule="auto"/>
    </w:pPr>
    <w:rPr>
      <w:rFonts w:cs="宋体"/>
      <w:color w:val="000000"/>
      <w:kern w:val="0"/>
    </w:rPr>
  </w:style>
  <w:style w:type="paragraph" w:customStyle="1" w:styleId="311">
    <w:name w:val="xl70"/>
    <w:basedOn w:val="1"/>
    <w:qFormat/>
    <w:uiPriority w:val="0"/>
    <w:pPr>
      <w:widowControl/>
      <w:pBdr>
        <w:top w:val="single" w:color="auto" w:sz="8" w:space="0"/>
        <w:bottom w:val="single" w:color="auto" w:sz="8" w:space="0"/>
      </w:pBdr>
      <w:adjustRightInd/>
      <w:spacing w:before="100" w:beforeAutospacing="1" w:after="100" w:afterAutospacing="1" w:line="240" w:lineRule="auto"/>
    </w:pPr>
    <w:rPr>
      <w:rFonts w:cs="宋体"/>
      <w:b/>
      <w:bCs/>
      <w:color w:val="000000"/>
      <w:kern w:val="0"/>
    </w:rPr>
  </w:style>
  <w:style w:type="paragraph" w:customStyle="1" w:styleId="312">
    <w:name w:val="xl71"/>
    <w:basedOn w:val="1"/>
    <w:qFormat/>
    <w:uiPriority w:val="0"/>
    <w:pPr>
      <w:widowControl/>
      <w:pBdr>
        <w:bottom w:val="single" w:color="auto" w:sz="8" w:space="0"/>
      </w:pBdr>
      <w:adjustRightInd/>
      <w:spacing w:before="100" w:beforeAutospacing="1" w:after="100" w:afterAutospacing="1" w:line="240" w:lineRule="auto"/>
    </w:pPr>
    <w:rPr>
      <w:rFonts w:cs="宋体"/>
      <w:color w:val="000000"/>
      <w:kern w:val="0"/>
    </w:rPr>
  </w:style>
  <w:style w:type="paragraph" w:customStyle="1" w:styleId="313">
    <w:name w:val="xl72"/>
    <w:basedOn w:val="1"/>
    <w:qFormat/>
    <w:uiPriority w:val="0"/>
    <w:pPr>
      <w:widowControl/>
      <w:pBdr>
        <w:top w:val="single" w:color="auto" w:sz="8" w:space="0"/>
        <w:left w:val="single" w:color="auto" w:sz="8" w:space="0"/>
        <w:bottom w:val="single" w:color="auto" w:sz="8" w:space="0"/>
        <w:right w:val="single" w:color="auto" w:sz="8" w:space="0"/>
      </w:pBdr>
      <w:adjustRightInd/>
      <w:spacing w:before="100" w:beforeAutospacing="1" w:after="100" w:afterAutospacing="1" w:line="240" w:lineRule="auto"/>
    </w:pPr>
    <w:rPr>
      <w:rFonts w:cs="宋体"/>
      <w:color w:val="000000"/>
      <w:kern w:val="0"/>
    </w:rPr>
  </w:style>
  <w:style w:type="paragraph" w:customStyle="1" w:styleId="314">
    <w:name w:val="xl73"/>
    <w:basedOn w:val="1"/>
    <w:qFormat/>
    <w:uiPriority w:val="0"/>
    <w:pPr>
      <w:widowControl/>
      <w:pBdr>
        <w:top w:val="single" w:color="auto" w:sz="8" w:space="0"/>
        <w:left w:val="single" w:color="auto" w:sz="8" w:space="0"/>
        <w:bottom w:val="single" w:color="auto" w:sz="8" w:space="0"/>
      </w:pBdr>
      <w:adjustRightInd/>
      <w:spacing w:before="100" w:beforeAutospacing="1" w:after="100" w:afterAutospacing="1" w:line="240" w:lineRule="auto"/>
    </w:pPr>
    <w:rPr>
      <w:rFonts w:cs="宋体"/>
      <w:color w:val="000000"/>
      <w:kern w:val="0"/>
    </w:rPr>
  </w:style>
  <w:style w:type="paragraph" w:customStyle="1" w:styleId="315">
    <w:name w:val="xl74"/>
    <w:basedOn w:val="1"/>
    <w:qFormat/>
    <w:uiPriority w:val="0"/>
    <w:pPr>
      <w:widowControl/>
      <w:pBdr>
        <w:top w:val="single" w:color="auto" w:sz="8" w:space="0"/>
        <w:bottom w:val="single" w:color="auto" w:sz="8" w:space="0"/>
      </w:pBdr>
      <w:adjustRightInd/>
      <w:spacing w:before="100" w:beforeAutospacing="1" w:after="100" w:afterAutospacing="1" w:line="240" w:lineRule="auto"/>
    </w:pPr>
    <w:rPr>
      <w:rFonts w:cs="宋体"/>
      <w:color w:val="000000"/>
      <w:kern w:val="0"/>
    </w:rPr>
  </w:style>
  <w:style w:type="paragraph" w:customStyle="1" w:styleId="316">
    <w:name w:val="xl75"/>
    <w:basedOn w:val="1"/>
    <w:qFormat/>
    <w:uiPriority w:val="0"/>
    <w:pPr>
      <w:widowControl/>
      <w:pBdr>
        <w:bottom w:val="single" w:color="auto" w:sz="8" w:space="0"/>
        <w:right w:val="single" w:color="auto" w:sz="8" w:space="0"/>
      </w:pBdr>
      <w:adjustRightInd/>
      <w:spacing w:before="100" w:beforeAutospacing="1" w:after="100" w:afterAutospacing="1" w:line="240" w:lineRule="auto"/>
    </w:pPr>
    <w:rPr>
      <w:rFonts w:cs="宋体"/>
      <w:color w:val="000000"/>
      <w:kern w:val="0"/>
    </w:rPr>
  </w:style>
  <w:style w:type="paragraph" w:customStyle="1" w:styleId="317">
    <w:name w:val="xl76"/>
    <w:basedOn w:val="1"/>
    <w:qFormat/>
    <w:uiPriority w:val="0"/>
    <w:pPr>
      <w:widowControl/>
      <w:pBdr>
        <w:left w:val="single" w:color="auto" w:sz="8" w:space="0"/>
        <w:bottom w:val="single" w:color="auto" w:sz="8" w:space="0"/>
        <w:right w:val="single" w:color="auto" w:sz="8" w:space="0"/>
      </w:pBdr>
      <w:adjustRightInd/>
      <w:spacing w:before="100" w:beforeAutospacing="1" w:after="100" w:afterAutospacing="1" w:line="240" w:lineRule="auto"/>
    </w:pPr>
    <w:rPr>
      <w:rFonts w:cs="宋体"/>
      <w:color w:val="000000"/>
      <w:kern w:val="0"/>
    </w:rPr>
  </w:style>
  <w:style w:type="paragraph" w:customStyle="1" w:styleId="318">
    <w:name w:val="xl77"/>
    <w:basedOn w:val="1"/>
    <w:qFormat/>
    <w:uiPriority w:val="0"/>
    <w:pPr>
      <w:widowControl/>
      <w:pBdr>
        <w:top w:val="single" w:color="auto" w:sz="8" w:space="0"/>
        <w:left w:val="single" w:color="auto" w:sz="8" w:space="0"/>
        <w:right w:val="single" w:color="auto" w:sz="8" w:space="0"/>
      </w:pBdr>
      <w:adjustRightInd/>
      <w:spacing w:before="100" w:beforeAutospacing="1" w:after="100" w:afterAutospacing="1" w:line="240" w:lineRule="auto"/>
    </w:pPr>
    <w:rPr>
      <w:rFonts w:cs="宋体"/>
      <w:color w:val="000000"/>
      <w:kern w:val="0"/>
    </w:rPr>
  </w:style>
  <w:style w:type="paragraph" w:customStyle="1" w:styleId="319">
    <w:name w:val="xl78"/>
    <w:basedOn w:val="1"/>
    <w:qFormat/>
    <w:uiPriority w:val="0"/>
    <w:pPr>
      <w:widowControl/>
      <w:pBdr>
        <w:left w:val="single" w:color="auto" w:sz="8" w:space="0"/>
        <w:right w:val="single" w:color="auto" w:sz="8" w:space="0"/>
      </w:pBdr>
      <w:adjustRightInd/>
      <w:spacing w:before="100" w:beforeAutospacing="1" w:after="100" w:afterAutospacing="1" w:line="240" w:lineRule="auto"/>
    </w:pPr>
    <w:rPr>
      <w:rFonts w:cs="宋体"/>
      <w:color w:val="000000"/>
      <w:kern w:val="0"/>
    </w:rPr>
  </w:style>
  <w:style w:type="paragraph" w:customStyle="1" w:styleId="320">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pPr>
    <w:rPr>
      <w:rFonts w:cs="宋体"/>
      <w:color w:val="000000"/>
      <w:kern w:val="0"/>
    </w:rPr>
  </w:style>
  <w:style w:type="paragraph" w:customStyle="1" w:styleId="321">
    <w:name w:val="xl80"/>
    <w:basedOn w:val="1"/>
    <w:qFormat/>
    <w:uiPriority w:val="0"/>
    <w:pPr>
      <w:widowControl/>
      <w:pBdr>
        <w:top w:val="single" w:color="auto" w:sz="8" w:space="0"/>
        <w:left w:val="single" w:color="auto" w:sz="8" w:space="0"/>
      </w:pBdr>
      <w:adjustRightInd/>
      <w:spacing w:before="100" w:beforeAutospacing="1" w:after="100" w:afterAutospacing="1" w:line="240" w:lineRule="auto"/>
    </w:pPr>
    <w:rPr>
      <w:rFonts w:cs="宋体"/>
      <w:color w:val="000000"/>
      <w:kern w:val="0"/>
    </w:rPr>
  </w:style>
  <w:style w:type="paragraph" w:customStyle="1" w:styleId="322">
    <w:name w:val="xl81"/>
    <w:basedOn w:val="1"/>
    <w:qFormat/>
    <w:uiPriority w:val="0"/>
    <w:pPr>
      <w:widowControl/>
      <w:pBdr>
        <w:top w:val="single" w:color="auto" w:sz="8" w:space="0"/>
        <w:right w:val="single" w:color="auto" w:sz="8" w:space="0"/>
      </w:pBdr>
      <w:adjustRightInd/>
      <w:spacing w:before="100" w:beforeAutospacing="1" w:after="100" w:afterAutospacing="1" w:line="240" w:lineRule="auto"/>
    </w:pPr>
    <w:rPr>
      <w:rFonts w:cs="宋体"/>
      <w:color w:val="000000"/>
      <w:kern w:val="0"/>
    </w:rPr>
  </w:style>
  <w:style w:type="paragraph" w:customStyle="1" w:styleId="323">
    <w:name w:val="xl82"/>
    <w:basedOn w:val="1"/>
    <w:qFormat/>
    <w:uiPriority w:val="0"/>
    <w:pPr>
      <w:widowControl/>
      <w:pBdr>
        <w:left w:val="single" w:color="auto" w:sz="8" w:space="0"/>
      </w:pBdr>
      <w:adjustRightInd/>
      <w:spacing w:before="100" w:beforeAutospacing="1" w:after="100" w:afterAutospacing="1" w:line="240" w:lineRule="auto"/>
    </w:pPr>
    <w:rPr>
      <w:rFonts w:cs="宋体"/>
      <w:color w:val="000000"/>
      <w:kern w:val="0"/>
    </w:rPr>
  </w:style>
  <w:style w:type="paragraph" w:customStyle="1" w:styleId="324">
    <w:name w:val="xl83"/>
    <w:basedOn w:val="1"/>
    <w:qFormat/>
    <w:uiPriority w:val="0"/>
    <w:pPr>
      <w:widowControl/>
      <w:pBdr>
        <w:left w:val="single" w:color="auto" w:sz="8" w:space="0"/>
        <w:bottom w:val="single" w:color="auto" w:sz="8" w:space="0"/>
      </w:pBdr>
      <w:adjustRightInd/>
      <w:spacing w:before="100" w:beforeAutospacing="1" w:after="100" w:afterAutospacing="1" w:line="240" w:lineRule="auto"/>
    </w:pPr>
    <w:rPr>
      <w:rFonts w:cs="宋体"/>
      <w:color w:val="000000"/>
      <w:kern w:val="0"/>
    </w:rPr>
  </w:style>
  <w:style w:type="character" w:customStyle="1" w:styleId="325">
    <w:name w:val="未处理的提及2"/>
    <w:basedOn w:val="34"/>
    <w:semiHidden/>
    <w:unhideWhenUsed/>
    <w:qFormat/>
    <w:uiPriority w:val="99"/>
    <w:rPr>
      <w:color w:val="605E5C"/>
      <w:shd w:val="clear" w:color="auto" w:fill="E1DFDD"/>
    </w:rPr>
  </w:style>
  <w:style w:type="paragraph" w:customStyle="1" w:styleId="326">
    <w:name w:val="Body text|1"/>
    <w:basedOn w:val="1"/>
    <w:qFormat/>
    <w:uiPriority w:val="0"/>
    <w:pPr>
      <w:adjustRightInd/>
      <w:spacing w:line="480" w:lineRule="auto"/>
      <w:ind w:firstLine="400"/>
    </w:pPr>
    <w:rPr>
      <w:rFonts w:cs="宋体"/>
      <w:sz w:val="26"/>
      <w:szCs w:val="26"/>
      <w:lang w:val="zh-TW" w:eastAsia="zh-TW" w:bidi="zh-TW"/>
    </w:rPr>
  </w:style>
  <w:style w:type="character" w:customStyle="1" w:styleId="327">
    <w:name w:val="正文文本缩进 字符"/>
    <w:basedOn w:val="34"/>
    <w:link w:val="15"/>
    <w:semiHidden/>
    <w:qFormat/>
    <w:uiPriority w:val="99"/>
    <w:rPr>
      <w:rFonts w:ascii="Calibri" w:hAnsi="Calibri"/>
      <w:kern w:val="2"/>
      <w:sz w:val="21"/>
      <w:szCs w:val="21"/>
    </w:rPr>
  </w:style>
  <w:style w:type="character" w:customStyle="1" w:styleId="328">
    <w:name w:val="正文文本首行缩进 2 字符"/>
    <w:basedOn w:val="327"/>
    <w:link w:val="31"/>
    <w:semiHidden/>
    <w:qFormat/>
    <w:uiPriority w:val="99"/>
    <w:rPr>
      <w:rFonts w:ascii="Calibri" w:hAnsi="Calibri"/>
      <w:kern w:val="2"/>
      <w:sz w:val="21"/>
      <w:szCs w:val="21"/>
    </w:rPr>
  </w:style>
  <w:style w:type="paragraph" w:customStyle="1" w:styleId="329">
    <w:name w:val="TOC Heading"/>
    <w:basedOn w:val="2"/>
    <w:next w:val="1"/>
    <w:unhideWhenUsed/>
    <w:qFormat/>
    <w:uiPriority w:val="39"/>
    <w:pPr>
      <w:widowControl/>
      <w:adjustRightInd/>
      <w:snapToGrid/>
      <w:spacing w:before="240" w:after="0" w:line="259" w:lineRule="auto"/>
      <w:ind w:firstLine="0" w:firstLineChars="0"/>
      <w:outlineLvl w:val="9"/>
    </w:pPr>
    <w:rPr>
      <w:rFonts w:asciiTheme="majorHAnsi" w:hAnsiTheme="majorHAnsi" w:eastAsiaTheme="majorEastAsia" w:cstheme="majorBidi"/>
      <w:b w:val="0"/>
      <w:bCs w:val="0"/>
      <w:snapToGrid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os/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59BB6FE5E404E18A02FC52511CA7956"/>
        <w:style w:val=""/>
        <w:category>
          <w:name w:val="常规"/>
          <w:gallery w:val="placeholder"/>
        </w:category>
        <w:types>
          <w:type w:val="bbPlcHdr"/>
        </w:types>
        <w:behaviors>
          <w:behavior w:val="content"/>
        </w:behaviors>
        <w:description w:val=""/>
        <w:guid w:val="{A4B5F57F-F482-469E-A8A1-447B9EE63714}"/>
      </w:docPartPr>
      <w:docPartBody>
        <w:p>
          <w:pPr>
            <w:pStyle w:val="5"/>
            <w:rPr>
              <w:rFonts w:hint="eastAsia"/>
            </w:rPr>
          </w:pPr>
          <w:r>
            <w:rPr>
              <w:rStyle w:val="4"/>
              <w:rFonts w:hint="eastAsia"/>
            </w:rPr>
            <w:t>单击或点击此处输入文字。</w:t>
          </w:r>
        </w:p>
      </w:docPartBody>
    </w:docPart>
    <w:docPart>
      <w:docPartPr>
        <w:name w:val="750C01E4936E4B54B8866B1873A18203"/>
        <w:style w:val=""/>
        <w:category>
          <w:name w:val="常规"/>
          <w:gallery w:val="placeholder"/>
        </w:category>
        <w:types>
          <w:type w:val="bbPlcHdr"/>
        </w:types>
        <w:behaviors>
          <w:behavior w:val="content"/>
        </w:behaviors>
        <w:description w:val=""/>
        <w:guid w:val="{F6F67599-9F0B-4DB1-AD15-CE1E140D3881}"/>
      </w:docPartPr>
      <w:docPartBody>
        <w:p>
          <w:pPr>
            <w:pStyle w:val="6"/>
            <w:rPr>
              <w:rFonts w:hint="eastAsia"/>
            </w:rPr>
          </w:pPr>
          <w:r>
            <w:rPr>
              <w:rStyle w:val="4"/>
              <w:rFonts w:hint="eastAsia"/>
            </w:rPr>
            <w:t>选择一项。</w:t>
          </w:r>
        </w:p>
      </w:docPartBody>
    </w:docPart>
    <w:docPart>
      <w:docPartPr>
        <w:name w:val="6DD43CAB99954FFD8015931CA13D20BF"/>
        <w:style w:val=""/>
        <w:category>
          <w:name w:val="常规"/>
          <w:gallery w:val="placeholder"/>
        </w:category>
        <w:types>
          <w:type w:val="bbPlcHdr"/>
        </w:types>
        <w:behaviors>
          <w:behavior w:val="content"/>
        </w:behaviors>
        <w:description w:val=""/>
        <w:guid w:val="{14A285C0-2775-49EA-95FB-A795163CD3FD}"/>
      </w:docPartPr>
      <w:docPartBody>
        <w:p>
          <w:pPr>
            <w:pStyle w:val="7"/>
            <w:rPr>
              <w:rFonts w:hint="eastAsia"/>
            </w:rPr>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
  <w:rsids>
    <w:rsidRoot w:val="00D85198"/>
    <w:rsid w:val="00002D98"/>
    <w:rsid w:val="0004169D"/>
    <w:rsid w:val="00094C1B"/>
    <w:rsid w:val="000C70EE"/>
    <w:rsid w:val="000F109D"/>
    <w:rsid w:val="000F55CB"/>
    <w:rsid w:val="001078B4"/>
    <w:rsid w:val="001203B6"/>
    <w:rsid w:val="00122576"/>
    <w:rsid w:val="00125FAF"/>
    <w:rsid w:val="0013062E"/>
    <w:rsid w:val="001376B5"/>
    <w:rsid w:val="00144564"/>
    <w:rsid w:val="001B79C3"/>
    <w:rsid w:val="001B7E58"/>
    <w:rsid w:val="001C4CC8"/>
    <w:rsid w:val="001F26AC"/>
    <w:rsid w:val="001F7BA6"/>
    <w:rsid w:val="00214454"/>
    <w:rsid w:val="00215FDA"/>
    <w:rsid w:val="0022798F"/>
    <w:rsid w:val="00247203"/>
    <w:rsid w:val="0027713C"/>
    <w:rsid w:val="002E0E2F"/>
    <w:rsid w:val="002F58CB"/>
    <w:rsid w:val="00334E93"/>
    <w:rsid w:val="00341218"/>
    <w:rsid w:val="00361AA8"/>
    <w:rsid w:val="00362A4B"/>
    <w:rsid w:val="003665DB"/>
    <w:rsid w:val="00387943"/>
    <w:rsid w:val="00391245"/>
    <w:rsid w:val="003F20F1"/>
    <w:rsid w:val="004031D0"/>
    <w:rsid w:val="00450EFE"/>
    <w:rsid w:val="00470B50"/>
    <w:rsid w:val="00473838"/>
    <w:rsid w:val="0047583B"/>
    <w:rsid w:val="004874C1"/>
    <w:rsid w:val="0049511D"/>
    <w:rsid w:val="004A152D"/>
    <w:rsid w:val="004D03CF"/>
    <w:rsid w:val="004F5C43"/>
    <w:rsid w:val="00520670"/>
    <w:rsid w:val="005370E4"/>
    <w:rsid w:val="005519FA"/>
    <w:rsid w:val="00561AF4"/>
    <w:rsid w:val="00561E48"/>
    <w:rsid w:val="005A72AE"/>
    <w:rsid w:val="005B32BF"/>
    <w:rsid w:val="005C744E"/>
    <w:rsid w:val="00600835"/>
    <w:rsid w:val="00605535"/>
    <w:rsid w:val="00615D55"/>
    <w:rsid w:val="00626889"/>
    <w:rsid w:val="0063059B"/>
    <w:rsid w:val="00661900"/>
    <w:rsid w:val="00666F72"/>
    <w:rsid w:val="006A518F"/>
    <w:rsid w:val="006B3FB3"/>
    <w:rsid w:val="00702520"/>
    <w:rsid w:val="00747E02"/>
    <w:rsid w:val="00752907"/>
    <w:rsid w:val="007629CB"/>
    <w:rsid w:val="007837C2"/>
    <w:rsid w:val="007837CD"/>
    <w:rsid w:val="007A269A"/>
    <w:rsid w:val="007A4740"/>
    <w:rsid w:val="007B3006"/>
    <w:rsid w:val="007D5DD4"/>
    <w:rsid w:val="007E2287"/>
    <w:rsid w:val="007E5B08"/>
    <w:rsid w:val="008A489B"/>
    <w:rsid w:val="008B5D46"/>
    <w:rsid w:val="008C1B4D"/>
    <w:rsid w:val="008D26AA"/>
    <w:rsid w:val="008E7A77"/>
    <w:rsid w:val="008F5FF5"/>
    <w:rsid w:val="00904B06"/>
    <w:rsid w:val="00922F8E"/>
    <w:rsid w:val="009246AB"/>
    <w:rsid w:val="00925E68"/>
    <w:rsid w:val="00933ECA"/>
    <w:rsid w:val="0094083F"/>
    <w:rsid w:val="00947BE8"/>
    <w:rsid w:val="00951E60"/>
    <w:rsid w:val="0096368D"/>
    <w:rsid w:val="009925CD"/>
    <w:rsid w:val="009A4645"/>
    <w:rsid w:val="009B0911"/>
    <w:rsid w:val="009F0FD0"/>
    <w:rsid w:val="00A062AF"/>
    <w:rsid w:val="00A45BCA"/>
    <w:rsid w:val="00A7302B"/>
    <w:rsid w:val="00A81DA4"/>
    <w:rsid w:val="00AA2280"/>
    <w:rsid w:val="00AA2E46"/>
    <w:rsid w:val="00AA6BE6"/>
    <w:rsid w:val="00AA6D50"/>
    <w:rsid w:val="00AF1530"/>
    <w:rsid w:val="00B15735"/>
    <w:rsid w:val="00B5391F"/>
    <w:rsid w:val="00BA7AD5"/>
    <w:rsid w:val="00BB01E0"/>
    <w:rsid w:val="00BB2AC7"/>
    <w:rsid w:val="00BC1D02"/>
    <w:rsid w:val="00BD4CB9"/>
    <w:rsid w:val="00BF2369"/>
    <w:rsid w:val="00BF3DC1"/>
    <w:rsid w:val="00C03A0F"/>
    <w:rsid w:val="00C10F72"/>
    <w:rsid w:val="00C15359"/>
    <w:rsid w:val="00C15E2F"/>
    <w:rsid w:val="00C22E6A"/>
    <w:rsid w:val="00C46A84"/>
    <w:rsid w:val="00C527AD"/>
    <w:rsid w:val="00C70646"/>
    <w:rsid w:val="00C877B1"/>
    <w:rsid w:val="00CA7EC6"/>
    <w:rsid w:val="00CC1260"/>
    <w:rsid w:val="00CD43B7"/>
    <w:rsid w:val="00CF3A1B"/>
    <w:rsid w:val="00D4219E"/>
    <w:rsid w:val="00D43477"/>
    <w:rsid w:val="00D52FB5"/>
    <w:rsid w:val="00D532BF"/>
    <w:rsid w:val="00D642CE"/>
    <w:rsid w:val="00D752EF"/>
    <w:rsid w:val="00D85198"/>
    <w:rsid w:val="00D938DE"/>
    <w:rsid w:val="00DA2C0B"/>
    <w:rsid w:val="00DA77CE"/>
    <w:rsid w:val="00DB4813"/>
    <w:rsid w:val="00DB58BF"/>
    <w:rsid w:val="00DE66DA"/>
    <w:rsid w:val="00DF3437"/>
    <w:rsid w:val="00E345DC"/>
    <w:rsid w:val="00E816DA"/>
    <w:rsid w:val="00EA7015"/>
    <w:rsid w:val="00EB2C25"/>
    <w:rsid w:val="00EC4331"/>
    <w:rsid w:val="00F27334"/>
    <w:rsid w:val="00F27B36"/>
    <w:rsid w:val="00F513A5"/>
    <w:rsid w:val="00F6277E"/>
    <w:rsid w:val="00F90E3D"/>
    <w:rsid w:val="00FA60FA"/>
    <w:rsid w:val="00FB7318"/>
    <w:rsid w:val="00FC0F98"/>
    <w:rsid w:val="00FC2B25"/>
    <w:rsid w:val="00FD5004"/>
    <w:rsid w:val="00FE59BC"/>
    <w:rsid w:val="00FF10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C59BB6FE5E404E18A02FC52511CA795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750C01E4936E4B54B8866B1873A1820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6DD43CAB99954FFD8015931CA13D20BF"/>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16</Pages>
  <Words>1908</Words>
  <Characters>2237</Characters>
  <Lines>56</Lines>
  <Paragraphs>15</Paragraphs>
  <TotalTime>13</TotalTime>
  <ScaleCrop>false</ScaleCrop>
  <LinksUpToDate>false</LinksUpToDate>
  <CharactersWithSpaces>2438</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2024-11-26T15:57:00Z</dcterms:created>
  <dc:creator>Administrator</dc:creator>
  <dc:description>&lt;config cover="true" show_menu="true" version="1.0.0" doctype="SDKXY"&gt;_x000d_
&lt;/config&gt;</dc:description>
  <cp:lastModifiedBy>uos</cp:lastModifiedBy>
  <cp:lastPrinted>2025-02-25T08:43:00Z</cp:lastPrinted>
  <dcterms:modified xsi:type="dcterms:W3CDTF">2025-03-10T16:34:32Z</dcterms:modified>
  <dc:title>团体标准</dc:title>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2</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2052-11.8.2.10229</vt:lpwstr>
  </property>
  <property fmtid="{D5CDD505-2E9C-101B-9397-08002B2CF9AE}" pid="15" name="ICV">
    <vt:lpwstr>0A9ED17E7F53461FBBB84F85703CC482_13</vt:lpwstr>
  </property>
  <property fmtid="{D5CDD505-2E9C-101B-9397-08002B2CF9AE}" pid="16" name="KSOTemplateDocerSaveRecord">
    <vt:lpwstr>eyJoZGlkIjoiMWNhNTM0MzFlNzNmNTFiNmNjMGM0OTE1OTMxODIxNTAiLCJ1c2VySWQiOiIyNjc1MDYzOTEifQ==</vt:lpwstr>
  </property>
</Properties>
</file>