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4806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ACAFDFE">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7A054D5">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03.100.99</w:t>
            </w:r>
            <w:r>
              <w:rPr>
                <w:rFonts w:ascii="黑体" w:hAnsi="黑体" w:eastAsia="黑体"/>
                <w:sz w:val="21"/>
                <w:szCs w:val="21"/>
              </w:rPr>
              <w:t xml:space="preserve"> </w:t>
            </w:r>
            <w:r>
              <w:rPr>
                <w:rFonts w:ascii="黑体" w:hAnsi="黑体" w:eastAsia="黑体"/>
                <w:sz w:val="21"/>
                <w:szCs w:val="21"/>
              </w:rPr>
              <w:fldChar w:fldCharType="end"/>
            </w:r>
            <w:bookmarkEnd w:id="0"/>
          </w:p>
        </w:tc>
      </w:tr>
      <w:tr w14:paraId="5C54D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C0522C1">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1307894">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02</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5A3A71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2F03FC20">
            <w:pPr>
              <w:pStyle w:val="49"/>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79D91E92">
      <w:pPr>
        <w:pStyle w:val="50"/>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5B5D0D3">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7EE439FA">
      <w:pPr>
        <w:pStyle w:val="196"/>
        <w:framePr/>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20E5B268">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300B8F52">
      <w:pPr>
        <w:pStyle w:val="50"/>
        <w:framePr w:w="9639" w:h="6976" w:hRule="exact" w:hSpace="0" w:vSpace="0" w:wrap="around" w:hAnchor="page" w:y="6408"/>
        <w:jc w:val="center"/>
        <w:rPr>
          <w:rFonts w:hint="eastAsia" w:ascii="黑体" w:hAnsi="黑体" w:eastAsia="黑体"/>
          <w:b w:val="0"/>
          <w:bCs w:val="0"/>
          <w:w w:val="100"/>
        </w:rPr>
      </w:pPr>
    </w:p>
    <w:p w14:paraId="457BE6CB">
      <w:pPr>
        <w:pStyle w:val="197"/>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公共机构节约能源资源</w:t>
      </w:r>
    </w:p>
    <w:p w14:paraId="331ED738">
      <w:pPr>
        <w:pStyle w:val="197"/>
        <w:framePr w:h="6974" w:hRule="exact" w:wrap="around" w:x="1419" w:anchorLock="1"/>
        <w:rPr>
          <w:rFonts w:hint="eastAsia"/>
        </w:rPr>
      </w:pPr>
      <w:r>
        <w:rPr>
          <w:rFonts w:hint="eastAsia"/>
        </w:rPr>
        <w:t>第6部分：零碳管理与评价</w:t>
      </w:r>
      <w:r>
        <w:fldChar w:fldCharType="end"/>
      </w:r>
      <w:bookmarkEnd w:id="9"/>
    </w:p>
    <w:p w14:paraId="1C9C0E3F">
      <w:pPr>
        <w:framePr w:w="9639" w:h="6974" w:hRule="exact" w:wrap="around" w:vAnchor="page" w:hAnchor="page" w:x="1419" w:y="6408" w:anchorLock="1"/>
        <w:ind w:left="-1418"/>
      </w:pPr>
    </w:p>
    <w:p w14:paraId="424E0D03">
      <w:pPr>
        <w:pStyle w:val="125"/>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 xml:space="preserve"> </w:t>
      </w:r>
      <w:r>
        <w:rPr>
          <w:rFonts w:ascii="黑体" w:hAnsi="黑体" w:eastAsia="黑体"/>
          <w:szCs w:val="28"/>
        </w:rPr>
        <w:fldChar w:fldCharType="end"/>
      </w:r>
      <w:bookmarkEnd w:id="10"/>
    </w:p>
    <w:p w14:paraId="0CBFF79F">
      <w:pPr>
        <w:framePr w:w="9639" w:h="6974" w:hRule="exact" w:wrap="around" w:vAnchor="page" w:hAnchor="page" w:x="1419" w:y="6408" w:anchorLock="1"/>
        <w:spacing w:line="760" w:lineRule="exact"/>
        <w:ind w:left="-1418"/>
      </w:pPr>
    </w:p>
    <w:p w14:paraId="16A43C62">
      <w:pPr>
        <w:pStyle w:val="125"/>
        <w:framePr w:w="9639" w:h="6974" w:hRule="exact" w:wrap="around" w:vAnchor="page" w:hAnchor="page" w:x="1419" w:y="6408" w:anchorLock="1"/>
        <w:textAlignment w:val="bottom"/>
        <w:rPr>
          <w:rFonts w:eastAsia="黑体"/>
          <w:szCs w:val="28"/>
        </w:rPr>
      </w:pPr>
    </w:p>
    <w:p w14:paraId="3A601311">
      <w:pPr>
        <w:pStyle w:val="125"/>
        <w:framePr w:w="9639" w:h="6974" w:hRule="exact" w:wrap="around" w:vAnchor="page" w:hAnchor="page" w:x="1419" w:y="6408" w:anchorLock="1"/>
        <w:spacing w:before="440" w:after="160"/>
        <w:textAlignment w:val="bottom"/>
        <w:rPr>
          <w:sz w:val="24"/>
          <w:szCs w:val="28"/>
        </w:rPr>
      </w:pPr>
      <w:bookmarkStart w:id="75" w:name="_GoBack"/>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75"/>
      <w:bookmarkEnd w:id="11"/>
    </w:p>
    <w:p w14:paraId="5CFDACF9">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（本草案完成时间：2025-3）</w:t>
      </w:r>
      <w:r>
        <w:rPr>
          <w:sz w:val="21"/>
          <w:szCs w:val="28"/>
        </w:rPr>
        <w:fldChar w:fldCharType="end"/>
      </w:r>
      <w:bookmarkEnd w:id="12"/>
    </w:p>
    <w:p w14:paraId="4CA52FEE">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7CD60590">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3ABBA2F">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1553906C">
      <w:pPr>
        <w:pStyle w:val="151"/>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3D2155A7">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667CF7B8">
      <w:pPr>
        <w:pStyle w:val="91"/>
        <w:spacing w:after="468"/>
      </w:pPr>
      <w:bookmarkStart w:id="21" w:name="BookMark1"/>
      <w:r>
        <w:rPr>
          <w:rFonts w:hint="eastAsia"/>
          <w:spacing w:val="320"/>
        </w:rPr>
        <w:t>目</w:t>
      </w:r>
      <w:r>
        <w:rPr>
          <w:rFonts w:hint="eastAsia"/>
        </w:rPr>
        <w:t>次</w:t>
      </w:r>
    </w:p>
    <w:p w14:paraId="022CC45A">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TOC \o "1-1" \h </w:instrText>
      </w:r>
      <w:r>
        <w:fldChar w:fldCharType="separate"/>
      </w:r>
      <w:r>
        <w:fldChar w:fldCharType="begin"/>
      </w:r>
      <w:r>
        <w:instrText xml:space="preserve"> HYPERLINK \l "_Toc192174367" </w:instrText>
      </w:r>
      <w:r>
        <w:fldChar w:fldCharType="separate"/>
      </w:r>
      <w:r>
        <w:rPr>
          <w:rStyle w:val="32"/>
          <w:rFonts w:hint="eastAsia"/>
        </w:rPr>
        <w:t>前言</w:t>
      </w:r>
      <w:r>
        <w:rPr>
          <w:rFonts w:hint="eastAsia"/>
        </w:rPr>
        <w:tab/>
      </w:r>
      <w:r>
        <w:rPr>
          <w:rFonts w:hint="eastAsia"/>
        </w:rPr>
        <w:fldChar w:fldCharType="begin"/>
      </w:r>
      <w:r>
        <w:rPr>
          <w:rFonts w:hint="eastAsia"/>
        </w:rPr>
        <w:instrText xml:space="preserve"> </w:instrText>
      </w:r>
      <w:r>
        <w:instrText xml:space="preserve">PAGEREF _Toc192174367 \h</w:instrText>
      </w:r>
      <w:r>
        <w:rPr>
          <w:rFonts w:hint="eastAsia"/>
        </w:rPr>
        <w:instrText xml:space="preserve"> </w:instrText>
      </w:r>
      <w:r>
        <w:rPr>
          <w:rFonts w:hint="eastAsia"/>
        </w:rPr>
        <w:fldChar w:fldCharType="separate"/>
      </w:r>
      <w:r>
        <w:t>II</w:t>
      </w:r>
      <w:r>
        <w:rPr>
          <w:rFonts w:hint="eastAsia"/>
        </w:rPr>
        <w:fldChar w:fldCharType="end"/>
      </w:r>
      <w:r>
        <w:rPr>
          <w:rFonts w:hint="eastAsia"/>
        </w:rPr>
        <w:fldChar w:fldCharType="end"/>
      </w:r>
    </w:p>
    <w:p w14:paraId="5765789F">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"_Toc192174368" </w:instrText>
      </w:r>
      <w:r>
        <w:fldChar w:fldCharType="separate"/>
      </w:r>
      <w:r>
        <w:rPr>
          <w:rStyle w:val="32"/>
          <w:rFonts w:hint="eastAsia"/>
        </w:rPr>
        <w:t>引言</w:t>
      </w:r>
      <w:r>
        <w:rPr>
          <w:rFonts w:hint="eastAsia"/>
        </w:rPr>
        <w:tab/>
      </w:r>
      <w:r>
        <w:rPr>
          <w:rFonts w:hint="eastAsia"/>
        </w:rPr>
        <w:fldChar w:fldCharType="begin"/>
      </w:r>
      <w:r>
        <w:rPr>
          <w:rFonts w:hint="eastAsia"/>
        </w:rPr>
        <w:instrText xml:space="preserve"> </w:instrText>
      </w:r>
      <w:r>
        <w:instrText xml:space="preserve">PAGEREF _Toc192174368 \h</w:instrText>
      </w:r>
      <w:r>
        <w:rPr>
          <w:rFonts w:hint="eastAsia"/>
        </w:rPr>
        <w:instrText xml:space="preserve"> </w:instrText>
      </w:r>
      <w:r>
        <w:rPr>
          <w:rFonts w:hint="eastAsia"/>
        </w:rPr>
        <w:fldChar w:fldCharType="separate"/>
      </w:r>
      <w:r>
        <w:t>III</w:t>
      </w:r>
      <w:r>
        <w:rPr>
          <w:rFonts w:hint="eastAsia"/>
        </w:rPr>
        <w:fldChar w:fldCharType="end"/>
      </w:r>
      <w:r>
        <w:rPr>
          <w:rFonts w:hint="eastAsia"/>
        </w:rPr>
        <w:fldChar w:fldCharType="end"/>
      </w:r>
    </w:p>
    <w:p w14:paraId="03DBA45A">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"_Toc192174369" </w:instrText>
      </w:r>
      <w:r>
        <w:fldChar w:fldCharType="separate"/>
      </w:r>
      <w:r>
        <w:rPr>
          <w:rStyle w:val="32"/>
          <w:rFonts w:hint="eastAsia"/>
        </w:rPr>
        <w:t>1</w:t>
      </w:r>
      <w:r>
        <w:rPr>
          <w:rStyle w:val="32"/>
        </w:rPr>
        <w:t xml:space="preserve"> </w:t>
      </w:r>
      <w:r>
        <w:rPr>
          <w:rStyle w:val="32"/>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_Toc192174369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F3AE71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"_Toc192174370" </w:instrText>
      </w:r>
      <w:r>
        <w:fldChar w:fldCharType="separate"/>
      </w:r>
      <w:r>
        <w:rPr>
          <w:rStyle w:val="32"/>
          <w:rFonts w:hint="eastAsia"/>
        </w:rPr>
        <w:t>2</w:t>
      </w:r>
      <w:r>
        <w:rPr>
          <w:rStyle w:val="32"/>
        </w:rPr>
        <w:t xml:space="preserve"> </w:t>
      </w:r>
      <w:r>
        <w:rPr>
          <w:rStyle w:val="32"/>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_Toc192174370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74AFB3C">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"_Toc192174371" </w:instrText>
      </w:r>
      <w:r>
        <w:fldChar w:fldCharType="separate"/>
      </w:r>
      <w:r>
        <w:rPr>
          <w:rStyle w:val="32"/>
          <w:rFonts w:hint="eastAsia"/>
        </w:rPr>
        <w:t>3</w:t>
      </w:r>
      <w:r>
        <w:rPr>
          <w:rStyle w:val="32"/>
        </w:rPr>
        <w:t xml:space="preserve"> </w:t>
      </w:r>
      <w:r>
        <w:rPr>
          <w:rStyle w:val="32"/>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_Toc192174371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436CF13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"_Toc192174372" </w:instrText>
      </w:r>
      <w:r>
        <w:fldChar w:fldCharType="separate"/>
      </w:r>
      <w:r>
        <w:rPr>
          <w:rStyle w:val="32"/>
          <w:rFonts w:hint="eastAsia"/>
        </w:rPr>
        <w:t>4</w:t>
      </w:r>
      <w:r>
        <w:rPr>
          <w:rStyle w:val="32"/>
        </w:rPr>
        <w:t xml:space="preserve"> </w:t>
      </w:r>
      <w:r>
        <w:rPr>
          <w:rStyle w:val="32"/>
          <w:rFonts w:hint="eastAsia"/>
        </w:rPr>
        <w:t xml:space="preserve"> 总体要求</w:t>
      </w:r>
      <w:r>
        <w:rPr>
          <w:rFonts w:hint="eastAsia"/>
        </w:rPr>
        <w:tab/>
      </w:r>
      <w:r>
        <w:rPr>
          <w:rFonts w:hint="eastAsia"/>
        </w:rPr>
        <w:fldChar w:fldCharType="begin"/>
      </w:r>
      <w:r>
        <w:rPr>
          <w:rFonts w:hint="eastAsia"/>
        </w:rPr>
        <w:instrText xml:space="preserve"> </w:instrText>
      </w:r>
      <w:r>
        <w:instrText xml:space="preserve">PAGEREF _Toc192174372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4DE0DB92">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"_Toc192174373" </w:instrText>
      </w:r>
      <w:r>
        <w:fldChar w:fldCharType="separate"/>
      </w:r>
      <w:r>
        <w:rPr>
          <w:rStyle w:val="32"/>
          <w:rFonts w:hint="eastAsia"/>
        </w:rPr>
        <w:t>5</w:t>
      </w:r>
      <w:r>
        <w:rPr>
          <w:rStyle w:val="32"/>
        </w:rPr>
        <w:t xml:space="preserve"> </w:t>
      </w:r>
      <w:r>
        <w:rPr>
          <w:rStyle w:val="32"/>
          <w:rFonts w:hint="eastAsia"/>
        </w:rPr>
        <w:t xml:space="preserve"> 零碳管理</w:t>
      </w:r>
      <w:r>
        <w:rPr>
          <w:rFonts w:hint="eastAsia"/>
        </w:rPr>
        <w:tab/>
      </w:r>
      <w:r>
        <w:rPr>
          <w:rFonts w:hint="eastAsia"/>
        </w:rPr>
        <w:fldChar w:fldCharType="begin"/>
      </w:r>
      <w:r>
        <w:rPr>
          <w:rFonts w:hint="eastAsia"/>
        </w:rPr>
        <w:instrText xml:space="preserve"> </w:instrText>
      </w:r>
      <w:r>
        <w:instrText xml:space="preserve">PAGEREF _Toc192174373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2C0B569A">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"_Toc192174374" </w:instrText>
      </w:r>
      <w:r>
        <w:fldChar w:fldCharType="separate"/>
      </w:r>
      <w:r>
        <w:rPr>
          <w:rStyle w:val="32"/>
          <w:rFonts w:hint="eastAsia"/>
        </w:rPr>
        <w:t>6</w:t>
      </w:r>
      <w:r>
        <w:rPr>
          <w:rStyle w:val="32"/>
        </w:rPr>
        <w:t xml:space="preserve"> </w:t>
      </w:r>
      <w:r>
        <w:rPr>
          <w:rStyle w:val="32"/>
          <w:rFonts w:hint="eastAsia"/>
        </w:rPr>
        <w:t xml:space="preserve"> 零碳判定</w:t>
      </w:r>
      <w:r>
        <w:rPr>
          <w:rFonts w:hint="eastAsia"/>
        </w:rPr>
        <w:tab/>
      </w:r>
      <w:r>
        <w:rPr>
          <w:rFonts w:hint="eastAsia"/>
        </w:rPr>
        <w:fldChar w:fldCharType="begin"/>
      </w:r>
      <w:r>
        <w:rPr>
          <w:rFonts w:hint="eastAsia"/>
        </w:rPr>
        <w:instrText xml:space="preserve"> </w:instrText>
      </w:r>
      <w:r>
        <w:instrText xml:space="preserve">PAGEREF _Toc192174374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4EE7C20B">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"_Toc192174375" </w:instrText>
      </w:r>
      <w:r>
        <w:fldChar w:fldCharType="separate"/>
      </w:r>
      <w:r>
        <w:rPr>
          <w:rStyle w:val="32"/>
          <w:rFonts w:hint="eastAsia"/>
        </w:rPr>
        <w:t>参考文献</w:t>
      </w:r>
      <w:r>
        <w:rPr>
          <w:rFonts w:hint="eastAsia"/>
        </w:rPr>
        <w:tab/>
      </w:r>
      <w:r>
        <w:rPr>
          <w:rFonts w:hint="eastAsia"/>
        </w:rPr>
        <w:fldChar w:fldCharType="begin"/>
      </w:r>
      <w:r>
        <w:rPr>
          <w:rFonts w:hint="eastAsia"/>
        </w:rPr>
        <w:instrText xml:space="preserve"> </w:instrText>
      </w:r>
      <w:r>
        <w:instrText xml:space="preserve">PAGEREF _Toc192174375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0920AF15">
      <w:pPr>
        <w:pStyle w:val="56"/>
        <w:spacing w:line="300" w:lineRule="exact"/>
        <w:ind w:firstLine="420"/>
      </w:pPr>
      <w:r>
        <w:fldChar w:fldCharType="end"/>
      </w:r>
      <w:bookmarkStart w:id="22" w:name="muci"/>
      <w:bookmarkEnd w:id="22"/>
      <w:r>
        <w:fldChar w:fldCharType="begin"/>
      </w:r>
      <w:r>
        <w:instrText xml:space="preserve"> TOC \o "9-9" \h \t "标准文件_正文表标题,1,标准文件_附录表标题,1" </w:instrText>
      </w:r>
      <w:r>
        <w:fldChar w:fldCharType="separate"/>
      </w:r>
    </w:p>
    <w:p w14:paraId="1EFE3AAE">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"_Toc192174376" </w:instrText>
      </w:r>
      <w:r>
        <w:fldChar w:fldCharType="separate"/>
      </w:r>
      <w:r>
        <w:rPr>
          <w:rStyle w:val="32"/>
          <w:rFonts w:hint="eastAsia"/>
        </w:rPr>
        <w:t>表1</w:t>
      </w:r>
      <w:r>
        <w:rPr>
          <w:rStyle w:val="32"/>
        </w:rPr>
        <w:t xml:space="preserve"> </w:t>
      </w:r>
      <w:r>
        <w:rPr>
          <w:rStyle w:val="32"/>
          <w:rFonts w:hint="eastAsia"/>
        </w:rPr>
        <w:t xml:space="preserve"> 低碳公共机构人均碳排放量限值(kgCO</w:t>
      </w:r>
      <w:r>
        <w:rPr>
          <w:rStyle w:val="32"/>
          <w:rFonts w:hint="eastAsia"/>
          <w:vertAlign w:val="subscript"/>
        </w:rPr>
        <w:t>2</w:t>
      </w:r>
      <w:r>
        <w:rPr>
          <w:rStyle w:val="32"/>
          <w:rFonts w:hint="eastAsia"/>
        </w:rPr>
        <w:t>/人·年)</w:t>
      </w:r>
      <w:r>
        <w:rPr>
          <w:rFonts w:hint="eastAsia"/>
        </w:rPr>
        <w:tab/>
      </w:r>
      <w:r>
        <w:rPr>
          <w:rFonts w:hint="eastAsia"/>
        </w:rPr>
        <w:fldChar w:fldCharType="begin"/>
      </w:r>
      <w:r>
        <w:rPr>
          <w:rFonts w:hint="eastAsia"/>
        </w:rPr>
        <w:instrText xml:space="preserve"> </w:instrText>
      </w:r>
      <w:r>
        <w:instrText xml:space="preserve">PAGEREF _Toc192174376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42A326A">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"_Toc192174377" </w:instrText>
      </w:r>
      <w:r>
        <w:fldChar w:fldCharType="separate"/>
      </w:r>
      <w:r>
        <w:rPr>
          <w:rStyle w:val="32"/>
          <w:rFonts w:hint="eastAsia"/>
        </w:rPr>
        <w:t>表2</w:t>
      </w:r>
      <w:r>
        <w:rPr>
          <w:rStyle w:val="32"/>
        </w:rPr>
        <w:t xml:space="preserve"> </w:t>
      </w:r>
      <w:r>
        <w:rPr>
          <w:rStyle w:val="32"/>
          <w:rFonts w:hint="eastAsia"/>
        </w:rPr>
        <w:t xml:space="preserve"> 近零碳公共机构人均碳排放量限值(kgCO</w:t>
      </w:r>
      <w:r>
        <w:rPr>
          <w:rStyle w:val="32"/>
          <w:rFonts w:hint="eastAsia"/>
          <w:vertAlign w:val="subscript"/>
        </w:rPr>
        <w:t>2</w:t>
      </w:r>
      <w:r>
        <w:rPr>
          <w:rStyle w:val="32"/>
          <w:rFonts w:hint="eastAsia"/>
        </w:rPr>
        <w:t>/人·年)</w:t>
      </w:r>
      <w:r>
        <w:rPr>
          <w:rFonts w:hint="eastAsia"/>
        </w:rPr>
        <w:tab/>
      </w:r>
      <w:r>
        <w:rPr>
          <w:rFonts w:hint="eastAsia"/>
        </w:rPr>
        <w:fldChar w:fldCharType="begin"/>
      </w:r>
      <w:r>
        <w:rPr>
          <w:rFonts w:hint="eastAsia"/>
        </w:rPr>
        <w:instrText xml:space="preserve"> </w:instrText>
      </w:r>
      <w:r>
        <w:instrText xml:space="preserve">PAGEREF _Toc192174377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5BC13CC8">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"_Toc192174378" </w:instrText>
      </w:r>
      <w:r>
        <w:fldChar w:fldCharType="separate"/>
      </w:r>
      <w:r>
        <w:rPr>
          <w:rStyle w:val="32"/>
          <w:rFonts w:hint="eastAsia"/>
        </w:rPr>
        <w:t>表3</w:t>
      </w:r>
      <w:r>
        <w:rPr>
          <w:rStyle w:val="32"/>
        </w:rPr>
        <w:t xml:space="preserve"> </w:t>
      </w:r>
      <w:r>
        <w:rPr>
          <w:rStyle w:val="32"/>
          <w:rFonts w:hint="eastAsia"/>
        </w:rPr>
        <w:t xml:space="preserve"> 低碳公共机构建筑降碳率</w:t>
      </w:r>
      <w:r>
        <w:rPr>
          <w:rFonts w:hint="eastAsia"/>
        </w:rPr>
        <w:tab/>
      </w:r>
      <w:r>
        <w:rPr>
          <w:rFonts w:hint="eastAsia"/>
        </w:rPr>
        <w:fldChar w:fldCharType="begin"/>
      </w:r>
      <w:r>
        <w:rPr>
          <w:rFonts w:hint="eastAsia"/>
        </w:rPr>
        <w:instrText xml:space="preserve"> </w:instrText>
      </w:r>
      <w:r>
        <w:instrText xml:space="preserve">PAGEREF _Toc192174378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36891CF">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"_Toc192174379" </w:instrText>
      </w:r>
      <w:r>
        <w:fldChar w:fldCharType="separate"/>
      </w:r>
      <w:r>
        <w:rPr>
          <w:rStyle w:val="32"/>
          <w:rFonts w:hint="eastAsia"/>
        </w:rPr>
        <w:t>表4</w:t>
      </w:r>
      <w:r>
        <w:rPr>
          <w:rStyle w:val="32"/>
        </w:rPr>
        <w:t xml:space="preserve"> </w:t>
      </w:r>
      <w:r>
        <w:rPr>
          <w:rStyle w:val="32"/>
          <w:rFonts w:hint="eastAsia"/>
        </w:rPr>
        <w:t xml:space="preserve"> 低碳公共机构建筑碳排放强度限值（kgCO</w:t>
      </w:r>
      <w:r>
        <w:rPr>
          <w:rStyle w:val="32"/>
          <w:rFonts w:hint="eastAsia"/>
          <w:vertAlign w:val="subscript"/>
        </w:rPr>
        <w:t>2</w:t>
      </w:r>
      <w:r>
        <w:rPr>
          <w:rStyle w:val="32"/>
          <w:rFonts w:hint="eastAsia"/>
        </w:rPr>
        <w:t>/m</w:t>
      </w:r>
      <w:r>
        <w:rPr>
          <w:rStyle w:val="32"/>
          <w:rFonts w:hint="eastAsia"/>
          <w:vertAlign w:val="superscript"/>
        </w:rPr>
        <w:t>2</w:t>
      </w:r>
      <w:r>
        <w:rPr>
          <w:rStyle w:val="32"/>
          <w:rFonts w:hint="eastAsia"/>
        </w:rPr>
        <w:t>·a）</w:t>
      </w:r>
      <w:r>
        <w:rPr>
          <w:rFonts w:hint="eastAsia"/>
        </w:rPr>
        <w:tab/>
      </w:r>
      <w:r>
        <w:rPr>
          <w:rFonts w:hint="eastAsia"/>
        </w:rPr>
        <w:fldChar w:fldCharType="begin"/>
      </w:r>
      <w:r>
        <w:rPr>
          <w:rFonts w:hint="eastAsia"/>
        </w:rPr>
        <w:instrText xml:space="preserve"> </w:instrText>
      </w:r>
      <w:r>
        <w:instrText xml:space="preserve">PAGEREF _Toc192174379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41A54941">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"_Toc192174380" </w:instrText>
      </w:r>
      <w:r>
        <w:fldChar w:fldCharType="separate"/>
      </w:r>
      <w:r>
        <w:rPr>
          <w:rStyle w:val="32"/>
          <w:rFonts w:hint="eastAsia"/>
        </w:rPr>
        <w:t>表5</w:t>
      </w:r>
      <w:r>
        <w:rPr>
          <w:rStyle w:val="32"/>
        </w:rPr>
        <w:t xml:space="preserve"> </w:t>
      </w:r>
      <w:r>
        <w:rPr>
          <w:rStyle w:val="32"/>
          <w:rFonts w:hint="eastAsia"/>
        </w:rPr>
        <w:t xml:space="preserve"> 近零碳公共机构建筑降碳率</w:t>
      </w:r>
      <w:r>
        <w:rPr>
          <w:rFonts w:hint="eastAsia"/>
        </w:rPr>
        <w:tab/>
      </w:r>
      <w:r>
        <w:rPr>
          <w:rFonts w:hint="eastAsia"/>
        </w:rPr>
        <w:fldChar w:fldCharType="begin"/>
      </w:r>
      <w:r>
        <w:rPr>
          <w:rFonts w:hint="eastAsia"/>
        </w:rPr>
        <w:instrText xml:space="preserve"> </w:instrText>
      </w:r>
      <w:r>
        <w:instrText xml:space="preserve">PAGEREF _Toc192174380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67D36C9">
      <w:pPr>
        <w:pStyle w:val="19"/>
        <w:tabs>
          <w:tab w:val="right" w:leader="dot" w:pos="9344"/>
        </w:tabs>
        <w:spacing w:line="300" w:lineRule="exact"/>
        <w:rPr>
          <w:rFonts w:hint="eastAsia" w:asciiTheme="minorHAnsi" w:hAnsiTheme="minorHAnsi" w:eastAsiaTheme="minorEastAsia" w:cstheme="minorBidi"/>
          <w:sz w:val="22"/>
          <w:szCs w:val="24"/>
          <w14:ligatures w14:val="standardContextual"/>
        </w:rPr>
      </w:pPr>
      <w:r>
        <w:fldChar w:fldCharType="begin"/>
      </w:r>
      <w:r>
        <w:instrText xml:space="preserve"> HYPERLINK \l "_Toc192174381" </w:instrText>
      </w:r>
      <w:r>
        <w:fldChar w:fldCharType="separate"/>
      </w:r>
      <w:r>
        <w:rPr>
          <w:rStyle w:val="32"/>
          <w:rFonts w:hint="eastAsia"/>
        </w:rPr>
        <w:t>表6</w:t>
      </w:r>
      <w:r>
        <w:rPr>
          <w:rStyle w:val="32"/>
        </w:rPr>
        <w:t xml:space="preserve"> </w:t>
      </w:r>
      <w:r>
        <w:rPr>
          <w:rStyle w:val="32"/>
          <w:rFonts w:hint="eastAsia"/>
        </w:rPr>
        <w:t xml:space="preserve"> 近零碳公共机构建筑碳排放强度（kgCO</w:t>
      </w:r>
      <w:r>
        <w:rPr>
          <w:rStyle w:val="32"/>
          <w:rFonts w:hint="eastAsia"/>
          <w:vertAlign w:val="subscript"/>
        </w:rPr>
        <w:t>2</w:t>
      </w:r>
      <w:r>
        <w:rPr>
          <w:rStyle w:val="32"/>
          <w:rFonts w:hint="eastAsia"/>
        </w:rPr>
        <w:t>/m</w:t>
      </w:r>
      <w:r>
        <w:rPr>
          <w:rStyle w:val="32"/>
          <w:rFonts w:hint="eastAsia"/>
          <w:vertAlign w:val="superscript"/>
        </w:rPr>
        <w:t>2</w:t>
      </w:r>
      <w:r>
        <w:rPr>
          <w:rStyle w:val="32"/>
          <w:rFonts w:hint="eastAsia"/>
        </w:rPr>
        <w:t>·a）</w:t>
      </w:r>
      <w:r>
        <w:rPr>
          <w:rFonts w:hint="eastAsia"/>
        </w:rPr>
        <w:tab/>
      </w:r>
      <w:r>
        <w:rPr>
          <w:rFonts w:hint="eastAsia"/>
        </w:rPr>
        <w:fldChar w:fldCharType="begin"/>
      </w:r>
      <w:r>
        <w:rPr>
          <w:rFonts w:hint="eastAsia"/>
        </w:rPr>
        <w:instrText xml:space="preserve"> </w:instrText>
      </w:r>
      <w:r>
        <w:instrText xml:space="preserve">PAGEREF _Toc192174381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8AE832B">
      <w:pPr>
        <w:pStyle w:val="56"/>
        <w:spacing w:line="300" w:lineRule="exact"/>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14BC47D8">
      <w:pPr>
        <w:pStyle w:val="89"/>
        <w:spacing w:before="900" w:after="468"/>
      </w:pPr>
      <w:bookmarkStart w:id="23" w:name="_Toc192174367"/>
      <w:bookmarkStart w:id="24" w:name="BookMark2"/>
      <w:r>
        <w:rPr>
          <w:rFonts w:hint="eastAsia"/>
          <w:spacing w:val="320"/>
        </w:rPr>
        <w:t>前</w:t>
      </w:r>
      <w:r>
        <w:rPr>
          <w:rFonts w:hint="eastAsia"/>
        </w:rPr>
        <w:t>言</w:t>
      </w:r>
      <w:bookmarkEnd w:id="23"/>
    </w:p>
    <w:p w14:paraId="53683797">
      <w:pPr>
        <w:pStyle w:val="56"/>
        <w:ind w:firstLine="420"/>
      </w:pPr>
      <w:r>
        <w:rPr>
          <w:rFonts w:hint="eastAsia"/>
        </w:rPr>
        <w:t>本文件按照GB/T 1.1—2020《标准化工作导则  第1部分：标准化文件的结构和起草规则》的规定起草。</w:t>
      </w:r>
    </w:p>
    <w:p w14:paraId="4D61CFC8">
      <w:pPr>
        <w:pStyle w:val="56"/>
        <w:ind w:firstLine="420"/>
      </w:pPr>
      <w:r>
        <w:rPr>
          <w:rFonts w:hint="eastAsia"/>
        </w:rPr>
        <w:t>本文件是DB13/T XXXX《公共机构节约能源资源》的第6部分。DB13/T XXXX《公共机构节约能源资源》已经发布了以下部分：</w:t>
      </w:r>
    </w:p>
    <w:p w14:paraId="13CB094C">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——第1部分：能源审计；</w:t>
      </w:r>
    </w:p>
    <w:p w14:paraId="3B4A0B39">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——第2部分：绿色运营；</w:t>
      </w:r>
    </w:p>
    <w:p w14:paraId="5E936398">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——第3部分：能源资源消费统计；</w:t>
      </w:r>
    </w:p>
    <w:p w14:paraId="0C73B0C7">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——第4部分：节水管理与评价；</w:t>
      </w:r>
    </w:p>
    <w:p w14:paraId="625B1A5C">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——第5部分：生活垃圾分类；</w:t>
      </w:r>
    </w:p>
    <w:p w14:paraId="49D4798E">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——第6部分：零碳管理与评价；</w:t>
      </w:r>
    </w:p>
    <w:p w14:paraId="4FF005E6">
      <w:pPr>
        <w:widowControl/>
        <w:autoSpaceDE w:val="0"/>
        <w:autoSpaceDN w:val="0"/>
        <w:adjustRightInd/>
        <w:spacing w:line="240" w:lineRule="auto"/>
        <w:ind w:firstLine="420" w:firstLineChars="200"/>
        <w:rPr>
          <w:rFonts w:ascii="宋体" w:hAnsi="Times New Roman"/>
          <w:kern w:val="0"/>
        </w:rPr>
      </w:pPr>
      <w:r>
        <w:rPr>
          <w:rFonts w:hint="eastAsia" w:ascii="宋体" w:hAnsi="宋体"/>
          <w:kern w:val="0"/>
        </w:rPr>
        <w:t>——第7部分：绿色评价。</w:t>
      </w:r>
    </w:p>
    <w:p w14:paraId="04DAAF37">
      <w:pPr>
        <w:pStyle w:val="56"/>
        <w:ind w:firstLine="420"/>
      </w:pPr>
      <w:r>
        <w:rPr>
          <w:rFonts w:hint="eastAsia"/>
        </w:rPr>
        <w:t>请注意本文件的某些内容可能涉及专利。本文件的发布机构不承担识别专利的责任。</w:t>
      </w:r>
    </w:p>
    <w:p w14:paraId="574E0480">
      <w:pPr>
        <w:pStyle w:val="56"/>
        <w:ind w:firstLine="420"/>
      </w:pPr>
      <w:r>
        <w:rPr>
          <w:rFonts w:hint="eastAsia"/>
        </w:rPr>
        <w:t>本文件由河北省机关事务管理局提出并归口。</w:t>
      </w:r>
    </w:p>
    <w:p w14:paraId="77F4C755">
      <w:pPr>
        <w:pStyle w:val="56"/>
        <w:ind w:firstLine="420"/>
      </w:pPr>
      <w:r>
        <w:rPr>
          <w:rFonts w:hint="eastAsia"/>
        </w:rPr>
        <w:t>本文件起草单位：河北省机关事务管理局、河北省标准化研究院、河北省建筑科学研究院有限公司 。</w:t>
      </w:r>
    </w:p>
    <w:p w14:paraId="6ABCBF51">
      <w:pPr>
        <w:pStyle w:val="56"/>
        <w:ind w:firstLine="420"/>
      </w:pPr>
      <w:r>
        <w:rPr>
          <w:rFonts w:hint="eastAsia"/>
        </w:rPr>
        <w:t>本文件主要起草人：申虎山、马星晓、李彬、张宁、刘丹、牛思佳、郭朝辉、李沫、李梦迪。</w:t>
      </w:r>
    </w:p>
    <w:p w14:paraId="2C3C0824">
      <w:pPr>
        <w:pStyle w:val="56"/>
        <w:ind w:firstLine="199" w:firstLineChars="95"/>
      </w:pPr>
    </w:p>
    <w:p w14:paraId="1013FBD0">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4"/>
    <w:p w14:paraId="1D500000">
      <w:pPr>
        <w:pStyle w:val="89"/>
        <w:spacing w:after="468"/>
      </w:pPr>
      <w:bookmarkStart w:id="25" w:name="_Toc192174368"/>
      <w:bookmarkStart w:id="26" w:name="BookMark3"/>
      <w:r>
        <w:rPr>
          <w:rFonts w:hint="eastAsia"/>
          <w:spacing w:val="320"/>
        </w:rPr>
        <w:t>引</w:t>
      </w:r>
      <w:r>
        <w:rPr>
          <w:rFonts w:hint="eastAsia"/>
        </w:rPr>
        <w:t>言</w:t>
      </w:r>
      <w:bookmarkEnd w:id="25"/>
    </w:p>
    <w:p w14:paraId="7F37AD78">
      <w:pPr>
        <w:pStyle w:val="56"/>
        <w:ind w:firstLine="420"/>
      </w:pPr>
      <w:r>
        <w:rPr>
          <w:rFonts w:hint="eastAsia"/>
        </w:rPr>
        <w:t>公共机构节约能源资源工作是实现全社会绿色低碳转型发展的重要组成部分。完善的节约能源资源标准有助于提升公共机构节约能源资源工作的法治效力和治理能力现代化水平，确保节约能源资源措施的有效执行。同时，充分发挥公共机构在社会中的示范引领作用，推动形成绿色低碳的生产和生活方式。</w:t>
      </w:r>
    </w:p>
    <w:p w14:paraId="4919AA47">
      <w:pPr>
        <w:pStyle w:val="56"/>
        <w:ind w:firstLine="420"/>
      </w:pPr>
      <w:r>
        <w:rPr>
          <w:rFonts w:hint="eastAsia"/>
        </w:rPr>
        <w:t>本文件旨在提升公共机构的运行效率，为公共机构开展能源审计、绿色运营、能源资源消费统计、节水管理与评价、生活垃圾分类、零碳管理、绿色评价等方面绿色节能工作提供技术支持和标准化支撑。</w:t>
      </w:r>
    </w:p>
    <w:p w14:paraId="55BEA3E3">
      <w:pPr>
        <w:pStyle w:val="56"/>
        <w:ind w:firstLine="420"/>
      </w:pPr>
      <w:r>
        <w:rPr>
          <w:rFonts w:hint="eastAsia"/>
        </w:rPr>
        <w:t>DB13/T XXXX《公共机构节约能源资源》针对公共机构节约能源资源的不同方面，分为7个部分。</w:t>
      </w:r>
    </w:p>
    <w:p w14:paraId="5E2ABDE6">
      <w:pPr>
        <w:pStyle w:val="56"/>
        <w:ind w:firstLine="420"/>
      </w:pPr>
      <w:r>
        <w:rPr>
          <w:rFonts w:hint="eastAsia"/>
        </w:rPr>
        <w:t>第1部分：能源审计。对公共机构能源审计规定内容和程序方面的要求，旨在识别节能潜力和提出节能措施，促进公共机构节能降耗、提高公共机构能源利用效率、优化能源管理水平。</w:t>
      </w:r>
    </w:p>
    <w:p w14:paraId="013D8824">
      <w:pPr>
        <w:pStyle w:val="56"/>
        <w:ind w:firstLine="420"/>
      </w:pPr>
      <w:r>
        <w:rPr>
          <w:rFonts w:hint="eastAsia"/>
        </w:rPr>
        <w:t>第2部分：绿色运营。对公共机构运营的管理要求、运行维护技术要求和特殊要求等内容进行了规定，旨在推动公共机构实现绿色低碳发展、提高能源资源利用效率、促进高质量发展。</w:t>
      </w:r>
    </w:p>
    <w:p w14:paraId="2EEDC0D2">
      <w:pPr>
        <w:pStyle w:val="56"/>
        <w:ind w:firstLine="420"/>
      </w:pPr>
      <w:r>
        <w:rPr>
          <w:rFonts w:hint="eastAsia"/>
        </w:rPr>
        <w:t>第3部分：能源资源消费统计。规范公共机构能源资源消费统计的数据采集、数据分析等统计流程和方法，旨在为公共机构提供科学的能源资源消费分析工具，提升统计数据的准确性、科学性和可比性。</w:t>
      </w:r>
    </w:p>
    <w:p w14:paraId="7AB3C495">
      <w:pPr>
        <w:pStyle w:val="56"/>
        <w:ind w:firstLine="420"/>
      </w:pPr>
      <w:r>
        <w:rPr>
          <w:rFonts w:hint="eastAsia"/>
        </w:rPr>
        <w:t>第4部分：节水管理与评价。对公共机构的节水管理与评价的管理要求、节水保障措施与绩效评价等内容进行了规定，旨在明确节水目标、标准和要求，推动公共机构采取有效的节水措施，降低用水量，从而减轻对水资源的压力。</w:t>
      </w:r>
    </w:p>
    <w:p w14:paraId="326D3549">
      <w:pPr>
        <w:pStyle w:val="56"/>
        <w:ind w:firstLine="420"/>
      </w:pPr>
      <w:r>
        <w:rPr>
          <w:rFonts w:hint="eastAsia"/>
        </w:rPr>
        <w:t>第5部分：生活垃圾分类。规定了公共机构生活垃圾的基本规定、收集容器、分类投放、分类收集、分类运输和分类处置等内容，旨在推动垃圾分类工作规范化和科学化，提高公共机构垃圾分类意识和行动积极性，促进资源循环利用和减少环境污染，实现生活垃圾减量化、资源化和无害化处理。</w:t>
      </w:r>
    </w:p>
    <w:p w14:paraId="728A6C61">
      <w:pPr>
        <w:pStyle w:val="56"/>
        <w:ind w:firstLine="420"/>
      </w:pPr>
      <w:r>
        <w:rPr>
          <w:rFonts w:hint="eastAsia"/>
        </w:rPr>
        <w:t>第6部分：零碳管理与评价。对零碳公共机构运行管理和判定提出要求，旨在明确河北公共机构在追求零碳排放过程中应遵循的总体原则和管理内容，为实现零碳排放提供清晰的指导方针。通过判定方法，衡量河北公共机构实施零碳措施的效果和进展，便于监督和激励改进。</w:t>
      </w:r>
    </w:p>
    <w:p w14:paraId="568888F8">
      <w:pPr>
        <w:pStyle w:val="56"/>
        <w:ind w:firstLine="420"/>
      </w:pPr>
      <w:r>
        <w:rPr>
          <w:rFonts w:hint="eastAsia"/>
        </w:rPr>
        <w:t>第7部分：绿色评价。对公共机构绿色评价的基本要求、评价方法、等级划分和相关指标体系等方面进行了规范，旨在引导公共机构节能管理从节约能源的单一目标向节约资源、环境保护、舒适健康的多目标转变，降低公共机构的运行能耗，节约资源和保护环境，改善公共机构工作环境。</w:t>
      </w:r>
    </w:p>
    <w:p w14:paraId="6375511B">
      <w:pPr>
        <w:pStyle w:val="56"/>
        <w:ind w:firstLine="420"/>
      </w:pPr>
    </w:p>
    <w:p w14:paraId="2597C30B">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6"/>
    <w:p w14:paraId="195FAED8">
      <w:pPr>
        <w:spacing w:line="20" w:lineRule="exact"/>
        <w:jc w:val="center"/>
        <w:rPr>
          <w:rFonts w:hint="eastAsia" w:ascii="黑体" w:hAnsi="黑体" w:eastAsia="黑体"/>
          <w:sz w:val="32"/>
          <w:szCs w:val="32"/>
        </w:rPr>
      </w:pPr>
      <w:bookmarkStart w:id="27" w:name="BookMark4"/>
    </w:p>
    <w:p w14:paraId="276AC714">
      <w:pPr>
        <w:spacing w:line="20" w:lineRule="exact"/>
        <w:jc w:val="center"/>
        <w:rPr>
          <w:rFonts w:hint="eastAsia" w:ascii="黑体" w:hAnsi="黑体" w:eastAsia="黑体"/>
          <w:sz w:val="32"/>
          <w:szCs w:val="32"/>
        </w:rPr>
      </w:pPr>
    </w:p>
    <w:sdt>
      <w:sdtPr>
        <w:tag w:val="NEW_STAND_NAME"/>
        <w:id w:val="595910757"/>
        <w:lock w:val="sdtLocked"/>
        <w:placeholder>
          <w:docPart w:val="A5D9CDFB6B594C728E20F84F0BD2CB5E"/>
        </w:placeholder>
      </w:sdtPr>
      <w:sdtContent>
        <w:p w14:paraId="58C389E5">
          <w:pPr>
            <w:pStyle w:val="177"/>
            <w:spacing w:before="3" w:beforeLines="1" w:after="3" w:afterLines="1"/>
            <w:rPr>
              <w:rFonts w:hint="eastAsia"/>
            </w:rPr>
          </w:pPr>
          <w:bookmarkStart w:id="28" w:name="NEW_STAND_NAME"/>
          <w:r>
            <w:rPr>
              <w:rFonts w:hint="eastAsia"/>
            </w:rPr>
            <w:t>公共机构节约能源资源</w:t>
          </w:r>
        </w:p>
        <w:p w14:paraId="08E70AFE">
          <w:pPr>
            <w:pStyle w:val="177"/>
            <w:spacing w:before="3" w:beforeLines="1" w:after="680"/>
            <w:rPr>
              <w:rFonts w:hint="eastAsia"/>
            </w:rPr>
          </w:pPr>
          <w:r>
            <w:rPr>
              <w:rFonts w:hint="eastAsia"/>
            </w:rPr>
            <w:t>第6部分：零碳管理与评价</w:t>
          </w:r>
        </w:p>
      </w:sdtContent>
    </w:sdt>
    <w:bookmarkEnd w:id="28"/>
    <w:p w14:paraId="1BFB6C59">
      <w:pPr>
        <w:pStyle w:val="104"/>
        <w:spacing w:before="312" w:after="312"/>
      </w:pPr>
      <w:bookmarkStart w:id="29" w:name="_Toc17233333"/>
      <w:bookmarkStart w:id="30" w:name="_Toc17233325"/>
      <w:bookmarkStart w:id="31" w:name="_Toc24884211"/>
      <w:bookmarkStart w:id="32" w:name="_Toc26648465"/>
      <w:bookmarkStart w:id="33" w:name="_Toc26718930"/>
      <w:bookmarkStart w:id="34" w:name="_Toc26986771"/>
      <w:bookmarkStart w:id="35" w:name="_Toc26986530"/>
      <w:bookmarkStart w:id="36" w:name="_Toc97191423"/>
      <w:bookmarkStart w:id="37" w:name="_Toc192174369"/>
      <w:bookmarkStart w:id="38" w:name="_Toc24884218"/>
      <w:r>
        <w:rPr>
          <w:rFonts w:hint="eastAsia"/>
        </w:rPr>
        <w:t>范围</w:t>
      </w:r>
      <w:bookmarkEnd w:id="29"/>
      <w:bookmarkEnd w:id="30"/>
      <w:bookmarkEnd w:id="31"/>
      <w:bookmarkEnd w:id="32"/>
      <w:bookmarkEnd w:id="33"/>
      <w:bookmarkEnd w:id="34"/>
      <w:bookmarkEnd w:id="35"/>
      <w:bookmarkEnd w:id="36"/>
      <w:bookmarkEnd w:id="37"/>
      <w:bookmarkEnd w:id="38"/>
    </w:p>
    <w:p w14:paraId="76741F30">
      <w:pPr>
        <w:pStyle w:val="56"/>
        <w:ind w:firstLine="420"/>
      </w:pPr>
      <w:bookmarkStart w:id="39" w:name="_Toc17233334"/>
      <w:bookmarkStart w:id="40" w:name="_Toc24884212"/>
      <w:bookmarkStart w:id="41" w:name="_Toc24884219"/>
      <w:bookmarkStart w:id="42" w:name="_Toc26648466"/>
      <w:bookmarkStart w:id="43" w:name="_Toc17233326"/>
      <w:r>
        <w:rPr>
          <w:rFonts w:hint="eastAsia"/>
        </w:rPr>
        <w:t>本文件规定了公共机构零碳运行管理与评价的范围、规范性引用文件、术语和定义、总体要求、公共机构零碳管理和公共机构零碳判定。</w:t>
      </w:r>
    </w:p>
    <w:p w14:paraId="5D7820C2">
      <w:pPr>
        <w:pStyle w:val="56"/>
        <w:ind w:firstLine="420"/>
      </w:pPr>
      <w:r>
        <w:rPr>
          <w:rFonts w:hint="eastAsia"/>
        </w:rPr>
        <w:t>本文件适用于公共机构的零碳运行管理与评价。</w:t>
      </w:r>
    </w:p>
    <w:p w14:paraId="517C50EF">
      <w:pPr>
        <w:pStyle w:val="104"/>
        <w:spacing w:before="312" w:after="312"/>
      </w:pPr>
      <w:bookmarkStart w:id="44" w:name="_Toc26718931"/>
      <w:bookmarkStart w:id="45" w:name="_Toc26986772"/>
      <w:bookmarkStart w:id="46" w:name="_Toc26986531"/>
      <w:bookmarkStart w:id="47" w:name="_Toc97191424"/>
      <w:bookmarkStart w:id="48" w:name="_Toc192174370"/>
      <w:r>
        <w:rPr>
          <w:rFonts w:hint="eastAsia"/>
        </w:rPr>
        <w:t>规范性引用文件</w:t>
      </w:r>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F7A5EF5474784748AC563E944F5C380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7441A03E">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97F65EA">
      <w:pPr>
        <w:pStyle w:val="56"/>
        <w:ind w:firstLine="420"/>
      </w:pPr>
      <w:r>
        <w:rPr>
          <w:rFonts w:hint="eastAsia"/>
        </w:rPr>
        <w:t>GB 17167  用能单位能源计量器具配备和管理通则</w:t>
      </w:r>
    </w:p>
    <w:p w14:paraId="0E7E3C3E">
      <w:pPr>
        <w:pStyle w:val="56"/>
        <w:ind w:firstLine="420"/>
      </w:pPr>
      <w:r>
        <w:rPr>
          <w:rFonts w:hint="eastAsia"/>
        </w:rPr>
        <w:t>GB/T 23331  能源管理体系 要求及使用指南</w:t>
      </w:r>
    </w:p>
    <w:p w14:paraId="1B2572B6">
      <w:pPr>
        <w:pStyle w:val="56"/>
        <w:ind w:firstLine="420"/>
      </w:pPr>
      <w:r>
        <w:rPr>
          <w:rFonts w:hint="eastAsia"/>
        </w:rPr>
        <w:t>GB/T 29149  公共机构能源资源计量器具配备和管理要求</w:t>
      </w:r>
    </w:p>
    <w:p w14:paraId="1588CDAE">
      <w:pPr>
        <w:pStyle w:val="56"/>
        <w:ind w:firstLine="420"/>
        <w:rPr>
          <w:rFonts w:hint="eastAsia"/>
        </w:rPr>
      </w:pPr>
      <w:r>
        <w:rPr>
          <w:rFonts w:hint="eastAsia"/>
        </w:rPr>
        <w:t xml:space="preserve">GB/T 30559.2  </w:t>
      </w:r>
      <w:bookmarkStart w:id="49" w:name="2c28808a5eff2c42015f249b2b2f1b7a"/>
      <w:r>
        <w:rPr>
          <w:rFonts w:hint="eastAsia"/>
        </w:rPr>
        <w:fldChar w:fldCharType="begin"/>
      </w:r>
      <w:r>
        <w:rPr>
          <w:rFonts w:hint="eastAsia"/>
        </w:rPr>
        <w:instrText xml:space="preserve">HYPERLINK "https://www.bzsb.info/searchStandard.do"</w:instrText>
      </w:r>
      <w:r>
        <w:rPr>
          <w:rFonts w:hint="eastAsia"/>
        </w:rPr>
        <w:fldChar w:fldCharType="separate"/>
      </w:r>
      <w:r>
        <w:rPr>
          <w:rFonts w:hint="eastAsia"/>
        </w:rPr>
        <w:t>电梯、自动扶梯和自动人行道的能量性能 第2部分：电梯的能量计算与分级</w:t>
      </w:r>
      <w:r>
        <w:rPr>
          <w:rFonts w:hint="eastAsia"/>
        </w:rPr>
        <w:fldChar w:fldCharType="end"/>
      </w:r>
      <w:bookmarkEnd w:id="49"/>
    </w:p>
    <w:p w14:paraId="1270CC62">
      <w:pPr>
        <w:pStyle w:val="56"/>
        <w:ind w:firstLine="420"/>
      </w:pPr>
      <w:r>
        <w:rPr>
          <w:rFonts w:hint="eastAsia"/>
        </w:rPr>
        <w:t>GB/T 41568  机关事务管理 术语</w:t>
      </w:r>
    </w:p>
    <w:p w14:paraId="0979E890">
      <w:pPr>
        <w:pStyle w:val="56"/>
        <w:ind w:firstLine="420"/>
      </w:pPr>
      <w:r>
        <w:t>GB/T 50801</w:t>
      </w:r>
      <w:r>
        <w:rPr>
          <w:rFonts w:hint="eastAsia"/>
        </w:rPr>
        <w:t xml:space="preserve">  可再生能源建筑应用工程评价标准</w:t>
      </w:r>
    </w:p>
    <w:p w14:paraId="28BE623B">
      <w:pPr>
        <w:pStyle w:val="104"/>
        <w:spacing w:before="312" w:after="312"/>
      </w:pPr>
      <w:bookmarkStart w:id="50" w:name="_Toc192174371"/>
      <w:bookmarkStart w:id="51" w:name="_Toc97191425"/>
      <w:r>
        <w:rPr>
          <w:rFonts w:hint="eastAsia"/>
          <w:szCs w:val="21"/>
        </w:rPr>
        <w:t>术语和定义</w:t>
      </w:r>
      <w:bookmarkEnd w:id="50"/>
      <w:bookmarkEnd w:id="51"/>
    </w:p>
    <w:sdt>
      <w:sdtPr>
        <w:id w:val="-1909835108"/>
        <w:placeholder>
          <w:docPart w:val="E6659B44CAF146A78E924E7AA52AC4B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18557E7">
          <w:pPr>
            <w:pStyle w:val="56"/>
            <w:ind w:firstLine="420"/>
          </w:pPr>
          <w:bookmarkStart w:id="52" w:name="_Toc26986532"/>
          <w:bookmarkEnd w:id="52"/>
          <w:r>
            <w:t>GB/T 41568界定的以及下列术语和定义适用于本文件。</w:t>
          </w:r>
        </w:p>
      </w:sdtContent>
    </w:sdt>
    <w:p w14:paraId="63AB44B8">
      <w:pPr>
        <w:pStyle w:val="223"/>
        <w:spacing w:line="278" w:lineRule="auto"/>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公共机构  </w:t>
      </w:r>
      <w:r>
        <w:rPr>
          <w:rFonts w:ascii="Times New Roman" w:eastAsia="黑体"/>
        </w:rPr>
        <w:t>public institutions</w:t>
      </w:r>
    </w:p>
    <w:p w14:paraId="41EC9B0A">
      <w:pPr>
        <w:pStyle w:val="56"/>
        <w:ind w:firstLine="420"/>
      </w:pPr>
      <w:r>
        <w:rPr>
          <w:rFonts w:hint="eastAsia"/>
        </w:rPr>
        <w:t>全部或者部分使用财政性资金的国家机关、事业单位和团体组织。</w:t>
      </w:r>
    </w:p>
    <w:p w14:paraId="04B945ED">
      <w:pPr>
        <w:pStyle w:val="56"/>
        <w:ind w:firstLine="420"/>
      </w:pPr>
      <w:r>
        <w:rPr>
          <w:rFonts w:hint="eastAsia"/>
        </w:rPr>
        <w:t>[来源：GB/T 41568—2022,7.1]</w:t>
      </w:r>
    </w:p>
    <w:p w14:paraId="1EFFC7C6">
      <w:pPr>
        <w:pStyle w:val="223"/>
        <w:spacing w:line="278" w:lineRule="auto"/>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公共机构零碳管理  </w:t>
      </w:r>
      <w:r>
        <w:rPr>
          <w:rFonts w:hint="eastAsia" w:ascii="Times New Roman" w:eastAsia="黑体"/>
        </w:rPr>
        <w:t>zero carbon management for public institutions</w:t>
      </w:r>
    </w:p>
    <w:p w14:paraId="3AA33295">
      <w:pPr>
        <w:pStyle w:val="56"/>
        <w:ind w:firstLine="420"/>
      </w:pPr>
      <w:r>
        <w:rPr>
          <w:rFonts w:hint="eastAsia"/>
        </w:rPr>
        <w:t>对公共机构实施的能源管理、绿色管理、可再生能源利用、绿色电力等一系列降低温室气体排放，推动单位建筑面积碳排放、人均碳排放、可再生能源利用等达到先进水平的活动。</w:t>
      </w:r>
    </w:p>
    <w:p w14:paraId="7378AD72">
      <w:pPr>
        <w:pStyle w:val="180"/>
      </w:pPr>
      <w:r>
        <w:rPr>
          <w:rFonts w:hint="eastAsia"/>
        </w:rPr>
        <w:t>先进水平是指公共机构省级节能主管部门发布的零碳管理的数据和要求。</w:t>
      </w:r>
    </w:p>
    <w:p w14:paraId="675CA49F">
      <w:pPr>
        <w:pStyle w:val="180"/>
      </w:pPr>
      <w:r>
        <w:rPr>
          <w:rFonts w:hint="eastAsia"/>
        </w:rPr>
        <w:t>本标准描述的零碳管理是指公共机构零碳管理。</w:t>
      </w:r>
    </w:p>
    <w:p w14:paraId="7086D691">
      <w:pPr>
        <w:pStyle w:val="223"/>
        <w:spacing w:line="278" w:lineRule="auto"/>
        <w:ind w:left="420" w:hanging="420" w:hangingChars="200"/>
        <w:rPr>
          <w:rFonts w:hint="eastAsia" w:ascii="黑体" w:hAnsi="黑体" w:eastAsia="黑体"/>
        </w:rPr>
      </w:pPr>
    </w:p>
    <w:p w14:paraId="5C943F5B">
      <w:pPr>
        <w:spacing w:line="360" w:lineRule="exact"/>
        <w:ind w:firstLine="420" w:firstLineChars="200"/>
        <w:rPr>
          <w:rFonts w:hint="eastAsia" w:ascii="黑体" w:hAnsi="黑体" w:eastAsia="黑体"/>
          <w:kern w:val="0"/>
          <w:szCs w:val="20"/>
        </w:rPr>
      </w:pPr>
      <w:r>
        <w:rPr>
          <w:rFonts w:hint="eastAsia" w:ascii="黑体" w:hAnsi="黑体" w:eastAsia="黑体"/>
          <w:kern w:val="0"/>
          <w:szCs w:val="20"/>
        </w:rPr>
        <w:t xml:space="preserve">公共机构建筑  </w:t>
      </w:r>
      <w:r>
        <w:rPr>
          <w:rFonts w:ascii="Times New Roman" w:hAnsi="Times New Roman" w:eastAsia="黑体"/>
          <w:kern w:val="0"/>
          <w:szCs w:val="20"/>
        </w:rPr>
        <w:t>public institutional buildings</w:t>
      </w:r>
    </w:p>
    <w:p w14:paraId="1ED42FC7">
      <w:pPr>
        <w:pStyle w:val="56"/>
        <w:ind w:firstLine="420"/>
      </w:pPr>
      <w:r>
        <w:rPr>
          <w:rFonts w:hint="eastAsia"/>
        </w:rPr>
        <w:t>公共机构区域内的建筑。</w:t>
      </w:r>
    </w:p>
    <w:p w14:paraId="04C9DF3E">
      <w:pPr>
        <w:pStyle w:val="223"/>
        <w:spacing w:line="278" w:lineRule="auto"/>
        <w:ind w:left="420" w:hanging="420" w:hangingChars="200"/>
        <w:rPr>
          <w:rFonts w:hint="eastAsia" w:ascii="黑体" w:hAnsi="黑体" w:eastAsia="黑体"/>
        </w:rPr>
      </w:pPr>
    </w:p>
    <w:p w14:paraId="32BEA4D6">
      <w:pPr>
        <w:spacing w:line="360" w:lineRule="exact"/>
        <w:ind w:firstLine="420" w:firstLineChars="200"/>
        <w:rPr>
          <w:rFonts w:hint="eastAsia" w:ascii="黑体" w:hAnsi="黑体" w:eastAsia="黑体"/>
          <w:kern w:val="0"/>
          <w:szCs w:val="20"/>
        </w:rPr>
      </w:pPr>
      <w:r>
        <w:rPr>
          <w:rFonts w:hint="eastAsia" w:ascii="黑体" w:hAnsi="黑体" w:eastAsia="黑体"/>
          <w:kern w:val="0"/>
          <w:szCs w:val="20"/>
        </w:rPr>
        <w:t xml:space="preserve">低碳公共机构  </w:t>
      </w:r>
      <w:r>
        <w:rPr>
          <w:rFonts w:ascii="Times New Roman" w:hAnsi="Times New Roman" w:eastAsia="黑体"/>
          <w:kern w:val="0"/>
          <w:szCs w:val="20"/>
        </w:rPr>
        <w:t>low carbon public institutions</w:t>
      </w:r>
    </w:p>
    <w:p w14:paraId="79B7F040">
      <w:pPr>
        <w:pStyle w:val="56"/>
        <w:ind w:firstLine="420"/>
      </w:pPr>
      <w:r>
        <w:t>综合考虑</w:t>
      </w:r>
      <w:r>
        <w:rPr>
          <w:rFonts w:hint="eastAsia"/>
        </w:rPr>
        <w:t>公共机构</w:t>
      </w:r>
      <w:r>
        <w:t>内的建筑及周边环境、能源结构、市政基础设施、交通等因素，优化规划设计和运行管理，统筹降低</w:t>
      </w:r>
      <w:r>
        <w:rPr>
          <w:rFonts w:hint="eastAsia"/>
        </w:rPr>
        <w:t>公共机构</w:t>
      </w:r>
      <w:r>
        <w:t>用能需求，充分利用</w:t>
      </w:r>
      <w:r>
        <w:rPr>
          <w:rFonts w:hint="eastAsia"/>
        </w:rPr>
        <w:t>公共机构</w:t>
      </w:r>
      <w:r>
        <w:t>内的可再生能源、蓄能、碳汇，实现年运行碳排放符合</w:t>
      </w:r>
      <w:r>
        <w:rPr>
          <w:rFonts w:hint="eastAsia"/>
        </w:rPr>
        <w:t>6.2.1</w:t>
      </w:r>
      <w:r>
        <w:t>规定的</w:t>
      </w:r>
      <w:r>
        <w:rPr>
          <w:rFonts w:hint="eastAsia"/>
        </w:rPr>
        <w:t>公共机构</w:t>
      </w:r>
      <w:r>
        <w:t>。</w:t>
      </w:r>
    </w:p>
    <w:p w14:paraId="64B12FC7">
      <w:pPr>
        <w:pStyle w:val="223"/>
        <w:spacing w:line="278" w:lineRule="auto"/>
        <w:ind w:left="420" w:hanging="420" w:hangingChars="200"/>
        <w:rPr>
          <w:rFonts w:hint="eastAsia" w:ascii="黑体" w:hAnsi="黑体" w:eastAsia="黑体"/>
        </w:rPr>
      </w:pPr>
      <w:r>
        <w:rPr>
          <w:rFonts w:hint="eastAsia" w:ascii="黑体" w:hAnsi="黑体" w:eastAsia="黑体"/>
        </w:rPr>
        <w:t xml:space="preserve"> </w:t>
      </w:r>
    </w:p>
    <w:p w14:paraId="72395D60">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近零碳公共机构  </w:t>
      </w:r>
      <w:r>
        <w:rPr>
          <w:rFonts w:ascii="Times New Roman" w:hAnsi="Times New Roman" w:eastAsia="黑体"/>
          <w:kern w:val="0"/>
          <w:szCs w:val="20"/>
        </w:rPr>
        <w:t>nearly zero carbon public institution</w:t>
      </w:r>
    </w:p>
    <w:p w14:paraId="71F34369">
      <w:pPr>
        <w:pStyle w:val="56"/>
        <w:ind w:firstLine="420"/>
      </w:pPr>
      <w:r>
        <w:t>综合考虑</w:t>
      </w:r>
      <w:r>
        <w:rPr>
          <w:rFonts w:hint="eastAsia"/>
        </w:rPr>
        <w:t>公共机构</w:t>
      </w:r>
      <w:r>
        <w:t>内的建筑及周边环境、能源结构、市政基础设施、交通等因素，优化规划设计和运行管理，统筹降低</w:t>
      </w:r>
      <w:r>
        <w:rPr>
          <w:rFonts w:hint="eastAsia"/>
        </w:rPr>
        <w:t>公共机构</w:t>
      </w:r>
      <w:r>
        <w:t>用能需求，充分利用</w:t>
      </w:r>
      <w:r>
        <w:rPr>
          <w:rFonts w:hint="eastAsia"/>
        </w:rPr>
        <w:t>公共</w:t>
      </w:r>
      <w:r>
        <w:t>机构内的可再生能源、蓄能、碳汇，实现年运行碳排放符合</w:t>
      </w:r>
      <w:r>
        <w:rPr>
          <w:rFonts w:hint="eastAsia"/>
        </w:rPr>
        <w:t>6.2.2</w:t>
      </w:r>
      <w:r>
        <w:t>规定的</w:t>
      </w:r>
      <w:r>
        <w:rPr>
          <w:rFonts w:hint="eastAsia"/>
        </w:rPr>
        <w:t>公共机构</w:t>
      </w:r>
      <w:r>
        <w:t>。</w:t>
      </w:r>
    </w:p>
    <w:p w14:paraId="5967DE83">
      <w:pPr>
        <w:pStyle w:val="223"/>
        <w:spacing w:line="278" w:lineRule="auto"/>
        <w:ind w:left="420" w:hanging="420" w:hangingChars="200"/>
        <w:rPr>
          <w:rFonts w:hint="eastAsia" w:hAnsi="黑体"/>
        </w:rPr>
      </w:pPr>
      <w:r>
        <w:rPr>
          <w:rFonts w:hint="eastAsia" w:hAnsi="黑体"/>
        </w:rPr>
        <w:t xml:space="preserve"> </w:t>
      </w:r>
    </w:p>
    <w:p w14:paraId="6337DD70">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零碳公共机构  </w:t>
      </w:r>
      <w:r>
        <w:rPr>
          <w:rFonts w:ascii="Times New Roman" w:hAnsi="Times New Roman" w:eastAsia="黑体"/>
          <w:kern w:val="0"/>
          <w:szCs w:val="20"/>
        </w:rPr>
        <w:t>zero carbon public institution</w:t>
      </w:r>
    </w:p>
    <w:p w14:paraId="26136448">
      <w:pPr>
        <w:pStyle w:val="56"/>
        <w:ind w:firstLine="420"/>
      </w:pPr>
      <w:r>
        <w:rPr>
          <w:rFonts w:hint="eastAsia"/>
        </w:rPr>
        <w:t>综合考虑</w:t>
      </w:r>
      <w:bookmarkStart w:id="53" w:name="_Hlk179448502"/>
      <w:r>
        <w:rPr>
          <w:rFonts w:hint="eastAsia"/>
        </w:rPr>
        <w:t>公共机构</w:t>
      </w:r>
      <w:bookmarkEnd w:id="53"/>
      <w:r>
        <w:rPr>
          <w:rFonts w:hint="eastAsia"/>
        </w:rPr>
        <w:t>内的建筑及周边环境、能源结构、市政基础设施、交通等因素，优化规划设计和运行管理，统筹降低公共机构用能需求，充分利用公共机构内的可再生能源、蓄能、碳汇，可结合碳排放权交易和绿色电力交易等碳抵消方式，实现年运行碳排放量不大于零的公共机构。零碳公共机构的碳排放指标应符合本标准 6.2.3的规定。</w:t>
      </w:r>
    </w:p>
    <w:p w14:paraId="16C439F2">
      <w:pPr>
        <w:pStyle w:val="223"/>
        <w:spacing w:line="278" w:lineRule="auto"/>
        <w:ind w:left="420" w:hanging="420" w:hangingChars="200"/>
        <w:rPr>
          <w:rFonts w:hint="eastAsia" w:hAnsi="黑体"/>
        </w:rPr>
      </w:pPr>
      <w:r>
        <w:rPr>
          <w:rFonts w:hint="eastAsia" w:hAnsi="黑体"/>
        </w:rPr>
        <w:t xml:space="preserve"> </w:t>
      </w:r>
    </w:p>
    <w:p w14:paraId="7A6CB3FA">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低碳公共机构建筑  </w:t>
      </w:r>
      <w:r>
        <w:rPr>
          <w:rFonts w:ascii="Times New Roman" w:hAnsi="Times New Roman" w:eastAsia="黑体"/>
          <w:kern w:val="0"/>
          <w:szCs w:val="20"/>
        </w:rPr>
        <w:t>low carbon public institutions building</w:t>
      </w:r>
    </w:p>
    <w:p w14:paraId="67F91275">
      <w:pPr>
        <w:pStyle w:val="56"/>
        <w:ind w:firstLine="420"/>
      </w:pPr>
      <w:r>
        <w:t>适应气候特征与场地条件，在满足室内环境参数的基础上，通过优化</w:t>
      </w:r>
      <w:r>
        <w:rPr>
          <w:rFonts w:hint="eastAsia"/>
        </w:rPr>
        <w:t>公共机构</w:t>
      </w:r>
      <w:r>
        <w:t>建筑设计降低建筑用能需求，提高能源设备与系统效率，充分利用可再生能源和建筑蓄能，符合</w:t>
      </w:r>
      <w:r>
        <w:rPr>
          <w:rFonts w:hint="eastAsia"/>
        </w:rPr>
        <w:t>6.3.1</w:t>
      </w:r>
      <w:r>
        <w:t xml:space="preserve"> 规定的建筑。</w:t>
      </w:r>
    </w:p>
    <w:p w14:paraId="592ABCCD">
      <w:pPr>
        <w:pStyle w:val="223"/>
        <w:spacing w:line="278" w:lineRule="auto"/>
        <w:ind w:left="420" w:hanging="420" w:hangingChars="200"/>
        <w:rPr>
          <w:rFonts w:hint="eastAsia" w:hAnsi="黑体"/>
        </w:rPr>
      </w:pPr>
    </w:p>
    <w:p w14:paraId="2B5A629F">
      <w:pPr>
        <w:spacing w:line="360" w:lineRule="exact"/>
        <w:ind w:firstLine="420" w:firstLineChars="200"/>
        <w:rPr>
          <w:rFonts w:hint="eastAsia" w:ascii="黑体" w:hAnsi="黑体" w:eastAsia="黑体"/>
          <w:kern w:val="0"/>
          <w:szCs w:val="20"/>
        </w:rPr>
      </w:pPr>
      <w:r>
        <w:rPr>
          <w:rFonts w:hint="eastAsia" w:ascii="黑体" w:hAnsi="黑体" w:eastAsia="黑体"/>
          <w:kern w:val="0"/>
          <w:szCs w:val="20"/>
        </w:rPr>
        <w:t xml:space="preserve">近零碳公共机构建筑  </w:t>
      </w:r>
      <w:r>
        <w:rPr>
          <w:rFonts w:ascii="Times New Roman" w:hAnsi="Times New Roman" w:eastAsia="黑体"/>
          <w:kern w:val="0"/>
          <w:szCs w:val="20"/>
        </w:rPr>
        <w:t>nearly zero carbon public institutions building</w:t>
      </w:r>
    </w:p>
    <w:p w14:paraId="26D29E7A">
      <w:pPr>
        <w:pStyle w:val="56"/>
        <w:ind w:firstLine="420"/>
      </w:pPr>
      <w:r>
        <w:rPr>
          <w:rFonts w:hint="eastAsia"/>
        </w:rPr>
        <w:t>适应气候特征与场地条件，在满足室内环境参数的基础上，通过优化公共机构建筑设计降低建筑用能需求，提高能源设备与系统效率，充分利用可再生能源和建筑蓄能，符合6.3.2规定的建筑。</w:t>
      </w:r>
    </w:p>
    <w:p w14:paraId="35A4FEBE">
      <w:pPr>
        <w:pStyle w:val="223"/>
        <w:spacing w:line="278" w:lineRule="auto"/>
        <w:ind w:left="420" w:hanging="420" w:hangingChars="200"/>
        <w:rPr>
          <w:rFonts w:hint="eastAsia" w:hAnsi="黑体"/>
        </w:rPr>
      </w:pPr>
      <w:r>
        <w:rPr>
          <w:rFonts w:hint="eastAsia" w:hAnsi="黑体"/>
        </w:rPr>
        <w:t xml:space="preserve"> </w:t>
      </w:r>
    </w:p>
    <w:p w14:paraId="3A7B1434">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零碳公共机构建筑  </w:t>
      </w:r>
      <w:r>
        <w:rPr>
          <w:rFonts w:ascii="Times New Roman" w:hAnsi="Times New Roman" w:eastAsia="黑体"/>
          <w:kern w:val="0"/>
          <w:szCs w:val="20"/>
        </w:rPr>
        <w:t>zero carbon public institutions building</w:t>
      </w:r>
    </w:p>
    <w:p w14:paraId="3744EAD7">
      <w:pPr>
        <w:pStyle w:val="56"/>
        <w:ind w:firstLine="420"/>
      </w:pPr>
      <w:r>
        <w:rPr>
          <w:rFonts w:hint="eastAsia"/>
        </w:rPr>
        <w:t>适应气候特征与场地条件，在满足室内环境参数的基础上，通过优化公共机构建筑设计降低建筑用能需求，提高能源设备与系统效率，充分利用可再生能源和建筑蓄能，在实现近零碳建筑基础上，可结合碳排放权交易和绿色电力交易等碳抵消方式，符合6.3.3规定的建筑。</w:t>
      </w:r>
    </w:p>
    <w:p w14:paraId="7B691788">
      <w:pPr>
        <w:pStyle w:val="223"/>
        <w:spacing w:line="278" w:lineRule="auto"/>
        <w:ind w:left="420" w:hanging="420" w:hangingChars="200"/>
        <w:rPr>
          <w:rFonts w:hint="eastAsia" w:hAnsi="黑体"/>
        </w:rPr>
      </w:pPr>
    </w:p>
    <w:p w14:paraId="3DC0E303">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全过程零碳公共机构建筑  </w:t>
      </w:r>
      <w:r>
        <w:rPr>
          <w:rFonts w:ascii="Times New Roman" w:hAnsi="Times New Roman" w:eastAsia="黑体"/>
          <w:kern w:val="0"/>
          <w:szCs w:val="20"/>
        </w:rPr>
        <w:t>whole process zero carbon public institutions building</w:t>
      </w:r>
    </w:p>
    <w:p w14:paraId="5C722D30">
      <w:pPr>
        <w:pStyle w:val="56"/>
        <w:ind w:firstLine="420"/>
      </w:pPr>
      <w:r>
        <w:t>在满足零碳</w:t>
      </w:r>
      <w:r>
        <w:rPr>
          <w:rFonts w:hint="eastAsia"/>
        </w:rPr>
        <w:t>公共机构</w:t>
      </w:r>
      <w:r>
        <w:t>建筑技术指标的基础上，通过采用低碳建材、低碳结构形式和材料减量化设计，可结合碳排放权交易和绿色电力交易等碳抵消方式，建筑建材、建造和运行全过程的总碳排放量不大于零的</w:t>
      </w:r>
      <w:r>
        <w:rPr>
          <w:rFonts w:hint="eastAsia"/>
        </w:rPr>
        <w:t>公共机构</w:t>
      </w:r>
      <w:r>
        <w:t>建筑。</w:t>
      </w:r>
    </w:p>
    <w:p w14:paraId="3148CDD8">
      <w:pPr>
        <w:pStyle w:val="223"/>
        <w:spacing w:line="278" w:lineRule="auto"/>
        <w:ind w:left="420" w:hanging="420" w:hangingChars="200"/>
        <w:rPr>
          <w:rFonts w:hint="eastAsia" w:hAnsi="黑体"/>
        </w:rPr>
      </w:pPr>
    </w:p>
    <w:p w14:paraId="406543E1">
      <w:pPr>
        <w:spacing w:line="360" w:lineRule="exact"/>
        <w:ind w:firstLine="420" w:firstLineChars="200"/>
        <w:rPr>
          <w:rFonts w:hint="eastAsia" w:ascii="黑体" w:hAnsi="黑体" w:eastAsia="黑体"/>
          <w:kern w:val="0"/>
          <w:szCs w:val="20"/>
        </w:rPr>
      </w:pPr>
      <w:r>
        <w:rPr>
          <w:rFonts w:hint="eastAsia" w:ascii="黑体" w:hAnsi="黑体" w:eastAsia="黑体"/>
          <w:kern w:val="0"/>
          <w:szCs w:val="20"/>
        </w:rPr>
        <w:t xml:space="preserve">基准公共机构  </w:t>
      </w:r>
      <w:r>
        <w:rPr>
          <w:rFonts w:ascii="Times New Roman" w:hAnsi="Times New Roman" w:eastAsia="黑体"/>
          <w:kern w:val="0"/>
          <w:szCs w:val="20"/>
        </w:rPr>
        <w:t>reference public institutions</w:t>
      </w:r>
    </w:p>
    <w:p w14:paraId="38DEE6CC">
      <w:pPr>
        <w:pStyle w:val="56"/>
        <w:ind w:firstLine="420"/>
      </w:pPr>
      <w:r>
        <w:t>用于计算</w:t>
      </w:r>
      <w:r>
        <w:rPr>
          <w:rFonts w:hint="eastAsia"/>
        </w:rPr>
        <w:t>公共</w:t>
      </w:r>
      <w:r>
        <w:t>机构降碳率的标准比对</w:t>
      </w:r>
      <w:r>
        <w:rPr>
          <w:rFonts w:hint="eastAsia"/>
        </w:rPr>
        <w:t>公共</w:t>
      </w:r>
      <w:r>
        <w:t>机构。</w:t>
      </w:r>
    </w:p>
    <w:p w14:paraId="500DFFB4">
      <w:pPr>
        <w:pStyle w:val="223"/>
        <w:spacing w:line="278" w:lineRule="auto"/>
        <w:ind w:left="420" w:hanging="420" w:hangingChars="200"/>
        <w:rPr>
          <w:rFonts w:hint="eastAsia" w:hAnsi="黑体"/>
        </w:rPr>
      </w:pPr>
    </w:p>
    <w:p w14:paraId="37033CC4">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公共机构碳排放量  </w:t>
      </w:r>
      <w:r>
        <w:rPr>
          <w:rFonts w:ascii="Times New Roman" w:hAnsi="Times New Roman" w:eastAsia="黑体"/>
          <w:kern w:val="0"/>
          <w:szCs w:val="20"/>
        </w:rPr>
        <w:t>public institutions carbon emissions</w:t>
      </w:r>
    </w:p>
    <w:p w14:paraId="6D980EBF">
      <w:pPr>
        <w:pStyle w:val="56"/>
        <w:ind w:firstLine="420"/>
      </w:pPr>
      <w:r>
        <w:rPr>
          <w:rFonts w:hint="eastAsia"/>
        </w:rPr>
        <w:t>在设定计算条件或实际运行条件下，公共机构建筑、交通、市政等活动产生的能源消耗以及公共机构碳汇、可再生能源产能按不同类型能源消耗量和不同类型能源的碳排放因子计算得出的碳排放量。</w:t>
      </w:r>
    </w:p>
    <w:p w14:paraId="5185B8B7">
      <w:pPr>
        <w:pStyle w:val="223"/>
        <w:spacing w:line="278" w:lineRule="auto"/>
        <w:ind w:left="420" w:hanging="420" w:hangingChars="200"/>
        <w:rPr>
          <w:rFonts w:hint="eastAsia" w:hAnsi="黑体"/>
        </w:rPr>
      </w:pPr>
      <w:r>
        <w:rPr>
          <w:rFonts w:hint="eastAsia" w:hAnsi="黑体"/>
        </w:rPr>
        <w:t xml:space="preserve"> </w:t>
      </w:r>
    </w:p>
    <w:p w14:paraId="5B9E1D45">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公共机构人均碳排放量  </w:t>
      </w:r>
      <w:r>
        <w:rPr>
          <w:rFonts w:ascii="Times New Roman" w:hAnsi="Times New Roman" w:eastAsia="黑体"/>
          <w:kern w:val="0"/>
          <w:szCs w:val="20"/>
        </w:rPr>
        <w:t>public institutions carbon emissions per capita</w:t>
      </w:r>
    </w:p>
    <w:p w14:paraId="20C2FBBA">
      <w:pPr>
        <w:pStyle w:val="56"/>
        <w:ind w:firstLine="420"/>
      </w:pPr>
      <w:r>
        <w:rPr>
          <w:rFonts w:hint="eastAsia"/>
        </w:rPr>
        <w:t>在设定计算条件或实际运行条件下，用于满足公共机构自身功能而产生的公共机构碳排放量与公共机构总人数的比值。</w:t>
      </w:r>
    </w:p>
    <w:p w14:paraId="4AEBFAA1">
      <w:pPr>
        <w:pStyle w:val="223"/>
        <w:spacing w:line="278" w:lineRule="auto"/>
        <w:ind w:left="420" w:hanging="420" w:hangingChars="200"/>
        <w:rPr>
          <w:rFonts w:hint="eastAsia" w:hAnsi="黑体"/>
          <w:color w:val="FF0000"/>
        </w:rPr>
      </w:pPr>
    </w:p>
    <w:p w14:paraId="0101D83F">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公共机构降碳率  </w:t>
      </w:r>
      <w:r>
        <w:rPr>
          <w:rFonts w:ascii="Times New Roman" w:hAnsi="Times New Roman" w:eastAsia="黑体"/>
          <w:kern w:val="0"/>
          <w:szCs w:val="20"/>
        </w:rPr>
        <w:t>public institutions carbon emissions reduction ratio</w:t>
      </w:r>
    </w:p>
    <w:p w14:paraId="1B2126AC">
      <w:pPr>
        <w:pStyle w:val="56"/>
        <w:ind w:firstLine="420"/>
      </w:pPr>
      <w:r>
        <w:rPr>
          <w:rFonts w:hint="eastAsia"/>
        </w:rPr>
        <w:t>基准公共机构碳排放量和设计碳排放量的差值，与基准公共机构碳排放量的比值。</w:t>
      </w:r>
    </w:p>
    <w:p w14:paraId="3EC6CA28">
      <w:pPr>
        <w:pStyle w:val="223"/>
        <w:spacing w:line="278" w:lineRule="auto"/>
        <w:ind w:left="420" w:hanging="420" w:hangingChars="200"/>
        <w:rPr>
          <w:rFonts w:hint="eastAsia" w:hAnsi="黑体"/>
        </w:rPr>
      </w:pPr>
    </w:p>
    <w:p w14:paraId="1AC05DC9">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公共机构建筑降碳率  </w:t>
      </w:r>
      <w:r>
        <w:rPr>
          <w:rFonts w:ascii="Times New Roman" w:hAnsi="Times New Roman" w:eastAsia="黑体"/>
          <w:kern w:val="0"/>
          <w:szCs w:val="20"/>
        </w:rPr>
        <w:t>public institutions building carbon emissions reduction ratio</w:t>
      </w:r>
    </w:p>
    <w:p w14:paraId="1BA4EC87">
      <w:pPr>
        <w:pStyle w:val="56"/>
        <w:ind w:firstLine="420"/>
      </w:pPr>
      <w:r>
        <w:t>基准建筑碳排放强度和设计建筑碳排放强度的差值，与基准建筑碳排放强度的比值。</w:t>
      </w:r>
    </w:p>
    <w:p w14:paraId="1BAB5E92">
      <w:pPr>
        <w:pStyle w:val="223"/>
        <w:spacing w:line="278" w:lineRule="auto"/>
        <w:ind w:left="420" w:hanging="420" w:hangingChars="200"/>
        <w:rPr>
          <w:rFonts w:hint="eastAsia" w:hAnsi="黑体"/>
        </w:rPr>
      </w:pPr>
    </w:p>
    <w:p w14:paraId="682FD79B">
      <w:pPr>
        <w:spacing w:line="360" w:lineRule="exact"/>
        <w:ind w:firstLine="420" w:firstLineChars="200"/>
        <w:rPr>
          <w:rFonts w:ascii="Times New Roman" w:hAnsi="Times New Roman" w:eastAsia="黑体"/>
          <w:kern w:val="0"/>
          <w:szCs w:val="20"/>
        </w:rPr>
      </w:pPr>
      <w:r>
        <w:rPr>
          <w:rFonts w:hint="eastAsia" w:ascii="黑体" w:hAnsi="黑体" w:eastAsia="黑体"/>
          <w:kern w:val="0"/>
          <w:szCs w:val="20"/>
        </w:rPr>
        <w:t xml:space="preserve">公共机构建筑碳排放强度  </w:t>
      </w:r>
      <w:r>
        <w:rPr>
          <w:rFonts w:ascii="Times New Roman" w:hAnsi="Times New Roman" w:eastAsia="黑体"/>
          <w:kern w:val="0"/>
          <w:szCs w:val="20"/>
        </w:rPr>
        <w:t>public institutions building carbon emission intensity</w:t>
      </w:r>
    </w:p>
    <w:p w14:paraId="2B754DDA">
      <w:pPr>
        <w:pStyle w:val="56"/>
        <w:ind w:firstLine="420"/>
      </w:pPr>
      <w:r>
        <w:rPr>
          <w:rFonts w:hint="eastAsia"/>
        </w:rPr>
        <w:t>在设定计算条件或实际运行条件下，年供暖、通风、空调、照明、生活热水、电梯、插座与炊事等终端能耗和建筑本体及周边可再生能源系统发电量，按碳排放因子换算为碳排放量后，两者的差值与建筑面积的比值。</w:t>
      </w:r>
    </w:p>
    <w:p w14:paraId="044A67AB">
      <w:pPr>
        <w:pStyle w:val="223"/>
        <w:spacing w:line="278" w:lineRule="auto"/>
        <w:ind w:left="420" w:hanging="420" w:hangingChars="200"/>
        <w:rPr>
          <w:rFonts w:hint="eastAsia" w:ascii="黑体" w:hAnsi="黑体" w:eastAsia="黑体"/>
        </w:rPr>
      </w:pPr>
    </w:p>
    <w:p w14:paraId="0BCC96BE">
      <w:pPr>
        <w:pStyle w:val="223"/>
        <w:numPr>
          <w:ilvl w:val="2"/>
          <w:numId w:val="0"/>
        </w:numPr>
        <w:ind w:left="-420" w:leftChars="-200" w:firstLine="840" w:firstLineChars="400"/>
        <w:rPr>
          <w:rFonts w:hint="eastAsia" w:ascii="黑体" w:hAnsi="黑体" w:eastAsia="黑体"/>
        </w:rPr>
      </w:pPr>
      <w:r>
        <w:rPr>
          <w:rFonts w:hint="eastAsia" w:ascii="黑体" w:hAnsi="黑体" w:eastAsia="黑体"/>
        </w:rPr>
        <w:t xml:space="preserve">温室气体  </w:t>
      </w:r>
      <w:r>
        <w:rPr>
          <w:rFonts w:hint="eastAsia" w:ascii="Times New Roman" w:eastAsia="黑体"/>
        </w:rPr>
        <w:t>greenhouse gases</w:t>
      </w:r>
    </w:p>
    <w:p w14:paraId="77D0D892">
      <w:pPr>
        <w:pStyle w:val="56"/>
        <w:ind w:firstLine="420"/>
      </w:pPr>
      <w:r>
        <w:rPr>
          <w:rFonts w:hint="eastAsia"/>
        </w:rPr>
        <w:t>大气层中自然存在的和由于人类活动产生的，能够吸收和散发由地球表面、大气层和云层所产生的、波长在红外光谱内的辐射的气态成分。</w:t>
      </w:r>
    </w:p>
    <w:p w14:paraId="1D8409EC">
      <w:pPr>
        <w:pStyle w:val="179"/>
      </w:pPr>
      <w:r>
        <w:rPr>
          <w:rFonts w:hint="eastAsia"/>
        </w:rPr>
        <w:t>如无特别说明，本标准中的温室气体包括二氧化碳（CO</w:t>
      </w:r>
      <w:r>
        <w:rPr>
          <w:rFonts w:hint="eastAsia"/>
          <w:vertAlign w:val="subscript"/>
        </w:rPr>
        <w:t>2</w:t>
      </w:r>
      <w:r>
        <w:rPr>
          <w:rFonts w:hint="eastAsia"/>
        </w:rPr>
        <w:t>）、甲烷（CH</w:t>
      </w:r>
      <w:r>
        <w:rPr>
          <w:rFonts w:hint="eastAsia"/>
          <w:vertAlign w:val="subscript"/>
        </w:rPr>
        <w:t>4</w:t>
      </w:r>
      <w:r>
        <w:rPr>
          <w:rFonts w:hint="eastAsia"/>
        </w:rPr>
        <w:t>）、氧化亚氮（N</w:t>
      </w:r>
      <w:r>
        <w:rPr>
          <w:rFonts w:hint="eastAsia"/>
          <w:vertAlign w:val="subscript"/>
        </w:rPr>
        <w:t>2</w:t>
      </w:r>
      <w:r>
        <w:rPr>
          <w:rFonts w:hint="eastAsia"/>
        </w:rPr>
        <w:t>O）、氢氟碳化物（HFCs）、全氟化碳（PFCs）、六氟化硫（SF</w:t>
      </w:r>
      <w:r>
        <w:rPr>
          <w:rFonts w:hint="eastAsia"/>
          <w:vertAlign w:val="subscript"/>
        </w:rPr>
        <w:t>6</w:t>
      </w:r>
      <w:r>
        <w:rPr>
          <w:rFonts w:hint="eastAsia"/>
        </w:rPr>
        <w:t>）和三氟化氮（NF</w:t>
      </w:r>
      <w:r>
        <w:rPr>
          <w:rFonts w:hint="eastAsia"/>
          <w:vertAlign w:val="subscript"/>
        </w:rPr>
        <w:t>3</w:t>
      </w:r>
      <w:r>
        <w:rPr>
          <w:rFonts w:hint="eastAsia"/>
        </w:rPr>
        <w:t>）。</w:t>
      </w:r>
    </w:p>
    <w:p w14:paraId="50FD0EBE">
      <w:pPr>
        <w:pStyle w:val="56"/>
        <w:ind w:firstLine="420"/>
      </w:pPr>
      <w:r>
        <w:rPr>
          <w:rFonts w:hint="eastAsia"/>
        </w:rPr>
        <w:t>[来源：GB/T 32150—2015，3.1]</w:t>
      </w:r>
    </w:p>
    <w:p w14:paraId="032C3DFA">
      <w:pPr>
        <w:pStyle w:val="223"/>
        <w:spacing w:line="278" w:lineRule="auto"/>
        <w:ind w:left="420" w:hanging="420" w:hangingChars="200"/>
        <w:rPr>
          <w:rFonts w:hint="eastAsia" w:hAnsi="黑体"/>
          <w:color w:val="FF0000"/>
        </w:rPr>
      </w:pPr>
    </w:p>
    <w:p w14:paraId="76CAC207">
      <w:pPr>
        <w:pStyle w:val="223"/>
        <w:numPr>
          <w:ilvl w:val="2"/>
          <w:numId w:val="0"/>
        </w:numPr>
        <w:ind w:left="-420" w:leftChars="-200" w:firstLine="840" w:firstLineChars="400"/>
        <w:rPr>
          <w:rFonts w:hint="eastAsia" w:ascii="黑体" w:hAnsi="黑体" w:eastAsia="黑体"/>
        </w:rPr>
      </w:pPr>
      <w:r>
        <w:rPr>
          <w:rFonts w:hint="eastAsia" w:ascii="黑体" w:hAnsi="黑体" w:eastAsia="黑体"/>
        </w:rPr>
        <w:t xml:space="preserve">碳排放量  </w:t>
      </w:r>
      <w:r>
        <w:rPr>
          <w:rFonts w:hint="eastAsia" w:ascii="Times New Roman" w:eastAsia="黑体"/>
        </w:rPr>
        <w:t>carbon emissions</w:t>
      </w:r>
    </w:p>
    <w:p w14:paraId="673DBF67">
      <w:pPr>
        <w:pStyle w:val="56"/>
        <w:ind w:firstLine="420"/>
      </w:pPr>
      <w:r>
        <w:rPr>
          <w:rFonts w:hint="eastAsia"/>
        </w:rPr>
        <w:t>一定时期内，公共机构核算边界内行政管理或服务中产生的二氧化碳排放量。</w:t>
      </w:r>
    </w:p>
    <w:p w14:paraId="5CABCEAE">
      <w:pPr>
        <w:pStyle w:val="223"/>
        <w:spacing w:line="278" w:lineRule="auto"/>
        <w:ind w:left="420" w:hanging="420" w:hangingChars="200"/>
        <w:rPr>
          <w:rFonts w:hint="eastAsia" w:hAnsi="黑体"/>
          <w:color w:val="FF0000"/>
        </w:rPr>
      </w:pPr>
    </w:p>
    <w:p w14:paraId="4E56A3D4">
      <w:pPr>
        <w:pStyle w:val="223"/>
        <w:numPr>
          <w:ilvl w:val="2"/>
          <w:numId w:val="0"/>
        </w:numPr>
        <w:ind w:left="-420" w:leftChars="-200" w:firstLine="840" w:firstLineChars="400"/>
        <w:rPr>
          <w:rFonts w:hint="eastAsia" w:ascii="黑体" w:hAnsi="黑体" w:eastAsia="黑体"/>
        </w:rPr>
      </w:pPr>
      <w:r>
        <w:rPr>
          <w:rFonts w:hint="eastAsia" w:ascii="黑体" w:hAnsi="黑体" w:eastAsia="黑体"/>
        </w:rPr>
        <w:t xml:space="preserve">可再生能源  </w:t>
      </w:r>
      <w:r>
        <w:rPr>
          <w:rFonts w:hint="eastAsia" w:ascii="Times New Roman" w:eastAsia="黑体"/>
        </w:rPr>
        <w:t>renewable energy</w:t>
      </w:r>
    </w:p>
    <w:p w14:paraId="19DF8265">
      <w:pPr>
        <w:pStyle w:val="56"/>
        <w:ind w:firstLine="420"/>
      </w:pPr>
      <w:r>
        <w:rPr>
          <w:rFonts w:hint="eastAsia"/>
        </w:rPr>
        <w:t>一次能源的一类，在一定程度上，地球上此类能源可在自然过程中再生。</w:t>
      </w:r>
    </w:p>
    <w:p w14:paraId="661FDC94">
      <w:pPr>
        <w:pStyle w:val="179"/>
      </w:pPr>
      <w:r>
        <w:rPr>
          <w:rFonts w:hint="eastAsia"/>
        </w:rPr>
        <w:t>此类能源包括例如太阳能、水能、风能、生物质能、海洋能、地热能等。</w:t>
      </w:r>
    </w:p>
    <w:p w14:paraId="3B57B044">
      <w:pPr>
        <w:pStyle w:val="56"/>
        <w:ind w:firstLine="420"/>
      </w:pPr>
      <w:r>
        <w:rPr>
          <w:rFonts w:hint="eastAsia"/>
        </w:rPr>
        <w:t>[来源：GB/T 32910.4—2021]</w:t>
      </w:r>
    </w:p>
    <w:p w14:paraId="6233A1E9">
      <w:pPr>
        <w:pStyle w:val="223"/>
        <w:spacing w:line="278" w:lineRule="auto"/>
        <w:ind w:left="420" w:hanging="420" w:hangingChars="200"/>
        <w:rPr>
          <w:rFonts w:hint="eastAsia" w:hAnsi="黑体"/>
        </w:rPr>
      </w:pPr>
      <w:r>
        <w:rPr>
          <w:rFonts w:hAnsi="黑体"/>
        </w:rPr>
        <w:br w:type="textWrapping"/>
      </w:r>
      <w:r>
        <w:rPr>
          <w:rFonts w:hint="eastAsia" w:ascii="黑体" w:hAnsi="黑体" w:eastAsia="黑体"/>
        </w:rPr>
        <w:t xml:space="preserve">碳中和  </w:t>
      </w:r>
      <w:r>
        <w:rPr>
          <w:rFonts w:hint="eastAsia" w:ascii="Times New Roman" w:eastAsia="黑体"/>
        </w:rPr>
        <w:t>c</w:t>
      </w:r>
      <w:r>
        <w:rPr>
          <w:rFonts w:ascii="Times New Roman" w:eastAsia="黑体"/>
        </w:rPr>
        <w:t>arbon neutra</w:t>
      </w:r>
      <w:r>
        <w:rPr>
          <w:rFonts w:hint="eastAsia" w:ascii="Times New Roman" w:eastAsia="黑体"/>
        </w:rPr>
        <w:t>lization</w:t>
      </w:r>
    </w:p>
    <w:p w14:paraId="74EF1529">
      <w:pPr>
        <w:pStyle w:val="56"/>
        <w:ind w:firstLine="420"/>
      </w:pPr>
      <w:r>
        <w:rPr>
          <w:rFonts w:hint="eastAsia"/>
        </w:rPr>
        <w:t>在核算边界内一定时间内行政管理或服务过程中产生的所有碳排放量，在自身减排的基础上，剩余部分排放量被核算边界外相应数量的碳信用额度、碳汇量等完全抵消，实现二氧化碳“零排放”。</w:t>
      </w:r>
    </w:p>
    <w:p w14:paraId="0D9F3D11">
      <w:pPr>
        <w:pStyle w:val="223"/>
        <w:spacing w:line="278" w:lineRule="auto"/>
        <w:ind w:left="420" w:hanging="420" w:hangingChars="200"/>
        <w:rPr>
          <w:rFonts w:hint="eastAsia" w:hAnsi="黑体"/>
        </w:rPr>
      </w:pPr>
      <w:r>
        <w:rPr>
          <w:rFonts w:hAnsi="黑体"/>
        </w:rPr>
        <w:br w:type="textWrapping"/>
      </w:r>
      <w:r>
        <w:rPr>
          <w:rFonts w:hint="eastAsia" w:ascii="黑体" w:hAnsi="黑体" w:eastAsia="黑体"/>
        </w:rPr>
        <w:t xml:space="preserve">碳信用额度  </w:t>
      </w:r>
      <w:r>
        <w:rPr>
          <w:rFonts w:hint="eastAsia" w:ascii="Times New Roman" w:eastAsia="黑体"/>
        </w:rPr>
        <w:t>carbon credit</w:t>
      </w:r>
    </w:p>
    <w:p w14:paraId="67172DCF">
      <w:pPr>
        <w:pStyle w:val="56"/>
        <w:ind w:firstLine="420"/>
      </w:pPr>
      <w:r>
        <w:rPr>
          <w:rFonts w:hint="eastAsia"/>
        </w:rPr>
        <w:t>温室气体减排项目按照有关技术标准和认定程序确认减排量化效果后，由政府部门或其授权机构签发的碳减排指标。1个碳信用额度相当于1 t二氧化碳当量。</w:t>
      </w:r>
    </w:p>
    <w:p w14:paraId="1D4CE600">
      <w:pPr>
        <w:pStyle w:val="179"/>
      </w:pPr>
      <w:r>
        <w:rPr>
          <w:rFonts w:hint="eastAsia"/>
        </w:rPr>
        <w:t>签发部门可为国际机构、独立第三方机构、政府部门或其授权的机构。</w:t>
      </w:r>
    </w:p>
    <w:p w14:paraId="582B1CEA">
      <w:pPr>
        <w:pStyle w:val="223"/>
        <w:spacing w:line="278" w:lineRule="auto"/>
        <w:ind w:left="420" w:hanging="420" w:hangingChars="200"/>
        <w:rPr>
          <w:rFonts w:hint="eastAsia" w:ascii="黑体" w:hAnsi="黑体" w:eastAsia="黑体"/>
        </w:rPr>
      </w:pPr>
    </w:p>
    <w:p w14:paraId="299D60CA">
      <w:pPr>
        <w:pStyle w:val="56"/>
        <w:ind w:firstLine="420"/>
        <w:rPr>
          <w:rFonts w:hint="eastAsia" w:ascii="黑体" w:hAnsi="黑体" w:eastAsia="黑体"/>
        </w:rPr>
      </w:pPr>
      <w:r>
        <w:rPr>
          <w:rFonts w:hint="eastAsia" w:ascii="黑体" w:hAnsi="黑体" w:eastAsia="黑体"/>
        </w:rPr>
        <w:t xml:space="preserve">林业碳汇  </w:t>
      </w:r>
      <w:r>
        <w:rPr>
          <w:rFonts w:hint="eastAsia" w:ascii="Times New Roman" w:eastAsia="黑体"/>
        </w:rPr>
        <w:t>carbon sink</w:t>
      </w:r>
    </w:p>
    <w:p w14:paraId="08DDB7D6">
      <w:pPr>
        <w:pStyle w:val="56"/>
        <w:ind w:firstLine="420"/>
      </w:pPr>
      <w:r>
        <w:rPr>
          <w:rFonts w:hint="eastAsia"/>
        </w:rPr>
        <w:t>通过植树造林、植被恢复、林业可持续管理、避免毁林和植被退化等措施，增加林业碳汇量，或减少林业碳排放量的过程、活动或机制。</w:t>
      </w:r>
    </w:p>
    <w:p w14:paraId="2D1FD9B6">
      <w:pPr>
        <w:pStyle w:val="56"/>
        <w:ind w:firstLine="420"/>
      </w:pPr>
      <w:r>
        <w:rPr>
          <w:rFonts w:hint="eastAsia"/>
        </w:rPr>
        <w:t>[来源：GB/T 41198—2021，有修改]</w:t>
      </w:r>
    </w:p>
    <w:p w14:paraId="103E7D53">
      <w:pPr>
        <w:pStyle w:val="223"/>
        <w:spacing w:line="278" w:lineRule="auto"/>
        <w:ind w:left="420" w:hanging="420" w:hangingChars="200"/>
        <w:rPr>
          <w:rFonts w:hint="eastAsia" w:hAnsi="黑体"/>
        </w:rPr>
      </w:pPr>
      <w:r>
        <w:rPr>
          <w:rFonts w:hint="eastAsia" w:ascii="黑体" w:hAnsi="黑体" w:eastAsia="黑体"/>
        </w:rPr>
        <w:t xml:space="preserve">碳抵消  </w:t>
      </w:r>
      <w:r>
        <w:rPr>
          <w:rFonts w:hint="eastAsia" w:ascii="Times New Roman" w:eastAsia="黑体"/>
        </w:rPr>
        <w:t>c</w:t>
      </w:r>
      <w:r>
        <w:rPr>
          <w:rFonts w:ascii="Times New Roman" w:eastAsia="黑体"/>
        </w:rPr>
        <w:t xml:space="preserve">arbon </w:t>
      </w:r>
      <w:r>
        <w:rPr>
          <w:rFonts w:hint="eastAsia" w:ascii="Times New Roman" w:eastAsia="黑体"/>
        </w:rPr>
        <w:t>o</w:t>
      </w:r>
      <w:r>
        <w:rPr>
          <w:rFonts w:ascii="Times New Roman" w:eastAsia="黑体"/>
        </w:rPr>
        <w:t>ffset</w:t>
      </w:r>
    </w:p>
    <w:p w14:paraId="4296C37F">
      <w:pPr>
        <w:pStyle w:val="56"/>
        <w:ind w:firstLine="420"/>
      </w:pPr>
      <w:r>
        <w:rPr>
          <w:rFonts w:hint="eastAsia"/>
        </w:rPr>
        <w:t>排放单位用核算边界以外温室气体排放的减少量以及碳汇，以碳信用额度、碳汇等形式用来补偿或抵消边界内的温室气体排放量的过程。</w:t>
      </w:r>
    </w:p>
    <w:p w14:paraId="05873FF9">
      <w:pPr>
        <w:pStyle w:val="223"/>
        <w:spacing w:line="278" w:lineRule="auto"/>
        <w:ind w:left="420" w:hanging="420" w:hangingChars="200"/>
        <w:rPr>
          <w:rFonts w:hint="eastAsia" w:hAnsi="黑体"/>
        </w:rPr>
      </w:pPr>
      <w:r>
        <w:rPr>
          <w:rFonts w:hAnsi="黑体"/>
        </w:rPr>
        <w:br w:type="textWrapping"/>
      </w:r>
      <w:r>
        <w:rPr>
          <w:rFonts w:hint="eastAsia" w:ascii="黑体" w:hAnsi="黑体" w:eastAsia="黑体"/>
        </w:rPr>
        <w:t xml:space="preserve">碳中和率  </w:t>
      </w:r>
      <w:r>
        <w:rPr>
          <w:rFonts w:hint="eastAsia" w:ascii="Times New Roman" w:eastAsia="黑体"/>
        </w:rPr>
        <w:t>carbon neutralization ratio</w:t>
      </w:r>
    </w:p>
    <w:p w14:paraId="39B8F993">
      <w:pPr>
        <w:pStyle w:val="56"/>
        <w:ind w:firstLine="420"/>
      </w:pPr>
      <w:r>
        <w:rPr>
          <w:rFonts w:hint="eastAsia"/>
        </w:rPr>
        <w:t>排放单位购买的碳抵消量与其在一定时期内产生的碳排放量的比值。</w:t>
      </w:r>
    </w:p>
    <w:p w14:paraId="48B2FFE8">
      <w:pPr>
        <w:pStyle w:val="179"/>
      </w:pPr>
      <w:r>
        <w:rPr>
          <w:rFonts w:hint="eastAsia"/>
        </w:rPr>
        <w:t>一定时期内通常以年度为单位。</w:t>
      </w:r>
    </w:p>
    <w:p w14:paraId="1302D4FA">
      <w:pPr>
        <w:pStyle w:val="223"/>
        <w:spacing w:line="278" w:lineRule="auto"/>
        <w:ind w:left="420" w:hanging="420" w:hangingChars="200"/>
        <w:rPr>
          <w:rFonts w:hint="eastAsia" w:ascii="黑体" w:hAnsi="黑体" w:eastAsia="黑体"/>
        </w:rPr>
      </w:pPr>
    </w:p>
    <w:p w14:paraId="5E917524">
      <w:pPr>
        <w:pStyle w:val="223"/>
        <w:numPr>
          <w:ilvl w:val="0"/>
          <w:numId w:val="0"/>
        </w:numPr>
        <w:ind w:left="420"/>
        <w:rPr>
          <w:rFonts w:hint="eastAsia" w:ascii="黑体" w:hAnsi="黑体" w:eastAsia="黑体"/>
        </w:rPr>
      </w:pPr>
      <w:r>
        <w:rPr>
          <w:rFonts w:hint="eastAsia" w:ascii="黑体" w:hAnsi="黑体" w:eastAsia="黑体"/>
        </w:rPr>
        <w:t>绿色电力  g</w:t>
      </w:r>
      <w:r>
        <w:rPr>
          <w:rFonts w:ascii="黑体" w:hAnsi="黑体" w:eastAsia="黑体"/>
        </w:rPr>
        <w:t>reen power</w:t>
      </w:r>
    </w:p>
    <w:p w14:paraId="1AAF4E16">
      <w:pPr>
        <w:pStyle w:val="56"/>
        <w:ind w:firstLine="420"/>
      </w:pPr>
      <w:r>
        <w:rPr>
          <w:rFonts w:hint="eastAsia"/>
        </w:rPr>
        <w:t>利用特定的发电设备，如风机、太阳能光伏电池等，将风能、太阳能等可再生能源转化为电能，发电过程中不产生对环境有害的排放物且不消耗化石能源。</w:t>
      </w:r>
    </w:p>
    <w:p w14:paraId="4D001727">
      <w:pPr>
        <w:pStyle w:val="179"/>
      </w:pPr>
      <w:r>
        <w:rPr>
          <w:rFonts w:hint="eastAsia"/>
        </w:rPr>
        <w:t>绿色电力包括风电、太阳能光伏发电、地热发电、生物质能发电、小水电、潮汐发电等。</w:t>
      </w:r>
    </w:p>
    <w:p w14:paraId="09C1F470">
      <w:pPr>
        <w:pStyle w:val="104"/>
        <w:spacing w:before="312" w:after="312"/>
      </w:pPr>
      <w:bookmarkStart w:id="54" w:name="_Toc192174372"/>
      <w:bookmarkStart w:id="55" w:name="_Toc187653071"/>
      <w:r>
        <w:rPr>
          <w:rFonts w:hint="eastAsia"/>
        </w:rPr>
        <w:t>总体要求</w:t>
      </w:r>
      <w:bookmarkEnd w:id="54"/>
      <w:bookmarkEnd w:id="55"/>
    </w:p>
    <w:p w14:paraId="23736007">
      <w:pPr>
        <w:pStyle w:val="56"/>
        <w:ind w:firstLine="420"/>
      </w:pPr>
      <w:r>
        <w:rPr>
          <w:rFonts w:hint="eastAsia"/>
        </w:rPr>
        <w:t>公共机构应：</w:t>
      </w:r>
    </w:p>
    <w:p w14:paraId="0E51C548">
      <w:pPr>
        <w:pStyle w:val="174"/>
      </w:pPr>
      <w:r>
        <w:rPr>
          <w:rFonts w:hint="eastAsia"/>
        </w:rPr>
        <w:t>优先实施提升能源利用效率措施；</w:t>
      </w:r>
    </w:p>
    <w:p w14:paraId="14989CCD">
      <w:pPr>
        <w:pStyle w:val="174"/>
      </w:pPr>
      <w:r>
        <w:rPr>
          <w:rFonts w:hint="eastAsia"/>
        </w:rPr>
        <w:t>实施环境绿化和绿色行为，并利用可再生能源或绿色电力等手段进行自主减排；</w:t>
      </w:r>
    </w:p>
    <w:p w14:paraId="0F491926">
      <w:pPr>
        <w:pStyle w:val="174"/>
      </w:pPr>
      <w:r>
        <w:rPr>
          <w:rFonts w:hint="eastAsia"/>
        </w:rPr>
        <w:t>在自主减排的基础上，将剩余部分碳排放量通过核算边界外的碳信用额度或碳汇进行抵消，实现碳中和。</w:t>
      </w:r>
    </w:p>
    <w:p w14:paraId="671C9B63">
      <w:pPr>
        <w:pStyle w:val="179"/>
      </w:pPr>
      <w:r>
        <w:rPr>
          <w:rFonts w:hint="eastAsia"/>
        </w:rPr>
        <w:t>用于碳中和的碳信用额度或碳汇不应作为其它用途使用。</w:t>
      </w:r>
    </w:p>
    <w:p w14:paraId="57732C4D">
      <w:pPr>
        <w:pStyle w:val="104"/>
        <w:spacing w:before="312" w:after="312"/>
      </w:pPr>
      <w:bookmarkStart w:id="56" w:name="_Toc192174373"/>
      <w:bookmarkStart w:id="57" w:name="_Toc187653072"/>
      <w:r>
        <w:rPr>
          <w:rFonts w:hint="eastAsia"/>
        </w:rPr>
        <w:t>零碳管理</w:t>
      </w:r>
      <w:bookmarkEnd w:id="56"/>
      <w:bookmarkEnd w:id="57"/>
    </w:p>
    <w:p w14:paraId="15A9C9A5">
      <w:pPr>
        <w:pStyle w:val="105"/>
        <w:spacing w:before="156" w:after="156"/>
      </w:pPr>
      <w:r>
        <w:rPr>
          <w:rFonts w:hint="eastAsia"/>
        </w:rPr>
        <w:t>基本要求</w:t>
      </w:r>
    </w:p>
    <w:p w14:paraId="59141F23">
      <w:pPr>
        <w:pStyle w:val="165"/>
      </w:pPr>
      <w:r>
        <w:rPr>
          <w:rFonts w:hint="eastAsia"/>
        </w:rPr>
        <w:t>应建立零碳公共机构管理机制，制定零碳公共机构管理制度。</w:t>
      </w:r>
    </w:p>
    <w:p w14:paraId="50D55364">
      <w:pPr>
        <w:pStyle w:val="165"/>
      </w:pPr>
      <w:r>
        <w:rPr>
          <w:rFonts w:hint="eastAsia"/>
        </w:rPr>
        <w:t>应确定实现零碳公共机构的路径，并制定年度节能减碳目标指标与方案。</w:t>
      </w:r>
    </w:p>
    <w:p w14:paraId="763E8328">
      <w:pPr>
        <w:pStyle w:val="165"/>
      </w:pPr>
      <w:r>
        <w:rPr>
          <w:rFonts w:hint="eastAsia"/>
        </w:rPr>
        <w:t>应传播零碳管理的概念和知识，定期为员工及相关方提供零碳管理相关知识的培训。</w:t>
      </w:r>
    </w:p>
    <w:p w14:paraId="3B91C77F">
      <w:pPr>
        <w:pStyle w:val="165"/>
      </w:pPr>
      <w:r>
        <w:rPr>
          <w:rFonts w:hint="eastAsia"/>
        </w:rPr>
        <w:t>近三年内，应完成上级节能行政主管部门下达的节能减碳考核目标。</w:t>
      </w:r>
    </w:p>
    <w:p w14:paraId="398BF49A">
      <w:pPr>
        <w:pStyle w:val="105"/>
        <w:spacing w:before="156" w:after="156"/>
      </w:pPr>
      <w:r>
        <w:rPr>
          <w:rFonts w:hint="eastAsia"/>
        </w:rPr>
        <w:t>能源管理</w:t>
      </w:r>
    </w:p>
    <w:p w14:paraId="26D9DAA8">
      <w:pPr>
        <w:pStyle w:val="65"/>
        <w:spacing w:before="156" w:after="156"/>
      </w:pPr>
      <w:r>
        <w:rPr>
          <w:rFonts w:hint="eastAsia"/>
        </w:rPr>
        <w:t>建筑</w:t>
      </w:r>
    </w:p>
    <w:p w14:paraId="70E15315">
      <w:pPr>
        <w:pStyle w:val="164"/>
      </w:pPr>
      <w:r>
        <w:t>应利用天然采光、自然通风，提高建筑能源利用效率。宜通过对建筑围护结构的节能设计或绿色改造等措施加强建筑保温隔热。</w:t>
      </w:r>
    </w:p>
    <w:p w14:paraId="10E24EF2">
      <w:pPr>
        <w:pStyle w:val="164"/>
      </w:pPr>
      <w:r>
        <w:t>应定期对建筑围护保温系统及气密性保障等关键部位进行维护或检查。对门窗和外遮阳等设施应定期进行完好性检查。</w:t>
      </w:r>
    </w:p>
    <w:p w14:paraId="16588F66">
      <w:pPr>
        <w:pStyle w:val="65"/>
        <w:spacing w:before="156" w:after="156"/>
      </w:pPr>
      <w:r>
        <w:rPr>
          <w:rFonts w:hint="eastAsia"/>
        </w:rPr>
        <w:t>供热供冷系统</w:t>
      </w:r>
    </w:p>
    <w:p w14:paraId="6BBEA2AD">
      <w:pPr>
        <w:pStyle w:val="164"/>
      </w:pPr>
      <w:r>
        <w:rPr>
          <w:rFonts w:hint="eastAsia"/>
        </w:rPr>
        <w:t>供热供冷系统优先利用可再生能源和自然冷源，并考虑多能互补集成优化。</w:t>
      </w:r>
    </w:p>
    <w:p w14:paraId="3530C999">
      <w:pPr>
        <w:pStyle w:val="164"/>
      </w:pPr>
      <w:r>
        <w:t>供热供冷系统优先考虑采用地源热泵或空气源热泵，设备采购应优先采用能效等级为一级的产品。循环水泵、通风机等用能设备宜采用变频调速。</w:t>
      </w:r>
    </w:p>
    <w:p w14:paraId="41274467">
      <w:pPr>
        <w:pStyle w:val="164"/>
      </w:pPr>
      <w:r>
        <w:rPr>
          <w:rFonts w:hint="eastAsia"/>
        </w:rPr>
        <w:t>应合理设置新风热回收系统，并宜设置新风旁通管。</w:t>
      </w:r>
    </w:p>
    <w:p w14:paraId="544B6135">
      <w:pPr>
        <w:pStyle w:val="164"/>
      </w:pPr>
      <w:r>
        <w:rPr>
          <w:rFonts w:hint="eastAsia"/>
        </w:rPr>
        <w:t>供热供冷设备主机及新风机组开启台数宜根据室外温度变化、室内温度、二氧化碳浓度实现动态控制。</w:t>
      </w:r>
    </w:p>
    <w:p w14:paraId="6449C7B0">
      <w:pPr>
        <w:pStyle w:val="164"/>
      </w:pPr>
      <w:r>
        <w:t>过渡季节宜关闭普通区域空调系统，采用自然通风方式。</w:t>
      </w:r>
    </w:p>
    <w:p w14:paraId="02D40180">
      <w:pPr>
        <w:pStyle w:val="65"/>
        <w:spacing w:before="156" w:after="156"/>
      </w:pPr>
      <w:r>
        <w:rPr>
          <w:rFonts w:hint="eastAsia"/>
        </w:rPr>
        <w:t>给水排水系统</w:t>
      </w:r>
    </w:p>
    <w:p w14:paraId="4CB597A2">
      <w:pPr>
        <w:pStyle w:val="56"/>
        <w:ind w:firstLine="420"/>
      </w:pPr>
      <w:r>
        <w:rPr>
          <w:rFonts w:hint="eastAsia"/>
        </w:rPr>
        <w:t>给水排水系统应利用城镇给水管网的水压直接供水。集中热水供应系统的热源，宜利用余热、废热、可再生能源热水机（器）作为热水供应热源。</w:t>
      </w:r>
    </w:p>
    <w:p w14:paraId="11DA8C53">
      <w:pPr>
        <w:pStyle w:val="65"/>
        <w:spacing w:before="156" w:after="156"/>
      </w:pPr>
      <w:r>
        <w:rPr>
          <w:rFonts w:hint="eastAsia"/>
        </w:rPr>
        <w:t>照明</w:t>
      </w:r>
    </w:p>
    <w:p w14:paraId="0E3FB2B9">
      <w:pPr>
        <w:pStyle w:val="164"/>
      </w:pPr>
      <w:r>
        <w:rPr>
          <w:rFonts w:hint="eastAsia"/>
        </w:rPr>
        <w:t>应选用高效节能光源与灯具。</w:t>
      </w:r>
    </w:p>
    <w:p w14:paraId="138762D2">
      <w:pPr>
        <w:pStyle w:val="164"/>
      </w:pPr>
      <w:r>
        <w:rPr>
          <w:rFonts w:hint="eastAsia"/>
        </w:rPr>
        <w:t>宜基于能源消耗监测信息及优控模式实现能源管理数字化控制，宜根据室外光照强度、有人无人或人数多少实现分区优化控制。</w:t>
      </w:r>
    </w:p>
    <w:p w14:paraId="57083EA6">
      <w:pPr>
        <w:pStyle w:val="65"/>
        <w:spacing w:before="156" w:after="156"/>
      </w:pPr>
      <w:r>
        <w:rPr>
          <w:rFonts w:hint="eastAsia"/>
        </w:rPr>
        <w:t>供配电系统</w:t>
      </w:r>
    </w:p>
    <w:p w14:paraId="28DE5448">
      <w:pPr>
        <w:pStyle w:val="164"/>
      </w:pPr>
      <w:r>
        <w:rPr>
          <w:rFonts w:hint="eastAsia"/>
        </w:rPr>
        <w:t>宜采用可再生能源微网系统，利用蓄能、用能设备协同控制技术，提升可再生能源就地消纳比例。</w:t>
      </w:r>
    </w:p>
    <w:p w14:paraId="5C5AE54C">
      <w:pPr>
        <w:pStyle w:val="164"/>
      </w:pPr>
      <w:r>
        <w:rPr>
          <w:rFonts w:hint="eastAsia"/>
        </w:rPr>
        <w:t>供配电系统应具备实时监测、分析、智能调度等管理功能</w:t>
      </w:r>
    </w:p>
    <w:p w14:paraId="40E24D03">
      <w:pPr>
        <w:pStyle w:val="164"/>
      </w:pPr>
      <w:r>
        <w:rPr>
          <w:rFonts w:hint="eastAsia"/>
        </w:rPr>
        <w:t>供配电系统应具备按核算单元和用能形式进行分类分项计量功能。</w:t>
      </w:r>
    </w:p>
    <w:p w14:paraId="5558E03B">
      <w:pPr>
        <w:pStyle w:val="164"/>
      </w:pPr>
      <w:r>
        <w:rPr>
          <w:rFonts w:hint="eastAsia"/>
        </w:rPr>
        <w:t>宜结合建筑及周边场地可再生能源系统，设置储电、蓄热(冷)、电动车充电等设施，实现不同蓄能形式灵活应用。</w:t>
      </w:r>
    </w:p>
    <w:p w14:paraId="42B7DF4F">
      <w:pPr>
        <w:pStyle w:val="164"/>
      </w:pPr>
      <w:r>
        <w:rPr>
          <w:rFonts w:hint="eastAsia"/>
        </w:rPr>
        <w:t>宜采用光储直柔技术，且宜具备与电网友好互动的接口。</w:t>
      </w:r>
    </w:p>
    <w:p w14:paraId="1BBC7B29">
      <w:pPr>
        <w:pStyle w:val="164"/>
      </w:pPr>
      <w:r>
        <w:rPr>
          <w:rFonts w:hint="eastAsia"/>
        </w:rPr>
        <w:t>用电设备宜具备用电负荷调节功能，采用光储直柔技术建筑的用电设备应具备功率主动响应功能。</w:t>
      </w:r>
    </w:p>
    <w:p w14:paraId="23AE5DF9">
      <w:pPr>
        <w:pStyle w:val="65"/>
        <w:spacing w:before="156" w:after="156"/>
      </w:pPr>
      <w:r>
        <w:rPr>
          <w:rFonts w:hint="eastAsia"/>
        </w:rPr>
        <w:t>电梯</w:t>
      </w:r>
    </w:p>
    <w:p w14:paraId="4636E581">
      <w:pPr>
        <w:pStyle w:val="164"/>
      </w:pPr>
      <w:r>
        <w:rPr>
          <w:rFonts w:hint="eastAsia"/>
        </w:rPr>
        <w:t>宜采用节能的控制及拖动系统，当设有两台及以上电梯集中排列时，宜具备群控功能。高层建筑电梯系统宜采用能量回馈装置。高层建筑多台电梯宜分区或分层停靠。</w:t>
      </w:r>
    </w:p>
    <w:p w14:paraId="6450E373">
      <w:pPr>
        <w:pStyle w:val="164"/>
      </w:pPr>
      <w:r>
        <w:rPr>
          <w:rFonts w:hint="eastAsia"/>
        </w:rPr>
        <w:t>电梯能效等级宜满足GB/T 30559.2的1级能效要求。</w:t>
      </w:r>
    </w:p>
    <w:p w14:paraId="2DC0774E">
      <w:pPr>
        <w:pStyle w:val="65"/>
        <w:spacing w:before="156" w:after="156"/>
      </w:pPr>
      <w:r>
        <w:rPr>
          <w:rFonts w:hint="eastAsia"/>
        </w:rPr>
        <w:t>办公设备</w:t>
      </w:r>
    </w:p>
    <w:p w14:paraId="7C54D7F9">
      <w:pPr>
        <w:pStyle w:val="164"/>
      </w:pPr>
      <w:r>
        <w:rPr>
          <w:rFonts w:hint="eastAsia"/>
        </w:rPr>
        <w:t>不宜采用耗能高的办公设备。</w:t>
      </w:r>
    </w:p>
    <w:p w14:paraId="0F64B2F7">
      <w:pPr>
        <w:pStyle w:val="164"/>
      </w:pPr>
      <w:r>
        <w:rPr>
          <w:rFonts w:hint="eastAsia"/>
        </w:rPr>
        <w:t>办公设备设施应根据工作时间实现定时开关，减少电耗和待机耗电。超过一定的休息时间，应及时关闭相应办公设备电源。电开水器（饮水机）等设施夜间应切断电源。</w:t>
      </w:r>
    </w:p>
    <w:p w14:paraId="1BACB936">
      <w:pPr>
        <w:pStyle w:val="65"/>
        <w:spacing w:before="156" w:after="156"/>
      </w:pPr>
      <w:r>
        <w:rPr>
          <w:rFonts w:hint="eastAsia"/>
        </w:rPr>
        <w:t>车辆管理</w:t>
      </w:r>
    </w:p>
    <w:p w14:paraId="1B4D6D5D">
      <w:pPr>
        <w:pStyle w:val="164"/>
      </w:pPr>
      <w:r>
        <w:rPr>
          <w:rFonts w:hint="eastAsia"/>
        </w:rPr>
        <w:t>提高公务用车新能源汽车使用比例，更新用于相对固定路线的车辆时，宜配备新能源汽车。</w:t>
      </w:r>
    </w:p>
    <w:p w14:paraId="2D01E35D">
      <w:pPr>
        <w:pStyle w:val="164"/>
      </w:pPr>
      <w:r>
        <w:rPr>
          <w:rFonts w:hint="eastAsia"/>
        </w:rPr>
        <w:t>应建立公务用车油耗台账制度，推广节油新技术、新产品。</w:t>
      </w:r>
    </w:p>
    <w:p w14:paraId="63FA00DA">
      <w:pPr>
        <w:pStyle w:val="65"/>
        <w:spacing w:before="156" w:after="156"/>
      </w:pPr>
      <w:r>
        <w:rPr>
          <w:rFonts w:hint="eastAsia"/>
        </w:rPr>
        <w:t>控制与管理措施</w:t>
      </w:r>
    </w:p>
    <w:p w14:paraId="00D3C1CA">
      <w:pPr>
        <w:pStyle w:val="164"/>
      </w:pPr>
      <w:r>
        <w:rPr>
          <w:rFonts w:hint="eastAsia"/>
        </w:rPr>
        <w:t>计量器具配置与管理可按照GB 17167、GB/T 29149要求执行。</w:t>
      </w:r>
    </w:p>
    <w:p w14:paraId="1A787032">
      <w:pPr>
        <w:pStyle w:val="164"/>
      </w:pPr>
      <w:r>
        <w:rPr>
          <w:rFonts w:hint="eastAsia"/>
        </w:rPr>
        <w:t>应定期对供暖供冷、空调、照明、电梯、办公设备、生活热水、特殊用能等系统能源消耗进行分析。</w:t>
      </w:r>
    </w:p>
    <w:p w14:paraId="65A8B37C">
      <w:pPr>
        <w:pStyle w:val="164"/>
      </w:pPr>
      <w:r>
        <w:rPr>
          <w:rFonts w:hint="eastAsia"/>
        </w:rPr>
        <w:t>应定期对碳排放量进行统计分析，并与上一年度相应数据进行纵向对比评价分析，或与相同功能的公共机构碳排放量数据进行横向对比评价分析。</w:t>
      </w:r>
    </w:p>
    <w:p w14:paraId="7F289897">
      <w:pPr>
        <w:pStyle w:val="164"/>
      </w:pPr>
      <w:r>
        <w:rPr>
          <w:rFonts w:hint="eastAsia"/>
        </w:rPr>
        <w:t>宜设置建筑碳排放管理系统，实现建筑运行碳排放量的动态统计、计算、分析和展示等管理目标。</w:t>
      </w:r>
    </w:p>
    <w:p w14:paraId="384A62FE">
      <w:pPr>
        <w:pStyle w:val="105"/>
        <w:spacing w:before="156" w:after="156"/>
      </w:pPr>
      <w:bookmarkStart w:id="58" w:name="_Toc164352468"/>
      <w:r>
        <w:rPr>
          <w:rFonts w:hint="eastAsia"/>
        </w:rPr>
        <w:t>绿色管理</w:t>
      </w:r>
      <w:bookmarkEnd w:id="58"/>
    </w:p>
    <w:p w14:paraId="169A0C98">
      <w:pPr>
        <w:pStyle w:val="65"/>
        <w:spacing w:before="156" w:after="156"/>
      </w:pPr>
      <w:r>
        <w:rPr>
          <w:rFonts w:hint="eastAsia"/>
        </w:rPr>
        <w:t>环境绿化</w:t>
      </w:r>
    </w:p>
    <w:p w14:paraId="15F92F4F">
      <w:pPr>
        <w:pStyle w:val="164"/>
      </w:pPr>
      <w:r>
        <w:rPr>
          <w:rFonts w:hint="eastAsia"/>
        </w:rPr>
        <w:t>因地制宜做好室内外绿化、美化，发挥绿色植物群体的光合固碳和绿化土壤的吸碳贮碳功能。</w:t>
      </w:r>
    </w:p>
    <w:p w14:paraId="073A6444">
      <w:pPr>
        <w:pStyle w:val="164"/>
      </w:pPr>
      <w:r>
        <w:rPr>
          <w:rFonts w:hint="eastAsia"/>
        </w:rPr>
        <w:t>可根据阳台、屋顶等建筑特点，实施阳台绿化、屋顶绿化或屋顶农业。</w:t>
      </w:r>
    </w:p>
    <w:p w14:paraId="25AB8EF6">
      <w:pPr>
        <w:pStyle w:val="164"/>
      </w:pPr>
      <w:r>
        <w:rPr>
          <w:rFonts w:hint="eastAsia"/>
        </w:rPr>
        <w:t>应从提高绿化覆盖率和增加绿色植物总量考虑，在院落场地，除必要的硬化地面外，实施乔、灌、草、花绿化。</w:t>
      </w:r>
    </w:p>
    <w:p w14:paraId="7A9B4A71">
      <w:pPr>
        <w:pStyle w:val="65"/>
        <w:spacing w:before="156" w:after="156"/>
      </w:pPr>
      <w:r>
        <w:rPr>
          <w:rFonts w:hint="eastAsia"/>
        </w:rPr>
        <w:t>绿色行为</w:t>
      </w:r>
    </w:p>
    <w:p w14:paraId="7B3818C6">
      <w:pPr>
        <w:pStyle w:val="164"/>
      </w:pPr>
      <w:r>
        <w:rPr>
          <w:rFonts w:hint="eastAsia"/>
        </w:rPr>
        <w:t>应引导使用者遵循绿色低碳生活方式，应包括但不限于：</w:t>
      </w:r>
    </w:p>
    <w:p w14:paraId="083AC7FB">
      <w:pPr>
        <w:pStyle w:val="174"/>
        <w:numPr>
          <w:ilvl w:val="0"/>
          <w:numId w:val="32"/>
        </w:numPr>
      </w:pPr>
      <w:r>
        <w:rPr>
          <w:rFonts w:hint="eastAsia"/>
        </w:rPr>
        <w:t>基础设施和建筑的装饰装修及日用品应选择绿色建材或再循环比例高的材料和产品；</w:t>
      </w:r>
    </w:p>
    <w:p w14:paraId="6E3E8E89">
      <w:pPr>
        <w:pStyle w:val="174"/>
      </w:pPr>
      <w:r>
        <w:rPr>
          <w:rFonts w:hint="eastAsia"/>
        </w:rPr>
        <w:t>应减少一次性用品的使用，自备可重复使用购物袋购物，快递包装应尽量重复使用并避免过度包装；</w:t>
      </w:r>
    </w:p>
    <w:p w14:paraId="3CC0D5ED">
      <w:pPr>
        <w:pStyle w:val="174"/>
      </w:pPr>
      <w:r>
        <w:rPr>
          <w:rFonts w:hint="eastAsia"/>
        </w:rPr>
        <w:t>应提倡无纸化办公；</w:t>
      </w:r>
    </w:p>
    <w:p w14:paraId="2F9E6202">
      <w:pPr>
        <w:pStyle w:val="174"/>
      </w:pPr>
      <w:r>
        <w:rPr>
          <w:rFonts w:hint="eastAsia"/>
        </w:rPr>
        <w:t>日常食品采购季节性本地产品，并应按需购买，减少浪费；</w:t>
      </w:r>
    </w:p>
    <w:p w14:paraId="6A4764CA">
      <w:pPr>
        <w:pStyle w:val="174"/>
      </w:pPr>
      <w:r>
        <w:rPr>
          <w:rFonts w:hint="eastAsia"/>
        </w:rPr>
        <w:t>提倡节水节电行为习惯，选用高能效家用电器、办公设备和节能灯具；</w:t>
      </w:r>
    </w:p>
    <w:p w14:paraId="2D588DAE">
      <w:pPr>
        <w:pStyle w:val="174"/>
      </w:pPr>
      <w:r>
        <w:rPr>
          <w:rFonts w:hint="eastAsia"/>
        </w:rPr>
        <w:t>电器在非运行时段应切断电源，减少待机能耗，或选用具有智能切断电源功能的节能型插座；</w:t>
      </w:r>
    </w:p>
    <w:p w14:paraId="7470A593">
      <w:pPr>
        <w:pStyle w:val="174"/>
      </w:pPr>
      <w:r>
        <w:rPr>
          <w:rFonts w:hint="eastAsia"/>
        </w:rPr>
        <w:t>提倡步行、骑车或乘公共交通工具等绿色出行方式。</w:t>
      </w:r>
    </w:p>
    <w:p w14:paraId="76508FDB">
      <w:pPr>
        <w:pStyle w:val="164"/>
      </w:pPr>
      <w:r>
        <w:rPr>
          <w:rFonts w:hint="eastAsia"/>
        </w:rPr>
        <w:t>按照“应分尽分、应收尽收”原则，实施生活垃圾分类。</w:t>
      </w:r>
    </w:p>
    <w:p w14:paraId="6182538E">
      <w:pPr>
        <w:pStyle w:val="164"/>
      </w:pPr>
      <w:r>
        <w:rPr>
          <w:rFonts w:hint="eastAsia"/>
        </w:rPr>
        <w:t>适用时，采用合同能源管理模式实施节能减碳技术改造。</w:t>
      </w:r>
    </w:p>
    <w:p w14:paraId="68AFFAFC">
      <w:pPr>
        <w:pStyle w:val="164"/>
      </w:pPr>
      <w:r>
        <w:rPr>
          <w:rFonts w:hint="eastAsia"/>
        </w:rPr>
        <w:t>宜依据GB/T 23331建立并保持能源管理体系。</w:t>
      </w:r>
    </w:p>
    <w:p w14:paraId="6FE82764">
      <w:pPr>
        <w:pStyle w:val="105"/>
        <w:spacing w:before="156" w:after="156"/>
      </w:pPr>
      <w:bookmarkStart w:id="59" w:name="_Toc164352469"/>
      <w:r>
        <w:rPr>
          <w:rFonts w:hint="eastAsia"/>
        </w:rPr>
        <w:t>可再生能源利用及绿色电力</w:t>
      </w:r>
      <w:bookmarkEnd w:id="59"/>
    </w:p>
    <w:p w14:paraId="113C2277">
      <w:pPr>
        <w:pStyle w:val="65"/>
        <w:spacing w:before="156" w:after="156"/>
      </w:pPr>
      <w:r>
        <w:rPr>
          <w:rFonts w:hint="eastAsia"/>
        </w:rPr>
        <w:t>可再生能源利用</w:t>
      </w:r>
    </w:p>
    <w:p w14:paraId="0EB965B2">
      <w:pPr>
        <w:pStyle w:val="164"/>
      </w:pPr>
      <w:r>
        <w:rPr>
          <w:rFonts w:hint="eastAsia"/>
        </w:rPr>
        <w:t>公共机构应利用屋顶、屋面及其它条件，自行建设或采用合同能源管理模式建设光伏发电、风力发电、太阳能集热、地源热泵、空气源热泵等可再生能源利用设施。</w:t>
      </w:r>
    </w:p>
    <w:p w14:paraId="4105DD41">
      <w:pPr>
        <w:pStyle w:val="164"/>
      </w:pPr>
      <w:r>
        <w:rPr>
          <w:rFonts w:hint="eastAsia"/>
        </w:rPr>
        <w:t>可再生能源系统同常规能源系统并联运行时，应优先运行可再生能源系统。</w:t>
      </w:r>
    </w:p>
    <w:p w14:paraId="7E9E4930">
      <w:pPr>
        <w:pStyle w:val="164"/>
      </w:pPr>
      <w:r>
        <w:rPr>
          <w:rFonts w:hint="eastAsia"/>
        </w:rPr>
        <w:t>可再生能源系统能源产出、输出、自用量应单独计量。</w:t>
      </w:r>
    </w:p>
    <w:p w14:paraId="1290088A">
      <w:pPr>
        <w:pStyle w:val="164"/>
      </w:pPr>
      <w:r>
        <w:rPr>
          <w:rFonts w:hint="eastAsia"/>
        </w:rPr>
        <w:t>应定期开展可再生能源利用评价，可行时，采取措施提高可再生能源的实际使用量。</w:t>
      </w:r>
    </w:p>
    <w:p w14:paraId="4161B15C">
      <w:pPr>
        <w:pStyle w:val="164"/>
      </w:pPr>
      <w:r>
        <w:rPr>
          <w:rFonts w:hint="eastAsia"/>
        </w:rPr>
        <w:t>太阳能热利用系统设计效率不应低于现行国家标准《可再生能源建筑应用工程评价标准》GB/T 50801规定的2级以上。</w:t>
      </w:r>
    </w:p>
    <w:p w14:paraId="0F90F1F8">
      <w:pPr>
        <w:pStyle w:val="164"/>
      </w:pPr>
      <w:r>
        <w:rPr>
          <w:rFonts w:hint="eastAsia"/>
        </w:rPr>
        <w:t>光伏发电系统应优先自发自用。</w:t>
      </w:r>
    </w:p>
    <w:p w14:paraId="0CE6A9E0">
      <w:pPr>
        <w:pStyle w:val="65"/>
        <w:spacing w:before="156" w:after="156"/>
      </w:pPr>
      <w:r>
        <w:rPr>
          <w:rFonts w:hint="eastAsia"/>
        </w:rPr>
        <w:t>绿色电力</w:t>
      </w:r>
    </w:p>
    <w:p w14:paraId="57E29049">
      <w:pPr>
        <w:pStyle w:val="56"/>
        <w:ind w:firstLine="420"/>
      </w:pPr>
      <w:r>
        <w:rPr>
          <w:rFonts w:hint="eastAsia"/>
        </w:rPr>
        <w:t>需要时，公共机构可参与绿色电力市场化交易，购买绿证或直接绿色电力交易等途径实现零碳电力消费。</w:t>
      </w:r>
    </w:p>
    <w:p w14:paraId="37963437">
      <w:pPr>
        <w:pStyle w:val="105"/>
        <w:spacing w:before="156" w:after="156"/>
      </w:pPr>
      <w:bookmarkStart w:id="60" w:name="_Toc164352470"/>
      <w:r>
        <w:rPr>
          <w:rFonts w:hint="eastAsia"/>
        </w:rPr>
        <w:t>碳中和</w:t>
      </w:r>
      <w:bookmarkEnd w:id="60"/>
    </w:p>
    <w:p w14:paraId="465CB16D">
      <w:pPr>
        <w:pStyle w:val="65"/>
        <w:spacing w:before="156" w:after="156"/>
      </w:pPr>
      <w:r>
        <w:rPr>
          <w:rFonts w:hint="eastAsia"/>
        </w:rPr>
        <w:t>核算边界与范围</w:t>
      </w:r>
    </w:p>
    <w:p w14:paraId="1697A00C">
      <w:pPr>
        <w:pStyle w:val="164"/>
      </w:pPr>
      <w:r>
        <w:rPr>
          <w:rFonts w:hint="eastAsia"/>
        </w:rPr>
        <w:t>核算边界可以是公共机构整体、整体的部分区域或具备独立计量的单幢建筑。</w:t>
      </w:r>
    </w:p>
    <w:p w14:paraId="0D0BD298">
      <w:pPr>
        <w:pStyle w:val="164"/>
      </w:pPr>
      <w:r>
        <w:rPr>
          <w:rFonts w:hint="eastAsia"/>
        </w:rPr>
        <w:t>碳排放核算应覆盖公共机构核算边界内具有控制权的固定设施和移动设施。</w:t>
      </w:r>
    </w:p>
    <w:p w14:paraId="2F4B9C88">
      <w:pPr>
        <w:pStyle w:val="164"/>
      </w:pPr>
      <w:r>
        <w:rPr>
          <w:rFonts w:hint="eastAsia"/>
        </w:rPr>
        <w:t>碳排放核算范围为日常行政管理或服务中所产生的二氧化碳排放，应包括化石燃料燃烧排放、购入电力和热力的排放。</w:t>
      </w:r>
    </w:p>
    <w:p w14:paraId="2B552066">
      <w:pPr>
        <w:pStyle w:val="65"/>
        <w:spacing w:before="156" w:after="156"/>
      </w:pPr>
      <w:r>
        <w:rPr>
          <w:rFonts w:hint="eastAsia"/>
        </w:rPr>
        <w:t>碳抵消方式</w:t>
      </w:r>
    </w:p>
    <w:p w14:paraId="694B1B6A">
      <w:pPr>
        <w:pStyle w:val="94"/>
        <w:spacing w:before="156" w:after="156"/>
      </w:pPr>
      <w:r>
        <w:rPr>
          <w:rFonts w:hint="eastAsia"/>
        </w:rPr>
        <w:t>购买碳信用额度或碳汇抵消</w:t>
      </w:r>
    </w:p>
    <w:p w14:paraId="043382F4">
      <w:pPr>
        <w:pStyle w:val="56"/>
        <w:ind w:firstLine="420"/>
      </w:pPr>
      <w:r>
        <w:rPr>
          <w:rFonts w:hint="eastAsia"/>
        </w:rPr>
        <w:t>公共机构可采用购买碳信用额度或碳汇的抵消方式，宜按照以下优先顺序使用：</w:t>
      </w:r>
    </w:p>
    <w:p w14:paraId="5B3CDED3">
      <w:pPr>
        <w:pStyle w:val="174"/>
        <w:numPr>
          <w:ilvl w:val="0"/>
          <w:numId w:val="33"/>
        </w:numPr>
      </w:pPr>
      <w:r>
        <w:rPr>
          <w:rFonts w:hint="eastAsia"/>
        </w:rPr>
        <w:t>购买国家温室气体自愿减排项目产生的“核证自愿减排量（CCER）”，优先选择林业碳汇类项目及本地、京津地区温室气体自愿减排项目；</w:t>
      </w:r>
    </w:p>
    <w:p w14:paraId="0E898A27">
      <w:pPr>
        <w:pStyle w:val="174"/>
      </w:pPr>
      <w:r>
        <w:rPr>
          <w:rFonts w:hint="eastAsia"/>
        </w:rPr>
        <w:t>购买政府批准、备案或者认可的碳普惠项目减排量，优先选择本地低碳出行抵消产品；</w:t>
      </w:r>
    </w:p>
    <w:p w14:paraId="366D155F">
      <w:pPr>
        <w:pStyle w:val="174"/>
      </w:pPr>
      <w:r>
        <w:rPr>
          <w:rFonts w:hint="eastAsia"/>
        </w:rPr>
        <w:t>购买政府核证节能项目碳减排量，优先选择本地、京津地区节能项目。</w:t>
      </w:r>
    </w:p>
    <w:p w14:paraId="288ADF0D">
      <w:pPr>
        <w:pStyle w:val="94"/>
        <w:spacing w:before="156" w:after="156"/>
      </w:pPr>
      <w:r>
        <w:rPr>
          <w:rFonts w:hint="eastAsia"/>
        </w:rPr>
        <w:t>自主开发项目抵消</w:t>
      </w:r>
    </w:p>
    <w:p w14:paraId="63C9E3EE">
      <w:pPr>
        <w:pStyle w:val="56"/>
        <w:ind w:firstLine="420"/>
      </w:pPr>
      <w:r>
        <w:rPr>
          <w:rFonts w:hint="eastAsia"/>
        </w:rPr>
        <w:t>公共机构可采用自主开发项目抵消方式，包括但不限于以下方式：</w:t>
      </w:r>
    </w:p>
    <w:p w14:paraId="273C8243">
      <w:pPr>
        <w:pStyle w:val="174"/>
        <w:numPr>
          <w:ilvl w:val="0"/>
          <w:numId w:val="34"/>
        </w:numPr>
      </w:pPr>
      <w:r>
        <w:rPr>
          <w:rFonts w:hint="eastAsia"/>
        </w:rPr>
        <w:t>边界内外自主开发减排项目所产生的经核证的减排量；</w:t>
      </w:r>
    </w:p>
    <w:p w14:paraId="64D8E5C8">
      <w:pPr>
        <w:pStyle w:val="174"/>
      </w:pPr>
      <w:r>
        <w:rPr>
          <w:rFonts w:hint="eastAsia"/>
        </w:rPr>
        <w:t>采用开发碳汇的抵消方式，可在边界内外自主建设经核证的碳汇，优先考虑在本地、京津地区自主建设或委托建设碳汇林。</w:t>
      </w:r>
    </w:p>
    <w:p w14:paraId="7ED8F817">
      <w:pPr>
        <w:pStyle w:val="104"/>
        <w:spacing w:before="312" w:after="312"/>
      </w:pPr>
      <w:bookmarkStart w:id="61" w:name="_Toc187653073"/>
      <w:bookmarkStart w:id="62" w:name="_Toc192174374"/>
      <w:r>
        <w:rPr>
          <w:rFonts w:hint="eastAsia"/>
        </w:rPr>
        <w:t>零碳判定</w:t>
      </w:r>
      <w:bookmarkEnd w:id="61"/>
      <w:bookmarkEnd w:id="62"/>
    </w:p>
    <w:p w14:paraId="415FE913">
      <w:pPr>
        <w:pStyle w:val="105"/>
        <w:spacing w:before="156" w:after="156"/>
      </w:pPr>
      <w:r>
        <w:rPr>
          <w:rFonts w:hint="eastAsia"/>
        </w:rPr>
        <w:t>基本要求</w:t>
      </w:r>
    </w:p>
    <w:p w14:paraId="7BD90C64">
      <w:pPr>
        <w:pStyle w:val="165"/>
      </w:pPr>
      <w:r>
        <w:rPr>
          <w:rFonts w:hint="eastAsia"/>
        </w:rPr>
        <w:t>公共机构及公共机构建筑的降碳水平应通过碳排放指标判定。</w:t>
      </w:r>
    </w:p>
    <w:p w14:paraId="76FCD185">
      <w:pPr>
        <w:pStyle w:val="165"/>
      </w:pPr>
      <w:r>
        <w:rPr>
          <w:rFonts w:hint="eastAsia"/>
        </w:rPr>
        <w:t>判定公共机构及公共机构建筑设计降碳水平，应以设计文件和计算结果作为判定依据；判定公共机构及公共机构建筑运行降碳水平，应以监测和核算结果作为判定依据。</w:t>
      </w:r>
    </w:p>
    <w:p w14:paraId="3CD724AD">
      <w:pPr>
        <w:pStyle w:val="165"/>
      </w:pPr>
      <w:r>
        <w:rPr>
          <w:rFonts w:hint="eastAsia"/>
        </w:rPr>
        <w:t>低碳、近零碳、零碳公共机构及公共机构建筑的判定应以年为周期，全过程零碳公共机构建筑的判定应以设计使用年限为周期。</w:t>
      </w:r>
    </w:p>
    <w:p w14:paraId="50065196">
      <w:pPr>
        <w:pStyle w:val="105"/>
        <w:spacing w:before="156" w:after="156"/>
      </w:pPr>
      <w:bookmarkStart w:id="63" w:name="_Toc164352472"/>
      <w:r>
        <w:rPr>
          <w:rFonts w:hint="eastAsia"/>
        </w:rPr>
        <w:t>公共机构碳排放指标</w:t>
      </w:r>
      <w:bookmarkEnd w:id="63"/>
    </w:p>
    <w:p w14:paraId="58B8AA73">
      <w:pPr>
        <w:pStyle w:val="165"/>
      </w:pPr>
      <w:r>
        <w:rPr>
          <w:rFonts w:hint="eastAsia"/>
        </w:rPr>
        <w:t>低碳公共机构碳排放指标应满足下列条件之一：</w:t>
      </w:r>
    </w:p>
    <w:p w14:paraId="2C557C6A">
      <w:pPr>
        <w:pStyle w:val="174"/>
        <w:numPr>
          <w:ilvl w:val="0"/>
          <w:numId w:val="35"/>
        </w:numPr>
      </w:pPr>
      <w:bookmarkStart w:id="64" w:name="_Hlk192170719"/>
      <w:r>
        <w:rPr>
          <w:rFonts w:hint="eastAsia"/>
        </w:rPr>
        <w:t>公共机构降碳率不应低于30%；</w:t>
      </w:r>
    </w:p>
    <w:p w14:paraId="5AE29E2A">
      <w:pPr>
        <w:pStyle w:val="174"/>
      </w:pPr>
      <w:r>
        <w:rPr>
          <w:rFonts w:hint="eastAsia"/>
        </w:rPr>
        <w:t>公共机构人均碳排放量不应高于表1规定的限值。</w:t>
      </w:r>
    </w:p>
    <w:p w14:paraId="789B1CCA">
      <w:pPr>
        <w:pStyle w:val="56"/>
        <w:ind w:firstLine="420"/>
      </w:pPr>
    </w:p>
    <w:p w14:paraId="24AC0A77">
      <w:pPr>
        <w:pStyle w:val="56"/>
        <w:ind w:firstLine="420"/>
      </w:pPr>
    </w:p>
    <w:p w14:paraId="35CDE6DE">
      <w:pPr>
        <w:pStyle w:val="56"/>
        <w:ind w:firstLine="420"/>
      </w:pPr>
    </w:p>
    <w:p w14:paraId="456D8411">
      <w:pPr>
        <w:pStyle w:val="56"/>
        <w:ind w:firstLine="420"/>
      </w:pPr>
    </w:p>
    <w:bookmarkEnd w:id="64"/>
    <w:p w14:paraId="378E50E6">
      <w:pPr>
        <w:pStyle w:val="112"/>
        <w:spacing w:before="156" w:after="156"/>
      </w:pPr>
      <w:bookmarkStart w:id="65" w:name="_Toc192174376"/>
      <w:r>
        <w:rPr>
          <w:rFonts w:hint="eastAsia"/>
        </w:rPr>
        <w:t>低碳公共机构人均碳排放量限值(kgCO</w:t>
      </w:r>
      <w:r>
        <w:rPr>
          <w:rFonts w:hint="eastAsia"/>
          <w:vertAlign w:val="subscript"/>
        </w:rPr>
        <w:t>2</w:t>
      </w:r>
      <w:r>
        <w:rPr>
          <w:rFonts w:hint="eastAsia"/>
        </w:rPr>
        <w:t>/人·年)</w:t>
      </w:r>
      <w:bookmarkEnd w:id="65"/>
    </w:p>
    <w:tbl>
      <w:tblPr>
        <w:tblStyle w:val="26"/>
        <w:tblW w:w="4997"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1319"/>
        <w:gridCol w:w="1528"/>
        <w:gridCol w:w="1895"/>
        <w:gridCol w:w="1901"/>
        <w:gridCol w:w="1580"/>
        <w:gridCol w:w="1145"/>
      </w:tblGrid>
      <w:tr w14:paraId="7A0820E3">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704" w:type="pct"/>
            <w:vMerge w:val="restart"/>
            <w:tcBorders>
              <w:top w:val="single" w:color="auto" w:sz="8" w:space="0"/>
              <w:bottom w:val="single" w:color="auto" w:sz="8" w:space="0"/>
            </w:tcBorders>
            <w:shd w:val="clear" w:color="auto" w:fill="auto"/>
            <w:vAlign w:val="center"/>
          </w:tcPr>
          <w:p w14:paraId="3402697D">
            <w:pPr>
              <w:spacing w:line="300" w:lineRule="atLeast"/>
              <w:jc w:val="center"/>
              <w:rPr>
                <w:rFonts w:hint="eastAsia" w:ascii="宋体" w:hAnsi="宋体" w:cs="宋体"/>
                <w:sz w:val="18"/>
                <w:szCs w:val="18"/>
              </w:rPr>
            </w:pPr>
            <w:r>
              <w:rPr>
                <w:rFonts w:hint="eastAsia" w:ascii="宋体" w:hAnsi="宋体" w:cs="宋体"/>
                <w:sz w:val="18"/>
                <w:szCs w:val="18"/>
              </w:rPr>
              <w:t>气候区</w:t>
            </w:r>
          </w:p>
        </w:tc>
        <w:tc>
          <w:tcPr>
            <w:tcW w:w="815" w:type="pct"/>
            <w:vMerge w:val="restart"/>
            <w:tcBorders>
              <w:top w:val="single" w:color="auto" w:sz="8" w:space="0"/>
              <w:bottom w:val="single" w:color="auto" w:sz="8" w:space="0"/>
            </w:tcBorders>
            <w:shd w:val="clear" w:color="auto" w:fill="auto"/>
            <w:vAlign w:val="center"/>
          </w:tcPr>
          <w:p w14:paraId="378811EA">
            <w:pPr>
              <w:spacing w:line="240" w:lineRule="atLeast"/>
              <w:jc w:val="center"/>
              <w:rPr>
                <w:rFonts w:hint="eastAsia" w:ascii="宋体" w:hAnsi="宋体" w:cs="宋体"/>
                <w:sz w:val="18"/>
                <w:szCs w:val="18"/>
              </w:rPr>
            </w:pPr>
            <w:r>
              <w:rPr>
                <w:rFonts w:hint="eastAsia" w:ascii="宋体" w:hAnsi="宋体" w:cs="宋体"/>
                <w:sz w:val="18"/>
                <w:szCs w:val="18"/>
              </w:rPr>
              <w:t>太阳辐照量等级</w:t>
            </w:r>
          </w:p>
        </w:tc>
        <w:tc>
          <w:tcPr>
            <w:tcW w:w="1011" w:type="pct"/>
            <w:vMerge w:val="restart"/>
            <w:tcBorders>
              <w:top w:val="single" w:color="auto" w:sz="8" w:space="0"/>
              <w:bottom w:val="single" w:color="auto" w:sz="8" w:space="0"/>
            </w:tcBorders>
            <w:shd w:val="clear" w:color="auto" w:fill="auto"/>
            <w:vAlign w:val="center"/>
          </w:tcPr>
          <w:p w14:paraId="467DB7D1">
            <w:pPr>
              <w:spacing w:line="300" w:lineRule="atLeast"/>
              <w:jc w:val="center"/>
              <w:rPr>
                <w:rFonts w:hint="eastAsia" w:ascii="宋体" w:hAnsi="宋体" w:cs="宋体"/>
                <w:sz w:val="18"/>
                <w:szCs w:val="18"/>
              </w:rPr>
            </w:pPr>
            <w:r>
              <w:rPr>
                <w:rFonts w:hint="eastAsia" w:ascii="宋体" w:hAnsi="宋体" w:cs="宋体"/>
                <w:sz w:val="18"/>
                <w:szCs w:val="18"/>
              </w:rPr>
              <w:t>办公区域</w:t>
            </w:r>
          </w:p>
        </w:tc>
        <w:tc>
          <w:tcPr>
            <w:tcW w:w="1014" w:type="pct"/>
            <w:vMerge w:val="restart"/>
            <w:tcBorders>
              <w:top w:val="single" w:color="auto" w:sz="8" w:space="0"/>
              <w:bottom w:val="single" w:color="auto" w:sz="8" w:space="0"/>
            </w:tcBorders>
            <w:shd w:val="clear" w:color="auto" w:fill="auto"/>
            <w:vAlign w:val="center"/>
          </w:tcPr>
          <w:p w14:paraId="3A693CBF">
            <w:pPr>
              <w:spacing w:line="300" w:lineRule="atLeast"/>
              <w:jc w:val="center"/>
              <w:rPr>
                <w:rFonts w:hint="eastAsia" w:ascii="宋体" w:hAnsi="宋体" w:cs="宋体"/>
                <w:sz w:val="18"/>
                <w:szCs w:val="18"/>
              </w:rPr>
            </w:pPr>
            <w:r>
              <w:rPr>
                <w:rFonts w:hint="eastAsia" w:ascii="宋体" w:hAnsi="宋体" w:cs="宋体"/>
                <w:sz w:val="18"/>
                <w:szCs w:val="18"/>
              </w:rPr>
              <w:t>医院区域</w:t>
            </w:r>
          </w:p>
        </w:tc>
        <w:tc>
          <w:tcPr>
            <w:tcW w:w="1454" w:type="pct"/>
            <w:gridSpan w:val="2"/>
            <w:tcBorders>
              <w:bottom w:val="single" w:color="auto" w:sz="2" w:space="0"/>
            </w:tcBorders>
            <w:shd w:val="clear" w:color="auto" w:fill="auto"/>
            <w:vAlign w:val="center"/>
          </w:tcPr>
          <w:p w14:paraId="49C8E096">
            <w:pPr>
              <w:spacing w:line="300" w:lineRule="atLeast"/>
              <w:jc w:val="center"/>
              <w:rPr>
                <w:rFonts w:hint="eastAsia" w:ascii="宋体" w:hAnsi="宋体" w:cs="宋体"/>
                <w:sz w:val="18"/>
                <w:szCs w:val="18"/>
              </w:rPr>
            </w:pPr>
            <w:r>
              <w:rPr>
                <w:rFonts w:hint="eastAsia" w:ascii="宋体" w:hAnsi="宋体" w:cs="宋体"/>
                <w:sz w:val="18"/>
                <w:szCs w:val="18"/>
              </w:rPr>
              <w:t>校园区域</w:t>
            </w:r>
          </w:p>
        </w:tc>
      </w:tr>
      <w:tr w14:paraId="7E550429">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704" w:type="pct"/>
            <w:vMerge w:val="continue"/>
            <w:tcBorders>
              <w:top w:val="single" w:color="auto" w:sz="2" w:space="0"/>
              <w:bottom w:val="single" w:color="auto" w:sz="8" w:space="0"/>
            </w:tcBorders>
            <w:shd w:val="clear" w:color="auto" w:fill="auto"/>
            <w:vAlign w:val="center"/>
          </w:tcPr>
          <w:p w14:paraId="2E741C0A">
            <w:pPr>
              <w:jc w:val="center"/>
              <w:rPr>
                <w:rFonts w:hint="eastAsia" w:ascii="宋体" w:hAnsi="宋体" w:cs="宋体"/>
                <w:sz w:val="18"/>
                <w:szCs w:val="18"/>
              </w:rPr>
            </w:pPr>
          </w:p>
        </w:tc>
        <w:tc>
          <w:tcPr>
            <w:tcW w:w="815" w:type="pct"/>
            <w:vMerge w:val="continue"/>
            <w:tcBorders>
              <w:top w:val="single" w:color="auto" w:sz="2" w:space="0"/>
              <w:bottom w:val="single" w:color="auto" w:sz="8" w:space="0"/>
            </w:tcBorders>
            <w:shd w:val="clear" w:color="auto" w:fill="auto"/>
            <w:vAlign w:val="center"/>
          </w:tcPr>
          <w:p w14:paraId="0A516DFD">
            <w:pPr>
              <w:jc w:val="center"/>
              <w:rPr>
                <w:rFonts w:hint="eastAsia" w:ascii="宋体" w:hAnsi="宋体" w:cs="宋体"/>
                <w:sz w:val="18"/>
                <w:szCs w:val="18"/>
              </w:rPr>
            </w:pPr>
          </w:p>
        </w:tc>
        <w:tc>
          <w:tcPr>
            <w:tcW w:w="1011" w:type="pct"/>
            <w:vMerge w:val="continue"/>
            <w:tcBorders>
              <w:top w:val="single" w:color="auto" w:sz="2" w:space="0"/>
              <w:bottom w:val="single" w:color="auto" w:sz="8" w:space="0"/>
            </w:tcBorders>
            <w:shd w:val="clear" w:color="auto" w:fill="auto"/>
            <w:vAlign w:val="center"/>
          </w:tcPr>
          <w:p w14:paraId="73C2CC44">
            <w:pPr>
              <w:jc w:val="center"/>
              <w:rPr>
                <w:rFonts w:hint="eastAsia" w:ascii="宋体" w:hAnsi="宋体" w:cs="宋体"/>
                <w:sz w:val="18"/>
                <w:szCs w:val="18"/>
              </w:rPr>
            </w:pPr>
          </w:p>
        </w:tc>
        <w:tc>
          <w:tcPr>
            <w:tcW w:w="1014" w:type="pct"/>
            <w:vMerge w:val="continue"/>
            <w:tcBorders>
              <w:top w:val="single" w:color="auto" w:sz="2" w:space="0"/>
              <w:bottom w:val="single" w:color="auto" w:sz="8" w:space="0"/>
            </w:tcBorders>
            <w:shd w:val="clear" w:color="auto" w:fill="auto"/>
            <w:vAlign w:val="center"/>
          </w:tcPr>
          <w:p w14:paraId="1A8C0674">
            <w:pPr>
              <w:jc w:val="center"/>
              <w:rPr>
                <w:rFonts w:hint="eastAsia" w:ascii="宋体" w:hAnsi="宋体" w:cs="宋体"/>
                <w:sz w:val="18"/>
                <w:szCs w:val="18"/>
              </w:rPr>
            </w:pPr>
          </w:p>
        </w:tc>
        <w:tc>
          <w:tcPr>
            <w:tcW w:w="843" w:type="pct"/>
            <w:tcBorders>
              <w:top w:val="single" w:color="auto" w:sz="2" w:space="0"/>
              <w:bottom w:val="single" w:color="auto" w:sz="8" w:space="0"/>
            </w:tcBorders>
            <w:shd w:val="clear" w:color="auto" w:fill="auto"/>
            <w:vAlign w:val="center"/>
          </w:tcPr>
          <w:p w14:paraId="138DEDFE">
            <w:pPr>
              <w:spacing w:line="300" w:lineRule="atLeast"/>
              <w:jc w:val="center"/>
              <w:rPr>
                <w:rFonts w:hint="eastAsia" w:ascii="宋体" w:hAnsi="宋体" w:cs="宋体"/>
                <w:sz w:val="18"/>
                <w:szCs w:val="18"/>
              </w:rPr>
            </w:pPr>
            <w:r>
              <w:rPr>
                <w:rFonts w:hint="eastAsia" w:ascii="宋体" w:hAnsi="宋体" w:cs="宋体"/>
                <w:sz w:val="18"/>
                <w:szCs w:val="18"/>
              </w:rPr>
              <w:t>中小学</w:t>
            </w:r>
          </w:p>
        </w:tc>
        <w:tc>
          <w:tcPr>
            <w:tcW w:w="610" w:type="pct"/>
            <w:tcBorders>
              <w:top w:val="single" w:color="auto" w:sz="2" w:space="0"/>
              <w:bottom w:val="single" w:color="auto" w:sz="8" w:space="0"/>
            </w:tcBorders>
            <w:shd w:val="clear" w:color="auto" w:fill="auto"/>
            <w:vAlign w:val="center"/>
          </w:tcPr>
          <w:p w14:paraId="04E8E579">
            <w:pPr>
              <w:spacing w:line="300" w:lineRule="atLeast"/>
              <w:jc w:val="center"/>
              <w:rPr>
                <w:rFonts w:hint="eastAsia" w:ascii="宋体" w:hAnsi="宋体" w:cs="宋体"/>
                <w:sz w:val="18"/>
                <w:szCs w:val="18"/>
              </w:rPr>
            </w:pPr>
            <w:r>
              <w:rPr>
                <w:rFonts w:hint="eastAsia" w:ascii="宋体" w:hAnsi="宋体" w:cs="宋体"/>
                <w:sz w:val="18"/>
                <w:szCs w:val="18"/>
              </w:rPr>
              <w:t>大学</w:t>
            </w:r>
          </w:p>
        </w:tc>
      </w:tr>
      <w:tr w14:paraId="1CA1F330">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restart"/>
            <w:tcBorders>
              <w:top w:val="single" w:color="auto" w:sz="8" w:space="0"/>
            </w:tcBorders>
            <w:shd w:val="clear" w:color="auto" w:fill="auto"/>
            <w:vAlign w:val="center"/>
          </w:tcPr>
          <w:p w14:paraId="68F45C99">
            <w:pPr>
              <w:spacing w:line="300" w:lineRule="atLeast"/>
              <w:jc w:val="center"/>
              <w:rPr>
                <w:rFonts w:hint="eastAsia" w:ascii="宋体" w:hAnsi="宋体" w:cs="宋体"/>
                <w:sz w:val="18"/>
                <w:szCs w:val="18"/>
              </w:rPr>
            </w:pPr>
            <w:r>
              <w:rPr>
                <w:rFonts w:hint="eastAsia" w:ascii="宋体" w:hAnsi="宋体" w:cs="宋体"/>
                <w:sz w:val="18"/>
                <w:szCs w:val="18"/>
              </w:rPr>
              <w:t>严寒地区</w:t>
            </w:r>
          </w:p>
        </w:tc>
        <w:tc>
          <w:tcPr>
            <w:tcW w:w="815" w:type="pct"/>
            <w:tcBorders>
              <w:top w:val="single" w:color="auto" w:sz="8" w:space="0"/>
            </w:tcBorders>
            <w:shd w:val="clear" w:color="auto" w:fill="auto"/>
            <w:vAlign w:val="center"/>
          </w:tcPr>
          <w:p w14:paraId="538C204C">
            <w:pPr>
              <w:spacing w:line="300" w:lineRule="atLeast"/>
              <w:jc w:val="center"/>
              <w:rPr>
                <w:rFonts w:hint="eastAsia" w:ascii="宋体" w:hAnsi="宋体" w:cs="宋体"/>
                <w:sz w:val="18"/>
                <w:szCs w:val="18"/>
              </w:rPr>
            </w:pPr>
            <w:r>
              <w:rPr>
                <w:rFonts w:hint="eastAsia" w:ascii="宋体" w:hAnsi="宋体" w:cs="宋体"/>
                <w:sz w:val="18"/>
                <w:szCs w:val="18"/>
              </w:rPr>
              <w:t>I</w:t>
            </w:r>
          </w:p>
        </w:tc>
        <w:tc>
          <w:tcPr>
            <w:tcW w:w="1011" w:type="pct"/>
            <w:tcBorders>
              <w:top w:val="single" w:color="auto" w:sz="8" w:space="0"/>
            </w:tcBorders>
            <w:shd w:val="clear" w:color="auto" w:fill="auto"/>
            <w:vAlign w:val="center"/>
          </w:tcPr>
          <w:p w14:paraId="7E60393A">
            <w:pPr>
              <w:spacing w:line="300" w:lineRule="atLeast"/>
              <w:jc w:val="center"/>
              <w:rPr>
                <w:rFonts w:hint="eastAsia" w:ascii="宋体" w:hAnsi="宋体" w:cs="宋体"/>
                <w:sz w:val="18"/>
                <w:szCs w:val="18"/>
              </w:rPr>
            </w:pPr>
            <w:r>
              <w:rPr>
                <w:rFonts w:hint="eastAsia" w:ascii="宋体" w:hAnsi="宋体" w:cs="宋体"/>
                <w:sz w:val="18"/>
                <w:szCs w:val="18"/>
              </w:rPr>
              <w:t>490</w:t>
            </w:r>
          </w:p>
        </w:tc>
        <w:tc>
          <w:tcPr>
            <w:tcW w:w="1014" w:type="pct"/>
            <w:tcBorders>
              <w:top w:val="single" w:color="auto" w:sz="8" w:space="0"/>
            </w:tcBorders>
            <w:shd w:val="clear" w:color="auto" w:fill="auto"/>
            <w:vAlign w:val="center"/>
          </w:tcPr>
          <w:p w14:paraId="7F629F1D">
            <w:pPr>
              <w:spacing w:line="300" w:lineRule="atLeast"/>
              <w:jc w:val="center"/>
              <w:rPr>
                <w:rFonts w:hint="eastAsia" w:ascii="宋体" w:hAnsi="宋体" w:cs="宋体"/>
                <w:sz w:val="18"/>
                <w:szCs w:val="18"/>
              </w:rPr>
            </w:pPr>
            <w:r>
              <w:rPr>
                <w:rFonts w:hint="eastAsia" w:ascii="宋体" w:hAnsi="宋体" w:cs="宋体"/>
                <w:sz w:val="18"/>
                <w:szCs w:val="18"/>
              </w:rPr>
              <w:t>1920</w:t>
            </w:r>
          </w:p>
        </w:tc>
        <w:tc>
          <w:tcPr>
            <w:tcW w:w="843" w:type="pct"/>
            <w:tcBorders>
              <w:top w:val="single" w:color="auto" w:sz="8" w:space="0"/>
            </w:tcBorders>
            <w:shd w:val="clear" w:color="auto" w:fill="auto"/>
            <w:vAlign w:val="center"/>
          </w:tcPr>
          <w:p w14:paraId="4122A684">
            <w:pPr>
              <w:spacing w:line="300" w:lineRule="atLeast"/>
              <w:jc w:val="center"/>
              <w:rPr>
                <w:rFonts w:hint="eastAsia" w:ascii="宋体" w:hAnsi="宋体" w:cs="宋体"/>
                <w:sz w:val="18"/>
                <w:szCs w:val="18"/>
              </w:rPr>
            </w:pPr>
            <w:r>
              <w:rPr>
                <w:rFonts w:hint="eastAsia" w:ascii="宋体" w:hAnsi="宋体" w:cs="宋体"/>
                <w:sz w:val="18"/>
                <w:szCs w:val="18"/>
              </w:rPr>
              <w:t>390</w:t>
            </w:r>
          </w:p>
        </w:tc>
        <w:tc>
          <w:tcPr>
            <w:tcW w:w="610" w:type="pct"/>
            <w:tcBorders>
              <w:top w:val="single" w:color="auto" w:sz="8" w:space="0"/>
            </w:tcBorders>
            <w:shd w:val="clear" w:color="auto" w:fill="auto"/>
            <w:vAlign w:val="center"/>
          </w:tcPr>
          <w:p w14:paraId="7DD1A911">
            <w:pPr>
              <w:spacing w:line="300" w:lineRule="atLeast"/>
              <w:jc w:val="center"/>
              <w:rPr>
                <w:rFonts w:hint="eastAsia" w:ascii="宋体" w:hAnsi="宋体" w:cs="宋体"/>
                <w:sz w:val="18"/>
                <w:szCs w:val="18"/>
              </w:rPr>
            </w:pPr>
            <w:r>
              <w:rPr>
                <w:rFonts w:hint="eastAsia" w:ascii="宋体" w:hAnsi="宋体" w:cs="宋体"/>
                <w:sz w:val="18"/>
                <w:szCs w:val="18"/>
              </w:rPr>
              <w:t>980</w:t>
            </w:r>
          </w:p>
        </w:tc>
      </w:tr>
      <w:tr w14:paraId="6BFF3679">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continue"/>
            <w:shd w:val="clear" w:color="auto" w:fill="auto"/>
            <w:vAlign w:val="center"/>
          </w:tcPr>
          <w:p w14:paraId="22380309">
            <w:pPr>
              <w:jc w:val="center"/>
              <w:rPr>
                <w:rFonts w:hint="eastAsia" w:ascii="宋体" w:hAnsi="宋体" w:cs="宋体"/>
                <w:sz w:val="18"/>
                <w:szCs w:val="18"/>
              </w:rPr>
            </w:pPr>
          </w:p>
        </w:tc>
        <w:tc>
          <w:tcPr>
            <w:tcW w:w="815" w:type="pct"/>
            <w:shd w:val="clear" w:color="auto" w:fill="auto"/>
            <w:vAlign w:val="center"/>
          </w:tcPr>
          <w:p w14:paraId="28F1E835">
            <w:pPr>
              <w:spacing w:line="300" w:lineRule="atLeast"/>
              <w:jc w:val="center"/>
              <w:rPr>
                <w:rFonts w:hint="eastAsia" w:ascii="宋体" w:hAnsi="宋体" w:cs="宋体"/>
                <w:sz w:val="18"/>
                <w:szCs w:val="18"/>
              </w:rPr>
            </w:pPr>
            <w:r>
              <w:rPr>
                <w:rFonts w:hint="eastAsia" w:ascii="宋体" w:hAnsi="宋体" w:cs="宋体"/>
                <w:sz w:val="18"/>
                <w:szCs w:val="18"/>
              </w:rPr>
              <w:t>Ⅱ</w:t>
            </w:r>
          </w:p>
        </w:tc>
        <w:tc>
          <w:tcPr>
            <w:tcW w:w="1011" w:type="pct"/>
            <w:shd w:val="clear" w:color="auto" w:fill="auto"/>
            <w:vAlign w:val="center"/>
          </w:tcPr>
          <w:p w14:paraId="7B2EC1A8">
            <w:pPr>
              <w:spacing w:line="300" w:lineRule="atLeast"/>
              <w:jc w:val="center"/>
              <w:rPr>
                <w:rFonts w:hint="eastAsia" w:ascii="宋体" w:hAnsi="宋体" w:cs="宋体"/>
                <w:sz w:val="18"/>
                <w:szCs w:val="18"/>
              </w:rPr>
            </w:pPr>
            <w:r>
              <w:rPr>
                <w:rFonts w:hint="eastAsia" w:ascii="宋体" w:hAnsi="宋体" w:cs="宋体"/>
                <w:sz w:val="18"/>
                <w:szCs w:val="18"/>
              </w:rPr>
              <w:t>470</w:t>
            </w:r>
          </w:p>
        </w:tc>
        <w:tc>
          <w:tcPr>
            <w:tcW w:w="1014" w:type="pct"/>
            <w:shd w:val="clear" w:color="auto" w:fill="auto"/>
            <w:vAlign w:val="center"/>
          </w:tcPr>
          <w:p w14:paraId="7A9EE1CE">
            <w:pPr>
              <w:spacing w:line="300" w:lineRule="atLeast"/>
              <w:jc w:val="center"/>
              <w:rPr>
                <w:rFonts w:hint="eastAsia" w:ascii="宋体" w:hAnsi="宋体" w:cs="宋体"/>
                <w:sz w:val="18"/>
                <w:szCs w:val="18"/>
              </w:rPr>
            </w:pPr>
            <w:r>
              <w:rPr>
                <w:rFonts w:hint="eastAsia" w:ascii="宋体" w:hAnsi="宋体" w:cs="宋体"/>
                <w:sz w:val="18"/>
                <w:szCs w:val="18"/>
              </w:rPr>
              <w:t>1900</w:t>
            </w:r>
          </w:p>
        </w:tc>
        <w:tc>
          <w:tcPr>
            <w:tcW w:w="843" w:type="pct"/>
            <w:shd w:val="clear" w:color="auto" w:fill="auto"/>
            <w:vAlign w:val="center"/>
          </w:tcPr>
          <w:p w14:paraId="4CE69250">
            <w:pPr>
              <w:spacing w:line="300" w:lineRule="atLeast"/>
              <w:jc w:val="center"/>
              <w:rPr>
                <w:rFonts w:hint="eastAsia" w:ascii="宋体" w:hAnsi="宋体" w:cs="宋体"/>
                <w:sz w:val="18"/>
                <w:szCs w:val="18"/>
              </w:rPr>
            </w:pPr>
            <w:r>
              <w:rPr>
                <w:rFonts w:hint="eastAsia" w:ascii="宋体" w:hAnsi="宋体" w:cs="宋体"/>
                <w:sz w:val="18"/>
                <w:szCs w:val="18"/>
              </w:rPr>
              <w:t>410</w:t>
            </w:r>
          </w:p>
        </w:tc>
        <w:tc>
          <w:tcPr>
            <w:tcW w:w="610" w:type="pct"/>
            <w:shd w:val="clear" w:color="auto" w:fill="auto"/>
            <w:vAlign w:val="center"/>
          </w:tcPr>
          <w:p w14:paraId="36615D3B">
            <w:pPr>
              <w:spacing w:line="300" w:lineRule="atLeast"/>
              <w:jc w:val="center"/>
              <w:rPr>
                <w:rFonts w:hint="eastAsia" w:ascii="宋体" w:hAnsi="宋体" w:cs="宋体"/>
                <w:sz w:val="18"/>
                <w:szCs w:val="18"/>
              </w:rPr>
            </w:pPr>
            <w:r>
              <w:rPr>
                <w:rFonts w:hint="eastAsia" w:ascii="宋体" w:hAnsi="宋体" w:cs="宋体"/>
                <w:sz w:val="18"/>
                <w:szCs w:val="18"/>
              </w:rPr>
              <w:t>1020</w:t>
            </w:r>
          </w:p>
        </w:tc>
      </w:tr>
      <w:tr w14:paraId="28637FB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continue"/>
            <w:shd w:val="clear" w:color="auto" w:fill="auto"/>
            <w:vAlign w:val="center"/>
          </w:tcPr>
          <w:p w14:paraId="71ABB43C">
            <w:pPr>
              <w:jc w:val="center"/>
              <w:rPr>
                <w:rFonts w:hint="eastAsia" w:ascii="宋体" w:hAnsi="宋体" w:cs="宋体"/>
                <w:sz w:val="18"/>
                <w:szCs w:val="18"/>
              </w:rPr>
            </w:pPr>
          </w:p>
        </w:tc>
        <w:tc>
          <w:tcPr>
            <w:tcW w:w="815" w:type="pct"/>
            <w:shd w:val="clear" w:color="auto" w:fill="auto"/>
            <w:vAlign w:val="center"/>
          </w:tcPr>
          <w:p w14:paraId="4CA6200C">
            <w:pPr>
              <w:spacing w:line="300" w:lineRule="atLeast"/>
              <w:jc w:val="center"/>
              <w:rPr>
                <w:rFonts w:hint="eastAsia" w:ascii="宋体" w:hAnsi="宋体" w:cs="宋体"/>
                <w:sz w:val="18"/>
                <w:szCs w:val="18"/>
              </w:rPr>
            </w:pPr>
            <w:r>
              <w:rPr>
                <w:rFonts w:hint="eastAsia" w:ascii="宋体" w:hAnsi="宋体" w:cs="宋体"/>
                <w:sz w:val="18"/>
                <w:szCs w:val="18"/>
              </w:rPr>
              <w:t>Ⅲ</w:t>
            </w:r>
          </w:p>
        </w:tc>
        <w:tc>
          <w:tcPr>
            <w:tcW w:w="1011" w:type="pct"/>
            <w:shd w:val="clear" w:color="auto" w:fill="auto"/>
            <w:vAlign w:val="center"/>
          </w:tcPr>
          <w:p w14:paraId="4FEF0992">
            <w:pPr>
              <w:spacing w:line="300" w:lineRule="atLeast"/>
              <w:jc w:val="center"/>
              <w:rPr>
                <w:rFonts w:hint="eastAsia" w:ascii="宋体" w:hAnsi="宋体" w:cs="宋体"/>
                <w:sz w:val="18"/>
                <w:szCs w:val="18"/>
              </w:rPr>
            </w:pPr>
            <w:r>
              <w:rPr>
                <w:rFonts w:hint="eastAsia" w:ascii="宋体" w:hAnsi="宋体" w:cs="宋体"/>
                <w:sz w:val="18"/>
                <w:szCs w:val="18"/>
              </w:rPr>
              <w:t>450</w:t>
            </w:r>
          </w:p>
        </w:tc>
        <w:tc>
          <w:tcPr>
            <w:tcW w:w="1014" w:type="pct"/>
            <w:shd w:val="clear" w:color="auto" w:fill="auto"/>
            <w:vAlign w:val="center"/>
          </w:tcPr>
          <w:p w14:paraId="2FDCB17A">
            <w:pPr>
              <w:spacing w:line="300" w:lineRule="atLeast"/>
              <w:jc w:val="center"/>
              <w:rPr>
                <w:rFonts w:hint="eastAsia" w:ascii="宋体" w:hAnsi="宋体" w:cs="宋体"/>
                <w:sz w:val="18"/>
                <w:szCs w:val="18"/>
              </w:rPr>
            </w:pPr>
            <w:r>
              <w:rPr>
                <w:rFonts w:hint="eastAsia" w:ascii="宋体" w:hAnsi="宋体" w:cs="宋体"/>
                <w:sz w:val="18"/>
                <w:szCs w:val="18"/>
              </w:rPr>
              <w:t>1880</w:t>
            </w:r>
          </w:p>
        </w:tc>
        <w:tc>
          <w:tcPr>
            <w:tcW w:w="843" w:type="pct"/>
            <w:shd w:val="clear" w:color="auto" w:fill="auto"/>
            <w:vAlign w:val="center"/>
          </w:tcPr>
          <w:p w14:paraId="16E16E40">
            <w:pPr>
              <w:spacing w:line="300" w:lineRule="atLeast"/>
              <w:jc w:val="center"/>
              <w:rPr>
                <w:rFonts w:hint="eastAsia" w:ascii="宋体" w:hAnsi="宋体" w:cs="宋体"/>
                <w:sz w:val="18"/>
                <w:szCs w:val="18"/>
              </w:rPr>
            </w:pPr>
            <w:r>
              <w:rPr>
                <w:rFonts w:hint="eastAsia" w:ascii="宋体" w:hAnsi="宋体" w:cs="宋体"/>
                <w:sz w:val="18"/>
                <w:szCs w:val="18"/>
              </w:rPr>
              <w:t>430</w:t>
            </w:r>
          </w:p>
        </w:tc>
        <w:tc>
          <w:tcPr>
            <w:tcW w:w="610" w:type="pct"/>
            <w:shd w:val="clear" w:color="auto" w:fill="auto"/>
            <w:vAlign w:val="center"/>
          </w:tcPr>
          <w:p w14:paraId="6813D9D8">
            <w:pPr>
              <w:spacing w:line="300" w:lineRule="atLeast"/>
              <w:jc w:val="center"/>
              <w:rPr>
                <w:rFonts w:hint="eastAsia" w:ascii="宋体" w:hAnsi="宋体" w:cs="宋体"/>
                <w:sz w:val="18"/>
                <w:szCs w:val="18"/>
              </w:rPr>
            </w:pPr>
            <w:r>
              <w:rPr>
                <w:rFonts w:hint="eastAsia" w:ascii="宋体" w:hAnsi="宋体" w:cs="宋体"/>
                <w:sz w:val="18"/>
                <w:szCs w:val="18"/>
              </w:rPr>
              <w:t>1060</w:t>
            </w:r>
          </w:p>
        </w:tc>
      </w:tr>
      <w:tr w14:paraId="54734AAA">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restart"/>
            <w:shd w:val="clear" w:color="auto" w:fill="auto"/>
            <w:vAlign w:val="center"/>
          </w:tcPr>
          <w:p w14:paraId="0F997AA7">
            <w:pPr>
              <w:spacing w:line="300" w:lineRule="atLeast"/>
              <w:jc w:val="center"/>
              <w:rPr>
                <w:rFonts w:hint="eastAsia" w:ascii="宋体" w:hAnsi="宋体" w:cs="宋体"/>
                <w:sz w:val="18"/>
                <w:szCs w:val="18"/>
              </w:rPr>
            </w:pPr>
            <w:r>
              <w:rPr>
                <w:rFonts w:hint="eastAsia" w:ascii="宋体" w:hAnsi="宋体" w:cs="宋体"/>
                <w:sz w:val="18"/>
                <w:szCs w:val="18"/>
              </w:rPr>
              <w:t>寒冷地区</w:t>
            </w:r>
          </w:p>
        </w:tc>
        <w:tc>
          <w:tcPr>
            <w:tcW w:w="815" w:type="pct"/>
            <w:shd w:val="clear" w:color="auto" w:fill="auto"/>
            <w:vAlign w:val="center"/>
          </w:tcPr>
          <w:p w14:paraId="4967C7EB">
            <w:pPr>
              <w:spacing w:line="300" w:lineRule="atLeast"/>
              <w:jc w:val="center"/>
              <w:rPr>
                <w:rFonts w:hint="eastAsia" w:ascii="宋体" w:hAnsi="宋体" w:cs="宋体"/>
                <w:sz w:val="18"/>
                <w:szCs w:val="18"/>
              </w:rPr>
            </w:pPr>
            <w:r>
              <w:rPr>
                <w:rFonts w:hint="eastAsia" w:ascii="宋体" w:hAnsi="宋体" w:cs="宋体"/>
                <w:sz w:val="18"/>
                <w:szCs w:val="18"/>
              </w:rPr>
              <w:t>I</w:t>
            </w:r>
          </w:p>
        </w:tc>
        <w:tc>
          <w:tcPr>
            <w:tcW w:w="1011" w:type="pct"/>
            <w:shd w:val="clear" w:color="auto" w:fill="auto"/>
            <w:vAlign w:val="center"/>
          </w:tcPr>
          <w:p w14:paraId="02DE3B5F">
            <w:pPr>
              <w:spacing w:line="300" w:lineRule="atLeast"/>
              <w:jc w:val="center"/>
              <w:rPr>
                <w:rFonts w:hint="eastAsia" w:ascii="宋体" w:hAnsi="宋体" w:cs="宋体"/>
                <w:sz w:val="18"/>
                <w:szCs w:val="18"/>
              </w:rPr>
            </w:pPr>
            <w:r>
              <w:rPr>
                <w:rFonts w:hint="eastAsia" w:ascii="宋体" w:hAnsi="宋体" w:cs="宋体"/>
                <w:sz w:val="18"/>
                <w:szCs w:val="18"/>
              </w:rPr>
              <w:t>470</w:t>
            </w:r>
          </w:p>
        </w:tc>
        <w:tc>
          <w:tcPr>
            <w:tcW w:w="1014" w:type="pct"/>
            <w:shd w:val="clear" w:color="auto" w:fill="auto"/>
            <w:vAlign w:val="center"/>
          </w:tcPr>
          <w:p w14:paraId="6F4970B1">
            <w:pPr>
              <w:spacing w:line="300" w:lineRule="atLeast"/>
              <w:jc w:val="center"/>
              <w:rPr>
                <w:rFonts w:hint="eastAsia" w:ascii="宋体" w:hAnsi="宋体" w:cs="宋体"/>
                <w:sz w:val="18"/>
                <w:szCs w:val="18"/>
              </w:rPr>
            </w:pPr>
            <w:r>
              <w:rPr>
                <w:rFonts w:hint="eastAsia" w:ascii="宋体" w:hAnsi="宋体" w:cs="宋体"/>
                <w:sz w:val="18"/>
                <w:szCs w:val="18"/>
              </w:rPr>
              <w:t>1920</w:t>
            </w:r>
          </w:p>
        </w:tc>
        <w:tc>
          <w:tcPr>
            <w:tcW w:w="843" w:type="pct"/>
            <w:shd w:val="clear" w:color="auto" w:fill="auto"/>
            <w:vAlign w:val="center"/>
          </w:tcPr>
          <w:p w14:paraId="1B568A01">
            <w:pPr>
              <w:spacing w:line="300" w:lineRule="atLeast"/>
              <w:jc w:val="center"/>
              <w:rPr>
                <w:rFonts w:hint="eastAsia" w:ascii="宋体" w:hAnsi="宋体" w:cs="宋体"/>
                <w:sz w:val="18"/>
                <w:szCs w:val="18"/>
              </w:rPr>
            </w:pPr>
            <w:r>
              <w:rPr>
                <w:rFonts w:hint="eastAsia" w:ascii="宋体" w:hAnsi="宋体" w:cs="宋体"/>
                <w:sz w:val="18"/>
                <w:szCs w:val="18"/>
              </w:rPr>
              <w:t>390</w:t>
            </w:r>
          </w:p>
        </w:tc>
        <w:tc>
          <w:tcPr>
            <w:tcW w:w="610" w:type="pct"/>
            <w:shd w:val="clear" w:color="auto" w:fill="auto"/>
            <w:vAlign w:val="center"/>
          </w:tcPr>
          <w:p w14:paraId="78B9BE13">
            <w:pPr>
              <w:spacing w:line="300" w:lineRule="atLeast"/>
              <w:jc w:val="center"/>
              <w:rPr>
                <w:rFonts w:hint="eastAsia" w:ascii="宋体" w:hAnsi="宋体" w:cs="宋体"/>
                <w:sz w:val="18"/>
                <w:szCs w:val="18"/>
              </w:rPr>
            </w:pPr>
            <w:r>
              <w:rPr>
                <w:rFonts w:hint="eastAsia" w:ascii="宋体" w:hAnsi="宋体" w:cs="宋体"/>
                <w:sz w:val="18"/>
                <w:szCs w:val="18"/>
              </w:rPr>
              <w:t>970</w:t>
            </w:r>
          </w:p>
        </w:tc>
      </w:tr>
      <w:tr w14:paraId="458AA380">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continue"/>
            <w:shd w:val="clear" w:color="auto" w:fill="auto"/>
            <w:vAlign w:val="center"/>
          </w:tcPr>
          <w:p w14:paraId="30A6303D">
            <w:pPr>
              <w:jc w:val="center"/>
              <w:rPr>
                <w:rFonts w:hint="eastAsia" w:ascii="宋体" w:hAnsi="宋体" w:cs="宋体"/>
                <w:sz w:val="18"/>
                <w:szCs w:val="18"/>
              </w:rPr>
            </w:pPr>
          </w:p>
        </w:tc>
        <w:tc>
          <w:tcPr>
            <w:tcW w:w="815" w:type="pct"/>
            <w:shd w:val="clear" w:color="auto" w:fill="auto"/>
            <w:vAlign w:val="center"/>
          </w:tcPr>
          <w:p w14:paraId="533C03FA">
            <w:pPr>
              <w:spacing w:line="300" w:lineRule="atLeast"/>
              <w:jc w:val="center"/>
              <w:rPr>
                <w:rFonts w:hint="eastAsia" w:ascii="宋体" w:hAnsi="宋体" w:cs="宋体"/>
                <w:sz w:val="18"/>
                <w:szCs w:val="18"/>
              </w:rPr>
            </w:pPr>
            <w:r>
              <w:rPr>
                <w:rFonts w:hint="eastAsia" w:ascii="宋体" w:hAnsi="宋体" w:cs="宋体"/>
                <w:sz w:val="18"/>
                <w:szCs w:val="18"/>
              </w:rPr>
              <w:t>Ⅱ</w:t>
            </w:r>
          </w:p>
        </w:tc>
        <w:tc>
          <w:tcPr>
            <w:tcW w:w="1011" w:type="pct"/>
            <w:shd w:val="clear" w:color="auto" w:fill="auto"/>
            <w:vAlign w:val="center"/>
          </w:tcPr>
          <w:p w14:paraId="7BD53C81">
            <w:pPr>
              <w:spacing w:line="300" w:lineRule="atLeast"/>
              <w:jc w:val="center"/>
              <w:rPr>
                <w:rFonts w:hint="eastAsia" w:ascii="宋体" w:hAnsi="宋体" w:cs="宋体"/>
                <w:sz w:val="18"/>
                <w:szCs w:val="18"/>
              </w:rPr>
            </w:pPr>
            <w:r>
              <w:rPr>
                <w:rFonts w:hint="eastAsia" w:ascii="宋体" w:hAnsi="宋体" w:cs="宋体"/>
                <w:sz w:val="18"/>
                <w:szCs w:val="18"/>
              </w:rPr>
              <w:t>450</w:t>
            </w:r>
          </w:p>
        </w:tc>
        <w:tc>
          <w:tcPr>
            <w:tcW w:w="1014" w:type="pct"/>
            <w:shd w:val="clear" w:color="auto" w:fill="auto"/>
            <w:vAlign w:val="center"/>
          </w:tcPr>
          <w:p w14:paraId="7EC45C7F">
            <w:pPr>
              <w:spacing w:line="300" w:lineRule="atLeast"/>
              <w:jc w:val="center"/>
              <w:rPr>
                <w:rFonts w:hint="eastAsia" w:ascii="宋体" w:hAnsi="宋体" w:cs="宋体"/>
                <w:sz w:val="18"/>
                <w:szCs w:val="18"/>
              </w:rPr>
            </w:pPr>
            <w:r>
              <w:rPr>
                <w:rFonts w:hint="eastAsia" w:ascii="宋体" w:hAnsi="宋体" w:cs="宋体"/>
                <w:sz w:val="18"/>
                <w:szCs w:val="18"/>
              </w:rPr>
              <w:t>1900</w:t>
            </w:r>
          </w:p>
        </w:tc>
        <w:tc>
          <w:tcPr>
            <w:tcW w:w="843" w:type="pct"/>
            <w:shd w:val="clear" w:color="auto" w:fill="auto"/>
            <w:vAlign w:val="center"/>
          </w:tcPr>
          <w:p w14:paraId="350CDA07">
            <w:pPr>
              <w:spacing w:line="300" w:lineRule="atLeast"/>
              <w:jc w:val="center"/>
              <w:rPr>
                <w:rFonts w:hint="eastAsia" w:ascii="宋体" w:hAnsi="宋体" w:cs="宋体"/>
                <w:sz w:val="18"/>
                <w:szCs w:val="18"/>
              </w:rPr>
            </w:pPr>
            <w:r>
              <w:rPr>
                <w:rFonts w:hint="eastAsia" w:ascii="宋体" w:hAnsi="宋体" w:cs="宋体"/>
                <w:sz w:val="18"/>
                <w:szCs w:val="18"/>
              </w:rPr>
              <w:t>400</w:t>
            </w:r>
          </w:p>
        </w:tc>
        <w:tc>
          <w:tcPr>
            <w:tcW w:w="610" w:type="pct"/>
            <w:shd w:val="clear" w:color="auto" w:fill="auto"/>
            <w:vAlign w:val="center"/>
          </w:tcPr>
          <w:p w14:paraId="3192A76A">
            <w:pPr>
              <w:spacing w:line="300" w:lineRule="atLeast"/>
              <w:jc w:val="center"/>
              <w:rPr>
                <w:rFonts w:hint="eastAsia" w:ascii="宋体" w:hAnsi="宋体" w:cs="宋体"/>
                <w:sz w:val="18"/>
                <w:szCs w:val="18"/>
              </w:rPr>
            </w:pPr>
            <w:r>
              <w:rPr>
                <w:rFonts w:hint="eastAsia" w:ascii="宋体" w:hAnsi="宋体" w:cs="宋体"/>
                <w:sz w:val="18"/>
                <w:szCs w:val="18"/>
              </w:rPr>
              <w:t>1000</w:t>
            </w:r>
          </w:p>
        </w:tc>
      </w:tr>
      <w:tr w14:paraId="114515D0">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04" w:type="pct"/>
            <w:vMerge w:val="continue"/>
            <w:shd w:val="clear" w:color="auto" w:fill="auto"/>
            <w:vAlign w:val="center"/>
          </w:tcPr>
          <w:p w14:paraId="6F9891BA">
            <w:pPr>
              <w:jc w:val="center"/>
              <w:rPr>
                <w:rFonts w:hint="eastAsia" w:ascii="宋体" w:hAnsi="宋体" w:cs="宋体"/>
                <w:sz w:val="18"/>
                <w:szCs w:val="18"/>
              </w:rPr>
            </w:pPr>
          </w:p>
        </w:tc>
        <w:tc>
          <w:tcPr>
            <w:tcW w:w="815" w:type="pct"/>
            <w:shd w:val="clear" w:color="auto" w:fill="auto"/>
            <w:vAlign w:val="center"/>
          </w:tcPr>
          <w:p w14:paraId="0D7D45CA">
            <w:pPr>
              <w:spacing w:line="300" w:lineRule="atLeast"/>
              <w:jc w:val="center"/>
              <w:rPr>
                <w:rFonts w:hint="eastAsia" w:ascii="宋体" w:hAnsi="宋体" w:cs="宋体"/>
                <w:sz w:val="18"/>
                <w:szCs w:val="18"/>
              </w:rPr>
            </w:pPr>
            <w:r>
              <w:rPr>
                <w:rFonts w:hint="eastAsia" w:ascii="宋体" w:hAnsi="宋体" w:cs="宋体"/>
                <w:sz w:val="18"/>
                <w:szCs w:val="18"/>
              </w:rPr>
              <w:t>Ⅲ</w:t>
            </w:r>
          </w:p>
        </w:tc>
        <w:tc>
          <w:tcPr>
            <w:tcW w:w="1011" w:type="pct"/>
            <w:shd w:val="clear" w:color="auto" w:fill="auto"/>
            <w:vAlign w:val="center"/>
          </w:tcPr>
          <w:p w14:paraId="230378B0">
            <w:pPr>
              <w:spacing w:line="300" w:lineRule="atLeast"/>
              <w:jc w:val="center"/>
              <w:rPr>
                <w:rFonts w:hint="eastAsia" w:ascii="宋体" w:hAnsi="宋体" w:cs="宋体"/>
                <w:sz w:val="18"/>
                <w:szCs w:val="18"/>
              </w:rPr>
            </w:pPr>
            <w:r>
              <w:rPr>
                <w:rFonts w:hint="eastAsia" w:ascii="宋体" w:hAnsi="宋体" w:cs="宋体"/>
                <w:sz w:val="18"/>
                <w:szCs w:val="18"/>
              </w:rPr>
              <w:t>430</w:t>
            </w:r>
          </w:p>
        </w:tc>
        <w:tc>
          <w:tcPr>
            <w:tcW w:w="1014" w:type="pct"/>
            <w:shd w:val="clear" w:color="auto" w:fill="auto"/>
            <w:vAlign w:val="center"/>
          </w:tcPr>
          <w:p w14:paraId="0F26A2B2">
            <w:pPr>
              <w:spacing w:line="300" w:lineRule="atLeast"/>
              <w:jc w:val="center"/>
              <w:rPr>
                <w:rFonts w:hint="eastAsia" w:ascii="宋体" w:hAnsi="宋体" w:cs="宋体"/>
                <w:sz w:val="18"/>
                <w:szCs w:val="18"/>
              </w:rPr>
            </w:pPr>
            <w:r>
              <w:rPr>
                <w:rFonts w:hint="eastAsia" w:ascii="宋体" w:hAnsi="宋体" w:cs="宋体"/>
                <w:sz w:val="18"/>
                <w:szCs w:val="18"/>
              </w:rPr>
              <w:t>1880</w:t>
            </w:r>
          </w:p>
        </w:tc>
        <w:tc>
          <w:tcPr>
            <w:tcW w:w="843" w:type="pct"/>
            <w:shd w:val="clear" w:color="auto" w:fill="auto"/>
            <w:vAlign w:val="center"/>
          </w:tcPr>
          <w:p w14:paraId="7D9D3A47">
            <w:pPr>
              <w:spacing w:line="300" w:lineRule="atLeast"/>
              <w:jc w:val="center"/>
              <w:rPr>
                <w:rFonts w:hint="eastAsia" w:ascii="宋体" w:hAnsi="宋体" w:cs="宋体"/>
                <w:sz w:val="18"/>
                <w:szCs w:val="18"/>
              </w:rPr>
            </w:pPr>
            <w:r>
              <w:rPr>
                <w:rFonts w:hint="eastAsia" w:ascii="宋体" w:hAnsi="宋体" w:cs="宋体"/>
                <w:sz w:val="18"/>
                <w:szCs w:val="18"/>
              </w:rPr>
              <w:t>420</w:t>
            </w:r>
          </w:p>
        </w:tc>
        <w:tc>
          <w:tcPr>
            <w:tcW w:w="610" w:type="pct"/>
            <w:shd w:val="clear" w:color="auto" w:fill="auto"/>
            <w:vAlign w:val="center"/>
          </w:tcPr>
          <w:p w14:paraId="6644C7CB">
            <w:pPr>
              <w:spacing w:line="300" w:lineRule="atLeast"/>
              <w:jc w:val="center"/>
              <w:rPr>
                <w:rFonts w:hint="eastAsia" w:ascii="宋体" w:hAnsi="宋体" w:cs="宋体"/>
                <w:sz w:val="18"/>
                <w:szCs w:val="18"/>
              </w:rPr>
            </w:pPr>
            <w:r>
              <w:rPr>
                <w:rFonts w:hint="eastAsia" w:ascii="宋体" w:hAnsi="宋体" w:cs="宋体"/>
                <w:sz w:val="18"/>
                <w:szCs w:val="18"/>
              </w:rPr>
              <w:t>1040</w:t>
            </w:r>
          </w:p>
        </w:tc>
      </w:tr>
    </w:tbl>
    <w:p w14:paraId="32F272F5">
      <w:pPr>
        <w:pStyle w:val="165"/>
      </w:pPr>
      <w:r>
        <w:rPr>
          <w:rFonts w:hint="eastAsia"/>
        </w:rPr>
        <w:t>近零碳公共机构碳排放指标应满足下列条件之一：</w:t>
      </w:r>
    </w:p>
    <w:p w14:paraId="636D7169">
      <w:pPr>
        <w:pStyle w:val="174"/>
        <w:numPr>
          <w:ilvl w:val="0"/>
          <w:numId w:val="36"/>
        </w:numPr>
      </w:pPr>
      <w:r>
        <w:rPr>
          <w:rFonts w:hint="eastAsia"/>
        </w:rPr>
        <w:t>公共机构降碳率不应低于60%；</w:t>
      </w:r>
    </w:p>
    <w:p w14:paraId="49E8B2B4">
      <w:pPr>
        <w:pStyle w:val="174"/>
      </w:pPr>
      <w:r>
        <w:rPr>
          <w:rFonts w:hint="eastAsia"/>
        </w:rPr>
        <w:t>公共机构人均碳排放量不应高于表2规定的限值。</w:t>
      </w:r>
    </w:p>
    <w:p w14:paraId="630F9102">
      <w:pPr>
        <w:pStyle w:val="112"/>
        <w:spacing w:before="156" w:after="156"/>
      </w:pPr>
      <w:bookmarkStart w:id="66" w:name="_Toc192174377"/>
      <w:r>
        <w:rPr>
          <w:rFonts w:hint="eastAsia"/>
        </w:rPr>
        <w:t>近零碳公共机构人均碳排放量限值(kgCO</w:t>
      </w:r>
      <w:r>
        <w:rPr>
          <w:rFonts w:hint="eastAsia"/>
          <w:vertAlign w:val="subscript"/>
        </w:rPr>
        <w:t>2</w:t>
      </w:r>
      <w:r>
        <w:rPr>
          <w:rFonts w:hint="eastAsia"/>
        </w:rPr>
        <w:t>/人·年)</w:t>
      </w:r>
      <w:bookmarkEnd w:id="66"/>
    </w:p>
    <w:tbl>
      <w:tblPr>
        <w:tblStyle w:val="26"/>
        <w:tblW w:w="4999"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1350"/>
        <w:gridCol w:w="1912"/>
        <w:gridCol w:w="1777"/>
        <w:gridCol w:w="1777"/>
        <w:gridCol w:w="1479"/>
        <w:gridCol w:w="1077"/>
      </w:tblGrid>
      <w:tr w14:paraId="4FA11EB7">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720" w:type="pct"/>
            <w:vMerge w:val="restart"/>
            <w:tcBorders>
              <w:top w:val="single" w:color="auto" w:sz="8" w:space="0"/>
              <w:bottom w:val="single" w:color="auto" w:sz="8" w:space="0"/>
            </w:tcBorders>
            <w:shd w:val="clear" w:color="auto" w:fill="auto"/>
            <w:vAlign w:val="center"/>
          </w:tcPr>
          <w:p w14:paraId="41221717">
            <w:pPr>
              <w:spacing w:line="240" w:lineRule="exact"/>
              <w:jc w:val="center"/>
              <w:rPr>
                <w:rFonts w:hint="eastAsia" w:ascii="宋体" w:hAnsi="宋体" w:cs="宋体"/>
                <w:sz w:val="18"/>
                <w:szCs w:val="18"/>
              </w:rPr>
            </w:pPr>
            <w:r>
              <w:rPr>
                <w:rFonts w:hint="eastAsia" w:ascii="宋体" w:hAnsi="宋体" w:cs="宋体"/>
                <w:sz w:val="18"/>
                <w:szCs w:val="18"/>
              </w:rPr>
              <w:t>气候区</w:t>
            </w:r>
          </w:p>
        </w:tc>
        <w:tc>
          <w:tcPr>
            <w:tcW w:w="1020" w:type="pct"/>
            <w:vMerge w:val="restart"/>
            <w:tcBorders>
              <w:top w:val="single" w:color="auto" w:sz="8" w:space="0"/>
              <w:bottom w:val="single" w:color="auto" w:sz="8" w:space="0"/>
            </w:tcBorders>
            <w:shd w:val="clear" w:color="auto" w:fill="auto"/>
            <w:vAlign w:val="center"/>
          </w:tcPr>
          <w:p w14:paraId="159A0C54">
            <w:pPr>
              <w:spacing w:line="240" w:lineRule="exact"/>
              <w:jc w:val="center"/>
              <w:rPr>
                <w:rFonts w:hint="eastAsia" w:ascii="宋体" w:hAnsi="宋体" w:cs="宋体"/>
                <w:sz w:val="18"/>
                <w:szCs w:val="18"/>
              </w:rPr>
            </w:pPr>
            <w:r>
              <w:rPr>
                <w:rFonts w:hint="eastAsia" w:ascii="宋体" w:hAnsi="宋体" w:cs="宋体"/>
                <w:sz w:val="18"/>
                <w:szCs w:val="18"/>
              </w:rPr>
              <w:t>太阳辐照量等级</w:t>
            </w:r>
          </w:p>
        </w:tc>
        <w:tc>
          <w:tcPr>
            <w:tcW w:w="948" w:type="pct"/>
            <w:vMerge w:val="restart"/>
            <w:tcBorders>
              <w:top w:val="single" w:color="auto" w:sz="8" w:space="0"/>
              <w:bottom w:val="single" w:color="auto" w:sz="8" w:space="0"/>
            </w:tcBorders>
            <w:shd w:val="clear" w:color="auto" w:fill="auto"/>
            <w:vAlign w:val="center"/>
          </w:tcPr>
          <w:p w14:paraId="0A03D28A">
            <w:pPr>
              <w:spacing w:line="240" w:lineRule="exact"/>
              <w:jc w:val="center"/>
              <w:rPr>
                <w:rFonts w:hint="eastAsia" w:ascii="宋体" w:hAnsi="宋体" w:cs="宋体"/>
                <w:sz w:val="18"/>
                <w:szCs w:val="18"/>
              </w:rPr>
            </w:pPr>
            <w:r>
              <w:rPr>
                <w:rFonts w:hint="eastAsia" w:ascii="宋体" w:hAnsi="宋体" w:cs="宋体"/>
                <w:sz w:val="18"/>
                <w:szCs w:val="18"/>
              </w:rPr>
              <w:t>办公区域</w:t>
            </w:r>
          </w:p>
        </w:tc>
        <w:tc>
          <w:tcPr>
            <w:tcW w:w="948" w:type="pct"/>
            <w:vMerge w:val="restart"/>
            <w:tcBorders>
              <w:top w:val="single" w:color="auto" w:sz="8" w:space="0"/>
              <w:bottom w:val="single" w:color="auto" w:sz="8" w:space="0"/>
            </w:tcBorders>
            <w:shd w:val="clear" w:color="auto" w:fill="auto"/>
            <w:vAlign w:val="center"/>
          </w:tcPr>
          <w:p w14:paraId="77E35DF7">
            <w:pPr>
              <w:spacing w:line="240" w:lineRule="exact"/>
              <w:jc w:val="center"/>
              <w:rPr>
                <w:rFonts w:hint="eastAsia" w:ascii="宋体" w:hAnsi="宋体" w:cs="宋体"/>
                <w:sz w:val="18"/>
                <w:szCs w:val="18"/>
              </w:rPr>
            </w:pPr>
            <w:r>
              <w:rPr>
                <w:rFonts w:hint="eastAsia" w:ascii="宋体" w:hAnsi="宋体" w:cs="宋体"/>
                <w:sz w:val="18"/>
                <w:szCs w:val="18"/>
              </w:rPr>
              <w:t>医院区域</w:t>
            </w:r>
          </w:p>
        </w:tc>
        <w:tc>
          <w:tcPr>
            <w:tcW w:w="1363" w:type="pct"/>
            <w:gridSpan w:val="2"/>
            <w:tcBorders>
              <w:bottom w:val="single" w:color="auto" w:sz="2" w:space="0"/>
            </w:tcBorders>
            <w:shd w:val="clear" w:color="auto" w:fill="auto"/>
            <w:vAlign w:val="center"/>
          </w:tcPr>
          <w:p w14:paraId="2974A4B7">
            <w:pPr>
              <w:spacing w:line="240" w:lineRule="exact"/>
              <w:jc w:val="center"/>
              <w:rPr>
                <w:rFonts w:hint="eastAsia" w:ascii="宋体" w:hAnsi="宋体" w:cs="宋体"/>
                <w:sz w:val="18"/>
                <w:szCs w:val="18"/>
              </w:rPr>
            </w:pPr>
            <w:r>
              <w:rPr>
                <w:rFonts w:hint="eastAsia" w:ascii="宋体" w:hAnsi="宋体" w:cs="宋体"/>
                <w:sz w:val="18"/>
                <w:szCs w:val="18"/>
              </w:rPr>
              <w:t>校园区域</w:t>
            </w:r>
          </w:p>
        </w:tc>
      </w:tr>
      <w:tr w14:paraId="01E0BD1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720" w:type="pct"/>
            <w:vMerge w:val="continue"/>
            <w:tcBorders>
              <w:top w:val="single" w:color="auto" w:sz="2" w:space="0"/>
              <w:bottom w:val="single" w:color="auto" w:sz="8" w:space="0"/>
            </w:tcBorders>
            <w:shd w:val="clear" w:color="auto" w:fill="auto"/>
            <w:vAlign w:val="center"/>
          </w:tcPr>
          <w:p w14:paraId="329F6199">
            <w:pPr>
              <w:spacing w:line="240" w:lineRule="exact"/>
              <w:jc w:val="center"/>
              <w:rPr>
                <w:rFonts w:hint="eastAsia" w:ascii="宋体" w:hAnsi="宋体" w:cs="宋体"/>
                <w:sz w:val="18"/>
                <w:szCs w:val="18"/>
              </w:rPr>
            </w:pPr>
          </w:p>
        </w:tc>
        <w:tc>
          <w:tcPr>
            <w:tcW w:w="1020" w:type="pct"/>
            <w:vMerge w:val="continue"/>
            <w:tcBorders>
              <w:top w:val="single" w:color="auto" w:sz="2" w:space="0"/>
              <w:bottom w:val="single" w:color="auto" w:sz="8" w:space="0"/>
            </w:tcBorders>
            <w:shd w:val="clear" w:color="auto" w:fill="auto"/>
            <w:vAlign w:val="center"/>
          </w:tcPr>
          <w:p w14:paraId="29255F1B">
            <w:pPr>
              <w:spacing w:line="240" w:lineRule="exact"/>
              <w:jc w:val="center"/>
              <w:rPr>
                <w:rFonts w:hint="eastAsia" w:ascii="宋体" w:hAnsi="宋体" w:cs="宋体"/>
                <w:sz w:val="18"/>
                <w:szCs w:val="18"/>
              </w:rPr>
            </w:pPr>
          </w:p>
        </w:tc>
        <w:tc>
          <w:tcPr>
            <w:tcW w:w="948" w:type="pct"/>
            <w:vMerge w:val="continue"/>
            <w:tcBorders>
              <w:top w:val="single" w:color="auto" w:sz="2" w:space="0"/>
              <w:bottom w:val="single" w:color="auto" w:sz="8" w:space="0"/>
            </w:tcBorders>
            <w:shd w:val="clear" w:color="auto" w:fill="auto"/>
            <w:vAlign w:val="center"/>
          </w:tcPr>
          <w:p w14:paraId="4ACB240D">
            <w:pPr>
              <w:spacing w:line="240" w:lineRule="exact"/>
              <w:jc w:val="center"/>
              <w:rPr>
                <w:rFonts w:hint="eastAsia" w:ascii="宋体" w:hAnsi="宋体" w:cs="宋体"/>
                <w:sz w:val="18"/>
                <w:szCs w:val="18"/>
              </w:rPr>
            </w:pPr>
          </w:p>
        </w:tc>
        <w:tc>
          <w:tcPr>
            <w:tcW w:w="948" w:type="pct"/>
            <w:vMerge w:val="continue"/>
            <w:tcBorders>
              <w:top w:val="single" w:color="auto" w:sz="2" w:space="0"/>
              <w:bottom w:val="single" w:color="auto" w:sz="8" w:space="0"/>
            </w:tcBorders>
            <w:shd w:val="clear" w:color="auto" w:fill="auto"/>
            <w:vAlign w:val="center"/>
          </w:tcPr>
          <w:p w14:paraId="7614B738">
            <w:pPr>
              <w:spacing w:line="240" w:lineRule="exact"/>
              <w:jc w:val="center"/>
              <w:rPr>
                <w:rFonts w:hint="eastAsia" w:ascii="宋体" w:hAnsi="宋体" w:cs="宋体"/>
                <w:sz w:val="18"/>
                <w:szCs w:val="18"/>
              </w:rPr>
            </w:pPr>
          </w:p>
        </w:tc>
        <w:tc>
          <w:tcPr>
            <w:tcW w:w="789" w:type="pct"/>
            <w:tcBorders>
              <w:top w:val="single" w:color="auto" w:sz="2" w:space="0"/>
              <w:bottom w:val="single" w:color="auto" w:sz="8" w:space="0"/>
            </w:tcBorders>
            <w:shd w:val="clear" w:color="auto" w:fill="auto"/>
            <w:vAlign w:val="center"/>
          </w:tcPr>
          <w:p w14:paraId="4578B6F8">
            <w:pPr>
              <w:spacing w:line="240" w:lineRule="exact"/>
              <w:jc w:val="center"/>
              <w:rPr>
                <w:rFonts w:hint="eastAsia" w:ascii="宋体" w:hAnsi="宋体" w:cs="宋体"/>
                <w:sz w:val="18"/>
                <w:szCs w:val="18"/>
              </w:rPr>
            </w:pPr>
            <w:r>
              <w:rPr>
                <w:rFonts w:hint="eastAsia" w:ascii="宋体" w:hAnsi="宋体" w:cs="宋体"/>
                <w:sz w:val="18"/>
                <w:szCs w:val="18"/>
              </w:rPr>
              <w:t>中小学</w:t>
            </w:r>
          </w:p>
        </w:tc>
        <w:tc>
          <w:tcPr>
            <w:tcW w:w="573" w:type="pct"/>
            <w:tcBorders>
              <w:top w:val="single" w:color="auto" w:sz="2" w:space="0"/>
              <w:bottom w:val="single" w:color="auto" w:sz="8" w:space="0"/>
            </w:tcBorders>
            <w:shd w:val="clear" w:color="auto" w:fill="auto"/>
            <w:vAlign w:val="center"/>
          </w:tcPr>
          <w:p w14:paraId="68FBEE4B">
            <w:pPr>
              <w:spacing w:line="240" w:lineRule="exact"/>
              <w:jc w:val="center"/>
              <w:rPr>
                <w:rFonts w:hint="eastAsia" w:ascii="宋体" w:hAnsi="宋体" w:cs="宋体"/>
                <w:sz w:val="18"/>
                <w:szCs w:val="18"/>
              </w:rPr>
            </w:pPr>
            <w:r>
              <w:rPr>
                <w:rFonts w:hint="eastAsia" w:ascii="宋体" w:hAnsi="宋体" w:cs="宋体"/>
                <w:sz w:val="18"/>
                <w:szCs w:val="18"/>
              </w:rPr>
              <w:t>大学</w:t>
            </w:r>
          </w:p>
        </w:tc>
      </w:tr>
      <w:tr w14:paraId="0460CDB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restart"/>
            <w:tcBorders>
              <w:top w:val="single" w:color="auto" w:sz="8" w:space="0"/>
            </w:tcBorders>
            <w:shd w:val="clear" w:color="auto" w:fill="auto"/>
            <w:vAlign w:val="center"/>
          </w:tcPr>
          <w:p w14:paraId="08D1329C">
            <w:pPr>
              <w:spacing w:line="240" w:lineRule="exact"/>
              <w:jc w:val="center"/>
              <w:rPr>
                <w:rFonts w:hint="eastAsia" w:ascii="宋体" w:hAnsi="宋体" w:cs="宋体"/>
                <w:sz w:val="18"/>
                <w:szCs w:val="18"/>
              </w:rPr>
            </w:pPr>
            <w:r>
              <w:rPr>
                <w:rFonts w:hint="eastAsia" w:ascii="宋体" w:hAnsi="宋体" w:cs="宋体"/>
                <w:sz w:val="18"/>
                <w:szCs w:val="18"/>
              </w:rPr>
              <w:t>严寒地区</w:t>
            </w:r>
          </w:p>
        </w:tc>
        <w:tc>
          <w:tcPr>
            <w:tcW w:w="1020" w:type="pct"/>
            <w:tcBorders>
              <w:top w:val="single" w:color="auto" w:sz="8" w:space="0"/>
            </w:tcBorders>
            <w:shd w:val="clear" w:color="auto" w:fill="auto"/>
            <w:vAlign w:val="center"/>
          </w:tcPr>
          <w:p w14:paraId="56B1B22A">
            <w:pPr>
              <w:spacing w:line="240" w:lineRule="exact"/>
              <w:jc w:val="center"/>
              <w:rPr>
                <w:rFonts w:hint="eastAsia" w:ascii="宋体" w:hAnsi="宋体" w:cs="宋体"/>
                <w:sz w:val="18"/>
                <w:szCs w:val="18"/>
                <w:highlight w:val="yellow"/>
              </w:rPr>
            </w:pPr>
            <w:r>
              <w:rPr>
                <w:rFonts w:hint="eastAsia" w:ascii="宋体" w:hAnsi="宋体" w:cs="宋体"/>
                <w:sz w:val="18"/>
                <w:szCs w:val="18"/>
              </w:rPr>
              <w:t>I</w:t>
            </w:r>
          </w:p>
        </w:tc>
        <w:tc>
          <w:tcPr>
            <w:tcW w:w="948" w:type="pct"/>
            <w:tcBorders>
              <w:top w:val="single" w:color="auto" w:sz="8" w:space="0"/>
            </w:tcBorders>
            <w:shd w:val="clear" w:color="auto" w:fill="auto"/>
            <w:vAlign w:val="center"/>
          </w:tcPr>
          <w:p w14:paraId="57D50355">
            <w:pPr>
              <w:spacing w:line="240" w:lineRule="exact"/>
              <w:jc w:val="center"/>
              <w:rPr>
                <w:rFonts w:hint="eastAsia" w:ascii="宋体" w:hAnsi="宋体" w:cs="宋体"/>
                <w:sz w:val="18"/>
                <w:szCs w:val="18"/>
              </w:rPr>
            </w:pPr>
            <w:r>
              <w:rPr>
                <w:rFonts w:hint="eastAsia" w:ascii="宋体" w:hAnsi="宋体" w:cs="宋体"/>
                <w:sz w:val="18"/>
                <w:szCs w:val="18"/>
              </w:rPr>
              <w:t>280</w:t>
            </w:r>
          </w:p>
        </w:tc>
        <w:tc>
          <w:tcPr>
            <w:tcW w:w="948" w:type="pct"/>
            <w:tcBorders>
              <w:top w:val="single" w:color="auto" w:sz="8" w:space="0"/>
            </w:tcBorders>
            <w:shd w:val="clear" w:color="auto" w:fill="auto"/>
            <w:vAlign w:val="center"/>
          </w:tcPr>
          <w:p w14:paraId="37F704B8">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tcBorders>
              <w:top w:val="single" w:color="auto" w:sz="8" w:space="0"/>
            </w:tcBorders>
            <w:shd w:val="clear" w:color="auto" w:fill="auto"/>
            <w:vAlign w:val="center"/>
          </w:tcPr>
          <w:p w14:paraId="3501A76E">
            <w:pPr>
              <w:spacing w:line="240" w:lineRule="exact"/>
              <w:jc w:val="center"/>
              <w:rPr>
                <w:rFonts w:hint="eastAsia" w:ascii="宋体" w:hAnsi="宋体" w:cs="宋体"/>
                <w:sz w:val="18"/>
                <w:szCs w:val="18"/>
              </w:rPr>
            </w:pPr>
            <w:r>
              <w:rPr>
                <w:rFonts w:hint="eastAsia" w:ascii="宋体" w:hAnsi="宋体" w:cs="宋体"/>
                <w:sz w:val="18"/>
                <w:szCs w:val="18"/>
              </w:rPr>
              <w:t>230</w:t>
            </w:r>
          </w:p>
        </w:tc>
        <w:tc>
          <w:tcPr>
            <w:tcW w:w="573" w:type="pct"/>
            <w:tcBorders>
              <w:top w:val="single" w:color="auto" w:sz="8" w:space="0"/>
            </w:tcBorders>
            <w:shd w:val="clear" w:color="auto" w:fill="auto"/>
            <w:vAlign w:val="center"/>
          </w:tcPr>
          <w:p w14:paraId="6D41C47D">
            <w:pPr>
              <w:spacing w:line="240" w:lineRule="exact"/>
              <w:jc w:val="center"/>
              <w:rPr>
                <w:rFonts w:hint="eastAsia" w:ascii="宋体" w:hAnsi="宋体" w:cs="宋体"/>
                <w:sz w:val="18"/>
                <w:szCs w:val="18"/>
              </w:rPr>
            </w:pPr>
            <w:r>
              <w:rPr>
                <w:rFonts w:hint="eastAsia" w:ascii="宋体" w:hAnsi="宋体" w:cs="宋体"/>
                <w:sz w:val="18"/>
                <w:szCs w:val="18"/>
              </w:rPr>
              <w:t>560</w:t>
            </w:r>
          </w:p>
        </w:tc>
      </w:tr>
      <w:tr w14:paraId="7138C0AE">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continue"/>
            <w:shd w:val="clear" w:color="auto" w:fill="auto"/>
            <w:vAlign w:val="center"/>
          </w:tcPr>
          <w:p w14:paraId="32F45370">
            <w:pPr>
              <w:spacing w:line="240" w:lineRule="exact"/>
              <w:jc w:val="center"/>
              <w:rPr>
                <w:rFonts w:hint="eastAsia" w:ascii="宋体" w:hAnsi="宋体" w:cs="宋体"/>
                <w:sz w:val="18"/>
                <w:szCs w:val="18"/>
              </w:rPr>
            </w:pPr>
          </w:p>
        </w:tc>
        <w:tc>
          <w:tcPr>
            <w:tcW w:w="1020" w:type="pct"/>
            <w:shd w:val="clear" w:color="auto" w:fill="auto"/>
            <w:vAlign w:val="center"/>
          </w:tcPr>
          <w:p w14:paraId="3FC1773B">
            <w:pPr>
              <w:spacing w:line="240" w:lineRule="exact"/>
              <w:jc w:val="center"/>
              <w:rPr>
                <w:rFonts w:hint="eastAsia" w:ascii="宋体" w:hAnsi="宋体" w:cs="宋体"/>
                <w:sz w:val="18"/>
                <w:szCs w:val="18"/>
              </w:rPr>
            </w:pPr>
            <w:r>
              <w:rPr>
                <w:rFonts w:hint="eastAsia" w:ascii="宋体" w:hAnsi="宋体" w:cs="宋体"/>
                <w:sz w:val="18"/>
                <w:szCs w:val="18"/>
              </w:rPr>
              <w:t>Ⅱ</w:t>
            </w:r>
          </w:p>
        </w:tc>
        <w:tc>
          <w:tcPr>
            <w:tcW w:w="948" w:type="pct"/>
            <w:shd w:val="clear" w:color="auto" w:fill="auto"/>
            <w:vAlign w:val="center"/>
          </w:tcPr>
          <w:p w14:paraId="7339E24B">
            <w:pPr>
              <w:spacing w:line="240" w:lineRule="exact"/>
              <w:jc w:val="center"/>
              <w:rPr>
                <w:rFonts w:hint="eastAsia" w:ascii="宋体" w:hAnsi="宋体" w:cs="宋体"/>
                <w:sz w:val="18"/>
                <w:szCs w:val="18"/>
              </w:rPr>
            </w:pPr>
            <w:r>
              <w:rPr>
                <w:rFonts w:hint="eastAsia" w:ascii="宋体" w:hAnsi="宋体" w:cs="宋体"/>
                <w:sz w:val="18"/>
                <w:szCs w:val="18"/>
              </w:rPr>
              <w:t>270</w:t>
            </w:r>
          </w:p>
        </w:tc>
        <w:tc>
          <w:tcPr>
            <w:tcW w:w="948" w:type="pct"/>
            <w:shd w:val="clear" w:color="auto" w:fill="auto"/>
            <w:vAlign w:val="center"/>
          </w:tcPr>
          <w:p w14:paraId="7EC964C1">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shd w:val="clear" w:color="auto" w:fill="auto"/>
            <w:vAlign w:val="center"/>
          </w:tcPr>
          <w:p w14:paraId="6190A83C">
            <w:pPr>
              <w:spacing w:line="240" w:lineRule="exact"/>
              <w:jc w:val="center"/>
              <w:rPr>
                <w:rFonts w:hint="eastAsia" w:ascii="宋体" w:hAnsi="宋体" w:cs="宋体"/>
                <w:sz w:val="18"/>
                <w:szCs w:val="18"/>
              </w:rPr>
            </w:pPr>
            <w:r>
              <w:rPr>
                <w:rFonts w:hint="eastAsia" w:ascii="宋体" w:hAnsi="宋体" w:cs="宋体"/>
                <w:sz w:val="18"/>
                <w:szCs w:val="18"/>
              </w:rPr>
              <w:t>240</w:t>
            </w:r>
          </w:p>
        </w:tc>
        <w:tc>
          <w:tcPr>
            <w:tcW w:w="573" w:type="pct"/>
            <w:shd w:val="clear" w:color="auto" w:fill="auto"/>
            <w:vAlign w:val="center"/>
          </w:tcPr>
          <w:p w14:paraId="4B371B69">
            <w:pPr>
              <w:spacing w:line="240" w:lineRule="exact"/>
              <w:jc w:val="center"/>
              <w:rPr>
                <w:rFonts w:hint="eastAsia" w:ascii="宋体" w:hAnsi="宋体" w:cs="宋体"/>
                <w:sz w:val="18"/>
                <w:szCs w:val="18"/>
              </w:rPr>
            </w:pPr>
            <w:r>
              <w:rPr>
                <w:rFonts w:hint="eastAsia" w:ascii="宋体" w:hAnsi="宋体" w:cs="宋体"/>
                <w:sz w:val="18"/>
                <w:szCs w:val="18"/>
              </w:rPr>
              <w:t>580</w:t>
            </w:r>
          </w:p>
        </w:tc>
      </w:tr>
      <w:tr w14:paraId="7DA28E0D">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continue"/>
            <w:shd w:val="clear" w:color="auto" w:fill="auto"/>
            <w:vAlign w:val="center"/>
          </w:tcPr>
          <w:p w14:paraId="75560087">
            <w:pPr>
              <w:spacing w:line="240" w:lineRule="exact"/>
              <w:jc w:val="center"/>
              <w:rPr>
                <w:rFonts w:hint="eastAsia" w:ascii="宋体" w:hAnsi="宋体" w:cs="宋体"/>
                <w:sz w:val="18"/>
                <w:szCs w:val="18"/>
              </w:rPr>
            </w:pPr>
          </w:p>
        </w:tc>
        <w:tc>
          <w:tcPr>
            <w:tcW w:w="1020" w:type="pct"/>
            <w:shd w:val="clear" w:color="auto" w:fill="auto"/>
            <w:vAlign w:val="center"/>
          </w:tcPr>
          <w:p w14:paraId="4FDCBF32">
            <w:pPr>
              <w:spacing w:line="240" w:lineRule="exact"/>
              <w:jc w:val="center"/>
              <w:rPr>
                <w:rFonts w:hint="eastAsia" w:ascii="宋体" w:hAnsi="宋体" w:cs="宋体"/>
                <w:sz w:val="18"/>
                <w:szCs w:val="18"/>
              </w:rPr>
            </w:pPr>
            <w:r>
              <w:rPr>
                <w:rFonts w:hint="eastAsia" w:ascii="宋体" w:hAnsi="宋体" w:cs="宋体"/>
                <w:sz w:val="18"/>
                <w:szCs w:val="18"/>
              </w:rPr>
              <w:t>Ⅲ</w:t>
            </w:r>
          </w:p>
        </w:tc>
        <w:tc>
          <w:tcPr>
            <w:tcW w:w="948" w:type="pct"/>
            <w:shd w:val="clear" w:color="auto" w:fill="auto"/>
            <w:vAlign w:val="center"/>
          </w:tcPr>
          <w:p w14:paraId="23B7483C">
            <w:pPr>
              <w:spacing w:line="240" w:lineRule="exact"/>
              <w:jc w:val="center"/>
              <w:rPr>
                <w:rFonts w:hint="eastAsia" w:ascii="宋体" w:hAnsi="宋体" w:cs="宋体"/>
                <w:sz w:val="18"/>
                <w:szCs w:val="18"/>
              </w:rPr>
            </w:pPr>
            <w:r>
              <w:rPr>
                <w:rFonts w:hint="eastAsia" w:ascii="宋体" w:hAnsi="宋体" w:cs="宋体"/>
                <w:sz w:val="18"/>
                <w:szCs w:val="18"/>
              </w:rPr>
              <w:t>260</w:t>
            </w:r>
          </w:p>
        </w:tc>
        <w:tc>
          <w:tcPr>
            <w:tcW w:w="948" w:type="pct"/>
            <w:shd w:val="clear" w:color="auto" w:fill="auto"/>
            <w:vAlign w:val="center"/>
          </w:tcPr>
          <w:p w14:paraId="0523773A">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shd w:val="clear" w:color="auto" w:fill="auto"/>
            <w:vAlign w:val="center"/>
          </w:tcPr>
          <w:p w14:paraId="5CC06429">
            <w:pPr>
              <w:spacing w:line="240" w:lineRule="exact"/>
              <w:jc w:val="center"/>
              <w:rPr>
                <w:rFonts w:hint="eastAsia" w:ascii="宋体" w:hAnsi="宋体" w:cs="宋体"/>
                <w:sz w:val="18"/>
                <w:szCs w:val="18"/>
              </w:rPr>
            </w:pPr>
            <w:r>
              <w:rPr>
                <w:rFonts w:hint="eastAsia" w:ascii="宋体" w:hAnsi="宋体" w:cs="宋体"/>
                <w:sz w:val="18"/>
                <w:szCs w:val="18"/>
              </w:rPr>
              <w:t>250</w:t>
            </w:r>
          </w:p>
        </w:tc>
        <w:tc>
          <w:tcPr>
            <w:tcW w:w="573" w:type="pct"/>
            <w:shd w:val="clear" w:color="auto" w:fill="auto"/>
            <w:vAlign w:val="center"/>
          </w:tcPr>
          <w:p w14:paraId="4C2E353C">
            <w:pPr>
              <w:spacing w:line="240" w:lineRule="exact"/>
              <w:jc w:val="center"/>
              <w:rPr>
                <w:rFonts w:hint="eastAsia" w:ascii="宋体" w:hAnsi="宋体" w:cs="宋体"/>
                <w:sz w:val="18"/>
                <w:szCs w:val="18"/>
              </w:rPr>
            </w:pPr>
            <w:r>
              <w:rPr>
                <w:rFonts w:hint="eastAsia" w:ascii="宋体" w:hAnsi="宋体" w:cs="宋体"/>
                <w:sz w:val="18"/>
                <w:szCs w:val="18"/>
              </w:rPr>
              <w:t>610</w:t>
            </w:r>
          </w:p>
        </w:tc>
      </w:tr>
      <w:tr w14:paraId="491988BC">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restart"/>
            <w:shd w:val="clear" w:color="auto" w:fill="auto"/>
            <w:vAlign w:val="center"/>
          </w:tcPr>
          <w:p w14:paraId="239D4095">
            <w:pPr>
              <w:spacing w:line="240" w:lineRule="exact"/>
              <w:jc w:val="center"/>
              <w:rPr>
                <w:rFonts w:hint="eastAsia" w:ascii="宋体" w:hAnsi="宋体" w:cs="宋体"/>
                <w:sz w:val="18"/>
                <w:szCs w:val="18"/>
              </w:rPr>
            </w:pPr>
            <w:r>
              <w:rPr>
                <w:rFonts w:hint="eastAsia" w:ascii="宋体" w:hAnsi="宋体" w:cs="宋体"/>
                <w:sz w:val="18"/>
                <w:szCs w:val="18"/>
              </w:rPr>
              <w:t>寒冷地区</w:t>
            </w:r>
          </w:p>
        </w:tc>
        <w:tc>
          <w:tcPr>
            <w:tcW w:w="1020" w:type="pct"/>
            <w:shd w:val="clear" w:color="auto" w:fill="auto"/>
            <w:vAlign w:val="center"/>
          </w:tcPr>
          <w:p w14:paraId="7BFCDB4F">
            <w:pPr>
              <w:spacing w:line="240" w:lineRule="exact"/>
              <w:jc w:val="center"/>
              <w:rPr>
                <w:rFonts w:hint="eastAsia" w:ascii="宋体" w:hAnsi="宋体" w:cs="宋体"/>
                <w:sz w:val="18"/>
                <w:szCs w:val="18"/>
              </w:rPr>
            </w:pPr>
            <w:r>
              <w:rPr>
                <w:rFonts w:hint="eastAsia" w:ascii="宋体" w:hAnsi="宋体" w:cs="宋体"/>
                <w:sz w:val="18"/>
                <w:szCs w:val="18"/>
              </w:rPr>
              <w:t>I</w:t>
            </w:r>
          </w:p>
        </w:tc>
        <w:tc>
          <w:tcPr>
            <w:tcW w:w="948" w:type="pct"/>
            <w:shd w:val="clear" w:color="auto" w:fill="auto"/>
            <w:vAlign w:val="center"/>
          </w:tcPr>
          <w:p w14:paraId="27171BCF">
            <w:pPr>
              <w:spacing w:line="240" w:lineRule="exact"/>
              <w:jc w:val="center"/>
              <w:rPr>
                <w:rFonts w:hint="eastAsia" w:ascii="宋体" w:hAnsi="宋体" w:cs="宋体"/>
                <w:sz w:val="18"/>
                <w:szCs w:val="18"/>
              </w:rPr>
            </w:pPr>
            <w:r>
              <w:rPr>
                <w:rFonts w:hint="eastAsia" w:ascii="宋体" w:hAnsi="宋体" w:cs="宋体"/>
                <w:sz w:val="18"/>
                <w:szCs w:val="18"/>
              </w:rPr>
              <w:t>270</w:t>
            </w:r>
          </w:p>
        </w:tc>
        <w:tc>
          <w:tcPr>
            <w:tcW w:w="948" w:type="pct"/>
            <w:shd w:val="clear" w:color="auto" w:fill="auto"/>
            <w:vAlign w:val="center"/>
          </w:tcPr>
          <w:p w14:paraId="2AB325F6">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shd w:val="clear" w:color="auto" w:fill="auto"/>
            <w:vAlign w:val="center"/>
          </w:tcPr>
          <w:p w14:paraId="257382D5">
            <w:pPr>
              <w:spacing w:line="240" w:lineRule="exact"/>
              <w:jc w:val="center"/>
              <w:rPr>
                <w:rFonts w:hint="eastAsia" w:ascii="宋体" w:hAnsi="宋体" w:cs="宋体"/>
                <w:sz w:val="18"/>
                <w:szCs w:val="18"/>
              </w:rPr>
            </w:pPr>
            <w:r>
              <w:rPr>
                <w:rFonts w:hint="eastAsia" w:ascii="宋体" w:hAnsi="宋体" w:cs="宋体"/>
                <w:sz w:val="18"/>
                <w:szCs w:val="18"/>
              </w:rPr>
              <w:t>230</w:t>
            </w:r>
          </w:p>
        </w:tc>
        <w:tc>
          <w:tcPr>
            <w:tcW w:w="573" w:type="pct"/>
            <w:shd w:val="clear" w:color="auto" w:fill="auto"/>
            <w:vAlign w:val="center"/>
          </w:tcPr>
          <w:p w14:paraId="2C45CBBD">
            <w:pPr>
              <w:spacing w:line="240" w:lineRule="exact"/>
              <w:jc w:val="center"/>
              <w:rPr>
                <w:rFonts w:hint="eastAsia" w:ascii="宋体" w:hAnsi="宋体" w:cs="宋体"/>
                <w:sz w:val="18"/>
                <w:szCs w:val="18"/>
              </w:rPr>
            </w:pPr>
            <w:r>
              <w:rPr>
                <w:rFonts w:hint="eastAsia" w:ascii="宋体" w:hAnsi="宋体" w:cs="宋体"/>
                <w:sz w:val="18"/>
                <w:szCs w:val="18"/>
              </w:rPr>
              <w:t>560</w:t>
            </w:r>
          </w:p>
        </w:tc>
      </w:tr>
      <w:tr w14:paraId="0961D71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continue"/>
            <w:shd w:val="clear" w:color="auto" w:fill="auto"/>
            <w:vAlign w:val="center"/>
          </w:tcPr>
          <w:p w14:paraId="0816D87B">
            <w:pPr>
              <w:spacing w:line="240" w:lineRule="exact"/>
              <w:jc w:val="center"/>
              <w:rPr>
                <w:rFonts w:hint="eastAsia" w:ascii="宋体" w:hAnsi="宋体" w:cs="宋体"/>
                <w:sz w:val="18"/>
                <w:szCs w:val="18"/>
              </w:rPr>
            </w:pPr>
          </w:p>
        </w:tc>
        <w:tc>
          <w:tcPr>
            <w:tcW w:w="1020" w:type="pct"/>
            <w:shd w:val="clear" w:color="auto" w:fill="auto"/>
            <w:vAlign w:val="center"/>
          </w:tcPr>
          <w:p w14:paraId="61799B98">
            <w:pPr>
              <w:spacing w:line="240" w:lineRule="exact"/>
              <w:jc w:val="center"/>
              <w:rPr>
                <w:rFonts w:hint="eastAsia" w:ascii="宋体" w:hAnsi="宋体" w:cs="宋体"/>
                <w:sz w:val="18"/>
                <w:szCs w:val="18"/>
              </w:rPr>
            </w:pPr>
            <w:r>
              <w:rPr>
                <w:rFonts w:hint="eastAsia" w:ascii="宋体" w:hAnsi="宋体" w:cs="宋体"/>
                <w:sz w:val="18"/>
                <w:szCs w:val="18"/>
              </w:rPr>
              <w:t>Ⅱ</w:t>
            </w:r>
          </w:p>
        </w:tc>
        <w:tc>
          <w:tcPr>
            <w:tcW w:w="948" w:type="pct"/>
            <w:shd w:val="clear" w:color="auto" w:fill="auto"/>
            <w:vAlign w:val="center"/>
          </w:tcPr>
          <w:p w14:paraId="6995BA47">
            <w:pPr>
              <w:spacing w:line="240" w:lineRule="exact"/>
              <w:jc w:val="center"/>
              <w:rPr>
                <w:rFonts w:hint="eastAsia" w:ascii="宋体" w:hAnsi="宋体" w:cs="宋体"/>
                <w:sz w:val="18"/>
                <w:szCs w:val="18"/>
              </w:rPr>
            </w:pPr>
            <w:r>
              <w:rPr>
                <w:rFonts w:hint="eastAsia" w:ascii="宋体" w:hAnsi="宋体" w:cs="宋体"/>
                <w:sz w:val="18"/>
                <w:szCs w:val="18"/>
              </w:rPr>
              <w:t>260</w:t>
            </w:r>
          </w:p>
        </w:tc>
        <w:tc>
          <w:tcPr>
            <w:tcW w:w="948" w:type="pct"/>
            <w:shd w:val="clear" w:color="auto" w:fill="auto"/>
            <w:vAlign w:val="center"/>
          </w:tcPr>
          <w:p w14:paraId="1F146972">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shd w:val="clear" w:color="auto" w:fill="auto"/>
            <w:vAlign w:val="center"/>
          </w:tcPr>
          <w:p w14:paraId="1ADFCA09">
            <w:pPr>
              <w:spacing w:line="240" w:lineRule="exact"/>
              <w:jc w:val="center"/>
              <w:rPr>
                <w:rFonts w:hint="eastAsia" w:ascii="宋体" w:hAnsi="宋体" w:cs="宋体"/>
                <w:sz w:val="18"/>
                <w:szCs w:val="18"/>
              </w:rPr>
            </w:pPr>
            <w:r>
              <w:rPr>
                <w:rFonts w:hint="eastAsia" w:ascii="宋体" w:hAnsi="宋体" w:cs="宋体"/>
                <w:sz w:val="18"/>
                <w:szCs w:val="18"/>
              </w:rPr>
              <w:t>230</w:t>
            </w:r>
          </w:p>
        </w:tc>
        <w:tc>
          <w:tcPr>
            <w:tcW w:w="573" w:type="pct"/>
            <w:shd w:val="clear" w:color="auto" w:fill="auto"/>
            <w:vAlign w:val="center"/>
          </w:tcPr>
          <w:p w14:paraId="1430960E">
            <w:pPr>
              <w:spacing w:line="240" w:lineRule="exact"/>
              <w:jc w:val="center"/>
              <w:rPr>
                <w:rFonts w:hint="eastAsia" w:ascii="宋体" w:hAnsi="宋体" w:cs="宋体"/>
                <w:sz w:val="18"/>
                <w:szCs w:val="18"/>
              </w:rPr>
            </w:pPr>
            <w:r>
              <w:rPr>
                <w:rFonts w:hint="eastAsia" w:ascii="宋体" w:hAnsi="宋体" w:cs="宋体"/>
                <w:sz w:val="18"/>
                <w:szCs w:val="18"/>
              </w:rPr>
              <w:t>570</w:t>
            </w:r>
          </w:p>
        </w:tc>
      </w:tr>
      <w:tr w14:paraId="617124EF">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720" w:type="pct"/>
            <w:vMerge w:val="continue"/>
            <w:shd w:val="clear" w:color="auto" w:fill="auto"/>
            <w:vAlign w:val="center"/>
          </w:tcPr>
          <w:p w14:paraId="2F448973">
            <w:pPr>
              <w:spacing w:line="240" w:lineRule="exact"/>
              <w:jc w:val="center"/>
              <w:rPr>
                <w:rFonts w:hint="eastAsia" w:ascii="宋体" w:hAnsi="宋体" w:cs="宋体"/>
                <w:sz w:val="18"/>
                <w:szCs w:val="18"/>
              </w:rPr>
            </w:pPr>
          </w:p>
        </w:tc>
        <w:tc>
          <w:tcPr>
            <w:tcW w:w="1020" w:type="pct"/>
            <w:shd w:val="clear" w:color="auto" w:fill="auto"/>
            <w:vAlign w:val="center"/>
          </w:tcPr>
          <w:p w14:paraId="2F028748">
            <w:pPr>
              <w:spacing w:line="240" w:lineRule="exact"/>
              <w:jc w:val="center"/>
              <w:rPr>
                <w:rFonts w:hint="eastAsia" w:ascii="宋体" w:hAnsi="宋体" w:cs="宋体"/>
                <w:sz w:val="18"/>
                <w:szCs w:val="18"/>
              </w:rPr>
            </w:pPr>
            <w:r>
              <w:rPr>
                <w:rFonts w:hint="eastAsia" w:ascii="宋体" w:hAnsi="宋体" w:cs="宋体"/>
                <w:sz w:val="18"/>
                <w:szCs w:val="18"/>
              </w:rPr>
              <w:t>Ⅲ</w:t>
            </w:r>
          </w:p>
        </w:tc>
        <w:tc>
          <w:tcPr>
            <w:tcW w:w="948" w:type="pct"/>
            <w:shd w:val="clear" w:color="auto" w:fill="auto"/>
            <w:vAlign w:val="center"/>
          </w:tcPr>
          <w:p w14:paraId="63389A8B">
            <w:pPr>
              <w:spacing w:line="240" w:lineRule="exact"/>
              <w:jc w:val="center"/>
              <w:rPr>
                <w:rFonts w:hint="eastAsia" w:ascii="宋体" w:hAnsi="宋体" w:cs="宋体"/>
                <w:sz w:val="18"/>
                <w:szCs w:val="18"/>
              </w:rPr>
            </w:pPr>
            <w:r>
              <w:rPr>
                <w:rFonts w:hint="eastAsia" w:ascii="宋体" w:hAnsi="宋体" w:cs="宋体"/>
                <w:sz w:val="18"/>
                <w:szCs w:val="18"/>
              </w:rPr>
              <w:t>250</w:t>
            </w:r>
          </w:p>
        </w:tc>
        <w:tc>
          <w:tcPr>
            <w:tcW w:w="948" w:type="pct"/>
            <w:shd w:val="clear" w:color="auto" w:fill="auto"/>
            <w:vAlign w:val="center"/>
          </w:tcPr>
          <w:p w14:paraId="676ED122">
            <w:pPr>
              <w:spacing w:line="240" w:lineRule="exact"/>
              <w:jc w:val="center"/>
              <w:rPr>
                <w:rFonts w:hint="eastAsia" w:ascii="宋体" w:hAnsi="宋体" w:cs="宋体"/>
                <w:sz w:val="18"/>
                <w:szCs w:val="18"/>
              </w:rPr>
            </w:pPr>
            <w:r>
              <w:rPr>
                <w:rFonts w:hint="eastAsia" w:ascii="宋体" w:hAnsi="宋体" w:cs="宋体"/>
                <w:sz w:val="18"/>
                <w:szCs w:val="18"/>
              </w:rPr>
              <w:t>600</w:t>
            </w:r>
          </w:p>
        </w:tc>
        <w:tc>
          <w:tcPr>
            <w:tcW w:w="789" w:type="pct"/>
            <w:shd w:val="clear" w:color="auto" w:fill="auto"/>
            <w:vAlign w:val="center"/>
          </w:tcPr>
          <w:p w14:paraId="1B7ABBA0">
            <w:pPr>
              <w:spacing w:line="240" w:lineRule="exact"/>
              <w:jc w:val="center"/>
              <w:rPr>
                <w:rFonts w:hint="eastAsia" w:ascii="宋体" w:hAnsi="宋体" w:cs="宋体"/>
                <w:sz w:val="18"/>
                <w:szCs w:val="18"/>
              </w:rPr>
            </w:pPr>
            <w:r>
              <w:rPr>
                <w:rFonts w:hint="eastAsia" w:ascii="宋体" w:hAnsi="宋体" w:cs="宋体"/>
                <w:sz w:val="18"/>
                <w:szCs w:val="18"/>
              </w:rPr>
              <w:t>240</w:t>
            </w:r>
          </w:p>
        </w:tc>
        <w:tc>
          <w:tcPr>
            <w:tcW w:w="573" w:type="pct"/>
            <w:shd w:val="clear" w:color="auto" w:fill="auto"/>
            <w:vAlign w:val="center"/>
          </w:tcPr>
          <w:p w14:paraId="4A211C99">
            <w:pPr>
              <w:spacing w:line="240" w:lineRule="exact"/>
              <w:jc w:val="center"/>
              <w:rPr>
                <w:rFonts w:hint="eastAsia" w:ascii="宋体" w:hAnsi="宋体" w:cs="宋体"/>
                <w:sz w:val="18"/>
                <w:szCs w:val="18"/>
              </w:rPr>
            </w:pPr>
            <w:r>
              <w:rPr>
                <w:rFonts w:hint="eastAsia" w:ascii="宋体" w:hAnsi="宋体" w:cs="宋体"/>
                <w:sz w:val="18"/>
                <w:szCs w:val="18"/>
              </w:rPr>
              <w:t>590</w:t>
            </w:r>
          </w:p>
        </w:tc>
      </w:tr>
    </w:tbl>
    <w:p w14:paraId="40525EFF">
      <w:pPr>
        <w:pStyle w:val="165"/>
      </w:pPr>
      <w:r>
        <w:rPr>
          <w:rFonts w:hint="eastAsia"/>
        </w:rPr>
        <w:t>零碳公共机构碳排放指标应满足下列条件之一：</w:t>
      </w:r>
    </w:p>
    <w:p w14:paraId="5D173865">
      <w:pPr>
        <w:pStyle w:val="174"/>
        <w:numPr>
          <w:ilvl w:val="0"/>
          <w:numId w:val="37"/>
        </w:numPr>
      </w:pPr>
      <w:r>
        <w:rPr>
          <w:rFonts w:hint="eastAsia"/>
        </w:rPr>
        <w:t>公共机构年碳排放总量应小于等于零；</w:t>
      </w:r>
    </w:p>
    <w:p w14:paraId="4BA86923">
      <w:pPr>
        <w:pStyle w:val="174"/>
      </w:pPr>
      <w:r>
        <w:rPr>
          <w:rFonts w:hint="eastAsia"/>
        </w:rPr>
        <w:t>公共机构应满足6.2.2的要求，经过碳抵消后的年碳排放总量应小于等于零，且碳抵消比例不超过基准公共机构碳排放量的30%。</w:t>
      </w:r>
    </w:p>
    <w:p w14:paraId="47FCA8F4">
      <w:pPr>
        <w:pStyle w:val="105"/>
        <w:spacing w:before="156" w:after="156"/>
      </w:pPr>
      <w:bookmarkStart w:id="67" w:name="_Toc183010995"/>
      <w:r>
        <w:rPr>
          <w:rFonts w:hint="eastAsia"/>
        </w:rPr>
        <w:t>公共机构建筑碳排放指标</w:t>
      </w:r>
      <w:bookmarkEnd w:id="67"/>
    </w:p>
    <w:p w14:paraId="32A098AC">
      <w:pPr>
        <w:pStyle w:val="65"/>
        <w:spacing w:before="156" w:after="156"/>
      </w:pPr>
      <w:r>
        <w:rPr>
          <w:rFonts w:hint="eastAsia"/>
        </w:rPr>
        <w:t>低碳公共机构建筑</w:t>
      </w:r>
    </w:p>
    <w:p w14:paraId="280DA978">
      <w:pPr>
        <w:pStyle w:val="164"/>
      </w:pPr>
      <w:r>
        <w:rPr>
          <w:rFonts w:hint="eastAsia"/>
        </w:rPr>
        <w:t>低碳公共机构建筑碳排放指标应满足下列条件之一：</w:t>
      </w:r>
    </w:p>
    <w:p w14:paraId="0983475C">
      <w:pPr>
        <w:pStyle w:val="174"/>
        <w:numPr>
          <w:ilvl w:val="0"/>
          <w:numId w:val="38"/>
        </w:numPr>
      </w:pPr>
      <w:r>
        <w:rPr>
          <w:rFonts w:hint="eastAsia"/>
        </w:rPr>
        <w:t>公共机构建筑降碳率应符合表3的规定：</w:t>
      </w:r>
    </w:p>
    <w:p w14:paraId="7852929B">
      <w:pPr>
        <w:pStyle w:val="112"/>
        <w:spacing w:before="156" w:after="156"/>
      </w:pPr>
      <w:bookmarkStart w:id="68" w:name="_Toc192174378"/>
      <w:r>
        <w:rPr>
          <w:rFonts w:hint="eastAsia"/>
        </w:rPr>
        <w:t>低碳公共机构建筑降碳率</w:t>
      </w:r>
      <w:bookmarkEnd w:id="68"/>
    </w:p>
    <w:tbl>
      <w:tblPr>
        <w:tblStyle w:val="26"/>
        <w:tblW w:w="5000"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4098"/>
        <w:gridCol w:w="2703"/>
        <w:gridCol w:w="2573"/>
      </w:tblGrid>
      <w:tr w14:paraId="556097B3">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2186" w:type="pct"/>
            <w:tcBorders>
              <w:top w:val="single" w:color="auto" w:sz="8" w:space="0"/>
              <w:bottom w:val="single" w:color="auto" w:sz="8" w:space="0"/>
            </w:tcBorders>
            <w:shd w:val="clear" w:color="auto" w:fill="auto"/>
            <w:vAlign w:val="center"/>
          </w:tcPr>
          <w:p w14:paraId="17353355">
            <w:pPr>
              <w:spacing w:line="240" w:lineRule="auto"/>
              <w:jc w:val="center"/>
              <w:rPr>
                <w:rFonts w:hint="eastAsia" w:ascii="宋体" w:hAnsi="宋体" w:cs="宋体"/>
                <w:sz w:val="18"/>
                <w:szCs w:val="18"/>
              </w:rPr>
            </w:pPr>
            <w:r>
              <w:rPr>
                <w:rFonts w:hint="eastAsia" w:ascii="宋体" w:hAnsi="宋体" w:cs="宋体"/>
                <w:sz w:val="18"/>
                <w:szCs w:val="18"/>
              </w:rPr>
              <w:t>气候区</w:t>
            </w:r>
          </w:p>
        </w:tc>
        <w:tc>
          <w:tcPr>
            <w:tcW w:w="1442" w:type="pct"/>
            <w:tcBorders>
              <w:top w:val="single" w:color="auto" w:sz="8" w:space="0"/>
              <w:bottom w:val="single" w:color="auto" w:sz="8" w:space="0"/>
            </w:tcBorders>
            <w:shd w:val="clear" w:color="auto" w:fill="auto"/>
            <w:vAlign w:val="center"/>
          </w:tcPr>
          <w:p w14:paraId="1168E1CF">
            <w:pPr>
              <w:spacing w:line="240" w:lineRule="auto"/>
              <w:jc w:val="center"/>
              <w:rPr>
                <w:rFonts w:hint="eastAsia" w:ascii="宋体" w:hAnsi="宋体" w:cs="宋体"/>
                <w:sz w:val="18"/>
                <w:szCs w:val="18"/>
              </w:rPr>
            </w:pPr>
            <w:r>
              <w:rPr>
                <w:rFonts w:hint="eastAsia" w:ascii="宋体" w:hAnsi="宋体" w:cs="宋体"/>
                <w:sz w:val="18"/>
                <w:szCs w:val="18"/>
              </w:rPr>
              <w:t>严寒地区</w:t>
            </w:r>
          </w:p>
        </w:tc>
        <w:tc>
          <w:tcPr>
            <w:tcW w:w="1372" w:type="pct"/>
            <w:tcBorders>
              <w:top w:val="single" w:color="auto" w:sz="8" w:space="0"/>
              <w:bottom w:val="single" w:color="auto" w:sz="8" w:space="0"/>
            </w:tcBorders>
            <w:shd w:val="clear" w:color="auto" w:fill="auto"/>
            <w:vAlign w:val="center"/>
          </w:tcPr>
          <w:p w14:paraId="770380FC">
            <w:pPr>
              <w:spacing w:line="240" w:lineRule="auto"/>
              <w:jc w:val="center"/>
              <w:rPr>
                <w:rFonts w:hint="eastAsia" w:ascii="宋体" w:hAnsi="宋体" w:cs="宋体"/>
                <w:sz w:val="18"/>
                <w:szCs w:val="18"/>
              </w:rPr>
            </w:pPr>
            <w:r>
              <w:rPr>
                <w:rFonts w:hint="eastAsia" w:ascii="宋体" w:hAnsi="宋体" w:cs="宋体"/>
                <w:sz w:val="18"/>
                <w:szCs w:val="18"/>
              </w:rPr>
              <w:t>寒冷地区</w:t>
            </w:r>
          </w:p>
        </w:tc>
      </w:tr>
      <w:tr w14:paraId="04AB3761">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2186" w:type="pct"/>
            <w:tcBorders>
              <w:top w:val="single" w:color="auto" w:sz="8" w:space="0"/>
            </w:tcBorders>
            <w:shd w:val="clear" w:color="auto" w:fill="auto"/>
            <w:vAlign w:val="center"/>
          </w:tcPr>
          <w:p w14:paraId="2717A3D6">
            <w:pPr>
              <w:spacing w:line="240" w:lineRule="auto"/>
              <w:jc w:val="center"/>
              <w:rPr>
                <w:rFonts w:hint="eastAsia" w:ascii="宋体" w:hAnsi="宋体" w:cs="宋体"/>
                <w:sz w:val="18"/>
                <w:szCs w:val="18"/>
              </w:rPr>
            </w:pPr>
            <w:r>
              <w:rPr>
                <w:rFonts w:hint="eastAsia" w:ascii="宋体" w:hAnsi="宋体" w:cs="宋体"/>
                <w:sz w:val="18"/>
                <w:szCs w:val="18"/>
              </w:rPr>
              <w:t>建筑降碳率</w:t>
            </w:r>
          </w:p>
        </w:tc>
        <w:tc>
          <w:tcPr>
            <w:tcW w:w="1442" w:type="pct"/>
            <w:tcBorders>
              <w:top w:val="single" w:color="auto" w:sz="8" w:space="0"/>
            </w:tcBorders>
            <w:shd w:val="clear" w:color="auto" w:fill="auto"/>
            <w:vAlign w:val="center"/>
          </w:tcPr>
          <w:p w14:paraId="3A3D8038">
            <w:pPr>
              <w:spacing w:line="240" w:lineRule="auto"/>
              <w:jc w:val="center"/>
              <w:rPr>
                <w:rFonts w:hint="eastAsia" w:ascii="宋体" w:hAnsi="宋体" w:cs="宋体"/>
                <w:sz w:val="18"/>
                <w:szCs w:val="18"/>
              </w:rPr>
            </w:pPr>
            <w:r>
              <w:rPr>
                <w:rFonts w:hint="eastAsia" w:ascii="宋体" w:hAnsi="宋体" w:cs="宋体"/>
                <w:sz w:val="18"/>
                <w:szCs w:val="18"/>
              </w:rPr>
              <w:t>≥40%</w:t>
            </w:r>
          </w:p>
        </w:tc>
        <w:tc>
          <w:tcPr>
            <w:tcW w:w="1372" w:type="pct"/>
            <w:tcBorders>
              <w:top w:val="single" w:color="auto" w:sz="8" w:space="0"/>
            </w:tcBorders>
            <w:shd w:val="clear" w:color="auto" w:fill="auto"/>
            <w:vAlign w:val="center"/>
          </w:tcPr>
          <w:p w14:paraId="7A93B13A">
            <w:pPr>
              <w:spacing w:line="240" w:lineRule="auto"/>
              <w:jc w:val="center"/>
              <w:rPr>
                <w:rFonts w:hint="eastAsia" w:ascii="宋体" w:hAnsi="宋体" w:cs="宋体"/>
                <w:sz w:val="18"/>
                <w:szCs w:val="18"/>
              </w:rPr>
            </w:pPr>
            <w:r>
              <w:rPr>
                <w:rFonts w:hint="eastAsia" w:ascii="宋体" w:hAnsi="宋体" w:cs="宋体"/>
                <w:sz w:val="18"/>
                <w:szCs w:val="18"/>
              </w:rPr>
              <w:t>≥35%</w:t>
            </w:r>
          </w:p>
        </w:tc>
      </w:tr>
    </w:tbl>
    <w:p w14:paraId="227A819D">
      <w:pPr>
        <w:pStyle w:val="174"/>
        <w:numPr>
          <w:ilvl w:val="0"/>
          <w:numId w:val="38"/>
        </w:numPr>
      </w:pPr>
      <w:r>
        <w:rPr>
          <w:rFonts w:hint="eastAsia"/>
        </w:rPr>
        <w:t>公共机构建筑碳排放强度应不高于表4规定的限值。</w:t>
      </w:r>
    </w:p>
    <w:p w14:paraId="64B4C795">
      <w:pPr>
        <w:pStyle w:val="112"/>
        <w:spacing w:before="156" w:after="156"/>
      </w:pPr>
      <w:bookmarkStart w:id="69" w:name="_Toc192174379"/>
      <w:r>
        <w:rPr>
          <w:rFonts w:hint="eastAsia"/>
        </w:rPr>
        <w:t>低碳公共机构建筑碳排放强度限值（kgCO</w:t>
      </w:r>
      <w:r>
        <w:rPr>
          <w:rFonts w:hint="eastAsia"/>
          <w:vertAlign w:val="subscript"/>
        </w:rPr>
        <w:t>2</w:t>
      </w:r>
      <w:r>
        <w:rPr>
          <w:rFonts w:hint="eastAsia"/>
        </w:rPr>
        <w:t>/m</w:t>
      </w:r>
      <w:r>
        <w:rPr>
          <w:rFonts w:hint="eastAsia"/>
          <w:vertAlign w:val="superscript"/>
        </w:rPr>
        <w:t>2</w:t>
      </w:r>
      <w:r>
        <w:rPr>
          <w:rFonts w:hint="eastAsia"/>
        </w:rPr>
        <w:t>·a）</w:t>
      </w:r>
      <w:bookmarkEnd w:id="69"/>
    </w:p>
    <w:tbl>
      <w:tblPr>
        <w:tblStyle w:val="26"/>
        <w:tblW w:w="4996"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1579"/>
        <w:gridCol w:w="1905"/>
        <w:gridCol w:w="1905"/>
        <w:gridCol w:w="2293"/>
        <w:gridCol w:w="1685"/>
      </w:tblGrid>
      <w:tr w14:paraId="6FEBC08B">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843" w:type="pct"/>
            <w:tcBorders>
              <w:top w:val="single" w:color="auto" w:sz="8" w:space="0"/>
              <w:bottom w:val="single" w:color="auto" w:sz="8" w:space="0"/>
            </w:tcBorders>
            <w:shd w:val="clear" w:color="auto" w:fill="auto"/>
            <w:vAlign w:val="center"/>
          </w:tcPr>
          <w:p w14:paraId="0A63CB18">
            <w:pPr>
              <w:spacing w:line="240" w:lineRule="auto"/>
              <w:ind w:firstLine="60"/>
              <w:jc w:val="center"/>
              <w:rPr>
                <w:rFonts w:hint="eastAsia" w:ascii="宋体" w:hAnsi="宋体" w:cs="宋体"/>
                <w:sz w:val="18"/>
                <w:szCs w:val="18"/>
              </w:rPr>
            </w:pPr>
            <w:r>
              <w:rPr>
                <w:rFonts w:hint="eastAsia" w:ascii="宋体" w:hAnsi="宋体" w:cs="宋体"/>
                <w:sz w:val="18"/>
                <w:szCs w:val="18"/>
              </w:rPr>
              <w:t>建筑类型气候区</w:t>
            </w:r>
          </w:p>
        </w:tc>
        <w:tc>
          <w:tcPr>
            <w:tcW w:w="1017" w:type="pct"/>
            <w:tcBorders>
              <w:top w:val="single" w:color="auto" w:sz="8" w:space="0"/>
              <w:bottom w:val="single" w:color="auto" w:sz="8" w:space="0"/>
            </w:tcBorders>
            <w:shd w:val="clear" w:color="auto" w:fill="auto"/>
            <w:vAlign w:val="center"/>
          </w:tcPr>
          <w:p w14:paraId="3D626565">
            <w:pPr>
              <w:spacing w:line="240" w:lineRule="auto"/>
              <w:jc w:val="center"/>
              <w:rPr>
                <w:rFonts w:hint="eastAsia" w:ascii="宋体" w:hAnsi="宋体" w:cs="宋体"/>
                <w:sz w:val="18"/>
                <w:szCs w:val="18"/>
              </w:rPr>
            </w:pPr>
            <w:r>
              <w:rPr>
                <w:rFonts w:hint="eastAsia" w:ascii="宋体" w:hAnsi="宋体" w:cs="宋体"/>
                <w:sz w:val="18"/>
                <w:szCs w:val="18"/>
              </w:rPr>
              <w:t>小型办公建筑</w:t>
            </w:r>
          </w:p>
        </w:tc>
        <w:tc>
          <w:tcPr>
            <w:tcW w:w="1017" w:type="pct"/>
            <w:tcBorders>
              <w:top w:val="single" w:color="auto" w:sz="8" w:space="0"/>
              <w:bottom w:val="single" w:color="auto" w:sz="8" w:space="0"/>
            </w:tcBorders>
            <w:shd w:val="clear" w:color="auto" w:fill="auto"/>
            <w:vAlign w:val="center"/>
          </w:tcPr>
          <w:p w14:paraId="465B47D0">
            <w:pPr>
              <w:spacing w:line="240" w:lineRule="auto"/>
              <w:jc w:val="center"/>
              <w:rPr>
                <w:rFonts w:hint="eastAsia" w:ascii="宋体" w:hAnsi="宋体" w:cs="宋体"/>
                <w:sz w:val="18"/>
                <w:szCs w:val="18"/>
              </w:rPr>
            </w:pPr>
            <w:r>
              <w:rPr>
                <w:rFonts w:hint="eastAsia" w:ascii="宋体" w:hAnsi="宋体" w:cs="宋体"/>
                <w:sz w:val="18"/>
                <w:szCs w:val="18"/>
              </w:rPr>
              <w:t>大型办公建筑</w:t>
            </w:r>
          </w:p>
        </w:tc>
        <w:tc>
          <w:tcPr>
            <w:tcW w:w="1224" w:type="pct"/>
            <w:tcBorders>
              <w:top w:val="single" w:color="auto" w:sz="8" w:space="0"/>
              <w:bottom w:val="single" w:color="auto" w:sz="8" w:space="0"/>
            </w:tcBorders>
            <w:shd w:val="clear" w:color="auto" w:fill="auto"/>
            <w:vAlign w:val="center"/>
          </w:tcPr>
          <w:p w14:paraId="69D575E6">
            <w:pPr>
              <w:spacing w:line="240" w:lineRule="auto"/>
              <w:jc w:val="center"/>
              <w:rPr>
                <w:rFonts w:hint="eastAsia" w:ascii="宋体" w:hAnsi="宋体" w:cs="宋体"/>
                <w:sz w:val="18"/>
                <w:szCs w:val="18"/>
              </w:rPr>
            </w:pPr>
            <w:r>
              <w:rPr>
                <w:rFonts w:hint="eastAsia" w:ascii="宋体" w:hAnsi="宋体" w:cs="宋体"/>
                <w:sz w:val="18"/>
                <w:szCs w:val="18"/>
              </w:rPr>
              <w:t>医院建筑-医技综合楼</w:t>
            </w:r>
          </w:p>
        </w:tc>
        <w:tc>
          <w:tcPr>
            <w:tcW w:w="900" w:type="pct"/>
            <w:tcBorders>
              <w:top w:val="single" w:color="auto" w:sz="8" w:space="0"/>
              <w:bottom w:val="single" w:color="auto" w:sz="8" w:space="0"/>
            </w:tcBorders>
            <w:shd w:val="clear" w:color="auto" w:fill="auto"/>
            <w:vAlign w:val="center"/>
          </w:tcPr>
          <w:p w14:paraId="4B47EC9F">
            <w:pPr>
              <w:spacing w:line="240" w:lineRule="auto"/>
              <w:jc w:val="center"/>
              <w:rPr>
                <w:rFonts w:hint="eastAsia" w:ascii="宋体" w:hAnsi="宋体" w:cs="宋体"/>
                <w:sz w:val="18"/>
                <w:szCs w:val="18"/>
              </w:rPr>
            </w:pPr>
            <w:r>
              <w:rPr>
                <w:rFonts w:hint="eastAsia" w:ascii="宋体" w:hAnsi="宋体" w:cs="宋体"/>
                <w:sz w:val="18"/>
                <w:szCs w:val="18"/>
              </w:rPr>
              <w:t>学校建筑-教学楼</w:t>
            </w:r>
          </w:p>
        </w:tc>
      </w:tr>
      <w:tr w14:paraId="6A89A9CB">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843" w:type="pct"/>
            <w:tcBorders>
              <w:top w:val="single" w:color="auto" w:sz="8" w:space="0"/>
            </w:tcBorders>
            <w:shd w:val="clear" w:color="auto" w:fill="auto"/>
            <w:vAlign w:val="center"/>
          </w:tcPr>
          <w:p w14:paraId="68C06E0C">
            <w:pPr>
              <w:spacing w:line="240" w:lineRule="auto"/>
              <w:jc w:val="center"/>
              <w:rPr>
                <w:rFonts w:hint="eastAsia" w:ascii="宋体" w:hAnsi="宋体" w:cs="宋体"/>
                <w:sz w:val="18"/>
                <w:szCs w:val="18"/>
              </w:rPr>
            </w:pPr>
            <w:r>
              <w:rPr>
                <w:rFonts w:hint="eastAsia" w:ascii="宋体" w:hAnsi="宋体" w:cs="宋体"/>
                <w:sz w:val="18"/>
                <w:szCs w:val="18"/>
              </w:rPr>
              <w:t>严寒地区</w:t>
            </w:r>
          </w:p>
        </w:tc>
        <w:tc>
          <w:tcPr>
            <w:tcW w:w="1017" w:type="pct"/>
            <w:tcBorders>
              <w:top w:val="single" w:color="auto" w:sz="8" w:space="0"/>
            </w:tcBorders>
            <w:shd w:val="clear" w:color="auto" w:fill="auto"/>
            <w:vAlign w:val="center"/>
          </w:tcPr>
          <w:p w14:paraId="7A0D435E">
            <w:pPr>
              <w:spacing w:line="240" w:lineRule="auto"/>
              <w:jc w:val="center"/>
              <w:rPr>
                <w:rFonts w:hint="eastAsia" w:ascii="宋体" w:hAnsi="宋体" w:cs="宋体"/>
                <w:sz w:val="18"/>
                <w:szCs w:val="18"/>
              </w:rPr>
            </w:pPr>
            <w:r>
              <w:rPr>
                <w:rFonts w:hint="eastAsia" w:ascii="宋体" w:hAnsi="宋体" w:cs="宋体"/>
                <w:sz w:val="18"/>
                <w:szCs w:val="18"/>
              </w:rPr>
              <w:t>23</w:t>
            </w:r>
          </w:p>
        </w:tc>
        <w:tc>
          <w:tcPr>
            <w:tcW w:w="1017" w:type="pct"/>
            <w:tcBorders>
              <w:top w:val="single" w:color="auto" w:sz="8" w:space="0"/>
            </w:tcBorders>
            <w:shd w:val="clear" w:color="auto" w:fill="auto"/>
            <w:vAlign w:val="center"/>
          </w:tcPr>
          <w:p w14:paraId="69208DEA">
            <w:pPr>
              <w:spacing w:line="240" w:lineRule="auto"/>
              <w:jc w:val="center"/>
              <w:rPr>
                <w:rFonts w:hint="eastAsia" w:ascii="宋体" w:hAnsi="宋体" w:cs="宋体"/>
                <w:sz w:val="18"/>
                <w:szCs w:val="18"/>
              </w:rPr>
            </w:pPr>
            <w:r>
              <w:rPr>
                <w:rFonts w:hint="eastAsia" w:ascii="宋体" w:hAnsi="宋体" w:cs="宋体"/>
                <w:sz w:val="18"/>
                <w:szCs w:val="18"/>
              </w:rPr>
              <w:t>25</w:t>
            </w:r>
          </w:p>
        </w:tc>
        <w:tc>
          <w:tcPr>
            <w:tcW w:w="1224" w:type="pct"/>
            <w:tcBorders>
              <w:top w:val="single" w:color="auto" w:sz="8" w:space="0"/>
            </w:tcBorders>
            <w:shd w:val="clear" w:color="auto" w:fill="auto"/>
            <w:vAlign w:val="center"/>
          </w:tcPr>
          <w:p w14:paraId="32E1E80C">
            <w:pPr>
              <w:spacing w:line="240" w:lineRule="auto"/>
              <w:jc w:val="center"/>
              <w:rPr>
                <w:rFonts w:hint="eastAsia" w:ascii="宋体" w:hAnsi="宋体" w:cs="宋体"/>
                <w:sz w:val="18"/>
                <w:szCs w:val="18"/>
              </w:rPr>
            </w:pPr>
            <w:r>
              <w:rPr>
                <w:rFonts w:hint="eastAsia" w:ascii="宋体" w:hAnsi="宋体" w:cs="宋体"/>
                <w:sz w:val="18"/>
                <w:szCs w:val="18"/>
              </w:rPr>
              <w:t>55</w:t>
            </w:r>
          </w:p>
        </w:tc>
        <w:tc>
          <w:tcPr>
            <w:tcW w:w="900" w:type="pct"/>
            <w:tcBorders>
              <w:top w:val="single" w:color="auto" w:sz="8" w:space="0"/>
            </w:tcBorders>
            <w:shd w:val="clear" w:color="auto" w:fill="auto"/>
            <w:vAlign w:val="center"/>
          </w:tcPr>
          <w:p w14:paraId="1EA05F47">
            <w:pPr>
              <w:spacing w:line="240" w:lineRule="auto"/>
              <w:jc w:val="center"/>
              <w:rPr>
                <w:rFonts w:hint="eastAsia" w:ascii="宋体" w:hAnsi="宋体" w:cs="宋体"/>
                <w:sz w:val="18"/>
                <w:szCs w:val="18"/>
              </w:rPr>
            </w:pPr>
            <w:r>
              <w:rPr>
                <w:rFonts w:hint="eastAsia" w:ascii="宋体" w:hAnsi="宋体" w:cs="宋体"/>
                <w:sz w:val="18"/>
                <w:szCs w:val="18"/>
              </w:rPr>
              <w:t>15</w:t>
            </w:r>
          </w:p>
        </w:tc>
      </w:tr>
      <w:tr w14:paraId="552B7361">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843" w:type="pct"/>
            <w:shd w:val="clear" w:color="auto" w:fill="auto"/>
            <w:vAlign w:val="center"/>
          </w:tcPr>
          <w:p w14:paraId="39456AE3">
            <w:pPr>
              <w:spacing w:line="240" w:lineRule="auto"/>
              <w:jc w:val="center"/>
              <w:rPr>
                <w:rFonts w:hint="eastAsia" w:ascii="宋体" w:hAnsi="宋体" w:cs="宋体"/>
                <w:sz w:val="18"/>
                <w:szCs w:val="18"/>
              </w:rPr>
            </w:pPr>
            <w:r>
              <w:rPr>
                <w:rFonts w:hint="eastAsia" w:ascii="宋体" w:hAnsi="宋体" w:cs="宋体"/>
                <w:sz w:val="18"/>
                <w:szCs w:val="18"/>
              </w:rPr>
              <w:t>寒冷地区</w:t>
            </w:r>
          </w:p>
        </w:tc>
        <w:tc>
          <w:tcPr>
            <w:tcW w:w="1017" w:type="pct"/>
            <w:shd w:val="clear" w:color="auto" w:fill="auto"/>
            <w:vAlign w:val="center"/>
          </w:tcPr>
          <w:p w14:paraId="21E4DEFF">
            <w:pPr>
              <w:spacing w:line="240" w:lineRule="auto"/>
              <w:jc w:val="center"/>
              <w:rPr>
                <w:rFonts w:hint="eastAsia" w:ascii="宋体" w:hAnsi="宋体" w:cs="宋体"/>
                <w:sz w:val="18"/>
                <w:szCs w:val="18"/>
              </w:rPr>
            </w:pPr>
            <w:r>
              <w:rPr>
                <w:rFonts w:hint="eastAsia" w:ascii="宋体" w:hAnsi="宋体" w:cs="宋体"/>
                <w:sz w:val="18"/>
                <w:szCs w:val="18"/>
              </w:rPr>
              <w:t>21</w:t>
            </w:r>
          </w:p>
        </w:tc>
        <w:tc>
          <w:tcPr>
            <w:tcW w:w="1017" w:type="pct"/>
            <w:shd w:val="clear" w:color="auto" w:fill="auto"/>
            <w:vAlign w:val="center"/>
          </w:tcPr>
          <w:p w14:paraId="0367F6EB">
            <w:pPr>
              <w:spacing w:line="240" w:lineRule="auto"/>
              <w:jc w:val="center"/>
              <w:rPr>
                <w:rFonts w:hint="eastAsia" w:ascii="宋体" w:hAnsi="宋体" w:cs="宋体"/>
                <w:sz w:val="18"/>
                <w:szCs w:val="18"/>
              </w:rPr>
            </w:pPr>
            <w:r>
              <w:rPr>
                <w:rFonts w:hint="eastAsia" w:ascii="宋体" w:hAnsi="宋体" w:cs="宋体"/>
                <w:sz w:val="18"/>
                <w:szCs w:val="18"/>
              </w:rPr>
              <w:t>25</w:t>
            </w:r>
          </w:p>
        </w:tc>
        <w:tc>
          <w:tcPr>
            <w:tcW w:w="1224" w:type="pct"/>
            <w:shd w:val="clear" w:color="auto" w:fill="auto"/>
            <w:vAlign w:val="center"/>
          </w:tcPr>
          <w:p w14:paraId="7AF02E71">
            <w:pPr>
              <w:spacing w:line="240" w:lineRule="auto"/>
              <w:jc w:val="center"/>
              <w:rPr>
                <w:rFonts w:hint="eastAsia" w:ascii="宋体" w:hAnsi="宋体" w:cs="宋体"/>
                <w:sz w:val="18"/>
                <w:szCs w:val="18"/>
              </w:rPr>
            </w:pPr>
            <w:r>
              <w:rPr>
                <w:rFonts w:hint="eastAsia" w:ascii="宋体" w:hAnsi="宋体" w:cs="宋体"/>
                <w:sz w:val="18"/>
                <w:szCs w:val="18"/>
              </w:rPr>
              <w:t>55</w:t>
            </w:r>
          </w:p>
        </w:tc>
        <w:tc>
          <w:tcPr>
            <w:tcW w:w="900" w:type="pct"/>
            <w:shd w:val="clear" w:color="auto" w:fill="auto"/>
            <w:vAlign w:val="center"/>
          </w:tcPr>
          <w:p w14:paraId="383AE156">
            <w:pPr>
              <w:spacing w:line="240" w:lineRule="auto"/>
              <w:jc w:val="center"/>
              <w:rPr>
                <w:rFonts w:hint="eastAsia" w:ascii="宋体" w:hAnsi="宋体" w:cs="宋体"/>
                <w:sz w:val="18"/>
                <w:szCs w:val="18"/>
              </w:rPr>
            </w:pPr>
            <w:r>
              <w:rPr>
                <w:rFonts w:hint="eastAsia" w:ascii="宋体" w:hAnsi="宋体" w:cs="宋体"/>
                <w:sz w:val="18"/>
                <w:szCs w:val="18"/>
              </w:rPr>
              <w:t>16</w:t>
            </w:r>
          </w:p>
        </w:tc>
      </w:tr>
    </w:tbl>
    <w:p w14:paraId="253A2436">
      <w:pPr>
        <w:pStyle w:val="65"/>
        <w:spacing w:before="156" w:after="156"/>
      </w:pPr>
      <w:r>
        <w:rPr>
          <w:rFonts w:hint="eastAsia"/>
        </w:rPr>
        <w:t>近零碳公共机构建筑</w:t>
      </w:r>
    </w:p>
    <w:p w14:paraId="64D04A4B">
      <w:pPr>
        <w:pStyle w:val="164"/>
      </w:pPr>
      <w:r>
        <w:rPr>
          <w:rFonts w:hint="eastAsia"/>
        </w:rPr>
        <w:t>近零碳公共机构建筑碳排放指标应满足下列条件之一：</w:t>
      </w:r>
    </w:p>
    <w:p w14:paraId="55E1EB4B">
      <w:pPr>
        <w:pStyle w:val="174"/>
        <w:numPr>
          <w:ilvl w:val="0"/>
          <w:numId w:val="39"/>
        </w:numPr>
      </w:pPr>
      <w:r>
        <w:rPr>
          <w:rFonts w:hint="eastAsia"/>
        </w:rPr>
        <w:t>公共机构建筑降碳率应符合表5的规定：</w:t>
      </w:r>
    </w:p>
    <w:p w14:paraId="0DE49274">
      <w:pPr>
        <w:pStyle w:val="112"/>
        <w:spacing w:before="156" w:after="156"/>
      </w:pPr>
      <w:bookmarkStart w:id="70" w:name="_Toc192174380"/>
      <w:r>
        <w:rPr>
          <w:rFonts w:hint="eastAsia"/>
        </w:rPr>
        <w:t>近零碳公共机构建筑降碳率</w:t>
      </w:r>
      <w:bookmarkEnd w:id="70"/>
    </w:p>
    <w:tbl>
      <w:tblPr>
        <w:tblStyle w:val="26"/>
        <w:tblW w:w="5000"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4065"/>
        <w:gridCol w:w="2696"/>
        <w:gridCol w:w="2613"/>
      </w:tblGrid>
      <w:tr w14:paraId="633036F7">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2168" w:type="pct"/>
            <w:tcBorders>
              <w:top w:val="single" w:color="auto" w:sz="8" w:space="0"/>
              <w:bottom w:val="single" w:color="auto" w:sz="8" w:space="0"/>
            </w:tcBorders>
            <w:shd w:val="clear" w:color="auto" w:fill="auto"/>
            <w:vAlign w:val="center"/>
          </w:tcPr>
          <w:p w14:paraId="6BB4F993">
            <w:pPr>
              <w:spacing w:line="240" w:lineRule="auto"/>
              <w:jc w:val="center"/>
              <w:rPr>
                <w:rFonts w:hint="eastAsia" w:ascii="宋体" w:hAnsi="宋体" w:cs="宋体"/>
                <w:sz w:val="18"/>
                <w:szCs w:val="18"/>
              </w:rPr>
            </w:pPr>
            <w:r>
              <w:rPr>
                <w:rFonts w:hint="eastAsia" w:ascii="宋体" w:hAnsi="宋体" w:cs="宋体"/>
                <w:sz w:val="18"/>
                <w:szCs w:val="18"/>
              </w:rPr>
              <w:t>气候区</w:t>
            </w:r>
          </w:p>
        </w:tc>
        <w:tc>
          <w:tcPr>
            <w:tcW w:w="1438" w:type="pct"/>
            <w:tcBorders>
              <w:top w:val="single" w:color="auto" w:sz="8" w:space="0"/>
              <w:bottom w:val="single" w:color="auto" w:sz="8" w:space="0"/>
            </w:tcBorders>
            <w:shd w:val="clear" w:color="auto" w:fill="auto"/>
            <w:vAlign w:val="center"/>
          </w:tcPr>
          <w:p w14:paraId="598D1866">
            <w:pPr>
              <w:spacing w:line="240" w:lineRule="auto"/>
              <w:jc w:val="center"/>
              <w:rPr>
                <w:rFonts w:hint="eastAsia" w:ascii="宋体" w:hAnsi="宋体" w:cs="宋体"/>
                <w:sz w:val="18"/>
                <w:szCs w:val="18"/>
              </w:rPr>
            </w:pPr>
            <w:r>
              <w:rPr>
                <w:rFonts w:hint="eastAsia" w:ascii="宋体" w:hAnsi="宋体" w:cs="宋体"/>
                <w:sz w:val="18"/>
                <w:szCs w:val="18"/>
              </w:rPr>
              <w:t>严寒地区</w:t>
            </w:r>
          </w:p>
        </w:tc>
        <w:tc>
          <w:tcPr>
            <w:tcW w:w="1394" w:type="pct"/>
            <w:tcBorders>
              <w:top w:val="single" w:color="auto" w:sz="8" w:space="0"/>
              <w:bottom w:val="single" w:color="auto" w:sz="8" w:space="0"/>
            </w:tcBorders>
            <w:shd w:val="clear" w:color="auto" w:fill="auto"/>
            <w:vAlign w:val="center"/>
          </w:tcPr>
          <w:p w14:paraId="17D89B7B">
            <w:pPr>
              <w:spacing w:line="240" w:lineRule="auto"/>
              <w:jc w:val="center"/>
              <w:rPr>
                <w:rFonts w:hint="eastAsia" w:ascii="宋体" w:hAnsi="宋体" w:cs="宋体"/>
                <w:sz w:val="18"/>
                <w:szCs w:val="18"/>
              </w:rPr>
            </w:pPr>
            <w:r>
              <w:rPr>
                <w:rFonts w:hint="eastAsia" w:ascii="宋体" w:hAnsi="宋体" w:cs="宋体"/>
                <w:sz w:val="18"/>
                <w:szCs w:val="18"/>
              </w:rPr>
              <w:t>寒冷地区</w:t>
            </w:r>
          </w:p>
        </w:tc>
      </w:tr>
      <w:tr w14:paraId="0B42CE32">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rPr>
        <w:tc>
          <w:tcPr>
            <w:tcW w:w="2168" w:type="pct"/>
            <w:tcBorders>
              <w:top w:val="single" w:color="auto" w:sz="8" w:space="0"/>
            </w:tcBorders>
            <w:shd w:val="clear" w:color="auto" w:fill="auto"/>
            <w:vAlign w:val="center"/>
          </w:tcPr>
          <w:p w14:paraId="4B28D84E">
            <w:pPr>
              <w:spacing w:line="240" w:lineRule="auto"/>
              <w:jc w:val="center"/>
              <w:rPr>
                <w:rFonts w:hint="eastAsia" w:ascii="宋体" w:hAnsi="宋体" w:cs="宋体"/>
                <w:sz w:val="18"/>
                <w:szCs w:val="18"/>
              </w:rPr>
            </w:pPr>
            <w:r>
              <w:rPr>
                <w:rFonts w:hint="eastAsia" w:ascii="宋体" w:hAnsi="宋体" w:cs="宋体"/>
                <w:sz w:val="18"/>
                <w:szCs w:val="18"/>
              </w:rPr>
              <w:t>建筑降碳率</w:t>
            </w:r>
          </w:p>
        </w:tc>
        <w:tc>
          <w:tcPr>
            <w:tcW w:w="1438" w:type="pct"/>
            <w:tcBorders>
              <w:top w:val="single" w:color="auto" w:sz="8" w:space="0"/>
            </w:tcBorders>
            <w:shd w:val="clear" w:color="auto" w:fill="auto"/>
            <w:vAlign w:val="center"/>
          </w:tcPr>
          <w:p w14:paraId="2F157E0C">
            <w:pPr>
              <w:spacing w:line="240" w:lineRule="auto"/>
              <w:jc w:val="center"/>
              <w:rPr>
                <w:rFonts w:hint="eastAsia" w:ascii="宋体" w:hAnsi="宋体" w:cs="宋体"/>
                <w:sz w:val="18"/>
                <w:szCs w:val="18"/>
              </w:rPr>
            </w:pPr>
            <w:r>
              <w:rPr>
                <w:rFonts w:hint="eastAsia" w:ascii="宋体" w:hAnsi="宋体" w:cs="宋体"/>
                <w:sz w:val="18"/>
                <w:szCs w:val="18"/>
              </w:rPr>
              <w:t>≥55%</w:t>
            </w:r>
          </w:p>
        </w:tc>
        <w:tc>
          <w:tcPr>
            <w:tcW w:w="1394" w:type="pct"/>
            <w:tcBorders>
              <w:top w:val="single" w:color="auto" w:sz="8" w:space="0"/>
            </w:tcBorders>
            <w:shd w:val="clear" w:color="auto" w:fill="auto"/>
            <w:vAlign w:val="center"/>
          </w:tcPr>
          <w:p w14:paraId="58AD764A">
            <w:pPr>
              <w:spacing w:line="240" w:lineRule="auto"/>
              <w:jc w:val="center"/>
              <w:rPr>
                <w:rFonts w:hint="eastAsia" w:ascii="宋体" w:hAnsi="宋体" w:cs="宋体"/>
                <w:sz w:val="18"/>
                <w:szCs w:val="18"/>
              </w:rPr>
            </w:pPr>
            <w:r>
              <w:rPr>
                <w:rFonts w:hint="eastAsia" w:ascii="宋体" w:hAnsi="宋体" w:cs="宋体"/>
                <w:sz w:val="18"/>
                <w:szCs w:val="18"/>
              </w:rPr>
              <w:t>≥50%</w:t>
            </w:r>
          </w:p>
        </w:tc>
      </w:tr>
    </w:tbl>
    <w:p w14:paraId="3CFFAC6F">
      <w:pPr>
        <w:pStyle w:val="174"/>
        <w:numPr>
          <w:ilvl w:val="0"/>
          <w:numId w:val="39"/>
        </w:numPr>
      </w:pPr>
      <w:r>
        <w:rPr>
          <w:rFonts w:hint="eastAsia"/>
        </w:rPr>
        <w:t>公共机构建筑碳排放强度应不高于表6限值的规定。</w:t>
      </w:r>
    </w:p>
    <w:p w14:paraId="02C75A1C">
      <w:pPr>
        <w:pStyle w:val="112"/>
        <w:spacing w:before="156" w:after="156"/>
        <w:rPr>
          <w:spacing w:val="11"/>
        </w:rPr>
      </w:pPr>
      <w:bookmarkStart w:id="71" w:name="_Toc192174381"/>
      <w:r>
        <w:rPr>
          <w:rFonts w:hint="eastAsia"/>
        </w:rPr>
        <w:t>近零碳公共机构建筑碳排放强度</w:t>
      </w:r>
      <w:r>
        <w:rPr>
          <w:rFonts w:hint="eastAsia"/>
          <w:spacing w:val="11"/>
        </w:rPr>
        <w:t>（</w:t>
      </w:r>
      <w:r>
        <w:rPr>
          <w:rFonts w:hint="eastAsia"/>
          <w:spacing w:val="-6"/>
        </w:rPr>
        <w:t>kgCO</w:t>
      </w:r>
      <w:r>
        <w:rPr>
          <w:rFonts w:hint="eastAsia"/>
          <w:spacing w:val="-6"/>
          <w:vertAlign w:val="subscript"/>
        </w:rPr>
        <w:t>2</w:t>
      </w:r>
      <w:r>
        <w:rPr>
          <w:rFonts w:hint="eastAsia"/>
          <w:spacing w:val="-6"/>
        </w:rPr>
        <w:t>/m</w:t>
      </w:r>
      <w:r>
        <w:rPr>
          <w:rFonts w:hint="eastAsia"/>
          <w:spacing w:val="-6"/>
          <w:vertAlign w:val="superscript"/>
        </w:rPr>
        <w:t>2</w:t>
      </w:r>
      <w:r>
        <w:rPr>
          <w:rFonts w:hint="eastAsia"/>
          <w:spacing w:val="-6"/>
        </w:rPr>
        <w:t>·a</w:t>
      </w:r>
      <w:r>
        <w:rPr>
          <w:rFonts w:hint="eastAsia"/>
          <w:spacing w:val="11"/>
        </w:rPr>
        <w:t>）</w:t>
      </w:r>
      <w:bookmarkEnd w:id="71"/>
    </w:p>
    <w:tbl>
      <w:tblPr>
        <w:tblStyle w:val="26"/>
        <w:tblW w:w="4998" w:type="pct"/>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0" w:type="dxa"/>
          <w:bottom w:w="0" w:type="dxa"/>
          <w:right w:w="0" w:type="dxa"/>
        </w:tblCellMar>
      </w:tblPr>
      <w:tblGrid>
        <w:gridCol w:w="742"/>
        <w:gridCol w:w="1725"/>
        <w:gridCol w:w="1479"/>
        <w:gridCol w:w="1479"/>
        <w:gridCol w:w="2216"/>
        <w:gridCol w:w="1729"/>
      </w:tblGrid>
      <w:tr w14:paraId="238F5B2F">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396" w:type="pct"/>
            <w:vMerge w:val="restart"/>
            <w:shd w:val="clear" w:color="auto" w:fill="auto"/>
            <w:vAlign w:val="center"/>
          </w:tcPr>
          <w:p w14:paraId="30BF1F63">
            <w:pPr>
              <w:spacing w:line="240" w:lineRule="exact"/>
              <w:jc w:val="center"/>
              <w:rPr>
                <w:rFonts w:hint="eastAsia" w:ascii="宋体" w:hAnsi="宋体" w:cs="宋体"/>
                <w:sz w:val="18"/>
                <w:szCs w:val="18"/>
              </w:rPr>
            </w:pPr>
            <w:r>
              <w:rPr>
                <w:rFonts w:hint="eastAsia" w:ascii="宋体" w:hAnsi="宋体" w:cs="宋体"/>
                <w:sz w:val="18"/>
                <w:szCs w:val="18"/>
              </w:rPr>
              <w:t>气候区</w:t>
            </w:r>
          </w:p>
        </w:tc>
        <w:tc>
          <w:tcPr>
            <w:tcW w:w="920" w:type="pct"/>
            <w:vMerge w:val="restart"/>
            <w:shd w:val="clear" w:color="auto" w:fill="auto"/>
            <w:vAlign w:val="center"/>
          </w:tcPr>
          <w:p w14:paraId="41F6DB9E">
            <w:pPr>
              <w:spacing w:line="240" w:lineRule="exact"/>
              <w:jc w:val="center"/>
              <w:rPr>
                <w:rFonts w:hint="eastAsia" w:ascii="宋体" w:hAnsi="宋体" w:cs="宋体"/>
                <w:sz w:val="18"/>
                <w:szCs w:val="18"/>
              </w:rPr>
            </w:pPr>
            <w:r>
              <w:rPr>
                <w:rFonts w:hint="eastAsia" w:ascii="宋体" w:hAnsi="宋体" w:cs="宋体"/>
                <w:sz w:val="18"/>
                <w:szCs w:val="18"/>
              </w:rPr>
              <w:t>太阳辐照量等级</w:t>
            </w:r>
          </w:p>
        </w:tc>
        <w:tc>
          <w:tcPr>
            <w:tcW w:w="3682" w:type="pct"/>
            <w:gridSpan w:val="4"/>
            <w:shd w:val="clear" w:color="auto" w:fill="auto"/>
            <w:vAlign w:val="center"/>
          </w:tcPr>
          <w:p w14:paraId="376640F1">
            <w:pPr>
              <w:spacing w:line="240" w:lineRule="exact"/>
              <w:jc w:val="center"/>
              <w:rPr>
                <w:rFonts w:hint="eastAsia" w:ascii="宋体" w:hAnsi="宋体" w:cs="宋体"/>
                <w:sz w:val="18"/>
                <w:szCs w:val="18"/>
              </w:rPr>
            </w:pPr>
            <w:r>
              <w:rPr>
                <w:rFonts w:hint="eastAsia" w:ascii="宋体" w:hAnsi="宋体" w:cs="宋体"/>
                <w:sz w:val="18"/>
                <w:szCs w:val="18"/>
              </w:rPr>
              <w:t>建筑类型</w:t>
            </w:r>
          </w:p>
        </w:tc>
      </w:tr>
      <w:tr w14:paraId="4FFDE9FD">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atLeast"/>
          <w:tblHeader/>
        </w:trPr>
        <w:tc>
          <w:tcPr>
            <w:tcW w:w="396" w:type="pct"/>
            <w:vMerge w:val="continue"/>
            <w:shd w:val="clear" w:color="auto" w:fill="auto"/>
          </w:tcPr>
          <w:p w14:paraId="26DB0B8E">
            <w:pPr>
              <w:spacing w:line="240" w:lineRule="exact"/>
              <w:rPr>
                <w:rFonts w:hint="eastAsia" w:ascii="宋体" w:hAnsi="宋体" w:cs="宋体"/>
                <w:sz w:val="18"/>
                <w:szCs w:val="18"/>
              </w:rPr>
            </w:pPr>
          </w:p>
        </w:tc>
        <w:tc>
          <w:tcPr>
            <w:tcW w:w="920" w:type="pct"/>
            <w:vMerge w:val="continue"/>
            <w:shd w:val="clear" w:color="auto" w:fill="auto"/>
          </w:tcPr>
          <w:p w14:paraId="18017821">
            <w:pPr>
              <w:spacing w:line="240" w:lineRule="exact"/>
              <w:rPr>
                <w:rFonts w:hint="eastAsia" w:ascii="宋体" w:hAnsi="宋体" w:cs="宋体"/>
                <w:sz w:val="18"/>
                <w:szCs w:val="18"/>
              </w:rPr>
            </w:pPr>
          </w:p>
        </w:tc>
        <w:tc>
          <w:tcPr>
            <w:tcW w:w="789" w:type="pct"/>
            <w:shd w:val="clear" w:color="auto" w:fill="auto"/>
            <w:vAlign w:val="center"/>
          </w:tcPr>
          <w:p w14:paraId="235B06C2">
            <w:pPr>
              <w:spacing w:line="240" w:lineRule="exact"/>
              <w:jc w:val="center"/>
              <w:rPr>
                <w:rFonts w:hint="eastAsia" w:ascii="宋体" w:hAnsi="宋体" w:cs="宋体"/>
                <w:sz w:val="18"/>
                <w:szCs w:val="18"/>
              </w:rPr>
            </w:pPr>
            <w:r>
              <w:rPr>
                <w:rFonts w:hint="eastAsia" w:ascii="宋体" w:hAnsi="宋体" w:cs="宋体"/>
                <w:sz w:val="18"/>
                <w:szCs w:val="18"/>
              </w:rPr>
              <w:t>小型办公建筑</w:t>
            </w:r>
          </w:p>
        </w:tc>
        <w:tc>
          <w:tcPr>
            <w:tcW w:w="789" w:type="pct"/>
            <w:shd w:val="clear" w:color="auto" w:fill="auto"/>
            <w:vAlign w:val="center"/>
          </w:tcPr>
          <w:p w14:paraId="12546C5F">
            <w:pPr>
              <w:spacing w:line="240" w:lineRule="exact"/>
              <w:jc w:val="center"/>
              <w:rPr>
                <w:rFonts w:hint="eastAsia" w:ascii="宋体" w:hAnsi="宋体" w:cs="宋体"/>
                <w:sz w:val="18"/>
                <w:szCs w:val="18"/>
              </w:rPr>
            </w:pPr>
            <w:r>
              <w:rPr>
                <w:rFonts w:hint="eastAsia" w:ascii="宋体" w:hAnsi="宋体" w:cs="宋体"/>
                <w:sz w:val="18"/>
                <w:szCs w:val="18"/>
              </w:rPr>
              <w:t>大型办公建筑</w:t>
            </w:r>
          </w:p>
        </w:tc>
        <w:tc>
          <w:tcPr>
            <w:tcW w:w="1182" w:type="pct"/>
            <w:shd w:val="clear" w:color="auto" w:fill="auto"/>
            <w:vAlign w:val="center"/>
          </w:tcPr>
          <w:p w14:paraId="219A7930">
            <w:pPr>
              <w:spacing w:line="240" w:lineRule="exact"/>
              <w:jc w:val="center"/>
              <w:rPr>
                <w:rFonts w:hint="eastAsia" w:ascii="宋体" w:hAnsi="宋体" w:cs="宋体"/>
                <w:sz w:val="18"/>
                <w:szCs w:val="18"/>
              </w:rPr>
            </w:pPr>
            <w:r>
              <w:rPr>
                <w:rFonts w:hint="eastAsia" w:ascii="宋体" w:hAnsi="宋体" w:cs="宋体"/>
                <w:sz w:val="18"/>
                <w:szCs w:val="18"/>
              </w:rPr>
              <w:t>医院建筑医技综合楼</w:t>
            </w:r>
          </w:p>
        </w:tc>
        <w:tc>
          <w:tcPr>
            <w:tcW w:w="921" w:type="pct"/>
            <w:shd w:val="clear" w:color="auto" w:fill="auto"/>
            <w:vAlign w:val="center"/>
          </w:tcPr>
          <w:p w14:paraId="702B8EAC">
            <w:pPr>
              <w:spacing w:line="240" w:lineRule="exact"/>
              <w:jc w:val="center"/>
              <w:rPr>
                <w:rFonts w:hint="eastAsia" w:ascii="宋体" w:hAnsi="宋体" w:cs="宋体"/>
                <w:sz w:val="18"/>
                <w:szCs w:val="18"/>
              </w:rPr>
            </w:pPr>
            <w:r>
              <w:rPr>
                <w:rFonts w:hint="eastAsia" w:ascii="宋体" w:hAnsi="宋体" w:cs="宋体"/>
                <w:sz w:val="18"/>
                <w:szCs w:val="18"/>
              </w:rPr>
              <w:t>学校建筑教学楼</w:t>
            </w:r>
          </w:p>
        </w:tc>
      </w:tr>
      <w:tr w14:paraId="0ED906C4">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restart"/>
            <w:shd w:val="clear" w:color="auto" w:fill="auto"/>
            <w:vAlign w:val="center"/>
          </w:tcPr>
          <w:p w14:paraId="65B8D46A">
            <w:pPr>
              <w:spacing w:line="240" w:lineRule="exact"/>
              <w:jc w:val="center"/>
              <w:rPr>
                <w:rFonts w:hint="eastAsia" w:ascii="宋体" w:hAnsi="宋体" w:cs="宋体"/>
                <w:sz w:val="18"/>
                <w:szCs w:val="18"/>
              </w:rPr>
            </w:pPr>
            <w:r>
              <w:rPr>
                <w:rFonts w:hint="eastAsia" w:ascii="宋体" w:hAnsi="宋体" w:cs="宋体"/>
                <w:sz w:val="18"/>
                <w:szCs w:val="18"/>
              </w:rPr>
              <w:t>严寒</w:t>
            </w:r>
          </w:p>
        </w:tc>
        <w:tc>
          <w:tcPr>
            <w:tcW w:w="920" w:type="pct"/>
            <w:shd w:val="clear" w:color="auto" w:fill="auto"/>
            <w:vAlign w:val="center"/>
          </w:tcPr>
          <w:p w14:paraId="3A65ABDE">
            <w:pPr>
              <w:spacing w:line="240" w:lineRule="exact"/>
              <w:jc w:val="center"/>
              <w:rPr>
                <w:rFonts w:hint="eastAsia" w:ascii="宋体" w:hAnsi="宋体" w:cs="宋体"/>
                <w:sz w:val="18"/>
                <w:szCs w:val="18"/>
              </w:rPr>
            </w:pPr>
            <w:r>
              <w:rPr>
                <w:rFonts w:hint="eastAsia" w:ascii="宋体" w:hAnsi="宋体" w:cs="宋体"/>
                <w:sz w:val="18"/>
                <w:szCs w:val="18"/>
              </w:rPr>
              <w:t>1</w:t>
            </w:r>
          </w:p>
        </w:tc>
        <w:tc>
          <w:tcPr>
            <w:tcW w:w="789" w:type="pct"/>
            <w:shd w:val="clear" w:color="auto" w:fill="auto"/>
            <w:vAlign w:val="center"/>
          </w:tcPr>
          <w:p w14:paraId="681EAA16">
            <w:pPr>
              <w:spacing w:line="240" w:lineRule="exact"/>
              <w:jc w:val="center"/>
              <w:rPr>
                <w:rFonts w:hint="eastAsia" w:ascii="宋体" w:hAnsi="宋体" w:cs="宋体"/>
                <w:sz w:val="18"/>
                <w:szCs w:val="18"/>
              </w:rPr>
            </w:pPr>
            <w:r>
              <w:rPr>
                <w:rFonts w:hint="eastAsia" w:ascii="宋体" w:hAnsi="宋体" w:cs="宋体"/>
                <w:sz w:val="18"/>
                <w:szCs w:val="18"/>
              </w:rPr>
              <w:t>16</w:t>
            </w:r>
          </w:p>
        </w:tc>
        <w:tc>
          <w:tcPr>
            <w:tcW w:w="789" w:type="pct"/>
            <w:shd w:val="clear" w:color="auto" w:fill="auto"/>
            <w:vAlign w:val="center"/>
          </w:tcPr>
          <w:p w14:paraId="444FB756">
            <w:pPr>
              <w:spacing w:line="240" w:lineRule="exact"/>
              <w:jc w:val="center"/>
              <w:rPr>
                <w:rFonts w:hint="eastAsia" w:ascii="宋体" w:hAnsi="宋体" w:cs="宋体"/>
                <w:sz w:val="18"/>
                <w:szCs w:val="18"/>
              </w:rPr>
            </w:pPr>
            <w:r>
              <w:rPr>
                <w:rFonts w:hint="eastAsia" w:ascii="宋体" w:hAnsi="宋体" w:cs="宋体"/>
                <w:sz w:val="18"/>
                <w:szCs w:val="18"/>
              </w:rPr>
              <w:t>19</w:t>
            </w:r>
          </w:p>
        </w:tc>
        <w:tc>
          <w:tcPr>
            <w:tcW w:w="1182" w:type="pct"/>
            <w:shd w:val="clear" w:color="auto" w:fill="auto"/>
            <w:vAlign w:val="center"/>
          </w:tcPr>
          <w:p w14:paraId="018182B8">
            <w:pPr>
              <w:spacing w:line="240" w:lineRule="exact"/>
              <w:jc w:val="center"/>
              <w:rPr>
                <w:rFonts w:hint="eastAsia" w:ascii="宋体" w:hAnsi="宋体" w:cs="宋体"/>
                <w:sz w:val="18"/>
                <w:szCs w:val="18"/>
              </w:rPr>
            </w:pPr>
            <w:r>
              <w:rPr>
                <w:rFonts w:hint="eastAsia" w:ascii="宋体" w:hAnsi="宋体" w:cs="宋体"/>
                <w:sz w:val="18"/>
                <w:szCs w:val="18"/>
              </w:rPr>
              <w:t>40.5</w:t>
            </w:r>
          </w:p>
        </w:tc>
        <w:tc>
          <w:tcPr>
            <w:tcW w:w="921" w:type="pct"/>
            <w:shd w:val="clear" w:color="auto" w:fill="auto"/>
            <w:vAlign w:val="center"/>
          </w:tcPr>
          <w:p w14:paraId="1F9F131A">
            <w:pPr>
              <w:spacing w:line="240" w:lineRule="exact"/>
              <w:jc w:val="center"/>
              <w:rPr>
                <w:rFonts w:hint="eastAsia" w:ascii="宋体" w:hAnsi="宋体" w:cs="宋体"/>
                <w:sz w:val="18"/>
                <w:szCs w:val="18"/>
              </w:rPr>
            </w:pPr>
            <w:r>
              <w:rPr>
                <w:rFonts w:hint="eastAsia" w:ascii="宋体" w:hAnsi="宋体" w:cs="宋体"/>
                <w:sz w:val="18"/>
                <w:szCs w:val="18"/>
              </w:rPr>
              <w:t>10</w:t>
            </w:r>
          </w:p>
        </w:tc>
      </w:tr>
      <w:tr w14:paraId="58323223">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continue"/>
            <w:shd w:val="clear" w:color="auto" w:fill="auto"/>
          </w:tcPr>
          <w:p w14:paraId="1A78417F">
            <w:pPr>
              <w:spacing w:line="240" w:lineRule="exact"/>
              <w:rPr>
                <w:rFonts w:hint="eastAsia" w:ascii="宋体" w:hAnsi="宋体" w:cs="宋体"/>
                <w:sz w:val="18"/>
                <w:szCs w:val="18"/>
              </w:rPr>
            </w:pPr>
          </w:p>
        </w:tc>
        <w:tc>
          <w:tcPr>
            <w:tcW w:w="920" w:type="pct"/>
            <w:shd w:val="clear" w:color="auto" w:fill="auto"/>
            <w:vAlign w:val="center"/>
          </w:tcPr>
          <w:p w14:paraId="034480B8">
            <w:pPr>
              <w:spacing w:line="240" w:lineRule="exact"/>
              <w:jc w:val="center"/>
              <w:rPr>
                <w:rFonts w:hint="eastAsia" w:ascii="宋体" w:hAnsi="宋体" w:cs="宋体"/>
                <w:sz w:val="18"/>
                <w:szCs w:val="18"/>
              </w:rPr>
            </w:pPr>
            <w:r>
              <w:rPr>
                <w:rFonts w:hint="eastAsia" w:ascii="宋体" w:hAnsi="宋体" w:cs="宋体"/>
                <w:sz w:val="18"/>
                <w:szCs w:val="18"/>
              </w:rPr>
              <w:t>Ⅱ</w:t>
            </w:r>
          </w:p>
        </w:tc>
        <w:tc>
          <w:tcPr>
            <w:tcW w:w="789" w:type="pct"/>
            <w:shd w:val="clear" w:color="auto" w:fill="auto"/>
            <w:vAlign w:val="center"/>
          </w:tcPr>
          <w:p w14:paraId="6059CF5D">
            <w:pPr>
              <w:spacing w:line="240" w:lineRule="exact"/>
              <w:jc w:val="center"/>
              <w:rPr>
                <w:rFonts w:hint="eastAsia" w:ascii="宋体" w:hAnsi="宋体" w:cs="宋体"/>
                <w:sz w:val="18"/>
                <w:szCs w:val="18"/>
              </w:rPr>
            </w:pPr>
            <w:r>
              <w:rPr>
                <w:rFonts w:hint="eastAsia" w:ascii="宋体" w:hAnsi="宋体" w:cs="宋体"/>
                <w:sz w:val="18"/>
                <w:szCs w:val="18"/>
              </w:rPr>
              <w:t>17</w:t>
            </w:r>
          </w:p>
        </w:tc>
        <w:tc>
          <w:tcPr>
            <w:tcW w:w="789" w:type="pct"/>
            <w:shd w:val="clear" w:color="auto" w:fill="auto"/>
            <w:vAlign w:val="center"/>
          </w:tcPr>
          <w:p w14:paraId="6C1B91D3">
            <w:pPr>
              <w:spacing w:line="240" w:lineRule="exact"/>
              <w:jc w:val="center"/>
              <w:rPr>
                <w:rFonts w:hint="eastAsia" w:ascii="宋体" w:hAnsi="宋体" w:cs="宋体"/>
                <w:sz w:val="18"/>
                <w:szCs w:val="18"/>
              </w:rPr>
            </w:pPr>
            <w:r>
              <w:rPr>
                <w:rFonts w:hint="eastAsia" w:ascii="宋体" w:hAnsi="宋体" w:cs="宋体"/>
                <w:sz w:val="18"/>
                <w:szCs w:val="18"/>
              </w:rPr>
              <w:t>20</w:t>
            </w:r>
          </w:p>
        </w:tc>
        <w:tc>
          <w:tcPr>
            <w:tcW w:w="1182" w:type="pct"/>
            <w:shd w:val="clear" w:color="auto" w:fill="auto"/>
            <w:vAlign w:val="center"/>
          </w:tcPr>
          <w:p w14:paraId="3D7CA60C">
            <w:pPr>
              <w:spacing w:line="240" w:lineRule="exact"/>
              <w:jc w:val="center"/>
              <w:rPr>
                <w:rFonts w:hint="eastAsia" w:ascii="宋体" w:hAnsi="宋体" w:cs="宋体"/>
                <w:sz w:val="18"/>
                <w:szCs w:val="18"/>
              </w:rPr>
            </w:pPr>
            <w:r>
              <w:rPr>
                <w:rFonts w:hint="eastAsia" w:ascii="宋体" w:hAnsi="宋体" w:cs="宋体"/>
                <w:sz w:val="18"/>
                <w:szCs w:val="18"/>
              </w:rPr>
              <w:t>42.5</w:t>
            </w:r>
          </w:p>
        </w:tc>
        <w:tc>
          <w:tcPr>
            <w:tcW w:w="921" w:type="pct"/>
            <w:shd w:val="clear" w:color="auto" w:fill="auto"/>
            <w:vAlign w:val="center"/>
          </w:tcPr>
          <w:p w14:paraId="5A3796B1">
            <w:pPr>
              <w:spacing w:line="240" w:lineRule="exact"/>
              <w:jc w:val="center"/>
              <w:rPr>
                <w:rFonts w:hint="eastAsia" w:ascii="宋体" w:hAnsi="宋体" w:cs="宋体"/>
                <w:sz w:val="18"/>
                <w:szCs w:val="18"/>
              </w:rPr>
            </w:pPr>
            <w:r>
              <w:rPr>
                <w:rFonts w:hint="eastAsia" w:ascii="宋体" w:hAnsi="宋体" w:cs="宋体"/>
                <w:sz w:val="18"/>
                <w:szCs w:val="18"/>
              </w:rPr>
              <w:t>11</w:t>
            </w:r>
          </w:p>
        </w:tc>
      </w:tr>
      <w:tr w14:paraId="0B7B5495">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continue"/>
            <w:shd w:val="clear" w:color="auto" w:fill="auto"/>
          </w:tcPr>
          <w:p w14:paraId="0B0895B2">
            <w:pPr>
              <w:spacing w:line="240" w:lineRule="exact"/>
              <w:rPr>
                <w:rFonts w:hint="eastAsia" w:ascii="宋体" w:hAnsi="宋体" w:cs="宋体"/>
                <w:sz w:val="18"/>
                <w:szCs w:val="18"/>
              </w:rPr>
            </w:pPr>
          </w:p>
        </w:tc>
        <w:tc>
          <w:tcPr>
            <w:tcW w:w="920" w:type="pct"/>
            <w:shd w:val="clear" w:color="auto" w:fill="auto"/>
            <w:vAlign w:val="center"/>
          </w:tcPr>
          <w:p w14:paraId="717D74D1">
            <w:pPr>
              <w:spacing w:line="240" w:lineRule="exact"/>
              <w:jc w:val="center"/>
              <w:rPr>
                <w:rFonts w:hint="eastAsia" w:ascii="宋体" w:hAnsi="宋体" w:cs="宋体"/>
                <w:sz w:val="18"/>
                <w:szCs w:val="18"/>
              </w:rPr>
            </w:pPr>
            <w:r>
              <w:rPr>
                <w:rFonts w:hint="eastAsia" w:ascii="宋体" w:hAnsi="宋体" w:cs="宋体"/>
                <w:sz w:val="18"/>
                <w:szCs w:val="18"/>
              </w:rPr>
              <w:t>Ⅲ</w:t>
            </w:r>
          </w:p>
        </w:tc>
        <w:tc>
          <w:tcPr>
            <w:tcW w:w="789" w:type="pct"/>
            <w:shd w:val="clear" w:color="auto" w:fill="auto"/>
            <w:vAlign w:val="center"/>
          </w:tcPr>
          <w:p w14:paraId="004F5B41">
            <w:pPr>
              <w:spacing w:line="240" w:lineRule="exact"/>
              <w:jc w:val="center"/>
              <w:rPr>
                <w:rFonts w:hint="eastAsia" w:ascii="宋体" w:hAnsi="宋体" w:cs="宋体"/>
                <w:sz w:val="18"/>
                <w:szCs w:val="18"/>
              </w:rPr>
            </w:pPr>
            <w:r>
              <w:rPr>
                <w:rFonts w:hint="eastAsia" w:ascii="宋体" w:hAnsi="宋体" w:cs="宋体"/>
                <w:sz w:val="18"/>
                <w:szCs w:val="18"/>
              </w:rPr>
              <w:t>18</w:t>
            </w:r>
          </w:p>
        </w:tc>
        <w:tc>
          <w:tcPr>
            <w:tcW w:w="789" w:type="pct"/>
            <w:shd w:val="clear" w:color="auto" w:fill="auto"/>
            <w:vAlign w:val="center"/>
          </w:tcPr>
          <w:p w14:paraId="52B95EC2">
            <w:pPr>
              <w:spacing w:line="240" w:lineRule="exact"/>
              <w:jc w:val="center"/>
              <w:rPr>
                <w:rFonts w:hint="eastAsia" w:ascii="宋体" w:hAnsi="宋体" w:cs="宋体"/>
                <w:sz w:val="18"/>
                <w:szCs w:val="18"/>
              </w:rPr>
            </w:pPr>
            <w:r>
              <w:rPr>
                <w:rFonts w:hint="eastAsia" w:ascii="宋体" w:hAnsi="宋体" w:cs="宋体"/>
                <w:sz w:val="18"/>
                <w:szCs w:val="18"/>
              </w:rPr>
              <w:t>21</w:t>
            </w:r>
          </w:p>
        </w:tc>
        <w:tc>
          <w:tcPr>
            <w:tcW w:w="1182" w:type="pct"/>
            <w:shd w:val="clear" w:color="auto" w:fill="auto"/>
            <w:vAlign w:val="center"/>
          </w:tcPr>
          <w:p w14:paraId="665027E4">
            <w:pPr>
              <w:spacing w:line="240" w:lineRule="exact"/>
              <w:jc w:val="center"/>
              <w:rPr>
                <w:rFonts w:hint="eastAsia" w:ascii="宋体" w:hAnsi="宋体" w:cs="宋体"/>
                <w:sz w:val="18"/>
                <w:szCs w:val="18"/>
              </w:rPr>
            </w:pPr>
            <w:r>
              <w:rPr>
                <w:rFonts w:hint="eastAsia" w:ascii="宋体" w:hAnsi="宋体" w:cs="宋体"/>
                <w:sz w:val="18"/>
                <w:szCs w:val="18"/>
              </w:rPr>
              <w:t>44.5</w:t>
            </w:r>
          </w:p>
        </w:tc>
        <w:tc>
          <w:tcPr>
            <w:tcW w:w="921" w:type="pct"/>
            <w:shd w:val="clear" w:color="auto" w:fill="auto"/>
            <w:vAlign w:val="center"/>
          </w:tcPr>
          <w:p w14:paraId="6288D9ED">
            <w:pPr>
              <w:spacing w:line="240" w:lineRule="exact"/>
              <w:jc w:val="center"/>
              <w:rPr>
                <w:rFonts w:hint="eastAsia" w:ascii="宋体" w:hAnsi="宋体" w:cs="宋体"/>
                <w:sz w:val="18"/>
                <w:szCs w:val="18"/>
              </w:rPr>
            </w:pPr>
            <w:r>
              <w:rPr>
                <w:rFonts w:hint="eastAsia" w:ascii="宋体" w:hAnsi="宋体" w:cs="宋体"/>
                <w:sz w:val="18"/>
                <w:szCs w:val="18"/>
              </w:rPr>
              <w:t>12</w:t>
            </w:r>
          </w:p>
        </w:tc>
      </w:tr>
      <w:tr w14:paraId="56AA8C66">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restart"/>
            <w:shd w:val="clear" w:color="auto" w:fill="auto"/>
            <w:vAlign w:val="center"/>
          </w:tcPr>
          <w:p w14:paraId="54711C86">
            <w:pPr>
              <w:spacing w:line="240" w:lineRule="exact"/>
              <w:jc w:val="center"/>
              <w:rPr>
                <w:rFonts w:hint="eastAsia" w:ascii="宋体" w:hAnsi="宋体" w:cs="宋体"/>
                <w:sz w:val="18"/>
                <w:szCs w:val="18"/>
              </w:rPr>
            </w:pPr>
            <w:r>
              <w:rPr>
                <w:rFonts w:hint="eastAsia" w:ascii="宋体" w:hAnsi="宋体" w:cs="宋体"/>
                <w:sz w:val="18"/>
                <w:szCs w:val="18"/>
              </w:rPr>
              <w:t>寒冷</w:t>
            </w:r>
          </w:p>
        </w:tc>
        <w:tc>
          <w:tcPr>
            <w:tcW w:w="920" w:type="pct"/>
            <w:shd w:val="clear" w:color="auto" w:fill="auto"/>
            <w:vAlign w:val="center"/>
          </w:tcPr>
          <w:p w14:paraId="4DA184A8">
            <w:pPr>
              <w:spacing w:line="240" w:lineRule="exact"/>
              <w:jc w:val="center"/>
              <w:rPr>
                <w:rFonts w:hint="eastAsia" w:ascii="宋体" w:hAnsi="宋体" w:cs="宋体"/>
                <w:sz w:val="18"/>
                <w:szCs w:val="18"/>
              </w:rPr>
            </w:pPr>
            <w:r>
              <w:rPr>
                <w:rFonts w:hint="eastAsia" w:ascii="宋体" w:hAnsi="宋体" w:cs="宋体"/>
                <w:sz w:val="18"/>
                <w:szCs w:val="18"/>
              </w:rPr>
              <w:t>1</w:t>
            </w:r>
          </w:p>
        </w:tc>
        <w:tc>
          <w:tcPr>
            <w:tcW w:w="789" w:type="pct"/>
            <w:shd w:val="clear" w:color="auto" w:fill="auto"/>
            <w:vAlign w:val="center"/>
          </w:tcPr>
          <w:p w14:paraId="2E278994">
            <w:pPr>
              <w:spacing w:line="240" w:lineRule="exact"/>
              <w:jc w:val="center"/>
              <w:rPr>
                <w:rFonts w:hint="eastAsia" w:ascii="宋体" w:hAnsi="宋体" w:cs="宋体"/>
                <w:sz w:val="18"/>
                <w:szCs w:val="18"/>
              </w:rPr>
            </w:pPr>
            <w:r>
              <w:rPr>
                <w:rFonts w:hint="eastAsia" w:ascii="宋体" w:hAnsi="宋体" w:cs="宋体"/>
                <w:sz w:val="18"/>
                <w:szCs w:val="18"/>
              </w:rPr>
              <w:t>14</w:t>
            </w:r>
          </w:p>
        </w:tc>
        <w:tc>
          <w:tcPr>
            <w:tcW w:w="789" w:type="pct"/>
            <w:shd w:val="clear" w:color="auto" w:fill="auto"/>
            <w:vAlign w:val="center"/>
          </w:tcPr>
          <w:p w14:paraId="1898B746">
            <w:pPr>
              <w:spacing w:line="240" w:lineRule="exact"/>
              <w:jc w:val="center"/>
              <w:rPr>
                <w:rFonts w:hint="eastAsia" w:ascii="宋体" w:hAnsi="宋体" w:cs="宋体"/>
                <w:sz w:val="18"/>
                <w:szCs w:val="18"/>
              </w:rPr>
            </w:pPr>
            <w:r>
              <w:rPr>
                <w:rFonts w:hint="eastAsia" w:ascii="宋体" w:hAnsi="宋体" w:cs="宋体"/>
                <w:sz w:val="18"/>
                <w:szCs w:val="18"/>
              </w:rPr>
              <w:t>18</w:t>
            </w:r>
          </w:p>
        </w:tc>
        <w:tc>
          <w:tcPr>
            <w:tcW w:w="1182" w:type="pct"/>
            <w:shd w:val="clear" w:color="auto" w:fill="auto"/>
            <w:vAlign w:val="center"/>
          </w:tcPr>
          <w:p w14:paraId="429B8E50">
            <w:pPr>
              <w:spacing w:line="240" w:lineRule="exact"/>
              <w:jc w:val="center"/>
              <w:rPr>
                <w:rFonts w:hint="eastAsia" w:ascii="宋体" w:hAnsi="宋体" w:cs="宋体"/>
                <w:sz w:val="18"/>
                <w:szCs w:val="18"/>
              </w:rPr>
            </w:pPr>
            <w:r>
              <w:rPr>
                <w:rFonts w:hint="eastAsia" w:ascii="宋体" w:hAnsi="宋体" w:cs="宋体"/>
                <w:sz w:val="18"/>
                <w:szCs w:val="18"/>
              </w:rPr>
              <w:t>42.5</w:t>
            </w:r>
          </w:p>
        </w:tc>
        <w:tc>
          <w:tcPr>
            <w:tcW w:w="921" w:type="pct"/>
            <w:shd w:val="clear" w:color="auto" w:fill="auto"/>
            <w:vAlign w:val="center"/>
          </w:tcPr>
          <w:p w14:paraId="3F15EDC1">
            <w:pPr>
              <w:spacing w:line="240" w:lineRule="exact"/>
              <w:jc w:val="center"/>
              <w:rPr>
                <w:rFonts w:hint="eastAsia" w:ascii="宋体" w:hAnsi="宋体" w:cs="宋体"/>
                <w:sz w:val="18"/>
                <w:szCs w:val="18"/>
              </w:rPr>
            </w:pPr>
            <w:r>
              <w:rPr>
                <w:rFonts w:hint="eastAsia" w:ascii="宋体" w:hAnsi="宋体" w:cs="宋体"/>
                <w:sz w:val="18"/>
                <w:szCs w:val="18"/>
              </w:rPr>
              <w:t>11</w:t>
            </w:r>
          </w:p>
        </w:tc>
      </w:tr>
      <w:tr w14:paraId="0F146F90">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continue"/>
            <w:shd w:val="clear" w:color="auto" w:fill="auto"/>
          </w:tcPr>
          <w:p w14:paraId="71C0C713">
            <w:pPr>
              <w:spacing w:line="240" w:lineRule="exact"/>
              <w:rPr>
                <w:rFonts w:hint="eastAsia" w:ascii="宋体" w:hAnsi="宋体" w:cs="宋体"/>
                <w:sz w:val="18"/>
                <w:szCs w:val="18"/>
              </w:rPr>
            </w:pPr>
          </w:p>
        </w:tc>
        <w:tc>
          <w:tcPr>
            <w:tcW w:w="920" w:type="pct"/>
            <w:shd w:val="clear" w:color="auto" w:fill="auto"/>
            <w:vAlign w:val="center"/>
          </w:tcPr>
          <w:p w14:paraId="46656D68">
            <w:pPr>
              <w:spacing w:line="240" w:lineRule="exact"/>
              <w:jc w:val="center"/>
              <w:rPr>
                <w:rFonts w:hint="eastAsia" w:ascii="宋体" w:hAnsi="宋体" w:cs="宋体"/>
                <w:sz w:val="18"/>
                <w:szCs w:val="18"/>
              </w:rPr>
            </w:pPr>
            <w:r>
              <w:rPr>
                <w:rFonts w:hint="eastAsia" w:ascii="宋体" w:hAnsi="宋体" w:cs="宋体"/>
                <w:sz w:val="18"/>
                <w:szCs w:val="18"/>
              </w:rPr>
              <w:t>Ⅱ</w:t>
            </w:r>
          </w:p>
        </w:tc>
        <w:tc>
          <w:tcPr>
            <w:tcW w:w="789" w:type="pct"/>
            <w:shd w:val="clear" w:color="auto" w:fill="auto"/>
            <w:vAlign w:val="center"/>
          </w:tcPr>
          <w:p w14:paraId="63F06A33">
            <w:pPr>
              <w:spacing w:line="240" w:lineRule="exact"/>
              <w:jc w:val="center"/>
              <w:rPr>
                <w:rFonts w:hint="eastAsia" w:ascii="宋体" w:hAnsi="宋体" w:cs="宋体"/>
                <w:sz w:val="18"/>
                <w:szCs w:val="18"/>
              </w:rPr>
            </w:pPr>
            <w:r>
              <w:rPr>
                <w:rFonts w:hint="eastAsia" w:ascii="宋体" w:hAnsi="宋体" w:cs="宋体"/>
                <w:sz w:val="18"/>
                <w:szCs w:val="18"/>
              </w:rPr>
              <w:t>15</w:t>
            </w:r>
          </w:p>
        </w:tc>
        <w:tc>
          <w:tcPr>
            <w:tcW w:w="789" w:type="pct"/>
            <w:shd w:val="clear" w:color="auto" w:fill="auto"/>
            <w:vAlign w:val="center"/>
          </w:tcPr>
          <w:p w14:paraId="6D83A302">
            <w:pPr>
              <w:spacing w:line="240" w:lineRule="exact"/>
              <w:jc w:val="center"/>
              <w:rPr>
                <w:rFonts w:hint="eastAsia" w:ascii="宋体" w:hAnsi="宋体" w:cs="宋体"/>
                <w:sz w:val="18"/>
                <w:szCs w:val="18"/>
              </w:rPr>
            </w:pPr>
            <w:r>
              <w:rPr>
                <w:rFonts w:hint="eastAsia" w:ascii="宋体" w:hAnsi="宋体" w:cs="宋体"/>
                <w:sz w:val="18"/>
                <w:szCs w:val="18"/>
              </w:rPr>
              <w:t>19</w:t>
            </w:r>
          </w:p>
        </w:tc>
        <w:tc>
          <w:tcPr>
            <w:tcW w:w="1182" w:type="pct"/>
            <w:shd w:val="clear" w:color="auto" w:fill="auto"/>
            <w:vAlign w:val="center"/>
          </w:tcPr>
          <w:p w14:paraId="2C53AF19">
            <w:pPr>
              <w:spacing w:line="240" w:lineRule="exact"/>
              <w:jc w:val="center"/>
              <w:rPr>
                <w:rFonts w:hint="eastAsia" w:ascii="宋体" w:hAnsi="宋体" w:cs="宋体"/>
                <w:sz w:val="18"/>
                <w:szCs w:val="18"/>
              </w:rPr>
            </w:pPr>
            <w:r>
              <w:rPr>
                <w:rFonts w:hint="eastAsia" w:ascii="宋体" w:hAnsi="宋体" w:cs="宋体"/>
                <w:sz w:val="18"/>
                <w:szCs w:val="18"/>
              </w:rPr>
              <w:t>43.5</w:t>
            </w:r>
          </w:p>
        </w:tc>
        <w:tc>
          <w:tcPr>
            <w:tcW w:w="921" w:type="pct"/>
            <w:shd w:val="clear" w:color="auto" w:fill="auto"/>
            <w:vAlign w:val="center"/>
          </w:tcPr>
          <w:p w14:paraId="5BAD1CB9">
            <w:pPr>
              <w:spacing w:line="240" w:lineRule="exact"/>
              <w:jc w:val="center"/>
              <w:rPr>
                <w:rFonts w:hint="eastAsia" w:ascii="宋体" w:hAnsi="宋体" w:cs="宋体"/>
                <w:sz w:val="18"/>
                <w:szCs w:val="18"/>
              </w:rPr>
            </w:pPr>
            <w:r>
              <w:rPr>
                <w:rFonts w:hint="eastAsia" w:ascii="宋体" w:hAnsi="宋体" w:cs="宋体"/>
                <w:sz w:val="18"/>
                <w:szCs w:val="18"/>
              </w:rPr>
              <w:t>12</w:t>
            </w:r>
          </w:p>
        </w:tc>
      </w:tr>
      <w:tr w14:paraId="67002F8A">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0" w:type="dxa"/>
            <w:bottom w:w="0" w:type="dxa"/>
            <w:right w:w="0" w:type="dxa"/>
          </w:tblCellMar>
        </w:tblPrEx>
        <w:trPr>
          <w:trHeight w:val="397" w:hRule="exact"/>
        </w:trPr>
        <w:tc>
          <w:tcPr>
            <w:tcW w:w="396" w:type="pct"/>
            <w:vMerge w:val="continue"/>
            <w:shd w:val="clear" w:color="auto" w:fill="auto"/>
          </w:tcPr>
          <w:p w14:paraId="4E0FAD91">
            <w:pPr>
              <w:spacing w:line="240" w:lineRule="exact"/>
              <w:rPr>
                <w:rFonts w:hint="eastAsia" w:ascii="宋体" w:hAnsi="宋体" w:cs="宋体"/>
                <w:sz w:val="18"/>
                <w:szCs w:val="18"/>
              </w:rPr>
            </w:pPr>
          </w:p>
        </w:tc>
        <w:tc>
          <w:tcPr>
            <w:tcW w:w="920" w:type="pct"/>
            <w:shd w:val="clear" w:color="auto" w:fill="auto"/>
            <w:vAlign w:val="center"/>
          </w:tcPr>
          <w:p w14:paraId="2BF4FE19">
            <w:pPr>
              <w:spacing w:line="240" w:lineRule="exact"/>
              <w:jc w:val="center"/>
              <w:rPr>
                <w:rFonts w:hint="eastAsia" w:ascii="宋体" w:hAnsi="宋体" w:cs="宋体"/>
                <w:sz w:val="18"/>
                <w:szCs w:val="18"/>
              </w:rPr>
            </w:pPr>
            <w:r>
              <w:rPr>
                <w:rFonts w:hint="eastAsia" w:ascii="宋体" w:hAnsi="宋体" w:cs="宋体"/>
                <w:sz w:val="18"/>
                <w:szCs w:val="18"/>
              </w:rPr>
              <w:t>Ⅲ</w:t>
            </w:r>
          </w:p>
        </w:tc>
        <w:tc>
          <w:tcPr>
            <w:tcW w:w="789" w:type="pct"/>
            <w:shd w:val="clear" w:color="auto" w:fill="auto"/>
            <w:vAlign w:val="center"/>
          </w:tcPr>
          <w:p w14:paraId="5B9F94CF">
            <w:pPr>
              <w:spacing w:line="240" w:lineRule="exact"/>
              <w:jc w:val="center"/>
              <w:rPr>
                <w:rFonts w:hint="eastAsia" w:ascii="宋体" w:hAnsi="宋体" w:cs="宋体"/>
                <w:sz w:val="18"/>
                <w:szCs w:val="18"/>
              </w:rPr>
            </w:pPr>
            <w:r>
              <w:rPr>
                <w:rFonts w:hint="eastAsia" w:ascii="宋体" w:hAnsi="宋体" w:cs="宋体"/>
                <w:sz w:val="18"/>
                <w:szCs w:val="18"/>
              </w:rPr>
              <w:t>16</w:t>
            </w:r>
          </w:p>
        </w:tc>
        <w:tc>
          <w:tcPr>
            <w:tcW w:w="789" w:type="pct"/>
            <w:shd w:val="clear" w:color="auto" w:fill="auto"/>
            <w:vAlign w:val="center"/>
          </w:tcPr>
          <w:p w14:paraId="102172B1">
            <w:pPr>
              <w:spacing w:line="240" w:lineRule="exact"/>
              <w:jc w:val="center"/>
              <w:rPr>
                <w:rFonts w:hint="eastAsia" w:ascii="宋体" w:hAnsi="宋体" w:cs="宋体"/>
                <w:sz w:val="18"/>
                <w:szCs w:val="18"/>
              </w:rPr>
            </w:pPr>
            <w:r>
              <w:rPr>
                <w:rFonts w:hint="eastAsia" w:ascii="宋体" w:hAnsi="宋体" w:cs="宋体"/>
                <w:sz w:val="18"/>
                <w:szCs w:val="18"/>
              </w:rPr>
              <w:t>20</w:t>
            </w:r>
          </w:p>
        </w:tc>
        <w:tc>
          <w:tcPr>
            <w:tcW w:w="1182" w:type="pct"/>
            <w:shd w:val="clear" w:color="auto" w:fill="auto"/>
            <w:vAlign w:val="center"/>
          </w:tcPr>
          <w:p w14:paraId="7DE8AE75">
            <w:pPr>
              <w:spacing w:line="240" w:lineRule="exact"/>
              <w:jc w:val="center"/>
              <w:rPr>
                <w:rFonts w:hint="eastAsia" w:ascii="宋体" w:hAnsi="宋体" w:cs="宋体"/>
                <w:sz w:val="18"/>
                <w:szCs w:val="18"/>
              </w:rPr>
            </w:pPr>
            <w:r>
              <w:rPr>
                <w:rFonts w:hint="eastAsia" w:ascii="宋体" w:hAnsi="宋体" w:cs="宋体"/>
                <w:sz w:val="18"/>
                <w:szCs w:val="18"/>
              </w:rPr>
              <w:t>45</w:t>
            </w:r>
          </w:p>
        </w:tc>
        <w:tc>
          <w:tcPr>
            <w:tcW w:w="921" w:type="pct"/>
            <w:shd w:val="clear" w:color="auto" w:fill="auto"/>
            <w:vAlign w:val="center"/>
          </w:tcPr>
          <w:p w14:paraId="0A77631C">
            <w:pPr>
              <w:spacing w:line="240" w:lineRule="exact"/>
              <w:jc w:val="center"/>
              <w:rPr>
                <w:rFonts w:hint="eastAsia" w:ascii="宋体" w:hAnsi="宋体" w:cs="宋体"/>
                <w:sz w:val="18"/>
                <w:szCs w:val="18"/>
              </w:rPr>
            </w:pPr>
            <w:r>
              <w:rPr>
                <w:rFonts w:hint="eastAsia" w:ascii="宋体" w:hAnsi="宋体" w:cs="宋体"/>
                <w:sz w:val="18"/>
                <w:szCs w:val="18"/>
              </w:rPr>
              <w:t>13</w:t>
            </w:r>
          </w:p>
        </w:tc>
      </w:tr>
    </w:tbl>
    <w:p w14:paraId="72F6C47E">
      <w:pPr>
        <w:pStyle w:val="65"/>
        <w:spacing w:before="156" w:after="156"/>
      </w:pPr>
      <w:r>
        <w:rPr>
          <w:rFonts w:hint="eastAsia"/>
        </w:rPr>
        <w:t>零碳公共机构建筑</w:t>
      </w:r>
    </w:p>
    <w:p w14:paraId="4CCDC317">
      <w:pPr>
        <w:pStyle w:val="164"/>
      </w:pPr>
      <w:r>
        <w:rPr>
          <w:rFonts w:hint="eastAsia"/>
        </w:rPr>
        <w:t>零碳公共机构建筑碳排放指标应满足下列条件之一：</w:t>
      </w:r>
    </w:p>
    <w:p w14:paraId="3D776824">
      <w:pPr>
        <w:pStyle w:val="174"/>
        <w:numPr>
          <w:ilvl w:val="0"/>
          <w:numId w:val="40"/>
        </w:numPr>
      </w:pPr>
      <w:r>
        <w:rPr>
          <w:rFonts w:hint="eastAsia"/>
        </w:rPr>
        <w:t>公共机构建筑年碳排放总量应小于等于零；</w:t>
      </w:r>
    </w:p>
    <w:p w14:paraId="79FF1723">
      <w:pPr>
        <w:pStyle w:val="174"/>
      </w:pPr>
      <w:r>
        <w:rPr>
          <w:rFonts w:hint="eastAsia"/>
        </w:rPr>
        <w:t>公共机构建筑的碳排放强度应满足6.3.2的规定，经碳抵消后的年碳排放总量小于等于零，且应符合下列规定：</w:t>
      </w:r>
    </w:p>
    <w:p w14:paraId="10F58CFD">
      <w:pPr>
        <w:pStyle w:val="109"/>
        <w:numPr>
          <w:ilvl w:val="1"/>
          <w:numId w:val="41"/>
        </w:numPr>
      </w:pPr>
      <w:r>
        <w:rPr>
          <w:rFonts w:hint="eastAsia"/>
        </w:rPr>
        <w:t>除单体建筑面积大于40 000 m²或高度大于100 m的公共机构建筑外，其他建筑碳抵消比例不超过基准建筑碳排放量的30%；</w:t>
      </w:r>
    </w:p>
    <w:p w14:paraId="69347EE9">
      <w:pPr>
        <w:pStyle w:val="109"/>
      </w:pPr>
      <w:r>
        <w:rPr>
          <w:rFonts w:hint="eastAsia"/>
        </w:rPr>
        <w:t>单体建筑面积大于40 000 m²或高度大于100 m的公共机构建筑，碳抵消比例不超过基准建筑碳排放量的40%，并组织专家对其降碳方案进行专项论证。</w:t>
      </w:r>
    </w:p>
    <w:p w14:paraId="31B59F59">
      <w:pPr>
        <w:pStyle w:val="164"/>
      </w:pPr>
      <w:r>
        <w:rPr>
          <w:rFonts w:hint="eastAsia"/>
        </w:rPr>
        <w:t>全过程零碳公共机构建筑可采取碳抵消措施，且应符合下列规定：</w:t>
      </w:r>
    </w:p>
    <w:p w14:paraId="73CC0CA9">
      <w:pPr>
        <w:pStyle w:val="174"/>
        <w:numPr>
          <w:ilvl w:val="0"/>
          <w:numId w:val="42"/>
        </w:numPr>
      </w:pPr>
      <w:r>
        <w:rPr>
          <w:rFonts w:hint="eastAsia"/>
        </w:rPr>
        <w:t>符合6.3.3.1的规定；</w:t>
      </w:r>
    </w:p>
    <w:p w14:paraId="5C9382CC">
      <w:pPr>
        <w:pStyle w:val="174"/>
      </w:pPr>
      <w:r>
        <w:rPr>
          <w:rFonts w:hint="eastAsia"/>
        </w:rPr>
        <w:t>公共机构建筑隐含碳排放不应高于350 kgCO</w:t>
      </w:r>
      <w:r>
        <w:rPr>
          <w:rFonts w:ascii="Cambria Math" w:hAnsi="Cambria Math" w:cs="Cambria Math"/>
        </w:rPr>
        <w:t>₂</w:t>
      </w:r>
      <w:r>
        <w:rPr>
          <w:rFonts w:hint="eastAsia"/>
        </w:rPr>
        <w:t>/m²；</w:t>
      </w:r>
    </w:p>
    <w:p w14:paraId="3F535B69">
      <w:pPr>
        <w:pStyle w:val="174"/>
      </w:pPr>
      <w:r>
        <w:rPr>
          <w:rFonts w:hint="eastAsia"/>
        </w:rPr>
        <w:t>公共机构建筑全过程碳排放小于等于零。</w:t>
      </w:r>
    </w:p>
    <w:p w14:paraId="2F75F0E3">
      <w:pPr>
        <w:pStyle w:val="105"/>
        <w:spacing w:before="156" w:after="156"/>
      </w:pPr>
      <w:bookmarkStart w:id="72" w:name="_Toc164352473"/>
      <w:r>
        <w:rPr>
          <w:rFonts w:hint="eastAsia"/>
        </w:rPr>
        <w:t>判定分类</w:t>
      </w:r>
      <w:bookmarkEnd w:id="72"/>
    </w:p>
    <w:p w14:paraId="6963487D">
      <w:pPr>
        <w:pStyle w:val="165"/>
      </w:pPr>
      <w:r>
        <w:rPr>
          <w:rFonts w:hint="eastAsia"/>
        </w:rPr>
        <w:t>公共机构的判定应符合6.2、6.3的技术指标要求，并应符合下列规定：</w:t>
      </w:r>
    </w:p>
    <w:p w14:paraId="77AB2081">
      <w:pPr>
        <w:pStyle w:val="174"/>
        <w:numPr>
          <w:ilvl w:val="0"/>
          <w:numId w:val="43"/>
        </w:numPr>
      </w:pPr>
      <w:r>
        <w:rPr>
          <w:rFonts w:hint="eastAsia"/>
        </w:rPr>
        <w:t>当达到低碳公共机构及低碳公共机构建筑指标要求时，进行低碳公共机构判定；</w:t>
      </w:r>
    </w:p>
    <w:p w14:paraId="6A904E46">
      <w:pPr>
        <w:pStyle w:val="174"/>
      </w:pPr>
      <w:r>
        <w:rPr>
          <w:rFonts w:hint="eastAsia"/>
        </w:rPr>
        <w:t>当达到近零碳公共机构及近零碳公共机构建筑指标要求时，进行近零碳公共机构判定；</w:t>
      </w:r>
    </w:p>
    <w:p w14:paraId="386EF5A9">
      <w:pPr>
        <w:pStyle w:val="174"/>
      </w:pPr>
      <w:r>
        <w:rPr>
          <w:rFonts w:hint="eastAsia"/>
        </w:rPr>
        <w:t>当达到零碳公共机构及零碳公共机构建筑指标要求时，进行零碳公共机构判定。</w:t>
      </w:r>
    </w:p>
    <w:p w14:paraId="4C225A37">
      <w:pPr>
        <w:pStyle w:val="165"/>
      </w:pPr>
      <w:r>
        <w:rPr>
          <w:rFonts w:hint="eastAsia"/>
        </w:rPr>
        <w:t>公共机构建筑的判定应符合6.2、6.3的技术指标要求，并应符合下列规定：</w:t>
      </w:r>
    </w:p>
    <w:p w14:paraId="1B031C84">
      <w:pPr>
        <w:pStyle w:val="174"/>
        <w:numPr>
          <w:ilvl w:val="0"/>
          <w:numId w:val="44"/>
        </w:numPr>
      </w:pPr>
      <w:r>
        <w:rPr>
          <w:rFonts w:hint="eastAsia"/>
        </w:rPr>
        <w:t>当达到低碳公共机构建筑指标要求时，进行低碳公共机构建筑判定；</w:t>
      </w:r>
    </w:p>
    <w:p w14:paraId="0A9B462C">
      <w:pPr>
        <w:pStyle w:val="174"/>
      </w:pPr>
      <w:r>
        <w:rPr>
          <w:rFonts w:hint="eastAsia"/>
        </w:rPr>
        <w:t>当达到近零碳公共机构建筑指标要求时，进行近零碳公共机构建筑判定；</w:t>
      </w:r>
    </w:p>
    <w:p w14:paraId="3A7768A0">
      <w:pPr>
        <w:pStyle w:val="174"/>
      </w:pPr>
      <w:r>
        <w:rPr>
          <w:rFonts w:hint="eastAsia"/>
        </w:rPr>
        <w:t>当达到零碳公共机构建筑指标要求时，进行零碳公共机构建筑判定；</w:t>
      </w:r>
    </w:p>
    <w:p w14:paraId="50E79BC9">
      <w:pPr>
        <w:pStyle w:val="174"/>
      </w:pPr>
      <w:r>
        <w:rPr>
          <w:rFonts w:hint="eastAsia"/>
        </w:rPr>
        <w:t>当达到全过程零碳公共机构建筑指标要求时，进行全寿命周期零碳公共机构建筑判定。</w:t>
      </w:r>
    </w:p>
    <w:p w14:paraId="57E6F1B9">
      <w:pPr>
        <w:pStyle w:val="165"/>
      </w:pPr>
      <w:r>
        <w:rPr>
          <w:rFonts w:hint="eastAsia"/>
        </w:rPr>
        <w:t>公共机构设计判定应具备下列条件：</w:t>
      </w:r>
    </w:p>
    <w:p w14:paraId="5D387D35">
      <w:pPr>
        <w:pStyle w:val="174"/>
        <w:numPr>
          <w:ilvl w:val="0"/>
          <w:numId w:val="45"/>
        </w:numPr>
      </w:pPr>
      <w:r>
        <w:rPr>
          <w:rFonts w:hint="eastAsia"/>
        </w:rPr>
        <w:t>公共机构应具有修建性详细规划；</w:t>
      </w:r>
    </w:p>
    <w:p w14:paraId="7A7C9E9C">
      <w:pPr>
        <w:pStyle w:val="174"/>
      </w:pPr>
      <w:r>
        <w:rPr>
          <w:rFonts w:hint="eastAsia"/>
        </w:rPr>
        <w:t>公共机构内获得方案批复的建筑面积不应低于判定总建筑面积的60%；</w:t>
      </w:r>
    </w:p>
    <w:p w14:paraId="0A289EA6">
      <w:pPr>
        <w:pStyle w:val="174"/>
      </w:pPr>
      <w:r>
        <w:rPr>
          <w:rFonts w:hint="eastAsia"/>
        </w:rPr>
        <w:t>当公共机构内建筑分批次建造时，应制定不少于三年的实施方案。</w:t>
      </w:r>
    </w:p>
    <w:p w14:paraId="1520264E">
      <w:pPr>
        <w:pStyle w:val="165"/>
      </w:pPr>
      <w:r>
        <w:rPr>
          <w:rFonts w:hint="eastAsia"/>
        </w:rPr>
        <w:t>公共机构建筑设计判定应具备下列条件：</w:t>
      </w:r>
    </w:p>
    <w:p w14:paraId="42AECAA3">
      <w:pPr>
        <w:pStyle w:val="174"/>
        <w:numPr>
          <w:ilvl w:val="0"/>
          <w:numId w:val="46"/>
        </w:numPr>
      </w:pPr>
      <w:r>
        <w:rPr>
          <w:rFonts w:hint="eastAsia"/>
        </w:rPr>
        <w:t>公共机构建筑施工图设计审查通过；</w:t>
      </w:r>
    </w:p>
    <w:p w14:paraId="7CFDA836">
      <w:pPr>
        <w:pStyle w:val="174"/>
      </w:pPr>
      <w:r>
        <w:rPr>
          <w:rFonts w:hint="eastAsia"/>
        </w:rPr>
        <w:t>公共机构建筑碳排放技术指标相关计算和证明文件齐全。</w:t>
      </w:r>
    </w:p>
    <w:p w14:paraId="3BD1A552">
      <w:pPr>
        <w:pStyle w:val="165"/>
      </w:pPr>
      <w:r>
        <w:rPr>
          <w:rFonts w:hint="eastAsia"/>
        </w:rPr>
        <w:t>公共机构运行判定应符合下列规定：</w:t>
      </w:r>
    </w:p>
    <w:p w14:paraId="67727CF4">
      <w:pPr>
        <w:pStyle w:val="174"/>
        <w:numPr>
          <w:ilvl w:val="0"/>
          <w:numId w:val="47"/>
        </w:numPr>
      </w:pPr>
      <w:r>
        <w:rPr>
          <w:rFonts w:hint="eastAsia"/>
        </w:rPr>
        <w:t>公共机构内主要道路、管线、公共服务、绿地等基础设施应建成并投入使用；投入使用建筑面积不应低于判定总建筑面积的60%，且正常运行满一年后进行；</w:t>
      </w:r>
    </w:p>
    <w:p w14:paraId="3446E553">
      <w:pPr>
        <w:pStyle w:val="174"/>
      </w:pPr>
      <w:r>
        <w:rPr>
          <w:rFonts w:hint="eastAsia"/>
        </w:rPr>
        <w:t>公共机构投入使用的建筑面积为判定总建筑面积的60%</w:t>
      </w:r>
      <w:r>
        <w:rPr>
          <w:rFonts w:hint="eastAsia" w:hAnsi="宋体"/>
        </w:rPr>
        <w:t>～</w:t>
      </w:r>
      <w:r>
        <w:rPr>
          <w:rFonts w:hint="eastAsia"/>
        </w:rPr>
        <w:t>80%时，采用运行数据折算后判定；投入使用的建筑面积高于判定总建筑面积的80%时，可采用运行数据直接判定；</w:t>
      </w:r>
    </w:p>
    <w:p w14:paraId="37256CC8">
      <w:pPr>
        <w:pStyle w:val="174"/>
      </w:pPr>
      <w:r>
        <w:rPr>
          <w:rFonts w:hint="eastAsia"/>
        </w:rPr>
        <w:t>公共机构以总电表、气表等计量仪表实测数据为依据，经计算分析后满足本标准第6.2节的要求。</w:t>
      </w:r>
    </w:p>
    <w:p w14:paraId="1EC6D493">
      <w:pPr>
        <w:pStyle w:val="165"/>
      </w:pPr>
      <w:r>
        <w:rPr>
          <w:rFonts w:hint="eastAsia"/>
        </w:rPr>
        <w:t>公共机构建筑运行判定应符合下列规定：</w:t>
      </w:r>
    </w:p>
    <w:p w14:paraId="2208D7E9">
      <w:pPr>
        <w:pStyle w:val="174"/>
        <w:numPr>
          <w:ilvl w:val="0"/>
          <w:numId w:val="48"/>
        </w:numPr>
      </w:pPr>
      <w:r>
        <w:rPr>
          <w:rFonts w:hint="eastAsia"/>
        </w:rPr>
        <w:t>公共机构建筑竣工并在建筑使用面积不低于判定面积60%的情况下正常运行一年以上；</w:t>
      </w:r>
    </w:p>
    <w:p w14:paraId="03704781">
      <w:pPr>
        <w:pStyle w:val="174"/>
      </w:pPr>
      <w:r>
        <w:rPr>
          <w:rFonts w:hint="eastAsia"/>
        </w:rPr>
        <w:t>公共机构建筑使用面积为判定面积的60%</w:t>
      </w:r>
      <w:r>
        <w:rPr>
          <w:rFonts w:hint="eastAsia" w:hAnsi="宋体"/>
        </w:rPr>
        <w:t>～</w:t>
      </w:r>
      <w:r>
        <w:rPr>
          <w:rFonts w:hint="eastAsia"/>
        </w:rPr>
        <w:t>80%时，采用运行数据折算后判定；建筑使用面积高于判定面积80%时，可采用运行数据直接判定；</w:t>
      </w:r>
    </w:p>
    <w:p w14:paraId="3EA0675C">
      <w:pPr>
        <w:pStyle w:val="174"/>
      </w:pPr>
      <w:r>
        <w:rPr>
          <w:rFonts w:hint="eastAsia" w:hAnsi="宋体" w:cs="宋体"/>
          <w:spacing w:val="4"/>
        </w:rPr>
        <w:t>公共机构建筑判定应采用分项计量的能耗数据，经计算分析后满足6.3的要求。</w:t>
      </w:r>
    </w:p>
    <w:p w14:paraId="453336F8">
      <w:pPr>
        <w:pStyle w:val="56"/>
        <w:ind w:firstLine="420"/>
      </w:pPr>
    </w:p>
    <w:p w14:paraId="79EE3F55">
      <w:pPr>
        <w:pStyle w:val="56"/>
        <w:ind w:firstLine="420"/>
      </w:pPr>
    </w:p>
    <w:p w14:paraId="5C55544C">
      <w:pPr>
        <w:pStyle w:val="56"/>
        <w:ind w:firstLine="420"/>
      </w:pPr>
    </w:p>
    <w:p w14:paraId="63455342">
      <w:pPr>
        <w:pStyle w:val="56"/>
        <w:ind w:firstLine="420"/>
      </w:pPr>
    </w:p>
    <w:p w14:paraId="733354D2">
      <w:pPr>
        <w:pStyle w:val="56"/>
        <w:ind w:firstLine="420"/>
      </w:pPr>
    </w:p>
    <w:p w14:paraId="2B7E4094">
      <w:pPr>
        <w:pStyle w:val="56"/>
        <w:ind w:firstLine="420"/>
      </w:pPr>
    </w:p>
    <w:bookmarkEnd w:id="27"/>
    <w:p w14:paraId="6F8BD5BC">
      <w:pPr>
        <w:pStyle w:val="56"/>
        <w:ind w:firstLine="420"/>
        <w:sectPr>
          <w:pgSz w:w="11906" w:h="16838"/>
          <w:pgMar w:top="1928" w:right="1134" w:bottom="1134" w:left="1134" w:header="1418" w:footer="1134" w:gutter="284"/>
          <w:pgNumType w:start="1"/>
          <w:cols w:space="425" w:num="1"/>
          <w:formProt w:val="0"/>
          <w:docGrid w:type="lines" w:linePitch="312" w:charSpace="0"/>
        </w:sectPr>
      </w:pPr>
      <w:bookmarkStart w:id="73" w:name="BookMark6"/>
    </w:p>
    <w:p w14:paraId="60E60C69">
      <w:pPr>
        <w:pStyle w:val="63"/>
        <w:spacing w:after="156"/>
      </w:pPr>
      <w:bookmarkStart w:id="74" w:name="_Toc192174375"/>
      <w:r>
        <w:rPr>
          <w:rFonts w:hint="eastAsia"/>
          <w:spacing w:val="105"/>
        </w:rPr>
        <w:t>参考文</w:t>
      </w:r>
      <w:r>
        <w:rPr>
          <w:rFonts w:hint="eastAsia"/>
        </w:rPr>
        <w:t>献</w:t>
      </w:r>
      <w:bookmarkEnd w:id="74"/>
    </w:p>
    <w:p w14:paraId="1FB95DF8">
      <w:pPr>
        <w:pStyle w:val="56"/>
        <w:ind w:firstLine="420"/>
      </w:pPr>
      <w:r>
        <w:rPr>
          <w:rFonts w:hint="eastAsia"/>
        </w:rPr>
        <w:t>[1] GB/T 30260—2013  《公共机构能源资源管理绩效评价导则》</w:t>
      </w:r>
    </w:p>
    <w:p w14:paraId="16827C38">
      <w:pPr>
        <w:pStyle w:val="56"/>
        <w:ind w:firstLine="420"/>
      </w:pPr>
      <w:r>
        <w:rPr>
          <w:rFonts w:hint="eastAsia"/>
        </w:rPr>
        <w:t>[2] GB/T 32150—2015  《工业企业温室气体排放核算和报告通则》</w:t>
      </w:r>
    </w:p>
    <w:p w14:paraId="7C51881B">
      <w:pPr>
        <w:pStyle w:val="56"/>
        <w:ind w:firstLine="420"/>
      </w:pPr>
      <w:r>
        <w:rPr>
          <w:rFonts w:hint="eastAsia"/>
        </w:rPr>
        <w:t>[3] GB/T 32910.4—2021  《数据中心 资源利用 第 4 部分：可再生能源利用率》</w:t>
      </w:r>
    </w:p>
    <w:p w14:paraId="49B01073">
      <w:pPr>
        <w:pStyle w:val="56"/>
        <w:ind w:firstLine="420"/>
      </w:pPr>
      <w:r>
        <w:rPr>
          <w:rFonts w:hint="eastAsia"/>
        </w:rPr>
        <w:t>[4] GB/T 36710—2018  《公共机构办公区节能运行管理规范》</w:t>
      </w:r>
    </w:p>
    <w:p w14:paraId="6FEE7BE7">
      <w:pPr>
        <w:pStyle w:val="56"/>
        <w:ind w:firstLine="420"/>
      </w:pPr>
      <w:r>
        <w:rPr>
          <w:rFonts w:hint="eastAsia"/>
        </w:rPr>
        <w:t>[5] GB/T 41198—2021  《林业碳汇项目审定和核证指南》</w:t>
      </w:r>
    </w:p>
    <w:p w14:paraId="6CAECC96">
      <w:pPr>
        <w:pStyle w:val="56"/>
        <w:ind w:firstLine="420"/>
      </w:pPr>
      <w:r>
        <w:rPr>
          <w:rFonts w:hint="eastAsia"/>
        </w:rPr>
        <w:t>[6] GB/T 41568—2022  《机关事务管理 术语》</w:t>
      </w:r>
    </w:p>
    <w:p w14:paraId="21EF201C">
      <w:pPr>
        <w:pStyle w:val="56"/>
        <w:ind w:firstLine="420"/>
      </w:pPr>
      <w:r>
        <w:rPr>
          <w:rFonts w:hint="eastAsia"/>
        </w:rPr>
        <w:t>[7] GB/T 50801—2013  《可再生能源建筑应用工程评价标准》</w:t>
      </w:r>
    </w:p>
    <w:p w14:paraId="7A19F639">
      <w:pPr>
        <w:pStyle w:val="56"/>
        <w:ind w:firstLine="420"/>
      </w:pPr>
      <w:r>
        <w:rPr>
          <w:rFonts w:hint="eastAsia"/>
        </w:rPr>
        <w:t>[8] DB33/T 2515-2022  《公共机构“零碳”管理与评价规范》</w:t>
      </w:r>
    </w:p>
    <w:p w14:paraId="353259B7">
      <w:pPr>
        <w:pStyle w:val="56"/>
        <w:ind w:firstLine="420"/>
      </w:pPr>
      <w:r>
        <w:rPr>
          <w:rFonts w:hint="eastAsia"/>
        </w:rPr>
        <w:t>[9] 《零碳建筑技术标准（征求意见稿）》</w:t>
      </w:r>
    </w:p>
    <w:p w14:paraId="7BDDBD9F">
      <w:pPr>
        <w:pStyle w:val="56"/>
        <w:ind w:firstLine="420"/>
      </w:pPr>
    </w:p>
    <w:p w14:paraId="0ABCC8EB">
      <w:pPr>
        <w:pStyle w:val="56"/>
        <w:ind w:firstLine="420"/>
      </w:pPr>
    </w:p>
    <w:p w14:paraId="301287FC">
      <w:pPr>
        <w:pStyle w:val="56"/>
        <w:ind w:firstLine="420"/>
      </w:pPr>
    </w:p>
    <w:p w14:paraId="1C22518E">
      <w:pPr>
        <w:pStyle w:val="56"/>
        <w:ind w:firstLine="420"/>
      </w:pPr>
    </w:p>
    <w:bookmarkEnd w:id="73"/>
    <w:p w14:paraId="6BE56931">
      <w:pPr>
        <w:pStyle w:val="56"/>
        <w:ind w:firstLine="420"/>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ACBE4">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0E503">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366EB">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7C851">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93E0A">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DCA60">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17712">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67E84">
    <w:pPr>
      <w:pStyle w:val="61"/>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505A0">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dit="forms" w:enforcement="1" w:cryptProviderType="rsaAES" w:cryptAlgorithmClass="hash" w:cryptAlgorithmType="typeAny" w:cryptAlgorithmSid="14" w:cryptSpinCount="100000" w:hash="TozQci93eBKKvL92lQZButlTr9wmUzynJRq7Y2KpXTxy2OnAyKnolIxf7hnJboCuhsz5lFZ1gc5AD/kW8sMexQ==" w:salt="SWdut7YdHBjk9zn9RRavcw=="/>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2AA"/>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504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2AA"/>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3912"/>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0F43"/>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6BF"/>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65C"/>
    <w:rsid w:val="00695D22"/>
    <w:rsid w:val="006A07AA"/>
    <w:rsid w:val="006A25E5"/>
    <w:rsid w:val="006A2B46"/>
    <w:rsid w:val="006A336D"/>
    <w:rsid w:val="006A37B9"/>
    <w:rsid w:val="006B2672"/>
    <w:rsid w:val="006B54BF"/>
    <w:rsid w:val="006B5F44"/>
    <w:rsid w:val="006B5F90"/>
    <w:rsid w:val="006B613B"/>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9EB"/>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2E84"/>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5AED"/>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5F1C"/>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2DD2"/>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273FD"/>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1E57"/>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52F"/>
    <w:rsid w:val="00ED067A"/>
    <w:rsid w:val="00ED2B50"/>
    <w:rsid w:val="00EE0350"/>
    <w:rsid w:val="00EE0719"/>
    <w:rsid w:val="00EE0E80"/>
    <w:rsid w:val="00EE54A6"/>
    <w:rsid w:val="00EE613F"/>
    <w:rsid w:val="00EE7295"/>
    <w:rsid w:val="00EE7869"/>
    <w:rsid w:val="00EE7F7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27F3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16AA"/>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B5B"/>
    <w:rsid w:val="00FE1FBE"/>
    <w:rsid w:val="00FE3901"/>
    <w:rsid w:val="00FE39D3"/>
    <w:rsid w:val="00FE4BCE"/>
    <w:rsid w:val="00FE54AE"/>
    <w:rsid w:val="00FE576A"/>
    <w:rsid w:val="00FE7E79"/>
    <w:rsid w:val="00FF3E7D"/>
    <w:rsid w:val="00FF5B99"/>
    <w:rsid w:val="00FF7185"/>
    <w:rsid w:val="00FF730C"/>
    <w:rsid w:val="00FF73F4"/>
    <w:rsid w:val="00FF7CE4"/>
    <w:rsid w:val="00FF7E39"/>
    <w:rsid w:val="535D5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uiPriority w:val="0"/>
    <w:rPr>
      <w:rFonts w:ascii="Arial" w:hAnsi="Arial" w:eastAsia="黑体"/>
      <w:b/>
      <w:bCs/>
      <w:kern w:val="2"/>
      <w:sz w:val="24"/>
      <w:szCs w:val="24"/>
    </w:rPr>
  </w:style>
  <w:style w:type="character" w:customStyle="1" w:styleId="40">
    <w:name w:val="标题 7 字符"/>
    <w:link w:val="8"/>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uiPriority w:val="99"/>
    <w:rPr>
      <w:rFonts w:ascii="宋体"/>
      <w:kern w:val="2"/>
      <w:sz w:val="18"/>
      <w:szCs w:val="18"/>
    </w:rPr>
  </w:style>
  <w:style w:type="character" w:customStyle="1" w:styleId="45">
    <w:name w:val="批注框文本 字符"/>
    <w:link w:val="16"/>
    <w:semiHidden/>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uiPriority w:val="0"/>
    <w:pPr>
      <w:numPr>
        <w:ilvl w:val="0"/>
        <w:numId w:val="3"/>
      </w:numPr>
      <w:ind w:firstLine="0" w:firstLineChars="0"/>
    </w:pPr>
  </w:style>
  <w:style w:type="paragraph" w:customStyle="1" w:styleId="68">
    <w:name w:val="标准文件_封面标准编号"/>
    <w:basedOn w:val="1"/>
    <w:next w:val="59"/>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uiPriority w:val="0"/>
    <w:pPr>
      <w:spacing w:line="310" w:lineRule="exact"/>
      <w:jc w:val="right"/>
    </w:pPr>
    <w:rPr>
      <w:rFonts w:ascii="黑体" w:eastAsia="黑体"/>
      <w:sz w:val="28"/>
    </w:rPr>
  </w:style>
  <w:style w:type="paragraph" w:customStyle="1" w:styleId="75">
    <w:name w:val="标准文件_封面抬头"/>
    <w:basedOn w:val="56"/>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Unresolved Mention"/>
    <w:basedOn w:val="2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5D9CDFB6B594C728E20F84F0BD2CB5E"/>
        <w:style w:val=""/>
        <w:category>
          <w:name w:val="常规"/>
          <w:gallery w:val="placeholder"/>
        </w:category>
        <w:types>
          <w:type w:val="bbPlcHdr"/>
        </w:types>
        <w:behaviors>
          <w:behavior w:val="content"/>
        </w:behaviors>
        <w:description w:val=""/>
        <w:guid w:val="{F21A4B4B-868B-4B64-8AC6-EA11B41D34FA}"/>
      </w:docPartPr>
      <w:docPartBody>
        <w:p w14:paraId="17FBCE85">
          <w:pPr>
            <w:pStyle w:val="5"/>
            <w:rPr>
              <w:rFonts w:hint="eastAsia"/>
            </w:rPr>
          </w:pPr>
          <w:r>
            <w:rPr>
              <w:rStyle w:val="4"/>
              <w:rFonts w:hint="eastAsia"/>
            </w:rPr>
            <w:t>单击或点击此处输入文字。</w:t>
          </w:r>
        </w:p>
      </w:docPartBody>
    </w:docPart>
    <w:docPart>
      <w:docPartPr>
        <w:name w:val="F7A5EF5474784748AC563E944F5C380A"/>
        <w:style w:val=""/>
        <w:category>
          <w:name w:val="常规"/>
          <w:gallery w:val="placeholder"/>
        </w:category>
        <w:types>
          <w:type w:val="bbPlcHdr"/>
        </w:types>
        <w:behaviors>
          <w:behavior w:val="content"/>
        </w:behaviors>
        <w:description w:val=""/>
        <w:guid w:val="{2764B6A9-F25E-4A47-B4B5-2B9B16557597}"/>
      </w:docPartPr>
      <w:docPartBody>
        <w:p w14:paraId="0D8308BB">
          <w:pPr>
            <w:pStyle w:val="6"/>
            <w:rPr>
              <w:rFonts w:hint="eastAsia"/>
            </w:rPr>
          </w:pPr>
          <w:r>
            <w:rPr>
              <w:rStyle w:val="4"/>
              <w:rFonts w:hint="eastAsia"/>
            </w:rPr>
            <w:t>选择一项。</w:t>
          </w:r>
        </w:p>
      </w:docPartBody>
    </w:docPart>
    <w:docPart>
      <w:docPartPr>
        <w:name w:val="E6659B44CAF146A78E924E7AA52AC4BE"/>
        <w:style w:val=""/>
        <w:category>
          <w:name w:val="常规"/>
          <w:gallery w:val="placeholder"/>
        </w:category>
        <w:types>
          <w:type w:val="bbPlcHdr"/>
        </w:types>
        <w:behaviors>
          <w:behavior w:val="content"/>
        </w:behaviors>
        <w:description w:val=""/>
        <w:guid w:val="{2C50257F-012E-4B02-A73E-1D094F3DA828}"/>
      </w:docPartPr>
      <w:docPartBody>
        <w:p w14:paraId="1B372229">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E01"/>
    <w:rsid w:val="003632D1"/>
    <w:rsid w:val="00A04E01"/>
    <w:rsid w:val="00A75F1C"/>
    <w:rsid w:val="00B75D62"/>
    <w:rsid w:val="00BA328C"/>
    <w:rsid w:val="00BC1E57"/>
    <w:rsid w:val="00D81576"/>
    <w:rsid w:val="00E85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A5D9CDFB6B594C728E20F84F0BD2CB5E"/>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F7A5EF5474784748AC563E944F5C380A"/>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E6659B44CAF146A78E924E7AA52AC4BE"/>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15</Pages>
  <Words>7895</Words>
  <Characters>9030</Characters>
  <Lines>87</Lines>
  <Paragraphs>24</Paragraphs>
  <TotalTime>103</TotalTime>
  <ScaleCrop>false</ScaleCrop>
  <LinksUpToDate>false</LinksUpToDate>
  <CharactersWithSpaces>9263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2025-03-06T08:03:00Z</dcterms:created>
  <dc:creator>dell</dc:creator>
  <dc:description>&lt;config cover="true" show_menu="true" version="1.0.0" doctype="SDKXY"&gt;_x000d_
&lt;/config&gt;</dc:description>
  <cp:lastModifiedBy>卢</cp:lastModifiedBy>
  <cp:lastPrinted>2020-08-30T10:00:00Z</cp:lastPrinted>
  <dcterms:modified xsi:type="dcterms:W3CDTF">2025-03-07T02:02:13Z</dcterms:modified>
  <dc:title>地方标准</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True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eyJoZGlkIjoiNmU5ZDE5YmMzZWI3NThmNDllZWYzZjM0ZGNiMDY5NjUiLCJ1c2VySWQiOiIyOTIxMjI5NzYifQ==</vt:lpwstr>
  </property>
  <property fmtid="{D5CDD505-2E9C-101B-9397-08002B2CF9AE}" pid="15" name="KSOProductBuildVer">
    <vt:lpwstr>2052-12.1.0.20305</vt:lpwstr>
  </property>
  <property fmtid="{D5CDD505-2E9C-101B-9397-08002B2CF9AE}" pid="16" name="ICV">
    <vt:lpwstr>186BEAA655574C529615C52AA7DF0BF0_12</vt:lpwstr>
  </property>
</Properties>
</file>