
<file path=[Content_Types].xml><?xml version="1.0" encoding="utf-8"?>
<Types xmlns="http://schemas.openxmlformats.org/package/2006/content-types">
  <Default Extension="xml" ContentType="application/xml"/>
  <Default Extension="tiff" ContentType="image/tiff"/>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14:paraId="6DA8DE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465690B7">
            <w:pPr>
              <w:pStyle w:val="19"/>
              <w:framePr w:wrap="notBeside" w:vAnchor="page" w:hAnchor="page" w:x="1372" w:y="568"/>
              <w:tabs>
                <w:tab w:val="clear" w:pos="4153"/>
                <w:tab w:val="clear" w:pos="8306"/>
              </w:tabs>
              <w:spacing w:line="240" w:lineRule="auto"/>
              <w:jc w:val="left"/>
              <w:rPr>
                <w:rFonts w:hint="eastAsia"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14:paraId="281254DE">
            <w:pPr>
              <w:pStyle w:val="19"/>
              <w:framePr w:wrap="notBeside" w:vAnchor="page" w:hAnchor="page" w:x="1372" w:y="568"/>
              <w:tabs>
                <w:tab w:val="clear" w:pos="4153"/>
                <w:tab w:val="clear" w:pos="8306"/>
              </w:tabs>
              <w:spacing w:line="240" w:lineRule="auto"/>
              <w:jc w:val="both"/>
              <w:rPr>
                <w:rFonts w:hint="eastAsia"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13</w:t>
            </w:r>
            <w:r>
              <w:rPr>
                <w:rFonts w:ascii="黑体" w:hAnsi="黑体" w:eastAsia="黑体"/>
                <w:sz w:val="21"/>
                <w:szCs w:val="21"/>
              </w:rPr>
              <w:t>.0</w:t>
            </w:r>
            <w:r>
              <w:rPr>
                <w:rFonts w:hint="eastAsia" w:ascii="黑体" w:hAnsi="黑体" w:eastAsia="黑体"/>
                <w:sz w:val="21"/>
                <w:szCs w:val="21"/>
              </w:rPr>
              <w:t>20</w:t>
            </w:r>
            <w:r>
              <w:rPr>
                <w:rFonts w:ascii="黑体" w:hAnsi="黑体" w:eastAsia="黑体"/>
                <w:sz w:val="21"/>
                <w:szCs w:val="21"/>
              </w:rPr>
              <w:t xml:space="preserve"> </w:t>
            </w:r>
            <w:r>
              <w:rPr>
                <w:rFonts w:ascii="黑体" w:hAnsi="黑体" w:eastAsia="黑体"/>
                <w:sz w:val="21"/>
                <w:szCs w:val="21"/>
              </w:rPr>
              <w:fldChar w:fldCharType="end"/>
            </w:r>
            <w:bookmarkEnd w:id="0"/>
          </w:p>
        </w:tc>
      </w:tr>
      <w:tr w14:paraId="77385E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c>
          <w:tcPr>
            <w:tcW w:w="509" w:type="dxa"/>
          </w:tcPr>
          <w:p w14:paraId="1E3664D3">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14:paraId="4AB9D8DD">
            <w:pPr>
              <w:pStyle w:val="19"/>
              <w:framePr w:wrap="notBeside" w:vAnchor="page" w:hAnchor="page" w:x="1372" w:y="568"/>
              <w:tabs>
                <w:tab w:val="clear" w:pos="4153"/>
                <w:tab w:val="clear" w:pos="8306"/>
              </w:tabs>
              <w:spacing w:before="40" w:line="240" w:lineRule="auto"/>
              <w:jc w:val="left"/>
              <w:rPr>
                <w:rFonts w:hint="eastAsia"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hint="eastAsia" w:ascii="黑体" w:hAnsi="黑体" w:eastAsia="黑体"/>
                <w:sz w:val="21"/>
                <w:szCs w:val="21"/>
              </w:rPr>
              <w:t>Z</w:t>
            </w:r>
            <w:r>
              <w:rPr>
                <w:rFonts w:ascii="黑体" w:hAnsi="黑体" w:eastAsia="黑体"/>
                <w:sz w:val="21"/>
                <w:szCs w:val="21"/>
              </w:rPr>
              <w:t xml:space="preserve"> 01</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14:paraId="0F525B00">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221" w:type="dxa"/>
          </w:tblCellMar>
        </w:tblPrEx>
        <w:tc>
          <w:tcPr>
            <w:tcW w:w="6407" w:type="dxa"/>
          </w:tcPr>
          <w:p w14:paraId="767269B7">
            <w:pPr>
              <w:pStyle w:val="51"/>
              <w:framePr w:w="0" w:hRule="auto" w:wrap="auto" w:vAnchor="margin" w:hAnchor="text" w:xAlign="left" w:yAlign="inline"/>
              <w:rPr>
                <w:rFonts w:hint="eastAsia"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14:paraId="3A0AC460">
      <w:pPr>
        <w:pStyle w:val="52"/>
        <w:framePr w:w="9639" w:h="624" w:hRule="exact" w:hSpace="181" w:vSpace="181" w:hAnchor="page" w:x="1305" w:y="2269"/>
        <w:rPr>
          <w:rFonts w:hint="eastAsia"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14:paraId="4F27C77F">
      <w:pPr>
        <w:pStyle w:val="197"/>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13/T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t>XXXX</w:t>
      </w:r>
      <w:r>
        <w:fldChar w:fldCharType="end"/>
      </w:r>
      <w:bookmarkEnd w:id="7"/>
    </w:p>
    <w:p w14:paraId="72729A70">
      <w:pPr>
        <w:pStyle w:val="198"/>
        <w:rPr>
          <w:rFonts w:hint="eastAsia"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14:paraId="6CE8387C">
      <w:pPr>
        <w:spacing w:line="240" w:lineRule="auto"/>
        <w:rPr>
          <w:rFonts w:hint="eastAsia"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Ang0mW2AAA&#10;AAwBAAAPAAAAAAAAAAEAIAAAACIAAABkcnMvZG93bnJldi54bWxQSwECFAAUAAAACACHTuJAu+DK&#10;ZuUBAACsAwAADgAAAAAAAAABACAAAAAnAQAAZHJzL2Uyb0RvYy54bWxQSwUGAAAAAAYABgBZAQAA&#10;fgUAAAAA&#10;">
                <v:fill on="f" focussize="0,0"/>
                <v:stroke color="#000000" joinstyle="round"/>
                <v:imagedata o:title=""/>
                <o:lock v:ext="edit" aspectratio="f"/>
              </v:line>
            </w:pict>
          </mc:Fallback>
        </mc:AlternateContent>
      </w:r>
    </w:p>
    <w:p w14:paraId="22FC3DD0">
      <w:pPr>
        <w:pStyle w:val="52"/>
        <w:framePr w:w="9639" w:h="6976" w:hRule="exact" w:hSpace="0" w:vSpace="0" w:hAnchor="page" w:y="6408"/>
        <w:jc w:val="center"/>
        <w:rPr>
          <w:rFonts w:hint="eastAsia" w:ascii="黑体" w:hAnsi="黑体" w:eastAsia="黑体"/>
          <w:b w:val="0"/>
          <w:bCs w:val="0"/>
          <w:w w:val="100"/>
        </w:rPr>
      </w:pPr>
    </w:p>
    <w:p w14:paraId="38DCEE42">
      <w:pPr>
        <w:pStyle w:val="199"/>
        <w:framePr w:h="6974" w:hRule="exact" w:wrap="around" w:x="1419" w:anchorLock="1"/>
        <w:rPr>
          <w:rFonts w:hint="eastAsia"/>
        </w:rPr>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rPr>
          <w:rFonts w:hint="eastAsia"/>
        </w:rPr>
        <w:t>公共机构</w:t>
      </w:r>
      <w:r>
        <w:rPr>
          <w:rFonts w:hint="eastAsia"/>
          <w:lang w:eastAsia="zh-CN"/>
        </w:rPr>
        <w:t>绿色节能</w:t>
      </w:r>
    </w:p>
    <w:p w14:paraId="60FAB9FD">
      <w:pPr>
        <w:pStyle w:val="199"/>
        <w:framePr w:h="6974" w:hRule="exact" w:wrap="around" w:x="1419" w:anchorLock="1"/>
        <w:rPr>
          <w:rFonts w:hint="eastAsia"/>
        </w:rPr>
      </w:pPr>
      <w:r>
        <w:rPr>
          <w:rFonts w:hint="eastAsia"/>
        </w:rPr>
        <w:t>第5部分：生活垃圾</w:t>
      </w:r>
      <w:r>
        <w:rPr>
          <w:rFonts w:hint="eastAsia"/>
          <w:lang w:eastAsia="zh-CN"/>
        </w:rPr>
        <w:t>分类</w:t>
      </w:r>
      <w:r>
        <w:fldChar w:fldCharType="end"/>
      </w:r>
      <w:bookmarkEnd w:id="9"/>
    </w:p>
    <w:p w14:paraId="48CA8D97">
      <w:pPr>
        <w:framePr w:w="9639" w:h="6974" w:hRule="exact" w:wrap="around" w:vAnchor="page" w:hAnchor="page" w:x="1419" w:y="6408" w:anchorLock="1"/>
        <w:ind w:left="-1418"/>
      </w:pPr>
    </w:p>
    <w:p w14:paraId="4CDD9656">
      <w:pPr>
        <w:pStyle w:val="127"/>
        <w:framePr w:w="9639" w:h="6974" w:hRule="exact" w:wrap="around" w:vAnchor="page" w:hAnchor="page" w:x="1419" w:y="6408" w:anchorLock="1"/>
        <w:textAlignment w:val="bottom"/>
        <w:rPr>
          <w:rFonts w:hint="eastAsia"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ascii="黑体" w:hAnsi="黑体" w:eastAsia="黑体"/>
          <w:szCs w:val="28"/>
        </w:rPr>
        <w:t>     </w:t>
      </w:r>
      <w:r>
        <w:rPr>
          <w:rFonts w:ascii="黑体" w:hAnsi="黑体" w:eastAsia="黑体"/>
          <w:szCs w:val="28"/>
        </w:rPr>
        <w:fldChar w:fldCharType="end"/>
      </w:r>
      <w:bookmarkEnd w:id="10"/>
    </w:p>
    <w:p w14:paraId="16A8710E">
      <w:pPr>
        <w:framePr w:w="9639" w:h="6974" w:hRule="exact" w:wrap="around" w:vAnchor="page" w:hAnchor="page" w:x="1419" w:y="6408" w:anchorLock="1"/>
        <w:spacing w:line="760" w:lineRule="exact"/>
        <w:ind w:left="-1418"/>
      </w:pPr>
    </w:p>
    <w:p w14:paraId="36E3A5F5">
      <w:pPr>
        <w:pStyle w:val="127"/>
        <w:framePr w:w="9639" w:h="6974" w:hRule="exact" w:wrap="around" w:vAnchor="page" w:hAnchor="page" w:x="1419" w:y="6408" w:anchorLock="1"/>
        <w:textAlignment w:val="bottom"/>
        <w:rPr>
          <w:rFonts w:eastAsia="黑体"/>
          <w:szCs w:val="28"/>
        </w:rPr>
      </w:pPr>
    </w:p>
    <w:p w14:paraId="45E70C8B">
      <w:pPr>
        <w:pStyle w:val="127"/>
        <w:framePr w:w="9639" w:h="6974" w:hRule="exact" w:wrap="around" w:vAnchor="page" w:hAnchor="page" w:x="1419" w:y="6408" w:anchorLock="1"/>
        <w:spacing w:before="440" w:after="160"/>
        <w:textAlignment w:val="bottom"/>
        <w:rPr>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14:paraId="42501D55">
      <w:pPr>
        <w:pStyle w:val="127"/>
        <w:framePr w:w="9639" w:h="6974" w:hRule="exact" w:wrap="around" w:vAnchor="page" w:hAnchor="page" w:x="1419" w:y="6408" w:anchorLock="1"/>
        <w:spacing w:before="180" w:line="240" w:lineRule="atLeast"/>
        <w:textAlignment w:val="bottom"/>
        <w:rPr>
          <w:sz w:val="21"/>
          <w:szCs w:val="28"/>
        </w:rPr>
      </w:pPr>
      <w:r>
        <w:rPr>
          <w:sz w:val="21"/>
          <w:szCs w:val="28"/>
        </w:rPr>
        <w:fldChar w:fldCharType="begin">
          <w:ffData>
            <w:name w:val="CMPLSH_DATE"/>
            <w:enabled/>
            <w:calcOnExit w:val="0"/>
            <w:textInput/>
          </w:ffData>
        </w:fldChar>
      </w:r>
      <w:bookmarkStart w:id="12" w:name="CMPLSH_DATE"/>
      <w:r>
        <w:rPr>
          <w:sz w:val="21"/>
          <w:szCs w:val="28"/>
        </w:rPr>
        <w:instrText xml:space="preserve"> FORMTEXT </w:instrText>
      </w:r>
      <w:r>
        <w:rPr>
          <w:sz w:val="21"/>
          <w:szCs w:val="28"/>
        </w:rPr>
        <w:fldChar w:fldCharType="separate"/>
      </w:r>
      <w:bookmarkStart w:id="70" w:name="_GoBack"/>
      <w:bookmarkEnd w:id="70"/>
      <w:r>
        <w:rPr>
          <w:sz w:val="21"/>
          <w:szCs w:val="28"/>
        </w:rPr>
        <w:t>     </w:t>
      </w:r>
      <w:r>
        <w:rPr>
          <w:sz w:val="21"/>
          <w:szCs w:val="28"/>
        </w:rPr>
        <w:fldChar w:fldCharType="end"/>
      </w:r>
      <w:bookmarkEnd w:id="12"/>
    </w:p>
    <w:p w14:paraId="14A13C4C">
      <w:pPr>
        <w:pStyle w:val="127"/>
        <w:framePr w:w="9639" w:h="6974" w:hRule="exact" w:wrap="around" w:vAnchor="page" w:hAnchor="page" w:x="1419" w:y="6408" w:anchorLock="1"/>
        <w:spacing w:before="720" w:beforeLines="300" w:after="72" w:afterLines="30" w:line="240" w:lineRule="auto"/>
        <w:textAlignment w:val="bottom"/>
        <w:rPr>
          <w:b/>
          <w:sz w:val="21"/>
          <w:szCs w:val="28"/>
        </w:rPr>
      </w:pPr>
      <w:r>
        <w:rPr>
          <w:b/>
          <w:sz w:val="21"/>
          <w:szCs w:val="28"/>
        </w:rPr>
        <w:fldChar w:fldCharType="begin">
          <w:ffData>
            <w:name w:val="下拉2"/>
            <w:enabled/>
            <w:calcOnExit w:val="0"/>
            <w:ddList>
              <w:result w:val="1"/>
              <w:listEntry w:val=" "/>
              <w:listEntry w:val="在提交反馈意见时，请将您知道的相关专利连同支持性文件一并附上。"/>
            </w:ddList>
          </w:ffData>
        </w:fldChar>
      </w:r>
      <w:bookmarkStart w:id="13" w:name="下拉2"/>
      <w:r>
        <w:rPr>
          <w:b/>
          <w:sz w:val="21"/>
          <w:szCs w:val="28"/>
        </w:rPr>
        <w:instrText xml:space="preserve"> FORMDROPDOWN </w:instrText>
      </w:r>
      <w:r>
        <w:rPr>
          <w:b/>
          <w:sz w:val="21"/>
          <w:szCs w:val="28"/>
        </w:rPr>
        <w:fldChar w:fldCharType="separate"/>
      </w:r>
      <w:r>
        <w:rPr>
          <w:b/>
          <w:sz w:val="21"/>
          <w:szCs w:val="28"/>
        </w:rPr>
        <w:fldChar w:fldCharType="end"/>
      </w:r>
      <w:bookmarkEnd w:id="13"/>
    </w:p>
    <w:p w14:paraId="7D7E5642">
      <w:pPr>
        <w:pStyle w:val="195"/>
        <w:framePr w:y="14176"/>
      </w:pPr>
      <w:r>
        <w:rPr>
          <w:rFonts w:ascii="黑体"/>
        </w:rPr>
        <w:fldChar w:fldCharType="begin">
          <w:ffData>
            <w:name w:val="PLSH_DATE_Y"/>
            <w:enabled/>
            <w:calcOnExit w:val="0"/>
            <w:textInput>
              <w:default w:val="XXXX"/>
              <w:maxLength w:val="4"/>
            </w:textInput>
          </w:ffData>
        </w:fldChar>
      </w:r>
      <w:bookmarkStart w:id="14"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4"/>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5"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5"/>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6"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rPr>
          <w:rFonts w:hint="eastAsia"/>
        </w:rPr>
        <w:t>发布</w:t>
      </w:r>
    </w:p>
    <w:p w14:paraId="5CDE4607">
      <w:pPr>
        <w:pStyle w:val="196"/>
        <w:framePr w:y="14176"/>
      </w:pPr>
      <w:r>
        <w:rPr>
          <w:rFonts w:ascii="黑体"/>
        </w:rPr>
        <w:fldChar w:fldCharType="begin">
          <w:ffData>
            <w:name w:val="CROT_DATE_Y"/>
            <w:enabled/>
            <w:calcOnExit w:val="0"/>
            <w:textInput>
              <w:default w:val="XXXX"/>
              <w:maxLength w:val="4"/>
            </w:textInput>
          </w:ffData>
        </w:fldChar>
      </w:r>
      <w:bookmarkStart w:id="17"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7"/>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8"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8"/>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9"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9"/>
      <w:r>
        <w:rPr>
          <w:rFonts w:hint="eastAsia"/>
        </w:rPr>
        <w:t>实施</w:t>
      </w:r>
    </w:p>
    <w:p w14:paraId="5E99B5F1">
      <w:pPr>
        <w:pStyle w:val="153"/>
        <w:framePr w:h="584" w:hRule="exact" w:hSpace="181" w:vSpace="181" w:y="15027"/>
        <w:rPr>
          <w:rFonts w:hint="eastAsia" w:hAnsi="黑体"/>
        </w:rPr>
      </w:pPr>
      <w:r>
        <w:rPr>
          <w:rFonts w:hAnsi="黑体"/>
          <w:w w:val="100"/>
          <w:sz w:val="28"/>
        </w:rPr>
        <w:fldChar w:fldCharType="begin">
          <w:ffData>
            <w:name w:val="fm"/>
            <w:enabled/>
            <w:calcOnExit w:val="0"/>
            <w:textInput/>
          </w:ffData>
        </w:fldChar>
      </w:r>
      <w:bookmarkStart w:id="20"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20"/>
      <w:r>
        <w:rPr>
          <w:rFonts w:ascii="Times New Roman"/>
          <w:w w:val="100"/>
          <w:sz w:val="28"/>
        </w:rPr>
        <w:t>  </w:t>
      </w:r>
      <w:r>
        <w:rPr>
          <w:rStyle w:val="231"/>
          <w:rFonts w:hint="eastAsia" w:hAnsi="黑体"/>
          <w:position w:val="0"/>
        </w:rPr>
        <w:t>发</w:t>
      </w:r>
      <w:r>
        <w:rPr>
          <w:rStyle w:val="231"/>
          <w:rFonts w:hint="eastAsia" w:hAnsi="黑体"/>
          <w:spacing w:val="0"/>
          <w:position w:val="0"/>
        </w:rPr>
        <w:t>布</w:t>
      </w:r>
    </w:p>
    <w:p w14:paraId="2FC0F14B">
      <w:pPr>
        <w:rPr>
          <w:rFonts w:hint="eastAsia" w:ascii="宋体" w:hAnsi="宋体"/>
          <w:sz w:val="28"/>
          <w:szCs w:val="28"/>
        </w:rPr>
        <w:sectPr>
          <w:headerReference r:id="rId6" w:type="first"/>
          <w:footerReference r:id="rId8" w:type="first"/>
          <w:headerReference r:id="rId5" w:type="default"/>
          <w:footerReference r:id="rId7"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1"/>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CrMxz71wAAAA4B&#10;AAAPAAAAAAAAAAEAIAAAACIAAABkcnMvZG93bnJldi54bWxQSwECFAAUAAAACACHTuJAWS4lmOMB&#10;AACqAwAADgAAAAAAAAABACAAAAAmAQAAZHJzL2Uyb0RvYy54bWxQSwUGAAAAAAYABgBZAQAAewUA&#10;AAAA&#10;">
                <v:fill on="f" focussize="0,0"/>
                <v:stroke color="#000000" joinstyle="round"/>
                <v:imagedata o:title=""/>
                <o:lock v:ext="edit" aspectratio="f"/>
                <w10:anchorlock/>
              </v:line>
            </w:pict>
          </mc:Fallback>
        </mc:AlternateContent>
      </w:r>
    </w:p>
    <w:p w14:paraId="05CD43A4">
      <w:pPr>
        <w:pStyle w:val="93"/>
        <w:spacing w:after="468"/>
      </w:pPr>
      <w:bookmarkStart w:id="21" w:name="BookMark1"/>
      <w:r>
        <w:rPr>
          <w:rFonts w:hint="eastAsia"/>
          <w:spacing w:val="320"/>
        </w:rPr>
        <w:t>目</w:t>
      </w:r>
      <w:r>
        <w:rPr>
          <w:rFonts w:hint="eastAsia"/>
        </w:rPr>
        <w:t>次</w:t>
      </w:r>
    </w:p>
    <w:p w14:paraId="7211B49E">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TOC \o "1-1" \h \t "标准文件_一级条标题,2,标准文件_附录一级条标题,2," </w:instrText>
      </w:r>
      <w:r>
        <w:rPr>
          <w:rFonts w:hint="eastAsia" w:ascii="宋体" w:hAnsi="宋体" w:eastAsia="宋体" w:cs="宋体"/>
          <w:sz w:val="21"/>
          <w:szCs w:val="21"/>
        </w:rPr>
        <w:fldChar w:fldCharType="separate"/>
      </w:r>
      <w:r>
        <w:rPr>
          <w:rFonts w:hint="eastAsia" w:ascii="宋体" w:hAnsi="宋体" w:eastAsia="宋体" w:cs="宋体"/>
          <w:spacing w:val="0"/>
          <w:sz w:val="21"/>
          <w:szCs w:val="21"/>
        </w:rPr>
        <w:fldChar w:fldCharType="begin"/>
      </w:r>
      <w:r>
        <w:rPr>
          <w:rFonts w:hint="eastAsia" w:ascii="宋体" w:hAnsi="宋体" w:eastAsia="宋体" w:cs="宋体"/>
          <w:spacing w:val="0"/>
          <w:sz w:val="21"/>
          <w:szCs w:val="21"/>
        </w:rPr>
        <w:instrText xml:space="preserve"> HYPERLINK \l _Toc22490 </w:instrText>
      </w:r>
      <w:r>
        <w:rPr>
          <w:rFonts w:hint="eastAsia" w:ascii="宋体" w:hAnsi="宋体" w:eastAsia="宋体" w:cs="宋体"/>
          <w:spacing w:val="0"/>
          <w:sz w:val="21"/>
          <w:szCs w:val="21"/>
        </w:rPr>
        <w:fldChar w:fldCharType="separate"/>
      </w:r>
      <w:r>
        <w:rPr>
          <w:rFonts w:hint="eastAsia" w:ascii="宋体" w:hAnsi="宋体" w:eastAsia="宋体" w:cs="宋体"/>
          <w:spacing w:val="0"/>
          <w:sz w:val="21"/>
          <w:szCs w:val="21"/>
        </w:rPr>
        <w:t>前言</w:t>
      </w:r>
      <w:r>
        <w:rPr>
          <w:rFonts w:hint="eastAsia" w:ascii="宋体" w:hAnsi="宋体" w:eastAsia="宋体" w:cs="宋体"/>
          <w:spacing w:val="0"/>
          <w:sz w:val="21"/>
          <w:szCs w:val="21"/>
        </w:rPr>
        <w:tab/>
      </w:r>
      <w:r>
        <w:rPr>
          <w:rFonts w:hint="eastAsia" w:ascii="宋体" w:hAnsi="宋体" w:eastAsia="宋体" w:cs="宋体"/>
          <w:spacing w:val="0"/>
          <w:sz w:val="21"/>
          <w:szCs w:val="21"/>
        </w:rPr>
        <w:fldChar w:fldCharType="begin"/>
      </w:r>
      <w:r>
        <w:rPr>
          <w:rFonts w:hint="eastAsia" w:ascii="宋体" w:hAnsi="宋体" w:eastAsia="宋体" w:cs="宋体"/>
          <w:spacing w:val="0"/>
          <w:sz w:val="21"/>
          <w:szCs w:val="21"/>
        </w:rPr>
        <w:instrText xml:space="preserve"> PAGEREF _Toc22490 \h </w:instrText>
      </w:r>
      <w:r>
        <w:rPr>
          <w:rFonts w:hint="eastAsia" w:ascii="宋体" w:hAnsi="宋体" w:eastAsia="宋体" w:cs="宋体"/>
          <w:spacing w:val="0"/>
          <w:sz w:val="21"/>
          <w:szCs w:val="21"/>
        </w:rPr>
        <w:fldChar w:fldCharType="separate"/>
      </w:r>
      <w:r>
        <w:rPr>
          <w:rFonts w:hint="eastAsia" w:ascii="宋体" w:hAnsi="宋体" w:eastAsia="宋体" w:cs="宋体"/>
          <w:spacing w:val="0"/>
          <w:sz w:val="21"/>
          <w:szCs w:val="21"/>
        </w:rPr>
        <w:t>II</w:t>
      </w:r>
      <w:r>
        <w:rPr>
          <w:rFonts w:hint="eastAsia" w:ascii="宋体" w:hAnsi="宋体" w:eastAsia="宋体" w:cs="宋体"/>
          <w:spacing w:val="0"/>
          <w:sz w:val="21"/>
          <w:szCs w:val="21"/>
        </w:rPr>
        <w:fldChar w:fldCharType="end"/>
      </w:r>
      <w:r>
        <w:rPr>
          <w:rFonts w:hint="eastAsia" w:ascii="宋体" w:hAnsi="宋体" w:eastAsia="宋体" w:cs="宋体"/>
          <w:spacing w:val="0"/>
          <w:sz w:val="21"/>
          <w:szCs w:val="21"/>
        </w:rPr>
        <w:fldChar w:fldCharType="end"/>
      </w:r>
    </w:p>
    <w:p w14:paraId="1722B62B">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_Toc2577 </w:instrText>
      </w:r>
      <w:r>
        <w:rPr>
          <w:rFonts w:hint="eastAsia" w:ascii="宋体" w:hAnsi="宋体" w:eastAsia="宋体" w:cs="宋体"/>
          <w:sz w:val="21"/>
          <w:szCs w:val="21"/>
        </w:rPr>
        <w:fldChar w:fldCharType="separate"/>
      </w:r>
      <w:r>
        <w:rPr>
          <w:rFonts w:hint="eastAsia" w:ascii="宋体" w:hAnsi="宋体" w:eastAsia="宋体" w:cs="宋体"/>
          <w:spacing w:val="0"/>
          <w:sz w:val="21"/>
          <w:szCs w:val="21"/>
        </w:rPr>
        <w:t>引言</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_Toc2577 \h </w:instrText>
      </w:r>
      <w:r>
        <w:rPr>
          <w:rFonts w:hint="eastAsia" w:ascii="宋体" w:hAnsi="宋体" w:eastAsia="宋体" w:cs="宋体"/>
          <w:sz w:val="21"/>
          <w:szCs w:val="21"/>
        </w:rPr>
        <w:fldChar w:fldCharType="separate"/>
      </w:r>
      <w:r>
        <w:rPr>
          <w:rFonts w:hint="eastAsia" w:ascii="宋体" w:hAnsi="宋体" w:eastAsia="宋体" w:cs="宋体"/>
          <w:sz w:val="21"/>
          <w:szCs w:val="21"/>
        </w:rPr>
        <w:t>III</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3D7F00C">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_Toc3299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1 </w:t>
      </w:r>
      <w:r>
        <w:rPr>
          <w:rFonts w:hint="eastAsia" w:ascii="宋体" w:hAnsi="宋体" w:eastAsia="宋体" w:cs="宋体"/>
          <w:i w:val="0"/>
          <w:sz w:val="21"/>
          <w:szCs w:val="21"/>
          <w:lang w:val="en-US" w:eastAsia="zh-CN"/>
        </w:rPr>
        <w:t xml:space="preserve"> </w:t>
      </w:r>
      <w:r>
        <w:rPr>
          <w:rFonts w:hint="eastAsia" w:ascii="宋体" w:hAnsi="宋体" w:eastAsia="宋体" w:cs="宋体"/>
          <w:sz w:val="21"/>
          <w:szCs w:val="21"/>
        </w:rPr>
        <w:t>范围</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_Toc3299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5BBDD78">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_Toc24184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2 </w:t>
      </w:r>
      <w:r>
        <w:rPr>
          <w:rFonts w:hint="eastAsia" w:ascii="宋体" w:hAnsi="宋体" w:eastAsia="宋体" w:cs="宋体"/>
          <w:i w:val="0"/>
          <w:sz w:val="21"/>
          <w:szCs w:val="21"/>
          <w:lang w:val="en-US" w:eastAsia="zh-CN"/>
        </w:rPr>
        <w:t xml:space="preserve"> </w:t>
      </w:r>
      <w:r>
        <w:rPr>
          <w:rFonts w:hint="eastAsia" w:ascii="宋体" w:hAnsi="宋体" w:eastAsia="宋体" w:cs="宋体"/>
          <w:sz w:val="21"/>
          <w:szCs w:val="21"/>
        </w:rPr>
        <w:t>规范性引用文件</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_Toc24184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050CA32">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_Toc10312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3 </w:t>
      </w:r>
      <w:r>
        <w:rPr>
          <w:rFonts w:hint="eastAsia" w:ascii="宋体" w:hAnsi="宋体" w:eastAsia="宋体" w:cs="宋体"/>
          <w:i w:val="0"/>
          <w:sz w:val="21"/>
          <w:szCs w:val="21"/>
          <w:lang w:val="en-US" w:eastAsia="zh-CN"/>
        </w:rPr>
        <w:t xml:space="preserve"> </w:t>
      </w:r>
      <w:r>
        <w:rPr>
          <w:rFonts w:hint="eastAsia" w:ascii="宋体" w:hAnsi="宋体" w:eastAsia="宋体" w:cs="宋体"/>
          <w:sz w:val="21"/>
          <w:szCs w:val="21"/>
        </w:rPr>
        <w:t>术语和定义</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_Toc10312 \h </w:instrText>
      </w:r>
      <w:r>
        <w:rPr>
          <w:rFonts w:hint="eastAsia" w:ascii="宋体" w:hAnsi="宋体" w:eastAsia="宋体" w:cs="宋体"/>
          <w:sz w:val="21"/>
          <w:szCs w:val="21"/>
        </w:rPr>
        <w:fldChar w:fldCharType="separate"/>
      </w:r>
      <w:r>
        <w:rPr>
          <w:rFonts w:hint="eastAsia" w:ascii="宋体" w:hAnsi="宋体" w:eastAsia="宋体" w:cs="宋体"/>
          <w:sz w:val="21"/>
          <w:szCs w:val="21"/>
        </w:rPr>
        <w:t>4</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5D685E6">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_Toc26910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4 </w:t>
      </w:r>
      <w:r>
        <w:rPr>
          <w:rFonts w:hint="eastAsia" w:ascii="宋体" w:hAnsi="宋体" w:eastAsia="宋体" w:cs="宋体"/>
          <w:i w:val="0"/>
          <w:sz w:val="21"/>
          <w:szCs w:val="21"/>
          <w:lang w:val="en-US" w:eastAsia="zh-CN"/>
        </w:rPr>
        <w:t xml:space="preserve"> </w:t>
      </w:r>
      <w:r>
        <w:rPr>
          <w:rFonts w:hint="eastAsia" w:ascii="宋体" w:hAnsi="宋体" w:eastAsia="宋体" w:cs="宋体"/>
          <w:sz w:val="21"/>
          <w:szCs w:val="21"/>
          <w:lang w:val="en-US" w:eastAsia="zh-CN"/>
        </w:rPr>
        <w:t>基本规定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_Toc26910 \h </w:instrText>
      </w:r>
      <w:r>
        <w:rPr>
          <w:rFonts w:hint="eastAsia" w:ascii="宋体" w:hAnsi="宋体" w:eastAsia="宋体" w:cs="宋体"/>
          <w:sz w:val="21"/>
          <w:szCs w:val="21"/>
        </w:rPr>
        <w:fldChar w:fldCharType="separate"/>
      </w:r>
      <w:r>
        <w:rPr>
          <w:rFonts w:hint="eastAsia" w:ascii="宋体" w:hAnsi="宋体" w:eastAsia="宋体" w:cs="宋体"/>
          <w:sz w:val="21"/>
          <w:szCs w:val="21"/>
        </w:rPr>
        <w:t>5</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190DE38">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_Toc32249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5 </w:t>
      </w:r>
      <w:r>
        <w:rPr>
          <w:rFonts w:hint="eastAsia" w:ascii="宋体" w:hAnsi="宋体" w:eastAsia="宋体" w:cs="宋体"/>
          <w:i w:val="0"/>
          <w:sz w:val="21"/>
          <w:szCs w:val="21"/>
          <w:lang w:val="en-US" w:eastAsia="zh-CN"/>
        </w:rPr>
        <w:t xml:space="preserve"> </w:t>
      </w:r>
      <w:r>
        <w:rPr>
          <w:rFonts w:hint="eastAsia" w:ascii="宋体" w:hAnsi="宋体" w:eastAsia="宋体" w:cs="宋体"/>
          <w:sz w:val="21"/>
          <w:szCs w:val="21"/>
          <w:lang w:val="en-US" w:eastAsia="zh-CN"/>
        </w:rPr>
        <w:t>源头减量</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_Toc32249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F3217C2">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_Toc25285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6 </w:t>
      </w:r>
      <w:r>
        <w:rPr>
          <w:rFonts w:hint="eastAsia" w:ascii="宋体" w:hAnsi="宋体" w:eastAsia="宋体" w:cs="宋体"/>
          <w:i w:val="0"/>
          <w:sz w:val="21"/>
          <w:szCs w:val="21"/>
          <w:lang w:val="en-US" w:eastAsia="zh-CN"/>
        </w:rPr>
        <w:t xml:space="preserve"> </w:t>
      </w:r>
      <w:r>
        <w:rPr>
          <w:rFonts w:hint="eastAsia" w:ascii="宋体" w:hAnsi="宋体" w:eastAsia="宋体" w:cs="宋体"/>
          <w:sz w:val="21"/>
          <w:szCs w:val="21"/>
        </w:rPr>
        <w:t>收集容器</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_Toc25285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D1E1023">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_Toc3577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6.1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_Toc3577 \h </w:instrText>
      </w:r>
      <w:r>
        <w:rPr>
          <w:rFonts w:hint="eastAsia" w:ascii="宋体" w:hAnsi="宋体" w:eastAsia="宋体" w:cs="宋体"/>
          <w:sz w:val="21"/>
          <w:szCs w:val="21"/>
        </w:rPr>
        <w:fldChar w:fldCharType="separate"/>
      </w:r>
      <w:r>
        <w:rPr>
          <w:rFonts w:hint="eastAsia" w:ascii="宋体" w:hAnsi="宋体" w:eastAsia="宋体" w:cs="宋体"/>
          <w:sz w:val="21"/>
          <w:szCs w:val="21"/>
        </w:rPr>
        <w:t>6</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9AADDA9">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_Toc29828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6.2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设置要求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_Toc29828 \h </w:instrText>
      </w:r>
      <w:r>
        <w:rPr>
          <w:rFonts w:hint="eastAsia" w:ascii="宋体" w:hAnsi="宋体" w:eastAsia="宋体" w:cs="宋体"/>
          <w:sz w:val="21"/>
          <w:szCs w:val="21"/>
        </w:rPr>
        <w:fldChar w:fldCharType="separate"/>
      </w:r>
      <w:r>
        <w:rPr>
          <w:rFonts w:hint="eastAsia" w:ascii="宋体" w:hAnsi="宋体" w:eastAsia="宋体" w:cs="宋体"/>
          <w:sz w:val="21"/>
          <w:szCs w:val="21"/>
        </w:rPr>
        <w:t>7</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7497157">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_Toc27039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7 </w:t>
      </w:r>
      <w:r>
        <w:rPr>
          <w:rFonts w:hint="eastAsia" w:ascii="宋体" w:hAnsi="宋体" w:eastAsia="宋体" w:cs="宋体"/>
          <w:sz w:val="21"/>
          <w:szCs w:val="21"/>
        </w:rPr>
        <w:t>分类投放</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_Toc27039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16976D7B">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_Toc11400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7.1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_Toc11400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485553A">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_Toc26574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7.2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分类投放要求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_Toc26574 \h </w:instrText>
      </w:r>
      <w:r>
        <w:rPr>
          <w:rFonts w:hint="eastAsia" w:ascii="宋体" w:hAnsi="宋体" w:eastAsia="宋体" w:cs="宋体"/>
          <w:sz w:val="21"/>
          <w:szCs w:val="21"/>
        </w:rPr>
        <w:fldChar w:fldCharType="separate"/>
      </w:r>
      <w:r>
        <w:rPr>
          <w:rFonts w:hint="eastAsia" w:ascii="宋体" w:hAnsi="宋体" w:eastAsia="宋体" w:cs="宋体"/>
          <w:sz w:val="21"/>
          <w:szCs w:val="21"/>
        </w:rPr>
        <w:t>8</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3A7A1FD">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_Toc10732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8 </w:t>
      </w:r>
      <w:r>
        <w:rPr>
          <w:rFonts w:hint="eastAsia" w:ascii="宋体" w:hAnsi="宋体" w:eastAsia="宋体" w:cs="宋体"/>
          <w:sz w:val="21"/>
          <w:szCs w:val="21"/>
        </w:rPr>
        <w:t>分类收集</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_Toc10732 \h </w:instrText>
      </w:r>
      <w:r>
        <w:rPr>
          <w:rFonts w:hint="eastAsia" w:ascii="宋体" w:hAnsi="宋体" w:eastAsia="宋体" w:cs="宋体"/>
          <w:sz w:val="21"/>
          <w:szCs w:val="21"/>
        </w:rPr>
        <w:fldChar w:fldCharType="separate"/>
      </w:r>
      <w:r>
        <w:rPr>
          <w:rFonts w:hint="eastAsia" w:ascii="宋体" w:hAnsi="宋体" w:eastAsia="宋体" w:cs="宋体"/>
          <w:sz w:val="21"/>
          <w:szCs w:val="21"/>
        </w:rPr>
        <w:t>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2AAC325">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_Toc18412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8.1</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_Toc18412 \h </w:instrText>
      </w:r>
      <w:r>
        <w:rPr>
          <w:rFonts w:hint="eastAsia" w:ascii="宋体" w:hAnsi="宋体" w:eastAsia="宋体" w:cs="宋体"/>
          <w:sz w:val="21"/>
          <w:szCs w:val="21"/>
        </w:rPr>
        <w:fldChar w:fldCharType="separate"/>
      </w:r>
      <w:r>
        <w:rPr>
          <w:rFonts w:hint="eastAsia" w:ascii="宋体" w:hAnsi="宋体" w:eastAsia="宋体" w:cs="宋体"/>
          <w:sz w:val="21"/>
          <w:szCs w:val="21"/>
        </w:rPr>
        <w:t>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B2BA222">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_Toc16465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8.2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分类收集要求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_Toc16465 \h </w:instrText>
      </w:r>
      <w:r>
        <w:rPr>
          <w:rFonts w:hint="eastAsia" w:ascii="宋体" w:hAnsi="宋体" w:eastAsia="宋体" w:cs="宋体"/>
          <w:sz w:val="21"/>
          <w:szCs w:val="21"/>
        </w:rPr>
        <w:fldChar w:fldCharType="separate"/>
      </w:r>
      <w:r>
        <w:rPr>
          <w:rFonts w:hint="eastAsia" w:ascii="宋体" w:hAnsi="宋体" w:eastAsia="宋体" w:cs="宋体"/>
          <w:sz w:val="21"/>
          <w:szCs w:val="21"/>
        </w:rPr>
        <w:t>9</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50B295E3">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_Toc8613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9 </w:t>
      </w:r>
      <w:r>
        <w:rPr>
          <w:rFonts w:hint="eastAsia" w:ascii="宋体" w:hAnsi="宋体" w:eastAsia="宋体" w:cs="宋体"/>
          <w:sz w:val="21"/>
          <w:szCs w:val="21"/>
        </w:rPr>
        <w:t>分类运输</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_Toc8613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71F33E11">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_Toc6417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9.1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_Toc6417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8B10194">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_Toc12224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9.2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分类运输要求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_Toc12224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44ABF9CA">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_Toc18253 </w:instrText>
      </w:r>
      <w:r>
        <w:rPr>
          <w:rFonts w:hint="eastAsia" w:ascii="宋体" w:hAnsi="宋体" w:eastAsia="宋体" w:cs="宋体"/>
          <w:sz w:val="21"/>
          <w:szCs w:val="21"/>
        </w:rPr>
        <w:fldChar w:fldCharType="separate"/>
      </w:r>
      <w:r>
        <w:rPr>
          <w:rFonts w:hint="eastAsia" w:ascii="宋体" w:hAnsi="宋体" w:eastAsia="宋体" w:cs="宋体"/>
          <w:i w:val="0"/>
          <w:sz w:val="21"/>
          <w:szCs w:val="21"/>
        </w:rPr>
        <w:t xml:space="preserve">10 </w:t>
      </w:r>
      <w:r>
        <w:rPr>
          <w:rFonts w:hint="eastAsia" w:ascii="宋体" w:hAnsi="宋体" w:eastAsia="宋体" w:cs="宋体"/>
          <w:i w:val="0"/>
          <w:sz w:val="21"/>
          <w:szCs w:val="21"/>
          <w:lang w:val="en-US" w:eastAsia="zh-CN"/>
        </w:rPr>
        <w:t xml:space="preserve"> </w:t>
      </w:r>
      <w:r>
        <w:rPr>
          <w:rFonts w:hint="eastAsia" w:ascii="宋体" w:hAnsi="宋体" w:eastAsia="宋体" w:cs="宋体"/>
          <w:sz w:val="21"/>
          <w:szCs w:val="21"/>
        </w:rPr>
        <w:t>分类处置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_Toc18253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23B5B44E">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_Toc13961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10.1</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一般规定</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_Toc13961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3F43C014">
      <w:pPr>
        <w:pStyle w:val="25"/>
        <w:keepNext w:val="0"/>
        <w:keepLines w:val="0"/>
        <w:pageBreakBefore w:val="0"/>
        <w:widowControl w:val="0"/>
        <w:tabs>
          <w:tab w:val="right" w:leader="dot" w:pos="9354"/>
          <w:tab w:val="clear" w:pos="934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_Toc11554 </w:instrText>
      </w:r>
      <w:r>
        <w:rPr>
          <w:rFonts w:hint="eastAsia" w:ascii="宋体" w:hAnsi="宋体" w:eastAsia="宋体" w:cs="宋体"/>
          <w:sz w:val="21"/>
          <w:szCs w:val="21"/>
        </w:rPr>
        <w:fldChar w:fldCharType="separate"/>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10.2 </w:t>
      </w:r>
      <w:r>
        <w:rPr>
          <w:rFonts w:hint="eastAsia" w:ascii="宋体" w:hAnsi="宋体" w:eastAsia="宋体" w:cs="宋体"/>
          <w:bCs w:val="0"/>
          <w:i w:val="0"/>
          <w:iCs w:val="0"/>
          <w:caps w:val="0"/>
          <w:smallCaps w:val="0"/>
          <w:strike w:val="0"/>
          <w:dstrike w:val="0"/>
          <w:vanish w:val="0"/>
          <w:spacing w:val="0"/>
          <w:kern w:val="0"/>
          <w:position w:val="0"/>
          <w:sz w:val="21"/>
          <w:szCs w:val="21"/>
          <w:vertAlign w:val="baseline"/>
          <w:lang w:val="en-US" w:eastAsia="zh-CN"/>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t xml:space="preserve"> </w:t>
      </w:r>
      <w:r>
        <w:rPr>
          <w:rFonts w:hint="eastAsia" w:ascii="宋体" w:hAnsi="宋体" w:eastAsia="宋体" w:cs="宋体"/>
          <w:sz w:val="21"/>
          <w:szCs w:val="21"/>
        </w:rPr>
        <w:t>分类处置要求</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_Toc11554 \h </w:instrText>
      </w:r>
      <w:r>
        <w:rPr>
          <w:rFonts w:hint="eastAsia" w:ascii="宋体" w:hAnsi="宋体" w:eastAsia="宋体" w:cs="宋体"/>
          <w:sz w:val="21"/>
          <w:szCs w:val="21"/>
        </w:rPr>
        <w:fldChar w:fldCharType="separate"/>
      </w:r>
      <w:r>
        <w:rPr>
          <w:rFonts w:hint="eastAsia" w:ascii="宋体" w:hAnsi="宋体" w:eastAsia="宋体" w:cs="宋体"/>
          <w:sz w:val="21"/>
          <w:szCs w:val="21"/>
        </w:rPr>
        <w:t>10</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61AD5420">
      <w:pPr>
        <w:pStyle w:val="20"/>
        <w:keepNext w:val="0"/>
        <w:keepLines w:val="0"/>
        <w:pageBreakBefore w:val="0"/>
        <w:widowControl w:val="0"/>
        <w:tabs>
          <w:tab w:val="right" w:leader="dot" w:pos="9354"/>
        </w:tabs>
        <w:kinsoku/>
        <w:wordWrap/>
        <w:overflowPunct/>
        <w:topLinePunct w:val="0"/>
        <w:autoSpaceDE/>
        <w:autoSpaceDN/>
        <w:bidi w:val="0"/>
        <w:adjustRightInd w:val="0"/>
        <w:snapToGrid w:val="0"/>
        <w:spacing w:line="240" w:lineRule="auto"/>
        <w:textAlignment w:val="auto"/>
        <w:rPr>
          <w:rFonts w:hint="eastAsia" w:ascii="宋体" w:hAnsi="宋体" w:eastAsia="宋体" w:cs="宋体"/>
          <w:sz w:val="21"/>
          <w:szCs w:val="21"/>
        </w:rPr>
      </w:pP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HYPERLINK \l _Toc2717 </w:instrText>
      </w:r>
      <w:r>
        <w:rPr>
          <w:rFonts w:hint="eastAsia" w:ascii="宋体" w:hAnsi="宋体" w:eastAsia="宋体" w:cs="宋体"/>
          <w:sz w:val="21"/>
          <w:szCs w:val="21"/>
        </w:rPr>
        <w:fldChar w:fldCharType="separate"/>
      </w:r>
      <w:r>
        <w:rPr>
          <w:rFonts w:hint="eastAsia" w:ascii="宋体" w:hAnsi="宋体" w:eastAsia="宋体" w:cs="宋体"/>
          <w:spacing w:val="0"/>
          <w:sz w:val="21"/>
          <w:szCs w:val="21"/>
        </w:rPr>
        <w:t>参考文献</w:t>
      </w:r>
      <w:r>
        <w:rPr>
          <w:rFonts w:hint="eastAsia" w:ascii="宋体" w:hAnsi="宋体" w:eastAsia="宋体" w:cs="宋体"/>
          <w:sz w:val="21"/>
          <w:szCs w:val="21"/>
        </w:rPr>
        <w:tab/>
      </w:r>
      <w:r>
        <w:rPr>
          <w:rFonts w:hint="eastAsia" w:ascii="宋体" w:hAnsi="宋体" w:eastAsia="宋体" w:cs="宋体"/>
          <w:sz w:val="21"/>
          <w:szCs w:val="21"/>
        </w:rPr>
        <w:fldChar w:fldCharType="begin"/>
      </w:r>
      <w:r>
        <w:rPr>
          <w:rFonts w:hint="eastAsia" w:ascii="宋体" w:hAnsi="宋体" w:eastAsia="宋体" w:cs="宋体"/>
          <w:sz w:val="21"/>
          <w:szCs w:val="21"/>
        </w:rPr>
        <w:instrText xml:space="preserve"> PAGEREF _Toc2717 \h </w:instrText>
      </w:r>
      <w:r>
        <w:rPr>
          <w:rFonts w:hint="eastAsia" w:ascii="宋体" w:hAnsi="宋体" w:eastAsia="宋体" w:cs="宋体"/>
          <w:sz w:val="21"/>
          <w:szCs w:val="21"/>
        </w:rPr>
        <w:fldChar w:fldCharType="separate"/>
      </w:r>
      <w:r>
        <w:rPr>
          <w:rFonts w:hint="eastAsia" w:ascii="宋体" w:hAnsi="宋体" w:eastAsia="宋体" w:cs="宋体"/>
          <w:sz w:val="21"/>
          <w:szCs w:val="21"/>
        </w:rPr>
        <w:t>11</w:t>
      </w:r>
      <w:r>
        <w:rPr>
          <w:rFonts w:hint="eastAsia" w:ascii="宋体" w:hAnsi="宋体" w:eastAsia="宋体" w:cs="宋体"/>
          <w:sz w:val="21"/>
          <w:szCs w:val="21"/>
        </w:rPr>
        <w:fldChar w:fldCharType="end"/>
      </w:r>
      <w:r>
        <w:rPr>
          <w:rFonts w:hint="eastAsia" w:ascii="宋体" w:hAnsi="宋体" w:eastAsia="宋体" w:cs="宋体"/>
          <w:sz w:val="21"/>
          <w:szCs w:val="21"/>
        </w:rPr>
        <w:fldChar w:fldCharType="end"/>
      </w:r>
    </w:p>
    <w:p w14:paraId="06C96747">
      <w:pPr>
        <w:pStyle w:val="93"/>
        <w:keepNext w:val="0"/>
        <w:keepLines w:val="0"/>
        <w:pageBreakBefore w:val="0"/>
        <w:widowControl w:val="0"/>
        <w:kinsoku/>
        <w:wordWrap/>
        <w:overflowPunct/>
        <w:topLinePunct w:val="0"/>
        <w:autoSpaceDE/>
        <w:autoSpaceDN/>
        <w:bidi w:val="0"/>
        <w:adjustRightInd w:val="0"/>
        <w:snapToGrid w:val="0"/>
        <w:spacing w:before="0" w:after="0" w:afterLines="0" w:line="240" w:lineRule="auto"/>
        <w:textAlignment w:val="auto"/>
        <w:sectPr>
          <w:headerReference r:id="rId9" w:type="default"/>
          <w:footerReference r:id="rId11" w:type="default"/>
          <w:headerReference r:id="rId10" w:type="even"/>
          <w:pgSz w:w="11906" w:h="16838"/>
          <w:pgMar w:top="1928" w:right="1134" w:bottom="1134" w:left="1134" w:header="1418" w:footer="1134" w:gutter="284"/>
          <w:pgBorders>
            <w:top w:val="none" w:sz="0" w:space="0"/>
            <w:left w:val="none" w:sz="0" w:space="0"/>
            <w:bottom w:val="none" w:sz="0" w:space="0"/>
            <w:right w:val="none" w:sz="0" w:space="0"/>
          </w:pgBorders>
          <w:pgNumType w:fmt="upperRoman" w:start="1"/>
          <w:cols w:space="425" w:num="1"/>
          <w:formProt w:val="0"/>
          <w:docGrid w:type="lines" w:linePitch="312" w:charSpace="0"/>
        </w:sectPr>
      </w:pPr>
      <w:r>
        <w:rPr>
          <w:rFonts w:hint="eastAsia" w:ascii="宋体" w:hAnsi="宋体" w:eastAsia="宋体" w:cs="宋体"/>
          <w:sz w:val="21"/>
          <w:szCs w:val="21"/>
        </w:rPr>
        <w:fldChar w:fldCharType="end"/>
      </w:r>
    </w:p>
    <w:bookmarkEnd w:id="21"/>
    <w:p w14:paraId="12603708">
      <w:pPr>
        <w:pStyle w:val="91"/>
        <w:spacing w:before="900" w:after="468"/>
        <w:rPr>
          <w:color w:val="auto"/>
        </w:rPr>
      </w:pPr>
      <w:bookmarkStart w:id="22" w:name="_Toc22490"/>
      <w:bookmarkStart w:id="23" w:name="BookMark2"/>
      <w:r>
        <w:rPr>
          <w:color w:val="auto"/>
          <w:spacing w:val="320"/>
        </w:rPr>
        <w:t>前</w:t>
      </w:r>
      <w:r>
        <w:rPr>
          <w:color w:val="auto"/>
        </w:rPr>
        <w:t>言</w:t>
      </w:r>
      <w:bookmarkEnd w:id="22"/>
    </w:p>
    <w:p w14:paraId="24871440">
      <w:pPr>
        <w:pStyle w:val="58"/>
        <w:ind w:firstLine="420"/>
        <w:rPr>
          <w:color w:val="auto"/>
        </w:rPr>
      </w:pPr>
      <w:r>
        <w:rPr>
          <w:rFonts w:hint="eastAsia"/>
          <w:color w:val="auto"/>
        </w:rPr>
        <w:t>本</w:t>
      </w:r>
      <w:r>
        <w:rPr>
          <w:rFonts w:hint="eastAsia"/>
          <w:color w:val="auto"/>
          <w:highlight w:val="none"/>
          <w:lang w:val="en-US" w:eastAsia="zh-CN"/>
        </w:rPr>
        <w:t>文件</w:t>
      </w:r>
      <w:r>
        <w:rPr>
          <w:rFonts w:hint="eastAsia"/>
          <w:color w:val="auto"/>
        </w:rPr>
        <w:t>按照GB/T 1.1—2020《标准化工作导则  第1部分：标准化文件的结构和起草规则》的规定起草。</w:t>
      </w:r>
    </w:p>
    <w:p w14:paraId="6821EC75">
      <w:pPr>
        <w:pStyle w:val="58"/>
        <w:ind w:firstLine="420"/>
        <w:rPr>
          <w:color w:val="auto"/>
        </w:rPr>
      </w:pPr>
      <w:r>
        <w:rPr>
          <w:rFonts w:hint="eastAsia"/>
          <w:color w:val="auto"/>
        </w:rPr>
        <w:t>本</w:t>
      </w:r>
      <w:r>
        <w:rPr>
          <w:rFonts w:hint="eastAsia"/>
          <w:color w:val="auto"/>
          <w:highlight w:val="none"/>
          <w:lang w:val="en-US" w:eastAsia="zh-CN"/>
        </w:rPr>
        <w:t>文件</w:t>
      </w:r>
      <w:r>
        <w:rPr>
          <w:rFonts w:hint="eastAsia"/>
          <w:color w:val="auto"/>
        </w:rPr>
        <w:t>为DB13/T XXXX的第5部分。DB13/T XXXX《公共机构</w:t>
      </w:r>
      <w:r>
        <w:rPr>
          <w:rFonts w:hint="eastAsia"/>
          <w:color w:val="auto"/>
          <w:lang w:eastAsia="zh-CN"/>
        </w:rPr>
        <w:t>绿色节能</w:t>
      </w:r>
      <w:r>
        <w:rPr>
          <w:rFonts w:hint="eastAsia"/>
          <w:color w:val="auto"/>
        </w:rPr>
        <w:t>》，已经发布了以下部分：</w:t>
      </w:r>
    </w:p>
    <w:p w14:paraId="0B9CAD2B">
      <w:pPr>
        <w:pStyle w:val="58"/>
        <w:ind w:firstLine="420"/>
        <w:rPr>
          <w:color w:val="auto"/>
        </w:rPr>
      </w:pPr>
      <w:r>
        <w:rPr>
          <w:rFonts w:hint="eastAsia"/>
          <w:color w:val="auto"/>
        </w:rPr>
        <w:t>——第1部分：能源审计；</w:t>
      </w:r>
    </w:p>
    <w:p w14:paraId="61E5504C">
      <w:pPr>
        <w:pStyle w:val="58"/>
        <w:ind w:firstLine="420"/>
        <w:rPr>
          <w:color w:val="auto"/>
        </w:rPr>
      </w:pPr>
      <w:r>
        <w:rPr>
          <w:rFonts w:hint="eastAsia"/>
          <w:color w:val="auto"/>
        </w:rPr>
        <w:t>——第2部分：绿色运营；</w:t>
      </w:r>
    </w:p>
    <w:p w14:paraId="0E17DED7">
      <w:pPr>
        <w:pStyle w:val="58"/>
        <w:ind w:firstLine="420"/>
        <w:rPr>
          <w:color w:val="auto"/>
        </w:rPr>
      </w:pPr>
      <w:r>
        <w:rPr>
          <w:rFonts w:hint="eastAsia"/>
          <w:color w:val="auto"/>
        </w:rPr>
        <w:t>——第3部分：能源资源消费统计；</w:t>
      </w:r>
    </w:p>
    <w:p w14:paraId="1C3DAF58">
      <w:pPr>
        <w:pStyle w:val="58"/>
        <w:ind w:firstLine="420"/>
        <w:rPr>
          <w:color w:val="auto"/>
        </w:rPr>
      </w:pPr>
      <w:r>
        <w:rPr>
          <w:rFonts w:hint="eastAsia"/>
          <w:color w:val="auto"/>
        </w:rPr>
        <w:t>——第4部分：</w:t>
      </w:r>
      <w:r>
        <w:rPr>
          <w:color w:val="auto"/>
        </w:rPr>
        <w:t>节水管理与评价</w:t>
      </w:r>
      <w:r>
        <w:rPr>
          <w:rFonts w:hint="eastAsia"/>
          <w:color w:val="auto"/>
        </w:rPr>
        <w:t>；</w:t>
      </w:r>
    </w:p>
    <w:p w14:paraId="10A7360C">
      <w:pPr>
        <w:pStyle w:val="58"/>
        <w:ind w:firstLine="420"/>
        <w:rPr>
          <w:color w:val="auto"/>
        </w:rPr>
      </w:pPr>
      <w:r>
        <w:rPr>
          <w:rFonts w:hint="eastAsia"/>
          <w:color w:val="auto"/>
        </w:rPr>
        <w:t>——第5部分：生活垃圾分类；</w:t>
      </w:r>
    </w:p>
    <w:p w14:paraId="3FF7FEE8">
      <w:pPr>
        <w:pStyle w:val="58"/>
        <w:ind w:firstLine="420"/>
        <w:rPr>
          <w:color w:val="auto"/>
        </w:rPr>
      </w:pPr>
      <w:r>
        <w:rPr>
          <w:rFonts w:hint="eastAsia"/>
          <w:color w:val="auto"/>
        </w:rPr>
        <w:t>——第6部分：零碳管理规程</w:t>
      </w:r>
      <w:r>
        <w:rPr>
          <w:rFonts w:hint="eastAsia"/>
          <w:color w:val="auto"/>
          <w:lang w:eastAsia="zh-CN"/>
        </w:rPr>
        <w:t>与评价</w:t>
      </w:r>
      <w:r>
        <w:rPr>
          <w:rFonts w:hint="eastAsia"/>
          <w:color w:val="auto"/>
        </w:rPr>
        <w:t>；</w:t>
      </w:r>
    </w:p>
    <w:p w14:paraId="5E0EE747">
      <w:pPr>
        <w:pStyle w:val="58"/>
        <w:ind w:firstLine="420"/>
        <w:rPr>
          <w:color w:val="auto"/>
        </w:rPr>
      </w:pPr>
      <w:r>
        <w:rPr>
          <w:rFonts w:hint="eastAsia"/>
          <w:color w:val="auto"/>
        </w:rPr>
        <w:t>——第7部分：绿色评价。</w:t>
      </w:r>
    </w:p>
    <w:p w14:paraId="1283098E">
      <w:pPr>
        <w:pStyle w:val="58"/>
        <w:ind w:firstLine="420"/>
        <w:rPr>
          <w:color w:val="auto"/>
        </w:rPr>
      </w:pPr>
      <w:r>
        <w:rPr>
          <w:rFonts w:hint="eastAsia"/>
          <w:color w:val="auto"/>
        </w:rPr>
        <w:t>请注意本</w:t>
      </w:r>
      <w:r>
        <w:rPr>
          <w:rFonts w:hint="eastAsia"/>
          <w:color w:val="auto"/>
          <w:highlight w:val="none"/>
          <w:lang w:val="en-US" w:eastAsia="zh-CN"/>
        </w:rPr>
        <w:t>文件</w:t>
      </w:r>
      <w:r>
        <w:rPr>
          <w:rFonts w:hint="eastAsia"/>
          <w:color w:val="auto"/>
        </w:rPr>
        <w:t>的某些内容可能涉及专利。本</w:t>
      </w:r>
      <w:r>
        <w:rPr>
          <w:rFonts w:hint="eastAsia"/>
          <w:color w:val="auto"/>
          <w:highlight w:val="none"/>
          <w:lang w:val="en-US" w:eastAsia="zh-CN"/>
        </w:rPr>
        <w:t>文件</w:t>
      </w:r>
      <w:r>
        <w:rPr>
          <w:rFonts w:hint="eastAsia"/>
          <w:color w:val="auto"/>
        </w:rPr>
        <w:t>的发布机构不承担识别专利的责任。</w:t>
      </w:r>
    </w:p>
    <w:p w14:paraId="681B52CD">
      <w:pPr>
        <w:pStyle w:val="58"/>
        <w:ind w:firstLine="420"/>
        <w:rPr>
          <w:color w:val="auto"/>
        </w:rPr>
      </w:pPr>
      <w:r>
        <w:rPr>
          <w:rFonts w:hint="eastAsia"/>
          <w:color w:val="auto"/>
        </w:rPr>
        <w:t>本</w:t>
      </w:r>
      <w:r>
        <w:rPr>
          <w:rFonts w:hint="eastAsia"/>
          <w:color w:val="auto"/>
          <w:highlight w:val="none"/>
          <w:lang w:val="en-US" w:eastAsia="zh-CN"/>
        </w:rPr>
        <w:t>规范</w:t>
      </w:r>
      <w:r>
        <w:rPr>
          <w:rFonts w:hint="eastAsia"/>
          <w:color w:val="auto"/>
        </w:rPr>
        <w:t>由河北省机关事务管理局提出并归口。</w:t>
      </w:r>
    </w:p>
    <w:p w14:paraId="6543185E">
      <w:pPr>
        <w:pStyle w:val="58"/>
        <w:ind w:firstLine="420"/>
        <w:rPr>
          <w:color w:val="auto"/>
        </w:rPr>
      </w:pPr>
      <w:r>
        <w:rPr>
          <w:rFonts w:hint="eastAsia"/>
          <w:color w:val="auto"/>
        </w:rPr>
        <w:t>本</w:t>
      </w:r>
      <w:r>
        <w:rPr>
          <w:rFonts w:hint="eastAsia"/>
          <w:color w:val="auto"/>
          <w:highlight w:val="none"/>
          <w:lang w:val="en-US" w:eastAsia="zh-CN"/>
        </w:rPr>
        <w:t>规范</w:t>
      </w:r>
      <w:r>
        <w:rPr>
          <w:rFonts w:hint="eastAsia"/>
          <w:color w:val="auto"/>
        </w:rPr>
        <w:t>起草单位：河北省机关事务管理局</w:t>
      </w:r>
      <w:r>
        <w:rPr>
          <w:rFonts w:hint="eastAsia"/>
          <w:color w:val="auto"/>
          <w:lang w:eastAsia="zh-CN"/>
        </w:rPr>
        <w:t>、</w:t>
      </w:r>
      <w:r>
        <w:rPr>
          <w:rFonts w:hint="eastAsia"/>
          <w:color w:val="auto"/>
        </w:rPr>
        <w:t>河北省标准化研究院。</w:t>
      </w:r>
    </w:p>
    <w:p w14:paraId="32067379">
      <w:pPr>
        <w:pStyle w:val="58"/>
        <w:ind w:firstLine="420"/>
        <w:rPr>
          <w:color w:val="auto"/>
        </w:rPr>
      </w:pPr>
      <w:r>
        <w:rPr>
          <w:rFonts w:hint="eastAsia"/>
          <w:color w:val="auto"/>
        </w:rPr>
        <w:t>本</w:t>
      </w:r>
      <w:r>
        <w:rPr>
          <w:rFonts w:hint="eastAsia"/>
          <w:color w:val="auto"/>
          <w:highlight w:val="none"/>
          <w:lang w:val="en-US" w:eastAsia="zh-CN"/>
        </w:rPr>
        <w:t>规范</w:t>
      </w:r>
      <w:r>
        <w:rPr>
          <w:rFonts w:hint="eastAsia"/>
          <w:color w:val="auto"/>
        </w:rPr>
        <w:t>主要起草人：申虎山、李海林</w:t>
      </w:r>
      <w:r>
        <w:rPr>
          <w:rFonts w:hint="eastAsia"/>
          <w:color w:val="auto"/>
          <w:highlight w:val="none"/>
        </w:rPr>
        <w:t>、尚晓帆</w:t>
      </w:r>
      <w:r>
        <w:rPr>
          <w:rFonts w:hint="eastAsia"/>
          <w:color w:val="auto"/>
          <w:highlight w:val="none"/>
          <w:lang w:eastAsia="zh-CN"/>
        </w:rPr>
        <w:t>、</w:t>
      </w:r>
      <w:r>
        <w:rPr>
          <w:rFonts w:hint="eastAsia"/>
          <w:color w:val="auto"/>
          <w:highlight w:val="none"/>
          <w:lang w:val="en-US" w:eastAsia="zh-CN"/>
        </w:rPr>
        <w:t>张玲丽</w:t>
      </w:r>
      <w:r>
        <w:rPr>
          <w:rFonts w:hint="eastAsia"/>
          <w:color w:val="auto"/>
        </w:rPr>
        <w:t>。</w:t>
      </w:r>
    </w:p>
    <w:p w14:paraId="03B4821E">
      <w:pPr>
        <w:pStyle w:val="58"/>
        <w:ind w:firstLine="420"/>
        <w:rPr>
          <w:color w:val="auto"/>
        </w:rPr>
      </w:pPr>
    </w:p>
    <w:p w14:paraId="2D67AB6C">
      <w:pPr>
        <w:pStyle w:val="58"/>
        <w:ind w:firstLine="420"/>
        <w:rPr>
          <w:color w:val="auto"/>
        </w:rPr>
        <w:sectPr>
          <w:pgSz w:w="11906" w:h="16838"/>
          <w:pgMar w:top="1928" w:right="1134" w:bottom="1134" w:left="1134" w:header="1418" w:footer="1134" w:gutter="284"/>
          <w:pgBorders>
            <w:top w:val="none" w:sz="0" w:space="0"/>
            <w:left w:val="none" w:sz="0" w:space="0"/>
            <w:bottom w:val="none" w:sz="0" w:space="0"/>
            <w:right w:val="none" w:sz="0" w:space="0"/>
          </w:pgBorders>
          <w:pgNumType w:fmt="upperRoman"/>
          <w:cols w:space="425" w:num="1"/>
          <w:formProt w:val="0"/>
          <w:docGrid w:type="lines" w:linePitch="312" w:charSpace="0"/>
        </w:sectPr>
      </w:pPr>
    </w:p>
    <w:p w14:paraId="447E29F6">
      <w:pPr>
        <w:pStyle w:val="91"/>
        <w:spacing w:after="468"/>
      </w:pPr>
      <w:bookmarkStart w:id="24" w:name="_Toc2577"/>
      <w:r>
        <w:rPr>
          <w:spacing w:val="320"/>
        </w:rPr>
        <w:t>引</w:t>
      </w:r>
      <w:r>
        <w:t>言</w:t>
      </w:r>
      <w:bookmarkEnd w:id="24"/>
    </w:p>
    <w:p w14:paraId="67A99702">
      <w:pPr>
        <w:pStyle w:val="58"/>
        <w:ind w:firstLine="426"/>
        <w:rPr>
          <w:rFonts w:hint="eastAsia"/>
          <w:color w:val="auto"/>
          <w:spacing w:val="3"/>
        </w:rPr>
      </w:pPr>
      <w:r>
        <w:rPr>
          <w:rFonts w:hint="eastAsia"/>
          <w:color w:val="auto"/>
          <w:spacing w:val="3"/>
        </w:rPr>
        <w:t>公共机构</w:t>
      </w:r>
      <w:r>
        <w:rPr>
          <w:rFonts w:hint="eastAsia"/>
          <w:color w:val="auto"/>
          <w:spacing w:val="3"/>
          <w:lang w:eastAsia="zh-CN"/>
        </w:rPr>
        <w:t>节约能源资源</w:t>
      </w:r>
      <w:r>
        <w:rPr>
          <w:rFonts w:hint="eastAsia"/>
          <w:color w:val="auto"/>
          <w:spacing w:val="3"/>
        </w:rPr>
        <w:t>工作是实现</w:t>
      </w:r>
      <w:r>
        <w:rPr>
          <w:rFonts w:hint="eastAsia"/>
          <w:color w:val="auto"/>
          <w:spacing w:val="3"/>
          <w:lang w:eastAsia="zh-CN"/>
        </w:rPr>
        <w:t>全社会</w:t>
      </w:r>
      <w:r>
        <w:rPr>
          <w:rFonts w:hint="eastAsia"/>
          <w:color w:val="auto"/>
          <w:spacing w:val="3"/>
        </w:rPr>
        <w:t>绿色低碳转型</w:t>
      </w:r>
      <w:r>
        <w:rPr>
          <w:rFonts w:hint="eastAsia"/>
          <w:color w:val="auto"/>
          <w:spacing w:val="3"/>
          <w:lang w:eastAsia="zh-CN"/>
        </w:rPr>
        <w:t>发展</w:t>
      </w:r>
      <w:r>
        <w:rPr>
          <w:rFonts w:hint="eastAsia"/>
          <w:color w:val="auto"/>
          <w:spacing w:val="3"/>
        </w:rPr>
        <w:t>的</w:t>
      </w:r>
      <w:r>
        <w:rPr>
          <w:rFonts w:hint="eastAsia"/>
          <w:color w:val="auto"/>
          <w:spacing w:val="3"/>
          <w:lang w:eastAsia="zh-CN"/>
        </w:rPr>
        <w:t>重要组成部分。</w:t>
      </w:r>
      <w:r>
        <w:rPr>
          <w:rFonts w:hint="eastAsia"/>
          <w:color w:val="auto"/>
          <w:spacing w:val="3"/>
        </w:rPr>
        <w:t>完善的</w:t>
      </w:r>
      <w:r>
        <w:rPr>
          <w:rFonts w:hint="eastAsia"/>
          <w:color w:val="auto"/>
          <w:spacing w:val="3"/>
          <w:lang w:eastAsia="zh-CN"/>
        </w:rPr>
        <w:t>节约能源资源</w:t>
      </w:r>
      <w:r>
        <w:rPr>
          <w:rFonts w:hint="eastAsia"/>
          <w:color w:val="auto"/>
          <w:spacing w:val="3"/>
        </w:rPr>
        <w:t>标准有助于提升公共机构</w:t>
      </w:r>
      <w:r>
        <w:rPr>
          <w:rFonts w:hint="eastAsia"/>
          <w:color w:val="auto"/>
          <w:spacing w:val="3"/>
          <w:lang w:eastAsia="zh-CN"/>
        </w:rPr>
        <w:t>节约能源资源</w:t>
      </w:r>
      <w:r>
        <w:rPr>
          <w:rFonts w:hint="eastAsia"/>
          <w:color w:val="auto"/>
          <w:spacing w:val="3"/>
        </w:rPr>
        <w:t>工作的法治效力和治理能力现代化水平，确保</w:t>
      </w:r>
      <w:r>
        <w:rPr>
          <w:rFonts w:hint="eastAsia"/>
          <w:color w:val="auto"/>
          <w:spacing w:val="3"/>
          <w:lang w:eastAsia="zh-CN"/>
        </w:rPr>
        <w:t>节约能源资源</w:t>
      </w:r>
      <w:r>
        <w:rPr>
          <w:rFonts w:hint="eastAsia"/>
          <w:color w:val="auto"/>
          <w:spacing w:val="3"/>
        </w:rPr>
        <w:t>措施的有效执行。同时，充分发挥公共机构在社会中的示范引领作用，推动形成绿色低碳的生产和生活方式。</w:t>
      </w:r>
    </w:p>
    <w:p w14:paraId="5E7C100B">
      <w:pPr>
        <w:pStyle w:val="58"/>
        <w:ind w:firstLine="426"/>
        <w:rPr>
          <w:color w:val="auto"/>
          <w:spacing w:val="3"/>
        </w:rPr>
      </w:pPr>
      <w:r>
        <w:rPr>
          <w:rFonts w:hint="eastAsia"/>
          <w:color w:val="auto"/>
          <w:spacing w:val="3"/>
        </w:rPr>
        <w:t>本</w:t>
      </w:r>
      <w:r>
        <w:rPr>
          <w:rFonts w:hint="eastAsia"/>
          <w:color w:val="auto"/>
          <w:highlight w:val="none"/>
          <w:lang w:val="en-US" w:eastAsia="zh-CN"/>
        </w:rPr>
        <w:t>文件</w:t>
      </w:r>
      <w:r>
        <w:rPr>
          <w:rFonts w:hint="eastAsia"/>
          <w:color w:val="auto"/>
          <w:spacing w:val="3"/>
        </w:rPr>
        <w:t>旨在提升公共机构的运行效率，为公共机构开展能源审计、绿色运营、能源资源消费统计、节水管理与评价、生活垃圾分类、零碳管理与评价、绿色评价等方面绿色节能工作提供技术支持和标准化支撑。</w:t>
      </w:r>
    </w:p>
    <w:p w14:paraId="26C8C613">
      <w:pPr>
        <w:pStyle w:val="58"/>
        <w:ind w:firstLine="426"/>
        <w:rPr>
          <w:color w:val="auto"/>
          <w:spacing w:val="3"/>
        </w:rPr>
      </w:pPr>
      <w:r>
        <w:rPr>
          <w:rFonts w:hint="eastAsia"/>
          <w:color w:val="auto"/>
          <w:spacing w:val="3"/>
        </w:rPr>
        <w:t>DB13/T XXXX《公共机构</w:t>
      </w:r>
      <w:r>
        <w:rPr>
          <w:rFonts w:hint="eastAsia"/>
          <w:color w:val="auto"/>
          <w:spacing w:val="3"/>
          <w:lang w:eastAsia="zh-CN"/>
        </w:rPr>
        <w:t>绿色节能</w:t>
      </w:r>
      <w:r>
        <w:rPr>
          <w:rFonts w:hint="eastAsia"/>
          <w:color w:val="auto"/>
          <w:spacing w:val="3"/>
        </w:rPr>
        <w:t>》针对公共机构</w:t>
      </w:r>
      <w:r>
        <w:rPr>
          <w:rFonts w:hint="eastAsia"/>
          <w:color w:val="auto"/>
          <w:spacing w:val="3"/>
          <w:lang w:eastAsia="zh-CN"/>
        </w:rPr>
        <w:t>节约能源资源</w:t>
      </w:r>
      <w:r>
        <w:rPr>
          <w:rFonts w:hint="eastAsia"/>
          <w:color w:val="auto"/>
          <w:spacing w:val="3"/>
        </w:rPr>
        <w:t>的不同方面，分为7个部分。</w:t>
      </w:r>
    </w:p>
    <w:p w14:paraId="7FDF7879">
      <w:pPr>
        <w:pStyle w:val="134"/>
        <w:rPr>
          <w:rFonts w:hint="eastAsia"/>
          <w:color w:val="auto"/>
        </w:rPr>
      </w:pPr>
      <w:r>
        <w:rPr>
          <w:rFonts w:hint="eastAsia"/>
          <w:color w:val="auto"/>
        </w:rPr>
        <w:t>第1部分：能源审计。对公共机构能源审计规定内容和程序方面的要求，旨在识别节能潜力和提出节能措施，促进公共机构节能降耗、提高公共机构能源利用效率、优化能源管理水平。</w:t>
      </w:r>
    </w:p>
    <w:p w14:paraId="4A8F63A9">
      <w:pPr>
        <w:pStyle w:val="134"/>
        <w:rPr>
          <w:rFonts w:hint="eastAsia"/>
          <w:color w:val="auto"/>
        </w:rPr>
      </w:pPr>
      <w:r>
        <w:rPr>
          <w:rFonts w:hint="eastAsia"/>
          <w:color w:val="auto"/>
        </w:rPr>
        <w:t>第2部分：绿色运营。对公共机构运营的管理要求、运行维护技术要求和特殊要求等内容进行了规定，旨在推动公共机构实现绿色低碳发展、提高</w:t>
      </w:r>
      <w:r>
        <w:rPr>
          <w:rFonts w:hint="eastAsia"/>
          <w:color w:val="auto"/>
          <w:lang w:eastAsia="zh-CN"/>
        </w:rPr>
        <w:t>能源</w:t>
      </w:r>
      <w:r>
        <w:rPr>
          <w:rFonts w:hint="eastAsia"/>
          <w:color w:val="auto"/>
        </w:rPr>
        <w:t>资源利用效率、促进</w:t>
      </w:r>
      <w:r>
        <w:rPr>
          <w:rFonts w:hint="eastAsia"/>
          <w:color w:val="auto"/>
          <w:lang w:eastAsia="zh-CN"/>
        </w:rPr>
        <w:t>高质量发展</w:t>
      </w:r>
      <w:r>
        <w:rPr>
          <w:rFonts w:hint="eastAsia"/>
          <w:color w:val="auto"/>
        </w:rPr>
        <w:t>。</w:t>
      </w:r>
    </w:p>
    <w:p w14:paraId="7EA31E24">
      <w:pPr>
        <w:pStyle w:val="134"/>
        <w:rPr>
          <w:rFonts w:hint="eastAsia"/>
          <w:color w:val="auto"/>
        </w:rPr>
      </w:pPr>
      <w:r>
        <w:rPr>
          <w:rFonts w:hint="eastAsia"/>
          <w:color w:val="auto"/>
        </w:rPr>
        <w:t>第3部分：能源资源消费统计。规范公共机构能源资源消费统计的数据采集、数据分析等统计流程和方法，旨在为公共机构提供科学的能源资源消费分析工具，提升统计数据的准确性、科学性和可比性。</w:t>
      </w:r>
    </w:p>
    <w:p w14:paraId="00D766AD">
      <w:pPr>
        <w:pStyle w:val="134"/>
        <w:rPr>
          <w:rFonts w:hint="eastAsia"/>
          <w:color w:val="auto"/>
        </w:rPr>
      </w:pPr>
      <w:r>
        <w:rPr>
          <w:rFonts w:hint="eastAsia"/>
          <w:color w:val="auto"/>
        </w:rPr>
        <w:t>第4部分：节水管理与评价。对公共机构的节水管理与评价的管理要求、节水保障措施与绩效评价等内容进行了规定，旨在明确节水目标、标准和要求，推动公共机构采取有效的节水措施，降低用水量，从而减轻对水资源的压力。</w:t>
      </w:r>
    </w:p>
    <w:p w14:paraId="0C521BE3">
      <w:pPr>
        <w:pStyle w:val="134"/>
        <w:rPr>
          <w:rFonts w:hint="eastAsia"/>
          <w:color w:val="auto"/>
        </w:rPr>
      </w:pPr>
      <w:r>
        <w:rPr>
          <w:rFonts w:hint="eastAsia"/>
          <w:color w:val="auto"/>
        </w:rPr>
        <w:t>第5部分：生活垃圾分类。规定了公共机构生活垃圾的基本规定</w:t>
      </w:r>
      <w:r>
        <w:rPr>
          <w:rFonts w:hint="eastAsia"/>
          <w:color w:val="auto"/>
        </w:rPr>
        <w:t>、</w:t>
      </w:r>
      <w:r>
        <w:rPr>
          <w:rFonts w:hint="eastAsia" w:ascii="宋体" w:hAnsi="Times New Roman" w:eastAsia="宋体" w:cs="Times New Roman"/>
          <w:color w:val="auto"/>
          <w:sz w:val="21"/>
          <w:highlight w:val="none"/>
          <w:lang w:val="en-US" w:eastAsia="zh-CN" w:bidi="ar-SA"/>
        </w:rPr>
        <w:t>源头减量、</w:t>
      </w:r>
      <w:r>
        <w:rPr>
          <w:rFonts w:hint="eastAsia"/>
          <w:color w:val="auto"/>
        </w:rPr>
        <w:t>收集容器、分类投放、分类收集、分类运输和分类处置等内容，旨在推动垃圾分类工作规范化和科学化</w:t>
      </w:r>
      <w:r>
        <w:rPr>
          <w:rFonts w:hint="eastAsia"/>
          <w:color w:val="auto"/>
          <w:lang w:eastAsia="zh-CN"/>
        </w:rPr>
        <w:t>，</w:t>
      </w:r>
      <w:r>
        <w:rPr>
          <w:rFonts w:hint="eastAsia"/>
          <w:color w:val="auto"/>
        </w:rPr>
        <w:t>提高公共机构垃圾分类意识和行动积极性</w:t>
      </w:r>
      <w:r>
        <w:rPr>
          <w:rFonts w:hint="eastAsia"/>
          <w:color w:val="auto"/>
          <w:lang w:eastAsia="zh-CN"/>
        </w:rPr>
        <w:t>，</w:t>
      </w:r>
      <w:r>
        <w:rPr>
          <w:rFonts w:hint="eastAsia"/>
          <w:color w:val="auto"/>
        </w:rPr>
        <w:t>促进资源循环利用和减少环境污染，实现生活垃圾减量化、资源化和无害化处理。</w:t>
      </w:r>
    </w:p>
    <w:p w14:paraId="2A265C8F">
      <w:pPr>
        <w:pStyle w:val="134"/>
        <w:rPr>
          <w:rFonts w:hint="eastAsia"/>
          <w:color w:val="auto"/>
        </w:rPr>
      </w:pPr>
      <w:r>
        <w:rPr>
          <w:rFonts w:hint="eastAsia"/>
          <w:color w:val="auto"/>
        </w:rPr>
        <w:t>第6</w:t>
      </w:r>
      <w:r>
        <w:rPr>
          <w:rFonts w:hint="eastAsia"/>
          <w:color w:val="auto"/>
        </w:rPr>
        <w:t>部分：零碳</w:t>
      </w:r>
      <w:r>
        <w:rPr>
          <w:rFonts w:hint="eastAsia"/>
          <w:color w:val="auto"/>
          <w:lang w:eastAsia="zh-CN"/>
        </w:rPr>
        <w:t>管理规程与评价</w:t>
      </w:r>
      <w:r>
        <w:rPr>
          <w:rFonts w:hint="eastAsia"/>
          <w:color w:val="auto"/>
        </w:rPr>
        <w:t>。对零碳公共机构管理与</w:t>
      </w:r>
      <w:r>
        <w:rPr>
          <w:rFonts w:hint="eastAsia"/>
          <w:color w:val="auto"/>
          <w:lang w:val="en-US" w:eastAsia="zh-CN"/>
        </w:rPr>
        <w:t>判定</w:t>
      </w:r>
      <w:r>
        <w:rPr>
          <w:rFonts w:hint="eastAsia"/>
          <w:color w:val="auto"/>
        </w:rPr>
        <w:t>的要求，旨在明确河北公共机构在追求零碳排放过程中应遵循的总体原则和管理内容，为实现零碳排放提供清晰的指导方针。建立一套</w:t>
      </w:r>
      <w:r>
        <w:rPr>
          <w:rFonts w:hint="eastAsia"/>
          <w:color w:val="auto"/>
          <w:lang w:eastAsia="zh-CN"/>
        </w:rPr>
        <w:t>判定</w:t>
      </w:r>
      <w:r>
        <w:rPr>
          <w:rFonts w:hint="eastAsia"/>
          <w:color w:val="auto"/>
        </w:rPr>
        <w:t>方法，衡量河北公共机构实施零碳措施的效果和进展，便于监督和激励改进。</w:t>
      </w:r>
    </w:p>
    <w:p w14:paraId="0599493A">
      <w:pPr>
        <w:pStyle w:val="134"/>
        <w:rPr>
          <w:color w:val="auto"/>
        </w:rPr>
        <w:sectPr>
          <w:pgSz w:w="11906" w:h="16838"/>
          <w:pgMar w:top="1928" w:right="1134" w:bottom="1134" w:left="1134" w:header="1418" w:footer="1134" w:gutter="284"/>
          <w:pgBorders>
            <w:top w:val="none" w:sz="0" w:space="0"/>
            <w:left w:val="none" w:sz="0" w:space="0"/>
            <w:bottom w:val="none" w:sz="0" w:space="0"/>
            <w:right w:val="none" w:sz="0" w:space="0"/>
          </w:pgBorders>
          <w:pgNumType w:fmt="upperRoman"/>
          <w:cols w:space="425" w:num="1"/>
          <w:formProt w:val="0"/>
          <w:docGrid w:type="lines" w:linePitch="312" w:charSpace="0"/>
        </w:sectPr>
      </w:pPr>
      <w:r>
        <w:rPr>
          <w:rFonts w:hint="eastAsia"/>
          <w:color w:val="auto"/>
        </w:rPr>
        <w:t>第7部分：绿色评价。对公共机构绿色评价的基本要求、评价方法、等级划分和相关指标体系等方面进行了</w:t>
      </w:r>
      <w:r>
        <w:rPr>
          <w:rFonts w:hint="eastAsia"/>
          <w:color w:val="auto"/>
          <w:lang w:eastAsia="zh-CN"/>
        </w:rPr>
        <w:t>规范</w:t>
      </w:r>
      <w:r>
        <w:rPr>
          <w:rFonts w:hint="eastAsia"/>
          <w:color w:val="auto"/>
        </w:rPr>
        <w:t>，旨在引导公共机构节能管理从节约能源的单一目标向节约资源、环境保护、舒适健康的多目标转变，降低公共机构的运行能耗，节约资源和保护环境，改善公共机构工作环境。</w:t>
      </w:r>
    </w:p>
    <w:bookmarkEnd w:id="23"/>
    <w:p w14:paraId="688B7B19">
      <w:pPr>
        <w:spacing w:line="20" w:lineRule="exact"/>
        <w:jc w:val="center"/>
        <w:rPr>
          <w:rFonts w:hint="eastAsia" w:ascii="黑体" w:hAnsi="黑体" w:eastAsia="黑体"/>
          <w:sz w:val="32"/>
          <w:szCs w:val="32"/>
        </w:rPr>
      </w:pPr>
      <w:bookmarkStart w:id="25" w:name="BookMark4"/>
    </w:p>
    <w:p w14:paraId="5E37CDE8">
      <w:pPr>
        <w:spacing w:line="20" w:lineRule="exact"/>
        <w:jc w:val="center"/>
        <w:rPr>
          <w:rFonts w:hint="eastAsia" w:ascii="黑体" w:hAnsi="黑体" w:eastAsia="黑体"/>
          <w:sz w:val="32"/>
          <w:szCs w:val="32"/>
        </w:rPr>
      </w:pPr>
    </w:p>
    <w:sdt>
      <w:sdtPr>
        <w:rPr>
          <w:color w:val="auto"/>
        </w:rPr>
        <w:tag w:val="NEW_STAND_NAME"/>
        <w:id w:val="595910757"/>
        <w:lock w:val="sdtLocked"/>
        <w:placeholder>
          <w:docPart w:val="626CDC6475F148F2832932F08FA1EAE2"/>
        </w:placeholder>
      </w:sdtPr>
      <w:sdtEndPr>
        <w:rPr>
          <w:color w:val="auto"/>
          <w:highlight w:val="yellow"/>
        </w:rPr>
      </w:sdtEndPr>
      <w:sdtContent>
        <w:p w14:paraId="45DEFFE7">
          <w:pPr>
            <w:pStyle w:val="179"/>
            <w:spacing w:before="3" w:beforeLines="1" w:after="686" w:afterLines="220"/>
            <w:rPr>
              <w:rFonts w:hint="eastAsia"/>
              <w:color w:val="auto"/>
            </w:rPr>
          </w:pPr>
          <w:bookmarkStart w:id="26" w:name="NEW_STAND_NAME"/>
          <w:r>
            <w:rPr>
              <w:rFonts w:hint="eastAsia"/>
              <w:color w:val="auto"/>
            </w:rPr>
            <w:t>公共机</w:t>
          </w:r>
          <w:r>
            <w:rPr>
              <w:rFonts w:hint="eastAsia"/>
              <w:color w:val="auto"/>
              <w:highlight w:val="none"/>
            </w:rPr>
            <w:t>构</w:t>
          </w:r>
          <w:r>
            <w:rPr>
              <w:rFonts w:hint="eastAsia"/>
              <w:color w:val="auto"/>
              <w:highlight w:val="none"/>
              <w:lang w:eastAsia="zh-CN"/>
            </w:rPr>
            <w:t>绿色节能</w:t>
          </w:r>
          <w:r>
            <w:rPr>
              <w:rFonts w:hint="eastAsia"/>
              <w:color w:val="auto"/>
              <w:highlight w:val="none"/>
            </w:rPr>
            <w:t xml:space="preserve"> 第5部分：生活垃圾</w:t>
          </w:r>
          <w:r>
            <w:rPr>
              <w:rFonts w:hint="eastAsia"/>
              <w:color w:val="auto"/>
              <w:highlight w:val="none"/>
              <w:lang w:eastAsia="zh-CN"/>
            </w:rPr>
            <w:t>分类</w:t>
          </w:r>
        </w:p>
      </w:sdtContent>
    </w:sdt>
    <w:bookmarkEnd w:id="26"/>
    <w:p w14:paraId="5995AED4">
      <w:pPr>
        <w:pStyle w:val="106"/>
        <w:spacing w:before="312" w:after="312"/>
        <w:rPr>
          <w:color w:val="auto"/>
        </w:rPr>
      </w:pPr>
      <w:bookmarkStart w:id="27" w:name="_Toc26986530"/>
      <w:bookmarkStart w:id="28" w:name="_Toc17233333"/>
      <w:bookmarkStart w:id="29" w:name="_Toc26718930"/>
      <w:bookmarkStart w:id="30" w:name="_Toc3299"/>
      <w:bookmarkStart w:id="31" w:name="_Toc97191423"/>
      <w:bookmarkStart w:id="32" w:name="_Toc24884218"/>
      <w:bookmarkStart w:id="33" w:name="_Toc17233325"/>
      <w:bookmarkStart w:id="34" w:name="_Toc26986771"/>
      <w:bookmarkStart w:id="35" w:name="_Toc24884211"/>
      <w:bookmarkStart w:id="36" w:name="_Toc26648465"/>
      <w:r>
        <w:rPr>
          <w:rFonts w:hint="eastAsia"/>
          <w:color w:val="auto"/>
        </w:rPr>
        <w:t>范围</w:t>
      </w:r>
      <w:bookmarkEnd w:id="27"/>
      <w:bookmarkEnd w:id="28"/>
      <w:bookmarkEnd w:id="29"/>
      <w:bookmarkEnd w:id="30"/>
      <w:bookmarkEnd w:id="31"/>
      <w:bookmarkEnd w:id="32"/>
      <w:bookmarkEnd w:id="33"/>
      <w:bookmarkEnd w:id="34"/>
      <w:bookmarkEnd w:id="35"/>
      <w:bookmarkEnd w:id="36"/>
    </w:p>
    <w:p w14:paraId="4DC16B83">
      <w:pPr>
        <w:pStyle w:val="58"/>
        <w:ind w:firstLine="420"/>
        <w:rPr>
          <w:color w:val="auto"/>
        </w:rPr>
      </w:pPr>
      <w:bookmarkStart w:id="37" w:name="_Toc24884219"/>
      <w:bookmarkStart w:id="38" w:name="_Toc17233334"/>
      <w:bookmarkStart w:id="39" w:name="_Toc17233326"/>
      <w:bookmarkStart w:id="40" w:name="_Toc24884212"/>
      <w:bookmarkStart w:id="41" w:name="_Toc26648466"/>
      <w:r>
        <w:rPr>
          <w:rFonts w:hint="eastAsia"/>
          <w:color w:val="auto"/>
        </w:rPr>
        <w:t>本</w:t>
      </w:r>
      <w:r>
        <w:rPr>
          <w:rFonts w:hint="eastAsia"/>
          <w:color w:val="auto"/>
          <w:highlight w:val="none"/>
          <w:lang w:val="en-US" w:eastAsia="zh-CN"/>
        </w:rPr>
        <w:t>文件</w:t>
      </w:r>
      <w:r>
        <w:rPr>
          <w:rFonts w:hint="eastAsia"/>
          <w:color w:val="auto"/>
        </w:rPr>
        <w:t>规定了河北省公共机构生活垃圾分类管理的基本规定、</w:t>
      </w:r>
      <w:r>
        <w:rPr>
          <w:rFonts w:hint="eastAsia"/>
          <w:color w:val="auto"/>
          <w:highlight w:val="none"/>
          <w:lang w:val="en-US" w:eastAsia="zh-CN"/>
        </w:rPr>
        <w:t>源头减量、</w:t>
      </w:r>
      <w:r>
        <w:rPr>
          <w:rFonts w:hint="eastAsia"/>
          <w:color w:val="auto"/>
        </w:rPr>
        <w:t>收集容器、分类投放、分类收集、分类运输和分类处置等内容。</w:t>
      </w:r>
    </w:p>
    <w:p w14:paraId="5FB3CC35">
      <w:pPr>
        <w:pStyle w:val="58"/>
        <w:ind w:firstLine="420"/>
        <w:rPr>
          <w:color w:val="auto"/>
        </w:rPr>
      </w:pPr>
      <w:r>
        <w:rPr>
          <w:rFonts w:hint="eastAsia"/>
          <w:color w:val="auto"/>
        </w:rPr>
        <w:t>本</w:t>
      </w:r>
      <w:r>
        <w:rPr>
          <w:rFonts w:hint="eastAsia"/>
          <w:color w:val="auto"/>
          <w:highlight w:val="none"/>
          <w:lang w:val="en-US" w:eastAsia="zh-CN"/>
        </w:rPr>
        <w:t>文件</w:t>
      </w:r>
      <w:r>
        <w:rPr>
          <w:rFonts w:hint="eastAsia"/>
          <w:color w:val="auto"/>
        </w:rPr>
        <w:t>适用于河北省行政区域内公共机构生活垃圾的分类管理活动。</w:t>
      </w:r>
    </w:p>
    <w:p w14:paraId="561CD4FE">
      <w:pPr>
        <w:pStyle w:val="58"/>
        <w:ind w:firstLine="420"/>
        <w:rPr>
          <w:color w:val="auto"/>
        </w:rPr>
      </w:pPr>
      <w:r>
        <w:rPr>
          <w:rFonts w:hint="eastAsia"/>
          <w:color w:val="auto"/>
        </w:rPr>
        <w:t>本</w:t>
      </w:r>
      <w:r>
        <w:rPr>
          <w:rFonts w:hint="eastAsia"/>
          <w:color w:val="auto"/>
          <w:highlight w:val="none"/>
          <w:lang w:val="en-US" w:eastAsia="zh-CN"/>
        </w:rPr>
        <w:t>文件</w:t>
      </w:r>
      <w:r>
        <w:rPr>
          <w:rFonts w:hint="eastAsia"/>
          <w:color w:val="auto"/>
        </w:rPr>
        <w:t>不适用于突发公共卫生事件管控区产生的生活垃圾。</w:t>
      </w:r>
    </w:p>
    <w:p w14:paraId="6CAD4AF6">
      <w:pPr>
        <w:pStyle w:val="106"/>
        <w:spacing w:before="312" w:after="312"/>
        <w:rPr>
          <w:color w:val="auto"/>
        </w:rPr>
      </w:pPr>
      <w:bookmarkStart w:id="42" w:name="_Toc24184"/>
      <w:bookmarkStart w:id="43" w:name="_Toc26986531"/>
      <w:bookmarkStart w:id="44" w:name="_Toc97191424"/>
      <w:bookmarkStart w:id="45" w:name="_Toc26986772"/>
      <w:bookmarkStart w:id="46" w:name="_Toc26718931"/>
      <w:r>
        <w:rPr>
          <w:rFonts w:hint="eastAsia"/>
          <w:color w:val="auto"/>
        </w:rPr>
        <w:t>规范性引用文件</w:t>
      </w:r>
      <w:bookmarkEnd w:id="37"/>
      <w:bookmarkEnd w:id="38"/>
      <w:bookmarkEnd w:id="39"/>
      <w:bookmarkEnd w:id="40"/>
      <w:bookmarkEnd w:id="41"/>
      <w:bookmarkEnd w:id="42"/>
      <w:bookmarkEnd w:id="43"/>
      <w:bookmarkEnd w:id="44"/>
      <w:bookmarkEnd w:id="45"/>
      <w:bookmarkEnd w:id="46"/>
    </w:p>
    <w:p w14:paraId="77EB0EA6">
      <w:pPr>
        <w:pStyle w:val="58"/>
        <w:ind w:firstLine="420"/>
        <w:rPr>
          <w:rFonts w:hint="eastAsia"/>
        </w:rPr>
      </w:pPr>
      <w:r>
        <w:rPr>
          <w:rFonts w:hint="eastAsia"/>
          <w:color w:val="auto"/>
        </w:rPr>
        <w:t>下列文件中的内容通过文中的规范性引用而构成</w:t>
      </w:r>
      <w:r>
        <w:rPr>
          <w:rFonts w:hint="eastAsia"/>
          <w:color w:val="auto"/>
          <w:lang w:eastAsia="zh-CN"/>
        </w:rPr>
        <w:t>本规范</w:t>
      </w:r>
      <w:r>
        <w:rPr>
          <w:rFonts w:hint="eastAsia"/>
          <w:color w:val="auto"/>
        </w:rPr>
        <w:t>必不可少的条款。其中，注日期的引用文件，仅该日期对应的版本适用于</w:t>
      </w:r>
      <w:r>
        <w:rPr>
          <w:rFonts w:hint="eastAsia"/>
          <w:color w:val="auto"/>
          <w:lang w:eastAsia="zh-CN"/>
        </w:rPr>
        <w:t>本规范</w:t>
      </w:r>
      <w:r>
        <w:rPr>
          <w:rFonts w:hint="eastAsia"/>
          <w:color w:val="auto"/>
        </w:rPr>
        <w:t>；不注日期的引用文件，其最新版本（包括所有的修改单）适用于</w:t>
      </w:r>
      <w:r>
        <w:rPr>
          <w:rFonts w:hint="eastAsia"/>
          <w:color w:val="auto"/>
          <w:lang w:eastAsia="zh-CN"/>
        </w:rPr>
        <w:t>本规范</w:t>
      </w:r>
      <w:r>
        <w:rPr>
          <w:rFonts w:hint="eastAsia"/>
          <w:color w:val="auto"/>
        </w:rPr>
        <w:t>。</w:t>
      </w:r>
    </w:p>
    <w:p w14:paraId="349A8335">
      <w:pPr>
        <w:pStyle w:val="58"/>
        <w:ind w:firstLine="420"/>
      </w:pPr>
      <w:r>
        <w:rPr>
          <w:rFonts w:hint="eastAsia"/>
        </w:rPr>
        <w:t>GB/T 3181  漆膜颜色标准</w:t>
      </w:r>
    </w:p>
    <w:p w14:paraId="188E165F">
      <w:pPr>
        <w:pStyle w:val="58"/>
        <w:ind w:firstLine="420"/>
      </w:pPr>
      <w:r>
        <w:rPr>
          <w:rFonts w:hint="eastAsia"/>
        </w:rPr>
        <w:t>GB/T 19095  生活垃圾分类标志</w:t>
      </w:r>
    </w:p>
    <w:p w14:paraId="5B4C160D">
      <w:pPr>
        <w:pStyle w:val="58"/>
        <w:ind w:firstLine="420"/>
      </w:pPr>
      <w:r>
        <w:rPr>
          <w:rFonts w:hint="eastAsia"/>
        </w:rPr>
        <w:t>CJJ 205  生活垃圾收集运输技术规程</w:t>
      </w:r>
    </w:p>
    <w:p w14:paraId="2C1E63D2">
      <w:pPr>
        <w:pStyle w:val="58"/>
        <w:ind w:firstLine="420"/>
        <w:rPr>
          <w:rFonts w:hint="eastAsia"/>
        </w:rPr>
      </w:pPr>
      <w:r>
        <w:rPr>
          <w:rFonts w:hint="eastAsia"/>
        </w:rPr>
        <w:t>CJ/T 280  塑料垃圾桶通用技术条件</w:t>
      </w:r>
    </w:p>
    <w:p w14:paraId="77D19B26">
      <w:pPr>
        <w:pStyle w:val="233"/>
        <w:tabs>
          <w:tab w:val="center" w:pos="4201"/>
          <w:tab w:val="right" w:leader="dot" w:pos="9298"/>
        </w:tabs>
        <w:rPr>
          <w:rFonts w:hint="eastAsia" w:eastAsia="宋体"/>
          <w:color w:val="auto"/>
          <w:lang w:eastAsia="zh-CN"/>
        </w:rPr>
      </w:pPr>
      <w:r>
        <w:rPr>
          <w:rFonts w:hint="eastAsia"/>
          <w:color w:val="auto"/>
        </w:rPr>
        <w:t>CJJ27  环境卫生设施设置标准</w:t>
      </w:r>
    </w:p>
    <w:p w14:paraId="7178B2A3">
      <w:pPr>
        <w:pStyle w:val="58"/>
        <w:ind w:firstLine="420"/>
      </w:pPr>
      <w:r>
        <w:rPr>
          <w:rFonts w:hint="eastAsia"/>
        </w:rPr>
        <w:t>HJ 421  医疗废物专用包装袋、容器和警示标志标准</w:t>
      </w:r>
    </w:p>
    <w:p w14:paraId="2110963E">
      <w:pPr>
        <w:pStyle w:val="106"/>
        <w:spacing w:before="312" w:after="312"/>
      </w:pPr>
      <w:bookmarkStart w:id="47" w:name="_Toc10312"/>
      <w:bookmarkStart w:id="48" w:name="_Toc97191425"/>
      <w:r>
        <w:rPr>
          <w:rFonts w:hint="eastAsia"/>
          <w:szCs w:val="21"/>
        </w:rPr>
        <w:t>术语和定义</w:t>
      </w:r>
      <w:bookmarkEnd w:id="47"/>
      <w:bookmarkEnd w:id="48"/>
    </w:p>
    <w:sdt>
      <w:sdtPr>
        <w:id w:val="-1909835108"/>
        <w:placeholder>
          <w:docPart w:val="3D48A317D7BA4838A1E4D56CA089FCBB"/>
        </w:placeholder>
        <w:comboBox>
          <w:listItem w:displayText="请选择适当的引导语" w:value="请选择适当的引导语"/>
          <w:listItem w:displayText="下列术语和定义适用于本文件。" w:value="下列术语和定义适用于本文件。"/>
          <w:listItem w:displayText="……界定的术语和定义适用于本文件。" w:value="……界定的术语和定义适用于本文件。"/>
          <w:listItem w:displayText="……界定的以及下列术语和定义适用于本文件。" w:value="……界定的以及下列术语和定义适用于本文件。"/>
          <w:listItem w:displayText="本文件没有需要界定的术语和定义。" w:value="本文件没有需要界定的术语和定义。"/>
        </w:comboBox>
      </w:sdtPr>
      <w:sdtContent>
        <w:p w14:paraId="7D4450D9">
          <w:pPr>
            <w:pStyle w:val="58"/>
            <w:ind w:firstLine="420"/>
          </w:pPr>
          <w:bookmarkStart w:id="49" w:name="_Toc26986532"/>
          <w:bookmarkEnd w:id="49"/>
          <w:r>
            <w:t>下列术语和定义适用于本文件。</w:t>
          </w:r>
        </w:p>
      </w:sdtContent>
    </w:sdt>
    <w:p w14:paraId="7118CE2A">
      <w:pPr>
        <w:pStyle w:val="225"/>
        <w:ind w:left="420" w:hanging="420" w:hangingChars="200"/>
        <w:rPr>
          <w:rFonts w:hint="eastAsia" w:ascii="黑体" w:hAnsi="黑体" w:eastAsia="黑体"/>
          <w:szCs w:val="21"/>
        </w:rPr>
      </w:pPr>
      <w:r>
        <w:rPr>
          <w:rFonts w:ascii="黑体" w:hAnsi="黑体" w:eastAsia="黑体"/>
        </w:rPr>
        <w:br w:type="textWrapping"/>
      </w:r>
      <w:r>
        <w:rPr>
          <w:rFonts w:hint="eastAsia" w:ascii="黑体" w:hAnsi="黑体" w:eastAsia="黑体"/>
        </w:rPr>
        <w:t xml:space="preserve">公共机构  </w:t>
      </w:r>
      <w:r>
        <w:rPr>
          <w:rFonts w:ascii="Times New Roman" w:eastAsia="黑体"/>
        </w:rPr>
        <w:t>public institution</w:t>
      </w:r>
    </w:p>
    <w:p w14:paraId="50C8063E">
      <w:pPr>
        <w:pStyle w:val="58"/>
        <w:ind w:firstLine="420"/>
      </w:pPr>
      <w:r>
        <w:rPr>
          <w:rFonts w:hint="eastAsia"/>
        </w:rPr>
        <w:t>全部或者部分使用财政性资金的国家机关、事业单位和团体组织。</w:t>
      </w:r>
    </w:p>
    <w:p w14:paraId="4E26C0C8">
      <w:pPr>
        <w:pStyle w:val="225"/>
        <w:ind w:left="420" w:hanging="420" w:hangingChars="200"/>
        <w:rPr>
          <w:rFonts w:hint="eastAsia" w:ascii="黑体" w:hAnsi="黑体" w:eastAsia="黑体"/>
        </w:rPr>
      </w:pPr>
      <w:r>
        <w:rPr>
          <w:rFonts w:ascii="黑体" w:hAnsi="黑体" w:eastAsia="黑体"/>
          <w:highlight w:val="lightGray"/>
        </w:rPr>
        <w:br w:type="textWrapping"/>
      </w:r>
      <w:r>
        <w:rPr>
          <w:rFonts w:hint="eastAsia" w:ascii="黑体" w:hAnsi="黑体" w:eastAsia="黑体"/>
        </w:rPr>
        <w:t xml:space="preserve">生活垃圾  </w:t>
      </w:r>
      <w:r>
        <w:rPr>
          <w:rFonts w:ascii="Times New Roman" w:eastAsia="黑体"/>
        </w:rPr>
        <w:t>municipal solid waste</w:t>
      </w:r>
    </w:p>
    <w:p w14:paraId="352A0317">
      <w:pPr>
        <w:pStyle w:val="58"/>
        <w:ind w:firstLine="420"/>
      </w:pPr>
      <w:r>
        <w:rPr>
          <w:rFonts w:hint="eastAsia"/>
        </w:rPr>
        <w:t>在日常生活中或者为日常生活提供服务的活动中产生的固体废弃物，以及法律、行政法规规定视为生活垃圾的固体废弃物。</w:t>
      </w:r>
    </w:p>
    <w:p w14:paraId="1DF08409">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生活垃圾分类  </w:t>
      </w:r>
      <w:r>
        <w:rPr>
          <w:rFonts w:ascii="Times New Roman" w:eastAsia="黑体"/>
        </w:rPr>
        <w:t>municipal solid waste classification</w:t>
      </w:r>
    </w:p>
    <w:p w14:paraId="4BC2E42B">
      <w:pPr>
        <w:pStyle w:val="58"/>
        <w:ind w:firstLine="420"/>
        <w:rPr>
          <w:highlight w:val="none"/>
        </w:rPr>
      </w:pPr>
      <w:r>
        <w:rPr>
          <w:rFonts w:hint="eastAsia"/>
        </w:rPr>
        <w:t>对生活垃</w:t>
      </w:r>
      <w:r>
        <w:rPr>
          <w:rFonts w:hint="eastAsia"/>
          <w:highlight w:val="none"/>
        </w:rPr>
        <w:t>圾进行</w:t>
      </w:r>
      <w:r>
        <w:rPr>
          <w:rFonts w:hint="eastAsia"/>
          <w:highlight w:val="none"/>
          <w:lang w:val="en-US" w:eastAsia="zh-CN"/>
        </w:rPr>
        <w:t>源头减量、</w:t>
      </w:r>
      <w:r>
        <w:rPr>
          <w:rFonts w:hint="eastAsia"/>
          <w:highlight w:val="none"/>
        </w:rPr>
        <w:t>分类投放、分类收集、分类运输、分类处置的活动。</w:t>
      </w:r>
    </w:p>
    <w:p w14:paraId="1E378F6C">
      <w:pPr>
        <w:pStyle w:val="225"/>
        <w:ind w:left="420" w:hanging="420" w:hangingChars="200"/>
        <w:rPr>
          <w:rFonts w:hint="eastAsia" w:ascii="黑体" w:hAnsi="黑体" w:eastAsia="黑体"/>
          <w:highlight w:val="none"/>
        </w:rPr>
      </w:pPr>
      <w:r>
        <w:rPr>
          <w:rFonts w:ascii="黑体" w:hAnsi="黑体" w:eastAsia="黑体"/>
          <w:highlight w:val="none"/>
        </w:rPr>
        <w:br w:type="textWrapping"/>
      </w:r>
      <w:r>
        <w:rPr>
          <w:rFonts w:hint="eastAsia" w:ascii="黑体" w:hAnsi="黑体" w:eastAsia="黑体"/>
          <w:highlight w:val="none"/>
        </w:rPr>
        <w:t xml:space="preserve">可回收物  </w:t>
      </w:r>
      <w:r>
        <w:rPr>
          <w:rFonts w:ascii="Times New Roman" w:eastAsia="黑体"/>
          <w:highlight w:val="none"/>
        </w:rPr>
        <w:t>recyclable waste</w:t>
      </w:r>
    </w:p>
    <w:p w14:paraId="0D86FD93">
      <w:pPr>
        <w:pStyle w:val="58"/>
        <w:ind w:firstLine="420"/>
      </w:pPr>
      <w:r>
        <w:rPr>
          <w:rFonts w:hint="eastAsia"/>
          <w:highlight w:val="none"/>
        </w:rPr>
        <w:t>适宜回收和资源</w:t>
      </w:r>
      <w:r>
        <w:rPr>
          <w:rFonts w:hint="eastAsia"/>
          <w:highlight w:val="none"/>
          <w:lang w:val="en-US" w:eastAsia="zh-CN"/>
        </w:rPr>
        <w:t>化</w:t>
      </w:r>
      <w:r>
        <w:rPr>
          <w:rFonts w:hint="eastAsia"/>
          <w:highlight w:val="none"/>
        </w:rPr>
        <w:t>利用的生活</w:t>
      </w:r>
      <w:r>
        <w:rPr>
          <w:rFonts w:hint="eastAsia"/>
        </w:rPr>
        <w:t>废弃物，包括纸类、塑料、金属、玻璃、织物等。</w:t>
      </w:r>
    </w:p>
    <w:p w14:paraId="486C2BEE">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有害垃圾  </w:t>
      </w:r>
      <w:r>
        <w:rPr>
          <w:rFonts w:ascii="Times New Roman" w:eastAsia="黑体"/>
        </w:rPr>
        <w:t>hazardous waste</w:t>
      </w:r>
    </w:p>
    <w:p w14:paraId="1C3BAF5A">
      <w:pPr>
        <w:pStyle w:val="58"/>
        <w:ind w:firstLine="420"/>
      </w:pPr>
      <w:r>
        <w:rPr>
          <w:rFonts w:hint="eastAsia"/>
        </w:rPr>
        <w:t>对人体健康或者自然环境造成直接或者潜在危害的生活垃圾，包括废灯管、废电池、废药品、废温度计、废杀虫剂和消毒剂、废油漆及其包装物等。</w:t>
      </w:r>
    </w:p>
    <w:p w14:paraId="0FE24398">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厨余垃圾  </w:t>
      </w:r>
      <w:r>
        <w:rPr>
          <w:rFonts w:ascii="Times New Roman" w:eastAsia="黑体"/>
        </w:rPr>
        <w:t>food waste</w:t>
      </w:r>
    </w:p>
    <w:p w14:paraId="0A07A01A">
      <w:pPr>
        <w:pStyle w:val="58"/>
        <w:ind w:firstLine="420"/>
      </w:pPr>
      <w:r>
        <w:rPr>
          <w:rFonts w:hint="eastAsia"/>
        </w:rPr>
        <w:t>易腐烂的、含有机质的生活垃圾，包括公共机构在食品加工、饮食服务、单位供餐等活动中产生的餐厨垃圾等。</w:t>
      </w:r>
    </w:p>
    <w:p w14:paraId="499E5540">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其他垃圾  </w:t>
      </w:r>
      <w:r>
        <w:rPr>
          <w:rFonts w:ascii="Times New Roman" w:eastAsia="黑体"/>
        </w:rPr>
        <w:t>residual waste</w:t>
      </w:r>
    </w:p>
    <w:p w14:paraId="0D0BAAB9">
      <w:pPr>
        <w:pStyle w:val="58"/>
        <w:ind w:firstLine="420"/>
      </w:pPr>
      <w:r>
        <w:rPr>
          <w:rFonts w:hint="eastAsia"/>
        </w:rPr>
        <w:t>除可回收物、有害垃圾和厨余垃圾外的生活垃圾。</w:t>
      </w:r>
    </w:p>
    <w:p w14:paraId="2B406142">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大件垃圾  </w:t>
      </w:r>
      <w:r>
        <w:rPr>
          <w:rFonts w:ascii="Times New Roman" w:eastAsia="黑体"/>
        </w:rPr>
        <w:t>bulky waste</w:t>
      </w:r>
    </w:p>
    <w:p w14:paraId="34A2BBED">
      <w:pPr>
        <w:pStyle w:val="233"/>
      </w:pPr>
      <w:r>
        <w:rPr>
          <w:rFonts w:hint="eastAsia" w:hAnsi="宋体"/>
        </w:rPr>
        <w:t>体积大、整体性强或者需要拆解后再利用或处理的废弃物，如家具、废弃电器电子产品等。</w:t>
      </w:r>
    </w:p>
    <w:p w14:paraId="24497A47">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分类投放 </w:t>
      </w:r>
      <w:r>
        <w:rPr>
          <w:rFonts w:ascii="Times New Roman" w:eastAsia="黑体"/>
        </w:rPr>
        <w:t>classified release</w:t>
      </w:r>
    </w:p>
    <w:p w14:paraId="0CAB748E">
      <w:pPr>
        <w:pStyle w:val="233"/>
      </w:pPr>
      <w:r>
        <w:rPr>
          <w:rFonts w:hint="eastAsia" w:hAnsi="宋体"/>
        </w:rPr>
        <w:t>将生活垃圾按类别投放至指定的容器、场所的活动。</w:t>
      </w:r>
    </w:p>
    <w:p w14:paraId="169FC9FE">
      <w:pPr>
        <w:pStyle w:val="225"/>
        <w:ind w:left="420" w:hanging="420" w:hangingChars="200"/>
        <w:rPr>
          <w:rFonts w:hint="eastAsia" w:ascii="黑体" w:hAnsi="黑体" w:eastAsia="黑体"/>
        </w:rPr>
      </w:pPr>
      <w:r>
        <w:rPr>
          <w:rFonts w:ascii="黑体" w:hAnsi="黑体" w:eastAsia="黑体"/>
        </w:rPr>
        <w:br w:type="textWrapping"/>
      </w:r>
      <w:r>
        <w:rPr>
          <w:rFonts w:hint="eastAsia" w:ascii="黑体" w:hAnsi="黑体" w:eastAsia="黑体"/>
        </w:rPr>
        <w:t xml:space="preserve">分类收集 </w:t>
      </w:r>
      <w:r>
        <w:rPr>
          <w:rFonts w:ascii="Times New Roman" w:eastAsia="黑体"/>
        </w:rPr>
        <w:t>classified collection</w:t>
      </w:r>
    </w:p>
    <w:p w14:paraId="27C4D629">
      <w:pPr>
        <w:pStyle w:val="233"/>
        <w:rPr>
          <w:rFonts w:hint="eastAsia" w:ascii="黑体" w:hAnsi="黑体" w:eastAsia="黑体"/>
        </w:rPr>
      </w:pPr>
      <w:r>
        <w:rPr>
          <w:rFonts w:hint="eastAsia" w:hAnsi="宋体"/>
        </w:rPr>
        <w:t>将已按分类要求投放的垃圾进行分类归集的活动。</w:t>
      </w:r>
    </w:p>
    <w:p w14:paraId="55EBB524">
      <w:pPr>
        <w:pStyle w:val="225"/>
        <w:ind w:left="420" w:hanging="420" w:hangingChars="200"/>
        <w:rPr>
          <w:rFonts w:hint="eastAsia" w:ascii="黑体" w:hAnsi="黑体" w:eastAsia="黑体"/>
        </w:rPr>
      </w:pPr>
    </w:p>
    <w:p w14:paraId="7BA6A292">
      <w:pPr>
        <w:pStyle w:val="225"/>
        <w:numPr>
          <w:ilvl w:val="2"/>
          <w:numId w:val="0"/>
        </w:numPr>
        <w:ind w:firstLine="420" w:firstLineChars="200"/>
        <w:rPr>
          <w:rFonts w:hint="eastAsia" w:ascii="黑体" w:hAnsi="黑体" w:eastAsia="黑体"/>
        </w:rPr>
      </w:pPr>
      <w:r>
        <w:rPr>
          <w:rFonts w:hint="eastAsia" w:ascii="黑体" w:hAnsi="黑体" w:eastAsia="黑体"/>
          <w:lang w:val="en-US" w:eastAsia="zh-CN"/>
        </w:rPr>
        <w:t>垃圾</w:t>
      </w:r>
      <w:r>
        <w:rPr>
          <w:rFonts w:hint="eastAsia" w:ascii="黑体" w:hAnsi="黑体" w:eastAsia="黑体"/>
        </w:rPr>
        <w:t>收集点 garbage collection points</w:t>
      </w:r>
    </w:p>
    <w:p w14:paraId="690F2984">
      <w:pPr>
        <w:pStyle w:val="58"/>
        <w:ind w:firstLine="420"/>
        <w:rPr>
          <w:rFonts w:hint="eastAsia"/>
        </w:rPr>
      </w:pPr>
      <w:r>
        <w:rPr>
          <w:rFonts w:hint="eastAsia"/>
        </w:rPr>
        <w:t>按规定设置的收集垃圾的地点。垃圾收集点主要包括两种形式，一种是设有建构筑物的垃圾容器间的形式，另一种为不设建构筑物仅放置垃圾容器的形式。</w:t>
      </w:r>
    </w:p>
    <w:p w14:paraId="526A5332">
      <w:pPr>
        <w:pStyle w:val="106"/>
        <w:spacing w:before="312" w:after="312"/>
        <w:rPr>
          <w:rFonts w:hint="eastAsia"/>
        </w:rPr>
      </w:pPr>
      <w:bookmarkStart w:id="50" w:name="_Toc26910"/>
      <w:r>
        <w:rPr>
          <w:rFonts w:hint="eastAsia"/>
          <w:lang w:val="en-US" w:eastAsia="zh-CN"/>
        </w:rPr>
        <w:t>基本规定</w:t>
      </w:r>
      <w:bookmarkEnd w:id="50"/>
    </w:p>
    <w:p w14:paraId="0041921B">
      <w:pPr>
        <w:pStyle w:val="164"/>
      </w:pPr>
      <w:r>
        <w:rPr>
          <w:rFonts w:hint="eastAsia"/>
        </w:rPr>
        <w:t>公共机构生活垃圾分类管理以实现减量化、资源化、无害化为目标。</w:t>
      </w:r>
    </w:p>
    <w:p w14:paraId="754716FA">
      <w:pPr>
        <w:pStyle w:val="164"/>
      </w:pPr>
      <w:r>
        <w:rPr>
          <w:rFonts w:hint="eastAsia"/>
        </w:rPr>
        <w:t>公共机构生活垃圾分为四类，包括可回收物、有害垃圾、厨余垃圾和其他垃圾。</w:t>
      </w:r>
    </w:p>
    <w:p w14:paraId="42DDE56F">
      <w:pPr>
        <w:pStyle w:val="164"/>
      </w:pPr>
      <w:r>
        <w:rPr>
          <w:rFonts w:hint="eastAsia"/>
        </w:rPr>
        <w:t>公共机构生活垃圾分类投放、分类收集、分类运输和分类处置等管理活动的流程示意图如图1所示。</w:t>
      </w:r>
    </w:p>
    <w:p w14:paraId="6AB006C8">
      <w:pPr>
        <w:pStyle w:val="164"/>
      </w:pPr>
      <w:r>
        <w:rPr>
          <w:rFonts w:hint="eastAsia"/>
        </w:rPr>
        <w:t>公共机构应结合本单位的工作习惯、垃圾成分制定生活垃圾分类管理方案，应做到科学规划、合理布局，充分发挥市场作用，形成有效的激励约束机制。</w:t>
      </w:r>
    </w:p>
    <w:p w14:paraId="5C76E388">
      <w:pPr>
        <w:pStyle w:val="164"/>
      </w:pPr>
      <w:r>
        <w:rPr>
          <w:rFonts w:hint="eastAsia"/>
        </w:rPr>
        <w:t>公共机构生活垃圾分类主管部门应协调和加强各流程环节的衔接，形成统一完整、能力适应、协同高效的全过程运行系统。</w:t>
      </w:r>
    </w:p>
    <w:p w14:paraId="2C4BE267">
      <w:pPr>
        <w:pStyle w:val="164"/>
        <w:rPr>
          <w:rFonts w:hint="eastAsia" w:ascii="宋体" w:hAnsi="Times New Roman" w:eastAsia="宋体" w:cs="Times New Roman"/>
          <w:color w:val="auto"/>
          <w:sz w:val="21"/>
          <w:highlight w:val="none"/>
          <w:lang w:val="en-US" w:eastAsia="zh-CN" w:bidi="ar-SA"/>
        </w:rPr>
      </w:pPr>
      <w:r>
        <w:rPr>
          <w:rFonts w:hint="eastAsia" w:ascii="宋体" w:hAnsi="Times New Roman" w:eastAsia="宋体" w:cs="Times New Roman"/>
          <w:color w:val="auto"/>
          <w:sz w:val="21"/>
          <w:highlight w:val="none"/>
          <w:lang w:val="en-US" w:eastAsia="zh-CN" w:bidi="ar-SA"/>
        </w:rPr>
        <w:t>公共机构应对生活垃圾分类开展多种形式的宣传教育。</w:t>
      </w:r>
    </w:p>
    <w:p w14:paraId="6DEA6530">
      <w:pPr>
        <w:pStyle w:val="164"/>
      </w:pPr>
      <w:r>
        <w:rPr>
          <w:rFonts w:hint="eastAsia"/>
        </w:rPr>
        <w:t>公共机构鼓励引进或购置垃圾分类智能化设备、资源化处置设备，实现垃圾智能化分类、资源化处置。</w:t>
      </w:r>
    </w:p>
    <w:p w14:paraId="1A341EE9">
      <w:pPr>
        <w:pStyle w:val="164"/>
        <w:rPr>
          <w:rFonts w:hint="eastAsia"/>
        </w:rPr>
      </w:pPr>
      <w:r>
        <w:rPr>
          <w:rFonts w:hint="eastAsia"/>
        </w:rPr>
        <w:t>大件垃圾应在履行资产处置程序后，交由具备资质的再生资源回收企业进行环保回收处理，废弃电器电子产品的回收处置还应符合保密规定和要求。</w:t>
      </w:r>
    </w:p>
    <w:p w14:paraId="472B015A">
      <w:pPr>
        <w:pStyle w:val="58"/>
        <w:ind w:firstLine="0" w:firstLineChars="0"/>
        <w:jc w:val="center"/>
      </w:pPr>
      <w:r>
        <w:drawing>
          <wp:inline distT="0" distB="0" distL="114300" distR="114300">
            <wp:extent cx="4564380" cy="3263265"/>
            <wp:effectExtent l="0" t="0" r="7620" b="635"/>
            <wp:docPr id="1"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5"/>
                    <pic:cNvPicPr>
                      <a:picLocks noChangeAspect="1"/>
                    </pic:cNvPicPr>
                  </pic:nvPicPr>
                  <pic:blipFill>
                    <a:blip r:embed="rId14"/>
                    <a:stretch>
                      <a:fillRect/>
                    </a:stretch>
                  </pic:blipFill>
                  <pic:spPr>
                    <a:xfrm>
                      <a:off x="0" y="0"/>
                      <a:ext cx="4564380" cy="3263265"/>
                    </a:xfrm>
                    <a:prstGeom prst="rect">
                      <a:avLst/>
                    </a:prstGeom>
                    <a:noFill/>
                    <a:ln>
                      <a:noFill/>
                    </a:ln>
                  </pic:spPr>
                </pic:pic>
              </a:graphicData>
            </a:graphic>
          </wp:inline>
        </w:drawing>
      </w:r>
    </w:p>
    <w:p w14:paraId="78381E3A">
      <w:pPr>
        <w:pStyle w:val="116"/>
        <w:spacing w:before="156" w:after="156"/>
        <w:rPr>
          <w:rFonts w:hint="eastAsia"/>
        </w:rPr>
      </w:pPr>
      <w:r>
        <w:rPr>
          <w:rFonts w:hint="eastAsia"/>
        </w:rPr>
        <w:t>公共机构生活垃圾分类管理流程示意图</w:t>
      </w:r>
    </w:p>
    <w:p w14:paraId="47AF4C21">
      <w:pPr>
        <w:pStyle w:val="106"/>
        <w:spacing w:before="312" w:after="312"/>
        <w:rPr>
          <w:color w:val="auto"/>
        </w:rPr>
      </w:pPr>
      <w:bookmarkStart w:id="51" w:name="_Toc32249"/>
      <w:r>
        <w:rPr>
          <w:rFonts w:hint="eastAsia"/>
          <w:color w:val="auto"/>
          <w:lang w:val="en-US" w:eastAsia="zh-CN"/>
        </w:rPr>
        <w:t>源头减量</w:t>
      </w:r>
      <w:bookmarkEnd w:id="51"/>
    </w:p>
    <w:p w14:paraId="68A81D38">
      <w:pPr>
        <w:pStyle w:val="107"/>
        <w:spacing w:before="156" w:after="156"/>
        <w:rPr>
          <w:rFonts w:hint="eastAsia"/>
          <w:color w:val="auto"/>
          <w:lang w:val="en-US" w:eastAsia="zh-CN"/>
        </w:rPr>
      </w:pPr>
      <w:r>
        <w:rPr>
          <w:rFonts w:hint="eastAsia"/>
          <w:color w:val="auto"/>
          <w:lang w:val="en-US" w:eastAsia="zh-CN"/>
        </w:rPr>
        <w:t>策划源头减量</w:t>
      </w:r>
    </w:p>
    <w:p w14:paraId="04FB7270">
      <w:pPr>
        <w:pStyle w:val="166"/>
        <w:keepNext w:val="0"/>
        <w:keepLines w:val="0"/>
        <w:pageBreakBefore w:val="0"/>
        <w:widowControl/>
        <w:numPr>
          <w:ilvl w:val="4"/>
          <w:numId w:val="0"/>
        </w:numPr>
        <w:kinsoku/>
        <w:wordWrap/>
        <w:overflowPunct/>
        <w:topLinePunct w:val="0"/>
        <w:autoSpaceDE/>
        <w:autoSpaceDN/>
        <w:bidi w:val="0"/>
        <w:adjustRightInd w:val="0"/>
        <w:snapToGrid w:val="0"/>
        <w:ind w:leftChars="0" w:firstLine="420" w:firstLineChars="200"/>
        <w:textAlignment w:val="auto"/>
        <w:rPr>
          <w:rFonts w:hint="eastAsia"/>
          <w:color w:val="auto"/>
          <w:lang w:val="en-US" w:eastAsia="zh-CN"/>
        </w:rPr>
      </w:pPr>
      <w:r>
        <w:rPr>
          <w:rFonts w:hint="default"/>
          <w:color w:val="auto"/>
          <w:lang w:val="en-US" w:eastAsia="zh-CN"/>
        </w:rPr>
        <w:t>应对源头减量工作进行策划，建立并细化源头减量工作指南或方案，定期对源头减量要求实施的情况进行检查</w:t>
      </w:r>
      <w:r>
        <w:rPr>
          <w:rFonts w:hint="eastAsia"/>
          <w:color w:val="auto"/>
          <w:lang w:val="en-US" w:eastAsia="zh-CN"/>
        </w:rPr>
        <w:t>。</w:t>
      </w:r>
    </w:p>
    <w:p w14:paraId="70201E1B">
      <w:pPr>
        <w:pStyle w:val="107"/>
        <w:spacing w:before="156" w:after="156"/>
        <w:rPr>
          <w:rFonts w:hint="default"/>
          <w:color w:val="auto"/>
          <w:lang w:val="en-US" w:eastAsia="zh-CN"/>
        </w:rPr>
      </w:pPr>
      <w:r>
        <w:rPr>
          <w:rFonts w:hint="default"/>
          <w:color w:val="auto"/>
          <w:lang w:val="en-US" w:eastAsia="zh-CN"/>
        </w:rPr>
        <w:t>倡导绿色办公</w:t>
      </w:r>
    </w:p>
    <w:p w14:paraId="4FBAAE29">
      <w:pPr>
        <w:pStyle w:val="166"/>
        <w:keepNext w:val="0"/>
        <w:keepLines w:val="0"/>
        <w:pageBreakBefore w:val="0"/>
        <w:widowControl/>
        <w:numPr>
          <w:ilvl w:val="4"/>
          <w:numId w:val="0"/>
        </w:numPr>
        <w:kinsoku/>
        <w:wordWrap/>
        <w:overflowPunct/>
        <w:topLinePunct w:val="0"/>
        <w:autoSpaceDE/>
        <w:autoSpaceDN/>
        <w:bidi w:val="0"/>
        <w:adjustRightInd w:val="0"/>
        <w:snapToGrid w:val="0"/>
        <w:ind w:leftChars="0" w:firstLine="420" w:firstLineChars="200"/>
        <w:textAlignment w:val="auto"/>
        <w:rPr>
          <w:rFonts w:hint="eastAsia"/>
          <w:color w:val="auto"/>
          <w:lang w:val="en-US" w:eastAsia="zh-CN"/>
        </w:rPr>
      </w:pPr>
      <w:r>
        <w:rPr>
          <w:rFonts w:hint="default"/>
          <w:color w:val="auto"/>
          <w:lang w:val="en-US" w:eastAsia="zh-CN"/>
        </w:rPr>
        <w:t>大力推广无纸化办公、纸质材料双面打印、使用环保耗材等绿色办公方式，应</w:t>
      </w:r>
      <w:r>
        <w:rPr>
          <w:rFonts w:hint="eastAsia"/>
          <w:color w:val="auto"/>
          <w:lang w:val="en-US" w:eastAsia="zh-CN"/>
        </w:rPr>
        <w:t>按照</w:t>
      </w:r>
      <w:r>
        <w:rPr>
          <w:rFonts w:hint="default"/>
          <w:color w:val="auto"/>
          <w:lang w:val="en-US" w:eastAsia="zh-CN"/>
        </w:rPr>
        <w:t>《关于做好公共机构生活垃圾分类近期重点工作的通知》采购和使用</w:t>
      </w:r>
      <w:r>
        <w:rPr>
          <w:rFonts w:hint="eastAsia"/>
          <w:color w:val="auto"/>
          <w:lang w:val="en-US" w:eastAsia="zh-CN"/>
        </w:rPr>
        <w:t>纸制品。</w:t>
      </w:r>
    </w:p>
    <w:p w14:paraId="0E4FCFDD">
      <w:pPr>
        <w:pStyle w:val="107"/>
        <w:spacing w:before="156" w:after="156"/>
        <w:rPr>
          <w:rFonts w:hint="default"/>
          <w:color w:val="auto"/>
          <w:lang w:val="en-US" w:eastAsia="zh-CN"/>
        </w:rPr>
      </w:pPr>
      <w:r>
        <w:rPr>
          <w:rFonts w:hint="default"/>
          <w:color w:val="auto"/>
          <w:lang w:val="en-US" w:eastAsia="zh-CN"/>
        </w:rPr>
        <w:t>倡导节俭办公</w:t>
      </w:r>
    </w:p>
    <w:p w14:paraId="0C2D8A8C">
      <w:pPr>
        <w:pStyle w:val="166"/>
        <w:keepNext w:val="0"/>
        <w:keepLines w:val="0"/>
        <w:pageBreakBefore w:val="0"/>
        <w:widowControl/>
        <w:numPr>
          <w:ilvl w:val="4"/>
          <w:numId w:val="0"/>
        </w:numPr>
        <w:kinsoku/>
        <w:wordWrap/>
        <w:overflowPunct/>
        <w:topLinePunct w:val="0"/>
        <w:autoSpaceDE/>
        <w:autoSpaceDN/>
        <w:bidi w:val="0"/>
        <w:adjustRightInd w:val="0"/>
        <w:snapToGrid w:val="0"/>
        <w:ind w:leftChars="0" w:firstLine="420" w:firstLineChars="200"/>
        <w:textAlignment w:val="auto"/>
        <w:rPr>
          <w:rFonts w:hint="default"/>
          <w:color w:val="auto"/>
          <w:lang w:val="en-US" w:eastAsia="zh-CN"/>
        </w:rPr>
      </w:pPr>
      <w:r>
        <w:rPr>
          <w:rFonts w:hint="default"/>
          <w:color w:val="auto"/>
          <w:lang w:val="en-US" w:eastAsia="zh-CN"/>
        </w:rPr>
        <w:t>提倡通用设备（如：打印、复印类设备）统一配置、集中使用，办公用品建立台账，按需发放、以旧换新。可重复使用的办公用品，应重复使用；可修复使用的办公用品，应修复使用</w:t>
      </w:r>
      <w:r>
        <w:rPr>
          <w:rFonts w:hint="eastAsia"/>
          <w:color w:val="auto"/>
          <w:lang w:val="en-US" w:eastAsia="zh-CN"/>
        </w:rPr>
        <w:t>。</w:t>
      </w:r>
    </w:p>
    <w:p w14:paraId="043BE133">
      <w:pPr>
        <w:pStyle w:val="107"/>
        <w:spacing w:before="156" w:after="156"/>
        <w:rPr>
          <w:rFonts w:hint="default"/>
          <w:color w:val="auto"/>
          <w:lang w:val="en-US" w:eastAsia="zh-CN"/>
        </w:rPr>
      </w:pPr>
      <w:r>
        <w:rPr>
          <w:rFonts w:hint="default"/>
          <w:color w:val="auto"/>
          <w:lang w:val="en-US" w:eastAsia="zh-CN"/>
        </w:rPr>
        <w:t>倡导节约餐饮</w:t>
      </w:r>
    </w:p>
    <w:p w14:paraId="730EEB3B">
      <w:pPr>
        <w:pStyle w:val="166"/>
        <w:keepNext w:val="0"/>
        <w:keepLines w:val="0"/>
        <w:pageBreakBefore w:val="0"/>
        <w:widowControl/>
        <w:numPr>
          <w:ilvl w:val="4"/>
          <w:numId w:val="0"/>
        </w:numPr>
        <w:kinsoku/>
        <w:wordWrap/>
        <w:overflowPunct/>
        <w:topLinePunct w:val="0"/>
        <w:autoSpaceDE/>
        <w:autoSpaceDN/>
        <w:bidi w:val="0"/>
        <w:adjustRightInd w:val="0"/>
        <w:snapToGrid w:val="0"/>
        <w:ind w:leftChars="0" w:firstLine="420" w:firstLineChars="200"/>
        <w:textAlignment w:val="auto"/>
        <w:rPr>
          <w:rFonts w:hint="default"/>
          <w:color w:val="auto"/>
          <w:lang w:val="en-US" w:eastAsia="zh-CN"/>
        </w:rPr>
      </w:pPr>
      <w:r>
        <w:rPr>
          <w:rFonts w:hint="default"/>
          <w:color w:val="auto"/>
          <w:lang w:val="en-US" w:eastAsia="zh-CN"/>
        </w:rPr>
        <w:t>餐食按需提供或定量供应，采取</w:t>
      </w:r>
      <w:r>
        <w:rPr>
          <w:rFonts w:hint="eastAsia"/>
          <w:color w:val="auto"/>
          <w:lang w:val="en-US" w:eastAsia="zh-CN"/>
        </w:rPr>
        <w:t>“</w:t>
      </w:r>
      <w:r>
        <w:rPr>
          <w:rFonts w:hint="default"/>
          <w:color w:val="auto"/>
          <w:lang w:val="en-US" w:eastAsia="zh-CN"/>
        </w:rPr>
        <w:t>小份菜</w:t>
      </w:r>
      <w:r>
        <w:rPr>
          <w:rFonts w:hint="eastAsia"/>
          <w:color w:val="auto"/>
          <w:lang w:val="en-US" w:eastAsia="zh-CN"/>
        </w:rPr>
        <w:t>”“</w:t>
      </w:r>
      <w:r>
        <w:rPr>
          <w:rFonts w:hint="default"/>
          <w:color w:val="auto"/>
          <w:lang w:val="en-US" w:eastAsia="zh-CN"/>
        </w:rPr>
        <w:t>按需取餐</w:t>
      </w:r>
      <w:r>
        <w:rPr>
          <w:rFonts w:hint="eastAsia"/>
          <w:color w:val="auto"/>
          <w:lang w:val="en-US" w:eastAsia="zh-CN"/>
        </w:rPr>
        <w:t>”“</w:t>
      </w:r>
      <w:r>
        <w:rPr>
          <w:rFonts w:hint="default"/>
          <w:color w:val="auto"/>
          <w:lang w:val="en-US" w:eastAsia="zh-CN"/>
        </w:rPr>
        <w:t>剩菜打包</w:t>
      </w:r>
      <w:r>
        <w:rPr>
          <w:rFonts w:hint="eastAsia"/>
          <w:color w:val="auto"/>
          <w:lang w:val="en-US" w:eastAsia="zh-CN"/>
        </w:rPr>
        <w:t>”</w:t>
      </w:r>
      <w:r>
        <w:rPr>
          <w:rFonts w:hint="default"/>
          <w:color w:val="auto"/>
          <w:lang w:val="en-US" w:eastAsia="zh-CN"/>
        </w:rPr>
        <w:t>等措施，持续开展</w:t>
      </w:r>
      <w:r>
        <w:rPr>
          <w:rFonts w:hint="eastAsia"/>
          <w:color w:val="auto"/>
          <w:lang w:val="en-US" w:eastAsia="zh-CN"/>
        </w:rPr>
        <w:t>“</w:t>
      </w:r>
      <w:r>
        <w:rPr>
          <w:rFonts w:hint="default"/>
          <w:color w:val="auto"/>
          <w:lang w:val="en-US" w:eastAsia="zh-CN"/>
        </w:rPr>
        <w:t>光盘行动</w:t>
      </w:r>
      <w:r>
        <w:rPr>
          <w:rFonts w:hint="eastAsia"/>
          <w:color w:val="auto"/>
          <w:lang w:val="en-US" w:eastAsia="zh-CN"/>
        </w:rPr>
        <w:t>”</w:t>
      </w:r>
      <w:r>
        <w:rPr>
          <w:rFonts w:hint="default"/>
          <w:color w:val="auto"/>
          <w:lang w:val="en-US" w:eastAsia="zh-CN"/>
        </w:rPr>
        <w:t>等节约粮食活动，餐厅打包用具均不应使用不可降解材料制成的一次性餐具</w:t>
      </w:r>
      <w:r>
        <w:rPr>
          <w:rFonts w:hint="eastAsia"/>
          <w:color w:val="auto"/>
          <w:lang w:val="en-US" w:eastAsia="zh-CN"/>
        </w:rPr>
        <w:t>。</w:t>
      </w:r>
    </w:p>
    <w:p w14:paraId="496E0F7E">
      <w:pPr>
        <w:pStyle w:val="106"/>
        <w:spacing w:before="312" w:after="312"/>
        <w:rPr>
          <w:szCs w:val="21"/>
        </w:rPr>
      </w:pPr>
      <w:bookmarkStart w:id="52" w:name="_Toc25285"/>
      <w:r>
        <w:rPr>
          <w:rFonts w:hint="eastAsia"/>
        </w:rPr>
        <w:t>收集容器</w:t>
      </w:r>
      <w:bookmarkEnd w:id="52"/>
      <w:r>
        <w:rPr>
          <w:rFonts w:hint="eastAsia"/>
        </w:rPr>
        <w:t xml:space="preserve"> </w:t>
      </w:r>
    </w:p>
    <w:p w14:paraId="1767C017">
      <w:pPr>
        <w:pStyle w:val="107"/>
        <w:spacing w:before="156" w:after="156"/>
      </w:pPr>
      <w:bookmarkStart w:id="53" w:name="_Toc3577"/>
      <w:r>
        <w:rPr>
          <w:rFonts w:hint="eastAsia"/>
        </w:rPr>
        <w:t>一般规定</w:t>
      </w:r>
      <w:bookmarkEnd w:id="53"/>
    </w:p>
    <w:p w14:paraId="4074425D">
      <w:pPr>
        <w:pStyle w:val="167"/>
      </w:pPr>
      <w:r>
        <w:rPr>
          <w:rFonts w:hint="eastAsia"/>
        </w:rPr>
        <w:t>生活垃圾分类设施的配置应坚持布局合理、卫生适用、节能环保、便于管理，有利于环境卫生作业和环境污染控制。</w:t>
      </w:r>
    </w:p>
    <w:p w14:paraId="5E782142">
      <w:pPr>
        <w:pStyle w:val="167"/>
      </w:pPr>
      <w:r>
        <w:rPr>
          <w:rFonts w:hint="eastAsia"/>
        </w:rPr>
        <w:t>生活垃圾分类收集容器应按照可回收物、有害垃圾、厨余垃圾和其他垃圾进行“四分类”设置。</w:t>
      </w:r>
    </w:p>
    <w:p w14:paraId="18787CCA">
      <w:pPr>
        <w:pStyle w:val="167"/>
      </w:pPr>
      <w:r>
        <w:rPr>
          <w:rFonts w:hint="eastAsia"/>
        </w:rPr>
        <w:t>生活垃圾分类收集容器的颜色和标志应符合GB/T 19095的有关规定，各分类标志应印制在相应分类收集容器正面的显著位置。</w:t>
      </w:r>
    </w:p>
    <w:p w14:paraId="26EFE7A2">
      <w:pPr>
        <w:pStyle w:val="167"/>
      </w:pPr>
      <w:r>
        <w:rPr>
          <w:rFonts w:hint="eastAsia"/>
        </w:rPr>
        <w:t>生活垃圾分类收集容器宜采用标准系列容积规格的产品，且室外生活垃圾分类收集容器应符</w:t>
      </w:r>
      <w:r>
        <w:rPr>
          <w:rFonts w:hint="eastAsia" w:hAnsi="宋体"/>
        </w:rPr>
        <w:t>合CJ/T 280所规定的技术标准要求。</w:t>
      </w:r>
    </w:p>
    <w:p w14:paraId="7FD87D06">
      <w:pPr>
        <w:pStyle w:val="167"/>
      </w:pPr>
      <w:r>
        <w:rPr>
          <w:rFonts w:hint="eastAsia"/>
        </w:rPr>
        <w:t>垃圾袋应按照可回收物、有害垃圾、厨余垃圾和其他垃圾进行“四分类”使用，垃圾袋的尺寸容量应与分类垃圾桶相匹配，颜色宜与分类垃圾桶相同，且袋身宜标注垃圾种类。</w:t>
      </w:r>
    </w:p>
    <w:p w14:paraId="71F0E00D">
      <w:pPr>
        <w:pStyle w:val="167"/>
      </w:pPr>
      <w:r>
        <w:rPr>
          <w:rFonts w:hint="eastAsia"/>
        </w:rPr>
        <w:t>生活垃圾分类收集容器应设置在便于投放、收运的恰当位置，容量和数量应根据垃圾产生量合理配置。场馆类机构收集容器设置数量应充分考虑流动人员垃圾产生量，遇重大活动宜临时增加。</w:t>
      </w:r>
    </w:p>
    <w:p w14:paraId="39A4D69D">
      <w:pPr>
        <w:pStyle w:val="167"/>
      </w:pPr>
      <w:r>
        <w:rPr>
          <w:rFonts w:hint="eastAsia"/>
        </w:rPr>
        <w:t>有集中供餐单位的厨余垃圾收集容器数量应根据用餐人数和厨余垃圾产生量设置，每百人宜设置1个120升或240升的厨余垃圾桶，不满百人的按1个配置。</w:t>
      </w:r>
    </w:p>
    <w:p w14:paraId="1553190C">
      <w:pPr>
        <w:pStyle w:val="167"/>
      </w:pPr>
      <w:r>
        <w:rPr>
          <w:rFonts w:hint="eastAsia"/>
        </w:rPr>
        <w:t>室外生活垃圾分类收集容器的设置点地面，应经硬化防渗处理。</w:t>
      </w:r>
    </w:p>
    <w:p w14:paraId="75774D34">
      <w:pPr>
        <w:pStyle w:val="167"/>
      </w:pPr>
      <w:r>
        <w:rPr>
          <w:rFonts w:hint="eastAsia"/>
        </w:rPr>
        <w:t>生活垃圾分类收集容器应摆放整齐，外观整洁干净，桶身桶盖完整无损，与周边环境相适应，并应定期进行消毒。</w:t>
      </w:r>
    </w:p>
    <w:p w14:paraId="07F67FB3">
      <w:pPr>
        <w:pStyle w:val="167"/>
        <w:rPr>
          <w:color w:val="auto"/>
        </w:rPr>
      </w:pPr>
      <w:r>
        <w:rPr>
          <w:rFonts w:hint="eastAsia"/>
          <w:color w:val="auto"/>
        </w:rPr>
        <w:t>分类垃圾收集容器的外形、颜色及标识应满足</w:t>
      </w:r>
      <w:r>
        <w:rPr>
          <w:rFonts w:hint="eastAsia"/>
          <w:color w:val="auto"/>
          <w:highlight w:val="none"/>
        </w:rPr>
        <w:t>CJ/T</w:t>
      </w:r>
      <w:r>
        <w:rPr>
          <w:color w:val="auto"/>
          <w:highlight w:val="none"/>
        </w:rPr>
        <w:t xml:space="preserve"> </w:t>
      </w:r>
      <w:r>
        <w:rPr>
          <w:rFonts w:hint="eastAsia"/>
          <w:color w:val="auto"/>
          <w:highlight w:val="none"/>
        </w:rPr>
        <w:t>280</w:t>
      </w:r>
      <w:r>
        <w:rPr>
          <w:rFonts w:hint="eastAsia"/>
          <w:color w:val="auto"/>
          <w:highlight w:val="none"/>
          <w:lang w:val="en-US" w:eastAsia="zh-CN"/>
        </w:rPr>
        <w:t>的</w:t>
      </w:r>
      <w:r>
        <w:rPr>
          <w:rFonts w:hint="eastAsia"/>
          <w:color w:val="auto"/>
          <w:highlight w:val="none"/>
        </w:rPr>
        <w:t>要求</w:t>
      </w:r>
      <w:r>
        <w:rPr>
          <w:rFonts w:hint="eastAsia"/>
          <w:color w:val="auto"/>
          <w:highlight w:val="none"/>
          <w:lang w:eastAsia="zh-CN"/>
        </w:rPr>
        <w:t>。</w:t>
      </w:r>
    </w:p>
    <w:p w14:paraId="48D95607">
      <w:pPr>
        <w:pStyle w:val="167"/>
      </w:pPr>
      <w:r>
        <w:rPr>
          <w:rFonts w:hint="eastAsia"/>
        </w:rPr>
        <w:t>如遇突发公共卫生事件，应在生活垃圾收集容器附近，另行设置危险废物收集容器，危险废物收集容器应为有盖密闭容器，在危险废物收集容器内放置专用包装袋：</w:t>
      </w:r>
    </w:p>
    <w:p w14:paraId="3DDE8A5A">
      <w:pPr>
        <w:pStyle w:val="176"/>
        <w:numPr>
          <w:ilvl w:val="0"/>
          <w:numId w:val="32"/>
        </w:numPr>
      </w:pPr>
      <w:r>
        <w:rPr>
          <w:rFonts w:hint="eastAsia"/>
        </w:rPr>
        <w:t>危险废物收集容器和包装袋的颜色应符合GB/T</w:t>
      </w:r>
      <w:r>
        <w:t xml:space="preserve"> </w:t>
      </w:r>
      <w:r>
        <w:rPr>
          <w:rFonts w:hint="eastAsia"/>
        </w:rPr>
        <w:t>3181中漆脱颜色Y06的要求；</w:t>
      </w:r>
    </w:p>
    <w:p w14:paraId="0A2DE1C7">
      <w:pPr>
        <w:pStyle w:val="176"/>
      </w:pPr>
      <w:r>
        <w:rPr>
          <w:rFonts w:hint="eastAsia"/>
        </w:rPr>
        <w:t>在危险废物收集容器和包装袋的明显位置处粘贴或印刷的警示标志应符合HJ 421的要求。</w:t>
      </w:r>
    </w:p>
    <w:p w14:paraId="6B547337">
      <w:pPr>
        <w:pStyle w:val="167"/>
      </w:pPr>
      <w:r>
        <w:rPr>
          <w:rFonts w:hint="eastAsia"/>
        </w:rPr>
        <w:t>厨余垃圾</w:t>
      </w:r>
      <w:r>
        <w:rPr>
          <w:rFonts w:hint="eastAsia" w:ascii="宋体" w:hAnsi="Times New Roman" w:eastAsia="宋体" w:cs="Times New Roman"/>
          <w:sz w:val="21"/>
          <w:highlight w:val="none"/>
          <w:lang w:val="en-US" w:eastAsia="zh-CN" w:bidi="ar-SA"/>
        </w:rPr>
        <w:t>收</w:t>
      </w:r>
      <w:r>
        <w:rPr>
          <w:rFonts w:hint="eastAsia"/>
        </w:rPr>
        <w:t>集点应进行单独分类、密闭暂存，并可根据外部环境条件采取降温、防异味外溢和残液渗漏等措施，鼓励厨余垃圾资源化利用。</w:t>
      </w:r>
    </w:p>
    <w:p w14:paraId="6E824FA5">
      <w:pPr>
        <w:pStyle w:val="107"/>
        <w:spacing w:before="156" w:after="156"/>
        <w:rPr>
          <w:rFonts w:hint="eastAsia" w:ascii="宋体" w:hAnsi="Times New Roman" w:eastAsia="宋体" w:cs="Times New Roman"/>
          <w:color w:val="auto"/>
          <w:sz w:val="21"/>
          <w:highlight w:val="none"/>
          <w:lang w:val="en-US" w:eastAsia="zh-CN" w:bidi="ar-SA"/>
        </w:rPr>
      </w:pPr>
      <w:bookmarkStart w:id="54" w:name="_Toc29828"/>
      <w:r>
        <w:rPr>
          <w:rFonts w:hint="eastAsia" w:ascii="宋体" w:hAnsi="Times New Roman" w:eastAsia="宋体" w:cs="Times New Roman"/>
          <w:color w:val="auto"/>
          <w:sz w:val="21"/>
          <w:highlight w:val="none"/>
          <w:lang w:val="en-US" w:eastAsia="zh-CN" w:bidi="ar-SA"/>
        </w:rPr>
        <w:t>设置要求</w:t>
      </w:r>
      <w:bookmarkEnd w:id="54"/>
    </w:p>
    <w:p w14:paraId="7C8CA182">
      <w:pPr>
        <w:pStyle w:val="167"/>
      </w:pPr>
      <w:r>
        <w:rPr>
          <w:rFonts w:hint="eastAsia"/>
        </w:rPr>
        <w:t>办公类机构生活垃圾分类收集容器设置要求见表1。</w:t>
      </w:r>
    </w:p>
    <w:p w14:paraId="61263AC9">
      <w:pPr>
        <w:pStyle w:val="114"/>
        <w:spacing w:before="156" w:after="156"/>
        <w:rPr>
          <w:rFonts w:cs="宋体"/>
        </w:rPr>
      </w:pPr>
      <w:r>
        <w:rPr>
          <w:rFonts w:hint="eastAsia"/>
        </w:rPr>
        <w:t>办公类机构生活垃圾分类收集容器设置种类</w:t>
      </w:r>
    </w:p>
    <w:tbl>
      <w:tblPr>
        <w:tblStyle w:val="28"/>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975"/>
        <w:gridCol w:w="1701"/>
        <w:gridCol w:w="1559"/>
        <w:gridCol w:w="4099"/>
      </w:tblGrid>
      <w:tr w14:paraId="0792245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blHeader/>
          <w:jc w:val="center"/>
        </w:trPr>
        <w:tc>
          <w:tcPr>
            <w:tcW w:w="1975" w:type="dxa"/>
            <w:tcBorders>
              <w:top w:val="single" w:color="auto" w:sz="8" w:space="0"/>
              <w:bottom w:val="single" w:color="auto" w:sz="8" w:space="0"/>
            </w:tcBorders>
            <w:shd w:val="clear" w:color="auto" w:fill="auto"/>
            <w:vAlign w:val="center"/>
          </w:tcPr>
          <w:p w14:paraId="06D35A94">
            <w:pPr>
              <w:pStyle w:val="180"/>
            </w:pPr>
            <w:r>
              <w:rPr>
                <w:rFonts w:hint="eastAsia" w:hAnsi="宋体"/>
                <w:szCs w:val="18"/>
              </w:rPr>
              <w:t>序号</w:t>
            </w:r>
          </w:p>
        </w:tc>
        <w:tc>
          <w:tcPr>
            <w:tcW w:w="3260" w:type="dxa"/>
            <w:gridSpan w:val="2"/>
            <w:tcBorders>
              <w:top w:val="single" w:color="auto" w:sz="8" w:space="0"/>
              <w:bottom w:val="single" w:color="auto" w:sz="8" w:space="0"/>
            </w:tcBorders>
            <w:shd w:val="clear" w:color="auto" w:fill="auto"/>
            <w:vAlign w:val="center"/>
          </w:tcPr>
          <w:p w14:paraId="1B7B0924">
            <w:pPr>
              <w:pStyle w:val="180"/>
            </w:pPr>
            <w:r>
              <w:rPr>
                <w:rFonts w:hint="eastAsia" w:hAnsi="宋体"/>
                <w:szCs w:val="18"/>
              </w:rPr>
              <w:t>区域</w:t>
            </w:r>
          </w:p>
        </w:tc>
        <w:tc>
          <w:tcPr>
            <w:tcW w:w="4099" w:type="dxa"/>
            <w:tcBorders>
              <w:top w:val="single" w:color="auto" w:sz="8" w:space="0"/>
              <w:bottom w:val="single" w:color="auto" w:sz="8" w:space="0"/>
            </w:tcBorders>
            <w:shd w:val="clear" w:color="auto" w:fill="auto"/>
            <w:vAlign w:val="center"/>
          </w:tcPr>
          <w:p w14:paraId="5DF85EFA">
            <w:pPr>
              <w:pStyle w:val="180"/>
            </w:pPr>
            <w:r>
              <w:rPr>
                <w:rFonts w:hint="eastAsia" w:hAnsi="宋体"/>
                <w:szCs w:val="18"/>
              </w:rPr>
              <w:t>分类收集容器种类</w:t>
            </w:r>
          </w:p>
        </w:tc>
      </w:tr>
      <w:tr w14:paraId="1CCF91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tcBorders>
              <w:top w:val="single" w:color="auto" w:sz="8" w:space="0"/>
            </w:tcBorders>
            <w:shd w:val="clear" w:color="auto" w:fill="auto"/>
            <w:vAlign w:val="center"/>
          </w:tcPr>
          <w:p w14:paraId="66A5B863">
            <w:pPr>
              <w:pStyle w:val="180"/>
            </w:pPr>
            <w:r>
              <w:rPr>
                <w:rFonts w:hint="eastAsia" w:hAnsi="宋体"/>
                <w:szCs w:val="18"/>
              </w:rPr>
              <w:t>1</w:t>
            </w:r>
          </w:p>
        </w:tc>
        <w:tc>
          <w:tcPr>
            <w:tcW w:w="3260" w:type="dxa"/>
            <w:gridSpan w:val="2"/>
            <w:tcBorders>
              <w:top w:val="single" w:color="auto" w:sz="8" w:space="0"/>
            </w:tcBorders>
            <w:shd w:val="clear" w:color="auto" w:fill="auto"/>
            <w:vAlign w:val="center"/>
          </w:tcPr>
          <w:p w14:paraId="6B749559">
            <w:pPr>
              <w:pStyle w:val="180"/>
            </w:pPr>
            <w:r>
              <w:rPr>
                <w:rFonts w:hint="eastAsia" w:hAnsi="宋体"/>
                <w:szCs w:val="18"/>
              </w:rPr>
              <w:t>办公室、会议室等房间</w:t>
            </w:r>
          </w:p>
        </w:tc>
        <w:tc>
          <w:tcPr>
            <w:tcW w:w="4099" w:type="dxa"/>
            <w:tcBorders>
              <w:top w:val="single" w:color="auto" w:sz="8" w:space="0"/>
            </w:tcBorders>
            <w:shd w:val="clear" w:color="auto" w:fill="auto"/>
            <w:vAlign w:val="center"/>
          </w:tcPr>
          <w:p w14:paraId="24501187">
            <w:pPr>
              <w:pStyle w:val="180"/>
            </w:pPr>
            <w:r>
              <w:rPr>
                <w:rFonts w:hint="eastAsia" w:hAnsi="宋体"/>
                <w:szCs w:val="18"/>
              </w:rPr>
              <w:t>可回收物、其他垃圾</w:t>
            </w:r>
          </w:p>
        </w:tc>
      </w:tr>
      <w:tr w14:paraId="703946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jc w:val="center"/>
        </w:trPr>
        <w:tc>
          <w:tcPr>
            <w:tcW w:w="1975" w:type="dxa"/>
            <w:vMerge w:val="restart"/>
            <w:shd w:val="clear" w:color="auto" w:fill="auto"/>
            <w:vAlign w:val="center"/>
          </w:tcPr>
          <w:p w14:paraId="54A34E22">
            <w:pPr>
              <w:pStyle w:val="180"/>
            </w:pPr>
            <w:r>
              <w:rPr>
                <w:rFonts w:hint="eastAsia" w:hAnsi="宋体"/>
                <w:szCs w:val="18"/>
              </w:rPr>
              <w:t>2</w:t>
            </w:r>
          </w:p>
        </w:tc>
        <w:tc>
          <w:tcPr>
            <w:tcW w:w="1701" w:type="dxa"/>
            <w:vMerge w:val="restart"/>
            <w:shd w:val="clear" w:color="auto" w:fill="auto"/>
            <w:vAlign w:val="center"/>
          </w:tcPr>
          <w:p w14:paraId="003ED692">
            <w:pPr>
              <w:pStyle w:val="180"/>
            </w:pPr>
            <w:r>
              <w:rPr>
                <w:rFonts w:hint="eastAsia" w:hAnsi="宋体"/>
                <w:szCs w:val="18"/>
              </w:rPr>
              <w:t>公共区域</w:t>
            </w:r>
          </w:p>
        </w:tc>
        <w:tc>
          <w:tcPr>
            <w:tcW w:w="1559" w:type="dxa"/>
            <w:shd w:val="clear" w:color="auto" w:fill="auto"/>
            <w:vAlign w:val="center"/>
          </w:tcPr>
          <w:p w14:paraId="6D719A13">
            <w:pPr>
              <w:pStyle w:val="180"/>
            </w:pPr>
            <w:r>
              <w:rPr>
                <w:rFonts w:hint="eastAsia" w:hAnsi="宋体"/>
                <w:szCs w:val="18"/>
              </w:rPr>
              <w:t>室内</w:t>
            </w:r>
          </w:p>
        </w:tc>
        <w:tc>
          <w:tcPr>
            <w:tcW w:w="4099" w:type="dxa"/>
            <w:shd w:val="clear" w:color="auto" w:fill="auto"/>
            <w:vAlign w:val="center"/>
          </w:tcPr>
          <w:p w14:paraId="578D5680">
            <w:pPr>
              <w:pStyle w:val="180"/>
            </w:pPr>
            <w:r>
              <w:rPr>
                <w:rFonts w:hint="eastAsia" w:hAnsi="宋体"/>
                <w:szCs w:val="18"/>
              </w:rPr>
              <w:t>可回收物、其他垃圾、厨余垃圾（根据需要设置）</w:t>
            </w:r>
          </w:p>
        </w:tc>
      </w:tr>
      <w:tr w14:paraId="7F6F1A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vMerge w:val="continue"/>
            <w:shd w:val="clear" w:color="auto" w:fill="auto"/>
            <w:vAlign w:val="center"/>
          </w:tcPr>
          <w:p w14:paraId="337AC9D3">
            <w:pPr>
              <w:pStyle w:val="180"/>
            </w:pPr>
          </w:p>
        </w:tc>
        <w:tc>
          <w:tcPr>
            <w:tcW w:w="1701" w:type="dxa"/>
            <w:vMerge w:val="continue"/>
            <w:shd w:val="clear" w:color="auto" w:fill="auto"/>
            <w:vAlign w:val="center"/>
          </w:tcPr>
          <w:p w14:paraId="68DDEBA9">
            <w:pPr>
              <w:pStyle w:val="180"/>
            </w:pPr>
          </w:p>
        </w:tc>
        <w:tc>
          <w:tcPr>
            <w:tcW w:w="1559" w:type="dxa"/>
            <w:shd w:val="clear" w:color="auto" w:fill="auto"/>
            <w:vAlign w:val="center"/>
          </w:tcPr>
          <w:p w14:paraId="220C461E">
            <w:pPr>
              <w:pStyle w:val="180"/>
            </w:pPr>
            <w:r>
              <w:rPr>
                <w:rFonts w:hint="eastAsia" w:hAnsi="宋体"/>
                <w:szCs w:val="18"/>
              </w:rPr>
              <w:t>室外</w:t>
            </w:r>
          </w:p>
        </w:tc>
        <w:tc>
          <w:tcPr>
            <w:tcW w:w="4099" w:type="dxa"/>
            <w:shd w:val="clear" w:color="auto" w:fill="auto"/>
            <w:vAlign w:val="center"/>
          </w:tcPr>
          <w:p w14:paraId="5A2E941B">
            <w:pPr>
              <w:pStyle w:val="180"/>
            </w:pPr>
            <w:r>
              <w:rPr>
                <w:rFonts w:hint="eastAsia" w:hAnsi="宋体"/>
                <w:szCs w:val="18"/>
              </w:rPr>
              <w:t>可回收物、其他垃圾</w:t>
            </w:r>
          </w:p>
        </w:tc>
      </w:tr>
      <w:tr w14:paraId="505978A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shd w:val="clear" w:color="auto" w:fill="auto"/>
            <w:vAlign w:val="center"/>
          </w:tcPr>
          <w:p w14:paraId="4965D3D3">
            <w:pPr>
              <w:pStyle w:val="180"/>
            </w:pPr>
            <w:r>
              <w:rPr>
                <w:rFonts w:hint="eastAsia" w:hAnsi="宋体"/>
                <w:szCs w:val="18"/>
              </w:rPr>
              <w:t>3</w:t>
            </w:r>
          </w:p>
        </w:tc>
        <w:tc>
          <w:tcPr>
            <w:tcW w:w="3260" w:type="dxa"/>
            <w:gridSpan w:val="2"/>
            <w:shd w:val="clear" w:color="auto" w:fill="auto"/>
            <w:vAlign w:val="center"/>
          </w:tcPr>
          <w:p w14:paraId="16EB653A">
            <w:pPr>
              <w:pStyle w:val="180"/>
            </w:pPr>
            <w:r>
              <w:rPr>
                <w:rFonts w:hint="eastAsia" w:hAnsi="宋体"/>
                <w:szCs w:val="18"/>
              </w:rPr>
              <w:t>餐饮区</w:t>
            </w:r>
          </w:p>
        </w:tc>
        <w:tc>
          <w:tcPr>
            <w:tcW w:w="4099" w:type="dxa"/>
            <w:shd w:val="clear" w:color="auto" w:fill="auto"/>
            <w:vAlign w:val="center"/>
          </w:tcPr>
          <w:p w14:paraId="5EBBDC96">
            <w:pPr>
              <w:pStyle w:val="180"/>
            </w:pPr>
            <w:r>
              <w:rPr>
                <w:rFonts w:hint="eastAsia" w:hAnsi="宋体"/>
                <w:szCs w:val="18"/>
              </w:rPr>
              <w:t>可回收物、厨余垃圾、其他垃圾</w:t>
            </w:r>
          </w:p>
        </w:tc>
      </w:tr>
      <w:tr w14:paraId="5C3D61E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975" w:type="dxa"/>
            <w:tcBorders>
              <w:bottom w:val="single" w:color="auto" w:sz="8" w:space="0"/>
            </w:tcBorders>
            <w:shd w:val="clear" w:color="auto" w:fill="auto"/>
            <w:vAlign w:val="center"/>
          </w:tcPr>
          <w:p w14:paraId="2F6DB951">
            <w:pPr>
              <w:pStyle w:val="180"/>
            </w:pPr>
            <w:r>
              <w:rPr>
                <w:rFonts w:hint="eastAsia" w:hAnsi="宋体"/>
                <w:szCs w:val="18"/>
              </w:rPr>
              <w:t>4</w:t>
            </w:r>
          </w:p>
        </w:tc>
        <w:tc>
          <w:tcPr>
            <w:tcW w:w="3260" w:type="dxa"/>
            <w:gridSpan w:val="2"/>
            <w:tcBorders>
              <w:bottom w:val="single" w:color="auto" w:sz="8" w:space="0"/>
            </w:tcBorders>
            <w:shd w:val="clear" w:color="auto" w:fill="auto"/>
            <w:vAlign w:val="center"/>
          </w:tcPr>
          <w:p w14:paraId="0210EEDA">
            <w:pPr>
              <w:pStyle w:val="180"/>
            </w:pPr>
            <w:r>
              <w:rPr>
                <w:rFonts w:hint="eastAsia" w:hAnsi="宋体"/>
                <w:szCs w:val="18"/>
              </w:rPr>
              <w:t>分类垃圾收集点</w:t>
            </w:r>
          </w:p>
        </w:tc>
        <w:tc>
          <w:tcPr>
            <w:tcW w:w="4099" w:type="dxa"/>
            <w:tcBorders>
              <w:bottom w:val="single" w:color="auto" w:sz="8" w:space="0"/>
            </w:tcBorders>
            <w:shd w:val="clear" w:color="auto" w:fill="auto"/>
            <w:vAlign w:val="center"/>
          </w:tcPr>
          <w:p w14:paraId="5B7D9BBA">
            <w:pPr>
              <w:pStyle w:val="180"/>
            </w:pPr>
            <w:r>
              <w:rPr>
                <w:rFonts w:hint="eastAsia" w:hAnsi="宋体"/>
                <w:szCs w:val="18"/>
              </w:rPr>
              <w:t>可回收物、有害垃圾、厨余垃圾、其他垃圾</w:t>
            </w:r>
          </w:p>
        </w:tc>
      </w:tr>
    </w:tbl>
    <w:p w14:paraId="494E676D">
      <w:pPr>
        <w:pStyle w:val="167"/>
        <w:spacing w:before="312" w:beforeLines="100"/>
      </w:pPr>
      <w:r>
        <w:rPr>
          <w:rFonts w:hint="eastAsia"/>
        </w:rPr>
        <w:t>医疗类机构生活垃圾分类收集容器设置要求见表2。</w:t>
      </w:r>
    </w:p>
    <w:p w14:paraId="75976C0B">
      <w:pPr>
        <w:pStyle w:val="114"/>
        <w:spacing w:before="156" w:after="156"/>
      </w:pPr>
      <w:r>
        <w:rPr>
          <w:rFonts w:hint="eastAsia"/>
        </w:rPr>
        <w:t>医疗类机构生活垃圾分类收集容器设置种类</w:t>
      </w:r>
    </w:p>
    <w:tbl>
      <w:tblPr>
        <w:tblStyle w:val="27"/>
        <w:tblW w:w="95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2"/>
        <w:gridCol w:w="1880"/>
        <w:gridCol w:w="1880"/>
        <w:gridCol w:w="4978"/>
      </w:tblGrid>
      <w:tr w14:paraId="72C551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8" w:space="0"/>
              <w:left w:val="single" w:color="000000" w:sz="8" w:space="0"/>
              <w:bottom w:val="single" w:color="000000" w:sz="8" w:space="0"/>
              <w:right w:val="single" w:color="000000" w:sz="4" w:space="0"/>
            </w:tcBorders>
            <w:shd w:val="clear" w:color="auto" w:fill="auto"/>
            <w:vAlign w:val="center"/>
          </w:tcPr>
          <w:p w14:paraId="79274F14">
            <w:pPr>
              <w:pStyle w:val="180"/>
              <w:rPr>
                <w:rFonts w:hint="eastAsia" w:hAnsi="宋体"/>
                <w:szCs w:val="18"/>
              </w:rPr>
            </w:pPr>
            <w:r>
              <w:rPr>
                <w:rFonts w:hint="eastAsia" w:hAnsi="宋体"/>
                <w:szCs w:val="18"/>
              </w:rPr>
              <w:t>序号</w:t>
            </w:r>
          </w:p>
        </w:tc>
        <w:tc>
          <w:tcPr>
            <w:tcW w:w="3760" w:type="dxa"/>
            <w:gridSpan w:val="2"/>
            <w:tcBorders>
              <w:top w:val="single" w:color="000000" w:sz="8" w:space="0"/>
              <w:left w:val="single" w:color="000000" w:sz="4" w:space="0"/>
              <w:bottom w:val="single" w:color="000000" w:sz="8" w:space="0"/>
              <w:right w:val="single" w:color="000000" w:sz="4" w:space="0"/>
            </w:tcBorders>
            <w:shd w:val="clear" w:color="auto" w:fill="auto"/>
            <w:vAlign w:val="center"/>
          </w:tcPr>
          <w:p w14:paraId="40191260">
            <w:pPr>
              <w:pStyle w:val="180"/>
              <w:rPr>
                <w:rFonts w:hint="eastAsia" w:hAnsi="宋体"/>
                <w:szCs w:val="18"/>
              </w:rPr>
            </w:pPr>
            <w:r>
              <w:rPr>
                <w:rFonts w:hint="eastAsia" w:hAnsi="宋体"/>
                <w:szCs w:val="18"/>
              </w:rPr>
              <w:t>区域</w:t>
            </w:r>
          </w:p>
        </w:tc>
        <w:tc>
          <w:tcPr>
            <w:tcW w:w="4978" w:type="dxa"/>
            <w:tcBorders>
              <w:top w:val="single" w:color="000000" w:sz="8" w:space="0"/>
              <w:left w:val="single" w:color="000000" w:sz="4" w:space="0"/>
              <w:bottom w:val="single" w:color="000000" w:sz="8" w:space="0"/>
              <w:right w:val="single" w:color="000000" w:sz="8" w:space="0"/>
            </w:tcBorders>
            <w:shd w:val="clear" w:color="auto" w:fill="auto"/>
            <w:vAlign w:val="center"/>
          </w:tcPr>
          <w:p w14:paraId="692ABF5E">
            <w:pPr>
              <w:pStyle w:val="180"/>
              <w:rPr>
                <w:rFonts w:hint="eastAsia" w:hAnsi="宋体"/>
                <w:szCs w:val="18"/>
              </w:rPr>
            </w:pPr>
            <w:r>
              <w:rPr>
                <w:rFonts w:hint="eastAsia" w:hAnsi="宋体"/>
                <w:szCs w:val="18"/>
              </w:rPr>
              <w:t>分类收集容器种类</w:t>
            </w:r>
          </w:p>
        </w:tc>
      </w:tr>
      <w:tr w14:paraId="01B314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4" w:hRule="atLeast"/>
        </w:trPr>
        <w:tc>
          <w:tcPr>
            <w:tcW w:w="832" w:type="dxa"/>
            <w:tcBorders>
              <w:top w:val="single" w:color="000000" w:sz="8" w:space="0"/>
              <w:left w:val="single" w:color="000000" w:sz="8" w:space="0"/>
              <w:bottom w:val="single" w:color="000000" w:sz="4" w:space="0"/>
              <w:right w:val="single" w:color="000000" w:sz="4" w:space="0"/>
            </w:tcBorders>
            <w:shd w:val="clear" w:color="auto" w:fill="auto"/>
            <w:vAlign w:val="center"/>
          </w:tcPr>
          <w:p w14:paraId="324BAF8D">
            <w:pPr>
              <w:pStyle w:val="180"/>
              <w:rPr>
                <w:rFonts w:hint="eastAsia" w:hAnsi="宋体"/>
                <w:szCs w:val="18"/>
              </w:rPr>
            </w:pPr>
            <w:r>
              <w:rPr>
                <w:rFonts w:hint="eastAsia" w:hAnsi="宋体"/>
                <w:szCs w:val="18"/>
              </w:rPr>
              <w:t>1</w:t>
            </w:r>
          </w:p>
        </w:tc>
        <w:tc>
          <w:tcPr>
            <w:tcW w:w="3760" w:type="dxa"/>
            <w:gridSpan w:val="2"/>
            <w:tcBorders>
              <w:top w:val="single" w:color="000000" w:sz="8" w:space="0"/>
              <w:left w:val="single" w:color="000000" w:sz="4" w:space="0"/>
              <w:bottom w:val="single" w:color="000000" w:sz="4" w:space="0"/>
              <w:right w:val="single" w:color="000000" w:sz="4" w:space="0"/>
            </w:tcBorders>
            <w:shd w:val="clear" w:color="auto" w:fill="auto"/>
            <w:vAlign w:val="center"/>
          </w:tcPr>
          <w:p w14:paraId="435CEE04">
            <w:pPr>
              <w:pStyle w:val="180"/>
              <w:rPr>
                <w:rFonts w:hint="eastAsia" w:hAnsi="宋体"/>
                <w:szCs w:val="18"/>
              </w:rPr>
            </w:pPr>
            <w:r>
              <w:rPr>
                <w:rFonts w:hint="eastAsia" w:hAnsi="宋体"/>
                <w:szCs w:val="18"/>
              </w:rPr>
              <w:t>门诊、急诊、预防保健管理、临床科室、医技科室、医疗管理等房间</w:t>
            </w:r>
          </w:p>
        </w:tc>
        <w:tc>
          <w:tcPr>
            <w:tcW w:w="4978" w:type="dxa"/>
            <w:tcBorders>
              <w:top w:val="single" w:color="000000" w:sz="8" w:space="0"/>
              <w:left w:val="single" w:color="000000" w:sz="4" w:space="0"/>
              <w:bottom w:val="single" w:color="000000" w:sz="4" w:space="0"/>
              <w:right w:val="single" w:color="000000" w:sz="8" w:space="0"/>
            </w:tcBorders>
            <w:shd w:val="clear" w:color="auto" w:fill="auto"/>
            <w:vAlign w:val="center"/>
          </w:tcPr>
          <w:p w14:paraId="6AB992EB">
            <w:pPr>
              <w:pStyle w:val="180"/>
              <w:rPr>
                <w:rFonts w:hint="eastAsia" w:hAnsi="宋体"/>
                <w:szCs w:val="18"/>
              </w:rPr>
            </w:pPr>
            <w:r>
              <w:rPr>
                <w:rFonts w:hint="eastAsia" w:hAnsi="宋体"/>
                <w:szCs w:val="18"/>
              </w:rPr>
              <w:t>可回收物、其他垃圾</w:t>
            </w:r>
          </w:p>
        </w:tc>
      </w:tr>
      <w:tr w14:paraId="3EC829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vMerge w:val="restart"/>
            <w:tcBorders>
              <w:top w:val="nil"/>
              <w:left w:val="single" w:color="000000" w:sz="8" w:space="0"/>
              <w:bottom w:val="single" w:color="000000" w:sz="4" w:space="0"/>
              <w:right w:val="single" w:color="000000" w:sz="4" w:space="0"/>
            </w:tcBorders>
            <w:shd w:val="clear" w:color="auto" w:fill="auto"/>
            <w:vAlign w:val="center"/>
          </w:tcPr>
          <w:p w14:paraId="031A2FDD">
            <w:pPr>
              <w:pStyle w:val="180"/>
              <w:rPr>
                <w:rFonts w:hint="eastAsia" w:hAnsi="宋体"/>
                <w:szCs w:val="18"/>
              </w:rPr>
            </w:pPr>
            <w:r>
              <w:rPr>
                <w:rFonts w:hint="eastAsia" w:hAnsi="宋体"/>
                <w:szCs w:val="18"/>
              </w:rPr>
              <w:t>2</w:t>
            </w:r>
          </w:p>
        </w:tc>
        <w:tc>
          <w:tcPr>
            <w:tcW w:w="1880" w:type="dxa"/>
            <w:vMerge w:val="restart"/>
            <w:tcBorders>
              <w:top w:val="nil"/>
              <w:left w:val="single" w:color="000000" w:sz="4" w:space="0"/>
              <w:bottom w:val="single" w:color="000000" w:sz="4" w:space="0"/>
              <w:right w:val="single" w:color="000000" w:sz="4" w:space="0"/>
            </w:tcBorders>
            <w:shd w:val="clear" w:color="auto" w:fill="auto"/>
            <w:vAlign w:val="center"/>
          </w:tcPr>
          <w:p w14:paraId="1211530B">
            <w:pPr>
              <w:pStyle w:val="180"/>
              <w:rPr>
                <w:rFonts w:hint="eastAsia" w:hAnsi="宋体"/>
                <w:szCs w:val="18"/>
              </w:rPr>
            </w:pPr>
            <w:r>
              <w:rPr>
                <w:rFonts w:hint="eastAsia" w:hAnsi="宋体"/>
                <w:szCs w:val="18"/>
              </w:rPr>
              <w:t>公共区域</w:t>
            </w: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7A2976">
            <w:pPr>
              <w:pStyle w:val="180"/>
              <w:rPr>
                <w:rFonts w:hint="eastAsia" w:hAnsi="宋体"/>
                <w:szCs w:val="18"/>
              </w:rPr>
            </w:pPr>
            <w:r>
              <w:rPr>
                <w:rFonts w:hint="eastAsia" w:hAnsi="宋体"/>
                <w:szCs w:val="18"/>
              </w:rPr>
              <w:t>室内</w:t>
            </w:r>
          </w:p>
        </w:tc>
        <w:tc>
          <w:tcPr>
            <w:tcW w:w="497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D2C6396">
            <w:pPr>
              <w:pStyle w:val="180"/>
              <w:rPr>
                <w:rFonts w:hint="eastAsia" w:hAnsi="宋体"/>
                <w:szCs w:val="18"/>
              </w:rPr>
            </w:pPr>
            <w:r>
              <w:rPr>
                <w:rFonts w:hint="eastAsia" w:hAnsi="宋体"/>
                <w:szCs w:val="18"/>
              </w:rPr>
              <w:t>可回收物、有害垃圾、厨余垃圾、其他垃圾</w:t>
            </w:r>
          </w:p>
        </w:tc>
      </w:tr>
      <w:tr w14:paraId="4F8B3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vMerge w:val="continue"/>
            <w:tcBorders>
              <w:top w:val="nil"/>
              <w:left w:val="single" w:color="000000" w:sz="8" w:space="0"/>
              <w:bottom w:val="single" w:color="000000" w:sz="4" w:space="0"/>
              <w:right w:val="single" w:color="000000" w:sz="4" w:space="0"/>
            </w:tcBorders>
            <w:shd w:val="clear" w:color="auto" w:fill="auto"/>
            <w:vAlign w:val="center"/>
          </w:tcPr>
          <w:p w14:paraId="6E091170">
            <w:pPr>
              <w:pStyle w:val="180"/>
              <w:rPr>
                <w:rFonts w:hint="eastAsia" w:hAnsi="宋体"/>
                <w:szCs w:val="18"/>
              </w:rPr>
            </w:pPr>
          </w:p>
        </w:tc>
        <w:tc>
          <w:tcPr>
            <w:tcW w:w="1880" w:type="dxa"/>
            <w:vMerge w:val="continue"/>
            <w:tcBorders>
              <w:top w:val="nil"/>
              <w:left w:val="single" w:color="000000" w:sz="4" w:space="0"/>
              <w:bottom w:val="single" w:color="000000" w:sz="4" w:space="0"/>
              <w:right w:val="single" w:color="000000" w:sz="4" w:space="0"/>
            </w:tcBorders>
            <w:shd w:val="clear" w:color="auto" w:fill="auto"/>
            <w:vAlign w:val="center"/>
          </w:tcPr>
          <w:p w14:paraId="352D56F4">
            <w:pPr>
              <w:pStyle w:val="180"/>
              <w:rPr>
                <w:rFonts w:hint="eastAsia" w:hAnsi="宋体"/>
                <w:szCs w:val="18"/>
              </w:rPr>
            </w:pPr>
          </w:p>
        </w:tc>
        <w:tc>
          <w:tcPr>
            <w:tcW w:w="188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7C25EDB">
            <w:pPr>
              <w:pStyle w:val="180"/>
              <w:rPr>
                <w:rFonts w:hint="eastAsia" w:hAnsi="宋体"/>
                <w:szCs w:val="18"/>
              </w:rPr>
            </w:pPr>
            <w:r>
              <w:rPr>
                <w:rFonts w:hint="eastAsia" w:hAnsi="宋体"/>
                <w:szCs w:val="18"/>
              </w:rPr>
              <w:t>室外</w:t>
            </w:r>
          </w:p>
        </w:tc>
        <w:tc>
          <w:tcPr>
            <w:tcW w:w="4978" w:type="dxa"/>
            <w:tcBorders>
              <w:top w:val="single" w:color="000000" w:sz="4" w:space="0"/>
              <w:left w:val="single" w:color="000000" w:sz="4" w:space="0"/>
              <w:bottom w:val="single" w:color="000000" w:sz="4" w:space="0"/>
              <w:right w:val="single" w:color="000000" w:sz="8" w:space="0"/>
            </w:tcBorders>
            <w:shd w:val="clear" w:color="auto" w:fill="auto"/>
            <w:vAlign w:val="center"/>
          </w:tcPr>
          <w:p w14:paraId="50EAAB82">
            <w:pPr>
              <w:pStyle w:val="180"/>
              <w:rPr>
                <w:rFonts w:hint="eastAsia" w:hAnsi="宋体"/>
                <w:szCs w:val="18"/>
              </w:rPr>
            </w:pPr>
            <w:r>
              <w:rPr>
                <w:rFonts w:hint="eastAsia" w:hAnsi="宋体"/>
                <w:szCs w:val="18"/>
              </w:rPr>
              <w:t>可回收物、有害垃圾、厨余垃圾、其他垃圾</w:t>
            </w:r>
          </w:p>
        </w:tc>
      </w:tr>
      <w:tr w14:paraId="1095FD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12" w:space="0"/>
              <w:right w:val="single" w:color="000000" w:sz="4" w:space="0"/>
            </w:tcBorders>
            <w:shd w:val="clear" w:color="auto" w:fill="auto"/>
            <w:vAlign w:val="center"/>
          </w:tcPr>
          <w:p w14:paraId="36926B28">
            <w:pPr>
              <w:pStyle w:val="180"/>
              <w:rPr>
                <w:rFonts w:hint="eastAsia" w:hAnsi="宋体"/>
                <w:szCs w:val="18"/>
              </w:rPr>
            </w:pPr>
            <w:r>
              <w:rPr>
                <w:rFonts w:hint="eastAsia" w:hAnsi="宋体"/>
                <w:szCs w:val="18"/>
              </w:rPr>
              <w:t>3</w:t>
            </w:r>
          </w:p>
        </w:tc>
        <w:tc>
          <w:tcPr>
            <w:tcW w:w="3760" w:type="dxa"/>
            <w:gridSpan w:val="2"/>
            <w:tcBorders>
              <w:top w:val="single" w:color="000000" w:sz="4" w:space="0"/>
              <w:left w:val="single" w:color="000000" w:sz="4" w:space="0"/>
              <w:bottom w:val="single" w:color="000000" w:sz="12" w:space="0"/>
              <w:right w:val="single" w:color="000000" w:sz="4" w:space="0"/>
            </w:tcBorders>
            <w:shd w:val="clear" w:color="auto" w:fill="auto"/>
            <w:vAlign w:val="center"/>
          </w:tcPr>
          <w:p w14:paraId="035A66C6">
            <w:pPr>
              <w:pStyle w:val="180"/>
              <w:rPr>
                <w:rFonts w:hint="eastAsia" w:hAnsi="宋体"/>
                <w:szCs w:val="18"/>
              </w:rPr>
            </w:pPr>
            <w:r>
              <w:rPr>
                <w:rFonts w:hint="eastAsia" w:hAnsi="宋体"/>
                <w:szCs w:val="18"/>
              </w:rPr>
              <w:t>餐饮区</w:t>
            </w:r>
          </w:p>
        </w:tc>
        <w:tc>
          <w:tcPr>
            <w:tcW w:w="4978" w:type="dxa"/>
            <w:tcBorders>
              <w:top w:val="single" w:color="000000" w:sz="4" w:space="0"/>
              <w:left w:val="single" w:color="000000" w:sz="4" w:space="0"/>
              <w:bottom w:val="single" w:color="000000" w:sz="12" w:space="0"/>
              <w:right w:val="single" w:color="000000" w:sz="8" w:space="0"/>
            </w:tcBorders>
            <w:shd w:val="clear" w:color="auto" w:fill="auto"/>
            <w:vAlign w:val="center"/>
          </w:tcPr>
          <w:p w14:paraId="65911123">
            <w:pPr>
              <w:pStyle w:val="180"/>
              <w:rPr>
                <w:rFonts w:hint="eastAsia" w:hAnsi="宋体"/>
                <w:szCs w:val="18"/>
              </w:rPr>
            </w:pPr>
            <w:r>
              <w:rPr>
                <w:rFonts w:hint="eastAsia" w:hAnsi="宋体"/>
                <w:szCs w:val="18"/>
              </w:rPr>
              <w:t>可回收物、厨余垃圾、其他垃圾</w:t>
            </w:r>
          </w:p>
        </w:tc>
      </w:tr>
    </w:tbl>
    <w:p w14:paraId="5DCEF2FC">
      <w:pPr>
        <w:pStyle w:val="114"/>
        <w:numPr>
          <w:ilvl w:val="0"/>
          <w:numId w:val="0"/>
        </w:numPr>
        <w:spacing w:before="156" w:after="156"/>
        <w:ind w:leftChars="0"/>
        <w:jc w:val="center"/>
        <w:rPr>
          <w:color w:val="auto"/>
        </w:rPr>
      </w:pPr>
      <w:r>
        <w:rPr>
          <w:rFonts w:hint="eastAsia"/>
          <w:color w:val="auto"/>
          <w:lang w:val="en-US" w:eastAsia="zh-CN"/>
        </w:rPr>
        <w:t xml:space="preserve">表2  </w:t>
      </w:r>
      <w:r>
        <w:rPr>
          <w:rFonts w:hint="eastAsia"/>
          <w:color w:val="auto"/>
        </w:rPr>
        <w:t>医疗类机构生活垃圾分类收集容器设置种类</w:t>
      </w:r>
      <w:r>
        <w:rPr>
          <w:rFonts w:hint="eastAsia" w:ascii="宋体" w:hAnsi="宋体" w:eastAsia="宋体" w:cs="宋体"/>
          <w:color w:val="auto"/>
          <w:lang w:val="en-US" w:eastAsia="zh-CN"/>
        </w:rPr>
        <w:t>（续）</w:t>
      </w:r>
    </w:p>
    <w:tbl>
      <w:tblPr>
        <w:tblStyle w:val="27"/>
        <w:tblW w:w="957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2"/>
        <w:gridCol w:w="3760"/>
        <w:gridCol w:w="4978"/>
      </w:tblGrid>
      <w:tr w14:paraId="58D266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8" w:space="0"/>
              <w:left w:val="single" w:color="000000" w:sz="8" w:space="0"/>
              <w:bottom w:val="single" w:color="000000" w:sz="8" w:space="0"/>
              <w:right w:val="single" w:color="000000" w:sz="4" w:space="0"/>
            </w:tcBorders>
            <w:shd w:val="clear" w:color="auto" w:fill="auto"/>
            <w:vAlign w:val="center"/>
          </w:tcPr>
          <w:p w14:paraId="5B5689B1">
            <w:pPr>
              <w:pStyle w:val="180"/>
              <w:rPr>
                <w:rFonts w:hint="eastAsia" w:hAnsi="宋体"/>
                <w:color w:val="auto"/>
                <w:szCs w:val="18"/>
              </w:rPr>
            </w:pPr>
            <w:r>
              <w:rPr>
                <w:rFonts w:hint="eastAsia" w:hAnsi="宋体"/>
                <w:color w:val="auto"/>
                <w:szCs w:val="18"/>
              </w:rPr>
              <w:t>序号</w:t>
            </w:r>
          </w:p>
        </w:tc>
        <w:tc>
          <w:tcPr>
            <w:tcW w:w="3760" w:type="dxa"/>
            <w:tcBorders>
              <w:top w:val="single" w:color="000000" w:sz="8" w:space="0"/>
              <w:left w:val="single" w:color="000000" w:sz="4" w:space="0"/>
              <w:bottom w:val="single" w:color="000000" w:sz="8" w:space="0"/>
              <w:right w:val="single" w:color="000000" w:sz="4" w:space="0"/>
            </w:tcBorders>
            <w:shd w:val="clear" w:color="auto" w:fill="auto"/>
            <w:vAlign w:val="center"/>
          </w:tcPr>
          <w:p w14:paraId="6BBC583D">
            <w:pPr>
              <w:pStyle w:val="180"/>
              <w:rPr>
                <w:rFonts w:hint="eastAsia" w:hAnsi="宋体"/>
                <w:color w:val="auto"/>
                <w:szCs w:val="18"/>
              </w:rPr>
            </w:pPr>
            <w:r>
              <w:rPr>
                <w:rFonts w:hint="eastAsia" w:hAnsi="宋体"/>
                <w:color w:val="auto"/>
                <w:szCs w:val="18"/>
              </w:rPr>
              <w:t>区域</w:t>
            </w:r>
          </w:p>
        </w:tc>
        <w:tc>
          <w:tcPr>
            <w:tcW w:w="4978" w:type="dxa"/>
            <w:tcBorders>
              <w:top w:val="single" w:color="000000" w:sz="8" w:space="0"/>
              <w:left w:val="single" w:color="000000" w:sz="4" w:space="0"/>
              <w:bottom w:val="single" w:color="000000" w:sz="8" w:space="0"/>
              <w:right w:val="single" w:color="000000" w:sz="8" w:space="0"/>
            </w:tcBorders>
            <w:shd w:val="clear" w:color="auto" w:fill="auto"/>
            <w:vAlign w:val="center"/>
          </w:tcPr>
          <w:p w14:paraId="207C1501">
            <w:pPr>
              <w:pStyle w:val="180"/>
              <w:rPr>
                <w:rFonts w:hint="eastAsia" w:hAnsi="宋体"/>
                <w:color w:val="auto"/>
                <w:szCs w:val="18"/>
              </w:rPr>
            </w:pPr>
            <w:r>
              <w:rPr>
                <w:rFonts w:hint="eastAsia" w:hAnsi="宋体"/>
                <w:color w:val="auto"/>
                <w:szCs w:val="18"/>
              </w:rPr>
              <w:t>分类收集容器种类</w:t>
            </w:r>
          </w:p>
        </w:tc>
      </w:tr>
      <w:tr w14:paraId="5A5F3C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8" w:space="0"/>
              <w:right w:val="single" w:color="000000" w:sz="4" w:space="0"/>
            </w:tcBorders>
            <w:shd w:val="clear" w:color="auto" w:fill="auto"/>
            <w:vAlign w:val="center"/>
          </w:tcPr>
          <w:p w14:paraId="0C30F2AA">
            <w:pPr>
              <w:pStyle w:val="180"/>
              <w:rPr>
                <w:rFonts w:hint="eastAsia" w:hAnsi="宋体"/>
                <w:color w:val="auto"/>
                <w:szCs w:val="18"/>
              </w:rPr>
            </w:pPr>
            <w:r>
              <w:rPr>
                <w:rFonts w:hint="eastAsia" w:hAnsi="宋体"/>
                <w:color w:val="auto"/>
                <w:szCs w:val="18"/>
              </w:rPr>
              <w:t>4</w:t>
            </w:r>
          </w:p>
        </w:tc>
        <w:tc>
          <w:tcPr>
            <w:tcW w:w="3760" w:type="dxa"/>
            <w:tcBorders>
              <w:top w:val="single" w:color="000000" w:sz="4" w:space="0"/>
              <w:left w:val="single" w:color="000000" w:sz="4" w:space="0"/>
              <w:bottom w:val="single" w:color="000000" w:sz="8" w:space="0"/>
              <w:right w:val="single" w:color="000000" w:sz="4" w:space="0"/>
            </w:tcBorders>
            <w:shd w:val="clear" w:color="auto" w:fill="auto"/>
            <w:vAlign w:val="center"/>
          </w:tcPr>
          <w:p w14:paraId="4D21C891">
            <w:pPr>
              <w:pStyle w:val="180"/>
              <w:rPr>
                <w:rFonts w:hint="eastAsia" w:hAnsi="宋体"/>
                <w:color w:val="auto"/>
                <w:szCs w:val="18"/>
              </w:rPr>
            </w:pPr>
            <w:r>
              <w:rPr>
                <w:rFonts w:hint="eastAsia" w:hAnsi="宋体"/>
                <w:color w:val="auto"/>
                <w:szCs w:val="18"/>
              </w:rPr>
              <w:t>分类垃圾收集点</w:t>
            </w:r>
          </w:p>
        </w:tc>
        <w:tc>
          <w:tcPr>
            <w:tcW w:w="4978" w:type="dxa"/>
            <w:tcBorders>
              <w:top w:val="single" w:color="000000" w:sz="4" w:space="0"/>
              <w:left w:val="single" w:color="000000" w:sz="4" w:space="0"/>
              <w:bottom w:val="single" w:color="000000" w:sz="8" w:space="0"/>
              <w:right w:val="single" w:color="000000" w:sz="8" w:space="0"/>
            </w:tcBorders>
            <w:shd w:val="clear" w:color="auto" w:fill="auto"/>
            <w:vAlign w:val="center"/>
          </w:tcPr>
          <w:p w14:paraId="23F5131E">
            <w:pPr>
              <w:pStyle w:val="180"/>
              <w:rPr>
                <w:rFonts w:hint="eastAsia" w:hAnsi="宋体"/>
                <w:color w:val="auto"/>
                <w:szCs w:val="18"/>
              </w:rPr>
            </w:pPr>
            <w:r>
              <w:rPr>
                <w:rFonts w:hint="eastAsia" w:hAnsi="宋体"/>
                <w:color w:val="auto"/>
                <w:szCs w:val="18"/>
              </w:rPr>
              <w:t>可回收物、有害垃圾、厨余垃圾、其他垃圾</w:t>
            </w:r>
          </w:p>
        </w:tc>
      </w:tr>
    </w:tbl>
    <w:p w14:paraId="36E4C58A">
      <w:pPr>
        <w:pStyle w:val="167"/>
        <w:spacing w:before="312" w:beforeLines="100"/>
        <w:rPr>
          <w:rFonts w:hint="eastAsia" w:hAnsi="黑体"/>
        </w:rPr>
      </w:pPr>
      <w:r>
        <w:rPr>
          <w:rFonts w:hint="eastAsia"/>
        </w:rPr>
        <w:t>教育类机构生活垃圾分类收集容器设置要求见表3。</w:t>
      </w:r>
    </w:p>
    <w:p w14:paraId="257AE183">
      <w:pPr>
        <w:pStyle w:val="114"/>
        <w:spacing w:before="156" w:after="156"/>
      </w:pPr>
      <w:r>
        <w:rPr>
          <w:rFonts w:hint="eastAsia"/>
        </w:rPr>
        <w:t>教育类机构生活垃圾分类收集容器设置种类</w:t>
      </w:r>
    </w:p>
    <w:tbl>
      <w:tblPr>
        <w:tblStyle w:val="2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2"/>
        <w:gridCol w:w="1880"/>
        <w:gridCol w:w="1880"/>
        <w:gridCol w:w="4978"/>
      </w:tblGrid>
      <w:tr w14:paraId="1DDCFF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8" w:space="0"/>
              <w:left w:val="single" w:color="000000" w:sz="8" w:space="0"/>
              <w:bottom w:val="single" w:color="000000" w:sz="8" w:space="0"/>
              <w:right w:val="single" w:color="000000" w:sz="4" w:space="0"/>
            </w:tcBorders>
            <w:vAlign w:val="center"/>
          </w:tcPr>
          <w:p w14:paraId="1E41A4E9">
            <w:pPr>
              <w:pStyle w:val="180"/>
              <w:rPr>
                <w:rFonts w:hint="eastAsia" w:hAnsi="宋体"/>
                <w:szCs w:val="18"/>
              </w:rPr>
            </w:pPr>
            <w:r>
              <w:rPr>
                <w:rFonts w:hint="eastAsia" w:hAnsi="宋体"/>
                <w:szCs w:val="18"/>
              </w:rPr>
              <w:t>序号</w:t>
            </w:r>
          </w:p>
        </w:tc>
        <w:tc>
          <w:tcPr>
            <w:tcW w:w="3760" w:type="dxa"/>
            <w:gridSpan w:val="2"/>
            <w:tcBorders>
              <w:top w:val="single" w:color="000000" w:sz="8" w:space="0"/>
              <w:left w:val="single" w:color="000000" w:sz="4" w:space="0"/>
              <w:bottom w:val="single" w:color="000000" w:sz="8" w:space="0"/>
              <w:right w:val="single" w:color="000000" w:sz="4" w:space="0"/>
            </w:tcBorders>
            <w:vAlign w:val="center"/>
          </w:tcPr>
          <w:p w14:paraId="133507D3">
            <w:pPr>
              <w:pStyle w:val="180"/>
              <w:rPr>
                <w:rFonts w:hint="eastAsia" w:hAnsi="宋体"/>
                <w:szCs w:val="18"/>
              </w:rPr>
            </w:pPr>
            <w:r>
              <w:rPr>
                <w:rFonts w:hint="eastAsia" w:hAnsi="宋体"/>
                <w:szCs w:val="18"/>
              </w:rPr>
              <w:t>区域</w:t>
            </w:r>
          </w:p>
        </w:tc>
        <w:tc>
          <w:tcPr>
            <w:tcW w:w="4978" w:type="dxa"/>
            <w:tcBorders>
              <w:top w:val="single" w:color="000000" w:sz="8" w:space="0"/>
              <w:left w:val="single" w:color="000000" w:sz="4" w:space="0"/>
              <w:bottom w:val="single" w:color="000000" w:sz="8" w:space="0"/>
              <w:right w:val="single" w:color="000000" w:sz="8" w:space="0"/>
            </w:tcBorders>
            <w:vAlign w:val="center"/>
          </w:tcPr>
          <w:p w14:paraId="124FDAB7">
            <w:pPr>
              <w:pStyle w:val="180"/>
              <w:rPr>
                <w:rFonts w:hint="eastAsia" w:hAnsi="宋体"/>
                <w:szCs w:val="18"/>
              </w:rPr>
            </w:pPr>
            <w:r>
              <w:rPr>
                <w:rFonts w:hint="eastAsia" w:hAnsi="宋体"/>
                <w:szCs w:val="18"/>
              </w:rPr>
              <w:t>分类收集容器种类</w:t>
            </w:r>
          </w:p>
        </w:tc>
      </w:tr>
      <w:tr w14:paraId="5D3C6B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8" w:space="0"/>
              <w:left w:val="single" w:color="000000" w:sz="8" w:space="0"/>
              <w:bottom w:val="single" w:color="000000" w:sz="4" w:space="0"/>
              <w:right w:val="single" w:color="000000" w:sz="4" w:space="0"/>
            </w:tcBorders>
            <w:vAlign w:val="center"/>
          </w:tcPr>
          <w:p w14:paraId="2D90407B">
            <w:pPr>
              <w:pStyle w:val="180"/>
              <w:rPr>
                <w:rFonts w:hint="eastAsia" w:hAnsi="宋体"/>
                <w:szCs w:val="18"/>
              </w:rPr>
            </w:pPr>
            <w:r>
              <w:rPr>
                <w:rFonts w:hint="eastAsia" w:hAnsi="宋体"/>
                <w:szCs w:val="18"/>
              </w:rPr>
              <w:t>1</w:t>
            </w:r>
          </w:p>
        </w:tc>
        <w:tc>
          <w:tcPr>
            <w:tcW w:w="3760" w:type="dxa"/>
            <w:gridSpan w:val="2"/>
            <w:tcBorders>
              <w:top w:val="single" w:color="000000" w:sz="8" w:space="0"/>
              <w:left w:val="single" w:color="000000" w:sz="4" w:space="0"/>
              <w:bottom w:val="single" w:color="000000" w:sz="4" w:space="0"/>
              <w:right w:val="single" w:color="000000" w:sz="4" w:space="0"/>
            </w:tcBorders>
            <w:vAlign w:val="center"/>
          </w:tcPr>
          <w:p w14:paraId="789BB5D4">
            <w:pPr>
              <w:pStyle w:val="180"/>
              <w:rPr>
                <w:rFonts w:hint="eastAsia" w:hAnsi="宋体"/>
                <w:szCs w:val="18"/>
              </w:rPr>
            </w:pPr>
            <w:r>
              <w:rPr>
                <w:rFonts w:hint="eastAsia" w:hAnsi="宋体"/>
                <w:szCs w:val="18"/>
              </w:rPr>
              <w:t>办公室、教室、会议室等房间</w:t>
            </w:r>
          </w:p>
        </w:tc>
        <w:tc>
          <w:tcPr>
            <w:tcW w:w="4978" w:type="dxa"/>
            <w:tcBorders>
              <w:top w:val="single" w:color="000000" w:sz="8" w:space="0"/>
              <w:left w:val="single" w:color="000000" w:sz="4" w:space="0"/>
              <w:bottom w:val="single" w:color="000000" w:sz="4" w:space="0"/>
              <w:right w:val="single" w:color="000000" w:sz="8" w:space="0"/>
            </w:tcBorders>
            <w:vAlign w:val="center"/>
          </w:tcPr>
          <w:p w14:paraId="401659A9">
            <w:pPr>
              <w:pStyle w:val="180"/>
              <w:rPr>
                <w:rFonts w:hint="eastAsia" w:hAnsi="宋体"/>
                <w:szCs w:val="18"/>
              </w:rPr>
            </w:pPr>
            <w:r>
              <w:rPr>
                <w:rFonts w:hint="eastAsia" w:hAnsi="宋体"/>
                <w:szCs w:val="18"/>
              </w:rPr>
              <w:t>可回收物、厨余垃圾、其他垃圾</w:t>
            </w:r>
          </w:p>
        </w:tc>
      </w:tr>
      <w:tr w14:paraId="6E879B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4" w:space="0"/>
              <w:right w:val="single" w:color="000000" w:sz="4" w:space="0"/>
            </w:tcBorders>
            <w:vAlign w:val="center"/>
          </w:tcPr>
          <w:p w14:paraId="1FC483B4">
            <w:pPr>
              <w:pStyle w:val="180"/>
              <w:rPr>
                <w:rFonts w:hint="eastAsia" w:hAnsi="宋体"/>
                <w:szCs w:val="18"/>
              </w:rPr>
            </w:pPr>
            <w:r>
              <w:rPr>
                <w:rFonts w:hint="eastAsia" w:hAnsi="宋体"/>
                <w:szCs w:val="18"/>
              </w:rPr>
              <w:t>2</w:t>
            </w:r>
          </w:p>
        </w:tc>
        <w:tc>
          <w:tcPr>
            <w:tcW w:w="3760" w:type="dxa"/>
            <w:gridSpan w:val="2"/>
            <w:tcBorders>
              <w:top w:val="single" w:color="000000" w:sz="4" w:space="0"/>
              <w:left w:val="single" w:color="000000" w:sz="4" w:space="0"/>
              <w:bottom w:val="single" w:color="000000" w:sz="4" w:space="0"/>
              <w:right w:val="single" w:color="000000" w:sz="4" w:space="0"/>
            </w:tcBorders>
            <w:vAlign w:val="center"/>
          </w:tcPr>
          <w:p w14:paraId="725A465F">
            <w:pPr>
              <w:pStyle w:val="180"/>
              <w:rPr>
                <w:rFonts w:hint="eastAsia" w:hAnsi="宋体"/>
                <w:szCs w:val="18"/>
              </w:rPr>
            </w:pPr>
            <w:r>
              <w:rPr>
                <w:rFonts w:hint="eastAsia" w:hAnsi="宋体"/>
                <w:szCs w:val="18"/>
              </w:rPr>
              <w:t>宿舍</w:t>
            </w:r>
          </w:p>
        </w:tc>
        <w:tc>
          <w:tcPr>
            <w:tcW w:w="4978" w:type="dxa"/>
            <w:tcBorders>
              <w:top w:val="single" w:color="000000" w:sz="4" w:space="0"/>
              <w:left w:val="single" w:color="000000" w:sz="4" w:space="0"/>
              <w:bottom w:val="single" w:color="000000" w:sz="4" w:space="0"/>
              <w:right w:val="single" w:color="000000" w:sz="8" w:space="0"/>
            </w:tcBorders>
            <w:vAlign w:val="center"/>
          </w:tcPr>
          <w:p w14:paraId="1860A125">
            <w:pPr>
              <w:pStyle w:val="180"/>
              <w:rPr>
                <w:rFonts w:hint="eastAsia" w:hAnsi="宋体"/>
                <w:szCs w:val="18"/>
              </w:rPr>
            </w:pPr>
            <w:r>
              <w:rPr>
                <w:rFonts w:hint="eastAsia" w:hAnsi="宋体"/>
                <w:szCs w:val="18"/>
              </w:rPr>
              <w:t>可回收物、厨余垃圾、其他垃圾</w:t>
            </w:r>
          </w:p>
        </w:tc>
      </w:tr>
      <w:tr w14:paraId="6E671C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vMerge w:val="restart"/>
            <w:tcBorders>
              <w:top w:val="single" w:color="000000" w:sz="4" w:space="0"/>
              <w:left w:val="single" w:color="000000" w:sz="8" w:space="0"/>
              <w:bottom w:val="single" w:color="000000" w:sz="4" w:space="0"/>
              <w:right w:val="single" w:color="000000" w:sz="4" w:space="0"/>
            </w:tcBorders>
            <w:vAlign w:val="center"/>
          </w:tcPr>
          <w:p w14:paraId="214BB5A2">
            <w:pPr>
              <w:pStyle w:val="180"/>
              <w:rPr>
                <w:rFonts w:hint="eastAsia" w:hAnsi="宋体"/>
                <w:szCs w:val="18"/>
              </w:rPr>
            </w:pPr>
            <w:r>
              <w:rPr>
                <w:rFonts w:hint="eastAsia" w:hAnsi="宋体"/>
                <w:szCs w:val="18"/>
              </w:rPr>
              <w:t>3</w:t>
            </w: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14:paraId="605F8040">
            <w:pPr>
              <w:pStyle w:val="180"/>
              <w:rPr>
                <w:rFonts w:hint="eastAsia" w:hAnsi="宋体"/>
                <w:szCs w:val="18"/>
              </w:rPr>
            </w:pPr>
            <w:r>
              <w:rPr>
                <w:rFonts w:hint="eastAsia" w:hAnsi="宋体"/>
                <w:szCs w:val="18"/>
              </w:rPr>
              <w:t>公共区域</w:t>
            </w:r>
          </w:p>
        </w:tc>
        <w:tc>
          <w:tcPr>
            <w:tcW w:w="1880" w:type="dxa"/>
            <w:tcBorders>
              <w:top w:val="single" w:color="000000" w:sz="4" w:space="0"/>
              <w:left w:val="single" w:color="000000" w:sz="4" w:space="0"/>
              <w:bottom w:val="single" w:color="000000" w:sz="4" w:space="0"/>
              <w:right w:val="single" w:color="000000" w:sz="4" w:space="0"/>
            </w:tcBorders>
            <w:vAlign w:val="center"/>
          </w:tcPr>
          <w:p w14:paraId="16BBAB4F">
            <w:pPr>
              <w:pStyle w:val="180"/>
              <w:rPr>
                <w:rFonts w:hint="eastAsia" w:hAnsi="宋体"/>
                <w:szCs w:val="18"/>
              </w:rPr>
            </w:pPr>
            <w:r>
              <w:rPr>
                <w:rFonts w:hint="eastAsia" w:hAnsi="宋体"/>
                <w:szCs w:val="18"/>
              </w:rPr>
              <w:t>室内</w:t>
            </w:r>
          </w:p>
        </w:tc>
        <w:tc>
          <w:tcPr>
            <w:tcW w:w="4978" w:type="dxa"/>
            <w:tcBorders>
              <w:top w:val="single" w:color="000000" w:sz="4" w:space="0"/>
              <w:left w:val="single" w:color="000000" w:sz="4" w:space="0"/>
              <w:bottom w:val="single" w:color="000000" w:sz="4" w:space="0"/>
              <w:right w:val="single" w:color="000000" w:sz="8" w:space="0"/>
            </w:tcBorders>
            <w:vAlign w:val="center"/>
          </w:tcPr>
          <w:p w14:paraId="66FB8689">
            <w:pPr>
              <w:pStyle w:val="180"/>
              <w:rPr>
                <w:rFonts w:hint="eastAsia" w:hAnsi="宋体"/>
                <w:szCs w:val="18"/>
              </w:rPr>
            </w:pPr>
            <w:r>
              <w:rPr>
                <w:rFonts w:hint="eastAsia" w:hAnsi="宋体"/>
                <w:szCs w:val="18"/>
              </w:rPr>
              <w:t>可回收物、厨余垃圾、其他垃圾</w:t>
            </w:r>
          </w:p>
        </w:tc>
      </w:tr>
      <w:tr w14:paraId="6669CC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vMerge w:val="continue"/>
            <w:tcBorders>
              <w:top w:val="single" w:color="000000" w:sz="4" w:space="0"/>
              <w:left w:val="single" w:color="000000" w:sz="8" w:space="0"/>
              <w:bottom w:val="single" w:color="000000" w:sz="4" w:space="0"/>
              <w:right w:val="single" w:color="000000" w:sz="4" w:space="0"/>
            </w:tcBorders>
            <w:vAlign w:val="center"/>
          </w:tcPr>
          <w:p w14:paraId="188BF787">
            <w:pPr>
              <w:pStyle w:val="180"/>
              <w:rPr>
                <w:rFonts w:hint="eastAsia" w:hAnsi="宋体"/>
                <w:szCs w:val="18"/>
              </w:rPr>
            </w:pPr>
          </w:p>
        </w:tc>
        <w:tc>
          <w:tcPr>
            <w:tcW w:w="3760" w:type="dxa"/>
            <w:vMerge w:val="continue"/>
            <w:tcBorders>
              <w:top w:val="single" w:color="000000" w:sz="4" w:space="0"/>
              <w:left w:val="single" w:color="000000" w:sz="4" w:space="0"/>
              <w:bottom w:val="single" w:color="000000" w:sz="4" w:space="0"/>
              <w:right w:val="single" w:color="000000" w:sz="4" w:space="0"/>
            </w:tcBorders>
            <w:vAlign w:val="center"/>
          </w:tcPr>
          <w:p w14:paraId="3BB00CCF">
            <w:pPr>
              <w:pStyle w:val="180"/>
              <w:rPr>
                <w:rFonts w:hint="eastAsia" w:hAnsi="宋体"/>
                <w:szCs w:val="18"/>
              </w:rPr>
            </w:pPr>
          </w:p>
        </w:tc>
        <w:tc>
          <w:tcPr>
            <w:tcW w:w="1880" w:type="dxa"/>
            <w:tcBorders>
              <w:top w:val="single" w:color="000000" w:sz="4" w:space="0"/>
              <w:left w:val="single" w:color="000000" w:sz="4" w:space="0"/>
              <w:bottom w:val="single" w:color="000000" w:sz="4" w:space="0"/>
              <w:right w:val="single" w:color="000000" w:sz="4" w:space="0"/>
            </w:tcBorders>
            <w:vAlign w:val="center"/>
          </w:tcPr>
          <w:p w14:paraId="0FA091D5">
            <w:pPr>
              <w:pStyle w:val="180"/>
              <w:rPr>
                <w:rFonts w:hint="eastAsia" w:hAnsi="宋体"/>
                <w:szCs w:val="18"/>
              </w:rPr>
            </w:pPr>
            <w:r>
              <w:rPr>
                <w:rFonts w:hint="eastAsia" w:hAnsi="宋体"/>
                <w:szCs w:val="18"/>
              </w:rPr>
              <w:t>室外</w:t>
            </w:r>
          </w:p>
        </w:tc>
        <w:tc>
          <w:tcPr>
            <w:tcW w:w="4978" w:type="dxa"/>
            <w:tcBorders>
              <w:top w:val="single" w:color="000000" w:sz="4" w:space="0"/>
              <w:left w:val="single" w:color="000000" w:sz="4" w:space="0"/>
              <w:bottom w:val="single" w:color="000000" w:sz="4" w:space="0"/>
              <w:right w:val="single" w:color="000000" w:sz="8" w:space="0"/>
            </w:tcBorders>
            <w:vAlign w:val="center"/>
          </w:tcPr>
          <w:p w14:paraId="1DEF631C">
            <w:pPr>
              <w:pStyle w:val="180"/>
              <w:rPr>
                <w:rFonts w:hint="eastAsia" w:hAnsi="宋体"/>
                <w:szCs w:val="18"/>
              </w:rPr>
            </w:pPr>
            <w:r>
              <w:rPr>
                <w:rFonts w:hint="eastAsia" w:hAnsi="宋体"/>
                <w:szCs w:val="18"/>
              </w:rPr>
              <w:t>可回收物、厨余垃圾、其他垃圾</w:t>
            </w:r>
          </w:p>
        </w:tc>
      </w:tr>
      <w:tr w14:paraId="5BF50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4" w:space="0"/>
              <w:right w:val="single" w:color="000000" w:sz="4" w:space="0"/>
            </w:tcBorders>
            <w:vAlign w:val="center"/>
          </w:tcPr>
          <w:p w14:paraId="3A8B0DB4">
            <w:pPr>
              <w:pStyle w:val="180"/>
              <w:rPr>
                <w:rFonts w:hint="eastAsia" w:hAnsi="宋体"/>
                <w:szCs w:val="18"/>
              </w:rPr>
            </w:pPr>
            <w:r>
              <w:rPr>
                <w:rFonts w:hint="eastAsia" w:hAnsi="宋体"/>
                <w:szCs w:val="18"/>
              </w:rPr>
              <w:t>4</w:t>
            </w:r>
          </w:p>
        </w:tc>
        <w:tc>
          <w:tcPr>
            <w:tcW w:w="3760" w:type="dxa"/>
            <w:gridSpan w:val="2"/>
            <w:tcBorders>
              <w:top w:val="single" w:color="000000" w:sz="4" w:space="0"/>
              <w:left w:val="single" w:color="000000" w:sz="4" w:space="0"/>
              <w:bottom w:val="single" w:color="000000" w:sz="4" w:space="0"/>
              <w:right w:val="single" w:color="000000" w:sz="4" w:space="0"/>
            </w:tcBorders>
            <w:vAlign w:val="center"/>
          </w:tcPr>
          <w:p w14:paraId="69FF8C53">
            <w:pPr>
              <w:pStyle w:val="180"/>
              <w:rPr>
                <w:rFonts w:hint="eastAsia" w:hAnsi="宋体"/>
                <w:szCs w:val="18"/>
              </w:rPr>
            </w:pPr>
            <w:r>
              <w:rPr>
                <w:rFonts w:hint="eastAsia" w:hAnsi="宋体"/>
                <w:szCs w:val="18"/>
              </w:rPr>
              <w:t>餐饮区</w:t>
            </w:r>
          </w:p>
        </w:tc>
        <w:tc>
          <w:tcPr>
            <w:tcW w:w="4978" w:type="dxa"/>
            <w:tcBorders>
              <w:top w:val="single" w:color="000000" w:sz="4" w:space="0"/>
              <w:left w:val="single" w:color="000000" w:sz="4" w:space="0"/>
              <w:bottom w:val="single" w:color="000000" w:sz="4" w:space="0"/>
              <w:right w:val="single" w:color="000000" w:sz="8" w:space="0"/>
            </w:tcBorders>
            <w:vAlign w:val="center"/>
          </w:tcPr>
          <w:p w14:paraId="2D838EE9">
            <w:pPr>
              <w:pStyle w:val="180"/>
              <w:rPr>
                <w:rFonts w:hint="eastAsia" w:hAnsi="宋体"/>
                <w:szCs w:val="18"/>
              </w:rPr>
            </w:pPr>
            <w:r>
              <w:rPr>
                <w:rFonts w:hint="eastAsia" w:hAnsi="宋体"/>
                <w:szCs w:val="18"/>
              </w:rPr>
              <w:t>可回收物、厨余垃圾、其他垃圾</w:t>
            </w:r>
          </w:p>
        </w:tc>
      </w:tr>
      <w:tr w14:paraId="503E10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8" w:space="0"/>
              <w:right w:val="single" w:color="000000" w:sz="4" w:space="0"/>
            </w:tcBorders>
            <w:vAlign w:val="center"/>
          </w:tcPr>
          <w:p w14:paraId="0D5CD90F">
            <w:pPr>
              <w:pStyle w:val="180"/>
              <w:rPr>
                <w:rFonts w:hint="eastAsia" w:hAnsi="宋体"/>
                <w:szCs w:val="18"/>
              </w:rPr>
            </w:pPr>
            <w:r>
              <w:rPr>
                <w:rFonts w:hint="eastAsia" w:hAnsi="宋体"/>
                <w:szCs w:val="18"/>
              </w:rPr>
              <w:t>5</w:t>
            </w:r>
          </w:p>
        </w:tc>
        <w:tc>
          <w:tcPr>
            <w:tcW w:w="3760" w:type="dxa"/>
            <w:gridSpan w:val="2"/>
            <w:tcBorders>
              <w:top w:val="single" w:color="000000" w:sz="4" w:space="0"/>
              <w:left w:val="single" w:color="000000" w:sz="4" w:space="0"/>
              <w:bottom w:val="single" w:color="000000" w:sz="8" w:space="0"/>
              <w:right w:val="single" w:color="000000" w:sz="4" w:space="0"/>
            </w:tcBorders>
            <w:vAlign w:val="center"/>
          </w:tcPr>
          <w:p w14:paraId="04AC4B19">
            <w:pPr>
              <w:pStyle w:val="180"/>
              <w:rPr>
                <w:rFonts w:hint="eastAsia" w:hAnsi="宋体"/>
                <w:szCs w:val="18"/>
              </w:rPr>
            </w:pPr>
            <w:r>
              <w:rPr>
                <w:rFonts w:hint="eastAsia" w:hAnsi="宋体"/>
                <w:szCs w:val="18"/>
              </w:rPr>
              <w:t>分类垃圾收集点</w:t>
            </w:r>
          </w:p>
        </w:tc>
        <w:tc>
          <w:tcPr>
            <w:tcW w:w="4978" w:type="dxa"/>
            <w:tcBorders>
              <w:top w:val="single" w:color="000000" w:sz="4" w:space="0"/>
              <w:left w:val="single" w:color="000000" w:sz="4" w:space="0"/>
              <w:bottom w:val="single" w:color="000000" w:sz="8" w:space="0"/>
              <w:right w:val="single" w:color="000000" w:sz="8" w:space="0"/>
            </w:tcBorders>
            <w:vAlign w:val="center"/>
          </w:tcPr>
          <w:p w14:paraId="74FE0A1F">
            <w:pPr>
              <w:pStyle w:val="180"/>
              <w:rPr>
                <w:rFonts w:hint="eastAsia" w:hAnsi="宋体"/>
                <w:szCs w:val="18"/>
              </w:rPr>
            </w:pPr>
            <w:r>
              <w:rPr>
                <w:rFonts w:hint="eastAsia" w:hAnsi="宋体"/>
                <w:szCs w:val="18"/>
              </w:rPr>
              <w:t>可回收物、有害垃圾、厨余垃圾、其他垃圾</w:t>
            </w:r>
          </w:p>
        </w:tc>
      </w:tr>
    </w:tbl>
    <w:p w14:paraId="6059371A">
      <w:pPr>
        <w:pStyle w:val="167"/>
        <w:spacing w:before="312" w:beforeLines="100"/>
      </w:pPr>
      <w:r>
        <w:rPr>
          <w:rFonts w:hint="eastAsia"/>
        </w:rPr>
        <w:t>场馆类机构生活垃圾分类收集容器设置要求见表4。</w:t>
      </w:r>
    </w:p>
    <w:p w14:paraId="27F6702D">
      <w:pPr>
        <w:pStyle w:val="114"/>
        <w:spacing w:before="156" w:after="156"/>
      </w:pPr>
      <w:r>
        <w:rPr>
          <w:rFonts w:hint="eastAsia"/>
        </w:rPr>
        <w:t>场馆类机构生活垃圾分类收集容器设置种类</w:t>
      </w:r>
    </w:p>
    <w:tbl>
      <w:tblPr>
        <w:tblStyle w:val="27"/>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32"/>
        <w:gridCol w:w="1880"/>
        <w:gridCol w:w="1880"/>
        <w:gridCol w:w="4978"/>
      </w:tblGrid>
      <w:tr w14:paraId="0CF506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8" w:space="0"/>
              <w:left w:val="single" w:color="000000" w:sz="8" w:space="0"/>
              <w:bottom w:val="single" w:color="000000" w:sz="8" w:space="0"/>
              <w:right w:val="single" w:color="000000" w:sz="4" w:space="0"/>
            </w:tcBorders>
            <w:vAlign w:val="center"/>
          </w:tcPr>
          <w:p w14:paraId="45F9BD9F">
            <w:pPr>
              <w:pStyle w:val="180"/>
              <w:rPr>
                <w:rFonts w:hint="eastAsia" w:hAnsi="宋体"/>
                <w:szCs w:val="18"/>
              </w:rPr>
            </w:pPr>
            <w:r>
              <w:rPr>
                <w:rFonts w:hint="eastAsia" w:hAnsi="宋体"/>
                <w:szCs w:val="18"/>
              </w:rPr>
              <w:t>序号</w:t>
            </w:r>
          </w:p>
        </w:tc>
        <w:tc>
          <w:tcPr>
            <w:tcW w:w="3760" w:type="dxa"/>
            <w:gridSpan w:val="2"/>
            <w:tcBorders>
              <w:top w:val="single" w:color="000000" w:sz="8" w:space="0"/>
              <w:left w:val="single" w:color="000000" w:sz="4" w:space="0"/>
              <w:bottom w:val="single" w:color="000000" w:sz="8" w:space="0"/>
              <w:right w:val="single" w:color="000000" w:sz="4" w:space="0"/>
            </w:tcBorders>
            <w:vAlign w:val="center"/>
          </w:tcPr>
          <w:p w14:paraId="45048344">
            <w:pPr>
              <w:pStyle w:val="180"/>
              <w:rPr>
                <w:rFonts w:hint="eastAsia" w:hAnsi="宋体"/>
                <w:szCs w:val="18"/>
              </w:rPr>
            </w:pPr>
            <w:r>
              <w:rPr>
                <w:rFonts w:hint="eastAsia" w:hAnsi="宋体"/>
                <w:szCs w:val="18"/>
              </w:rPr>
              <w:t>区域</w:t>
            </w:r>
          </w:p>
        </w:tc>
        <w:tc>
          <w:tcPr>
            <w:tcW w:w="4978" w:type="dxa"/>
            <w:tcBorders>
              <w:top w:val="single" w:color="000000" w:sz="8" w:space="0"/>
              <w:left w:val="single" w:color="000000" w:sz="4" w:space="0"/>
              <w:bottom w:val="single" w:color="000000" w:sz="8" w:space="0"/>
              <w:right w:val="single" w:color="000000" w:sz="8" w:space="0"/>
            </w:tcBorders>
            <w:vAlign w:val="center"/>
          </w:tcPr>
          <w:p w14:paraId="3518CCFD">
            <w:pPr>
              <w:pStyle w:val="180"/>
              <w:rPr>
                <w:rFonts w:hint="eastAsia" w:hAnsi="宋体"/>
                <w:szCs w:val="18"/>
              </w:rPr>
            </w:pPr>
            <w:r>
              <w:rPr>
                <w:rFonts w:hint="eastAsia" w:hAnsi="宋体"/>
                <w:szCs w:val="18"/>
              </w:rPr>
              <w:t>分类收集容器种类</w:t>
            </w:r>
          </w:p>
        </w:tc>
      </w:tr>
      <w:tr w14:paraId="52715B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8" w:space="0"/>
              <w:left w:val="single" w:color="000000" w:sz="8" w:space="0"/>
              <w:bottom w:val="single" w:color="000000" w:sz="4" w:space="0"/>
              <w:right w:val="single" w:color="000000" w:sz="4" w:space="0"/>
            </w:tcBorders>
            <w:vAlign w:val="center"/>
          </w:tcPr>
          <w:p w14:paraId="2AD2D249">
            <w:pPr>
              <w:pStyle w:val="180"/>
              <w:rPr>
                <w:rFonts w:hint="eastAsia" w:hAnsi="宋体"/>
                <w:szCs w:val="18"/>
              </w:rPr>
            </w:pPr>
            <w:r>
              <w:rPr>
                <w:rFonts w:hint="eastAsia" w:hAnsi="宋体"/>
                <w:szCs w:val="18"/>
              </w:rPr>
              <w:t>1</w:t>
            </w:r>
          </w:p>
        </w:tc>
        <w:tc>
          <w:tcPr>
            <w:tcW w:w="3760" w:type="dxa"/>
            <w:gridSpan w:val="2"/>
            <w:tcBorders>
              <w:top w:val="single" w:color="000000" w:sz="8" w:space="0"/>
              <w:left w:val="single" w:color="000000" w:sz="4" w:space="0"/>
              <w:bottom w:val="single" w:color="000000" w:sz="4" w:space="0"/>
              <w:right w:val="single" w:color="000000" w:sz="4" w:space="0"/>
            </w:tcBorders>
            <w:vAlign w:val="center"/>
          </w:tcPr>
          <w:p w14:paraId="5F41E686">
            <w:pPr>
              <w:pStyle w:val="180"/>
              <w:rPr>
                <w:rFonts w:hint="eastAsia" w:hAnsi="宋体"/>
                <w:szCs w:val="18"/>
              </w:rPr>
            </w:pPr>
            <w:r>
              <w:rPr>
                <w:rFonts w:hint="eastAsia" w:hAnsi="宋体"/>
                <w:szCs w:val="18"/>
              </w:rPr>
              <w:t>管理用房、活动用房等房间</w:t>
            </w:r>
          </w:p>
        </w:tc>
        <w:tc>
          <w:tcPr>
            <w:tcW w:w="4978" w:type="dxa"/>
            <w:tcBorders>
              <w:top w:val="single" w:color="000000" w:sz="8" w:space="0"/>
              <w:left w:val="single" w:color="000000" w:sz="4" w:space="0"/>
              <w:bottom w:val="single" w:color="000000" w:sz="4" w:space="0"/>
              <w:right w:val="single" w:color="000000" w:sz="8" w:space="0"/>
            </w:tcBorders>
            <w:vAlign w:val="center"/>
          </w:tcPr>
          <w:p w14:paraId="13731296">
            <w:pPr>
              <w:pStyle w:val="180"/>
              <w:rPr>
                <w:rFonts w:hint="eastAsia" w:hAnsi="宋体"/>
                <w:szCs w:val="18"/>
              </w:rPr>
            </w:pPr>
            <w:r>
              <w:rPr>
                <w:rFonts w:hint="eastAsia" w:hAnsi="宋体"/>
                <w:szCs w:val="18"/>
              </w:rPr>
              <w:t>可回收物、其他垃圾</w:t>
            </w:r>
          </w:p>
        </w:tc>
      </w:tr>
      <w:tr w14:paraId="200630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4" w:space="0"/>
              <w:right w:val="single" w:color="000000" w:sz="4" w:space="0"/>
            </w:tcBorders>
            <w:vAlign w:val="center"/>
          </w:tcPr>
          <w:p w14:paraId="3DF2BE78">
            <w:pPr>
              <w:pStyle w:val="180"/>
              <w:rPr>
                <w:rFonts w:hint="eastAsia" w:hAnsi="宋体"/>
                <w:szCs w:val="18"/>
              </w:rPr>
            </w:pPr>
            <w:r>
              <w:rPr>
                <w:rFonts w:hint="eastAsia" w:hAnsi="宋体"/>
                <w:szCs w:val="18"/>
              </w:rPr>
              <w:t>2</w:t>
            </w:r>
          </w:p>
        </w:tc>
        <w:tc>
          <w:tcPr>
            <w:tcW w:w="3760" w:type="dxa"/>
            <w:gridSpan w:val="2"/>
            <w:tcBorders>
              <w:top w:val="single" w:color="000000" w:sz="4" w:space="0"/>
              <w:left w:val="single" w:color="000000" w:sz="4" w:space="0"/>
              <w:bottom w:val="single" w:color="000000" w:sz="4" w:space="0"/>
              <w:right w:val="single" w:color="000000" w:sz="4" w:space="0"/>
            </w:tcBorders>
            <w:vAlign w:val="center"/>
          </w:tcPr>
          <w:p w14:paraId="18D0C03E">
            <w:pPr>
              <w:pStyle w:val="180"/>
              <w:rPr>
                <w:rFonts w:hint="eastAsia" w:hAnsi="宋体"/>
                <w:szCs w:val="18"/>
              </w:rPr>
            </w:pPr>
            <w:r>
              <w:rPr>
                <w:rFonts w:hint="eastAsia" w:hAnsi="宋体"/>
                <w:szCs w:val="18"/>
              </w:rPr>
              <w:t>场地、看台</w:t>
            </w:r>
          </w:p>
        </w:tc>
        <w:tc>
          <w:tcPr>
            <w:tcW w:w="4978" w:type="dxa"/>
            <w:tcBorders>
              <w:top w:val="single" w:color="000000" w:sz="4" w:space="0"/>
              <w:left w:val="single" w:color="000000" w:sz="4" w:space="0"/>
              <w:bottom w:val="single" w:color="000000" w:sz="4" w:space="0"/>
              <w:right w:val="single" w:color="000000" w:sz="8" w:space="0"/>
            </w:tcBorders>
            <w:vAlign w:val="center"/>
          </w:tcPr>
          <w:p w14:paraId="7EDAF9B7">
            <w:pPr>
              <w:pStyle w:val="180"/>
              <w:rPr>
                <w:rFonts w:hint="eastAsia" w:hAnsi="宋体"/>
                <w:szCs w:val="18"/>
              </w:rPr>
            </w:pPr>
            <w:r>
              <w:rPr>
                <w:rFonts w:hint="eastAsia" w:hAnsi="宋体"/>
                <w:szCs w:val="18"/>
              </w:rPr>
              <w:t>可回收物、厨余垃圾、其他垃圾</w:t>
            </w:r>
          </w:p>
        </w:tc>
      </w:tr>
      <w:tr w14:paraId="6BF416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vMerge w:val="restart"/>
            <w:tcBorders>
              <w:top w:val="single" w:color="000000" w:sz="4" w:space="0"/>
              <w:left w:val="single" w:color="000000" w:sz="8" w:space="0"/>
              <w:bottom w:val="single" w:color="000000" w:sz="4" w:space="0"/>
              <w:right w:val="single" w:color="000000" w:sz="4" w:space="0"/>
            </w:tcBorders>
            <w:vAlign w:val="center"/>
          </w:tcPr>
          <w:p w14:paraId="6A349EC1">
            <w:pPr>
              <w:pStyle w:val="180"/>
              <w:rPr>
                <w:rFonts w:hint="eastAsia" w:hAnsi="宋体"/>
                <w:szCs w:val="18"/>
              </w:rPr>
            </w:pPr>
            <w:r>
              <w:rPr>
                <w:rFonts w:hint="eastAsia" w:hAnsi="宋体"/>
                <w:szCs w:val="18"/>
              </w:rPr>
              <w:t>3</w:t>
            </w:r>
          </w:p>
        </w:tc>
        <w:tc>
          <w:tcPr>
            <w:tcW w:w="1880" w:type="dxa"/>
            <w:vMerge w:val="restart"/>
            <w:tcBorders>
              <w:top w:val="single" w:color="000000" w:sz="4" w:space="0"/>
              <w:left w:val="single" w:color="000000" w:sz="4" w:space="0"/>
              <w:bottom w:val="single" w:color="000000" w:sz="4" w:space="0"/>
              <w:right w:val="single" w:color="000000" w:sz="4" w:space="0"/>
            </w:tcBorders>
            <w:vAlign w:val="center"/>
          </w:tcPr>
          <w:p w14:paraId="4021FAE3">
            <w:pPr>
              <w:pStyle w:val="180"/>
              <w:rPr>
                <w:rFonts w:hint="eastAsia" w:hAnsi="宋体"/>
                <w:szCs w:val="18"/>
              </w:rPr>
            </w:pPr>
            <w:r>
              <w:rPr>
                <w:rFonts w:hint="eastAsia" w:hAnsi="宋体"/>
                <w:szCs w:val="18"/>
              </w:rPr>
              <w:t>公共区域</w:t>
            </w:r>
          </w:p>
        </w:tc>
        <w:tc>
          <w:tcPr>
            <w:tcW w:w="1880" w:type="dxa"/>
            <w:tcBorders>
              <w:top w:val="single" w:color="000000" w:sz="4" w:space="0"/>
              <w:left w:val="single" w:color="000000" w:sz="4" w:space="0"/>
              <w:bottom w:val="single" w:color="000000" w:sz="4" w:space="0"/>
              <w:right w:val="single" w:color="000000" w:sz="4" w:space="0"/>
            </w:tcBorders>
            <w:vAlign w:val="center"/>
          </w:tcPr>
          <w:p w14:paraId="0938FBD7">
            <w:pPr>
              <w:pStyle w:val="180"/>
              <w:rPr>
                <w:rFonts w:hint="eastAsia" w:hAnsi="宋体"/>
                <w:szCs w:val="18"/>
              </w:rPr>
            </w:pPr>
            <w:r>
              <w:rPr>
                <w:rFonts w:hint="eastAsia" w:hAnsi="宋体"/>
                <w:szCs w:val="18"/>
              </w:rPr>
              <w:t>室内</w:t>
            </w:r>
          </w:p>
        </w:tc>
        <w:tc>
          <w:tcPr>
            <w:tcW w:w="4978" w:type="dxa"/>
            <w:tcBorders>
              <w:top w:val="single" w:color="000000" w:sz="4" w:space="0"/>
              <w:left w:val="single" w:color="000000" w:sz="4" w:space="0"/>
              <w:bottom w:val="single" w:color="000000" w:sz="4" w:space="0"/>
              <w:right w:val="single" w:color="000000" w:sz="8" w:space="0"/>
            </w:tcBorders>
            <w:vAlign w:val="center"/>
          </w:tcPr>
          <w:p w14:paraId="4509DE62">
            <w:pPr>
              <w:pStyle w:val="180"/>
              <w:rPr>
                <w:rFonts w:hint="eastAsia" w:hAnsi="宋体"/>
                <w:szCs w:val="18"/>
              </w:rPr>
            </w:pPr>
            <w:r>
              <w:rPr>
                <w:rFonts w:hint="eastAsia" w:hAnsi="宋体"/>
                <w:szCs w:val="18"/>
              </w:rPr>
              <w:t>可回收物、厨余垃圾、其他垃圾</w:t>
            </w:r>
          </w:p>
        </w:tc>
      </w:tr>
      <w:tr w14:paraId="3A598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vMerge w:val="continue"/>
            <w:tcBorders>
              <w:top w:val="single" w:color="000000" w:sz="4" w:space="0"/>
              <w:left w:val="single" w:color="000000" w:sz="8" w:space="0"/>
              <w:bottom w:val="single" w:color="000000" w:sz="4" w:space="0"/>
              <w:right w:val="single" w:color="000000" w:sz="4" w:space="0"/>
            </w:tcBorders>
            <w:vAlign w:val="center"/>
          </w:tcPr>
          <w:p w14:paraId="7A718474">
            <w:pPr>
              <w:pStyle w:val="180"/>
              <w:rPr>
                <w:rFonts w:hint="eastAsia" w:hAnsi="宋体"/>
                <w:szCs w:val="18"/>
              </w:rPr>
            </w:pPr>
          </w:p>
        </w:tc>
        <w:tc>
          <w:tcPr>
            <w:tcW w:w="3760" w:type="dxa"/>
            <w:vMerge w:val="continue"/>
            <w:tcBorders>
              <w:top w:val="single" w:color="000000" w:sz="4" w:space="0"/>
              <w:left w:val="single" w:color="000000" w:sz="4" w:space="0"/>
              <w:bottom w:val="single" w:color="000000" w:sz="4" w:space="0"/>
              <w:right w:val="single" w:color="000000" w:sz="4" w:space="0"/>
            </w:tcBorders>
            <w:vAlign w:val="center"/>
          </w:tcPr>
          <w:p w14:paraId="79A29BD9">
            <w:pPr>
              <w:pStyle w:val="180"/>
              <w:rPr>
                <w:rFonts w:hint="eastAsia" w:hAnsi="宋体"/>
                <w:szCs w:val="18"/>
              </w:rPr>
            </w:pPr>
          </w:p>
        </w:tc>
        <w:tc>
          <w:tcPr>
            <w:tcW w:w="1880" w:type="dxa"/>
            <w:tcBorders>
              <w:top w:val="single" w:color="000000" w:sz="4" w:space="0"/>
              <w:left w:val="single" w:color="000000" w:sz="4" w:space="0"/>
              <w:bottom w:val="single" w:color="000000" w:sz="4" w:space="0"/>
              <w:right w:val="single" w:color="000000" w:sz="4" w:space="0"/>
            </w:tcBorders>
            <w:vAlign w:val="center"/>
          </w:tcPr>
          <w:p w14:paraId="794F8967">
            <w:pPr>
              <w:pStyle w:val="180"/>
              <w:rPr>
                <w:rFonts w:hint="eastAsia" w:hAnsi="宋体"/>
                <w:szCs w:val="18"/>
              </w:rPr>
            </w:pPr>
            <w:r>
              <w:rPr>
                <w:rFonts w:hint="eastAsia" w:hAnsi="宋体"/>
                <w:szCs w:val="18"/>
              </w:rPr>
              <w:t>室外</w:t>
            </w:r>
          </w:p>
        </w:tc>
        <w:tc>
          <w:tcPr>
            <w:tcW w:w="4978" w:type="dxa"/>
            <w:tcBorders>
              <w:top w:val="single" w:color="000000" w:sz="4" w:space="0"/>
              <w:left w:val="single" w:color="000000" w:sz="4" w:space="0"/>
              <w:bottom w:val="single" w:color="000000" w:sz="4" w:space="0"/>
              <w:right w:val="single" w:color="000000" w:sz="8" w:space="0"/>
            </w:tcBorders>
            <w:vAlign w:val="center"/>
          </w:tcPr>
          <w:p w14:paraId="094F557D">
            <w:pPr>
              <w:pStyle w:val="180"/>
              <w:rPr>
                <w:rFonts w:hint="eastAsia" w:hAnsi="宋体"/>
                <w:szCs w:val="18"/>
              </w:rPr>
            </w:pPr>
            <w:r>
              <w:rPr>
                <w:rFonts w:hint="eastAsia" w:hAnsi="宋体"/>
                <w:szCs w:val="18"/>
              </w:rPr>
              <w:t>可回收物、厨余垃圾、其他垃圾</w:t>
            </w:r>
          </w:p>
        </w:tc>
      </w:tr>
      <w:tr w14:paraId="03387D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4" w:space="0"/>
              <w:right w:val="single" w:color="000000" w:sz="4" w:space="0"/>
            </w:tcBorders>
            <w:vAlign w:val="center"/>
          </w:tcPr>
          <w:p w14:paraId="43C3989F">
            <w:pPr>
              <w:pStyle w:val="180"/>
              <w:rPr>
                <w:rFonts w:hint="eastAsia" w:hAnsi="宋体"/>
                <w:szCs w:val="18"/>
              </w:rPr>
            </w:pPr>
            <w:r>
              <w:rPr>
                <w:rFonts w:hint="eastAsia" w:hAnsi="宋体"/>
                <w:szCs w:val="18"/>
              </w:rPr>
              <w:t>4</w:t>
            </w:r>
          </w:p>
        </w:tc>
        <w:tc>
          <w:tcPr>
            <w:tcW w:w="3760" w:type="dxa"/>
            <w:gridSpan w:val="2"/>
            <w:tcBorders>
              <w:top w:val="single" w:color="000000" w:sz="4" w:space="0"/>
              <w:left w:val="single" w:color="000000" w:sz="4" w:space="0"/>
              <w:bottom w:val="single" w:color="000000" w:sz="4" w:space="0"/>
              <w:right w:val="single" w:color="000000" w:sz="4" w:space="0"/>
            </w:tcBorders>
            <w:vAlign w:val="center"/>
          </w:tcPr>
          <w:p w14:paraId="769D8588">
            <w:pPr>
              <w:pStyle w:val="180"/>
              <w:rPr>
                <w:rFonts w:hint="eastAsia" w:hAnsi="宋体"/>
                <w:szCs w:val="18"/>
              </w:rPr>
            </w:pPr>
            <w:r>
              <w:rPr>
                <w:rFonts w:hint="eastAsia" w:hAnsi="宋体"/>
                <w:szCs w:val="18"/>
              </w:rPr>
              <w:t>餐饮区</w:t>
            </w:r>
          </w:p>
        </w:tc>
        <w:tc>
          <w:tcPr>
            <w:tcW w:w="4978" w:type="dxa"/>
            <w:tcBorders>
              <w:top w:val="single" w:color="000000" w:sz="4" w:space="0"/>
              <w:left w:val="single" w:color="000000" w:sz="4" w:space="0"/>
              <w:bottom w:val="single" w:color="000000" w:sz="4" w:space="0"/>
              <w:right w:val="single" w:color="000000" w:sz="8" w:space="0"/>
            </w:tcBorders>
            <w:vAlign w:val="center"/>
          </w:tcPr>
          <w:p w14:paraId="4745FA70">
            <w:pPr>
              <w:pStyle w:val="180"/>
              <w:rPr>
                <w:rFonts w:hint="eastAsia" w:hAnsi="宋体"/>
                <w:szCs w:val="18"/>
              </w:rPr>
            </w:pPr>
            <w:r>
              <w:rPr>
                <w:rFonts w:hint="eastAsia" w:hAnsi="宋体"/>
                <w:szCs w:val="18"/>
              </w:rPr>
              <w:t>可回收物、厨余垃圾、其他垃圾</w:t>
            </w:r>
          </w:p>
        </w:tc>
      </w:tr>
      <w:tr w14:paraId="3C414B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32" w:type="dxa"/>
            <w:tcBorders>
              <w:top w:val="single" w:color="000000" w:sz="4" w:space="0"/>
              <w:left w:val="single" w:color="000000" w:sz="8" w:space="0"/>
              <w:bottom w:val="single" w:color="000000" w:sz="8" w:space="0"/>
              <w:right w:val="single" w:color="000000" w:sz="4" w:space="0"/>
            </w:tcBorders>
            <w:vAlign w:val="center"/>
          </w:tcPr>
          <w:p w14:paraId="06DBDD49">
            <w:pPr>
              <w:pStyle w:val="180"/>
              <w:rPr>
                <w:rFonts w:hint="eastAsia" w:hAnsi="宋体"/>
                <w:szCs w:val="18"/>
              </w:rPr>
            </w:pPr>
            <w:r>
              <w:rPr>
                <w:rFonts w:hint="eastAsia" w:hAnsi="宋体"/>
                <w:szCs w:val="18"/>
              </w:rPr>
              <w:t>5</w:t>
            </w:r>
          </w:p>
        </w:tc>
        <w:tc>
          <w:tcPr>
            <w:tcW w:w="3760" w:type="dxa"/>
            <w:gridSpan w:val="2"/>
            <w:tcBorders>
              <w:top w:val="single" w:color="000000" w:sz="4" w:space="0"/>
              <w:left w:val="single" w:color="000000" w:sz="4" w:space="0"/>
              <w:bottom w:val="single" w:color="000000" w:sz="8" w:space="0"/>
              <w:right w:val="single" w:color="000000" w:sz="4" w:space="0"/>
            </w:tcBorders>
            <w:vAlign w:val="center"/>
          </w:tcPr>
          <w:p w14:paraId="696B24AF">
            <w:pPr>
              <w:pStyle w:val="180"/>
              <w:rPr>
                <w:rFonts w:hint="eastAsia" w:hAnsi="宋体"/>
                <w:szCs w:val="18"/>
              </w:rPr>
            </w:pPr>
            <w:r>
              <w:rPr>
                <w:rFonts w:hint="eastAsia" w:hAnsi="宋体"/>
                <w:szCs w:val="18"/>
              </w:rPr>
              <w:t>分类垃圾收集点</w:t>
            </w:r>
          </w:p>
        </w:tc>
        <w:tc>
          <w:tcPr>
            <w:tcW w:w="4978" w:type="dxa"/>
            <w:tcBorders>
              <w:top w:val="single" w:color="000000" w:sz="4" w:space="0"/>
              <w:left w:val="single" w:color="000000" w:sz="4" w:space="0"/>
              <w:bottom w:val="single" w:color="000000" w:sz="8" w:space="0"/>
              <w:right w:val="single" w:color="000000" w:sz="8" w:space="0"/>
            </w:tcBorders>
            <w:vAlign w:val="center"/>
          </w:tcPr>
          <w:p w14:paraId="1D77A67E">
            <w:pPr>
              <w:pStyle w:val="180"/>
              <w:rPr>
                <w:rFonts w:hint="eastAsia" w:hAnsi="宋体"/>
                <w:szCs w:val="18"/>
              </w:rPr>
            </w:pPr>
            <w:r>
              <w:rPr>
                <w:rFonts w:hint="eastAsia" w:hAnsi="宋体"/>
                <w:szCs w:val="18"/>
              </w:rPr>
              <w:t>可回收物、有害垃圾、厨余垃圾、其他垃圾</w:t>
            </w:r>
          </w:p>
        </w:tc>
      </w:tr>
    </w:tbl>
    <w:p w14:paraId="2CD528FA">
      <w:pPr>
        <w:pStyle w:val="167"/>
        <w:spacing w:before="312" w:beforeLines="100"/>
      </w:pPr>
      <w:r>
        <w:rPr>
          <w:rFonts w:hint="eastAsia"/>
        </w:rPr>
        <w:t>其他类型公共机构的生活垃圾分类收集容器设置可参照执行。</w:t>
      </w:r>
    </w:p>
    <w:p w14:paraId="14D210DB">
      <w:pPr>
        <w:pStyle w:val="106"/>
        <w:spacing w:before="312" w:after="312"/>
      </w:pPr>
      <w:bookmarkStart w:id="55" w:name="_Toc27039"/>
      <w:r>
        <w:rPr>
          <w:rFonts w:hint="eastAsia"/>
        </w:rPr>
        <w:t>分类投放</w:t>
      </w:r>
      <w:bookmarkEnd w:id="55"/>
    </w:p>
    <w:p w14:paraId="1949988D">
      <w:pPr>
        <w:pStyle w:val="107"/>
        <w:spacing w:before="156" w:after="156"/>
      </w:pPr>
      <w:bookmarkStart w:id="56" w:name="_Toc11400"/>
      <w:r>
        <w:rPr>
          <w:rFonts w:hint="eastAsia"/>
        </w:rPr>
        <w:t>一般规定</w:t>
      </w:r>
      <w:bookmarkEnd w:id="56"/>
    </w:p>
    <w:p w14:paraId="2AFDD86F">
      <w:pPr>
        <w:pStyle w:val="167"/>
      </w:pPr>
      <w:r>
        <w:rPr>
          <w:rFonts w:hint="eastAsia"/>
        </w:rPr>
        <w:t>公共机构应明确本单位生活垃圾分类投放管理责任人，并明确垃圾分类管理责任区域。</w:t>
      </w:r>
    </w:p>
    <w:p w14:paraId="642BDFAB">
      <w:pPr>
        <w:pStyle w:val="167"/>
      </w:pPr>
      <w:r>
        <w:rPr>
          <w:rFonts w:hint="eastAsia"/>
        </w:rPr>
        <w:t>公共机构负责组织、管理本单位的生活垃圾分类工作，任命引导员和督导员，指导和监督责任范围内的生活垃圾分类投放。</w:t>
      </w:r>
    </w:p>
    <w:p w14:paraId="7DFE98AC">
      <w:pPr>
        <w:pStyle w:val="167"/>
      </w:pPr>
      <w:r>
        <w:rPr>
          <w:rFonts w:hint="eastAsia"/>
        </w:rPr>
        <w:t>公共机构应按照规定设置生活垃圾分类收集容器，当分类收集容器出现破旧、污损或者数量不足时，应及时维修、更换、清洗或者补设。</w:t>
      </w:r>
    </w:p>
    <w:p w14:paraId="6FB5854E">
      <w:pPr>
        <w:pStyle w:val="107"/>
        <w:spacing w:before="156" w:after="156"/>
      </w:pPr>
      <w:bookmarkStart w:id="57" w:name="_Toc26574"/>
      <w:r>
        <w:rPr>
          <w:rFonts w:hint="eastAsia"/>
        </w:rPr>
        <w:t>分类投放要求</w:t>
      </w:r>
      <w:bookmarkEnd w:id="57"/>
    </w:p>
    <w:p w14:paraId="3B2784A9">
      <w:pPr>
        <w:pStyle w:val="67"/>
        <w:spacing w:before="156" w:after="156"/>
      </w:pPr>
      <w:r>
        <w:rPr>
          <w:rFonts w:hint="eastAsia"/>
        </w:rPr>
        <w:t>可回收物投放</w:t>
      </w:r>
    </w:p>
    <w:p w14:paraId="77D44F31">
      <w:pPr>
        <w:pStyle w:val="166"/>
      </w:pPr>
      <w:r>
        <w:rPr>
          <w:rFonts w:hint="eastAsia"/>
        </w:rPr>
        <w:t>可回收物宜按照纸类、塑料类、玻璃类、金属类、织物类分类投放。</w:t>
      </w:r>
    </w:p>
    <w:p w14:paraId="5A561FCB">
      <w:pPr>
        <w:pStyle w:val="166"/>
      </w:pPr>
      <w:r>
        <w:rPr>
          <w:rFonts w:hint="eastAsia"/>
        </w:rPr>
        <w:t>纸类垃圾投放时宜折好压平。</w:t>
      </w:r>
    </w:p>
    <w:p w14:paraId="4455C99B">
      <w:pPr>
        <w:pStyle w:val="166"/>
      </w:pPr>
      <w:r>
        <w:rPr>
          <w:rFonts w:hint="eastAsia"/>
        </w:rPr>
        <w:t>塑料类垃圾投放时宜用水洗净残留物。</w:t>
      </w:r>
    </w:p>
    <w:p w14:paraId="169E313F">
      <w:pPr>
        <w:pStyle w:val="166"/>
      </w:pPr>
      <w:r>
        <w:rPr>
          <w:rFonts w:hint="eastAsia"/>
        </w:rPr>
        <w:t>玻璃类垃圾投放宜符合下列规定：</w:t>
      </w:r>
    </w:p>
    <w:p w14:paraId="0945F936">
      <w:pPr>
        <w:pStyle w:val="176"/>
        <w:numPr>
          <w:ilvl w:val="0"/>
          <w:numId w:val="33"/>
        </w:numPr>
      </w:pPr>
      <w:r>
        <w:rPr>
          <w:rFonts w:hint="eastAsia"/>
        </w:rPr>
        <w:t>玻璃瓶应撕掉标签，用水洗净瓶内残留物；</w:t>
      </w:r>
    </w:p>
    <w:p w14:paraId="5CE758C8">
      <w:pPr>
        <w:pStyle w:val="176"/>
      </w:pPr>
      <w:r>
        <w:rPr>
          <w:rFonts w:hint="eastAsia"/>
        </w:rPr>
        <w:t>碎玻璃应包装牢固。</w:t>
      </w:r>
    </w:p>
    <w:p w14:paraId="44A59687">
      <w:pPr>
        <w:pStyle w:val="166"/>
      </w:pPr>
      <w:r>
        <w:rPr>
          <w:rFonts w:hint="eastAsia"/>
        </w:rPr>
        <w:t>金属类垃圾投放宜符合下列规定：</w:t>
      </w:r>
    </w:p>
    <w:p w14:paraId="688D52A2">
      <w:pPr>
        <w:pStyle w:val="176"/>
        <w:numPr>
          <w:ilvl w:val="0"/>
          <w:numId w:val="34"/>
        </w:numPr>
      </w:pPr>
      <w:r>
        <w:rPr>
          <w:rFonts w:hint="eastAsia"/>
        </w:rPr>
        <w:t>易拉罐、罐头盒类宜压扁；</w:t>
      </w:r>
    </w:p>
    <w:p w14:paraId="553F74D5">
      <w:pPr>
        <w:pStyle w:val="176"/>
      </w:pPr>
      <w:r>
        <w:rPr>
          <w:rFonts w:hint="eastAsia"/>
        </w:rPr>
        <w:t>金属尖利器物宜包装牢固。</w:t>
      </w:r>
    </w:p>
    <w:p w14:paraId="09949C26">
      <w:pPr>
        <w:pStyle w:val="166"/>
      </w:pPr>
      <w:r>
        <w:rPr>
          <w:rFonts w:hint="eastAsia"/>
        </w:rPr>
        <w:t>织物类垃圾投放宜洗净并折好压平。</w:t>
      </w:r>
    </w:p>
    <w:p w14:paraId="62DE2F5B">
      <w:pPr>
        <w:pStyle w:val="67"/>
        <w:spacing w:before="156" w:after="156"/>
      </w:pPr>
      <w:r>
        <w:rPr>
          <w:rFonts w:hint="eastAsia"/>
        </w:rPr>
        <w:t>有害垃圾投放</w:t>
      </w:r>
    </w:p>
    <w:p w14:paraId="213D8897">
      <w:pPr>
        <w:pStyle w:val="166"/>
      </w:pPr>
      <w:r>
        <w:rPr>
          <w:rFonts w:hint="eastAsia"/>
        </w:rPr>
        <w:t>有害垃圾投放应保持物品的完整性。</w:t>
      </w:r>
    </w:p>
    <w:p w14:paraId="0B293A9E">
      <w:pPr>
        <w:pStyle w:val="166"/>
      </w:pPr>
      <w:r>
        <w:rPr>
          <w:rFonts w:hint="eastAsia"/>
        </w:rPr>
        <w:t>电池投放时应采取防止有害物质外漏的措施，破损的电池应用透明塑料袋封装后再投放至有害垃圾桶内。</w:t>
      </w:r>
    </w:p>
    <w:p w14:paraId="177C5D2A">
      <w:pPr>
        <w:pStyle w:val="166"/>
      </w:pPr>
      <w:r>
        <w:rPr>
          <w:rFonts w:hint="eastAsia"/>
        </w:rPr>
        <w:t>废荧光灯管投放时应防止灯管破碎。</w:t>
      </w:r>
    </w:p>
    <w:p w14:paraId="68863724">
      <w:pPr>
        <w:pStyle w:val="166"/>
      </w:pPr>
      <w:r>
        <w:rPr>
          <w:rFonts w:hint="eastAsia"/>
        </w:rPr>
        <w:t>弃置药品及药具应尽量保持原包装，连同外包装一并投放至有害垃圾桶内。</w:t>
      </w:r>
    </w:p>
    <w:p w14:paraId="4B6C3418">
      <w:pPr>
        <w:pStyle w:val="166"/>
      </w:pPr>
      <w:r>
        <w:rPr>
          <w:rFonts w:hint="eastAsia"/>
        </w:rPr>
        <w:t>废杀虫剂、清洁剂、空调清洗剂、空气清新剂、废油漆、废弃化妆品等均应与容器一并密封投放。</w:t>
      </w:r>
    </w:p>
    <w:p w14:paraId="7F9C272A">
      <w:pPr>
        <w:pStyle w:val="67"/>
        <w:spacing w:before="156" w:after="156"/>
      </w:pPr>
      <w:r>
        <w:rPr>
          <w:rFonts w:hint="eastAsia"/>
        </w:rPr>
        <w:t>厨余垃圾投放</w:t>
      </w:r>
    </w:p>
    <w:p w14:paraId="2C02DA3C">
      <w:pPr>
        <w:pStyle w:val="166"/>
      </w:pPr>
      <w:r>
        <w:rPr>
          <w:rFonts w:hint="eastAsia"/>
        </w:rPr>
        <w:t>厨余垃圾宜滤水后投放。</w:t>
      </w:r>
    </w:p>
    <w:p w14:paraId="35966C1E">
      <w:pPr>
        <w:pStyle w:val="166"/>
      </w:pPr>
      <w:r>
        <w:rPr>
          <w:rFonts w:hint="eastAsia"/>
        </w:rPr>
        <w:t>有包装物的厨余垃圾应去除包装物后分类投放，包装物可投放至对应的可回收物或其他垃圾桶内。</w:t>
      </w:r>
    </w:p>
    <w:p w14:paraId="118FA4AB">
      <w:pPr>
        <w:pStyle w:val="166"/>
      </w:pPr>
      <w:r>
        <w:rPr>
          <w:rFonts w:hint="eastAsia"/>
        </w:rPr>
        <w:t>厨余垃圾投放时不应混入废餐具、塑料、饮料瓶罐、废纸等不利于后续处理的杂质。</w:t>
      </w:r>
    </w:p>
    <w:p w14:paraId="1A3BFF53">
      <w:pPr>
        <w:pStyle w:val="67"/>
        <w:spacing w:before="156" w:after="156"/>
      </w:pPr>
      <w:r>
        <w:rPr>
          <w:rFonts w:hint="eastAsia"/>
        </w:rPr>
        <w:t>其他垃圾投放</w:t>
      </w:r>
    </w:p>
    <w:p w14:paraId="759195E8">
      <w:pPr>
        <w:pStyle w:val="166"/>
      </w:pPr>
      <w:r>
        <w:rPr>
          <w:rFonts w:hint="eastAsia"/>
        </w:rPr>
        <w:t>其他垃圾应避免混入可回收物、厨余垃圾、有害垃圾，应投放到其他垃圾桶内。</w:t>
      </w:r>
    </w:p>
    <w:p w14:paraId="41B66E57">
      <w:pPr>
        <w:pStyle w:val="166"/>
      </w:pPr>
      <w:r>
        <w:rPr>
          <w:rFonts w:hint="eastAsia"/>
        </w:rPr>
        <w:t>按照分类标准无法确认为可回收物、有害垃圾和厨余垃圾时，应投放入其他垃圾桶内。</w:t>
      </w:r>
    </w:p>
    <w:p w14:paraId="5F7DC76F">
      <w:pPr>
        <w:pStyle w:val="106"/>
        <w:spacing w:before="312" w:after="312"/>
      </w:pPr>
      <w:bookmarkStart w:id="58" w:name="_Toc10732"/>
      <w:r>
        <w:rPr>
          <w:rFonts w:hint="eastAsia"/>
        </w:rPr>
        <w:t>分类收集</w:t>
      </w:r>
      <w:bookmarkEnd w:id="58"/>
    </w:p>
    <w:p w14:paraId="24C81D19">
      <w:pPr>
        <w:pStyle w:val="107"/>
        <w:spacing w:before="156" w:after="156"/>
      </w:pPr>
      <w:bookmarkStart w:id="59" w:name="_Toc18412"/>
      <w:r>
        <w:rPr>
          <w:rFonts w:hint="eastAsia"/>
        </w:rPr>
        <w:t>一般规定</w:t>
      </w:r>
      <w:bookmarkEnd w:id="59"/>
    </w:p>
    <w:p w14:paraId="2EA5051B">
      <w:pPr>
        <w:pStyle w:val="167"/>
      </w:pPr>
      <w:r>
        <w:rPr>
          <w:rFonts w:hint="eastAsia"/>
        </w:rPr>
        <w:t>公共机构应结合生活垃圾产生量、场地条件等实际情况，设置至少1个垃圾分类收集点。</w:t>
      </w:r>
    </w:p>
    <w:p w14:paraId="6C77636E">
      <w:pPr>
        <w:pStyle w:val="167"/>
      </w:pPr>
      <w:r>
        <w:rPr>
          <w:rFonts w:hint="eastAsia"/>
        </w:rPr>
        <w:t>生活垃圾分类收集点的数量、规格、间距应根据垃圾产生量和收运频率确定，收集点内的垃圾应不满溢、不散落。</w:t>
      </w:r>
    </w:p>
    <w:p w14:paraId="4473BC4E">
      <w:pPr>
        <w:pStyle w:val="167"/>
      </w:pPr>
      <w:r>
        <w:rPr>
          <w:rFonts w:hint="eastAsia"/>
        </w:rPr>
        <w:t>生活垃圾分类收集点的位置应固定，设置指示标识，并应方便垃圾运输车辆的收集、运输。</w:t>
      </w:r>
    </w:p>
    <w:p w14:paraId="7F750C19">
      <w:pPr>
        <w:pStyle w:val="167"/>
      </w:pPr>
      <w:r>
        <w:rPr>
          <w:rFonts w:hint="eastAsia"/>
        </w:rPr>
        <w:t>生活垃圾分类收集点应配备指示牌，指示牌内容应至少包括：垃圾分类指南、收运单位、投诉电话、引导员姓名及联系方式、督导员姓名及联系方式等。</w:t>
      </w:r>
    </w:p>
    <w:p w14:paraId="11495500">
      <w:pPr>
        <w:pStyle w:val="107"/>
        <w:spacing w:before="156" w:after="156"/>
      </w:pPr>
      <w:bookmarkStart w:id="60" w:name="_Toc16465"/>
      <w:r>
        <w:rPr>
          <w:rFonts w:hint="eastAsia"/>
        </w:rPr>
        <w:t>分类收集要求</w:t>
      </w:r>
      <w:bookmarkEnd w:id="60"/>
    </w:p>
    <w:p w14:paraId="5B23E653">
      <w:pPr>
        <w:pStyle w:val="167"/>
      </w:pPr>
      <w:r>
        <w:rPr>
          <w:rFonts w:hint="eastAsia"/>
        </w:rPr>
        <w:t>应指定专人定时将已分类的生活垃圾集中至分类收集点。</w:t>
      </w:r>
    </w:p>
    <w:p w14:paraId="3FDF9F97">
      <w:pPr>
        <w:pStyle w:val="167"/>
        <w:rPr>
          <w:rFonts w:hint="eastAsia"/>
          <w:color w:val="auto"/>
          <w:highlight w:val="none"/>
          <w:lang w:val="en-US" w:eastAsia="zh-CN"/>
        </w:rPr>
      </w:pPr>
      <w:r>
        <w:rPr>
          <w:rFonts w:hint="eastAsia"/>
          <w:color w:val="auto"/>
          <w:highlight w:val="none"/>
        </w:rPr>
        <w:t>生活垃圾分类收集点宜配备称重设备，形成垃圾分类收集管理台账。</w:t>
      </w:r>
    </w:p>
    <w:p w14:paraId="2EEF20D1">
      <w:pPr>
        <w:pStyle w:val="167"/>
        <w:rPr>
          <w:color w:val="auto"/>
        </w:rPr>
      </w:pPr>
      <w:r>
        <w:rPr>
          <w:rFonts w:hint="eastAsia"/>
          <w:color w:val="auto"/>
        </w:rPr>
        <w:t>医疗类机构生活垃圾分类收集点应与医疗垃圾收集点分别设置，严禁混杂收集。</w:t>
      </w:r>
    </w:p>
    <w:p w14:paraId="220CCCEC">
      <w:pPr>
        <w:pStyle w:val="167"/>
      </w:pPr>
      <w:r>
        <w:rPr>
          <w:rFonts w:hint="eastAsia"/>
        </w:rPr>
        <w:t>教育类机构生活垃圾分类收集点宜远离学生活动区域。</w:t>
      </w:r>
    </w:p>
    <w:p w14:paraId="61678CF8">
      <w:pPr>
        <w:pStyle w:val="106"/>
        <w:spacing w:before="312" w:after="312"/>
      </w:pPr>
      <w:bookmarkStart w:id="61" w:name="_Toc8613"/>
      <w:r>
        <w:rPr>
          <w:rFonts w:hint="eastAsia"/>
        </w:rPr>
        <w:t>分类运输</w:t>
      </w:r>
      <w:bookmarkEnd w:id="61"/>
    </w:p>
    <w:p w14:paraId="418D622F">
      <w:pPr>
        <w:pStyle w:val="107"/>
        <w:spacing w:before="156" w:after="156"/>
      </w:pPr>
      <w:bookmarkStart w:id="62" w:name="_Toc6417"/>
      <w:r>
        <w:rPr>
          <w:rFonts w:hint="eastAsia"/>
        </w:rPr>
        <w:t>一般规定</w:t>
      </w:r>
      <w:bookmarkEnd w:id="62"/>
    </w:p>
    <w:p w14:paraId="001E6B76">
      <w:pPr>
        <w:pStyle w:val="167"/>
      </w:pPr>
      <w:r>
        <w:rPr>
          <w:rFonts w:hint="eastAsia"/>
        </w:rPr>
        <w:t>生活垃圾运输应安全、及时、环保、高效，运输过程中防止造成二次污染。</w:t>
      </w:r>
    </w:p>
    <w:p w14:paraId="12822727">
      <w:pPr>
        <w:pStyle w:val="167"/>
      </w:pPr>
      <w:r>
        <w:rPr>
          <w:rFonts w:hint="eastAsia"/>
        </w:rPr>
        <w:t>运输车辆应当安装行驶及装卸记录仪，标示明显的生活垃圾分类标志，并保持车容整洁、车体完整、密闭无渗漏，宜选用节能环保的新能源车辆。</w:t>
      </w:r>
    </w:p>
    <w:p w14:paraId="565BC7A8">
      <w:pPr>
        <w:pStyle w:val="167"/>
      </w:pPr>
      <w:r>
        <w:rPr>
          <w:rFonts w:hint="eastAsia"/>
        </w:rPr>
        <w:t>生活垃圾运输应符合CJJ 205的规定。</w:t>
      </w:r>
    </w:p>
    <w:p w14:paraId="6CE38132">
      <w:pPr>
        <w:pStyle w:val="107"/>
        <w:spacing w:before="156" w:after="156"/>
      </w:pPr>
      <w:bookmarkStart w:id="63" w:name="_Toc12224"/>
      <w:r>
        <w:rPr>
          <w:rFonts w:hint="eastAsia"/>
        </w:rPr>
        <w:t>分类运输要求</w:t>
      </w:r>
      <w:bookmarkEnd w:id="63"/>
    </w:p>
    <w:p w14:paraId="0607EF9B">
      <w:pPr>
        <w:pStyle w:val="167"/>
      </w:pPr>
      <w:r>
        <w:rPr>
          <w:rFonts w:hint="eastAsia"/>
        </w:rPr>
        <w:t>生活垃圾分类运输实行分收分运，不得混装混运。</w:t>
      </w:r>
    </w:p>
    <w:p w14:paraId="32142F18">
      <w:pPr>
        <w:pStyle w:val="167"/>
      </w:pPr>
      <w:r>
        <w:rPr>
          <w:rFonts w:hint="eastAsia"/>
        </w:rPr>
        <w:t>可回收物应由具备相应资质的回收企业统一收运。</w:t>
      </w:r>
    </w:p>
    <w:p w14:paraId="3BBF796D">
      <w:pPr>
        <w:pStyle w:val="167"/>
      </w:pPr>
      <w:r>
        <w:rPr>
          <w:rFonts w:hint="eastAsia"/>
        </w:rPr>
        <w:t>厨余垃圾应由有资质的专业机构收运，做到日产日清。</w:t>
      </w:r>
    </w:p>
    <w:p w14:paraId="52C35791">
      <w:pPr>
        <w:pStyle w:val="167"/>
      </w:pPr>
      <w:r>
        <w:rPr>
          <w:rFonts w:hint="eastAsia"/>
        </w:rPr>
        <w:t>其他垃圾应由环卫系统收运。</w:t>
      </w:r>
    </w:p>
    <w:p w14:paraId="5F79C178">
      <w:pPr>
        <w:pStyle w:val="106"/>
        <w:spacing w:before="312" w:after="312"/>
      </w:pPr>
      <w:bookmarkStart w:id="64" w:name="_Toc18253"/>
      <w:r>
        <w:rPr>
          <w:rFonts w:hint="eastAsia"/>
        </w:rPr>
        <w:t>分类处置</w:t>
      </w:r>
      <w:bookmarkEnd w:id="64"/>
    </w:p>
    <w:p w14:paraId="4241E04B">
      <w:pPr>
        <w:pStyle w:val="107"/>
        <w:spacing w:before="156" w:after="156"/>
      </w:pPr>
      <w:bookmarkStart w:id="65" w:name="_Toc13961"/>
      <w:r>
        <w:rPr>
          <w:rFonts w:hint="eastAsia"/>
        </w:rPr>
        <w:t>一般规定</w:t>
      </w:r>
      <w:bookmarkEnd w:id="65"/>
    </w:p>
    <w:p w14:paraId="5E0D121F">
      <w:pPr>
        <w:pStyle w:val="167"/>
      </w:pPr>
      <w:r>
        <w:rPr>
          <w:rFonts w:hint="eastAsia"/>
        </w:rPr>
        <w:t>生活垃圾处置应按照减量化、资源化、无害化的原则，采用先进成熟的处理技术，提高资源化利用率。</w:t>
      </w:r>
    </w:p>
    <w:p w14:paraId="3E324655">
      <w:pPr>
        <w:pStyle w:val="167"/>
      </w:pPr>
      <w:r>
        <w:rPr>
          <w:rFonts w:hint="eastAsia"/>
        </w:rPr>
        <w:t>生活垃圾处理过程中排放的废水、废气、废渣等污染物应当达到国家和河北省排放标准要求。</w:t>
      </w:r>
    </w:p>
    <w:p w14:paraId="2C50AF5B">
      <w:pPr>
        <w:pStyle w:val="107"/>
        <w:spacing w:before="156" w:after="156"/>
      </w:pPr>
      <w:bookmarkStart w:id="66" w:name="_Toc11554"/>
      <w:r>
        <w:rPr>
          <w:rFonts w:hint="eastAsia"/>
        </w:rPr>
        <w:t>分类处置要求</w:t>
      </w:r>
      <w:bookmarkEnd w:id="66"/>
    </w:p>
    <w:p w14:paraId="55E08CF1">
      <w:pPr>
        <w:pStyle w:val="167"/>
      </w:pPr>
      <w:r>
        <w:rPr>
          <w:rFonts w:hint="eastAsia"/>
        </w:rPr>
        <w:t>可回收物具备相应资质的回收企业负责进行分拣、资源化处理。</w:t>
      </w:r>
    </w:p>
    <w:p w14:paraId="2301D82D">
      <w:pPr>
        <w:pStyle w:val="167"/>
      </w:pPr>
      <w:r>
        <w:rPr>
          <w:rFonts w:hint="eastAsia"/>
        </w:rPr>
        <w:t>有害垃圾应由具有相应危险废物经营许可资质的企业进行无害化处理。</w:t>
      </w:r>
    </w:p>
    <w:p w14:paraId="7E031E84">
      <w:pPr>
        <w:pStyle w:val="167"/>
      </w:pPr>
      <w:r>
        <w:rPr>
          <w:rFonts w:hint="eastAsia"/>
        </w:rPr>
        <w:t>配备厨余垃圾处理设备的公共机构，厨余垃圾应就地处理，未配备厨余垃圾处理设备的，厨余垃圾应由有资质的专业机构进行资源化、无害化处理。</w:t>
      </w:r>
    </w:p>
    <w:p w14:paraId="69D522E9">
      <w:pPr>
        <w:pStyle w:val="167"/>
      </w:pPr>
      <w:r>
        <w:rPr>
          <w:rFonts w:hint="eastAsia"/>
        </w:rPr>
        <w:t>其他垃圾应由环卫系统采用焚烧、填埋等方式实施无害化处理。</w:t>
      </w:r>
    </w:p>
    <w:p w14:paraId="3C123EF7">
      <w:pPr>
        <w:rPr>
          <w:color w:val="FF0000"/>
        </w:rPr>
      </w:pPr>
      <w:r>
        <w:rPr>
          <w:color w:val="FF0000"/>
        </w:rPr>
        <w:br w:type="page"/>
      </w:r>
    </w:p>
    <w:bookmarkEnd w:id="25"/>
    <w:p w14:paraId="0F2A02B5">
      <w:pPr>
        <w:pStyle w:val="65"/>
        <w:spacing w:after="156"/>
        <w:rPr>
          <w:color w:val="auto"/>
          <w:highlight w:val="none"/>
        </w:rPr>
      </w:pPr>
      <w:bookmarkStart w:id="67" w:name="_Toc2717"/>
      <w:bookmarkStart w:id="68" w:name="BookMark6"/>
      <w:r>
        <w:rPr>
          <w:rFonts w:hint="eastAsia"/>
          <w:color w:val="auto"/>
          <w:spacing w:val="105"/>
          <w:highlight w:val="none"/>
        </w:rPr>
        <w:t>参考文</w:t>
      </w:r>
      <w:r>
        <w:rPr>
          <w:rFonts w:hint="eastAsia"/>
          <w:color w:val="auto"/>
          <w:highlight w:val="none"/>
        </w:rPr>
        <w:t>献</w:t>
      </w:r>
      <w:bookmarkEnd w:id="67"/>
    </w:p>
    <w:p w14:paraId="16223EC5">
      <w:pPr>
        <w:pStyle w:val="58"/>
        <w:ind w:firstLine="420"/>
        <w:rPr>
          <w:color w:val="auto"/>
        </w:rPr>
      </w:pPr>
      <w:r>
        <w:rPr>
          <w:rFonts w:hint="eastAsia"/>
          <w:color w:val="auto"/>
          <w:highlight w:val="none"/>
        </w:rPr>
        <w:t>[</w:t>
      </w:r>
      <w:r>
        <w:rPr>
          <w:rFonts w:hint="eastAsia"/>
          <w:color w:val="auto"/>
          <w:highlight w:val="none"/>
          <w:lang w:val="en-US" w:eastAsia="zh-CN"/>
        </w:rPr>
        <w:t>1</w:t>
      </w:r>
      <w:r>
        <w:rPr>
          <w:rFonts w:hint="eastAsia"/>
          <w:color w:val="auto"/>
          <w:highlight w:val="none"/>
        </w:rPr>
        <w:t xml:space="preserve">] </w:t>
      </w:r>
      <w:r>
        <w:rPr>
          <w:rFonts w:hint="default"/>
          <w:color w:val="auto"/>
          <w:lang w:val="en-US" w:eastAsia="zh-CN"/>
        </w:rPr>
        <w:t>《关于做好公共机构生活垃圾分类近期重点工作的通知》（国管办发（2021）4号</w:t>
      </w:r>
      <w:r>
        <w:rPr>
          <w:rFonts w:hint="eastAsia"/>
          <w:color w:val="auto"/>
          <w:lang w:val="en-US" w:eastAsia="zh-CN"/>
        </w:rPr>
        <w:t>）</w:t>
      </w:r>
    </w:p>
    <w:p w14:paraId="1827C9DE">
      <w:pPr>
        <w:pStyle w:val="58"/>
        <w:ind w:firstLine="420"/>
        <w:rPr>
          <w:rFonts w:hint="eastAsia" w:eastAsia="宋体"/>
          <w:color w:val="auto"/>
          <w:highlight w:val="none"/>
          <w:lang w:eastAsia="zh-CN"/>
        </w:rPr>
      </w:pPr>
      <w:r>
        <w:rPr>
          <w:rFonts w:hint="eastAsia"/>
          <w:color w:val="auto"/>
          <w:highlight w:val="none"/>
        </w:rPr>
        <w:t>[</w:t>
      </w:r>
      <w:r>
        <w:rPr>
          <w:rFonts w:hint="eastAsia"/>
          <w:color w:val="auto"/>
          <w:highlight w:val="none"/>
          <w:lang w:val="en-US" w:eastAsia="zh-CN"/>
        </w:rPr>
        <w:t>2</w:t>
      </w:r>
      <w:r>
        <w:rPr>
          <w:rFonts w:hint="eastAsia"/>
          <w:color w:val="auto"/>
          <w:highlight w:val="none"/>
        </w:rPr>
        <w:t>]</w:t>
      </w:r>
      <w:r>
        <w:rPr>
          <w:rFonts w:hint="eastAsia"/>
          <w:color w:val="auto"/>
          <w:highlight w:val="none"/>
        </w:rPr>
        <w:t xml:space="preserve"> </w:t>
      </w:r>
      <w:r>
        <w:rPr>
          <w:rFonts w:hint="eastAsia"/>
          <w:color w:val="auto"/>
          <w:highlight w:val="none"/>
          <w:lang w:val="en-US" w:eastAsia="zh-CN"/>
        </w:rPr>
        <w:t>关于进一步推动公共机构生活垃圾分类工作的通知</w:t>
      </w:r>
      <w:r>
        <w:rPr>
          <w:rFonts w:hint="eastAsia"/>
          <w:color w:val="auto"/>
          <w:highlight w:val="none"/>
          <w:lang w:eastAsia="zh-CN"/>
        </w:rPr>
        <w:t>（</w:t>
      </w:r>
      <w:r>
        <w:rPr>
          <w:rFonts w:hint="eastAsia"/>
          <w:color w:val="auto"/>
          <w:highlight w:val="none"/>
        </w:rPr>
        <w:t>国管办发〔20</w:t>
      </w:r>
      <w:r>
        <w:rPr>
          <w:color w:val="auto"/>
          <w:highlight w:val="none"/>
        </w:rPr>
        <w:t>19</w:t>
      </w:r>
      <w:r>
        <w:rPr>
          <w:rFonts w:hint="eastAsia"/>
          <w:color w:val="auto"/>
          <w:highlight w:val="none"/>
        </w:rPr>
        <w:t>〕31号</w:t>
      </w:r>
      <w:r>
        <w:rPr>
          <w:rFonts w:hint="eastAsia"/>
          <w:color w:val="auto"/>
          <w:highlight w:val="none"/>
          <w:lang w:eastAsia="zh-CN"/>
        </w:rPr>
        <w:t>）</w:t>
      </w:r>
    </w:p>
    <w:p w14:paraId="2215C331">
      <w:pPr>
        <w:pStyle w:val="58"/>
        <w:ind w:firstLine="420"/>
        <w:rPr>
          <w:rFonts w:hint="eastAsia"/>
          <w:color w:val="auto"/>
          <w:highlight w:val="none"/>
          <w:lang w:val="en-US" w:eastAsia="zh-CN"/>
        </w:rPr>
      </w:pPr>
      <w:r>
        <w:rPr>
          <w:rFonts w:hint="eastAsia"/>
          <w:color w:val="auto"/>
          <w:highlight w:val="none"/>
        </w:rPr>
        <w:t>[</w:t>
      </w:r>
      <w:r>
        <w:rPr>
          <w:rFonts w:hint="eastAsia"/>
          <w:color w:val="auto"/>
          <w:highlight w:val="none"/>
          <w:lang w:val="en-US" w:eastAsia="zh-CN"/>
        </w:rPr>
        <w:t>3</w:t>
      </w:r>
      <w:r>
        <w:rPr>
          <w:rFonts w:hint="eastAsia"/>
          <w:color w:val="auto"/>
          <w:highlight w:val="none"/>
        </w:rPr>
        <w:t>]</w:t>
      </w:r>
      <w:r>
        <w:rPr>
          <w:rFonts w:hint="eastAsia"/>
          <w:color w:val="auto"/>
          <w:highlight w:val="none"/>
          <w:lang w:val="en-US" w:eastAsia="zh-CN"/>
        </w:rPr>
        <w:t xml:space="preserve"> 河北省城乡生活垃圾分类管理条例</w:t>
      </w:r>
    </w:p>
    <w:p w14:paraId="6140B942">
      <w:pPr>
        <w:pStyle w:val="58"/>
        <w:ind w:firstLine="420"/>
        <w:rPr>
          <w:rFonts w:hint="eastAsia" w:eastAsia="宋体"/>
          <w:color w:val="auto"/>
          <w:highlight w:val="none"/>
          <w:lang w:eastAsia="zh-CN"/>
        </w:rPr>
      </w:pPr>
      <w:r>
        <w:rPr>
          <w:rFonts w:hint="eastAsia"/>
          <w:color w:val="auto"/>
          <w:highlight w:val="none"/>
        </w:rPr>
        <w:t>[</w:t>
      </w:r>
      <w:r>
        <w:rPr>
          <w:rFonts w:hint="eastAsia"/>
          <w:color w:val="auto"/>
          <w:highlight w:val="none"/>
          <w:lang w:val="en-US" w:eastAsia="zh-CN"/>
        </w:rPr>
        <w:t>4</w:t>
      </w:r>
      <w:r>
        <w:rPr>
          <w:rFonts w:hint="eastAsia"/>
          <w:color w:val="auto"/>
          <w:highlight w:val="none"/>
        </w:rPr>
        <w:t>]</w:t>
      </w:r>
      <w:r>
        <w:rPr>
          <w:rFonts w:hint="eastAsia"/>
          <w:color w:val="auto"/>
          <w:highlight w:val="none"/>
        </w:rPr>
        <w:t xml:space="preserve"> 河北省公共机构生活垃圾分类达标标准</w:t>
      </w:r>
      <w:r>
        <w:rPr>
          <w:rFonts w:hint="eastAsia"/>
          <w:color w:val="auto"/>
          <w:highlight w:val="none"/>
          <w:lang w:val="en-US" w:eastAsia="zh-CN"/>
        </w:rPr>
        <w:t>(</w:t>
      </w:r>
      <w:r>
        <w:rPr>
          <w:rFonts w:hint="eastAsia"/>
          <w:color w:val="auto"/>
          <w:highlight w:val="none"/>
        </w:rPr>
        <w:t xml:space="preserve">冀事管〔2023〕53号 </w:t>
      </w:r>
      <w:r>
        <w:rPr>
          <w:rFonts w:hint="eastAsia"/>
          <w:color w:val="auto"/>
          <w:highlight w:val="none"/>
          <w:lang w:val="en-US" w:eastAsia="zh-CN"/>
        </w:rPr>
        <w:t>)</w:t>
      </w:r>
    </w:p>
    <w:p w14:paraId="1C3458DC">
      <w:pPr>
        <w:pStyle w:val="58"/>
        <w:ind w:firstLine="420"/>
        <w:rPr>
          <w:color w:val="auto"/>
        </w:rPr>
      </w:pPr>
    </w:p>
    <w:bookmarkEnd w:id="68"/>
    <w:p w14:paraId="10326C1D">
      <w:pPr>
        <w:pStyle w:val="58"/>
        <w:ind w:firstLine="0" w:firstLineChars="0"/>
        <w:jc w:val="center"/>
        <w:rPr>
          <w:color w:val="auto"/>
        </w:rPr>
      </w:pPr>
      <w:bookmarkStart w:id="69" w:name="BookMark8"/>
      <w:r>
        <w:rPr>
          <w:color w:val="auto"/>
        </w:rPr>
        <w:drawing>
          <wp:inline distT="0" distB="0" distL="0" distR="0">
            <wp:extent cx="1485900" cy="317500"/>
            <wp:effectExtent l="0" t="0" r="0" b="6350"/>
            <wp:docPr id="23" name="图片 23"/>
            <wp:cNvGraphicFramePr/>
            <a:graphic xmlns:a="http://schemas.openxmlformats.org/drawingml/2006/main">
              <a:graphicData uri="http://schemas.openxmlformats.org/drawingml/2006/picture">
                <pic:pic xmlns:pic="http://schemas.openxmlformats.org/drawingml/2006/picture">
                  <pic:nvPicPr>
                    <pic:cNvPr id="23" name="图片 23"/>
                    <pic:cNvPicPr/>
                  </pic:nvPicPr>
                  <pic:blipFill>
                    <a:blip r:embed="rId15">
                      <a:extLst>
                        <a:ext uri="{28A0092B-C50C-407E-A947-70E740481C1C}">
                          <a14:useLocalDpi xmlns:a14="http://schemas.microsoft.com/office/drawing/2010/main" val="0"/>
                        </a:ext>
                      </a:extLst>
                    </a:blip>
                    <a:stretch>
                      <a:fillRect/>
                    </a:stretch>
                  </pic:blipFill>
                  <pic:spPr>
                    <a:xfrm>
                      <a:off x="0" y="0"/>
                      <a:ext cx="1485900" cy="317500"/>
                    </a:xfrm>
                    <a:prstGeom prst="rect">
                      <a:avLst/>
                    </a:prstGeom>
                  </pic:spPr>
                </pic:pic>
              </a:graphicData>
            </a:graphic>
          </wp:inline>
        </w:drawing>
      </w:r>
      <w:bookmarkEnd w:id="69"/>
    </w:p>
    <w:sectPr>
      <w:pgSz w:w="11906" w:h="16838"/>
      <w:pgMar w:top="1928" w:right="1134" w:bottom="1134" w:left="1134" w:header="1418" w:footer="1134" w:gutter="284"/>
      <w:pgBorders>
        <w:top w:val="none" w:sz="0" w:space="0"/>
        <w:left w:val="none" w:sz="0" w:space="0"/>
        <w:bottom w:val="none" w:sz="0" w:space="0"/>
        <w:right w:val="none" w:sz="0" w:space="0"/>
      </w:pgBorders>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F2F829">
    <w:pPr>
      <w:pStyle w:val="18"/>
    </w:pPr>
    <w:r>
      <w:fldChar w:fldCharType="begin"/>
    </w:r>
    <w:r>
      <w:instrText xml:space="preserve">PAGE   \* MERGEFORMAT</w:instrText>
    </w:r>
    <w:r>
      <w:fldChar w:fldCharType="separate"/>
    </w:r>
    <w:r>
      <w:rPr>
        <w:lang w:val="zh-CN"/>
      </w:rPr>
      <w:t>2</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80FD7D">
    <w:pPr>
      <w:pStyle w:val="18"/>
      <w:ind w:right="720"/>
      <w:jc w:val="both"/>
      <w:rPr>
        <w:sz w:val="2"/>
        <w:szCs w:val="2"/>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AAC48A6">
    <w:pPr>
      <w:pStyle w:val="54"/>
    </w:pPr>
    <w:r>
      <w:fldChar w:fldCharType="begin"/>
    </w:r>
    <w:r>
      <w:instrText xml:space="preserve">PAGE   \* MERGEFORMAT</w:instrText>
    </w:r>
    <w:r>
      <w:fldChar w:fldCharType="separate"/>
    </w:r>
    <w:r>
      <w:rPr>
        <w:lang w:val="zh-CN"/>
      </w:rPr>
      <w:t>6</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6888A0">
    <w:pPr>
      <w:pStyle w:val="19"/>
      <w:wordWrap w:val="0"/>
      <w:jc w:val="right"/>
      <w:rPr>
        <w:rFonts w:hint="eastAsia"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A71831">
    <w:pPr>
      <w:pStyle w:val="19"/>
      <w:jc w:val="both"/>
      <w:rPr>
        <w:sz w:val="2"/>
        <w:szCs w:val="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1A3FF9">
    <w:pPr>
      <w:pStyle w:val="63"/>
      <w:rPr>
        <w:rFonts w:hint="eastAsia"/>
      </w:rPr>
    </w:pPr>
    <w:r>
      <w:fldChar w:fldCharType="begin"/>
    </w:r>
    <w:r>
      <w:instrText xml:space="preserve"> STYLEREF  标准文件_文件编号  \* MERGEFORMAT </w:instrText>
    </w:r>
    <w:r>
      <w:fldChar w:fldCharType="separate"/>
    </w:r>
    <w:r>
      <w:t>DB 13/T XXXX—XXXX</w:t>
    </w:r>
    <w:r>
      <w:fldChar w:fldCharType="end"/>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53F375">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13/T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attachedTemplate r:id="rId1"/>
  <w:documentProtection w:edit="forms" w:enforcement="1" w:cryptProviderType="rsaAES" w:cryptAlgorithmClass="hash" w:cryptAlgorithmType="typeAny" w:cryptAlgorithmSid="14" w:cryptSpinCount="100000" w:hash="Td4k68pBRHqdqXwN8rbOAcOZ5TnFqiX+T6M9UjoRg2rY6LUzgRe/Gk6eUYE1QxTkVohsOs/Na/buJkFN5cQuhg==" w:salt="RDA78vvr+178KKSfB/dyfA=="/>
  <w:defaultTabStop w:val="420"/>
  <w:drawingGridHorizontalSpacing w:val="105"/>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DFlOWU0YjAyZTNiODI5N2U3MGM3OTA0MjU2NjZmYWMifQ=="/>
  </w:docVars>
  <w:rsids>
    <w:rsidRoot w:val="008A419C"/>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4C9E"/>
    <w:rsid w:val="000E6FD7"/>
    <w:rsid w:val="000F06E1"/>
    <w:rsid w:val="000F0E3C"/>
    <w:rsid w:val="000F19D5"/>
    <w:rsid w:val="000F4AEA"/>
    <w:rsid w:val="000F633F"/>
    <w:rsid w:val="000F67E9"/>
    <w:rsid w:val="00103808"/>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3E0"/>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85F"/>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2EC1"/>
    <w:rsid w:val="002B4508"/>
    <w:rsid w:val="002B5779"/>
    <w:rsid w:val="002B7332"/>
    <w:rsid w:val="002B7F51"/>
    <w:rsid w:val="002C09E7"/>
    <w:rsid w:val="002C1E06"/>
    <w:rsid w:val="002C1E1C"/>
    <w:rsid w:val="002C3F07"/>
    <w:rsid w:val="002C5278"/>
    <w:rsid w:val="002C7EBB"/>
    <w:rsid w:val="002D06C1"/>
    <w:rsid w:val="002D0FA2"/>
    <w:rsid w:val="002D42B5"/>
    <w:rsid w:val="002D4F1A"/>
    <w:rsid w:val="002D6EC6"/>
    <w:rsid w:val="002D79AC"/>
    <w:rsid w:val="002E039D"/>
    <w:rsid w:val="002E3494"/>
    <w:rsid w:val="002E4D5A"/>
    <w:rsid w:val="002E6326"/>
    <w:rsid w:val="002F30E0"/>
    <w:rsid w:val="002F35E4"/>
    <w:rsid w:val="002F3730"/>
    <w:rsid w:val="002F38E1"/>
    <w:rsid w:val="002F7138"/>
    <w:rsid w:val="002F7AF6"/>
    <w:rsid w:val="00300E63"/>
    <w:rsid w:val="00302F5F"/>
    <w:rsid w:val="0030441D"/>
    <w:rsid w:val="00306063"/>
    <w:rsid w:val="00313B85"/>
    <w:rsid w:val="00317988"/>
    <w:rsid w:val="003221B4"/>
    <w:rsid w:val="0032258D"/>
    <w:rsid w:val="00322E62"/>
    <w:rsid w:val="00324D13"/>
    <w:rsid w:val="00324D2A"/>
    <w:rsid w:val="00324EDD"/>
    <w:rsid w:val="00332F66"/>
    <w:rsid w:val="003331E4"/>
    <w:rsid w:val="00336C64"/>
    <w:rsid w:val="00337162"/>
    <w:rsid w:val="0034194F"/>
    <w:rsid w:val="00344605"/>
    <w:rsid w:val="003474AA"/>
    <w:rsid w:val="00350D1D"/>
    <w:rsid w:val="00352C83"/>
    <w:rsid w:val="003615D2"/>
    <w:rsid w:val="00362C2C"/>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3FC1"/>
    <w:rsid w:val="00484936"/>
    <w:rsid w:val="00485C89"/>
    <w:rsid w:val="00486BE3"/>
    <w:rsid w:val="004905E4"/>
    <w:rsid w:val="00490A89"/>
    <w:rsid w:val="00490AB4"/>
    <w:rsid w:val="00492F02"/>
    <w:rsid w:val="004939AE"/>
    <w:rsid w:val="004A0A46"/>
    <w:rsid w:val="004A12DF"/>
    <w:rsid w:val="004A17E6"/>
    <w:rsid w:val="004A1BA8"/>
    <w:rsid w:val="004A4B57"/>
    <w:rsid w:val="004A63FA"/>
    <w:rsid w:val="004B0272"/>
    <w:rsid w:val="004B0F1F"/>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48E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5F5EF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3253"/>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605C"/>
    <w:rsid w:val="00707669"/>
    <w:rsid w:val="00711CBA"/>
    <w:rsid w:val="00711FB5"/>
    <w:rsid w:val="00712A01"/>
    <w:rsid w:val="00714F58"/>
    <w:rsid w:val="00722FBF"/>
    <w:rsid w:val="00722FC2"/>
    <w:rsid w:val="00724879"/>
    <w:rsid w:val="00724E1B"/>
    <w:rsid w:val="00725949"/>
    <w:rsid w:val="00727FA2"/>
    <w:rsid w:val="007322D9"/>
    <w:rsid w:val="00732BC0"/>
    <w:rsid w:val="00732BE2"/>
    <w:rsid w:val="0073720F"/>
    <w:rsid w:val="00737796"/>
    <w:rsid w:val="0074165C"/>
    <w:rsid w:val="00742C35"/>
    <w:rsid w:val="007432CA"/>
    <w:rsid w:val="007439EB"/>
    <w:rsid w:val="00743CB4"/>
    <w:rsid w:val="00743F0A"/>
    <w:rsid w:val="007444E8"/>
    <w:rsid w:val="007445F5"/>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9EB"/>
    <w:rsid w:val="00773C1F"/>
    <w:rsid w:val="00774DA4"/>
    <w:rsid w:val="00776599"/>
    <w:rsid w:val="0078114B"/>
    <w:rsid w:val="00781DD2"/>
    <w:rsid w:val="00783ECF"/>
    <w:rsid w:val="0078413A"/>
    <w:rsid w:val="00793AA6"/>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419C"/>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3ED"/>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9F1625"/>
    <w:rsid w:val="00A0096C"/>
    <w:rsid w:val="00A01757"/>
    <w:rsid w:val="00A028C0"/>
    <w:rsid w:val="00A02BAE"/>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2976"/>
    <w:rsid w:val="00AD4126"/>
    <w:rsid w:val="00AD421C"/>
    <w:rsid w:val="00AD44E5"/>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55F2"/>
    <w:rsid w:val="00B4654C"/>
    <w:rsid w:val="00B46AF0"/>
    <w:rsid w:val="00B47293"/>
    <w:rsid w:val="00B50E50"/>
    <w:rsid w:val="00B52120"/>
    <w:rsid w:val="00B5310A"/>
    <w:rsid w:val="00B54ABC"/>
    <w:rsid w:val="00B54DDE"/>
    <w:rsid w:val="00B56FBE"/>
    <w:rsid w:val="00B60ACF"/>
    <w:rsid w:val="00B62B58"/>
    <w:rsid w:val="00B65149"/>
    <w:rsid w:val="00B66567"/>
    <w:rsid w:val="00B66F52"/>
    <w:rsid w:val="00B66FE5"/>
    <w:rsid w:val="00B71103"/>
    <w:rsid w:val="00B72880"/>
    <w:rsid w:val="00B758BF"/>
    <w:rsid w:val="00B77EC8"/>
    <w:rsid w:val="00B827A6"/>
    <w:rsid w:val="00B831CE"/>
    <w:rsid w:val="00B86677"/>
    <w:rsid w:val="00B86ED3"/>
    <w:rsid w:val="00B87131"/>
    <w:rsid w:val="00B939B1"/>
    <w:rsid w:val="00B96D40"/>
    <w:rsid w:val="00B97386"/>
    <w:rsid w:val="00BA263B"/>
    <w:rsid w:val="00BA42B2"/>
    <w:rsid w:val="00BA58D4"/>
    <w:rsid w:val="00BA5B9E"/>
    <w:rsid w:val="00BA7C9A"/>
    <w:rsid w:val="00BB203B"/>
    <w:rsid w:val="00BB5F8F"/>
    <w:rsid w:val="00BB657A"/>
    <w:rsid w:val="00BC1A4E"/>
    <w:rsid w:val="00BC226F"/>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6108"/>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97AE5"/>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86844"/>
    <w:rsid w:val="00E90391"/>
    <w:rsid w:val="00E906C2"/>
    <w:rsid w:val="00E9311F"/>
    <w:rsid w:val="00E934D1"/>
    <w:rsid w:val="00E9441E"/>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01776151"/>
    <w:rsid w:val="02105DD0"/>
    <w:rsid w:val="021876EC"/>
    <w:rsid w:val="029A5C54"/>
    <w:rsid w:val="04A23748"/>
    <w:rsid w:val="054364BD"/>
    <w:rsid w:val="05766AC6"/>
    <w:rsid w:val="076A3EAF"/>
    <w:rsid w:val="077961C6"/>
    <w:rsid w:val="0A4C631C"/>
    <w:rsid w:val="0B0A6214"/>
    <w:rsid w:val="0C721436"/>
    <w:rsid w:val="0D1C7D1F"/>
    <w:rsid w:val="0D5F1DE4"/>
    <w:rsid w:val="0D98311E"/>
    <w:rsid w:val="0FAE4E7B"/>
    <w:rsid w:val="10EA3C90"/>
    <w:rsid w:val="11936395"/>
    <w:rsid w:val="13CF6D76"/>
    <w:rsid w:val="144858E1"/>
    <w:rsid w:val="1BA54B95"/>
    <w:rsid w:val="1C5805BC"/>
    <w:rsid w:val="1EAF0B6B"/>
    <w:rsid w:val="1EAF13E7"/>
    <w:rsid w:val="2045230B"/>
    <w:rsid w:val="21D778C1"/>
    <w:rsid w:val="23067B68"/>
    <w:rsid w:val="23152DEF"/>
    <w:rsid w:val="25A16BBC"/>
    <w:rsid w:val="265953F1"/>
    <w:rsid w:val="26AD40BA"/>
    <w:rsid w:val="26EB4066"/>
    <w:rsid w:val="271C1E45"/>
    <w:rsid w:val="29EE2D37"/>
    <w:rsid w:val="2A58372E"/>
    <w:rsid w:val="2A5E1E5B"/>
    <w:rsid w:val="2C9F7BCD"/>
    <w:rsid w:val="2EFE0BDB"/>
    <w:rsid w:val="2F155AE1"/>
    <w:rsid w:val="2FFC2EF1"/>
    <w:rsid w:val="30006650"/>
    <w:rsid w:val="311E2606"/>
    <w:rsid w:val="33866EEB"/>
    <w:rsid w:val="356674DA"/>
    <w:rsid w:val="3648701C"/>
    <w:rsid w:val="38DE55D9"/>
    <w:rsid w:val="39241EEA"/>
    <w:rsid w:val="39527481"/>
    <w:rsid w:val="3B9E3980"/>
    <w:rsid w:val="3D392F26"/>
    <w:rsid w:val="3DDBEF7D"/>
    <w:rsid w:val="3EA22D4F"/>
    <w:rsid w:val="3EB3083E"/>
    <w:rsid w:val="3EF56D6A"/>
    <w:rsid w:val="3EFEA27A"/>
    <w:rsid w:val="3F5C2AEC"/>
    <w:rsid w:val="411916CF"/>
    <w:rsid w:val="419775EC"/>
    <w:rsid w:val="41FB7100"/>
    <w:rsid w:val="427A3F6E"/>
    <w:rsid w:val="44627A06"/>
    <w:rsid w:val="44B91E28"/>
    <w:rsid w:val="44D13EAC"/>
    <w:rsid w:val="45E73BDD"/>
    <w:rsid w:val="46CE1A17"/>
    <w:rsid w:val="4763347D"/>
    <w:rsid w:val="48FD4465"/>
    <w:rsid w:val="493E586F"/>
    <w:rsid w:val="4A221B9F"/>
    <w:rsid w:val="4BC6651B"/>
    <w:rsid w:val="4C1C4940"/>
    <w:rsid w:val="4F837A11"/>
    <w:rsid w:val="501F0559"/>
    <w:rsid w:val="5021695E"/>
    <w:rsid w:val="527D6257"/>
    <w:rsid w:val="527F1783"/>
    <w:rsid w:val="5405373E"/>
    <w:rsid w:val="54857FA5"/>
    <w:rsid w:val="56151416"/>
    <w:rsid w:val="565277E4"/>
    <w:rsid w:val="567C5353"/>
    <w:rsid w:val="56B6734F"/>
    <w:rsid w:val="56D646C2"/>
    <w:rsid w:val="570B765D"/>
    <w:rsid w:val="581D1822"/>
    <w:rsid w:val="594A6647"/>
    <w:rsid w:val="59707804"/>
    <w:rsid w:val="5A8930DD"/>
    <w:rsid w:val="5AC05FB2"/>
    <w:rsid w:val="5B357F7A"/>
    <w:rsid w:val="5E5B12F6"/>
    <w:rsid w:val="5E91F1C7"/>
    <w:rsid w:val="5FFB68ED"/>
    <w:rsid w:val="5FFF445D"/>
    <w:rsid w:val="60237551"/>
    <w:rsid w:val="61021EFD"/>
    <w:rsid w:val="620402C2"/>
    <w:rsid w:val="63D56FFD"/>
    <w:rsid w:val="66D85CF9"/>
    <w:rsid w:val="69CC4E56"/>
    <w:rsid w:val="6B5A722E"/>
    <w:rsid w:val="6BE90645"/>
    <w:rsid w:val="6C094140"/>
    <w:rsid w:val="6C392EE6"/>
    <w:rsid w:val="6C6A0E2B"/>
    <w:rsid w:val="6CBDE781"/>
    <w:rsid w:val="6CC273DE"/>
    <w:rsid w:val="6D6E300C"/>
    <w:rsid w:val="6FAF4DC4"/>
    <w:rsid w:val="6FDC72A3"/>
    <w:rsid w:val="70575CD1"/>
    <w:rsid w:val="70ED6996"/>
    <w:rsid w:val="71E237B3"/>
    <w:rsid w:val="739A6F39"/>
    <w:rsid w:val="75AF26A1"/>
    <w:rsid w:val="7695650C"/>
    <w:rsid w:val="774D7924"/>
    <w:rsid w:val="77C013CA"/>
    <w:rsid w:val="77F4295D"/>
    <w:rsid w:val="77FA638A"/>
    <w:rsid w:val="77FFA96F"/>
    <w:rsid w:val="786C0252"/>
    <w:rsid w:val="79426C99"/>
    <w:rsid w:val="7B4593FD"/>
    <w:rsid w:val="7CFE2A28"/>
    <w:rsid w:val="7D592B95"/>
    <w:rsid w:val="7EFFB558"/>
    <w:rsid w:val="7FCD38DE"/>
    <w:rsid w:val="7FFA1FE9"/>
    <w:rsid w:val="9DF10F84"/>
    <w:rsid w:val="BE7B0A02"/>
    <w:rsid w:val="BFF1A9C5"/>
    <w:rsid w:val="D5FB6D7B"/>
    <w:rsid w:val="DFAD77DF"/>
    <w:rsid w:val="F575E871"/>
    <w:rsid w:val="FEDFC5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semiHidden/>
    <w:unhideWhenUsed/>
    <w:qFormat/>
    <w:uiPriority w:val="99"/>
    <w:pPr>
      <w:jc w:val="left"/>
    </w:pPr>
  </w:style>
  <w:style w:type="paragraph" w:styleId="14">
    <w:name w:val="Body Text"/>
    <w:basedOn w:val="1"/>
    <w:link w:val="88"/>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semiHidden/>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50"/>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annotation reference"/>
    <w:basedOn w:val="29"/>
    <w:semiHidden/>
    <w:unhideWhenUsed/>
    <w:qFormat/>
    <w:uiPriority w:val="99"/>
    <w:rPr>
      <w:sz w:val="21"/>
      <w:szCs w:val="21"/>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b/>
      <w:bCs/>
      <w:kern w:val="44"/>
      <w:sz w:val="44"/>
      <w:szCs w:val="44"/>
    </w:rPr>
  </w:style>
  <w:style w:type="character" w:customStyle="1" w:styleId="37">
    <w:name w:val="标题 2 字符"/>
    <w:link w:val="3"/>
    <w:qFormat/>
    <w:uiPriority w:val="0"/>
    <w:rPr>
      <w:rFonts w:ascii="Arial" w:hAnsi="Arial" w:eastAsia="黑体"/>
      <w:b/>
      <w:bCs/>
      <w:kern w:val="2"/>
      <w:sz w:val="32"/>
      <w:szCs w:val="32"/>
    </w:rPr>
  </w:style>
  <w:style w:type="character" w:customStyle="1" w:styleId="38">
    <w:name w:val="标题 3 字符"/>
    <w:link w:val="4"/>
    <w:qFormat/>
    <w:uiPriority w:val="0"/>
    <w:rPr>
      <w:b/>
      <w:bCs/>
      <w:kern w:val="2"/>
      <w:sz w:val="32"/>
      <w:szCs w:val="32"/>
    </w:rPr>
  </w:style>
  <w:style w:type="character" w:customStyle="1" w:styleId="39">
    <w:name w:val="标题 4 字符"/>
    <w:link w:val="5"/>
    <w:qFormat/>
    <w:uiPriority w:val="0"/>
    <w:rPr>
      <w:rFonts w:ascii="Arial" w:hAnsi="Arial" w:eastAsia="黑体"/>
      <w:b/>
      <w:bCs/>
      <w:kern w:val="2"/>
      <w:sz w:val="28"/>
      <w:szCs w:val="28"/>
    </w:rPr>
  </w:style>
  <w:style w:type="character" w:customStyle="1" w:styleId="40">
    <w:name w:val="标题 5 字符"/>
    <w:link w:val="6"/>
    <w:qFormat/>
    <w:uiPriority w:val="0"/>
    <w:rPr>
      <w:b/>
      <w:bCs/>
      <w:kern w:val="2"/>
      <w:sz w:val="28"/>
      <w:szCs w:val="28"/>
    </w:rPr>
  </w:style>
  <w:style w:type="character" w:customStyle="1" w:styleId="41">
    <w:name w:val="标题 6 字符"/>
    <w:link w:val="7"/>
    <w:qFormat/>
    <w:uiPriority w:val="0"/>
    <w:rPr>
      <w:rFonts w:ascii="Arial" w:hAnsi="Arial" w:eastAsia="黑体"/>
      <w:b/>
      <w:bCs/>
      <w:kern w:val="2"/>
      <w:sz w:val="24"/>
      <w:szCs w:val="24"/>
    </w:rPr>
  </w:style>
  <w:style w:type="character" w:customStyle="1" w:styleId="42">
    <w:name w:val="标题 7 字符"/>
    <w:link w:val="8"/>
    <w:qFormat/>
    <w:uiPriority w:val="0"/>
    <w:rPr>
      <w:b/>
      <w:bCs/>
      <w:kern w:val="2"/>
      <w:sz w:val="24"/>
      <w:szCs w:val="24"/>
    </w:rPr>
  </w:style>
  <w:style w:type="character" w:customStyle="1" w:styleId="43">
    <w:name w:val="标题 8 字符"/>
    <w:link w:val="9"/>
    <w:qFormat/>
    <w:uiPriority w:val="0"/>
    <w:rPr>
      <w:rFonts w:ascii="Arial" w:hAnsi="Arial" w:eastAsia="黑体"/>
      <w:kern w:val="2"/>
      <w:sz w:val="24"/>
      <w:szCs w:val="24"/>
    </w:rPr>
  </w:style>
  <w:style w:type="character" w:customStyle="1" w:styleId="44">
    <w:name w:val="标题 9 字符"/>
    <w:link w:val="10"/>
    <w:qFormat/>
    <w:uiPriority w:val="0"/>
    <w:rPr>
      <w:rFonts w:ascii="Arial" w:hAnsi="Arial" w:eastAsia="黑体"/>
      <w:kern w:val="2"/>
      <w:sz w:val="21"/>
      <w:szCs w:val="21"/>
    </w:rPr>
  </w:style>
  <w:style w:type="character" w:customStyle="1" w:styleId="45">
    <w:name w:val="页眉 字符"/>
    <w:link w:val="19"/>
    <w:qFormat/>
    <w:uiPriority w:val="99"/>
    <w:rPr>
      <w:kern w:val="2"/>
      <w:sz w:val="18"/>
      <w:szCs w:val="18"/>
    </w:rPr>
  </w:style>
  <w:style w:type="character" w:customStyle="1" w:styleId="46">
    <w:name w:val="页脚 字符"/>
    <w:link w:val="18"/>
    <w:qFormat/>
    <w:uiPriority w:val="99"/>
    <w:rPr>
      <w:rFonts w:ascii="宋体"/>
      <w:kern w:val="2"/>
      <w:sz w:val="18"/>
      <w:szCs w:val="18"/>
    </w:rPr>
  </w:style>
  <w:style w:type="character" w:customStyle="1" w:styleId="47">
    <w:name w:val="批注框文本 字符"/>
    <w:link w:val="17"/>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kern w:val="2"/>
      <w:sz w:val="21"/>
      <w:szCs w:val="21"/>
    </w:rPr>
  </w:style>
  <w:style w:type="character" w:customStyle="1" w:styleId="50">
    <w:name w:val="标题 字符"/>
    <w:link w:val="26"/>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4"/>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2"/>
    <w:semiHidden/>
    <w:qFormat/>
    <w:uiPriority w:val="0"/>
    <w:rPr>
      <w:rFonts w:ascii="宋体"/>
      <w:kern w:val="2"/>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29"/>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29"/>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vAnchor="page" w:hAnchor="page" w:x="1419" w:y="14097"/>
    </w:pPr>
  </w:style>
  <w:style w:type="paragraph" w:customStyle="1" w:styleId="196">
    <w:name w:val="其他实施日期"/>
    <w:basedOn w:val="156"/>
    <w:qFormat/>
    <w:uiPriority w:val="0"/>
    <w:pPr>
      <w:framePr w:w="3997" w:h="471" w:hRule="exact" w:vSpace="181"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29"/>
    <w:qFormat/>
    <w:uiPriority w:val="0"/>
    <w:rPr>
      <w:rFonts w:ascii="黑体" w:eastAsia="黑体"/>
      <w:spacing w:val="85"/>
      <w:w w:val="100"/>
      <w:position w:val="3"/>
      <w:sz w:val="28"/>
      <w:szCs w:val="28"/>
    </w:rPr>
  </w:style>
  <w:style w:type="paragraph" w:customStyle="1" w:styleId="232">
    <w:name w:val="正文1"/>
    <w:qFormat/>
    <w:uiPriority w:val="0"/>
    <w:pPr>
      <w:jc w:val="both"/>
    </w:pPr>
    <w:rPr>
      <w:rFonts w:ascii="Times New Roman" w:hAnsi="Times New Roman" w:eastAsia="宋体" w:cs="Times New Roman"/>
      <w:kern w:val="2"/>
      <w:sz w:val="21"/>
      <w:szCs w:val="21"/>
      <w:lang w:val="en-US" w:eastAsia="zh-CN" w:bidi="ar-SA"/>
    </w:rPr>
  </w:style>
  <w:style w:type="paragraph" w:customStyle="1" w:styleId="233">
    <w:name w:val="段"/>
    <w:basedOn w:val="1"/>
    <w:qFormat/>
    <w:uiPriority w:val="0"/>
    <w:pPr>
      <w:widowControl/>
      <w:autoSpaceDE w:val="0"/>
      <w:autoSpaceDN w:val="0"/>
      <w:adjustRightInd/>
      <w:spacing w:line="240" w:lineRule="auto"/>
      <w:ind w:firstLine="420" w:firstLineChars="200"/>
    </w:pPr>
    <w:rPr>
      <w:rFonts w:ascii="宋体" w:hAnsi="Times New Roman"/>
      <w:kern w:val="0"/>
    </w:rPr>
  </w:style>
  <w:style w:type="paragraph" w:customStyle="1" w:styleId="234">
    <w:name w:val="章标题"/>
    <w:basedOn w:val="1"/>
    <w:next w:val="233"/>
    <w:qFormat/>
    <w:uiPriority w:val="0"/>
    <w:pPr>
      <w:widowControl/>
      <w:adjustRightInd/>
      <w:spacing w:beforeLines="100" w:afterLines="100" w:line="240" w:lineRule="auto"/>
      <w:outlineLvl w:val="1"/>
    </w:pPr>
    <w:rPr>
      <w:rFonts w:ascii="黑体" w:hAnsi="Times New Roman" w:eastAsia="黑体"/>
      <w:kern w:val="0"/>
    </w:rPr>
  </w:style>
  <w:style w:type="paragraph" w:customStyle="1" w:styleId="235">
    <w:name w:val="一级无"/>
    <w:basedOn w:val="1"/>
    <w:qFormat/>
    <w:uiPriority w:val="0"/>
    <w:pPr>
      <w:widowControl/>
      <w:adjustRightInd/>
      <w:spacing w:line="240" w:lineRule="auto"/>
      <w:ind w:left="1260" w:hanging="420"/>
      <w:jc w:val="left"/>
      <w:outlineLvl w:val="2"/>
    </w:pPr>
    <w:rPr>
      <w:rFonts w:ascii="宋体" w:hAnsi="Times New Roman" w:cs="宋体"/>
      <w:kern w:val="0"/>
    </w:rPr>
  </w:style>
  <w:style w:type="paragraph" w:customStyle="1" w:styleId="236">
    <w:name w:val="正文表标题"/>
    <w:basedOn w:val="1"/>
    <w:next w:val="233"/>
    <w:qFormat/>
    <w:uiPriority w:val="0"/>
    <w:pPr>
      <w:widowControl/>
      <w:adjustRightInd/>
      <w:spacing w:beforeLines="50" w:afterLines="50" w:line="240" w:lineRule="auto"/>
      <w:jc w:val="center"/>
    </w:pPr>
    <w:rPr>
      <w:rFonts w:ascii="黑体" w:hAnsi="Times New Roman" w:eastAsia="黑体" w:cs="宋体"/>
      <w:kern w:val="0"/>
    </w:rPr>
  </w:style>
  <w:style w:type="paragraph" w:customStyle="1" w:styleId="237">
    <w:name w:val="一级条标题"/>
    <w:basedOn w:val="1"/>
    <w:next w:val="233"/>
    <w:qFormat/>
    <w:uiPriority w:val="0"/>
    <w:pPr>
      <w:widowControl/>
      <w:adjustRightInd/>
      <w:spacing w:beforeLines="50" w:afterLines="50" w:line="240" w:lineRule="auto"/>
      <w:jc w:val="left"/>
      <w:outlineLvl w:val="2"/>
    </w:pPr>
    <w:rPr>
      <w:rFonts w:ascii="黑体" w:hAnsi="Times New Roman" w:eastAsia="黑体"/>
      <w:kern w:val="0"/>
    </w:rPr>
  </w:style>
  <w:style w:type="paragraph" w:customStyle="1" w:styleId="238">
    <w:name w:val="二级条标题"/>
    <w:basedOn w:val="237"/>
    <w:next w:val="233"/>
    <w:qFormat/>
    <w:uiPriority w:val="0"/>
    <w:pPr>
      <w:ind w:left="709"/>
      <w:outlineLvl w:val="3"/>
    </w:pPr>
  </w:style>
  <w:style w:type="paragraph" w:customStyle="1" w:styleId="239">
    <w:name w:val="二级无"/>
    <w:basedOn w:val="238"/>
    <w:qFormat/>
    <w:uiPriority w:val="0"/>
    <w:pPr>
      <w:spacing w:beforeLines="0" w:afterLines="0"/>
      <w:ind w:left="1680" w:hanging="420"/>
    </w:pPr>
    <w:rPr>
      <w:rFonts w:ascii="宋体" w:eastAsia="宋体" w:cs="宋体"/>
    </w:rPr>
  </w:style>
  <w:style w:type="paragraph" w:customStyle="1" w:styleId="240">
    <w:name w:val="字母编号列项（一级）"/>
    <w:basedOn w:val="1"/>
    <w:qFormat/>
    <w:uiPriority w:val="0"/>
    <w:pPr>
      <w:widowControl/>
      <w:adjustRightInd/>
      <w:spacing w:before="100" w:beforeAutospacing="1" w:after="100" w:afterAutospacing="1" w:line="240" w:lineRule="auto"/>
      <w:ind w:left="839" w:hanging="419"/>
    </w:pPr>
    <w:rPr>
      <w:rFonts w:ascii="宋体" w:hAnsi="Times New Roman"/>
      <w:kern w:val="0"/>
    </w:rPr>
  </w:style>
  <w:style w:type="paragraph" w:customStyle="1" w:styleId="241">
    <w:name w:val="三级无"/>
    <w:basedOn w:val="1"/>
    <w:qFormat/>
    <w:uiPriority w:val="0"/>
    <w:pPr>
      <w:widowControl/>
      <w:adjustRightInd/>
      <w:spacing w:line="240" w:lineRule="auto"/>
      <w:jc w:val="left"/>
      <w:outlineLvl w:val="4"/>
    </w:pPr>
    <w:rPr>
      <w:rFonts w:ascii="宋体" w:hAnsi="Times New Roman" w:cs="宋体"/>
      <w:kern w:val="0"/>
    </w:rPr>
  </w:style>
  <w:style w:type="paragraph" w:customStyle="1" w:styleId="242">
    <w:name w:val="参考文献"/>
    <w:basedOn w:val="1"/>
    <w:next w:val="233"/>
    <w:qFormat/>
    <w:uiPriority w:val="0"/>
    <w:pPr>
      <w:keepNext/>
      <w:pageBreakBefore/>
      <w:widowControl/>
      <w:shd w:val="clear" w:color="auto" w:fill="FFFFFF"/>
      <w:adjustRightInd/>
      <w:spacing w:before="640" w:after="200" w:line="240" w:lineRule="auto"/>
      <w:jc w:val="center"/>
      <w:outlineLvl w:val="0"/>
    </w:pPr>
    <w:rPr>
      <w:rFonts w:ascii="黑体" w:hAnsi="Times New Roman" w:eastAsia="黑体" w:cs="宋体"/>
      <w:kern w:val="0"/>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3.jpeg"/><Relationship Id="rId14" Type="http://schemas.openxmlformats.org/officeDocument/2006/relationships/image" Target="media/image2.png"/><Relationship Id="rId13" Type="http://schemas.openxmlformats.org/officeDocument/2006/relationships/image" Target="media/image1.tiff"/><Relationship Id="rId12" Type="http://schemas.openxmlformats.org/officeDocument/2006/relationships/theme" Target="theme/theme1.xml"/><Relationship Id="rId11" Type="http://schemas.openxmlformats.org/officeDocument/2006/relationships/footer" Target="footer3.xml"/><Relationship Id="rId10" Type="http://schemas.openxmlformats.org/officeDocument/2006/relationships/header" Target="header4.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home\test\D:\home\test\C:\Program%20Files%20(x86)\StandardEditor\template\&#22320;&#26041;&#26631;&#20934;.dotx" TargetMode="Externa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626CDC6475F148F2832932F08FA1EAE2"/>
        <w:style w:val=""/>
        <w:category>
          <w:name w:val="常规"/>
          <w:gallery w:val="placeholder"/>
        </w:category>
        <w:types>
          <w:type w:val="bbPlcHdr"/>
        </w:types>
        <w:behaviors>
          <w:behavior w:val="content"/>
        </w:behaviors>
        <w:description w:val=""/>
        <w:guid w:val="{4D43F1EE-B15B-43D7-9456-8873A7DBA882}"/>
      </w:docPartPr>
      <w:docPartBody>
        <w:p w14:paraId="061DA63A">
          <w:pPr>
            <w:pStyle w:val="5"/>
            <w:rPr>
              <w:rFonts w:hint="eastAsia"/>
            </w:rPr>
          </w:pPr>
          <w:r>
            <w:rPr>
              <w:rStyle w:val="4"/>
              <w:rFonts w:hint="eastAsia"/>
            </w:rPr>
            <w:t>单击或点击此处输入文字。</w:t>
          </w:r>
        </w:p>
      </w:docPartBody>
    </w:docPart>
    <w:docPart>
      <w:docPartPr>
        <w:name w:val="3D48A317D7BA4838A1E4D56CA089FCBB"/>
        <w:style w:val=""/>
        <w:category>
          <w:name w:val="常规"/>
          <w:gallery w:val="placeholder"/>
        </w:category>
        <w:types>
          <w:type w:val="bbPlcHdr"/>
        </w:types>
        <w:behaviors>
          <w:behavior w:val="content"/>
        </w:behaviors>
        <w:description w:val=""/>
        <w:guid w:val="{E706CB43-72DE-4F90-BA66-EC3363AAC8E4}"/>
      </w:docPartPr>
      <w:docPartBody>
        <w:p w14:paraId="7B9E70C5">
          <w:pPr>
            <w:pStyle w:val="7"/>
            <w:rPr>
              <w:rFonts w:hint="eastAsia"/>
            </w:rPr>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3574"/>
    <w:rsid w:val="0010670F"/>
    <w:rsid w:val="00265D1D"/>
    <w:rsid w:val="004A078D"/>
    <w:rsid w:val="00A37FB5"/>
    <w:rsid w:val="00AD44E5"/>
    <w:rsid w:val="00AF62B7"/>
    <w:rsid w:val="00B73574"/>
    <w:rsid w:val="00DF1C4C"/>
    <w:rsid w:val="00F202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rPr>
      <w:color w:val="808080"/>
    </w:rPr>
  </w:style>
  <w:style w:type="paragraph" w:customStyle="1" w:styleId="5">
    <w:name w:val="626CDC6475F148F2832932F08FA1EAE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A2997F8B92244273B45763904439DA3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7">
    <w:name w:val="3D48A317D7BA4838A1E4D56CA089FCBB"/>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8">
    <w:name w:val="5ECCD7A6305D4CD6BAB11792C61976E2"/>
    <w:qFormat/>
    <w:uiPriority w:val="0"/>
    <w:pPr>
      <w:widowControl w:val="0"/>
      <w:spacing w:after="160" w:line="278" w:lineRule="auto"/>
    </w:pPr>
    <w:rPr>
      <w:rFonts w:asciiTheme="minorHAnsi" w:hAnsiTheme="minorHAnsi" w:eastAsiaTheme="minorEastAsia" w:cstheme="minorBidi"/>
      <w:kern w:val="2"/>
      <w:sz w:val="22"/>
      <w:szCs w:val="24"/>
      <w:lang w:val="en-US" w:eastAsia="zh-CN" w:bidi="ar-SA"/>
      <w14:ligatures w14:val="standardContextual"/>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地方标准</Template>
  <Company>PCMI</Company>
  <Pages>12</Pages>
  <Words>6117</Words>
  <Characters>6474</Characters>
  <Lines>62</Lines>
  <Paragraphs>17</Paragraphs>
  <TotalTime>1</TotalTime>
  <ScaleCrop>false</ScaleCrop>
  <LinksUpToDate>false</LinksUpToDate>
  <CharactersWithSpaces>6623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2024-05-12T10:16:00Z</dcterms:created>
  <dc:creator>AOC</dc:creator>
  <dc:description>&lt;config cover="true" show_menu="true" version="1.0.0" doctype="SDKXY"&gt;_x000d_
&lt;/config&gt;</dc:description>
  <cp:lastModifiedBy>卢</cp:lastModifiedBy>
  <cp:lastPrinted>2025-01-14T23:19:00Z</cp:lastPrinted>
  <dcterms:modified xsi:type="dcterms:W3CDTF">2025-03-07T02:03:52Z</dcterms:modified>
  <dc:title>地方标准</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2052-12.1.0.20305</vt:lpwstr>
  </property>
  <property fmtid="{D5CDD505-2E9C-101B-9397-08002B2CF9AE}" pid="15" name="ICV">
    <vt:lpwstr>2DB514954E42497892E8971B64C5B83D_13</vt:lpwstr>
  </property>
  <property fmtid="{D5CDD505-2E9C-101B-9397-08002B2CF9AE}" pid="16" name="KSOTemplateDocerSaveRecord">
    <vt:lpwstr>eyJoZGlkIjoiNmU5ZDE5YmMzZWI3NThmNDllZWYzZjM0ZGNiMDY5NjUiLCJ1c2VySWQiOiIyOTIxMjI5NzYifQ==</vt:lpwstr>
  </property>
</Properties>
</file>