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C34226" w14:paraId="31564B0C" w14:textId="77777777">
        <w:tc>
          <w:tcPr>
            <w:tcW w:w="509" w:type="dxa"/>
          </w:tcPr>
          <w:p w14:paraId="250C842F" w14:textId="77777777" w:rsidR="00C34226" w:rsidRDefault="00000000">
            <w:pPr>
              <w:pStyle w:val="affff8"/>
              <w:framePr w:wrap="notBeside" w:vAnchor="page" w:hAnchor="page" w:x="1372" w:y="568"/>
              <w:tabs>
                <w:tab w:val="clear" w:pos="4153"/>
                <w:tab w:val="clear" w:pos="8306"/>
              </w:tabs>
              <w:spacing w:line="240" w:lineRule="auto"/>
              <w:jc w:val="left"/>
              <w:rPr>
                <w:rFonts w:ascii="黑体" w:eastAsia="黑体" w:hAnsi="黑体" w:hint="eastAsia"/>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6C37BCE3" w14:textId="77777777" w:rsidR="00C34226" w:rsidRDefault="00000000">
            <w:pPr>
              <w:pStyle w:val="affff8"/>
              <w:framePr w:wrap="notBeside" w:vAnchor="page" w:hAnchor="page" w:x="1372" w:y="568"/>
              <w:tabs>
                <w:tab w:val="clear" w:pos="4153"/>
                <w:tab w:val="clear" w:pos="8306"/>
              </w:tabs>
              <w:spacing w:line="240" w:lineRule="auto"/>
              <w:jc w:val="both"/>
              <w:rPr>
                <w:rFonts w:ascii="黑体" w:eastAsia="黑体" w:hAnsi="黑体" w:hint="eastAsia"/>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 xml:space="preserve">27.010 </w:t>
            </w:r>
            <w:r>
              <w:rPr>
                <w:rFonts w:ascii="黑体" w:eastAsia="黑体" w:hAnsi="黑体"/>
                <w:sz w:val="21"/>
                <w:szCs w:val="21"/>
              </w:rPr>
              <w:fldChar w:fldCharType="end"/>
            </w:r>
            <w:bookmarkEnd w:id="0"/>
          </w:p>
        </w:tc>
      </w:tr>
      <w:tr w:rsidR="00C34226" w14:paraId="4577E7BC" w14:textId="77777777">
        <w:tc>
          <w:tcPr>
            <w:tcW w:w="509" w:type="dxa"/>
          </w:tcPr>
          <w:p w14:paraId="5689EB7E" w14:textId="77777777" w:rsidR="00C34226" w:rsidRDefault="00000000">
            <w:pPr>
              <w:pStyle w:val="affff8"/>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14:paraId="041C1C57" w14:textId="77777777" w:rsidR="00C34226" w:rsidRDefault="00000000">
            <w:pPr>
              <w:pStyle w:val="affff8"/>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F 01</w:t>
            </w:r>
            <w:r>
              <w:rPr>
                <w:rFonts w:ascii="黑体" w:eastAsia="黑体" w:hAnsi="黑体"/>
                <w:sz w:val="21"/>
                <w:szCs w:val="21"/>
              </w:rPr>
              <w:fldChar w:fldCharType="end"/>
            </w:r>
            <w:bookmarkEnd w:id="1"/>
          </w:p>
        </w:tc>
      </w:tr>
    </w:tbl>
    <w:tbl>
      <w:tblPr>
        <w:tblStyle w:val="afffff1"/>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C34226" w14:paraId="76C69D54" w14:textId="77777777">
        <w:tc>
          <w:tcPr>
            <w:tcW w:w="6407" w:type="dxa"/>
          </w:tcPr>
          <w:p w14:paraId="2401DEA1" w14:textId="77777777" w:rsidR="00C34226" w:rsidRDefault="00000000">
            <w:pPr>
              <w:pStyle w:val="afffffa"/>
              <w:framePr w:w="0" w:hRule="auto" w:wrap="auto" w:hAnchor="text" w:xAlign="left" w:yAlign="inline" w:anchorLock="0"/>
              <w:spacing w:line="240" w:lineRule="auto"/>
              <w:rPr>
                <w:rFonts w:ascii="宋体" w:hAnsi="宋体" w:hint="eastAsia"/>
                <w:sz w:val="28"/>
                <w:szCs w:val="28"/>
              </w:rPr>
            </w:pPr>
            <w:bookmarkStart w:id="2" w:name="_Hlk26473981"/>
            <w:r>
              <w:rPr>
                <w:noProof/>
              </w:rPr>
              <w:drawing>
                <wp:inline distT="0" distB="0" distL="0" distR="0" wp14:anchorId="4B5FFDB6" wp14:editId="3C9517CB">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14:paraId="3C8E8D5C" w14:textId="77777777" w:rsidR="00C34226" w:rsidRDefault="00000000">
      <w:pPr>
        <w:pStyle w:val="afffffb"/>
        <w:framePr w:w="9639" w:h="624" w:hRule="exact" w:hSpace="181" w:vSpace="181" w:wrap="around" w:hAnchor="page" w:x="1305" w:y="2269"/>
        <w:spacing w:line="240" w:lineRule="auto"/>
        <w:rPr>
          <w:rFonts w:ascii="黑体" w:eastAsia="黑体" w:hAnsi="黑体" w:hint="eastAsia"/>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14:paraId="43D1E75A" w14:textId="77777777" w:rsidR="00C34226" w:rsidRDefault="00000000">
      <w:pPr>
        <w:pStyle w:val="affffffffffd"/>
        <w:framePr w:wrap="auto"/>
        <w:wordWrap/>
        <w:spacing w:line="240" w:lineRule="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66A534DF" w14:textId="77777777" w:rsidR="00C34226" w:rsidRDefault="00000000">
      <w:pPr>
        <w:pStyle w:val="affffffffffe"/>
        <w:framePr w:wrap="auto"/>
        <w:wordWrap/>
        <w:spacing w:line="240" w:lineRule="auto"/>
        <w:rPr>
          <w:rFonts w:hAnsi="黑体" w:hint="eastAsia"/>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6AEA2C4C" w14:textId="77777777" w:rsidR="00C34226" w:rsidRDefault="00000000">
      <w:pPr>
        <w:spacing w:line="240" w:lineRule="auto"/>
        <w:rPr>
          <w:rFonts w:ascii="黑体" w:eastAsia="黑体" w:hAnsi="黑体" w:hint="eastAsia"/>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3EBE9712" wp14:editId="30B65C97">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6859674A" id="直接连接符 73" o:spid="_x0000_s1026" style="position:absolute;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PPxlUmiAQAAMAMAAA4AAAAAAAAAAAAAAAAALgIAAGRycy9lMm9Eb2MueG1sUEsBAi0AFAAGAAgA&#10;AAAhAFGBN7ffAAAADAEAAA8AAAAAAAAAAAAAAAAA/AMAAGRycy9kb3ducmV2LnhtbFBLBQYAAAAA&#10;BAAEAPMAAAAIBQAAAAA=&#10;" o:allowoverlap="f">
                <w10:wrap anchorx="page" anchory="page"/>
              </v:line>
            </w:pict>
          </mc:Fallback>
        </mc:AlternateContent>
      </w:r>
    </w:p>
    <w:p w14:paraId="34B23EEB" w14:textId="77777777" w:rsidR="00C34226" w:rsidRDefault="00C34226">
      <w:pPr>
        <w:pStyle w:val="afffffb"/>
        <w:framePr w:w="9639" w:h="6976" w:hRule="exact" w:hSpace="0" w:vSpace="0" w:wrap="around" w:hAnchor="page" w:y="6408"/>
        <w:spacing w:line="240" w:lineRule="auto"/>
        <w:jc w:val="center"/>
        <w:rPr>
          <w:rFonts w:ascii="黑体" w:eastAsia="黑体" w:hAnsi="黑体" w:hint="eastAsia"/>
          <w:b w:val="0"/>
          <w:bCs w:val="0"/>
          <w:w w:val="100"/>
        </w:rPr>
      </w:pPr>
    </w:p>
    <w:p w14:paraId="35249902" w14:textId="77777777" w:rsidR="00C34226" w:rsidRDefault="00000000">
      <w:pPr>
        <w:pStyle w:val="afffffffffff"/>
        <w:framePr w:h="6974" w:hRule="exact" w:wrap="around" w:x="1419" w:anchorLock="1"/>
        <w:tabs>
          <w:tab w:val="center" w:pos="4879"/>
          <w:tab w:val="right" w:pos="9639"/>
        </w:tabs>
        <w:spacing w:line="240" w:lineRule="auto"/>
        <w:jc w:val="left"/>
        <w:rPr>
          <w:rFonts w:hint="eastAsia"/>
        </w:rPr>
      </w:pPr>
      <w:r>
        <w:rPr>
          <w:rFonts w:hint="eastAsia"/>
        </w:rPr>
        <w:tab/>
      </w:r>
      <w:bookmarkStart w:id="9" w:name="OLE_LINK4"/>
      <w:r>
        <w:rPr>
          <w:rFonts w:hint="eastAsia"/>
        </w:rPr>
        <w:t xml:space="preserve">公共机构绿色节能 </w:t>
      </w:r>
    </w:p>
    <w:p w14:paraId="580EC12F" w14:textId="77777777" w:rsidR="00C34226" w:rsidRDefault="00000000">
      <w:pPr>
        <w:pStyle w:val="afffffffffff"/>
        <w:framePr w:h="6974" w:hRule="exact" w:wrap="around" w:x="1419" w:anchorLock="1"/>
        <w:tabs>
          <w:tab w:val="center" w:pos="4879"/>
          <w:tab w:val="right" w:pos="9639"/>
        </w:tabs>
        <w:spacing w:line="240" w:lineRule="auto"/>
        <w:ind w:firstLineChars="300" w:firstLine="1560"/>
        <w:jc w:val="left"/>
        <w:rPr>
          <w:rFonts w:hint="eastAsia"/>
          <w:color w:val="FF0000"/>
        </w:rPr>
      </w:pPr>
      <w:r>
        <w:rPr>
          <w:rFonts w:hint="eastAsia"/>
        </w:rPr>
        <w:t>第3部分：能源资源消费统计</w:t>
      </w:r>
    </w:p>
    <w:bookmarkEnd w:id="9"/>
    <w:p w14:paraId="491611A6" w14:textId="77777777" w:rsidR="00C34226" w:rsidRDefault="00C34226">
      <w:pPr>
        <w:framePr w:w="9639" w:h="6974" w:hRule="exact" w:wrap="around" w:vAnchor="page" w:hAnchor="page" w:x="1419" w:y="6408" w:anchorLock="1"/>
        <w:spacing w:line="240" w:lineRule="auto"/>
        <w:ind w:left="-1418"/>
      </w:pPr>
    </w:p>
    <w:p w14:paraId="6EAFE485" w14:textId="77777777" w:rsidR="00C34226" w:rsidRDefault="00C34226">
      <w:pPr>
        <w:pStyle w:val="affffffff3"/>
        <w:framePr w:w="9639" w:h="6974" w:hRule="exact" w:wrap="around" w:vAnchor="page" w:hAnchor="page" w:x="1419" w:y="6408" w:anchorLock="1"/>
        <w:spacing w:line="240" w:lineRule="auto"/>
        <w:textAlignment w:val="bottom"/>
        <w:rPr>
          <w:rFonts w:ascii="黑体" w:eastAsia="黑体" w:hAnsi="黑体" w:hint="eastAsia"/>
          <w:color w:val="FF0000"/>
          <w:szCs w:val="28"/>
        </w:rPr>
      </w:pPr>
    </w:p>
    <w:p w14:paraId="6CDEACA3" w14:textId="77777777" w:rsidR="00C34226" w:rsidRDefault="00C34226">
      <w:pPr>
        <w:framePr w:w="9639" w:h="6974" w:hRule="exact" w:wrap="around" w:vAnchor="page" w:hAnchor="page" w:x="1419" w:y="6408" w:anchorLock="1"/>
        <w:spacing w:line="240" w:lineRule="auto"/>
        <w:ind w:left="-1418"/>
      </w:pPr>
    </w:p>
    <w:p w14:paraId="3591DFD4" w14:textId="77777777" w:rsidR="00C34226" w:rsidRDefault="00C34226">
      <w:pPr>
        <w:pStyle w:val="affffffff3"/>
        <w:framePr w:w="9639" w:h="6974" w:hRule="exact" w:wrap="around" w:vAnchor="page" w:hAnchor="page" w:x="1419" w:y="6408" w:anchorLock="1"/>
        <w:spacing w:line="240" w:lineRule="auto"/>
        <w:textAlignment w:val="bottom"/>
        <w:rPr>
          <w:rFonts w:eastAsia="黑体"/>
          <w:szCs w:val="28"/>
        </w:rPr>
      </w:pPr>
    </w:p>
    <w:bookmarkStart w:id="10" w:name="下拉1"/>
    <w:p w14:paraId="3844902C" w14:textId="77777777" w:rsidR="00C34226" w:rsidRDefault="00000000">
      <w:pPr>
        <w:pStyle w:val="affffffff3"/>
        <w:framePr w:w="9639" w:h="6974" w:hRule="exact" w:wrap="around" w:vAnchor="page" w:hAnchor="page" w:x="1419" w:y="6408" w:anchorLock="1"/>
        <w:spacing w:before="440" w:line="240" w:lineRule="auto"/>
        <w:textAlignment w:val="bottom"/>
        <w:rPr>
          <w:sz w:val="24"/>
          <w:szCs w:val="28"/>
        </w:rPr>
      </w:pPr>
      <w:r>
        <w:rPr>
          <w:rFonts w:hint="eastAsia"/>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r>
        <w:rPr>
          <w:rFonts w:hint="eastAsia"/>
          <w:sz w:val="24"/>
          <w:szCs w:val="28"/>
        </w:rPr>
        <w:instrText>FORMDROPDOWN</w:instrText>
      </w:r>
      <w:r>
        <w:rPr>
          <w:sz w:val="24"/>
          <w:szCs w:val="28"/>
        </w:rPr>
      </w:r>
      <w:r>
        <w:rPr>
          <w:sz w:val="24"/>
          <w:szCs w:val="28"/>
        </w:rPr>
        <w:fldChar w:fldCharType="separate"/>
      </w:r>
      <w:r>
        <w:rPr>
          <w:rFonts w:hint="eastAsia"/>
          <w:sz w:val="24"/>
          <w:szCs w:val="28"/>
        </w:rPr>
        <w:fldChar w:fldCharType="end"/>
      </w:r>
      <w:bookmarkEnd w:id="10"/>
      <w:r>
        <w:rPr>
          <w:rFonts w:hint="eastAsia"/>
          <w:sz w:val="24"/>
          <w:szCs w:val="28"/>
        </w:rPr>
        <w:t>征求意见稿</w:t>
      </w:r>
    </w:p>
    <w:p w14:paraId="395BBEC1" w14:textId="77777777" w:rsidR="00C34226" w:rsidRDefault="00000000">
      <w:pPr>
        <w:pStyle w:val="affffffff3"/>
        <w:framePr w:w="9639" w:h="6974" w:hRule="exact" w:wrap="around" w:vAnchor="page" w:hAnchor="page" w:x="1419" w:y="6408" w:anchorLock="1"/>
        <w:spacing w:before="180" w:line="240" w:lineRule="auto"/>
        <w:textAlignment w:val="bottom"/>
        <w:rPr>
          <w:sz w:val="21"/>
          <w:szCs w:val="28"/>
        </w:rPr>
      </w:pPr>
      <w:r>
        <w:rPr>
          <w:sz w:val="21"/>
          <w:szCs w:val="28"/>
        </w:rPr>
        <w:fldChar w:fldCharType="begin">
          <w:ffData>
            <w:name w:val="CMPLSH_DATE"/>
            <w:enabled/>
            <w:calcOnExit w:val="0"/>
            <w:textInput/>
          </w:ffData>
        </w:fldChar>
      </w:r>
      <w:bookmarkStart w:id="11"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1"/>
    </w:p>
    <w:bookmarkStart w:id="12" w:name="下拉2"/>
    <w:p w14:paraId="0FB1B2A1" w14:textId="77777777" w:rsidR="00C34226" w:rsidRDefault="00000000">
      <w:pPr>
        <w:pStyle w:val="affffffff3"/>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r>
        <w:rPr>
          <w:b/>
          <w:sz w:val="21"/>
          <w:szCs w:val="28"/>
        </w:rPr>
        <w:instrText>FORMDROPDOWN</w:instrText>
      </w:r>
      <w:r>
        <w:rPr>
          <w:b/>
          <w:sz w:val="21"/>
          <w:szCs w:val="28"/>
        </w:rPr>
      </w:r>
      <w:r>
        <w:rPr>
          <w:b/>
          <w:sz w:val="21"/>
          <w:szCs w:val="28"/>
        </w:rPr>
        <w:fldChar w:fldCharType="separate"/>
      </w:r>
      <w:r>
        <w:rPr>
          <w:b/>
          <w:sz w:val="21"/>
          <w:szCs w:val="28"/>
        </w:rPr>
        <w:fldChar w:fldCharType="end"/>
      </w:r>
      <w:bookmarkEnd w:id="12"/>
      <w:r>
        <w:rPr>
          <w:rFonts w:hint="eastAsia"/>
          <w:b/>
          <w:sz w:val="21"/>
          <w:szCs w:val="28"/>
        </w:rPr>
        <w:t>在提交反馈意见时，请将您知道的相关专利连同支持性文件一并附上</w:t>
      </w:r>
    </w:p>
    <w:p w14:paraId="2F1E8D07" w14:textId="77777777" w:rsidR="00C34226" w:rsidRDefault="00000000">
      <w:pPr>
        <w:pStyle w:val="affffffffffb"/>
        <w:framePr w:wrap="around" w:y="14176"/>
        <w:spacing w:line="240" w:lineRule="auto"/>
      </w:pPr>
      <w:r>
        <w:rPr>
          <w:rFonts w:ascii="黑体"/>
        </w:rPr>
        <w:fldChar w:fldCharType="begin">
          <w:ffData>
            <w:name w:val="PLSH_DATE_Y"/>
            <w:enabled/>
            <w:calcOnExit w:val="0"/>
            <w:textInput>
              <w:default w:val="XXXX"/>
              <w:maxLength w:val="4"/>
            </w:textInput>
          </w:ffData>
        </w:fldChar>
      </w:r>
      <w:bookmarkStart w:id="13"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4"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5"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rPr>
          <w:rFonts w:hint="eastAsia"/>
        </w:rPr>
        <w:t>发布</w:t>
      </w:r>
    </w:p>
    <w:p w14:paraId="42150468" w14:textId="77777777" w:rsidR="00C34226" w:rsidRDefault="00000000">
      <w:pPr>
        <w:pStyle w:val="affffffffffc"/>
        <w:framePr w:wrap="around" w:y="14176"/>
        <w:spacing w:line="240" w:lineRule="auto"/>
      </w:pPr>
      <w:r>
        <w:rPr>
          <w:rFonts w:ascii="黑体"/>
        </w:rPr>
        <w:fldChar w:fldCharType="begin">
          <w:ffData>
            <w:name w:val="CROT_DATE_Y"/>
            <w:enabled/>
            <w:calcOnExit w:val="0"/>
            <w:textInput>
              <w:default w:val="XXXX"/>
              <w:maxLength w:val="4"/>
            </w:textInput>
          </w:ffData>
        </w:fldChar>
      </w:r>
      <w:bookmarkStart w:id="16"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7"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8"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rPr>
          <w:rFonts w:hint="eastAsia"/>
        </w:rPr>
        <w:t>实施</w:t>
      </w:r>
    </w:p>
    <w:p w14:paraId="3B56F2D5" w14:textId="77777777" w:rsidR="00C34226" w:rsidRDefault="00000000">
      <w:pPr>
        <w:pStyle w:val="afffffffff3"/>
        <w:framePr w:h="584" w:hRule="exact" w:hSpace="181" w:vSpace="181" w:wrap="around" w:y="15027"/>
        <w:spacing w:line="240" w:lineRule="auto"/>
        <w:rPr>
          <w:rFonts w:hAnsi="黑体" w:hint="eastAsia"/>
        </w:rPr>
      </w:pPr>
      <w:r>
        <w:rPr>
          <w:rFonts w:hAnsi="黑体"/>
          <w:w w:val="100"/>
          <w:sz w:val="28"/>
        </w:rPr>
        <w:fldChar w:fldCharType="begin">
          <w:ffData>
            <w:name w:val="fm"/>
            <w:enabled/>
            <w:calcOnExit w:val="0"/>
            <w:textInput/>
          </w:ffData>
        </w:fldChar>
      </w:r>
      <w:bookmarkStart w:id="19"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19"/>
      <w:r>
        <w:rPr>
          <w:rFonts w:ascii="Times New Roman"/>
          <w:w w:val="100"/>
          <w:sz w:val="28"/>
        </w:rPr>
        <w:t>  </w:t>
      </w:r>
      <w:r>
        <w:rPr>
          <w:rStyle w:val="affffffffffff4"/>
          <w:rFonts w:hAnsi="黑体" w:hint="eastAsia"/>
          <w:position w:val="0"/>
        </w:rPr>
        <w:t>发</w:t>
      </w:r>
      <w:r>
        <w:rPr>
          <w:rStyle w:val="affffffffffff4"/>
          <w:rFonts w:hAnsi="黑体" w:hint="eastAsia"/>
          <w:spacing w:val="0"/>
          <w:position w:val="0"/>
        </w:rPr>
        <w:t>布</w:t>
      </w:r>
    </w:p>
    <w:p w14:paraId="11AEA22F" w14:textId="77777777" w:rsidR="00C34226" w:rsidRDefault="00000000">
      <w:pPr>
        <w:spacing w:line="240" w:lineRule="auto"/>
        <w:rPr>
          <w:rFonts w:ascii="宋体" w:hAnsi="宋体" w:hint="eastAsia"/>
          <w:sz w:val="28"/>
          <w:szCs w:val="28"/>
        </w:rPr>
        <w:sectPr w:rsidR="00C34226">
          <w:headerReference w:type="default" r:id="rId9"/>
          <w:footerReference w:type="even" r:id="rId10"/>
          <w:headerReference w:type="first" r:id="rId11"/>
          <w:footerReference w:type="first" r:id="rId12"/>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5F0AD888" wp14:editId="3E21C4C7">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68EFFF0F" id="直接连接符 5" o:spid="_x0000_s1026" style="position:absolute;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">
                <w10:wrap anchorx="page" anchory="page"/>
                <w10:anchorlock/>
              </v:line>
            </w:pict>
          </mc:Fallback>
        </mc:AlternateContent>
      </w:r>
    </w:p>
    <w:p w14:paraId="73909F84" w14:textId="77777777" w:rsidR="00C34226" w:rsidRDefault="00000000">
      <w:pPr>
        <w:pStyle w:val="afffffff5"/>
        <w:spacing w:after="468"/>
      </w:pPr>
      <w:bookmarkStart w:id="20" w:name="BookMark1"/>
      <w:bookmarkStart w:id="21" w:name="_Toc166146645"/>
      <w:bookmarkStart w:id="22" w:name="_Toc181107006"/>
      <w:bookmarkStart w:id="23" w:name="_Toc184132523"/>
      <w:bookmarkStart w:id="24" w:name="_Toc166146590"/>
      <w:bookmarkStart w:id="25" w:name="_Toc181106068"/>
      <w:r>
        <w:rPr>
          <w:rFonts w:hint="eastAsia"/>
          <w:spacing w:val="320"/>
        </w:rPr>
        <w:lastRenderedPageBreak/>
        <w:t>目</w:t>
      </w:r>
      <w:r>
        <w:rPr>
          <w:rFonts w:hint="eastAsia"/>
        </w:rPr>
        <w:t>次</w:t>
      </w:r>
    </w:p>
    <w:p w14:paraId="0E447EDF"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r>
        <w:fldChar w:fldCharType="begin"/>
      </w:r>
      <w:r>
        <w:instrText xml:space="preserve"> TOC \o "1-1" \h </w:instrText>
      </w:r>
      <w:r>
        <w:fldChar w:fldCharType="separate"/>
      </w:r>
      <w:hyperlink w:anchor="_Toc192173505" w:history="1">
        <w:r>
          <w:rPr>
            <w:rStyle w:val="afffff5"/>
            <w:rFonts w:hint="eastAsia"/>
          </w:rPr>
          <w:t>前言</w:t>
        </w:r>
        <w:r>
          <w:rPr>
            <w:rFonts w:hint="eastAsia"/>
          </w:rPr>
          <w:tab/>
        </w:r>
        <w:r>
          <w:rPr>
            <w:rFonts w:hint="eastAsia"/>
          </w:rPr>
          <w:fldChar w:fldCharType="begin"/>
        </w:r>
        <w:r>
          <w:rPr>
            <w:rFonts w:hint="eastAsia"/>
          </w:rPr>
          <w:instrText xml:space="preserve"> </w:instrText>
        </w:r>
        <w:r>
          <w:instrText>PAGEREF _Toc192173505 \h</w:instrText>
        </w:r>
        <w:r>
          <w:rPr>
            <w:rFonts w:hint="eastAsia"/>
          </w:rPr>
          <w:instrText xml:space="preserve"> </w:instrText>
        </w:r>
        <w:r>
          <w:rPr>
            <w:rFonts w:hint="eastAsia"/>
          </w:rPr>
        </w:r>
        <w:r>
          <w:rPr>
            <w:rFonts w:hint="eastAsia"/>
          </w:rPr>
          <w:fldChar w:fldCharType="separate"/>
        </w:r>
        <w:r>
          <w:t>II</w:t>
        </w:r>
        <w:r>
          <w:rPr>
            <w:rFonts w:hint="eastAsia"/>
          </w:rPr>
          <w:fldChar w:fldCharType="end"/>
        </w:r>
      </w:hyperlink>
    </w:p>
    <w:p w14:paraId="74C3E47C"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06" w:history="1">
        <w:r>
          <w:rPr>
            <w:rStyle w:val="afffff5"/>
            <w:rFonts w:hint="eastAsia"/>
          </w:rPr>
          <w:t>引言</w:t>
        </w:r>
        <w:r>
          <w:rPr>
            <w:rFonts w:hint="eastAsia"/>
          </w:rPr>
          <w:tab/>
        </w:r>
        <w:r>
          <w:rPr>
            <w:rFonts w:hint="eastAsia"/>
          </w:rPr>
          <w:fldChar w:fldCharType="begin"/>
        </w:r>
        <w:r>
          <w:rPr>
            <w:rFonts w:hint="eastAsia"/>
          </w:rPr>
          <w:instrText xml:space="preserve"> </w:instrText>
        </w:r>
        <w:r>
          <w:instrText>PAGEREF _Toc192173506 \h</w:instrText>
        </w:r>
        <w:r>
          <w:rPr>
            <w:rFonts w:hint="eastAsia"/>
          </w:rPr>
          <w:instrText xml:space="preserve"> </w:instrText>
        </w:r>
        <w:r>
          <w:rPr>
            <w:rFonts w:hint="eastAsia"/>
          </w:rPr>
        </w:r>
        <w:r>
          <w:rPr>
            <w:rFonts w:hint="eastAsia"/>
          </w:rPr>
          <w:fldChar w:fldCharType="separate"/>
        </w:r>
        <w:r>
          <w:t>III</w:t>
        </w:r>
        <w:r>
          <w:rPr>
            <w:rFonts w:hint="eastAsia"/>
          </w:rPr>
          <w:fldChar w:fldCharType="end"/>
        </w:r>
      </w:hyperlink>
    </w:p>
    <w:p w14:paraId="1A216116"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07" w:history="1">
        <w:r>
          <w:rPr>
            <w:rStyle w:val="afffff5"/>
            <w:rFonts w:hint="eastAsia"/>
          </w:rPr>
          <w:t>1</w:t>
        </w:r>
        <w:r>
          <w:rPr>
            <w:rStyle w:val="afffff5"/>
          </w:rPr>
          <w:t xml:space="preserve"> </w:t>
        </w:r>
        <w:r>
          <w:rPr>
            <w:rStyle w:val="afffff5"/>
            <w:rFonts w:hint="eastAsia"/>
          </w:rPr>
          <w:t xml:space="preserve"> 范围</w:t>
        </w:r>
        <w:r>
          <w:rPr>
            <w:rFonts w:hint="eastAsia"/>
          </w:rPr>
          <w:tab/>
        </w:r>
        <w:r>
          <w:rPr>
            <w:rFonts w:hint="eastAsia"/>
          </w:rPr>
          <w:fldChar w:fldCharType="begin"/>
        </w:r>
        <w:r>
          <w:rPr>
            <w:rFonts w:hint="eastAsia"/>
          </w:rPr>
          <w:instrText xml:space="preserve"> </w:instrText>
        </w:r>
        <w:r>
          <w:instrText>PAGEREF _Toc192173507 \h</w:instrText>
        </w:r>
        <w:r>
          <w:rPr>
            <w:rFonts w:hint="eastAsia"/>
          </w:rPr>
          <w:instrText xml:space="preserve"> </w:instrText>
        </w:r>
        <w:r>
          <w:rPr>
            <w:rFonts w:hint="eastAsia"/>
          </w:rPr>
        </w:r>
        <w:r>
          <w:rPr>
            <w:rFonts w:hint="eastAsia"/>
          </w:rPr>
          <w:fldChar w:fldCharType="separate"/>
        </w:r>
        <w:r>
          <w:t>1</w:t>
        </w:r>
        <w:r>
          <w:rPr>
            <w:rFonts w:hint="eastAsia"/>
          </w:rPr>
          <w:fldChar w:fldCharType="end"/>
        </w:r>
      </w:hyperlink>
    </w:p>
    <w:p w14:paraId="0D963C2C"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08" w:history="1">
        <w:r>
          <w:rPr>
            <w:rStyle w:val="afffff5"/>
            <w:rFonts w:hint="eastAsia"/>
          </w:rPr>
          <w:t>2</w:t>
        </w:r>
        <w:r>
          <w:rPr>
            <w:rStyle w:val="afffff5"/>
          </w:rPr>
          <w:t xml:space="preserve"> </w:t>
        </w:r>
        <w:r>
          <w:rPr>
            <w:rStyle w:val="afffff5"/>
            <w:rFonts w:hint="eastAsia"/>
          </w:rPr>
          <w:t xml:space="preserve"> 规范性引用文件</w:t>
        </w:r>
        <w:r>
          <w:rPr>
            <w:rFonts w:hint="eastAsia"/>
          </w:rPr>
          <w:tab/>
        </w:r>
        <w:r>
          <w:rPr>
            <w:rFonts w:hint="eastAsia"/>
          </w:rPr>
          <w:fldChar w:fldCharType="begin"/>
        </w:r>
        <w:r>
          <w:rPr>
            <w:rFonts w:hint="eastAsia"/>
          </w:rPr>
          <w:instrText xml:space="preserve"> </w:instrText>
        </w:r>
        <w:r>
          <w:instrText>PAGEREF _Toc192173508 \h</w:instrText>
        </w:r>
        <w:r>
          <w:rPr>
            <w:rFonts w:hint="eastAsia"/>
          </w:rPr>
          <w:instrText xml:space="preserve"> </w:instrText>
        </w:r>
        <w:r>
          <w:rPr>
            <w:rFonts w:hint="eastAsia"/>
          </w:rPr>
        </w:r>
        <w:r>
          <w:rPr>
            <w:rFonts w:hint="eastAsia"/>
          </w:rPr>
          <w:fldChar w:fldCharType="separate"/>
        </w:r>
        <w:r>
          <w:t>1</w:t>
        </w:r>
        <w:r>
          <w:rPr>
            <w:rFonts w:hint="eastAsia"/>
          </w:rPr>
          <w:fldChar w:fldCharType="end"/>
        </w:r>
      </w:hyperlink>
    </w:p>
    <w:p w14:paraId="578F19C8"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09" w:history="1">
        <w:r>
          <w:rPr>
            <w:rStyle w:val="afffff5"/>
            <w:rFonts w:hint="eastAsia"/>
          </w:rPr>
          <w:t>3</w:t>
        </w:r>
        <w:r>
          <w:rPr>
            <w:rStyle w:val="afffff5"/>
          </w:rPr>
          <w:t xml:space="preserve"> </w:t>
        </w:r>
        <w:r>
          <w:rPr>
            <w:rStyle w:val="afffff5"/>
            <w:rFonts w:hint="eastAsia"/>
          </w:rPr>
          <w:t xml:space="preserve"> 术语和定义</w:t>
        </w:r>
        <w:r>
          <w:rPr>
            <w:rFonts w:hint="eastAsia"/>
          </w:rPr>
          <w:tab/>
        </w:r>
        <w:r>
          <w:rPr>
            <w:rFonts w:hint="eastAsia"/>
          </w:rPr>
          <w:fldChar w:fldCharType="begin"/>
        </w:r>
        <w:r>
          <w:rPr>
            <w:rFonts w:hint="eastAsia"/>
          </w:rPr>
          <w:instrText xml:space="preserve"> </w:instrText>
        </w:r>
        <w:r>
          <w:instrText>PAGEREF _Toc192173509 \h</w:instrText>
        </w:r>
        <w:r>
          <w:rPr>
            <w:rFonts w:hint="eastAsia"/>
          </w:rPr>
          <w:instrText xml:space="preserve"> </w:instrText>
        </w:r>
        <w:r>
          <w:rPr>
            <w:rFonts w:hint="eastAsia"/>
          </w:rPr>
        </w:r>
        <w:r>
          <w:rPr>
            <w:rFonts w:hint="eastAsia"/>
          </w:rPr>
          <w:fldChar w:fldCharType="separate"/>
        </w:r>
        <w:r>
          <w:t>1</w:t>
        </w:r>
        <w:r>
          <w:rPr>
            <w:rFonts w:hint="eastAsia"/>
          </w:rPr>
          <w:fldChar w:fldCharType="end"/>
        </w:r>
      </w:hyperlink>
    </w:p>
    <w:p w14:paraId="27DCF788"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10" w:history="1">
        <w:r>
          <w:rPr>
            <w:rStyle w:val="afffff5"/>
            <w:rFonts w:hint="eastAsia"/>
          </w:rPr>
          <w:t>4</w:t>
        </w:r>
        <w:r>
          <w:rPr>
            <w:rStyle w:val="afffff5"/>
          </w:rPr>
          <w:t xml:space="preserve"> </w:t>
        </w:r>
        <w:r>
          <w:rPr>
            <w:rStyle w:val="afffff5"/>
            <w:rFonts w:hint="eastAsia"/>
          </w:rPr>
          <w:t xml:space="preserve"> 总体要求</w:t>
        </w:r>
        <w:r>
          <w:rPr>
            <w:rFonts w:hint="eastAsia"/>
          </w:rPr>
          <w:tab/>
        </w:r>
        <w:r>
          <w:rPr>
            <w:rFonts w:hint="eastAsia"/>
          </w:rPr>
          <w:fldChar w:fldCharType="begin"/>
        </w:r>
        <w:r>
          <w:rPr>
            <w:rFonts w:hint="eastAsia"/>
          </w:rPr>
          <w:instrText xml:space="preserve"> </w:instrText>
        </w:r>
        <w:r>
          <w:instrText>PAGEREF _Toc192173510 \h</w:instrText>
        </w:r>
        <w:r>
          <w:rPr>
            <w:rFonts w:hint="eastAsia"/>
          </w:rPr>
          <w:instrText xml:space="preserve"> </w:instrText>
        </w:r>
        <w:r>
          <w:rPr>
            <w:rFonts w:hint="eastAsia"/>
          </w:rPr>
        </w:r>
        <w:r>
          <w:rPr>
            <w:rFonts w:hint="eastAsia"/>
          </w:rPr>
          <w:fldChar w:fldCharType="separate"/>
        </w:r>
        <w:r>
          <w:t>2</w:t>
        </w:r>
        <w:r>
          <w:rPr>
            <w:rFonts w:hint="eastAsia"/>
          </w:rPr>
          <w:fldChar w:fldCharType="end"/>
        </w:r>
      </w:hyperlink>
    </w:p>
    <w:p w14:paraId="6310E922"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11" w:history="1">
        <w:r>
          <w:rPr>
            <w:rStyle w:val="afffff5"/>
            <w:rFonts w:hint="eastAsia"/>
          </w:rPr>
          <w:t>5</w:t>
        </w:r>
        <w:r>
          <w:rPr>
            <w:rStyle w:val="afffff5"/>
          </w:rPr>
          <w:t xml:space="preserve"> </w:t>
        </w:r>
        <w:r>
          <w:rPr>
            <w:rStyle w:val="afffff5"/>
            <w:rFonts w:hint="eastAsia"/>
          </w:rPr>
          <w:t xml:space="preserve"> 数据采集</w:t>
        </w:r>
        <w:r>
          <w:rPr>
            <w:rFonts w:hint="eastAsia"/>
          </w:rPr>
          <w:tab/>
        </w:r>
        <w:r>
          <w:rPr>
            <w:rFonts w:hint="eastAsia"/>
          </w:rPr>
          <w:fldChar w:fldCharType="begin"/>
        </w:r>
        <w:r>
          <w:rPr>
            <w:rFonts w:hint="eastAsia"/>
          </w:rPr>
          <w:instrText xml:space="preserve"> </w:instrText>
        </w:r>
        <w:r>
          <w:instrText>PAGEREF _Toc192173511 \h</w:instrText>
        </w:r>
        <w:r>
          <w:rPr>
            <w:rFonts w:hint="eastAsia"/>
          </w:rPr>
          <w:instrText xml:space="preserve"> </w:instrText>
        </w:r>
        <w:r>
          <w:rPr>
            <w:rFonts w:hint="eastAsia"/>
          </w:rPr>
        </w:r>
        <w:r>
          <w:rPr>
            <w:rFonts w:hint="eastAsia"/>
          </w:rPr>
          <w:fldChar w:fldCharType="separate"/>
        </w:r>
        <w:r>
          <w:t>2</w:t>
        </w:r>
        <w:r>
          <w:rPr>
            <w:rFonts w:hint="eastAsia"/>
          </w:rPr>
          <w:fldChar w:fldCharType="end"/>
        </w:r>
      </w:hyperlink>
    </w:p>
    <w:p w14:paraId="1ACC9731"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12" w:history="1">
        <w:r>
          <w:rPr>
            <w:rStyle w:val="afffff5"/>
            <w:rFonts w:hint="eastAsia"/>
          </w:rPr>
          <w:t>6</w:t>
        </w:r>
        <w:r>
          <w:rPr>
            <w:rStyle w:val="afffff5"/>
          </w:rPr>
          <w:t xml:space="preserve"> </w:t>
        </w:r>
        <w:r>
          <w:rPr>
            <w:rStyle w:val="afffff5"/>
            <w:rFonts w:hint="eastAsia"/>
          </w:rPr>
          <w:t xml:space="preserve"> 数据统计</w:t>
        </w:r>
        <w:r>
          <w:rPr>
            <w:rFonts w:hint="eastAsia"/>
          </w:rPr>
          <w:tab/>
        </w:r>
        <w:r>
          <w:rPr>
            <w:rFonts w:hint="eastAsia"/>
          </w:rPr>
          <w:fldChar w:fldCharType="begin"/>
        </w:r>
        <w:r>
          <w:rPr>
            <w:rFonts w:hint="eastAsia"/>
          </w:rPr>
          <w:instrText xml:space="preserve"> </w:instrText>
        </w:r>
        <w:r>
          <w:instrText>PAGEREF _Toc192173512 \h</w:instrText>
        </w:r>
        <w:r>
          <w:rPr>
            <w:rFonts w:hint="eastAsia"/>
          </w:rPr>
          <w:instrText xml:space="preserve"> </w:instrText>
        </w:r>
        <w:r>
          <w:rPr>
            <w:rFonts w:hint="eastAsia"/>
          </w:rPr>
        </w:r>
        <w:r>
          <w:rPr>
            <w:rFonts w:hint="eastAsia"/>
          </w:rPr>
          <w:fldChar w:fldCharType="separate"/>
        </w:r>
        <w:r>
          <w:t>7</w:t>
        </w:r>
        <w:r>
          <w:rPr>
            <w:rFonts w:hint="eastAsia"/>
          </w:rPr>
          <w:fldChar w:fldCharType="end"/>
        </w:r>
      </w:hyperlink>
    </w:p>
    <w:p w14:paraId="35D10479"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13" w:history="1">
        <w:r>
          <w:rPr>
            <w:rStyle w:val="afffff5"/>
            <w:rFonts w:hint="eastAsia"/>
          </w:rPr>
          <w:t>7</w:t>
        </w:r>
        <w:r>
          <w:rPr>
            <w:rStyle w:val="afffff5"/>
          </w:rPr>
          <w:t xml:space="preserve"> </w:t>
        </w:r>
        <w:r>
          <w:rPr>
            <w:rStyle w:val="afffff5"/>
            <w:rFonts w:hint="eastAsia"/>
          </w:rPr>
          <w:t xml:space="preserve"> 数据审核</w:t>
        </w:r>
        <w:r>
          <w:rPr>
            <w:rFonts w:hint="eastAsia"/>
          </w:rPr>
          <w:tab/>
        </w:r>
        <w:r>
          <w:rPr>
            <w:rFonts w:hint="eastAsia"/>
          </w:rPr>
          <w:fldChar w:fldCharType="begin"/>
        </w:r>
        <w:r>
          <w:rPr>
            <w:rFonts w:hint="eastAsia"/>
          </w:rPr>
          <w:instrText xml:space="preserve"> </w:instrText>
        </w:r>
        <w:r>
          <w:instrText>PAGEREF _Toc192173513 \h</w:instrText>
        </w:r>
        <w:r>
          <w:rPr>
            <w:rFonts w:hint="eastAsia"/>
          </w:rPr>
          <w:instrText xml:space="preserve"> </w:instrText>
        </w:r>
        <w:r>
          <w:rPr>
            <w:rFonts w:hint="eastAsia"/>
          </w:rPr>
        </w:r>
        <w:r>
          <w:rPr>
            <w:rFonts w:hint="eastAsia"/>
          </w:rPr>
          <w:fldChar w:fldCharType="separate"/>
        </w:r>
        <w:r>
          <w:t>8</w:t>
        </w:r>
        <w:r>
          <w:rPr>
            <w:rFonts w:hint="eastAsia"/>
          </w:rPr>
          <w:fldChar w:fldCharType="end"/>
        </w:r>
      </w:hyperlink>
    </w:p>
    <w:p w14:paraId="2EA56F59"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14" w:history="1">
        <w:r>
          <w:rPr>
            <w:rStyle w:val="afffff5"/>
            <w:rFonts w:hint="eastAsia"/>
          </w:rPr>
          <w:t>8</w:t>
        </w:r>
        <w:r>
          <w:rPr>
            <w:rStyle w:val="afffff5"/>
          </w:rPr>
          <w:t xml:space="preserve"> </w:t>
        </w:r>
        <w:r>
          <w:rPr>
            <w:rStyle w:val="afffff5"/>
            <w:rFonts w:hint="eastAsia"/>
          </w:rPr>
          <w:t xml:space="preserve"> 数据分析</w:t>
        </w:r>
        <w:r>
          <w:rPr>
            <w:rFonts w:hint="eastAsia"/>
          </w:rPr>
          <w:tab/>
        </w:r>
        <w:r>
          <w:rPr>
            <w:rFonts w:hint="eastAsia"/>
          </w:rPr>
          <w:fldChar w:fldCharType="begin"/>
        </w:r>
        <w:r>
          <w:rPr>
            <w:rFonts w:hint="eastAsia"/>
          </w:rPr>
          <w:instrText xml:space="preserve"> </w:instrText>
        </w:r>
        <w:r>
          <w:instrText>PAGEREF _Toc192173514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14:paraId="1BAD778F"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15" w:history="1">
        <w:r>
          <w:rPr>
            <w:rStyle w:val="afffff5"/>
            <w:rFonts w:hint="eastAsia"/>
          </w:rPr>
          <w:t>附录A（规范性）</w:t>
        </w:r>
        <w:r>
          <w:rPr>
            <w:rStyle w:val="afffff5"/>
          </w:rPr>
          <w:t xml:space="preserve"> </w:t>
        </w:r>
        <w:r>
          <w:rPr>
            <w:rStyle w:val="afffff5"/>
            <w:rFonts w:hint="eastAsia"/>
          </w:rPr>
          <w:t xml:space="preserve"> 用能人数计算示例</w:t>
        </w:r>
        <w:r>
          <w:rPr>
            <w:rFonts w:hint="eastAsia"/>
          </w:rPr>
          <w:tab/>
        </w:r>
        <w:r>
          <w:rPr>
            <w:rFonts w:hint="eastAsia"/>
          </w:rPr>
          <w:fldChar w:fldCharType="begin"/>
        </w:r>
        <w:r>
          <w:rPr>
            <w:rFonts w:hint="eastAsia"/>
          </w:rPr>
          <w:instrText xml:space="preserve"> </w:instrText>
        </w:r>
        <w:r>
          <w:instrText>PAGEREF _Toc192173515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14:paraId="68D074B3"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16" w:history="1">
        <w:r>
          <w:rPr>
            <w:rStyle w:val="afffff5"/>
            <w:rFonts w:hint="eastAsia"/>
          </w:rPr>
          <w:t>附录B（规范性）</w:t>
        </w:r>
        <w:r>
          <w:rPr>
            <w:rStyle w:val="afffff5"/>
          </w:rPr>
          <w:t xml:space="preserve"> </w:t>
        </w:r>
        <w:r>
          <w:rPr>
            <w:rStyle w:val="afffff5"/>
            <w:rFonts w:hint="eastAsia"/>
          </w:rPr>
          <w:t xml:space="preserve"> 按面积缴纳采暖费用的热力消费数据计算方法</w:t>
        </w:r>
        <w:r>
          <w:rPr>
            <w:rFonts w:hint="eastAsia"/>
          </w:rPr>
          <w:tab/>
        </w:r>
        <w:r>
          <w:rPr>
            <w:rFonts w:hint="eastAsia"/>
          </w:rPr>
          <w:fldChar w:fldCharType="begin"/>
        </w:r>
        <w:r>
          <w:rPr>
            <w:rFonts w:hint="eastAsia"/>
          </w:rPr>
          <w:instrText xml:space="preserve"> </w:instrText>
        </w:r>
        <w:r>
          <w:instrText>PAGEREF _Toc192173516 \h</w:instrText>
        </w:r>
        <w:r>
          <w:rPr>
            <w:rFonts w:hint="eastAsia"/>
          </w:rPr>
          <w:instrText xml:space="preserve"> </w:instrText>
        </w:r>
        <w:r>
          <w:rPr>
            <w:rFonts w:hint="eastAsia"/>
          </w:rPr>
        </w:r>
        <w:r>
          <w:rPr>
            <w:rFonts w:hint="eastAsia"/>
          </w:rPr>
          <w:fldChar w:fldCharType="separate"/>
        </w:r>
        <w:r>
          <w:t>14</w:t>
        </w:r>
        <w:r>
          <w:rPr>
            <w:rFonts w:hint="eastAsia"/>
          </w:rPr>
          <w:fldChar w:fldCharType="end"/>
        </w:r>
      </w:hyperlink>
    </w:p>
    <w:p w14:paraId="2019E95F"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17" w:history="1">
        <w:r>
          <w:rPr>
            <w:rStyle w:val="afffff5"/>
            <w:rFonts w:hint="eastAsia"/>
          </w:rPr>
          <w:t>附录C（资料性）</w:t>
        </w:r>
        <w:r>
          <w:rPr>
            <w:rStyle w:val="afffff5"/>
          </w:rPr>
          <w:t xml:space="preserve"> </w:t>
        </w:r>
        <w:r>
          <w:rPr>
            <w:rStyle w:val="afffff5"/>
            <w:rFonts w:hint="eastAsia"/>
          </w:rPr>
          <w:t xml:space="preserve"> 各类能源折算标准煤系数</w:t>
        </w:r>
        <w:r>
          <w:rPr>
            <w:rFonts w:hint="eastAsia"/>
          </w:rPr>
          <w:tab/>
        </w:r>
        <w:r>
          <w:rPr>
            <w:rFonts w:hint="eastAsia"/>
          </w:rPr>
          <w:fldChar w:fldCharType="begin"/>
        </w:r>
        <w:r>
          <w:rPr>
            <w:rFonts w:hint="eastAsia"/>
          </w:rPr>
          <w:instrText xml:space="preserve"> </w:instrText>
        </w:r>
        <w:r>
          <w:instrText>PAGEREF _Toc192173517 \h</w:instrText>
        </w:r>
        <w:r>
          <w:rPr>
            <w:rFonts w:hint="eastAsia"/>
          </w:rPr>
          <w:instrText xml:space="preserve"> </w:instrText>
        </w:r>
        <w:r>
          <w:rPr>
            <w:rFonts w:hint="eastAsia"/>
          </w:rPr>
        </w:r>
        <w:r>
          <w:rPr>
            <w:rFonts w:hint="eastAsia"/>
          </w:rPr>
          <w:fldChar w:fldCharType="separate"/>
        </w:r>
        <w:r>
          <w:t>16</w:t>
        </w:r>
        <w:r>
          <w:rPr>
            <w:rFonts w:hint="eastAsia"/>
          </w:rPr>
          <w:fldChar w:fldCharType="end"/>
        </w:r>
      </w:hyperlink>
    </w:p>
    <w:p w14:paraId="1D1A9C08"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18" w:history="1">
        <w:r>
          <w:rPr>
            <w:rStyle w:val="afffff5"/>
            <w:rFonts w:hint="eastAsia"/>
          </w:rPr>
          <w:t>附录D（规范性）</w:t>
        </w:r>
        <w:r>
          <w:rPr>
            <w:rStyle w:val="afffff5"/>
          </w:rPr>
          <w:t xml:space="preserve"> </w:t>
        </w:r>
        <w:r>
          <w:rPr>
            <w:rStyle w:val="afffff5"/>
            <w:rFonts w:hint="eastAsia"/>
          </w:rPr>
          <w:t xml:space="preserve"> 主要能源资源消耗指标计算方法</w:t>
        </w:r>
        <w:r>
          <w:rPr>
            <w:rFonts w:hint="eastAsia"/>
          </w:rPr>
          <w:tab/>
        </w:r>
        <w:r>
          <w:rPr>
            <w:rFonts w:hint="eastAsia"/>
          </w:rPr>
          <w:fldChar w:fldCharType="begin"/>
        </w:r>
        <w:r>
          <w:rPr>
            <w:rFonts w:hint="eastAsia"/>
          </w:rPr>
          <w:instrText xml:space="preserve"> </w:instrText>
        </w:r>
        <w:r>
          <w:instrText>PAGEREF _Toc192173518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20E0B36D" w14:textId="77777777" w:rsidR="00C34226" w:rsidRDefault="00000000">
      <w:pPr>
        <w:pStyle w:val="TOC1"/>
        <w:tabs>
          <w:tab w:val="right" w:leader="dot" w:pos="9344"/>
        </w:tabs>
        <w:spacing w:after="0"/>
        <w:rPr>
          <w:rFonts w:asciiTheme="minorHAnsi" w:eastAsiaTheme="minorEastAsia" w:hAnsiTheme="minorHAnsi" w:cstheme="minorBidi" w:hint="eastAsia"/>
          <w:sz w:val="22"/>
          <w:szCs w:val="24"/>
          <w14:ligatures w14:val="standardContextual"/>
        </w:rPr>
      </w:pPr>
      <w:hyperlink w:anchor="_Toc192173519" w:history="1">
        <w:r>
          <w:rPr>
            <w:rStyle w:val="afffff5"/>
            <w:rFonts w:hint="eastAsia"/>
          </w:rPr>
          <w:t>参考文献</w:t>
        </w:r>
        <w:r>
          <w:rPr>
            <w:rFonts w:hint="eastAsia"/>
          </w:rPr>
          <w:tab/>
        </w:r>
        <w:r>
          <w:rPr>
            <w:rFonts w:hint="eastAsia"/>
          </w:rPr>
          <w:fldChar w:fldCharType="begin"/>
        </w:r>
        <w:r>
          <w:rPr>
            <w:rFonts w:hint="eastAsia"/>
          </w:rPr>
          <w:instrText xml:space="preserve"> </w:instrText>
        </w:r>
        <w:r>
          <w:instrText>PAGEREF _Toc192173519 \h</w:instrText>
        </w:r>
        <w:r>
          <w:rPr>
            <w:rFonts w:hint="eastAsia"/>
          </w:rPr>
          <w:instrText xml:space="preserve"> </w:instrText>
        </w:r>
        <w:r>
          <w:rPr>
            <w:rFonts w:hint="eastAsia"/>
          </w:rPr>
        </w:r>
        <w:r>
          <w:rPr>
            <w:rFonts w:hint="eastAsia"/>
          </w:rPr>
          <w:fldChar w:fldCharType="separate"/>
        </w:r>
        <w:r>
          <w:t>20</w:t>
        </w:r>
        <w:r>
          <w:rPr>
            <w:rFonts w:hint="eastAsia"/>
          </w:rPr>
          <w:fldChar w:fldCharType="end"/>
        </w:r>
      </w:hyperlink>
    </w:p>
    <w:p w14:paraId="6750323D" w14:textId="77777777" w:rsidR="00C34226" w:rsidRDefault="00000000">
      <w:pPr>
        <w:pStyle w:val="afffffff5"/>
        <w:spacing w:before="0" w:afterLines="0" w:after="0" w:line="400" w:lineRule="exact"/>
        <w:sectPr w:rsidR="00C34226">
          <w:headerReference w:type="even" r:id="rId13"/>
          <w:headerReference w:type="default" r:id="rId14"/>
          <w:footerReference w:type="default" r:id="rId15"/>
          <w:pgSz w:w="11906" w:h="16838"/>
          <w:pgMar w:top="1928" w:right="1134" w:bottom="1134" w:left="1134" w:header="1418" w:footer="1134" w:gutter="284"/>
          <w:pgNumType w:fmt="upperRoman" w:start="1"/>
          <w:cols w:space="425"/>
          <w:formProt w:val="0"/>
          <w:docGrid w:type="lines" w:linePitch="312"/>
        </w:sectPr>
      </w:pPr>
      <w:r>
        <w:fldChar w:fldCharType="end"/>
      </w:r>
    </w:p>
    <w:p w14:paraId="0AA43F9B" w14:textId="77777777" w:rsidR="00C34226" w:rsidRDefault="00000000">
      <w:pPr>
        <w:pStyle w:val="a6"/>
        <w:spacing w:before="900" w:after="468" w:line="240" w:lineRule="auto"/>
      </w:pPr>
      <w:bookmarkStart w:id="26" w:name="_Toc192173505"/>
      <w:bookmarkStart w:id="27" w:name="BookMark2"/>
      <w:bookmarkEnd w:id="20"/>
      <w:r>
        <w:rPr>
          <w:spacing w:val="320"/>
        </w:rPr>
        <w:lastRenderedPageBreak/>
        <w:t>前</w:t>
      </w:r>
      <w:r>
        <w:t>言</w:t>
      </w:r>
      <w:bookmarkEnd w:id="21"/>
      <w:bookmarkEnd w:id="22"/>
      <w:bookmarkEnd w:id="23"/>
      <w:bookmarkEnd w:id="24"/>
      <w:bookmarkEnd w:id="25"/>
      <w:bookmarkEnd w:id="26"/>
    </w:p>
    <w:p w14:paraId="5A28D0EF" w14:textId="77777777" w:rsidR="00C34226" w:rsidRDefault="00000000">
      <w:pPr>
        <w:pStyle w:val="affffff0"/>
        <w:spacing w:after="0" w:line="240" w:lineRule="auto"/>
        <w:ind w:firstLine="420"/>
      </w:pPr>
      <w:r>
        <w:rPr>
          <w:rFonts w:hint="eastAsia"/>
        </w:rPr>
        <w:t>本文件按照GB/T 1.1—2020《标准化工作导则  第1部分：标准化文件的结构和起草规则》的规定起草。</w:t>
      </w:r>
    </w:p>
    <w:p w14:paraId="6AE4406E" w14:textId="77777777" w:rsidR="00C34226" w:rsidRDefault="00000000">
      <w:pPr>
        <w:pStyle w:val="affffff0"/>
        <w:spacing w:after="0" w:line="240" w:lineRule="auto"/>
        <w:ind w:firstLine="420"/>
      </w:pPr>
      <w:r>
        <w:rPr>
          <w:rFonts w:hint="eastAsia"/>
        </w:rPr>
        <w:t>本文件是DB13/T xx《公共机构绿色节能》的第3部分。DB13/T xx《公共机构绿色节能》已经发布了以下部分：</w:t>
      </w:r>
    </w:p>
    <w:p w14:paraId="5188B379" w14:textId="77777777" w:rsidR="00C34226" w:rsidRDefault="00000000">
      <w:pPr>
        <w:pStyle w:val="affffff0"/>
        <w:spacing w:after="0" w:line="240" w:lineRule="auto"/>
        <w:ind w:firstLine="420"/>
      </w:pPr>
      <w:r>
        <w:rPr>
          <w:rFonts w:hint="eastAsia"/>
        </w:rPr>
        <w:t>——第1部分：能源审计；</w:t>
      </w:r>
    </w:p>
    <w:p w14:paraId="0459F803" w14:textId="77777777" w:rsidR="00C34226" w:rsidRDefault="00000000">
      <w:pPr>
        <w:pStyle w:val="affffff0"/>
        <w:spacing w:after="0" w:line="240" w:lineRule="auto"/>
        <w:ind w:firstLine="420"/>
      </w:pPr>
      <w:r>
        <w:rPr>
          <w:rFonts w:hint="eastAsia"/>
        </w:rPr>
        <w:t>——第2部分：绿色运营；</w:t>
      </w:r>
    </w:p>
    <w:p w14:paraId="0A8C3068" w14:textId="77777777" w:rsidR="00C34226" w:rsidRDefault="00000000">
      <w:pPr>
        <w:pStyle w:val="affffff0"/>
        <w:spacing w:after="0" w:line="240" w:lineRule="auto"/>
        <w:ind w:firstLine="420"/>
      </w:pPr>
      <w:r>
        <w:rPr>
          <w:rFonts w:hint="eastAsia"/>
        </w:rPr>
        <w:t>——第3部分：能源资源消费统计；</w:t>
      </w:r>
    </w:p>
    <w:p w14:paraId="3F29CACA" w14:textId="77777777" w:rsidR="00C34226" w:rsidRDefault="00000000">
      <w:pPr>
        <w:pStyle w:val="affffff0"/>
        <w:spacing w:after="0" w:line="240" w:lineRule="auto"/>
        <w:ind w:firstLine="420"/>
      </w:pPr>
      <w:r>
        <w:rPr>
          <w:rFonts w:hint="eastAsia"/>
        </w:rPr>
        <w:t>——第4部分：节水管理与评价；</w:t>
      </w:r>
    </w:p>
    <w:p w14:paraId="41558C63" w14:textId="77777777" w:rsidR="00C34226" w:rsidRDefault="00000000">
      <w:pPr>
        <w:pStyle w:val="affffff0"/>
        <w:spacing w:after="0" w:line="240" w:lineRule="auto"/>
        <w:ind w:firstLine="420"/>
      </w:pPr>
      <w:r>
        <w:rPr>
          <w:rFonts w:hint="eastAsia"/>
        </w:rPr>
        <w:t>——第5部分：生活垃圾分类；</w:t>
      </w:r>
    </w:p>
    <w:p w14:paraId="09F7861D" w14:textId="77777777" w:rsidR="00C34226" w:rsidRDefault="00000000">
      <w:pPr>
        <w:pStyle w:val="affffff0"/>
        <w:spacing w:after="0" w:line="240" w:lineRule="auto"/>
        <w:ind w:firstLine="420"/>
      </w:pPr>
      <w:r>
        <w:rPr>
          <w:rFonts w:hint="eastAsia"/>
        </w:rPr>
        <w:t>——第6部分：零碳管理与评价；</w:t>
      </w:r>
    </w:p>
    <w:p w14:paraId="77E0B955" w14:textId="77777777" w:rsidR="00C34226" w:rsidRDefault="00000000">
      <w:pPr>
        <w:pStyle w:val="affffff0"/>
        <w:spacing w:after="0" w:line="240" w:lineRule="auto"/>
        <w:ind w:firstLine="420"/>
      </w:pPr>
      <w:r>
        <w:rPr>
          <w:rFonts w:hint="eastAsia"/>
        </w:rPr>
        <w:t>——第7部分：绿色评价。</w:t>
      </w:r>
    </w:p>
    <w:p w14:paraId="0332F7EE" w14:textId="77777777" w:rsidR="00C34226" w:rsidRDefault="00000000">
      <w:pPr>
        <w:pStyle w:val="affffff0"/>
        <w:spacing w:after="0" w:line="240" w:lineRule="auto"/>
        <w:ind w:firstLine="420"/>
      </w:pPr>
      <w:r>
        <w:rPr>
          <w:rFonts w:hint="eastAsia"/>
        </w:rPr>
        <w:t>请注意本文件的某些内容可能涉及专利。本文件的发布机构不承担识别专利的责任。</w:t>
      </w:r>
    </w:p>
    <w:p w14:paraId="555E174A" w14:textId="77777777" w:rsidR="00C34226" w:rsidRDefault="00000000">
      <w:pPr>
        <w:pStyle w:val="affffff0"/>
        <w:spacing w:after="0" w:line="240" w:lineRule="auto"/>
        <w:ind w:firstLine="420"/>
      </w:pPr>
      <w:r>
        <w:rPr>
          <w:rFonts w:hint="eastAsia"/>
        </w:rPr>
        <w:t>本文件由河北省机关事务管理局提出并归口。</w:t>
      </w:r>
    </w:p>
    <w:p w14:paraId="15B043B6" w14:textId="77777777" w:rsidR="00C34226" w:rsidRDefault="00000000">
      <w:pPr>
        <w:pStyle w:val="affffff0"/>
        <w:spacing w:after="0" w:line="240" w:lineRule="auto"/>
        <w:ind w:firstLine="420"/>
      </w:pPr>
      <w:r>
        <w:rPr>
          <w:rFonts w:hint="eastAsia"/>
        </w:rPr>
        <w:t>本文件起草单位：河北省机关事务管理局、河北省建筑科学研究院有限公司、河北省标准化研究院。</w:t>
      </w:r>
    </w:p>
    <w:p w14:paraId="26224EB9" w14:textId="77777777" w:rsidR="00C34226" w:rsidRDefault="00000000">
      <w:pPr>
        <w:pStyle w:val="affffff0"/>
        <w:spacing w:after="0" w:line="240" w:lineRule="auto"/>
        <w:ind w:firstLine="420"/>
      </w:pPr>
      <w:r>
        <w:rPr>
          <w:rFonts w:hint="eastAsia"/>
        </w:rPr>
        <w:t>本文件主要起草人：申虎山、李海林、李楠、付欢、张玲丽。</w:t>
      </w:r>
    </w:p>
    <w:p w14:paraId="0D32CC21" w14:textId="77777777" w:rsidR="00C34226" w:rsidRDefault="00C34226">
      <w:pPr>
        <w:pStyle w:val="affffff0"/>
        <w:spacing w:line="240" w:lineRule="auto"/>
        <w:ind w:firstLine="420"/>
        <w:sectPr w:rsidR="00C34226">
          <w:pgSz w:w="11906" w:h="16838"/>
          <w:pgMar w:top="1928" w:right="1134" w:bottom="1134" w:left="1134" w:header="1418" w:footer="1134" w:gutter="284"/>
          <w:pgNumType w:fmt="upperRoman"/>
          <w:cols w:space="425"/>
          <w:formProt w:val="0"/>
          <w:docGrid w:type="lines" w:linePitch="312"/>
        </w:sectPr>
      </w:pPr>
    </w:p>
    <w:p w14:paraId="70CDB4F3" w14:textId="77777777" w:rsidR="00C34226" w:rsidRDefault="00000000">
      <w:pPr>
        <w:pStyle w:val="a6"/>
        <w:spacing w:after="468" w:line="240" w:lineRule="auto"/>
      </w:pPr>
      <w:bookmarkStart w:id="28" w:name="_Toc181107007"/>
      <w:bookmarkStart w:id="29" w:name="_Toc184132524"/>
      <w:bookmarkStart w:id="30" w:name="_Toc192173506"/>
      <w:bookmarkStart w:id="31" w:name="BookMark3"/>
      <w:bookmarkEnd w:id="27"/>
      <w:r>
        <w:rPr>
          <w:rFonts w:hint="eastAsia"/>
          <w:spacing w:val="320"/>
        </w:rPr>
        <w:lastRenderedPageBreak/>
        <w:t>引</w:t>
      </w:r>
      <w:r>
        <w:rPr>
          <w:rFonts w:hint="eastAsia"/>
        </w:rPr>
        <w:t>言</w:t>
      </w:r>
      <w:bookmarkEnd w:id="28"/>
      <w:bookmarkEnd w:id="29"/>
      <w:bookmarkEnd w:id="30"/>
    </w:p>
    <w:p w14:paraId="1EA3B981" w14:textId="77777777" w:rsidR="00C34226" w:rsidRDefault="00000000">
      <w:pPr>
        <w:pStyle w:val="affffff0"/>
        <w:spacing w:after="0" w:line="240" w:lineRule="auto"/>
        <w:ind w:firstLine="420"/>
      </w:pPr>
      <w:r>
        <w:rPr>
          <w:rFonts w:hint="eastAsia"/>
        </w:rPr>
        <w:t>公共机构节约能源资源工作是聚焦绿色低碳发展目标，实现绿色低碳转型的有力抓手，有助于开创公共机构节</w:t>
      </w:r>
      <w:bookmarkStart w:id="32" w:name="_Hlk192171079"/>
      <w:r>
        <w:rPr>
          <w:rFonts w:hint="eastAsia"/>
        </w:rPr>
        <w:t>约能源资源绿色低碳发展新局面。完善的公共机构节约能源资源标准有助于提升公共机构公共机构节约能源资源工作的法治效力和治理能力现代化水平，确保绿色节能措施的有效执行。同时，充分发挥公共机构在社</w:t>
      </w:r>
      <w:bookmarkEnd w:id="32"/>
      <w:r>
        <w:rPr>
          <w:rFonts w:hint="eastAsia"/>
        </w:rPr>
        <w:t>会中的示范引领作用，推动形成绿色低碳的生产和生活方式。</w:t>
      </w:r>
    </w:p>
    <w:p w14:paraId="0A103AA5" w14:textId="77777777" w:rsidR="00C34226" w:rsidRDefault="00000000">
      <w:pPr>
        <w:pStyle w:val="affffff0"/>
        <w:spacing w:after="0" w:line="240" w:lineRule="auto"/>
        <w:ind w:firstLine="420"/>
      </w:pPr>
      <w:r>
        <w:rPr>
          <w:rFonts w:hint="eastAsia"/>
        </w:rPr>
        <w:t>本规程旨在提升公共机构的运行效率，为公共机构开展能源审计、绿色运营、能源资源消费统计、节水管理与评价、生活垃圾分类、零碳管理与评价、绿色评价等方面绿色节能工作提供技术支持和标准化支撑。</w:t>
      </w:r>
    </w:p>
    <w:p w14:paraId="2BA688EF" w14:textId="77777777" w:rsidR="00C34226" w:rsidRDefault="00000000">
      <w:pPr>
        <w:pStyle w:val="affffff0"/>
        <w:spacing w:after="0" w:line="240" w:lineRule="auto"/>
        <w:ind w:firstLine="420"/>
      </w:pPr>
      <w:r>
        <w:t>DB13/T XXXX</w:t>
      </w:r>
      <w:r>
        <w:rPr>
          <w:rFonts w:hint="eastAsia"/>
        </w:rPr>
        <w:t>《公共机构绿色节能》针对公共机构绿色节能的不同方面，分为7个部分。</w:t>
      </w:r>
    </w:p>
    <w:p w14:paraId="2EE00D1F" w14:textId="77777777" w:rsidR="00C34226" w:rsidRDefault="00000000">
      <w:pPr>
        <w:pStyle w:val="af8"/>
        <w:spacing w:after="0" w:line="240" w:lineRule="auto"/>
      </w:pPr>
      <w:r>
        <w:rPr>
          <w:rFonts w:hint="eastAsia"/>
        </w:rPr>
        <w:t>第1部分：能源审计。对公共机构能源审计规定内容和程序方面的要求，旨在识别节能潜力和提出节能措施，促进公共机构节能降耗、提高公共机构能源利用效率、优化能源管理水平。</w:t>
      </w:r>
    </w:p>
    <w:p w14:paraId="64641EFF" w14:textId="77777777" w:rsidR="00C34226" w:rsidRDefault="00000000">
      <w:pPr>
        <w:pStyle w:val="af8"/>
        <w:spacing w:after="0" w:line="240" w:lineRule="auto"/>
      </w:pPr>
      <w:r>
        <w:rPr>
          <w:rFonts w:hint="eastAsia"/>
        </w:rPr>
        <w:t>第2部分：绿色运营。对公共机构运营的管理要求、运行维护技术要求和特殊要求等内容进行了规定，旨在推动公共机构实现绿色低碳发展、提高资源利用效率、提升环保形象、促进可持续发展以及为实践提供指导依据。</w:t>
      </w:r>
    </w:p>
    <w:p w14:paraId="70061A70" w14:textId="77777777" w:rsidR="00C34226" w:rsidRDefault="00000000">
      <w:pPr>
        <w:pStyle w:val="af8"/>
        <w:spacing w:after="0" w:line="240" w:lineRule="auto"/>
      </w:pPr>
      <w:r>
        <w:rPr>
          <w:rFonts w:hint="eastAsia"/>
        </w:rPr>
        <w:t>第3部分：</w:t>
      </w:r>
      <w:bookmarkStart w:id="33" w:name="_Hlk181190670"/>
      <w:r>
        <w:rPr>
          <w:rFonts w:hint="eastAsia"/>
        </w:rPr>
        <w:t>能源资源消费统计</w:t>
      </w:r>
      <w:bookmarkEnd w:id="33"/>
      <w:r>
        <w:rPr>
          <w:rFonts w:hint="eastAsia"/>
        </w:rPr>
        <w:t>。规范公共机构能源资源消费统计的数据采集、数据分析等统计流程和方法，旨在为公共机构提供科学的能源资源消费分析工具，提升统计数据的准确性、科学性和可比性。</w:t>
      </w:r>
    </w:p>
    <w:p w14:paraId="353139EB" w14:textId="77777777" w:rsidR="00C34226" w:rsidRDefault="00000000">
      <w:pPr>
        <w:pStyle w:val="af8"/>
        <w:spacing w:after="0" w:line="240" w:lineRule="auto"/>
      </w:pPr>
      <w:r>
        <w:rPr>
          <w:rFonts w:hint="eastAsia"/>
        </w:rPr>
        <w:t>第4部分：</w:t>
      </w:r>
      <w:bookmarkStart w:id="34" w:name="_Hlk181190678"/>
      <w:r>
        <w:rPr>
          <w:rFonts w:hint="eastAsia"/>
        </w:rPr>
        <w:t>节水管理与评价</w:t>
      </w:r>
      <w:bookmarkEnd w:id="34"/>
      <w:r>
        <w:rPr>
          <w:rFonts w:hint="eastAsia"/>
        </w:rPr>
        <w:t>。对公共机构的节水管理与评价的管理要求、节水保障措施与绩效评价等内容进行了规定，旨在明确节水目标、标准和要求，推动公共机构采取有效的节水措施，降低用水量，从而减轻对水资源的压力。</w:t>
      </w:r>
    </w:p>
    <w:p w14:paraId="3C87B055" w14:textId="77777777" w:rsidR="00C34226" w:rsidRDefault="00000000">
      <w:pPr>
        <w:pStyle w:val="af8"/>
        <w:spacing w:after="0" w:line="240" w:lineRule="auto"/>
      </w:pPr>
      <w:r>
        <w:rPr>
          <w:rFonts w:hint="eastAsia"/>
        </w:rPr>
        <w:t>第5部分：</w:t>
      </w:r>
      <w:bookmarkStart w:id="35" w:name="_Hlk181190688"/>
      <w:r>
        <w:rPr>
          <w:rFonts w:hint="eastAsia"/>
        </w:rPr>
        <w:t>生活垃圾分类</w:t>
      </w:r>
      <w:bookmarkEnd w:id="35"/>
      <w:r>
        <w:rPr>
          <w:rFonts w:hint="eastAsia"/>
        </w:rPr>
        <w:t>。规定了公共机构生活垃圾的基本规定、收集容器、分类投放、分类收集、分类运输和分类处置等内容，旨在推动垃圾分类工作规范化和科学化、提高公共机构垃圾分类意识和行动积极性、促进资源循环利用和减少环境污染，实现生活垃圾减量化、资源化和无害化处理。</w:t>
      </w:r>
    </w:p>
    <w:p w14:paraId="3C847D0D" w14:textId="77777777" w:rsidR="00C34226" w:rsidRDefault="00000000">
      <w:pPr>
        <w:pStyle w:val="af8"/>
        <w:spacing w:after="0" w:line="240" w:lineRule="auto"/>
      </w:pPr>
      <w:r>
        <w:rPr>
          <w:rFonts w:hint="eastAsia"/>
        </w:rPr>
        <w:t>第6部分：</w:t>
      </w:r>
      <w:bookmarkStart w:id="36" w:name="_Hlk181190695"/>
      <w:r>
        <w:rPr>
          <w:rFonts w:hint="eastAsia"/>
        </w:rPr>
        <w:t>零碳管理</w:t>
      </w:r>
      <w:bookmarkEnd w:id="36"/>
      <w:r>
        <w:rPr>
          <w:rFonts w:hint="eastAsia"/>
        </w:rPr>
        <w:t>规程。对零碳公共机构管理与评价的要求，旨在明确河北公共机构在追求零碳排放过程中应遵循的总体原则和管理内容，为实现零碳排放提供清晰的指导方针。建立一套评价流程和方法，衡量河北公共机构实施零碳措施的效果和进展，便于监督和激励改进。</w:t>
      </w:r>
    </w:p>
    <w:p w14:paraId="41BE4333" w14:textId="77777777" w:rsidR="00C34226" w:rsidRDefault="00000000">
      <w:pPr>
        <w:pStyle w:val="af8"/>
        <w:spacing w:after="0" w:line="240" w:lineRule="auto"/>
      </w:pPr>
      <w:r>
        <w:rPr>
          <w:rFonts w:hint="eastAsia"/>
        </w:rPr>
        <w:t>第7部分：绿色评价。对公共机构绿色评价的基本要求、评价方法、等级划分和相关指标体系等方面进行了要求，旨在引导公共机构节能管理从节约能源的单一目标向节约资源、环境保护、舒适健康的多目标转变，降低公共机构的运行能耗，节约资源和保护环境，改善公共机构工作环境。</w:t>
      </w:r>
    </w:p>
    <w:p w14:paraId="3B24CF73" w14:textId="77777777" w:rsidR="00C34226" w:rsidRDefault="00C34226">
      <w:pPr>
        <w:pStyle w:val="affffff0"/>
        <w:spacing w:line="240" w:lineRule="auto"/>
        <w:ind w:firstLine="420"/>
      </w:pPr>
    </w:p>
    <w:p w14:paraId="0E37330A" w14:textId="77777777" w:rsidR="00C34226" w:rsidRDefault="00C34226">
      <w:pPr>
        <w:pStyle w:val="affffff0"/>
        <w:spacing w:line="240" w:lineRule="auto"/>
        <w:ind w:firstLine="420"/>
        <w:sectPr w:rsidR="00C34226">
          <w:pgSz w:w="11906" w:h="16838"/>
          <w:pgMar w:top="1928" w:right="1134" w:bottom="1134" w:left="1134" w:header="1418" w:footer="1134" w:gutter="284"/>
          <w:pgNumType w:fmt="upperRoman"/>
          <w:cols w:space="425"/>
          <w:formProt w:val="0"/>
          <w:docGrid w:type="lines" w:linePitch="312"/>
        </w:sectPr>
      </w:pPr>
    </w:p>
    <w:p w14:paraId="76ADCC50" w14:textId="77777777" w:rsidR="00C34226" w:rsidRDefault="00000000">
      <w:pPr>
        <w:pStyle w:val="affffffffff3"/>
        <w:spacing w:beforeLines="1" w:before="3" w:afterLines="1" w:after="3" w:line="240" w:lineRule="auto"/>
        <w:rPr>
          <w:rFonts w:hint="eastAsia"/>
        </w:rPr>
      </w:pPr>
      <w:bookmarkStart w:id="37" w:name="NEW_STAND_NAME"/>
      <w:bookmarkStart w:id="38" w:name="BookMark4"/>
      <w:bookmarkEnd w:id="31"/>
      <w:r>
        <w:rPr>
          <w:rFonts w:hint="eastAsia"/>
        </w:rPr>
        <w:lastRenderedPageBreak/>
        <w:t>公共机构绿色节能</w:t>
      </w:r>
    </w:p>
    <w:p w14:paraId="0484166C" w14:textId="66841C93" w:rsidR="00C34226" w:rsidRDefault="00000000">
      <w:pPr>
        <w:pStyle w:val="affffffffff3"/>
        <w:spacing w:beforeLines="1" w:before="3" w:after="680" w:line="240" w:lineRule="auto"/>
        <w:rPr>
          <w:rFonts w:hint="eastAsia"/>
        </w:rPr>
      </w:pPr>
      <w:r>
        <w:rPr>
          <w:rFonts w:hint="eastAsia"/>
        </w:rPr>
        <w:t>第3部分：能源资源消费统计</w:t>
      </w:r>
      <w:r>
        <w:t xml:space="preserve"> </w:t>
      </w:r>
    </w:p>
    <w:p w14:paraId="5A5CDC5D" w14:textId="77777777" w:rsidR="00C34226" w:rsidRDefault="00000000">
      <w:pPr>
        <w:pStyle w:val="afff2"/>
        <w:spacing w:before="312" w:after="312" w:line="240" w:lineRule="auto"/>
      </w:pPr>
      <w:bookmarkStart w:id="39" w:name="_Toc26718930"/>
      <w:bookmarkStart w:id="40" w:name="_Toc166146591"/>
      <w:bookmarkStart w:id="41" w:name="_Toc26648465"/>
      <w:bookmarkStart w:id="42" w:name="_Toc181107008"/>
      <w:bookmarkStart w:id="43" w:name="_Toc97191423"/>
      <w:bookmarkStart w:id="44" w:name="_Toc166146646"/>
      <w:bookmarkStart w:id="45" w:name="_Toc17233333"/>
      <w:bookmarkStart w:id="46" w:name="_Toc184132525"/>
      <w:bookmarkStart w:id="47" w:name="_Toc24884218"/>
      <w:bookmarkStart w:id="48" w:name="_Toc181106069"/>
      <w:bookmarkStart w:id="49" w:name="_Toc17233325"/>
      <w:bookmarkStart w:id="50" w:name="_Toc26986771"/>
      <w:bookmarkStart w:id="51" w:name="_Toc26986530"/>
      <w:bookmarkStart w:id="52" w:name="_Toc24884211"/>
      <w:bookmarkStart w:id="53" w:name="_Toc192173507"/>
      <w:bookmarkEnd w:id="37"/>
      <w:r>
        <w:rPr>
          <w:rFonts w:hint="eastAsia"/>
        </w:rPr>
        <w:t>范围</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14:paraId="377EBF4A" w14:textId="0EE99F62" w:rsidR="00C34226" w:rsidRDefault="00000000">
      <w:pPr>
        <w:pStyle w:val="affffff0"/>
        <w:spacing w:after="0" w:line="240" w:lineRule="auto"/>
        <w:ind w:firstLine="420"/>
      </w:pPr>
      <w:bookmarkStart w:id="54" w:name="_Toc17233326"/>
      <w:bookmarkStart w:id="55" w:name="_Toc24884212"/>
      <w:bookmarkStart w:id="56" w:name="_Toc17233334"/>
      <w:bookmarkStart w:id="57" w:name="_Toc26648466"/>
      <w:bookmarkStart w:id="58" w:name="_Toc24884219"/>
      <w:r>
        <w:rPr>
          <w:rFonts w:hint="eastAsia"/>
        </w:rPr>
        <w:t>本文件规定了公共机构能源资源消费数据统计的</w:t>
      </w:r>
      <w:r w:rsidR="000D5330">
        <w:rPr>
          <w:rFonts w:hint="eastAsia"/>
        </w:rPr>
        <w:t>总体</w:t>
      </w:r>
      <w:r>
        <w:rPr>
          <w:rFonts w:hint="eastAsia"/>
        </w:rPr>
        <w:t>要求、数据采集、数据统计、数据审核和数据分析等内容。</w:t>
      </w:r>
    </w:p>
    <w:p w14:paraId="147D5C1E" w14:textId="77777777" w:rsidR="00C34226" w:rsidRDefault="00000000">
      <w:pPr>
        <w:pStyle w:val="affffff0"/>
        <w:spacing w:after="0" w:line="240" w:lineRule="auto"/>
        <w:ind w:firstLine="420"/>
      </w:pPr>
      <w:r>
        <w:rPr>
          <w:rFonts w:hint="eastAsia"/>
        </w:rPr>
        <w:t>本文件适用于河北省行政区域内公共机构能源资源消费数据的统计。</w:t>
      </w:r>
    </w:p>
    <w:p w14:paraId="2843A365" w14:textId="77777777" w:rsidR="00C34226" w:rsidRDefault="00000000">
      <w:pPr>
        <w:pStyle w:val="afff2"/>
        <w:spacing w:before="312" w:after="312" w:line="240" w:lineRule="auto"/>
      </w:pPr>
      <w:bookmarkStart w:id="59" w:name="_Toc166146647"/>
      <w:bookmarkStart w:id="60" w:name="_Toc181106070"/>
      <w:bookmarkStart w:id="61" w:name="_Toc181107009"/>
      <w:bookmarkStart w:id="62" w:name="_Toc192173508"/>
      <w:bookmarkStart w:id="63" w:name="_Toc166146592"/>
      <w:bookmarkStart w:id="64" w:name="_Toc26718931"/>
      <w:bookmarkStart w:id="65" w:name="_Toc184132526"/>
      <w:bookmarkStart w:id="66" w:name="_Toc26986772"/>
      <w:bookmarkStart w:id="67" w:name="_Toc97191424"/>
      <w:bookmarkStart w:id="68" w:name="_Toc26986531"/>
      <w:r>
        <w:rPr>
          <w:rFonts w:hint="eastAsia"/>
        </w:rPr>
        <w:t>规范性引用文件</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p w14:paraId="45E031E2" w14:textId="77777777" w:rsidR="00C34226" w:rsidRDefault="00000000">
      <w:pPr>
        <w:pStyle w:val="affffff0"/>
        <w:spacing w:after="0" w:line="240" w:lineRule="auto"/>
        <w:ind w:firstLine="420"/>
      </w:pPr>
      <w:r>
        <w:rPr>
          <w:rFonts w:hint="eastAsia"/>
        </w:rPr>
        <w:t>下列标准中的内容通过文中的规范性引用而构成本规程必不可少的条款。其中，注日期的引用标准，仅该日期对应的版本适用于本规程；不注日期的引用标准，其最新版本（包括所有的修改单）适用于本文件。</w:t>
      </w:r>
    </w:p>
    <w:p w14:paraId="44E67CEC" w14:textId="77777777" w:rsidR="00C34226" w:rsidRDefault="00000000">
      <w:pPr>
        <w:pStyle w:val="affffff0"/>
        <w:spacing w:after="0" w:line="240" w:lineRule="auto"/>
        <w:ind w:firstLine="420"/>
      </w:pPr>
      <w:r>
        <w:t>GB/T 4754</w:t>
      </w:r>
      <w:r>
        <w:rPr>
          <w:rFonts w:hint="eastAsia"/>
        </w:rPr>
        <w:t xml:space="preserve">  国民经济行业分类</w:t>
      </w:r>
    </w:p>
    <w:p w14:paraId="5953510F" w14:textId="77777777" w:rsidR="00C34226" w:rsidRDefault="00000000">
      <w:pPr>
        <w:pStyle w:val="affffff0"/>
        <w:spacing w:after="0" w:line="240" w:lineRule="auto"/>
        <w:ind w:firstLine="420"/>
      </w:pPr>
      <w:r>
        <w:rPr>
          <w:rFonts w:hint="eastAsia"/>
        </w:rPr>
        <w:t>GB 17167  用能单位能源计量器具配备和管理通则</w:t>
      </w:r>
    </w:p>
    <w:p w14:paraId="6C5998CB" w14:textId="77777777" w:rsidR="00C34226" w:rsidRDefault="00000000">
      <w:pPr>
        <w:pStyle w:val="affffff0"/>
        <w:spacing w:after="0" w:line="240" w:lineRule="auto"/>
        <w:ind w:firstLine="420"/>
      </w:pPr>
      <w:bookmarkStart w:id="69" w:name="OLE_LINK2"/>
      <w:r>
        <w:rPr>
          <w:rFonts w:hint="eastAsia"/>
        </w:rPr>
        <w:t>GB/T 29149</w:t>
      </w:r>
      <w:bookmarkEnd w:id="69"/>
      <w:r>
        <w:rPr>
          <w:rFonts w:hint="eastAsia"/>
        </w:rPr>
        <w:t xml:space="preserve">  公共机构能源资源计量器具配备和管理要求</w:t>
      </w:r>
    </w:p>
    <w:p w14:paraId="4447969C" w14:textId="77777777" w:rsidR="00C34226" w:rsidRDefault="00000000">
      <w:pPr>
        <w:pStyle w:val="affffff0"/>
        <w:spacing w:after="0" w:line="240" w:lineRule="auto"/>
        <w:ind w:firstLine="420"/>
      </w:pPr>
      <w:r>
        <w:rPr>
          <w:rFonts w:hint="eastAsia"/>
        </w:rPr>
        <w:t>GB/T 34060  蒸汽热量计算方法</w:t>
      </w:r>
    </w:p>
    <w:p w14:paraId="0969CA0C" w14:textId="77777777" w:rsidR="00C34226" w:rsidRDefault="00000000">
      <w:pPr>
        <w:pStyle w:val="affffff0"/>
        <w:spacing w:after="0" w:line="240" w:lineRule="auto"/>
        <w:ind w:firstLine="420"/>
      </w:pPr>
      <w:bookmarkStart w:id="70" w:name="OLE_LINK3"/>
      <w:r>
        <w:rPr>
          <w:rFonts w:hint="eastAsia"/>
        </w:rPr>
        <w:t>GB/T 40879</w:t>
      </w:r>
      <w:bookmarkEnd w:id="70"/>
      <w:r>
        <w:rPr>
          <w:rFonts w:hint="eastAsia"/>
        </w:rPr>
        <w:t xml:space="preserve">  数据中心能效限定值及能效等级</w:t>
      </w:r>
    </w:p>
    <w:p w14:paraId="3A78ED00" w14:textId="77777777" w:rsidR="00C34226" w:rsidRDefault="00000000">
      <w:pPr>
        <w:pStyle w:val="affffff0"/>
        <w:spacing w:after="0" w:line="240" w:lineRule="auto"/>
        <w:ind w:firstLine="420"/>
      </w:pPr>
      <w:r>
        <w:rPr>
          <w:rFonts w:hint="eastAsia"/>
        </w:rPr>
        <w:t xml:space="preserve">公共机构能源资源消费统计调查制度 国统制 </w:t>
      </w:r>
      <w:bookmarkStart w:id="71" w:name="_Hlk181173568"/>
      <w:r>
        <w:rPr>
          <w:rFonts w:ascii="Times New Roman"/>
        </w:rPr>
        <w:t>〔</w:t>
      </w:r>
      <w:r>
        <w:rPr>
          <w:rFonts w:hAnsi="宋体"/>
        </w:rPr>
        <w:t>2022</w:t>
      </w:r>
      <w:r>
        <w:rPr>
          <w:rFonts w:ascii="Times New Roman"/>
        </w:rPr>
        <w:t>〕</w:t>
      </w:r>
      <w:bookmarkEnd w:id="71"/>
      <w:r>
        <w:rPr>
          <w:rFonts w:hint="eastAsia"/>
        </w:rPr>
        <w:t xml:space="preserve"> 130 号</w:t>
      </w:r>
    </w:p>
    <w:p w14:paraId="4C28ED25" w14:textId="77777777" w:rsidR="00C34226" w:rsidRDefault="00000000">
      <w:pPr>
        <w:pStyle w:val="afff2"/>
        <w:spacing w:before="312" w:after="312" w:line="240" w:lineRule="auto"/>
        <w:rPr>
          <w:szCs w:val="21"/>
        </w:rPr>
      </w:pPr>
      <w:bookmarkStart w:id="72" w:name="_Toc192173509"/>
      <w:bookmarkStart w:id="73" w:name="_Toc181107010"/>
      <w:bookmarkStart w:id="74" w:name="_Toc184132527"/>
      <w:bookmarkStart w:id="75" w:name="_Toc181106071"/>
      <w:bookmarkStart w:id="76" w:name="_Toc166146648"/>
      <w:bookmarkStart w:id="77" w:name="_Toc97191425"/>
      <w:bookmarkStart w:id="78" w:name="_Toc166146593"/>
      <w:r>
        <w:rPr>
          <w:rFonts w:hint="eastAsia"/>
          <w:szCs w:val="21"/>
        </w:rPr>
        <w:t>术语和定义</w:t>
      </w:r>
      <w:bookmarkEnd w:id="72"/>
      <w:bookmarkEnd w:id="73"/>
      <w:bookmarkEnd w:id="74"/>
      <w:bookmarkEnd w:id="75"/>
      <w:bookmarkEnd w:id="76"/>
      <w:bookmarkEnd w:id="77"/>
      <w:bookmarkEnd w:id="78"/>
    </w:p>
    <w:sdt>
      <w:sdtPr>
        <w:rPr>
          <w:rFonts w:hint="eastAsia"/>
        </w:rPr>
        <w:id w:val="-1909835108"/>
        <w:placeholder>
          <w:docPart w:val="C3138BA296C94636A13E7754CE5A604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591E7D9B" w14:textId="77777777" w:rsidR="00C34226" w:rsidRDefault="00000000">
          <w:pPr>
            <w:pStyle w:val="affffff0"/>
            <w:spacing w:after="0" w:line="240" w:lineRule="auto"/>
            <w:ind w:firstLine="420"/>
          </w:pPr>
          <w:r>
            <w:rPr>
              <w:rFonts w:hint="eastAsia"/>
            </w:rPr>
            <w:t>下列术语和定义适用于本文件。</w:t>
          </w:r>
        </w:p>
      </w:sdtContent>
    </w:sdt>
    <w:p w14:paraId="01C582FF" w14:textId="77777777" w:rsidR="00C34226" w:rsidRDefault="00000000">
      <w:pPr>
        <w:pStyle w:val="affffffffffff"/>
        <w:spacing w:line="240" w:lineRule="auto"/>
        <w:ind w:left="420" w:hangingChars="200" w:hanging="420"/>
        <w:rPr>
          <w:rFonts w:ascii="黑体" w:eastAsia="黑体" w:hAnsi="黑体" w:hint="eastAsia"/>
          <w:szCs w:val="21"/>
        </w:rPr>
      </w:pPr>
      <w:bookmarkStart w:id="79" w:name="_Toc52962941"/>
      <w:bookmarkStart w:id="80" w:name="_Toc52917136"/>
      <w:bookmarkStart w:id="81" w:name="_Toc52920472"/>
      <w:bookmarkStart w:id="82" w:name="_Toc52963006"/>
      <w:bookmarkStart w:id="83" w:name="_Toc52963063"/>
      <w:r>
        <w:rPr>
          <w:rFonts w:ascii="黑体" w:eastAsia="黑体" w:hAnsi="黑体"/>
        </w:rPr>
        <w:br/>
      </w:r>
      <w:r>
        <w:rPr>
          <w:rFonts w:ascii="黑体" w:eastAsia="黑体" w:hAnsi="黑体" w:hint="eastAsia"/>
        </w:rPr>
        <w:t xml:space="preserve">公共机构  </w:t>
      </w:r>
      <w:r>
        <w:rPr>
          <w:rFonts w:ascii="Times New Roman" w:eastAsia="黑体"/>
        </w:rPr>
        <w:t>public institution</w:t>
      </w:r>
    </w:p>
    <w:p w14:paraId="113F2264" w14:textId="77777777" w:rsidR="00C34226" w:rsidRDefault="00000000">
      <w:pPr>
        <w:pStyle w:val="affffffffffff5"/>
        <w:spacing w:after="0" w:line="240" w:lineRule="auto"/>
        <w:rPr>
          <w:rFonts w:hAnsi="宋体" w:hint="eastAsia"/>
        </w:rPr>
      </w:pPr>
      <w:r>
        <w:rPr>
          <w:rFonts w:hAnsi="宋体" w:hint="eastAsia"/>
        </w:rPr>
        <w:t>全部或者部分使用财政性资金的国家机关、事业单位和团体组织。</w:t>
      </w:r>
    </w:p>
    <w:p w14:paraId="3E17212F" w14:textId="77777777" w:rsidR="00C34226" w:rsidRDefault="00000000">
      <w:pPr>
        <w:pStyle w:val="affffffffffff5"/>
        <w:spacing w:after="0" w:line="240" w:lineRule="auto"/>
        <w:rPr>
          <w:rFonts w:hAnsi="宋体" w:hint="eastAsia"/>
        </w:rPr>
      </w:pPr>
      <w:r>
        <w:rPr>
          <w:rFonts w:hAnsi="宋体"/>
        </w:rPr>
        <w:t>[</w:t>
      </w:r>
      <w:r>
        <w:rPr>
          <w:rFonts w:hAnsi="宋体" w:hint="eastAsia"/>
        </w:rPr>
        <w:t>来源:GB/T 29149-2012，3.1</w:t>
      </w:r>
      <w:r>
        <w:rPr>
          <w:rFonts w:hAnsi="宋体"/>
        </w:rPr>
        <w:t>]</w:t>
      </w:r>
    </w:p>
    <w:p w14:paraId="1860E42A" w14:textId="77777777" w:rsidR="00C34226" w:rsidRDefault="00000000">
      <w:pPr>
        <w:pStyle w:val="affffffffffff"/>
        <w:spacing w:line="240" w:lineRule="auto"/>
        <w:ind w:left="420" w:hangingChars="200" w:hanging="420"/>
        <w:rPr>
          <w:rFonts w:ascii="黑体" w:eastAsia="黑体" w:hAnsi="黑体" w:hint="eastAsia"/>
        </w:rPr>
      </w:pPr>
      <w:r>
        <w:rPr>
          <w:rFonts w:ascii="黑体" w:eastAsia="黑体" w:hAnsi="黑体"/>
        </w:rPr>
        <w:br/>
      </w:r>
      <w:r>
        <w:rPr>
          <w:rFonts w:ascii="黑体" w:eastAsia="黑体" w:hAnsi="黑体" w:hint="eastAsia"/>
        </w:rPr>
        <w:t xml:space="preserve">能源资源  </w:t>
      </w:r>
      <w:r>
        <w:rPr>
          <w:rFonts w:ascii="Times New Roman" w:eastAsia="黑体" w:hint="eastAsia"/>
        </w:rPr>
        <w:t>e</w:t>
      </w:r>
      <w:r>
        <w:rPr>
          <w:rFonts w:ascii="Times New Roman" w:eastAsia="黑体"/>
        </w:rPr>
        <w:t xml:space="preserve">nergy </w:t>
      </w:r>
      <w:r>
        <w:rPr>
          <w:rFonts w:ascii="Times New Roman" w:eastAsia="黑体" w:hint="eastAsia"/>
        </w:rPr>
        <w:t>and</w:t>
      </w:r>
      <w:r>
        <w:rPr>
          <w:rFonts w:ascii="Times New Roman" w:eastAsia="黑体"/>
        </w:rPr>
        <w:t xml:space="preserve"> </w:t>
      </w:r>
      <w:r>
        <w:rPr>
          <w:rFonts w:ascii="Times New Roman" w:eastAsia="黑体" w:hint="eastAsia"/>
        </w:rPr>
        <w:t>r</w:t>
      </w:r>
      <w:r>
        <w:rPr>
          <w:rFonts w:ascii="Times New Roman" w:eastAsia="黑体"/>
        </w:rPr>
        <w:t>esources</w:t>
      </w:r>
      <w:bookmarkEnd w:id="79"/>
      <w:bookmarkEnd w:id="80"/>
      <w:bookmarkEnd w:id="81"/>
      <w:bookmarkEnd w:id="82"/>
      <w:bookmarkEnd w:id="83"/>
    </w:p>
    <w:p w14:paraId="581DDBCC" w14:textId="77777777" w:rsidR="00C34226" w:rsidRDefault="00000000">
      <w:pPr>
        <w:pStyle w:val="affffff0"/>
        <w:spacing w:line="240" w:lineRule="auto"/>
        <w:ind w:firstLine="420"/>
      </w:pPr>
      <w:r>
        <w:rPr>
          <w:rFonts w:hint="eastAsia"/>
        </w:rPr>
        <w:t>使用的煤、燃气、燃油、电、热力和水。</w:t>
      </w:r>
    </w:p>
    <w:p w14:paraId="0C861853" w14:textId="77777777" w:rsidR="00C34226" w:rsidRDefault="00000000">
      <w:pPr>
        <w:pStyle w:val="affffffffffff"/>
        <w:spacing w:line="240" w:lineRule="auto"/>
        <w:ind w:left="420" w:hangingChars="200" w:hanging="420"/>
        <w:rPr>
          <w:rFonts w:ascii="黑体" w:eastAsia="黑体" w:hAnsi="黑体" w:hint="eastAsia"/>
        </w:rPr>
      </w:pPr>
      <w:r>
        <w:rPr>
          <w:rFonts w:ascii="黑体" w:eastAsia="黑体" w:hAnsi="黑体"/>
        </w:rPr>
        <w:br/>
      </w:r>
      <w:r>
        <w:rPr>
          <w:rFonts w:ascii="黑体" w:eastAsia="黑体" w:hAnsi="黑体" w:hint="eastAsia"/>
        </w:rPr>
        <w:t xml:space="preserve">采集  </w:t>
      </w:r>
      <w:r>
        <w:rPr>
          <w:rFonts w:ascii="Times New Roman" w:eastAsia="黑体" w:hint="eastAsia"/>
        </w:rPr>
        <w:t>acquisition</w:t>
      </w:r>
    </w:p>
    <w:p w14:paraId="0F5FDB42" w14:textId="77777777" w:rsidR="00C34226" w:rsidRDefault="00000000">
      <w:pPr>
        <w:pStyle w:val="affffff0"/>
        <w:spacing w:after="0" w:line="240" w:lineRule="auto"/>
        <w:ind w:firstLine="420"/>
      </w:pPr>
      <w:r>
        <w:rPr>
          <w:rFonts w:hint="eastAsia"/>
        </w:rPr>
        <w:t>从传感器和其它待测设备等被测单元中获取信息的过程。</w:t>
      </w:r>
    </w:p>
    <w:p w14:paraId="6B6B21CE" w14:textId="77777777" w:rsidR="00C34226" w:rsidRDefault="00000000">
      <w:pPr>
        <w:pStyle w:val="affffffffffff"/>
        <w:spacing w:line="240" w:lineRule="auto"/>
        <w:ind w:left="420" w:hangingChars="200" w:hanging="420"/>
        <w:rPr>
          <w:rFonts w:ascii="黑体" w:eastAsia="黑体" w:hAnsi="黑体" w:hint="eastAsia"/>
        </w:rPr>
      </w:pPr>
      <w:r>
        <w:rPr>
          <w:rFonts w:ascii="黑体" w:eastAsia="黑体" w:hAnsi="黑体"/>
        </w:rPr>
        <w:br/>
      </w:r>
      <w:r>
        <w:rPr>
          <w:rFonts w:ascii="黑体" w:eastAsia="黑体" w:hAnsi="黑体" w:hint="eastAsia"/>
        </w:rPr>
        <w:t xml:space="preserve">统计  </w:t>
      </w:r>
      <w:r>
        <w:rPr>
          <w:rFonts w:ascii="Times New Roman" w:eastAsia="黑体" w:hint="eastAsia"/>
        </w:rPr>
        <w:t>statistics</w:t>
      </w:r>
    </w:p>
    <w:p w14:paraId="07FCC9D6" w14:textId="77777777" w:rsidR="00C34226" w:rsidRDefault="00000000">
      <w:pPr>
        <w:pStyle w:val="affffff0"/>
        <w:spacing w:after="0" w:line="240" w:lineRule="auto"/>
        <w:ind w:firstLine="420"/>
      </w:pPr>
      <w:r>
        <w:rPr>
          <w:rFonts w:hint="eastAsia"/>
        </w:rPr>
        <w:t>搜集、整理、分析大量事物数量关系和变化，并进行推论以探求事物本质和规律性的活动。</w:t>
      </w:r>
    </w:p>
    <w:p w14:paraId="07D7BCBC" w14:textId="77777777" w:rsidR="00C34226" w:rsidRDefault="00000000">
      <w:pPr>
        <w:pStyle w:val="affffffffffff"/>
        <w:spacing w:line="240" w:lineRule="auto"/>
        <w:ind w:left="420" w:hangingChars="200" w:hanging="420"/>
        <w:rPr>
          <w:rFonts w:ascii="黑体" w:eastAsia="黑体" w:hAnsi="黑体" w:hint="eastAsia"/>
          <w:color w:val="FF0000"/>
        </w:rPr>
      </w:pPr>
      <w:r>
        <w:rPr>
          <w:rFonts w:ascii="黑体" w:eastAsia="黑体" w:hAnsi="黑体"/>
        </w:rPr>
        <w:br/>
      </w:r>
      <w:r>
        <w:rPr>
          <w:rFonts w:ascii="黑体" w:eastAsia="黑体" w:hAnsi="黑体" w:hint="eastAsia"/>
        </w:rPr>
        <w:t xml:space="preserve">全面调查方法  </w:t>
      </w:r>
      <w:r>
        <w:rPr>
          <w:rFonts w:ascii="Times New Roman" w:eastAsia="黑体" w:hint="eastAsia"/>
        </w:rPr>
        <w:t>comprehensive investigation method</w:t>
      </w:r>
    </w:p>
    <w:p w14:paraId="7A702F4A" w14:textId="77777777" w:rsidR="00C34226" w:rsidRDefault="00000000">
      <w:pPr>
        <w:pStyle w:val="affffff0"/>
        <w:spacing w:after="0" w:line="240" w:lineRule="auto"/>
        <w:ind w:firstLine="420"/>
      </w:pPr>
      <w:r>
        <w:rPr>
          <w:rFonts w:hint="eastAsia"/>
        </w:rPr>
        <w:lastRenderedPageBreak/>
        <w:t>为了定期取得系统的、全面的基本统计资料，按一定的要求和表式自上而下统一布置，自下而上提供资料的一种统计调查方法。</w:t>
      </w:r>
    </w:p>
    <w:p w14:paraId="3CD33686" w14:textId="77777777" w:rsidR="00C34226" w:rsidRDefault="00000000">
      <w:pPr>
        <w:pStyle w:val="affffffffffff"/>
        <w:spacing w:line="240" w:lineRule="auto"/>
        <w:ind w:left="420" w:hangingChars="200" w:hanging="420"/>
        <w:rPr>
          <w:rFonts w:ascii="黑体" w:eastAsia="黑体" w:hAnsi="黑体" w:hint="eastAsia"/>
        </w:rPr>
      </w:pPr>
      <w:r>
        <w:rPr>
          <w:rFonts w:ascii="黑体" w:eastAsia="黑体" w:hAnsi="黑体"/>
        </w:rPr>
        <w:br/>
      </w:r>
      <w:r>
        <w:rPr>
          <w:rFonts w:ascii="黑体" w:eastAsia="黑体" w:hAnsi="黑体" w:hint="eastAsia"/>
        </w:rPr>
        <w:t xml:space="preserve">数据中心  </w:t>
      </w:r>
      <w:r>
        <w:rPr>
          <w:rFonts w:ascii="Times New Roman" w:eastAsia="黑体"/>
        </w:rPr>
        <w:t>data center</w:t>
      </w:r>
    </w:p>
    <w:p w14:paraId="0DDF8A46" w14:textId="77777777" w:rsidR="00C34226" w:rsidRDefault="00000000">
      <w:pPr>
        <w:pStyle w:val="affffff0"/>
        <w:spacing w:after="0" w:line="240" w:lineRule="auto"/>
        <w:ind w:firstLine="420"/>
      </w:pPr>
      <w:r>
        <w:rPr>
          <w:rFonts w:hint="eastAsia"/>
        </w:rPr>
        <w:t>由信息设备场地(机房)，其他基础设施、信息系统软硬件、信息资源(数据)和人员以及相应的规章制度组成的实体。</w:t>
      </w:r>
    </w:p>
    <w:p w14:paraId="53C85FDE" w14:textId="77777777" w:rsidR="00C34226" w:rsidRDefault="00000000">
      <w:pPr>
        <w:pStyle w:val="affffff0"/>
        <w:spacing w:after="0" w:line="240" w:lineRule="auto"/>
        <w:ind w:firstLine="420"/>
      </w:pPr>
      <w:r>
        <w:rPr>
          <w:rFonts w:hint="eastAsia"/>
        </w:rPr>
        <w:t>[来源:GB 40879-2021，3.1]</w:t>
      </w:r>
    </w:p>
    <w:p w14:paraId="4912A994" w14:textId="77777777" w:rsidR="00C34226" w:rsidRDefault="00000000">
      <w:pPr>
        <w:pStyle w:val="affffffffffff"/>
        <w:spacing w:line="240" w:lineRule="auto"/>
        <w:ind w:left="420" w:hangingChars="200" w:hanging="420"/>
        <w:rPr>
          <w:rFonts w:ascii="黑体" w:eastAsia="黑体" w:hAnsi="黑体" w:hint="eastAsia"/>
        </w:rPr>
      </w:pPr>
      <w:r>
        <w:rPr>
          <w:rFonts w:ascii="黑体" w:eastAsia="黑体" w:hAnsi="黑体"/>
        </w:rPr>
        <w:br/>
      </w:r>
      <w:r>
        <w:rPr>
          <w:rFonts w:ascii="黑体" w:eastAsia="黑体" w:hAnsi="黑体" w:hint="eastAsia"/>
        </w:rPr>
        <w:t xml:space="preserve">集中办公区  </w:t>
      </w:r>
      <w:r>
        <w:rPr>
          <w:rFonts w:ascii="Times New Roman" w:eastAsia="黑体" w:hint="eastAsia"/>
        </w:rPr>
        <w:t>centralized office area</w:t>
      </w:r>
    </w:p>
    <w:p w14:paraId="6C007C1D" w14:textId="77777777" w:rsidR="00C34226" w:rsidRDefault="00000000">
      <w:pPr>
        <w:pStyle w:val="affffff0"/>
        <w:spacing w:after="0" w:line="240" w:lineRule="auto"/>
        <w:ind w:firstLine="420"/>
      </w:pPr>
      <w:r>
        <w:rPr>
          <w:rFonts w:hint="eastAsia"/>
        </w:rPr>
        <w:t>多个公共机构办公使用的同一区域。</w:t>
      </w:r>
    </w:p>
    <w:p w14:paraId="69A64D35" w14:textId="77777777" w:rsidR="00C34226" w:rsidRDefault="00000000">
      <w:pPr>
        <w:pStyle w:val="afff2"/>
        <w:spacing w:before="312" w:after="312" w:line="240" w:lineRule="auto"/>
      </w:pPr>
      <w:bookmarkStart w:id="84" w:name="_Toc192173510"/>
      <w:bookmarkStart w:id="85" w:name="_Toc184132528"/>
      <w:r>
        <w:rPr>
          <w:rFonts w:hint="eastAsia"/>
        </w:rPr>
        <w:t>总体要求</w:t>
      </w:r>
      <w:bookmarkEnd w:id="84"/>
      <w:bookmarkEnd w:id="85"/>
    </w:p>
    <w:p w14:paraId="2BECE104" w14:textId="77777777" w:rsidR="00C34226" w:rsidRDefault="00000000">
      <w:pPr>
        <w:pStyle w:val="afffffffff9"/>
        <w:spacing w:line="240" w:lineRule="auto"/>
      </w:pPr>
      <w:r>
        <w:rPr>
          <w:rFonts w:hint="eastAsia"/>
        </w:rPr>
        <w:t>能源资源消费统计应覆盖本单位使用的全部能源种类和水资源种类。</w:t>
      </w:r>
    </w:p>
    <w:p w14:paraId="39812C79" w14:textId="77777777" w:rsidR="00C34226" w:rsidRDefault="00000000">
      <w:pPr>
        <w:pStyle w:val="afff8"/>
        <w:spacing w:after="0" w:line="240" w:lineRule="auto"/>
        <w:rPr>
          <w:sz w:val="21"/>
          <w:szCs w:val="20"/>
        </w:rPr>
      </w:pPr>
      <w:r>
        <w:rPr>
          <w:rFonts w:hint="eastAsia"/>
        </w:rPr>
        <w:t>润滑油、科研实验中使用的标准物质、生产非能源产品的原材料不计入能源消费。</w:t>
      </w:r>
    </w:p>
    <w:p w14:paraId="2B93E584" w14:textId="77777777" w:rsidR="00C34226" w:rsidRDefault="00000000">
      <w:pPr>
        <w:pStyle w:val="afffffffff9"/>
        <w:spacing w:line="240" w:lineRule="auto"/>
      </w:pPr>
      <w:r>
        <w:rPr>
          <w:rFonts w:hint="eastAsia"/>
        </w:rPr>
        <w:t>能源资源计量系统应满足实现分户、分项、分区计量的要求，计量器具配备和管理应符合GB 17167、GB/T 29149的规定。</w:t>
      </w:r>
    </w:p>
    <w:p w14:paraId="63D8BE56" w14:textId="77777777" w:rsidR="00C34226" w:rsidRDefault="00000000">
      <w:pPr>
        <w:pStyle w:val="afffffffff9"/>
        <w:spacing w:line="240" w:lineRule="auto"/>
      </w:pPr>
      <w:r>
        <w:rPr>
          <w:rFonts w:hint="eastAsia"/>
        </w:rPr>
        <w:t>应指定专门统计人员负责本单位能源资源消费数据的统计工作，统计人员应具有相应的专业知识和业务能力并定期参加业务培训。</w:t>
      </w:r>
    </w:p>
    <w:p w14:paraId="0D0ACABA" w14:textId="77777777" w:rsidR="00C34226" w:rsidRDefault="00000000">
      <w:pPr>
        <w:pStyle w:val="afffffffff9"/>
        <w:spacing w:line="240" w:lineRule="auto"/>
      </w:pPr>
      <w:r>
        <w:rPr>
          <w:rFonts w:hint="eastAsia"/>
        </w:rPr>
        <w:t>能源资源消费统计应采取全面调查法，定期对公共机构的基本信息和能源资源消费信息进行统计。</w:t>
      </w:r>
    </w:p>
    <w:p w14:paraId="7210011B" w14:textId="77777777" w:rsidR="00C34226" w:rsidRDefault="00000000">
      <w:pPr>
        <w:pStyle w:val="afffffffff9"/>
        <w:spacing w:line="240" w:lineRule="auto"/>
      </w:pPr>
      <w:r>
        <w:rPr>
          <w:rFonts w:hint="eastAsia"/>
        </w:rPr>
        <w:t>应如实采集能源资源消费数据并准确、清楚地进行记录，记录应包含缴费账户编号、计量器具编号、采集时间和采集人员等。采集记录应统一归档，不得随意涂改。</w:t>
      </w:r>
    </w:p>
    <w:p w14:paraId="6B076A35" w14:textId="77777777" w:rsidR="00C34226" w:rsidRDefault="00000000">
      <w:pPr>
        <w:pStyle w:val="afffffffff9"/>
        <w:spacing w:line="240" w:lineRule="auto"/>
      </w:pPr>
      <w:r>
        <w:rPr>
          <w:rFonts w:hint="eastAsia"/>
        </w:rPr>
        <w:t>使用数据中心的公共机构应单独采集数据中心能源消费状况信息。演播室、媒体中心、大型监控中心、应急指挥机房等可按照数据中心进行采集。</w:t>
      </w:r>
    </w:p>
    <w:p w14:paraId="168267C5" w14:textId="77777777" w:rsidR="00C34226" w:rsidRDefault="00000000">
      <w:pPr>
        <w:pStyle w:val="afff8"/>
        <w:spacing w:after="0" w:line="240" w:lineRule="auto"/>
      </w:pPr>
      <w:r>
        <w:rPr>
          <w:rFonts w:hint="eastAsia"/>
        </w:rPr>
        <w:t>数据中心的能源消费量包含在本单位总能源消费量内。</w:t>
      </w:r>
    </w:p>
    <w:p w14:paraId="23D3B56D" w14:textId="77777777" w:rsidR="00C34226" w:rsidRDefault="00000000">
      <w:pPr>
        <w:pStyle w:val="afffffffff9"/>
        <w:spacing w:line="240" w:lineRule="auto"/>
      </w:pPr>
      <w:r>
        <w:rPr>
          <w:rFonts w:hint="eastAsia"/>
        </w:rPr>
        <w:t>公共机构应单独采集采暖能源资源消费状况信息。采集的数据应为在统计年度结束的采暖周期的消费数据。</w:t>
      </w:r>
    </w:p>
    <w:p w14:paraId="0BE3EDAB" w14:textId="77777777" w:rsidR="00C34226" w:rsidRDefault="00000000">
      <w:pPr>
        <w:pStyle w:val="afffffffff9"/>
        <w:spacing w:line="240" w:lineRule="auto"/>
      </w:pPr>
      <w:r>
        <w:rPr>
          <w:rFonts w:hint="eastAsia"/>
        </w:rPr>
        <w:t>进行2023年公共机构采暖能源资源消费状况统计时，应采集2022～2023年采暖周期内能源资源的消费数据。</w:t>
      </w:r>
    </w:p>
    <w:p w14:paraId="42216F25" w14:textId="77777777" w:rsidR="00C34226" w:rsidRDefault="00000000">
      <w:pPr>
        <w:pStyle w:val="afffffffff9"/>
        <w:spacing w:line="240" w:lineRule="auto"/>
      </w:pPr>
      <w:r>
        <w:rPr>
          <w:rFonts w:hint="eastAsia"/>
        </w:rPr>
        <w:t>应加强能源资源消费数据的受控管理，定期对数据进行统计分析，形成分析报告。</w:t>
      </w:r>
    </w:p>
    <w:p w14:paraId="17B1B6DC" w14:textId="77777777" w:rsidR="00C34226" w:rsidRDefault="00000000">
      <w:pPr>
        <w:pStyle w:val="afffffffff9"/>
        <w:spacing w:line="240" w:lineRule="auto"/>
      </w:pPr>
      <w:r>
        <w:rPr>
          <w:rFonts w:hint="eastAsia"/>
        </w:rPr>
        <w:t>公共机构的能源资源消费数据宜通过信息化平台自动采集。</w:t>
      </w:r>
    </w:p>
    <w:p w14:paraId="17C0D64A" w14:textId="77777777" w:rsidR="00C34226" w:rsidRDefault="00000000">
      <w:pPr>
        <w:pStyle w:val="afff2"/>
        <w:spacing w:before="312" w:after="312" w:line="240" w:lineRule="auto"/>
      </w:pPr>
      <w:bookmarkStart w:id="86" w:name="_Toc184132529"/>
      <w:bookmarkStart w:id="87" w:name="_Toc192173511"/>
      <w:r>
        <w:rPr>
          <w:rFonts w:hint="eastAsia"/>
        </w:rPr>
        <w:t>数据采集</w:t>
      </w:r>
      <w:bookmarkEnd w:id="86"/>
      <w:bookmarkEnd w:id="87"/>
    </w:p>
    <w:p w14:paraId="5BE9897B" w14:textId="77777777" w:rsidR="00C34226" w:rsidRDefault="00000000">
      <w:pPr>
        <w:pStyle w:val="afff3"/>
        <w:spacing w:before="156" w:after="156" w:line="240" w:lineRule="auto"/>
      </w:pPr>
      <w:bookmarkStart w:id="88" w:name="_Toc166146654"/>
      <w:bookmarkStart w:id="89" w:name="_Toc166146599"/>
      <w:r>
        <w:rPr>
          <w:rFonts w:hint="eastAsia"/>
        </w:rPr>
        <w:t>基本信息</w:t>
      </w:r>
      <w:bookmarkEnd w:id="88"/>
      <w:bookmarkEnd w:id="89"/>
    </w:p>
    <w:p w14:paraId="294C2128" w14:textId="77777777" w:rsidR="00C34226" w:rsidRDefault="00000000" w:rsidP="00FA7A1A">
      <w:pPr>
        <w:pStyle w:val="afffffffffc"/>
        <w:spacing w:line="240" w:lineRule="auto"/>
        <w:ind w:left="0"/>
      </w:pPr>
      <w:r>
        <w:rPr>
          <w:rFonts w:hint="eastAsia"/>
        </w:rPr>
        <w:t>公共机构基本信息应按照《公共机构能源资源消费统计调查制度》的要求进行填报，主要包括单位详细名称、统一社会信用代码、机构类型、行业代码、单位地址、单位所在地区划代码和联系方式等信息。</w:t>
      </w:r>
    </w:p>
    <w:p w14:paraId="68A0BD77" w14:textId="77777777" w:rsidR="00C34226" w:rsidRDefault="00000000" w:rsidP="00FA7A1A">
      <w:pPr>
        <w:pStyle w:val="afffffffffc"/>
        <w:spacing w:line="240" w:lineRule="auto"/>
        <w:ind w:left="0"/>
      </w:pPr>
      <w:r>
        <w:rPr>
          <w:rFonts w:hint="eastAsia"/>
        </w:rPr>
        <w:t>机构类型应根据用能单位的实际类型填写，机构类型分为：国家机关，事业单位(教育事业单位、科技事业单位、文化事业单位、卫生事业单位、体育事业单位、其他事业单位)，团体组织。</w:t>
      </w:r>
    </w:p>
    <w:p w14:paraId="7991786F" w14:textId="77777777" w:rsidR="00C34226" w:rsidRDefault="00000000" w:rsidP="00FA7A1A">
      <w:pPr>
        <w:pStyle w:val="afffffffffc"/>
        <w:spacing w:line="240" w:lineRule="auto"/>
        <w:ind w:left="0"/>
      </w:pPr>
      <w:r>
        <w:rPr>
          <w:rFonts w:hint="eastAsia"/>
        </w:rPr>
        <w:t>行业代码应根据实际用能单位的主要业务活动，按照GB/T 4754填写行业小类代码。</w:t>
      </w:r>
    </w:p>
    <w:p w14:paraId="5CC64457" w14:textId="77777777" w:rsidR="00C34226" w:rsidRDefault="00000000" w:rsidP="00FA7A1A">
      <w:pPr>
        <w:pStyle w:val="afffffffffc"/>
        <w:spacing w:line="240" w:lineRule="auto"/>
        <w:ind w:left="0"/>
      </w:pPr>
      <w:r>
        <w:rPr>
          <w:rFonts w:hint="eastAsia"/>
        </w:rPr>
        <w:t>租用、合用办公建筑及集中办公区的管理单位名称等需要说明的情况应在“其他”栏中注明。</w:t>
      </w:r>
    </w:p>
    <w:p w14:paraId="3D38ADEC" w14:textId="77777777" w:rsidR="00C34226" w:rsidRDefault="00000000">
      <w:pPr>
        <w:pStyle w:val="afff3"/>
        <w:spacing w:before="156" w:after="156" w:line="240" w:lineRule="auto"/>
      </w:pPr>
      <w:bookmarkStart w:id="90" w:name="_Toc166146655"/>
      <w:bookmarkStart w:id="91" w:name="_Toc166146600"/>
      <w:r>
        <w:rPr>
          <w:rFonts w:hint="eastAsia"/>
        </w:rPr>
        <w:lastRenderedPageBreak/>
        <w:t>能源资源消费</w:t>
      </w:r>
      <w:bookmarkEnd w:id="90"/>
      <w:bookmarkEnd w:id="91"/>
      <w:r>
        <w:rPr>
          <w:rFonts w:hint="eastAsia"/>
        </w:rPr>
        <w:t>信息采集</w:t>
      </w:r>
    </w:p>
    <w:p w14:paraId="42751B4A" w14:textId="77777777" w:rsidR="00C34226" w:rsidRDefault="00000000">
      <w:pPr>
        <w:pStyle w:val="afff4"/>
        <w:spacing w:before="156" w:after="156" w:line="240" w:lineRule="auto"/>
        <w:ind w:left="0"/>
      </w:pPr>
      <w:r>
        <w:rPr>
          <w:rFonts w:hint="eastAsia"/>
        </w:rPr>
        <w:t>用地和建筑</w:t>
      </w:r>
    </w:p>
    <w:p w14:paraId="21A4B695" w14:textId="77777777" w:rsidR="00C34226" w:rsidRDefault="00000000">
      <w:pPr>
        <w:pStyle w:val="afff5"/>
        <w:spacing w:beforeLines="0" w:before="0" w:afterLines="0" w:after="0" w:line="240" w:lineRule="auto"/>
        <w:rPr>
          <w:rFonts w:ascii="宋体" w:eastAsia="宋体"/>
        </w:rPr>
      </w:pPr>
      <w:r>
        <w:rPr>
          <w:rFonts w:ascii="宋体" w:eastAsia="宋体" w:hint="eastAsia"/>
        </w:rPr>
        <w:t>用地面积应采集经土地和规划许可用于办公的房屋建筑及各类配套、道路、绿化等在内的全部建设用地面积。</w:t>
      </w:r>
    </w:p>
    <w:p w14:paraId="46FD3DA8" w14:textId="77777777" w:rsidR="00C34226" w:rsidRDefault="00000000">
      <w:pPr>
        <w:pStyle w:val="afff5"/>
        <w:spacing w:beforeLines="0" w:before="0" w:afterLines="0" w:after="0" w:line="240" w:lineRule="auto"/>
        <w:rPr>
          <w:rFonts w:ascii="宋体" w:eastAsia="宋体"/>
        </w:rPr>
      </w:pPr>
      <w:r>
        <w:rPr>
          <w:rFonts w:ascii="宋体" w:eastAsia="宋体" w:hint="eastAsia"/>
        </w:rPr>
        <w:t>建筑面积应采集公共机构使用的所有建筑面积。</w:t>
      </w:r>
    </w:p>
    <w:p w14:paraId="7C333377" w14:textId="77777777" w:rsidR="00C34226" w:rsidRDefault="00000000">
      <w:pPr>
        <w:pStyle w:val="afff5"/>
        <w:spacing w:beforeLines="0" w:before="0" w:afterLines="0" w:after="0" w:line="240" w:lineRule="auto"/>
        <w:rPr>
          <w:rFonts w:ascii="宋体" w:eastAsia="宋体"/>
        </w:rPr>
      </w:pPr>
      <w:r>
        <w:rPr>
          <w:rFonts w:ascii="宋体" w:eastAsia="宋体" w:hint="eastAsia"/>
        </w:rPr>
        <w:t>下列情况不应计入公共机构建筑面积：</w:t>
      </w:r>
    </w:p>
    <w:p w14:paraId="534A497A" w14:textId="77777777" w:rsidR="00C34226" w:rsidRDefault="00000000">
      <w:pPr>
        <w:pStyle w:val="afb"/>
        <w:spacing w:after="0" w:line="240" w:lineRule="auto"/>
        <w:ind w:left="850" w:hanging="425"/>
      </w:pPr>
      <w:r>
        <w:rPr>
          <w:rFonts w:hint="eastAsia"/>
        </w:rPr>
        <w:t xml:space="preserve">职工住宅及能耗费用由使用者本人支付的职工宿舍、周转房等； </w:t>
      </w:r>
    </w:p>
    <w:p w14:paraId="63F1A0DD" w14:textId="77777777" w:rsidR="00C34226" w:rsidRDefault="00000000">
      <w:pPr>
        <w:pStyle w:val="afb"/>
        <w:numPr>
          <w:ilvl w:val="0"/>
          <w:numId w:val="0"/>
        </w:numPr>
        <w:spacing w:after="0" w:line="240" w:lineRule="auto"/>
        <w:ind w:left="850"/>
        <w:rPr>
          <w:sz w:val="18"/>
          <w:szCs w:val="18"/>
        </w:rPr>
      </w:pPr>
      <w:r>
        <w:rPr>
          <w:rFonts w:hint="eastAsia"/>
          <w:sz w:val="18"/>
          <w:szCs w:val="18"/>
        </w:rPr>
        <w:t xml:space="preserve">注：值班室、能耗费用由本单位支付的工勤人员休息室、学生宿舍等应计入公共机构建筑面积。 </w:t>
      </w:r>
    </w:p>
    <w:p w14:paraId="47B52C6E" w14:textId="77777777" w:rsidR="00C34226" w:rsidRDefault="00000000">
      <w:pPr>
        <w:pStyle w:val="afb"/>
        <w:spacing w:after="0" w:line="240" w:lineRule="auto"/>
        <w:ind w:left="850" w:hanging="425"/>
      </w:pPr>
      <w:r>
        <w:rPr>
          <w:rFonts w:hint="eastAsia"/>
        </w:rPr>
        <w:t xml:space="preserve">商用部分； </w:t>
      </w:r>
    </w:p>
    <w:p w14:paraId="0C765241" w14:textId="77777777" w:rsidR="00C34226" w:rsidRDefault="00000000">
      <w:pPr>
        <w:pStyle w:val="afb"/>
        <w:spacing w:after="0" w:line="240" w:lineRule="auto"/>
        <w:ind w:left="850" w:hanging="425"/>
      </w:pPr>
      <w:r>
        <w:rPr>
          <w:rFonts w:hint="eastAsia"/>
        </w:rPr>
        <w:t>办公区内对外出租（借）的建筑，能耗费用包含在租借费中或由承租（借）方支付的；</w:t>
      </w:r>
    </w:p>
    <w:p w14:paraId="323E365F" w14:textId="77777777" w:rsidR="00C34226" w:rsidRDefault="00000000">
      <w:pPr>
        <w:pStyle w:val="afb"/>
        <w:spacing w:after="0" w:line="240" w:lineRule="auto"/>
        <w:ind w:left="850" w:hanging="425"/>
      </w:pPr>
      <w:r>
        <w:rPr>
          <w:rFonts w:hint="eastAsia"/>
        </w:rPr>
        <w:t>正在建设或在统计周期内维修改造且停止使用的建筑物。</w:t>
      </w:r>
    </w:p>
    <w:p w14:paraId="17B89B2D" w14:textId="77777777" w:rsidR="00C34226" w:rsidRDefault="00000000">
      <w:pPr>
        <w:pStyle w:val="afff4"/>
        <w:spacing w:before="156" w:after="156" w:line="240" w:lineRule="auto"/>
        <w:ind w:left="0"/>
      </w:pPr>
      <w:r>
        <w:rPr>
          <w:rFonts w:hint="eastAsia"/>
        </w:rPr>
        <w:t>人员信息</w:t>
      </w:r>
    </w:p>
    <w:p w14:paraId="2025DDD3" w14:textId="77777777" w:rsidR="00C34226" w:rsidRDefault="00000000">
      <w:pPr>
        <w:pStyle w:val="afff5"/>
        <w:spacing w:beforeLines="0" w:before="0" w:afterLines="0" w:after="0" w:line="240" w:lineRule="auto"/>
        <w:rPr>
          <w:rFonts w:ascii="宋体" w:eastAsia="宋体"/>
        </w:rPr>
      </w:pPr>
      <w:r>
        <w:rPr>
          <w:rFonts w:ascii="宋体" w:eastAsia="宋体" w:hint="eastAsia"/>
        </w:rPr>
        <w:t>编制人数应采集经有关部门批准的编制人员数量。</w:t>
      </w:r>
    </w:p>
    <w:p w14:paraId="67BB9E46" w14:textId="77777777" w:rsidR="00C34226" w:rsidRDefault="00000000">
      <w:pPr>
        <w:pStyle w:val="afff5"/>
        <w:spacing w:beforeLines="0" w:before="0" w:afterLines="0" w:after="0" w:line="240" w:lineRule="auto"/>
        <w:rPr>
          <w:rFonts w:ascii="宋体" w:eastAsia="宋体"/>
        </w:rPr>
      </w:pPr>
      <w:r>
        <w:rPr>
          <w:rFonts w:ascii="宋体" w:eastAsia="宋体" w:hint="eastAsia"/>
        </w:rPr>
        <w:t>用能人数应采集统计周期内的日平均用能人数。</w:t>
      </w:r>
    </w:p>
    <w:p w14:paraId="23B3CD3B" w14:textId="77777777" w:rsidR="00C34226" w:rsidRDefault="00000000">
      <w:pPr>
        <w:pStyle w:val="afff5"/>
        <w:spacing w:beforeLines="0" w:before="0" w:afterLines="0" w:after="0" w:line="240" w:lineRule="auto"/>
        <w:rPr>
          <w:rFonts w:ascii="宋体" w:eastAsia="宋体"/>
        </w:rPr>
      </w:pPr>
      <w:r>
        <w:rPr>
          <w:rFonts w:ascii="宋体" w:eastAsia="宋体" w:hint="eastAsia"/>
        </w:rPr>
        <w:t>用能人数计算应区分固定人员和外来人员，固定人员直接计入统计周期内的日平均用能人数，包括在岗在编（注册）人员及各类编外工作人员；外来人员应折算为统计周期内的日平均用能人数。机</w:t>
      </w:r>
    </w:p>
    <w:p w14:paraId="43D51631" w14:textId="77777777" w:rsidR="00C34226" w:rsidRDefault="00000000">
      <w:pPr>
        <w:pStyle w:val="afff5"/>
        <w:numPr>
          <w:ilvl w:val="0"/>
          <w:numId w:val="0"/>
        </w:numPr>
        <w:spacing w:beforeLines="0" w:before="0" w:afterLines="0" w:after="0" w:line="240" w:lineRule="auto"/>
        <w:rPr>
          <w:rFonts w:ascii="宋体" w:eastAsia="宋体"/>
        </w:rPr>
      </w:pPr>
      <w:r>
        <w:rPr>
          <w:rFonts w:ascii="宋体" w:eastAsia="宋体" w:hint="eastAsia"/>
        </w:rPr>
        <w:t>关、学校、医院的用能人数应按照附录A进行计算，其他公共机构根据用能人员的组成类型参照附录A进行计算。</w:t>
      </w:r>
    </w:p>
    <w:p w14:paraId="60C133C2" w14:textId="77777777" w:rsidR="00C34226" w:rsidRDefault="00000000">
      <w:pPr>
        <w:pStyle w:val="afff4"/>
        <w:spacing w:before="156" w:after="156" w:line="240" w:lineRule="auto"/>
        <w:ind w:left="0"/>
      </w:pPr>
      <w:r>
        <w:rPr>
          <w:rFonts w:hint="eastAsia"/>
        </w:rPr>
        <w:t>车辆信息</w:t>
      </w:r>
    </w:p>
    <w:p w14:paraId="6EEB9122" w14:textId="77777777" w:rsidR="00C34226" w:rsidRDefault="00000000">
      <w:pPr>
        <w:pStyle w:val="afff5"/>
        <w:spacing w:beforeLines="0" w:before="0" w:afterLines="0" w:after="0" w:line="240" w:lineRule="auto"/>
        <w:rPr>
          <w:rFonts w:ascii="宋体" w:eastAsia="宋体"/>
        </w:rPr>
      </w:pPr>
      <w:r>
        <w:rPr>
          <w:rFonts w:ascii="宋体" w:eastAsia="宋体" w:hint="eastAsia"/>
        </w:rPr>
        <w:t>应采集统计周期内保障公务活动使用的所有公务用车数量，包括本单位的公务用车数量和由本单位支付油耗、电耗等费用的租(借）用车辆数量。</w:t>
      </w:r>
    </w:p>
    <w:p w14:paraId="5E2BC8A0" w14:textId="77777777" w:rsidR="00C34226" w:rsidRDefault="00000000">
      <w:pPr>
        <w:pStyle w:val="afff8"/>
        <w:spacing w:after="0" w:line="240" w:lineRule="auto"/>
      </w:pPr>
      <w:r>
        <w:rPr>
          <w:rFonts w:hint="eastAsia"/>
        </w:rPr>
        <w:t>公务用车包含机要通信用车、应急保障用车、执法执勤用车、特种专业用车以及其他按照规定配备的公务用车。</w:t>
      </w:r>
    </w:p>
    <w:p w14:paraId="50BC84F4" w14:textId="77777777" w:rsidR="00C34226" w:rsidRDefault="00000000">
      <w:pPr>
        <w:pStyle w:val="afff5"/>
        <w:spacing w:beforeLines="0" w:before="0" w:afterLines="0" w:after="0" w:line="240" w:lineRule="auto"/>
        <w:rPr>
          <w:rFonts w:ascii="宋体" w:eastAsia="宋体"/>
        </w:rPr>
      </w:pPr>
      <w:r>
        <w:rPr>
          <w:rFonts w:ascii="宋体" w:eastAsia="宋体" w:hint="eastAsia"/>
        </w:rPr>
        <w:t>采集应符合下列要求：</w:t>
      </w:r>
    </w:p>
    <w:p w14:paraId="6B4574E2" w14:textId="77777777" w:rsidR="00C34226" w:rsidRDefault="00000000">
      <w:pPr>
        <w:pStyle w:val="afb"/>
        <w:numPr>
          <w:ilvl w:val="0"/>
          <w:numId w:val="33"/>
        </w:numPr>
        <w:spacing w:after="0" w:line="240" w:lineRule="auto"/>
      </w:pPr>
      <w:r>
        <w:rPr>
          <w:rFonts w:hint="eastAsia"/>
        </w:rPr>
        <w:t xml:space="preserve">车辆数量按照汽油车、柴油车、新能源汽车分别采集； </w:t>
      </w:r>
    </w:p>
    <w:p w14:paraId="62A1DFAF" w14:textId="77777777" w:rsidR="00C34226" w:rsidRDefault="00000000">
      <w:pPr>
        <w:pStyle w:val="afb"/>
        <w:spacing w:after="0" w:line="240" w:lineRule="auto"/>
      </w:pPr>
      <w:r>
        <w:rPr>
          <w:rFonts w:hint="eastAsia"/>
        </w:rPr>
        <w:t xml:space="preserve">新能源汽车统计本单位使用车辆中的纯电动、插电式混合动力（含增程式）和燃料电池汽车，不符合机动车标准的不计入统计； </w:t>
      </w:r>
    </w:p>
    <w:p w14:paraId="770F37D4" w14:textId="77777777" w:rsidR="00C34226" w:rsidRDefault="00000000">
      <w:pPr>
        <w:pStyle w:val="afb"/>
        <w:spacing w:after="0" w:line="240" w:lineRule="auto"/>
      </w:pPr>
      <w:r>
        <w:rPr>
          <w:rFonts w:hint="eastAsia"/>
        </w:rPr>
        <w:t>摩托车、直升机及船类等非汽车类交通工具及公务人员办公临时使用的私人车辆不计入车辆数量统计。</w:t>
      </w:r>
    </w:p>
    <w:p w14:paraId="1DDDB881" w14:textId="77777777" w:rsidR="00C34226" w:rsidRDefault="00000000">
      <w:pPr>
        <w:pStyle w:val="afff4"/>
        <w:spacing w:before="156" w:after="156" w:line="240" w:lineRule="auto"/>
        <w:ind w:left="0"/>
      </w:pPr>
      <w:r>
        <w:rPr>
          <w:rFonts w:hint="eastAsia"/>
        </w:rPr>
        <w:t>电力消费信息</w:t>
      </w:r>
    </w:p>
    <w:p w14:paraId="5DFBE356" w14:textId="77777777" w:rsidR="00C34226" w:rsidRDefault="00000000">
      <w:pPr>
        <w:pStyle w:val="afff5"/>
        <w:spacing w:beforeLines="0" w:before="0" w:afterLines="0" w:after="0" w:line="240" w:lineRule="auto"/>
        <w:rPr>
          <w:rFonts w:ascii="宋体" w:eastAsia="宋体"/>
        </w:rPr>
      </w:pPr>
      <w:r>
        <w:rPr>
          <w:rFonts w:ascii="宋体" w:eastAsia="宋体" w:hint="eastAsia"/>
        </w:rPr>
        <w:t>电力消费应采集本单位办公区统计周期内实际消费的总电量及费用数据，电力消费量单位为千瓦时（kW•h)。本单位消费的绿色电力应单独予以说明。</w:t>
      </w:r>
    </w:p>
    <w:p w14:paraId="234D361B" w14:textId="77777777" w:rsidR="00C34226" w:rsidRDefault="00000000">
      <w:pPr>
        <w:pStyle w:val="afff5"/>
        <w:spacing w:beforeLines="0" w:before="0" w:afterLines="0" w:after="0" w:line="240" w:lineRule="auto"/>
        <w:rPr>
          <w:rFonts w:ascii="宋体" w:eastAsia="宋体"/>
        </w:rPr>
      </w:pPr>
      <w:r>
        <w:rPr>
          <w:rFonts w:ascii="宋体" w:eastAsia="宋体" w:hint="eastAsia"/>
        </w:rPr>
        <w:t>采用分户计量且不涉及公共电消费分摊的公共机构，应采集电力供应部门出具的数据作为电力消费数据。</w:t>
      </w:r>
    </w:p>
    <w:p w14:paraId="642177CF" w14:textId="77777777" w:rsidR="00C34226" w:rsidRDefault="00000000">
      <w:pPr>
        <w:pStyle w:val="afff5"/>
        <w:spacing w:beforeLines="0" w:before="0" w:afterLines="0" w:after="0" w:line="240" w:lineRule="auto"/>
        <w:rPr>
          <w:rFonts w:ascii="宋体" w:eastAsia="宋体"/>
        </w:rPr>
      </w:pPr>
      <w:r>
        <w:rPr>
          <w:rFonts w:ascii="宋体" w:eastAsia="宋体" w:hint="eastAsia"/>
        </w:rPr>
        <w:t>采用分户计量且涉及公共电消费分摊的公共机构，应将公共电分摊消费数据与采集的分户计量电消费数据相累加，作为本单位的电力消费数据，分摊方法按照5.5.2.2执行。</w:t>
      </w:r>
    </w:p>
    <w:p w14:paraId="72FE1D68" w14:textId="77777777" w:rsidR="00C34226" w:rsidRDefault="00000000">
      <w:pPr>
        <w:pStyle w:val="afff5"/>
        <w:spacing w:beforeLines="0" w:before="0" w:afterLines="0" w:after="0" w:line="240" w:lineRule="auto"/>
        <w:rPr>
          <w:rFonts w:ascii="宋体" w:eastAsia="宋体"/>
        </w:rPr>
      </w:pPr>
      <w:r>
        <w:rPr>
          <w:rFonts w:ascii="宋体" w:eastAsia="宋体" w:hint="eastAsia"/>
        </w:rPr>
        <w:t>使用IC卡或智能电表购买电力的预付费用户，应按时采集电表数据登记台账，根据台账记录的统计周期内实际电力消费数据进行采集，不应将统计周期内的购买量作为本统计周期的消费量。</w:t>
      </w:r>
    </w:p>
    <w:p w14:paraId="19BB1D7D" w14:textId="77777777" w:rsidR="00C34226" w:rsidRDefault="00000000">
      <w:pPr>
        <w:pStyle w:val="afff5"/>
        <w:spacing w:beforeLines="0" w:before="0" w:afterLines="0" w:after="0" w:line="240" w:lineRule="auto"/>
        <w:rPr>
          <w:rFonts w:ascii="宋体" w:eastAsia="宋体"/>
        </w:rPr>
      </w:pPr>
      <w:r>
        <w:rPr>
          <w:rFonts w:ascii="宋体" w:eastAsia="宋体" w:hint="eastAsia"/>
        </w:rPr>
        <w:lastRenderedPageBreak/>
        <w:t>安装有用电分项、分区计量装置的公共机构，应按照采暖、空调、动力、照明插座、特殊用电等分项或办公区、炊事、数据中心、对外服务大厅、特殊功能区等分区域进行数据采集。</w:t>
      </w:r>
    </w:p>
    <w:p w14:paraId="3A66FDE1" w14:textId="77777777" w:rsidR="00C34226" w:rsidRDefault="00000000">
      <w:pPr>
        <w:pStyle w:val="afff5"/>
        <w:spacing w:beforeLines="0" w:before="0" w:afterLines="0" w:after="0" w:line="240" w:lineRule="auto"/>
        <w:rPr>
          <w:rFonts w:ascii="宋体" w:eastAsia="宋体"/>
        </w:rPr>
      </w:pPr>
      <w:r>
        <w:rPr>
          <w:rFonts w:ascii="宋体" w:eastAsia="宋体" w:hint="eastAsia"/>
        </w:rPr>
        <w:t>充电桩数量应采集本单位办公区安装的电动汽车充电桩数量。充电桩的电力消费应单独计量，公务用车的用电量计入电力消费统计，付费型充电桩的对外充电服务电量不计入电力消费统计。</w:t>
      </w:r>
    </w:p>
    <w:p w14:paraId="1C2686CB" w14:textId="77777777" w:rsidR="00C34226" w:rsidRDefault="00000000">
      <w:pPr>
        <w:pStyle w:val="afff5"/>
        <w:spacing w:beforeLines="0" w:before="0" w:afterLines="0" w:after="0" w:line="240" w:lineRule="auto"/>
        <w:rPr>
          <w:rFonts w:ascii="宋体" w:eastAsia="宋体"/>
        </w:rPr>
      </w:pPr>
      <w:r>
        <w:rPr>
          <w:rFonts w:ascii="宋体" w:eastAsia="宋体" w:hint="eastAsia"/>
        </w:rPr>
        <w:t>本单位利用太阳能、风能、地热能等可再生能源自行生产的电力使用应单独计量，不计入电力消费统计。</w:t>
      </w:r>
    </w:p>
    <w:p w14:paraId="0D0DDC5C" w14:textId="77777777" w:rsidR="00C34226" w:rsidRDefault="00000000">
      <w:pPr>
        <w:pStyle w:val="afff4"/>
        <w:spacing w:before="156" w:after="156" w:line="240" w:lineRule="auto"/>
        <w:ind w:left="0"/>
      </w:pPr>
      <w:bookmarkStart w:id="92" w:name="_Toc166146601"/>
      <w:r>
        <w:rPr>
          <w:rFonts w:hint="eastAsia"/>
        </w:rPr>
        <w:t>水资源</w:t>
      </w:r>
      <w:bookmarkEnd w:id="92"/>
      <w:r>
        <w:rPr>
          <w:rFonts w:hint="eastAsia"/>
        </w:rPr>
        <w:t>消费信息</w:t>
      </w:r>
    </w:p>
    <w:p w14:paraId="67CB7B41" w14:textId="77777777" w:rsidR="00C34226" w:rsidRDefault="00000000">
      <w:pPr>
        <w:pStyle w:val="afff5"/>
        <w:spacing w:beforeLines="0" w:before="0" w:afterLines="0" w:after="0" w:line="240" w:lineRule="auto"/>
        <w:rPr>
          <w:kern w:val="2"/>
          <w:szCs w:val="21"/>
        </w:rPr>
      </w:pPr>
      <w:r>
        <w:rPr>
          <w:rFonts w:ascii="宋体" w:eastAsia="宋体" w:hint="eastAsia"/>
        </w:rPr>
        <w:t>水资源消费应采集本单位办公区统计周期内的取用水量及费用数据，主要包括自来水、自备井水、直供地表水、桶装水及外购且直接使用的生活热水等，水消费量单位为立方米（m³）</w:t>
      </w:r>
      <w:r>
        <w:rPr>
          <w:rFonts w:hint="eastAsia"/>
        </w:rPr>
        <w:t>。</w:t>
      </w:r>
    </w:p>
    <w:p w14:paraId="0444518C" w14:textId="77777777" w:rsidR="00C34226" w:rsidRDefault="00000000">
      <w:pPr>
        <w:pStyle w:val="afff5"/>
        <w:spacing w:beforeLines="0" w:before="0" w:afterLines="0" w:after="0" w:line="240" w:lineRule="auto"/>
      </w:pPr>
      <w:r>
        <w:rPr>
          <w:rFonts w:ascii="宋体" w:eastAsia="宋体" w:hint="eastAsia"/>
        </w:rPr>
        <w:t>采用分户计量且不涉及公共水消费分摊的公共机构，应采集市政供水部门出具的数据作为自来水消费数据</w:t>
      </w:r>
      <w:r>
        <w:rPr>
          <w:rFonts w:hint="eastAsia"/>
        </w:rPr>
        <w:t>。</w:t>
      </w:r>
    </w:p>
    <w:p w14:paraId="4BF90EAC" w14:textId="77777777" w:rsidR="00C34226" w:rsidRDefault="00000000">
      <w:pPr>
        <w:pStyle w:val="afff5"/>
        <w:spacing w:beforeLines="0" w:before="0" w:afterLines="0" w:after="0" w:line="240" w:lineRule="auto"/>
      </w:pPr>
      <w:r>
        <w:rPr>
          <w:rFonts w:ascii="宋体" w:eastAsia="宋体" w:hint="eastAsia"/>
        </w:rPr>
        <w:t>采用分户计量且涉及公共水消费分摊的公共机构，应将公共水分摊消费数据与采集的分户计量水消费数据相累加，作为本单位的自来水消费数据，分摊方法按照5.5.2.2执行</w:t>
      </w:r>
      <w:r>
        <w:rPr>
          <w:rFonts w:hint="eastAsia"/>
        </w:rPr>
        <w:t>。</w:t>
      </w:r>
    </w:p>
    <w:p w14:paraId="2CB4B9C6" w14:textId="77777777" w:rsidR="00C34226" w:rsidRDefault="00000000">
      <w:pPr>
        <w:pStyle w:val="afff5"/>
        <w:spacing w:beforeLines="0" w:before="0" w:afterLines="0" w:after="0" w:line="240" w:lineRule="auto"/>
      </w:pPr>
      <w:r>
        <w:rPr>
          <w:rFonts w:ascii="宋体" w:eastAsia="宋体" w:hint="eastAsia"/>
        </w:rPr>
        <w:t>采用自备井供水的公共机构，应配备满足分户、分级计量与统计要求的水计量器具，按计量数据进行采集</w:t>
      </w:r>
      <w:r>
        <w:rPr>
          <w:rFonts w:hint="eastAsia"/>
        </w:rPr>
        <w:t>。</w:t>
      </w:r>
    </w:p>
    <w:p w14:paraId="2C4799E0" w14:textId="77777777" w:rsidR="00C34226" w:rsidRDefault="00000000">
      <w:pPr>
        <w:pStyle w:val="afff5"/>
        <w:spacing w:beforeLines="0" w:before="0" w:afterLines="0" w:after="0" w:line="240" w:lineRule="auto"/>
      </w:pPr>
      <w:r>
        <w:rPr>
          <w:rFonts w:ascii="宋体" w:eastAsia="宋体" w:hint="eastAsia"/>
        </w:rPr>
        <w:t>桶装水消费应采集购入发票数据作为桶装水消费数据</w:t>
      </w:r>
      <w:r>
        <w:rPr>
          <w:rFonts w:hint="eastAsia"/>
        </w:rPr>
        <w:t>。</w:t>
      </w:r>
    </w:p>
    <w:p w14:paraId="51E70203" w14:textId="77777777" w:rsidR="00C34226" w:rsidRDefault="00000000">
      <w:pPr>
        <w:pStyle w:val="afff5"/>
        <w:spacing w:beforeLines="0" w:before="0" w:afterLines="0" w:after="0" w:line="240" w:lineRule="auto"/>
      </w:pPr>
      <w:r>
        <w:rPr>
          <w:rFonts w:ascii="宋体" w:eastAsia="宋体" w:hint="eastAsia"/>
        </w:rPr>
        <w:t>本单位安装有分项计量水表时，应按照不同用途或管理单元分别采集消费数据</w:t>
      </w:r>
      <w:r>
        <w:rPr>
          <w:rFonts w:hint="eastAsia"/>
        </w:rPr>
        <w:t>。</w:t>
      </w:r>
    </w:p>
    <w:p w14:paraId="26450C8D" w14:textId="77777777" w:rsidR="00C34226" w:rsidRDefault="00000000">
      <w:pPr>
        <w:pStyle w:val="afff5"/>
        <w:spacing w:beforeLines="0" w:before="0" w:afterLines="0" w:after="0" w:line="240" w:lineRule="auto"/>
      </w:pPr>
      <w:r>
        <w:rPr>
          <w:rFonts w:ascii="宋体" w:eastAsia="宋体" w:hint="eastAsia"/>
        </w:rPr>
        <w:t>集蓄雨水、中水等公共机构自供的非常规水应单独进行计量与统计，不纳入资源消费总量</w:t>
      </w:r>
      <w:r>
        <w:rPr>
          <w:rFonts w:hint="eastAsia"/>
        </w:rPr>
        <w:t>。</w:t>
      </w:r>
    </w:p>
    <w:p w14:paraId="41FF406F" w14:textId="77777777" w:rsidR="00C34226" w:rsidRDefault="00000000">
      <w:pPr>
        <w:pStyle w:val="afff4"/>
        <w:spacing w:before="156" w:after="156" w:line="240" w:lineRule="auto"/>
        <w:ind w:left="0"/>
        <w:rPr>
          <w:szCs w:val="21"/>
        </w:rPr>
      </w:pPr>
      <w:bookmarkStart w:id="93" w:name="_Toc166146603"/>
      <w:r>
        <w:rPr>
          <w:rFonts w:hint="eastAsia"/>
        </w:rPr>
        <w:t>煤炭</w:t>
      </w:r>
      <w:bookmarkEnd w:id="93"/>
      <w:r>
        <w:rPr>
          <w:rFonts w:hint="eastAsia"/>
        </w:rPr>
        <w:t>消费信息</w:t>
      </w:r>
    </w:p>
    <w:p w14:paraId="7857B98A" w14:textId="77777777" w:rsidR="00C34226" w:rsidRDefault="00000000">
      <w:pPr>
        <w:pStyle w:val="afffffffffb"/>
        <w:spacing w:line="240" w:lineRule="auto"/>
      </w:pPr>
      <w:r>
        <w:rPr>
          <w:rFonts w:hint="eastAsia"/>
        </w:rPr>
        <w:t>煤炭消费数据是指本单位运营统计周期内的煤炭实际消费量及费用数据，煤炭消费量单位为吨（t）。</w:t>
      </w:r>
    </w:p>
    <w:p w14:paraId="5875CD74" w14:textId="77777777" w:rsidR="00C34226" w:rsidRDefault="00000000">
      <w:pPr>
        <w:pStyle w:val="afffffffffb"/>
        <w:spacing w:line="240" w:lineRule="auto"/>
      </w:pPr>
      <w:r>
        <w:rPr>
          <w:rFonts w:hint="eastAsia"/>
        </w:rPr>
        <w:t>煤炭消费按不同用途分别计量时，应填写不同用途消费量；未进行分别计量时，应填写主要的使用用途。</w:t>
      </w:r>
    </w:p>
    <w:p w14:paraId="3A57D1C1" w14:textId="77777777" w:rsidR="00C34226" w:rsidRDefault="00000000">
      <w:pPr>
        <w:pStyle w:val="afff4"/>
        <w:spacing w:before="156" w:after="156" w:line="240" w:lineRule="auto"/>
        <w:ind w:left="0"/>
      </w:pPr>
      <w:bookmarkStart w:id="94" w:name="_Toc166146604"/>
      <w:r>
        <w:rPr>
          <w:rFonts w:hint="eastAsia"/>
        </w:rPr>
        <w:t>天然气</w:t>
      </w:r>
      <w:bookmarkEnd w:id="94"/>
      <w:r>
        <w:rPr>
          <w:rFonts w:hint="eastAsia"/>
        </w:rPr>
        <w:t>消费信息</w:t>
      </w:r>
    </w:p>
    <w:p w14:paraId="5616A131" w14:textId="77777777" w:rsidR="00C34226" w:rsidRDefault="00000000">
      <w:pPr>
        <w:pStyle w:val="afff5"/>
        <w:spacing w:beforeLines="0" w:before="0" w:afterLines="0" w:after="0" w:line="240" w:lineRule="auto"/>
      </w:pPr>
      <w:r>
        <w:rPr>
          <w:rFonts w:ascii="宋体" w:eastAsia="宋体" w:hint="eastAsia"/>
        </w:rPr>
        <w:t>天然气消费应采集本单位办公区统计周期内的天然气实际消费量及费用数据，天然气消费量单位为立方米（m³）。</w:t>
      </w:r>
    </w:p>
    <w:p w14:paraId="3D32CAF7" w14:textId="77777777" w:rsidR="00C34226" w:rsidRDefault="00000000">
      <w:pPr>
        <w:pStyle w:val="afff5"/>
        <w:spacing w:beforeLines="0" w:before="0" w:afterLines="0" w:after="0" w:line="240" w:lineRule="auto"/>
        <w:rPr>
          <w:rFonts w:ascii="宋体" w:eastAsia="宋体"/>
        </w:rPr>
      </w:pPr>
      <w:r>
        <w:rPr>
          <w:rFonts w:ascii="宋体" w:eastAsia="宋体" w:hint="eastAsia"/>
        </w:rPr>
        <w:t>使用集中管道供应天然气的公共机构，应采集燃气公司出具的数据；分户购买使用天然气的公共机构，应采取逐户调查，累加获得本公共机构的消费数据。</w:t>
      </w:r>
    </w:p>
    <w:p w14:paraId="60A12A5D" w14:textId="77777777" w:rsidR="00C34226" w:rsidRDefault="00000000">
      <w:pPr>
        <w:pStyle w:val="afff5"/>
        <w:spacing w:beforeLines="0" w:before="0" w:afterLines="0" w:after="0" w:line="240" w:lineRule="auto"/>
        <w:rPr>
          <w:rFonts w:ascii="宋体" w:eastAsia="宋体"/>
        </w:rPr>
      </w:pPr>
      <w:r>
        <w:rPr>
          <w:rFonts w:ascii="宋体" w:eastAsia="宋体" w:hint="eastAsia"/>
        </w:rPr>
        <w:t>使用IC卡或智能天然气表购买天然气的预付费用户，应按时采集天然气表数据登记台账，根据台账记录的统计周期内实际天然气消费量进行采集，不应将统计周期内的购买量作为本统计周期的消费量。</w:t>
      </w:r>
    </w:p>
    <w:p w14:paraId="21E31A50" w14:textId="77777777" w:rsidR="00C34226" w:rsidRDefault="00000000">
      <w:pPr>
        <w:pStyle w:val="afff4"/>
        <w:spacing w:before="156" w:after="156" w:line="240" w:lineRule="auto"/>
        <w:ind w:left="0"/>
      </w:pPr>
      <w:bookmarkStart w:id="95" w:name="_Toc166146605"/>
      <w:r>
        <w:rPr>
          <w:rFonts w:hint="eastAsia"/>
        </w:rPr>
        <w:t>汽油、柴油</w:t>
      </w:r>
      <w:bookmarkEnd w:id="95"/>
      <w:r>
        <w:rPr>
          <w:rFonts w:hint="eastAsia"/>
        </w:rPr>
        <w:t>消费信息</w:t>
      </w:r>
    </w:p>
    <w:p w14:paraId="20753174" w14:textId="77777777" w:rsidR="00C34226" w:rsidRDefault="00000000">
      <w:pPr>
        <w:pStyle w:val="afff5"/>
        <w:spacing w:beforeLines="0" w:before="0" w:afterLines="0" w:after="0" w:line="240" w:lineRule="auto"/>
      </w:pPr>
      <w:r>
        <w:rPr>
          <w:rFonts w:ascii="宋体" w:eastAsia="宋体" w:hint="eastAsia"/>
        </w:rPr>
        <w:t>汽油、柴油消费应采集本单位统计周期内办公使用的汽油、柴油实际消费量及费用数据，包括车辆用油和其他用油，汽油、柴油消费量单位为升（L）。</w:t>
      </w:r>
    </w:p>
    <w:p w14:paraId="4AF6E012" w14:textId="77777777" w:rsidR="00C34226" w:rsidRDefault="00000000">
      <w:pPr>
        <w:pStyle w:val="afff5"/>
        <w:spacing w:beforeLines="0" w:before="0" w:afterLines="0" w:after="0" w:line="240" w:lineRule="auto"/>
      </w:pPr>
      <w:r>
        <w:rPr>
          <w:rFonts w:ascii="宋体" w:eastAsia="宋体" w:hint="eastAsia"/>
        </w:rPr>
        <w:t>车辆用油为公务用车的用油消费，应根据台账记录的统计周期内实际消费量进行采集。使用加油IC卡的公共机构，应采集油料供应部门提供的加油IC卡对账单，依据对账单数据登记台账；不使用加油IC卡的公共机构，应逐车调查单车实际加油量，登记台账</w:t>
      </w:r>
      <w:r>
        <w:rPr>
          <w:rFonts w:hint="eastAsia"/>
        </w:rPr>
        <w:t>。</w:t>
      </w:r>
    </w:p>
    <w:p w14:paraId="7BFEDD77" w14:textId="77777777" w:rsidR="00C34226" w:rsidRDefault="00000000">
      <w:pPr>
        <w:pStyle w:val="afff5"/>
        <w:spacing w:beforeLines="0" w:before="0" w:afterLines="0" w:after="0" w:line="240" w:lineRule="auto"/>
      </w:pPr>
      <w:r>
        <w:rPr>
          <w:rFonts w:ascii="宋体" w:eastAsia="宋体" w:hint="eastAsia"/>
        </w:rPr>
        <w:lastRenderedPageBreak/>
        <w:t>租赁汽车由本单位负责加油且加油费用在本单位列支的，应统计燃油消费。车辆用油量和车辆数量的统计范围应一致。</w:t>
      </w:r>
    </w:p>
    <w:p w14:paraId="7B8310A5" w14:textId="77777777" w:rsidR="00C34226" w:rsidRDefault="00000000">
      <w:pPr>
        <w:pStyle w:val="afff5"/>
        <w:spacing w:beforeLines="0" w:before="0" w:afterLines="0" w:after="0" w:line="240" w:lineRule="auto"/>
      </w:pPr>
      <w:r>
        <w:rPr>
          <w:rFonts w:ascii="宋体" w:eastAsia="宋体" w:hint="eastAsia"/>
        </w:rPr>
        <w:t>冬季采暖、日常烧制饮用开水等产生的用油消费，以及从事海运、河运、旅游观光及其他管理所配备的摩托车、直升机、船类等非汽车类交通工具的用油消费应计入其他用油类别，并注明用途。</w:t>
      </w:r>
    </w:p>
    <w:p w14:paraId="6E2271DD" w14:textId="77777777" w:rsidR="00C34226" w:rsidRDefault="00000000">
      <w:pPr>
        <w:pStyle w:val="afff4"/>
        <w:spacing w:before="156" w:after="156" w:line="240" w:lineRule="auto"/>
        <w:ind w:left="0"/>
      </w:pPr>
      <w:bookmarkStart w:id="96" w:name="_Toc166146606"/>
      <w:r>
        <w:rPr>
          <w:rFonts w:hint="eastAsia"/>
        </w:rPr>
        <w:t>液化石油气</w:t>
      </w:r>
      <w:bookmarkEnd w:id="96"/>
      <w:r>
        <w:rPr>
          <w:rFonts w:hint="eastAsia"/>
        </w:rPr>
        <w:t>消费信息</w:t>
      </w:r>
    </w:p>
    <w:p w14:paraId="3A772917" w14:textId="77777777" w:rsidR="00C34226" w:rsidRDefault="00000000">
      <w:pPr>
        <w:pStyle w:val="afff5"/>
        <w:spacing w:beforeLines="0" w:before="0" w:afterLines="0" w:after="0" w:line="240" w:lineRule="auto"/>
        <w:rPr>
          <w:rFonts w:ascii="宋体" w:eastAsia="宋体"/>
        </w:rPr>
      </w:pPr>
      <w:bookmarkStart w:id="97" w:name="_Toc166146607"/>
      <w:r>
        <w:rPr>
          <w:rFonts w:ascii="宋体" w:eastAsia="宋体" w:hint="eastAsia"/>
        </w:rPr>
        <w:t>液化石油气消费应采集统计周期内办公使用的液化石油气实际消费量及费用数据，液化石油气消费量单位为千克（kg）。</w:t>
      </w:r>
    </w:p>
    <w:p w14:paraId="0870304D" w14:textId="77777777" w:rsidR="00C34226" w:rsidRDefault="00000000">
      <w:pPr>
        <w:pStyle w:val="afff5"/>
        <w:spacing w:beforeLines="0" w:before="0" w:afterLines="0" w:after="0" w:line="240" w:lineRule="auto"/>
        <w:rPr>
          <w:rFonts w:ascii="宋体" w:eastAsia="宋体"/>
        </w:rPr>
      </w:pPr>
      <w:r>
        <w:rPr>
          <w:rFonts w:ascii="宋体" w:eastAsia="宋体" w:hint="eastAsia"/>
        </w:rPr>
        <w:t>使用集中管道供应液化石油气的公共机构，应采集燃气公司出具的数据，并应将气态体积单位（m</w:t>
      </w:r>
      <w:r>
        <w:rPr>
          <w:rFonts w:ascii="宋体" w:eastAsia="宋体" w:hint="eastAsia"/>
          <w:vertAlign w:val="superscript"/>
        </w:rPr>
        <w:t>3</w:t>
      </w:r>
      <w:r>
        <w:rPr>
          <w:rFonts w:ascii="宋体" w:eastAsia="宋体" w:hint="eastAsia"/>
        </w:rPr>
        <w:t>）换算成液态重量单位（kg）。</w:t>
      </w:r>
    </w:p>
    <w:p w14:paraId="52F99E63" w14:textId="77777777" w:rsidR="00C34226" w:rsidRDefault="00000000">
      <w:pPr>
        <w:pStyle w:val="afff8"/>
        <w:spacing w:after="0" w:line="240" w:lineRule="auto"/>
      </w:pPr>
      <w:r>
        <w:rPr>
          <w:rFonts w:hint="eastAsia"/>
        </w:rPr>
        <w:t>液化石油气：1m</w:t>
      </w:r>
      <w:r>
        <w:rPr>
          <w:rFonts w:hint="eastAsia"/>
          <w:vertAlign w:val="superscript"/>
        </w:rPr>
        <w:t>3</w:t>
      </w:r>
      <w:r>
        <w:rPr>
          <w:rFonts w:hint="eastAsia"/>
        </w:rPr>
        <w:t>（气态）≈2.033kg（液态）。</w:t>
      </w:r>
    </w:p>
    <w:p w14:paraId="4D3E2071" w14:textId="77777777" w:rsidR="00C34226" w:rsidRDefault="00000000">
      <w:pPr>
        <w:pStyle w:val="afff5"/>
        <w:spacing w:beforeLines="0" w:before="0" w:afterLines="0" w:after="0" w:line="240" w:lineRule="auto"/>
        <w:rPr>
          <w:rFonts w:ascii="宋体" w:eastAsia="宋体"/>
        </w:rPr>
      </w:pPr>
      <w:r>
        <w:rPr>
          <w:rFonts w:ascii="宋体" w:eastAsia="宋体" w:hint="eastAsia"/>
        </w:rPr>
        <w:t>分户购买罐装液化石油气的公共机构，应采取逐户调查，累加获得本公共机构的消费数据。</w:t>
      </w:r>
    </w:p>
    <w:p w14:paraId="636F7F24" w14:textId="77777777" w:rsidR="00C34226" w:rsidRDefault="00000000">
      <w:pPr>
        <w:pStyle w:val="afff4"/>
        <w:spacing w:before="156" w:after="156" w:line="240" w:lineRule="auto"/>
        <w:ind w:left="0"/>
      </w:pPr>
      <w:r>
        <w:rPr>
          <w:rFonts w:hint="eastAsia"/>
        </w:rPr>
        <w:t>热力</w:t>
      </w:r>
      <w:bookmarkEnd w:id="97"/>
      <w:r>
        <w:rPr>
          <w:rFonts w:hint="eastAsia"/>
        </w:rPr>
        <w:t>消费信息</w:t>
      </w:r>
    </w:p>
    <w:p w14:paraId="476D7E17" w14:textId="77777777" w:rsidR="00C34226" w:rsidRDefault="00000000">
      <w:pPr>
        <w:pStyle w:val="afff5"/>
        <w:spacing w:beforeLines="0" w:before="0" w:afterLines="0" w:after="0" w:line="240" w:lineRule="auto"/>
      </w:pPr>
      <w:r>
        <w:rPr>
          <w:rFonts w:ascii="宋体" w:eastAsia="宋体" w:hint="eastAsia"/>
        </w:rPr>
        <w:t>热力消费应采集本单位办公区统计周期内用于空调、采暖和制备生活热水的外购热力消费量及费用数据，热力消费量单位为吉焦（GJ）。</w:t>
      </w:r>
    </w:p>
    <w:p w14:paraId="4E8B156A" w14:textId="77777777" w:rsidR="00C34226" w:rsidRDefault="00000000">
      <w:pPr>
        <w:pStyle w:val="afff5"/>
        <w:spacing w:beforeLines="0" w:before="0" w:afterLines="0" w:after="0" w:line="240" w:lineRule="auto"/>
      </w:pPr>
      <w:r>
        <w:rPr>
          <w:rFonts w:ascii="宋体" w:eastAsia="宋体" w:hint="eastAsia"/>
        </w:rPr>
        <w:t>采用分户热量计量的公共机构，应采集热量计量装置读数作为热力消费数据；采用蒸汽流量计量的公共机构，应按照GB/T 34060的规定换算出蒸汽热量作为热力消费数据</w:t>
      </w:r>
      <w:r>
        <w:rPr>
          <w:rFonts w:hint="eastAsia"/>
        </w:rPr>
        <w:t>。</w:t>
      </w:r>
    </w:p>
    <w:p w14:paraId="48C17446" w14:textId="77777777" w:rsidR="00C34226" w:rsidRDefault="00000000">
      <w:pPr>
        <w:pStyle w:val="afff5"/>
        <w:spacing w:beforeLines="0" w:before="0" w:afterLines="0" w:after="0" w:line="240" w:lineRule="auto"/>
        <w:rPr>
          <w:rFonts w:ascii="宋体" w:eastAsia="宋体"/>
        </w:rPr>
      </w:pPr>
      <w:r>
        <w:rPr>
          <w:rFonts w:ascii="宋体" w:eastAsia="宋体" w:hint="eastAsia"/>
        </w:rPr>
        <w:t>未安装热量计量装置、按采暖面积缴纳采暖费用的公共机构，应根据整个采暖季采暖天数和月采暖天数折算当月费用，使用热力单价折算为当月热力消耗量进行采集。按面积缴纳采暖费用的热力消费数据按照附录B进行计算。</w:t>
      </w:r>
    </w:p>
    <w:p w14:paraId="4096896E" w14:textId="77777777" w:rsidR="00C34226" w:rsidRDefault="00000000">
      <w:pPr>
        <w:pStyle w:val="afff5"/>
        <w:spacing w:beforeLines="0" w:before="0" w:afterLines="0" w:after="0" w:line="240" w:lineRule="auto"/>
        <w:rPr>
          <w:rFonts w:ascii="宋体" w:eastAsia="宋体"/>
        </w:rPr>
      </w:pPr>
      <w:r>
        <w:rPr>
          <w:rFonts w:ascii="宋体" w:eastAsia="宋体" w:hint="eastAsia"/>
        </w:rPr>
        <w:t>热力消费需分摊的公共机构，应按照5.5.2.2的方法，将集中热源的总供热量按建筑采暖面积分摊至使用同一集中热源的各个公共机构。</w:t>
      </w:r>
    </w:p>
    <w:p w14:paraId="6A231F4B" w14:textId="77777777" w:rsidR="00C34226" w:rsidRDefault="00000000">
      <w:pPr>
        <w:pStyle w:val="afff4"/>
        <w:spacing w:before="156" w:after="156" w:line="240" w:lineRule="auto"/>
        <w:ind w:left="0"/>
      </w:pPr>
      <w:r>
        <w:rPr>
          <w:rFonts w:hint="eastAsia"/>
        </w:rPr>
        <w:t>其他能源消费信息</w:t>
      </w:r>
    </w:p>
    <w:p w14:paraId="60747462" w14:textId="77777777" w:rsidR="00C34226" w:rsidRDefault="00000000">
      <w:pPr>
        <w:pStyle w:val="afff5"/>
        <w:spacing w:beforeLines="0" w:before="0" w:afterLines="0" w:after="0" w:line="240" w:lineRule="auto"/>
        <w:rPr>
          <w:rFonts w:ascii="宋体" w:eastAsia="宋体"/>
        </w:rPr>
      </w:pPr>
      <w:r>
        <w:rPr>
          <w:rFonts w:ascii="宋体" w:eastAsia="宋体" w:hint="eastAsia"/>
        </w:rPr>
        <w:t>其他能源消费应采集本单位办公区统计周期内使用的未列入5.2.4～5.2.11的能源品种（不包括可再生能源）的消费量及费用数据，其他能源消费量单位为吨标准煤（tce）。</w:t>
      </w:r>
    </w:p>
    <w:p w14:paraId="6EA1C245" w14:textId="77777777" w:rsidR="00C34226" w:rsidRDefault="00000000">
      <w:pPr>
        <w:pStyle w:val="afff5"/>
        <w:spacing w:beforeLines="0" w:before="0" w:afterLines="0" w:after="0" w:line="240" w:lineRule="auto"/>
      </w:pPr>
      <w:r>
        <w:rPr>
          <w:rFonts w:ascii="宋体" w:eastAsia="宋体" w:hint="eastAsia"/>
        </w:rPr>
        <w:t>其他能源消费量应根据能源种类按照相应的系数折算成标准煤消费量进行采集，并注明能源类型，主要能源折标准煤系数见附录C</w:t>
      </w:r>
      <w:r>
        <w:rPr>
          <w:rFonts w:hint="eastAsia"/>
        </w:rPr>
        <w:t>。</w:t>
      </w:r>
    </w:p>
    <w:p w14:paraId="4EA6B5C5" w14:textId="77777777" w:rsidR="00C34226" w:rsidRDefault="00000000">
      <w:pPr>
        <w:pStyle w:val="afff4"/>
        <w:spacing w:before="156" w:after="156" w:line="240" w:lineRule="auto"/>
        <w:ind w:left="0"/>
      </w:pPr>
      <w:bookmarkStart w:id="98" w:name="_Toc166146609"/>
      <w:r>
        <w:rPr>
          <w:rFonts w:hint="eastAsia"/>
        </w:rPr>
        <w:t>可再生能源</w:t>
      </w:r>
      <w:bookmarkEnd w:id="98"/>
    </w:p>
    <w:p w14:paraId="6C982533" w14:textId="77777777" w:rsidR="00C34226" w:rsidRDefault="00000000">
      <w:pPr>
        <w:pStyle w:val="affffff0"/>
        <w:spacing w:after="0" w:line="240" w:lineRule="auto"/>
        <w:ind w:firstLine="420"/>
      </w:pPr>
      <w:r>
        <w:rPr>
          <w:rFonts w:hint="eastAsia"/>
        </w:rPr>
        <w:t>可再生能源应用的相关数据应采集本单位办公区统计周期内太阳能光热利用系统集热器面积、太阳能光电利用系统装机容量、地热能利用系统装机容量的信息，集热器面积单位为平方米（m</w:t>
      </w:r>
      <w:r>
        <w:rPr>
          <w:rFonts w:hint="eastAsia"/>
          <w:vertAlign w:val="superscript"/>
        </w:rPr>
        <w:t>2</w:t>
      </w:r>
      <w:r>
        <w:rPr>
          <w:rFonts w:hint="eastAsia"/>
        </w:rPr>
        <w:t>），装机容量单位为千瓦（kW），数据应从设施设备的铭牌或技术文件中获取。</w:t>
      </w:r>
    </w:p>
    <w:p w14:paraId="23D7FF2E" w14:textId="77777777" w:rsidR="00C34226" w:rsidRDefault="00000000">
      <w:pPr>
        <w:pStyle w:val="affffff0"/>
        <w:spacing w:after="0" w:line="240" w:lineRule="auto"/>
        <w:ind w:firstLine="420"/>
      </w:pPr>
      <w:r>
        <w:rPr>
          <w:rFonts w:hint="eastAsia"/>
        </w:rPr>
        <w:t>太阳能光电系统发电量应采集本单位办公区统计周期内的太阳能光电系统实际发电量，包括本单位自发自用和发电上网两种电量，单位为千瓦时（kW•h）。</w:t>
      </w:r>
    </w:p>
    <w:p w14:paraId="30653FAF" w14:textId="77777777" w:rsidR="00C34226" w:rsidRDefault="00000000">
      <w:pPr>
        <w:pStyle w:val="afff3"/>
        <w:spacing w:before="156" w:after="156" w:line="240" w:lineRule="auto"/>
      </w:pPr>
      <w:bookmarkStart w:id="99" w:name="_Toc166146610"/>
      <w:bookmarkStart w:id="100" w:name="_Toc166146656"/>
      <w:r>
        <w:rPr>
          <w:rFonts w:hint="eastAsia"/>
        </w:rPr>
        <w:t>数据中心机房能源消费</w:t>
      </w:r>
      <w:bookmarkEnd w:id="99"/>
      <w:bookmarkEnd w:id="100"/>
      <w:r>
        <w:rPr>
          <w:rFonts w:hint="eastAsia"/>
        </w:rPr>
        <w:t>信息采集</w:t>
      </w:r>
    </w:p>
    <w:p w14:paraId="3748EA5A" w14:textId="77777777" w:rsidR="00C34226" w:rsidRDefault="00000000">
      <w:pPr>
        <w:pStyle w:val="afff4"/>
        <w:spacing w:before="156" w:after="156" w:line="240" w:lineRule="auto"/>
        <w:ind w:left="0"/>
      </w:pPr>
      <w:bookmarkStart w:id="101" w:name="_Toc166146611"/>
      <w:r>
        <w:rPr>
          <w:rFonts w:hint="eastAsia"/>
        </w:rPr>
        <w:t>机房建筑面积</w:t>
      </w:r>
      <w:bookmarkEnd w:id="101"/>
    </w:p>
    <w:p w14:paraId="03534701" w14:textId="77777777" w:rsidR="00C34226" w:rsidRDefault="00000000">
      <w:pPr>
        <w:pStyle w:val="affffff0"/>
        <w:spacing w:line="240" w:lineRule="auto"/>
        <w:ind w:firstLine="420"/>
      </w:pPr>
      <w:r>
        <w:rPr>
          <w:rFonts w:hint="eastAsia"/>
        </w:rPr>
        <w:t xml:space="preserve">应采集本单位数据中心机房使用及其配套用房的建筑面积，单位为平方米（m²）。 </w:t>
      </w:r>
    </w:p>
    <w:p w14:paraId="2CD7AFB5" w14:textId="77777777" w:rsidR="00C34226" w:rsidRDefault="00000000">
      <w:pPr>
        <w:pStyle w:val="afff4"/>
        <w:spacing w:before="156" w:after="156" w:line="240" w:lineRule="auto"/>
        <w:ind w:left="0"/>
        <w:rPr>
          <w:rFonts w:ascii="宋体" w:eastAsia="宋体" w:hAnsi="宋体" w:hint="eastAsia"/>
        </w:rPr>
      </w:pPr>
      <w:bookmarkStart w:id="102" w:name="_Toc166146612"/>
      <w:r>
        <w:rPr>
          <w:rFonts w:hint="eastAsia"/>
        </w:rPr>
        <w:t>设备总功率</w:t>
      </w:r>
      <w:bookmarkEnd w:id="102"/>
    </w:p>
    <w:p w14:paraId="697C6B06" w14:textId="77777777" w:rsidR="00C34226" w:rsidRDefault="00000000">
      <w:pPr>
        <w:pStyle w:val="affffff0"/>
        <w:spacing w:line="240" w:lineRule="auto"/>
        <w:ind w:firstLine="420"/>
      </w:pPr>
      <w:r>
        <w:rPr>
          <w:rFonts w:hint="eastAsia"/>
        </w:rPr>
        <w:lastRenderedPageBreak/>
        <w:t>应分别统计数据中心各类IT设备总功率、空气调节设备总功率、配电及附属设备总功率及三类之和。各设备功率应分别从设备铭牌或技术文件中采集，单位为千瓦（kW）。</w:t>
      </w:r>
    </w:p>
    <w:p w14:paraId="6522C5D4" w14:textId="77777777" w:rsidR="00C34226" w:rsidRDefault="00000000">
      <w:pPr>
        <w:pStyle w:val="afff4"/>
        <w:spacing w:before="156" w:after="156" w:line="240" w:lineRule="auto"/>
        <w:ind w:left="0"/>
        <w:rPr>
          <w:rFonts w:ascii="宋体" w:eastAsia="宋体" w:hAnsi="宋体" w:hint="eastAsia"/>
        </w:rPr>
      </w:pPr>
      <w:bookmarkStart w:id="103" w:name="_Toc166146613"/>
      <w:r>
        <w:rPr>
          <w:rFonts w:hint="eastAsia"/>
        </w:rPr>
        <w:t>用电量</w:t>
      </w:r>
      <w:bookmarkEnd w:id="103"/>
    </w:p>
    <w:p w14:paraId="020C5180" w14:textId="77777777" w:rsidR="00C34226" w:rsidRDefault="00000000">
      <w:pPr>
        <w:pStyle w:val="affffff0"/>
        <w:spacing w:after="0" w:line="240" w:lineRule="auto"/>
        <w:ind w:firstLine="420"/>
      </w:pPr>
      <w:r>
        <w:rPr>
          <w:rFonts w:hint="eastAsia"/>
        </w:rPr>
        <w:t>总用电量、IT设备用电量、空气调节设备用电量、配电及附属设备用电量应分别从数据中心总计量电表和各分项计量电表采集，单位为千瓦时（kW•h）。</w:t>
      </w:r>
    </w:p>
    <w:p w14:paraId="2D9F5C2A" w14:textId="77777777" w:rsidR="00C34226" w:rsidRDefault="00000000">
      <w:pPr>
        <w:pStyle w:val="afff4"/>
        <w:spacing w:before="156" w:after="156" w:line="240" w:lineRule="auto"/>
        <w:ind w:left="0"/>
      </w:pPr>
      <w:r>
        <w:rPr>
          <w:rFonts w:hint="eastAsia"/>
        </w:rPr>
        <w:t>多个机房</w:t>
      </w:r>
    </w:p>
    <w:p w14:paraId="559F87BB" w14:textId="77777777" w:rsidR="00C34226" w:rsidRDefault="00000000" w:rsidP="000553E9">
      <w:pPr>
        <w:pStyle w:val="afffffffffc"/>
        <w:numPr>
          <w:ilvl w:val="0"/>
          <w:numId w:val="0"/>
        </w:numPr>
        <w:spacing w:line="240" w:lineRule="auto"/>
        <w:ind w:firstLineChars="200" w:firstLine="420"/>
      </w:pPr>
      <w:r>
        <w:rPr>
          <w:rFonts w:hint="eastAsia"/>
        </w:rPr>
        <w:t>若一个单位有多个数据中心机房，应对每一个数据中心机房独立进行调查统计其能源消费信息。</w:t>
      </w:r>
    </w:p>
    <w:p w14:paraId="642704EC" w14:textId="77777777" w:rsidR="00C34226" w:rsidRDefault="00000000">
      <w:pPr>
        <w:pStyle w:val="afff3"/>
        <w:spacing w:before="156" w:after="156" w:line="240" w:lineRule="auto"/>
        <w:rPr>
          <w:rFonts w:ascii="宋体" w:eastAsia="宋体" w:hAnsi="宋体" w:hint="eastAsia"/>
        </w:rPr>
      </w:pPr>
      <w:bookmarkStart w:id="104" w:name="_Toc166146614"/>
      <w:bookmarkStart w:id="105" w:name="_Toc166146657"/>
      <w:r>
        <w:rPr>
          <w:rFonts w:hint="eastAsia"/>
        </w:rPr>
        <w:t>采暖能源资源消费</w:t>
      </w:r>
      <w:bookmarkEnd w:id="104"/>
      <w:bookmarkEnd w:id="105"/>
      <w:r>
        <w:rPr>
          <w:rFonts w:hint="eastAsia"/>
        </w:rPr>
        <w:t>信息采集</w:t>
      </w:r>
    </w:p>
    <w:p w14:paraId="47F4B277" w14:textId="77777777" w:rsidR="00C34226" w:rsidRDefault="00000000">
      <w:pPr>
        <w:pStyle w:val="afff4"/>
        <w:spacing w:before="156" w:after="156" w:line="240" w:lineRule="auto"/>
        <w:ind w:left="0"/>
      </w:pPr>
      <w:bookmarkStart w:id="106" w:name="_Toc166146615"/>
      <w:r>
        <w:rPr>
          <w:rFonts w:hint="eastAsia"/>
        </w:rPr>
        <w:t>采暖面积</w:t>
      </w:r>
      <w:bookmarkEnd w:id="106"/>
    </w:p>
    <w:p w14:paraId="116F6C2E" w14:textId="77777777" w:rsidR="00C34226" w:rsidRDefault="00000000">
      <w:pPr>
        <w:pStyle w:val="affffff0"/>
        <w:spacing w:line="240" w:lineRule="auto"/>
        <w:ind w:firstLine="420"/>
      </w:pPr>
      <w:r>
        <w:rPr>
          <w:rFonts w:hint="eastAsia"/>
        </w:rPr>
        <w:t>应采集本单位以各种方式实施冬季采暖的建筑面积，单位为平方米（m</w:t>
      </w:r>
      <w:r>
        <w:rPr>
          <w:rFonts w:hint="eastAsia"/>
          <w:vertAlign w:val="superscript"/>
        </w:rPr>
        <w:t>2</w:t>
      </w:r>
      <w:r>
        <w:rPr>
          <w:rFonts w:hint="eastAsia"/>
        </w:rPr>
        <w:t>）。</w:t>
      </w:r>
    </w:p>
    <w:p w14:paraId="7A95D83B" w14:textId="77777777" w:rsidR="00C34226" w:rsidRDefault="00000000">
      <w:pPr>
        <w:pStyle w:val="afff4"/>
        <w:spacing w:before="156" w:after="156" w:line="240" w:lineRule="auto"/>
        <w:ind w:left="0"/>
      </w:pPr>
      <w:r>
        <w:rPr>
          <w:rFonts w:hint="eastAsia"/>
        </w:rPr>
        <w:t>采暖天数</w:t>
      </w:r>
    </w:p>
    <w:p w14:paraId="61954020" w14:textId="77777777" w:rsidR="00C34226" w:rsidRDefault="00000000">
      <w:pPr>
        <w:pStyle w:val="affffff0"/>
        <w:spacing w:line="240" w:lineRule="auto"/>
        <w:ind w:firstLine="420"/>
      </w:pPr>
      <w:r>
        <w:rPr>
          <w:rFonts w:hint="eastAsia"/>
        </w:rPr>
        <w:t>应采集本单位实际采暖天数。多地址办公且采暖天数不同的公共机构，应按最长采暖天数采集数据。</w:t>
      </w:r>
    </w:p>
    <w:p w14:paraId="35C9ECA8" w14:textId="77777777" w:rsidR="00C34226" w:rsidRDefault="00000000">
      <w:pPr>
        <w:pStyle w:val="afff4"/>
        <w:spacing w:before="156" w:after="156" w:line="240" w:lineRule="auto"/>
        <w:ind w:left="0"/>
      </w:pPr>
      <w:bookmarkStart w:id="107" w:name="_Toc166146616"/>
      <w:r>
        <w:rPr>
          <w:rFonts w:hint="eastAsia"/>
        </w:rPr>
        <w:t>独立采暖</w:t>
      </w:r>
      <w:bookmarkEnd w:id="107"/>
      <w:r>
        <w:rPr>
          <w:rFonts w:hint="eastAsia"/>
        </w:rPr>
        <w:t>供热能力</w:t>
      </w:r>
    </w:p>
    <w:p w14:paraId="1E88CB7D" w14:textId="77777777" w:rsidR="00C34226" w:rsidRDefault="00000000">
      <w:pPr>
        <w:pStyle w:val="affffff0"/>
        <w:spacing w:after="0" w:line="240" w:lineRule="auto"/>
        <w:ind w:firstLine="420"/>
      </w:pPr>
      <w:r>
        <w:rPr>
          <w:rFonts w:hint="eastAsia"/>
        </w:rPr>
        <w:t>应采集本单位独立采暖设备的额定供热能力，数据从锅炉等设备的铭牌或技术文件中获取。其中：</w:t>
      </w:r>
    </w:p>
    <w:p w14:paraId="00F347D1" w14:textId="77777777" w:rsidR="00C34226" w:rsidRDefault="00000000">
      <w:pPr>
        <w:pStyle w:val="afb"/>
        <w:numPr>
          <w:ilvl w:val="0"/>
          <w:numId w:val="34"/>
        </w:numPr>
        <w:spacing w:after="0" w:line="240" w:lineRule="auto"/>
        <w:ind w:left="850" w:hanging="425"/>
      </w:pPr>
      <w:r>
        <w:rPr>
          <w:rFonts w:hint="eastAsia"/>
        </w:rPr>
        <w:t xml:space="preserve">热水锅炉应采集热功率，单位为兆瓦（MW）； </w:t>
      </w:r>
    </w:p>
    <w:p w14:paraId="1016C265" w14:textId="77777777" w:rsidR="00C34226" w:rsidRDefault="00000000">
      <w:pPr>
        <w:pStyle w:val="afb"/>
        <w:spacing w:after="0" w:line="240" w:lineRule="auto"/>
        <w:ind w:left="850" w:hanging="425"/>
      </w:pPr>
      <w:r>
        <w:rPr>
          <w:rFonts w:hint="eastAsia"/>
        </w:rPr>
        <w:t>蒸汽锅炉应采集蒸发量，单位为吨每小时（t/h）。</w:t>
      </w:r>
    </w:p>
    <w:p w14:paraId="542C4946" w14:textId="77777777" w:rsidR="00C34226" w:rsidRDefault="00000000">
      <w:pPr>
        <w:pStyle w:val="afff4"/>
        <w:spacing w:before="156" w:after="156" w:line="240" w:lineRule="auto"/>
        <w:ind w:left="0"/>
      </w:pPr>
      <w:r>
        <w:rPr>
          <w:rFonts w:hint="eastAsia"/>
        </w:rPr>
        <w:t>水、电、煤炭、天然气、柴油、其他能源消费量</w:t>
      </w:r>
    </w:p>
    <w:p w14:paraId="4203EAB1" w14:textId="77777777" w:rsidR="00C34226" w:rsidRDefault="00000000">
      <w:pPr>
        <w:pStyle w:val="affffff0"/>
        <w:spacing w:after="0" w:line="240" w:lineRule="auto"/>
        <w:ind w:firstLine="420"/>
      </w:pPr>
      <w:r>
        <w:rPr>
          <w:rFonts w:hint="eastAsia"/>
        </w:rPr>
        <w:t>应分别采集用于采暖所消耗的各类能源资源消费量和费用数据。</w:t>
      </w:r>
    </w:p>
    <w:p w14:paraId="2B4F6BCF" w14:textId="77777777" w:rsidR="00C34226" w:rsidRDefault="00000000">
      <w:pPr>
        <w:pStyle w:val="afff4"/>
        <w:spacing w:before="156" w:after="156" w:line="240" w:lineRule="auto"/>
        <w:ind w:left="0"/>
      </w:pPr>
      <w:r>
        <w:rPr>
          <w:rFonts w:hint="eastAsia"/>
        </w:rPr>
        <w:t>集中采暖面积（按面积收费）</w:t>
      </w:r>
    </w:p>
    <w:p w14:paraId="20E7A012" w14:textId="77777777" w:rsidR="00C34226" w:rsidRDefault="00000000">
      <w:pPr>
        <w:pStyle w:val="affffff0"/>
        <w:spacing w:line="240" w:lineRule="auto"/>
        <w:ind w:firstLine="420"/>
      </w:pPr>
      <w:r>
        <w:rPr>
          <w:rFonts w:hint="eastAsia"/>
        </w:rPr>
        <w:t>按面积缴纳采暖费用的公共机构应采集缴纳的集中采暖费用。</w:t>
      </w:r>
    </w:p>
    <w:p w14:paraId="70F48B08" w14:textId="77777777" w:rsidR="00C34226" w:rsidRDefault="00000000">
      <w:pPr>
        <w:pStyle w:val="afff4"/>
        <w:spacing w:before="156" w:after="156" w:line="240" w:lineRule="auto"/>
        <w:ind w:left="0"/>
      </w:pPr>
      <w:r>
        <w:rPr>
          <w:rFonts w:hint="eastAsia"/>
        </w:rPr>
        <w:t>热力消费量</w:t>
      </w:r>
    </w:p>
    <w:p w14:paraId="7086B075" w14:textId="77777777" w:rsidR="00C34226" w:rsidRDefault="00000000">
      <w:pPr>
        <w:pStyle w:val="affffff0"/>
        <w:spacing w:after="0" w:line="240" w:lineRule="auto"/>
        <w:ind w:firstLine="420"/>
      </w:pPr>
      <w:r>
        <w:rPr>
          <w:rFonts w:hint="eastAsia"/>
        </w:rPr>
        <w:t>按热消费量付费的公共机构应采集外购热力消费量及费用。</w:t>
      </w:r>
    </w:p>
    <w:p w14:paraId="7A2C70C3" w14:textId="77777777" w:rsidR="00C34226" w:rsidRDefault="00000000">
      <w:pPr>
        <w:pStyle w:val="afff3"/>
        <w:spacing w:before="156" w:after="156" w:line="240" w:lineRule="auto"/>
      </w:pPr>
      <w:r>
        <w:rPr>
          <w:rFonts w:hint="eastAsia"/>
        </w:rPr>
        <w:t>其他情况</w:t>
      </w:r>
    </w:p>
    <w:p w14:paraId="15EED736" w14:textId="77777777" w:rsidR="00C34226" w:rsidRDefault="00000000">
      <w:pPr>
        <w:pStyle w:val="afff4"/>
        <w:spacing w:before="156" w:after="156" w:line="240" w:lineRule="auto"/>
        <w:ind w:left="0"/>
      </w:pPr>
      <w:bookmarkStart w:id="108" w:name="_Toc166146621"/>
      <w:r>
        <w:rPr>
          <w:rFonts w:hint="eastAsia"/>
        </w:rPr>
        <w:t>租用或出租办公用房</w:t>
      </w:r>
      <w:bookmarkEnd w:id="108"/>
    </w:p>
    <w:p w14:paraId="06C2FB87" w14:textId="77777777" w:rsidR="00C34226" w:rsidRDefault="00000000">
      <w:pPr>
        <w:pStyle w:val="afffffffffb"/>
        <w:spacing w:line="240" w:lineRule="auto"/>
      </w:pPr>
      <w:r>
        <w:rPr>
          <w:rFonts w:hint="eastAsia"/>
        </w:rPr>
        <w:t>租用办公用房，具有独立水、电等计量装置，且相关费用由本单位支付的，应列入统计。</w:t>
      </w:r>
    </w:p>
    <w:p w14:paraId="01381368" w14:textId="77777777" w:rsidR="00C34226" w:rsidRDefault="00000000">
      <w:pPr>
        <w:pStyle w:val="afff5"/>
        <w:spacing w:beforeLines="0" w:before="0" w:afterLines="0" w:after="0" w:line="240" w:lineRule="auto"/>
      </w:pPr>
      <w:r>
        <w:rPr>
          <w:rFonts w:ascii="宋体" w:eastAsia="宋体" w:hint="eastAsia"/>
        </w:rPr>
        <w:t>租用办公用房，涉及公共能源资源消费量分摊的，应将分摊部分计入能源资源消费统计，分摊方法按照5.5.2.2执行。</w:t>
      </w:r>
    </w:p>
    <w:p w14:paraId="5F4D3A72" w14:textId="77777777" w:rsidR="00C34226" w:rsidRDefault="00000000">
      <w:pPr>
        <w:pStyle w:val="afff5"/>
        <w:spacing w:beforeLines="0" w:before="0" w:afterLines="0" w:after="0" w:line="240" w:lineRule="auto"/>
      </w:pPr>
      <w:r>
        <w:rPr>
          <w:rFonts w:ascii="宋体" w:eastAsia="宋体" w:hint="eastAsia"/>
        </w:rPr>
        <w:t>租用办公用房，租金中包含水、电等能源资源消费费用但无具体数额的，或无独立水、电等消费计量装置且无法分摊的，应予以说明，能源资源消费情况、建筑面积及用能人数均不计入本单位的统计范围</w:t>
      </w:r>
      <w:r>
        <w:rPr>
          <w:rFonts w:hint="eastAsia"/>
        </w:rPr>
        <w:t>。</w:t>
      </w:r>
    </w:p>
    <w:p w14:paraId="30C81410" w14:textId="77777777" w:rsidR="00C34226" w:rsidRDefault="00000000">
      <w:pPr>
        <w:pStyle w:val="afff5"/>
        <w:spacing w:beforeLines="0" w:before="0" w:afterLines="0" w:after="0" w:line="240" w:lineRule="auto"/>
      </w:pPr>
      <w:r>
        <w:rPr>
          <w:rFonts w:ascii="宋体" w:eastAsia="宋体" w:hint="eastAsia"/>
        </w:rPr>
        <w:t>办公区内对外出租（借）的建筑由本单位代收能源费用的，超出代收费用的部分应计入能源资源消费统计</w:t>
      </w:r>
      <w:r>
        <w:rPr>
          <w:rFonts w:hint="eastAsia"/>
        </w:rPr>
        <w:t>。</w:t>
      </w:r>
    </w:p>
    <w:p w14:paraId="06B6774B" w14:textId="77777777" w:rsidR="00C34226" w:rsidRDefault="00000000">
      <w:pPr>
        <w:pStyle w:val="afff4"/>
        <w:spacing w:before="156" w:after="156" w:line="240" w:lineRule="auto"/>
        <w:ind w:left="0"/>
      </w:pPr>
      <w:bookmarkStart w:id="109" w:name="_Toc166146622"/>
      <w:r>
        <w:rPr>
          <w:rFonts w:hint="eastAsia"/>
        </w:rPr>
        <w:lastRenderedPageBreak/>
        <w:t>集中办公区</w:t>
      </w:r>
      <w:bookmarkEnd w:id="109"/>
    </w:p>
    <w:p w14:paraId="210B24AE" w14:textId="77777777" w:rsidR="00C34226" w:rsidRDefault="00000000">
      <w:pPr>
        <w:pStyle w:val="afff5"/>
        <w:spacing w:beforeLines="0" w:before="0" w:afterLines="0" w:after="0" w:line="240" w:lineRule="auto"/>
      </w:pPr>
      <w:r>
        <w:rPr>
          <w:rFonts w:ascii="宋体" w:eastAsia="宋体" w:hint="eastAsia"/>
        </w:rPr>
        <w:t>已安装能源资源消费分户计量装置的，各公共机构应分户采集能源资源消费量</w:t>
      </w:r>
      <w:r>
        <w:rPr>
          <w:rFonts w:hint="eastAsia"/>
        </w:rPr>
        <w:t>。</w:t>
      </w:r>
    </w:p>
    <w:p w14:paraId="438AF609" w14:textId="77777777" w:rsidR="00C34226" w:rsidRDefault="00000000">
      <w:pPr>
        <w:pStyle w:val="afff5"/>
        <w:spacing w:beforeLines="0" w:before="0" w:afterLines="0" w:after="0" w:line="240" w:lineRule="auto"/>
        <w:rPr>
          <w:rFonts w:ascii="宋体" w:eastAsia="宋体"/>
        </w:rPr>
      </w:pPr>
      <w:r>
        <w:rPr>
          <w:rFonts w:ascii="宋体" w:eastAsia="宋体" w:hint="eastAsia"/>
        </w:rPr>
        <w:t>未安装能源资源消费分户计量装置或分户计量不彻底的，宜在主管部门或物业管理部门的协助下，优先选择分项计量消费量作为分摊基数，并参考楼层、用能人数、建筑面积、用能设备等因素，确定合理可行的分摊依据，各公共机构对能源资源消费量进行分摊采集，分摊的能源资源消费量之和应等于分摊基数。</w:t>
      </w:r>
    </w:p>
    <w:p w14:paraId="450D9468" w14:textId="77777777" w:rsidR="00C34226" w:rsidRDefault="00000000">
      <w:pPr>
        <w:pStyle w:val="afff5"/>
        <w:spacing w:beforeLines="0" w:before="0" w:afterLines="0" w:after="0" w:line="240" w:lineRule="auto"/>
        <w:rPr>
          <w:rFonts w:ascii="宋体" w:eastAsia="宋体"/>
        </w:rPr>
      </w:pPr>
      <w:r>
        <w:rPr>
          <w:rFonts w:ascii="宋体" w:eastAsia="宋体" w:hint="eastAsia"/>
        </w:rPr>
        <w:t>涉及分摊的各公共机构，应对分摊依据进行确认，并将分摊依据、相关发票凭证复印件等建册存档，以备复核。</w:t>
      </w:r>
    </w:p>
    <w:p w14:paraId="35032B28" w14:textId="77777777" w:rsidR="00C34226" w:rsidRDefault="00000000">
      <w:pPr>
        <w:pStyle w:val="afff5"/>
        <w:spacing w:beforeLines="0" w:before="0" w:afterLines="0" w:after="0" w:line="240" w:lineRule="auto"/>
        <w:rPr>
          <w:rFonts w:ascii="宋体" w:eastAsia="宋体"/>
        </w:rPr>
      </w:pPr>
      <w:r>
        <w:rPr>
          <w:rFonts w:ascii="宋体" w:eastAsia="宋体" w:hint="eastAsia"/>
        </w:rPr>
        <w:t>难以进行分摊的公共机构由管理单位统一填报能源资源消费量、建筑面积及用能人数。</w:t>
      </w:r>
    </w:p>
    <w:p w14:paraId="559B5B0C" w14:textId="77777777" w:rsidR="00C34226" w:rsidRDefault="00000000">
      <w:pPr>
        <w:pStyle w:val="afff4"/>
        <w:spacing w:before="156" w:after="156" w:line="240" w:lineRule="auto"/>
        <w:ind w:left="0"/>
      </w:pPr>
      <w:r>
        <w:rPr>
          <w:rFonts w:hint="eastAsia"/>
        </w:rPr>
        <w:t>可不计入统计的情形</w:t>
      </w:r>
    </w:p>
    <w:p w14:paraId="4400BA12" w14:textId="77777777" w:rsidR="00C34226" w:rsidRDefault="00000000">
      <w:pPr>
        <w:pStyle w:val="affffff0"/>
        <w:spacing w:after="0" w:line="240" w:lineRule="auto"/>
        <w:ind w:firstLine="420"/>
      </w:pPr>
      <w:r>
        <w:rPr>
          <w:rFonts w:hint="eastAsia"/>
        </w:rPr>
        <w:t>以下用能可以实现单独计量时，可不计入能源资源消费统计；若不能单独计量，则应计入统计：</w:t>
      </w:r>
    </w:p>
    <w:p w14:paraId="6AEF0ECA" w14:textId="77777777" w:rsidR="00C34226" w:rsidRDefault="00000000">
      <w:pPr>
        <w:pStyle w:val="afb"/>
        <w:numPr>
          <w:ilvl w:val="0"/>
          <w:numId w:val="35"/>
        </w:numPr>
        <w:spacing w:after="0" w:line="240" w:lineRule="auto"/>
        <w:rPr>
          <w:rFonts w:ascii="Times New Roman"/>
        </w:rPr>
      </w:pPr>
      <w:r>
        <w:rPr>
          <w:rFonts w:hint="eastAsia"/>
        </w:rPr>
        <w:t>应市政相关部门要求，承担的非本单位管理范围内的市政配套用能，如建筑外景观照明用电、市政道路清扫、办公区外绿化用水等；</w:t>
      </w:r>
    </w:p>
    <w:p w14:paraId="70175BCF" w14:textId="77777777" w:rsidR="00C34226" w:rsidRDefault="00000000">
      <w:pPr>
        <w:pStyle w:val="afb"/>
        <w:spacing w:after="0" w:line="240" w:lineRule="auto"/>
      </w:pPr>
      <w:r>
        <w:rPr>
          <w:rFonts w:hint="eastAsia"/>
        </w:rPr>
        <w:t>通过配电系统对外服务的电能；</w:t>
      </w:r>
    </w:p>
    <w:p w14:paraId="4B29FAED" w14:textId="77777777" w:rsidR="00C34226" w:rsidRDefault="00000000">
      <w:pPr>
        <w:pStyle w:val="afb"/>
        <w:spacing w:after="0" w:line="240" w:lineRule="auto"/>
      </w:pPr>
      <w:r>
        <w:rPr>
          <w:rFonts w:hint="eastAsia"/>
        </w:rPr>
        <w:t>正在建设或在统计周期内维修改造且停止使用的建筑用能。</w:t>
      </w:r>
    </w:p>
    <w:p w14:paraId="248C3123" w14:textId="77777777" w:rsidR="00C34226" w:rsidRDefault="00000000">
      <w:pPr>
        <w:pStyle w:val="afff2"/>
        <w:spacing w:beforeLines="50" w:before="156" w:afterLines="50" w:after="156" w:line="240" w:lineRule="auto"/>
        <w:jc w:val="left"/>
      </w:pPr>
      <w:bookmarkStart w:id="110" w:name="_Toc184132530"/>
      <w:bookmarkStart w:id="111" w:name="_Toc181106075"/>
      <w:bookmarkStart w:id="112" w:name="_Toc192173512"/>
      <w:bookmarkStart w:id="113" w:name="_Toc181107014"/>
      <w:r>
        <w:rPr>
          <w:rFonts w:hint="eastAsia"/>
        </w:rPr>
        <w:t>数据统计</w:t>
      </w:r>
      <w:bookmarkEnd w:id="110"/>
      <w:bookmarkEnd w:id="111"/>
      <w:bookmarkEnd w:id="112"/>
      <w:bookmarkEnd w:id="113"/>
    </w:p>
    <w:p w14:paraId="3145D9CB" w14:textId="77777777" w:rsidR="00C34226" w:rsidRDefault="00000000">
      <w:pPr>
        <w:pStyle w:val="afff3"/>
        <w:spacing w:before="156" w:after="156" w:line="240" w:lineRule="auto"/>
      </w:pPr>
      <w:r>
        <w:rPr>
          <w:rFonts w:hint="eastAsia"/>
        </w:rPr>
        <w:t>基本要求</w:t>
      </w:r>
    </w:p>
    <w:p w14:paraId="5FC0FE8F" w14:textId="77777777" w:rsidR="00C34226" w:rsidRDefault="00000000">
      <w:pPr>
        <w:pStyle w:val="affffff0"/>
        <w:spacing w:line="240" w:lineRule="auto"/>
        <w:ind w:firstLine="420"/>
      </w:pPr>
      <w:r>
        <w:rPr>
          <w:rFonts w:hint="eastAsia"/>
        </w:rPr>
        <w:t>公共机构应根据能源资源使用情况进行数据填报，数据应经单位统计负责人校核，统计台账、基本表、综合表的表式应符合《公共机构能源资源消费统计调查制度》(国统制</w:t>
      </w:r>
      <w:r>
        <w:t>〔2022〕</w:t>
      </w:r>
      <w:r>
        <w:rPr>
          <w:rFonts w:hint="eastAsia"/>
        </w:rPr>
        <w:t>130号)的要求。</w:t>
      </w:r>
    </w:p>
    <w:p w14:paraId="09F2AE89" w14:textId="77777777" w:rsidR="00C34226" w:rsidRDefault="00000000">
      <w:pPr>
        <w:pStyle w:val="afff3"/>
        <w:spacing w:before="156" w:after="156" w:line="240" w:lineRule="auto"/>
      </w:pPr>
      <w:bookmarkStart w:id="114" w:name="_Toc166146624"/>
      <w:bookmarkStart w:id="115" w:name="_Toc166146660"/>
      <w:r>
        <w:rPr>
          <w:rFonts w:hint="eastAsia"/>
        </w:rPr>
        <w:t>台账</w:t>
      </w:r>
      <w:bookmarkEnd w:id="114"/>
      <w:bookmarkEnd w:id="115"/>
    </w:p>
    <w:p w14:paraId="3E1E778A" w14:textId="77777777" w:rsidR="00C34226" w:rsidRDefault="00000000">
      <w:pPr>
        <w:pStyle w:val="afffffffffc"/>
        <w:spacing w:line="240" w:lineRule="auto"/>
        <w:ind w:left="0"/>
      </w:pPr>
      <w:r>
        <w:rPr>
          <w:rFonts w:hint="eastAsia"/>
        </w:rPr>
        <w:t>台账包括：</w:t>
      </w:r>
    </w:p>
    <w:p w14:paraId="31DCC4B2" w14:textId="77777777" w:rsidR="00C34226" w:rsidRDefault="00000000">
      <w:pPr>
        <w:pStyle w:val="afb"/>
        <w:numPr>
          <w:ilvl w:val="0"/>
          <w:numId w:val="36"/>
        </w:numPr>
        <w:spacing w:after="0" w:line="240" w:lineRule="auto"/>
        <w:rPr>
          <w:rFonts w:ascii="Times New Roman"/>
        </w:rPr>
      </w:pPr>
      <w:r>
        <w:rPr>
          <w:rFonts w:hint="eastAsia"/>
        </w:rPr>
        <w:t>公共机构能源资源消费基本情况台账：记录本单位使用各种能源资源的逐月（年）消费量；</w:t>
      </w:r>
    </w:p>
    <w:p w14:paraId="7D72B927" w14:textId="77777777" w:rsidR="00C34226" w:rsidRDefault="00000000">
      <w:pPr>
        <w:pStyle w:val="afb"/>
        <w:spacing w:after="0" w:line="240" w:lineRule="auto"/>
      </w:pPr>
      <w:r>
        <w:rPr>
          <w:rFonts w:hint="eastAsia"/>
        </w:rPr>
        <w:t>公共机构数据中心机房能源消费基本情况台账：记录本单位数据中心机房使用能源的逐月（年）消费量；</w:t>
      </w:r>
    </w:p>
    <w:p w14:paraId="3535FADD" w14:textId="77777777" w:rsidR="00C34226" w:rsidRDefault="00000000">
      <w:pPr>
        <w:pStyle w:val="afb"/>
        <w:spacing w:after="0" w:line="240" w:lineRule="auto"/>
      </w:pPr>
      <w:r>
        <w:rPr>
          <w:rFonts w:hint="eastAsia"/>
        </w:rPr>
        <w:t>公共机构采暖能源资源消费情况统计台账：记录本单位供暖使用各种能源资源的逐年消费量。</w:t>
      </w:r>
    </w:p>
    <w:p w14:paraId="72E5C720" w14:textId="77777777" w:rsidR="00C34226" w:rsidRDefault="00000000">
      <w:pPr>
        <w:pStyle w:val="afff3"/>
        <w:spacing w:before="156" w:after="156" w:line="240" w:lineRule="auto"/>
      </w:pPr>
      <w:bookmarkStart w:id="116" w:name="_Toc166146625"/>
      <w:bookmarkStart w:id="117" w:name="_Toc166146661"/>
      <w:r>
        <w:rPr>
          <w:rFonts w:hint="eastAsia"/>
        </w:rPr>
        <w:t>基层表</w:t>
      </w:r>
      <w:bookmarkEnd w:id="116"/>
      <w:bookmarkEnd w:id="117"/>
    </w:p>
    <w:p w14:paraId="74150478" w14:textId="77777777" w:rsidR="00C34226" w:rsidRDefault="00000000">
      <w:pPr>
        <w:pStyle w:val="afffffffffc"/>
        <w:spacing w:line="240" w:lineRule="auto"/>
        <w:ind w:left="0"/>
      </w:pPr>
      <w:r>
        <w:rPr>
          <w:rFonts w:hint="eastAsia"/>
        </w:rPr>
        <w:t>基层表包括：</w:t>
      </w:r>
    </w:p>
    <w:p w14:paraId="65595485" w14:textId="77777777" w:rsidR="00C34226" w:rsidRDefault="00000000">
      <w:pPr>
        <w:pStyle w:val="afb"/>
        <w:numPr>
          <w:ilvl w:val="0"/>
          <w:numId w:val="37"/>
        </w:numPr>
        <w:spacing w:after="0" w:line="240" w:lineRule="auto"/>
        <w:ind w:left="850" w:hanging="425"/>
        <w:rPr>
          <w:rFonts w:ascii="Times New Roman"/>
        </w:rPr>
      </w:pPr>
      <w:r>
        <w:rPr>
          <w:rFonts w:hint="eastAsia"/>
        </w:rPr>
        <w:t>公共机构基本信息；</w:t>
      </w:r>
    </w:p>
    <w:p w14:paraId="2F0C65EF" w14:textId="77777777" w:rsidR="00C34226" w:rsidRDefault="00000000">
      <w:pPr>
        <w:pStyle w:val="afb"/>
        <w:spacing w:after="0" w:line="240" w:lineRule="auto"/>
        <w:ind w:left="850" w:hanging="425"/>
      </w:pPr>
      <w:r>
        <w:rPr>
          <w:rFonts w:hint="eastAsia"/>
        </w:rPr>
        <w:t>公共机构能源资源消费状况；</w:t>
      </w:r>
    </w:p>
    <w:p w14:paraId="09AF3FB8" w14:textId="77777777" w:rsidR="00C34226" w:rsidRDefault="00000000">
      <w:pPr>
        <w:pStyle w:val="afb"/>
        <w:spacing w:after="0" w:line="240" w:lineRule="auto"/>
        <w:ind w:left="850" w:hanging="425"/>
      </w:pPr>
      <w:r>
        <w:rPr>
          <w:rFonts w:hint="eastAsia"/>
        </w:rPr>
        <w:t>公共机构数据中心机房能源消费状况；</w:t>
      </w:r>
    </w:p>
    <w:p w14:paraId="232C2AAC" w14:textId="77777777" w:rsidR="00C34226" w:rsidRDefault="00000000">
      <w:pPr>
        <w:pStyle w:val="afb"/>
        <w:spacing w:after="0" w:line="240" w:lineRule="auto"/>
        <w:ind w:left="850" w:hanging="425"/>
      </w:pPr>
      <w:r>
        <w:rPr>
          <w:rFonts w:hint="eastAsia"/>
        </w:rPr>
        <w:t>公共机构采暖能源资源消费状况。</w:t>
      </w:r>
    </w:p>
    <w:p w14:paraId="706DBE21" w14:textId="77777777" w:rsidR="00C34226" w:rsidRDefault="00000000">
      <w:pPr>
        <w:pStyle w:val="afff8"/>
      </w:pPr>
      <w:r>
        <w:rPr>
          <w:rFonts w:hint="eastAsia"/>
        </w:rPr>
        <w:t>基层表表式应符合公共机构能源资源消费统计调查制度的要求。</w:t>
      </w:r>
    </w:p>
    <w:p w14:paraId="3D23FA4A" w14:textId="77777777" w:rsidR="00C34226" w:rsidRDefault="00000000">
      <w:pPr>
        <w:pStyle w:val="afff3"/>
        <w:spacing w:before="156" w:after="156" w:line="240" w:lineRule="auto"/>
      </w:pPr>
      <w:bookmarkStart w:id="118" w:name="_Toc166146626"/>
      <w:bookmarkStart w:id="119" w:name="_Toc166146662"/>
      <w:r>
        <w:rPr>
          <w:rFonts w:hint="eastAsia"/>
        </w:rPr>
        <w:t>综合表</w:t>
      </w:r>
      <w:bookmarkEnd w:id="118"/>
      <w:bookmarkEnd w:id="119"/>
    </w:p>
    <w:p w14:paraId="2845BDEE" w14:textId="77777777" w:rsidR="00C34226" w:rsidRDefault="00000000">
      <w:pPr>
        <w:pStyle w:val="afffffffffc"/>
        <w:spacing w:line="240" w:lineRule="auto"/>
        <w:ind w:left="0"/>
      </w:pPr>
      <w:r>
        <w:rPr>
          <w:rFonts w:hint="eastAsia"/>
        </w:rPr>
        <w:t>综合表包括：</w:t>
      </w:r>
    </w:p>
    <w:p w14:paraId="16940D29" w14:textId="77777777" w:rsidR="00C34226" w:rsidRDefault="00000000">
      <w:pPr>
        <w:pStyle w:val="af8"/>
        <w:spacing w:after="0" w:line="240" w:lineRule="auto"/>
      </w:pPr>
      <w:r>
        <w:rPr>
          <w:rFonts w:hint="eastAsia"/>
        </w:rPr>
        <w:t>公共机构能源资源消费统计分级汇总情况；</w:t>
      </w:r>
    </w:p>
    <w:p w14:paraId="48C98C20" w14:textId="77777777" w:rsidR="00C34226" w:rsidRDefault="00000000">
      <w:pPr>
        <w:pStyle w:val="af8"/>
        <w:spacing w:after="0" w:line="240" w:lineRule="auto"/>
      </w:pPr>
      <w:r>
        <w:rPr>
          <w:rFonts w:hint="eastAsia"/>
        </w:rPr>
        <w:t>公共机构能源资源消费统计分类汇总情况；</w:t>
      </w:r>
    </w:p>
    <w:p w14:paraId="7711843C" w14:textId="77777777" w:rsidR="00C34226" w:rsidRDefault="00000000">
      <w:pPr>
        <w:pStyle w:val="af8"/>
        <w:spacing w:after="0" w:line="240" w:lineRule="auto"/>
      </w:pPr>
      <w:r>
        <w:rPr>
          <w:rFonts w:hint="eastAsia"/>
        </w:rPr>
        <w:lastRenderedPageBreak/>
        <w:t>公共机构数据中心机房能源消费统计汇总情况；</w:t>
      </w:r>
    </w:p>
    <w:p w14:paraId="760ADF1D" w14:textId="77777777" w:rsidR="00C34226" w:rsidRDefault="00000000">
      <w:pPr>
        <w:pStyle w:val="af8"/>
        <w:spacing w:after="0" w:line="240" w:lineRule="auto"/>
      </w:pPr>
      <w:r>
        <w:rPr>
          <w:rFonts w:hint="eastAsia"/>
        </w:rPr>
        <w:t xml:space="preserve">公共机构采暖能源资源消费统计汇总情况。 </w:t>
      </w:r>
    </w:p>
    <w:p w14:paraId="1A1E5C57" w14:textId="77777777" w:rsidR="00C34226" w:rsidRDefault="00000000">
      <w:pPr>
        <w:pStyle w:val="afff8"/>
        <w:spacing w:after="0" w:line="240" w:lineRule="auto"/>
      </w:pPr>
      <w:r>
        <w:rPr>
          <w:rFonts w:hint="eastAsia"/>
        </w:rPr>
        <w:t>综合表表式应符合公共机构能源资源消费统计调查制度的要求。</w:t>
      </w:r>
    </w:p>
    <w:p w14:paraId="19C93260" w14:textId="77777777" w:rsidR="00C34226" w:rsidRDefault="00000000">
      <w:pPr>
        <w:pStyle w:val="afff2"/>
        <w:spacing w:before="312" w:after="312" w:line="240" w:lineRule="auto"/>
      </w:pPr>
      <w:bookmarkStart w:id="120" w:name="_Toc181107015"/>
      <w:bookmarkStart w:id="121" w:name="_Toc184132531"/>
      <w:bookmarkStart w:id="122" w:name="_Toc166146636"/>
      <w:bookmarkStart w:id="123" w:name="_Toc192173513"/>
      <w:bookmarkStart w:id="124" w:name="_Toc181106076"/>
      <w:bookmarkStart w:id="125" w:name="_Toc166146672"/>
      <w:r>
        <w:rPr>
          <w:rFonts w:hint="eastAsia"/>
        </w:rPr>
        <w:t>数据审核</w:t>
      </w:r>
      <w:bookmarkEnd w:id="120"/>
      <w:bookmarkEnd w:id="121"/>
      <w:bookmarkEnd w:id="122"/>
      <w:bookmarkEnd w:id="123"/>
      <w:bookmarkEnd w:id="124"/>
      <w:bookmarkEnd w:id="125"/>
    </w:p>
    <w:p w14:paraId="569E4C43" w14:textId="77777777" w:rsidR="00C34226" w:rsidRDefault="00000000">
      <w:pPr>
        <w:pStyle w:val="afff3"/>
        <w:spacing w:before="156" w:after="156" w:line="240" w:lineRule="auto"/>
      </w:pPr>
      <w:bookmarkStart w:id="126" w:name="_Toc166146637"/>
      <w:bookmarkStart w:id="127" w:name="_Toc166146673"/>
      <w:r>
        <w:rPr>
          <w:rFonts w:hint="eastAsia"/>
        </w:rPr>
        <w:t>审核内容</w:t>
      </w:r>
      <w:bookmarkEnd w:id="126"/>
      <w:bookmarkEnd w:id="127"/>
    </w:p>
    <w:p w14:paraId="11E099CF" w14:textId="77777777" w:rsidR="00C34226" w:rsidRDefault="00000000">
      <w:pPr>
        <w:pStyle w:val="affffff0"/>
        <w:spacing w:line="240" w:lineRule="auto"/>
        <w:ind w:firstLine="420"/>
      </w:pPr>
      <w:r>
        <w:rPr>
          <w:rFonts w:hint="eastAsia"/>
        </w:rPr>
        <w:t xml:space="preserve">应对公共机构基本信息及公共机构能源资源消费状况进行审核，审核前应对数据进行以下处理： </w:t>
      </w:r>
    </w:p>
    <w:p w14:paraId="70794A27" w14:textId="77777777" w:rsidR="00C34226" w:rsidRDefault="00000000">
      <w:pPr>
        <w:pStyle w:val="afb"/>
        <w:numPr>
          <w:ilvl w:val="0"/>
          <w:numId w:val="38"/>
        </w:numPr>
        <w:spacing w:after="0" w:line="240" w:lineRule="auto"/>
        <w:ind w:left="850" w:hanging="425"/>
      </w:pPr>
      <w:r>
        <w:rPr>
          <w:rFonts w:hint="eastAsia"/>
        </w:rPr>
        <w:t xml:space="preserve">将各能源消费量折算为标准煤消费量，主要能源折标准煤系数见附录C； </w:t>
      </w:r>
    </w:p>
    <w:p w14:paraId="781E9D98" w14:textId="77777777" w:rsidR="00C34226" w:rsidRDefault="00000000">
      <w:pPr>
        <w:pStyle w:val="afb"/>
        <w:spacing w:after="0" w:line="240" w:lineRule="auto"/>
        <w:ind w:left="850" w:hanging="425"/>
      </w:pPr>
      <w:r>
        <w:rPr>
          <w:rFonts w:hint="eastAsia"/>
        </w:rPr>
        <w:t xml:space="preserve">计算综合能耗、人均综合能耗、单位建筑面积综合能耗、人均用水量等指标，按照附录D进行计算； </w:t>
      </w:r>
    </w:p>
    <w:p w14:paraId="4990D1EB" w14:textId="77777777" w:rsidR="00C34226" w:rsidRDefault="00000000">
      <w:pPr>
        <w:pStyle w:val="afb"/>
        <w:spacing w:after="0" w:line="240" w:lineRule="auto"/>
        <w:ind w:left="850" w:hanging="425"/>
      </w:pPr>
      <w:r>
        <w:rPr>
          <w:rFonts w:hint="eastAsia"/>
        </w:rPr>
        <w:t>计算各能源资源的消费单价。</w:t>
      </w:r>
    </w:p>
    <w:p w14:paraId="53D20E65" w14:textId="77777777" w:rsidR="00C34226" w:rsidRDefault="00000000">
      <w:pPr>
        <w:pStyle w:val="afff3"/>
        <w:spacing w:before="156" w:after="156" w:line="240" w:lineRule="auto"/>
      </w:pPr>
      <w:r>
        <w:rPr>
          <w:rFonts w:hint="eastAsia"/>
        </w:rPr>
        <w:t>数据要求</w:t>
      </w:r>
    </w:p>
    <w:p w14:paraId="3C7F135B" w14:textId="77777777" w:rsidR="00C34226" w:rsidRDefault="00000000">
      <w:pPr>
        <w:pStyle w:val="afff4"/>
        <w:spacing w:before="156" w:after="156" w:line="240" w:lineRule="auto"/>
        <w:ind w:left="0"/>
      </w:pPr>
      <w:r>
        <w:rPr>
          <w:rFonts w:hint="eastAsia"/>
        </w:rPr>
        <w:t>数据完整性</w:t>
      </w:r>
    </w:p>
    <w:p w14:paraId="72165BA7" w14:textId="77777777" w:rsidR="00C34226" w:rsidRDefault="00000000">
      <w:pPr>
        <w:pStyle w:val="affffff0"/>
        <w:spacing w:after="0" w:line="240" w:lineRule="auto"/>
        <w:ind w:firstLine="420"/>
      </w:pPr>
      <w:r>
        <w:rPr>
          <w:rFonts w:hint="eastAsia"/>
        </w:rPr>
        <w:t>公共机构基本信息、能源资源消费量及费用等数据是否完整且单位符合统计要求。</w:t>
      </w:r>
    </w:p>
    <w:p w14:paraId="5EC70E73" w14:textId="77777777" w:rsidR="00C34226" w:rsidRDefault="00000000">
      <w:pPr>
        <w:pStyle w:val="afff4"/>
        <w:spacing w:before="156" w:after="156" w:line="240" w:lineRule="auto"/>
        <w:ind w:left="0"/>
      </w:pPr>
      <w:r>
        <w:rPr>
          <w:rFonts w:hint="eastAsia"/>
        </w:rPr>
        <w:t>数据合理性</w:t>
      </w:r>
    </w:p>
    <w:p w14:paraId="15824A7D" w14:textId="77777777" w:rsidR="00C34226" w:rsidRDefault="00000000">
      <w:pPr>
        <w:pStyle w:val="afff5"/>
        <w:spacing w:before="156" w:after="156" w:line="240" w:lineRule="auto"/>
      </w:pPr>
      <w:r>
        <w:rPr>
          <w:rFonts w:hint="eastAsia"/>
        </w:rPr>
        <w:t>填报数据合理性</w:t>
      </w:r>
    </w:p>
    <w:p w14:paraId="427068CA" w14:textId="77777777" w:rsidR="00C34226" w:rsidRDefault="00000000">
      <w:pPr>
        <w:pStyle w:val="affffff0"/>
        <w:spacing w:after="0" w:line="240" w:lineRule="auto"/>
        <w:ind w:leftChars="200" w:left="840" w:hangingChars="200" w:hanging="420"/>
      </w:pPr>
      <w:r>
        <w:rPr>
          <w:rFonts w:hint="eastAsia"/>
        </w:rPr>
        <w:t>数据填报应包括以下内容：</w:t>
      </w:r>
    </w:p>
    <w:p w14:paraId="6D70DCE1" w14:textId="77777777" w:rsidR="00C34226" w:rsidRDefault="00000000">
      <w:pPr>
        <w:pStyle w:val="afb"/>
        <w:numPr>
          <w:ilvl w:val="0"/>
          <w:numId w:val="39"/>
        </w:numPr>
        <w:spacing w:after="0" w:line="240" w:lineRule="auto"/>
        <w:ind w:left="850" w:hanging="425"/>
      </w:pPr>
      <w:r>
        <w:rPr>
          <w:rFonts w:hint="eastAsia"/>
        </w:rPr>
        <w:t>用能人数、车辆总量、汽油车数量、柴油车数量、新能源汽车数量、机房数量、机柜数量、采暖天数应为整数；</w:t>
      </w:r>
    </w:p>
    <w:p w14:paraId="1DD6993A" w14:textId="77777777" w:rsidR="00C34226" w:rsidRDefault="00000000">
      <w:pPr>
        <w:pStyle w:val="afb"/>
        <w:spacing w:after="0" w:line="240" w:lineRule="auto"/>
        <w:ind w:left="850" w:hanging="425"/>
      </w:pPr>
      <w:r>
        <w:rPr>
          <w:rFonts w:hint="eastAsia"/>
        </w:rPr>
        <w:t>建筑面积、用能人数、人均建筑面积、单位建筑面积综合能耗、人均综合能耗等同比变化是否合理。</w:t>
      </w:r>
    </w:p>
    <w:p w14:paraId="4CC118B7" w14:textId="77777777" w:rsidR="00C34226" w:rsidRDefault="00000000">
      <w:pPr>
        <w:pStyle w:val="afff5"/>
        <w:spacing w:before="156" w:after="156" w:line="240" w:lineRule="auto"/>
      </w:pPr>
      <w:r>
        <w:rPr>
          <w:rFonts w:hint="eastAsia"/>
        </w:rPr>
        <w:t>逻辑关系合理性</w:t>
      </w:r>
    </w:p>
    <w:p w14:paraId="26DE0BBC" w14:textId="77777777" w:rsidR="00C34226" w:rsidRDefault="00000000">
      <w:pPr>
        <w:pStyle w:val="affffff0"/>
        <w:spacing w:after="0" w:line="240" w:lineRule="auto"/>
        <w:ind w:firstLine="420"/>
      </w:pPr>
      <w:r>
        <w:rPr>
          <w:rFonts w:hint="eastAsia"/>
        </w:rPr>
        <w:t>分项数据之和与汇总数据应对应：</w:t>
      </w:r>
    </w:p>
    <w:p w14:paraId="2F74EA50" w14:textId="77777777" w:rsidR="00C34226" w:rsidRDefault="00000000">
      <w:pPr>
        <w:pStyle w:val="affffff0"/>
        <w:spacing w:after="0" w:line="240" w:lineRule="auto"/>
        <w:ind w:firstLine="420"/>
      </w:pPr>
      <w:r>
        <w:rPr>
          <w:rFonts w:hint="eastAsia"/>
        </w:rPr>
        <w:t xml:space="preserve">a)  车辆总量等于汽油车数量、柴油车数量、新能源汽车数量之和； </w:t>
      </w:r>
    </w:p>
    <w:p w14:paraId="334DCFB0" w14:textId="77777777" w:rsidR="00C34226" w:rsidRDefault="00000000">
      <w:pPr>
        <w:pStyle w:val="affffff0"/>
        <w:spacing w:after="0" w:line="240" w:lineRule="auto"/>
        <w:ind w:firstLine="420"/>
      </w:pPr>
      <w:r>
        <w:rPr>
          <w:rFonts w:hint="eastAsia"/>
        </w:rPr>
        <w:t xml:space="preserve">b)  汽油消费量等于车用汽油消费量和其他汽油消费量之和； </w:t>
      </w:r>
    </w:p>
    <w:p w14:paraId="4B25577F" w14:textId="77777777" w:rsidR="00C34226" w:rsidRDefault="00000000">
      <w:pPr>
        <w:pStyle w:val="affffff0"/>
        <w:spacing w:after="0" w:line="240" w:lineRule="auto"/>
        <w:ind w:firstLine="420"/>
      </w:pPr>
      <w:r>
        <w:rPr>
          <w:rFonts w:hint="eastAsia"/>
        </w:rPr>
        <w:t xml:space="preserve">c)  柴油消费量等于车用柴油消费量和其他柴油消费量之和； </w:t>
      </w:r>
    </w:p>
    <w:p w14:paraId="729A84B1" w14:textId="77777777" w:rsidR="00C34226" w:rsidRDefault="00000000">
      <w:pPr>
        <w:pStyle w:val="affffff0"/>
        <w:spacing w:after="0" w:line="240" w:lineRule="auto"/>
        <w:ind w:firstLine="420"/>
      </w:pPr>
      <w:r>
        <w:rPr>
          <w:rFonts w:hint="eastAsia"/>
        </w:rPr>
        <w:t>d)  数据中心设备总功率等于IT设备功率、空气调节设备功率、配电及附属设备功率之和；</w:t>
      </w:r>
    </w:p>
    <w:p w14:paraId="2CE1672C" w14:textId="77777777" w:rsidR="00C34226" w:rsidRDefault="00000000">
      <w:pPr>
        <w:pStyle w:val="affffff0"/>
        <w:spacing w:after="0" w:line="240" w:lineRule="auto"/>
        <w:ind w:firstLine="420"/>
      </w:pPr>
      <w:r>
        <w:rPr>
          <w:rFonts w:hint="eastAsia"/>
        </w:rPr>
        <w:t>e)  数据中心总用电量等于IT设备用电量、空气调节设备用电量、配电及附属设备用电量之和；</w:t>
      </w:r>
    </w:p>
    <w:p w14:paraId="5E3FD9F9" w14:textId="77777777" w:rsidR="00C34226" w:rsidRDefault="00000000">
      <w:pPr>
        <w:pStyle w:val="affffff0"/>
        <w:spacing w:after="0" w:line="240" w:lineRule="auto"/>
        <w:ind w:leftChars="200" w:left="840" w:hangingChars="200" w:hanging="420"/>
      </w:pPr>
      <w:r>
        <w:rPr>
          <w:rFonts w:hint="eastAsia"/>
        </w:rPr>
        <w:t>f)  采暖面积等于独立采暖面积、集中采暖面积（按面积收费）、集中采暖面积（按热量收费）之和。</w:t>
      </w:r>
    </w:p>
    <w:p w14:paraId="529A213D" w14:textId="77777777" w:rsidR="00C34226" w:rsidRDefault="00000000">
      <w:pPr>
        <w:pStyle w:val="affffff0"/>
        <w:spacing w:after="0" w:line="240" w:lineRule="auto"/>
        <w:ind w:firstLine="420"/>
      </w:pPr>
      <w:r>
        <w:t>数据间的包含关系应合理：</w:t>
      </w:r>
    </w:p>
    <w:p w14:paraId="7DF9FDB1" w14:textId="77777777" w:rsidR="00C34226" w:rsidRDefault="00000000">
      <w:pPr>
        <w:pStyle w:val="affffff0"/>
        <w:spacing w:after="0" w:line="240" w:lineRule="auto"/>
        <w:ind w:firstLine="420"/>
      </w:pPr>
      <w:r>
        <w:rPr>
          <w:rFonts w:hint="eastAsia"/>
        </w:rPr>
        <w:t>a)  采暖面积应小于等于建筑面积、机房建筑面积应小于建筑面积；</w:t>
      </w:r>
    </w:p>
    <w:p w14:paraId="7A867C03" w14:textId="77777777" w:rsidR="00C34226" w:rsidRDefault="00000000">
      <w:pPr>
        <w:pStyle w:val="affffff0"/>
        <w:spacing w:after="0" w:line="240" w:lineRule="auto"/>
        <w:ind w:firstLine="420"/>
      </w:pPr>
      <w:r>
        <w:rPr>
          <w:rFonts w:hint="eastAsia"/>
        </w:rPr>
        <w:t>b)  数据中心用电量应小于总用电量，采暖系统用电量应小于总用电量；</w:t>
      </w:r>
    </w:p>
    <w:p w14:paraId="14508417" w14:textId="77777777" w:rsidR="00C34226" w:rsidRDefault="00000000">
      <w:pPr>
        <w:pStyle w:val="affffff0"/>
        <w:spacing w:after="0" w:line="240" w:lineRule="auto"/>
        <w:ind w:firstLine="420"/>
      </w:pPr>
      <w:r>
        <w:rPr>
          <w:rFonts w:hint="eastAsia"/>
        </w:rPr>
        <w:t>c)  采暖系统中涉及的各项能耗应分别小于对应能耗的总消耗量。</w:t>
      </w:r>
    </w:p>
    <w:p w14:paraId="6FE829B7" w14:textId="77777777" w:rsidR="00C34226" w:rsidRDefault="00000000">
      <w:pPr>
        <w:pStyle w:val="afff5"/>
        <w:spacing w:before="156" w:after="156" w:line="240" w:lineRule="auto"/>
      </w:pPr>
      <w:r>
        <w:rPr>
          <w:rFonts w:hint="eastAsia"/>
        </w:rPr>
        <w:t>数据指标合理性</w:t>
      </w:r>
    </w:p>
    <w:p w14:paraId="389536A2" w14:textId="77777777" w:rsidR="00C34226" w:rsidRDefault="00000000">
      <w:pPr>
        <w:pStyle w:val="affffff0"/>
        <w:spacing w:after="0" w:line="240" w:lineRule="auto"/>
        <w:ind w:firstLineChars="0" w:firstLine="0"/>
      </w:pPr>
      <w:r>
        <w:rPr>
          <w:rFonts w:hint="eastAsia"/>
        </w:rPr>
        <w:lastRenderedPageBreak/>
        <w:t>应符合下列规定：</w:t>
      </w:r>
    </w:p>
    <w:p w14:paraId="4F5DC715" w14:textId="77777777" w:rsidR="00C34226" w:rsidRDefault="00000000">
      <w:pPr>
        <w:pStyle w:val="afb"/>
        <w:numPr>
          <w:ilvl w:val="0"/>
          <w:numId w:val="40"/>
        </w:numPr>
        <w:spacing w:after="0" w:line="240" w:lineRule="auto"/>
        <w:ind w:left="850" w:hanging="425"/>
      </w:pPr>
      <w:r>
        <w:rPr>
          <w:rFonts w:hint="eastAsia"/>
        </w:rPr>
        <w:t>各类型能源单价应符合现有市场规律；</w:t>
      </w:r>
    </w:p>
    <w:p w14:paraId="5BAB4F7D" w14:textId="77777777" w:rsidR="00C34226" w:rsidRDefault="00000000">
      <w:pPr>
        <w:pStyle w:val="afb"/>
        <w:spacing w:after="0" w:line="240" w:lineRule="auto"/>
        <w:ind w:left="850" w:hanging="425"/>
      </w:pPr>
      <w:r>
        <w:rPr>
          <w:rFonts w:hint="eastAsia"/>
        </w:rPr>
        <w:t>基本信息指标应合理，如人均建筑面积、建筑容积率、光电系统日照时间及IT设备、空气调节设备、配电及附属设备的运行时间等；</w:t>
      </w:r>
    </w:p>
    <w:p w14:paraId="5615469A" w14:textId="77777777" w:rsidR="00C34226" w:rsidRDefault="00000000">
      <w:pPr>
        <w:pStyle w:val="afb"/>
        <w:spacing w:after="0" w:line="240" w:lineRule="auto"/>
        <w:ind w:left="850" w:hanging="425"/>
      </w:pPr>
      <w:r>
        <w:rPr>
          <w:rFonts w:hint="eastAsia"/>
        </w:rPr>
        <w:t>能源资源消费指标应合理，如人均用水量、人均用电量、单位建筑面积用电量、单位建筑面积热力值、单车油耗值等指标。</w:t>
      </w:r>
    </w:p>
    <w:p w14:paraId="094253C5" w14:textId="77777777" w:rsidR="00C34226" w:rsidRDefault="00000000">
      <w:pPr>
        <w:pStyle w:val="afff4"/>
        <w:spacing w:before="156" w:after="156" w:line="240" w:lineRule="auto"/>
        <w:ind w:left="0"/>
      </w:pPr>
      <w:r>
        <w:rPr>
          <w:rFonts w:hint="eastAsia"/>
        </w:rPr>
        <w:t>数据匹配性</w:t>
      </w:r>
    </w:p>
    <w:p w14:paraId="50946D87" w14:textId="77777777" w:rsidR="00C34226" w:rsidRDefault="00000000">
      <w:pPr>
        <w:pStyle w:val="affffff0"/>
        <w:spacing w:after="0" w:line="240" w:lineRule="auto"/>
        <w:ind w:firstLine="420"/>
      </w:pPr>
      <w:r>
        <w:rPr>
          <w:rFonts w:hint="eastAsia"/>
        </w:rPr>
        <w:t>人均建筑面积、人均用水量、人均用电量、单位建筑面积用电量等数据同比变化比例应在-10%至10%之间，超过区间范围的需提供合理说明。</w:t>
      </w:r>
    </w:p>
    <w:p w14:paraId="693AC063" w14:textId="77777777" w:rsidR="00C34226" w:rsidRDefault="00000000">
      <w:pPr>
        <w:pStyle w:val="afff3"/>
        <w:spacing w:before="156" w:after="156" w:line="240" w:lineRule="auto"/>
      </w:pPr>
      <w:bookmarkStart w:id="128" w:name="_Toc166146638"/>
      <w:bookmarkStart w:id="129" w:name="_Toc166146674"/>
      <w:r>
        <w:rPr>
          <w:rFonts w:hint="eastAsia"/>
        </w:rPr>
        <w:t>审核方法</w:t>
      </w:r>
      <w:bookmarkEnd w:id="128"/>
      <w:bookmarkEnd w:id="129"/>
    </w:p>
    <w:p w14:paraId="0DF388D5" w14:textId="77777777" w:rsidR="00C34226" w:rsidRDefault="00000000">
      <w:pPr>
        <w:pStyle w:val="afff4"/>
        <w:spacing w:before="156" w:after="156" w:line="240" w:lineRule="auto"/>
        <w:ind w:left="0"/>
      </w:pPr>
      <w:bookmarkStart w:id="130" w:name="_Toc166146639"/>
      <w:r>
        <w:rPr>
          <w:rFonts w:hint="eastAsia"/>
        </w:rPr>
        <w:t>相关指标对比</w:t>
      </w:r>
      <w:bookmarkEnd w:id="130"/>
    </w:p>
    <w:p w14:paraId="52D51850" w14:textId="77777777" w:rsidR="00C34226" w:rsidRDefault="00000000">
      <w:pPr>
        <w:pStyle w:val="affffff0"/>
        <w:spacing w:after="0" w:line="240" w:lineRule="auto"/>
        <w:ind w:firstLine="420"/>
      </w:pPr>
      <w:r>
        <w:rPr>
          <w:rFonts w:hint="eastAsia"/>
        </w:rPr>
        <w:t>根据公共机构能源资源消费统计指标间的逻辑关系和内在联系，选取适当的基准指标，通过各类均量、能源资源价格等进行审核。</w:t>
      </w:r>
    </w:p>
    <w:p w14:paraId="54129319" w14:textId="77777777" w:rsidR="00C34226" w:rsidRDefault="00000000">
      <w:pPr>
        <w:pStyle w:val="afff4"/>
        <w:spacing w:before="156" w:after="156" w:line="240" w:lineRule="auto"/>
        <w:ind w:left="0"/>
      </w:pPr>
      <w:bookmarkStart w:id="131" w:name="_Toc166146640"/>
      <w:r>
        <w:rPr>
          <w:rFonts w:hint="eastAsia"/>
        </w:rPr>
        <w:t>历史数据对比</w:t>
      </w:r>
      <w:bookmarkEnd w:id="131"/>
    </w:p>
    <w:p w14:paraId="67A1FE58" w14:textId="77777777" w:rsidR="00C34226" w:rsidRDefault="00000000">
      <w:pPr>
        <w:pStyle w:val="affffff0"/>
        <w:spacing w:after="0" w:line="240" w:lineRule="auto"/>
        <w:ind w:firstLine="420"/>
      </w:pPr>
      <w:r>
        <w:rPr>
          <w:rFonts w:hint="eastAsia"/>
        </w:rPr>
        <w:t>与历史同期能源资源消费主要指标值进行比较，依据数据动态趋势和变化情况对数据准确度做出判断。</w:t>
      </w:r>
    </w:p>
    <w:p w14:paraId="4CA7751F" w14:textId="77777777" w:rsidR="00C34226" w:rsidRDefault="00000000">
      <w:pPr>
        <w:pStyle w:val="afff4"/>
        <w:spacing w:before="156" w:after="156" w:line="240" w:lineRule="auto"/>
        <w:ind w:left="0"/>
      </w:pPr>
      <w:bookmarkStart w:id="132" w:name="_Toc166146641"/>
      <w:r>
        <w:rPr>
          <w:rFonts w:hint="eastAsia"/>
        </w:rPr>
        <w:t>平均值指标对比</w:t>
      </w:r>
      <w:bookmarkEnd w:id="132"/>
    </w:p>
    <w:p w14:paraId="4F450977" w14:textId="77777777" w:rsidR="00C34226" w:rsidRDefault="00000000">
      <w:pPr>
        <w:pStyle w:val="affffff0"/>
        <w:spacing w:after="0" w:line="240" w:lineRule="auto"/>
        <w:ind w:firstLine="420"/>
      </w:pPr>
      <w:r>
        <w:rPr>
          <w:rFonts w:hint="eastAsia"/>
        </w:rPr>
        <w:t>与同类型公共机构能源资源消费的人均或单位建筑面积平均值比较，判断相关数据的准确性和合理性。</w:t>
      </w:r>
    </w:p>
    <w:p w14:paraId="268906F4" w14:textId="77777777" w:rsidR="00C34226" w:rsidRDefault="00000000">
      <w:pPr>
        <w:pStyle w:val="afff4"/>
        <w:spacing w:before="156" w:after="156" w:line="240" w:lineRule="auto"/>
        <w:ind w:left="0"/>
      </w:pPr>
      <w:bookmarkStart w:id="133" w:name="_Toc166146642"/>
      <w:r>
        <w:rPr>
          <w:rFonts w:hint="eastAsia"/>
        </w:rPr>
        <w:t>抽样调查</w:t>
      </w:r>
      <w:bookmarkEnd w:id="133"/>
    </w:p>
    <w:p w14:paraId="71DC879E" w14:textId="77777777" w:rsidR="00C34226" w:rsidRDefault="00000000">
      <w:pPr>
        <w:pStyle w:val="affffff0"/>
        <w:spacing w:after="0" w:line="240" w:lineRule="auto"/>
        <w:ind w:firstLine="420"/>
      </w:pPr>
      <w:r>
        <w:rPr>
          <w:rFonts w:hint="eastAsia"/>
        </w:rPr>
        <w:t>定期或不定期抽查能源资源消费统计数据质量，核实用能人数和建筑面积，核对统计台账和财务票据的一致性等。</w:t>
      </w:r>
    </w:p>
    <w:p w14:paraId="344BB574" w14:textId="77777777" w:rsidR="00C34226" w:rsidRDefault="00000000">
      <w:pPr>
        <w:pStyle w:val="afff2"/>
        <w:spacing w:before="312" w:after="312" w:line="240" w:lineRule="auto"/>
      </w:pPr>
      <w:bookmarkStart w:id="134" w:name="_Toc181106077"/>
      <w:bookmarkStart w:id="135" w:name="_Toc192173514"/>
      <w:bookmarkStart w:id="136" w:name="_Toc166146675"/>
      <w:bookmarkStart w:id="137" w:name="_Toc181107016"/>
      <w:bookmarkStart w:id="138" w:name="_Toc166146643"/>
      <w:bookmarkStart w:id="139" w:name="_Toc184132532"/>
      <w:r>
        <w:rPr>
          <w:rFonts w:hint="eastAsia"/>
        </w:rPr>
        <w:t>数据分析</w:t>
      </w:r>
      <w:bookmarkEnd w:id="134"/>
      <w:bookmarkEnd w:id="135"/>
      <w:bookmarkEnd w:id="136"/>
      <w:bookmarkEnd w:id="137"/>
      <w:bookmarkEnd w:id="138"/>
      <w:bookmarkEnd w:id="139"/>
    </w:p>
    <w:p w14:paraId="577D031F" w14:textId="77777777" w:rsidR="00C34226" w:rsidRDefault="00000000">
      <w:pPr>
        <w:pStyle w:val="afffffffff9"/>
        <w:spacing w:line="240" w:lineRule="auto"/>
      </w:pPr>
      <w:r>
        <w:rPr>
          <w:rFonts w:hint="eastAsia"/>
        </w:rPr>
        <w:t xml:space="preserve">公共机构应结合建筑面积、用能人数、用能设备运行等情况，按年或季度对电、气、油、煤和水等能源资源消费状况进行分析评价。 </w:t>
      </w:r>
    </w:p>
    <w:p w14:paraId="71EDB03F" w14:textId="77777777" w:rsidR="00C34226" w:rsidRDefault="00000000">
      <w:pPr>
        <w:pStyle w:val="afffffffff9"/>
        <w:spacing w:line="240" w:lineRule="auto"/>
      </w:pPr>
      <w:r>
        <w:rPr>
          <w:rFonts w:hint="eastAsia"/>
        </w:rPr>
        <w:t>应按年度对公共机构能源资源消费状况进行分析，形成公共机构能源资源消费统计分析报告。</w:t>
      </w:r>
    </w:p>
    <w:p w14:paraId="468F67FB" w14:textId="77777777" w:rsidR="00C34226" w:rsidRDefault="00000000">
      <w:pPr>
        <w:pStyle w:val="afffffffff9"/>
        <w:spacing w:line="240" w:lineRule="auto"/>
      </w:pPr>
      <w:r>
        <w:rPr>
          <w:rFonts w:hint="eastAsia"/>
        </w:rPr>
        <w:t>统计分析报告的主要内容包括但不限于：</w:t>
      </w:r>
    </w:p>
    <w:p w14:paraId="0694F535" w14:textId="77777777" w:rsidR="00C34226" w:rsidRDefault="00000000">
      <w:pPr>
        <w:pStyle w:val="afb"/>
        <w:numPr>
          <w:ilvl w:val="0"/>
          <w:numId w:val="41"/>
        </w:numPr>
        <w:spacing w:after="0" w:line="240" w:lineRule="auto"/>
      </w:pPr>
      <w:r>
        <w:rPr>
          <w:rFonts w:hint="eastAsia"/>
        </w:rPr>
        <w:t>总量分析：各类能源资源(如水、电、天然气、煤炭等)的总消耗量以及能源消费的阶段性总量（如按月、季、年的消费总量）；</w:t>
      </w:r>
    </w:p>
    <w:p w14:paraId="1B8FB0BF" w14:textId="77777777" w:rsidR="00C34226" w:rsidRDefault="00000000">
      <w:pPr>
        <w:pStyle w:val="afb"/>
        <w:numPr>
          <w:ilvl w:val="0"/>
          <w:numId w:val="41"/>
        </w:numPr>
        <w:spacing w:after="0" w:line="240" w:lineRule="auto"/>
      </w:pPr>
      <w:r>
        <w:rPr>
          <w:rFonts w:hint="eastAsia"/>
        </w:rPr>
        <w:t>效率分析：同一周期内单位建筑面积综合能耗、单位建筑面积用电量、单位建筑面积用水量、人均综合能耗、人均用电量、人均用水量等能源资源消费效率指标；</w:t>
      </w:r>
    </w:p>
    <w:p w14:paraId="727C5597" w14:textId="77777777" w:rsidR="00C34226" w:rsidRDefault="00000000">
      <w:pPr>
        <w:pStyle w:val="afb"/>
        <w:numPr>
          <w:ilvl w:val="0"/>
          <w:numId w:val="41"/>
        </w:numPr>
        <w:spacing w:after="0" w:line="240" w:lineRule="auto"/>
      </w:pPr>
      <w:r>
        <w:rPr>
          <w:rFonts w:hint="eastAsia"/>
        </w:rPr>
        <w:t>比率分析：同一周期内某一能源资源消费总量占该公共机构能源资源消费总量的比重；</w:t>
      </w:r>
    </w:p>
    <w:p w14:paraId="26EC89A1" w14:textId="77777777" w:rsidR="00C34226" w:rsidRDefault="00000000">
      <w:pPr>
        <w:pStyle w:val="afb"/>
        <w:numPr>
          <w:ilvl w:val="0"/>
          <w:numId w:val="41"/>
        </w:numPr>
        <w:spacing w:after="0" w:line="240" w:lineRule="auto"/>
      </w:pPr>
      <w:r>
        <w:rPr>
          <w:rFonts w:hint="eastAsia"/>
        </w:rPr>
        <w:t>趋势分析：主要能源资源消费指标的变化趋势；</w:t>
      </w:r>
    </w:p>
    <w:p w14:paraId="5B689E0F" w14:textId="77777777" w:rsidR="00C34226" w:rsidRDefault="00000000">
      <w:pPr>
        <w:pStyle w:val="afb"/>
        <w:numPr>
          <w:ilvl w:val="0"/>
          <w:numId w:val="41"/>
        </w:numPr>
        <w:spacing w:after="0" w:line="240" w:lineRule="auto"/>
      </w:pPr>
      <w:r>
        <w:rPr>
          <w:rFonts w:hint="eastAsia"/>
        </w:rPr>
        <w:t>结构分析：不同用途（如照明、空调、办公设备等）的能源资源消费比例以及</w:t>
      </w:r>
      <w:r>
        <w:t>主要耗能设备或系统的</w:t>
      </w:r>
      <w:r>
        <w:rPr>
          <w:rFonts w:hint="eastAsia"/>
        </w:rPr>
        <w:t>能源资源消费</w:t>
      </w:r>
      <w:r>
        <w:t>占比</w:t>
      </w:r>
      <w:r>
        <w:rPr>
          <w:rFonts w:hint="eastAsia"/>
        </w:rPr>
        <w:t>等；</w:t>
      </w:r>
    </w:p>
    <w:p w14:paraId="5784849B" w14:textId="77777777" w:rsidR="00C34226" w:rsidRDefault="00000000">
      <w:pPr>
        <w:pStyle w:val="afb"/>
        <w:numPr>
          <w:ilvl w:val="0"/>
          <w:numId w:val="41"/>
        </w:numPr>
        <w:spacing w:after="0" w:line="240" w:lineRule="auto"/>
        <w:ind w:left="850" w:hanging="425"/>
      </w:pPr>
      <w:r>
        <w:rPr>
          <w:rFonts w:hint="eastAsia"/>
        </w:rPr>
        <w:lastRenderedPageBreak/>
        <w:t>比较分析：同类公共机构的比较分析；</w:t>
      </w:r>
    </w:p>
    <w:p w14:paraId="11E02260" w14:textId="77777777" w:rsidR="00C34226" w:rsidRDefault="00000000">
      <w:pPr>
        <w:pStyle w:val="afb"/>
        <w:numPr>
          <w:ilvl w:val="0"/>
          <w:numId w:val="41"/>
        </w:numPr>
        <w:spacing w:after="0" w:line="240" w:lineRule="auto"/>
        <w:ind w:left="850" w:hanging="425"/>
      </w:pPr>
      <w:r>
        <w:rPr>
          <w:rFonts w:hint="eastAsia"/>
        </w:rPr>
        <w:t>原因分析：各项能源资源消费水平降低（升高）原因分析，包括主要用能设备及其变化情况等；</w:t>
      </w:r>
    </w:p>
    <w:p w14:paraId="5E937E36" w14:textId="77777777" w:rsidR="00C34226" w:rsidRDefault="00000000">
      <w:pPr>
        <w:pStyle w:val="afb"/>
        <w:numPr>
          <w:ilvl w:val="0"/>
          <w:numId w:val="41"/>
        </w:numPr>
        <w:spacing w:after="0" w:line="240" w:lineRule="auto"/>
        <w:ind w:left="850" w:hanging="425"/>
      </w:pPr>
      <w:r>
        <w:rPr>
          <w:rFonts w:hint="eastAsia"/>
        </w:rPr>
        <w:t>措施分析：根据上述分析结果总结下一步拟采取的主要措施等。</w:t>
      </w:r>
    </w:p>
    <w:p w14:paraId="5B5DC671" w14:textId="77777777" w:rsidR="00C34226" w:rsidRDefault="00C34226">
      <w:pPr>
        <w:pStyle w:val="affffff0"/>
        <w:spacing w:line="240" w:lineRule="auto"/>
        <w:ind w:firstLine="420"/>
      </w:pPr>
    </w:p>
    <w:p w14:paraId="3792BB50" w14:textId="77777777" w:rsidR="00C34226" w:rsidRDefault="00C34226">
      <w:pPr>
        <w:pStyle w:val="affffff0"/>
        <w:spacing w:line="240" w:lineRule="auto"/>
        <w:ind w:firstLine="420"/>
        <w:sectPr w:rsidR="00C34226" w:rsidSect="00FC5E44">
          <w:pgSz w:w="11906" w:h="16838"/>
          <w:pgMar w:top="1928" w:right="1134" w:bottom="1134" w:left="1134" w:header="1418" w:footer="1134" w:gutter="284"/>
          <w:pgNumType w:start="1"/>
          <w:cols w:space="425"/>
          <w:formProt w:val="0"/>
          <w:docGrid w:type="lines" w:linePitch="312"/>
        </w:sectPr>
      </w:pPr>
    </w:p>
    <w:p w14:paraId="1328B2DF" w14:textId="77777777" w:rsidR="00C34226" w:rsidRDefault="00C34226">
      <w:pPr>
        <w:pStyle w:val="afe"/>
        <w:spacing w:line="240" w:lineRule="auto"/>
        <w:rPr>
          <w:rFonts w:hint="eastAsia"/>
          <w:vanish w:val="0"/>
        </w:rPr>
      </w:pPr>
      <w:bookmarkStart w:id="140" w:name="BookMark5"/>
      <w:bookmarkEnd w:id="38"/>
    </w:p>
    <w:p w14:paraId="1B62E171" w14:textId="77777777" w:rsidR="00C34226" w:rsidRDefault="00C34226">
      <w:pPr>
        <w:pStyle w:val="aff4"/>
        <w:spacing w:line="240" w:lineRule="auto"/>
        <w:rPr>
          <w:vanish w:val="0"/>
        </w:rPr>
      </w:pPr>
    </w:p>
    <w:p w14:paraId="3B6F6A04" w14:textId="77777777" w:rsidR="00C34226" w:rsidRDefault="00000000">
      <w:pPr>
        <w:pStyle w:val="aff9"/>
        <w:spacing w:beforeLines="50" w:before="156" w:after="156" w:line="240" w:lineRule="auto"/>
      </w:pPr>
      <w:r>
        <w:br/>
      </w:r>
      <w:bookmarkStart w:id="141" w:name="_Toc181107017"/>
      <w:bookmarkStart w:id="142" w:name="_Toc166146676"/>
      <w:bookmarkStart w:id="143" w:name="_Toc166146644"/>
      <w:bookmarkStart w:id="144" w:name="_Toc181106078"/>
      <w:bookmarkStart w:id="145" w:name="_Toc184132533"/>
      <w:bookmarkStart w:id="146" w:name="_Toc192173515"/>
      <w:r>
        <w:rPr>
          <w:rFonts w:hint="eastAsia"/>
        </w:rPr>
        <w:t>（规范性）</w:t>
      </w:r>
      <w:r>
        <w:br/>
      </w:r>
      <w:bookmarkEnd w:id="141"/>
      <w:bookmarkEnd w:id="142"/>
      <w:bookmarkEnd w:id="143"/>
      <w:bookmarkEnd w:id="144"/>
      <w:r>
        <w:rPr>
          <w:rFonts w:hint="eastAsia"/>
        </w:rPr>
        <w:t>用能人数计算示例</w:t>
      </w:r>
      <w:bookmarkEnd w:id="145"/>
      <w:bookmarkEnd w:id="146"/>
    </w:p>
    <w:p w14:paraId="3C42FD9C" w14:textId="77777777" w:rsidR="00C34226" w:rsidRDefault="00000000">
      <w:pPr>
        <w:pStyle w:val="afff3"/>
        <w:numPr>
          <w:ilvl w:val="0"/>
          <w:numId w:val="0"/>
        </w:numPr>
        <w:spacing w:before="156" w:after="156" w:line="240" w:lineRule="auto"/>
        <w:outlineLvl w:val="9"/>
        <w:rPr>
          <w:rFonts w:hAnsi="黑体" w:hint="eastAsia"/>
        </w:rPr>
      </w:pPr>
      <w:r>
        <w:rPr>
          <w:rFonts w:hAnsi="黑体" w:hint="eastAsia"/>
        </w:rPr>
        <w:t>A.1 用能人数计算公式</w:t>
      </w:r>
    </w:p>
    <w:p w14:paraId="7108218F" w14:textId="77777777" w:rsidR="00C34226" w:rsidRDefault="00000000">
      <w:pPr>
        <w:pStyle w:val="afff3"/>
        <w:numPr>
          <w:ilvl w:val="0"/>
          <w:numId w:val="0"/>
        </w:numPr>
        <w:spacing w:beforeLines="0" w:before="0" w:afterLines="0" w:after="0" w:line="240" w:lineRule="auto"/>
        <w:outlineLvl w:val="9"/>
        <w:rPr>
          <w:rFonts w:ascii="宋体" w:eastAsia="宋体"/>
        </w:rPr>
      </w:pPr>
      <w:r>
        <w:rPr>
          <w:rFonts w:ascii="宋体" w:eastAsia="宋体"/>
        </w:rPr>
        <w:t>在统计报告期内，公共机构用能人数按照公式（</w:t>
      </w:r>
      <w:r>
        <w:rPr>
          <w:rFonts w:ascii="宋体" w:eastAsia="宋体" w:hint="eastAsia"/>
        </w:rPr>
        <w:t>A.1</w:t>
      </w:r>
      <w:r>
        <w:rPr>
          <w:rFonts w:ascii="宋体" w:eastAsia="宋体"/>
        </w:rPr>
        <w:t>）进行计算。</w:t>
      </w:r>
    </w:p>
    <w:p w14:paraId="5FFC6D9F" w14:textId="77777777" w:rsidR="00C34226" w:rsidRDefault="00000000">
      <w:pPr>
        <w:pStyle w:val="affffff0"/>
        <w:spacing w:after="0" w:line="240" w:lineRule="auto"/>
        <w:ind w:firstLineChars="0" w:firstLine="0"/>
        <w:jc w:val="right"/>
      </w:pPr>
      <m:oMath>
        <m:r>
          <m:rPr>
            <m:sty m:val="p"/>
          </m:rPr>
          <w:rPr>
            <w:rFonts w:ascii="Cambria Math" w:eastAsia="Cambria Math" w:hAnsi="Cambria Math" w:cs="Cambria Math"/>
            <w:szCs w:val="21"/>
          </w:rPr>
          <m:t>N=</m:t>
        </m:r>
        <m:nary>
          <m:naryPr>
            <m:chr m:val="∑"/>
            <m:limLoc m:val="undOvr"/>
            <m:subHide m:val="1"/>
            <m:supHide m:val="1"/>
            <m:ctrlPr>
              <w:rPr>
                <w:rFonts w:ascii="Cambria Math" w:eastAsia="Cambria Math" w:hAnsi="Cambria Math" w:cs="Cambria Math"/>
                <w:szCs w:val="21"/>
              </w:rPr>
            </m:ctrlPr>
          </m:naryPr>
          <m:sub/>
          <m:sup/>
          <m:e>
            <m:r>
              <w:rPr>
                <w:rFonts w:ascii="Cambria Math" w:eastAsia="Cambria Math" w:hAnsi="Cambria Math" w:cs="Cambria Math"/>
                <w:szCs w:val="21"/>
              </w:rPr>
              <m:t>(</m:t>
            </m:r>
            <m:sSub>
              <m:sSubPr>
                <m:ctrlPr>
                  <w:rPr>
                    <w:rFonts w:ascii="Cambria Math" w:eastAsia="Cambria Math" w:hAnsi="Cambria Math" w:cs="Cambria Math"/>
                    <w:i/>
                    <w:szCs w:val="21"/>
                  </w:rPr>
                </m:ctrlPr>
              </m:sSubPr>
              <m:e>
                <m:r>
                  <w:rPr>
                    <w:rFonts w:ascii="Cambria Math" w:eastAsia="Cambria Math" w:hAnsi="Cambria Math" w:cs="Cambria Math"/>
                    <w:szCs w:val="21"/>
                  </w:rPr>
                  <m:t>N</m:t>
                </m:r>
              </m:e>
              <m:sub>
                <m:r>
                  <w:rPr>
                    <w:rFonts w:ascii="Cambria Math" w:eastAsia="Cambria Math" w:hAnsi="Cambria Math" w:cs="Cambria Math"/>
                    <w:szCs w:val="21"/>
                  </w:rPr>
                  <m:t>b</m:t>
                </m:r>
              </m:sub>
            </m:sSub>
            <m:r>
              <w:rPr>
                <w:rFonts w:ascii="Cambria Math" w:eastAsia="Cambria Math" w:hAnsi="Cambria Math" w:cs="Cambria Math"/>
                <w:szCs w:val="21"/>
              </w:rPr>
              <m:t>×</m:t>
            </m:r>
            <m:sSub>
              <m:sSubPr>
                <m:ctrlPr>
                  <w:rPr>
                    <w:rFonts w:ascii="Cambria Math" w:eastAsia="Cambria Math" w:hAnsi="Cambria Math" w:cs="Cambria Math"/>
                    <w:i/>
                    <w:szCs w:val="21"/>
                  </w:rPr>
                </m:ctrlPr>
              </m:sSubPr>
              <m:e>
                <m:r>
                  <w:rPr>
                    <w:rFonts w:ascii="Cambria Math" w:eastAsia="Cambria Math" w:hAnsi="Cambria Math" w:cs="Cambria Math"/>
                    <w:szCs w:val="21"/>
                  </w:rPr>
                  <m:t>∅</m:t>
                </m:r>
              </m:e>
              <m:sub>
                <m:r>
                  <w:rPr>
                    <w:rFonts w:ascii="Cambria Math" w:eastAsia="Cambria Math" w:hAnsi="Cambria Math" w:cs="Cambria Math"/>
                    <w:szCs w:val="21"/>
                  </w:rPr>
                  <m:t>b</m:t>
                </m:r>
              </m:sub>
            </m:sSub>
            <m:r>
              <w:rPr>
                <w:rFonts w:ascii="Cambria Math" w:eastAsia="Cambria Math" w:hAnsi="Cambria Math" w:cs="Cambria Math"/>
                <w:szCs w:val="21"/>
              </w:rPr>
              <m:t>)</m:t>
            </m:r>
          </m:e>
        </m:nary>
        <m:r>
          <w:rPr>
            <w:rFonts w:ascii="Cambria Math" w:eastAsia="Cambria Math" w:hAnsi="Cambria Math"/>
            <w:szCs w:val="21"/>
          </w:rPr>
          <m:t xml:space="preserve">                                                                                   </m:t>
        </m:r>
      </m:oMath>
      <w:r>
        <w:rPr>
          <w:rFonts w:hint="eastAsia"/>
        </w:rPr>
        <w:t>(A.1)</w:t>
      </w:r>
    </w:p>
    <w:p w14:paraId="72066492" w14:textId="77777777" w:rsidR="00C34226" w:rsidRDefault="00C34226">
      <w:pPr>
        <w:snapToGrid w:val="0"/>
        <w:spacing w:after="0" w:line="240" w:lineRule="auto"/>
        <w:jc w:val="center"/>
        <w:rPr>
          <w:rFonts w:ascii="Times New Roman" w:hAnsi="Times New Roman"/>
          <w:kern w:val="0"/>
        </w:rPr>
      </w:pPr>
    </w:p>
    <w:p w14:paraId="7A4D1FE2" w14:textId="77777777" w:rsidR="00C34226" w:rsidRDefault="00000000">
      <w:pPr>
        <w:widowControl/>
        <w:autoSpaceDE w:val="0"/>
        <w:autoSpaceDN w:val="0"/>
        <w:adjustRightInd/>
        <w:spacing w:after="0" w:line="240" w:lineRule="auto"/>
        <w:ind w:firstLineChars="200" w:firstLine="420"/>
        <w:rPr>
          <w:rFonts w:ascii="Times New Roman" w:hAnsi="Times New Roman"/>
        </w:rPr>
      </w:pPr>
      <w:r>
        <w:rPr>
          <w:rFonts w:ascii="宋体" w:hAnsi="宋体"/>
        </w:rPr>
        <w:t>式中：</w:t>
      </w:r>
    </w:p>
    <w:p w14:paraId="7BCD2233" w14:textId="77777777" w:rsidR="00C34226" w:rsidRDefault="00000000">
      <w:pPr>
        <w:adjustRightInd/>
        <w:spacing w:after="0" w:line="240" w:lineRule="auto"/>
        <w:ind w:firstLineChars="200" w:firstLine="420"/>
        <w:rPr>
          <w:rFonts w:ascii="Times New Roman" w:hAnsi="Times New Roman"/>
          <w:kern w:val="0"/>
        </w:rPr>
      </w:pPr>
      <m:oMath>
        <m:r>
          <m:rPr>
            <m:sty m:val="p"/>
          </m:rPr>
          <w:rPr>
            <w:rFonts w:ascii="Cambria Math" w:eastAsia="Cambria Math" w:hAnsi="Cambria Math" w:cs="Cambria Math"/>
          </w:rPr>
          <m:t>N</m:t>
        </m:r>
      </m:oMath>
      <w:r>
        <w:rPr>
          <w:rFonts w:ascii="LfX3I1UR+TimesNewRomanPSMT" w:eastAsia="LfX3I1UR+TimesNewRomanPSMT" w:hAnsi="LfX3I1UR+TimesNewRomanPSMT"/>
          <w:color w:val="000000"/>
          <w:spacing w:val="-2"/>
        </w:rPr>
        <w:t>——</w:t>
      </w:r>
      <w:r>
        <w:rPr>
          <w:rFonts w:ascii="宋体" w:hAnsi="宋体"/>
          <w:kern w:val="0"/>
        </w:rPr>
        <w:t>公共机构用能人数，单位为人（</w:t>
      </w:r>
      <w:r>
        <w:rPr>
          <w:rFonts w:ascii="Times New Roman" w:hAnsi="Times New Roman"/>
          <w:kern w:val="0"/>
        </w:rPr>
        <w:t>p</w:t>
      </w:r>
      <w:r>
        <w:rPr>
          <w:rFonts w:ascii="宋体" w:hAnsi="宋体"/>
          <w:kern w:val="0"/>
        </w:rPr>
        <w:t>）；</w:t>
      </w:r>
    </w:p>
    <w:p w14:paraId="07A5FD89" w14:textId="77777777" w:rsidR="00C34226" w:rsidRDefault="00000000">
      <w:pPr>
        <w:adjustRightInd/>
        <w:spacing w:after="0" w:line="240" w:lineRule="auto"/>
        <w:ind w:firstLineChars="200" w:firstLine="420"/>
        <w:rPr>
          <w:rFonts w:ascii="Times New Roman" w:hAnsi="Times New Roman"/>
          <w:kern w:val="0"/>
        </w:rPr>
      </w:pPr>
      <m:oMath>
        <m:sSub>
          <m:sSubPr>
            <m:ctrlPr>
              <w:rPr>
                <w:rFonts w:ascii="Cambria Math" w:eastAsia="Cambria Math" w:hAnsi="Cambria Math" w:cs="Cambria Math"/>
                <w:i/>
                <w:kern w:val="0"/>
              </w:rPr>
            </m:ctrlPr>
          </m:sSubPr>
          <m:e>
            <m:r>
              <w:rPr>
                <w:rFonts w:ascii="Cambria Math" w:eastAsia="Cambria Math" w:hAnsi="Cambria Math" w:cs="Cambria Math"/>
              </w:rPr>
              <m:t>N</m:t>
            </m:r>
          </m:e>
          <m:sub>
            <m:r>
              <w:rPr>
                <w:rFonts w:ascii="Cambria Math" w:eastAsia="Cambria Math" w:hAnsi="Cambria Math" w:cs="Cambria Math"/>
              </w:rPr>
              <m:t>b</m:t>
            </m:r>
          </m:sub>
        </m:sSub>
      </m:oMath>
      <w:r>
        <w:rPr>
          <w:rFonts w:ascii="LfX3I1UR+TimesNewRomanPSMT" w:eastAsia="LfX3I1UR+TimesNewRomanPSMT" w:hAnsi="LfX3I1UR+TimesNewRomanPSMT"/>
          <w:color w:val="000000"/>
          <w:spacing w:val="-2"/>
        </w:rPr>
        <w:t>——</w:t>
      </w:r>
      <w:r>
        <w:rPr>
          <w:rFonts w:ascii="宋体" w:hAnsi="宋体"/>
          <w:kern w:val="0"/>
        </w:rPr>
        <w:t>某一类公共机构类型的人数</w:t>
      </w:r>
      <w:r>
        <w:rPr>
          <w:rFonts w:ascii="宋体" w:hAnsi="宋体" w:hint="eastAsia"/>
          <w:kern w:val="0"/>
        </w:rPr>
        <w:t>，</w:t>
      </w:r>
      <w:r>
        <w:rPr>
          <w:rFonts w:ascii="宋体" w:hAnsi="宋体"/>
          <w:kern w:val="0"/>
        </w:rPr>
        <w:t>单位为人（</w:t>
      </w:r>
      <w:r>
        <w:rPr>
          <w:rFonts w:ascii="Times New Roman" w:hAnsi="Times New Roman"/>
          <w:kern w:val="0"/>
        </w:rPr>
        <w:t>p</w:t>
      </w:r>
      <w:r>
        <w:rPr>
          <w:rFonts w:ascii="宋体" w:hAnsi="宋体"/>
          <w:kern w:val="0"/>
        </w:rPr>
        <w:t>）；</w:t>
      </w:r>
    </w:p>
    <w:p w14:paraId="05FC1FC1" w14:textId="77777777" w:rsidR="00C34226" w:rsidRDefault="00000000">
      <w:pPr>
        <w:adjustRightInd/>
        <w:spacing w:after="0" w:line="240" w:lineRule="auto"/>
        <w:ind w:firstLineChars="200" w:firstLine="420"/>
        <w:rPr>
          <w:rFonts w:ascii="Times New Roman" w:hAnsi="Times New Roman"/>
          <w:kern w:val="0"/>
        </w:rPr>
      </w:pPr>
      <w:r>
        <w:rPr>
          <w:rFonts w:ascii="Times New Roman" w:hAnsi="Times New Roman"/>
          <w:kern w:val="0"/>
        </w:rPr>
        <w:t>b</w:t>
      </w:r>
      <w:r>
        <w:rPr>
          <w:rFonts w:ascii="LfX3I1UR+TimesNewRomanPSMT" w:eastAsia="LfX3I1UR+TimesNewRomanPSMT" w:hAnsi="LfX3I1UR+TimesNewRomanPSMT"/>
          <w:color w:val="000000"/>
          <w:spacing w:val="-2"/>
        </w:rPr>
        <w:t>——</w:t>
      </w:r>
      <w:r>
        <w:rPr>
          <w:rFonts w:ascii="宋体" w:hAnsi="宋体"/>
          <w:kern w:val="0"/>
        </w:rPr>
        <w:t>用能人员类型，含在编人员、长期聘（借）的编外人员、工勤保障人员、外来人员等；</w:t>
      </w:r>
    </w:p>
    <w:p w14:paraId="345ADE52" w14:textId="77777777" w:rsidR="00C34226" w:rsidRDefault="00000000">
      <w:pPr>
        <w:adjustRightInd/>
        <w:spacing w:after="0" w:line="240" w:lineRule="auto"/>
        <w:ind w:firstLineChars="200" w:firstLine="420"/>
        <w:rPr>
          <w:rFonts w:ascii="宋体" w:hAnsi="宋体" w:hint="eastAsia"/>
          <w:kern w:val="0"/>
        </w:rPr>
      </w:pPr>
      <m:oMath>
        <m:sSub>
          <m:sSubPr>
            <m:ctrlPr>
              <w:rPr>
                <w:rFonts w:ascii="Cambria Math" w:eastAsia="Cambria Math" w:hAnsi="Cambria Math" w:cs="Cambria Math"/>
                <w:i/>
                <w:kern w:val="0"/>
              </w:rPr>
            </m:ctrlPr>
          </m:sSubPr>
          <m:e>
            <m:r>
              <w:rPr>
                <w:rFonts w:ascii="Cambria Math" w:eastAsia="Cambria Math" w:hAnsi="Cambria Math" w:cs="Cambria Math"/>
              </w:rPr>
              <m:t>∅</m:t>
            </m:r>
          </m:e>
          <m:sub/>
        </m:sSub>
      </m:oMath>
      <w:r>
        <w:rPr>
          <w:rFonts w:ascii="LfX3I1UR+TimesNewRomanPSMT" w:eastAsia="LfX3I1UR+TimesNewRomanPSMT" w:hAnsi="LfX3I1UR+TimesNewRomanPSMT"/>
          <w:color w:val="000000"/>
          <w:spacing w:val="-2"/>
        </w:rPr>
        <w:t>——</w:t>
      </w:r>
      <w:r>
        <w:rPr>
          <w:rFonts w:ascii="宋体" w:hAnsi="宋体"/>
          <w:kern w:val="0"/>
        </w:rPr>
        <w:t>计日系数。</w:t>
      </w:r>
    </w:p>
    <w:p w14:paraId="1D0FB3E7" w14:textId="77777777" w:rsidR="00C34226" w:rsidRDefault="00000000">
      <w:pPr>
        <w:pStyle w:val="afff3"/>
        <w:numPr>
          <w:ilvl w:val="0"/>
          <w:numId w:val="0"/>
        </w:numPr>
        <w:spacing w:before="156" w:after="156" w:line="240" w:lineRule="auto"/>
        <w:outlineLvl w:val="9"/>
        <w:rPr>
          <w:rFonts w:hAnsi="黑体" w:hint="eastAsia"/>
        </w:rPr>
      </w:pPr>
      <w:r>
        <w:rPr>
          <w:rFonts w:hAnsi="黑体" w:hint="eastAsia"/>
        </w:rPr>
        <w:t>A.2 计算示例</w:t>
      </w:r>
    </w:p>
    <w:p w14:paraId="7E755CA9" w14:textId="77777777" w:rsidR="00C34226" w:rsidRDefault="00000000">
      <w:pPr>
        <w:pStyle w:val="aff0"/>
        <w:rPr>
          <w:rFonts w:ascii="Times New Roman"/>
        </w:rPr>
      </w:pPr>
      <w:r>
        <w:t>行政机关用能人数计算</w:t>
      </w:r>
    </w:p>
    <w:p w14:paraId="7770C4FD" w14:textId="77777777" w:rsidR="00C34226" w:rsidRDefault="00000000">
      <w:pPr>
        <w:widowControl/>
        <w:adjustRightInd/>
        <w:spacing w:after="0" w:line="240" w:lineRule="auto"/>
        <w:ind w:firstLineChars="200" w:firstLine="420"/>
        <w:rPr>
          <w:rFonts w:ascii="Times New Roman" w:hAnsi="Times New Roman"/>
          <w:kern w:val="0"/>
        </w:rPr>
      </w:pPr>
      <w:r>
        <w:rPr>
          <w:rFonts w:ascii="宋体" w:hAnsi="宋体"/>
          <w:kern w:val="0"/>
        </w:rPr>
        <w:t>某行政机关在编人员</w:t>
      </w:r>
      <w:r>
        <w:rPr>
          <w:rFonts w:ascii="Times New Roman" w:hAnsi="Times New Roman"/>
          <w:kern w:val="0"/>
        </w:rPr>
        <w:t>200</w:t>
      </w:r>
      <w:r>
        <w:rPr>
          <w:rFonts w:ascii="宋体" w:hAnsi="宋体"/>
          <w:kern w:val="0"/>
        </w:rPr>
        <w:t>人，长期聘（借）的编外人员</w:t>
      </w:r>
      <w:r>
        <w:rPr>
          <w:rFonts w:ascii="Times New Roman" w:hAnsi="Times New Roman"/>
          <w:kern w:val="0"/>
        </w:rPr>
        <w:t>35</w:t>
      </w:r>
      <w:r>
        <w:rPr>
          <w:rFonts w:ascii="宋体" w:hAnsi="宋体"/>
          <w:kern w:val="0"/>
        </w:rPr>
        <w:t>人，工勤、保障人员</w:t>
      </w:r>
      <w:r>
        <w:rPr>
          <w:rFonts w:ascii="Times New Roman" w:hAnsi="Times New Roman"/>
          <w:kern w:val="0"/>
        </w:rPr>
        <w:t>20</w:t>
      </w:r>
      <w:r>
        <w:rPr>
          <w:rFonts w:ascii="宋体" w:hAnsi="宋体"/>
          <w:kern w:val="0"/>
        </w:rPr>
        <w:t>人，外来人员参加第一类会议</w:t>
      </w:r>
      <w:r>
        <w:rPr>
          <w:rFonts w:ascii="Times New Roman" w:hAnsi="Times New Roman"/>
          <w:kern w:val="0"/>
        </w:rPr>
        <w:t>50</w:t>
      </w:r>
      <w:r>
        <w:rPr>
          <w:rFonts w:ascii="宋体" w:hAnsi="宋体"/>
          <w:kern w:val="0"/>
        </w:rPr>
        <w:t>人，会议时间</w:t>
      </w:r>
      <w:r>
        <w:rPr>
          <w:rFonts w:ascii="Times New Roman" w:hAnsi="Times New Roman"/>
          <w:kern w:val="0"/>
        </w:rPr>
        <w:t>2</w:t>
      </w:r>
      <w:r>
        <w:rPr>
          <w:rFonts w:ascii="宋体" w:hAnsi="宋体"/>
          <w:kern w:val="0"/>
        </w:rPr>
        <w:t>日，参加第二类会议</w:t>
      </w:r>
      <w:r>
        <w:rPr>
          <w:rFonts w:ascii="Times New Roman" w:hAnsi="Times New Roman"/>
          <w:kern w:val="0"/>
        </w:rPr>
        <w:t>30</w:t>
      </w:r>
      <w:r>
        <w:rPr>
          <w:rFonts w:ascii="宋体" w:hAnsi="宋体"/>
          <w:kern w:val="0"/>
        </w:rPr>
        <w:t>人，会议时间</w:t>
      </w:r>
      <w:r>
        <w:rPr>
          <w:rFonts w:ascii="Times New Roman" w:hAnsi="Times New Roman"/>
          <w:kern w:val="0"/>
        </w:rPr>
        <w:t>3</w:t>
      </w:r>
      <w:r>
        <w:rPr>
          <w:rFonts w:ascii="宋体" w:hAnsi="宋体"/>
          <w:kern w:val="0"/>
        </w:rPr>
        <w:t>日。该行政机关用能人数为</w:t>
      </w:r>
      <w:r>
        <w:rPr>
          <w:rFonts w:ascii="Times New Roman" w:hAnsi="Times New Roman"/>
          <w:kern w:val="0"/>
        </w:rPr>
        <w:t>256</w:t>
      </w:r>
      <w:r>
        <w:rPr>
          <w:rFonts w:ascii="宋体" w:hAnsi="宋体"/>
          <w:kern w:val="0"/>
        </w:rPr>
        <w:t>人，计算明细如表</w:t>
      </w:r>
      <w:r>
        <w:rPr>
          <w:rFonts w:ascii="Times New Roman" w:hAnsi="Times New Roman" w:hint="eastAsia"/>
          <w:kern w:val="0"/>
        </w:rPr>
        <w:t>A</w:t>
      </w:r>
      <w:r>
        <w:rPr>
          <w:rFonts w:ascii="Times New Roman" w:hAnsi="Times New Roman"/>
          <w:kern w:val="0"/>
        </w:rPr>
        <w:t>.1</w:t>
      </w:r>
      <w:r>
        <w:rPr>
          <w:rFonts w:ascii="宋体" w:hAnsi="宋体"/>
          <w:kern w:val="0"/>
        </w:rPr>
        <w:t>所示。</w:t>
      </w:r>
    </w:p>
    <w:p w14:paraId="3C421905" w14:textId="77777777" w:rsidR="00C34226" w:rsidRDefault="00000000">
      <w:pPr>
        <w:pStyle w:val="aff5"/>
        <w:spacing w:before="156" w:after="156"/>
        <w:rPr>
          <w:rFonts w:ascii="Times New Roman"/>
          <w:kern w:val="0"/>
        </w:rPr>
      </w:pPr>
      <w:r>
        <w:t>某党政机关用能人数计算明细表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552"/>
        <w:gridCol w:w="1675"/>
        <w:gridCol w:w="1596"/>
        <w:gridCol w:w="1043"/>
        <w:gridCol w:w="1418"/>
        <w:gridCol w:w="1286"/>
      </w:tblGrid>
      <w:tr w:rsidR="00C34226" w14:paraId="54DC3395" w14:textId="77777777">
        <w:trPr>
          <w:jc w:val="center"/>
        </w:trPr>
        <w:tc>
          <w:tcPr>
            <w:tcW w:w="1333" w:type="pct"/>
            <w:vMerge w:val="restart"/>
            <w:tcBorders>
              <w:top w:val="single" w:sz="8" w:space="0" w:color="auto"/>
              <w:left w:val="single" w:sz="8" w:space="0" w:color="auto"/>
              <w:bottom w:val="single" w:sz="4" w:space="0" w:color="auto"/>
              <w:right w:val="single" w:sz="4" w:space="0" w:color="auto"/>
            </w:tcBorders>
            <w:vAlign w:val="center"/>
          </w:tcPr>
          <w:p w14:paraId="4EC69913"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名称</w:t>
            </w:r>
          </w:p>
        </w:tc>
        <w:tc>
          <w:tcPr>
            <w:tcW w:w="875" w:type="pct"/>
            <w:vMerge w:val="restart"/>
            <w:tcBorders>
              <w:top w:val="single" w:sz="8" w:space="0" w:color="auto"/>
              <w:left w:val="single" w:sz="4" w:space="0" w:color="auto"/>
              <w:bottom w:val="single" w:sz="4" w:space="0" w:color="auto"/>
              <w:right w:val="single" w:sz="4" w:space="0" w:color="auto"/>
            </w:tcBorders>
            <w:vAlign w:val="center"/>
          </w:tcPr>
          <w:p w14:paraId="33EB59F3"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人数（人）</w:t>
            </w:r>
          </w:p>
        </w:tc>
        <w:tc>
          <w:tcPr>
            <w:tcW w:w="1378" w:type="pct"/>
            <w:gridSpan w:val="2"/>
            <w:tcBorders>
              <w:top w:val="single" w:sz="8" w:space="0" w:color="auto"/>
              <w:left w:val="single" w:sz="4" w:space="0" w:color="auto"/>
              <w:bottom w:val="single" w:sz="8" w:space="0" w:color="auto"/>
              <w:right w:val="single" w:sz="4" w:space="0" w:color="auto"/>
            </w:tcBorders>
            <w:vAlign w:val="center"/>
          </w:tcPr>
          <w:p w14:paraId="66E69644"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计日系数</w:t>
            </w:r>
          </w:p>
        </w:tc>
        <w:tc>
          <w:tcPr>
            <w:tcW w:w="1414" w:type="pct"/>
            <w:gridSpan w:val="2"/>
            <w:tcBorders>
              <w:top w:val="single" w:sz="8" w:space="0" w:color="auto"/>
              <w:left w:val="single" w:sz="4" w:space="0" w:color="auto"/>
              <w:bottom w:val="single" w:sz="8" w:space="0" w:color="auto"/>
              <w:right w:val="single" w:sz="8" w:space="0" w:color="auto"/>
            </w:tcBorders>
            <w:vAlign w:val="center"/>
          </w:tcPr>
          <w:p w14:paraId="371FAA7C"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用能人数（人）</w:t>
            </w:r>
          </w:p>
        </w:tc>
      </w:tr>
      <w:tr w:rsidR="00C34226" w14:paraId="1DCA8E43" w14:textId="77777777">
        <w:trPr>
          <w:jc w:val="center"/>
        </w:trPr>
        <w:tc>
          <w:tcPr>
            <w:tcW w:w="0" w:type="auto"/>
            <w:vMerge/>
            <w:tcBorders>
              <w:top w:val="single" w:sz="8" w:space="0" w:color="auto"/>
              <w:left w:val="single" w:sz="8" w:space="0" w:color="auto"/>
              <w:bottom w:val="single" w:sz="4" w:space="0" w:color="auto"/>
              <w:right w:val="single" w:sz="4" w:space="0" w:color="auto"/>
            </w:tcBorders>
            <w:vAlign w:val="center"/>
          </w:tcPr>
          <w:p w14:paraId="1EB3C17C" w14:textId="77777777" w:rsidR="00C34226" w:rsidRDefault="00C34226">
            <w:pPr>
              <w:widowControl/>
              <w:adjustRightInd/>
              <w:spacing w:line="240" w:lineRule="auto"/>
              <w:jc w:val="left"/>
              <w:rPr>
                <w:rFonts w:ascii="Times New Roman" w:hAnsi="Times New Roman"/>
                <w:bCs/>
                <w:sz w:val="18"/>
                <w:szCs w:val="18"/>
              </w:rPr>
            </w:pPr>
          </w:p>
        </w:tc>
        <w:tc>
          <w:tcPr>
            <w:tcW w:w="0" w:type="auto"/>
            <w:vMerge/>
            <w:tcBorders>
              <w:top w:val="single" w:sz="8" w:space="0" w:color="auto"/>
              <w:left w:val="single" w:sz="4" w:space="0" w:color="auto"/>
              <w:bottom w:val="single" w:sz="4" w:space="0" w:color="auto"/>
              <w:right w:val="single" w:sz="4" w:space="0" w:color="auto"/>
            </w:tcBorders>
            <w:vAlign w:val="center"/>
          </w:tcPr>
          <w:p w14:paraId="71126A2A" w14:textId="77777777" w:rsidR="00C34226" w:rsidRDefault="00C34226">
            <w:pPr>
              <w:widowControl/>
              <w:adjustRightInd/>
              <w:spacing w:line="240" w:lineRule="auto"/>
              <w:jc w:val="left"/>
              <w:rPr>
                <w:rFonts w:ascii="Times New Roman" w:hAnsi="Times New Roman"/>
                <w:bCs/>
                <w:sz w:val="18"/>
                <w:szCs w:val="18"/>
              </w:rPr>
            </w:pPr>
          </w:p>
        </w:tc>
        <w:tc>
          <w:tcPr>
            <w:tcW w:w="834" w:type="pct"/>
            <w:tcBorders>
              <w:top w:val="single" w:sz="8" w:space="0" w:color="auto"/>
              <w:left w:val="single" w:sz="4" w:space="0" w:color="auto"/>
              <w:bottom w:val="single" w:sz="4" w:space="0" w:color="auto"/>
              <w:right w:val="single" w:sz="4" w:space="0" w:color="auto"/>
            </w:tcBorders>
            <w:vAlign w:val="center"/>
          </w:tcPr>
          <w:p w14:paraId="6A7FCF55"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算式</w:t>
            </w:r>
          </w:p>
        </w:tc>
        <w:tc>
          <w:tcPr>
            <w:tcW w:w="545" w:type="pct"/>
            <w:tcBorders>
              <w:top w:val="single" w:sz="8" w:space="0" w:color="auto"/>
              <w:left w:val="single" w:sz="4" w:space="0" w:color="auto"/>
              <w:bottom w:val="single" w:sz="4" w:space="0" w:color="auto"/>
              <w:right w:val="single" w:sz="4" w:space="0" w:color="auto"/>
            </w:tcBorders>
            <w:vAlign w:val="center"/>
          </w:tcPr>
          <w:p w14:paraId="4441D64E"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结果</w:t>
            </w:r>
          </w:p>
        </w:tc>
        <w:tc>
          <w:tcPr>
            <w:tcW w:w="741" w:type="pct"/>
            <w:tcBorders>
              <w:top w:val="single" w:sz="8" w:space="0" w:color="auto"/>
              <w:left w:val="single" w:sz="4" w:space="0" w:color="auto"/>
              <w:bottom w:val="single" w:sz="4" w:space="0" w:color="auto"/>
              <w:right w:val="single" w:sz="4" w:space="0" w:color="auto"/>
            </w:tcBorders>
            <w:vAlign w:val="center"/>
          </w:tcPr>
          <w:p w14:paraId="2CC753CA"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算式</w:t>
            </w:r>
          </w:p>
        </w:tc>
        <w:tc>
          <w:tcPr>
            <w:tcW w:w="672" w:type="pct"/>
            <w:tcBorders>
              <w:top w:val="single" w:sz="8" w:space="0" w:color="auto"/>
              <w:left w:val="single" w:sz="4" w:space="0" w:color="auto"/>
              <w:bottom w:val="single" w:sz="4" w:space="0" w:color="auto"/>
              <w:right w:val="single" w:sz="8" w:space="0" w:color="auto"/>
            </w:tcBorders>
            <w:vAlign w:val="center"/>
          </w:tcPr>
          <w:p w14:paraId="75E643F9"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结果</w:t>
            </w:r>
          </w:p>
        </w:tc>
      </w:tr>
      <w:tr w:rsidR="00C34226" w14:paraId="3ED99ADB" w14:textId="77777777">
        <w:trPr>
          <w:jc w:val="center"/>
        </w:trPr>
        <w:tc>
          <w:tcPr>
            <w:tcW w:w="1333" w:type="pct"/>
            <w:tcBorders>
              <w:top w:val="single" w:sz="4" w:space="0" w:color="auto"/>
              <w:left w:val="single" w:sz="8" w:space="0" w:color="auto"/>
              <w:bottom w:val="single" w:sz="4" w:space="0" w:color="auto"/>
              <w:right w:val="single" w:sz="4" w:space="0" w:color="auto"/>
            </w:tcBorders>
            <w:vAlign w:val="center"/>
          </w:tcPr>
          <w:p w14:paraId="7EC05BE8"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在编人员</w:t>
            </w:r>
          </w:p>
        </w:tc>
        <w:tc>
          <w:tcPr>
            <w:tcW w:w="875" w:type="pct"/>
            <w:tcBorders>
              <w:top w:val="single" w:sz="4" w:space="0" w:color="auto"/>
              <w:left w:val="single" w:sz="4" w:space="0" w:color="auto"/>
              <w:bottom w:val="single" w:sz="4" w:space="0" w:color="auto"/>
              <w:right w:val="single" w:sz="4" w:space="0" w:color="auto"/>
            </w:tcBorders>
            <w:vAlign w:val="center"/>
          </w:tcPr>
          <w:p w14:paraId="3492BCA2"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200</w:t>
            </w:r>
          </w:p>
        </w:tc>
        <w:tc>
          <w:tcPr>
            <w:tcW w:w="834" w:type="pct"/>
            <w:tcBorders>
              <w:top w:val="single" w:sz="4" w:space="0" w:color="auto"/>
              <w:left w:val="single" w:sz="4" w:space="0" w:color="auto"/>
              <w:bottom w:val="single" w:sz="4" w:space="0" w:color="auto"/>
              <w:right w:val="single" w:sz="4" w:space="0" w:color="auto"/>
            </w:tcBorders>
            <w:vAlign w:val="center"/>
          </w:tcPr>
          <w:p w14:paraId="7C5B554F"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w:t>
            </w:r>
          </w:p>
        </w:tc>
        <w:tc>
          <w:tcPr>
            <w:tcW w:w="545" w:type="pct"/>
            <w:tcBorders>
              <w:top w:val="single" w:sz="4" w:space="0" w:color="auto"/>
              <w:left w:val="single" w:sz="4" w:space="0" w:color="auto"/>
              <w:bottom w:val="single" w:sz="4" w:space="0" w:color="auto"/>
              <w:right w:val="single" w:sz="4" w:space="0" w:color="auto"/>
            </w:tcBorders>
            <w:vAlign w:val="center"/>
          </w:tcPr>
          <w:p w14:paraId="56E4BC52"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w:t>
            </w:r>
          </w:p>
        </w:tc>
        <w:tc>
          <w:tcPr>
            <w:tcW w:w="741" w:type="pct"/>
            <w:tcBorders>
              <w:top w:val="single" w:sz="4" w:space="0" w:color="auto"/>
              <w:left w:val="single" w:sz="4" w:space="0" w:color="auto"/>
              <w:bottom w:val="single" w:sz="4" w:space="0" w:color="auto"/>
              <w:right w:val="single" w:sz="4" w:space="0" w:color="auto"/>
            </w:tcBorders>
            <w:vAlign w:val="center"/>
          </w:tcPr>
          <w:p w14:paraId="2019831D"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200×1</w:t>
            </w:r>
          </w:p>
        </w:tc>
        <w:tc>
          <w:tcPr>
            <w:tcW w:w="672" w:type="pct"/>
            <w:tcBorders>
              <w:top w:val="single" w:sz="4" w:space="0" w:color="auto"/>
              <w:left w:val="single" w:sz="4" w:space="0" w:color="auto"/>
              <w:bottom w:val="single" w:sz="4" w:space="0" w:color="auto"/>
              <w:right w:val="single" w:sz="8" w:space="0" w:color="auto"/>
            </w:tcBorders>
            <w:vAlign w:val="center"/>
          </w:tcPr>
          <w:p w14:paraId="0DC7A38A"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200.00</w:t>
            </w:r>
          </w:p>
        </w:tc>
      </w:tr>
      <w:tr w:rsidR="00C34226" w14:paraId="3DB819E5" w14:textId="77777777">
        <w:trPr>
          <w:jc w:val="center"/>
        </w:trPr>
        <w:tc>
          <w:tcPr>
            <w:tcW w:w="1333" w:type="pct"/>
            <w:tcBorders>
              <w:top w:val="single" w:sz="4" w:space="0" w:color="auto"/>
              <w:left w:val="single" w:sz="8" w:space="0" w:color="auto"/>
              <w:bottom w:val="single" w:sz="4" w:space="0" w:color="auto"/>
              <w:right w:val="single" w:sz="4" w:space="0" w:color="auto"/>
            </w:tcBorders>
            <w:vAlign w:val="center"/>
          </w:tcPr>
          <w:p w14:paraId="3D16A677"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长期聘（借）编外人员</w:t>
            </w:r>
          </w:p>
        </w:tc>
        <w:tc>
          <w:tcPr>
            <w:tcW w:w="875" w:type="pct"/>
            <w:tcBorders>
              <w:top w:val="single" w:sz="4" w:space="0" w:color="auto"/>
              <w:left w:val="single" w:sz="4" w:space="0" w:color="auto"/>
              <w:bottom w:val="single" w:sz="4" w:space="0" w:color="auto"/>
              <w:right w:val="single" w:sz="4" w:space="0" w:color="auto"/>
            </w:tcBorders>
            <w:vAlign w:val="center"/>
          </w:tcPr>
          <w:p w14:paraId="28FCF414"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35</w:t>
            </w:r>
          </w:p>
        </w:tc>
        <w:tc>
          <w:tcPr>
            <w:tcW w:w="834" w:type="pct"/>
            <w:tcBorders>
              <w:top w:val="single" w:sz="4" w:space="0" w:color="auto"/>
              <w:left w:val="single" w:sz="4" w:space="0" w:color="auto"/>
              <w:bottom w:val="single" w:sz="4" w:space="0" w:color="auto"/>
              <w:right w:val="single" w:sz="4" w:space="0" w:color="auto"/>
            </w:tcBorders>
            <w:vAlign w:val="center"/>
          </w:tcPr>
          <w:p w14:paraId="0B2C7CBC"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w:t>
            </w:r>
          </w:p>
        </w:tc>
        <w:tc>
          <w:tcPr>
            <w:tcW w:w="545" w:type="pct"/>
            <w:tcBorders>
              <w:top w:val="single" w:sz="4" w:space="0" w:color="auto"/>
              <w:left w:val="single" w:sz="4" w:space="0" w:color="auto"/>
              <w:bottom w:val="single" w:sz="4" w:space="0" w:color="auto"/>
              <w:right w:val="single" w:sz="4" w:space="0" w:color="auto"/>
            </w:tcBorders>
            <w:vAlign w:val="center"/>
          </w:tcPr>
          <w:p w14:paraId="44B9E721"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w:t>
            </w:r>
          </w:p>
        </w:tc>
        <w:tc>
          <w:tcPr>
            <w:tcW w:w="741" w:type="pct"/>
            <w:tcBorders>
              <w:top w:val="single" w:sz="4" w:space="0" w:color="auto"/>
              <w:left w:val="single" w:sz="4" w:space="0" w:color="auto"/>
              <w:bottom w:val="single" w:sz="4" w:space="0" w:color="auto"/>
              <w:right w:val="single" w:sz="4" w:space="0" w:color="auto"/>
            </w:tcBorders>
            <w:vAlign w:val="center"/>
          </w:tcPr>
          <w:p w14:paraId="2AE4A49F"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35×1</w:t>
            </w:r>
          </w:p>
        </w:tc>
        <w:tc>
          <w:tcPr>
            <w:tcW w:w="672" w:type="pct"/>
            <w:tcBorders>
              <w:top w:val="single" w:sz="4" w:space="0" w:color="auto"/>
              <w:left w:val="single" w:sz="4" w:space="0" w:color="auto"/>
              <w:bottom w:val="single" w:sz="4" w:space="0" w:color="auto"/>
              <w:right w:val="single" w:sz="8" w:space="0" w:color="auto"/>
            </w:tcBorders>
            <w:vAlign w:val="center"/>
          </w:tcPr>
          <w:p w14:paraId="208C341E"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35.00</w:t>
            </w:r>
          </w:p>
        </w:tc>
      </w:tr>
      <w:tr w:rsidR="00C34226" w14:paraId="10D262AB" w14:textId="77777777">
        <w:trPr>
          <w:jc w:val="center"/>
        </w:trPr>
        <w:tc>
          <w:tcPr>
            <w:tcW w:w="1333" w:type="pct"/>
            <w:tcBorders>
              <w:top w:val="single" w:sz="4" w:space="0" w:color="auto"/>
              <w:left w:val="single" w:sz="8" w:space="0" w:color="auto"/>
              <w:bottom w:val="single" w:sz="4" w:space="0" w:color="auto"/>
              <w:right w:val="single" w:sz="4" w:space="0" w:color="auto"/>
            </w:tcBorders>
            <w:vAlign w:val="center"/>
          </w:tcPr>
          <w:p w14:paraId="5AC64C78"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工勤、保障人员</w:t>
            </w:r>
          </w:p>
        </w:tc>
        <w:tc>
          <w:tcPr>
            <w:tcW w:w="875" w:type="pct"/>
            <w:tcBorders>
              <w:top w:val="single" w:sz="4" w:space="0" w:color="auto"/>
              <w:left w:val="single" w:sz="4" w:space="0" w:color="auto"/>
              <w:bottom w:val="single" w:sz="4" w:space="0" w:color="auto"/>
              <w:right w:val="single" w:sz="4" w:space="0" w:color="auto"/>
            </w:tcBorders>
            <w:vAlign w:val="center"/>
          </w:tcPr>
          <w:p w14:paraId="04706F1D"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20</w:t>
            </w:r>
          </w:p>
        </w:tc>
        <w:tc>
          <w:tcPr>
            <w:tcW w:w="834" w:type="pct"/>
            <w:tcBorders>
              <w:top w:val="single" w:sz="4" w:space="0" w:color="auto"/>
              <w:left w:val="single" w:sz="4" w:space="0" w:color="auto"/>
              <w:bottom w:val="single" w:sz="4" w:space="0" w:color="auto"/>
              <w:right w:val="single" w:sz="4" w:space="0" w:color="auto"/>
            </w:tcBorders>
            <w:vAlign w:val="center"/>
          </w:tcPr>
          <w:p w14:paraId="68636501"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w:t>
            </w:r>
          </w:p>
        </w:tc>
        <w:tc>
          <w:tcPr>
            <w:tcW w:w="545" w:type="pct"/>
            <w:tcBorders>
              <w:top w:val="single" w:sz="4" w:space="0" w:color="auto"/>
              <w:left w:val="single" w:sz="4" w:space="0" w:color="auto"/>
              <w:bottom w:val="single" w:sz="4" w:space="0" w:color="auto"/>
              <w:right w:val="single" w:sz="4" w:space="0" w:color="auto"/>
            </w:tcBorders>
            <w:vAlign w:val="center"/>
          </w:tcPr>
          <w:p w14:paraId="4826BD6A"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w:t>
            </w:r>
          </w:p>
        </w:tc>
        <w:tc>
          <w:tcPr>
            <w:tcW w:w="741" w:type="pct"/>
            <w:tcBorders>
              <w:top w:val="single" w:sz="4" w:space="0" w:color="auto"/>
              <w:left w:val="single" w:sz="4" w:space="0" w:color="auto"/>
              <w:bottom w:val="single" w:sz="4" w:space="0" w:color="auto"/>
              <w:right w:val="single" w:sz="4" w:space="0" w:color="auto"/>
            </w:tcBorders>
            <w:vAlign w:val="center"/>
          </w:tcPr>
          <w:p w14:paraId="113D747C"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20×1</w:t>
            </w:r>
          </w:p>
        </w:tc>
        <w:tc>
          <w:tcPr>
            <w:tcW w:w="672" w:type="pct"/>
            <w:tcBorders>
              <w:top w:val="single" w:sz="4" w:space="0" w:color="auto"/>
              <w:left w:val="single" w:sz="4" w:space="0" w:color="auto"/>
              <w:bottom w:val="single" w:sz="4" w:space="0" w:color="auto"/>
              <w:right w:val="single" w:sz="8" w:space="0" w:color="auto"/>
            </w:tcBorders>
            <w:vAlign w:val="center"/>
          </w:tcPr>
          <w:p w14:paraId="7DAA7EE0"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20.00</w:t>
            </w:r>
          </w:p>
        </w:tc>
      </w:tr>
      <w:tr w:rsidR="00C34226" w14:paraId="6C2E23B5" w14:textId="77777777">
        <w:trPr>
          <w:jc w:val="center"/>
        </w:trPr>
        <w:tc>
          <w:tcPr>
            <w:tcW w:w="1333" w:type="pct"/>
            <w:vMerge w:val="restart"/>
            <w:tcBorders>
              <w:top w:val="nil"/>
              <w:left w:val="single" w:sz="8" w:space="0" w:color="auto"/>
              <w:bottom w:val="single" w:sz="4" w:space="0" w:color="auto"/>
              <w:right w:val="single" w:sz="4" w:space="0" w:color="auto"/>
            </w:tcBorders>
            <w:vAlign w:val="center"/>
          </w:tcPr>
          <w:p w14:paraId="7220075F"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外来人员</w:t>
            </w:r>
          </w:p>
        </w:tc>
        <w:tc>
          <w:tcPr>
            <w:tcW w:w="875" w:type="pct"/>
            <w:tcBorders>
              <w:top w:val="single" w:sz="4" w:space="0" w:color="auto"/>
              <w:left w:val="single" w:sz="4" w:space="0" w:color="auto"/>
              <w:bottom w:val="single" w:sz="8" w:space="0" w:color="auto"/>
              <w:right w:val="single" w:sz="4" w:space="0" w:color="auto"/>
            </w:tcBorders>
            <w:vAlign w:val="center"/>
          </w:tcPr>
          <w:p w14:paraId="51C7ABC4"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50</w:t>
            </w:r>
          </w:p>
        </w:tc>
        <w:tc>
          <w:tcPr>
            <w:tcW w:w="834" w:type="pct"/>
            <w:tcBorders>
              <w:top w:val="single" w:sz="4" w:space="0" w:color="auto"/>
              <w:left w:val="single" w:sz="4" w:space="0" w:color="auto"/>
              <w:bottom w:val="single" w:sz="8" w:space="0" w:color="auto"/>
              <w:right w:val="single" w:sz="4" w:space="0" w:color="auto"/>
            </w:tcBorders>
            <w:vAlign w:val="center"/>
          </w:tcPr>
          <w:p w14:paraId="7415598A"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会议时间</w:t>
            </w:r>
            <w:r>
              <w:rPr>
                <w:rFonts w:ascii="Times New Roman" w:hAnsi="Times New Roman"/>
                <w:bCs/>
                <w:sz w:val="18"/>
                <w:szCs w:val="18"/>
              </w:rPr>
              <w:t>/</w:t>
            </w:r>
            <w:r>
              <w:rPr>
                <w:rFonts w:ascii="宋体" w:hAnsi="宋体"/>
                <w:bCs/>
                <w:sz w:val="18"/>
                <w:szCs w:val="18"/>
              </w:rPr>
              <w:t>年天数</w:t>
            </w:r>
          </w:p>
        </w:tc>
        <w:tc>
          <w:tcPr>
            <w:tcW w:w="545" w:type="pct"/>
            <w:tcBorders>
              <w:top w:val="single" w:sz="4" w:space="0" w:color="auto"/>
              <w:left w:val="single" w:sz="4" w:space="0" w:color="auto"/>
              <w:bottom w:val="single" w:sz="8" w:space="0" w:color="auto"/>
              <w:right w:val="single" w:sz="4" w:space="0" w:color="auto"/>
            </w:tcBorders>
            <w:vAlign w:val="center"/>
          </w:tcPr>
          <w:p w14:paraId="7218ED14"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2/365</w:t>
            </w:r>
          </w:p>
        </w:tc>
        <w:tc>
          <w:tcPr>
            <w:tcW w:w="741" w:type="pct"/>
            <w:tcBorders>
              <w:top w:val="single" w:sz="4" w:space="0" w:color="auto"/>
              <w:left w:val="single" w:sz="4" w:space="0" w:color="auto"/>
              <w:bottom w:val="single" w:sz="8" w:space="0" w:color="auto"/>
              <w:right w:val="single" w:sz="4" w:space="0" w:color="auto"/>
            </w:tcBorders>
            <w:vAlign w:val="center"/>
          </w:tcPr>
          <w:p w14:paraId="414C1279"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50×2/365</w:t>
            </w:r>
          </w:p>
        </w:tc>
        <w:tc>
          <w:tcPr>
            <w:tcW w:w="672" w:type="pct"/>
            <w:tcBorders>
              <w:top w:val="single" w:sz="4" w:space="0" w:color="auto"/>
              <w:left w:val="single" w:sz="4" w:space="0" w:color="auto"/>
              <w:bottom w:val="single" w:sz="8" w:space="0" w:color="auto"/>
              <w:right w:val="single" w:sz="8" w:space="0" w:color="auto"/>
            </w:tcBorders>
            <w:vAlign w:val="center"/>
          </w:tcPr>
          <w:p w14:paraId="1E6D8FB0"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0.27</w:t>
            </w:r>
          </w:p>
        </w:tc>
      </w:tr>
      <w:tr w:rsidR="00C34226" w14:paraId="0A0E89B0" w14:textId="77777777">
        <w:trPr>
          <w:jc w:val="center"/>
        </w:trPr>
        <w:tc>
          <w:tcPr>
            <w:tcW w:w="0" w:type="auto"/>
            <w:vMerge/>
            <w:tcBorders>
              <w:top w:val="nil"/>
              <w:left w:val="single" w:sz="8" w:space="0" w:color="auto"/>
              <w:bottom w:val="single" w:sz="4" w:space="0" w:color="auto"/>
              <w:right w:val="single" w:sz="4" w:space="0" w:color="auto"/>
            </w:tcBorders>
            <w:vAlign w:val="center"/>
          </w:tcPr>
          <w:p w14:paraId="411CCF9D" w14:textId="77777777" w:rsidR="00C34226" w:rsidRDefault="00C34226">
            <w:pPr>
              <w:widowControl/>
              <w:adjustRightInd/>
              <w:spacing w:line="240" w:lineRule="auto"/>
              <w:jc w:val="left"/>
              <w:rPr>
                <w:rFonts w:ascii="Times New Roman" w:hAnsi="Times New Roman"/>
                <w:bCs/>
                <w:sz w:val="18"/>
                <w:szCs w:val="18"/>
              </w:rPr>
            </w:pPr>
          </w:p>
        </w:tc>
        <w:tc>
          <w:tcPr>
            <w:tcW w:w="875" w:type="pct"/>
            <w:tcBorders>
              <w:top w:val="single" w:sz="8" w:space="0" w:color="auto"/>
              <w:left w:val="single" w:sz="4" w:space="0" w:color="auto"/>
              <w:bottom w:val="single" w:sz="4" w:space="0" w:color="auto"/>
              <w:right w:val="single" w:sz="4" w:space="0" w:color="auto"/>
            </w:tcBorders>
            <w:vAlign w:val="center"/>
          </w:tcPr>
          <w:p w14:paraId="0955936E"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30</w:t>
            </w:r>
          </w:p>
        </w:tc>
        <w:tc>
          <w:tcPr>
            <w:tcW w:w="834" w:type="pct"/>
            <w:tcBorders>
              <w:top w:val="single" w:sz="8" w:space="0" w:color="auto"/>
              <w:left w:val="single" w:sz="4" w:space="0" w:color="auto"/>
              <w:bottom w:val="single" w:sz="4" w:space="0" w:color="auto"/>
              <w:right w:val="single" w:sz="4" w:space="0" w:color="auto"/>
            </w:tcBorders>
            <w:vAlign w:val="center"/>
          </w:tcPr>
          <w:p w14:paraId="33058AD3"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会议时间</w:t>
            </w:r>
            <w:r>
              <w:rPr>
                <w:rFonts w:ascii="Times New Roman" w:hAnsi="Times New Roman"/>
                <w:bCs/>
                <w:sz w:val="18"/>
                <w:szCs w:val="18"/>
              </w:rPr>
              <w:t>/</w:t>
            </w:r>
            <w:r>
              <w:rPr>
                <w:rFonts w:ascii="宋体" w:hAnsi="宋体"/>
                <w:bCs/>
                <w:sz w:val="18"/>
                <w:szCs w:val="18"/>
              </w:rPr>
              <w:t>年天数</w:t>
            </w:r>
          </w:p>
        </w:tc>
        <w:tc>
          <w:tcPr>
            <w:tcW w:w="545" w:type="pct"/>
            <w:tcBorders>
              <w:top w:val="single" w:sz="8" w:space="0" w:color="auto"/>
              <w:left w:val="single" w:sz="4" w:space="0" w:color="auto"/>
              <w:bottom w:val="single" w:sz="4" w:space="0" w:color="auto"/>
              <w:right w:val="single" w:sz="4" w:space="0" w:color="auto"/>
            </w:tcBorders>
            <w:vAlign w:val="center"/>
          </w:tcPr>
          <w:p w14:paraId="76AB8C67"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3/365</w:t>
            </w:r>
          </w:p>
        </w:tc>
        <w:tc>
          <w:tcPr>
            <w:tcW w:w="741" w:type="pct"/>
            <w:tcBorders>
              <w:top w:val="single" w:sz="8" w:space="0" w:color="auto"/>
              <w:left w:val="single" w:sz="4" w:space="0" w:color="auto"/>
              <w:bottom w:val="single" w:sz="4" w:space="0" w:color="auto"/>
              <w:right w:val="single" w:sz="4" w:space="0" w:color="auto"/>
            </w:tcBorders>
            <w:vAlign w:val="center"/>
          </w:tcPr>
          <w:p w14:paraId="2E363DC3"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30×3/365</w:t>
            </w:r>
          </w:p>
        </w:tc>
        <w:tc>
          <w:tcPr>
            <w:tcW w:w="672" w:type="pct"/>
            <w:tcBorders>
              <w:top w:val="single" w:sz="8" w:space="0" w:color="auto"/>
              <w:left w:val="single" w:sz="4" w:space="0" w:color="auto"/>
              <w:bottom w:val="single" w:sz="4" w:space="0" w:color="auto"/>
              <w:right w:val="single" w:sz="8" w:space="0" w:color="auto"/>
            </w:tcBorders>
            <w:vAlign w:val="center"/>
          </w:tcPr>
          <w:p w14:paraId="71EC1C82"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0.25</w:t>
            </w:r>
          </w:p>
        </w:tc>
      </w:tr>
      <w:tr w:rsidR="00C34226" w14:paraId="6222E408" w14:textId="77777777">
        <w:trPr>
          <w:jc w:val="center"/>
        </w:trPr>
        <w:tc>
          <w:tcPr>
            <w:tcW w:w="4328" w:type="pct"/>
            <w:gridSpan w:val="5"/>
            <w:tcBorders>
              <w:top w:val="single" w:sz="4" w:space="0" w:color="auto"/>
              <w:left w:val="single" w:sz="8" w:space="0" w:color="auto"/>
              <w:bottom w:val="single" w:sz="8" w:space="0" w:color="auto"/>
              <w:right w:val="single" w:sz="4" w:space="0" w:color="auto"/>
            </w:tcBorders>
            <w:vAlign w:val="center"/>
          </w:tcPr>
          <w:p w14:paraId="6AC4CC1F"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合计</w:t>
            </w:r>
          </w:p>
        </w:tc>
        <w:tc>
          <w:tcPr>
            <w:tcW w:w="672" w:type="pct"/>
            <w:tcBorders>
              <w:top w:val="single" w:sz="4" w:space="0" w:color="auto"/>
              <w:left w:val="single" w:sz="4" w:space="0" w:color="auto"/>
              <w:bottom w:val="single" w:sz="8" w:space="0" w:color="auto"/>
              <w:right w:val="single" w:sz="8" w:space="0" w:color="auto"/>
            </w:tcBorders>
            <w:vAlign w:val="center"/>
          </w:tcPr>
          <w:p w14:paraId="1AD7C164"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255.52</w:t>
            </w:r>
          </w:p>
        </w:tc>
      </w:tr>
    </w:tbl>
    <w:p w14:paraId="1733FBAD" w14:textId="77777777" w:rsidR="00506C54" w:rsidRDefault="00506C54" w:rsidP="00506C54">
      <w:pPr>
        <w:pStyle w:val="aff0"/>
        <w:numPr>
          <w:ilvl w:val="0"/>
          <w:numId w:val="0"/>
        </w:numPr>
        <w:spacing w:beforeLines="100" w:before="312" w:after="0"/>
        <w:ind w:firstLine="363"/>
        <w:rPr>
          <w:rFonts w:hint="eastAsia"/>
        </w:rPr>
      </w:pPr>
    </w:p>
    <w:p w14:paraId="6F92E46A" w14:textId="2EFC1164" w:rsidR="00C34226" w:rsidRDefault="00000000" w:rsidP="00506C54">
      <w:pPr>
        <w:pStyle w:val="aff0"/>
        <w:spacing w:after="0"/>
      </w:pPr>
      <w:r>
        <w:lastRenderedPageBreak/>
        <w:t>教育机构用能人数计算</w:t>
      </w:r>
    </w:p>
    <w:p w14:paraId="7151AAB8" w14:textId="77777777" w:rsidR="00C34226" w:rsidRDefault="00000000">
      <w:pPr>
        <w:widowControl/>
        <w:adjustRightInd/>
        <w:spacing w:after="0" w:line="240" w:lineRule="auto"/>
        <w:ind w:firstLineChars="200" w:firstLine="420"/>
        <w:rPr>
          <w:rFonts w:ascii="Times New Roman" w:hAnsi="Times New Roman"/>
          <w:kern w:val="0"/>
        </w:rPr>
      </w:pPr>
      <w:r>
        <w:rPr>
          <w:rFonts w:ascii="宋体" w:hAnsi="宋体"/>
          <w:kern w:val="0"/>
        </w:rPr>
        <w:t>某学校在编教职工</w:t>
      </w:r>
      <w:r>
        <w:rPr>
          <w:rFonts w:ascii="Times New Roman" w:hAnsi="Times New Roman"/>
          <w:kern w:val="0"/>
        </w:rPr>
        <w:t>500</w:t>
      </w:r>
      <w:r>
        <w:rPr>
          <w:rFonts w:ascii="宋体" w:hAnsi="宋体"/>
          <w:kern w:val="0"/>
        </w:rPr>
        <w:t>人，其中</w:t>
      </w:r>
      <w:r>
        <w:rPr>
          <w:rFonts w:ascii="Times New Roman" w:hAnsi="Times New Roman"/>
          <w:kern w:val="0"/>
        </w:rPr>
        <w:t>300</w:t>
      </w:r>
      <w:r>
        <w:rPr>
          <w:rFonts w:ascii="宋体" w:hAnsi="宋体"/>
          <w:kern w:val="0"/>
        </w:rPr>
        <w:t>人寒暑假均不在校办公， 其余</w:t>
      </w:r>
      <w:r>
        <w:rPr>
          <w:rFonts w:ascii="Times New Roman" w:hAnsi="Times New Roman"/>
          <w:kern w:val="0"/>
        </w:rPr>
        <w:t>200</w:t>
      </w:r>
      <w:r>
        <w:rPr>
          <w:rFonts w:ascii="宋体" w:hAnsi="宋体"/>
          <w:kern w:val="0"/>
        </w:rPr>
        <w:t>人寒暑假期间需要在校办公；工勤、保障人员</w:t>
      </w:r>
      <w:r>
        <w:rPr>
          <w:rFonts w:ascii="Times New Roman" w:hAnsi="Times New Roman"/>
          <w:kern w:val="0"/>
        </w:rPr>
        <w:t>150</w:t>
      </w:r>
      <w:r>
        <w:rPr>
          <w:rFonts w:ascii="宋体" w:hAnsi="宋体"/>
          <w:kern w:val="0"/>
        </w:rPr>
        <w:t>人，其中</w:t>
      </w:r>
      <w:r>
        <w:rPr>
          <w:rFonts w:ascii="Times New Roman" w:hAnsi="Times New Roman"/>
          <w:kern w:val="0"/>
        </w:rPr>
        <w:t>100</w:t>
      </w:r>
      <w:r>
        <w:rPr>
          <w:rFonts w:ascii="宋体" w:hAnsi="宋体"/>
          <w:kern w:val="0"/>
        </w:rPr>
        <w:t>人寒暑假均不在校办公，其余</w:t>
      </w:r>
      <w:r>
        <w:rPr>
          <w:rFonts w:ascii="Times New Roman" w:hAnsi="Times New Roman"/>
          <w:kern w:val="0"/>
        </w:rPr>
        <w:t>50</w:t>
      </w:r>
      <w:r>
        <w:rPr>
          <w:rFonts w:ascii="宋体" w:hAnsi="宋体"/>
          <w:kern w:val="0"/>
        </w:rPr>
        <w:t>人寒暑假期间需要在校继续办公；注册学生</w:t>
      </w:r>
      <w:r>
        <w:rPr>
          <w:rFonts w:ascii="Times New Roman" w:hAnsi="Times New Roman"/>
          <w:kern w:val="0"/>
        </w:rPr>
        <w:t>3000</w:t>
      </w:r>
      <w:r>
        <w:rPr>
          <w:rFonts w:ascii="宋体" w:hAnsi="宋体"/>
          <w:kern w:val="0"/>
        </w:rPr>
        <w:t>人，其中</w:t>
      </w:r>
      <w:r>
        <w:rPr>
          <w:rFonts w:ascii="Times New Roman" w:hAnsi="Times New Roman"/>
          <w:kern w:val="0"/>
        </w:rPr>
        <w:t>2500</w:t>
      </w:r>
      <w:r>
        <w:rPr>
          <w:rFonts w:ascii="宋体" w:hAnsi="宋体"/>
          <w:kern w:val="0"/>
        </w:rPr>
        <w:t>人寒暑假均不在学校，</w:t>
      </w:r>
      <w:r>
        <w:rPr>
          <w:rFonts w:ascii="Times New Roman" w:hAnsi="Times New Roman"/>
          <w:kern w:val="0"/>
        </w:rPr>
        <w:t>500</w:t>
      </w:r>
      <w:r>
        <w:rPr>
          <w:rFonts w:ascii="宋体" w:hAnsi="宋体"/>
          <w:kern w:val="0"/>
        </w:rPr>
        <w:t>人寒假在学校；面向校外招生的短期培训学员</w:t>
      </w:r>
      <w:r>
        <w:rPr>
          <w:rFonts w:ascii="Times New Roman" w:hAnsi="Times New Roman"/>
          <w:kern w:val="0"/>
        </w:rPr>
        <w:t>1500</w:t>
      </w:r>
      <w:r>
        <w:rPr>
          <w:rFonts w:ascii="宋体" w:hAnsi="宋体"/>
          <w:kern w:val="0"/>
        </w:rPr>
        <w:t>人，其中参加第一类短期培训班社会学员</w:t>
      </w:r>
      <w:r>
        <w:rPr>
          <w:rFonts w:ascii="Times New Roman" w:hAnsi="Times New Roman"/>
          <w:kern w:val="0"/>
        </w:rPr>
        <w:t>500</w:t>
      </w:r>
      <w:r>
        <w:rPr>
          <w:rFonts w:ascii="宋体" w:hAnsi="宋体"/>
          <w:kern w:val="0"/>
        </w:rPr>
        <w:t>人，培训时间</w:t>
      </w:r>
      <w:r>
        <w:rPr>
          <w:rFonts w:ascii="Times New Roman" w:hAnsi="Times New Roman"/>
          <w:kern w:val="0"/>
        </w:rPr>
        <w:t>25</w:t>
      </w:r>
      <w:r>
        <w:rPr>
          <w:rFonts w:ascii="宋体" w:hAnsi="宋体"/>
          <w:kern w:val="0"/>
        </w:rPr>
        <w:t>日，参加第二类短期培训班社会学员</w:t>
      </w:r>
      <w:r>
        <w:rPr>
          <w:rFonts w:ascii="Times New Roman" w:hAnsi="Times New Roman"/>
          <w:kern w:val="0"/>
        </w:rPr>
        <w:t>1000</w:t>
      </w:r>
      <w:r>
        <w:rPr>
          <w:rFonts w:ascii="宋体" w:hAnsi="宋体"/>
          <w:kern w:val="0"/>
        </w:rPr>
        <w:t>人，培训时间</w:t>
      </w:r>
      <w:r>
        <w:rPr>
          <w:rFonts w:ascii="Times New Roman" w:hAnsi="Times New Roman"/>
          <w:kern w:val="0"/>
        </w:rPr>
        <w:t>30</w:t>
      </w:r>
      <w:r>
        <w:rPr>
          <w:rFonts w:ascii="宋体" w:hAnsi="宋体"/>
          <w:kern w:val="0"/>
        </w:rPr>
        <w:t>日；外来人员参加第一类会议</w:t>
      </w:r>
      <w:r>
        <w:rPr>
          <w:rFonts w:ascii="Times New Roman" w:hAnsi="Times New Roman"/>
          <w:kern w:val="0"/>
        </w:rPr>
        <w:t>200</w:t>
      </w:r>
      <w:r>
        <w:rPr>
          <w:rFonts w:ascii="宋体" w:hAnsi="宋体"/>
          <w:kern w:val="0"/>
        </w:rPr>
        <w:t>人，会议时间</w:t>
      </w:r>
      <w:r>
        <w:rPr>
          <w:rFonts w:ascii="Times New Roman" w:hAnsi="Times New Roman"/>
          <w:kern w:val="0"/>
        </w:rPr>
        <w:t>2</w:t>
      </w:r>
      <w:r>
        <w:rPr>
          <w:rFonts w:ascii="宋体" w:hAnsi="宋体"/>
          <w:kern w:val="0"/>
        </w:rPr>
        <w:t>日，参加第二类会议</w:t>
      </w:r>
      <w:r>
        <w:rPr>
          <w:rFonts w:ascii="Times New Roman" w:hAnsi="Times New Roman"/>
          <w:kern w:val="0"/>
        </w:rPr>
        <w:t>300</w:t>
      </w:r>
      <w:r>
        <w:rPr>
          <w:rFonts w:ascii="宋体" w:hAnsi="宋体"/>
          <w:kern w:val="0"/>
        </w:rPr>
        <w:t>人，会议时间</w:t>
      </w:r>
      <w:r>
        <w:rPr>
          <w:rFonts w:ascii="Times New Roman" w:hAnsi="Times New Roman"/>
          <w:kern w:val="0"/>
        </w:rPr>
        <w:t>3</w:t>
      </w:r>
      <w:r>
        <w:rPr>
          <w:rFonts w:ascii="宋体" w:hAnsi="宋体"/>
          <w:kern w:val="0"/>
        </w:rPr>
        <w:t>日。学校放暑假</w:t>
      </w:r>
      <w:r>
        <w:rPr>
          <w:rFonts w:ascii="Times New Roman" w:hAnsi="Times New Roman"/>
          <w:kern w:val="0"/>
        </w:rPr>
        <w:t>45</w:t>
      </w:r>
      <w:r>
        <w:rPr>
          <w:rFonts w:ascii="宋体" w:hAnsi="宋体"/>
          <w:kern w:val="0"/>
        </w:rPr>
        <w:t>天，放寒假</w:t>
      </w:r>
      <w:r>
        <w:rPr>
          <w:rFonts w:ascii="Times New Roman" w:hAnsi="Times New Roman"/>
          <w:kern w:val="0"/>
        </w:rPr>
        <w:t>40</w:t>
      </w:r>
      <w:r>
        <w:rPr>
          <w:rFonts w:ascii="宋体" w:hAnsi="宋体"/>
          <w:kern w:val="0"/>
        </w:rPr>
        <w:t>天。该学校用能人数为</w:t>
      </w:r>
      <w:r>
        <w:rPr>
          <w:rFonts w:ascii="Times New Roman" w:hAnsi="Times New Roman"/>
          <w:kern w:val="0"/>
        </w:rPr>
        <w:t>3033</w:t>
      </w:r>
      <w:r>
        <w:rPr>
          <w:rFonts w:ascii="宋体" w:hAnsi="宋体"/>
          <w:kern w:val="0"/>
        </w:rPr>
        <w:t>人，计算明细如表</w:t>
      </w:r>
      <w:r>
        <w:rPr>
          <w:rFonts w:ascii="Times New Roman" w:hAnsi="Times New Roman" w:hint="eastAsia"/>
          <w:kern w:val="0"/>
        </w:rPr>
        <w:t>A</w:t>
      </w:r>
      <w:r>
        <w:rPr>
          <w:rFonts w:ascii="Times New Roman" w:hAnsi="Times New Roman"/>
          <w:kern w:val="0"/>
        </w:rPr>
        <w:t>.2</w:t>
      </w:r>
      <w:r>
        <w:rPr>
          <w:rFonts w:ascii="宋体" w:hAnsi="宋体"/>
          <w:kern w:val="0"/>
        </w:rPr>
        <w:t>所示。</w:t>
      </w:r>
    </w:p>
    <w:p w14:paraId="650F4A8E" w14:textId="77777777" w:rsidR="00C34226" w:rsidRDefault="00000000">
      <w:pPr>
        <w:pStyle w:val="aff5"/>
        <w:spacing w:before="156" w:after="156"/>
        <w:rPr>
          <w:rFonts w:ascii="Times New Roman"/>
        </w:rPr>
      </w:pPr>
      <w:r>
        <w:t>表某教育机构用能人数计算明细表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667"/>
        <w:gridCol w:w="1436"/>
        <w:gridCol w:w="2266"/>
        <w:gridCol w:w="1324"/>
        <w:gridCol w:w="1470"/>
        <w:gridCol w:w="1407"/>
      </w:tblGrid>
      <w:tr w:rsidR="00C34226" w14:paraId="77DEC194" w14:textId="77777777">
        <w:trPr>
          <w:jc w:val="center"/>
        </w:trPr>
        <w:tc>
          <w:tcPr>
            <w:tcW w:w="871" w:type="pct"/>
            <w:vMerge w:val="restart"/>
            <w:tcBorders>
              <w:top w:val="single" w:sz="8" w:space="0" w:color="auto"/>
              <w:left w:val="single" w:sz="8" w:space="0" w:color="auto"/>
              <w:bottom w:val="single" w:sz="4" w:space="0" w:color="auto"/>
              <w:right w:val="single" w:sz="4" w:space="0" w:color="auto"/>
            </w:tcBorders>
            <w:vAlign w:val="center"/>
          </w:tcPr>
          <w:p w14:paraId="16AC1137"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名称</w:t>
            </w:r>
          </w:p>
        </w:tc>
        <w:tc>
          <w:tcPr>
            <w:tcW w:w="750" w:type="pct"/>
            <w:vMerge w:val="restart"/>
            <w:tcBorders>
              <w:top w:val="single" w:sz="8" w:space="0" w:color="auto"/>
              <w:left w:val="single" w:sz="4" w:space="0" w:color="auto"/>
              <w:bottom w:val="single" w:sz="4" w:space="0" w:color="auto"/>
              <w:right w:val="single" w:sz="4" w:space="0" w:color="auto"/>
            </w:tcBorders>
            <w:vAlign w:val="center"/>
          </w:tcPr>
          <w:p w14:paraId="621D2679"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人数（人）</w:t>
            </w:r>
          </w:p>
        </w:tc>
        <w:tc>
          <w:tcPr>
            <w:tcW w:w="1876" w:type="pct"/>
            <w:gridSpan w:val="2"/>
            <w:tcBorders>
              <w:top w:val="single" w:sz="8" w:space="0" w:color="auto"/>
              <w:left w:val="single" w:sz="4" w:space="0" w:color="auto"/>
              <w:bottom w:val="single" w:sz="8" w:space="0" w:color="auto"/>
              <w:right w:val="single" w:sz="4" w:space="0" w:color="auto"/>
            </w:tcBorders>
            <w:vAlign w:val="center"/>
          </w:tcPr>
          <w:p w14:paraId="1359D257"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计日系数</w:t>
            </w:r>
          </w:p>
        </w:tc>
        <w:tc>
          <w:tcPr>
            <w:tcW w:w="1503" w:type="pct"/>
            <w:gridSpan w:val="2"/>
            <w:tcBorders>
              <w:top w:val="single" w:sz="8" w:space="0" w:color="auto"/>
              <w:left w:val="single" w:sz="4" w:space="0" w:color="auto"/>
              <w:bottom w:val="single" w:sz="8" w:space="0" w:color="auto"/>
              <w:right w:val="single" w:sz="8" w:space="0" w:color="auto"/>
            </w:tcBorders>
            <w:vAlign w:val="center"/>
          </w:tcPr>
          <w:p w14:paraId="77E71A09"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用能人数（人）</w:t>
            </w:r>
          </w:p>
        </w:tc>
      </w:tr>
      <w:tr w:rsidR="00C34226" w14:paraId="1CE70E8C" w14:textId="77777777">
        <w:trPr>
          <w:jc w:val="center"/>
        </w:trPr>
        <w:tc>
          <w:tcPr>
            <w:tcW w:w="0" w:type="auto"/>
            <w:vMerge/>
            <w:tcBorders>
              <w:top w:val="single" w:sz="8" w:space="0" w:color="auto"/>
              <w:left w:val="single" w:sz="8" w:space="0" w:color="auto"/>
              <w:bottom w:val="single" w:sz="4" w:space="0" w:color="auto"/>
              <w:right w:val="single" w:sz="4" w:space="0" w:color="auto"/>
            </w:tcBorders>
            <w:vAlign w:val="center"/>
          </w:tcPr>
          <w:p w14:paraId="37B543C7" w14:textId="77777777" w:rsidR="00C34226" w:rsidRDefault="00C34226">
            <w:pPr>
              <w:widowControl/>
              <w:adjustRightInd/>
              <w:spacing w:line="240" w:lineRule="auto"/>
              <w:jc w:val="left"/>
              <w:rPr>
                <w:rFonts w:ascii="Times New Roman" w:hAnsi="Times New Roman"/>
                <w:bCs/>
                <w:sz w:val="18"/>
                <w:szCs w:val="18"/>
              </w:rPr>
            </w:pPr>
          </w:p>
        </w:tc>
        <w:tc>
          <w:tcPr>
            <w:tcW w:w="0" w:type="auto"/>
            <w:vMerge/>
            <w:tcBorders>
              <w:top w:val="single" w:sz="8" w:space="0" w:color="auto"/>
              <w:left w:val="single" w:sz="4" w:space="0" w:color="auto"/>
              <w:bottom w:val="single" w:sz="4" w:space="0" w:color="auto"/>
              <w:right w:val="single" w:sz="4" w:space="0" w:color="auto"/>
            </w:tcBorders>
            <w:vAlign w:val="center"/>
          </w:tcPr>
          <w:p w14:paraId="3FF5EA42" w14:textId="77777777" w:rsidR="00C34226" w:rsidRDefault="00C34226">
            <w:pPr>
              <w:widowControl/>
              <w:adjustRightInd/>
              <w:spacing w:line="240" w:lineRule="auto"/>
              <w:jc w:val="left"/>
              <w:rPr>
                <w:rFonts w:ascii="Times New Roman" w:hAnsi="Times New Roman"/>
                <w:bCs/>
                <w:sz w:val="18"/>
                <w:szCs w:val="18"/>
              </w:rPr>
            </w:pPr>
          </w:p>
        </w:tc>
        <w:tc>
          <w:tcPr>
            <w:tcW w:w="1184" w:type="pct"/>
            <w:tcBorders>
              <w:top w:val="single" w:sz="8" w:space="0" w:color="auto"/>
              <w:left w:val="single" w:sz="4" w:space="0" w:color="auto"/>
              <w:bottom w:val="single" w:sz="4" w:space="0" w:color="auto"/>
              <w:right w:val="single" w:sz="4" w:space="0" w:color="auto"/>
            </w:tcBorders>
            <w:vAlign w:val="center"/>
          </w:tcPr>
          <w:p w14:paraId="5828ABF5"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算式</w:t>
            </w:r>
          </w:p>
        </w:tc>
        <w:tc>
          <w:tcPr>
            <w:tcW w:w="692" w:type="pct"/>
            <w:tcBorders>
              <w:top w:val="single" w:sz="8" w:space="0" w:color="auto"/>
              <w:left w:val="single" w:sz="4" w:space="0" w:color="auto"/>
              <w:bottom w:val="single" w:sz="4" w:space="0" w:color="auto"/>
              <w:right w:val="single" w:sz="4" w:space="0" w:color="auto"/>
            </w:tcBorders>
            <w:vAlign w:val="center"/>
          </w:tcPr>
          <w:p w14:paraId="2B59C8DF"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结果</w:t>
            </w:r>
          </w:p>
        </w:tc>
        <w:tc>
          <w:tcPr>
            <w:tcW w:w="768" w:type="pct"/>
            <w:tcBorders>
              <w:top w:val="single" w:sz="8" w:space="0" w:color="auto"/>
              <w:left w:val="single" w:sz="4" w:space="0" w:color="auto"/>
              <w:bottom w:val="single" w:sz="4" w:space="0" w:color="auto"/>
              <w:right w:val="single" w:sz="4" w:space="0" w:color="auto"/>
            </w:tcBorders>
            <w:vAlign w:val="center"/>
          </w:tcPr>
          <w:p w14:paraId="2E7BD7F2"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算式</w:t>
            </w:r>
          </w:p>
        </w:tc>
        <w:tc>
          <w:tcPr>
            <w:tcW w:w="735" w:type="pct"/>
            <w:tcBorders>
              <w:top w:val="single" w:sz="8" w:space="0" w:color="auto"/>
              <w:left w:val="single" w:sz="4" w:space="0" w:color="auto"/>
              <w:bottom w:val="single" w:sz="4" w:space="0" w:color="auto"/>
              <w:right w:val="single" w:sz="8" w:space="0" w:color="auto"/>
            </w:tcBorders>
            <w:vAlign w:val="center"/>
          </w:tcPr>
          <w:p w14:paraId="60183CF3"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结果</w:t>
            </w:r>
          </w:p>
        </w:tc>
      </w:tr>
      <w:tr w:rsidR="00C34226" w14:paraId="3B94927B" w14:textId="77777777">
        <w:trPr>
          <w:jc w:val="center"/>
        </w:trPr>
        <w:tc>
          <w:tcPr>
            <w:tcW w:w="871" w:type="pct"/>
            <w:vMerge w:val="restart"/>
            <w:tcBorders>
              <w:top w:val="single" w:sz="4" w:space="0" w:color="auto"/>
              <w:left w:val="single" w:sz="8" w:space="0" w:color="auto"/>
              <w:bottom w:val="single" w:sz="4" w:space="0" w:color="auto"/>
              <w:right w:val="single" w:sz="4" w:space="0" w:color="auto"/>
            </w:tcBorders>
            <w:vAlign w:val="center"/>
          </w:tcPr>
          <w:p w14:paraId="6725C349"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在编教职工</w:t>
            </w:r>
          </w:p>
        </w:tc>
        <w:tc>
          <w:tcPr>
            <w:tcW w:w="750" w:type="pct"/>
            <w:tcBorders>
              <w:top w:val="single" w:sz="4" w:space="0" w:color="auto"/>
              <w:left w:val="single" w:sz="4" w:space="0" w:color="auto"/>
              <w:bottom w:val="single" w:sz="4" w:space="0" w:color="auto"/>
              <w:right w:val="single" w:sz="4" w:space="0" w:color="auto"/>
            </w:tcBorders>
            <w:vAlign w:val="center"/>
          </w:tcPr>
          <w:p w14:paraId="2EC1AABA"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300</w:t>
            </w:r>
          </w:p>
        </w:tc>
        <w:tc>
          <w:tcPr>
            <w:tcW w:w="1184" w:type="pct"/>
            <w:tcBorders>
              <w:top w:val="single" w:sz="4" w:space="0" w:color="auto"/>
              <w:left w:val="single" w:sz="4" w:space="0" w:color="auto"/>
              <w:bottom w:val="single" w:sz="4" w:space="0" w:color="auto"/>
              <w:right w:val="single" w:sz="4" w:space="0" w:color="auto"/>
            </w:tcBorders>
            <w:vAlign w:val="center"/>
          </w:tcPr>
          <w:p w14:paraId="56BF67ED"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w:t>
            </w:r>
            <w:r>
              <w:rPr>
                <w:rFonts w:ascii="Times New Roman" w:hAnsi="Times New Roman"/>
                <w:bCs/>
                <w:sz w:val="18"/>
                <w:szCs w:val="18"/>
              </w:rPr>
              <w:t>365-45-40</w:t>
            </w:r>
            <w:r>
              <w:rPr>
                <w:rFonts w:ascii="宋体" w:hAnsi="宋体"/>
                <w:bCs/>
                <w:sz w:val="18"/>
                <w:szCs w:val="18"/>
              </w:rPr>
              <w:t>）</w:t>
            </w:r>
            <w:r>
              <w:rPr>
                <w:rFonts w:ascii="Times New Roman" w:hAnsi="Times New Roman"/>
                <w:bCs/>
                <w:sz w:val="18"/>
                <w:szCs w:val="18"/>
              </w:rPr>
              <w:t>/365</w:t>
            </w:r>
          </w:p>
        </w:tc>
        <w:tc>
          <w:tcPr>
            <w:tcW w:w="692" w:type="pct"/>
            <w:tcBorders>
              <w:top w:val="single" w:sz="4" w:space="0" w:color="auto"/>
              <w:left w:val="single" w:sz="4" w:space="0" w:color="auto"/>
              <w:bottom w:val="single" w:sz="4" w:space="0" w:color="auto"/>
              <w:right w:val="single" w:sz="4" w:space="0" w:color="auto"/>
            </w:tcBorders>
            <w:vAlign w:val="center"/>
          </w:tcPr>
          <w:p w14:paraId="0802DE72"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280/365</w:t>
            </w:r>
          </w:p>
        </w:tc>
        <w:tc>
          <w:tcPr>
            <w:tcW w:w="768" w:type="pct"/>
            <w:tcBorders>
              <w:top w:val="single" w:sz="4" w:space="0" w:color="auto"/>
              <w:left w:val="single" w:sz="4" w:space="0" w:color="auto"/>
              <w:bottom w:val="single" w:sz="4" w:space="0" w:color="auto"/>
              <w:right w:val="single" w:sz="4" w:space="0" w:color="auto"/>
            </w:tcBorders>
            <w:vAlign w:val="center"/>
          </w:tcPr>
          <w:p w14:paraId="711C6BBD"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300×280/365</w:t>
            </w:r>
          </w:p>
        </w:tc>
        <w:tc>
          <w:tcPr>
            <w:tcW w:w="735" w:type="pct"/>
            <w:tcBorders>
              <w:top w:val="single" w:sz="4" w:space="0" w:color="auto"/>
              <w:left w:val="single" w:sz="4" w:space="0" w:color="auto"/>
              <w:bottom w:val="single" w:sz="4" w:space="0" w:color="auto"/>
              <w:right w:val="single" w:sz="8" w:space="0" w:color="auto"/>
            </w:tcBorders>
            <w:vAlign w:val="center"/>
          </w:tcPr>
          <w:p w14:paraId="6A5E37EE"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 xml:space="preserve">230.14 </w:t>
            </w:r>
          </w:p>
        </w:tc>
      </w:tr>
      <w:tr w:rsidR="00C34226" w14:paraId="03AC772F" w14:textId="77777777">
        <w:trPr>
          <w:jc w:val="center"/>
        </w:trPr>
        <w:tc>
          <w:tcPr>
            <w:tcW w:w="0" w:type="auto"/>
            <w:vMerge/>
            <w:tcBorders>
              <w:top w:val="single" w:sz="4" w:space="0" w:color="auto"/>
              <w:left w:val="single" w:sz="8" w:space="0" w:color="auto"/>
              <w:bottom w:val="single" w:sz="4" w:space="0" w:color="auto"/>
              <w:right w:val="single" w:sz="4" w:space="0" w:color="auto"/>
            </w:tcBorders>
            <w:vAlign w:val="center"/>
          </w:tcPr>
          <w:p w14:paraId="4DC45D89" w14:textId="77777777" w:rsidR="00C34226" w:rsidRDefault="00C34226">
            <w:pPr>
              <w:widowControl/>
              <w:adjustRightInd/>
              <w:spacing w:line="240" w:lineRule="auto"/>
              <w:jc w:val="left"/>
              <w:rPr>
                <w:rFonts w:ascii="Times New Roman" w:hAnsi="Times New Roman"/>
                <w:bCs/>
                <w:sz w:val="18"/>
                <w:szCs w:val="18"/>
              </w:rPr>
            </w:pPr>
          </w:p>
        </w:tc>
        <w:tc>
          <w:tcPr>
            <w:tcW w:w="750" w:type="pct"/>
            <w:tcBorders>
              <w:top w:val="single" w:sz="4" w:space="0" w:color="auto"/>
              <w:left w:val="single" w:sz="4" w:space="0" w:color="auto"/>
              <w:bottom w:val="single" w:sz="4" w:space="0" w:color="auto"/>
              <w:right w:val="single" w:sz="4" w:space="0" w:color="auto"/>
            </w:tcBorders>
            <w:vAlign w:val="center"/>
          </w:tcPr>
          <w:p w14:paraId="01453D58"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200</w:t>
            </w:r>
          </w:p>
        </w:tc>
        <w:tc>
          <w:tcPr>
            <w:tcW w:w="1184" w:type="pct"/>
            <w:tcBorders>
              <w:top w:val="single" w:sz="4" w:space="0" w:color="auto"/>
              <w:left w:val="single" w:sz="4" w:space="0" w:color="auto"/>
              <w:bottom w:val="single" w:sz="4" w:space="0" w:color="auto"/>
              <w:right w:val="single" w:sz="4" w:space="0" w:color="auto"/>
            </w:tcBorders>
            <w:vAlign w:val="center"/>
          </w:tcPr>
          <w:p w14:paraId="584F1403"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365/365</w:t>
            </w:r>
          </w:p>
        </w:tc>
        <w:tc>
          <w:tcPr>
            <w:tcW w:w="692" w:type="pct"/>
            <w:tcBorders>
              <w:top w:val="single" w:sz="4" w:space="0" w:color="auto"/>
              <w:left w:val="single" w:sz="4" w:space="0" w:color="auto"/>
              <w:bottom w:val="single" w:sz="4" w:space="0" w:color="auto"/>
              <w:right w:val="single" w:sz="4" w:space="0" w:color="auto"/>
            </w:tcBorders>
            <w:vAlign w:val="center"/>
          </w:tcPr>
          <w:p w14:paraId="6CBF9606"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w:t>
            </w:r>
          </w:p>
        </w:tc>
        <w:tc>
          <w:tcPr>
            <w:tcW w:w="768" w:type="pct"/>
            <w:tcBorders>
              <w:top w:val="single" w:sz="4" w:space="0" w:color="auto"/>
              <w:left w:val="single" w:sz="4" w:space="0" w:color="auto"/>
              <w:bottom w:val="single" w:sz="4" w:space="0" w:color="auto"/>
              <w:right w:val="single" w:sz="4" w:space="0" w:color="auto"/>
            </w:tcBorders>
            <w:vAlign w:val="center"/>
          </w:tcPr>
          <w:p w14:paraId="0CEB4ECE"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200×1</w:t>
            </w:r>
          </w:p>
        </w:tc>
        <w:tc>
          <w:tcPr>
            <w:tcW w:w="735" w:type="pct"/>
            <w:tcBorders>
              <w:top w:val="single" w:sz="4" w:space="0" w:color="auto"/>
              <w:left w:val="single" w:sz="4" w:space="0" w:color="auto"/>
              <w:bottom w:val="single" w:sz="4" w:space="0" w:color="auto"/>
              <w:right w:val="single" w:sz="8" w:space="0" w:color="auto"/>
            </w:tcBorders>
            <w:vAlign w:val="center"/>
          </w:tcPr>
          <w:p w14:paraId="3A3AFA98"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 xml:space="preserve">200.00 </w:t>
            </w:r>
          </w:p>
        </w:tc>
      </w:tr>
      <w:tr w:rsidR="00C34226" w14:paraId="6D756568" w14:textId="77777777">
        <w:trPr>
          <w:jc w:val="center"/>
        </w:trPr>
        <w:tc>
          <w:tcPr>
            <w:tcW w:w="871" w:type="pct"/>
            <w:vMerge w:val="restart"/>
            <w:tcBorders>
              <w:top w:val="single" w:sz="4" w:space="0" w:color="auto"/>
              <w:left w:val="single" w:sz="8" w:space="0" w:color="auto"/>
              <w:bottom w:val="single" w:sz="4" w:space="0" w:color="auto"/>
              <w:right w:val="single" w:sz="4" w:space="0" w:color="auto"/>
            </w:tcBorders>
            <w:vAlign w:val="center"/>
          </w:tcPr>
          <w:p w14:paraId="0A64F103"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工勤、保障人员</w:t>
            </w:r>
          </w:p>
        </w:tc>
        <w:tc>
          <w:tcPr>
            <w:tcW w:w="750" w:type="pct"/>
            <w:tcBorders>
              <w:top w:val="single" w:sz="4" w:space="0" w:color="auto"/>
              <w:left w:val="single" w:sz="4" w:space="0" w:color="auto"/>
              <w:bottom w:val="single" w:sz="4" w:space="0" w:color="auto"/>
              <w:right w:val="single" w:sz="4" w:space="0" w:color="auto"/>
            </w:tcBorders>
            <w:vAlign w:val="center"/>
          </w:tcPr>
          <w:p w14:paraId="5D7EB6A3"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100</w:t>
            </w:r>
          </w:p>
        </w:tc>
        <w:tc>
          <w:tcPr>
            <w:tcW w:w="1184" w:type="pct"/>
            <w:tcBorders>
              <w:top w:val="single" w:sz="4" w:space="0" w:color="auto"/>
              <w:left w:val="single" w:sz="4" w:space="0" w:color="auto"/>
              <w:bottom w:val="single" w:sz="4" w:space="0" w:color="auto"/>
              <w:right w:val="single" w:sz="4" w:space="0" w:color="auto"/>
            </w:tcBorders>
            <w:vAlign w:val="center"/>
          </w:tcPr>
          <w:p w14:paraId="61316E0B"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w:t>
            </w:r>
            <w:r>
              <w:rPr>
                <w:rFonts w:ascii="Times New Roman" w:hAnsi="Times New Roman"/>
                <w:bCs/>
                <w:sz w:val="18"/>
                <w:szCs w:val="18"/>
              </w:rPr>
              <w:t>365-45-40</w:t>
            </w:r>
            <w:r>
              <w:rPr>
                <w:rFonts w:ascii="宋体" w:hAnsi="宋体"/>
                <w:bCs/>
                <w:sz w:val="18"/>
                <w:szCs w:val="18"/>
              </w:rPr>
              <w:t>）</w:t>
            </w:r>
            <w:r>
              <w:rPr>
                <w:rFonts w:ascii="Times New Roman" w:hAnsi="Times New Roman"/>
                <w:bCs/>
                <w:sz w:val="18"/>
                <w:szCs w:val="18"/>
              </w:rPr>
              <w:t>/365</w:t>
            </w:r>
          </w:p>
        </w:tc>
        <w:tc>
          <w:tcPr>
            <w:tcW w:w="692" w:type="pct"/>
            <w:tcBorders>
              <w:top w:val="single" w:sz="4" w:space="0" w:color="auto"/>
              <w:left w:val="single" w:sz="4" w:space="0" w:color="auto"/>
              <w:bottom w:val="single" w:sz="4" w:space="0" w:color="auto"/>
              <w:right w:val="single" w:sz="4" w:space="0" w:color="auto"/>
            </w:tcBorders>
            <w:vAlign w:val="center"/>
          </w:tcPr>
          <w:p w14:paraId="40578C3D"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280/365</w:t>
            </w:r>
          </w:p>
        </w:tc>
        <w:tc>
          <w:tcPr>
            <w:tcW w:w="768" w:type="pct"/>
            <w:tcBorders>
              <w:top w:val="single" w:sz="4" w:space="0" w:color="auto"/>
              <w:left w:val="single" w:sz="4" w:space="0" w:color="auto"/>
              <w:bottom w:val="single" w:sz="4" w:space="0" w:color="auto"/>
              <w:right w:val="single" w:sz="4" w:space="0" w:color="auto"/>
            </w:tcBorders>
            <w:vAlign w:val="center"/>
          </w:tcPr>
          <w:p w14:paraId="79ABDDBE"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100×280/365</w:t>
            </w:r>
          </w:p>
        </w:tc>
        <w:tc>
          <w:tcPr>
            <w:tcW w:w="735" w:type="pct"/>
            <w:tcBorders>
              <w:top w:val="single" w:sz="4" w:space="0" w:color="auto"/>
              <w:left w:val="single" w:sz="4" w:space="0" w:color="auto"/>
              <w:bottom w:val="single" w:sz="4" w:space="0" w:color="auto"/>
              <w:right w:val="single" w:sz="8" w:space="0" w:color="auto"/>
            </w:tcBorders>
            <w:vAlign w:val="center"/>
          </w:tcPr>
          <w:p w14:paraId="5166BD34"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 xml:space="preserve">76.71 </w:t>
            </w:r>
          </w:p>
        </w:tc>
      </w:tr>
      <w:tr w:rsidR="00C34226" w14:paraId="10323C43" w14:textId="77777777">
        <w:trPr>
          <w:jc w:val="center"/>
        </w:trPr>
        <w:tc>
          <w:tcPr>
            <w:tcW w:w="0" w:type="auto"/>
            <w:vMerge/>
            <w:tcBorders>
              <w:top w:val="single" w:sz="4" w:space="0" w:color="auto"/>
              <w:left w:val="single" w:sz="8" w:space="0" w:color="auto"/>
              <w:bottom w:val="single" w:sz="4" w:space="0" w:color="auto"/>
              <w:right w:val="single" w:sz="4" w:space="0" w:color="auto"/>
            </w:tcBorders>
            <w:vAlign w:val="center"/>
          </w:tcPr>
          <w:p w14:paraId="4BC027BD" w14:textId="77777777" w:rsidR="00C34226" w:rsidRDefault="00C34226">
            <w:pPr>
              <w:widowControl/>
              <w:adjustRightInd/>
              <w:spacing w:line="240" w:lineRule="auto"/>
              <w:jc w:val="left"/>
              <w:rPr>
                <w:rFonts w:ascii="Times New Roman" w:hAnsi="Times New Roman"/>
                <w:bCs/>
                <w:sz w:val="18"/>
                <w:szCs w:val="18"/>
              </w:rPr>
            </w:pPr>
          </w:p>
        </w:tc>
        <w:tc>
          <w:tcPr>
            <w:tcW w:w="750" w:type="pct"/>
            <w:tcBorders>
              <w:top w:val="single" w:sz="8" w:space="0" w:color="auto"/>
              <w:left w:val="single" w:sz="4" w:space="0" w:color="auto"/>
              <w:bottom w:val="single" w:sz="4" w:space="0" w:color="auto"/>
              <w:right w:val="single" w:sz="4" w:space="0" w:color="auto"/>
            </w:tcBorders>
            <w:vAlign w:val="center"/>
          </w:tcPr>
          <w:p w14:paraId="25C1594D"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50</w:t>
            </w:r>
          </w:p>
        </w:tc>
        <w:tc>
          <w:tcPr>
            <w:tcW w:w="1184" w:type="pct"/>
            <w:tcBorders>
              <w:top w:val="single" w:sz="8" w:space="0" w:color="auto"/>
              <w:left w:val="single" w:sz="4" w:space="0" w:color="auto"/>
              <w:bottom w:val="single" w:sz="4" w:space="0" w:color="auto"/>
              <w:right w:val="single" w:sz="4" w:space="0" w:color="auto"/>
            </w:tcBorders>
            <w:vAlign w:val="center"/>
          </w:tcPr>
          <w:p w14:paraId="058B9812"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365/365</w:t>
            </w:r>
          </w:p>
        </w:tc>
        <w:tc>
          <w:tcPr>
            <w:tcW w:w="692" w:type="pct"/>
            <w:tcBorders>
              <w:top w:val="single" w:sz="8" w:space="0" w:color="auto"/>
              <w:left w:val="single" w:sz="4" w:space="0" w:color="auto"/>
              <w:bottom w:val="single" w:sz="4" w:space="0" w:color="auto"/>
              <w:right w:val="single" w:sz="4" w:space="0" w:color="auto"/>
            </w:tcBorders>
            <w:vAlign w:val="center"/>
          </w:tcPr>
          <w:p w14:paraId="5755ADC0"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w:t>
            </w:r>
          </w:p>
        </w:tc>
        <w:tc>
          <w:tcPr>
            <w:tcW w:w="768" w:type="pct"/>
            <w:tcBorders>
              <w:top w:val="single" w:sz="8" w:space="0" w:color="auto"/>
              <w:left w:val="single" w:sz="4" w:space="0" w:color="auto"/>
              <w:bottom w:val="single" w:sz="4" w:space="0" w:color="auto"/>
              <w:right w:val="single" w:sz="4" w:space="0" w:color="auto"/>
            </w:tcBorders>
            <w:vAlign w:val="center"/>
          </w:tcPr>
          <w:p w14:paraId="0CF775F8"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50×1</w:t>
            </w:r>
          </w:p>
        </w:tc>
        <w:tc>
          <w:tcPr>
            <w:tcW w:w="735" w:type="pct"/>
            <w:tcBorders>
              <w:top w:val="single" w:sz="8" w:space="0" w:color="auto"/>
              <w:left w:val="single" w:sz="4" w:space="0" w:color="auto"/>
              <w:bottom w:val="single" w:sz="4" w:space="0" w:color="auto"/>
              <w:right w:val="single" w:sz="8" w:space="0" w:color="auto"/>
            </w:tcBorders>
            <w:vAlign w:val="center"/>
          </w:tcPr>
          <w:p w14:paraId="0C756F0F"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 xml:space="preserve">50.00 </w:t>
            </w:r>
          </w:p>
        </w:tc>
      </w:tr>
      <w:tr w:rsidR="00C34226" w14:paraId="4DB06223" w14:textId="77777777">
        <w:trPr>
          <w:jc w:val="center"/>
        </w:trPr>
        <w:tc>
          <w:tcPr>
            <w:tcW w:w="871" w:type="pct"/>
            <w:vMerge w:val="restart"/>
            <w:tcBorders>
              <w:top w:val="single" w:sz="4" w:space="0" w:color="auto"/>
              <w:left w:val="single" w:sz="8" w:space="0" w:color="auto"/>
              <w:bottom w:val="single" w:sz="4" w:space="0" w:color="auto"/>
              <w:right w:val="single" w:sz="4" w:space="0" w:color="auto"/>
            </w:tcBorders>
            <w:vAlign w:val="center"/>
          </w:tcPr>
          <w:p w14:paraId="723E9773"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注册学生</w:t>
            </w:r>
          </w:p>
        </w:tc>
        <w:tc>
          <w:tcPr>
            <w:tcW w:w="750" w:type="pct"/>
            <w:tcBorders>
              <w:top w:val="single" w:sz="8" w:space="0" w:color="auto"/>
              <w:left w:val="single" w:sz="4" w:space="0" w:color="auto"/>
              <w:bottom w:val="single" w:sz="4" w:space="0" w:color="auto"/>
              <w:right w:val="single" w:sz="4" w:space="0" w:color="auto"/>
            </w:tcBorders>
            <w:vAlign w:val="center"/>
          </w:tcPr>
          <w:p w14:paraId="6645110F"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2500</w:t>
            </w:r>
          </w:p>
        </w:tc>
        <w:tc>
          <w:tcPr>
            <w:tcW w:w="1184" w:type="pct"/>
            <w:tcBorders>
              <w:top w:val="single" w:sz="8" w:space="0" w:color="auto"/>
              <w:left w:val="single" w:sz="4" w:space="0" w:color="auto"/>
              <w:bottom w:val="single" w:sz="4" w:space="0" w:color="auto"/>
              <w:right w:val="single" w:sz="4" w:space="0" w:color="auto"/>
            </w:tcBorders>
            <w:vAlign w:val="center"/>
          </w:tcPr>
          <w:p w14:paraId="02AC5714"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w:t>
            </w:r>
            <w:r>
              <w:rPr>
                <w:rFonts w:ascii="Times New Roman" w:hAnsi="Times New Roman"/>
                <w:bCs/>
                <w:sz w:val="18"/>
                <w:szCs w:val="18"/>
              </w:rPr>
              <w:t>365-45-40</w:t>
            </w:r>
            <w:r>
              <w:rPr>
                <w:rFonts w:ascii="宋体" w:hAnsi="宋体"/>
                <w:bCs/>
                <w:sz w:val="18"/>
                <w:szCs w:val="18"/>
              </w:rPr>
              <w:t>）</w:t>
            </w:r>
            <w:r>
              <w:rPr>
                <w:rFonts w:ascii="Times New Roman" w:hAnsi="Times New Roman"/>
                <w:bCs/>
                <w:sz w:val="18"/>
                <w:szCs w:val="18"/>
              </w:rPr>
              <w:t>/365</w:t>
            </w:r>
          </w:p>
        </w:tc>
        <w:tc>
          <w:tcPr>
            <w:tcW w:w="692" w:type="pct"/>
            <w:tcBorders>
              <w:top w:val="single" w:sz="8" w:space="0" w:color="auto"/>
              <w:left w:val="single" w:sz="4" w:space="0" w:color="auto"/>
              <w:bottom w:val="single" w:sz="4" w:space="0" w:color="auto"/>
              <w:right w:val="single" w:sz="4" w:space="0" w:color="auto"/>
            </w:tcBorders>
            <w:vAlign w:val="center"/>
          </w:tcPr>
          <w:p w14:paraId="28953996"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280/365</w:t>
            </w:r>
          </w:p>
        </w:tc>
        <w:tc>
          <w:tcPr>
            <w:tcW w:w="768" w:type="pct"/>
            <w:tcBorders>
              <w:top w:val="single" w:sz="8" w:space="0" w:color="auto"/>
              <w:left w:val="single" w:sz="4" w:space="0" w:color="auto"/>
              <w:bottom w:val="single" w:sz="4" w:space="0" w:color="auto"/>
              <w:right w:val="single" w:sz="4" w:space="0" w:color="auto"/>
            </w:tcBorders>
            <w:vAlign w:val="center"/>
          </w:tcPr>
          <w:p w14:paraId="7FCF067C"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2500×280/365</w:t>
            </w:r>
          </w:p>
        </w:tc>
        <w:tc>
          <w:tcPr>
            <w:tcW w:w="735" w:type="pct"/>
            <w:tcBorders>
              <w:top w:val="single" w:sz="8" w:space="0" w:color="auto"/>
              <w:left w:val="single" w:sz="4" w:space="0" w:color="auto"/>
              <w:bottom w:val="single" w:sz="4" w:space="0" w:color="auto"/>
              <w:right w:val="single" w:sz="8" w:space="0" w:color="auto"/>
            </w:tcBorders>
            <w:vAlign w:val="center"/>
          </w:tcPr>
          <w:p w14:paraId="4438AF78"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 xml:space="preserve">1917.81 </w:t>
            </w:r>
          </w:p>
        </w:tc>
      </w:tr>
      <w:tr w:rsidR="00C34226" w14:paraId="7ECEC06B" w14:textId="77777777">
        <w:trPr>
          <w:jc w:val="center"/>
        </w:trPr>
        <w:tc>
          <w:tcPr>
            <w:tcW w:w="0" w:type="auto"/>
            <w:vMerge/>
            <w:tcBorders>
              <w:top w:val="single" w:sz="4" w:space="0" w:color="auto"/>
              <w:left w:val="single" w:sz="8" w:space="0" w:color="auto"/>
              <w:bottom w:val="single" w:sz="4" w:space="0" w:color="auto"/>
              <w:right w:val="single" w:sz="4" w:space="0" w:color="auto"/>
            </w:tcBorders>
            <w:vAlign w:val="center"/>
          </w:tcPr>
          <w:p w14:paraId="02B1C6DD" w14:textId="77777777" w:rsidR="00C34226" w:rsidRDefault="00C34226">
            <w:pPr>
              <w:widowControl/>
              <w:adjustRightInd/>
              <w:spacing w:line="240" w:lineRule="auto"/>
              <w:jc w:val="left"/>
              <w:rPr>
                <w:rFonts w:ascii="Times New Roman" w:hAnsi="Times New Roman"/>
                <w:bCs/>
                <w:sz w:val="18"/>
                <w:szCs w:val="18"/>
              </w:rPr>
            </w:pPr>
          </w:p>
        </w:tc>
        <w:tc>
          <w:tcPr>
            <w:tcW w:w="750" w:type="pct"/>
            <w:tcBorders>
              <w:top w:val="single" w:sz="8" w:space="0" w:color="auto"/>
              <w:left w:val="single" w:sz="4" w:space="0" w:color="auto"/>
              <w:bottom w:val="single" w:sz="4" w:space="0" w:color="auto"/>
              <w:right w:val="single" w:sz="4" w:space="0" w:color="auto"/>
            </w:tcBorders>
            <w:vAlign w:val="center"/>
          </w:tcPr>
          <w:p w14:paraId="7926C035"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500</w:t>
            </w:r>
          </w:p>
        </w:tc>
        <w:tc>
          <w:tcPr>
            <w:tcW w:w="1184" w:type="pct"/>
            <w:tcBorders>
              <w:top w:val="single" w:sz="8" w:space="0" w:color="auto"/>
              <w:left w:val="single" w:sz="4" w:space="0" w:color="auto"/>
              <w:bottom w:val="single" w:sz="4" w:space="0" w:color="auto"/>
              <w:right w:val="single" w:sz="4" w:space="0" w:color="auto"/>
            </w:tcBorders>
            <w:vAlign w:val="center"/>
          </w:tcPr>
          <w:p w14:paraId="5EA8ACBD"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w:t>
            </w:r>
            <w:r>
              <w:rPr>
                <w:rFonts w:ascii="Times New Roman" w:hAnsi="Times New Roman"/>
                <w:bCs/>
                <w:sz w:val="18"/>
                <w:szCs w:val="18"/>
              </w:rPr>
              <w:t>365-45</w:t>
            </w:r>
            <w:r>
              <w:rPr>
                <w:rFonts w:ascii="宋体" w:hAnsi="宋体"/>
                <w:bCs/>
                <w:sz w:val="18"/>
                <w:szCs w:val="18"/>
              </w:rPr>
              <w:t>）</w:t>
            </w:r>
            <w:r>
              <w:rPr>
                <w:rFonts w:ascii="Times New Roman" w:hAnsi="Times New Roman"/>
                <w:bCs/>
                <w:sz w:val="18"/>
                <w:szCs w:val="18"/>
              </w:rPr>
              <w:t>/365</w:t>
            </w:r>
          </w:p>
        </w:tc>
        <w:tc>
          <w:tcPr>
            <w:tcW w:w="692" w:type="pct"/>
            <w:tcBorders>
              <w:top w:val="single" w:sz="8" w:space="0" w:color="auto"/>
              <w:left w:val="single" w:sz="4" w:space="0" w:color="auto"/>
              <w:bottom w:val="single" w:sz="4" w:space="0" w:color="auto"/>
              <w:right w:val="single" w:sz="4" w:space="0" w:color="auto"/>
            </w:tcBorders>
            <w:vAlign w:val="center"/>
          </w:tcPr>
          <w:p w14:paraId="07F7A668"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320/365</w:t>
            </w:r>
          </w:p>
        </w:tc>
        <w:tc>
          <w:tcPr>
            <w:tcW w:w="768" w:type="pct"/>
            <w:tcBorders>
              <w:top w:val="single" w:sz="8" w:space="0" w:color="auto"/>
              <w:left w:val="single" w:sz="4" w:space="0" w:color="auto"/>
              <w:bottom w:val="single" w:sz="4" w:space="0" w:color="auto"/>
              <w:right w:val="single" w:sz="4" w:space="0" w:color="auto"/>
            </w:tcBorders>
            <w:vAlign w:val="center"/>
          </w:tcPr>
          <w:p w14:paraId="42B78BCB"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500×320/365</w:t>
            </w:r>
          </w:p>
        </w:tc>
        <w:tc>
          <w:tcPr>
            <w:tcW w:w="735" w:type="pct"/>
            <w:tcBorders>
              <w:top w:val="single" w:sz="8" w:space="0" w:color="auto"/>
              <w:left w:val="single" w:sz="4" w:space="0" w:color="auto"/>
              <w:bottom w:val="single" w:sz="4" w:space="0" w:color="auto"/>
              <w:right w:val="single" w:sz="8" w:space="0" w:color="auto"/>
            </w:tcBorders>
            <w:vAlign w:val="center"/>
          </w:tcPr>
          <w:p w14:paraId="167AC470"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 xml:space="preserve">438.36 </w:t>
            </w:r>
          </w:p>
        </w:tc>
      </w:tr>
      <w:tr w:rsidR="00C34226" w14:paraId="40F16E12" w14:textId="77777777">
        <w:trPr>
          <w:jc w:val="center"/>
        </w:trPr>
        <w:tc>
          <w:tcPr>
            <w:tcW w:w="871" w:type="pct"/>
            <w:vMerge w:val="restart"/>
            <w:tcBorders>
              <w:top w:val="single" w:sz="4" w:space="0" w:color="auto"/>
              <w:left w:val="single" w:sz="8" w:space="0" w:color="auto"/>
              <w:bottom w:val="single" w:sz="4" w:space="0" w:color="auto"/>
              <w:right w:val="single" w:sz="4" w:space="0" w:color="auto"/>
            </w:tcBorders>
            <w:vAlign w:val="center"/>
          </w:tcPr>
          <w:p w14:paraId="5CB8D0DD"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面向校外招生的短期培训班学员</w:t>
            </w:r>
          </w:p>
        </w:tc>
        <w:tc>
          <w:tcPr>
            <w:tcW w:w="750" w:type="pct"/>
            <w:tcBorders>
              <w:top w:val="single" w:sz="8" w:space="0" w:color="auto"/>
              <w:left w:val="single" w:sz="4" w:space="0" w:color="auto"/>
              <w:bottom w:val="single" w:sz="4" w:space="0" w:color="auto"/>
              <w:right w:val="single" w:sz="4" w:space="0" w:color="auto"/>
            </w:tcBorders>
            <w:vAlign w:val="center"/>
          </w:tcPr>
          <w:p w14:paraId="3931A233"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500</w:t>
            </w:r>
          </w:p>
        </w:tc>
        <w:tc>
          <w:tcPr>
            <w:tcW w:w="1184" w:type="pct"/>
            <w:tcBorders>
              <w:top w:val="single" w:sz="8" w:space="0" w:color="auto"/>
              <w:left w:val="single" w:sz="4" w:space="0" w:color="auto"/>
              <w:bottom w:val="single" w:sz="4" w:space="0" w:color="auto"/>
              <w:right w:val="single" w:sz="4" w:space="0" w:color="auto"/>
            </w:tcBorders>
            <w:vAlign w:val="center"/>
          </w:tcPr>
          <w:p w14:paraId="4028584B"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培训时间</w:t>
            </w:r>
            <w:r>
              <w:rPr>
                <w:rFonts w:ascii="Times New Roman" w:hAnsi="Times New Roman"/>
                <w:bCs/>
                <w:sz w:val="18"/>
                <w:szCs w:val="18"/>
              </w:rPr>
              <w:t>/</w:t>
            </w:r>
            <w:r>
              <w:rPr>
                <w:rFonts w:ascii="宋体" w:hAnsi="宋体"/>
                <w:bCs/>
                <w:sz w:val="18"/>
                <w:szCs w:val="18"/>
              </w:rPr>
              <w:t>年天数</w:t>
            </w:r>
          </w:p>
        </w:tc>
        <w:tc>
          <w:tcPr>
            <w:tcW w:w="692" w:type="pct"/>
            <w:tcBorders>
              <w:top w:val="single" w:sz="8" w:space="0" w:color="auto"/>
              <w:left w:val="single" w:sz="4" w:space="0" w:color="auto"/>
              <w:bottom w:val="single" w:sz="4" w:space="0" w:color="auto"/>
              <w:right w:val="single" w:sz="4" w:space="0" w:color="auto"/>
            </w:tcBorders>
            <w:vAlign w:val="center"/>
          </w:tcPr>
          <w:p w14:paraId="66CFFFF3"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25/365</w:t>
            </w:r>
          </w:p>
        </w:tc>
        <w:tc>
          <w:tcPr>
            <w:tcW w:w="768" w:type="pct"/>
            <w:tcBorders>
              <w:top w:val="single" w:sz="8" w:space="0" w:color="auto"/>
              <w:left w:val="single" w:sz="4" w:space="0" w:color="auto"/>
              <w:bottom w:val="single" w:sz="4" w:space="0" w:color="auto"/>
              <w:right w:val="single" w:sz="4" w:space="0" w:color="auto"/>
            </w:tcBorders>
            <w:vAlign w:val="center"/>
          </w:tcPr>
          <w:p w14:paraId="549AEAC9"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500×25/365</w:t>
            </w:r>
          </w:p>
        </w:tc>
        <w:tc>
          <w:tcPr>
            <w:tcW w:w="735" w:type="pct"/>
            <w:tcBorders>
              <w:top w:val="single" w:sz="8" w:space="0" w:color="auto"/>
              <w:left w:val="single" w:sz="4" w:space="0" w:color="auto"/>
              <w:bottom w:val="single" w:sz="4" w:space="0" w:color="auto"/>
              <w:right w:val="single" w:sz="8" w:space="0" w:color="auto"/>
            </w:tcBorders>
            <w:vAlign w:val="center"/>
          </w:tcPr>
          <w:p w14:paraId="562E153B"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 xml:space="preserve">34.25 </w:t>
            </w:r>
          </w:p>
        </w:tc>
      </w:tr>
      <w:tr w:rsidR="00C34226" w14:paraId="4A4999EB" w14:textId="77777777">
        <w:trPr>
          <w:jc w:val="center"/>
        </w:trPr>
        <w:tc>
          <w:tcPr>
            <w:tcW w:w="0" w:type="auto"/>
            <w:vMerge/>
            <w:tcBorders>
              <w:top w:val="single" w:sz="4" w:space="0" w:color="auto"/>
              <w:left w:val="single" w:sz="8" w:space="0" w:color="auto"/>
              <w:bottom w:val="single" w:sz="4" w:space="0" w:color="auto"/>
              <w:right w:val="single" w:sz="4" w:space="0" w:color="auto"/>
            </w:tcBorders>
            <w:vAlign w:val="center"/>
          </w:tcPr>
          <w:p w14:paraId="09188920" w14:textId="77777777" w:rsidR="00C34226" w:rsidRDefault="00C34226">
            <w:pPr>
              <w:widowControl/>
              <w:adjustRightInd/>
              <w:spacing w:line="240" w:lineRule="auto"/>
              <w:jc w:val="left"/>
              <w:rPr>
                <w:rFonts w:ascii="Times New Roman" w:hAnsi="Times New Roman"/>
                <w:bCs/>
                <w:sz w:val="18"/>
                <w:szCs w:val="18"/>
              </w:rPr>
            </w:pPr>
          </w:p>
        </w:tc>
        <w:tc>
          <w:tcPr>
            <w:tcW w:w="750" w:type="pct"/>
            <w:tcBorders>
              <w:top w:val="single" w:sz="8" w:space="0" w:color="auto"/>
              <w:left w:val="single" w:sz="4" w:space="0" w:color="auto"/>
              <w:bottom w:val="single" w:sz="4" w:space="0" w:color="auto"/>
              <w:right w:val="single" w:sz="4" w:space="0" w:color="auto"/>
            </w:tcBorders>
            <w:vAlign w:val="center"/>
          </w:tcPr>
          <w:p w14:paraId="0D514946"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1000</w:t>
            </w:r>
          </w:p>
        </w:tc>
        <w:tc>
          <w:tcPr>
            <w:tcW w:w="1184" w:type="pct"/>
            <w:tcBorders>
              <w:top w:val="single" w:sz="8" w:space="0" w:color="auto"/>
              <w:left w:val="single" w:sz="4" w:space="0" w:color="auto"/>
              <w:bottom w:val="single" w:sz="4" w:space="0" w:color="auto"/>
              <w:right w:val="single" w:sz="4" w:space="0" w:color="auto"/>
            </w:tcBorders>
            <w:vAlign w:val="center"/>
          </w:tcPr>
          <w:p w14:paraId="0274C233"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培训时间</w:t>
            </w:r>
            <w:r>
              <w:rPr>
                <w:rFonts w:ascii="Times New Roman" w:hAnsi="Times New Roman"/>
                <w:bCs/>
                <w:sz w:val="18"/>
                <w:szCs w:val="18"/>
              </w:rPr>
              <w:t>/</w:t>
            </w:r>
            <w:r>
              <w:rPr>
                <w:rFonts w:ascii="宋体" w:hAnsi="宋体"/>
                <w:bCs/>
                <w:sz w:val="18"/>
                <w:szCs w:val="18"/>
              </w:rPr>
              <w:t>年天数</w:t>
            </w:r>
          </w:p>
        </w:tc>
        <w:tc>
          <w:tcPr>
            <w:tcW w:w="692" w:type="pct"/>
            <w:tcBorders>
              <w:top w:val="single" w:sz="8" w:space="0" w:color="auto"/>
              <w:left w:val="single" w:sz="4" w:space="0" w:color="auto"/>
              <w:bottom w:val="single" w:sz="4" w:space="0" w:color="auto"/>
              <w:right w:val="single" w:sz="4" w:space="0" w:color="auto"/>
            </w:tcBorders>
            <w:vAlign w:val="center"/>
          </w:tcPr>
          <w:p w14:paraId="544AC1BE"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30/365</w:t>
            </w:r>
          </w:p>
        </w:tc>
        <w:tc>
          <w:tcPr>
            <w:tcW w:w="768" w:type="pct"/>
            <w:tcBorders>
              <w:top w:val="single" w:sz="8" w:space="0" w:color="auto"/>
              <w:left w:val="single" w:sz="4" w:space="0" w:color="auto"/>
              <w:bottom w:val="single" w:sz="4" w:space="0" w:color="auto"/>
              <w:right w:val="single" w:sz="4" w:space="0" w:color="auto"/>
            </w:tcBorders>
            <w:vAlign w:val="center"/>
          </w:tcPr>
          <w:p w14:paraId="52F77E1A"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1000×30/365</w:t>
            </w:r>
          </w:p>
        </w:tc>
        <w:tc>
          <w:tcPr>
            <w:tcW w:w="735" w:type="pct"/>
            <w:tcBorders>
              <w:top w:val="single" w:sz="8" w:space="0" w:color="auto"/>
              <w:left w:val="single" w:sz="4" w:space="0" w:color="auto"/>
              <w:bottom w:val="single" w:sz="4" w:space="0" w:color="auto"/>
              <w:right w:val="single" w:sz="8" w:space="0" w:color="auto"/>
            </w:tcBorders>
            <w:vAlign w:val="center"/>
          </w:tcPr>
          <w:p w14:paraId="7BAD8162"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 xml:space="preserve">82.19 </w:t>
            </w:r>
          </w:p>
        </w:tc>
      </w:tr>
      <w:tr w:rsidR="00C34226" w14:paraId="5299525C" w14:textId="77777777">
        <w:trPr>
          <w:jc w:val="center"/>
        </w:trPr>
        <w:tc>
          <w:tcPr>
            <w:tcW w:w="871" w:type="pct"/>
            <w:vMerge w:val="restart"/>
            <w:tcBorders>
              <w:top w:val="single" w:sz="4" w:space="0" w:color="auto"/>
              <w:left w:val="single" w:sz="8" w:space="0" w:color="auto"/>
              <w:bottom w:val="single" w:sz="4" w:space="0" w:color="auto"/>
              <w:right w:val="single" w:sz="4" w:space="0" w:color="auto"/>
            </w:tcBorders>
            <w:vAlign w:val="center"/>
          </w:tcPr>
          <w:p w14:paraId="04A29608"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外来人员</w:t>
            </w:r>
          </w:p>
        </w:tc>
        <w:tc>
          <w:tcPr>
            <w:tcW w:w="750" w:type="pct"/>
            <w:tcBorders>
              <w:top w:val="single" w:sz="8" w:space="0" w:color="auto"/>
              <w:left w:val="single" w:sz="4" w:space="0" w:color="auto"/>
              <w:bottom w:val="single" w:sz="4" w:space="0" w:color="auto"/>
              <w:right w:val="single" w:sz="4" w:space="0" w:color="auto"/>
            </w:tcBorders>
            <w:vAlign w:val="center"/>
          </w:tcPr>
          <w:p w14:paraId="6C625339"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200</w:t>
            </w:r>
          </w:p>
        </w:tc>
        <w:tc>
          <w:tcPr>
            <w:tcW w:w="1184" w:type="pct"/>
            <w:tcBorders>
              <w:top w:val="single" w:sz="8" w:space="0" w:color="auto"/>
              <w:left w:val="single" w:sz="4" w:space="0" w:color="auto"/>
              <w:bottom w:val="single" w:sz="4" w:space="0" w:color="auto"/>
              <w:right w:val="single" w:sz="4" w:space="0" w:color="auto"/>
            </w:tcBorders>
            <w:vAlign w:val="center"/>
          </w:tcPr>
          <w:p w14:paraId="131F92E4"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会议时间</w:t>
            </w:r>
            <w:r>
              <w:rPr>
                <w:rFonts w:ascii="Times New Roman" w:hAnsi="Times New Roman"/>
                <w:bCs/>
                <w:sz w:val="18"/>
                <w:szCs w:val="18"/>
              </w:rPr>
              <w:t>/</w:t>
            </w:r>
            <w:r>
              <w:rPr>
                <w:rFonts w:ascii="宋体" w:hAnsi="宋体"/>
                <w:bCs/>
                <w:sz w:val="18"/>
                <w:szCs w:val="18"/>
              </w:rPr>
              <w:t>年天数</w:t>
            </w:r>
          </w:p>
        </w:tc>
        <w:tc>
          <w:tcPr>
            <w:tcW w:w="692" w:type="pct"/>
            <w:tcBorders>
              <w:top w:val="single" w:sz="8" w:space="0" w:color="auto"/>
              <w:left w:val="single" w:sz="4" w:space="0" w:color="auto"/>
              <w:bottom w:val="single" w:sz="4" w:space="0" w:color="auto"/>
              <w:right w:val="single" w:sz="4" w:space="0" w:color="auto"/>
            </w:tcBorders>
            <w:vAlign w:val="center"/>
          </w:tcPr>
          <w:p w14:paraId="3D52FEEF"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2/365</w:t>
            </w:r>
          </w:p>
        </w:tc>
        <w:tc>
          <w:tcPr>
            <w:tcW w:w="768" w:type="pct"/>
            <w:tcBorders>
              <w:top w:val="single" w:sz="8" w:space="0" w:color="auto"/>
              <w:left w:val="single" w:sz="4" w:space="0" w:color="auto"/>
              <w:bottom w:val="single" w:sz="4" w:space="0" w:color="auto"/>
              <w:right w:val="single" w:sz="4" w:space="0" w:color="auto"/>
            </w:tcBorders>
            <w:vAlign w:val="center"/>
          </w:tcPr>
          <w:p w14:paraId="340AE2F4"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200×2/365</w:t>
            </w:r>
          </w:p>
        </w:tc>
        <w:tc>
          <w:tcPr>
            <w:tcW w:w="735" w:type="pct"/>
            <w:tcBorders>
              <w:top w:val="single" w:sz="8" w:space="0" w:color="auto"/>
              <w:left w:val="single" w:sz="4" w:space="0" w:color="auto"/>
              <w:bottom w:val="single" w:sz="4" w:space="0" w:color="auto"/>
              <w:right w:val="single" w:sz="8" w:space="0" w:color="auto"/>
            </w:tcBorders>
            <w:vAlign w:val="center"/>
          </w:tcPr>
          <w:p w14:paraId="20B17319"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 xml:space="preserve">1.10 </w:t>
            </w:r>
          </w:p>
        </w:tc>
      </w:tr>
      <w:tr w:rsidR="00C34226" w14:paraId="25099CAF" w14:textId="77777777">
        <w:trPr>
          <w:jc w:val="center"/>
        </w:trPr>
        <w:tc>
          <w:tcPr>
            <w:tcW w:w="0" w:type="auto"/>
            <w:vMerge/>
            <w:tcBorders>
              <w:top w:val="single" w:sz="4" w:space="0" w:color="auto"/>
              <w:left w:val="single" w:sz="8" w:space="0" w:color="auto"/>
              <w:bottom w:val="single" w:sz="4" w:space="0" w:color="auto"/>
              <w:right w:val="single" w:sz="4" w:space="0" w:color="auto"/>
            </w:tcBorders>
            <w:vAlign w:val="center"/>
          </w:tcPr>
          <w:p w14:paraId="5EF969D0" w14:textId="77777777" w:rsidR="00C34226" w:rsidRDefault="00C34226">
            <w:pPr>
              <w:widowControl/>
              <w:adjustRightInd/>
              <w:spacing w:line="240" w:lineRule="auto"/>
              <w:jc w:val="left"/>
              <w:rPr>
                <w:rFonts w:ascii="Times New Roman" w:hAnsi="Times New Roman"/>
                <w:bCs/>
                <w:sz w:val="18"/>
                <w:szCs w:val="18"/>
              </w:rPr>
            </w:pPr>
          </w:p>
        </w:tc>
        <w:tc>
          <w:tcPr>
            <w:tcW w:w="750" w:type="pct"/>
            <w:tcBorders>
              <w:top w:val="single" w:sz="8" w:space="0" w:color="auto"/>
              <w:left w:val="single" w:sz="4" w:space="0" w:color="auto"/>
              <w:bottom w:val="single" w:sz="4" w:space="0" w:color="auto"/>
              <w:right w:val="single" w:sz="4" w:space="0" w:color="auto"/>
            </w:tcBorders>
            <w:vAlign w:val="center"/>
          </w:tcPr>
          <w:p w14:paraId="215D3AF6"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300</w:t>
            </w:r>
          </w:p>
        </w:tc>
        <w:tc>
          <w:tcPr>
            <w:tcW w:w="1184" w:type="pct"/>
            <w:tcBorders>
              <w:top w:val="single" w:sz="8" w:space="0" w:color="auto"/>
              <w:left w:val="single" w:sz="4" w:space="0" w:color="auto"/>
              <w:bottom w:val="single" w:sz="4" w:space="0" w:color="auto"/>
              <w:right w:val="single" w:sz="4" w:space="0" w:color="auto"/>
            </w:tcBorders>
            <w:vAlign w:val="center"/>
          </w:tcPr>
          <w:p w14:paraId="10ABC683"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会议时间</w:t>
            </w:r>
            <w:r>
              <w:rPr>
                <w:rFonts w:ascii="Times New Roman" w:hAnsi="Times New Roman"/>
                <w:bCs/>
                <w:sz w:val="18"/>
                <w:szCs w:val="18"/>
              </w:rPr>
              <w:t>/</w:t>
            </w:r>
            <w:r>
              <w:rPr>
                <w:rFonts w:ascii="宋体" w:hAnsi="宋体"/>
                <w:bCs/>
                <w:sz w:val="18"/>
                <w:szCs w:val="18"/>
              </w:rPr>
              <w:t>年天数</w:t>
            </w:r>
          </w:p>
        </w:tc>
        <w:tc>
          <w:tcPr>
            <w:tcW w:w="692" w:type="pct"/>
            <w:tcBorders>
              <w:top w:val="single" w:sz="8" w:space="0" w:color="auto"/>
              <w:left w:val="single" w:sz="4" w:space="0" w:color="auto"/>
              <w:bottom w:val="single" w:sz="4" w:space="0" w:color="auto"/>
              <w:right w:val="single" w:sz="4" w:space="0" w:color="auto"/>
            </w:tcBorders>
            <w:vAlign w:val="center"/>
          </w:tcPr>
          <w:p w14:paraId="28EB4C95"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3/365</w:t>
            </w:r>
          </w:p>
        </w:tc>
        <w:tc>
          <w:tcPr>
            <w:tcW w:w="768" w:type="pct"/>
            <w:tcBorders>
              <w:top w:val="single" w:sz="8" w:space="0" w:color="auto"/>
              <w:left w:val="single" w:sz="4" w:space="0" w:color="auto"/>
              <w:bottom w:val="single" w:sz="4" w:space="0" w:color="auto"/>
              <w:right w:val="single" w:sz="4" w:space="0" w:color="auto"/>
            </w:tcBorders>
            <w:vAlign w:val="center"/>
          </w:tcPr>
          <w:p w14:paraId="65E5C46C"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300×3/365</w:t>
            </w:r>
          </w:p>
        </w:tc>
        <w:tc>
          <w:tcPr>
            <w:tcW w:w="735" w:type="pct"/>
            <w:tcBorders>
              <w:top w:val="single" w:sz="8" w:space="0" w:color="auto"/>
              <w:left w:val="single" w:sz="4" w:space="0" w:color="auto"/>
              <w:bottom w:val="single" w:sz="4" w:space="0" w:color="auto"/>
              <w:right w:val="single" w:sz="8" w:space="0" w:color="auto"/>
            </w:tcBorders>
            <w:vAlign w:val="center"/>
          </w:tcPr>
          <w:p w14:paraId="3AAD4A56"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 xml:space="preserve">2.47 </w:t>
            </w:r>
          </w:p>
        </w:tc>
      </w:tr>
      <w:tr w:rsidR="00C34226" w14:paraId="446AB899" w14:textId="77777777">
        <w:trPr>
          <w:jc w:val="center"/>
        </w:trPr>
        <w:tc>
          <w:tcPr>
            <w:tcW w:w="4265" w:type="pct"/>
            <w:gridSpan w:val="5"/>
            <w:tcBorders>
              <w:top w:val="single" w:sz="4" w:space="0" w:color="auto"/>
              <w:left w:val="single" w:sz="8" w:space="0" w:color="auto"/>
              <w:bottom w:val="single" w:sz="8" w:space="0" w:color="auto"/>
              <w:right w:val="single" w:sz="4" w:space="0" w:color="auto"/>
            </w:tcBorders>
            <w:vAlign w:val="center"/>
          </w:tcPr>
          <w:p w14:paraId="7CCCBE70"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合计</w:t>
            </w:r>
          </w:p>
        </w:tc>
        <w:tc>
          <w:tcPr>
            <w:tcW w:w="735" w:type="pct"/>
            <w:tcBorders>
              <w:top w:val="single" w:sz="4" w:space="0" w:color="auto"/>
              <w:left w:val="single" w:sz="4" w:space="0" w:color="auto"/>
              <w:bottom w:val="single" w:sz="8" w:space="0" w:color="auto"/>
              <w:right w:val="single" w:sz="8" w:space="0" w:color="auto"/>
            </w:tcBorders>
            <w:vAlign w:val="center"/>
          </w:tcPr>
          <w:p w14:paraId="55B2B8DC"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3033.03</w:t>
            </w:r>
          </w:p>
        </w:tc>
      </w:tr>
    </w:tbl>
    <w:p w14:paraId="4D3895E8" w14:textId="77777777" w:rsidR="00C34226" w:rsidRDefault="00000000">
      <w:pPr>
        <w:pStyle w:val="aff0"/>
        <w:spacing w:after="0"/>
      </w:pPr>
      <w:r>
        <w:t>医疗机构用能人数计算</w:t>
      </w:r>
    </w:p>
    <w:p w14:paraId="0EDBB455" w14:textId="77777777" w:rsidR="00C34226" w:rsidRDefault="00000000">
      <w:pPr>
        <w:widowControl/>
        <w:adjustRightInd/>
        <w:spacing w:after="0" w:line="240" w:lineRule="auto"/>
        <w:ind w:firstLineChars="200" w:firstLine="420"/>
        <w:rPr>
          <w:rFonts w:ascii="宋体" w:hAnsi="宋体" w:hint="eastAsia"/>
          <w:kern w:val="0"/>
        </w:rPr>
      </w:pPr>
      <w:r>
        <w:rPr>
          <w:rFonts w:ascii="宋体" w:hAnsi="宋体"/>
          <w:kern w:val="0"/>
        </w:rPr>
        <w:t>某医院在编职工</w:t>
      </w:r>
      <w:r>
        <w:rPr>
          <w:rFonts w:ascii="Times New Roman" w:hAnsi="Times New Roman"/>
          <w:kern w:val="0"/>
        </w:rPr>
        <w:t>600</w:t>
      </w:r>
      <w:r>
        <w:rPr>
          <w:rFonts w:ascii="宋体" w:hAnsi="宋体"/>
          <w:kern w:val="0"/>
        </w:rPr>
        <w:t>人，工勤、保障人员</w:t>
      </w:r>
      <w:r>
        <w:rPr>
          <w:rFonts w:ascii="Times New Roman" w:hAnsi="Times New Roman"/>
          <w:kern w:val="0"/>
        </w:rPr>
        <w:t>200</w:t>
      </w:r>
      <w:r>
        <w:rPr>
          <w:rFonts w:ascii="宋体" w:hAnsi="宋体"/>
          <w:kern w:val="0"/>
        </w:rPr>
        <w:t>人，实习生</w:t>
      </w:r>
      <w:r>
        <w:rPr>
          <w:rFonts w:ascii="Times New Roman" w:hAnsi="Times New Roman"/>
          <w:kern w:val="0"/>
        </w:rPr>
        <w:t>100</w:t>
      </w:r>
      <w:r>
        <w:rPr>
          <w:rFonts w:ascii="宋体" w:hAnsi="宋体"/>
          <w:kern w:val="0"/>
        </w:rPr>
        <w:t>人，年内实习期</w:t>
      </w:r>
      <w:r>
        <w:rPr>
          <w:rFonts w:ascii="Times New Roman" w:hAnsi="Times New Roman"/>
          <w:kern w:val="0"/>
        </w:rPr>
        <w:t>120</w:t>
      </w:r>
      <w:r>
        <w:rPr>
          <w:rFonts w:ascii="宋体" w:hAnsi="宋体"/>
          <w:kern w:val="0"/>
        </w:rPr>
        <w:t>天，门诊人数全年累计门诊量</w:t>
      </w:r>
      <w:r>
        <w:rPr>
          <w:rFonts w:ascii="Times New Roman" w:hAnsi="Times New Roman"/>
          <w:kern w:val="0"/>
        </w:rPr>
        <w:t>987600</w:t>
      </w:r>
      <w:r>
        <w:rPr>
          <w:rFonts w:ascii="宋体" w:hAnsi="宋体"/>
          <w:kern w:val="0"/>
        </w:rPr>
        <w:t>次，医院共有床位数</w:t>
      </w:r>
      <w:r>
        <w:rPr>
          <w:rFonts w:ascii="Times New Roman" w:hAnsi="Times New Roman"/>
          <w:kern w:val="0"/>
        </w:rPr>
        <w:t>900</w:t>
      </w:r>
      <w:r>
        <w:rPr>
          <w:rFonts w:ascii="宋体" w:hAnsi="宋体"/>
          <w:kern w:val="0"/>
        </w:rPr>
        <w:t>个，全年日均床位开出率为</w:t>
      </w:r>
      <w:r>
        <w:rPr>
          <w:rFonts w:ascii="Times New Roman" w:hAnsi="Times New Roman"/>
          <w:kern w:val="0"/>
        </w:rPr>
        <w:t>100%</w:t>
      </w:r>
      <w:r>
        <w:rPr>
          <w:rFonts w:ascii="宋体" w:hAnsi="宋体"/>
          <w:kern w:val="0"/>
        </w:rPr>
        <w:t>，参加第一类学术交流会议或讲座</w:t>
      </w:r>
      <w:r>
        <w:rPr>
          <w:rFonts w:ascii="Times New Roman" w:hAnsi="Times New Roman"/>
          <w:kern w:val="0"/>
        </w:rPr>
        <w:t>50</w:t>
      </w:r>
      <w:r>
        <w:rPr>
          <w:rFonts w:ascii="宋体" w:hAnsi="宋体"/>
          <w:kern w:val="0"/>
        </w:rPr>
        <w:t>人，时间半天，参加第二类学术交流会议或讲座</w:t>
      </w:r>
      <w:r>
        <w:rPr>
          <w:rFonts w:ascii="Times New Roman" w:hAnsi="Times New Roman"/>
          <w:kern w:val="0"/>
        </w:rPr>
        <w:t>80</w:t>
      </w:r>
      <w:r>
        <w:rPr>
          <w:rFonts w:ascii="宋体" w:hAnsi="宋体"/>
          <w:kern w:val="0"/>
        </w:rPr>
        <w:t>人，时间</w:t>
      </w:r>
      <w:r>
        <w:rPr>
          <w:rFonts w:ascii="Times New Roman" w:hAnsi="Times New Roman"/>
          <w:kern w:val="0"/>
        </w:rPr>
        <w:t>1</w:t>
      </w:r>
      <w:r>
        <w:rPr>
          <w:rFonts w:ascii="宋体" w:hAnsi="宋体"/>
          <w:kern w:val="0"/>
        </w:rPr>
        <w:t>天。该医院用能人数为</w:t>
      </w:r>
      <w:r>
        <w:rPr>
          <w:rFonts w:ascii="Times New Roman" w:hAnsi="Times New Roman"/>
          <w:kern w:val="0"/>
        </w:rPr>
        <w:t>4439</w:t>
      </w:r>
      <w:r>
        <w:rPr>
          <w:rFonts w:ascii="宋体" w:hAnsi="宋体"/>
          <w:kern w:val="0"/>
        </w:rPr>
        <w:t>人。计算明细如表</w:t>
      </w:r>
      <w:r>
        <w:rPr>
          <w:rFonts w:ascii="Times New Roman" w:hAnsi="Times New Roman" w:hint="eastAsia"/>
          <w:kern w:val="0"/>
        </w:rPr>
        <w:t>A</w:t>
      </w:r>
      <w:r>
        <w:rPr>
          <w:rFonts w:ascii="Times New Roman" w:hAnsi="Times New Roman"/>
          <w:kern w:val="0"/>
        </w:rPr>
        <w:t>.3</w:t>
      </w:r>
      <w:r>
        <w:rPr>
          <w:rFonts w:ascii="宋体" w:hAnsi="宋体"/>
          <w:kern w:val="0"/>
        </w:rPr>
        <w:t>所示。</w:t>
      </w:r>
    </w:p>
    <w:p w14:paraId="1DA1EC8F" w14:textId="77777777" w:rsidR="00C34226" w:rsidRDefault="00000000">
      <w:pPr>
        <w:pStyle w:val="aff5"/>
        <w:spacing w:before="156" w:after="156"/>
      </w:pPr>
      <w:r>
        <w:rPr>
          <w:rFonts w:hAnsi="黑体"/>
        </w:rPr>
        <w:t>某医疗机构用能人数计算明细表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667"/>
        <w:gridCol w:w="1418"/>
        <w:gridCol w:w="2207"/>
        <w:gridCol w:w="1324"/>
        <w:gridCol w:w="1547"/>
        <w:gridCol w:w="1407"/>
      </w:tblGrid>
      <w:tr w:rsidR="00C34226" w14:paraId="1DE690EA" w14:textId="77777777">
        <w:trPr>
          <w:jc w:val="center"/>
        </w:trPr>
        <w:tc>
          <w:tcPr>
            <w:tcW w:w="871" w:type="pct"/>
            <w:vMerge w:val="restart"/>
            <w:tcBorders>
              <w:top w:val="single" w:sz="8" w:space="0" w:color="auto"/>
              <w:left w:val="single" w:sz="8" w:space="0" w:color="auto"/>
              <w:bottom w:val="single" w:sz="4" w:space="0" w:color="auto"/>
              <w:right w:val="single" w:sz="4" w:space="0" w:color="auto"/>
            </w:tcBorders>
            <w:vAlign w:val="center"/>
          </w:tcPr>
          <w:p w14:paraId="67FCEEF5"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名称</w:t>
            </w:r>
          </w:p>
        </w:tc>
        <w:tc>
          <w:tcPr>
            <w:tcW w:w="741" w:type="pct"/>
            <w:vMerge w:val="restart"/>
            <w:tcBorders>
              <w:top w:val="single" w:sz="8" w:space="0" w:color="auto"/>
              <w:left w:val="single" w:sz="4" w:space="0" w:color="auto"/>
              <w:bottom w:val="single" w:sz="4" w:space="0" w:color="auto"/>
              <w:right w:val="single" w:sz="4" w:space="0" w:color="auto"/>
            </w:tcBorders>
            <w:vAlign w:val="center"/>
          </w:tcPr>
          <w:p w14:paraId="6D681201"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人数（人）</w:t>
            </w:r>
          </w:p>
          <w:p w14:paraId="4C87AADF" w14:textId="77777777" w:rsidR="00C34226" w:rsidRDefault="00C34226">
            <w:pPr>
              <w:adjustRightInd/>
              <w:spacing w:line="240" w:lineRule="auto"/>
              <w:jc w:val="center"/>
              <w:rPr>
                <w:rFonts w:ascii="Times New Roman" w:hAnsi="Times New Roman"/>
                <w:bCs/>
                <w:sz w:val="18"/>
                <w:szCs w:val="18"/>
              </w:rPr>
            </w:pPr>
          </w:p>
        </w:tc>
        <w:tc>
          <w:tcPr>
            <w:tcW w:w="1845" w:type="pct"/>
            <w:gridSpan w:val="2"/>
            <w:tcBorders>
              <w:top w:val="single" w:sz="8" w:space="0" w:color="auto"/>
              <w:left w:val="single" w:sz="4" w:space="0" w:color="auto"/>
              <w:bottom w:val="single" w:sz="8" w:space="0" w:color="auto"/>
              <w:right w:val="single" w:sz="4" w:space="0" w:color="auto"/>
            </w:tcBorders>
            <w:vAlign w:val="center"/>
          </w:tcPr>
          <w:p w14:paraId="0BB30641"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计日系数</w:t>
            </w:r>
          </w:p>
        </w:tc>
        <w:tc>
          <w:tcPr>
            <w:tcW w:w="1543" w:type="pct"/>
            <w:gridSpan w:val="2"/>
            <w:tcBorders>
              <w:top w:val="single" w:sz="8" w:space="0" w:color="auto"/>
              <w:left w:val="single" w:sz="4" w:space="0" w:color="auto"/>
              <w:bottom w:val="single" w:sz="8" w:space="0" w:color="auto"/>
              <w:right w:val="single" w:sz="8" w:space="0" w:color="auto"/>
            </w:tcBorders>
            <w:vAlign w:val="center"/>
          </w:tcPr>
          <w:p w14:paraId="6E03ABE6"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用能人数（人）</w:t>
            </w:r>
          </w:p>
        </w:tc>
      </w:tr>
      <w:tr w:rsidR="00C34226" w14:paraId="05AE797A" w14:textId="77777777">
        <w:trPr>
          <w:jc w:val="center"/>
        </w:trPr>
        <w:tc>
          <w:tcPr>
            <w:tcW w:w="871" w:type="pct"/>
            <w:vMerge/>
            <w:tcBorders>
              <w:top w:val="single" w:sz="8" w:space="0" w:color="auto"/>
              <w:left w:val="single" w:sz="8" w:space="0" w:color="auto"/>
              <w:bottom w:val="single" w:sz="4" w:space="0" w:color="auto"/>
              <w:right w:val="single" w:sz="4" w:space="0" w:color="auto"/>
            </w:tcBorders>
            <w:vAlign w:val="center"/>
          </w:tcPr>
          <w:p w14:paraId="31522C50" w14:textId="77777777" w:rsidR="00C34226" w:rsidRDefault="00C34226">
            <w:pPr>
              <w:widowControl/>
              <w:adjustRightInd/>
              <w:spacing w:line="240" w:lineRule="auto"/>
              <w:jc w:val="left"/>
              <w:rPr>
                <w:rFonts w:ascii="Times New Roman" w:hAnsi="Times New Roman"/>
                <w:bCs/>
                <w:sz w:val="18"/>
                <w:szCs w:val="18"/>
              </w:rPr>
            </w:pPr>
          </w:p>
        </w:tc>
        <w:tc>
          <w:tcPr>
            <w:tcW w:w="741" w:type="pct"/>
            <w:vMerge/>
            <w:tcBorders>
              <w:top w:val="single" w:sz="8" w:space="0" w:color="auto"/>
              <w:left w:val="single" w:sz="4" w:space="0" w:color="auto"/>
              <w:bottom w:val="single" w:sz="4" w:space="0" w:color="auto"/>
              <w:right w:val="single" w:sz="4" w:space="0" w:color="auto"/>
            </w:tcBorders>
            <w:vAlign w:val="center"/>
          </w:tcPr>
          <w:p w14:paraId="387AC198" w14:textId="77777777" w:rsidR="00C34226" w:rsidRDefault="00C34226">
            <w:pPr>
              <w:widowControl/>
              <w:adjustRightInd/>
              <w:spacing w:line="240" w:lineRule="auto"/>
              <w:jc w:val="left"/>
              <w:rPr>
                <w:rFonts w:ascii="Times New Roman" w:hAnsi="Times New Roman"/>
                <w:bCs/>
                <w:sz w:val="18"/>
                <w:szCs w:val="18"/>
              </w:rPr>
            </w:pPr>
          </w:p>
        </w:tc>
        <w:tc>
          <w:tcPr>
            <w:tcW w:w="1153" w:type="pct"/>
            <w:tcBorders>
              <w:top w:val="single" w:sz="8" w:space="0" w:color="auto"/>
              <w:left w:val="single" w:sz="4" w:space="0" w:color="auto"/>
              <w:bottom w:val="single" w:sz="4" w:space="0" w:color="auto"/>
              <w:right w:val="single" w:sz="4" w:space="0" w:color="auto"/>
            </w:tcBorders>
            <w:vAlign w:val="center"/>
          </w:tcPr>
          <w:p w14:paraId="5861B777"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算式</w:t>
            </w:r>
          </w:p>
        </w:tc>
        <w:tc>
          <w:tcPr>
            <w:tcW w:w="692" w:type="pct"/>
            <w:tcBorders>
              <w:top w:val="single" w:sz="8" w:space="0" w:color="auto"/>
              <w:left w:val="single" w:sz="4" w:space="0" w:color="auto"/>
              <w:bottom w:val="single" w:sz="4" w:space="0" w:color="auto"/>
              <w:right w:val="single" w:sz="4" w:space="0" w:color="auto"/>
            </w:tcBorders>
            <w:vAlign w:val="center"/>
          </w:tcPr>
          <w:p w14:paraId="37C82281"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结果</w:t>
            </w:r>
          </w:p>
        </w:tc>
        <w:tc>
          <w:tcPr>
            <w:tcW w:w="808" w:type="pct"/>
            <w:tcBorders>
              <w:top w:val="single" w:sz="8" w:space="0" w:color="auto"/>
              <w:left w:val="single" w:sz="4" w:space="0" w:color="auto"/>
              <w:bottom w:val="single" w:sz="4" w:space="0" w:color="auto"/>
              <w:right w:val="single" w:sz="4" w:space="0" w:color="auto"/>
            </w:tcBorders>
            <w:vAlign w:val="center"/>
          </w:tcPr>
          <w:p w14:paraId="13E07347"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算式</w:t>
            </w:r>
          </w:p>
        </w:tc>
        <w:tc>
          <w:tcPr>
            <w:tcW w:w="735" w:type="pct"/>
            <w:tcBorders>
              <w:top w:val="single" w:sz="8" w:space="0" w:color="auto"/>
              <w:left w:val="single" w:sz="4" w:space="0" w:color="auto"/>
              <w:bottom w:val="single" w:sz="4" w:space="0" w:color="auto"/>
              <w:right w:val="single" w:sz="8" w:space="0" w:color="auto"/>
            </w:tcBorders>
            <w:vAlign w:val="center"/>
          </w:tcPr>
          <w:p w14:paraId="24B3180D"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结果</w:t>
            </w:r>
          </w:p>
        </w:tc>
      </w:tr>
      <w:tr w:rsidR="00C34226" w14:paraId="1F1992F8" w14:textId="77777777">
        <w:trPr>
          <w:jc w:val="center"/>
        </w:trPr>
        <w:tc>
          <w:tcPr>
            <w:tcW w:w="871" w:type="pct"/>
            <w:tcBorders>
              <w:top w:val="single" w:sz="4" w:space="0" w:color="auto"/>
              <w:left w:val="single" w:sz="8" w:space="0" w:color="auto"/>
              <w:bottom w:val="single" w:sz="4" w:space="0" w:color="auto"/>
              <w:right w:val="single" w:sz="4" w:space="0" w:color="auto"/>
            </w:tcBorders>
            <w:vAlign w:val="center"/>
          </w:tcPr>
          <w:p w14:paraId="1176ED21"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在编人员</w:t>
            </w:r>
          </w:p>
        </w:tc>
        <w:tc>
          <w:tcPr>
            <w:tcW w:w="741" w:type="pct"/>
            <w:tcBorders>
              <w:top w:val="single" w:sz="4" w:space="0" w:color="auto"/>
              <w:left w:val="single" w:sz="4" w:space="0" w:color="auto"/>
              <w:bottom w:val="single" w:sz="4" w:space="0" w:color="auto"/>
              <w:right w:val="single" w:sz="4" w:space="0" w:color="auto"/>
            </w:tcBorders>
            <w:vAlign w:val="center"/>
          </w:tcPr>
          <w:p w14:paraId="1A73BA1F"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600</w:t>
            </w:r>
          </w:p>
        </w:tc>
        <w:tc>
          <w:tcPr>
            <w:tcW w:w="1153" w:type="pct"/>
            <w:tcBorders>
              <w:top w:val="single" w:sz="4" w:space="0" w:color="auto"/>
              <w:left w:val="single" w:sz="4" w:space="0" w:color="auto"/>
              <w:bottom w:val="single" w:sz="4" w:space="0" w:color="auto"/>
              <w:right w:val="single" w:sz="4" w:space="0" w:color="auto"/>
            </w:tcBorders>
            <w:vAlign w:val="center"/>
          </w:tcPr>
          <w:p w14:paraId="64B7F467"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w:t>
            </w:r>
          </w:p>
        </w:tc>
        <w:tc>
          <w:tcPr>
            <w:tcW w:w="692" w:type="pct"/>
            <w:tcBorders>
              <w:top w:val="single" w:sz="4" w:space="0" w:color="auto"/>
              <w:left w:val="single" w:sz="4" w:space="0" w:color="auto"/>
              <w:bottom w:val="single" w:sz="4" w:space="0" w:color="auto"/>
              <w:right w:val="single" w:sz="4" w:space="0" w:color="auto"/>
            </w:tcBorders>
            <w:vAlign w:val="center"/>
          </w:tcPr>
          <w:p w14:paraId="0027F5A7"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w:t>
            </w:r>
          </w:p>
        </w:tc>
        <w:tc>
          <w:tcPr>
            <w:tcW w:w="808" w:type="pct"/>
            <w:tcBorders>
              <w:top w:val="single" w:sz="4" w:space="0" w:color="auto"/>
              <w:left w:val="single" w:sz="4" w:space="0" w:color="auto"/>
              <w:bottom w:val="single" w:sz="4" w:space="0" w:color="auto"/>
              <w:right w:val="single" w:sz="4" w:space="0" w:color="auto"/>
            </w:tcBorders>
            <w:vAlign w:val="center"/>
          </w:tcPr>
          <w:p w14:paraId="1807C02B"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600×1</w:t>
            </w:r>
          </w:p>
        </w:tc>
        <w:tc>
          <w:tcPr>
            <w:tcW w:w="735" w:type="pct"/>
            <w:tcBorders>
              <w:top w:val="single" w:sz="4" w:space="0" w:color="auto"/>
              <w:left w:val="single" w:sz="4" w:space="0" w:color="auto"/>
              <w:bottom w:val="single" w:sz="4" w:space="0" w:color="auto"/>
              <w:right w:val="single" w:sz="8" w:space="0" w:color="auto"/>
            </w:tcBorders>
            <w:vAlign w:val="center"/>
          </w:tcPr>
          <w:p w14:paraId="7C63E372"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600</w:t>
            </w:r>
          </w:p>
        </w:tc>
      </w:tr>
    </w:tbl>
    <w:p w14:paraId="1F442F50" w14:textId="77777777" w:rsidR="00C34226" w:rsidRDefault="00000000">
      <w:pPr>
        <w:adjustRightInd/>
        <w:spacing w:line="240" w:lineRule="auto"/>
        <w:jc w:val="center"/>
        <w:rPr>
          <w:rFonts w:ascii="黑体" w:eastAsia="黑体" w:hAnsi="黑体" w:hint="eastAsia"/>
        </w:rPr>
      </w:pPr>
      <w:r>
        <w:rPr>
          <w:rFonts w:ascii="黑体" w:eastAsia="黑体" w:hAnsi="黑体"/>
        </w:rPr>
        <w:lastRenderedPageBreak/>
        <w:t>表</w:t>
      </w:r>
      <w:r>
        <w:rPr>
          <w:rFonts w:ascii="黑体" w:eastAsia="黑体" w:hAnsi="黑体" w:hint="eastAsia"/>
        </w:rPr>
        <w:t xml:space="preserve"> </w:t>
      </w:r>
      <w:r>
        <w:rPr>
          <w:rFonts w:ascii="黑体" w:eastAsia="黑体" w:hAnsi="黑体" w:hint="eastAsia"/>
          <w:bCs/>
        </w:rPr>
        <w:t>A</w:t>
      </w:r>
      <w:r>
        <w:rPr>
          <w:rFonts w:ascii="黑体" w:eastAsia="黑体" w:hAnsi="黑体"/>
          <w:bCs/>
        </w:rPr>
        <w:t>.3</w:t>
      </w:r>
      <w:r>
        <w:rPr>
          <w:rFonts w:ascii="黑体" w:eastAsia="黑体" w:hAnsi="黑体" w:hint="eastAsia"/>
          <w:b/>
          <w:bCs/>
        </w:rPr>
        <w:t xml:space="preserve"> </w:t>
      </w:r>
      <w:r>
        <w:rPr>
          <w:rFonts w:ascii="黑体" w:eastAsia="黑体" w:hAnsi="黑体"/>
        </w:rPr>
        <w:t>某医疗机构用能人数计算明细表</w:t>
      </w:r>
      <w:r>
        <w:rPr>
          <w:rFonts w:ascii="宋体" w:hAnsi="宋体" w:hint="eastAsia"/>
        </w:rPr>
        <w:t>（续）</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667"/>
        <w:gridCol w:w="1418"/>
        <w:gridCol w:w="2207"/>
        <w:gridCol w:w="1324"/>
        <w:gridCol w:w="1547"/>
        <w:gridCol w:w="1407"/>
      </w:tblGrid>
      <w:tr w:rsidR="00C34226" w14:paraId="4B4F6A15" w14:textId="77777777">
        <w:trPr>
          <w:jc w:val="center"/>
        </w:trPr>
        <w:tc>
          <w:tcPr>
            <w:tcW w:w="871" w:type="pct"/>
            <w:vMerge w:val="restart"/>
            <w:tcBorders>
              <w:top w:val="single" w:sz="8" w:space="0" w:color="auto"/>
              <w:left w:val="single" w:sz="8" w:space="0" w:color="auto"/>
              <w:bottom w:val="single" w:sz="4" w:space="0" w:color="auto"/>
              <w:right w:val="single" w:sz="4" w:space="0" w:color="auto"/>
            </w:tcBorders>
            <w:vAlign w:val="center"/>
          </w:tcPr>
          <w:p w14:paraId="15D7DE84" w14:textId="77777777" w:rsidR="00C34226" w:rsidRDefault="00000000">
            <w:pPr>
              <w:adjustRightInd/>
              <w:spacing w:line="240" w:lineRule="auto"/>
              <w:jc w:val="center"/>
              <w:rPr>
                <w:rFonts w:ascii="Times New Roman" w:hAnsi="Times New Roman"/>
                <w:bCs/>
                <w:sz w:val="18"/>
                <w:szCs w:val="18"/>
              </w:rPr>
            </w:pPr>
            <w:bookmarkStart w:id="147" w:name="OLE_LINK5"/>
            <w:r>
              <w:rPr>
                <w:rFonts w:ascii="宋体" w:hAnsi="宋体"/>
                <w:bCs/>
                <w:sz w:val="18"/>
                <w:szCs w:val="18"/>
              </w:rPr>
              <w:t>名称</w:t>
            </w:r>
          </w:p>
        </w:tc>
        <w:tc>
          <w:tcPr>
            <w:tcW w:w="741" w:type="pct"/>
            <w:vMerge w:val="restart"/>
            <w:tcBorders>
              <w:top w:val="single" w:sz="8" w:space="0" w:color="auto"/>
              <w:left w:val="single" w:sz="4" w:space="0" w:color="auto"/>
              <w:bottom w:val="single" w:sz="4" w:space="0" w:color="auto"/>
              <w:right w:val="single" w:sz="4" w:space="0" w:color="auto"/>
            </w:tcBorders>
            <w:vAlign w:val="center"/>
          </w:tcPr>
          <w:p w14:paraId="15802840"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人数（人）</w:t>
            </w:r>
          </w:p>
          <w:p w14:paraId="7094DEDD" w14:textId="77777777" w:rsidR="00C34226" w:rsidRDefault="00C34226">
            <w:pPr>
              <w:adjustRightInd/>
              <w:spacing w:line="240" w:lineRule="auto"/>
              <w:jc w:val="center"/>
              <w:rPr>
                <w:rFonts w:ascii="Times New Roman" w:hAnsi="Times New Roman"/>
                <w:bCs/>
                <w:sz w:val="18"/>
                <w:szCs w:val="18"/>
              </w:rPr>
            </w:pPr>
          </w:p>
        </w:tc>
        <w:tc>
          <w:tcPr>
            <w:tcW w:w="1845" w:type="pct"/>
            <w:gridSpan w:val="2"/>
            <w:tcBorders>
              <w:top w:val="single" w:sz="8" w:space="0" w:color="auto"/>
              <w:left w:val="single" w:sz="4" w:space="0" w:color="auto"/>
              <w:bottom w:val="single" w:sz="8" w:space="0" w:color="auto"/>
              <w:right w:val="single" w:sz="4" w:space="0" w:color="auto"/>
            </w:tcBorders>
            <w:vAlign w:val="center"/>
          </w:tcPr>
          <w:p w14:paraId="1A36A64B"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计日系数</w:t>
            </w:r>
          </w:p>
        </w:tc>
        <w:tc>
          <w:tcPr>
            <w:tcW w:w="1543" w:type="pct"/>
            <w:gridSpan w:val="2"/>
            <w:tcBorders>
              <w:top w:val="single" w:sz="8" w:space="0" w:color="auto"/>
              <w:left w:val="single" w:sz="4" w:space="0" w:color="auto"/>
              <w:bottom w:val="single" w:sz="8" w:space="0" w:color="auto"/>
              <w:right w:val="single" w:sz="8" w:space="0" w:color="auto"/>
            </w:tcBorders>
            <w:vAlign w:val="center"/>
          </w:tcPr>
          <w:p w14:paraId="3D965533"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用能人数（人）</w:t>
            </w:r>
          </w:p>
        </w:tc>
      </w:tr>
      <w:tr w:rsidR="00C34226" w14:paraId="30A29A1F" w14:textId="77777777">
        <w:trPr>
          <w:jc w:val="center"/>
        </w:trPr>
        <w:tc>
          <w:tcPr>
            <w:tcW w:w="871" w:type="pct"/>
            <w:vMerge/>
            <w:tcBorders>
              <w:top w:val="single" w:sz="8" w:space="0" w:color="auto"/>
              <w:left w:val="single" w:sz="8" w:space="0" w:color="auto"/>
              <w:bottom w:val="single" w:sz="4" w:space="0" w:color="auto"/>
              <w:right w:val="single" w:sz="4" w:space="0" w:color="auto"/>
            </w:tcBorders>
            <w:vAlign w:val="center"/>
          </w:tcPr>
          <w:p w14:paraId="40A57854" w14:textId="77777777" w:rsidR="00C34226" w:rsidRDefault="00C34226">
            <w:pPr>
              <w:widowControl/>
              <w:adjustRightInd/>
              <w:spacing w:line="240" w:lineRule="auto"/>
              <w:jc w:val="left"/>
              <w:rPr>
                <w:rFonts w:ascii="Times New Roman" w:hAnsi="Times New Roman"/>
                <w:bCs/>
                <w:sz w:val="18"/>
                <w:szCs w:val="18"/>
              </w:rPr>
            </w:pPr>
          </w:p>
        </w:tc>
        <w:tc>
          <w:tcPr>
            <w:tcW w:w="741" w:type="pct"/>
            <w:vMerge/>
            <w:tcBorders>
              <w:top w:val="single" w:sz="8" w:space="0" w:color="auto"/>
              <w:left w:val="single" w:sz="4" w:space="0" w:color="auto"/>
              <w:bottom w:val="single" w:sz="4" w:space="0" w:color="auto"/>
              <w:right w:val="single" w:sz="4" w:space="0" w:color="auto"/>
            </w:tcBorders>
            <w:vAlign w:val="center"/>
          </w:tcPr>
          <w:p w14:paraId="2705FA0C" w14:textId="77777777" w:rsidR="00C34226" w:rsidRDefault="00C34226">
            <w:pPr>
              <w:widowControl/>
              <w:adjustRightInd/>
              <w:spacing w:line="240" w:lineRule="auto"/>
              <w:jc w:val="left"/>
              <w:rPr>
                <w:rFonts w:ascii="Times New Roman" w:hAnsi="Times New Roman"/>
                <w:bCs/>
                <w:sz w:val="18"/>
                <w:szCs w:val="18"/>
              </w:rPr>
            </w:pPr>
          </w:p>
        </w:tc>
        <w:tc>
          <w:tcPr>
            <w:tcW w:w="1153" w:type="pct"/>
            <w:tcBorders>
              <w:top w:val="single" w:sz="8" w:space="0" w:color="auto"/>
              <w:left w:val="single" w:sz="4" w:space="0" w:color="auto"/>
              <w:bottom w:val="single" w:sz="4" w:space="0" w:color="auto"/>
              <w:right w:val="single" w:sz="4" w:space="0" w:color="auto"/>
            </w:tcBorders>
            <w:vAlign w:val="center"/>
          </w:tcPr>
          <w:p w14:paraId="2B56556F"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算式</w:t>
            </w:r>
          </w:p>
        </w:tc>
        <w:tc>
          <w:tcPr>
            <w:tcW w:w="692" w:type="pct"/>
            <w:tcBorders>
              <w:top w:val="single" w:sz="8" w:space="0" w:color="auto"/>
              <w:left w:val="single" w:sz="4" w:space="0" w:color="auto"/>
              <w:bottom w:val="single" w:sz="4" w:space="0" w:color="auto"/>
              <w:right w:val="single" w:sz="4" w:space="0" w:color="auto"/>
            </w:tcBorders>
            <w:vAlign w:val="center"/>
          </w:tcPr>
          <w:p w14:paraId="2A184A35"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结果</w:t>
            </w:r>
          </w:p>
        </w:tc>
        <w:tc>
          <w:tcPr>
            <w:tcW w:w="808" w:type="pct"/>
            <w:tcBorders>
              <w:top w:val="single" w:sz="8" w:space="0" w:color="auto"/>
              <w:left w:val="single" w:sz="4" w:space="0" w:color="auto"/>
              <w:bottom w:val="single" w:sz="4" w:space="0" w:color="auto"/>
              <w:right w:val="single" w:sz="4" w:space="0" w:color="auto"/>
            </w:tcBorders>
            <w:vAlign w:val="center"/>
          </w:tcPr>
          <w:p w14:paraId="00E3A6A7"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算式</w:t>
            </w:r>
          </w:p>
        </w:tc>
        <w:tc>
          <w:tcPr>
            <w:tcW w:w="735" w:type="pct"/>
            <w:tcBorders>
              <w:top w:val="single" w:sz="8" w:space="0" w:color="auto"/>
              <w:left w:val="single" w:sz="4" w:space="0" w:color="auto"/>
              <w:bottom w:val="single" w:sz="4" w:space="0" w:color="auto"/>
              <w:right w:val="single" w:sz="8" w:space="0" w:color="auto"/>
            </w:tcBorders>
            <w:vAlign w:val="center"/>
          </w:tcPr>
          <w:p w14:paraId="387D0E83"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结果</w:t>
            </w:r>
          </w:p>
        </w:tc>
      </w:tr>
      <w:tr w:rsidR="000A0A31" w14:paraId="69AB2002" w14:textId="77777777">
        <w:trPr>
          <w:jc w:val="center"/>
        </w:trPr>
        <w:tc>
          <w:tcPr>
            <w:tcW w:w="871" w:type="pct"/>
            <w:tcBorders>
              <w:top w:val="single" w:sz="4" w:space="0" w:color="auto"/>
              <w:left w:val="single" w:sz="8" w:space="0" w:color="auto"/>
              <w:bottom w:val="single" w:sz="4" w:space="0" w:color="auto"/>
              <w:right w:val="single" w:sz="4" w:space="0" w:color="auto"/>
            </w:tcBorders>
            <w:vAlign w:val="center"/>
          </w:tcPr>
          <w:p w14:paraId="68FF7718" w14:textId="09CBCC8D" w:rsidR="000A0A31" w:rsidRDefault="000A0A31" w:rsidP="000A0A31">
            <w:pPr>
              <w:adjustRightInd/>
              <w:spacing w:line="240" w:lineRule="auto"/>
              <w:jc w:val="center"/>
              <w:rPr>
                <w:rFonts w:ascii="Times New Roman" w:hAnsi="Times New Roman"/>
                <w:bCs/>
                <w:sz w:val="18"/>
                <w:szCs w:val="18"/>
              </w:rPr>
            </w:pPr>
            <w:r>
              <w:rPr>
                <w:rFonts w:ascii="宋体" w:hAnsi="宋体"/>
                <w:bCs/>
                <w:sz w:val="18"/>
                <w:szCs w:val="18"/>
              </w:rPr>
              <w:t>工勤、保障人员</w:t>
            </w:r>
          </w:p>
        </w:tc>
        <w:tc>
          <w:tcPr>
            <w:tcW w:w="741" w:type="pct"/>
            <w:tcBorders>
              <w:top w:val="single" w:sz="4" w:space="0" w:color="auto"/>
              <w:left w:val="single" w:sz="4" w:space="0" w:color="auto"/>
              <w:bottom w:val="single" w:sz="4" w:space="0" w:color="auto"/>
              <w:right w:val="single" w:sz="4" w:space="0" w:color="auto"/>
            </w:tcBorders>
            <w:vAlign w:val="center"/>
          </w:tcPr>
          <w:p w14:paraId="2B88B9C6" w14:textId="6A72EB27" w:rsidR="000A0A31" w:rsidRDefault="000A0A31" w:rsidP="000A0A31">
            <w:pPr>
              <w:adjustRightInd/>
              <w:spacing w:line="240" w:lineRule="auto"/>
              <w:jc w:val="center"/>
              <w:rPr>
                <w:rFonts w:ascii="Times New Roman" w:hAnsi="Times New Roman"/>
                <w:bCs/>
                <w:sz w:val="18"/>
                <w:szCs w:val="18"/>
              </w:rPr>
            </w:pPr>
            <w:r>
              <w:rPr>
                <w:rFonts w:ascii="Times New Roman" w:hAnsi="Times New Roman"/>
                <w:bCs/>
                <w:sz w:val="18"/>
                <w:szCs w:val="18"/>
              </w:rPr>
              <w:t>200</w:t>
            </w:r>
          </w:p>
        </w:tc>
        <w:tc>
          <w:tcPr>
            <w:tcW w:w="1153" w:type="pct"/>
            <w:tcBorders>
              <w:top w:val="single" w:sz="4" w:space="0" w:color="auto"/>
              <w:left w:val="single" w:sz="4" w:space="0" w:color="auto"/>
              <w:bottom w:val="single" w:sz="4" w:space="0" w:color="auto"/>
              <w:right w:val="single" w:sz="4" w:space="0" w:color="auto"/>
            </w:tcBorders>
            <w:vAlign w:val="center"/>
          </w:tcPr>
          <w:p w14:paraId="374BA38B" w14:textId="55B41E45" w:rsidR="000A0A31" w:rsidRDefault="000A0A31" w:rsidP="000A0A31">
            <w:pPr>
              <w:adjustRightInd/>
              <w:spacing w:line="240" w:lineRule="auto"/>
              <w:jc w:val="center"/>
              <w:rPr>
                <w:rFonts w:ascii="Times New Roman" w:hAnsi="Times New Roman"/>
                <w:bCs/>
                <w:sz w:val="18"/>
                <w:szCs w:val="18"/>
              </w:rPr>
            </w:pPr>
            <w:r>
              <w:rPr>
                <w:rFonts w:ascii="Times New Roman" w:hAnsi="Times New Roman"/>
                <w:bCs/>
                <w:sz w:val="18"/>
                <w:szCs w:val="18"/>
              </w:rPr>
              <w:t>--</w:t>
            </w:r>
          </w:p>
        </w:tc>
        <w:tc>
          <w:tcPr>
            <w:tcW w:w="692" w:type="pct"/>
            <w:tcBorders>
              <w:top w:val="single" w:sz="4" w:space="0" w:color="auto"/>
              <w:left w:val="single" w:sz="4" w:space="0" w:color="auto"/>
              <w:bottom w:val="single" w:sz="4" w:space="0" w:color="auto"/>
              <w:right w:val="single" w:sz="4" w:space="0" w:color="auto"/>
            </w:tcBorders>
            <w:vAlign w:val="center"/>
          </w:tcPr>
          <w:p w14:paraId="6BCDD154" w14:textId="79FA1481" w:rsidR="000A0A31" w:rsidRDefault="000A0A31" w:rsidP="000A0A31">
            <w:pPr>
              <w:adjustRightInd/>
              <w:spacing w:line="240" w:lineRule="auto"/>
              <w:jc w:val="center"/>
              <w:rPr>
                <w:rFonts w:ascii="Times New Roman" w:hAnsi="Times New Roman"/>
                <w:bCs/>
                <w:sz w:val="18"/>
                <w:szCs w:val="18"/>
              </w:rPr>
            </w:pPr>
            <w:r>
              <w:rPr>
                <w:rFonts w:ascii="Times New Roman" w:hAnsi="Times New Roman"/>
                <w:bCs/>
                <w:sz w:val="18"/>
                <w:szCs w:val="18"/>
              </w:rPr>
              <w:t>1</w:t>
            </w:r>
          </w:p>
        </w:tc>
        <w:tc>
          <w:tcPr>
            <w:tcW w:w="808" w:type="pct"/>
            <w:tcBorders>
              <w:top w:val="single" w:sz="4" w:space="0" w:color="auto"/>
              <w:left w:val="single" w:sz="4" w:space="0" w:color="auto"/>
              <w:bottom w:val="single" w:sz="4" w:space="0" w:color="auto"/>
              <w:right w:val="single" w:sz="4" w:space="0" w:color="auto"/>
            </w:tcBorders>
            <w:vAlign w:val="center"/>
          </w:tcPr>
          <w:p w14:paraId="51E46871" w14:textId="09F19818" w:rsidR="000A0A31" w:rsidRDefault="000A0A31" w:rsidP="000A0A31">
            <w:pPr>
              <w:adjustRightInd/>
              <w:spacing w:line="240" w:lineRule="auto"/>
              <w:jc w:val="center"/>
              <w:rPr>
                <w:rFonts w:ascii="Times New Roman" w:hAnsi="Times New Roman"/>
                <w:bCs/>
                <w:sz w:val="18"/>
                <w:szCs w:val="18"/>
              </w:rPr>
            </w:pPr>
            <w:r>
              <w:rPr>
                <w:rFonts w:ascii="Times New Roman" w:hAnsi="Times New Roman"/>
                <w:bCs/>
                <w:sz w:val="18"/>
                <w:szCs w:val="18"/>
              </w:rPr>
              <w:t>200×1</w:t>
            </w:r>
          </w:p>
        </w:tc>
        <w:tc>
          <w:tcPr>
            <w:tcW w:w="735" w:type="pct"/>
            <w:tcBorders>
              <w:top w:val="single" w:sz="4" w:space="0" w:color="auto"/>
              <w:left w:val="single" w:sz="4" w:space="0" w:color="auto"/>
              <w:bottom w:val="single" w:sz="4" w:space="0" w:color="auto"/>
              <w:right w:val="single" w:sz="8" w:space="0" w:color="auto"/>
            </w:tcBorders>
            <w:vAlign w:val="center"/>
          </w:tcPr>
          <w:p w14:paraId="4287AAAA" w14:textId="146494AF" w:rsidR="000A0A31" w:rsidRDefault="000A0A31" w:rsidP="000A0A31">
            <w:pPr>
              <w:adjustRightInd/>
              <w:spacing w:line="240" w:lineRule="auto"/>
              <w:jc w:val="center"/>
              <w:rPr>
                <w:rFonts w:ascii="Times New Roman" w:hAnsi="Times New Roman"/>
                <w:bCs/>
                <w:sz w:val="18"/>
                <w:szCs w:val="18"/>
              </w:rPr>
            </w:pPr>
            <w:r>
              <w:rPr>
                <w:rFonts w:ascii="Times New Roman" w:hAnsi="Times New Roman"/>
                <w:bCs/>
                <w:sz w:val="18"/>
                <w:szCs w:val="18"/>
              </w:rPr>
              <w:t>200</w:t>
            </w:r>
          </w:p>
        </w:tc>
      </w:tr>
      <w:tr w:rsidR="000A0A31" w14:paraId="23D17CAF" w14:textId="77777777">
        <w:trPr>
          <w:jc w:val="center"/>
        </w:trPr>
        <w:tc>
          <w:tcPr>
            <w:tcW w:w="871" w:type="pct"/>
            <w:tcBorders>
              <w:top w:val="single" w:sz="4" w:space="0" w:color="auto"/>
              <w:left w:val="single" w:sz="8" w:space="0" w:color="auto"/>
              <w:bottom w:val="single" w:sz="4" w:space="0" w:color="auto"/>
              <w:right w:val="single" w:sz="4" w:space="0" w:color="auto"/>
            </w:tcBorders>
            <w:vAlign w:val="center"/>
          </w:tcPr>
          <w:p w14:paraId="44EE14AE" w14:textId="2A721F2B" w:rsidR="000A0A31" w:rsidRDefault="000A0A31" w:rsidP="000A0A31">
            <w:pPr>
              <w:adjustRightInd/>
              <w:spacing w:line="240" w:lineRule="auto"/>
              <w:jc w:val="center"/>
              <w:rPr>
                <w:rFonts w:ascii="宋体" w:hAnsi="宋体"/>
                <w:bCs/>
                <w:sz w:val="18"/>
                <w:szCs w:val="18"/>
              </w:rPr>
            </w:pPr>
            <w:r>
              <w:rPr>
                <w:rFonts w:ascii="宋体" w:hAnsi="宋体"/>
                <w:bCs/>
                <w:sz w:val="18"/>
                <w:szCs w:val="18"/>
              </w:rPr>
              <w:t>实习生</w:t>
            </w:r>
          </w:p>
        </w:tc>
        <w:tc>
          <w:tcPr>
            <w:tcW w:w="741" w:type="pct"/>
            <w:tcBorders>
              <w:top w:val="single" w:sz="4" w:space="0" w:color="auto"/>
              <w:left w:val="single" w:sz="4" w:space="0" w:color="auto"/>
              <w:bottom w:val="single" w:sz="4" w:space="0" w:color="auto"/>
              <w:right w:val="single" w:sz="4" w:space="0" w:color="auto"/>
            </w:tcBorders>
            <w:vAlign w:val="center"/>
          </w:tcPr>
          <w:p w14:paraId="7C9C3E4F" w14:textId="7722859E" w:rsidR="000A0A31" w:rsidRDefault="000A0A31" w:rsidP="000A0A31">
            <w:pPr>
              <w:adjustRightInd/>
              <w:spacing w:line="240" w:lineRule="auto"/>
              <w:jc w:val="center"/>
              <w:rPr>
                <w:rFonts w:ascii="Times New Roman" w:hAnsi="Times New Roman"/>
                <w:bCs/>
                <w:sz w:val="18"/>
                <w:szCs w:val="18"/>
              </w:rPr>
            </w:pPr>
            <w:r>
              <w:rPr>
                <w:rFonts w:ascii="Times New Roman" w:hAnsi="Times New Roman"/>
                <w:bCs/>
                <w:sz w:val="18"/>
                <w:szCs w:val="18"/>
              </w:rPr>
              <w:t>100</w:t>
            </w:r>
          </w:p>
        </w:tc>
        <w:tc>
          <w:tcPr>
            <w:tcW w:w="1153" w:type="pct"/>
            <w:tcBorders>
              <w:top w:val="single" w:sz="4" w:space="0" w:color="auto"/>
              <w:left w:val="single" w:sz="4" w:space="0" w:color="auto"/>
              <w:bottom w:val="single" w:sz="4" w:space="0" w:color="auto"/>
              <w:right w:val="single" w:sz="4" w:space="0" w:color="auto"/>
            </w:tcBorders>
            <w:vAlign w:val="center"/>
          </w:tcPr>
          <w:p w14:paraId="110F5A82" w14:textId="026CE5CE" w:rsidR="000A0A31" w:rsidRDefault="000A0A31" w:rsidP="000A0A31">
            <w:pPr>
              <w:adjustRightInd/>
              <w:spacing w:line="240" w:lineRule="auto"/>
              <w:jc w:val="center"/>
              <w:rPr>
                <w:rFonts w:ascii="Times New Roman" w:hAnsi="Times New Roman"/>
                <w:bCs/>
                <w:sz w:val="18"/>
                <w:szCs w:val="18"/>
              </w:rPr>
            </w:pPr>
            <w:r>
              <w:rPr>
                <w:rFonts w:ascii="Times New Roman" w:hAnsi="Times New Roman"/>
                <w:bCs/>
                <w:sz w:val="18"/>
                <w:szCs w:val="18"/>
              </w:rPr>
              <w:t>120/365</w:t>
            </w:r>
          </w:p>
        </w:tc>
        <w:tc>
          <w:tcPr>
            <w:tcW w:w="692" w:type="pct"/>
            <w:tcBorders>
              <w:top w:val="single" w:sz="4" w:space="0" w:color="auto"/>
              <w:left w:val="single" w:sz="4" w:space="0" w:color="auto"/>
              <w:bottom w:val="single" w:sz="4" w:space="0" w:color="auto"/>
              <w:right w:val="single" w:sz="4" w:space="0" w:color="auto"/>
            </w:tcBorders>
            <w:vAlign w:val="center"/>
          </w:tcPr>
          <w:p w14:paraId="150FDFCE" w14:textId="26B8B66D" w:rsidR="000A0A31" w:rsidRDefault="000A0A31" w:rsidP="000A0A31">
            <w:pPr>
              <w:adjustRightInd/>
              <w:spacing w:line="240" w:lineRule="auto"/>
              <w:jc w:val="center"/>
              <w:rPr>
                <w:rFonts w:ascii="Times New Roman" w:hAnsi="Times New Roman"/>
                <w:bCs/>
                <w:sz w:val="18"/>
                <w:szCs w:val="18"/>
              </w:rPr>
            </w:pPr>
            <w:r>
              <w:rPr>
                <w:rFonts w:ascii="Times New Roman" w:hAnsi="Times New Roman"/>
                <w:bCs/>
                <w:sz w:val="18"/>
                <w:szCs w:val="18"/>
              </w:rPr>
              <w:t>120/365</w:t>
            </w:r>
          </w:p>
        </w:tc>
        <w:tc>
          <w:tcPr>
            <w:tcW w:w="808" w:type="pct"/>
            <w:tcBorders>
              <w:top w:val="single" w:sz="4" w:space="0" w:color="auto"/>
              <w:left w:val="single" w:sz="4" w:space="0" w:color="auto"/>
              <w:bottom w:val="single" w:sz="4" w:space="0" w:color="auto"/>
              <w:right w:val="single" w:sz="4" w:space="0" w:color="auto"/>
            </w:tcBorders>
            <w:vAlign w:val="center"/>
          </w:tcPr>
          <w:p w14:paraId="1D09AC9E" w14:textId="173B3BFC" w:rsidR="000A0A31" w:rsidRDefault="000A0A31" w:rsidP="000A0A31">
            <w:pPr>
              <w:adjustRightInd/>
              <w:spacing w:line="240" w:lineRule="auto"/>
              <w:jc w:val="center"/>
              <w:rPr>
                <w:rFonts w:ascii="Times New Roman" w:hAnsi="Times New Roman"/>
                <w:bCs/>
                <w:sz w:val="18"/>
                <w:szCs w:val="18"/>
              </w:rPr>
            </w:pPr>
            <w:r>
              <w:rPr>
                <w:rFonts w:ascii="Times New Roman" w:hAnsi="Times New Roman"/>
                <w:bCs/>
                <w:sz w:val="18"/>
                <w:szCs w:val="18"/>
              </w:rPr>
              <w:t>100×120/365</w:t>
            </w:r>
          </w:p>
        </w:tc>
        <w:tc>
          <w:tcPr>
            <w:tcW w:w="735" w:type="pct"/>
            <w:tcBorders>
              <w:top w:val="single" w:sz="4" w:space="0" w:color="auto"/>
              <w:left w:val="single" w:sz="4" w:space="0" w:color="auto"/>
              <w:bottom w:val="single" w:sz="4" w:space="0" w:color="auto"/>
              <w:right w:val="single" w:sz="8" w:space="0" w:color="auto"/>
            </w:tcBorders>
            <w:vAlign w:val="center"/>
          </w:tcPr>
          <w:p w14:paraId="172FE784" w14:textId="5678E87F" w:rsidR="000A0A31" w:rsidRDefault="000A0A31" w:rsidP="000A0A31">
            <w:pPr>
              <w:adjustRightInd/>
              <w:spacing w:line="240" w:lineRule="auto"/>
              <w:jc w:val="center"/>
              <w:rPr>
                <w:rFonts w:ascii="Times New Roman" w:hAnsi="Times New Roman"/>
                <w:bCs/>
                <w:sz w:val="18"/>
                <w:szCs w:val="18"/>
              </w:rPr>
            </w:pPr>
            <w:r>
              <w:rPr>
                <w:rFonts w:ascii="Times New Roman" w:hAnsi="Times New Roman"/>
                <w:bCs/>
                <w:sz w:val="18"/>
                <w:szCs w:val="18"/>
              </w:rPr>
              <w:t>32.88</w:t>
            </w:r>
          </w:p>
        </w:tc>
      </w:tr>
      <w:tr w:rsidR="00C34226" w14:paraId="5FA60E44" w14:textId="77777777">
        <w:trPr>
          <w:jc w:val="center"/>
        </w:trPr>
        <w:tc>
          <w:tcPr>
            <w:tcW w:w="871" w:type="pct"/>
            <w:tcBorders>
              <w:top w:val="single" w:sz="4" w:space="0" w:color="auto"/>
              <w:left w:val="single" w:sz="8" w:space="0" w:color="auto"/>
              <w:bottom w:val="single" w:sz="4" w:space="0" w:color="auto"/>
              <w:right w:val="single" w:sz="4" w:space="0" w:color="auto"/>
            </w:tcBorders>
            <w:vAlign w:val="center"/>
          </w:tcPr>
          <w:p w14:paraId="64F7EE47"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门诊人数</w:t>
            </w:r>
          </w:p>
        </w:tc>
        <w:tc>
          <w:tcPr>
            <w:tcW w:w="741" w:type="pct"/>
            <w:tcBorders>
              <w:top w:val="single" w:sz="4" w:space="0" w:color="auto"/>
              <w:left w:val="single" w:sz="4" w:space="0" w:color="auto"/>
              <w:bottom w:val="single" w:sz="8" w:space="0" w:color="auto"/>
              <w:right w:val="single" w:sz="4" w:space="0" w:color="auto"/>
            </w:tcBorders>
            <w:vAlign w:val="center"/>
          </w:tcPr>
          <w:p w14:paraId="167CF5CF"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987600</w:t>
            </w:r>
          </w:p>
        </w:tc>
        <w:tc>
          <w:tcPr>
            <w:tcW w:w="1153" w:type="pct"/>
            <w:tcBorders>
              <w:top w:val="single" w:sz="4" w:space="0" w:color="auto"/>
              <w:left w:val="single" w:sz="4" w:space="0" w:color="auto"/>
              <w:bottom w:val="single" w:sz="8" w:space="0" w:color="auto"/>
              <w:right w:val="single" w:sz="4" w:space="0" w:color="auto"/>
            </w:tcBorders>
            <w:vAlign w:val="center"/>
          </w:tcPr>
          <w:p w14:paraId="52EEBBC6"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1/365</w:t>
            </w:r>
          </w:p>
        </w:tc>
        <w:tc>
          <w:tcPr>
            <w:tcW w:w="692" w:type="pct"/>
            <w:tcBorders>
              <w:top w:val="single" w:sz="4" w:space="0" w:color="auto"/>
              <w:left w:val="single" w:sz="4" w:space="0" w:color="auto"/>
              <w:bottom w:val="single" w:sz="8" w:space="0" w:color="auto"/>
              <w:right w:val="single" w:sz="4" w:space="0" w:color="auto"/>
            </w:tcBorders>
            <w:vAlign w:val="center"/>
          </w:tcPr>
          <w:p w14:paraId="2BA66FE6"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1/365</w:t>
            </w:r>
          </w:p>
        </w:tc>
        <w:tc>
          <w:tcPr>
            <w:tcW w:w="808" w:type="pct"/>
            <w:tcBorders>
              <w:top w:val="single" w:sz="4" w:space="0" w:color="auto"/>
              <w:left w:val="single" w:sz="4" w:space="0" w:color="auto"/>
              <w:bottom w:val="single" w:sz="8" w:space="0" w:color="auto"/>
              <w:right w:val="single" w:sz="4" w:space="0" w:color="auto"/>
            </w:tcBorders>
            <w:vAlign w:val="center"/>
          </w:tcPr>
          <w:p w14:paraId="2B1FA3A5"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987600×1/365</w:t>
            </w:r>
          </w:p>
        </w:tc>
        <w:tc>
          <w:tcPr>
            <w:tcW w:w="735" w:type="pct"/>
            <w:tcBorders>
              <w:top w:val="single" w:sz="4" w:space="0" w:color="auto"/>
              <w:left w:val="single" w:sz="4" w:space="0" w:color="auto"/>
              <w:bottom w:val="single" w:sz="8" w:space="0" w:color="auto"/>
              <w:right w:val="single" w:sz="8" w:space="0" w:color="auto"/>
            </w:tcBorders>
            <w:vAlign w:val="center"/>
          </w:tcPr>
          <w:p w14:paraId="77D5C9A7"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2705.75</w:t>
            </w:r>
          </w:p>
        </w:tc>
      </w:tr>
      <w:tr w:rsidR="00C34226" w14:paraId="49434DCB" w14:textId="77777777">
        <w:trPr>
          <w:jc w:val="center"/>
        </w:trPr>
        <w:tc>
          <w:tcPr>
            <w:tcW w:w="871" w:type="pct"/>
            <w:tcBorders>
              <w:top w:val="single" w:sz="4" w:space="0" w:color="auto"/>
              <w:left w:val="single" w:sz="8" w:space="0" w:color="auto"/>
              <w:bottom w:val="single" w:sz="4" w:space="0" w:color="auto"/>
              <w:right w:val="single" w:sz="4" w:space="0" w:color="auto"/>
            </w:tcBorders>
            <w:vAlign w:val="center"/>
          </w:tcPr>
          <w:p w14:paraId="007E37A0"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住院人数</w:t>
            </w:r>
          </w:p>
        </w:tc>
        <w:tc>
          <w:tcPr>
            <w:tcW w:w="741" w:type="pct"/>
            <w:tcBorders>
              <w:top w:val="single" w:sz="8" w:space="0" w:color="auto"/>
              <w:left w:val="single" w:sz="4" w:space="0" w:color="auto"/>
              <w:bottom w:val="single" w:sz="4" w:space="0" w:color="auto"/>
              <w:right w:val="single" w:sz="4" w:space="0" w:color="auto"/>
            </w:tcBorders>
            <w:vAlign w:val="center"/>
          </w:tcPr>
          <w:p w14:paraId="05289E57"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900</w:t>
            </w:r>
          </w:p>
        </w:tc>
        <w:tc>
          <w:tcPr>
            <w:tcW w:w="1153" w:type="pct"/>
            <w:tcBorders>
              <w:top w:val="single" w:sz="8" w:space="0" w:color="auto"/>
              <w:left w:val="single" w:sz="4" w:space="0" w:color="auto"/>
              <w:bottom w:val="single" w:sz="4" w:space="0" w:color="auto"/>
              <w:right w:val="single" w:sz="4" w:space="0" w:color="auto"/>
            </w:tcBorders>
            <w:vAlign w:val="center"/>
          </w:tcPr>
          <w:p w14:paraId="024F1F57"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100%</w:t>
            </w:r>
          </w:p>
        </w:tc>
        <w:tc>
          <w:tcPr>
            <w:tcW w:w="692" w:type="pct"/>
            <w:tcBorders>
              <w:top w:val="single" w:sz="8" w:space="0" w:color="auto"/>
              <w:left w:val="single" w:sz="4" w:space="0" w:color="auto"/>
              <w:bottom w:val="single" w:sz="4" w:space="0" w:color="auto"/>
              <w:right w:val="single" w:sz="4" w:space="0" w:color="auto"/>
            </w:tcBorders>
            <w:vAlign w:val="center"/>
          </w:tcPr>
          <w:p w14:paraId="30720044"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w:t>
            </w:r>
          </w:p>
        </w:tc>
        <w:tc>
          <w:tcPr>
            <w:tcW w:w="808" w:type="pct"/>
            <w:tcBorders>
              <w:top w:val="single" w:sz="8" w:space="0" w:color="auto"/>
              <w:left w:val="single" w:sz="4" w:space="0" w:color="auto"/>
              <w:bottom w:val="single" w:sz="4" w:space="0" w:color="auto"/>
              <w:right w:val="single" w:sz="4" w:space="0" w:color="auto"/>
            </w:tcBorders>
            <w:vAlign w:val="center"/>
          </w:tcPr>
          <w:p w14:paraId="2080F8FD"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900×1</w:t>
            </w:r>
          </w:p>
        </w:tc>
        <w:tc>
          <w:tcPr>
            <w:tcW w:w="735" w:type="pct"/>
            <w:tcBorders>
              <w:top w:val="single" w:sz="8" w:space="0" w:color="auto"/>
              <w:left w:val="single" w:sz="4" w:space="0" w:color="auto"/>
              <w:bottom w:val="single" w:sz="4" w:space="0" w:color="auto"/>
              <w:right w:val="single" w:sz="8" w:space="0" w:color="auto"/>
            </w:tcBorders>
            <w:vAlign w:val="center"/>
          </w:tcPr>
          <w:p w14:paraId="0EDCD77B"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900</w:t>
            </w:r>
          </w:p>
        </w:tc>
      </w:tr>
      <w:tr w:rsidR="00C34226" w14:paraId="47B23797" w14:textId="77777777">
        <w:trPr>
          <w:jc w:val="center"/>
        </w:trPr>
        <w:tc>
          <w:tcPr>
            <w:tcW w:w="871" w:type="pct"/>
            <w:vMerge w:val="restart"/>
            <w:tcBorders>
              <w:top w:val="single" w:sz="4" w:space="0" w:color="auto"/>
              <w:left w:val="single" w:sz="8" w:space="0" w:color="auto"/>
              <w:bottom w:val="single" w:sz="4" w:space="0" w:color="auto"/>
              <w:right w:val="single" w:sz="4" w:space="0" w:color="auto"/>
            </w:tcBorders>
            <w:vAlign w:val="center"/>
          </w:tcPr>
          <w:p w14:paraId="360C42DB"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学术交流会议或讲座外来人数</w:t>
            </w:r>
          </w:p>
        </w:tc>
        <w:tc>
          <w:tcPr>
            <w:tcW w:w="741" w:type="pct"/>
            <w:tcBorders>
              <w:top w:val="single" w:sz="8" w:space="0" w:color="auto"/>
              <w:left w:val="single" w:sz="4" w:space="0" w:color="auto"/>
              <w:bottom w:val="single" w:sz="4" w:space="0" w:color="auto"/>
              <w:right w:val="single" w:sz="4" w:space="0" w:color="auto"/>
            </w:tcBorders>
            <w:vAlign w:val="center"/>
          </w:tcPr>
          <w:p w14:paraId="0F6DAACC"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50</w:t>
            </w:r>
          </w:p>
        </w:tc>
        <w:tc>
          <w:tcPr>
            <w:tcW w:w="1153" w:type="pct"/>
            <w:tcBorders>
              <w:top w:val="single" w:sz="8" w:space="0" w:color="auto"/>
              <w:left w:val="single" w:sz="4" w:space="0" w:color="auto"/>
              <w:bottom w:val="single" w:sz="4" w:space="0" w:color="auto"/>
              <w:right w:val="single" w:sz="4" w:space="0" w:color="auto"/>
            </w:tcBorders>
            <w:vAlign w:val="center"/>
          </w:tcPr>
          <w:p w14:paraId="7D3E0269"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会议或讲座时间</w:t>
            </w:r>
            <w:r>
              <w:rPr>
                <w:rFonts w:ascii="Times New Roman" w:hAnsi="Times New Roman"/>
                <w:bCs/>
                <w:sz w:val="18"/>
                <w:szCs w:val="18"/>
              </w:rPr>
              <w:t>/</w:t>
            </w:r>
            <w:r>
              <w:rPr>
                <w:rFonts w:ascii="宋体" w:hAnsi="宋体"/>
                <w:bCs/>
                <w:sz w:val="18"/>
                <w:szCs w:val="18"/>
              </w:rPr>
              <w:t>年天数</w:t>
            </w:r>
          </w:p>
        </w:tc>
        <w:tc>
          <w:tcPr>
            <w:tcW w:w="692" w:type="pct"/>
            <w:tcBorders>
              <w:top w:val="single" w:sz="8" w:space="0" w:color="auto"/>
              <w:left w:val="single" w:sz="4" w:space="0" w:color="auto"/>
              <w:bottom w:val="single" w:sz="4" w:space="0" w:color="auto"/>
              <w:right w:val="single" w:sz="4" w:space="0" w:color="auto"/>
            </w:tcBorders>
            <w:vAlign w:val="center"/>
          </w:tcPr>
          <w:p w14:paraId="4EEF8016"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0.5/365</w:t>
            </w:r>
          </w:p>
        </w:tc>
        <w:tc>
          <w:tcPr>
            <w:tcW w:w="808" w:type="pct"/>
            <w:tcBorders>
              <w:top w:val="single" w:sz="8" w:space="0" w:color="auto"/>
              <w:left w:val="single" w:sz="4" w:space="0" w:color="auto"/>
              <w:bottom w:val="single" w:sz="4" w:space="0" w:color="auto"/>
              <w:right w:val="single" w:sz="4" w:space="0" w:color="auto"/>
            </w:tcBorders>
            <w:vAlign w:val="center"/>
          </w:tcPr>
          <w:p w14:paraId="5511B544"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50×0.5/365</w:t>
            </w:r>
          </w:p>
        </w:tc>
        <w:tc>
          <w:tcPr>
            <w:tcW w:w="735" w:type="pct"/>
            <w:tcBorders>
              <w:top w:val="single" w:sz="8" w:space="0" w:color="auto"/>
              <w:left w:val="single" w:sz="4" w:space="0" w:color="auto"/>
              <w:bottom w:val="single" w:sz="4" w:space="0" w:color="auto"/>
              <w:right w:val="single" w:sz="8" w:space="0" w:color="auto"/>
            </w:tcBorders>
            <w:vAlign w:val="center"/>
          </w:tcPr>
          <w:p w14:paraId="2363D369"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0.07</w:t>
            </w:r>
          </w:p>
        </w:tc>
      </w:tr>
      <w:tr w:rsidR="00C34226" w14:paraId="79F84F9C" w14:textId="77777777">
        <w:trPr>
          <w:jc w:val="center"/>
        </w:trPr>
        <w:tc>
          <w:tcPr>
            <w:tcW w:w="871" w:type="pct"/>
            <w:vMerge/>
            <w:tcBorders>
              <w:top w:val="single" w:sz="4" w:space="0" w:color="auto"/>
              <w:left w:val="single" w:sz="8" w:space="0" w:color="auto"/>
              <w:bottom w:val="single" w:sz="4" w:space="0" w:color="auto"/>
              <w:right w:val="single" w:sz="4" w:space="0" w:color="auto"/>
            </w:tcBorders>
            <w:vAlign w:val="center"/>
          </w:tcPr>
          <w:p w14:paraId="1B0B6A88" w14:textId="77777777" w:rsidR="00C34226" w:rsidRDefault="00C34226">
            <w:pPr>
              <w:widowControl/>
              <w:adjustRightInd/>
              <w:spacing w:line="240" w:lineRule="auto"/>
              <w:jc w:val="left"/>
              <w:rPr>
                <w:rFonts w:ascii="Times New Roman" w:hAnsi="Times New Roman"/>
                <w:bCs/>
                <w:sz w:val="18"/>
                <w:szCs w:val="18"/>
              </w:rPr>
            </w:pPr>
          </w:p>
        </w:tc>
        <w:tc>
          <w:tcPr>
            <w:tcW w:w="741" w:type="pct"/>
            <w:tcBorders>
              <w:top w:val="single" w:sz="8" w:space="0" w:color="auto"/>
              <w:left w:val="single" w:sz="4" w:space="0" w:color="auto"/>
              <w:bottom w:val="single" w:sz="4" w:space="0" w:color="auto"/>
              <w:right w:val="single" w:sz="4" w:space="0" w:color="auto"/>
            </w:tcBorders>
            <w:vAlign w:val="center"/>
          </w:tcPr>
          <w:p w14:paraId="2002B29C"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80</w:t>
            </w:r>
          </w:p>
        </w:tc>
        <w:tc>
          <w:tcPr>
            <w:tcW w:w="1153" w:type="pct"/>
            <w:tcBorders>
              <w:top w:val="single" w:sz="8" w:space="0" w:color="auto"/>
              <w:left w:val="single" w:sz="4" w:space="0" w:color="auto"/>
              <w:bottom w:val="single" w:sz="4" w:space="0" w:color="auto"/>
              <w:right w:val="single" w:sz="4" w:space="0" w:color="auto"/>
            </w:tcBorders>
            <w:vAlign w:val="center"/>
          </w:tcPr>
          <w:p w14:paraId="228ABDED"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会议或讲座时间</w:t>
            </w:r>
            <w:r>
              <w:rPr>
                <w:rFonts w:ascii="Times New Roman" w:hAnsi="Times New Roman"/>
                <w:bCs/>
                <w:sz w:val="18"/>
                <w:szCs w:val="18"/>
              </w:rPr>
              <w:t>/</w:t>
            </w:r>
            <w:r>
              <w:rPr>
                <w:rFonts w:ascii="宋体" w:hAnsi="宋体"/>
                <w:bCs/>
                <w:sz w:val="18"/>
                <w:szCs w:val="18"/>
              </w:rPr>
              <w:t>年天数</w:t>
            </w:r>
          </w:p>
        </w:tc>
        <w:tc>
          <w:tcPr>
            <w:tcW w:w="692" w:type="pct"/>
            <w:tcBorders>
              <w:top w:val="single" w:sz="8" w:space="0" w:color="auto"/>
              <w:left w:val="single" w:sz="4" w:space="0" w:color="auto"/>
              <w:bottom w:val="single" w:sz="4" w:space="0" w:color="auto"/>
              <w:right w:val="single" w:sz="4" w:space="0" w:color="auto"/>
            </w:tcBorders>
            <w:vAlign w:val="center"/>
          </w:tcPr>
          <w:p w14:paraId="3FA4E9DD"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1/365</w:t>
            </w:r>
          </w:p>
        </w:tc>
        <w:tc>
          <w:tcPr>
            <w:tcW w:w="808" w:type="pct"/>
            <w:tcBorders>
              <w:top w:val="single" w:sz="8" w:space="0" w:color="auto"/>
              <w:left w:val="single" w:sz="4" w:space="0" w:color="auto"/>
              <w:bottom w:val="single" w:sz="4" w:space="0" w:color="auto"/>
              <w:right w:val="single" w:sz="4" w:space="0" w:color="auto"/>
            </w:tcBorders>
            <w:vAlign w:val="center"/>
          </w:tcPr>
          <w:p w14:paraId="34ACA90A"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80×1/365</w:t>
            </w:r>
          </w:p>
        </w:tc>
        <w:tc>
          <w:tcPr>
            <w:tcW w:w="735" w:type="pct"/>
            <w:tcBorders>
              <w:top w:val="single" w:sz="8" w:space="0" w:color="auto"/>
              <w:left w:val="single" w:sz="4" w:space="0" w:color="auto"/>
              <w:bottom w:val="single" w:sz="4" w:space="0" w:color="auto"/>
              <w:right w:val="single" w:sz="8" w:space="0" w:color="auto"/>
            </w:tcBorders>
            <w:vAlign w:val="center"/>
          </w:tcPr>
          <w:p w14:paraId="5EDDB1BC"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0.22</w:t>
            </w:r>
          </w:p>
        </w:tc>
      </w:tr>
      <w:tr w:rsidR="00C34226" w14:paraId="47D359A0" w14:textId="77777777">
        <w:trPr>
          <w:jc w:val="center"/>
        </w:trPr>
        <w:tc>
          <w:tcPr>
            <w:tcW w:w="4265" w:type="pct"/>
            <w:gridSpan w:val="5"/>
            <w:tcBorders>
              <w:top w:val="single" w:sz="4" w:space="0" w:color="auto"/>
              <w:left w:val="single" w:sz="8" w:space="0" w:color="auto"/>
              <w:bottom w:val="single" w:sz="8" w:space="0" w:color="auto"/>
              <w:right w:val="single" w:sz="4" w:space="0" w:color="auto"/>
            </w:tcBorders>
            <w:vAlign w:val="center"/>
          </w:tcPr>
          <w:p w14:paraId="46131D77" w14:textId="77777777" w:rsidR="00C34226" w:rsidRDefault="00000000">
            <w:pPr>
              <w:adjustRightInd/>
              <w:spacing w:line="240" w:lineRule="auto"/>
              <w:jc w:val="center"/>
              <w:rPr>
                <w:rFonts w:ascii="Times New Roman" w:hAnsi="Times New Roman"/>
                <w:bCs/>
                <w:sz w:val="18"/>
                <w:szCs w:val="18"/>
              </w:rPr>
            </w:pPr>
            <w:r>
              <w:rPr>
                <w:rFonts w:ascii="宋体" w:hAnsi="宋体"/>
                <w:bCs/>
                <w:sz w:val="18"/>
                <w:szCs w:val="18"/>
              </w:rPr>
              <w:t>合计</w:t>
            </w:r>
          </w:p>
        </w:tc>
        <w:tc>
          <w:tcPr>
            <w:tcW w:w="735" w:type="pct"/>
            <w:tcBorders>
              <w:top w:val="single" w:sz="4" w:space="0" w:color="auto"/>
              <w:left w:val="single" w:sz="4" w:space="0" w:color="auto"/>
              <w:bottom w:val="single" w:sz="8" w:space="0" w:color="auto"/>
              <w:right w:val="single" w:sz="8" w:space="0" w:color="auto"/>
            </w:tcBorders>
            <w:vAlign w:val="center"/>
          </w:tcPr>
          <w:p w14:paraId="665E3991" w14:textId="77777777" w:rsidR="00C34226" w:rsidRDefault="00000000">
            <w:pPr>
              <w:adjustRightInd/>
              <w:spacing w:line="240" w:lineRule="auto"/>
              <w:jc w:val="center"/>
              <w:rPr>
                <w:rFonts w:ascii="Times New Roman" w:hAnsi="Times New Roman"/>
                <w:bCs/>
                <w:sz w:val="18"/>
                <w:szCs w:val="18"/>
              </w:rPr>
            </w:pPr>
            <w:r>
              <w:rPr>
                <w:rFonts w:ascii="Times New Roman" w:hAnsi="Times New Roman"/>
                <w:bCs/>
                <w:sz w:val="18"/>
                <w:szCs w:val="18"/>
              </w:rPr>
              <w:t>4438.92</w:t>
            </w:r>
          </w:p>
        </w:tc>
      </w:tr>
    </w:tbl>
    <w:bookmarkEnd w:id="147"/>
    <w:p w14:paraId="122222D3" w14:textId="77777777" w:rsidR="00C34226" w:rsidRDefault="00000000">
      <w:pPr>
        <w:widowControl/>
        <w:autoSpaceDE w:val="0"/>
        <w:autoSpaceDN w:val="0"/>
        <w:adjustRightInd/>
        <w:spacing w:line="240" w:lineRule="auto"/>
        <w:ind w:firstLineChars="200" w:firstLine="420"/>
        <w:rPr>
          <w:rFonts w:ascii="Times New Roman" w:hAnsi="Times New Roman"/>
        </w:rPr>
      </w:pPr>
      <w:r>
        <w:rPr>
          <w:rFonts w:ascii="Times New Roman" w:hAnsi="Times New Roman"/>
        </w:rPr>
        <w:t xml:space="preserve"> </w:t>
      </w:r>
    </w:p>
    <w:p w14:paraId="429EA802" w14:textId="77777777" w:rsidR="00C34226" w:rsidRDefault="00000000">
      <w:pPr>
        <w:widowControl/>
        <w:adjustRightInd/>
        <w:spacing w:line="240" w:lineRule="auto"/>
        <w:jc w:val="left"/>
        <w:rPr>
          <w:rFonts w:ascii="Times New Roman" w:hAnsi="Times New Roman"/>
        </w:rPr>
      </w:pPr>
      <w:r>
        <w:rPr>
          <w:rFonts w:ascii="Times New Roman" w:hAnsi="Times New Roman"/>
        </w:rPr>
        <w:br w:type="page"/>
      </w:r>
    </w:p>
    <w:p w14:paraId="5BA026C6" w14:textId="77777777" w:rsidR="00C34226" w:rsidRDefault="00000000">
      <w:pPr>
        <w:pStyle w:val="aff9"/>
        <w:spacing w:after="156" w:line="240" w:lineRule="auto"/>
      </w:pPr>
      <w:r>
        <w:lastRenderedPageBreak/>
        <w:br/>
      </w:r>
      <w:bookmarkStart w:id="148" w:name="_Toc192173516"/>
      <w:bookmarkStart w:id="149" w:name="_Toc184132534"/>
      <w:r>
        <w:rPr>
          <w:rFonts w:hint="eastAsia"/>
        </w:rPr>
        <w:t>（规范性）</w:t>
      </w:r>
      <w:r>
        <w:br/>
      </w:r>
      <w:r>
        <w:rPr>
          <w:rFonts w:hint="eastAsia"/>
        </w:rPr>
        <w:t>按面积缴纳采暖费用的热力消费数据计算方法</w:t>
      </w:r>
      <w:bookmarkEnd w:id="148"/>
      <w:bookmarkEnd w:id="149"/>
    </w:p>
    <w:p w14:paraId="29FC4FCD" w14:textId="77777777" w:rsidR="00C34226" w:rsidRDefault="00000000">
      <w:pPr>
        <w:pStyle w:val="affc"/>
        <w:numPr>
          <w:ilvl w:val="0"/>
          <w:numId w:val="0"/>
        </w:numPr>
        <w:spacing w:before="156" w:after="156" w:line="240" w:lineRule="auto"/>
        <w:outlineLvl w:val="9"/>
      </w:pPr>
      <w:r>
        <w:rPr>
          <w:rFonts w:hint="eastAsia"/>
        </w:rPr>
        <w:t>B.1 计算公式</w:t>
      </w:r>
    </w:p>
    <w:p w14:paraId="4F8E2518" w14:textId="77777777" w:rsidR="00C34226" w:rsidRDefault="00000000">
      <w:pPr>
        <w:pStyle w:val="affc"/>
        <w:numPr>
          <w:ilvl w:val="0"/>
          <w:numId w:val="0"/>
        </w:numPr>
        <w:spacing w:before="156" w:after="156" w:line="240" w:lineRule="auto"/>
        <w:outlineLvl w:val="9"/>
      </w:pPr>
      <w:r>
        <w:rPr>
          <w:rFonts w:hint="eastAsia"/>
        </w:rPr>
        <w:t>B.1.1 热力消费费用</w:t>
      </w:r>
    </w:p>
    <w:p w14:paraId="1B31D759" w14:textId="77777777" w:rsidR="00C34226" w:rsidRDefault="00000000">
      <w:pPr>
        <w:pStyle w:val="affffff0"/>
        <w:spacing w:after="0" w:line="240" w:lineRule="auto"/>
        <w:ind w:firstLine="420"/>
      </w:pPr>
      <w:r>
        <w:rPr>
          <w:rFonts w:hint="eastAsia"/>
        </w:rPr>
        <w:t>按面积缴纳采暖费用的集中采暖公共机构，一个统计周期内的热力消费费用，单位为元，按公式(B.1)计算：</w:t>
      </w:r>
    </w:p>
    <w:p w14:paraId="621F2BB3" w14:textId="77777777" w:rsidR="00C34226" w:rsidRDefault="00000000">
      <w:pPr>
        <w:pStyle w:val="affffff0"/>
        <w:spacing w:after="0" w:line="240" w:lineRule="auto"/>
        <w:ind w:firstLineChars="0" w:firstLine="0"/>
        <w:jc w:val="right"/>
      </w:pPr>
      <m:oMath>
        <m:r>
          <w:rPr>
            <w:rFonts w:ascii="Cambria Math" w:eastAsia="Cambria Math" w:hAnsi="Cambria Math" w:cs="Cambria Math"/>
            <w:szCs w:val="21"/>
          </w:rPr>
          <m:t>p</m:t>
        </m:r>
        <m:r>
          <m:rPr>
            <m:sty m:val="p"/>
          </m:rPr>
          <w:rPr>
            <w:rFonts w:ascii="Cambria Math" w:eastAsia="Cambria Math" w:hAnsi="Cambria Math" w:cs="Cambria Math"/>
            <w:szCs w:val="21"/>
          </w:rPr>
          <m:t>=t×</m:t>
        </m:r>
        <m:f>
          <m:fPr>
            <m:ctrlPr>
              <w:rPr>
                <w:rFonts w:ascii="Cambria Math" w:eastAsia="Cambria Math" w:hAnsi="Cambria Math"/>
                <w:szCs w:val="21"/>
              </w:rPr>
            </m:ctrlPr>
          </m:fPr>
          <m:num>
            <m:r>
              <m:rPr>
                <m:sty m:val="p"/>
              </m:rPr>
              <w:rPr>
                <w:rFonts w:ascii="Cambria Math" w:eastAsia="Cambria Math" w:hAnsi="Cambria Math" w:cs="Cambria Math"/>
                <w:szCs w:val="21"/>
              </w:rPr>
              <m:t>d</m:t>
            </m:r>
          </m:num>
          <m:den>
            <m:r>
              <m:rPr>
                <m:sty m:val="p"/>
              </m:rPr>
              <w:rPr>
                <w:rFonts w:ascii="Cambria Math" w:eastAsia="Cambria Math" w:hAnsi="Cambria Math" w:cs="Cambria Math"/>
                <w:szCs w:val="21"/>
              </w:rPr>
              <m:t>D</m:t>
            </m:r>
          </m:den>
        </m:f>
        <m:r>
          <w:rPr>
            <w:rFonts w:ascii="Cambria Math" w:eastAsia="Cambria Math" w:hAnsi="Cambria Math"/>
            <w:szCs w:val="21"/>
          </w:rPr>
          <m:t xml:space="preserve">                                                                                     </m:t>
        </m:r>
      </m:oMath>
      <w:r>
        <w:rPr>
          <w:rFonts w:hint="eastAsia"/>
        </w:rPr>
        <w:t>(B.1)</w:t>
      </w:r>
    </w:p>
    <w:p w14:paraId="60DC5EF9" w14:textId="77777777" w:rsidR="00C34226" w:rsidRDefault="00000000">
      <w:pPr>
        <w:widowControl/>
        <w:autoSpaceDE w:val="0"/>
        <w:autoSpaceDN w:val="0"/>
        <w:spacing w:after="0" w:line="240" w:lineRule="auto"/>
        <w:ind w:left="448"/>
        <w:jc w:val="left"/>
        <w:rPr>
          <w:rFonts w:ascii="宋体" w:hAnsi="宋体" w:hint="eastAsia"/>
        </w:rPr>
      </w:pPr>
      <w:r>
        <w:rPr>
          <w:rFonts w:ascii="宋体" w:hAnsi="宋体"/>
          <w:color w:val="000000"/>
        </w:rPr>
        <w:t>式中</w:t>
      </w:r>
      <w:r>
        <w:rPr>
          <w:rFonts w:ascii="宋体" w:hAnsi="宋体"/>
          <w:color w:val="000000"/>
          <w:spacing w:val="-4"/>
        </w:rPr>
        <w:t>：</w:t>
      </w:r>
      <w:r>
        <w:rPr>
          <w:rFonts w:ascii="宋体" w:hAnsi="宋体"/>
          <w:color w:val="000000"/>
        </w:rPr>
        <w:t xml:space="preserve"> </w:t>
      </w:r>
    </w:p>
    <w:p w14:paraId="01345459" w14:textId="77777777" w:rsidR="00C34226" w:rsidRDefault="00000000">
      <w:pPr>
        <w:widowControl/>
        <w:autoSpaceDE w:val="0"/>
        <w:autoSpaceDN w:val="0"/>
        <w:spacing w:after="0" w:line="240" w:lineRule="auto"/>
        <w:ind w:left="448"/>
        <w:jc w:val="left"/>
        <w:rPr>
          <w:rFonts w:ascii="宋体" w:hAnsi="宋体" w:hint="eastAsia"/>
        </w:rPr>
      </w:pPr>
      <w:r>
        <w:rPr>
          <w:rFonts w:ascii="宋体" w:hAnsi="宋体"/>
          <w:color w:val="000000"/>
        </w:rPr>
        <w:t>P——统</w:t>
      </w:r>
      <w:r>
        <w:rPr>
          <w:rFonts w:ascii="宋体" w:hAnsi="宋体"/>
          <w:color w:val="000000"/>
          <w:spacing w:val="-4"/>
        </w:rPr>
        <w:t>计</w:t>
      </w:r>
      <w:r>
        <w:rPr>
          <w:rFonts w:ascii="宋体" w:hAnsi="宋体"/>
          <w:color w:val="000000"/>
        </w:rPr>
        <w:t>周</w:t>
      </w:r>
      <w:r>
        <w:rPr>
          <w:rFonts w:ascii="宋体" w:hAnsi="宋体"/>
          <w:color w:val="000000"/>
          <w:spacing w:val="-4"/>
        </w:rPr>
        <w:t>期</w:t>
      </w:r>
      <w:r>
        <w:rPr>
          <w:rFonts w:ascii="宋体" w:hAnsi="宋体"/>
          <w:color w:val="000000"/>
          <w:spacing w:val="-2"/>
        </w:rPr>
        <w:t>内</w:t>
      </w:r>
      <w:r>
        <w:rPr>
          <w:rFonts w:ascii="宋体" w:hAnsi="宋体"/>
          <w:color w:val="000000"/>
          <w:spacing w:val="-4"/>
        </w:rPr>
        <w:t>热</w:t>
      </w:r>
      <w:r>
        <w:rPr>
          <w:rFonts w:ascii="宋体" w:hAnsi="宋体"/>
          <w:color w:val="000000"/>
          <w:spacing w:val="-2"/>
        </w:rPr>
        <w:t>力</w:t>
      </w:r>
      <w:r>
        <w:rPr>
          <w:rFonts w:ascii="宋体" w:hAnsi="宋体"/>
          <w:color w:val="000000"/>
          <w:spacing w:val="-4"/>
        </w:rPr>
        <w:t>消费</w:t>
      </w:r>
      <w:r>
        <w:rPr>
          <w:rFonts w:ascii="宋体" w:hAnsi="宋体"/>
          <w:color w:val="000000"/>
          <w:spacing w:val="-2"/>
        </w:rPr>
        <w:t>费用</w:t>
      </w:r>
      <w:r>
        <w:rPr>
          <w:rFonts w:ascii="宋体" w:hAnsi="宋体"/>
          <w:color w:val="000000"/>
          <w:spacing w:val="-4"/>
        </w:rPr>
        <w:t>，</w:t>
      </w:r>
      <w:r>
        <w:rPr>
          <w:rFonts w:ascii="宋体" w:hAnsi="宋体"/>
          <w:color w:val="000000"/>
          <w:spacing w:val="-2"/>
        </w:rPr>
        <w:t>单</w:t>
      </w:r>
      <w:r>
        <w:rPr>
          <w:rFonts w:ascii="宋体" w:hAnsi="宋体"/>
          <w:color w:val="000000"/>
          <w:spacing w:val="-4"/>
        </w:rPr>
        <w:t>位</w:t>
      </w:r>
      <w:r>
        <w:rPr>
          <w:rFonts w:ascii="宋体" w:hAnsi="宋体"/>
          <w:color w:val="000000"/>
        </w:rPr>
        <w:t>为</w:t>
      </w:r>
      <w:r>
        <w:rPr>
          <w:rFonts w:ascii="宋体" w:hAnsi="宋体"/>
          <w:color w:val="000000"/>
          <w:spacing w:val="-4"/>
        </w:rPr>
        <w:t>元</w:t>
      </w:r>
      <w:r>
        <w:rPr>
          <w:rFonts w:ascii="宋体" w:hAnsi="宋体"/>
          <w:color w:val="000000"/>
          <w:spacing w:val="-2"/>
        </w:rPr>
        <w:t>；</w:t>
      </w:r>
      <w:r>
        <w:rPr>
          <w:rFonts w:ascii="宋体" w:hAnsi="宋体"/>
          <w:color w:val="000000"/>
        </w:rPr>
        <w:t xml:space="preserve"> </w:t>
      </w:r>
    </w:p>
    <w:p w14:paraId="4F947E4C" w14:textId="77777777" w:rsidR="00C34226" w:rsidRDefault="00000000">
      <w:pPr>
        <w:widowControl/>
        <w:autoSpaceDE w:val="0"/>
        <w:autoSpaceDN w:val="0"/>
        <w:spacing w:after="0" w:line="240" w:lineRule="auto"/>
        <w:ind w:left="448"/>
        <w:jc w:val="left"/>
        <w:rPr>
          <w:rFonts w:ascii="宋体" w:hAnsi="宋体" w:hint="eastAsia"/>
        </w:rPr>
      </w:pPr>
      <w:r>
        <w:rPr>
          <w:rFonts w:ascii="宋体" w:hAnsi="宋体"/>
          <w:color w:val="000000"/>
        </w:rPr>
        <w:t>t—</w:t>
      </w:r>
      <w:r>
        <w:rPr>
          <w:rFonts w:ascii="宋体" w:hAnsi="宋体"/>
          <w:color w:val="000000"/>
          <w:spacing w:val="-2"/>
        </w:rPr>
        <w:t>—</w:t>
      </w:r>
      <w:r>
        <w:rPr>
          <w:rFonts w:ascii="宋体" w:hAnsi="宋体"/>
          <w:color w:val="000000"/>
        </w:rPr>
        <w:t>整</w:t>
      </w:r>
      <w:r>
        <w:rPr>
          <w:rFonts w:ascii="宋体" w:hAnsi="宋体"/>
          <w:color w:val="000000"/>
          <w:spacing w:val="-4"/>
        </w:rPr>
        <w:t>个</w:t>
      </w:r>
      <w:r>
        <w:rPr>
          <w:rFonts w:ascii="宋体" w:hAnsi="宋体"/>
          <w:color w:val="000000"/>
        </w:rPr>
        <w:t>采</w:t>
      </w:r>
      <w:r>
        <w:rPr>
          <w:rFonts w:ascii="宋体" w:hAnsi="宋体"/>
          <w:color w:val="000000"/>
          <w:spacing w:val="-2"/>
        </w:rPr>
        <w:t>暖</w:t>
      </w:r>
      <w:r>
        <w:rPr>
          <w:rFonts w:ascii="宋体" w:hAnsi="宋体"/>
          <w:color w:val="000000"/>
        </w:rPr>
        <w:t>季</w:t>
      </w:r>
      <w:r>
        <w:rPr>
          <w:rFonts w:ascii="宋体" w:hAnsi="宋体"/>
          <w:color w:val="000000"/>
          <w:spacing w:val="-4"/>
        </w:rPr>
        <w:t>热</w:t>
      </w:r>
      <w:r>
        <w:rPr>
          <w:rFonts w:ascii="宋体" w:hAnsi="宋体"/>
          <w:color w:val="000000"/>
          <w:spacing w:val="-2"/>
        </w:rPr>
        <w:t>力</w:t>
      </w:r>
      <w:r>
        <w:rPr>
          <w:rFonts w:ascii="宋体" w:hAnsi="宋体"/>
          <w:color w:val="000000"/>
          <w:spacing w:val="-4"/>
        </w:rPr>
        <w:t>消费</w:t>
      </w:r>
      <w:r>
        <w:rPr>
          <w:rFonts w:ascii="宋体" w:hAnsi="宋体"/>
          <w:color w:val="000000"/>
          <w:spacing w:val="-2"/>
        </w:rPr>
        <w:t>总</w:t>
      </w:r>
      <w:r>
        <w:rPr>
          <w:rFonts w:ascii="宋体" w:hAnsi="宋体"/>
          <w:color w:val="000000"/>
        </w:rPr>
        <w:t>费</w:t>
      </w:r>
      <w:r>
        <w:rPr>
          <w:rFonts w:ascii="宋体" w:hAnsi="宋体"/>
          <w:color w:val="000000"/>
          <w:spacing w:val="-2"/>
        </w:rPr>
        <w:t>用</w:t>
      </w:r>
      <w:r>
        <w:rPr>
          <w:rFonts w:ascii="宋体" w:hAnsi="宋体"/>
          <w:color w:val="000000"/>
        </w:rPr>
        <w:t>，</w:t>
      </w:r>
      <w:r>
        <w:rPr>
          <w:rFonts w:ascii="宋体" w:hAnsi="宋体"/>
          <w:color w:val="000000"/>
          <w:spacing w:val="-2"/>
        </w:rPr>
        <w:t>单</w:t>
      </w:r>
      <w:r>
        <w:rPr>
          <w:rFonts w:ascii="宋体" w:hAnsi="宋体"/>
          <w:color w:val="000000"/>
        </w:rPr>
        <w:t>位</w:t>
      </w:r>
      <w:r>
        <w:rPr>
          <w:rFonts w:ascii="宋体" w:hAnsi="宋体"/>
          <w:color w:val="000000"/>
          <w:spacing w:val="-4"/>
        </w:rPr>
        <w:t>为</w:t>
      </w:r>
      <w:r>
        <w:rPr>
          <w:rFonts w:ascii="宋体" w:hAnsi="宋体"/>
          <w:color w:val="000000"/>
        </w:rPr>
        <w:t>元</w:t>
      </w:r>
      <w:r>
        <w:rPr>
          <w:rFonts w:ascii="宋体" w:hAnsi="宋体"/>
          <w:color w:val="000000"/>
          <w:spacing w:val="-4"/>
        </w:rPr>
        <w:t>；</w:t>
      </w:r>
      <w:r>
        <w:rPr>
          <w:rFonts w:ascii="宋体" w:hAnsi="宋体"/>
          <w:color w:val="000000"/>
        </w:rPr>
        <w:t xml:space="preserve"> </w:t>
      </w:r>
    </w:p>
    <w:p w14:paraId="0EBE0AA5" w14:textId="77777777" w:rsidR="00C34226" w:rsidRDefault="00000000">
      <w:pPr>
        <w:widowControl/>
        <w:autoSpaceDE w:val="0"/>
        <w:autoSpaceDN w:val="0"/>
        <w:spacing w:after="0" w:line="240" w:lineRule="auto"/>
        <w:ind w:left="448"/>
        <w:jc w:val="left"/>
        <w:rPr>
          <w:rFonts w:ascii="宋体" w:hAnsi="宋体" w:hint="eastAsia"/>
        </w:rPr>
      </w:pPr>
      <w:r>
        <w:rPr>
          <w:rFonts w:ascii="宋体" w:hAnsi="宋体"/>
          <w:color w:val="000000"/>
        </w:rPr>
        <w:t>d—</w:t>
      </w:r>
      <w:r>
        <w:rPr>
          <w:rFonts w:ascii="宋体" w:hAnsi="宋体"/>
          <w:color w:val="000000"/>
          <w:spacing w:val="-2"/>
        </w:rPr>
        <w:t>—</w:t>
      </w:r>
      <w:r>
        <w:rPr>
          <w:rFonts w:ascii="宋体" w:hAnsi="宋体"/>
          <w:color w:val="000000"/>
        </w:rPr>
        <w:t>统</w:t>
      </w:r>
      <w:r>
        <w:rPr>
          <w:rFonts w:ascii="宋体" w:hAnsi="宋体"/>
          <w:color w:val="000000"/>
          <w:spacing w:val="-4"/>
        </w:rPr>
        <w:t>计</w:t>
      </w:r>
      <w:r>
        <w:rPr>
          <w:rFonts w:ascii="宋体" w:hAnsi="宋体"/>
          <w:color w:val="000000"/>
        </w:rPr>
        <w:t>周</w:t>
      </w:r>
      <w:r>
        <w:rPr>
          <w:rFonts w:ascii="宋体" w:hAnsi="宋体"/>
          <w:color w:val="000000"/>
          <w:spacing w:val="-4"/>
        </w:rPr>
        <w:t>期</w:t>
      </w:r>
      <w:r>
        <w:rPr>
          <w:rFonts w:ascii="宋体" w:hAnsi="宋体"/>
          <w:color w:val="000000"/>
          <w:spacing w:val="-2"/>
        </w:rPr>
        <w:t>内</w:t>
      </w:r>
      <w:r>
        <w:rPr>
          <w:rFonts w:ascii="宋体" w:hAnsi="宋体"/>
          <w:color w:val="000000"/>
          <w:spacing w:val="-4"/>
        </w:rPr>
        <w:t>采</w:t>
      </w:r>
      <w:r>
        <w:rPr>
          <w:rFonts w:ascii="宋体" w:hAnsi="宋体"/>
          <w:color w:val="000000"/>
          <w:spacing w:val="-2"/>
        </w:rPr>
        <w:t>暖</w:t>
      </w:r>
      <w:r>
        <w:rPr>
          <w:rFonts w:ascii="宋体" w:hAnsi="宋体"/>
          <w:color w:val="000000"/>
          <w:spacing w:val="-4"/>
        </w:rPr>
        <w:t>天</w:t>
      </w:r>
      <w:r>
        <w:rPr>
          <w:rFonts w:ascii="宋体" w:hAnsi="宋体"/>
          <w:color w:val="000000"/>
          <w:spacing w:val="-2"/>
        </w:rPr>
        <w:t>数，单</w:t>
      </w:r>
      <w:r>
        <w:rPr>
          <w:rFonts w:ascii="宋体" w:hAnsi="宋体"/>
          <w:color w:val="000000"/>
          <w:spacing w:val="-4"/>
        </w:rPr>
        <w:t>位</w:t>
      </w:r>
      <w:r>
        <w:rPr>
          <w:rFonts w:ascii="宋体" w:hAnsi="宋体"/>
          <w:color w:val="000000"/>
        </w:rPr>
        <w:t>为</w:t>
      </w:r>
      <w:r>
        <w:rPr>
          <w:rFonts w:ascii="宋体" w:hAnsi="宋体"/>
          <w:color w:val="000000"/>
          <w:spacing w:val="-4"/>
        </w:rPr>
        <w:t>天</w:t>
      </w:r>
      <w:r>
        <w:rPr>
          <w:rFonts w:ascii="宋体" w:hAnsi="宋体"/>
          <w:color w:val="000000"/>
          <w:spacing w:val="-2"/>
        </w:rPr>
        <w:t>；</w:t>
      </w:r>
      <w:r>
        <w:rPr>
          <w:rFonts w:ascii="宋体" w:hAnsi="宋体"/>
          <w:color w:val="000000"/>
        </w:rPr>
        <w:t xml:space="preserve"> </w:t>
      </w:r>
    </w:p>
    <w:p w14:paraId="2BAB2380" w14:textId="77777777" w:rsidR="00C34226" w:rsidRDefault="00000000">
      <w:pPr>
        <w:widowControl/>
        <w:autoSpaceDE w:val="0"/>
        <w:autoSpaceDN w:val="0"/>
        <w:spacing w:after="0" w:line="240" w:lineRule="auto"/>
        <w:ind w:left="448"/>
        <w:jc w:val="left"/>
        <w:rPr>
          <w:rFonts w:ascii="宋体" w:hAnsi="宋体" w:hint="eastAsia"/>
        </w:rPr>
      </w:pPr>
      <w:r>
        <w:rPr>
          <w:rFonts w:ascii="宋体" w:hAnsi="宋体"/>
          <w:color w:val="000000"/>
        </w:rPr>
        <w:t>D—</w:t>
      </w:r>
      <w:r>
        <w:rPr>
          <w:rFonts w:ascii="宋体" w:hAnsi="宋体"/>
          <w:color w:val="000000"/>
          <w:spacing w:val="-2"/>
        </w:rPr>
        <w:t>—</w:t>
      </w:r>
      <w:r>
        <w:rPr>
          <w:rFonts w:ascii="宋体" w:hAnsi="宋体"/>
          <w:color w:val="000000"/>
        </w:rPr>
        <w:t>整</w:t>
      </w:r>
      <w:r>
        <w:rPr>
          <w:rFonts w:ascii="宋体" w:hAnsi="宋体"/>
          <w:color w:val="000000"/>
          <w:spacing w:val="-4"/>
        </w:rPr>
        <w:t>个</w:t>
      </w:r>
      <w:r>
        <w:rPr>
          <w:rFonts w:ascii="宋体" w:hAnsi="宋体"/>
          <w:color w:val="000000"/>
        </w:rPr>
        <w:t>采</w:t>
      </w:r>
      <w:r>
        <w:rPr>
          <w:rFonts w:ascii="宋体" w:hAnsi="宋体"/>
          <w:color w:val="000000"/>
          <w:spacing w:val="-2"/>
        </w:rPr>
        <w:t>暖</w:t>
      </w:r>
      <w:r>
        <w:rPr>
          <w:rFonts w:ascii="宋体" w:hAnsi="宋体"/>
          <w:color w:val="000000"/>
        </w:rPr>
        <w:t>季</w:t>
      </w:r>
      <w:r>
        <w:rPr>
          <w:rFonts w:ascii="宋体" w:hAnsi="宋体"/>
          <w:color w:val="000000"/>
          <w:spacing w:val="-4"/>
        </w:rPr>
        <w:t>采</w:t>
      </w:r>
      <w:r>
        <w:rPr>
          <w:rFonts w:ascii="宋体" w:hAnsi="宋体"/>
          <w:color w:val="000000"/>
          <w:spacing w:val="-2"/>
        </w:rPr>
        <w:t>暖</w:t>
      </w:r>
      <w:r>
        <w:rPr>
          <w:rFonts w:ascii="宋体" w:hAnsi="宋体"/>
          <w:color w:val="000000"/>
          <w:spacing w:val="-4"/>
        </w:rPr>
        <w:t>天</w:t>
      </w:r>
      <w:r>
        <w:rPr>
          <w:rFonts w:ascii="宋体" w:hAnsi="宋体"/>
          <w:color w:val="000000"/>
          <w:spacing w:val="-2"/>
        </w:rPr>
        <w:t>数，单</w:t>
      </w:r>
      <w:r>
        <w:rPr>
          <w:rFonts w:ascii="宋体" w:hAnsi="宋体"/>
          <w:color w:val="000000"/>
          <w:spacing w:val="-4"/>
        </w:rPr>
        <w:t>位</w:t>
      </w:r>
      <w:r>
        <w:rPr>
          <w:rFonts w:ascii="宋体" w:hAnsi="宋体"/>
          <w:color w:val="000000"/>
        </w:rPr>
        <w:t>为</w:t>
      </w:r>
      <w:r>
        <w:rPr>
          <w:rFonts w:ascii="宋体" w:hAnsi="宋体"/>
          <w:color w:val="000000"/>
          <w:spacing w:val="-4"/>
        </w:rPr>
        <w:t>天</w:t>
      </w:r>
      <w:r>
        <w:rPr>
          <w:rFonts w:ascii="宋体" w:hAnsi="宋体"/>
          <w:color w:val="000000"/>
          <w:spacing w:val="-2"/>
        </w:rPr>
        <w:t>。</w:t>
      </w:r>
      <w:r>
        <w:rPr>
          <w:rFonts w:ascii="宋体" w:hAnsi="宋体"/>
          <w:color w:val="000000"/>
        </w:rPr>
        <w:t xml:space="preserve"> </w:t>
      </w:r>
    </w:p>
    <w:p w14:paraId="5F7DAAE2" w14:textId="77777777" w:rsidR="00C34226" w:rsidRDefault="00000000">
      <w:pPr>
        <w:pStyle w:val="affc"/>
        <w:numPr>
          <w:ilvl w:val="0"/>
          <w:numId w:val="0"/>
        </w:numPr>
        <w:spacing w:before="156" w:after="156" w:line="240" w:lineRule="auto"/>
        <w:outlineLvl w:val="9"/>
      </w:pPr>
      <w:r>
        <w:rPr>
          <w:rFonts w:hint="eastAsia"/>
        </w:rPr>
        <w:t>B.1.2 热力消费量</w:t>
      </w:r>
    </w:p>
    <w:p w14:paraId="73118195" w14:textId="77777777" w:rsidR="00C34226" w:rsidRDefault="00000000">
      <w:pPr>
        <w:pStyle w:val="affffff0"/>
        <w:spacing w:after="0" w:line="240" w:lineRule="auto"/>
        <w:ind w:firstLine="420"/>
      </w:pPr>
      <w:r>
        <w:rPr>
          <w:rFonts w:hint="eastAsia"/>
        </w:rPr>
        <w:t>按面积缴纳采暖费用的集中采暖公共机构，一个统计周期内的热力消费量，单位为吉焦（GJ），按公式(B.2)计算：</w:t>
      </w:r>
    </w:p>
    <w:p w14:paraId="01A51709" w14:textId="77777777" w:rsidR="00C34226" w:rsidRDefault="00000000">
      <w:pPr>
        <w:pStyle w:val="affffff0"/>
        <w:spacing w:after="0" w:line="240" w:lineRule="auto"/>
        <w:ind w:firstLineChars="0" w:firstLine="0"/>
        <w:jc w:val="right"/>
      </w:pPr>
      <m:oMath>
        <m:r>
          <w:rPr>
            <w:rFonts w:ascii="Cambria Math" w:eastAsia="Cambria Math" w:hAnsi="Cambria Math" w:cs="Cambria Math"/>
            <w:szCs w:val="21"/>
          </w:rPr>
          <m:t>Q</m:t>
        </m:r>
        <m:r>
          <m:rPr>
            <m:sty m:val="p"/>
          </m:rPr>
          <w:rPr>
            <w:rFonts w:ascii="Cambria Math" w:eastAsia="Cambria Math" w:hAnsi="Cambria Math" w:cs="Cambria Math"/>
            <w:szCs w:val="21"/>
          </w:rPr>
          <m:t>=</m:t>
        </m:r>
        <m:f>
          <m:fPr>
            <m:ctrlPr>
              <w:rPr>
                <w:rFonts w:ascii="Cambria Math" w:eastAsia="Cambria Math" w:hAnsi="Cambria Math"/>
                <w:szCs w:val="21"/>
              </w:rPr>
            </m:ctrlPr>
          </m:fPr>
          <m:num>
            <m:r>
              <m:rPr>
                <m:sty m:val="p"/>
              </m:rPr>
              <w:rPr>
                <w:rFonts w:ascii="Cambria Math" w:eastAsia="Cambria Math" w:hAnsi="Cambria Math" w:cs="Cambria Math"/>
                <w:szCs w:val="21"/>
              </w:rPr>
              <m:t>P</m:t>
            </m:r>
          </m:num>
          <m:den>
            <m:r>
              <m:rPr>
                <m:sty m:val="p"/>
              </m:rPr>
              <w:rPr>
                <w:rFonts w:ascii="Cambria Math" w:eastAsia="Cambria Math" w:hAnsi="Cambria Math" w:cs="Cambria Math"/>
                <w:szCs w:val="21"/>
              </w:rPr>
              <m:t>n</m:t>
            </m:r>
          </m:den>
        </m:f>
        <m:r>
          <w:rPr>
            <w:rFonts w:ascii="Cambria Math" w:eastAsia="Cambria Math" w:hAnsi="Cambria Math"/>
            <w:szCs w:val="21"/>
          </w:rPr>
          <m:t xml:space="preserve">                                                                                     </m:t>
        </m:r>
      </m:oMath>
      <w:r>
        <w:rPr>
          <w:rFonts w:hint="eastAsia"/>
        </w:rPr>
        <w:t>(B.2)</w:t>
      </w:r>
    </w:p>
    <w:p w14:paraId="357168F2" w14:textId="77777777" w:rsidR="00C34226" w:rsidRDefault="00000000">
      <w:pPr>
        <w:widowControl/>
        <w:autoSpaceDE w:val="0"/>
        <w:autoSpaceDN w:val="0"/>
        <w:spacing w:after="0" w:line="240" w:lineRule="auto"/>
        <w:ind w:left="448"/>
        <w:jc w:val="left"/>
        <w:rPr>
          <w:rFonts w:ascii="宋体" w:hAnsi="宋体" w:hint="eastAsia"/>
          <w:color w:val="000000"/>
        </w:rPr>
      </w:pPr>
      <w:r>
        <w:rPr>
          <w:rFonts w:ascii="宋体" w:hAnsi="宋体"/>
          <w:color w:val="000000"/>
        </w:rPr>
        <w:t xml:space="preserve">式中： </w:t>
      </w:r>
    </w:p>
    <w:p w14:paraId="5AD3D9FD" w14:textId="77777777" w:rsidR="00C34226" w:rsidRDefault="00000000">
      <w:pPr>
        <w:widowControl/>
        <w:autoSpaceDE w:val="0"/>
        <w:autoSpaceDN w:val="0"/>
        <w:spacing w:after="0" w:line="240" w:lineRule="auto"/>
        <w:ind w:left="448"/>
        <w:jc w:val="left"/>
        <w:rPr>
          <w:rFonts w:ascii="宋体" w:hAnsi="宋体" w:hint="eastAsia"/>
          <w:color w:val="000000"/>
        </w:rPr>
      </w:pPr>
      <w:r>
        <w:rPr>
          <w:rFonts w:ascii="宋体" w:hAnsi="宋体"/>
          <w:color w:val="000000"/>
        </w:rPr>
        <w:t xml:space="preserve">Q——统计周期内热力消费量，单位为吉焦（GJ）； </w:t>
      </w:r>
    </w:p>
    <w:p w14:paraId="0C5EAE8F" w14:textId="77777777" w:rsidR="00C34226" w:rsidRDefault="00000000">
      <w:pPr>
        <w:widowControl/>
        <w:autoSpaceDE w:val="0"/>
        <w:autoSpaceDN w:val="0"/>
        <w:spacing w:after="0" w:line="240" w:lineRule="auto"/>
        <w:ind w:left="448"/>
        <w:jc w:val="left"/>
        <w:rPr>
          <w:rFonts w:ascii="宋体" w:hAnsi="宋体" w:hint="eastAsia"/>
          <w:color w:val="000000"/>
        </w:rPr>
      </w:pPr>
      <w:r>
        <w:rPr>
          <w:rFonts w:ascii="宋体" w:hAnsi="宋体"/>
          <w:color w:val="000000"/>
        </w:rPr>
        <w:t xml:space="preserve">p——统计周期内热力消费费用，单位为元； </w:t>
      </w:r>
    </w:p>
    <w:p w14:paraId="275B49CA" w14:textId="77777777" w:rsidR="00C34226" w:rsidRDefault="00000000">
      <w:pPr>
        <w:widowControl/>
        <w:autoSpaceDE w:val="0"/>
        <w:autoSpaceDN w:val="0"/>
        <w:spacing w:after="0" w:line="240" w:lineRule="auto"/>
        <w:ind w:left="448"/>
        <w:jc w:val="left"/>
        <w:rPr>
          <w:rFonts w:ascii="宋体" w:hAnsi="宋体" w:hint="eastAsia"/>
          <w:color w:val="000000"/>
        </w:rPr>
      </w:pPr>
      <w:r>
        <w:rPr>
          <w:rFonts w:ascii="宋体" w:hAnsi="宋体"/>
          <w:color w:val="000000"/>
        </w:rPr>
        <w:t xml:space="preserve">n——热力单价，单位为元每吉焦。 </w:t>
      </w:r>
    </w:p>
    <w:p w14:paraId="742A99CE" w14:textId="77777777" w:rsidR="00C34226" w:rsidRDefault="00000000">
      <w:pPr>
        <w:pStyle w:val="affc"/>
        <w:numPr>
          <w:ilvl w:val="0"/>
          <w:numId w:val="0"/>
        </w:numPr>
        <w:spacing w:before="156" w:after="156" w:line="240" w:lineRule="auto"/>
        <w:outlineLvl w:val="9"/>
      </w:pPr>
      <w:r>
        <w:rPr>
          <w:rFonts w:hint="eastAsia"/>
        </w:rPr>
        <w:t>B.2 计算示例</w:t>
      </w:r>
    </w:p>
    <w:p w14:paraId="215B625B" w14:textId="77777777" w:rsidR="00C34226" w:rsidRDefault="00000000">
      <w:pPr>
        <w:pStyle w:val="affffff0"/>
        <w:spacing w:after="0" w:line="240" w:lineRule="auto"/>
        <w:ind w:firstLine="420"/>
        <w:jc w:val="left"/>
        <w:rPr>
          <w:rFonts w:ascii="Times New Roman"/>
        </w:rPr>
      </w:pPr>
      <w:r>
        <w:rPr>
          <w:rFonts w:ascii="Times New Roman"/>
        </w:rPr>
        <w:t>某学校</w:t>
      </w:r>
      <w:r>
        <w:rPr>
          <w:rFonts w:ascii="Times New Roman"/>
        </w:rPr>
        <w:t>2022</w:t>
      </w:r>
      <w:r>
        <w:rPr>
          <w:rFonts w:ascii="Times New Roman"/>
        </w:rPr>
        <w:t>～</w:t>
      </w:r>
      <w:r>
        <w:rPr>
          <w:rFonts w:ascii="Times New Roman"/>
        </w:rPr>
        <w:t>2023</w:t>
      </w:r>
      <w:r>
        <w:rPr>
          <w:rFonts w:ascii="Times New Roman"/>
        </w:rPr>
        <w:t>年采暖季缴纳采暖费</w:t>
      </w:r>
      <w:r>
        <w:rPr>
          <w:rFonts w:ascii="Times New Roman"/>
        </w:rPr>
        <w:t>1745400</w:t>
      </w:r>
      <w:r>
        <w:rPr>
          <w:rFonts w:ascii="Times New Roman"/>
        </w:rPr>
        <w:t>元，</w:t>
      </w:r>
      <w:r>
        <w:rPr>
          <w:rFonts w:ascii="Times New Roman"/>
        </w:rPr>
        <w:t>2023</w:t>
      </w:r>
      <w:r>
        <w:rPr>
          <w:rFonts w:ascii="Times New Roman"/>
        </w:rPr>
        <w:t>～</w:t>
      </w:r>
      <w:r>
        <w:rPr>
          <w:rFonts w:ascii="Times New Roman"/>
        </w:rPr>
        <w:t>2024</w:t>
      </w:r>
      <w:r>
        <w:rPr>
          <w:rFonts w:ascii="Times New Roman"/>
        </w:rPr>
        <w:t>年采暖季因采暖面积变化，缴纳采暖费</w:t>
      </w:r>
      <w:r>
        <w:rPr>
          <w:rFonts w:ascii="Times New Roman"/>
        </w:rPr>
        <w:t>2094480</w:t>
      </w:r>
      <w:r>
        <w:rPr>
          <w:rFonts w:ascii="Times New Roman"/>
        </w:rPr>
        <w:t>元，采暖周期从</w:t>
      </w:r>
      <w:r>
        <w:rPr>
          <w:rFonts w:ascii="Times New Roman"/>
        </w:rPr>
        <w:t>11</w:t>
      </w:r>
      <w:r>
        <w:rPr>
          <w:rFonts w:ascii="Times New Roman"/>
        </w:rPr>
        <w:t>月</w:t>
      </w:r>
      <w:r>
        <w:rPr>
          <w:rFonts w:ascii="Times New Roman"/>
        </w:rPr>
        <w:t>15</w:t>
      </w:r>
      <w:r>
        <w:rPr>
          <w:rFonts w:ascii="Times New Roman"/>
        </w:rPr>
        <w:t>日开始至次年</w:t>
      </w:r>
      <w:r>
        <w:rPr>
          <w:rFonts w:ascii="Times New Roman"/>
        </w:rPr>
        <w:t>3</w:t>
      </w:r>
      <w:r>
        <w:rPr>
          <w:rFonts w:ascii="Times New Roman"/>
        </w:rPr>
        <w:t>月</w:t>
      </w:r>
      <w:r>
        <w:rPr>
          <w:rFonts w:ascii="Times New Roman"/>
        </w:rPr>
        <w:t>15</w:t>
      </w:r>
      <w:r>
        <w:rPr>
          <w:rFonts w:ascii="Times New Roman"/>
        </w:rPr>
        <w:t>日结束，共</w:t>
      </w:r>
      <w:r>
        <w:rPr>
          <w:rFonts w:ascii="Times New Roman"/>
        </w:rPr>
        <w:t>121</w:t>
      </w:r>
      <w:r>
        <w:rPr>
          <w:rFonts w:ascii="Times New Roman"/>
        </w:rPr>
        <w:t>天，</w:t>
      </w:r>
      <w:r>
        <w:rPr>
          <w:rFonts w:ascii="Times New Roman" w:hint="eastAsia"/>
        </w:rPr>
        <w:t>某地</w:t>
      </w:r>
      <w:r>
        <w:rPr>
          <w:rFonts w:ascii="Times New Roman"/>
        </w:rPr>
        <w:t>《能源、水统计报表制度》中参考热力单价为</w:t>
      </w:r>
      <w:r>
        <w:rPr>
          <w:rFonts w:ascii="Times New Roman"/>
        </w:rPr>
        <w:t>115</w:t>
      </w:r>
      <w:r>
        <w:rPr>
          <w:rFonts w:ascii="Times New Roman"/>
        </w:rPr>
        <w:t>元每吉焦，则该学校</w:t>
      </w:r>
      <w:r>
        <w:rPr>
          <w:rFonts w:ascii="Times New Roman"/>
        </w:rPr>
        <w:t>2023</w:t>
      </w:r>
      <w:r>
        <w:rPr>
          <w:rFonts w:ascii="Times New Roman"/>
        </w:rPr>
        <w:t>年度的热力消费费用及热力消费量计算见表</w:t>
      </w:r>
      <w:r>
        <w:rPr>
          <w:rFonts w:ascii="Times New Roman"/>
        </w:rPr>
        <w:t>B.1</w:t>
      </w:r>
      <w:r>
        <w:rPr>
          <w:rFonts w:ascii="Times New Roman"/>
        </w:rPr>
        <w:t>：</w:t>
      </w:r>
    </w:p>
    <w:p w14:paraId="49D913E6" w14:textId="77777777" w:rsidR="00C34226" w:rsidRDefault="00000000">
      <w:pPr>
        <w:widowControl/>
        <w:autoSpaceDE w:val="0"/>
        <w:autoSpaceDN w:val="0"/>
        <w:spacing w:before="210" w:after="158" w:line="240" w:lineRule="auto"/>
        <w:jc w:val="center"/>
        <w:rPr>
          <w:rFonts w:ascii="黑体" w:eastAsia="黑体" w:hAnsi="黑体" w:hint="eastAsia"/>
          <w:color w:val="000000"/>
        </w:rPr>
      </w:pPr>
      <w:r>
        <w:rPr>
          <w:rFonts w:ascii="黑体" w:eastAsia="黑体" w:hAnsi="黑体"/>
          <w:color w:val="000000"/>
          <w:spacing w:val="52"/>
        </w:rPr>
        <w:t>表</w:t>
      </w:r>
      <w:r>
        <w:rPr>
          <w:rFonts w:ascii="黑体" w:eastAsia="黑体" w:hAnsi="黑体"/>
          <w:color w:val="000000"/>
        </w:rPr>
        <w:t>B.</w:t>
      </w:r>
      <w:r>
        <w:rPr>
          <w:rFonts w:ascii="黑体" w:eastAsia="黑体" w:hAnsi="黑体"/>
          <w:color w:val="000000"/>
          <w:spacing w:val="-2"/>
        </w:rPr>
        <w:t>1</w:t>
      </w:r>
      <w:r>
        <w:rPr>
          <w:rFonts w:ascii="黑体" w:eastAsia="黑体" w:hAnsi="黑体"/>
          <w:color w:val="000000"/>
          <w:spacing w:val="-104"/>
        </w:rPr>
        <w:t xml:space="preserve"> </w:t>
      </w:r>
      <w:r>
        <w:rPr>
          <w:rFonts w:ascii="黑体" w:eastAsia="黑体" w:hAnsi="黑体"/>
          <w:color w:val="000000"/>
          <w:spacing w:val="-4"/>
        </w:rPr>
        <w:t>热</w:t>
      </w:r>
      <w:r>
        <w:rPr>
          <w:rFonts w:ascii="黑体" w:eastAsia="黑体" w:hAnsi="黑体"/>
          <w:color w:val="000000"/>
          <w:spacing w:val="-2"/>
        </w:rPr>
        <w:t>力</w:t>
      </w:r>
      <w:r>
        <w:rPr>
          <w:rFonts w:ascii="黑体" w:eastAsia="黑体" w:hAnsi="黑体"/>
          <w:color w:val="000000"/>
          <w:spacing w:val="-4"/>
        </w:rPr>
        <w:t>消</w:t>
      </w:r>
      <w:r>
        <w:rPr>
          <w:rFonts w:ascii="黑体" w:eastAsia="黑体" w:hAnsi="黑体"/>
          <w:color w:val="000000"/>
          <w:spacing w:val="-2"/>
        </w:rPr>
        <w:t>费</w:t>
      </w:r>
      <w:r>
        <w:rPr>
          <w:rFonts w:ascii="黑体" w:eastAsia="黑体" w:hAnsi="黑体"/>
          <w:color w:val="000000"/>
          <w:spacing w:val="-4"/>
        </w:rPr>
        <w:t>数</w:t>
      </w:r>
      <w:r>
        <w:rPr>
          <w:rFonts w:ascii="黑体" w:eastAsia="黑体" w:hAnsi="黑体"/>
          <w:color w:val="000000"/>
          <w:spacing w:val="-2"/>
        </w:rPr>
        <w:t>据</w:t>
      </w:r>
      <w:r>
        <w:rPr>
          <w:rFonts w:ascii="黑体" w:eastAsia="黑体" w:hAnsi="黑体"/>
          <w:color w:val="000000"/>
          <w:spacing w:val="-4"/>
        </w:rPr>
        <w:t>计算</w:t>
      </w:r>
      <w:r>
        <w:rPr>
          <w:rFonts w:ascii="黑体" w:eastAsia="黑体" w:hAnsi="黑体"/>
          <w:color w:val="000000"/>
        </w:rPr>
        <w:t xml:space="preserve"> </w:t>
      </w:r>
    </w:p>
    <w:tbl>
      <w:tblPr>
        <w:tblStyle w:val="afffff1"/>
        <w:tblW w:w="0" w:type="auto"/>
        <w:tblLook w:val="04A0" w:firstRow="1" w:lastRow="0" w:firstColumn="1" w:lastColumn="0" w:noHBand="0" w:noVBand="1"/>
      </w:tblPr>
      <w:tblGrid>
        <w:gridCol w:w="2343"/>
        <w:gridCol w:w="2343"/>
        <w:gridCol w:w="2344"/>
        <w:gridCol w:w="2344"/>
      </w:tblGrid>
      <w:tr w:rsidR="00C34226" w14:paraId="4E809BAD" w14:textId="77777777">
        <w:trPr>
          <w:trHeight w:val="20"/>
        </w:trPr>
        <w:tc>
          <w:tcPr>
            <w:tcW w:w="2343" w:type="dxa"/>
            <w:tcBorders>
              <w:top w:val="single" w:sz="8" w:space="0" w:color="auto"/>
              <w:left w:val="single" w:sz="8" w:space="0" w:color="auto"/>
              <w:bottom w:val="single" w:sz="8" w:space="0" w:color="auto"/>
            </w:tcBorders>
            <w:shd w:val="clear" w:color="auto" w:fill="auto"/>
            <w:vAlign w:val="center"/>
          </w:tcPr>
          <w:p w14:paraId="27DD4C67" w14:textId="77777777" w:rsidR="00C34226" w:rsidRDefault="00000000">
            <w:pPr>
              <w:pStyle w:val="affffffffff4"/>
              <w:spacing w:line="240" w:lineRule="auto"/>
            </w:pPr>
            <w:bookmarkStart w:id="150" w:name="OLE_LINK6"/>
            <w:r>
              <w:rPr>
                <w:rFonts w:ascii="黑体" w:eastAsia="黑体" w:hAnsi="黑体"/>
                <w:color w:val="000000"/>
              </w:rPr>
              <w:t xml:space="preserve">月度 </w:t>
            </w:r>
          </w:p>
        </w:tc>
        <w:tc>
          <w:tcPr>
            <w:tcW w:w="2343" w:type="dxa"/>
            <w:tcBorders>
              <w:top w:val="single" w:sz="8" w:space="0" w:color="auto"/>
              <w:bottom w:val="single" w:sz="8" w:space="0" w:color="auto"/>
            </w:tcBorders>
            <w:shd w:val="clear" w:color="auto" w:fill="auto"/>
            <w:vAlign w:val="center"/>
          </w:tcPr>
          <w:p w14:paraId="6FC8C9D5" w14:textId="77777777" w:rsidR="00C34226" w:rsidRDefault="00000000">
            <w:pPr>
              <w:pStyle w:val="affffffffff4"/>
              <w:spacing w:line="240" w:lineRule="auto"/>
            </w:pPr>
            <w:r>
              <w:rPr>
                <w:rFonts w:ascii="黑体" w:eastAsia="黑体" w:hAnsi="黑体"/>
                <w:color w:val="000000"/>
              </w:rPr>
              <w:t xml:space="preserve">供暖天数 </w:t>
            </w:r>
          </w:p>
        </w:tc>
        <w:tc>
          <w:tcPr>
            <w:tcW w:w="2344" w:type="dxa"/>
            <w:tcBorders>
              <w:top w:val="single" w:sz="8" w:space="0" w:color="auto"/>
              <w:bottom w:val="single" w:sz="8" w:space="0" w:color="auto"/>
            </w:tcBorders>
            <w:shd w:val="clear" w:color="auto" w:fill="auto"/>
            <w:vAlign w:val="center"/>
          </w:tcPr>
          <w:p w14:paraId="04F3D5FC" w14:textId="77777777" w:rsidR="00C34226" w:rsidRDefault="00000000">
            <w:pPr>
              <w:pStyle w:val="affffffffff4"/>
              <w:spacing w:line="240" w:lineRule="auto"/>
            </w:pPr>
            <w:r>
              <w:rPr>
                <w:rFonts w:ascii="黑体" w:eastAsia="黑体" w:hAnsi="黑体"/>
                <w:color w:val="000000"/>
              </w:rPr>
              <w:t xml:space="preserve">热力消费费用/元 </w:t>
            </w:r>
          </w:p>
        </w:tc>
        <w:tc>
          <w:tcPr>
            <w:tcW w:w="2344" w:type="dxa"/>
            <w:tcBorders>
              <w:top w:val="single" w:sz="8" w:space="0" w:color="auto"/>
              <w:bottom w:val="single" w:sz="8" w:space="0" w:color="auto"/>
              <w:right w:val="single" w:sz="8" w:space="0" w:color="auto"/>
            </w:tcBorders>
            <w:shd w:val="clear" w:color="auto" w:fill="auto"/>
            <w:vAlign w:val="center"/>
          </w:tcPr>
          <w:p w14:paraId="1964E3B7" w14:textId="77777777" w:rsidR="00C34226" w:rsidRDefault="00000000">
            <w:pPr>
              <w:pStyle w:val="affffffffff4"/>
              <w:spacing w:line="240" w:lineRule="auto"/>
            </w:pPr>
            <w:r>
              <w:rPr>
                <w:rFonts w:ascii="黑体" w:eastAsia="黑体" w:hAnsi="黑体"/>
                <w:color w:val="000000"/>
              </w:rPr>
              <w:t xml:space="preserve">热力消费量/吉焦 </w:t>
            </w:r>
          </w:p>
        </w:tc>
      </w:tr>
      <w:bookmarkEnd w:id="150"/>
      <w:tr w:rsidR="00C34226" w14:paraId="19F6F8CD" w14:textId="77777777">
        <w:trPr>
          <w:trHeight w:val="20"/>
        </w:trPr>
        <w:tc>
          <w:tcPr>
            <w:tcW w:w="2343" w:type="dxa"/>
            <w:tcBorders>
              <w:top w:val="single" w:sz="8" w:space="0" w:color="auto"/>
              <w:left w:val="single" w:sz="8" w:space="0" w:color="auto"/>
            </w:tcBorders>
            <w:shd w:val="clear" w:color="auto" w:fill="auto"/>
            <w:vAlign w:val="center"/>
          </w:tcPr>
          <w:p w14:paraId="36E11E87" w14:textId="77777777" w:rsidR="00C34226" w:rsidRDefault="00000000">
            <w:pPr>
              <w:pStyle w:val="affffffffff4"/>
              <w:spacing w:line="240" w:lineRule="auto"/>
            </w:pPr>
            <w:r>
              <w:rPr>
                <w:rFonts w:ascii="Times New Roman"/>
                <w:color w:val="000000"/>
              </w:rPr>
              <w:t>1</w:t>
            </w:r>
            <w:r>
              <w:rPr>
                <w:rFonts w:ascii="Times New Roman" w:eastAsia="KTpcKGKq+SimSun"/>
                <w:color w:val="000000"/>
              </w:rPr>
              <w:t>月</w:t>
            </w:r>
            <w:r>
              <w:rPr>
                <w:rFonts w:ascii="Times New Roman"/>
                <w:color w:val="000000"/>
              </w:rPr>
              <w:t xml:space="preserve"> </w:t>
            </w:r>
          </w:p>
        </w:tc>
        <w:tc>
          <w:tcPr>
            <w:tcW w:w="2343" w:type="dxa"/>
            <w:tcBorders>
              <w:top w:val="single" w:sz="8" w:space="0" w:color="auto"/>
            </w:tcBorders>
            <w:shd w:val="clear" w:color="auto" w:fill="auto"/>
            <w:vAlign w:val="center"/>
          </w:tcPr>
          <w:p w14:paraId="755D0359" w14:textId="77777777" w:rsidR="00C34226" w:rsidRDefault="00000000">
            <w:pPr>
              <w:pStyle w:val="affffffffff4"/>
              <w:spacing w:line="240" w:lineRule="auto"/>
            </w:pPr>
            <w:r>
              <w:rPr>
                <w:rFonts w:ascii="Times New Roman"/>
                <w:color w:val="000000"/>
              </w:rPr>
              <w:t>3</w:t>
            </w:r>
            <w:r>
              <w:rPr>
                <w:rFonts w:ascii="Times New Roman"/>
                <w:color w:val="000000"/>
                <w:spacing w:val="-2"/>
              </w:rPr>
              <w:t>1</w:t>
            </w:r>
            <w:r>
              <w:rPr>
                <w:rFonts w:ascii="Times New Roman"/>
                <w:color w:val="000000"/>
              </w:rPr>
              <w:t xml:space="preserve"> </w:t>
            </w:r>
          </w:p>
        </w:tc>
        <w:tc>
          <w:tcPr>
            <w:tcW w:w="2344" w:type="dxa"/>
            <w:tcBorders>
              <w:top w:val="single" w:sz="8" w:space="0" w:color="auto"/>
            </w:tcBorders>
            <w:shd w:val="clear" w:color="auto" w:fill="auto"/>
            <w:vAlign w:val="center"/>
          </w:tcPr>
          <w:p w14:paraId="0C56532A" w14:textId="77777777" w:rsidR="00C34226" w:rsidRDefault="00000000">
            <w:pPr>
              <w:pStyle w:val="affffffffff4"/>
              <w:spacing w:line="240" w:lineRule="auto"/>
            </w:pPr>
            <w:r>
              <w:rPr>
                <w:rFonts w:ascii="Times New Roman"/>
                <w:color w:val="000000"/>
              </w:rPr>
              <w:t>17</w:t>
            </w:r>
            <w:r>
              <w:rPr>
                <w:rFonts w:ascii="Times New Roman"/>
                <w:color w:val="000000"/>
                <w:spacing w:val="-2"/>
              </w:rPr>
              <w:t>4</w:t>
            </w:r>
            <w:r>
              <w:rPr>
                <w:rFonts w:ascii="Times New Roman"/>
                <w:color w:val="000000"/>
              </w:rPr>
              <w:t>5</w:t>
            </w:r>
            <w:r>
              <w:rPr>
                <w:rFonts w:ascii="Times New Roman"/>
                <w:color w:val="000000"/>
                <w:spacing w:val="-2"/>
              </w:rPr>
              <w:t>4</w:t>
            </w:r>
            <w:r>
              <w:rPr>
                <w:rFonts w:ascii="Times New Roman"/>
                <w:color w:val="000000"/>
              </w:rPr>
              <w:t>00</w:t>
            </w:r>
            <w:r>
              <w:rPr>
                <w:rFonts w:ascii="Times New Roman" w:eastAsia="LfX3I1UR+TimesNewRomanPSMT"/>
                <w:color w:val="000000"/>
                <w:spacing w:val="-4"/>
              </w:rPr>
              <w:t>×</w:t>
            </w:r>
            <w:r>
              <w:rPr>
                <w:rFonts w:ascii="Times New Roman"/>
                <w:color w:val="000000"/>
              </w:rPr>
              <w:t>3</w:t>
            </w:r>
            <w:r>
              <w:rPr>
                <w:rFonts w:ascii="Times New Roman"/>
                <w:color w:val="000000"/>
                <w:spacing w:val="-2"/>
              </w:rPr>
              <w:t>1</w:t>
            </w:r>
            <w:r>
              <w:rPr>
                <w:rFonts w:ascii="Times New Roman"/>
                <w:color w:val="000000"/>
              </w:rPr>
              <w:t>/</w:t>
            </w:r>
            <w:r>
              <w:rPr>
                <w:rFonts w:ascii="Times New Roman"/>
                <w:color w:val="000000"/>
                <w:spacing w:val="-2"/>
              </w:rPr>
              <w:t>1</w:t>
            </w:r>
            <w:r>
              <w:rPr>
                <w:rFonts w:ascii="Times New Roman"/>
                <w:color w:val="000000"/>
              </w:rPr>
              <w:t>2</w:t>
            </w:r>
            <w:r>
              <w:rPr>
                <w:rFonts w:ascii="Times New Roman"/>
                <w:color w:val="000000"/>
                <w:spacing w:val="-2"/>
              </w:rPr>
              <w:t>1</w:t>
            </w:r>
            <w:r>
              <w:rPr>
                <w:rFonts w:ascii="Times New Roman"/>
                <w:color w:val="000000"/>
              </w:rPr>
              <w:t>=</w:t>
            </w:r>
            <w:r>
              <w:rPr>
                <w:rFonts w:ascii="Times New Roman"/>
                <w:color w:val="000000"/>
                <w:spacing w:val="-2"/>
              </w:rPr>
              <w:t>4</w:t>
            </w:r>
            <w:r>
              <w:rPr>
                <w:rFonts w:ascii="Times New Roman"/>
                <w:color w:val="000000"/>
              </w:rPr>
              <w:t>4</w:t>
            </w:r>
            <w:r>
              <w:rPr>
                <w:rFonts w:ascii="Times New Roman"/>
                <w:color w:val="000000"/>
                <w:spacing w:val="-2"/>
              </w:rPr>
              <w:t>7</w:t>
            </w:r>
            <w:r>
              <w:rPr>
                <w:rFonts w:ascii="Times New Roman"/>
                <w:color w:val="000000"/>
              </w:rPr>
              <w:t>1</w:t>
            </w:r>
            <w:r>
              <w:rPr>
                <w:rFonts w:ascii="Times New Roman"/>
                <w:color w:val="000000"/>
                <w:spacing w:val="-2"/>
              </w:rPr>
              <w:t>6</w:t>
            </w:r>
            <w:r>
              <w:rPr>
                <w:rFonts w:ascii="Times New Roman"/>
                <w:color w:val="000000"/>
              </w:rPr>
              <w:t>8</w:t>
            </w:r>
            <w:r>
              <w:rPr>
                <w:rFonts w:ascii="Times New Roman"/>
                <w:color w:val="000000"/>
                <w:spacing w:val="-2"/>
              </w:rPr>
              <w:t>.</w:t>
            </w:r>
            <w:r>
              <w:rPr>
                <w:rFonts w:ascii="Times New Roman"/>
                <w:color w:val="000000"/>
              </w:rPr>
              <w:t>6</w:t>
            </w:r>
            <w:r>
              <w:rPr>
                <w:rFonts w:ascii="Times New Roman"/>
                <w:color w:val="000000"/>
                <w:spacing w:val="-2"/>
              </w:rPr>
              <w:t>0</w:t>
            </w:r>
            <w:r>
              <w:rPr>
                <w:rFonts w:ascii="Times New Roman"/>
                <w:color w:val="000000"/>
              </w:rPr>
              <w:t xml:space="preserve"> </w:t>
            </w:r>
          </w:p>
        </w:tc>
        <w:tc>
          <w:tcPr>
            <w:tcW w:w="2344" w:type="dxa"/>
            <w:tcBorders>
              <w:top w:val="single" w:sz="8" w:space="0" w:color="auto"/>
              <w:right w:val="single" w:sz="8" w:space="0" w:color="auto"/>
            </w:tcBorders>
            <w:shd w:val="clear" w:color="auto" w:fill="auto"/>
            <w:vAlign w:val="center"/>
          </w:tcPr>
          <w:p w14:paraId="66C12009" w14:textId="77777777" w:rsidR="00C34226" w:rsidRDefault="00000000">
            <w:pPr>
              <w:pStyle w:val="affffffffff4"/>
              <w:spacing w:line="240" w:lineRule="auto"/>
            </w:pPr>
            <w:r>
              <w:rPr>
                <w:rFonts w:ascii="Times New Roman"/>
                <w:color w:val="000000"/>
              </w:rPr>
              <w:t xml:space="preserve">447168.60/115=3888.42 </w:t>
            </w:r>
          </w:p>
        </w:tc>
      </w:tr>
      <w:tr w:rsidR="00C34226" w14:paraId="03DB6C05" w14:textId="77777777">
        <w:trPr>
          <w:trHeight w:val="20"/>
        </w:trPr>
        <w:tc>
          <w:tcPr>
            <w:tcW w:w="2343" w:type="dxa"/>
            <w:tcBorders>
              <w:left w:val="single" w:sz="8" w:space="0" w:color="auto"/>
            </w:tcBorders>
            <w:shd w:val="clear" w:color="auto" w:fill="auto"/>
            <w:vAlign w:val="center"/>
          </w:tcPr>
          <w:p w14:paraId="32B389CB" w14:textId="77777777" w:rsidR="00C34226" w:rsidRDefault="00000000">
            <w:pPr>
              <w:pStyle w:val="affffffffff4"/>
              <w:spacing w:line="240" w:lineRule="auto"/>
            </w:pPr>
            <w:r>
              <w:rPr>
                <w:rFonts w:ascii="Times New Roman"/>
                <w:color w:val="000000"/>
              </w:rPr>
              <w:t>2</w:t>
            </w:r>
            <w:r>
              <w:rPr>
                <w:rFonts w:ascii="Times New Roman" w:eastAsia="KTpcKGKq+SimSun"/>
                <w:color w:val="000000"/>
              </w:rPr>
              <w:t>月</w:t>
            </w:r>
            <w:r>
              <w:rPr>
                <w:rFonts w:ascii="Times New Roman"/>
                <w:color w:val="000000"/>
              </w:rPr>
              <w:t xml:space="preserve"> </w:t>
            </w:r>
          </w:p>
        </w:tc>
        <w:tc>
          <w:tcPr>
            <w:tcW w:w="2343" w:type="dxa"/>
            <w:shd w:val="clear" w:color="auto" w:fill="auto"/>
            <w:vAlign w:val="center"/>
          </w:tcPr>
          <w:p w14:paraId="2CBA08DD" w14:textId="77777777" w:rsidR="00C34226" w:rsidRDefault="00000000">
            <w:pPr>
              <w:pStyle w:val="affffffffff4"/>
              <w:spacing w:line="240" w:lineRule="auto"/>
            </w:pPr>
            <w:r>
              <w:rPr>
                <w:rFonts w:ascii="Times New Roman"/>
                <w:color w:val="000000"/>
              </w:rPr>
              <w:t>2</w:t>
            </w:r>
            <w:r>
              <w:rPr>
                <w:rFonts w:ascii="Times New Roman"/>
                <w:color w:val="000000"/>
                <w:spacing w:val="-2"/>
              </w:rPr>
              <w:t>8</w:t>
            </w:r>
            <w:r>
              <w:rPr>
                <w:rFonts w:ascii="Times New Roman"/>
                <w:color w:val="000000"/>
              </w:rPr>
              <w:t xml:space="preserve"> </w:t>
            </w:r>
          </w:p>
        </w:tc>
        <w:tc>
          <w:tcPr>
            <w:tcW w:w="2344" w:type="dxa"/>
            <w:shd w:val="clear" w:color="auto" w:fill="auto"/>
            <w:vAlign w:val="center"/>
          </w:tcPr>
          <w:p w14:paraId="77F2D123" w14:textId="77777777" w:rsidR="00C34226" w:rsidRDefault="00000000">
            <w:pPr>
              <w:pStyle w:val="affffffffff4"/>
              <w:spacing w:line="240" w:lineRule="auto"/>
            </w:pPr>
            <w:r>
              <w:rPr>
                <w:rFonts w:ascii="Times New Roman"/>
                <w:color w:val="000000"/>
              </w:rPr>
              <w:t>17</w:t>
            </w:r>
            <w:r>
              <w:rPr>
                <w:rFonts w:ascii="Times New Roman"/>
                <w:color w:val="000000"/>
                <w:spacing w:val="-2"/>
              </w:rPr>
              <w:t>4</w:t>
            </w:r>
            <w:r>
              <w:rPr>
                <w:rFonts w:ascii="Times New Roman"/>
                <w:color w:val="000000"/>
              </w:rPr>
              <w:t>5</w:t>
            </w:r>
            <w:r>
              <w:rPr>
                <w:rFonts w:ascii="Times New Roman"/>
                <w:color w:val="000000"/>
                <w:spacing w:val="-2"/>
              </w:rPr>
              <w:t>4</w:t>
            </w:r>
            <w:r>
              <w:rPr>
                <w:rFonts w:ascii="Times New Roman"/>
                <w:color w:val="000000"/>
              </w:rPr>
              <w:t>00</w:t>
            </w:r>
            <w:r>
              <w:rPr>
                <w:rFonts w:ascii="Times New Roman" w:eastAsia="LfX3I1UR+TimesNewRomanPSMT"/>
                <w:color w:val="000000"/>
                <w:spacing w:val="-4"/>
              </w:rPr>
              <w:t>×</w:t>
            </w:r>
            <w:r>
              <w:rPr>
                <w:rFonts w:ascii="Times New Roman"/>
                <w:color w:val="000000"/>
              </w:rPr>
              <w:t>2</w:t>
            </w:r>
            <w:r>
              <w:rPr>
                <w:rFonts w:ascii="Times New Roman"/>
                <w:color w:val="000000"/>
                <w:spacing w:val="-2"/>
              </w:rPr>
              <w:t>8</w:t>
            </w:r>
            <w:r>
              <w:rPr>
                <w:rFonts w:ascii="Times New Roman"/>
                <w:color w:val="000000"/>
              </w:rPr>
              <w:t>/</w:t>
            </w:r>
            <w:r>
              <w:rPr>
                <w:rFonts w:ascii="Times New Roman"/>
                <w:color w:val="000000"/>
                <w:spacing w:val="-2"/>
              </w:rPr>
              <w:t>1</w:t>
            </w:r>
            <w:r>
              <w:rPr>
                <w:rFonts w:ascii="Times New Roman"/>
                <w:color w:val="000000"/>
              </w:rPr>
              <w:t>2</w:t>
            </w:r>
            <w:r>
              <w:rPr>
                <w:rFonts w:ascii="Times New Roman"/>
                <w:color w:val="000000"/>
                <w:spacing w:val="-2"/>
              </w:rPr>
              <w:t>1</w:t>
            </w:r>
            <w:r>
              <w:rPr>
                <w:rFonts w:ascii="Times New Roman"/>
                <w:color w:val="000000"/>
              </w:rPr>
              <w:t>=</w:t>
            </w:r>
            <w:r>
              <w:rPr>
                <w:rFonts w:ascii="Times New Roman"/>
                <w:color w:val="000000"/>
                <w:spacing w:val="-2"/>
              </w:rPr>
              <w:t>4</w:t>
            </w:r>
            <w:r>
              <w:rPr>
                <w:rFonts w:ascii="Times New Roman"/>
                <w:color w:val="000000"/>
              </w:rPr>
              <w:t>0</w:t>
            </w:r>
            <w:r>
              <w:rPr>
                <w:rFonts w:ascii="Times New Roman"/>
                <w:color w:val="000000"/>
                <w:spacing w:val="-2"/>
              </w:rPr>
              <w:t>3</w:t>
            </w:r>
            <w:r>
              <w:rPr>
                <w:rFonts w:ascii="Times New Roman"/>
                <w:color w:val="000000"/>
              </w:rPr>
              <w:t>8</w:t>
            </w:r>
            <w:r>
              <w:rPr>
                <w:rFonts w:ascii="Times New Roman"/>
                <w:color w:val="000000"/>
                <w:spacing w:val="-2"/>
              </w:rPr>
              <w:t>9</w:t>
            </w:r>
            <w:r>
              <w:rPr>
                <w:rFonts w:ascii="Times New Roman"/>
                <w:color w:val="000000"/>
              </w:rPr>
              <w:t>4</w:t>
            </w:r>
            <w:r>
              <w:rPr>
                <w:rFonts w:ascii="Times New Roman"/>
                <w:color w:val="000000"/>
                <w:spacing w:val="-2"/>
              </w:rPr>
              <w:t>.</w:t>
            </w:r>
            <w:r>
              <w:rPr>
                <w:rFonts w:ascii="Times New Roman"/>
                <w:color w:val="000000"/>
              </w:rPr>
              <w:t>2</w:t>
            </w:r>
            <w:r>
              <w:rPr>
                <w:rFonts w:ascii="Times New Roman"/>
                <w:color w:val="000000"/>
                <w:spacing w:val="-2"/>
              </w:rPr>
              <w:t>1</w:t>
            </w:r>
            <w:r>
              <w:rPr>
                <w:rFonts w:ascii="Times New Roman"/>
                <w:color w:val="000000"/>
              </w:rPr>
              <w:t xml:space="preserve"> </w:t>
            </w:r>
          </w:p>
        </w:tc>
        <w:tc>
          <w:tcPr>
            <w:tcW w:w="2344" w:type="dxa"/>
            <w:tcBorders>
              <w:right w:val="single" w:sz="8" w:space="0" w:color="auto"/>
            </w:tcBorders>
            <w:shd w:val="clear" w:color="auto" w:fill="auto"/>
            <w:vAlign w:val="center"/>
          </w:tcPr>
          <w:p w14:paraId="394E172A" w14:textId="77777777" w:rsidR="00C34226" w:rsidRDefault="00000000">
            <w:pPr>
              <w:pStyle w:val="affffffffff4"/>
              <w:spacing w:line="240" w:lineRule="auto"/>
            </w:pPr>
            <w:r>
              <w:rPr>
                <w:rFonts w:ascii="Times New Roman"/>
                <w:color w:val="000000"/>
              </w:rPr>
              <w:t xml:space="preserve">403894.21/115=3512.12 </w:t>
            </w:r>
          </w:p>
        </w:tc>
      </w:tr>
      <w:tr w:rsidR="00C34226" w14:paraId="4093DD39" w14:textId="77777777">
        <w:trPr>
          <w:trHeight w:val="20"/>
        </w:trPr>
        <w:tc>
          <w:tcPr>
            <w:tcW w:w="2343" w:type="dxa"/>
            <w:tcBorders>
              <w:left w:val="single" w:sz="8" w:space="0" w:color="auto"/>
            </w:tcBorders>
            <w:shd w:val="clear" w:color="auto" w:fill="auto"/>
            <w:vAlign w:val="center"/>
          </w:tcPr>
          <w:p w14:paraId="13CBB36B" w14:textId="77777777" w:rsidR="00C34226" w:rsidRDefault="00000000">
            <w:pPr>
              <w:pStyle w:val="affffffffff4"/>
              <w:spacing w:line="240" w:lineRule="auto"/>
            </w:pPr>
            <w:r>
              <w:rPr>
                <w:rFonts w:ascii="Times New Roman"/>
                <w:color w:val="000000"/>
              </w:rPr>
              <w:t>3</w:t>
            </w:r>
            <w:r>
              <w:rPr>
                <w:rFonts w:ascii="Times New Roman" w:eastAsia="KTpcKGKq+SimSun"/>
                <w:color w:val="000000"/>
              </w:rPr>
              <w:t>月</w:t>
            </w:r>
            <w:r>
              <w:rPr>
                <w:rFonts w:ascii="Times New Roman"/>
                <w:color w:val="000000"/>
              </w:rPr>
              <w:t xml:space="preserve"> </w:t>
            </w:r>
          </w:p>
        </w:tc>
        <w:tc>
          <w:tcPr>
            <w:tcW w:w="2343" w:type="dxa"/>
            <w:shd w:val="clear" w:color="auto" w:fill="auto"/>
            <w:vAlign w:val="center"/>
          </w:tcPr>
          <w:p w14:paraId="08AEBACF" w14:textId="77777777" w:rsidR="00C34226" w:rsidRDefault="00000000">
            <w:pPr>
              <w:pStyle w:val="affffffffff4"/>
              <w:spacing w:line="240" w:lineRule="auto"/>
            </w:pPr>
            <w:r>
              <w:rPr>
                <w:rFonts w:ascii="Times New Roman"/>
                <w:color w:val="000000"/>
              </w:rPr>
              <w:t>1</w:t>
            </w:r>
            <w:r>
              <w:rPr>
                <w:rFonts w:ascii="Times New Roman"/>
                <w:color w:val="000000"/>
                <w:spacing w:val="-2"/>
              </w:rPr>
              <w:t>5</w:t>
            </w:r>
            <w:r>
              <w:rPr>
                <w:rFonts w:ascii="Times New Roman"/>
                <w:color w:val="000000"/>
              </w:rPr>
              <w:t xml:space="preserve"> </w:t>
            </w:r>
          </w:p>
        </w:tc>
        <w:tc>
          <w:tcPr>
            <w:tcW w:w="2344" w:type="dxa"/>
            <w:shd w:val="clear" w:color="auto" w:fill="auto"/>
            <w:vAlign w:val="center"/>
          </w:tcPr>
          <w:p w14:paraId="32414DC0" w14:textId="77777777" w:rsidR="00C34226" w:rsidRDefault="00000000">
            <w:pPr>
              <w:pStyle w:val="affffffffff4"/>
              <w:spacing w:line="240" w:lineRule="auto"/>
            </w:pPr>
            <w:r>
              <w:rPr>
                <w:rFonts w:ascii="Times New Roman"/>
                <w:color w:val="000000"/>
              </w:rPr>
              <w:t>17</w:t>
            </w:r>
            <w:r>
              <w:rPr>
                <w:rFonts w:ascii="Times New Roman"/>
                <w:color w:val="000000"/>
                <w:spacing w:val="-2"/>
              </w:rPr>
              <w:t>4</w:t>
            </w:r>
            <w:r>
              <w:rPr>
                <w:rFonts w:ascii="Times New Roman"/>
                <w:color w:val="000000"/>
              </w:rPr>
              <w:t>5</w:t>
            </w:r>
            <w:r>
              <w:rPr>
                <w:rFonts w:ascii="Times New Roman"/>
                <w:color w:val="000000"/>
                <w:spacing w:val="-2"/>
              </w:rPr>
              <w:t>4</w:t>
            </w:r>
            <w:r>
              <w:rPr>
                <w:rFonts w:ascii="Times New Roman"/>
                <w:color w:val="000000"/>
              </w:rPr>
              <w:t>00</w:t>
            </w:r>
            <w:r>
              <w:rPr>
                <w:rFonts w:ascii="Times New Roman" w:eastAsia="LfX3I1UR+TimesNewRomanPSMT"/>
                <w:color w:val="000000"/>
                <w:spacing w:val="-4"/>
              </w:rPr>
              <w:t>×</w:t>
            </w:r>
            <w:r>
              <w:rPr>
                <w:rFonts w:ascii="Times New Roman"/>
                <w:color w:val="000000"/>
              </w:rPr>
              <w:t>1</w:t>
            </w:r>
            <w:r>
              <w:rPr>
                <w:rFonts w:ascii="Times New Roman"/>
                <w:color w:val="000000"/>
                <w:spacing w:val="-2"/>
              </w:rPr>
              <w:t>5</w:t>
            </w:r>
            <w:r>
              <w:rPr>
                <w:rFonts w:ascii="Times New Roman"/>
                <w:color w:val="000000"/>
              </w:rPr>
              <w:t>/</w:t>
            </w:r>
            <w:r>
              <w:rPr>
                <w:rFonts w:ascii="Times New Roman"/>
                <w:color w:val="000000"/>
                <w:spacing w:val="-2"/>
              </w:rPr>
              <w:t>1</w:t>
            </w:r>
            <w:r>
              <w:rPr>
                <w:rFonts w:ascii="Times New Roman"/>
                <w:color w:val="000000"/>
              </w:rPr>
              <w:t>2</w:t>
            </w:r>
            <w:r>
              <w:rPr>
                <w:rFonts w:ascii="Times New Roman"/>
                <w:color w:val="000000"/>
                <w:spacing w:val="-2"/>
              </w:rPr>
              <w:t>1</w:t>
            </w:r>
            <w:r>
              <w:rPr>
                <w:rFonts w:ascii="Times New Roman"/>
                <w:color w:val="000000"/>
              </w:rPr>
              <w:t>=</w:t>
            </w:r>
            <w:r>
              <w:rPr>
                <w:rFonts w:ascii="Times New Roman"/>
                <w:color w:val="000000"/>
                <w:spacing w:val="-2"/>
              </w:rPr>
              <w:t>2</w:t>
            </w:r>
            <w:r>
              <w:rPr>
                <w:rFonts w:ascii="Times New Roman"/>
                <w:color w:val="000000"/>
              </w:rPr>
              <w:t>1</w:t>
            </w:r>
            <w:r>
              <w:rPr>
                <w:rFonts w:ascii="Times New Roman"/>
                <w:color w:val="000000"/>
                <w:spacing w:val="-2"/>
              </w:rPr>
              <w:t>6</w:t>
            </w:r>
            <w:r>
              <w:rPr>
                <w:rFonts w:ascii="Times New Roman"/>
                <w:color w:val="000000"/>
              </w:rPr>
              <w:t>3</w:t>
            </w:r>
            <w:r>
              <w:rPr>
                <w:rFonts w:ascii="Times New Roman"/>
                <w:color w:val="000000"/>
                <w:spacing w:val="-2"/>
              </w:rPr>
              <w:t>7</w:t>
            </w:r>
            <w:r>
              <w:rPr>
                <w:rFonts w:ascii="Times New Roman"/>
                <w:color w:val="000000"/>
              </w:rPr>
              <w:t>1</w:t>
            </w:r>
            <w:r>
              <w:rPr>
                <w:rFonts w:ascii="Times New Roman"/>
                <w:color w:val="000000"/>
                <w:spacing w:val="-2"/>
              </w:rPr>
              <w:t>.</w:t>
            </w:r>
            <w:r>
              <w:rPr>
                <w:rFonts w:ascii="Times New Roman"/>
                <w:color w:val="000000"/>
              </w:rPr>
              <w:t>9</w:t>
            </w:r>
            <w:r>
              <w:rPr>
                <w:rFonts w:ascii="Times New Roman"/>
                <w:color w:val="000000"/>
                <w:spacing w:val="-2"/>
              </w:rPr>
              <w:t>0</w:t>
            </w:r>
            <w:r>
              <w:rPr>
                <w:rFonts w:ascii="Times New Roman"/>
                <w:color w:val="000000"/>
              </w:rPr>
              <w:t xml:space="preserve"> </w:t>
            </w:r>
          </w:p>
        </w:tc>
        <w:tc>
          <w:tcPr>
            <w:tcW w:w="2344" w:type="dxa"/>
            <w:tcBorders>
              <w:right w:val="single" w:sz="8" w:space="0" w:color="auto"/>
            </w:tcBorders>
            <w:shd w:val="clear" w:color="auto" w:fill="auto"/>
            <w:vAlign w:val="center"/>
          </w:tcPr>
          <w:p w14:paraId="0E507B38" w14:textId="77777777" w:rsidR="00C34226" w:rsidRDefault="00000000">
            <w:pPr>
              <w:pStyle w:val="affffffffff4"/>
              <w:spacing w:line="240" w:lineRule="auto"/>
            </w:pPr>
            <w:r>
              <w:rPr>
                <w:rFonts w:ascii="Times New Roman"/>
                <w:color w:val="000000"/>
              </w:rPr>
              <w:t xml:space="preserve">216371.90/115=1881.50 </w:t>
            </w:r>
          </w:p>
        </w:tc>
      </w:tr>
      <w:tr w:rsidR="00C34226" w14:paraId="30596272" w14:textId="77777777">
        <w:trPr>
          <w:trHeight w:val="20"/>
        </w:trPr>
        <w:tc>
          <w:tcPr>
            <w:tcW w:w="2343" w:type="dxa"/>
            <w:tcBorders>
              <w:left w:val="single" w:sz="8" w:space="0" w:color="auto"/>
            </w:tcBorders>
            <w:shd w:val="clear" w:color="auto" w:fill="auto"/>
            <w:vAlign w:val="center"/>
          </w:tcPr>
          <w:p w14:paraId="039AB14C" w14:textId="77777777" w:rsidR="00C34226" w:rsidRDefault="00000000">
            <w:pPr>
              <w:pStyle w:val="affffffffff4"/>
              <w:spacing w:line="240" w:lineRule="auto"/>
            </w:pPr>
            <w:r>
              <w:rPr>
                <w:rFonts w:ascii="Times New Roman"/>
                <w:color w:val="000000"/>
              </w:rPr>
              <w:t>4</w:t>
            </w:r>
            <w:r>
              <w:rPr>
                <w:rFonts w:ascii="Times New Roman" w:eastAsia="KTpcKGKq+SimSun"/>
                <w:color w:val="000000"/>
              </w:rPr>
              <w:t>月</w:t>
            </w:r>
            <w:r>
              <w:rPr>
                <w:rFonts w:ascii="Times New Roman"/>
                <w:color w:val="000000"/>
              </w:rPr>
              <w:t xml:space="preserve"> </w:t>
            </w:r>
          </w:p>
        </w:tc>
        <w:tc>
          <w:tcPr>
            <w:tcW w:w="2343" w:type="dxa"/>
            <w:shd w:val="clear" w:color="auto" w:fill="auto"/>
            <w:vAlign w:val="center"/>
          </w:tcPr>
          <w:p w14:paraId="60905F10" w14:textId="77777777" w:rsidR="00C34226" w:rsidRDefault="00000000">
            <w:pPr>
              <w:pStyle w:val="affffffffff4"/>
              <w:spacing w:line="240" w:lineRule="auto"/>
            </w:pPr>
            <w:r>
              <w:rPr>
                <w:rFonts w:ascii="Times New Roman"/>
                <w:color w:val="000000"/>
              </w:rPr>
              <w:t xml:space="preserve">0 </w:t>
            </w:r>
          </w:p>
        </w:tc>
        <w:tc>
          <w:tcPr>
            <w:tcW w:w="2344" w:type="dxa"/>
            <w:shd w:val="clear" w:color="auto" w:fill="auto"/>
            <w:vAlign w:val="center"/>
          </w:tcPr>
          <w:p w14:paraId="1D9BDA55" w14:textId="77777777" w:rsidR="00C34226" w:rsidRDefault="00000000">
            <w:pPr>
              <w:pStyle w:val="affffffffff4"/>
              <w:spacing w:line="240" w:lineRule="auto"/>
            </w:pPr>
            <w:r>
              <w:rPr>
                <w:rFonts w:ascii="Times New Roman"/>
                <w:color w:val="000000"/>
              </w:rPr>
              <w:t xml:space="preserve">0 </w:t>
            </w:r>
          </w:p>
        </w:tc>
        <w:tc>
          <w:tcPr>
            <w:tcW w:w="2344" w:type="dxa"/>
            <w:tcBorders>
              <w:right w:val="single" w:sz="8" w:space="0" w:color="auto"/>
            </w:tcBorders>
            <w:shd w:val="clear" w:color="auto" w:fill="auto"/>
            <w:vAlign w:val="center"/>
          </w:tcPr>
          <w:p w14:paraId="7F13A978" w14:textId="77777777" w:rsidR="00C34226" w:rsidRDefault="00000000">
            <w:pPr>
              <w:pStyle w:val="affffffffff4"/>
              <w:spacing w:line="240" w:lineRule="auto"/>
            </w:pPr>
            <w:r>
              <w:rPr>
                <w:rFonts w:ascii="Times New Roman"/>
                <w:color w:val="000000"/>
              </w:rPr>
              <w:t xml:space="preserve">0 </w:t>
            </w:r>
          </w:p>
        </w:tc>
      </w:tr>
    </w:tbl>
    <w:p w14:paraId="70228102" w14:textId="77777777" w:rsidR="00C34226" w:rsidRDefault="00000000">
      <w:pPr>
        <w:pStyle w:val="affffff0"/>
        <w:pageBreakBefore/>
        <w:spacing w:beforeLines="50" w:before="156" w:afterLines="50" w:after="156"/>
        <w:ind w:firstLineChars="0" w:firstLine="0"/>
        <w:jc w:val="center"/>
        <w:rPr>
          <w:rFonts w:ascii="黑体" w:eastAsia="黑体" w:hAnsi="黑体" w:hint="eastAsia"/>
        </w:rPr>
      </w:pPr>
      <w:r>
        <w:rPr>
          <w:rFonts w:ascii="黑体" w:eastAsia="黑体" w:hAnsi="黑体" w:hint="eastAsia"/>
        </w:rPr>
        <w:lastRenderedPageBreak/>
        <w:t>表B.1 热力消费数据计算</w:t>
      </w:r>
      <w:r>
        <w:rPr>
          <w:rFonts w:hAnsi="宋体" w:hint="eastAsia"/>
        </w:rPr>
        <w:t>（续）</w:t>
      </w:r>
    </w:p>
    <w:tbl>
      <w:tblPr>
        <w:tblStyle w:val="af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3"/>
        <w:gridCol w:w="2343"/>
        <w:gridCol w:w="2344"/>
        <w:gridCol w:w="2344"/>
      </w:tblGrid>
      <w:tr w:rsidR="00C34226" w14:paraId="27A46C5D" w14:textId="77777777">
        <w:trPr>
          <w:tblHeader/>
          <w:jc w:val="center"/>
        </w:trPr>
        <w:tc>
          <w:tcPr>
            <w:tcW w:w="2343" w:type="dxa"/>
            <w:tcBorders>
              <w:top w:val="single" w:sz="8" w:space="0" w:color="auto"/>
              <w:left w:val="single" w:sz="8" w:space="0" w:color="auto"/>
              <w:bottom w:val="single" w:sz="8" w:space="0" w:color="auto"/>
            </w:tcBorders>
            <w:shd w:val="clear" w:color="auto" w:fill="auto"/>
            <w:vAlign w:val="center"/>
          </w:tcPr>
          <w:p w14:paraId="76BC2282" w14:textId="77777777" w:rsidR="00C34226" w:rsidRDefault="00000000">
            <w:pPr>
              <w:pStyle w:val="affffffffff4"/>
              <w:spacing w:line="240" w:lineRule="auto"/>
            </w:pPr>
            <w:r>
              <w:rPr>
                <w:rFonts w:ascii="黑体" w:eastAsia="黑体" w:hAnsi="黑体"/>
                <w:color w:val="000000"/>
              </w:rPr>
              <w:t xml:space="preserve">月度 </w:t>
            </w:r>
          </w:p>
        </w:tc>
        <w:tc>
          <w:tcPr>
            <w:tcW w:w="2343" w:type="dxa"/>
            <w:tcBorders>
              <w:top w:val="single" w:sz="8" w:space="0" w:color="auto"/>
              <w:bottom w:val="single" w:sz="8" w:space="0" w:color="auto"/>
            </w:tcBorders>
            <w:shd w:val="clear" w:color="auto" w:fill="auto"/>
            <w:vAlign w:val="center"/>
          </w:tcPr>
          <w:p w14:paraId="2A84CDF0" w14:textId="77777777" w:rsidR="00C34226" w:rsidRDefault="00000000">
            <w:pPr>
              <w:pStyle w:val="affffffffff4"/>
              <w:spacing w:line="240" w:lineRule="auto"/>
            </w:pPr>
            <w:r>
              <w:rPr>
                <w:rFonts w:ascii="黑体" w:eastAsia="黑体" w:hAnsi="黑体"/>
                <w:color w:val="000000"/>
              </w:rPr>
              <w:t xml:space="preserve">供暖天数 </w:t>
            </w:r>
          </w:p>
        </w:tc>
        <w:tc>
          <w:tcPr>
            <w:tcW w:w="2344" w:type="dxa"/>
            <w:tcBorders>
              <w:top w:val="single" w:sz="8" w:space="0" w:color="auto"/>
              <w:bottom w:val="single" w:sz="8" w:space="0" w:color="auto"/>
            </w:tcBorders>
            <w:shd w:val="clear" w:color="auto" w:fill="auto"/>
            <w:vAlign w:val="center"/>
          </w:tcPr>
          <w:p w14:paraId="43DD3BA4" w14:textId="77777777" w:rsidR="00C34226" w:rsidRDefault="00000000">
            <w:pPr>
              <w:pStyle w:val="affffffffff4"/>
              <w:spacing w:line="240" w:lineRule="auto"/>
            </w:pPr>
            <w:r>
              <w:rPr>
                <w:rFonts w:ascii="黑体" w:eastAsia="黑体" w:hAnsi="黑体"/>
                <w:color w:val="000000"/>
              </w:rPr>
              <w:t xml:space="preserve">热力消费费用/元 </w:t>
            </w:r>
          </w:p>
        </w:tc>
        <w:tc>
          <w:tcPr>
            <w:tcW w:w="2344" w:type="dxa"/>
            <w:tcBorders>
              <w:top w:val="single" w:sz="8" w:space="0" w:color="auto"/>
              <w:bottom w:val="single" w:sz="8" w:space="0" w:color="auto"/>
              <w:right w:val="single" w:sz="8" w:space="0" w:color="auto"/>
            </w:tcBorders>
            <w:shd w:val="clear" w:color="auto" w:fill="auto"/>
            <w:vAlign w:val="center"/>
          </w:tcPr>
          <w:p w14:paraId="1945D90C" w14:textId="77777777" w:rsidR="00C34226" w:rsidRDefault="00000000">
            <w:pPr>
              <w:pStyle w:val="affffffffff4"/>
              <w:spacing w:line="240" w:lineRule="auto"/>
            </w:pPr>
            <w:r>
              <w:rPr>
                <w:rFonts w:ascii="黑体" w:eastAsia="黑体" w:hAnsi="黑体"/>
                <w:color w:val="000000"/>
              </w:rPr>
              <w:t xml:space="preserve">热力消费量/吉焦 </w:t>
            </w:r>
          </w:p>
        </w:tc>
      </w:tr>
      <w:tr w:rsidR="00C34226" w14:paraId="0BADB7D3" w14:textId="77777777">
        <w:trPr>
          <w:jc w:val="center"/>
        </w:trPr>
        <w:tc>
          <w:tcPr>
            <w:tcW w:w="2343" w:type="dxa"/>
            <w:tcBorders>
              <w:left w:val="single" w:sz="8" w:space="0" w:color="auto"/>
            </w:tcBorders>
            <w:shd w:val="clear" w:color="auto" w:fill="auto"/>
            <w:vAlign w:val="center"/>
          </w:tcPr>
          <w:p w14:paraId="69DDFECE" w14:textId="77777777" w:rsidR="00C34226" w:rsidRDefault="00000000">
            <w:pPr>
              <w:pStyle w:val="affffffffff4"/>
              <w:spacing w:line="240" w:lineRule="auto"/>
            </w:pPr>
            <w:r>
              <w:rPr>
                <w:rFonts w:ascii="Times New Roman"/>
                <w:color w:val="000000"/>
              </w:rPr>
              <w:t>5</w:t>
            </w:r>
            <w:r>
              <w:rPr>
                <w:rFonts w:ascii="Times New Roman" w:eastAsia="KTpcKGKq+SimSun"/>
                <w:color w:val="000000"/>
              </w:rPr>
              <w:t>月</w:t>
            </w:r>
            <w:r>
              <w:rPr>
                <w:rFonts w:ascii="Times New Roman"/>
                <w:color w:val="000000"/>
              </w:rPr>
              <w:t xml:space="preserve"> </w:t>
            </w:r>
          </w:p>
        </w:tc>
        <w:tc>
          <w:tcPr>
            <w:tcW w:w="2343" w:type="dxa"/>
            <w:shd w:val="clear" w:color="auto" w:fill="auto"/>
            <w:vAlign w:val="center"/>
          </w:tcPr>
          <w:p w14:paraId="04850892" w14:textId="77777777" w:rsidR="00C34226" w:rsidRDefault="00000000">
            <w:pPr>
              <w:pStyle w:val="affffffffff4"/>
              <w:spacing w:line="240" w:lineRule="auto"/>
            </w:pPr>
            <w:r>
              <w:rPr>
                <w:rFonts w:ascii="Times New Roman"/>
                <w:color w:val="000000"/>
              </w:rPr>
              <w:t xml:space="preserve">0 </w:t>
            </w:r>
          </w:p>
        </w:tc>
        <w:tc>
          <w:tcPr>
            <w:tcW w:w="2344" w:type="dxa"/>
            <w:shd w:val="clear" w:color="auto" w:fill="auto"/>
            <w:vAlign w:val="center"/>
          </w:tcPr>
          <w:p w14:paraId="7EA67372" w14:textId="77777777" w:rsidR="00C34226" w:rsidRDefault="00000000">
            <w:pPr>
              <w:pStyle w:val="affffffffff4"/>
              <w:spacing w:line="240" w:lineRule="auto"/>
            </w:pPr>
            <w:r>
              <w:rPr>
                <w:rFonts w:ascii="Times New Roman"/>
                <w:color w:val="000000"/>
              </w:rPr>
              <w:t xml:space="preserve">0 </w:t>
            </w:r>
          </w:p>
        </w:tc>
        <w:tc>
          <w:tcPr>
            <w:tcW w:w="2344" w:type="dxa"/>
            <w:tcBorders>
              <w:right w:val="single" w:sz="8" w:space="0" w:color="auto"/>
            </w:tcBorders>
            <w:shd w:val="clear" w:color="auto" w:fill="auto"/>
            <w:vAlign w:val="center"/>
          </w:tcPr>
          <w:p w14:paraId="52A7D546" w14:textId="77777777" w:rsidR="00C34226" w:rsidRDefault="00000000">
            <w:pPr>
              <w:pStyle w:val="affffffffff4"/>
              <w:spacing w:line="240" w:lineRule="auto"/>
            </w:pPr>
            <w:r>
              <w:rPr>
                <w:rFonts w:ascii="Times New Roman"/>
                <w:color w:val="000000"/>
              </w:rPr>
              <w:t xml:space="preserve">0 </w:t>
            </w:r>
          </w:p>
        </w:tc>
      </w:tr>
      <w:tr w:rsidR="00C34226" w14:paraId="5202B2E8" w14:textId="77777777">
        <w:trPr>
          <w:jc w:val="center"/>
        </w:trPr>
        <w:tc>
          <w:tcPr>
            <w:tcW w:w="2343" w:type="dxa"/>
            <w:tcBorders>
              <w:left w:val="single" w:sz="8" w:space="0" w:color="auto"/>
            </w:tcBorders>
            <w:shd w:val="clear" w:color="auto" w:fill="auto"/>
            <w:vAlign w:val="center"/>
          </w:tcPr>
          <w:p w14:paraId="2271C184" w14:textId="77777777" w:rsidR="00C34226" w:rsidRDefault="00000000">
            <w:pPr>
              <w:pStyle w:val="affffffffff4"/>
              <w:spacing w:line="240" w:lineRule="auto"/>
            </w:pPr>
            <w:r>
              <w:rPr>
                <w:rFonts w:ascii="Times New Roman"/>
                <w:color w:val="000000"/>
              </w:rPr>
              <w:t>6</w:t>
            </w:r>
            <w:r>
              <w:rPr>
                <w:rFonts w:ascii="Times New Roman" w:eastAsia="KTpcKGKq+SimSun"/>
                <w:color w:val="000000"/>
              </w:rPr>
              <w:t>月</w:t>
            </w:r>
            <w:r>
              <w:rPr>
                <w:rFonts w:ascii="Times New Roman"/>
                <w:color w:val="000000"/>
              </w:rPr>
              <w:t xml:space="preserve"> </w:t>
            </w:r>
          </w:p>
        </w:tc>
        <w:tc>
          <w:tcPr>
            <w:tcW w:w="2343" w:type="dxa"/>
            <w:shd w:val="clear" w:color="auto" w:fill="auto"/>
            <w:vAlign w:val="center"/>
          </w:tcPr>
          <w:p w14:paraId="0119B0B6" w14:textId="77777777" w:rsidR="00C34226" w:rsidRDefault="00000000">
            <w:pPr>
              <w:pStyle w:val="affffffffff4"/>
              <w:spacing w:line="240" w:lineRule="auto"/>
            </w:pPr>
            <w:r>
              <w:rPr>
                <w:rFonts w:ascii="Times New Roman"/>
                <w:color w:val="000000"/>
              </w:rPr>
              <w:t xml:space="preserve">0 </w:t>
            </w:r>
          </w:p>
        </w:tc>
        <w:tc>
          <w:tcPr>
            <w:tcW w:w="2344" w:type="dxa"/>
            <w:shd w:val="clear" w:color="auto" w:fill="auto"/>
            <w:vAlign w:val="center"/>
          </w:tcPr>
          <w:p w14:paraId="519CDBBB" w14:textId="77777777" w:rsidR="00C34226" w:rsidRDefault="00000000">
            <w:pPr>
              <w:pStyle w:val="affffffffff4"/>
              <w:spacing w:line="240" w:lineRule="auto"/>
            </w:pPr>
            <w:r>
              <w:rPr>
                <w:rFonts w:ascii="Times New Roman"/>
                <w:color w:val="000000"/>
              </w:rPr>
              <w:t xml:space="preserve">0 </w:t>
            </w:r>
          </w:p>
        </w:tc>
        <w:tc>
          <w:tcPr>
            <w:tcW w:w="2344" w:type="dxa"/>
            <w:tcBorders>
              <w:right w:val="single" w:sz="8" w:space="0" w:color="auto"/>
            </w:tcBorders>
            <w:shd w:val="clear" w:color="auto" w:fill="auto"/>
            <w:vAlign w:val="center"/>
          </w:tcPr>
          <w:p w14:paraId="09A675D2" w14:textId="77777777" w:rsidR="00C34226" w:rsidRDefault="00000000">
            <w:pPr>
              <w:pStyle w:val="affffffffff4"/>
              <w:spacing w:line="240" w:lineRule="auto"/>
            </w:pPr>
            <w:r>
              <w:rPr>
                <w:rFonts w:ascii="Times New Roman"/>
                <w:color w:val="000000"/>
              </w:rPr>
              <w:t xml:space="preserve">0 </w:t>
            </w:r>
          </w:p>
        </w:tc>
      </w:tr>
      <w:tr w:rsidR="00C34226" w14:paraId="22AF44CA" w14:textId="77777777">
        <w:trPr>
          <w:jc w:val="center"/>
        </w:trPr>
        <w:tc>
          <w:tcPr>
            <w:tcW w:w="2343" w:type="dxa"/>
            <w:tcBorders>
              <w:left w:val="single" w:sz="8" w:space="0" w:color="auto"/>
            </w:tcBorders>
            <w:shd w:val="clear" w:color="auto" w:fill="auto"/>
            <w:vAlign w:val="center"/>
          </w:tcPr>
          <w:p w14:paraId="4C966245" w14:textId="77777777" w:rsidR="00C34226" w:rsidRDefault="00000000">
            <w:pPr>
              <w:pStyle w:val="affffffffff4"/>
              <w:spacing w:line="240" w:lineRule="auto"/>
            </w:pPr>
            <w:r>
              <w:rPr>
                <w:rFonts w:ascii="Times New Roman"/>
                <w:color w:val="000000"/>
              </w:rPr>
              <w:t>7</w:t>
            </w:r>
            <w:r>
              <w:rPr>
                <w:rFonts w:ascii="Times New Roman"/>
                <w:color w:val="000000"/>
              </w:rPr>
              <w:t>月</w:t>
            </w:r>
            <w:r>
              <w:rPr>
                <w:rFonts w:ascii="Times New Roman"/>
                <w:color w:val="000000"/>
              </w:rPr>
              <w:t xml:space="preserve"> </w:t>
            </w:r>
          </w:p>
        </w:tc>
        <w:tc>
          <w:tcPr>
            <w:tcW w:w="2343" w:type="dxa"/>
            <w:shd w:val="clear" w:color="auto" w:fill="auto"/>
            <w:vAlign w:val="center"/>
          </w:tcPr>
          <w:p w14:paraId="4044D1CD" w14:textId="77777777" w:rsidR="00C34226" w:rsidRDefault="00000000">
            <w:pPr>
              <w:pStyle w:val="affffffffff4"/>
              <w:spacing w:line="240" w:lineRule="auto"/>
            </w:pPr>
            <w:r>
              <w:rPr>
                <w:rFonts w:ascii="Times New Roman"/>
                <w:color w:val="000000"/>
              </w:rPr>
              <w:t xml:space="preserve">0 </w:t>
            </w:r>
          </w:p>
        </w:tc>
        <w:tc>
          <w:tcPr>
            <w:tcW w:w="2344" w:type="dxa"/>
            <w:shd w:val="clear" w:color="auto" w:fill="auto"/>
            <w:vAlign w:val="center"/>
          </w:tcPr>
          <w:p w14:paraId="2B316C0F" w14:textId="77777777" w:rsidR="00C34226" w:rsidRDefault="00000000">
            <w:pPr>
              <w:pStyle w:val="affffffffff4"/>
              <w:spacing w:line="240" w:lineRule="auto"/>
            </w:pPr>
            <w:r>
              <w:rPr>
                <w:rFonts w:ascii="Times New Roman"/>
                <w:color w:val="000000"/>
              </w:rPr>
              <w:t xml:space="preserve">0 </w:t>
            </w:r>
          </w:p>
        </w:tc>
        <w:tc>
          <w:tcPr>
            <w:tcW w:w="2344" w:type="dxa"/>
            <w:tcBorders>
              <w:right w:val="single" w:sz="8" w:space="0" w:color="auto"/>
            </w:tcBorders>
            <w:shd w:val="clear" w:color="auto" w:fill="auto"/>
            <w:vAlign w:val="center"/>
          </w:tcPr>
          <w:p w14:paraId="220B32F9" w14:textId="77777777" w:rsidR="00C34226" w:rsidRDefault="00000000">
            <w:pPr>
              <w:pStyle w:val="affffffffff4"/>
              <w:spacing w:line="240" w:lineRule="auto"/>
            </w:pPr>
            <w:r>
              <w:rPr>
                <w:rFonts w:ascii="Times New Roman"/>
                <w:color w:val="000000"/>
              </w:rPr>
              <w:t xml:space="preserve">0 </w:t>
            </w:r>
          </w:p>
        </w:tc>
      </w:tr>
      <w:tr w:rsidR="00C34226" w14:paraId="488CB5BB" w14:textId="77777777">
        <w:trPr>
          <w:jc w:val="center"/>
        </w:trPr>
        <w:tc>
          <w:tcPr>
            <w:tcW w:w="2343" w:type="dxa"/>
            <w:tcBorders>
              <w:left w:val="single" w:sz="8" w:space="0" w:color="auto"/>
            </w:tcBorders>
            <w:shd w:val="clear" w:color="auto" w:fill="auto"/>
            <w:vAlign w:val="center"/>
          </w:tcPr>
          <w:p w14:paraId="38EEB40D" w14:textId="77777777" w:rsidR="00C34226" w:rsidRDefault="00000000">
            <w:pPr>
              <w:pStyle w:val="affffffffff4"/>
              <w:spacing w:line="240" w:lineRule="auto"/>
            </w:pPr>
            <w:r>
              <w:rPr>
                <w:rFonts w:ascii="Times New Roman"/>
                <w:color w:val="000000"/>
              </w:rPr>
              <w:t>8</w:t>
            </w:r>
            <w:r>
              <w:rPr>
                <w:rFonts w:ascii="Times New Roman"/>
                <w:color w:val="000000"/>
              </w:rPr>
              <w:t>月</w:t>
            </w:r>
            <w:r>
              <w:rPr>
                <w:rFonts w:ascii="Times New Roman"/>
                <w:color w:val="000000"/>
              </w:rPr>
              <w:t xml:space="preserve"> </w:t>
            </w:r>
          </w:p>
        </w:tc>
        <w:tc>
          <w:tcPr>
            <w:tcW w:w="2343" w:type="dxa"/>
            <w:shd w:val="clear" w:color="auto" w:fill="auto"/>
            <w:vAlign w:val="center"/>
          </w:tcPr>
          <w:p w14:paraId="387E392E" w14:textId="77777777" w:rsidR="00C34226" w:rsidRDefault="00000000">
            <w:pPr>
              <w:pStyle w:val="affffffffff4"/>
              <w:spacing w:line="240" w:lineRule="auto"/>
            </w:pPr>
            <w:r>
              <w:rPr>
                <w:rFonts w:ascii="Times New Roman"/>
                <w:color w:val="000000"/>
              </w:rPr>
              <w:t xml:space="preserve">0 </w:t>
            </w:r>
          </w:p>
        </w:tc>
        <w:tc>
          <w:tcPr>
            <w:tcW w:w="2344" w:type="dxa"/>
            <w:shd w:val="clear" w:color="auto" w:fill="auto"/>
            <w:vAlign w:val="center"/>
          </w:tcPr>
          <w:p w14:paraId="5D64671C" w14:textId="77777777" w:rsidR="00C34226" w:rsidRDefault="00000000">
            <w:pPr>
              <w:pStyle w:val="affffffffff4"/>
              <w:spacing w:line="240" w:lineRule="auto"/>
            </w:pPr>
            <w:r>
              <w:rPr>
                <w:rFonts w:ascii="Times New Roman"/>
                <w:color w:val="000000"/>
              </w:rPr>
              <w:t xml:space="preserve">0 </w:t>
            </w:r>
          </w:p>
        </w:tc>
        <w:tc>
          <w:tcPr>
            <w:tcW w:w="2344" w:type="dxa"/>
            <w:tcBorders>
              <w:right w:val="single" w:sz="8" w:space="0" w:color="auto"/>
            </w:tcBorders>
            <w:shd w:val="clear" w:color="auto" w:fill="auto"/>
            <w:vAlign w:val="center"/>
          </w:tcPr>
          <w:p w14:paraId="6FD48F5C" w14:textId="77777777" w:rsidR="00C34226" w:rsidRDefault="00000000">
            <w:pPr>
              <w:pStyle w:val="affffffffff4"/>
              <w:spacing w:line="240" w:lineRule="auto"/>
            </w:pPr>
            <w:r>
              <w:rPr>
                <w:rFonts w:ascii="Times New Roman"/>
                <w:color w:val="000000"/>
              </w:rPr>
              <w:t xml:space="preserve">0 </w:t>
            </w:r>
          </w:p>
        </w:tc>
      </w:tr>
      <w:tr w:rsidR="00C34226" w14:paraId="38CFC10D" w14:textId="77777777">
        <w:trPr>
          <w:jc w:val="center"/>
        </w:trPr>
        <w:tc>
          <w:tcPr>
            <w:tcW w:w="2343" w:type="dxa"/>
            <w:tcBorders>
              <w:left w:val="single" w:sz="8" w:space="0" w:color="auto"/>
            </w:tcBorders>
            <w:shd w:val="clear" w:color="auto" w:fill="auto"/>
            <w:vAlign w:val="center"/>
          </w:tcPr>
          <w:p w14:paraId="5924A3C5" w14:textId="77777777" w:rsidR="00C34226" w:rsidRDefault="00000000">
            <w:pPr>
              <w:pStyle w:val="affffffffff4"/>
              <w:spacing w:line="240" w:lineRule="auto"/>
            </w:pPr>
            <w:r>
              <w:rPr>
                <w:rFonts w:ascii="Times New Roman"/>
                <w:color w:val="000000"/>
              </w:rPr>
              <w:t>9</w:t>
            </w:r>
            <w:r>
              <w:rPr>
                <w:rFonts w:ascii="Times New Roman"/>
                <w:color w:val="000000"/>
              </w:rPr>
              <w:t>月</w:t>
            </w:r>
            <w:r>
              <w:rPr>
                <w:rFonts w:ascii="Times New Roman"/>
                <w:color w:val="000000"/>
              </w:rPr>
              <w:t xml:space="preserve"> </w:t>
            </w:r>
          </w:p>
        </w:tc>
        <w:tc>
          <w:tcPr>
            <w:tcW w:w="2343" w:type="dxa"/>
            <w:shd w:val="clear" w:color="auto" w:fill="auto"/>
            <w:vAlign w:val="center"/>
          </w:tcPr>
          <w:p w14:paraId="6DAB986D" w14:textId="77777777" w:rsidR="00C34226" w:rsidRDefault="00000000">
            <w:pPr>
              <w:pStyle w:val="affffffffff4"/>
              <w:spacing w:line="240" w:lineRule="auto"/>
            </w:pPr>
            <w:r>
              <w:rPr>
                <w:rFonts w:ascii="Times New Roman"/>
                <w:color w:val="000000"/>
              </w:rPr>
              <w:t xml:space="preserve">0 </w:t>
            </w:r>
          </w:p>
        </w:tc>
        <w:tc>
          <w:tcPr>
            <w:tcW w:w="2344" w:type="dxa"/>
            <w:shd w:val="clear" w:color="auto" w:fill="auto"/>
            <w:vAlign w:val="center"/>
          </w:tcPr>
          <w:p w14:paraId="6B0381F6" w14:textId="77777777" w:rsidR="00C34226" w:rsidRDefault="00000000">
            <w:pPr>
              <w:pStyle w:val="affffffffff4"/>
              <w:spacing w:line="240" w:lineRule="auto"/>
            </w:pPr>
            <w:r>
              <w:rPr>
                <w:rFonts w:ascii="Times New Roman"/>
                <w:color w:val="000000"/>
              </w:rPr>
              <w:t xml:space="preserve">0 </w:t>
            </w:r>
          </w:p>
        </w:tc>
        <w:tc>
          <w:tcPr>
            <w:tcW w:w="2344" w:type="dxa"/>
            <w:tcBorders>
              <w:right w:val="single" w:sz="8" w:space="0" w:color="auto"/>
            </w:tcBorders>
            <w:shd w:val="clear" w:color="auto" w:fill="auto"/>
            <w:vAlign w:val="center"/>
          </w:tcPr>
          <w:p w14:paraId="009D97A8" w14:textId="77777777" w:rsidR="00C34226" w:rsidRDefault="00000000">
            <w:pPr>
              <w:pStyle w:val="affffffffff4"/>
              <w:spacing w:line="240" w:lineRule="auto"/>
            </w:pPr>
            <w:r>
              <w:rPr>
                <w:rFonts w:ascii="Times New Roman"/>
                <w:color w:val="000000"/>
              </w:rPr>
              <w:t xml:space="preserve">0 </w:t>
            </w:r>
          </w:p>
        </w:tc>
      </w:tr>
      <w:tr w:rsidR="00C34226" w14:paraId="5DE74A74" w14:textId="77777777">
        <w:trPr>
          <w:jc w:val="center"/>
        </w:trPr>
        <w:tc>
          <w:tcPr>
            <w:tcW w:w="2343" w:type="dxa"/>
            <w:tcBorders>
              <w:left w:val="single" w:sz="8" w:space="0" w:color="auto"/>
            </w:tcBorders>
            <w:shd w:val="clear" w:color="auto" w:fill="auto"/>
            <w:vAlign w:val="center"/>
          </w:tcPr>
          <w:p w14:paraId="152DF255" w14:textId="77777777" w:rsidR="00C34226" w:rsidRDefault="00000000">
            <w:pPr>
              <w:pStyle w:val="affffffffff4"/>
              <w:spacing w:line="240" w:lineRule="auto"/>
            </w:pPr>
            <w:r>
              <w:rPr>
                <w:rFonts w:ascii="Times New Roman"/>
                <w:color w:val="000000"/>
              </w:rPr>
              <w:t>10</w:t>
            </w:r>
            <w:r>
              <w:rPr>
                <w:rFonts w:ascii="Times New Roman"/>
                <w:color w:val="000000"/>
              </w:rPr>
              <w:t>月</w:t>
            </w:r>
            <w:r>
              <w:rPr>
                <w:rFonts w:ascii="Times New Roman"/>
                <w:color w:val="000000"/>
              </w:rPr>
              <w:t xml:space="preserve"> </w:t>
            </w:r>
          </w:p>
        </w:tc>
        <w:tc>
          <w:tcPr>
            <w:tcW w:w="2343" w:type="dxa"/>
            <w:shd w:val="clear" w:color="auto" w:fill="auto"/>
            <w:vAlign w:val="center"/>
          </w:tcPr>
          <w:p w14:paraId="1EB66752" w14:textId="77777777" w:rsidR="00C34226" w:rsidRDefault="00000000">
            <w:pPr>
              <w:pStyle w:val="affffffffff4"/>
              <w:spacing w:line="240" w:lineRule="auto"/>
            </w:pPr>
            <w:r>
              <w:rPr>
                <w:rFonts w:ascii="Times New Roman"/>
                <w:color w:val="000000"/>
              </w:rPr>
              <w:t xml:space="preserve">0 </w:t>
            </w:r>
          </w:p>
        </w:tc>
        <w:tc>
          <w:tcPr>
            <w:tcW w:w="2344" w:type="dxa"/>
            <w:shd w:val="clear" w:color="auto" w:fill="auto"/>
            <w:vAlign w:val="center"/>
          </w:tcPr>
          <w:p w14:paraId="56A6705B" w14:textId="77777777" w:rsidR="00C34226" w:rsidRDefault="00000000">
            <w:pPr>
              <w:pStyle w:val="affffffffff4"/>
              <w:spacing w:line="240" w:lineRule="auto"/>
            </w:pPr>
            <w:r>
              <w:rPr>
                <w:rFonts w:ascii="Times New Roman"/>
                <w:color w:val="000000"/>
              </w:rPr>
              <w:t xml:space="preserve">0 </w:t>
            </w:r>
          </w:p>
        </w:tc>
        <w:tc>
          <w:tcPr>
            <w:tcW w:w="2344" w:type="dxa"/>
            <w:tcBorders>
              <w:right w:val="single" w:sz="8" w:space="0" w:color="auto"/>
            </w:tcBorders>
            <w:shd w:val="clear" w:color="auto" w:fill="auto"/>
            <w:vAlign w:val="center"/>
          </w:tcPr>
          <w:p w14:paraId="4A313C68" w14:textId="77777777" w:rsidR="00C34226" w:rsidRDefault="00000000">
            <w:pPr>
              <w:pStyle w:val="affffffffff4"/>
              <w:spacing w:line="240" w:lineRule="auto"/>
            </w:pPr>
            <w:r>
              <w:rPr>
                <w:rFonts w:ascii="Times New Roman"/>
                <w:color w:val="000000"/>
              </w:rPr>
              <w:t xml:space="preserve">0 </w:t>
            </w:r>
          </w:p>
        </w:tc>
      </w:tr>
      <w:tr w:rsidR="00C34226" w14:paraId="0060AAC2" w14:textId="77777777">
        <w:trPr>
          <w:jc w:val="center"/>
        </w:trPr>
        <w:tc>
          <w:tcPr>
            <w:tcW w:w="2343" w:type="dxa"/>
            <w:tcBorders>
              <w:left w:val="single" w:sz="8" w:space="0" w:color="auto"/>
            </w:tcBorders>
            <w:shd w:val="clear" w:color="auto" w:fill="auto"/>
            <w:vAlign w:val="center"/>
          </w:tcPr>
          <w:p w14:paraId="0D203AD5" w14:textId="77777777" w:rsidR="00C34226" w:rsidRDefault="00000000">
            <w:pPr>
              <w:pStyle w:val="affffffffff4"/>
              <w:spacing w:line="240" w:lineRule="auto"/>
            </w:pPr>
            <w:r>
              <w:rPr>
                <w:rFonts w:ascii="Times New Roman"/>
                <w:color w:val="000000"/>
              </w:rPr>
              <w:t>11</w:t>
            </w:r>
            <w:r>
              <w:rPr>
                <w:rFonts w:ascii="Times New Roman"/>
                <w:color w:val="000000"/>
              </w:rPr>
              <w:t>月</w:t>
            </w:r>
            <w:r>
              <w:rPr>
                <w:rFonts w:ascii="Times New Roman"/>
                <w:color w:val="000000"/>
              </w:rPr>
              <w:t xml:space="preserve"> </w:t>
            </w:r>
          </w:p>
        </w:tc>
        <w:tc>
          <w:tcPr>
            <w:tcW w:w="2343" w:type="dxa"/>
            <w:shd w:val="clear" w:color="auto" w:fill="auto"/>
            <w:vAlign w:val="center"/>
          </w:tcPr>
          <w:p w14:paraId="287DA611" w14:textId="77777777" w:rsidR="00C34226" w:rsidRDefault="00000000">
            <w:pPr>
              <w:pStyle w:val="affffffffff4"/>
              <w:spacing w:line="240" w:lineRule="auto"/>
            </w:pPr>
            <w:r>
              <w:rPr>
                <w:rFonts w:ascii="Times New Roman"/>
                <w:color w:val="000000"/>
              </w:rPr>
              <w:t xml:space="preserve">16 </w:t>
            </w:r>
          </w:p>
        </w:tc>
        <w:tc>
          <w:tcPr>
            <w:tcW w:w="2344" w:type="dxa"/>
            <w:shd w:val="clear" w:color="auto" w:fill="auto"/>
            <w:vAlign w:val="center"/>
          </w:tcPr>
          <w:p w14:paraId="7758A5DA" w14:textId="77777777" w:rsidR="00C34226" w:rsidRDefault="00000000">
            <w:pPr>
              <w:pStyle w:val="affffffffff4"/>
              <w:spacing w:line="240" w:lineRule="auto"/>
            </w:pPr>
            <w:r>
              <w:rPr>
                <w:rFonts w:ascii="Times New Roman"/>
                <w:color w:val="000000"/>
              </w:rPr>
              <w:t>2094480×16/121=276956.03</w:t>
            </w:r>
          </w:p>
        </w:tc>
        <w:tc>
          <w:tcPr>
            <w:tcW w:w="2344" w:type="dxa"/>
            <w:tcBorders>
              <w:right w:val="single" w:sz="8" w:space="0" w:color="auto"/>
            </w:tcBorders>
            <w:shd w:val="clear" w:color="auto" w:fill="auto"/>
            <w:vAlign w:val="center"/>
          </w:tcPr>
          <w:p w14:paraId="1EDF8792" w14:textId="77777777" w:rsidR="00C34226" w:rsidRDefault="00000000">
            <w:pPr>
              <w:pStyle w:val="affffffffff4"/>
              <w:spacing w:line="240" w:lineRule="auto"/>
            </w:pPr>
            <w:r>
              <w:rPr>
                <w:rFonts w:ascii="Times New Roman"/>
                <w:color w:val="000000"/>
              </w:rPr>
              <w:t>276956.03/115=2408.31</w:t>
            </w:r>
          </w:p>
        </w:tc>
      </w:tr>
      <w:tr w:rsidR="00C34226" w14:paraId="20D64ED4" w14:textId="77777777">
        <w:trPr>
          <w:jc w:val="center"/>
        </w:trPr>
        <w:tc>
          <w:tcPr>
            <w:tcW w:w="2343" w:type="dxa"/>
            <w:tcBorders>
              <w:left w:val="single" w:sz="8" w:space="0" w:color="auto"/>
            </w:tcBorders>
            <w:shd w:val="clear" w:color="auto" w:fill="auto"/>
            <w:vAlign w:val="center"/>
          </w:tcPr>
          <w:p w14:paraId="1783893B" w14:textId="77777777" w:rsidR="00C34226" w:rsidRDefault="00000000">
            <w:pPr>
              <w:pStyle w:val="affffffffff4"/>
              <w:spacing w:line="240" w:lineRule="auto"/>
            </w:pPr>
            <w:r>
              <w:rPr>
                <w:rFonts w:ascii="Times New Roman"/>
                <w:color w:val="000000"/>
              </w:rPr>
              <w:t>12</w:t>
            </w:r>
            <w:r>
              <w:rPr>
                <w:rFonts w:ascii="Times New Roman"/>
                <w:color w:val="000000"/>
              </w:rPr>
              <w:t>月</w:t>
            </w:r>
            <w:r>
              <w:rPr>
                <w:rFonts w:ascii="Times New Roman"/>
                <w:color w:val="000000"/>
              </w:rPr>
              <w:t xml:space="preserve"> </w:t>
            </w:r>
          </w:p>
        </w:tc>
        <w:tc>
          <w:tcPr>
            <w:tcW w:w="2343" w:type="dxa"/>
            <w:shd w:val="clear" w:color="auto" w:fill="auto"/>
            <w:vAlign w:val="center"/>
          </w:tcPr>
          <w:p w14:paraId="2C344B1E" w14:textId="77777777" w:rsidR="00C34226" w:rsidRDefault="00000000">
            <w:pPr>
              <w:pStyle w:val="affffffffff4"/>
              <w:spacing w:line="240" w:lineRule="auto"/>
            </w:pPr>
            <w:r>
              <w:rPr>
                <w:rFonts w:ascii="Times New Roman"/>
                <w:color w:val="000000"/>
              </w:rPr>
              <w:t xml:space="preserve">31 </w:t>
            </w:r>
          </w:p>
        </w:tc>
        <w:tc>
          <w:tcPr>
            <w:tcW w:w="2344" w:type="dxa"/>
            <w:shd w:val="clear" w:color="auto" w:fill="auto"/>
            <w:vAlign w:val="center"/>
          </w:tcPr>
          <w:p w14:paraId="6D3285F5" w14:textId="77777777" w:rsidR="00C34226" w:rsidRDefault="00000000">
            <w:pPr>
              <w:pStyle w:val="affffffffff4"/>
              <w:spacing w:line="240" w:lineRule="auto"/>
            </w:pPr>
            <w:r>
              <w:rPr>
                <w:rFonts w:ascii="Times New Roman"/>
                <w:color w:val="000000"/>
              </w:rPr>
              <w:t>2094480×31/121=536602.31</w:t>
            </w:r>
          </w:p>
        </w:tc>
        <w:tc>
          <w:tcPr>
            <w:tcW w:w="2344" w:type="dxa"/>
            <w:tcBorders>
              <w:right w:val="single" w:sz="8" w:space="0" w:color="auto"/>
            </w:tcBorders>
            <w:shd w:val="clear" w:color="auto" w:fill="auto"/>
            <w:vAlign w:val="center"/>
          </w:tcPr>
          <w:p w14:paraId="464A0609" w14:textId="77777777" w:rsidR="00C34226" w:rsidRDefault="00000000">
            <w:pPr>
              <w:pStyle w:val="affffffffff4"/>
              <w:spacing w:line="240" w:lineRule="auto"/>
            </w:pPr>
            <w:r>
              <w:rPr>
                <w:rFonts w:ascii="Times New Roman"/>
                <w:color w:val="000000"/>
              </w:rPr>
              <w:t>536602.31/115=4666.11</w:t>
            </w:r>
          </w:p>
        </w:tc>
      </w:tr>
      <w:tr w:rsidR="00C34226" w14:paraId="4EB4A6C1" w14:textId="77777777">
        <w:trPr>
          <w:jc w:val="center"/>
        </w:trPr>
        <w:tc>
          <w:tcPr>
            <w:tcW w:w="2343" w:type="dxa"/>
            <w:tcBorders>
              <w:left w:val="single" w:sz="8" w:space="0" w:color="auto"/>
              <w:bottom w:val="single" w:sz="8" w:space="0" w:color="auto"/>
            </w:tcBorders>
            <w:shd w:val="clear" w:color="auto" w:fill="auto"/>
            <w:vAlign w:val="center"/>
          </w:tcPr>
          <w:p w14:paraId="589AE066" w14:textId="77777777" w:rsidR="00C34226" w:rsidRDefault="00000000">
            <w:pPr>
              <w:pStyle w:val="affffffffff4"/>
              <w:spacing w:line="240" w:lineRule="auto"/>
            </w:pPr>
            <w:r>
              <w:rPr>
                <w:rFonts w:ascii="Times New Roman"/>
                <w:color w:val="000000"/>
              </w:rPr>
              <w:t>合计</w:t>
            </w:r>
            <w:r>
              <w:rPr>
                <w:rFonts w:ascii="Times New Roman"/>
                <w:color w:val="000000"/>
              </w:rPr>
              <w:t xml:space="preserve"> </w:t>
            </w:r>
          </w:p>
        </w:tc>
        <w:tc>
          <w:tcPr>
            <w:tcW w:w="2343" w:type="dxa"/>
            <w:tcBorders>
              <w:bottom w:val="single" w:sz="8" w:space="0" w:color="auto"/>
            </w:tcBorders>
            <w:shd w:val="clear" w:color="auto" w:fill="auto"/>
            <w:vAlign w:val="center"/>
          </w:tcPr>
          <w:p w14:paraId="489F8A89" w14:textId="77777777" w:rsidR="00C34226" w:rsidRDefault="00000000">
            <w:pPr>
              <w:pStyle w:val="affffffffff4"/>
              <w:spacing w:line="240" w:lineRule="auto"/>
            </w:pPr>
            <w:r>
              <w:rPr>
                <w:rFonts w:ascii="Times New Roman"/>
                <w:color w:val="000000"/>
              </w:rPr>
              <w:t xml:space="preserve">121 </w:t>
            </w:r>
          </w:p>
        </w:tc>
        <w:tc>
          <w:tcPr>
            <w:tcW w:w="2344" w:type="dxa"/>
            <w:tcBorders>
              <w:bottom w:val="single" w:sz="8" w:space="0" w:color="auto"/>
            </w:tcBorders>
            <w:shd w:val="clear" w:color="auto" w:fill="auto"/>
            <w:vAlign w:val="center"/>
          </w:tcPr>
          <w:p w14:paraId="2B928FAC" w14:textId="77777777" w:rsidR="00C34226" w:rsidRDefault="00000000">
            <w:pPr>
              <w:pStyle w:val="affffffffff4"/>
              <w:spacing w:line="240" w:lineRule="auto"/>
            </w:pPr>
            <w:r>
              <w:rPr>
                <w:rFonts w:ascii="Times New Roman"/>
                <w:color w:val="000000"/>
              </w:rPr>
              <w:t>1880993.05</w:t>
            </w:r>
          </w:p>
        </w:tc>
        <w:tc>
          <w:tcPr>
            <w:tcW w:w="2344" w:type="dxa"/>
            <w:tcBorders>
              <w:bottom w:val="single" w:sz="8" w:space="0" w:color="auto"/>
              <w:right w:val="single" w:sz="8" w:space="0" w:color="auto"/>
            </w:tcBorders>
            <w:shd w:val="clear" w:color="auto" w:fill="auto"/>
            <w:vAlign w:val="center"/>
          </w:tcPr>
          <w:p w14:paraId="309E9486" w14:textId="77777777" w:rsidR="00C34226" w:rsidRDefault="00000000">
            <w:pPr>
              <w:pStyle w:val="affffffffff4"/>
              <w:spacing w:line="240" w:lineRule="auto"/>
            </w:pPr>
            <w:r>
              <w:rPr>
                <w:rFonts w:ascii="Times New Roman"/>
                <w:color w:val="000000"/>
              </w:rPr>
              <w:t>16356.46</w:t>
            </w:r>
          </w:p>
        </w:tc>
      </w:tr>
    </w:tbl>
    <w:p w14:paraId="036E1E4C" w14:textId="77777777" w:rsidR="00C34226" w:rsidRDefault="00C34226">
      <w:pPr>
        <w:widowControl/>
        <w:autoSpaceDE w:val="0"/>
        <w:autoSpaceDN w:val="0"/>
        <w:spacing w:before="210" w:after="158" w:line="240" w:lineRule="auto"/>
        <w:jc w:val="center"/>
        <w:rPr>
          <w:rFonts w:ascii="黑体" w:eastAsia="黑体" w:hAnsi="黑体" w:hint="eastAsia"/>
        </w:rPr>
      </w:pPr>
    </w:p>
    <w:p w14:paraId="328CF777" w14:textId="77777777" w:rsidR="00C34226" w:rsidRDefault="00C34226">
      <w:pPr>
        <w:pStyle w:val="affffff0"/>
        <w:spacing w:line="240" w:lineRule="auto"/>
        <w:ind w:firstLine="420"/>
      </w:pPr>
    </w:p>
    <w:p w14:paraId="64FE705D" w14:textId="77777777" w:rsidR="00C34226" w:rsidRDefault="00000000">
      <w:pPr>
        <w:pStyle w:val="affffff0"/>
        <w:spacing w:line="240" w:lineRule="auto"/>
        <w:ind w:firstLine="420"/>
      </w:pPr>
      <w:r>
        <w:br w:type="page"/>
      </w:r>
    </w:p>
    <w:p w14:paraId="10297B5A" w14:textId="77777777" w:rsidR="00C34226" w:rsidRDefault="00C34226">
      <w:pPr>
        <w:pStyle w:val="aff4"/>
        <w:spacing w:line="240" w:lineRule="auto"/>
      </w:pPr>
    </w:p>
    <w:p w14:paraId="226DDDD3" w14:textId="77777777" w:rsidR="00C34226" w:rsidRDefault="00000000">
      <w:pPr>
        <w:pStyle w:val="aff9"/>
        <w:spacing w:beforeLines="50" w:before="156" w:after="156" w:line="240" w:lineRule="auto"/>
      </w:pPr>
      <w:r>
        <w:br/>
      </w:r>
      <w:bookmarkStart w:id="151" w:name="_Toc181107021"/>
      <w:bookmarkStart w:id="152" w:name="_Toc181106082"/>
      <w:bookmarkStart w:id="153" w:name="_Toc184132535"/>
      <w:bookmarkStart w:id="154" w:name="_Toc192173517"/>
      <w:r>
        <w:rPr>
          <w:rFonts w:hint="eastAsia"/>
        </w:rPr>
        <w:t>（资料性）</w:t>
      </w:r>
      <w:r>
        <w:br/>
      </w:r>
      <w:r>
        <w:rPr>
          <w:rFonts w:hint="eastAsia"/>
        </w:rPr>
        <w:t>各类能源折算标准煤系数</w:t>
      </w:r>
      <w:bookmarkEnd w:id="151"/>
      <w:bookmarkEnd w:id="152"/>
      <w:bookmarkEnd w:id="153"/>
      <w:bookmarkEnd w:id="154"/>
    </w:p>
    <w:p w14:paraId="6BE3AEFB" w14:textId="77777777" w:rsidR="00C34226" w:rsidRDefault="00000000">
      <w:pPr>
        <w:pStyle w:val="affffff0"/>
        <w:spacing w:line="240" w:lineRule="auto"/>
        <w:ind w:firstLine="420"/>
      </w:pPr>
      <w:r>
        <w:rPr>
          <w:rFonts w:hint="eastAsia"/>
        </w:rPr>
        <w:t>各类能源折算标准煤系数见表C.1。</w:t>
      </w:r>
    </w:p>
    <w:p w14:paraId="18BCD064" w14:textId="77777777" w:rsidR="00C34226" w:rsidRDefault="00000000">
      <w:pPr>
        <w:pStyle w:val="aff5"/>
        <w:numPr>
          <w:ilvl w:val="0"/>
          <w:numId w:val="0"/>
        </w:numPr>
        <w:spacing w:before="156" w:after="156" w:line="240" w:lineRule="auto"/>
        <w:rPr>
          <w:rFonts w:hAnsi="黑体" w:hint="eastAsia"/>
          <w:szCs w:val="21"/>
        </w:rPr>
      </w:pPr>
      <w:r>
        <w:rPr>
          <w:rFonts w:hAnsi="黑体"/>
          <w:szCs w:val="21"/>
        </w:rPr>
        <w:t>表</w:t>
      </w:r>
      <w:r>
        <w:rPr>
          <w:rFonts w:hAnsi="黑体" w:hint="eastAsia"/>
          <w:szCs w:val="21"/>
        </w:rPr>
        <w:t xml:space="preserve"> </w:t>
      </w:r>
      <w:r>
        <w:rPr>
          <w:rFonts w:hAnsi="黑体" w:hint="eastAsia"/>
          <w:bCs/>
          <w:szCs w:val="21"/>
        </w:rPr>
        <w:t>C</w:t>
      </w:r>
      <w:r>
        <w:rPr>
          <w:rFonts w:hAnsi="黑体"/>
          <w:bCs/>
          <w:szCs w:val="21"/>
        </w:rPr>
        <w:t>.</w:t>
      </w:r>
      <w:r>
        <w:rPr>
          <w:rFonts w:hAnsi="黑体" w:hint="eastAsia"/>
          <w:bCs/>
          <w:szCs w:val="21"/>
        </w:rPr>
        <w:t xml:space="preserve">1 </w:t>
      </w:r>
      <w:r>
        <w:rPr>
          <w:rFonts w:hAnsi="黑体" w:hint="eastAsia"/>
          <w:szCs w:val="21"/>
        </w:rPr>
        <w:t>各类能源折算标准煤参考系数</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033"/>
        <w:gridCol w:w="2988"/>
        <w:gridCol w:w="3549"/>
      </w:tblGrid>
      <w:tr w:rsidR="00C34226" w14:paraId="2B9460F7" w14:textId="77777777">
        <w:trPr>
          <w:trHeight w:hRule="exact" w:val="284"/>
          <w:jc w:val="center"/>
        </w:trPr>
        <w:tc>
          <w:tcPr>
            <w:tcW w:w="1585" w:type="pct"/>
            <w:shd w:val="clear" w:color="auto" w:fill="auto"/>
            <w:vAlign w:val="center"/>
          </w:tcPr>
          <w:p w14:paraId="1E9353E3" w14:textId="77777777" w:rsidR="00C34226" w:rsidRDefault="00000000">
            <w:pPr>
              <w:adjustRightInd/>
              <w:spacing w:line="240" w:lineRule="auto"/>
              <w:jc w:val="center"/>
              <w:rPr>
                <w:rFonts w:ascii="Times New Roman" w:hAnsi="Times New Roman"/>
                <w:b/>
                <w:bCs/>
                <w:sz w:val="18"/>
                <w:szCs w:val="18"/>
              </w:rPr>
            </w:pPr>
            <w:r>
              <w:rPr>
                <w:rFonts w:ascii="宋体" w:hAnsi="宋体"/>
                <w:b/>
                <w:bCs/>
                <w:sz w:val="18"/>
                <w:szCs w:val="18"/>
              </w:rPr>
              <w:t>能源名称</w:t>
            </w:r>
          </w:p>
        </w:tc>
        <w:tc>
          <w:tcPr>
            <w:tcW w:w="1561" w:type="pct"/>
            <w:shd w:val="clear" w:color="auto" w:fill="auto"/>
            <w:vAlign w:val="center"/>
          </w:tcPr>
          <w:p w14:paraId="1505F0DA" w14:textId="77777777" w:rsidR="00C34226" w:rsidRDefault="00000000">
            <w:pPr>
              <w:adjustRightInd/>
              <w:spacing w:line="240" w:lineRule="auto"/>
              <w:jc w:val="center"/>
              <w:rPr>
                <w:rFonts w:ascii="Times New Roman" w:hAnsi="Times New Roman"/>
                <w:b/>
                <w:bCs/>
                <w:sz w:val="18"/>
                <w:szCs w:val="18"/>
              </w:rPr>
            </w:pPr>
            <w:r>
              <w:rPr>
                <w:rFonts w:ascii="宋体" w:hAnsi="宋体"/>
                <w:b/>
                <w:bCs/>
                <w:sz w:val="18"/>
                <w:szCs w:val="18"/>
              </w:rPr>
              <w:t>平均低位发热量</w:t>
            </w:r>
          </w:p>
        </w:tc>
        <w:tc>
          <w:tcPr>
            <w:tcW w:w="1854" w:type="pct"/>
            <w:shd w:val="clear" w:color="auto" w:fill="auto"/>
            <w:vAlign w:val="center"/>
          </w:tcPr>
          <w:p w14:paraId="1FF59651" w14:textId="77777777" w:rsidR="00C34226" w:rsidRDefault="00000000">
            <w:pPr>
              <w:adjustRightInd/>
              <w:spacing w:line="240" w:lineRule="auto"/>
              <w:jc w:val="center"/>
              <w:rPr>
                <w:rFonts w:ascii="Times New Roman" w:hAnsi="Times New Roman"/>
                <w:b/>
                <w:bCs/>
                <w:sz w:val="18"/>
                <w:szCs w:val="18"/>
              </w:rPr>
            </w:pPr>
            <w:r>
              <w:rPr>
                <w:rFonts w:ascii="宋体" w:hAnsi="宋体"/>
                <w:b/>
                <w:bCs/>
                <w:sz w:val="18"/>
                <w:szCs w:val="18"/>
              </w:rPr>
              <w:t>参考折标准煤系数</w:t>
            </w:r>
          </w:p>
        </w:tc>
      </w:tr>
      <w:tr w:rsidR="00C34226" w14:paraId="4623C270" w14:textId="77777777">
        <w:trPr>
          <w:trHeight w:hRule="exact" w:val="284"/>
          <w:jc w:val="center"/>
        </w:trPr>
        <w:tc>
          <w:tcPr>
            <w:tcW w:w="1585" w:type="pct"/>
            <w:shd w:val="clear" w:color="auto" w:fill="auto"/>
            <w:vAlign w:val="center"/>
          </w:tcPr>
          <w:p w14:paraId="7658BEC4"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原煤</w:t>
            </w:r>
          </w:p>
        </w:tc>
        <w:tc>
          <w:tcPr>
            <w:tcW w:w="1561" w:type="pct"/>
            <w:shd w:val="clear" w:color="auto" w:fill="auto"/>
            <w:vAlign w:val="center"/>
          </w:tcPr>
          <w:p w14:paraId="459B59A4"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spacing w:val="8"/>
                <w:kern w:val="0"/>
                <w:sz w:val="18"/>
                <w:szCs w:val="18"/>
              </w:rPr>
              <w:t>－</w:t>
            </w:r>
          </w:p>
        </w:tc>
        <w:tc>
          <w:tcPr>
            <w:tcW w:w="1854" w:type="pct"/>
            <w:shd w:val="clear" w:color="auto" w:fill="auto"/>
            <w:vAlign w:val="center"/>
          </w:tcPr>
          <w:p w14:paraId="73CACCE7"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spacing w:val="8"/>
                <w:kern w:val="0"/>
                <w:sz w:val="18"/>
                <w:szCs w:val="18"/>
              </w:rPr>
              <w:t>－</w:t>
            </w:r>
          </w:p>
        </w:tc>
      </w:tr>
      <w:tr w:rsidR="00C34226" w14:paraId="6517BD5E" w14:textId="77777777">
        <w:trPr>
          <w:trHeight w:hRule="exact" w:val="284"/>
          <w:jc w:val="center"/>
        </w:trPr>
        <w:tc>
          <w:tcPr>
            <w:tcW w:w="1585" w:type="pct"/>
            <w:shd w:val="clear" w:color="auto" w:fill="auto"/>
            <w:vAlign w:val="center"/>
          </w:tcPr>
          <w:p w14:paraId="64E71ABA"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其中：</w:t>
            </w:r>
            <w:r>
              <w:rPr>
                <w:rFonts w:ascii="Times New Roman" w:hAnsi="Times New Roman"/>
                <w:kern w:val="0"/>
                <w:sz w:val="18"/>
                <w:szCs w:val="18"/>
              </w:rPr>
              <w:t>1.</w:t>
            </w:r>
            <w:r>
              <w:rPr>
                <w:rFonts w:ascii="宋体" w:hAnsi="宋体"/>
                <w:kern w:val="0"/>
                <w:sz w:val="18"/>
                <w:szCs w:val="18"/>
              </w:rPr>
              <w:t>无烟煤</w:t>
            </w:r>
          </w:p>
        </w:tc>
        <w:tc>
          <w:tcPr>
            <w:tcW w:w="1561" w:type="pct"/>
            <w:shd w:val="clear" w:color="auto" w:fill="auto"/>
            <w:vAlign w:val="center"/>
          </w:tcPr>
          <w:p w14:paraId="10F93BD2"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6000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千克以上</w:t>
            </w:r>
          </w:p>
        </w:tc>
        <w:tc>
          <w:tcPr>
            <w:tcW w:w="1854" w:type="pct"/>
            <w:shd w:val="clear" w:color="auto" w:fill="auto"/>
            <w:vAlign w:val="center"/>
          </w:tcPr>
          <w:p w14:paraId="4478B07E"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0.9428</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4BBAF753" w14:textId="77777777">
        <w:trPr>
          <w:trHeight w:hRule="exact" w:val="284"/>
          <w:jc w:val="center"/>
        </w:trPr>
        <w:tc>
          <w:tcPr>
            <w:tcW w:w="1585" w:type="pct"/>
            <w:shd w:val="clear" w:color="auto" w:fill="auto"/>
            <w:vAlign w:val="center"/>
          </w:tcPr>
          <w:p w14:paraId="5AC8B90E"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2.</w:t>
            </w:r>
            <w:r>
              <w:rPr>
                <w:rFonts w:ascii="宋体" w:hAnsi="宋体"/>
                <w:kern w:val="0"/>
                <w:sz w:val="18"/>
                <w:szCs w:val="18"/>
              </w:rPr>
              <w:t>炼焦烟煤</w:t>
            </w:r>
          </w:p>
        </w:tc>
        <w:tc>
          <w:tcPr>
            <w:tcW w:w="1561" w:type="pct"/>
            <w:shd w:val="clear" w:color="auto" w:fill="auto"/>
            <w:vAlign w:val="center"/>
          </w:tcPr>
          <w:p w14:paraId="61703C3B"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6000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千克以上</w:t>
            </w:r>
          </w:p>
        </w:tc>
        <w:tc>
          <w:tcPr>
            <w:tcW w:w="1854" w:type="pct"/>
            <w:shd w:val="clear" w:color="auto" w:fill="auto"/>
            <w:vAlign w:val="center"/>
          </w:tcPr>
          <w:p w14:paraId="29C37DB9"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0.9</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354FE853" w14:textId="77777777">
        <w:trPr>
          <w:trHeight w:hRule="exact" w:val="284"/>
          <w:jc w:val="center"/>
        </w:trPr>
        <w:tc>
          <w:tcPr>
            <w:tcW w:w="1585" w:type="pct"/>
            <w:shd w:val="clear" w:color="auto" w:fill="auto"/>
            <w:vAlign w:val="center"/>
          </w:tcPr>
          <w:p w14:paraId="5EAF122D"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3.</w:t>
            </w:r>
            <w:r>
              <w:rPr>
                <w:rFonts w:ascii="宋体" w:hAnsi="宋体"/>
                <w:kern w:val="0"/>
                <w:sz w:val="18"/>
                <w:szCs w:val="18"/>
              </w:rPr>
              <w:t>一般烟煤</w:t>
            </w:r>
          </w:p>
        </w:tc>
        <w:tc>
          <w:tcPr>
            <w:tcW w:w="1561" w:type="pct"/>
            <w:shd w:val="clear" w:color="auto" w:fill="auto"/>
            <w:vAlign w:val="center"/>
          </w:tcPr>
          <w:p w14:paraId="7D593F2E"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4500-5500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63D9CB0F"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0.7143</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6F3DB213" w14:textId="77777777">
        <w:trPr>
          <w:trHeight w:hRule="exact" w:val="284"/>
          <w:jc w:val="center"/>
        </w:trPr>
        <w:tc>
          <w:tcPr>
            <w:tcW w:w="1585" w:type="pct"/>
            <w:shd w:val="clear" w:color="auto" w:fill="auto"/>
            <w:vAlign w:val="center"/>
          </w:tcPr>
          <w:p w14:paraId="559084E1"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4.</w:t>
            </w:r>
            <w:r>
              <w:rPr>
                <w:rFonts w:ascii="宋体" w:hAnsi="宋体"/>
                <w:kern w:val="0"/>
                <w:sz w:val="18"/>
                <w:szCs w:val="18"/>
              </w:rPr>
              <w:t>褐煤</w:t>
            </w:r>
          </w:p>
        </w:tc>
        <w:tc>
          <w:tcPr>
            <w:tcW w:w="1561" w:type="pct"/>
            <w:shd w:val="clear" w:color="auto" w:fill="auto"/>
            <w:vAlign w:val="center"/>
          </w:tcPr>
          <w:p w14:paraId="24468594"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2500-3500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407F5070"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0.4286</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592253D9" w14:textId="77777777">
        <w:trPr>
          <w:trHeight w:hRule="exact" w:val="284"/>
          <w:jc w:val="center"/>
        </w:trPr>
        <w:tc>
          <w:tcPr>
            <w:tcW w:w="1585" w:type="pct"/>
            <w:shd w:val="clear" w:color="auto" w:fill="auto"/>
            <w:vAlign w:val="center"/>
          </w:tcPr>
          <w:p w14:paraId="2CE5777E"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洗精煤（用于炼焦）</w:t>
            </w:r>
          </w:p>
        </w:tc>
        <w:tc>
          <w:tcPr>
            <w:tcW w:w="1561" w:type="pct"/>
            <w:shd w:val="clear" w:color="auto" w:fill="auto"/>
            <w:vAlign w:val="center"/>
          </w:tcPr>
          <w:p w14:paraId="7A25E886"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6000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千克以上</w:t>
            </w:r>
          </w:p>
        </w:tc>
        <w:tc>
          <w:tcPr>
            <w:tcW w:w="1854" w:type="pct"/>
            <w:shd w:val="clear" w:color="auto" w:fill="auto"/>
            <w:vAlign w:val="center"/>
          </w:tcPr>
          <w:p w14:paraId="1B564F06"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0.9</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577D3F47" w14:textId="77777777">
        <w:trPr>
          <w:trHeight w:hRule="exact" w:val="284"/>
          <w:jc w:val="center"/>
        </w:trPr>
        <w:tc>
          <w:tcPr>
            <w:tcW w:w="1585" w:type="pct"/>
            <w:shd w:val="clear" w:color="auto" w:fill="auto"/>
            <w:vAlign w:val="center"/>
          </w:tcPr>
          <w:p w14:paraId="14F78E4A"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其他洗煤</w:t>
            </w:r>
          </w:p>
        </w:tc>
        <w:tc>
          <w:tcPr>
            <w:tcW w:w="1561" w:type="pct"/>
            <w:shd w:val="clear" w:color="auto" w:fill="auto"/>
            <w:vAlign w:val="center"/>
          </w:tcPr>
          <w:p w14:paraId="781A7A48"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2500-6000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2AD20E59"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0.4643-0.9</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0E8BC68C" w14:textId="77777777">
        <w:trPr>
          <w:trHeight w:hRule="exact" w:val="284"/>
          <w:jc w:val="center"/>
        </w:trPr>
        <w:tc>
          <w:tcPr>
            <w:tcW w:w="1585" w:type="pct"/>
            <w:shd w:val="clear" w:color="auto" w:fill="auto"/>
            <w:vAlign w:val="center"/>
          </w:tcPr>
          <w:p w14:paraId="7AF1638D"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煤制品</w:t>
            </w:r>
          </w:p>
        </w:tc>
        <w:tc>
          <w:tcPr>
            <w:tcW w:w="1561" w:type="pct"/>
            <w:shd w:val="clear" w:color="auto" w:fill="auto"/>
            <w:vAlign w:val="center"/>
          </w:tcPr>
          <w:p w14:paraId="1985137B"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3000-5000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214927E2"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0.5286</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6758B39A" w14:textId="77777777">
        <w:trPr>
          <w:trHeight w:hRule="exact" w:val="284"/>
          <w:jc w:val="center"/>
        </w:trPr>
        <w:tc>
          <w:tcPr>
            <w:tcW w:w="1585" w:type="pct"/>
            <w:shd w:val="clear" w:color="auto" w:fill="auto"/>
            <w:vAlign w:val="center"/>
          </w:tcPr>
          <w:p w14:paraId="234C9A3D"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焦炭</w:t>
            </w:r>
          </w:p>
        </w:tc>
        <w:tc>
          <w:tcPr>
            <w:tcW w:w="1561" w:type="pct"/>
            <w:shd w:val="clear" w:color="auto" w:fill="auto"/>
            <w:vAlign w:val="center"/>
          </w:tcPr>
          <w:p w14:paraId="4CC5E489"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6800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5EDD3575"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0.9714</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1EC0A0B1" w14:textId="77777777">
        <w:trPr>
          <w:trHeight w:hRule="exact" w:val="284"/>
          <w:jc w:val="center"/>
        </w:trPr>
        <w:tc>
          <w:tcPr>
            <w:tcW w:w="1585" w:type="pct"/>
            <w:shd w:val="clear" w:color="auto" w:fill="auto"/>
            <w:vAlign w:val="center"/>
          </w:tcPr>
          <w:p w14:paraId="50EEFC93"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焦炉煤气</w:t>
            </w:r>
          </w:p>
        </w:tc>
        <w:tc>
          <w:tcPr>
            <w:tcW w:w="1561" w:type="pct"/>
            <w:shd w:val="clear" w:color="auto" w:fill="auto"/>
            <w:vAlign w:val="center"/>
          </w:tcPr>
          <w:p w14:paraId="7B5C873D"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4000-4300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27BD2852"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0.5714-0.6143</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55936044" w14:textId="77777777">
        <w:trPr>
          <w:trHeight w:hRule="exact" w:val="284"/>
          <w:jc w:val="center"/>
        </w:trPr>
        <w:tc>
          <w:tcPr>
            <w:tcW w:w="1585" w:type="pct"/>
            <w:shd w:val="clear" w:color="auto" w:fill="auto"/>
            <w:vAlign w:val="center"/>
          </w:tcPr>
          <w:p w14:paraId="5EE1640A"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发生炉煤气</w:t>
            </w:r>
          </w:p>
        </w:tc>
        <w:tc>
          <w:tcPr>
            <w:tcW w:w="1561" w:type="pct"/>
            <w:shd w:val="clear" w:color="auto" w:fill="auto"/>
            <w:vAlign w:val="center"/>
          </w:tcPr>
          <w:p w14:paraId="07C7C740"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1250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1633A025"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0.1786</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1B047E59" w14:textId="77777777">
        <w:trPr>
          <w:trHeight w:hRule="exact" w:val="284"/>
          <w:jc w:val="center"/>
        </w:trPr>
        <w:tc>
          <w:tcPr>
            <w:tcW w:w="1585" w:type="pct"/>
            <w:shd w:val="clear" w:color="auto" w:fill="auto"/>
            <w:vAlign w:val="center"/>
          </w:tcPr>
          <w:p w14:paraId="11E0ECB8"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重油催化裂解煤气</w:t>
            </w:r>
          </w:p>
        </w:tc>
        <w:tc>
          <w:tcPr>
            <w:tcW w:w="1561" w:type="pct"/>
            <w:shd w:val="clear" w:color="auto" w:fill="auto"/>
            <w:vAlign w:val="center"/>
          </w:tcPr>
          <w:p w14:paraId="7CE6046A"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4600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1F4451D8"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0.6571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504C9551" w14:textId="77777777">
        <w:trPr>
          <w:trHeight w:hRule="exact" w:val="284"/>
          <w:jc w:val="center"/>
        </w:trPr>
        <w:tc>
          <w:tcPr>
            <w:tcW w:w="1585" w:type="pct"/>
            <w:shd w:val="clear" w:color="auto" w:fill="auto"/>
            <w:vAlign w:val="center"/>
          </w:tcPr>
          <w:p w14:paraId="166FDCA0"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重油热裂解煤气</w:t>
            </w:r>
          </w:p>
        </w:tc>
        <w:tc>
          <w:tcPr>
            <w:tcW w:w="1561" w:type="pct"/>
            <w:shd w:val="clear" w:color="auto" w:fill="auto"/>
            <w:vAlign w:val="center"/>
          </w:tcPr>
          <w:p w14:paraId="5C6F93C1"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8500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3F8444B4"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1.2143</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64359C3C" w14:textId="77777777">
        <w:trPr>
          <w:trHeight w:hRule="exact" w:val="284"/>
          <w:jc w:val="center"/>
        </w:trPr>
        <w:tc>
          <w:tcPr>
            <w:tcW w:w="1585" w:type="pct"/>
            <w:shd w:val="clear" w:color="auto" w:fill="auto"/>
            <w:vAlign w:val="center"/>
          </w:tcPr>
          <w:p w14:paraId="25091BCB"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焦炭制气</w:t>
            </w:r>
          </w:p>
        </w:tc>
        <w:tc>
          <w:tcPr>
            <w:tcW w:w="1561" w:type="pct"/>
            <w:shd w:val="clear" w:color="auto" w:fill="auto"/>
            <w:vAlign w:val="center"/>
          </w:tcPr>
          <w:p w14:paraId="697C0CA4"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3900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56FDDDDF"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0.5571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0D043A65" w14:textId="77777777">
        <w:trPr>
          <w:trHeight w:hRule="exact" w:val="284"/>
          <w:jc w:val="center"/>
        </w:trPr>
        <w:tc>
          <w:tcPr>
            <w:tcW w:w="1585" w:type="pct"/>
            <w:shd w:val="clear" w:color="auto" w:fill="auto"/>
            <w:vAlign w:val="center"/>
          </w:tcPr>
          <w:p w14:paraId="77B79D09"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压力气化煤气</w:t>
            </w:r>
          </w:p>
        </w:tc>
        <w:tc>
          <w:tcPr>
            <w:tcW w:w="1561" w:type="pct"/>
            <w:shd w:val="clear" w:color="auto" w:fill="auto"/>
            <w:vAlign w:val="center"/>
          </w:tcPr>
          <w:p w14:paraId="5A104A0B"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3600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3DF577DD"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0.5143</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684B465B" w14:textId="77777777">
        <w:trPr>
          <w:trHeight w:hRule="exact" w:val="284"/>
          <w:jc w:val="center"/>
        </w:trPr>
        <w:tc>
          <w:tcPr>
            <w:tcW w:w="1585" w:type="pct"/>
            <w:shd w:val="clear" w:color="auto" w:fill="auto"/>
            <w:vAlign w:val="center"/>
          </w:tcPr>
          <w:p w14:paraId="7640F7C0"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水煤气</w:t>
            </w:r>
          </w:p>
        </w:tc>
        <w:tc>
          <w:tcPr>
            <w:tcW w:w="1561" w:type="pct"/>
            <w:shd w:val="clear" w:color="auto" w:fill="auto"/>
            <w:vAlign w:val="center"/>
          </w:tcPr>
          <w:p w14:paraId="356D7065"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2500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427D9F0B"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0.3571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1AF183C1" w14:textId="77777777">
        <w:trPr>
          <w:trHeight w:hRule="exact" w:val="284"/>
          <w:jc w:val="center"/>
        </w:trPr>
        <w:tc>
          <w:tcPr>
            <w:tcW w:w="1585" w:type="pct"/>
            <w:shd w:val="clear" w:color="auto" w:fill="auto"/>
            <w:vAlign w:val="center"/>
          </w:tcPr>
          <w:p w14:paraId="2AD6F756"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天然气</w:t>
            </w:r>
          </w:p>
        </w:tc>
        <w:tc>
          <w:tcPr>
            <w:tcW w:w="1561" w:type="pct"/>
            <w:shd w:val="clear" w:color="auto" w:fill="auto"/>
            <w:vAlign w:val="center"/>
          </w:tcPr>
          <w:p w14:paraId="13DB75C3"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7700-9300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6541734F"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1.10-1.33</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25388D83" w14:textId="77777777">
        <w:trPr>
          <w:trHeight w:hRule="exact" w:val="284"/>
          <w:jc w:val="center"/>
        </w:trPr>
        <w:tc>
          <w:tcPr>
            <w:tcW w:w="1585" w:type="pct"/>
            <w:shd w:val="clear" w:color="auto" w:fill="auto"/>
            <w:vAlign w:val="center"/>
          </w:tcPr>
          <w:p w14:paraId="3E5845BA"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液化天然气</w:t>
            </w:r>
          </w:p>
        </w:tc>
        <w:tc>
          <w:tcPr>
            <w:tcW w:w="1561" w:type="pct"/>
            <w:shd w:val="clear" w:color="auto" w:fill="auto"/>
            <w:vAlign w:val="center"/>
          </w:tcPr>
          <w:p w14:paraId="5B77B667"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12300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1A9D7259"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1.7572</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64E3B355" w14:textId="77777777">
        <w:trPr>
          <w:trHeight w:hRule="exact" w:val="284"/>
          <w:jc w:val="center"/>
        </w:trPr>
        <w:tc>
          <w:tcPr>
            <w:tcW w:w="1585" w:type="pct"/>
            <w:shd w:val="clear" w:color="auto" w:fill="auto"/>
            <w:vAlign w:val="center"/>
          </w:tcPr>
          <w:p w14:paraId="05999184"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煤层气</w:t>
            </w:r>
          </w:p>
        </w:tc>
        <w:tc>
          <w:tcPr>
            <w:tcW w:w="1561" w:type="pct"/>
            <w:shd w:val="clear" w:color="auto" w:fill="auto"/>
            <w:vAlign w:val="center"/>
          </w:tcPr>
          <w:p w14:paraId="6F702DE5"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7700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3D9DAC31"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1.11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7751FDA1" w14:textId="77777777">
        <w:trPr>
          <w:trHeight w:hRule="exact" w:val="284"/>
          <w:jc w:val="center"/>
        </w:trPr>
        <w:tc>
          <w:tcPr>
            <w:tcW w:w="1585" w:type="pct"/>
            <w:shd w:val="clear" w:color="auto" w:fill="auto"/>
            <w:vAlign w:val="center"/>
          </w:tcPr>
          <w:p w14:paraId="0E63B46D"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原油</w:t>
            </w:r>
          </w:p>
        </w:tc>
        <w:tc>
          <w:tcPr>
            <w:tcW w:w="1561" w:type="pct"/>
            <w:shd w:val="clear" w:color="auto" w:fill="auto"/>
            <w:vAlign w:val="center"/>
          </w:tcPr>
          <w:p w14:paraId="220D6655"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10000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771B8F36"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1.4286</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62E84B71" w14:textId="77777777">
        <w:trPr>
          <w:trHeight w:hRule="exact" w:val="284"/>
          <w:jc w:val="center"/>
        </w:trPr>
        <w:tc>
          <w:tcPr>
            <w:tcW w:w="1585" w:type="pct"/>
            <w:shd w:val="clear" w:color="auto" w:fill="auto"/>
            <w:vAlign w:val="center"/>
          </w:tcPr>
          <w:p w14:paraId="1F7C02CD"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汽油</w:t>
            </w:r>
          </w:p>
        </w:tc>
        <w:tc>
          <w:tcPr>
            <w:tcW w:w="1561" w:type="pct"/>
            <w:shd w:val="clear" w:color="auto" w:fill="auto"/>
            <w:vAlign w:val="center"/>
          </w:tcPr>
          <w:p w14:paraId="738428F1"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10300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3023A7C7"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1.4714</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764EE1E4" w14:textId="77777777">
        <w:trPr>
          <w:trHeight w:hRule="exact" w:val="284"/>
          <w:jc w:val="center"/>
        </w:trPr>
        <w:tc>
          <w:tcPr>
            <w:tcW w:w="1585" w:type="pct"/>
            <w:shd w:val="clear" w:color="auto" w:fill="auto"/>
            <w:vAlign w:val="center"/>
          </w:tcPr>
          <w:p w14:paraId="04A31934"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煤油</w:t>
            </w:r>
          </w:p>
        </w:tc>
        <w:tc>
          <w:tcPr>
            <w:tcW w:w="1561" w:type="pct"/>
            <w:shd w:val="clear" w:color="auto" w:fill="auto"/>
            <w:vAlign w:val="center"/>
          </w:tcPr>
          <w:p w14:paraId="000A89A1"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10300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2F4E9FA2"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1.4714</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14253D67" w14:textId="77777777">
        <w:trPr>
          <w:trHeight w:hRule="exact" w:val="284"/>
          <w:jc w:val="center"/>
        </w:trPr>
        <w:tc>
          <w:tcPr>
            <w:tcW w:w="1585" w:type="pct"/>
            <w:shd w:val="clear" w:color="auto" w:fill="auto"/>
            <w:vAlign w:val="center"/>
          </w:tcPr>
          <w:p w14:paraId="4B3CDFB7"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柴油</w:t>
            </w:r>
          </w:p>
        </w:tc>
        <w:tc>
          <w:tcPr>
            <w:tcW w:w="1561" w:type="pct"/>
            <w:shd w:val="clear" w:color="auto" w:fill="auto"/>
            <w:vAlign w:val="center"/>
          </w:tcPr>
          <w:p w14:paraId="795F3AEE"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10200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5564B94A"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1.4571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1F024249" w14:textId="77777777">
        <w:trPr>
          <w:trHeight w:hRule="exact" w:val="284"/>
          <w:jc w:val="center"/>
        </w:trPr>
        <w:tc>
          <w:tcPr>
            <w:tcW w:w="1585" w:type="pct"/>
            <w:shd w:val="clear" w:color="auto" w:fill="auto"/>
            <w:vAlign w:val="center"/>
          </w:tcPr>
          <w:p w14:paraId="73B15302"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燃料油</w:t>
            </w:r>
          </w:p>
        </w:tc>
        <w:tc>
          <w:tcPr>
            <w:tcW w:w="1561" w:type="pct"/>
            <w:shd w:val="clear" w:color="auto" w:fill="auto"/>
            <w:vAlign w:val="center"/>
          </w:tcPr>
          <w:p w14:paraId="74CA7593"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10000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160D805E"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1.4286</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573F5829" w14:textId="77777777">
        <w:trPr>
          <w:trHeight w:hRule="exact" w:val="284"/>
          <w:jc w:val="center"/>
        </w:trPr>
        <w:tc>
          <w:tcPr>
            <w:tcW w:w="1585" w:type="pct"/>
            <w:shd w:val="clear" w:color="auto" w:fill="auto"/>
            <w:vAlign w:val="center"/>
          </w:tcPr>
          <w:p w14:paraId="34B59D79"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液化石油气</w:t>
            </w:r>
          </w:p>
        </w:tc>
        <w:tc>
          <w:tcPr>
            <w:tcW w:w="1561" w:type="pct"/>
            <w:shd w:val="clear" w:color="auto" w:fill="auto"/>
            <w:vAlign w:val="center"/>
          </w:tcPr>
          <w:p w14:paraId="3666F237"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12000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2666F7DB"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1.7143</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01AA19DE" w14:textId="77777777">
        <w:trPr>
          <w:trHeight w:hRule="exact" w:val="284"/>
          <w:jc w:val="center"/>
        </w:trPr>
        <w:tc>
          <w:tcPr>
            <w:tcW w:w="1585" w:type="pct"/>
            <w:shd w:val="clear" w:color="auto" w:fill="auto"/>
            <w:vAlign w:val="center"/>
          </w:tcPr>
          <w:p w14:paraId="3426014D"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炼厂干气</w:t>
            </w:r>
          </w:p>
        </w:tc>
        <w:tc>
          <w:tcPr>
            <w:tcW w:w="1561" w:type="pct"/>
            <w:shd w:val="clear" w:color="auto" w:fill="auto"/>
            <w:vAlign w:val="center"/>
          </w:tcPr>
          <w:p w14:paraId="310CA9BC"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11000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4DD86511"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1.5714</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2B9138F1" w14:textId="77777777">
        <w:trPr>
          <w:trHeight w:hRule="exact" w:val="284"/>
          <w:jc w:val="center"/>
        </w:trPr>
        <w:tc>
          <w:tcPr>
            <w:tcW w:w="1585" w:type="pct"/>
            <w:shd w:val="clear" w:color="auto" w:fill="auto"/>
            <w:vAlign w:val="center"/>
          </w:tcPr>
          <w:p w14:paraId="75AF0135"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石脑油</w:t>
            </w:r>
          </w:p>
        </w:tc>
        <w:tc>
          <w:tcPr>
            <w:tcW w:w="1561" w:type="pct"/>
            <w:shd w:val="clear" w:color="auto" w:fill="auto"/>
            <w:vAlign w:val="center"/>
          </w:tcPr>
          <w:p w14:paraId="55CE4ADC"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10500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661AC1FF"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1.5</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6D8CFC92" w14:textId="77777777">
        <w:trPr>
          <w:trHeight w:hRule="exact" w:val="284"/>
          <w:jc w:val="center"/>
        </w:trPr>
        <w:tc>
          <w:tcPr>
            <w:tcW w:w="1585" w:type="pct"/>
            <w:shd w:val="clear" w:color="auto" w:fill="auto"/>
            <w:vAlign w:val="center"/>
          </w:tcPr>
          <w:p w14:paraId="7D423F34"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润滑油</w:t>
            </w:r>
          </w:p>
        </w:tc>
        <w:tc>
          <w:tcPr>
            <w:tcW w:w="1561" w:type="pct"/>
            <w:shd w:val="clear" w:color="auto" w:fill="auto"/>
            <w:vAlign w:val="center"/>
          </w:tcPr>
          <w:p w14:paraId="717F9CEF"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9900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47B45E28"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 xml:space="preserve">1.4143 </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6BA0D62E" w14:textId="77777777">
        <w:trPr>
          <w:trHeight w:hRule="exact" w:val="284"/>
          <w:jc w:val="center"/>
        </w:trPr>
        <w:tc>
          <w:tcPr>
            <w:tcW w:w="1585" w:type="pct"/>
            <w:shd w:val="clear" w:color="auto" w:fill="auto"/>
            <w:vAlign w:val="center"/>
          </w:tcPr>
          <w:p w14:paraId="54C25749"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石蜡</w:t>
            </w:r>
          </w:p>
        </w:tc>
        <w:tc>
          <w:tcPr>
            <w:tcW w:w="1561" w:type="pct"/>
            <w:shd w:val="clear" w:color="auto" w:fill="auto"/>
            <w:vAlign w:val="center"/>
          </w:tcPr>
          <w:p w14:paraId="3E9B7B3D"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9550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6DD3A654"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1.3648</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5964956C" w14:textId="77777777">
        <w:trPr>
          <w:trHeight w:hRule="exact" w:val="284"/>
          <w:jc w:val="center"/>
        </w:trPr>
        <w:tc>
          <w:tcPr>
            <w:tcW w:w="1585" w:type="pct"/>
            <w:shd w:val="clear" w:color="auto" w:fill="auto"/>
            <w:vAlign w:val="center"/>
          </w:tcPr>
          <w:p w14:paraId="144591AF"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溶剂油</w:t>
            </w:r>
          </w:p>
        </w:tc>
        <w:tc>
          <w:tcPr>
            <w:tcW w:w="1561" w:type="pct"/>
            <w:shd w:val="clear" w:color="auto" w:fill="auto"/>
            <w:vAlign w:val="center"/>
          </w:tcPr>
          <w:p w14:paraId="4BF29A80"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10270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351DF59F"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1.4672</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7AEC3B71" w14:textId="77777777">
        <w:trPr>
          <w:trHeight w:hRule="exact" w:val="284"/>
          <w:jc w:val="center"/>
        </w:trPr>
        <w:tc>
          <w:tcPr>
            <w:tcW w:w="1585" w:type="pct"/>
            <w:shd w:val="clear" w:color="auto" w:fill="auto"/>
            <w:vAlign w:val="center"/>
          </w:tcPr>
          <w:p w14:paraId="02C54713"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石油焦</w:t>
            </w:r>
          </w:p>
        </w:tc>
        <w:tc>
          <w:tcPr>
            <w:tcW w:w="1561" w:type="pct"/>
            <w:shd w:val="clear" w:color="auto" w:fill="auto"/>
            <w:vAlign w:val="center"/>
          </w:tcPr>
          <w:p w14:paraId="65445A86"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7640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0A51B07C"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1.0918</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5A739760" w14:textId="77777777">
        <w:trPr>
          <w:trHeight w:hRule="exact" w:val="284"/>
          <w:jc w:val="center"/>
        </w:trPr>
        <w:tc>
          <w:tcPr>
            <w:tcW w:w="1585" w:type="pct"/>
            <w:shd w:val="clear" w:color="auto" w:fill="auto"/>
            <w:vAlign w:val="center"/>
          </w:tcPr>
          <w:p w14:paraId="53B1594F"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石油沥青</w:t>
            </w:r>
          </w:p>
        </w:tc>
        <w:tc>
          <w:tcPr>
            <w:tcW w:w="1561" w:type="pct"/>
            <w:shd w:val="clear" w:color="auto" w:fill="auto"/>
            <w:vAlign w:val="center"/>
          </w:tcPr>
          <w:p w14:paraId="55BBFDE5"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9310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28081DFF"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1.3307</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1E1D22F8" w14:textId="77777777">
        <w:trPr>
          <w:trHeight w:hRule="exact" w:val="284"/>
          <w:jc w:val="center"/>
        </w:trPr>
        <w:tc>
          <w:tcPr>
            <w:tcW w:w="1585" w:type="pct"/>
            <w:shd w:val="clear" w:color="auto" w:fill="auto"/>
            <w:vAlign w:val="center"/>
          </w:tcPr>
          <w:p w14:paraId="1F83329E"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其他石油制品</w:t>
            </w:r>
          </w:p>
        </w:tc>
        <w:tc>
          <w:tcPr>
            <w:tcW w:w="1561" w:type="pct"/>
            <w:shd w:val="clear" w:color="auto" w:fill="auto"/>
            <w:vAlign w:val="center"/>
          </w:tcPr>
          <w:p w14:paraId="07398ABA"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9800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458BC54E"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1.4</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517E17D0" w14:textId="77777777">
        <w:trPr>
          <w:trHeight w:hRule="exact" w:val="284"/>
          <w:jc w:val="center"/>
        </w:trPr>
        <w:tc>
          <w:tcPr>
            <w:tcW w:w="1585" w:type="pct"/>
            <w:shd w:val="clear" w:color="auto" w:fill="auto"/>
            <w:vAlign w:val="center"/>
          </w:tcPr>
          <w:p w14:paraId="5ED35191"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煤焦油</w:t>
            </w:r>
          </w:p>
        </w:tc>
        <w:tc>
          <w:tcPr>
            <w:tcW w:w="1561" w:type="pct"/>
            <w:shd w:val="clear" w:color="auto" w:fill="auto"/>
            <w:vAlign w:val="center"/>
          </w:tcPr>
          <w:p w14:paraId="6BED20D5"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8000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03118092"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1.1429</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771A2B21" w14:textId="77777777">
        <w:trPr>
          <w:trHeight w:hRule="exact" w:val="284"/>
          <w:jc w:val="center"/>
        </w:trPr>
        <w:tc>
          <w:tcPr>
            <w:tcW w:w="1585" w:type="pct"/>
            <w:shd w:val="clear" w:color="auto" w:fill="auto"/>
            <w:vAlign w:val="center"/>
          </w:tcPr>
          <w:p w14:paraId="6D6457EF"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粗苯</w:t>
            </w:r>
          </w:p>
        </w:tc>
        <w:tc>
          <w:tcPr>
            <w:tcW w:w="1561" w:type="pct"/>
            <w:shd w:val="clear" w:color="auto" w:fill="auto"/>
            <w:vAlign w:val="center"/>
          </w:tcPr>
          <w:p w14:paraId="3D8E66B5" w14:textId="77777777" w:rsidR="00C34226" w:rsidRDefault="00000000">
            <w:pPr>
              <w:widowControl/>
              <w:adjustRightInd/>
              <w:spacing w:line="240" w:lineRule="auto"/>
              <w:jc w:val="center"/>
              <w:rPr>
                <w:rFonts w:ascii="Times New Roman" w:hAnsi="Times New Roman"/>
                <w:spacing w:val="8"/>
                <w:kern w:val="0"/>
                <w:sz w:val="18"/>
                <w:szCs w:val="18"/>
              </w:rPr>
            </w:pPr>
            <w:r>
              <w:rPr>
                <w:rFonts w:ascii="宋体" w:hAnsi="宋体"/>
                <w:kern w:val="0"/>
                <w:sz w:val="18"/>
                <w:szCs w:val="18"/>
              </w:rPr>
              <w:t>约</w:t>
            </w:r>
            <w:r>
              <w:rPr>
                <w:rFonts w:ascii="Times New Roman" w:hAnsi="Times New Roman"/>
                <w:kern w:val="0"/>
                <w:sz w:val="18"/>
                <w:szCs w:val="18"/>
              </w:rPr>
              <w:t>10000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1B070366"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1.4286</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65A963DA" w14:textId="77777777">
        <w:trPr>
          <w:trHeight w:hRule="exact" w:val="284"/>
          <w:jc w:val="center"/>
        </w:trPr>
        <w:tc>
          <w:tcPr>
            <w:tcW w:w="1585" w:type="pct"/>
            <w:shd w:val="clear" w:color="auto" w:fill="auto"/>
            <w:vAlign w:val="center"/>
          </w:tcPr>
          <w:p w14:paraId="41F59157"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热力（当量</w:t>
            </w:r>
            <w:r>
              <w:rPr>
                <w:rFonts w:ascii="Times New Roman" w:hAnsi="Times New Roman"/>
                <w:kern w:val="0"/>
                <w:sz w:val="18"/>
                <w:szCs w:val="18"/>
              </w:rPr>
              <w:t>)</w:t>
            </w:r>
          </w:p>
        </w:tc>
        <w:tc>
          <w:tcPr>
            <w:tcW w:w="1561" w:type="pct"/>
            <w:shd w:val="clear" w:color="auto" w:fill="auto"/>
            <w:vAlign w:val="center"/>
          </w:tcPr>
          <w:p w14:paraId="04D5964B"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spacing w:val="8"/>
                <w:kern w:val="0"/>
                <w:sz w:val="18"/>
                <w:szCs w:val="18"/>
              </w:rPr>
              <w:t>－</w:t>
            </w:r>
          </w:p>
        </w:tc>
        <w:tc>
          <w:tcPr>
            <w:tcW w:w="1854" w:type="pct"/>
            <w:shd w:val="clear" w:color="auto" w:fill="auto"/>
            <w:vAlign w:val="center"/>
          </w:tcPr>
          <w:p w14:paraId="10F36D00"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0.0341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百万焦耳</w:t>
            </w:r>
          </w:p>
        </w:tc>
      </w:tr>
    </w:tbl>
    <w:p w14:paraId="2E688DA5" w14:textId="77777777" w:rsidR="00C34226" w:rsidRDefault="00000000">
      <w:pPr>
        <w:pStyle w:val="affffff0"/>
        <w:pageBreakBefore/>
        <w:spacing w:beforeLines="50" w:before="156" w:afterLines="50" w:after="156"/>
        <w:ind w:firstLineChars="0" w:firstLine="0"/>
        <w:jc w:val="center"/>
        <w:rPr>
          <w:rFonts w:ascii="黑体" w:eastAsia="黑体" w:hAnsi="黑体" w:hint="eastAsia"/>
        </w:rPr>
      </w:pPr>
      <w:r>
        <w:rPr>
          <w:rFonts w:ascii="黑体" w:eastAsia="黑体" w:hAnsi="黑体" w:hint="eastAsia"/>
        </w:rPr>
        <w:lastRenderedPageBreak/>
        <w:t>表 C.1 各类能源折算标准煤参考系数</w:t>
      </w:r>
      <w:r>
        <w:rPr>
          <w:rFonts w:hAnsi="宋体" w:hint="eastAsia"/>
        </w:rPr>
        <w:t>（续）</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033"/>
        <w:gridCol w:w="2988"/>
        <w:gridCol w:w="3549"/>
      </w:tblGrid>
      <w:tr w:rsidR="00C34226" w14:paraId="00CEE4C3" w14:textId="77777777">
        <w:trPr>
          <w:trHeight w:hRule="exact" w:val="284"/>
          <w:jc w:val="center"/>
        </w:trPr>
        <w:tc>
          <w:tcPr>
            <w:tcW w:w="1585" w:type="pct"/>
            <w:shd w:val="clear" w:color="auto" w:fill="auto"/>
            <w:vAlign w:val="center"/>
          </w:tcPr>
          <w:p w14:paraId="7C0EB88C"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电力（当量</w:t>
            </w:r>
            <w:r>
              <w:rPr>
                <w:rFonts w:ascii="Times New Roman" w:hAnsi="Times New Roman"/>
                <w:kern w:val="0"/>
                <w:sz w:val="18"/>
                <w:szCs w:val="18"/>
              </w:rPr>
              <w:t>)</w:t>
            </w:r>
          </w:p>
        </w:tc>
        <w:tc>
          <w:tcPr>
            <w:tcW w:w="1561" w:type="pct"/>
            <w:shd w:val="clear" w:color="auto" w:fill="auto"/>
            <w:vAlign w:val="center"/>
          </w:tcPr>
          <w:p w14:paraId="5BCAC93F"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860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千瓦时</w:t>
            </w:r>
          </w:p>
        </w:tc>
        <w:tc>
          <w:tcPr>
            <w:tcW w:w="1854" w:type="pct"/>
            <w:shd w:val="clear" w:color="auto" w:fill="auto"/>
            <w:vAlign w:val="center"/>
          </w:tcPr>
          <w:p w14:paraId="0D974F6E"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0.1229</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千瓦时</w:t>
            </w:r>
          </w:p>
        </w:tc>
      </w:tr>
      <w:tr w:rsidR="00C34226" w14:paraId="5B898CB9" w14:textId="77777777">
        <w:trPr>
          <w:trHeight w:hRule="exact" w:val="284"/>
          <w:jc w:val="center"/>
        </w:trPr>
        <w:tc>
          <w:tcPr>
            <w:tcW w:w="1585" w:type="pct"/>
            <w:shd w:val="clear" w:color="auto" w:fill="auto"/>
            <w:vAlign w:val="center"/>
          </w:tcPr>
          <w:p w14:paraId="1C2AD05A"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高炉煤气</w:t>
            </w:r>
          </w:p>
        </w:tc>
        <w:tc>
          <w:tcPr>
            <w:tcW w:w="1561" w:type="pct"/>
            <w:shd w:val="clear" w:color="auto" w:fill="auto"/>
            <w:vAlign w:val="center"/>
          </w:tcPr>
          <w:p w14:paraId="3187D96D"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900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43ACE993"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0.1286</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631076A1" w14:textId="77777777">
        <w:trPr>
          <w:trHeight w:hRule="exact" w:val="284"/>
          <w:jc w:val="center"/>
        </w:trPr>
        <w:tc>
          <w:tcPr>
            <w:tcW w:w="1585" w:type="pct"/>
            <w:shd w:val="clear" w:color="auto" w:fill="auto"/>
            <w:vAlign w:val="center"/>
          </w:tcPr>
          <w:p w14:paraId="46E86EF9"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转炉煤气</w:t>
            </w:r>
          </w:p>
        </w:tc>
        <w:tc>
          <w:tcPr>
            <w:tcW w:w="1561" w:type="pct"/>
            <w:shd w:val="clear" w:color="auto" w:fill="auto"/>
            <w:vAlign w:val="center"/>
          </w:tcPr>
          <w:p w14:paraId="5DF61129"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1900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43FD2F68"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0.2714</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0C365078" w14:textId="77777777">
        <w:trPr>
          <w:trHeight w:hRule="exact" w:val="284"/>
          <w:jc w:val="center"/>
        </w:trPr>
        <w:tc>
          <w:tcPr>
            <w:tcW w:w="1585" w:type="pct"/>
            <w:shd w:val="clear" w:color="auto" w:fill="auto"/>
            <w:vAlign w:val="center"/>
          </w:tcPr>
          <w:p w14:paraId="09A3F421"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煤矸石（用于燃料）</w:t>
            </w:r>
          </w:p>
        </w:tc>
        <w:tc>
          <w:tcPr>
            <w:tcW w:w="1561" w:type="pct"/>
            <w:shd w:val="clear" w:color="auto" w:fill="auto"/>
            <w:vAlign w:val="center"/>
          </w:tcPr>
          <w:p w14:paraId="71D95034"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2000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38E6E044"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0.2857</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19DA72C5" w14:textId="77777777">
        <w:trPr>
          <w:trHeight w:hRule="exact" w:val="284"/>
          <w:jc w:val="center"/>
        </w:trPr>
        <w:tc>
          <w:tcPr>
            <w:tcW w:w="1585" w:type="pct"/>
            <w:shd w:val="clear" w:color="auto" w:fill="auto"/>
            <w:vAlign w:val="center"/>
          </w:tcPr>
          <w:p w14:paraId="1AB9D52D"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城市生活垃圾（用于燃料）</w:t>
            </w:r>
          </w:p>
        </w:tc>
        <w:tc>
          <w:tcPr>
            <w:tcW w:w="1561" w:type="pct"/>
            <w:shd w:val="clear" w:color="auto" w:fill="auto"/>
            <w:vAlign w:val="center"/>
          </w:tcPr>
          <w:p w14:paraId="6633E10F"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1900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6F4DE1C0"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0.2714</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4A85BC24" w14:textId="77777777">
        <w:trPr>
          <w:trHeight w:hRule="exact" w:val="284"/>
          <w:jc w:val="center"/>
        </w:trPr>
        <w:tc>
          <w:tcPr>
            <w:tcW w:w="1585" w:type="pct"/>
            <w:shd w:val="clear" w:color="auto" w:fill="auto"/>
            <w:vAlign w:val="center"/>
          </w:tcPr>
          <w:p w14:paraId="6C71B852"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余热余压</w:t>
            </w:r>
          </w:p>
        </w:tc>
        <w:tc>
          <w:tcPr>
            <w:tcW w:w="1561" w:type="pct"/>
            <w:shd w:val="clear" w:color="auto" w:fill="auto"/>
            <w:vAlign w:val="center"/>
          </w:tcPr>
          <w:p w14:paraId="61B909F0"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spacing w:val="8"/>
                <w:kern w:val="0"/>
                <w:sz w:val="18"/>
                <w:szCs w:val="18"/>
              </w:rPr>
              <w:t>－</w:t>
            </w:r>
          </w:p>
        </w:tc>
        <w:tc>
          <w:tcPr>
            <w:tcW w:w="1854" w:type="pct"/>
            <w:shd w:val="clear" w:color="auto" w:fill="auto"/>
            <w:vAlign w:val="center"/>
          </w:tcPr>
          <w:p w14:paraId="12BF289D"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0.0341</w:t>
            </w:r>
            <w:r>
              <w:rPr>
                <w:rFonts w:ascii="宋体" w:hAnsi="宋体"/>
                <w:kern w:val="0"/>
                <w:sz w:val="18"/>
                <w:szCs w:val="18"/>
              </w:rPr>
              <w:t>吨标准煤</w:t>
            </w:r>
            <w:r>
              <w:rPr>
                <w:rFonts w:ascii="Times New Roman" w:hAnsi="Times New Roman"/>
                <w:kern w:val="0"/>
                <w:sz w:val="18"/>
                <w:szCs w:val="18"/>
              </w:rPr>
              <w:t>/</w:t>
            </w:r>
            <w:r>
              <w:rPr>
                <w:rFonts w:ascii="宋体" w:hAnsi="宋体"/>
                <w:kern w:val="0"/>
                <w:sz w:val="18"/>
                <w:szCs w:val="18"/>
              </w:rPr>
              <w:t>百万千焦</w:t>
            </w:r>
          </w:p>
        </w:tc>
      </w:tr>
      <w:tr w:rsidR="00C34226" w14:paraId="6F434E48" w14:textId="77777777">
        <w:trPr>
          <w:trHeight w:hRule="exact" w:val="284"/>
          <w:jc w:val="center"/>
        </w:trPr>
        <w:tc>
          <w:tcPr>
            <w:tcW w:w="1585" w:type="pct"/>
            <w:shd w:val="clear" w:color="auto" w:fill="auto"/>
            <w:vAlign w:val="center"/>
          </w:tcPr>
          <w:p w14:paraId="078F9842"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工业废料（用于燃料）</w:t>
            </w:r>
          </w:p>
        </w:tc>
        <w:tc>
          <w:tcPr>
            <w:tcW w:w="1561" w:type="pct"/>
            <w:shd w:val="clear" w:color="auto" w:fill="auto"/>
            <w:vAlign w:val="center"/>
          </w:tcPr>
          <w:p w14:paraId="2AD0D406"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3000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2862BEED"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0.4285</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7C41BDE2" w14:textId="77777777">
        <w:trPr>
          <w:trHeight w:hRule="exact" w:val="284"/>
          <w:jc w:val="center"/>
        </w:trPr>
        <w:tc>
          <w:tcPr>
            <w:tcW w:w="1585" w:type="pct"/>
            <w:shd w:val="clear" w:color="auto" w:fill="auto"/>
            <w:vAlign w:val="center"/>
          </w:tcPr>
          <w:p w14:paraId="041F053D"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燃料甲醇</w:t>
            </w:r>
          </w:p>
        </w:tc>
        <w:tc>
          <w:tcPr>
            <w:tcW w:w="1561" w:type="pct"/>
            <w:shd w:val="clear" w:color="auto" w:fill="auto"/>
            <w:vAlign w:val="center"/>
          </w:tcPr>
          <w:p w14:paraId="3518A9FC"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5426</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0E3E0490"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0.7751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68F15239" w14:textId="77777777">
        <w:trPr>
          <w:trHeight w:hRule="exact" w:val="284"/>
          <w:jc w:val="center"/>
        </w:trPr>
        <w:tc>
          <w:tcPr>
            <w:tcW w:w="1585" w:type="pct"/>
            <w:shd w:val="clear" w:color="auto" w:fill="auto"/>
            <w:vAlign w:val="center"/>
          </w:tcPr>
          <w:p w14:paraId="011E8270"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生物乙醇</w:t>
            </w:r>
          </w:p>
        </w:tc>
        <w:tc>
          <w:tcPr>
            <w:tcW w:w="1561" w:type="pct"/>
            <w:shd w:val="clear" w:color="auto" w:fill="auto"/>
            <w:vAlign w:val="center"/>
          </w:tcPr>
          <w:p w14:paraId="0A7EB591"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6500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3A083BF7"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0.9286</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24783C5B" w14:textId="77777777">
        <w:trPr>
          <w:trHeight w:hRule="exact" w:val="284"/>
          <w:jc w:val="center"/>
        </w:trPr>
        <w:tc>
          <w:tcPr>
            <w:tcW w:w="1585" w:type="pct"/>
            <w:shd w:val="clear" w:color="auto" w:fill="auto"/>
            <w:vAlign w:val="center"/>
          </w:tcPr>
          <w:p w14:paraId="0CEC54FD" w14:textId="77777777" w:rsidR="00C34226" w:rsidRDefault="00000000">
            <w:pPr>
              <w:widowControl/>
              <w:adjustRightInd/>
              <w:spacing w:line="240" w:lineRule="auto"/>
              <w:jc w:val="center"/>
              <w:rPr>
                <w:rFonts w:ascii="Times New Roman" w:hAnsi="Times New Roman"/>
                <w:kern w:val="0"/>
                <w:sz w:val="18"/>
                <w:szCs w:val="18"/>
                <w:highlight w:val="yellow"/>
              </w:rPr>
            </w:pPr>
            <w:r>
              <w:rPr>
                <w:rFonts w:ascii="宋体" w:hAnsi="宋体"/>
                <w:kern w:val="0"/>
                <w:sz w:val="18"/>
                <w:szCs w:val="18"/>
              </w:rPr>
              <w:t>生物柴油</w:t>
            </w:r>
          </w:p>
        </w:tc>
        <w:tc>
          <w:tcPr>
            <w:tcW w:w="1561" w:type="pct"/>
            <w:shd w:val="clear" w:color="auto" w:fill="auto"/>
            <w:vAlign w:val="center"/>
          </w:tcPr>
          <w:p w14:paraId="6185202F"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10200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4B30A6B5"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1.4571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6816B871" w14:textId="77777777">
        <w:trPr>
          <w:trHeight w:hRule="exact" w:val="284"/>
          <w:jc w:val="center"/>
        </w:trPr>
        <w:tc>
          <w:tcPr>
            <w:tcW w:w="1585" w:type="pct"/>
            <w:vMerge w:val="restart"/>
            <w:shd w:val="clear" w:color="auto" w:fill="auto"/>
            <w:vAlign w:val="center"/>
          </w:tcPr>
          <w:p w14:paraId="33B0374A"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氢气</w:t>
            </w:r>
          </w:p>
        </w:tc>
        <w:tc>
          <w:tcPr>
            <w:tcW w:w="1561" w:type="pct"/>
            <w:vMerge w:val="restart"/>
            <w:shd w:val="clear" w:color="auto" w:fill="auto"/>
            <w:vAlign w:val="center"/>
          </w:tcPr>
          <w:p w14:paraId="0A45EF9F"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142000</w:t>
            </w:r>
            <w:r>
              <w:rPr>
                <w:rFonts w:ascii="宋体" w:hAnsi="宋体"/>
                <w:kern w:val="0"/>
                <w:sz w:val="18"/>
                <w:szCs w:val="18"/>
              </w:rPr>
              <w:t>千焦耳</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38066328"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4.8512</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5F816558" w14:textId="77777777">
        <w:trPr>
          <w:trHeight w:hRule="exact" w:val="284"/>
          <w:jc w:val="center"/>
        </w:trPr>
        <w:tc>
          <w:tcPr>
            <w:tcW w:w="0" w:type="auto"/>
            <w:vMerge/>
            <w:shd w:val="clear" w:color="auto" w:fill="auto"/>
            <w:vAlign w:val="center"/>
          </w:tcPr>
          <w:p w14:paraId="4AAEA8C2" w14:textId="77777777" w:rsidR="00C34226" w:rsidRDefault="00C34226">
            <w:pPr>
              <w:widowControl/>
              <w:adjustRightInd/>
              <w:spacing w:line="240" w:lineRule="auto"/>
              <w:jc w:val="left"/>
              <w:rPr>
                <w:rFonts w:ascii="Times New Roman" w:hAnsi="Times New Roman"/>
                <w:kern w:val="0"/>
                <w:sz w:val="18"/>
                <w:szCs w:val="18"/>
              </w:rPr>
            </w:pPr>
          </w:p>
        </w:tc>
        <w:tc>
          <w:tcPr>
            <w:tcW w:w="0" w:type="auto"/>
            <w:vMerge/>
            <w:shd w:val="clear" w:color="auto" w:fill="auto"/>
            <w:vAlign w:val="center"/>
          </w:tcPr>
          <w:p w14:paraId="298CEEEC" w14:textId="77777777" w:rsidR="00C34226" w:rsidRDefault="00C34226">
            <w:pPr>
              <w:widowControl/>
              <w:adjustRightInd/>
              <w:spacing w:line="240" w:lineRule="auto"/>
              <w:jc w:val="left"/>
              <w:rPr>
                <w:rFonts w:ascii="Times New Roman" w:hAnsi="Times New Roman"/>
                <w:kern w:val="0"/>
                <w:sz w:val="18"/>
                <w:szCs w:val="18"/>
              </w:rPr>
            </w:pPr>
          </w:p>
        </w:tc>
        <w:tc>
          <w:tcPr>
            <w:tcW w:w="1854" w:type="pct"/>
            <w:shd w:val="clear" w:color="auto" w:fill="auto"/>
            <w:vAlign w:val="center"/>
          </w:tcPr>
          <w:p w14:paraId="1EB6A269"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0.4361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1D57C00A" w14:textId="77777777">
        <w:trPr>
          <w:trHeight w:hRule="exact" w:val="284"/>
          <w:jc w:val="center"/>
        </w:trPr>
        <w:tc>
          <w:tcPr>
            <w:tcW w:w="1585" w:type="pct"/>
            <w:shd w:val="clear" w:color="auto" w:fill="auto"/>
            <w:vAlign w:val="center"/>
          </w:tcPr>
          <w:p w14:paraId="0219BA96"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沼气</w:t>
            </w:r>
          </w:p>
        </w:tc>
        <w:tc>
          <w:tcPr>
            <w:tcW w:w="1561" w:type="pct"/>
            <w:shd w:val="clear" w:color="auto" w:fill="auto"/>
            <w:vAlign w:val="center"/>
          </w:tcPr>
          <w:p w14:paraId="3017C943"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5500—5800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立方米</w:t>
            </w:r>
          </w:p>
        </w:tc>
        <w:tc>
          <w:tcPr>
            <w:tcW w:w="1854" w:type="pct"/>
            <w:shd w:val="clear" w:color="auto" w:fill="auto"/>
            <w:vAlign w:val="center"/>
          </w:tcPr>
          <w:p w14:paraId="1B90CEBC"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0.7857-0.8286</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立方米</w:t>
            </w:r>
          </w:p>
        </w:tc>
      </w:tr>
      <w:tr w:rsidR="00C34226" w14:paraId="16E5A0E7" w14:textId="77777777">
        <w:trPr>
          <w:trHeight w:hRule="exact" w:val="284"/>
          <w:jc w:val="center"/>
        </w:trPr>
        <w:tc>
          <w:tcPr>
            <w:tcW w:w="1585" w:type="pct"/>
            <w:shd w:val="clear" w:color="auto" w:fill="auto"/>
            <w:vAlign w:val="center"/>
          </w:tcPr>
          <w:p w14:paraId="4A6F0CE2"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蔗渣（干）</w:t>
            </w:r>
          </w:p>
        </w:tc>
        <w:tc>
          <w:tcPr>
            <w:tcW w:w="1561" w:type="pct"/>
            <w:shd w:val="clear" w:color="auto" w:fill="auto"/>
            <w:vAlign w:val="center"/>
          </w:tcPr>
          <w:p w14:paraId="214E1E5C"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3500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4CEF643F"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0.5000</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19203742" w14:textId="77777777">
        <w:trPr>
          <w:trHeight w:hRule="exact" w:val="284"/>
          <w:jc w:val="center"/>
        </w:trPr>
        <w:tc>
          <w:tcPr>
            <w:tcW w:w="1585" w:type="pct"/>
            <w:shd w:val="clear" w:color="auto" w:fill="auto"/>
            <w:vAlign w:val="center"/>
          </w:tcPr>
          <w:p w14:paraId="025A737F"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树皮</w:t>
            </w:r>
          </w:p>
        </w:tc>
        <w:tc>
          <w:tcPr>
            <w:tcW w:w="1561" w:type="pct"/>
            <w:shd w:val="clear" w:color="auto" w:fill="auto"/>
            <w:vAlign w:val="center"/>
          </w:tcPr>
          <w:p w14:paraId="630D7DBE"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2700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179DBB1E"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0.3857</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7C72D5D1" w14:textId="77777777">
        <w:trPr>
          <w:trHeight w:hRule="exact" w:val="284"/>
          <w:jc w:val="center"/>
        </w:trPr>
        <w:tc>
          <w:tcPr>
            <w:tcW w:w="1585" w:type="pct"/>
            <w:shd w:val="clear" w:color="auto" w:fill="auto"/>
            <w:vAlign w:val="center"/>
          </w:tcPr>
          <w:p w14:paraId="03F48BCA"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玉米棒</w:t>
            </w:r>
          </w:p>
        </w:tc>
        <w:tc>
          <w:tcPr>
            <w:tcW w:w="1561" w:type="pct"/>
            <w:shd w:val="clear" w:color="auto" w:fill="auto"/>
            <w:vAlign w:val="center"/>
          </w:tcPr>
          <w:p w14:paraId="57A36952"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4600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330C5DAF"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0.6571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384BB2B2" w14:textId="77777777">
        <w:trPr>
          <w:trHeight w:hRule="exact" w:val="284"/>
          <w:jc w:val="center"/>
        </w:trPr>
        <w:tc>
          <w:tcPr>
            <w:tcW w:w="1585" w:type="pct"/>
            <w:shd w:val="clear" w:color="auto" w:fill="auto"/>
            <w:vAlign w:val="center"/>
          </w:tcPr>
          <w:p w14:paraId="5C81AB8F"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薪柴（干）</w:t>
            </w:r>
          </w:p>
        </w:tc>
        <w:tc>
          <w:tcPr>
            <w:tcW w:w="1561" w:type="pct"/>
            <w:shd w:val="clear" w:color="auto" w:fill="auto"/>
            <w:vAlign w:val="center"/>
          </w:tcPr>
          <w:p w14:paraId="759F77DE"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3000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01C68793"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0.4286</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7508005B" w14:textId="77777777">
        <w:trPr>
          <w:trHeight w:hRule="exact" w:val="284"/>
          <w:jc w:val="center"/>
        </w:trPr>
        <w:tc>
          <w:tcPr>
            <w:tcW w:w="1585" w:type="pct"/>
            <w:shd w:val="clear" w:color="auto" w:fill="auto"/>
            <w:vAlign w:val="center"/>
          </w:tcPr>
          <w:p w14:paraId="4B133B85"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稻壳</w:t>
            </w:r>
          </w:p>
        </w:tc>
        <w:tc>
          <w:tcPr>
            <w:tcW w:w="1561" w:type="pct"/>
            <w:shd w:val="clear" w:color="auto" w:fill="auto"/>
            <w:vAlign w:val="center"/>
          </w:tcPr>
          <w:p w14:paraId="3BDF3A87"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3200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7DD52561"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0.4571</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r w:rsidR="00C34226" w14:paraId="00BCBC67" w14:textId="77777777">
        <w:trPr>
          <w:trHeight w:hRule="exact" w:val="284"/>
          <w:jc w:val="center"/>
        </w:trPr>
        <w:tc>
          <w:tcPr>
            <w:tcW w:w="1585" w:type="pct"/>
            <w:shd w:val="clear" w:color="auto" w:fill="auto"/>
            <w:vAlign w:val="center"/>
          </w:tcPr>
          <w:p w14:paraId="4F02A8A8"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锯末刨花</w:t>
            </w:r>
          </w:p>
        </w:tc>
        <w:tc>
          <w:tcPr>
            <w:tcW w:w="1561" w:type="pct"/>
            <w:shd w:val="clear" w:color="auto" w:fill="auto"/>
            <w:vAlign w:val="center"/>
          </w:tcPr>
          <w:p w14:paraId="340D09C7" w14:textId="77777777" w:rsidR="00C34226" w:rsidRDefault="00000000">
            <w:pPr>
              <w:widowControl/>
              <w:adjustRightInd/>
              <w:spacing w:line="240" w:lineRule="auto"/>
              <w:jc w:val="center"/>
              <w:rPr>
                <w:rFonts w:ascii="Times New Roman" w:hAnsi="Times New Roman"/>
                <w:kern w:val="0"/>
                <w:sz w:val="18"/>
                <w:szCs w:val="18"/>
              </w:rPr>
            </w:pPr>
            <w:r>
              <w:rPr>
                <w:rFonts w:ascii="宋体" w:hAnsi="宋体"/>
                <w:kern w:val="0"/>
                <w:sz w:val="18"/>
                <w:szCs w:val="18"/>
              </w:rPr>
              <w:t>约</w:t>
            </w:r>
            <w:r>
              <w:rPr>
                <w:rFonts w:ascii="Times New Roman" w:hAnsi="Times New Roman"/>
                <w:kern w:val="0"/>
                <w:sz w:val="18"/>
                <w:szCs w:val="18"/>
              </w:rPr>
              <w:t>2700</w:t>
            </w:r>
            <w:r>
              <w:rPr>
                <w:rFonts w:ascii="宋体" w:hAnsi="宋体"/>
                <w:kern w:val="0"/>
                <w:sz w:val="18"/>
                <w:szCs w:val="18"/>
              </w:rPr>
              <w:t>千卡</w:t>
            </w:r>
            <w:r>
              <w:rPr>
                <w:rFonts w:ascii="Times New Roman" w:hAnsi="Times New Roman"/>
                <w:kern w:val="0"/>
                <w:sz w:val="18"/>
                <w:szCs w:val="18"/>
              </w:rPr>
              <w:t>/</w:t>
            </w:r>
            <w:r>
              <w:rPr>
                <w:rFonts w:ascii="宋体" w:hAnsi="宋体"/>
                <w:kern w:val="0"/>
                <w:sz w:val="18"/>
                <w:szCs w:val="18"/>
              </w:rPr>
              <w:t>千克</w:t>
            </w:r>
          </w:p>
        </w:tc>
        <w:tc>
          <w:tcPr>
            <w:tcW w:w="1854" w:type="pct"/>
            <w:shd w:val="clear" w:color="auto" w:fill="auto"/>
            <w:vAlign w:val="center"/>
          </w:tcPr>
          <w:p w14:paraId="733CDB7A" w14:textId="77777777" w:rsidR="00C34226" w:rsidRDefault="00000000">
            <w:pPr>
              <w:widowControl/>
              <w:adjustRightInd/>
              <w:spacing w:line="240" w:lineRule="auto"/>
              <w:jc w:val="center"/>
              <w:rPr>
                <w:rFonts w:ascii="Times New Roman" w:hAnsi="Times New Roman"/>
                <w:kern w:val="0"/>
                <w:sz w:val="18"/>
                <w:szCs w:val="18"/>
              </w:rPr>
            </w:pPr>
            <w:r>
              <w:rPr>
                <w:rFonts w:ascii="Times New Roman" w:hAnsi="Times New Roman"/>
                <w:kern w:val="0"/>
                <w:sz w:val="18"/>
                <w:szCs w:val="18"/>
              </w:rPr>
              <w:t>0.3857</w:t>
            </w:r>
            <w:r>
              <w:rPr>
                <w:rFonts w:ascii="宋体" w:hAnsi="宋体"/>
                <w:kern w:val="0"/>
                <w:sz w:val="18"/>
                <w:szCs w:val="18"/>
              </w:rPr>
              <w:t>千克标准煤</w:t>
            </w:r>
            <w:r>
              <w:rPr>
                <w:rFonts w:ascii="Times New Roman" w:hAnsi="Times New Roman"/>
                <w:kern w:val="0"/>
                <w:sz w:val="18"/>
                <w:szCs w:val="18"/>
              </w:rPr>
              <w:t>/</w:t>
            </w:r>
            <w:r>
              <w:rPr>
                <w:rFonts w:ascii="宋体" w:hAnsi="宋体"/>
                <w:kern w:val="0"/>
                <w:sz w:val="18"/>
                <w:szCs w:val="18"/>
              </w:rPr>
              <w:t>千克</w:t>
            </w:r>
          </w:p>
        </w:tc>
      </w:tr>
    </w:tbl>
    <w:p w14:paraId="6394703E" w14:textId="77777777" w:rsidR="00C34226" w:rsidRDefault="00C34226">
      <w:pPr>
        <w:pStyle w:val="affffff0"/>
        <w:spacing w:line="240" w:lineRule="auto"/>
        <w:ind w:firstLine="420"/>
      </w:pPr>
    </w:p>
    <w:p w14:paraId="50A2D689" w14:textId="77777777" w:rsidR="00C34226" w:rsidRDefault="00C34226">
      <w:pPr>
        <w:pStyle w:val="affffff0"/>
        <w:spacing w:line="240" w:lineRule="auto"/>
        <w:ind w:firstLine="420"/>
      </w:pPr>
    </w:p>
    <w:p w14:paraId="120D2D2C" w14:textId="77777777" w:rsidR="00C34226" w:rsidRDefault="00C34226">
      <w:pPr>
        <w:pStyle w:val="affffff0"/>
        <w:spacing w:line="240" w:lineRule="auto"/>
        <w:ind w:firstLine="420"/>
      </w:pPr>
    </w:p>
    <w:p w14:paraId="1E8ABDF0" w14:textId="77777777" w:rsidR="00C34226" w:rsidRDefault="00000000">
      <w:pPr>
        <w:pStyle w:val="affffff0"/>
        <w:spacing w:line="240" w:lineRule="auto"/>
        <w:ind w:firstLine="420"/>
      </w:pPr>
      <w:r>
        <w:br w:type="page"/>
      </w:r>
    </w:p>
    <w:p w14:paraId="4BA56891" w14:textId="77777777" w:rsidR="00C34226" w:rsidRDefault="00000000">
      <w:pPr>
        <w:pStyle w:val="aff9"/>
        <w:spacing w:after="156" w:line="240" w:lineRule="auto"/>
      </w:pPr>
      <w:r>
        <w:lastRenderedPageBreak/>
        <w:br/>
      </w:r>
      <w:bookmarkStart w:id="155" w:name="_Toc184132536"/>
      <w:bookmarkStart w:id="156" w:name="_Toc192173518"/>
      <w:r>
        <w:rPr>
          <w:rFonts w:hint="eastAsia"/>
        </w:rPr>
        <w:t>（规范性）</w:t>
      </w:r>
      <w:r>
        <w:br/>
      </w:r>
      <w:r>
        <w:rPr>
          <w:rFonts w:hint="eastAsia"/>
        </w:rPr>
        <w:t>主要能源资源消耗指标计算方法</w:t>
      </w:r>
      <w:bookmarkEnd w:id="155"/>
      <w:bookmarkEnd w:id="156"/>
    </w:p>
    <w:p w14:paraId="23A96E5A" w14:textId="77777777" w:rsidR="00C34226" w:rsidRDefault="00000000">
      <w:pPr>
        <w:pStyle w:val="affc"/>
        <w:numPr>
          <w:ilvl w:val="0"/>
          <w:numId w:val="0"/>
        </w:numPr>
        <w:spacing w:before="156" w:after="156" w:line="240" w:lineRule="auto"/>
        <w:outlineLvl w:val="9"/>
      </w:pPr>
      <w:r>
        <w:rPr>
          <w:rFonts w:hint="eastAsia"/>
        </w:rPr>
        <w:t>D.1 一般性要求</w:t>
      </w:r>
    </w:p>
    <w:p w14:paraId="35FB26D9" w14:textId="77777777" w:rsidR="00C34226" w:rsidRDefault="00000000">
      <w:pPr>
        <w:pStyle w:val="affc"/>
        <w:numPr>
          <w:ilvl w:val="0"/>
          <w:numId w:val="0"/>
        </w:numPr>
        <w:spacing w:beforeLines="0" w:before="0" w:afterLines="0" w:after="0" w:line="240" w:lineRule="auto"/>
        <w:outlineLvl w:val="9"/>
        <w:rPr>
          <w:rFonts w:ascii="宋体" w:eastAsia="宋体"/>
          <w:kern w:val="0"/>
        </w:rPr>
      </w:pPr>
      <w:r>
        <w:rPr>
          <w:rFonts w:hint="eastAsia"/>
        </w:rPr>
        <w:t>D.1.1</w:t>
      </w:r>
      <w:r>
        <w:rPr>
          <w:rFonts w:ascii="宋体" w:eastAsia="宋体" w:hint="eastAsia"/>
          <w:kern w:val="0"/>
        </w:rPr>
        <w:t>水作为资源类进行统计，消耗量应列为资源消耗，不计入综合能耗。</w:t>
      </w:r>
    </w:p>
    <w:p w14:paraId="7F0E167D" w14:textId="77777777" w:rsidR="00C34226" w:rsidRDefault="00000000">
      <w:pPr>
        <w:pStyle w:val="affc"/>
        <w:numPr>
          <w:ilvl w:val="0"/>
          <w:numId w:val="0"/>
        </w:numPr>
        <w:spacing w:beforeLines="0" w:before="0" w:afterLines="0" w:after="0" w:line="240" w:lineRule="auto"/>
        <w:outlineLvl w:val="9"/>
        <w:rPr>
          <w:rFonts w:ascii="宋体" w:eastAsia="宋体"/>
          <w:kern w:val="0"/>
        </w:rPr>
      </w:pPr>
      <w:r>
        <w:rPr>
          <w:rFonts w:hint="eastAsia"/>
        </w:rPr>
        <w:t>D.1.2</w:t>
      </w:r>
      <w:r>
        <w:rPr>
          <w:rFonts w:ascii="宋体" w:eastAsia="宋体" w:hint="eastAsia"/>
          <w:kern w:val="0"/>
        </w:rPr>
        <w:t>交通工具用能在计算人均综合能耗时应计入统计，在计算单位建筑面积综合能耗时不计入统计。</w:t>
      </w:r>
    </w:p>
    <w:p w14:paraId="5A81BA6F" w14:textId="77777777" w:rsidR="00C34226" w:rsidRDefault="00000000">
      <w:pPr>
        <w:pStyle w:val="affc"/>
        <w:numPr>
          <w:ilvl w:val="0"/>
          <w:numId w:val="0"/>
        </w:numPr>
        <w:spacing w:before="156" w:after="156" w:line="240" w:lineRule="auto"/>
        <w:outlineLvl w:val="9"/>
      </w:pPr>
      <w:r>
        <w:rPr>
          <w:rFonts w:hint="eastAsia"/>
        </w:rPr>
        <w:t>D.2 计算公式</w:t>
      </w:r>
    </w:p>
    <w:p w14:paraId="3DDA2C6F" w14:textId="77777777" w:rsidR="00C34226" w:rsidRDefault="00000000">
      <w:pPr>
        <w:pStyle w:val="affffff0"/>
        <w:spacing w:beforeLines="50" w:before="156" w:afterLines="50" w:after="156" w:line="240" w:lineRule="auto"/>
        <w:ind w:firstLineChars="0" w:firstLine="0"/>
        <w:rPr>
          <w:rFonts w:ascii="黑体" w:eastAsia="黑体"/>
          <w:kern w:val="21"/>
        </w:rPr>
      </w:pPr>
      <w:r>
        <w:rPr>
          <w:rFonts w:ascii="黑体" w:eastAsia="黑体" w:hint="eastAsia"/>
          <w:kern w:val="21"/>
        </w:rPr>
        <w:t>D.2.1 综合能耗</w:t>
      </w:r>
    </w:p>
    <w:p w14:paraId="75E77EAE" w14:textId="77777777" w:rsidR="00C34226" w:rsidRDefault="00000000">
      <w:pPr>
        <w:pStyle w:val="affffff0"/>
        <w:spacing w:after="0" w:line="240" w:lineRule="auto"/>
        <w:ind w:firstLine="420"/>
      </w:pPr>
      <w:r>
        <w:rPr>
          <w:rFonts w:hint="eastAsia"/>
        </w:rPr>
        <w:t>公共机构运行过程中，一个统计周期内，实际消耗的各种能源实物量按规定的计算方法折算后的总和，单位为千克标准煤（kgce），按公式(D.1)计算：</w:t>
      </w:r>
    </w:p>
    <w:p w14:paraId="4CF3C9AE" w14:textId="77777777" w:rsidR="00C34226" w:rsidRDefault="00000000">
      <w:pPr>
        <w:pStyle w:val="affffff0"/>
        <w:spacing w:after="0" w:line="240" w:lineRule="auto"/>
        <w:ind w:firstLineChars="0" w:firstLine="0"/>
        <w:jc w:val="right"/>
      </w:pPr>
      <m:oMath>
        <m:r>
          <w:rPr>
            <w:rFonts w:ascii="Cambria Math" w:eastAsia="Cambria Math" w:hAnsi="Cambria Math" w:cs="Cambria Math"/>
            <w:szCs w:val="21"/>
          </w:rPr>
          <m:t>E=</m:t>
        </m:r>
        <m:nary>
          <m:naryPr>
            <m:chr m:val="∑"/>
            <m:limLoc m:val="subSup"/>
            <m:ctrlPr>
              <w:rPr>
                <w:rFonts w:ascii="Cambria Math" w:eastAsia="Cambria Math" w:hAnsi="Cambria Math" w:cs="Cambria Math"/>
                <w:i/>
                <w:szCs w:val="21"/>
              </w:rPr>
            </m:ctrlPr>
          </m:naryPr>
          <m:sub>
            <m:r>
              <w:rPr>
                <w:rFonts w:ascii="Cambria Math" w:eastAsia="Cambria Math" w:hAnsi="Cambria Math" w:cs="Cambria Math"/>
                <w:szCs w:val="21"/>
              </w:rPr>
              <m:t>i=1</m:t>
            </m:r>
          </m:sub>
          <m:sup>
            <m:r>
              <w:rPr>
                <w:rFonts w:ascii="Cambria Math" w:eastAsia="Cambria Math" w:hAnsi="Cambria Math" w:cs="Cambria Math"/>
                <w:szCs w:val="21"/>
              </w:rPr>
              <m:t>n</m:t>
            </m:r>
          </m:sup>
          <m:e>
            <m:r>
              <w:rPr>
                <w:rFonts w:ascii="Cambria Math" w:eastAsia="Cambria Math" w:hAnsi="Cambria Math" w:cs="Cambria Math"/>
                <w:szCs w:val="21"/>
              </w:rPr>
              <m:t>(</m:t>
            </m:r>
            <m:sSub>
              <m:sSubPr>
                <m:ctrlPr>
                  <w:rPr>
                    <w:rFonts w:ascii="Cambria Math" w:eastAsia="Cambria Math" w:hAnsi="Cambria Math" w:cs="Cambria Math"/>
                    <w:i/>
                    <w:szCs w:val="21"/>
                  </w:rPr>
                </m:ctrlPr>
              </m:sSubPr>
              <m:e>
                <m:r>
                  <w:rPr>
                    <w:rFonts w:ascii="Cambria Math" w:eastAsia="Cambria Math" w:hAnsi="Cambria Math" w:cs="Cambria Math"/>
                    <w:szCs w:val="21"/>
                  </w:rPr>
                  <m:t>E</m:t>
                </m:r>
              </m:e>
              <m:sub>
                <m:r>
                  <w:rPr>
                    <w:rFonts w:ascii="Cambria Math" w:eastAsia="Cambria Math" w:hAnsi="Cambria Math" w:cs="Cambria Math"/>
                    <w:szCs w:val="21"/>
                  </w:rPr>
                  <m:t>i</m:t>
                </m:r>
              </m:sub>
            </m:sSub>
            <m:r>
              <m:rPr>
                <m:sty m:val="p"/>
              </m:rPr>
              <w:rPr>
                <w:rFonts w:ascii="Cambria Math" w:eastAsia="Cambria Math" w:hAnsi="Cambria Math" w:cs="Cambria Math"/>
                <w:szCs w:val="21"/>
              </w:rPr>
              <m:t>×</m:t>
            </m:r>
            <m:sSub>
              <m:sSubPr>
                <m:ctrlPr>
                  <w:rPr>
                    <w:rFonts w:ascii="Cambria Math" w:eastAsia="Cambria Math" w:hAnsi="Cambria Math" w:cs="Cambria Math"/>
                    <w:szCs w:val="21"/>
                  </w:rPr>
                </m:ctrlPr>
              </m:sSubPr>
              <m:e>
                <m:r>
                  <w:rPr>
                    <w:rFonts w:ascii="Cambria Math" w:eastAsia="Cambria Math" w:hAnsi="Cambria Math" w:cs="Cambria Math"/>
                    <w:szCs w:val="21"/>
                  </w:rPr>
                  <m:t>k</m:t>
                </m:r>
              </m:e>
              <m:sub>
                <m:r>
                  <w:rPr>
                    <w:rFonts w:ascii="Cambria Math" w:eastAsia="Cambria Math" w:hAnsi="Cambria Math" w:cs="Cambria Math"/>
                    <w:szCs w:val="21"/>
                  </w:rPr>
                  <m:t>i</m:t>
                </m:r>
              </m:sub>
            </m:sSub>
            <m:r>
              <w:rPr>
                <w:rFonts w:ascii="Cambria Math" w:eastAsia="Cambria Math" w:hAnsi="Cambria Math"/>
                <w:szCs w:val="21"/>
              </w:rPr>
              <m:t xml:space="preserve"> </m:t>
            </m:r>
          </m:e>
        </m:nary>
        <m:r>
          <w:rPr>
            <w:rFonts w:ascii="Cambria Math" w:eastAsia="Cambria Math" w:hAnsi="Cambria Math"/>
            <w:szCs w:val="21"/>
          </w:rPr>
          <m:t xml:space="preserve">)                                                                                    </m:t>
        </m:r>
      </m:oMath>
      <w:r>
        <w:rPr>
          <w:rFonts w:hint="eastAsia"/>
        </w:rPr>
        <w:t>(D.1)</w:t>
      </w:r>
    </w:p>
    <w:p w14:paraId="3F8CE46A" w14:textId="77777777" w:rsidR="00C34226" w:rsidRDefault="00000000">
      <w:pPr>
        <w:widowControl/>
        <w:autoSpaceDE w:val="0"/>
        <w:autoSpaceDN w:val="0"/>
        <w:spacing w:after="0" w:line="240" w:lineRule="auto"/>
        <w:ind w:left="448"/>
        <w:jc w:val="left"/>
        <w:rPr>
          <w:rFonts w:ascii="宋体" w:hAnsi="宋体" w:hint="eastAsia"/>
        </w:rPr>
      </w:pPr>
      <w:r>
        <w:rPr>
          <w:rFonts w:ascii="宋体" w:hAnsi="宋体"/>
          <w:color w:val="000000"/>
        </w:rPr>
        <w:t>式中</w:t>
      </w:r>
      <w:r>
        <w:rPr>
          <w:rFonts w:ascii="宋体" w:hAnsi="宋体"/>
          <w:color w:val="000000"/>
          <w:spacing w:val="-4"/>
        </w:rPr>
        <w:t>：</w:t>
      </w:r>
      <w:r>
        <w:rPr>
          <w:rFonts w:ascii="宋体" w:hAnsi="宋体"/>
          <w:color w:val="000000"/>
        </w:rPr>
        <w:t xml:space="preserve"> </w:t>
      </w:r>
    </w:p>
    <w:p w14:paraId="1B2385EF" w14:textId="77777777" w:rsidR="00C34226" w:rsidRDefault="00000000">
      <w:pPr>
        <w:widowControl/>
        <w:autoSpaceDE w:val="0"/>
        <w:autoSpaceDN w:val="0"/>
        <w:spacing w:after="0" w:line="240" w:lineRule="auto"/>
        <w:ind w:left="448"/>
        <w:jc w:val="left"/>
        <w:rPr>
          <w:rFonts w:ascii="宋体" w:hAnsi="宋体" w:hint="eastAsia"/>
        </w:rPr>
      </w:pPr>
      <m:oMath>
        <m:r>
          <w:rPr>
            <w:rFonts w:ascii="Cambria Math" w:eastAsia="Cambria Math" w:hAnsi="Cambria Math" w:cs="Cambria Math"/>
          </w:rPr>
          <m:t>E</m:t>
        </m:r>
      </m:oMath>
      <w:r>
        <w:rPr>
          <w:rFonts w:ascii="LfX3I1UR+TimesNewRomanPSMT" w:eastAsia="LfX3I1UR+TimesNewRomanPSMT" w:hAnsi="LfX3I1UR+TimesNewRomanPSMT"/>
          <w:color w:val="000000"/>
          <w:spacing w:val="-2"/>
        </w:rPr>
        <w:t>——</w:t>
      </w:r>
      <w:r>
        <w:rPr>
          <w:rFonts w:ascii="宋体" w:hAnsi="宋体"/>
          <w:color w:val="000000"/>
          <w:spacing w:val="-4"/>
        </w:rPr>
        <w:t>综</w:t>
      </w:r>
      <w:r>
        <w:rPr>
          <w:rFonts w:ascii="宋体" w:hAnsi="宋体"/>
          <w:color w:val="000000"/>
        </w:rPr>
        <w:t>合</w:t>
      </w:r>
      <w:r>
        <w:rPr>
          <w:rFonts w:ascii="宋体" w:hAnsi="宋体"/>
          <w:color w:val="000000"/>
          <w:spacing w:val="-4"/>
        </w:rPr>
        <w:t>能</w:t>
      </w:r>
      <w:r>
        <w:rPr>
          <w:rFonts w:ascii="宋体" w:hAnsi="宋体"/>
          <w:color w:val="000000"/>
        </w:rPr>
        <w:t>耗</w:t>
      </w:r>
      <w:r>
        <w:rPr>
          <w:rFonts w:ascii="宋体" w:hAnsi="宋体"/>
          <w:color w:val="000000"/>
          <w:spacing w:val="-4"/>
        </w:rPr>
        <w:t>，</w:t>
      </w:r>
      <w:r>
        <w:rPr>
          <w:rFonts w:ascii="宋体" w:hAnsi="宋体"/>
          <w:color w:val="000000"/>
        </w:rPr>
        <w:t>单</w:t>
      </w:r>
      <w:r>
        <w:rPr>
          <w:rFonts w:ascii="宋体" w:hAnsi="宋体"/>
          <w:color w:val="000000"/>
          <w:spacing w:val="-4"/>
        </w:rPr>
        <w:t>位</w:t>
      </w:r>
      <w:r>
        <w:rPr>
          <w:rFonts w:ascii="宋体" w:hAnsi="宋体"/>
          <w:color w:val="000000"/>
        </w:rPr>
        <w:t>为</w:t>
      </w:r>
      <w:r>
        <w:rPr>
          <w:rFonts w:ascii="宋体" w:hAnsi="宋体"/>
          <w:color w:val="000000"/>
          <w:spacing w:val="-4"/>
        </w:rPr>
        <w:t>千</w:t>
      </w:r>
      <w:r>
        <w:rPr>
          <w:rFonts w:ascii="宋体" w:hAnsi="宋体"/>
          <w:color w:val="000000"/>
        </w:rPr>
        <w:t>克标</w:t>
      </w:r>
      <w:r>
        <w:rPr>
          <w:rFonts w:ascii="宋体" w:hAnsi="宋体"/>
          <w:color w:val="000000"/>
          <w:spacing w:val="-2"/>
        </w:rPr>
        <w:t>准</w:t>
      </w:r>
      <w:r>
        <w:rPr>
          <w:rFonts w:ascii="宋体" w:hAnsi="宋体"/>
          <w:color w:val="000000"/>
        </w:rPr>
        <w:t>煤</w:t>
      </w:r>
      <w:r>
        <w:rPr>
          <w:rFonts w:ascii="宋体" w:hAnsi="宋体"/>
          <w:color w:val="000000"/>
          <w:spacing w:val="-2"/>
        </w:rPr>
        <w:t>（</w:t>
      </w:r>
      <w:r>
        <w:rPr>
          <w:rFonts w:ascii="宋体" w:hAnsi="宋体"/>
          <w:color w:val="000000"/>
        </w:rPr>
        <w:t>kgc</w:t>
      </w:r>
      <w:r>
        <w:rPr>
          <w:rFonts w:ascii="宋体" w:hAnsi="宋体"/>
          <w:color w:val="000000"/>
          <w:spacing w:val="-2"/>
        </w:rPr>
        <w:t>e</w:t>
      </w:r>
      <w:r>
        <w:rPr>
          <w:rFonts w:ascii="宋体" w:hAnsi="宋体"/>
          <w:color w:val="000000"/>
        </w:rPr>
        <w:t>)</w:t>
      </w:r>
      <w:r>
        <w:rPr>
          <w:rFonts w:ascii="宋体" w:hAnsi="宋体"/>
          <w:color w:val="000000"/>
          <w:spacing w:val="-4"/>
        </w:rPr>
        <w:t>；</w:t>
      </w:r>
      <w:r>
        <w:rPr>
          <w:rFonts w:ascii="宋体" w:hAnsi="宋体"/>
          <w:color w:val="000000"/>
        </w:rPr>
        <w:t xml:space="preserve"> </w:t>
      </w:r>
    </w:p>
    <w:p w14:paraId="3CD5E9FB" w14:textId="77777777" w:rsidR="00C34226" w:rsidRDefault="00000000">
      <w:pPr>
        <w:widowControl/>
        <w:autoSpaceDE w:val="0"/>
        <w:autoSpaceDN w:val="0"/>
        <w:spacing w:after="0" w:line="240" w:lineRule="auto"/>
        <w:ind w:left="448"/>
        <w:jc w:val="left"/>
        <w:rPr>
          <w:rFonts w:ascii="宋体" w:hAnsi="宋体" w:hint="eastAsia"/>
        </w:rPr>
      </w:pPr>
      <m:oMath>
        <m:r>
          <w:rPr>
            <w:rFonts w:ascii="Cambria Math" w:eastAsia="Cambria Math" w:hAnsi="Cambria Math" w:cs="Cambria Math"/>
          </w:rPr>
          <m:t>n</m:t>
        </m:r>
      </m:oMath>
      <w:r>
        <w:rPr>
          <w:rFonts w:ascii="LfX3I1UR+TimesNewRomanPSMT" w:eastAsia="LfX3I1UR+TimesNewRomanPSMT" w:hAnsi="LfX3I1UR+TimesNewRomanPSMT"/>
          <w:color w:val="000000"/>
          <w:spacing w:val="-2"/>
        </w:rPr>
        <w:t>——</w:t>
      </w:r>
      <w:r>
        <w:rPr>
          <w:rFonts w:ascii="宋体" w:hAnsi="宋体"/>
          <w:color w:val="000000"/>
          <w:spacing w:val="-4"/>
        </w:rPr>
        <w:t>消</w:t>
      </w:r>
      <w:r>
        <w:rPr>
          <w:rFonts w:ascii="宋体" w:hAnsi="宋体"/>
          <w:color w:val="000000"/>
          <w:spacing w:val="-2"/>
        </w:rPr>
        <w:t>耗</w:t>
      </w:r>
      <w:r>
        <w:rPr>
          <w:rFonts w:ascii="宋体" w:hAnsi="宋体"/>
          <w:color w:val="000000"/>
          <w:spacing w:val="-4"/>
        </w:rPr>
        <w:t>的</w:t>
      </w:r>
      <w:r>
        <w:rPr>
          <w:rFonts w:ascii="宋体" w:hAnsi="宋体"/>
          <w:color w:val="000000"/>
          <w:spacing w:val="-2"/>
        </w:rPr>
        <w:t>能</w:t>
      </w:r>
      <w:r>
        <w:rPr>
          <w:rFonts w:ascii="宋体" w:hAnsi="宋体"/>
          <w:color w:val="000000"/>
          <w:spacing w:val="-4"/>
        </w:rPr>
        <w:t>源</w:t>
      </w:r>
      <w:r>
        <w:rPr>
          <w:rFonts w:ascii="宋体" w:hAnsi="宋体"/>
          <w:color w:val="000000"/>
        </w:rPr>
        <w:t>品</w:t>
      </w:r>
      <w:r>
        <w:rPr>
          <w:rFonts w:ascii="宋体" w:hAnsi="宋体"/>
          <w:color w:val="000000"/>
          <w:spacing w:val="-2"/>
        </w:rPr>
        <w:t>种</w:t>
      </w:r>
      <w:r>
        <w:rPr>
          <w:rFonts w:ascii="宋体" w:hAnsi="宋体"/>
          <w:color w:val="000000"/>
        </w:rPr>
        <w:t>数</w:t>
      </w:r>
      <w:r>
        <w:rPr>
          <w:rFonts w:ascii="宋体" w:hAnsi="宋体"/>
          <w:color w:val="000000"/>
          <w:spacing w:val="-4"/>
        </w:rPr>
        <w:t>量</w:t>
      </w:r>
      <w:r>
        <w:rPr>
          <w:rFonts w:ascii="宋体" w:hAnsi="宋体"/>
          <w:color w:val="000000"/>
        </w:rPr>
        <w:t xml:space="preserve">； </w:t>
      </w:r>
    </w:p>
    <w:p w14:paraId="757E18F3" w14:textId="77777777" w:rsidR="00C34226" w:rsidRDefault="00000000">
      <w:pPr>
        <w:widowControl/>
        <w:autoSpaceDE w:val="0"/>
        <w:autoSpaceDN w:val="0"/>
        <w:spacing w:after="0" w:line="240" w:lineRule="auto"/>
        <w:ind w:left="448"/>
        <w:jc w:val="left"/>
        <w:rPr>
          <w:rFonts w:ascii="宋体" w:hAnsi="宋体" w:hint="eastAsia"/>
        </w:rPr>
      </w:pPr>
      <m:oMath>
        <m:sSub>
          <m:sSubPr>
            <m:ctrlPr>
              <w:rPr>
                <w:rFonts w:ascii="Cambria Math" w:eastAsia="Cambria Math" w:hAnsi="Cambria Math" w:cs="Cambria Math"/>
                <w:i/>
                <w:kern w:val="0"/>
              </w:rPr>
            </m:ctrlPr>
          </m:sSubPr>
          <m:e>
            <m:r>
              <w:rPr>
                <w:rFonts w:ascii="Cambria Math" w:eastAsia="Cambria Math" w:hAnsi="Cambria Math" w:cs="Cambria Math"/>
              </w:rPr>
              <m:t>E</m:t>
            </m:r>
          </m:e>
          <m:sub>
            <m:r>
              <w:rPr>
                <w:rFonts w:ascii="Cambria Math" w:eastAsia="Cambria Math" w:hAnsi="Cambria Math" w:cs="Cambria Math"/>
              </w:rPr>
              <m:t>i</m:t>
            </m:r>
          </m:sub>
        </m:sSub>
      </m:oMath>
      <w:r>
        <w:rPr>
          <w:rFonts w:ascii="LfX3I1UR+TimesNewRomanPSMT" w:eastAsia="LfX3I1UR+TimesNewRomanPSMT" w:hAnsi="LfX3I1UR+TimesNewRomanPSMT"/>
          <w:color w:val="000000"/>
          <w:spacing w:val="-2"/>
        </w:rPr>
        <w:t>——</w:t>
      </w:r>
      <w:r>
        <w:rPr>
          <w:rFonts w:ascii="宋体" w:hAnsi="宋体"/>
          <w:color w:val="000000"/>
          <w:spacing w:val="-4"/>
        </w:rPr>
        <w:t>消</w:t>
      </w:r>
      <w:r>
        <w:rPr>
          <w:rFonts w:ascii="宋体" w:hAnsi="宋体"/>
          <w:color w:val="000000"/>
        </w:rPr>
        <w:t>耗</w:t>
      </w:r>
      <w:r>
        <w:rPr>
          <w:rFonts w:ascii="宋体" w:hAnsi="宋体"/>
          <w:color w:val="000000"/>
          <w:spacing w:val="-4"/>
        </w:rPr>
        <w:t>的</w:t>
      </w:r>
      <w:r>
        <w:rPr>
          <w:rFonts w:ascii="宋体" w:hAnsi="宋体"/>
          <w:color w:val="000000"/>
        </w:rPr>
        <w:t>第</w:t>
      </w:r>
      <w:r>
        <w:rPr>
          <w:rFonts w:ascii="宋体" w:hAnsi="宋体"/>
          <w:color w:val="000000"/>
          <w:spacing w:val="-2"/>
        </w:rPr>
        <w:t>i种能</w:t>
      </w:r>
      <w:r>
        <w:rPr>
          <w:rFonts w:ascii="宋体" w:hAnsi="宋体"/>
          <w:color w:val="000000"/>
        </w:rPr>
        <w:t>源</w:t>
      </w:r>
      <w:r>
        <w:rPr>
          <w:rFonts w:ascii="宋体" w:hAnsi="宋体"/>
          <w:color w:val="000000"/>
          <w:spacing w:val="-2"/>
        </w:rPr>
        <w:t>实</w:t>
      </w:r>
      <w:r>
        <w:rPr>
          <w:rFonts w:ascii="宋体" w:hAnsi="宋体"/>
          <w:color w:val="000000"/>
          <w:spacing w:val="-4"/>
        </w:rPr>
        <w:t>物</w:t>
      </w:r>
      <w:r>
        <w:rPr>
          <w:rFonts w:ascii="宋体" w:hAnsi="宋体"/>
          <w:color w:val="000000"/>
          <w:spacing w:val="-2"/>
        </w:rPr>
        <w:t>量，</w:t>
      </w:r>
      <w:r>
        <w:rPr>
          <w:rFonts w:ascii="宋体" w:hAnsi="宋体"/>
          <w:color w:val="000000"/>
          <w:spacing w:val="-4"/>
        </w:rPr>
        <w:t>单</w:t>
      </w:r>
      <w:r>
        <w:rPr>
          <w:rFonts w:ascii="宋体" w:hAnsi="宋体"/>
          <w:color w:val="000000"/>
          <w:spacing w:val="-2"/>
        </w:rPr>
        <w:t>位为</w:t>
      </w:r>
      <w:r>
        <w:rPr>
          <w:rFonts w:ascii="宋体" w:hAnsi="宋体"/>
          <w:color w:val="000000"/>
        </w:rPr>
        <w:t>各</w:t>
      </w:r>
      <w:r>
        <w:rPr>
          <w:rFonts w:ascii="宋体" w:hAnsi="宋体"/>
          <w:color w:val="000000"/>
          <w:spacing w:val="-2"/>
        </w:rPr>
        <w:t>实物</w:t>
      </w:r>
      <w:r>
        <w:rPr>
          <w:rFonts w:ascii="宋体" w:hAnsi="宋体"/>
          <w:color w:val="000000"/>
          <w:spacing w:val="-4"/>
        </w:rPr>
        <w:t>量</w:t>
      </w:r>
      <w:r>
        <w:rPr>
          <w:rFonts w:ascii="宋体" w:hAnsi="宋体"/>
          <w:color w:val="000000"/>
          <w:spacing w:val="-2"/>
        </w:rPr>
        <w:t>的单</w:t>
      </w:r>
      <w:r>
        <w:rPr>
          <w:rFonts w:ascii="宋体" w:hAnsi="宋体"/>
          <w:color w:val="000000"/>
        </w:rPr>
        <w:t>位</w:t>
      </w:r>
      <w:r>
        <w:rPr>
          <w:rFonts w:ascii="宋体" w:hAnsi="宋体"/>
          <w:color w:val="000000"/>
          <w:spacing w:val="-2"/>
        </w:rPr>
        <w:t>；</w:t>
      </w:r>
      <w:r>
        <w:rPr>
          <w:rFonts w:ascii="宋体" w:hAnsi="宋体"/>
          <w:color w:val="000000"/>
        </w:rPr>
        <w:t xml:space="preserve"> </w:t>
      </w:r>
    </w:p>
    <w:p w14:paraId="01900928" w14:textId="77777777" w:rsidR="00C34226" w:rsidRDefault="00000000">
      <w:pPr>
        <w:widowControl/>
        <w:autoSpaceDE w:val="0"/>
        <w:autoSpaceDN w:val="0"/>
        <w:spacing w:after="0" w:line="240" w:lineRule="auto"/>
        <w:ind w:left="448"/>
        <w:jc w:val="left"/>
        <w:rPr>
          <w:rFonts w:ascii="宋体" w:hAnsi="宋体" w:hint="eastAsia"/>
        </w:rPr>
      </w:pPr>
      <m:oMath>
        <m:sSub>
          <m:sSubPr>
            <m:ctrlPr>
              <w:rPr>
                <w:rFonts w:ascii="Cambria Math" w:eastAsia="Cambria Math" w:hAnsi="Cambria Math" w:cs="Cambria Math"/>
                <w:kern w:val="0"/>
              </w:rPr>
            </m:ctrlPr>
          </m:sSubPr>
          <m:e>
            <m:r>
              <w:rPr>
                <w:rFonts w:ascii="Cambria Math" w:eastAsia="Cambria Math" w:hAnsi="Cambria Math" w:cs="Cambria Math"/>
              </w:rPr>
              <m:t>k</m:t>
            </m:r>
          </m:e>
          <m:sub>
            <m:r>
              <w:rPr>
                <w:rFonts w:ascii="Cambria Math" w:eastAsia="Cambria Math" w:hAnsi="Cambria Math" w:cs="Cambria Math"/>
              </w:rPr>
              <m:t>i</m:t>
            </m:r>
          </m:sub>
        </m:sSub>
      </m:oMath>
      <w:r>
        <w:rPr>
          <w:rFonts w:ascii="LfX3I1UR+TimesNewRomanPSMT" w:eastAsia="LfX3I1UR+TimesNewRomanPSMT" w:hAnsi="LfX3I1UR+TimesNewRomanPSMT"/>
          <w:color w:val="000000"/>
          <w:spacing w:val="-2"/>
        </w:rPr>
        <w:t>——</w:t>
      </w:r>
      <w:r>
        <w:rPr>
          <w:rFonts w:ascii="宋体" w:hAnsi="宋体"/>
          <w:color w:val="000000"/>
          <w:spacing w:val="-4"/>
        </w:rPr>
        <w:t>消</w:t>
      </w:r>
      <w:r>
        <w:rPr>
          <w:rFonts w:ascii="宋体" w:hAnsi="宋体"/>
          <w:color w:val="000000"/>
          <w:spacing w:val="-2"/>
        </w:rPr>
        <w:t>耗</w:t>
      </w:r>
      <w:r>
        <w:rPr>
          <w:rFonts w:ascii="宋体" w:hAnsi="宋体"/>
          <w:color w:val="000000"/>
          <w:spacing w:val="-4"/>
        </w:rPr>
        <w:t>的</w:t>
      </w:r>
      <w:r>
        <w:rPr>
          <w:rFonts w:ascii="宋体" w:hAnsi="宋体"/>
          <w:color w:val="000000"/>
          <w:spacing w:val="-2"/>
        </w:rPr>
        <w:t>第i</w:t>
      </w:r>
      <w:r>
        <w:rPr>
          <w:rFonts w:ascii="宋体" w:hAnsi="宋体"/>
          <w:color w:val="000000"/>
        </w:rPr>
        <w:t>种</w:t>
      </w:r>
      <w:r>
        <w:rPr>
          <w:rFonts w:ascii="宋体" w:hAnsi="宋体"/>
          <w:color w:val="000000"/>
          <w:spacing w:val="-4"/>
        </w:rPr>
        <w:t>能</w:t>
      </w:r>
      <w:r>
        <w:rPr>
          <w:rFonts w:ascii="宋体" w:hAnsi="宋体"/>
          <w:color w:val="000000"/>
          <w:spacing w:val="-2"/>
        </w:rPr>
        <w:t>源</w:t>
      </w:r>
      <w:r>
        <w:rPr>
          <w:rFonts w:ascii="宋体" w:hAnsi="宋体"/>
          <w:color w:val="000000"/>
          <w:spacing w:val="-4"/>
        </w:rPr>
        <w:t>的折</w:t>
      </w:r>
      <w:r>
        <w:rPr>
          <w:rFonts w:ascii="宋体" w:hAnsi="宋体"/>
          <w:color w:val="000000"/>
          <w:spacing w:val="-2"/>
        </w:rPr>
        <w:t>标准</w:t>
      </w:r>
      <w:r>
        <w:rPr>
          <w:rFonts w:ascii="宋体" w:hAnsi="宋体"/>
          <w:color w:val="000000"/>
          <w:spacing w:val="-4"/>
        </w:rPr>
        <w:t>煤</w:t>
      </w:r>
      <w:r>
        <w:rPr>
          <w:rFonts w:ascii="宋体" w:hAnsi="宋体"/>
          <w:color w:val="000000"/>
          <w:spacing w:val="-2"/>
        </w:rPr>
        <w:t>系</w:t>
      </w:r>
      <w:r>
        <w:rPr>
          <w:rFonts w:ascii="宋体" w:hAnsi="宋体"/>
          <w:color w:val="000000"/>
          <w:spacing w:val="-4"/>
        </w:rPr>
        <w:t>数</w:t>
      </w:r>
      <w:r>
        <w:rPr>
          <w:rFonts w:ascii="宋体" w:hAnsi="宋体" w:hint="eastAsia"/>
          <w:color w:val="000000"/>
          <w:spacing w:val="-4"/>
        </w:rPr>
        <w:t>。</w:t>
      </w:r>
    </w:p>
    <w:p w14:paraId="0DBC0625" w14:textId="77777777" w:rsidR="00C34226" w:rsidRDefault="00000000">
      <w:pPr>
        <w:pStyle w:val="affffff0"/>
        <w:spacing w:beforeLines="50" w:before="156" w:afterLines="50" w:after="156" w:line="240" w:lineRule="auto"/>
        <w:ind w:firstLineChars="0" w:firstLine="0"/>
        <w:rPr>
          <w:rFonts w:ascii="黑体" w:eastAsia="黑体"/>
          <w:kern w:val="21"/>
        </w:rPr>
      </w:pPr>
      <w:r>
        <w:rPr>
          <w:rFonts w:ascii="黑体" w:eastAsia="黑体" w:hint="eastAsia"/>
          <w:kern w:val="21"/>
        </w:rPr>
        <w:t>D.2.2 人均综合能耗</w:t>
      </w:r>
    </w:p>
    <w:p w14:paraId="01447F48" w14:textId="77777777" w:rsidR="00C34226" w:rsidRDefault="00000000">
      <w:pPr>
        <w:pStyle w:val="affffff0"/>
        <w:spacing w:after="0" w:line="240" w:lineRule="auto"/>
        <w:ind w:firstLine="420"/>
      </w:pPr>
      <w:r>
        <w:rPr>
          <w:rFonts w:hint="eastAsia"/>
        </w:rPr>
        <w:t>公共机构运行过程中，一个统计周期内，综合能耗与用能人数的比值，单位为千克标准煤每人（kgce/p)，按公式(D.2)计算：</w:t>
      </w:r>
    </w:p>
    <w:p w14:paraId="3BD390DC" w14:textId="77777777" w:rsidR="00C34226" w:rsidRDefault="00000000">
      <w:pPr>
        <w:pStyle w:val="affffff0"/>
        <w:spacing w:after="0" w:line="240" w:lineRule="auto"/>
        <w:ind w:firstLineChars="0" w:firstLine="0"/>
        <w:jc w:val="right"/>
      </w:pPr>
      <m:oMath>
        <m:sSub>
          <m:sSubPr>
            <m:ctrlPr>
              <w:rPr>
                <w:rFonts w:ascii="Cambria Math" w:eastAsia="Cambria Math" w:hAnsi="Cambria Math" w:cs="Cambria Math"/>
                <w:i/>
                <w:szCs w:val="21"/>
              </w:rPr>
            </m:ctrlPr>
          </m:sSubPr>
          <m:e>
            <m:r>
              <w:rPr>
                <w:rFonts w:ascii="Cambria Math" w:eastAsia="Cambria Math" w:hAnsi="Cambria Math" w:cs="Cambria Math"/>
                <w:szCs w:val="21"/>
              </w:rPr>
              <m:t>E</m:t>
            </m:r>
          </m:e>
          <m:sub>
            <m:r>
              <w:rPr>
                <w:rFonts w:ascii="Cambria Math" w:eastAsia="Cambria Math" w:hAnsi="Cambria Math" w:cs="Cambria Math"/>
                <w:szCs w:val="21"/>
              </w:rPr>
              <m:t>r</m:t>
            </m:r>
          </m:sub>
        </m:sSub>
        <m:r>
          <w:rPr>
            <w:rFonts w:ascii="Cambria Math" w:eastAsia="Cambria Math" w:hAnsi="Cambria Math" w:cs="Cambria Math"/>
            <w:szCs w:val="21"/>
          </w:rPr>
          <m:t>=</m:t>
        </m:r>
        <m:f>
          <m:fPr>
            <m:ctrlPr>
              <w:rPr>
                <w:rFonts w:ascii="Cambria Math" w:eastAsia="Cambria Math" w:hAnsi="Cambria Math" w:cs="Cambria Math"/>
                <w:i/>
                <w:szCs w:val="21"/>
              </w:rPr>
            </m:ctrlPr>
          </m:fPr>
          <m:num>
            <m:r>
              <w:rPr>
                <w:rFonts w:ascii="Cambria Math" w:eastAsia="Cambria Math" w:hAnsi="Cambria Math" w:cs="Cambria Math"/>
                <w:szCs w:val="21"/>
              </w:rPr>
              <m:t>E</m:t>
            </m:r>
          </m:num>
          <m:den>
            <m:r>
              <w:rPr>
                <w:rFonts w:ascii="Cambria Math" w:eastAsia="Cambria Math" w:hAnsi="Cambria Math" w:cs="Cambria Math"/>
                <w:szCs w:val="21"/>
              </w:rPr>
              <m:t>N</m:t>
            </m:r>
          </m:den>
        </m:f>
        <m:r>
          <w:rPr>
            <w:rFonts w:ascii="Cambria Math" w:eastAsia="Cambria Math" w:hAnsi="Cambria Math"/>
            <w:szCs w:val="21"/>
          </w:rPr>
          <m:t xml:space="preserve">                                                                                   </m:t>
        </m:r>
      </m:oMath>
      <w:r>
        <w:rPr>
          <w:rFonts w:hint="eastAsia"/>
        </w:rPr>
        <w:t>(D.2)</w:t>
      </w:r>
    </w:p>
    <w:p w14:paraId="3E6923C0" w14:textId="77777777" w:rsidR="00C34226" w:rsidRDefault="00000000">
      <w:pPr>
        <w:widowControl/>
        <w:autoSpaceDE w:val="0"/>
        <w:autoSpaceDN w:val="0"/>
        <w:spacing w:after="0" w:line="240" w:lineRule="auto"/>
        <w:ind w:left="448"/>
        <w:jc w:val="left"/>
        <w:rPr>
          <w:rFonts w:ascii="宋体" w:hAnsi="宋体" w:hint="eastAsia"/>
        </w:rPr>
      </w:pPr>
      <w:r>
        <w:rPr>
          <w:rFonts w:ascii="宋体" w:hAnsi="宋体"/>
          <w:color w:val="000000"/>
        </w:rPr>
        <w:t>式中</w:t>
      </w:r>
      <w:r>
        <w:rPr>
          <w:rFonts w:ascii="宋体" w:hAnsi="宋体"/>
          <w:color w:val="000000"/>
          <w:spacing w:val="-4"/>
        </w:rPr>
        <w:t>：</w:t>
      </w:r>
      <w:r>
        <w:rPr>
          <w:rFonts w:ascii="宋体" w:hAnsi="宋体"/>
          <w:color w:val="000000"/>
        </w:rPr>
        <w:t xml:space="preserve"> </w:t>
      </w:r>
    </w:p>
    <w:p w14:paraId="628D3F96" w14:textId="77777777" w:rsidR="00C34226" w:rsidRDefault="00000000">
      <w:pPr>
        <w:widowControl/>
        <w:autoSpaceDE w:val="0"/>
        <w:autoSpaceDN w:val="0"/>
        <w:spacing w:after="0" w:line="240" w:lineRule="auto"/>
        <w:ind w:left="448"/>
        <w:jc w:val="left"/>
        <w:rPr>
          <w:rFonts w:ascii="宋体" w:hAnsi="宋体" w:hint="eastAsia"/>
          <w:color w:val="000000"/>
          <w:spacing w:val="-2"/>
        </w:rPr>
      </w:pPr>
      <m:oMath>
        <m:sSub>
          <m:sSubPr>
            <m:ctrlPr>
              <w:rPr>
                <w:rFonts w:ascii="Cambria Math" w:eastAsia="Cambria Math" w:hAnsi="Cambria Math" w:cs="Cambria Math"/>
                <w:i/>
                <w:kern w:val="0"/>
              </w:rPr>
            </m:ctrlPr>
          </m:sSubPr>
          <m:e>
            <m:r>
              <w:rPr>
                <w:rFonts w:ascii="Cambria Math" w:eastAsia="Cambria Math" w:hAnsi="Cambria Math" w:cs="Cambria Math"/>
              </w:rPr>
              <m:t>E</m:t>
            </m:r>
          </m:e>
          <m:sub>
            <m:r>
              <w:rPr>
                <w:rFonts w:ascii="Cambria Math" w:eastAsia="Cambria Math" w:hAnsi="Cambria Math" w:cs="Cambria Math"/>
              </w:rPr>
              <m:t>r</m:t>
            </m:r>
          </m:sub>
        </m:sSub>
      </m:oMath>
      <w:r>
        <w:rPr>
          <w:rFonts w:ascii="LfX3I1UR+TimesNewRomanPSMT" w:eastAsia="LfX3I1UR+TimesNewRomanPSMT" w:hAnsi="LfX3I1UR+TimesNewRomanPSMT"/>
          <w:color w:val="000000"/>
          <w:spacing w:val="-2"/>
        </w:rPr>
        <w:t>——</w:t>
      </w:r>
      <w:r>
        <w:rPr>
          <w:rFonts w:ascii="宋体" w:hAnsi="宋体"/>
          <w:color w:val="000000"/>
          <w:spacing w:val="-2"/>
        </w:rPr>
        <w:t xml:space="preserve">人均综合能耗，单位为千克标准煤每人（kgce/p)； </w:t>
      </w:r>
    </w:p>
    <w:p w14:paraId="5FCD383B" w14:textId="77777777" w:rsidR="00C34226" w:rsidRDefault="00000000">
      <w:pPr>
        <w:widowControl/>
        <w:autoSpaceDE w:val="0"/>
        <w:autoSpaceDN w:val="0"/>
        <w:spacing w:after="0" w:line="240" w:lineRule="auto"/>
        <w:ind w:left="448"/>
        <w:jc w:val="left"/>
        <w:rPr>
          <w:rFonts w:ascii="宋体" w:hAnsi="宋体" w:hint="eastAsia"/>
          <w:color w:val="000000"/>
          <w:spacing w:val="-2"/>
        </w:rPr>
      </w:pPr>
      <m:oMath>
        <m:r>
          <w:rPr>
            <w:rFonts w:ascii="Cambria Math" w:eastAsia="Cambria Math" w:hAnsi="Cambria Math" w:cs="Cambria Math"/>
          </w:rPr>
          <m:t>E</m:t>
        </m:r>
      </m:oMath>
      <w:r>
        <w:rPr>
          <w:rFonts w:ascii="LfX3I1UR+TimesNewRomanPSMT" w:eastAsia="LfX3I1UR+TimesNewRomanPSMT" w:hAnsi="LfX3I1UR+TimesNewRomanPSMT"/>
          <w:color w:val="000000"/>
          <w:spacing w:val="-2"/>
        </w:rPr>
        <w:t>——</w:t>
      </w:r>
      <w:r>
        <w:rPr>
          <w:rFonts w:ascii="宋体" w:hAnsi="宋体"/>
          <w:color w:val="000000"/>
          <w:spacing w:val="-2"/>
        </w:rPr>
        <w:t xml:space="preserve">综合能耗，单位为千克标准煤（kgce)； </w:t>
      </w:r>
    </w:p>
    <w:p w14:paraId="5EF307FF" w14:textId="77777777" w:rsidR="00C34226" w:rsidRDefault="00000000">
      <w:pPr>
        <w:widowControl/>
        <w:autoSpaceDE w:val="0"/>
        <w:autoSpaceDN w:val="0"/>
        <w:spacing w:after="0" w:line="240" w:lineRule="auto"/>
        <w:ind w:left="448"/>
        <w:jc w:val="left"/>
        <w:rPr>
          <w:rFonts w:ascii="宋体" w:hAnsi="宋体" w:hint="eastAsia"/>
          <w:color w:val="000000"/>
          <w:spacing w:val="-2"/>
        </w:rPr>
      </w:pPr>
      <m:oMath>
        <m:r>
          <w:rPr>
            <w:rFonts w:ascii="Cambria Math" w:eastAsia="Cambria Math" w:hAnsi="Cambria Math" w:cs="Cambria Math"/>
          </w:rPr>
          <m:t>N</m:t>
        </m:r>
      </m:oMath>
      <w:r>
        <w:rPr>
          <w:rFonts w:ascii="LfX3I1UR+TimesNewRomanPSMT" w:eastAsia="LfX3I1UR+TimesNewRomanPSMT" w:hAnsi="LfX3I1UR+TimesNewRomanPSMT"/>
          <w:color w:val="000000"/>
          <w:spacing w:val="-2"/>
        </w:rPr>
        <w:t>——</w:t>
      </w:r>
      <w:r>
        <w:rPr>
          <w:rFonts w:ascii="宋体" w:hAnsi="宋体"/>
          <w:color w:val="000000"/>
          <w:spacing w:val="-2"/>
        </w:rPr>
        <w:t xml:space="preserve">用能人数，单位为人（p）。 </w:t>
      </w:r>
    </w:p>
    <w:p w14:paraId="2C86B64D" w14:textId="77777777" w:rsidR="00C34226" w:rsidRDefault="00000000">
      <w:pPr>
        <w:pStyle w:val="affffff0"/>
        <w:spacing w:beforeLines="50" w:before="156" w:afterLines="50" w:after="156" w:line="240" w:lineRule="auto"/>
        <w:ind w:firstLineChars="0" w:firstLine="0"/>
        <w:rPr>
          <w:rFonts w:ascii="黑体" w:eastAsia="黑体"/>
          <w:kern w:val="21"/>
        </w:rPr>
      </w:pPr>
      <w:r>
        <w:rPr>
          <w:rFonts w:ascii="黑体" w:eastAsia="黑体" w:hint="eastAsia"/>
          <w:kern w:val="21"/>
        </w:rPr>
        <w:t>D.2.3 单位建筑面积综合能耗</w:t>
      </w:r>
    </w:p>
    <w:p w14:paraId="470C7AB2" w14:textId="77777777" w:rsidR="00C34226" w:rsidRDefault="00000000">
      <w:pPr>
        <w:pStyle w:val="affffff0"/>
        <w:spacing w:after="0" w:line="240" w:lineRule="auto"/>
        <w:ind w:firstLine="420"/>
      </w:pPr>
      <w:r>
        <w:rPr>
          <w:rFonts w:hint="eastAsia"/>
        </w:rPr>
        <w:t>公共机构运行过程中，一个统计周期内，除交通工具用能之外消耗的各种能源实物量折算为标准煤的总和与建筑面积的比值，单位为千克标准煤每平方米（kgce/m</w:t>
      </w:r>
      <w:r>
        <w:rPr>
          <w:rFonts w:hint="eastAsia"/>
          <w:vertAlign w:val="superscript"/>
        </w:rPr>
        <w:t>2</w:t>
      </w:r>
      <w:r>
        <w:rPr>
          <w:rFonts w:hint="eastAsia"/>
        </w:rPr>
        <w:t>），按公式(D.3)计算：</w:t>
      </w:r>
    </w:p>
    <w:p w14:paraId="44CBC685" w14:textId="77777777" w:rsidR="00C34226" w:rsidRDefault="00000000">
      <w:pPr>
        <w:pStyle w:val="affffff0"/>
        <w:spacing w:after="0" w:line="240" w:lineRule="auto"/>
        <w:ind w:firstLineChars="0" w:firstLine="0"/>
        <w:jc w:val="right"/>
      </w:pPr>
      <m:oMath>
        <m:sSub>
          <m:sSubPr>
            <m:ctrlPr>
              <w:rPr>
                <w:rFonts w:ascii="Cambria Math" w:eastAsia="Cambria Math" w:hAnsi="Cambria Math" w:cs="Cambria Math"/>
                <w:i/>
                <w:szCs w:val="21"/>
              </w:rPr>
            </m:ctrlPr>
          </m:sSubPr>
          <m:e>
            <m:r>
              <w:rPr>
                <w:rFonts w:ascii="Cambria Math" w:eastAsia="Cambria Math" w:hAnsi="Cambria Math" w:cs="Cambria Math"/>
                <w:szCs w:val="21"/>
              </w:rPr>
              <m:t>E</m:t>
            </m:r>
          </m:e>
          <m:sub>
            <m:r>
              <w:rPr>
                <w:rFonts w:ascii="Cambria Math" w:eastAsia="Cambria Math" w:hAnsi="Cambria Math" w:cs="Cambria Math"/>
                <w:szCs w:val="21"/>
              </w:rPr>
              <m:t>j</m:t>
            </m:r>
          </m:sub>
        </m:sSub>
        <m:r>
          <w:rPr>
            <w:rFonts w:ascii="Cambria Math" w:eastAsia="Cambria Math" w:hAnsi="Cambria Math" w:cs="Cambria Math"/>
            <w:szCs w:val="21"/>
          </w:rPr>
          <m:t>=</m:t>
        </m:r>
        <m:f>
          <m:fPr>
            <m:ctrlPr>
              <w:rPr>
                <w:rFonts w:ascii="Cambria Math" w:eastAsia="Cambria Math" w:hAnsi="Cambria Math" w:cs="Cambria Math"/>
                <w:i/>
                <w:szCs w:val="21"/>
              </w:rPr>
            </m:ctrlPr>
          </m:fPr>
          <m:num>
            <m:r>
              <w:rPr>
                <w:rFonts w:ascii="Cambria Math" w:eastAsia="Cambria Math" w:hAnsi="Cambria Math" w:cs="Cambria Math"/>
                <w:szCs w:val="21"/>
              </w:rPr>
              <m:t>E-</m:t>
            </m:r>
            <m:sSub>
              <m:sSubPr>
                <m:ctrlPr>
                  <w:rPr>
                    <w:rFonts w:ascii="Cambria Math" w:eastAsia="Cambria Math" w:hAnsi="Cambria Math" w:cs="Cambria Math"/>
                    <w:i/>
                    <w:szCs w:val="21"/>
                  </w:rPr>
                </m:ctrlPr>
              </m:sSubPr>
              <m:e>
                <m:r>
                  <w:rPr>
                    <w:rFonts w:ascii="Cambria Math" w:eastAsia="Cambria Math" w:hAnsi="Cambria Math" w:cs="Cambria Math"/>
                    <w:szCs w:val="21"/>
                  </w:rPr>
                  <m:t>E</m:t>
                </m:r>
              </m:e>
              <m:sub>
                <m:r>
                  <w:rPr>
                    <w:rFonts w:ascii="Cambria Math" w:eastAsia="Cambria Math" w:hAnsi="Cambria Math" w:cs="Cambria Math"/>
                    <w:szCs w:val="21"/>
                  </w:rPr>
                  <m:t>jt</m:t>
                </m:r>
              </m:sub>
            </m:sSub>
          </m:num>
          <m:den>
            <m:r>
              <w:rPr>
                <w:rFonts w:ascii="Cambria Math" w:eastAsia="Cambria Math" w:hAnsi="Cambria Math" w:cs="Cambria Math"/>
                <w:szCs w:val="21"/>
              </w:rPr>
              <m:t>A</m:t>
            </m:r>
          </m:den>
        </m:f>
        <m:r>
          <w:rPr>
            <w:rFonts w:ascii="Cambria Math" w:eastAsia="Cambria Math" w:hAnsi="Cambria Math"/>
            <w:szCs w:val="21"/>
          </w:rPr>
          <m:t xml:space="preserve">                                                                                   </m:t>
        </m:r>
      </m:oMath>
      <w:r>
        <w:rPr>
          <w:rFonts w:hint="eastAsia"/>
        </w:rPr>
        <w:t>(D.3)</w:t>
      </w:r>
    </w:p>
    <w:p w14:paraId="588BBD92" w14:textId="77777777" w:rsidR="00C34226" w:rsidRDefault="00000000">
      <w:pPr>
        <w:widowControl/>
        <w:autoSpaceDE w:val="0"/>
        <w:autoSpaceDN w:val="0"/>
        <w:adjustRightInd/>
        <w:spacing w:after="0" w:line="240" w:lineRule="auto"/>
        <w:ind w:left="448"/>
        <w:jc w:val="left"/>
        <w:rPr>
          <w:rFonts w:ascii="宋体" w:hAnsi="宋体" w:hint="eastAsia"/>
        </w:rPr>
      </w:pPr>
      <w:r>
        <w:rPr>
          <w:rFonts w:ascii="宋体" w:hAnsi="宋体"/>
          <w:color w:val="000000"/>
        </w:rPr>
        <w:t>式中</w:t>
      </w:r>
      <w:r>
        <w:rPr>
          <w:rFonts w:ascii="宋体" w:hAnsi="宋体"/>
          <w:color w:val="000000"/>
          <w:spacing w:val="-4"/>
        </w:rPr>
        <w:t>：</w:t>
      </w:r>
      <w:r>
        <w:rPr>
          <w:rFonts w:ascii="宋体" w:hAnsi="宋体"/>
          <w:color w:val="000000"/>
        </w:rPr>
        <w:t xml:space="preserve"> </w:t>
      </w:r>
    </w:p>
    <w:p w14:paraId="03F48167" w14:textId="77777777" w:rsidR="00C34226" w:rsidRDefault="00000000">
      <w:pPr>
        <w:widowControl/>
        <w:autoSpaceDE w:val="0"/>
        <w:autoSpaceDN w:val="0"/>
        <w:adjustRightInd/>
        <w:spacing w:after="0" w:line="240" w:lineRule="auto"/>
        <w:ind w:left="448"/>
        <w:jc w:val="left"/>
        <w:rPr>
          <w:rFonts w:ascii="宋体" w:hAnsi="宋体" w:hint="eastAsia"/>
          <w:color w:val="000000"/>
          <w:spacing w:val="-2"/>
        </w:rPr>
      </w:pPr>
      <m:oMath>
        <m:sSub>
          <m:sSubPr>
            <m:ctrlPr>
              <w:rPr>
                <w:rFonts w:ascii="Cambria Math" w:eastAsia="Cambria Math" w:hAnsi="Cambria Math" w:cs="Cambria Math"/>
                <w:i/>
                <w:kern w:val="0"/>
              </w:rPr>
            </m:ctrlPr>
          </m:sSubPr>
          <m:e>
            <m:r>
              <w:rPr>
                <w:rFonts w:ascii="Cambria Math" w:eastAsia="Cambria Math" w:hAnsi="Cambria Math" w:cs="Cambria Math"/>
              </w:rPr>
              <m:t>E</m:t>
            </m:r>
          </m:e>
          <m:sub>
            <m:r>
              <w:rPr>
                <w:rFonts w:ascii="Cambria Math" w:eastAsia="Cambria Math" w:hAnsi="Cambria Math" w:cs="Cambria Math"/>
              </w:rPr>
              <m:t>j</m:t>
            </m:r>
          </m:sub>
        </m:sSub>
      </m:oMath>
      <w:r>
        <w:rPr>
          <w:rFonts w:ascii="LfX3I1UR+TimesNewRomanPSMT" w:eastAsia="LfX3I1UR+TimesNewRomanPSMT" w:hAnsi="LfX3I1UR+TimesNewRomanPSMT"/>
          <w:color w:val="000000"/>
          <w:spacing w:val="-2"/>
        </w:rPr>
        <w:t>——</w:t>
      </w:r>
      <w:r>
        <w:rPr>
          <w:rFonts w:ascii="宋体" w:hAnsi="宋体"/>
          <w:color w:val="000000"/>
          <w:spacing w:val="-2"/>
        </w:rPr>
        <w:t>单位建筑面积综合能耗，单位为千克标准煤每平方米（kgce/m²）；</w:t>
      </w:r>
    </w:p>
    <w:p w14:paraId="56150D74" w14:textId="77777777" w:rsidR="00C34226" w:rsidRDefault="00000000">
      <w:pPr>
        <w:widowControl/>
        <w:autoSpaceDE w:val="0"/>
        <w:autoSpaceDN w:val="0"/>
        <w:adjustRightInd/>
        <w:spacing w:after="0" w:line="240" w:lineRule="auto"/>
        <w:ind w:left="448"/>
        <w:jc w:val="left"/>
        <w:rPr>
          <w:rFonts w:ascii="宋体" w:hAnsi="宋体" w:hint="eastAsia"/>
          <w:color w:val="000000"/>
          <w:spacing w:val="-2"/>
        </w:rPr>
      </w:pPr>
      <m:oMath>
        <m:r>
          <w:rPr>
            <w:rFonts w:ascii="Cambria Math" w:eastAsia="Cambria Math" w:hAnsi="Cambria Math" w:cs="Cambria Math"/>
          </w:rPr>
          <m:t>E</m:t>
        </m:r>
      </m:oMath>
      <w:r>
        <w:rPr>
          <w:rFonts w:ascii="LfX3I1UR+TimesNewRomanPSMT" w:eastAsia="LfX3I1UR+TimesNewRomanPSMT" w:hAnsi="LfX3I1UR+TimesNewRomanPSMT"/>
          <w:color w:val="000000"/>
          <w:spacing w:val="-2"/>
        </w:rPr>
        <w:t>——</w:t>
      </w:r>
      <w:r>
        <w:rPr>
          <w:rFonts w:ascii="宋体" w:hAnsi="宋体"/>
          <w:color w:val="000000"/>
          <w:spacing w:val="-2"/>
        </w:rPr>
        <w:t xml:space="preserve">综合能耗，单位为千克标准煤（kgce)； </w:t>
      </w:r>
    </w:p>
    <w:p w14:paraId="00B20E76" w14:textId="77777777" w:rsidR="00C34226" w:rsidRDefault="00000000">
      <w:pPr>
        <w:widowControl/>
        <w:autoSpaceDE w:val="0"/>
        <w:autoSpaceDN w:val="0"/>
        <w:adjustRightInd/>
        <w:spacing w:after="0" w:line="240" w:lineRule="auto"/>
        <w:ind w:left="448"/>
        <w:jc w:val="left"/>
        <w:rPr>
          <w:rFonts w:ascii="宋体" w:hAnsi="宋体" w:hint="eastAsia"/>
          <w:color w:val="000000"/>
          <w:spacing w:val="-2"/>
        </w:rPr>
      </w:pPr>
      <m:oMath>
        <m:sSub>
          <m:sSubPr>
            <m:ctrlPr>
              <w:rPr>
                <w:rFonts w:ascii="Cambria Math" w:eastAsia="Cambria Math" w:hAnsi="Cambria Math" w:cs="Cambria Math"/>
                <w:i/>
                <w:kern w:val="0"/>
              </w:rPr>
            </m:ctrlPr>
          </m:sSubPr>
          <m:e>
            <m:r>
              <w:rPr>
                <w:rFonts w:ascii="Cambria Math" w:eastAsia="Cambria Math" w:hAnsi="Cambria Math" w:cs="Cambria Math"/>
              </w:rPr>
              <m:t>E</m:t>
            </m:r>
          </m:e>
          <m:sub>
            <m:r>
              <w:rPr>
                <w:rFonts w:ascii="Cambria Math" w:eastAsia="Cambria Math" w:hAnsi="Cambria Math" w:cs="Cambria Math"/>
              </w:rPr>
              <m:t>jt</m:t>
            </m:r>
          </m:sub>
        </m:sSub>
      </m:oMath>
      <w:r>
        <w:rPr>
          <w:rFonts w:ascii="LfX3I1UR+TimesNewRomanPSMT" w:eastAsia="LfX3I1UR+TimesNewRomanPSMT" w:hAnsi="LfX3I1UR+TimesNewRomanPSMT"/>
          <w:color w:val="000000"/>
          <w:spacing w:val="-2"/>
        </w:rPr>
        <w:t>——</w:t>
      </w:r>
      <w:r>
        <w:rPr>
          <w:rFonts w:ascii="宋体" w:hAnsi="宋体"/>
          <w:color w:val="000000"/>
          <w:spacing w:val="-2"/>
        </w:rPr>
        <w:t xml:space="preserve">交通工具能耗，单位为千克标准煤（kgce)； </w:t>
      </w:r>
    </w:p>
    <w:p w14:paraId="49E166E2" w14:textId="77777777" w:rsidR="00C34226" w:rsidRDefault="00000000">
      <w:pPr>
        <w:widowControl/>
        <w:autoSpaceDE w:val="0"/>
        <w:autoSpaceDN w:val="0"/>
        <w:adjustRightInd/>
        <w:spacing w:after="0" w:line="240" w:lineRule="auto"/>
        <w:ind w:left="448"/>
        <w:jc w:val="left"/>
      </w:pPr>
      <m:oMath>
        <m:r>
          <w:rPr>
            <w:rFonts w:ascii="Cambria Math" w:eastAsia="Cambria Math" w:hAnsi="Cambria Math" w:cs="Cambria Math"/>
          </w:rPr>
          <m:t>A</m:t>
        </m:r>
      </m:oMath>
      <w:r>
        <w:rPr>
          <w:rFonts w:ascii="LfX3I1UR+TimesNewRomanPSMT" w:eastAsia="LfX3I1UR+TimesNewRomanPSMT" w:hAnsi="LfX3I1UR+TimesNewRomanPSMT"/>
          <w:color w:val="000000"/>
          <w:spacing w:val="-2"/>
        </w:rPr>
        <w:t>——</w:t>
      </w:r>
      <w:r>
        <w:rPr>
          <w:rFonts w:ascii="宋体" w:hAnsi="宋体"/>
          <w:color w:val="000000"/>
          <w:spacing w:val="-2"/>
        </w:rPr>
        <w:t>建筑面积，单位为平方米（m²）。</w:t>
      </w:r>
      <w:r>
        <w:rPr>
          <w:rFonts w:ascii="宋体" w:hAnsi="宋体"/>
          <w:color w:val="000000"/>
        </w:rPr>
        <w:t xml:space="preserve"> </w:t>
      </w:r>
    </w:p>
    <w:p w14:paraId="6734D7C6" w14:textId="77777777" w:rsidR="00C34226" w:rsidRDefault="00000000">
      <w:pPr>
        <w:pStyle w:val="affffff0"/>
        <w:spacing w:beforeLines="50" w:before="156" w:afterLines="50" w:after="156" w:line="240" w:lineRule="auto"/>
        <w:ind w:firstLineChars="0" w:firstLine="0"/>
        <w:rPr>
          <w:rFonts w:ascii="黑体" w:eastAsia="黑体"/>
          <w:kern w:val="21"/>
        </w:rPr>
      </w:pPr>
      <w:r>
        <w:rPr>
          <w:rFonts w:ascii="黑体" w:eastAsia="黑体" w:hint="eastAsia"/>
          <w:kern w:val="21"/>
        </w:rPr>
        <w:t>D.2.4 人均用水量</w:t>
      </w:r>
    </w:p>
    <w:p w14:paraId="7146ACE8" w14:textId="77777777" w:rsidR="00C34226" w:rsidRDefault="00000000">
      <w:pPr>
        <w:pStyle w:val="affffff0"/>
        <w:spacing w:after="0" w:line="240" w:lineRule="auto"/>
        <w:ind w:firstLine="420"/>
      </w:pPr>
      <w:r>
        <w:rPr>
          <w:rFonts w:hint="eastAsia"/>
        </w:rPr>
        <w:t>公共机构运行过程中，一个统计周期内，取自任何常规水源并被其列入第一次利用的水量总和与用能人数的比值，单位为立方米每人（</w:t>
      </w:r>
      <w:r>
        <w:rPr>
          <w:rFonts w:hAnsi="宋体" w:hint="eastAsia"/>
          <w:color w:val="000000"/>
          <w:spacing w:val="-2"/>
        </w:rPr>
        <w:t>m</w:t>
      </w:r>
      <w:r>
        <w:rPr>
          <w:rFonts w:hAnsi="宋体" w:hint="eastAsia"/>
          <w:color w:val="000000"/>
          <w:spacing w:val="-2"/>
          <w:vertAlign w:val="superscript"/>
        </w:rPr>
        <w:t>3</w:t>
      </w:r>
      <w:r>
        <w:rPr>
          <w:rFonts w:hAnsi="宋体"/>
          <w:color w:val="000000"/>
          <w:spacing w:val="-2"/>
        </w:rPr>
        <w:t>/p</w:t>
      </w:r>
      <w:r>
        <w:rPr>
          <w:rFonts w:hint="eastAsia"/>
        </w:rPr>
        <w:t>）, 按公式(D.4)计算：</w:t>
      </w:r>
    </w:p>
    <w:p w14:paraId="3F64224A" w14:textId="77777777" w:rsidR="00C34226" w:rsidRDefault="00000000">
      <w:pPr>
        <w:pStyle w:val="affffff0"/>
        <w:spacing w:after="0" w:line="240" w:lineRule="auto"/>
        <w:ind w:firstLineChars="0" w:firstLine="0"/>
        <w:jc w:val="right"/>
      </w:pPr>
      <m:oMath>
        <m:sSub>
          <m:sSubPr>
            <m:ctrlPr>
              <w:rPr>
                <w:rFonts w:ascii="Cambria Math" w:eastAsia="Cambria Math" w:hAnsi="Cambria Math" w:cs="Cambria Math"/>
                <w:i/>
                <w:szCs w:val="21"/>
              </w:rPr>
            </m:ctrlPr>
          </m:sSubPr>
          <m:e>
            <m:r>
              <w:rPr>
                <w:rFonts w:ascii="Cambria Math" w:eastAsia="Cambria Math" w:hAnsi="Cambria Math" w:cs="Cambria Math"/>
                <w:szCs w:val="21"/>
              </w:rPr>
              <m:t>V</m:t>
            </m:r>
          </m:e>
          <m:sub>
            <m:r>
              <w:rPr>
                <w:rFonts w:ascii="Cambria Math" w:eastAsia="Cambria Math" w:hAnsi="Cambria Math" w:cs="Cambria Math"/>
                <w:szCs w:val="21"/>
              </w:rPr>
              <m:t>r</m:t>
            </m:r>
          </m:sub>
        </m:sSub>
        <m:r>
          <w:rPr>
            <w:rFonts w:ascii="Cambria Math" w:eastAsia="Cambria Math" w:hAnsi="Cambria Math" w:cs="Cambria Math"/>
            <w:szCs w:val="21"/>
          </w:rPr>
          <m:t>=</m:t>
        </m:r>
        <m:f>
          <m:fPr>
            <m:ctrlPr>
              <w:rPr>
                <w:rFonts w:ascii="Cambria Math" w:eastAsia="Cambria Math" w:hAnsi="Cambria Math" w:cs="Cambria Math"/>
                <w:i/>
                <w:szCs w:val="21"/>
              </w:rPr>
            </m:ctrlPr>
          </m:fPr>
          <m:num>
            <m:r>
              <w:rPr>
                <w:rFonts w:ascii="Cambria Math" w:eastAsia="Cambria Math" w:hAnsi="Cambria Math" w:cs="Cambria Math"/>
                <w:szCs w:val="21"/>
              </w:rPr>
              <m:t>V</m:t>
            </m:r>
          </m:num>
          <m:den>
            <m:r>
              <w:rPr>
                <w:rFonts w:ascii="Cambria Math" w:eastAsia="Cambria Math" w:hAnsi="Cambria Math" w:cs="Cambria Math"/>
                <w:szCs w:val="21"/>
              </w:rPr>
              <m:t>N</m:t>
            </m:r>
          </m:den>
        </m:f>
        <m:r>
          <w:rPr>
            <w:rFonts w:ascii="Cambria Math" w:eastAsia="Cambria Math" w:hAnsi="Cambria Math"/>
            <w:szCs w:val="21"/>
          </w:rPr>
          <m:t xml:space="preserve">                                                                                   </m:t>
        </m:r>
      </m:oMath>
      <w:r>
        <w:rPr>
          <w:rFonts w:hint="eastAsia"/>
        </w:rPr>
        <w:t>(D.4)</w:t>
      </w:r>
    </w:p>
    <w:p w14:paraId="7F843AD5" w14:textId="77777777" w:rsidR="00C34226" w:rsidRDefault="00000000">
      <w:pPr>
        <w:widowControl/>
        <w:autoSpaceDE w:val="0"/>
        <w:autoSpaceDN w:val="0"/>
        <w:spacing w:after="0" w:line="240" w:lineRule="auto"/>
        <w:ind w:left="448"/>
        <w:jc w:val="left"/>
        <w:rPr>
          <w:rFonts w:ascii="宋体" w:hAnsi="宋体" w:hint="eastAsia"/>
        </w:rPr>
      </w:pPr>
      <w:r>
        <w:rPr>
          <w:rFonts w:ascii="宋体" w:hAnsi="宋体"/>
          <w:color w:val="000000"/>
        </w:rPr>
        <w:t>式中</w:t>
      </w:r>
      <w:r>
        <w:rPr>
          <w:rFonts w:ascii="宋体" w:hAnsi="宋体"/>
          <w:color w:val="000000"/>
          <w:spacing w:val="-4"/>
        </w:rPr>
        <w:t>：</w:t>
      </w:r>
      <w:r>
        <w:rPr>
          <w:rFonts w:ascii="宋体" w:hAnsi="宋体"/>
          <w:color w:val="000000"/>
        </w:rPr>
        <w:t xml:space="preserve"> </w:t>
      </w:r>
    </w:p>
    <w:p w14:paraId="0ED2084D" w14:textId="77777777" w:rsidR="00C34226" w:rsidRDefault="00000000">
      <w:pPr>
        <w:widowControl/>
        <w:autoSpaceDE w:val="0"/>
        <w:autoSpaceDN w:val="0"/>
        <w:spacing w:after="0" w:line="240" w:lineRule="auto"/>
        <w:ind w:left="448"/>
        <w:jc w:val="left"/>
        <w:rPr>
          <w:rFonts w:ascii="宋体" w:hAnsi="宋体" w:hint="eastAsia"/>
          <w:color w:val="000000"/>
          <w:spacing w:val="-2"/>
        </w:rPr>
      </w:pPr>
      <m:oMath>
        <m:sSub>
          <m:sSubPr>
            <m:ctrlPr>
              <w:rPr>
                <w:rFonts w:ascii="Cambria Math" w:eastAsia="Cambria Math" w:hAnsi="Cambria Math" w:cs="Cambria Math"/>
                <w:i/>
                <w:kern w:val="0"/>
              </w:rPr>
            </m:ctrlPr>
          </m:sSubPr>
          <m:e>
            <m:r>
              <w:rPr>
                <w:rFonts w:ascii="Cambria Math" w:eastAsia="Cambria Math" w:hAnsi="Cambria Math" w:cs="Cambria Math"/>
              </w:rPr>
              <m:t>V</m:t>
            </m:r>
          </m:e>
          <m:sub>
            <m:r>
              <w:rPr>
                <w:rFonts w:ascii="Cambria Math" w:eastAsia="Cambria Math" w:hAnsi="Cambria Math" w:cs="Cambria Math"/>
              </w:rPr>
              <m:t>r</m:t>
            </m:r>
          </m:sub>
        </m:sSub>
      </m:oMath>
      <w:r>
        <w:rPr>
          <w:rFonts w:ascii="LfX3I1UR+TimesNewRomanPSMT" w:eastAsia="LfX3I1UR+TimesNewRomanPSMT" w:hAnsi="LfX3I1UR+TimesNewRomanPSMT"/>
          <w:color w:val="000000"/>
          <w:spacing w:val="-2"/>
        </w:rPr>
        <w:t>——</w:t>
      </w:r>
      <w:r>
        <w:rPr>
          <w:rFonts w:ascii="宋体" w:hAnsi="宋体"/>
          <w:color w:val="000000"/>
          <w:spacing w:val="-2"/>
        </w:rPr>
        <w:t>人均用水量，单位为立方米每人（m</w:t>
      </w:r>
      <w:r>
        <w:rPr>
          <w:rFonts w:ascii="宋体" w:hAnsi="宋体"/>
          <w:color w:val="000000"/>
          <w:spacing w:val="-2"/>
          <w:vertAlign w:val="superscript"/>
        </w:rPr>
        <w:t>3</w:t>
      </w:r>
      <w:r>
        <w:rPr>
          <w:rFonts w:ascii="宋体" w:hAnsi="宋体"/>
          <w:color w:val="000000"/>
          <w:spacing w:val="-2"/>
        </w:rPr>
        <w:t xml:space="preserve">/p）； </w:t>
      </w:r>
    </w:p>
    <w:p w14:paraId="2A951C75" w14:textId="77777777" w:rsidR="00C34226" w:rsidRDefault="00000000">
      <w:pPr>
        <w:widowControl/>
        <w:autoSpaceDE w:val="0"/>
        <w:autoSpaceDN w:val="0"/>
        <w:spacing w:after="0" w:line="240" w:lineRule="auto"/>
        <w:ind w:left="448"/>
        <w:jc w:val="left"/>
        <w:rPr>
          <w:rFonts w:ascii="宋体" w:hAnsi="宋体" w:hint="eastAsia"/>
          <w:color w:val="000000"/>
          <w:spacing w:val="-2"/>
        </w:rPr>
      </w:pPr>
      <m:oMath>
        <m:r>
          <w:rPr>
            <w:rFonts w:ascii="Cambria Math" w:eastAsia="Cambria Math" w:hAnsi="Cambria Math" w:cs="Cambria Math"/>
          </w:rPr>
          <m:t>V</m:t>
        </m:r>
      </m:oMath>
      <w:r>
        <w:rPr>
          <w:rFonts w:ascii="LfX3I1UR+TimesNewRomanPSMT" w:eastAsia="LfX3I1UR+TimesNewRomanPSMT" w:hAnsi="LfX3I1UR+TimesNewRomanPSMT"/>
          <w:color w:val="000000"/>
          <w:spacing w:val="-2"/>
        </w:rPr>
        <w:t>——</w:t>
      </w:r>
      <w:r>
        <w:rPr>
          <w:rFonts w:ascii="宋体" w:hAnsi="宋体"/>
          <w:color w:val="000000"/>
          <w:spacing w:val="-2"/>
        </w:rPr>
        <w:t xml:space="preserve">用水量，单位为立方米（m³)； </w:t>
      </w:r>
    </w:p>
    <w:p w14:paraId="35718DF8" w14:textId="77777777" w:rsidR="00C34226" w:rsidRDefault="00000000">
      <w:pPr>
        <w:widowControl/>
        <w:autoSpaceDE w:val="0"/>
        <w:autoSpaceDN w:val="0"/>
        <w:spacing w:after="0" w:line="240" w:lineRule="auto"/>
        <w:ind w:left="448"/>
        <w:jc w:val="left"/>
        <w:rPr>
          <w:rFonts w:ascii="宋体" w:hAnsi="宋体" w:hint="eastAsia"/>
          <w:color w:val="000000"/>
          <w:spacing w:val="-2"/>
        </w:rPr>
      </w:pPr>
      <m:oMath>
        <m:r>
          <w:rPr>
            <w:rFonts w:ascii="Cambria Math" w:eastAsia="Cambria Math" w:hAnsi="Cambria Math" w:cs="Cambria Math"/>
          </w:rPr>
          <m:t>N</m:t>
        </m:r>
      </m:oMath>
      <w:r>
        <w:rPr>
          <w:rFonts w:ascii="LfX3I1UR+TimesNewRomanPSMT" w:eastAsia="LfX3I1UR+TimesNewRomanPSMT" w:hAnsi="LfX3I1UR+TimesNewRomanPSMT"/>
          <w:color w:val="000000"/>
          <w:spacing w:val="-2"/>
        </w:rPr>
        <w:t>——</w:t>
      </w:r>
      <w:r>
        <w:rPr>
          <w:rFonts w:ascii="宋体" w:hAnsi="宋体"/>
          <w:color w:val="000000"/>
          <w:spacing w:val="-2"/>
        </w:rPr>
        <w:t xml:space="preserve">用能人数，单位为人（p）。 </w:t>
      </w:r>
    </w:p>
    <w:p w14:paraId="60603849" w14:textId="77777777" w:rsidR="00C34226" w:rsidRDefault="00C34226">
      <w:pPr>
        <w:pStyle w:val="affffff0"/>
        <w:spacing w:line="240" w:lineRule="auto"/>
        <w:ind w:firstLine="420"/>
      </w:pPr>
    </w:p>
    <w:p w14:paraId="665C3683" w14:textId="77777777" w:rsidR="00C34226" w:rsidRDefault="00C34226">
      <w:pPr>
        <w:pStyle w:val="affffff0"/>
        <w:spacing w:line="240" w:lineRule="auto"/>
        <w:ind w:firstLine="420"/>
      </w:pPr>
    </w:p>
    <w:p w14:paraId="7AA4324D" w14:textId="77777777" w:rsidR="00C34226" w:rsidRDefault="00C34226">
      <w:pPr>
        <w:pStyle w:val="affffff0"/>
        <w:spacing w:line="240" w:lineRule="auto"/>
        <w:ind w:firstLine="420"/>
        <w:sectPr w:rsidR="00C34226">
          <w:pgSz w:w="11906" w:h="16838"/>
          <w:pgMar w:top="1928" w:right="1134" w:bottom="1134" w:left="1134" w:header="1418" w:footer="1134" w:gutter="284"/>
          <w:cols w:space="425"/>
          <w:formProt w:val="0"/>
          <w:docGrid w:type="lines" w:linePitch="312"/>
        </w:sectPr>
      </w:pPr>
      <w:bookmarkStart w:id="157" w:name="BookMark6"/>
      <w:bookmarkEnd w:id="140"/>
    </w:p>
    <w:p w14:paraId="082AB7B3" w14:textId="77777777" w:rsidR="00C34226" w:rsidRDefault="00000000">
      <w:pPr>
        <w:pStyle w:val="affffff7"/>
        <w:spacing w:after="156"/>
      </w:pPr>
      <w:bookmarkStart w:id="158" w:name="_Toc181107022"/>
      <w:bookmarkStart w:id="159" w:name="_Toc184132537"/>
      <w:bookmarkStart w:id="160" w:name="_Toc192173519"/>
      <w:bookmarkStart w:id="161" w:name="_Toc181106083"/>
      <w:r>
        <w:rPr>
          <w:rFonts w:hint="eastAsia"/>
          <w:spacing w:val="105"/>
        </w:rPr>
        <w:lastRenderedPageBreak/>
        <w:t>参考文</w:t>
      </w:r>
      <w:r>
        <w:rPr>
          <w:rFonts w:hint="eastAsia"/>
        </w:rPr>
        <w:t>献</w:t>
      </w:r>
      <w:bookmarkEnd w:id="158"/>
      <w:bookmarkEnd w:id="159"/>
      <w:bookmarkEnd w:id="160"/>
      <w:bookmarkEnd w:id="161"/>
    </w:p>
    <w:p w14:paraId="69D60E17" w14:textId="77777777" w:rsidR="00C34226" w:rsidRDefault="00000000">
      <w:pPr>
        <w:pStyle w:val="affffff0"/>
        <w:spacing w:after="0" w:line="240" w:lineRule="auto"/>
        <w:ind w:firstLine="420"/>
      </w:pPr>
      <w:r>
        <w:t>[</w:t>
      </w:r>
      <w:r>
        <w:rPr>
          <w:rFonts w:hint="eastAsia"/>
        </w:rPr>
        <w:t>1</w:t>
      </w:r>
      <w:r>
        <w:t>]</w:t>
      </w:r>
      <w:r>
        <w:rPr>
          <w:rFonts w:hint="eastAsia"/>
        </w:rPr>
        <w:t xml:space="preserve"> GB/T 2589  综合能耗计算通则</w:t>
      </w:r>
    </w:p>
    <w:p w14:paraId="53E76DCF" w14:textId="77777777" w:rsidR="00C34226" w:rsidRDefault="00000000">
      <w:pPr>
        <w:pStyle w:val="affffff0"/>
        <w:spacing w:after="0" w:line="240" w:lineRule="auto"/>
        <w:ind w:firstLine="420"/>
      </w:pPr>
      <w:r>
        <w:t>[</w:t>
      </w:r>
      <w:r>
        <w:rPr>
          <w:rFonts w:hint="eastAsia"/>
        </w:rPr>
        <w:t>2</w:t>
      </w:r>
      <w:r>
        <w:t>]</w:t>
      </w:r>
      <w:r>
        <w:rPr>
          <w:rFonts w:hint="eastAsia"/>
        </w:rPr>
        <w:t xml:space="preserve"> GB/T 23331  能源管理体系要求及使用指南</w:t>
      </w:r>
    </w:p>
    <w:p w14:paraId="706C75CA" w14:textId="77777777" w:rsidR="00C34226" w:rsidRDefault="00000000">
      <w:pPr>
        <w:pStyle w:val="affffff0"/>
        <w:spacing w:after="0" w:line="240" w:lineRule="auto"/>
        <w:ind w:firstLine="420"/>
      </w:pPr>
      <w:r>
        <w:t>[</w:t>
      </w:r>
      <w:r>
        <w:rPr>
          <w:rFonts w:hint="eastAsia"/>
        </w:rPr>
        <w:t>3</w:t>
      </w:r>
      <w:r>
        <w:t>]</w:t>
      </w:r>
      <w:r>
        <w:rPr>
          <w:rFonts w:hint="eastAsia"/>
        </w:rPr>
        <w:t xml:space="preserve"> GB/T 40498  公共机构能耗定额标准编制通则</w:t>
      </w:r>
    </w:p>
    <w:p w14:paraId="0BEFAD30" w14:textId="77777777" w:rsidR="00C34226" w:rsidRDefault="00000000">
      <w:pPr>
        <w:pStyle w:val="affffff0"/>
        <w:spacing w:after="0" w:line="240" w:lineRule="auto"/>
        <w:ind w:firstLine="420"/>
      </w:pPr>
      <w:r>
        <w:t>[</w:t>
      </w:r>
      <w:r>
        <w:rPr>
          <w:rFonts w:hint="eastAsia"/>
        </w:rPr>
        <w:t>4</w:t>
      </w:r>
      <w:r>
        <w:t>]</w:t>
      </w:r>
      <w:r>
        <w:rPr>
          <w:rFonts w:hint="eastAsia"/>
        </w:rPr>
        <w:t xml:space="preserve"> DB13(J)/T 8353-2020  公共机构能耗定额标准</w:t>
      </w:r>
    </w:p>
    <w:bookmarkEnd w:id="157"/>
    <w:p w14:paraId="04D3C602" w14:textId="77777777" w:rsidR="00C34226" w:rsidRDefault="00C34226">
      <w:pPr>
        <w:pStyle w:val="affffff0"/>
        <w:spacing w:line="240" w:lineRule="auto"/>
        <w:ind w:firstLineChars="0" w:firstLine="0"/>
        <w:jc w:val="center"/>
      </w:pPr>
    </w:p>
    <w:sectPr w:rsidR="00C34226">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4D5701" w14:textId="77777777" w:rsidR="009B5A6A" w:rsidRDefault="009B5A6A">
      <w:pPr>
        <w:spacing w:line="240" w:lineRule="auto"/>
      </w:pPr>
      <w:r>
        <w:separator/>
      </w:r>
    </w:p>
  </w:endnote>
  <w:endnote w:type="continuationSeparator" w:id="0">
    <w:p w14:paraId="59949BAC" w14:textId="77777777" w:rsidR="009B5A6A" w:rsidRDefault="009B5A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LfX3I1UR+TimesNewRomanPSMT">
    <w:altName w:val="微软雅黑"/>
    <w:charset w:val="00"/>
    <w:family w:val="auto"/>
    <w:pitch w:val="default"/>
    <w:sig w:usb0="00000000" w:usb1="00000000" w:usb2="00000016" w:usb3="00000000" w:csb0="0004001F" w:csb1="00000000"/>
  </w:font>
  <w:font w:name="KTpcKGKq+SimSun">
    <w:altName w:val="微软雅黑"/>
    <w:charset w:val="00"/>
    <w:family w:val="auto"/>
    <w:pitch w:val="default"/>
    <w:sig w:usb0="00000000" w:usb1="0000000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BA029" w14:textId="77777777" w:rsidR="00C34226" w:rsidRDefault="00000000" w:rsidP="00303B4C">
    <w:pPr>
      <w:pStyle w:val="affff6"/>
      <w:jc w:val="left"/>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9CC59" w14:textId="77777777" w:rsidR="00C34226" w:rsidRDefault="00C34226">
    <w:pPr>
      <w:pStyle w:val="affff6"/>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E1B40" w14:textId="77777777" w:rsidR="00C34226" w:rsidRDefault="00000000" w:rsidP="00303B4C">
    <w:pPr>
      <w:pStyle w:val="afffffd"/>
    </w:pPr>
    <w:r>
      <w:fldChar w:fldCharType="begin"/>
    </w:r>
    <w:r>
      <w:instrText>PAGE   \* MERGEFORMAT</w:instrText>
    </w:r>
    <w:r>
      <w:fldChar w:fldCharType="separate"/>
    </w:r>
    <w:r>
      <w:rPr>
        <w:lang w:val="zh-CN"/>
      </w:rPr>
      <w:t>18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68EC6" w14:textId="77777777" w:rsidR="009B5A6A" w:rsidRDefault="009B5A6A">
      <w:pPr>
        <w:spacing w:after="0" w:line="240" w:lineRule="auto"/>
      </w:pPr>
      <w:r>
        <w:separator/>
      </w:r>
    </w:p>
  </w:footnote>
  <w:footnote w:type="continuationSeparator" w:id="0">
    <w:p w14:paraId="11650C60" w14:textId="77777777" w:rsidR="009B5A6A" w:rsidRDefault="009B5A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7C139" w14:textId="77777777" w:rsidR="00C34226" w:rsidRDefault="00000000">
    <w:pPr>
      <w:pStyle w:val="affff8"/>
      <w:wordWrap w:val="0"/>
      <w:jc w:val="right"/>
      <w:rPr>
        <w:rFonts w:ascii="黑体" w:eastAsia="黑体" w:hAnsi="黑体" w:hint="eastAsia"/>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2F6FD" w14:textId="77777777" w:rsidR="00C34226" w:rsidRDefault="00C34226">
    <w:pPr>
      <w:pStyle w:val="affff8"/>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7EED7" w14:textId="2CEC16F7" w:rsidR="00C34226" w:rsidRDefault="00000000">
    <w:pPr>
      <w:pStyle w:val="affff8"/>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sidR="000A0A31">
      <w:rPr>
        <w:noProof/>
        <w:lang w:val="fr-FR"/>
      </w:rPr>
      <w:t>DB 13/T 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FDA10" w14:textId="1F6E6C89" w:rsidR="00C34226" w:rsidRDefault="00000000">
    <w:pPr>
      <w:pStyle w:val="affffff5"/>
      <w:rPr>
        <w:rFonts w:hint="eastAsia"/>
      </w:rPr>
    </w:pPr>
    <w:r>
      <w:fldChar w:fldCharType="begin"/>
    </w:r>
    <w:r>
      <w:instrText xml:space="preserve"> STYLEREF  标准文件_文件编号  \* MERGEFORMAT </w:instrText>
    </w:r>
    <w:r>
      <w:fldChar w:fldCharType="separate"/>
    </w:r>
    <w:r w:rsidR="000A0A31">
      <w:rPr>
        <w:rFonts w:hint="eastAsia"/>
        <w:noProof/>
      </w:rPr>
      <w:t>DB 13/T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1FC91163"/>
    <w:multiLevelType w:val="multilevel"/>
    <w:tmpl w:val="1FC91163"/>
    <w:lvl w:ilvl="0">
      <w:start w:val="1"/>
      <w:numFmt w:val="decimal"/>
      <w:pStyle w:val="af2"/>
      <w:suff w:val="nothing"/>
      <w:lvlText w:val="%1　"/>
      <w:lvlJc w:val="left"/>
      <w:pPr>
        <w:ind w:left="0" w:firstLine="0"/>
      </w:pPr>
      <w:rPr>
        <w:rFonts w:ascii="黑体" w:eastAsia="黑体" w:hAnsi="Times New Roman" w:hint="eastAsia"/>
        <w:b w:val="0"/>
        <w:i w:val="0"/>
        <w:sz w:val="21"/>
        <w:szCs w:val="21"/>
      </w:rPr>
    </w:lvl>
    <w:lvl w:ilvl="1">
      <w:start w:val="1"/>
      <w:numFmt w:val="decimal"/>
      <w:pStyle w:val="af3"/>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f4"/>
      <w:suff w:val="nothing"/>
      <w:lvlText w:val="%1.%2.%3　"/>
      <w:lvlJc w:val="left"/>
      <w:pPr>
        <w:ind w:left="284" w:firstLine="0"/>
      </w:pPr>
      <w:rPr>
        <w:rFonts w:ascii="黑体" w:eastAsia="黑体" w:hAnsi="Times New Roman" w:hint="eastAsia"/>
        <w:b w:val="0"/>
        <w:i w:val="0"/>
        <w:color w:val="auto"/>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0" w:firstLine="0"/>
      </w:pPr>
      <w:rPr>
        <w:rFonts w:hint="eastAsia"/>
      </w:rPr>
    </w:lvl>
    <w:lvl w:ilvl="8">
      <w:start w:val="1"/>
      <w:numFmt w:val="decimal"/>
      <w:lvlText w:val="%1.%2.%3.%4.%5.%6.%7.%8.%9"/>
      <w:lvlJc w:val="left"/>
      <w:pPr>
        <w:tabs>
          <w:tab w:val="left" w:pos="4777"/>
        </w:tabs>
        <w:ind w:left="0" w:firstLine="0"/>
      </w:pPr>
      <w:rPr>
        <w:rFonts w:hint="eastAsia"/>
      </w:rPr>
    </w:lvl>
  </w:abstractNum>
  <w:abstractNum w:abstractNumId="11" w15:restartNumberingAfterBreak="0">
    <w:nsid w:val="2C5917C3"/>
    <w:multiLevelType w:val="multilevel"/>
    <w:tmpl w:val="2C5917C3"/>
    <w:lvl w:ilvl="0">
      <w:start w:val="1"/>
      <w:numFmt w:val="none"/>
      <w:pStyle w:val="af8"/>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9"/>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32F04FB2"/>
    <w:multiLevelType w:val="multilevel"/>
    <w:tmpl w:val="32F04FB2"/>
    <w:lvl w:ilvl="0">
      <w:start w:val="1"/>
      <w:numFmt w:val="lowerLetter"/>
      <w:pStyle w:val="afa"/>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44C50F90"/>
    <w:lvl w:ilvl="0">
      <w:start w:val="1"/>
      <w:numFmt w:val="lowerLetter"/>
      <w:pStyle w:val="afb"/>
      <w:lvlText w:val="%1)"/>
      <w:lvlJc w:val="left"/>
      <w:pPr>
        <w:tabs>
          <w:tab w:val="left" w:pos="851"/>
        </w:tabs>
        <w:ind w:left="851" w:hanging="426"/>
      </w:pPr>
      <w:rPr>
        <w:rFonts w:ascii="宋体" w:eastAsia="宋体" w:hAnsi="Times New Roman" w:hint="eastAsia"/>
        <w:sz w:val="21"/>
      </w:rPr>
    </w:lvl>
    <w:lvl w:ilvl="1">
      <w:start w:val="1"/>
      <w:numFmt w:val="decimal"/>
      <w:pStyle w:val="afc"/>
      <w:lvlText w:val="%2)"/>
      <w:lvlJc w:val="left"/>
      <w:pPr>
        <w:tabs>
          <w:tab w:val="left" w:pos="1276"/>
        </w:tabs>
        <w:ind w:left="1276" w:hanging="425"/>
      </w:pPr>
      <w:rPr>
        <w:rFonts w:ascii="宋体" w:eastAsia="宋体" w:hAnsi="Times New Roman" w:hint="eastAsia"/>
        <w:sz w:val="21"/>
      </w:rPr>
    </w:lvl>
    <w:lvl w:ilvl="2">
      <w:start w:val="1"/>
      <w:numFmt w:val="decimal"/>
      <w:pStyle w:val="afd"/>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e"/>
      <w:lvlText w:val="%1"/>
      <w:lvlJc w:val="left"/>
      <w:pPr>
        <w:ind w:left="420" w:hanging="420"/>
      </w:pPr>
      <w:rPr>
        <w:rFonts w:hint="eastAsia"/>
      </w:rPr>
    </w:lvl>
    <w:lvl w:ilvl="1">
      <w:start w:val="1"/>
      <w:numFmt w:val="decimal"/>
      <w:pStyle w:val="aff"/>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f0"/>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f1"/>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f2"/>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7C2AF5"/>
    <w:multiLevelType w:val="multilevel"/>
    <w:tmpl w:val="557C2AF5"/>
    <w:lvl w:ilvl="0">
      <w:start w:val="1"/>
      <w:numFmt w:val="decimal"/>
      <w:pStyle w:val="aff3"/>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15:restartNumberingAfterBreak="0">
    <w:nsid w:val="5603797C"/>
    <w:multiLevelType w:val="multilevel"/>
    <w:tmpl w:val="5603797C"/>
    <w:lvl w:ilvl="0">
      <w:start w:val="1"/>
      <w:numFmt w:val="upperLetter"/>
      <w:pStyle w:val="aff4"/>
      <w:suff w:val="space"/>
      <w:lvlText w:val="%1"/>
      <w:lvlJc w:val="left"/>
      <w:pPr>
        <w:ind w:left="425" w:hanging="425"/>
      </w:pPr>
      <w:rPr>
        <w:rFonts w:hint="eastAsia"/>
      </w:rPr>
    </w:lvl>
    <w:lvl w:ilvl="1">
      <w:start w:val="1"/>
      <w:numFmt w:val="decimal"/>
      <w:pStyle w:val="aff5"/>
      <w:suff w:val="space"/>
      <w:lvlText w:val="表%1.%2"/>
      <w:lvlJc w:val="center"/>
      <w:pPr>
        <w:ind w:left="3119" w:firstLine="0"/>
      </w:pPr>
      <w:rPr>
        <w:rFonts w:ascii="黑体" w:eastAsia="黑体" w:hint="eastAsia"/>
        <w:sz w:val="21"/>
        <w:lang w:val="en-US"/>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multilevel"/>
    <w:tmpl w:val="564D2089"/>
    <w:lvl w:ilvl="0">
      <w:start w:val="1"/>
      <w:numFmt w:val="none"/>
      <w:pStyle w:val="aff6"/>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44622F9"/>
    <w:multiLevelType w:val="multilevel"/>
    <w:tmpl w:val="644622F9"/>
    <w:lvl w:ilvl="0">
      <w:start w:val="1"/>
      <w:numFmt w:val="upperRoman"/>
      <w:pStyle w:val="aff7"/>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15:restartNumberingAfterBreak="0">
    <w:nsid w:val="646260FA"/>
    <w:multiLevelType w:val="multilevel"/>
    <w:tmpl w:val="646260FA"/>
    <w:lvl w:ilvl="0">
      <w:start w:val="1"/>
      <w:numFmt w:val="decimal"/>
      <w:pStyle w:val="aff8"/>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657D3FBC"/>
    <w:lvl w:ilvl="0">
      <w:start w:val="1"/>
      <w:numFmt w:val="upperLetter"/>
      <w:pStyle w:val="aff9"/>
      <w:suff w:val="nothing"/>
      <w:lvlText w:val="附录%1"/>
      <w:lvlJc w:val="left"/>
      <w:pPr>
        <w:ind w:left="2693" w:firstLine="0"/>
      </w:pPr>
      <w:rPr>
        <w:rFonts w:hint="eastAsia"/>
        <w:spacing w:val="100"/>
      </w:rPr>
    </w:lvl>
    <w:lvl w:ilvl="1">
      <w:start w:val="1"/>
      <w:numFmt w:val="decimal"/>
      <w:pStyle w:val="affa"/>
      <w:suff w:val="nothing"/>
      <w:lvlText w:val="%1.%2　"/>
      <w:lvlJc w:val="left"/>
      <w:pPr>
        <w:ind w:left="0" w:firstLine="0"/>
      </w:pPr>
      <w:rPr>
        <w:rFonts w:ascii="黑体" w:eastAsia="黑体" w:hint="eastAsia"/>
        <w:b w:val="0"/>
        <w:i w:val="0"/>
        <w:sz w:val="21"/>
      </w:rPr>
    </w:lvl>
    <w:lvl w:ilvl="2">
      <w:start w:val="1"/>
      <w:numFmt w:val="decimal"/>
      <w:pStyle w:val="affb"/>
      <w:suff w:val="nothing"/>
      <w:lvlText w:val="%1.%2.%3　"/>
      <w:lvlJc w:val="left"/>
      <w:pPr>
        <w:ind w:left="0" w:firstLine="0"/>
      </w:pPr>
      <w:rPr>
        <w:rFonts w:ascii="黑体" w:eastAsia="黑体" w:hint="eastAsia"/>
        <w:b w:val="0"/>
        <w:i w:val="0"/>
        <w:sz w:val="21"/>
      </w:rPr>
    </w:lvl>
    <w:lvl w:ilvl="3">
      <w:start w:val="1"/>
      <w:numFmt w:val="decimal"/>
      <w:pStyle w:val="affc"/>
      <w:suff w:val="nothing"/>
      <w:lvlText w:val="%1.%2.%3.%4　"/>
      <w:lvlJc w:val="left"/>
      <w:pPr>
        <w:ind w:left="0" w:firstLine="0"/>
      </w:pPr>
      <w:rPr>
        <w:rFonts w:ascii="黑体" w:eastAsia="黑体" w:hint="eastAsia"/>
        <w:b w:val="0"/>
        <w:i w:val="0"/>
        <w:sz w:val="21"/>
      </w:rPr>
    </w:lvl>
    <w:lvl w:ilvl="4">
      <w:start w:val="1"/>
      <w:numFmt w:val="decimal"/>
      <w:pStyle w:val="affd"/>
      <w:suff w:val="nothing"/>
      <w:lvlText w:val="%1.%2.%3.%4.%5　"/>
      <w:lvlJc w:val="left"/>
      <w:pPr>
        <w:ind w:left="0" w:firstLine="0"/>
      </w:pPr>
      <w:rPr>
        <w:rFonts w:ascii="黑体" w:eastAsia="黑体" w:hint="eastAsia"/>
        <w:b w:val="0"/>
        <w:i w:val="0"/>
        <w:sz w:val="21"/>
      </w:rPr>
    </w:lvl>
    <w:lvl w:ilvl="5">
      <w:start w:val="1"/>
      <w:numFmt w:val="decimal"/>
      <w:pStyle w:val="affe"/>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multilevel"/>
    <w:tmpl w:val="6CA41985"/>
    <w:lvl w:ilvl="0">
      <w:start w:val="1"/>
      <w:numFmt w:val="decimal"/>
      <w:pStyle w:val="afff"/>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6CE42AC1"/>
    <w:multiLevelType w:val="multilevel"/>
    <w:tmpl w:val="6CE42AC1"/>
    <w:lvl w:ilvl="0">
      <w:start w:val="1"/>
      <w:numFmt w:val="lowerLetter"/>
      <w:pStyle w:val="afff0"/>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6CEA2025"/>
    <w:multiLevelType w:val="multilevel"/>
    <w:tmpl w:val="6CEA2025"/>
    <w:lvl w:ilvl="0">
      <w:start w:val="1"/>
      <w:numFmt w:val="none"/>
      <w:pStyle w:val="afff1"/>
      <w:suff w:val="nothing"/>
      <w:lvlText w:val="%1"/>
      <w:lvlJc w:val="left"/>
      <w:pPr>
        <w:ind w:left="0" w:firstLine="0"/>
      </w:pPr>
      <w:rPr>
        <w:rFonts w:hint="eastAsia"/>
      </w:rPr>
    </w:lvl>
    <w:lvl w:ilvl="1">
      <w:start w:val="1"/>
      <w:numFmt w:val="decimal"/>
      <w:pStyle w:val="afff2"/>
      <w:suff w:val="nothing"/>
      <w:lvlText w:val="%1%2　"/>
      <w:lvlJc w:val="left"/>
      <w:pPr>
        <w:ind w:left="0" w:firstLine="0"/>
      </w:pPr>
      <w:rPr>
        <w:rFonts w:ascii="黑体" w:eastAsia="黑体" w:hint="eastAsia"/>
        <w:b w:val="0"/>
        <w:i w:val="0"/>
        <w:sz w:val="21"/>
      </w:rPr>
    </w:lvl>
    <w:lvl w:ilvl="2">
      <w:start w:val="1"/>
      <w:numFmt w:val="decimal"/>
      <w:pStyle w:val="afff3"/>
      <w:suff w:val="nothing"/>
      <w:lvlText w:val="%1%2.%3　"/>
      <w:lvlJc w:val="left"/>
      <w:pPr>
        <w:ind w:left="284"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f4"/>
      <w:suff w:val="nothing"/>
      <w:lvlText w:val="%1%2.%3.%4　"/>
      <w:lvlJc w:val="left"/>
      <w:pPr>
        <w:ind w:left="1275" w:firstLine="0"/>
      </w:pPr>
      <w:rPr>
        <w:rFonts w:ascii="黑体" w:eastAsia="黑体" w:hint="eastAsia"/>
        <w:b w:val="0"/>
        <w:i w:val="0"/>
        <w:color w:val="auto"/>
        <w:sz w:val="21"/>
      </w:rPr>
    </w:lvl>
    <w:lvl w:ilvl="4">
      <w:start w:val="1"/>
      <w:numFmt w:val="decimal"/>
      <w:pStyle w:val="afff5"/>
      <w:suff w:val="nothing"/>
      <w:lvlText w:val="%1%2.%3.%4.%5　"/>
      <w:lvlJc w:val="left"/>
      <w:pPr>
        <w:ind w:left="1276" w:firstLine="0"/>
      </w:pPr>
      <w:rPr>
        <w:rFonts w:ascii="黑体" w:eastAsia="黑体" w:hint="eastAsia"/>
        <w:b w:val="0"/>
        <w:i w:val="0"/>
        <w:sz w:val="21"/>
      </w:rPr>
    </w:lvl>
    <w:lvl w:ilvl="5">
      <w:start w:val="1"/>
      <w:numFmt w:val="decimal"/>
      <w:pStyle w:val="afff6"/>
      <w:suff w:val="nothing"/>
      <w:lvlText w:val="%1%2.%3.%4.%5.%6　"/>
      <w:lvlJc w:val="left"/>
      <w:pPr>
        <w:ind w:left="0" w:firstLine="0"/>
      </w:pPr>
      <w:rPr>
        <w:rFonts w:ascii="黑体" w:eastAsia="黑体" w:hint="eastAsia"/>
        <w:b w:val="0"/>
        <w:i w:val="0"/>
        <w:sz w:val="21"/>
      </w:rPr>
    </w:lvl>
    <w:lvl w:ilvl="6">
      <w:start w:val="1"/>
      <w:numFmt w:val="decimal"/>
      <w:pStyle w:val="afff7"/>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15:restartNumberingAfterBreak="0">
    <w:nsid w:val="6DBF04F4"/>
    <w:multiLevelType w:val="multilevel"/>
    <w:tmpl w:val="6DBF04F4"/>
    <w:lvl w:ilvl="0">
      <w:start w:val="1"/>
      <w:numFmt w:val="none"/>
      <w:pStyle w:val="afff8"/>
      <w:lvlText w:val="%1注："/>
      <w:lvlJc w:val="left"/>
      <w:pPr>
        <w:ind w:left="547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0" w15:restartNumberingAfterBreak="0">
    <w:nsid w:val="6DF35F19"/>
    <w:multiLevelType w:val="multilevel"/>
    <w:tmpl w:val="6DF35F19"/>
    <w:lvl w:ilvl="0">
      <w:start w:val="1"/>
      <w:numFmt w:val="decimal"/>
      <w:pStyle w:val="afff9"/>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1" w15:restartNumberingAfterBreak="0">
    <w:nsid w:val="76933334"/>
    <w:multiLevelType w:val="multilevel"/>
    <w:tmpl w:val="76933334"/>
    <w:lvl w:ilvl="0">
      <w:start w:val="1"/>
      <w:numFmt w:val="none"/>
      <w:pStyle w:val="afffa"/>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509831305">
    <w:abstractNumId w:val="0"/>
  </w:num>
  <w:num w:numId="2" w16cid:durableId="816086">
    <w:abstractNumId w:val="28"/>
  </w:num>
  <w:num w:numId="3" w16cid:durableId="1349604416">
    <w:abstractNumId w:val="5"/>
  </w:num>
  <w:num w:numId="4" w16cid:durableId="559680630">
    <w:abstractNumId w:val="24"/>
  </w:num>
  <w:num w:numId="5" w16cid:durableId="1411658418">
    <w:abstractNumId w:val="19"/>
  </w:num>
  <w:num w:numId="6" w16cid:durableId="242378569">
    <w:abstractNumId w:val="14"/>
  </w:num>
  <w:num w:numId="7" w16cid:durableId="2045397179">
    <w:abstractNumId w:val="8"/>
  </w:num>
  <w:num w:numId="8" w16cid:durableId="932318011">
    <w:abstractNumId w:val="3"/>
  </w:num>
  <w:num w:numId="9" w16cid:durableId="295259730">
    <w:abstractNumId w:val="9"/>
  </w:num>
  <w:num w:numId="10" w16cid:durableId="1715958433">
    <w:abstractNumId w:val="17"/>
  </w:num>
  <w:num w:numId="11" w16cid:durableId="921640191">
    <w:abstractNumId w:val="26"/>
  </w:num>
  <w:num w:numId="12" w16cid:durableId="1855261880">
    <w:abstractNumId w:val="12"/>
  </w:num>
  <w:num w:numId="13" w16cid:durableId="1728675785">
    <w:abstractNumId w:val="13"/>
  </w:num>
  <w:num w:numId="14" w16cid:durableId="543256585">
    <w:abstractNumId w:val="7"/>
  </w:num>
  <w:num w:numId="15" w16cid:durableId="1101148867">
    <w:abstractNumId w:val="20"/>
  </w:num>
  <w:num w:numId="16" w16cid:durableId="1472165552">
    <w:abstractNumId w:val="22"/>
  </w:num>
  <w:num w:numId="17" w16cid:durableId="79838477">
    <w:abstractNumId w:val="18"/>
  </w:num>
  <w:num w:numId="18" w16cid:durableId="1318068723">
    <w:abstractNumId w:val="30"/>
  </w:num>
  <w:num w:numId="19" w16cid:durableId="1577084291">
    <w:abstractNumId w:val="16"/>
  </w:num>
  <w:num w:numId="20" w16cid:durableId="488865009">
    <w:abstractNumId w:val="1"/>
  </w:num>
  <w:num w:numId="21" w16cid:durableId="1780638004">
    <w:abstractNumId w:val="11"/>
  </w:num>
  <w:num w:numId="22" w16cid:durableId="770659062">
    <w:abstractNumId w:val="31"/>
  </w:num>
  <w:num w:numId="23" w16cid:durableId="742223023">
    <w:abstractNumId w:val="21"/>
  </w:num>
  <w:num w:numId="24" w16cid:durableId="1516653522">
    <w:abstractNumId w:val="6"/>
  </w:num>
  <w:num w:numId="25" w16cid:durableId="457994491">
    <w:abstractNumId w:val="27"/>
  </w:num>
  <w:num w:numId="26" w16cid:durableId="1296334574">
    <w:abstractNumId w:val="29"/>
  </w:num>
  <w:num w:numId="27" w16cid:durableId="656884687">
    <w:abstractNumId w:val="2"/>
  </w:num>
  <w:num w:numId="28" w16cid:durableId="682900775">
    <w:abstractNumId w:val="4"/>
  </w:num>
  <w:num w:numId="29" w16cid:durableId="737895539">
    <w:abstractNumId w:val="15"/>
  </w:num>
  <w:num w:numId="30" w16cid:durableId="1729111689">
    <w:abstractNumId w:val="25"/>
  </w:num>
  <w:num w:numId="31" w16cid:durableId="1792745022">
    <w:abstractNumId w:val="23"/>
  </w:num>
  <w:num w:numId="32" w16cid:durableId="1174110181">
    <w:abstractNumId w:val="10"/>
  </w:num>
  <w:num w:numId="33" w16cid:durableId="73925030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5065869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573553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9851630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4518246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1179914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5783818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4798247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4152812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documentProtection w:edit="forms" w:enforcement="1" w:cryptProviderType="rsaAES" w:cryptAlgorithmClass="hash" w:cryptAlgorithmType="typeAny" w:cryptAlgorithmSid="14" w:cryptSpinCount="100000" w:hash="zT2Rq5yMDUkPFZjW2lHSGa2DXdpJEsZXlMkuD1QDNGkbZpRTONtI7jPE6naLcmGCHAYLROguv0YGs34KcAoqIA==" w:salt="h+98NJE6NYD13wqWriHiFg=="/>
  <w:defaultTabStop w:val="399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UyZjMzZTY3YWMzZjFlYWNiMDI3ZDdjY2M1MGZkYzYifQ=="/>
    <w:docVar w:name="KSO_WPS_MARK_KEY" w:val="207e4353-4e4b-493e-a4e2-5b39f8469f8d"/>
  </w:docVars>
  <w:rsids>
    <w:rsidRoot w:val="00467538"/>
    <w:rsid w:val="D7FE1C65"/>
    <w:rsid w:val="DFD7E9D5"/>
    <w:rsid w:val="EFEFB66D"/>
    <w:rsid w:val="0000040A"/>
    <w:rsid w:val="00000A94"/>
    <w:rsid w:val="00001972"/>
    <w:rsid w:val="00001D9A"/>
    <w:rsid w:val="00003873"/>
    <w:rsid w:val="00005F98"/>
    <w:rsid w:val="00007B3A"/>
    <w:rsid w:val="0001055F"/>
    <w:rsid w:val="000107E0"/>
    <w:rsid w:val="00011FDE"/>
    <w:rsid w:val="00012FFD"/>
    <w:rsid w:val="00014162"/>
    <w:rsid w:val="00014340"/>
    <w:rsid w:val="0001541A"/>
    <w:rsid w:val="00016A9C"/>
    <w:rsid w:val="00020B62"/>
    <w:rsid w:val="00022184"/>
    <w:rsid w:val="00022762"/>
    <w:rsid w:val="000231B5"/>
    <w:rsid w:val="000238E0"/>
    <w:rsid w:val="000249DB"/>
    <w:rsid w:val="0002595E"/>
    <w:rsid w:val="000303C3"/>
    <w:rsid w:val="000331D3"/>
    <w:rsid w:val="000346A5"/>
    <w:rsid w:val="00034DA1"/>
    <w:rsid w:val="000359C3"/>
    <w:rsid w:val="00035A7D"/>
    <w:rsid w:val="000365ED"/>
    <w:rsid w:val="000420AC"/>
    <w:rsid w:val="0004249A"/>
    <w:rsid w:val="00043282"/>
    <w:rsid w:val="000437CE"/>
    <w:rsid w:val="00044286"/>
    <w:rsid w:val="00044738"/>
    <w:rsid w:val="000474D8"/>
    <w:rsid w:val="00047F28"/>
    <w:rsid w:val="000503AA"/>
    <w:rsid w:val="000506A1"/>
    <w:rsid w:val="00050DA8"/>
    <w:rsid w:val="000515DD"/>
    <w:rsid w:val="0005209E"/>
    <w:rsid w:val="0005265A"/>
    <w:rsid w:val="000539DD"/>
    <w:rsid w:val="00053BD3"/>
    <w:rsid w:val="00054CB5"/>
    <w:rsid w:val="000553E9"/>
    <w:rsid w:val="000556ED"/>
    <w:rsid w:val="00055FE2"/>
    <w:rsid w:val="0005616F"/>
    <w:rsid w:val="00060C2E"/>
    <w:rsid w:val="00061033"/>
    <w:rsid w:val="000619E9"/>
    <w:rsid w:val="000622D4"/>
    <w:rsid w:val="00062D4B"/>
    <w:rsid w:val="0006357D"/>
    <w:rsid w:val="000663D9"/>
    <w:rsid w:val="00067F1E"/>
    <w:rsid w:val="00071CC0"/>
    <w:rsid w:val="00072EAA"/>
    <w:rsid w:val="00073C8C"/>
    <w:rsid w:val="00077B64"/>
    <w:rsid w:val="000809F2"/>
    <w:rsid w:val="00080A1C"/>
    <w:rsid w:val="00081D5F"/>
    <w:rsid w:val="00082317"/>
    <w:rsid w:val="00083D2C"/>
    <w:rsid w:val="00083F8B"/>
    <w:rsid w:val="000844B7"/>
    <w:rsid w:val="00086AA1"/>
    <w:rsid w:val="00087A77"/>
    <w:rsid w:val="00090CA6"/>
    <w:rsid w:val="000913C8"/>
    <w:rsid w:val="00092B8A"/>
    <w:rsid w:val="00092FB0"/>
    <w:rsid w:val="000934C5"/>
    <w:rsid w:val="00093D25"/>
    <w:rsid w:val="00093DAB"/>
    <w:rsid w:val="00094D73"/>
    <w:rsid w:val="00096D63"/>
    <w:rsid w:val="000976DB"/>
    <w:rsid w:val="00097D8D"/>
    <w:rsid w:val="000A0A31"/>
    <w:rsid w:val="000A0B60"/>
    <w:rsid w:val="000A0EB8"/>
    <w:rsid w:val="000A19FC"/>
    <w:rsid w:val="000A296B"/>
    <w:rsid w:val="000A3C78"/>
    <w:rsid w:val="000A4A38"/>
    <w:rsid w:val="000A7311"/>
    <w:rsid w:val="000B060F"/>
    <w:rsid w:val="000B1592"/>
    <w:rsid w:val="000B1FF2"/>
    <w:rsid w:val="000B3CDA"/>
    <w:rsid w:val="000B3F7B"/>
    <w:rsid w:val="000B6A0B"/>
    <w:rsid w:val="000C0F6C"/>
    <w:rsid w:val="000C11DB"/>
    <w:rsid w:val="000C1492"/>
    <w:rsid w:val="000C2FBD"/>
    <w:rsid w:val="000C4B41"/>
    <w:rsid w:val="000C57D6"/>
    <w:rsid w:val="000C6362"/>
    <w:rsid w:val="000C68AF"/>
    <w:rsid w:val="000C7666"/>
    <w:rsid w:val="000D0A9C"/>
    <w:rsid w:val="000D1795"/>
    <w:rsid w:val="000D329A"/>
    <w:rsid w:val="000D4B9C"/>
    <w:rsid w:val="000D4EB6"/>
    <w:rsid w:val="000D5330"/>
    <w:rsid w:val="000D6517"/>
    <w:rsid w:val="000D753B"/>
    <w:rsid w:val="000D76C6"/>
    <w:rsid w:val="000E4C9E"/>
    <w:rsid w:val="000E6FD7"/>
    <w:rsid w:val="000F06E1"/>
    <w:rsid w:val="000F0E3C"/>
    <w:rsid w:val="000F19D5"/>
    <w:rsid w:val="000F4AEA"/>
    <w:rsid w:val="000F633F"/>
    <w:rsid w:val="000F67E9"/>
    <w:rsid w:val="00101FD9"/>
    <w:rsid w:val="00104926"/>
    <w:rsid w:val="0011166B"/>
    <w:rsid w:val="001123E8"/>
    <w:rsid w:val="00113B1E"/>
    <w:rsid w:val="00113DDF"/>
    <w:rsid w:val="0011711C"/>
    <w:rsid w:val="0012059C"/>
    <w:rsid w:val="00120AED"/>
    <w:rsid w:val="0012476C"/>
    <w:rsid w:val="00124E4F"/>
    <w:rsid w:val="001260B7"/>
    <w:rsid w:val="001265CB"/>
    <w:rsid w:val="00131284"/>
    <w:rsid w:val="001321C6"/>
    <w:rsid w:val="001325C4"/>
    <w:rsid w:val="00133010"/>
    <w:rsid w:val="001338EE"/>
    <w:rsid w:val="00133AAE"/>
    <w:rsid w:val="00135323"/>
    <w:rsid w:val="001356C4"/>
    <w:rsid w:val="00136411"/>
    <w:rsid w:val="0013683B"/>
    <w:rsid w:val="00137CE0"/>
    <w:rsid w:val="00141114"/>
    <w:rsid w:val="00141E52"/>
    <w:rsid w:val="00142969"/>
    <w:rsid w:val="001446C2"/>
    <w:rsid w:val="0014565D"/>
    <w:rsid w:val="001457E7"/>
    <w:rsid w:val="00145D9D"/>
    <w:rsid w:val="00146388"/>
    <w:rsid w:val="001529E5"/>
    <w:rsid w:val="00152C8F"/>
    <w:rsid w:val="00153C7E"/>
    <w:rsid w:val="00156B25"/>
    <w:rsid w:val="00156E1A"/>
    <w:rsid w:val="001572BB"/>
    <w:rsid w:val="00157894"/>
    <w:rsid w:val="00157B55"/>
    <w:rsid w:val="00161FE0"/>
    <w:rsid w:val="001642FA"/>
    <w:rsid w:val="001649EB"/>
    <w:rsid w:val="00164BAF"/>
    <w:rsid w:val="00164FA8"/>
    <w:rsid w:val="00165065"/>
    <w:rsid w:val="00165434"/>
    <w:rsid w:val="0016580B"/>
    <w:rsid w:val="00165F49"/>
    <w:rsid w:val="00166B88"/>
    <w:rsid w:val="0016770A"/>
    <w:rsid w:val="00170804"/>
    <w:rsid w:val="001708E9"/>
    <w:rsid w:val="0017340B"/>
    <w:rsid w:val="00173B93"/>
    <w:rsid w:val="00173FB1"/>
    <w:rsid w:val="001745C2"/>
    <w:rsid w:val="00176DFD"/>
    <w:rsid w:val="001852C9"/>
    <w:rsid w:val="001876DF"/>
    <w:rsid w:val="00190087"/>
    <w:rsid w:val="00190B76"/>
    <w:rsid w:val="001913C4"/>
    <w:rsid w:val="0019348F"/>
    <w:rsid w:val="00193A07"/>
    <w:rsid w:val="00194C95"/>
    <w:rsid w:val="00195213"/>
    <w:rsid w:val="00195C34"/>
    <w:rsid w:val="00196EF5"/>
    <w:rsid w:val="001A1A53"/>
    <w:rsid w:val="001A1C38"/>
    <w:rsid w:val="001A234A"/>
    <w:rsid w:val="001A4CF3"/>
    <w:rsid w:val="001B06E8"/>
    <w:rsid w:val="001B3929"/>
    <w:rsid w:val="001B71D0"/>
    <w:rsid w:val="001B71EE"/>
    <w:rsid w:val="001C04A8"/>
    <w:rsid w:val="001C17AC"/>
    <w:rsid w:val="001C1DC4"/>
    <w:rsid w:val="001C2C03"/>
    <w:rsid w:val="001C42F7"/>
    <w:rsid w:val="001C49E5"/>
    <w:rsid w:val="001C680C"/>
    <w:rsid w:val="001C6952"/>
    <w:rsid w:val="001C7FEA"/>
    <w:rsid w:val="001D0499"/>
    <w:rsid w:val="001D0BBE"/>
    <w:rsid w:val="001D0ED4"/>
    <w:rsid w:val="001D212F"/>
    <w:rsid w:val="001D29D7"/>
    <w:rsid w:val="001D2DE7"/>
    <w:rsid w:val="001D411C"/>
    <w:rsid w:val="001E1AF1"/>
    <w:rsid w:val="001E1B6A"/>
    <w:rsid w:val="001E2484"/>
    <w:rsid w:val="001E3CC4"/>
    <w:rsid w:val="001E4882"/>
    <w:rsid w:val="001E73AB"/>
    <w:rsid w:val="001F092D"/>
    <w:rsid w:val="001F0D90"/>
    <w:rsid w:val="001F143A"/>
    <w:rsid w:val="001F1605"/>
    <w:rsid w:val="001F1EE1"/>
    <w:rsid w:val="001F2508"/>
    <w:rsid w:val="001F4816"/>
    <w:rsid w:val="001F4EE9"/>
    <w:rsid w:val="001F69B4"/>
    <w:rsid w:val="001F77C7"/>
    <w:rsid w:val="00200183"/>
    <w:rsid w:val="00200333"/>
    <w:rsid w:val="00200816"/>
    <w:rsid w:val="0020107D"/>
    <w:rsid w:val="00202AA4"/>
    <w:rsid w:val="002031F7"/>
    <w:rsid w:val="002040E6"/>
    <w:rsid w:val="0020527B"/>
    <w:rsid w:val="00205F2C"/>
    <w:rsid w:val="00206ED3"/>
    <w:rsid w:val="00207CDD"/>
    <w:rsid w:val="00210B15"/>
    <w:rsid w:val="002118C5"/>
    <w:rsid w:val="002140B6"/>
    <w:rsid w:val="002142EA"/>
    <w:rsid w:val="00214F68"/>
    <w:rsid w:val="002204BB"/>
    <w:rsid w:val="00221B79"/>
    <w:rsid w:val="00221C14"/>
    <w:rsid w:val="00221C6B"/>
    <w:rsid w:val="002253A1"/>
    <w:rsid w:val="00225C22"/>
    <w:rsid w:val="00225CF8"/>
    <w:rsid w:val="0022739D"/>
    <w:rsid w:val="0022794E"/>
    <w:rsid w:val="00227D6D"/>
    <w:rsid w:val="00233742"/>
    <w:rsid w:val="00233D64"/>
    <w:rsid w:val="0023482A"/>
    <w:rsid w:val="002359CB"/>
    <w:rsid w:val="00235DEA"/>
    <w:rsid w:val="00241A4E"/>
    <w:rsid w:val="00242EF7"/>
    <w:rsid w:val="00243105"/>
    <w:rsid w:val="00243540"/>
    <w:rsid w:val="0024497B"/>
    <w:rsid w:val="0024515B"/>
    <w:rsid w:val="002459D3"/>
    <w:rsid w:val="00246021"/>
    <w:rsid w:val="0024666E"/>
    <w:rsid w:val="00246AA5"/>
    <w:rsid w:val="00247F52"/>
    <w:rsid w:val="00250B25"/>
    <w:rsid w:val="00250BBE"/>
    <w:rsid w:val="002515C2"/>
    <w:rsid w:val="0025194F"/>
    <w:rsid w:val="00256AED"/>
    <w:rsid w:val="00257F11"/>
    <w:rsid w:val="0026148A"/>
    <w:rsid w:val="00262291"/>
    <w:rsid w:val="00262696"/>
    <w:rsid w:val="00263D25"/>
    <w:rsid w:val="002643C3"/>
    <w:rsid w:val="00264A0C"/>
    <w:rsid w:val="002655FC"/>
    <w:rsid w:val="0026674F"/>
    <w:rsid w:val="00266C2F"/>
    <w:rsid w:val="00266EEB"/>
    <w:rsid w:val="00267EF4"/>
    <w:rsid w:val="00270002"/>
    <w:rsid w:val="00270CB8"/>
    <w:rsid w:val="00272B08"/>
    <w:rsid w:val="00273EB6"/>
    <w:rsid w:val="002771AC"/>
    <w:rsid w:val="0028135F"/>
    <w:rsid w:val="00281BB8"/>
    <w:rsid w:val="00281BD7"/>
    <w:rsid w:val="00281E9E"/>
    <w:rsid w:val="00282405"/>
    <w:rsid w:val="00284149"/>
    <w:rsid w:val="00285170"/>
    <w:rsid w:val="00285361"/>
    <w:rsid w:val="00292D60"/>
    <w:rsid w:val="00293B30"/>
    <w:rsid w:val="00294D34"/>
    <w:rsid w:val="00294E3B"/>
    <w:rsid w:val="00296193"/>
    <w:rsid w:val="00296C66"/>
    <w:rsid w:val="00296E49"/>
    <w:rsid w:val="00296EBE"/>
    <w:rsid w:val="002974E3"/>
    <w:rsid w:val="002A084B"/>
    <w:rsid w:val="002A1260"/>
    <w:rsid w:val="002A1589"/>
    <w:rsid w:val="002A1608"/>
    <w:rsid w:val="002A25DC"/>
    <w:rsid w:val="002A3AAB"/>
    <w:rsid w:val="002A4CEA"/>
    <w:rsid w:val="002A5977"/>
    <w:rsid w:val="002A5A13"/>
    <w:rsid w:val="002A757F"/>
    <w:rsid w:val="002A7F44"/>
    <w:rsid w:val="002B0B66"/>
    <w:rsid w:val="002B0C40"/>
    <w:rsid w:val="002B1966"/>
    <w:rsid w:val="002B19CA"/>
    <w:rsid w:val="002B4266"/>
    <w:rsid w:val="002B4508"/>
    <w:rsid w:val="002B4F16"/>
    <w:rsid w:val="002B5779"/>
    <w:rsid w:val="002B6A24"/>
    <w:rsid w:val="002B7332"/>
    <w:rsid w:val="002B7F51"/>
    <w:rsid w:val="002C09E7"/>
    <w:rsid w:val="002C1B7F"/>
    <w:rsid w:val="002C1E06"/>
    <w:rsid w:val="002C1E1C"/>
    <w:rsid w:val="002C2761"/>
    <w:rsid w:val="002C3F07"/>
    <w:rsid w:val="002C5278"/>
    <w:rsid w:val="002C7EBB"/>
    <w:rsid w:val="002D03FE"/>
    <w:rsid w:val="002D06C1"/>
    <w:rsid w:val="002D408A"/>
    <w:rsid w:val="002D42B5"/>
    <w:rsid w:val="002D4F1A"/>
    <w:rsid w:val="002D6EC6"/>
    <w:rsid w:val="002D79AC"/>
    <w:rsid w:val="002D7C24"/>
    <w:rsid w:val="002D7E6C"/>
    <w:rsid w:val="002E039D"/>
    <w:rsid w:val="002E2168"/>
    <w:rsid w:val="002E24A2"/>
    <w:rsid w:val="002E4D5A"/>
    <w:rsid w:val="002E6326"/>
    <w:rsid w:val="002F30E0"/>
    <w:rsid w:val="002F35E4"/>
    <w:rsid w:val="002F3730"/>
    <w:rsid w:val="002F38E1"/>
    <w:rsid w:val="002F6BF5"/>
    <w:rsid w:val="002F7AF6"/>
    <w:rsid w:val="00300E63"/>
    <w:rsid w:val="0030107A"/>
    <w:rsid w:val="00302209"/>
    <w:rsid w:val="00302F5F"/>
    <w:rsid w:val="00303114"/>
    <w:rsid w:val="00303B4C"/>
    <w:rsid w:val="0030441D"/>
    <w:rsid w:val="00306063"/>
    <w:rsid w:val="003076B0"/>
    <w:rsid w:val="00311914"/>
    <w:rsid w:val="00312D42"/>
    <w:rsid w:val="00313B85"/>
    <w:rsid w:val="00317988"/>
    <w:rsid w:val="003221B4"/>
    <w:rsid w:val="0032258D"/>
    <w:rsid w:val="00322E62"/>
    <w:rsid w:val="00324D13"/>
    <w:rsid w:val="00324D2A"/>
    <w:rsid w:val="00324EDD"/>
    <w:rsid w:val="003331E4"/>
    <w:rsid w:val="00334DF9"/>
    <w:rsid w:val="00336C64"/>
    <w:rsid w:val="00337162"/>
    <w:rsid w:val="0034194F"/>
    <w:rsid w:val="00343241"/>
    <w:rsid w:val="00344605"/>
    <w:rsid w:val="003465DD"/>
    <w:rsid w:val="003474AA"/>
    <w:rsid w:val="0034764F"/>
    <w:rsid w:val="00350D1D"/>
    <w:rsid w:val="00352C83"/>
    <w:rsid w:val="003552DB"/>
    <w:rsid w:val="00356A12"/>
    <w:rsid w:val="003615D2"/>
    <w:rsid w:val="0036221A"/>
    <w:rsid w:val="003634B5"/>
    <w:rsid w:val="0036429C"/>
    <w:rsid w:val="00364A53"/>
    <w:rsid w:val="003654CB"/>
    <w:rsid w:val="00365AA9"/>
    <w:rsid w:val="00365F86"/>
    <w:rsid w:val="00365F87"/>
    <w:rsid w:val="00366E89"/>
    <w:rsid w:val="003705F4"/>
    <w:rsid w:val="00370D58"/>
    <w:rsid w:val="00371316"/>
    <w:rsid w:val="003754CE"/>
    <w:rsid w:val="00376713"/>
    <w:rsid w:val="003776A5"/>
    <w:rsid w:val="00381815"/>
    <w:rsid w:val="003819AF"/>
    <w:rsid w:val="003820E9"/>
    <w:rsid w:val="00382DE7"/>
    <w:rsid w:val="00384371"/>
    <w:rsid w:val="00384FFC"/>
    <w:rsid w:val="003872FC"/>
    <w:rsid w:val="00387ADC"/>
    <w:rsid w:val="00390020"/>
    <w:rsid w:val="003903D6"/>
    <w:rsid w:val="00390EE6"/>
    <w:rsid w:val="0039118F"/>
    <w:rsid w:val="00392AD7"/>
    <w:rsid w:val="003938D9"/>
    <w:rsid w:val="0039410B"/>
    <w:rsid w:val="00394376"/>
    <w:rsid w:val="003943FF"/>
    <w:rsid w:val="00395700"/>
    <w:rsid w:val="003974EB"/>
    <w:rsid w:val="00397CC5"/>
    <w:rsid w:val="003A1582"/>
    <w:rsid w:val="003A268E"/>
    <w:rsid w:val="003A4077"/>
    <w:rsid w:val="003A7343"/>
    <w:rsid w:val="003B0885"/>
    <w:rsid w:val="003B09AD"/>
    <w:rsid w:val="003B1F18"/>
    <w:rsid w:val="003B5BF0"/>
    <w:rsid w:val="003B60BF"/>
    <w:rsid w:val="003B6BE3"/>
    <w:rsid w:val="003B7D4C"/>
    <w:rsid w:val="003C010C"/>
    <w:rsid w:val="003C0A6C"/>
    <w:rsid w:val="003C14F8"/>
    <w:rsid w:val="003C5A43"/>
    <w:rsid w:val="003C5BBD"/>
    <w:rsid w:val="003D0519"/>
    <w:rsid w:val="003D0FF6"/>
    <w:rsid w:val="003D11E3"/>
    <w:rsid w:val="003D262C"/>
    <w:rsid w:val="003D49C3"/>
    <w:rsid w:val="003D4ADE"/>
    <w:rsid w:val="003D6D61"/>
    <w:rsid w:val="003D79C6"/>
    <w:rsid w:val="003D7ED5"/>
    <w:rsid w:val="003E091D"/>
    <w:rsid w:val="003E1C53"/>
    <w:rsid w:val="003E2584"/>
    <w:rsid w:val="003E2A69"/>
    <w:rsid w:val="003E2D49"/>
    <w:rsid w:val="003E2FD4"/>
    <w:rsid w:val="003E49F6"/>
    <w:rsid w:val="003E660F"/>
    <w:rsid w:val="003E70AA"/>
    <w:rsid w:val="003F0754"/>
    <w:rsid w:val="003F0841"/>
    <w:rsid w:val="003F23D3"/>
    <w:rsid w:val="003F3F08"/>
    <w:rsid w:val="003F49F1"/>
    <w:rsid w:val="003F6272"/>
    <w:rsid w:val="003F6F66"/>
    <w:rsid w:val="00400E72"/>
    <w:rsid w:val="00401400"/>
    <w:rsid w:val="00404869"/>
    <w:rsid w:val="00405884"/>
    <w:rsid w:val="00405C97"/>
    <w:rsid w:val="00407D39"/>
    <w:rsid w:val="0041139A"/>
    <w:rsid w:val="0041477A"/>
    <w:rsid w:val="004167A3"/>
    <w:rsid w:val="00417751"/>
    <w:rsid w:val="00421391"/>
    <w:rsid w:val="00426BF3"/>
    <w:rsid w:val="00432DAA"/>
    <w:rsid w:val="00434305"/>
    <w:rsid w:val="00435DF7"/>
    <w:rsid w:val="004370A1"/>
    <w:rsid w:val="0044083F"/>
    <w:rsid w:val="00441AE7"/>
    <w:rsid w:val="00442437"/>
    <w:rsid w:val="0044391D"/>
    <w:rsid w:val="00445574"/>
    <w:rsid w:val="004467FB"/>
    <w:rsid w:val="00452465"/>
    <w:rsid w:val="00452983"/>
    <w:rsid w:val="00452D6B"/>
    <w:rsid w:val="00454484"/>
    <w:rsid w:val="0045517B"/>
    <w:rsid w:val="00457243"/>
    <w:rsid w:val="00460201"/>
    <w:rsid w:val="00463B77"/>
    <w:rsid w:val="00463C7B"/>
    <w:rsid w:val="004644A6"/>
    <w:rsid w:val="004659BD"/>
    <w:rsid w:val="00466CEE"/>
    <w:rsid w:val="00467538"/>
    <w:rsid w:val="00470775"/>
    <w:rsid w:val="004718A3"/>
    <w:rsid w:val="004727B6"/>
    <w:rsid w:val="004746B1"/>
    <w:rsid w:val="0047583F"/>
    <w:rsid w:val="00475DE8"/>
    <w:rsid w:val="004807F8"/>
    <w:rsid w:val="00481C44"/>
    <w:rsid w:val="00484936"/>
    <w:rsid w:val="00485C89"/>
    <w:rsid w:val="00486BE3"/>
    <w:rsid w:val="004905E4"/>
    <w:rsid w:val="00490A89"/>
    <w:rsid w:val="00490AB4"/>
    <w:rsid w:val="00492F02"/>
    <w:rsid w:val="004939AE"/>
    <w:rsid w:val="004A12DF"/>
    <w:rsid w:val="004A17E6"/>
    <w:rsid w:val="004A1BA8"/>
    <w:rsid w:val="004A1EBA"/>
    <w:rsid w:val="004A2C33"/>
    <w:rsid w:val="004A4B57"/>
    <w:rsid w:val="004A63FA"/>
    <w:rsid w:val="004B0272"/>
    <w:rsid w:val="004B2701"/>
    <w:rsid w:val="004B2E1B"/>
    <w:rsid w:val="004B2EAB"/>
    <w:rsid w:val="004B3AA8"/>
    <w:rsid w:val="004B3E93"/>
    <w:rsid w:val="004C0AFC"/>
    <w:rsid w:val="004C1FBC"/>
    <w:rsid w:val="004C3F1D"/>
    <w:rsid w:val="004C458D"/>
    <w:rsid w:val="004C7556"/>
    <w:rsid w:val="004C7E8B"/>
    <w:rsid w:val="004C7E9D"/>
    <w:rsid w:val="004C7F67"/>
    <w:rsid w:val="004D076D"/>
    <w:rsid w:val="004D0EF1"/>
    <w:rsid w:val="004D2253"/>
    <w:rsid w:val="004D3639"/>
    <w:rsid w:val="004D4406"/>
    <w:rsid w:val="004D7C42"/>
    <w:rsid w:val="004E0465"/>
    <w:rsid w:val="004E127B"/>
    <w:rsid w:val="004E1C0A"/>
    <w:rsid w:val="004E2B06"/>
    <w:rsid w:val="004E30C5"/>
    <w:rsid w:val="004E3C71"/>
    <w:rsid w:val="004E4AA5"/>
    <w:rsid w:val="004E4AEE"/>
    <w:rsid w:val="004E59E3"/>
    <w:rsid w:val="004E67C0"/>
    <w:rsid w:val="004E7810"/>
    <w:rsid w:val="004F36B4"/>
    <w:rsid w:val="004F391A"/>
    <w:rsid w:val="004F3CFB"/>
    <w:rsid w:val="004F4935"/>
    <w:rsid w:val="004F6456"/>
    <w:rsid w:val="004F696E"/>
    <w:rsid w:val="004F6C71"/>
    <w:rsid w:val="004F7CB1"/>
    <w:rsid w:val="00500722"/>
    <w:rsid w:val="00501139"/>
    <w:rsid w:val="005019DB"/>
    <w:rsid w:val="0050363E"/>
    <w:rsid w:val="005039BC"/>
    <w:rsid w:val="005043BB"/>
    <w:rsid w:val="00504A3D"/>
    <w:rsid w:val="00505767"/>
    <w:rsid w:val="00506C54"/>
    <w:rsid w:val="005073F0"/>
    <w:rsid w:val="00507569"/>
    <w:rsid w:val="00510A7B"/>
    <w:rsid w:val="00512F6E"/>
    <w:rsid w:val="00513038"/>
    <w:rsid w:val="00514174"/>
    <w:rsid w:val="00516088"/>
    <w:rsid w:val="00516B0B"/>
    <w:rsid w:val="005220EC"/>
    <w:rsid w:val="00522DD7"/>
    <w:rsid w:val="00523F95"/>
    <w:rsid w:val="00524D65"/>
    <w:rsid w:val="0052534E"/>
    <w:rsid w:val="00525B16"/>
    <w:rsid w:val="00533D04"/>
    <w:rsid w:val="00533FB4"/>
    <w:rsid w:val="00534804"/>
    <w:rsid w:val="00534BDF"/>
    <w:rsid w:val="005354EA"/>
    <w:rsid w:val="00535662"/>
    <w:rsid w:val="0053585F"/>
    <w:rsid w:val="00535EC4"/>
    <w:rsid w:val="00535ED9"/>
    <w:rsid w:val="0053692B"/>
    <w:rsid w:val="005417E5"/>
    <w:rsid w:val="00541853"/>
    <w:rsid w:val="00543BDA"/>
    <w:rsid w:val="005441CC"/>
    <w:rsid w:val="005479DA"/>
    <w:rsid w:val="00547BCC"/>
    <w:rsid w:val="0055013B"/>
    <w:rsid w:val="00550717"/>
    <w:rsid w:val="00551F6F"/>
    <w:rsid w:val="00555044"/>
    <w:rsid w:val="00557559"/>
    <w:rsid w:val="00560663"/>
    <w:rsid w:val="00561475"/>
    <w:rsid w:val="00562778"/>
    <w:rsid w:val="0056487B"/>
    <w:rsid w:val="00564FB9"/>
    <w:rsid w:val="00573D9E"/>
    <w:rsid w:val="005801E3"/>
    <w:rsid w:val="00581802"/>
    <w:rsid w:val="00582056"/>
    <w:rsid w:val="00582259"/>
    <w:rsid w:val="00582C09"/>
    <w:rsid w:val="005836A8"/>
    <w:rsid w:val="0058409C"/>
    <w:rsid w:val="00584262"/>
    <w:rsid w:val="00585C6A"/>
    <w:rsid w:val="00586630"/>
    <w:rsid w:val="00586946"/>
    <w:rsid w:val="00587699"/>
    <w:rsid w:val="00587ADD"/>
    <w:rsid w:val="00591E27"/>
    <w:rsid w:val="00592290"/>
    <w:rsid w:val="00595605"/>
    <w:rsid w:val="00596160"/>
    <w:rsid w:val="005966E2"/>
    <w:rsid w:val="00597007"/>
    <w:rsid w:val="005A0966"/>
    <w:rsid w:val="005A11B7"/>
    <w:rsid w:val="005A260B"/>
    <w:rsid w:val="005A4A1B"/>
    <w:rsid w:val="005A7830"/>
    <w:rsid w:val="005A7FCE"/>
    <w:rsid w:val="005B0B88"/>
    <w:rsid w:val="005B0F3F"/>
    <w:rsid w:val="005B4903"/>
    <w:rsid w:val="005B5023"/>
    <w:rsid w:val="005B51CE"/>
    <w:rsid w:val="005B5885"/>
    <w:rsid w:val="005B5CD7"/>
    <w:rsid w:val="005B6CF6"/>
    <w:rsid w:val="005B7422"/>
    <w:rsid w:val="005C29B8"/>
    <w:rsid w:val="005C3DAA"/>
    <w:rsid w:val="005C4161"/>
    <w:rsid w:val="005C5F21"/>
    <w:rsid w:val="005C695F"/>
    <w:rsid w:val="005C7156"/>
    <w:rsid w:val="005D0C75"/>
    <w:rsid w:val="005D2805"/>
    <w:rsid w:val="005D4171"/>
    <w:rsid w:val="005D641A"/>
    <w:rsid w:val="005D6856"/>
    <w:rsid w:val="005D6A95"/>
    <w:rsid w:val="005D6B2C"/>
    <w:rsid w:val="005D6D9C"/>
    <w:rsid w:val="005E2335"/>
    <w:rsid w:val="005E34A5"/>
    <w:rsid w:val="005E34CA"/>
    <w:rsid w:val="005E3C18"/>
    <w:rsid w:val="005E6812"/>
    <w:rsid w:val="005E7881"/>
    <w:rsid w:val="005E78E0"/>
    <w:rsid w:val="005E79B8"/>
    <w:rsid w:val="005F0D9C"/>
    <w:rsid w:val="005F284E"/>
    <w:rsid w:val="005F4712"/>
    <w:rsid w:val="006015CE"/>
    <w:rsid w:val="00604204"/>
    <w:rsid w:val="00604784"/>
    <w:rsid w:val="00605A44"/>
    <w:rsid w:val="00606419"/>
    <w:rsid w:val="00607D29"/>
    <w:rsid w:val="00612952"/>
    <w:rsid w:val="00614CC1"/>
    <w:rsid w:val="00615A9D"/>
    <w:rsid w:val="00617387"/>
    <w:rsid w:val="006205D6"/>
    <w:rsid w:val="00622B25"/>
    <w:rsid w:val="006234CF"/>
    <w:rsid w:val="006235D0"/>
    <w:rsid w:val="006252D8"/>
    <w:rsid w:val="006259BC"/>
    <w:rsid w:val="00625EA6"/>
    <w:rsid w:val="0062636B"/>
    <w:rsid w:val="006300D4"/>
    <w:rsid w:val="00632182"/>
    <w:rsid w:val="00632AE0"/>
    <w:rsid w:val="00633C17"/>
    <w:rsid w:val="00634D9E"/>
    <w:rsid w:val="00636E3E"/>
    <w:rsid w:val="006379F7"/>
    <w:rsid w:val="00637E4D"/>
    <w:rsid w:val="00640620"/>
    <w:rsid w:val="00641A1F"/>
    <w:rsid w:val="00645904"/>
    <w:rsid w:val="0064647A"/>
    <w:rsid w:val="0065068F"/>
    <w:rsid w:val="00651ACB"/>
    <w:rsid w:val="00651C47"/>
    <w:rsid w:val="0065280E"/>
    <w:rsid w:val="00652AB2"/>
    <w:rsid w:val="00653FED"/>
    <w:rsid w:val="00654EC0"/>
    <w:rsid w:val="0065525B"/>
    <w:rsid w:val="006556A6"/>
    <w:rsid w:val="00655D4F"/>
    <w:rsid w:val="00656D29"/>
    <w:rsid w:val="006640E5"/>
    <w:rsid w:val="006646F1"/>
    <w:rsid w:val="00664929"/>
    <w:rsid w:val="00664F62"/>
    <w:rsid w:val="006655E1"/>
    <w:rsid w:val="00665854"/>
    <w:rsid w:val="006672AC"/>
    <w:rsid w:val="00672060"/>
    <w:rsid w:val="00672BFD"/>
    <w:rsid w:val="00675840"/>
    <w:rsid w:val="006770F4"/>
    <w:rsid w:val="00677A84"/>
    <w:rsid w:val="0068026D"/>
    <w:rsid w:val="00680A27"/>
    <w:rsid w:val="006816A4"/>
    <w:rsid w:val="006819B8"/>
    <w:rsid w:val="006840A6"/>
    <w:rsid w:val="006850CD"/>
    <w:rsid w:val="00685AAB"/>
    <w:rsid w:val="00693927"/>
    <w:rsid w:val="006954FB"/>
    <w:rsid w:val="00695D22"/>
    <w:rsid w:val="00697EA4"/>
    <w:rsid w:val="006A07AA"/>
    <w:rsid w:val="006A25E5"/>
    <w:rsid w:val="006A2B46"/>
    <w:rsid w:val="006A336D"/>
    <w:rsid w:val="006A37B9"/>
    <w:rsid w:val="006B09FF"/>
    <w:rsid w:val="006B2457"/>
    <w:rsid w:val="006B2672"/>
    <w:rsid w:val="006B46E6"/>
    <w:rsid w:val="006B53E8"/>
    <w:rsid w:val="006B54BF"/>
    <w:rsid w:val="006B5F44"/>
    <w:rsid w:val="006B5F90"/>
    <w:rsid w:val="006B62E4"/>
    <w:rsid w:val="006C1BBA"/>
    <w:rsid w:val="006C2079"/>
    <w:rsid w:val="006C220A"/>
    <w:rsid w:val="006C362B"/>
    <w:rsid w:val="006C5624"/>
    <w:rsid w:val="006C5A62"/>
    <w:rsid w:val="006C5D68"/>
    <w:rsid w:val="006C6976"/>
    <w:rsid w:val="006C6DD0"/>
    <w:rsid w:val="006D04EA"/>
    <w:rsid w:val="006D0AB7"/>
    <w:rsid w:val="006D16C4"/>
    <w:rsid w:val="006D38E7"/>
    <w:rsid w:val="006D3BF1"/>
    <w:rsid w:val="006D3E96"/>
    <w:rsid w:val="006D4515"/>
    <w:rsid w:val="006D4BB1"/>
    <w:rsid w:val="006D6593"/>
    <w:rsid w:val="006D7634"/>
    <w:rsid w:val="006E23EA"/>
    <w:rsid w:val="006E70FB"/>
    <w:rsid w:val="006E7661"/>
    <w:rsid w:val="006F03A8"/>
    <w:rsid w:val="006F2ACA"/>
    <w:rsid w:val="006F2ADC"/>
    <w:rsid w:val="006F2BFE"/>
    <w:rsid w:val="006F31E9"/>
    <w:rsid w:val="006F5CB5"/>
    <w:rsid w:val="006F6284"/>
    <w:rsid w:val="006F6F6A"/>
    <w:rsid w:val="007002C5"/>
    <w:rsid w:val="00704387"/>
    <w:rsid w:val="00707669"/>
    <w:rsid w:val="00710143"/>
    <w:rsid w:val="00711CBA"/>
    <w:rsid w:val="00711FB5"/>
    <w:rsid w:val="00712A01"/>
    <w:rsid w:val="00714F58"/>
    <w:rsid w:val="00722FBF"/>
    <w:rsid w:val="00722FC2"/>
    <w:rsid w:val="00724879"/>
    <w:rsid w:val="00724E1B"/>
    <w:rsid w:val="00725949"/>
    <w:rsid w:val="00725F65"/>
    <w:rsid w:val="00727FA2"/>
    <w:rsid w:val="0073136B"/>
    <w:rsid w:val="00732237"/>
    <w:rsid w:val="007322D9"/>
    <w:rsid w:val="00732BC0"/>
    <w:rsid w:val="00734283"/>
    <w:rsid w:val="0073720F"/>
    <w:rsid w:val="00737796"/>
    <w:rsid w:val="0074014E"/>
    <w:rsid w:val="0074165C"/>
    <w:rsid w:val="00742A17"/>
    <w:rsid w:val="00742C35"/>
    <w:rsid w:val="007432CA"/>
    <w:rsid w:val="007439EB"/>
    <w:rsid w:val="00743BEE"/>
    <w:rsid w:val="00743CB4"/>
    <w:rsid w:val="00743F0A"/>
    <w:rsid w:val="007444E8"/>
    <w:rsid w:val="0074548E"/>
    <w:rsid w:val="00745773"/>
    <w:rsid w:val="0074661F"/>
    <w:rsid w:val="00746800"/>
    <w:rsid w:val="007501A8"/>
    <w:rsid w:val="00750D61"/>
    <w:rsid w:val="00750EE1"/>
    <w:rsid w:val="00752B4D"/>
    <w:rsid w:val="00755402"/>
    <w:rsid w:val="00756B26"/>
    <w:rsid w:val="00756EDF"/>
    <w:rsid w:val="007600E3"/>
    <w:rsid w:val="00763680"/>
    <w:rsid w:val="00765C43"/>
    <w:rsid w:val="00765EFB"/>
    <w:rsid w:val="0076716A"/>
    <w:rsid w:val="007671CA"/>
    <w:rsid w:val="00767C61"/>
    <w:rsid w:val="0077008A"/>
    <w:rsid w:val="00773C1F"/>
    <w:rsid w:val="00774DA4"/>
    <w:rsid w:val="00776599"/>
    <w:rsid w:val="0078114B"/>
    <w:rsid w:val="00781DD2"/>
    <w:rsid w:val="00782150"/>
    <w:rsid w:val="00783ECF"/>
    <w:rsid w:val="0078413A"/>
    <w:rsid w:val="00791582"/>
    <w:rsid w:val="00794C69"/>
    <w:rsid w:val="007959E8"/>
    <w:rsid w:val="00795E9C"/>
    <w:rsid w:val="007A0521"/>
    <w:rsid w:val="007A2E12"/>
    <w:rsid w:val="007A3475"/>
    <w:rsid w:val="007A3A82"/>
    <w:rsid w:val="007A41C8"/>
    <w:rsid w:val="007A54CE"/>
    <w:rsid w:val="007A6FD9"/>
    <w:rsid w:val="007A7334"/>
    <w:rsid w:val="007A7FFA"/>
    <w:rsid w:val="007B04EB"/>
    <w:rsid w:val="007B0D4F"/>
    <w:rsid w:val="007B5A3D"/>
    <w:rsid w:val="007B5B95"/>
    <w:rsid w:val="007B68EA"/>
    <w:rsid w:val="007B7453"/>
    <w:rsid w:val="007C1E42"/>
    <w:rsid w:val="007C1E8B"/>
    <w:rsid w:val="007C2D89"/>
    <w:rsid w:val="007C4593"/>
    <w:rsid w:val="007C5309"/>
    <w:rsid w:val="007C6069"/>
    <w:rsid w:val="007D06C4"/>
    <w:rsid w:val="007D0A84"/>
    <w:rsid w:val="007D1352"/>
    <w:rsid w:val="007D2508"/>
    <w:rsid w:val="007D339F"/>
    <w:rsid w:val="007D346A"/>
    <w:rsid w:val="007D6518"/>
    <w:rsid w:val="007D6552"/>
    <w:rsid w:val="007D6760"/>
    <w:rsid w:val="007D71DF"/>
    <w:rsid w:val="007D76BD"/>
    <w:rsid w:val="007E0BF1"/>
    <w:rsid w:val="007E521A"/>
    <w:rsid w:val="007F0ED8"/>
    <w:rsid w:val="007F0F63"/>
    <w:rsid w:val="007F69A5"/>
    <w:rsid w:val="007F75CE"/>
    <w:rsid w:val="00801387"/>
    <w:rsid w:val="008013A4"/>
    <w:rsid w:val="008027CE"/>
    <w:rsid w:val="00802F42"/>
    <w:rsid w:val="00804383"/>
    <w:rsid w:val="00804BB7"/>
    <w:rsid w:val="00804D41"/>
    <w:rsid w:val="00805AB1"/>
    <w:rsid w:val="00810257"/>
    <w:rsid w:val="008104F5"/>
    <w:rsid w:val="00811072"/>
    <w:rsid w:val="00811369"/>
    <w:rsid w:val="00812943"/>
    <w:rsid w:val="00815419"/>
    <w:rsid w:val="008163C8"/>
    <w:rsid w:val="008164A1"/>
    <w:rsid w:val="00817325"/>
    <w:rsid w:val="008209E6"/>
    <w:rsid w:val="00821F78"/>
    <w:rsid w:val="00823303"/>
    <w:rsid w:val="008233B2"/>
    <w:rsid w:val="00823A9F"/>
    <w:rsid w:val="00823C85"/>
    <w:rsid w:val="00825138"/>
    <w:rsid w:val="00825140"/>
    <w:rsid w:val="008269DD"/>
    <w:rsid w:val="00830621"/>
    <w:rsid w:val="0083348C"/>
    <w:rsid w:val="008373D3"/>
    <w:rsid w:val="00840617"/>
    <w:rsid w:val="00840F84"/>
    <w:rsid w:val="00842A47"/>
    <w:rsid w:val="00843B09"/>
    <w:rsid w:val="00843C13"/>
    <w:rsid w:val="0084424B"/>
    <w:rsid w:val="008454F8"/>
    <w:rsid w:val="00847E9F"/>
    <w:rsid w:val="0085173A"/>
    <w:rsid w:val="0085369F"/>
    <w:rsid w:val="00856316"/>
    <w:rsid w:val="008603CE"/>
    <w:rsid w:val="00861CB5"/>
    <w:rsid w:val="008620FC"/>
    <w:rsid w:val="008627A5"/>
    <w:rsid w:val="00863E05"/>
    <w:rsid w:val="00865ACA"/>
    <w:rsid w:val="00865D28"/>
    <w:rsid w:val="00865F85"/>
    <w:rsid w:val="00867C10"/>
    <w:rsid w:val="00870439"/>
    <w:rsid w:val="008705E8"/>
    <w:rsid w:val="008709E0"/>
    <w:rsid w:val="00870DA1"/>
    <w:rsid w:val="0087366A"/>
    <w:rsid w:val="00882F7A"/>
    <w:rsid w:val="00883F93"/>
    <w:rsid w:val="00884DB3"/>
    <w:rsid w:val="00885A9D"/>
    <w:rsid w:val="008864F6"/>
    <w:rsid w:val="00890253"/>
    <w:rsid w:val="0089049D"/>
    <w:rsid w:val="00891CF5"/>
    <w:rsid w:val="008928C9"/>
    <w:rsid w:val="008930CB"/>
    <w:rsid w:val="008938DC"/>
    <w:rsid w:val="00893FD1"/>
    <w:rsid w:val="00894836"/>
    <w:rsid w:val="00895172"/>
    <w:rsid w:val="00895680"/>
    <w:rsid w:val="00896DFF"/>
    <w:rsid w:val="0089762C"/>
    <w:rsid w:val="008A1893"/>
    <w:rsid w:val="008A3215"/>
    <w:rsid w:val="008A44B2"/>
    <w:rsid w:val="008A57E6"/>
    <w:rsid w:val="008A6F81"/>
    <w:rsid w:val="008A755B"/>
    <w:rsid w:val="008A769A"/>
    <w:rsid w:val="008B0C9C"/>
    <w:rsid w:val="008B166D"/>
    <w:rsid w:val="008B17F4"/>
    <w:rsid w:val="008B3615"/>
    <w:rsid w:val="008B3F9B"/>
    <w:rsid w:val="008B4AC4"/>
    <w:rsid w:val="008B50C8"/>
    <w:rsid w:val="008B5281"/>
    <w:rsid w:val="008B7E05"/>
    <w:rsid w:val="008C015B"/>
    <w:rsid w:val="008C1797"/>
    <w:rsid w:val="008C219C"/>
    <w:rsid w:val="008C4351"/>
    <w:rsid w:val="008C475E"/>
    <w:rsid w:val="008C619A"/>
    <w:rsid w:val="008D0CE8"/>
    <w:rsid w:val="008D2D1D"/>
    <w:rsid w:val="008D36DE"/>
    <w:rsid w:val="008D38A9"/>
    <w:rsid w:val="008D453D"/>
    <w:rsid w:val="008D53AD"/>
    <w:rsid w:val="008D562B"/>
    <w:rsid w:val="008D5733"/>
    <w:rsid w:val="008D622B"/>
    <w:rsid w:val="008D6612"/>
    <w:rsid w:val="008D666C"/>
    <w:rsid w:val="008D7B54"/>
    <w:rsid w:val="008E0C9D"/>
    <w:rsid w:val="008E1648"/>
    <w:rsid w:val="008E1B3E"/>
    <w:rsid w:val="008E2319"/>
    <w:rsid w:val="008E4BB6"/>
    <w:rsid w:val="008E4F30"/>
    <w:rsid w:val="008E5518"/>
    <w:rsid w:val="008E55D9"/>
    <w:rsid w:val="008E6A84"/>
    <w:rsid w:val="008F0730"/>
    <w:rsid w:val="008F0CDC"/>
    <w:rsid w:val="008F0D70"/>
    <w:rsid w:val="008F17A3"/>
    <w:rsid w:val="008F1ED3"/>
    <w:rsid w:val="008F217B"/>
    <w:rsid w:val="008F23A5"/>
    <w:rsid w:val="008F3D3B"/>
    <w:rsid w:val="008F4C29"/>
    <w:rsid w:val="008F70BD"/>
    <w:rsid w:val="008F788F"/>
    <w:rsid w:val="008F7EA2"/>
    <w:rsid w:val="00902722"/>
    <w:rsid w:val="009027BC"/>
    <w:rsid w:val="00905D16"/>
    <w:rsid w:val="009062E6"/>
    <w:rsid w:val="00910382"/>
    <w:rsid w:val="0091086D"/>
    <w:rsid w:val="00911BE5"/>
    <w:rsid w:val="00913CA9"/>
    <w:rsid w:val="009145AE"/>
    <w:rsid w:val="009146CE"/>
    <w:rsid w:val="00914CA7"/>
    <w:rsid w:val="00915C3E"/>
    <w:rsid w:val="009161A8"/>
    <w:rsid w:val="009245F5"/>
    <w:rsid w:val="009249EC"/>
    <w:rsid w:val="009273B3"/>
    <w:rsid w:val="009305B5"/>
    <w:rsid w:val="00941443"/>
    <w:rsid w:val="009429D5"/>
    <w:rsid w:val="00942BF1"/>
    <w:rsid w:val="00945180"/>
    <w:rsid w:val="00945428"/>
    <w:rsid w:val="00945F72"/>
    <w:rsid w:val="0094607B"/>
    <w:rsid w:val="00953604"/>
    <w:rsid w:val="0095496B"/>
    <w:rsid w:val="00954D09"/>
    <w:rsid w:val="0096076D"/>
    <w:rsid w:val="009610DC"/>
    <w:rsid w:val="00961490"/>
    <w:rsid w:val="0096381A"/>
    <w:rsid w:val="009645FA"/>
    <w:rsid w:val="00965E04"/>
    <w:rsid w:val="009674AD"/>
    <w:rsid w:val="00970CDC"/>
    <w:rsid w:val="00972E63"/>
    <w:rsid w:val="00977010"/>
    <w:rsid w:val="00977D02"/>
    <w:rsid w:val="009809BB"/>
    <w:rsid w:val="0098364B"/>
    <w:rsid w:val="00985F82"/>
    <w:rsid w:val="009911AF"/>
    <w:rsid w:val="00991875"/>
    <w:rsid w:val="00991F92"/>
    <w:rsid w:val="009928F3"/>
    <w:rsid w:val="00992985"/>
    <w:rsid w:val="00993889"/>
    <w:rsid w:val="0099551B"/>
    <w:rsid w:val="00997BF1"/>
    <w:rsid w:val="009A0395"/>
    <w:rsid w:val="009A089C"/>
    <w:rsid w:val="009A118E"/>
    <w:rsid w:val="009A21CD"/>
    <w:rsid w:val="009A224A"/>
    <w:rsid w:val="009A278C"/>
    <w:rsid w:val="009A2BC2"/>
    <w:rsid w:val="009A42C1"/>
    <w:rsid w:val="009A469A"/>
    <w:rsid w:val="009A5429"/>
    <w:rsid w:val="009A72AD"/>
    <w:rsid w:val="009B09E0"/>
    <w:rsid w:val="009B0BC5"/>
    <w:rsid w:val="009B1247"/>
    <w:rsid w:val="009B16B9"/>
    <w:rsid w:val="009B46F9"/>
    <w:rsid w:val="009B5A6A"/>
    <w:rsid w:val="009B6029"/>
    <w:rsid w:val="009B6971"/>
    <w:rsid w:val="009C27F1"/>
    <w:rsid w:val="009C3152"/>
    <w:rsid w:val="009C4CFA"/>
    <w:rsid w:val="009C5070"/>
    <w:rsid w:val="009D112C"/>
    <w:rsid w:val="009D2954"/>
    <w:rsid w:val="009D3510"/>
    <w:rsid w:val="009D47FA"/>
    <w:rsid w:val="009D4C5B"/>
    <w:rsid w:val="009D50D2"/>
    <w:rsid w:val="009D6BCA"/>
    <w:rsid w:val="009E0A3B"/>
    <w:rsid w:val="009E0E4C"/>
    <w:rsid w:val="009E0F62"/>
    <w:rsid w:val="009E324C"/>
    <w:rsid w:val="009E4A58"/>
    <w:rsid w:val="009E5A2D"/>
    <w:rsid w:val="009E5AB2"/>
    <w:rsid w:val="009E6219"/>
    <w:rsid w:val="009E6FEE"/>
    <w:rsid w:val="009E77C5"/>
    <w:rsid w:val="009F03B3"/>
    <w:rsid w:val="009F0CB1"/>
    <w:rsid w:val="009F3650"/>
    <w:rsid w:val="009F55D6"/>
    <w:rsid w:val="00A0096C"/>
    <w:rsid w:val="00A01757"/>
    <w:rsid w:val="00A028C0"/>
    <w:rsid w:val="00A02BAE"/>
    <w:rsid w:val="00A06A6B"/>
    <w:rsid w:val="00A06AF3"/>
    <w:rsid w:val="00A076E0"/>
    <w:rsid w:val="00A077F3"/>
    <w:rsid w:val="00A07E47"/>
    <w:rsid w:val="00A129D0"/>
    <w:rsid w:val="00A12C33"/>
    <w:rsid w:val="00A138BA"/>
    <w:rsid w:val="00A14C8E"/>
    <w:rsid w:val="00A153D9"/>
    <w:rsid w:val="00A15F09"/>
    <w:rsid w:val="00A169B6"/>
    <w:rsid w:val="00A2271D"/>
    <w:rsid w:val="00A237D5"/>
    <w:rsid w:val="00A25EF1"/>
    <w:rsid w:val="00A309CA"/>
    <w:rsid w:val="00A30EFC"/>
    <w:rsid w:val="00A31984"/>
    <w:rsid w:val="00A32D73"/>
    <w:rsid w:val="00A3367B"/>
    <w:rsid w:val="00A351FD"/>
    <w:rsid w:val="00A3597D"/>
    <w:rsid w:val="00A36DD1"/>
    <w:rsid w:val="00A4006C"/>
    <w:rsid w:val="00A40091"/>
    <w:rsid w:val="00A4030F"/>
    <w:rsid w:val="00A41C79"/>
    <w:rsid w:val="00A41CB5"/>
    <w:rsid w:val="00A42CDF"/>
    <w:rsid w:val="00A4452E"/>
    <w:rsid w:val="00A4472C"/>
    <w:rsid w:val="00A44A70"/>
    <w:rsid w:val="00A44E69"/>
    <w:rsid w:val="00A4661E"/>
    <w:rsid w:val="00A47177"/>
    <w:rsid w:val="00A5047F"/>
    <w:rsid w:val="00A51A3C"/>
    <w:rsid w:val="00A539EB"/>
    <w:rsid w:val="00A55BD6"/>
    <w:rsid w:val="00A55D50"/>
    <w:rsid w:val="00A57142"/>
    <w:rsid w:val="00A648CD"/>
    <w:rsid w:val="00A6537A"/>
    <w:rsid w:val="00A67866"/>
    <w:rsid w:val="00A70B07"/>
    <w:rsid w:val="00A723F8"/>
    <w:rsid w:val="00A758BD"/>
    <w:rsid w:val="00A779D0"/>
    <w:rsid w:val="00A77CCB"/>
    <w:rsid w:val="00A80F89"/>
    <w:rsid w:val="00A83D8D"/>
    <w:rsid w:val="00A8446B"/>
    <w:rsid w:val="00A8473F"/>
    <w:rsid w:val="00A862D6"/>
    <w:rsid w:val="00A8715E"/>
    <w:rsid w:val="00A90AEF"/>
    <w:rsid w:val="00A928A0"/>
    <w:rsid w:val="00A9295B"/>
    <w:rsid w:val="00A93B09"/>
    <w:rsid w:val="00A94247"/>
    <w:rsid w:val="00A952D7"/>
    <w:rsid w:val="00A9569E"/>
    <w:rsid w:val="00A963F7"/>
    <w:rsid w:val="00A96AD8"/>
    <w:rsid w:val="00A978C7"/>
    <w:rsid w:val="00A97FBA"/>
    <w:rsid w:val="00AA052C"/>
    <w:rsid w:val="00AA1E45"/>
    <w:rsid w:val="00AA4286"/>
    <w:rsid w:val="00AA456B"/>
    <w:rsid w:val="00AA57F5"/>
    <w:rsid w:val="00AA672E"/>
    <w:rsid w:val="00AA6EC9"/>
    <w:rsid w:val="00AB41D5"/>
    <w:rsid w:val="00AB6309"/>
    <w:rsid w:val="00AB6C5F"/>
    <w:rsid w:val="00AB7129"/>
    <w:rsid w:val="00AC27A6"/>
    <w:rsid w:val="00AC30F7"/>
    <w:rsid w:val="00AC34BA"/>
    <w:rsid w:val="00AC3A5A"/>
    <w:rsid w:val="00AC4D95"/>
    <w:rsid w:val="00AC5244"/>
    <w:rsid w:val="00AC5DF4"/>
    <w:rsid w:val="00AD0AEF"/>
    <w:rsid w:val="00AD11B7"/>
    <w:rsid w:val="00AD1A94"/>
    <w:rsid w:val="00AD1C05"/>
    <w:rsid w:val="00AD4126"/>
    <w:rsid w:val="00AD421C"/>
    <w:rsid w:val="00AD44FA"/>
    <w:rsid w:val="00AD4BED"/>
    <w:rsid w:val="00AE070A"/>
    <w:rsid w:val="00AE101C"/>
    <w:rsid w:val="00AE334B"/>
    <w:rsid w:val="00AE37E5"/>
    <w:rsid w:val="00AE5EB4"/>
    <w:rsid w:val="00AE7754"/>
    <w:rsid w:val="00AE78E3"/>
    <w:rsid w:val="00AF0503"/>
    <w:rsid w:val="00AF0C18"/>
    <w:rsid w:val="00AF0E34"/>
    <w:rsid w:val="00AF2B1F"/>
    <w:rsid w:val="00AF47C5"/>
    <w:rsid w:val="00AF5398"/>
    <w:rsid w:val="00B049AF"/>
    <w:rsid w:val="00B0565D"/>
    <w:rsid w:val="00B07242"/>
    <w:rsid w:val="00B07636"/>
    <w:rsid w:val="00B10534"/>
    <w:rsid w:val="00B113DB"/>
    <w:rsid w:val="00B11D8A"/>
    <w:rsid w:val="00B12981"/>
    <w:rsid w:val="00B147DD"/>
    <w:rsid w:val="00B156FD"/>
    <w:rsid w:val="00B15B23"/>
    <w:rsid w:val="00B21F61"/>
    <w:rsid w:val="00B22D20"/>
    <w:rsid w:val="00B25D7B"/>
    <w:rsid w:val="00B261F1"/>
    <w:rsid w:val="00B265BC"/>
    <w:rsid w:val="00B26C76"/>
    <w:rsid w:val="00B31C78"/>
    <w:rsid w:val="00B31FB1"/>
    <w:rsid w:val="00B324B8"/>
    <w:rsid w:val="00B33952"/>
    <w:rsid w:val="00B33C5E"/>
    <w:rsid w:val="00B342F4"/>
    <w:rsid w:val="00B34369"/>
    <w:rsid w:val="00B34DC2"/>
    <w:rsid w:val="00B378E5"/>
    <w:rsid w:val="00B4346D"/>
    <w:rsid w:val="00B440F4"/>
    <w:rsid w:val="00B447A5"/>
    <w:rsid w:val="00B44F66"/>
    <w:rsid w:val="00B4654C"/>
    <w:rsid w:val="00B46AF0"/>
    <w:rsid w:val="00B47293"/>
    <w:rsid w:val="00B50E50"/>
    <w:rsid w:val="00B52120"/>
    <w:rsid w:val="00B53812"/>
    <w:rsid w:val="00B53E1C"/>
    <w:rsid w:val="00B54ABC"/>
    <w:rsid w:val="00B54DDE"/>
    <w:rsid w:val="00B56FBE"/>
    <w:rsid w:val="00B60ACF"/>
    <w:rsid w:val="00B62B58"/>
    <w:rsid w:val="00B65149"/>
    <w:rsid w:val="00B66567"/>
    <w:rsid w:val="00B66831"/>
    <w:rsid w:val="00B66F06"/>
    <w:rsid w:val="00B66F52"/>
    <w:rsid w:val="00B66FE5"/>
    <w:rsid w:val="00B72880"/>
    <w:rsid w:val="00B758BF"/>
    <w:rsid w:val="00B77EC8"/>
    <w:rsid w:val="00B81B23"/>
    <w:rsid w:val="00B827A6"/>
    <w:rsid w:val="00B831CE"/>
    <w:rsid w:val="00B86677"/>
    <w:rsid w:val="00B87131"/>
    <w:rsid w:val="00B919F0"/>
    <w:rsid w:val="00B939B1"/>
    <w:rsid w:val="00B96D40"/>
    <w:rsid w:val="00B97386"/>
    <w:rsid w:val="00BA263B"/>
    <w:rsid w:val="00BA42B2"/>
    <w:rsid w:val="00BA58D4"/>
    <w:rsid w:val="00BA5B9E"/>
    <w:rsid w:val="00BA7C9A"/>
    <w:rsid w:val="00BB203B"/>
    <w:rsid w:val="00BB5B1F"/>
    <w:rsid w:val="00BB5F8F"/>
    <w:rsid w:val="00BB657A"/>
    <w:rsid w:val="00BB67AF"/>
    <w:rsid w:val="00BC1A4E"/>
    <w:rsid w:val="00BC4790"/>
    <w:rsid w:val="00BC5DC7"/>
    <w:rsid w:val="00BC6B8B"/>
    <w:rsid w:val="00BC73D8"/>
    <w:rsid w:val="00BD0825"/>
    <w:rsid w:val="00BD0A3C"/>
    <w:rsid w:val="00BD3A4B"/>
    <w:rsid w:val="00BD52D7"/>
    <w:rsid w:val="00BD5AD2"/>
    <w:rsid w:val="00BE22F3"/>
    <w:rsid w:val="00BE28E1"/>
    <w:rsid w:val="00BE5B52"/>
    <w:rsid w:val="00BE60D9"/>
    <w:rsid w:val="00BE7B8D"/>
    <w:rsid w:val="00BE7FDC"/>
    <w:rsid w:val="00BF0993"/>
    <w:rsid w:val="00BF10A9"/>
    <w:rsid w:val="00BF1703"/>
    <w:rsid w:val="00BF231C"/>
    <w:rsid w:val="00BF51E5"/>
    <w:rsid w:val="00BF74A6"/>
    <w:rsid w:val="00C013AD"/>
    <w:rsid w:val="00C02785"/>
    <w:rsid w:val="00C02C55"/>
    <w:rsid w:val="00C04904"/>
    <w:rsid w:val="00C056B3"/>
    <w:rsid w:val="00C103E5"/>
    <w:rsid w:val="00C13319"/>
    <w:rsid w:val="00C13EE9"/>
    <w:rsid w:val="00C21540"/>
    <w:rsid w:val="00C21906"/>
    <w:rsid w:val="00C21BFA"/>
    <w:rsid w:val="00C22148"/>
    <w:rsid w:val="00C24C8D"/>
    <w:rsid w:val="00C25849"/>
    <w:rsid w:val="00C25FE2"/>
    <w:rsid w:val="00C26B53"/>
    <w:rsid w:val="00C279B2"/>
    <w:rsid w:val="00C27D54"/>
    <w:rsid w:val="00C33E50"/>
    <w:rsid w:val="00C34226"/>
    <w:rsid w:val="00C34C20"/>
    <w:rsid w:val="00C35A3E"/>
    <w:rsid w:val="00C36088"/>
    <w:rsid w:val="00C36BCA"/>
    <w:rsid w:val="00C42130"/>
    <w:rsid w:val="00C423A4"/>
    <w:rsid w:val="00C435CE"/>
    <w:rsid w:val="00C44BF5"/>
    <w:rsid w:val="00C45AA1"/>
    <w:rsid w:val="00C521D6"/>
    <w:rsid w:val="00C55232"/>
    <w:rsid w:val="00C553A4"/>
    <w:rsid w:val="00C55A06"/>
    <w:rsid w:val="00C55D03"/>
    <w:rsid w:val="00C574D6"/>
    <w:rsid w:val="00C57CB4"/>
    <w:rsid w:val="00C601BC"/>
    <w:rsid w:val="00C6093E"/>
    <w:rsid w:val="00C62149"/>
    <w:rsid w:val="00C6329F"/>
    <w:rsid w:val="00C63340"/>
    <w:rsid w:val="00C633D9"/>
    <w:rsid w:val="00C64208"/>
    <w:rsid w:val="00C643F9"/>
    <w:rsid w:val="00C64E95"/>
    <w:rsid w:val="00C71372"/>
    <w:rsid w:val="00C7190B"/>
    <w:rsid w:val="00C72410"/>
    <w:rsid w:val="00C7287F"/>
    <w:rsid w:val="00C747ED"/>
    <w:rsid w:val="00C80982"/>
    <w:rsid w:val="00C80CB8"/>
    <w:rsid w:val="00C815E9"/>
    <w:rsid w:val="00C819F8"/>
    <w:rsid w:val="00C8248C"/>
    <w:rsid w:val="00C82499"/>
    <w:rsid w:val="00C84E33"/>
    <w:rsid w:val="00C86D6F"/>
    <w:rsid w:val="00C905FC"/>
    <w:rsid w:val="00C91AB6"/>
    <w:rsid w:val="00C92D03"/>
    <w:rsid w:val="00C9319C"/>
    <w:rsid w:val="00C9435D"/>
    <w:rsid w:val="00C9464E"/>
    <w:rsid w:val="00C94DF2"/>
    <w:rsid w:val="00C96741"/>
    <w:rsid w:val="00CA0787"/>
    <w:rsid w:val="00CA2D1B"/>
    <w:rsid w:val="00CA375D"/>
    <w:rsid w:val="00CA662A"/>
    <w:rsid w:val="00CA6C23"/>
    <w:rsid w:val="00CA7AFD"/>
    <w:rsid w:val="00CA7C3C"/>
    <w:rsid w:val="00CB0189"/>
    <w:rsid w:val="00CB0BA2"/>
    <w:rsid w:val="00CB1A42"/>
    <w:rsid w:val="00CB1B0C"/>
    <w:rsid w:val="00CB2C0B"/>
    <w:rsid w:val="00CB3849"/>
    <w:rsid w:val="00CB517D"/>
    <w:rsid w:val="00CC038D"/>
    <w:rsid w:val="00CC08DB"/>
    <w:rsid w:val="00CC22F4"/>
    <w:rsid w:val="00CC39FF"/>
    <w:rsid w:val="00CC3C2F"/>
    <w:rsid w:val="00CC47CA"/>
    <w:rsid w:val="00CC4AC8"/>
    <w:rsid w:val="00CC5233"/>
    <w:rsid w:val="00CC5DE6"/>
    <w:rsid w:val="00CC61F1"/>
    <w:rsid w:val="00CC6E4E"/>
    <w:rsid w:val="00CC6FE8"/>
    <w:rsid w:val="00CC7202"/>
    <w:rsid w:val="00CD2808"/>
    <w:rsid w:val="00CD28BF"/>
    <w:rsid w:val="00CD3D9B"/>
    <w:rsid w:val="00CD4092"/>
    <w:rsid w:val="00CD4A20"/>
    <w:rsid w:val="00CD50A1"/>
    <w:rsid w:val="00CD519E"/>
    <w:rsid w:val="00CD561D"/>
    <w:rsid w:val="00CE0C4F"/>
    <w:rsid w:val="00CE30EA"/>
    <w:rsid w:val="00CE53C0"/>
    <w:rsid w:val="00CF048A"/>
    <w:rsid w:val="00CF1085"/>
    <w:rsid w:val="00CF155A"/>
    <w:rsid w:val="00CF2947"/>
    <w:rsid w:val="00CF36B1"/>
    <w:rsid w:val="00CF60C1"/>
    <w:rsid w:val="00CF686F"/>
    <w:rsid w:val="00CF6E60"/>
    <w:rsid w:val="00CF7BCA"/>
    <w:rsid w:val="00D008FD"/>
    <w:rsid w:val="00D02DE4"/>
    <w:rsid w:val="00D0321C"/>
    <w:rsid w:val="00D035EC"/>
    <w:rsid w:val="00D06049"/>
    <w:rsid w:val="00D062C2"/>
    <w:rsid w:val="00D06AB1"/>
    <w:rsid w:val="00D072ED"/>
    <w:rsid w:val="00D07A16"/>
    <w:rsid w:val="00D07F29"/>
    <w:rsid w:val="00D1067E"/>
    <w:rsid w:val="00D10E31"/>
    <w:rsid w:val="00D10F50"/>
    <w:rsid w:val="00D11272"/>
    <w:rsid w:val="00D126F5"/>
    <w:rsid w:val="00D1489E"/>
    <w:rsid w:val="00D15D1E"/>
    <w:rsid w:val="00D20737"/>
    <w:rsid w:val="00D212F0"/>
    <w:rsid w:val="00D21E81"/>
    <w:rsid w:val="00D223DE"/>
    <w:rsid w:val="00D23B42"/>
    <w:rsid w:val="00D25E37"/>
    <w:rsid w:val="00D2661A"/>
    <w:rsid w:val="00D27582"/>
    <w:rsid w:val="00D27EC4"/>
    <w:rsid w:val="00D32719"/>
    <w:rsid w:val="00D33333"/>
    <w:rsid w:val="00D33457"/>
    <w:rsid w:val="00D352A2"/>
    <w:rsid w:val="00D3660F"/>
    <w:rsid w:val="00D36EA2"/>
    <w:rsid w:val="00D3732F"/>
    <w:rsid w:val="00D405BE"/>
    <w:rsid w:val="00D4162B"/>
    <w:rsid w:val="00D43795"/>
    <w:rsid w:val="00D4514F"/>
    <w:rsid w:val="00D451E2"/>
    <w:rsid w:val="00D45E89"/>
    <w:rsid w:val="00D45E8D"/>
    <w:rsid w:val="00D466AE"/>
    <w:rsid w:val="00D4734F"/>
    <w:rsid w:val="00D504F5"/>
    <w:rsid w:val="00D51BF3"/>
    <w:rsid w:val="00D5234B"/>
    <w:rsid w:val="00D53AFA"/>
    <w:rsid w:val="00D54923"/>
    <w:rsid w:val="00D55CE3"/>
    <w:rsid w:val="00D66846"/>
    <w:rsid w:val="00D66F32"/>
    <w:rsid w:val="00D675FB"/>
    <w:rsid w:val="00D71F25"/>
    <w:rsid w:val="00D72A9C"/>
    <w:rsid w:val="00D73397"/>
    <w:rsid w:val="00D752A2"/>
    <w:rsid w:val="00D77031"/>
    <w:rsid w:val="00D77BA3"/>
    <w:rsid w:val="00D84941"/>
    <w:rsid w:val="00D84A71"/>
    <w:rsid w:val="00D84FA1"/>
    <w:rsid w:val="00D851F0"/>
    <w:rsid w:val="00D86DB7"/>
    <w:rsid w:val="00D87B5E"/>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1D5B"/>
    <w:rsid w:val="00DB38EE"/>
    <w:rsid w:val="00DB498B"/>
    <w:rsid w:val="00DB66CA"/>
    <w:rsid w:val="00DB6BCA"/>
    <w:rsid w:val="00DB73F7"/>
    <w:rsid w:val="00DC0321"/>
    <w:rsid w:val="00DC0A34"/>
    <w:rsid w:val="00DC3067"/>
    <w:rsid w:val="00DC3515"/>
    <w:rsid w:val="00DC370B"/>
    <w:rsid w:val="00DC4649"/>
    <w:rsid w:val="00DC4795"/>
    <w:rsid w:val="00DC5B90"/>
    <w:rsid w:val="00DD00FF"/>
    <w:rsid w:val="00DD0619"/>
    <w:rsid w:val="00DD07FB"/>
    <w:rsid w:val="00DD25C6"/>
    <w:rsid w:val="00DD4FE5"/>
    <w:rsid w:val="00DD54B0"/>
    <w:rsid w:val="00DD57EE"/>
    <w:rsid w:val="00DD6BCC"/>
    <w:rsid w:val="00DD721A"/>
    <w:rsid w:val="00DE0A4B"/>
    <w:rsid w:val="00DE178D"/>
    <w:rsid w:val="00DE2410"/>
    <w:rsid w:val="00DE2939"/>
    <w:rsid w:val="00DE469B"/>
    <w:rsid w:val="00DE6E81"/>
    <w:rsid w:val="00DE6EF4"/>
    <w:rsid w:val="00DE703F"/>
    <w:rsid w:val="00DE72E3"/>
    <w:rsid w:val="00DE7595"/>
    <w:rsid w:val="00DF1025"/>
    <w:rsid w:val="00DF1961"/>
    <w:rsid w:val="00DF22CC"/>
    <w:rsid w:val="00DF44DE"/>
    <w:rsid w:val="00DF5F11"/>
    <w:rsid w:val="00E00A7F"/>
    <w:rsid w:val="00E01138"/>
    <w:rsid w:val="00E02DFB"/>
    <w:rsid w:val="00E030F9"/>
    <w:rsid w:val="00E0311A"/>
    <w:rsid w:val="00E03138"/>
    <w:rsid w:val="00E06404"/>
    <w:rsid w:val="00E065D2"/>
    <w:rsid w:val="00E11A85"/>
    <w:rsid w:val="00E12495"/>
    <w:rsid w:val="00E15CCD"/>
    <w:rsid w:val="00E17E5A"/>
    <w:rsid w:val="00E202EF"/>
    <w:rsid w:val="00E210B5"/>
    <w:rsid w:val="00E23D99"/>
    <w:rsid w:val="00E2552F"/>
    <w:rsid w:val="00E271E0"/>
    <w:rsid w:val="00E303C5"/>
    <w:rsid w:val="00E30AA6"/>
    <w:rsid w:val="00E3137A"/>
    <w:rsid w:val="00E32CCF"/>
    <w:rsid w:val="00E34A98"/>
    <w:rsid w:val="00E35D1E"/>
    <w:rsid w:val="00E364F9"/>
    <w:rsid w:val="00E365FA"/>
    <w:rsid w:val="00E36789"/>
    <w:rsid w:val="00E43B39"/>
    <w:rsid w:val="00E44A83"/>
    <w:rsid w:val="00E502C1"/>
    <w:rsid w:val="00E502DD"/>
    <w:rsid w:val="00E50D3A"/>
    <w:rsid w:val="00E51387"/>
    <w:rsid w:val="00E51E68"/>
    <w:rsid w:val="00E52EFD"/>
    <w:rsid w:val="00E5408A"/>
    <w:rsid w:val="00E56800"/>
    <w:rsid w:val="00E60C63"/>
    <w:rsid w:val="00E62215"/>
    <w:rsid w:val="00E62FF9"/>
    <w:rsid w:val="00E635D6"/>
    <w:rsid w:val="00E639BC"/>
    <w:rsid w:val="00E664CC"/>
    <w:rsid w:val="00E70388"/>
    <w:rsid w:val="00E70F92"/>
    <w:rsid w:val="00E74AED"/>
    <w:rsid w:val="00E74C54"/>
    <w:rsid w:val="00E77A03"/>
    <w:rsid w:val="00E822E8"/>
    <w:rsid w:val="00E82554"/>
    <w:rsid w:val="00E82606"/>
    <w:rsid w:val="00E846C8"/>
    <w:rsid w:val="00E84957"/>
    <w:rsid w:val="00E84A55"/>
    <w:rsid w:val="00E84BE6"/>
    <w:rsid w:val="00E85BFF"/>
    <w:rsid w:val="00E90391"/>
    <w:rsid w:val="00E90465"/>
    <w:rsid w:val="00E906C2"/>
    <w:rsid w:val="00E92C02"/>
    <w:rsid w:val="00E9311F"/>
    <w:rsid w:val="00E93268"/>
    <w:rsid w:val="00E934D1"/>
    <w:rsid w:val="00E9455D"/>
    <w:rsid w:val="00E94AF0"/>
    <w:rsid w:val="00E951F5"/>
    <w:rsid w:val="00E95D13"/>
    <w:rsid w:val="00E95DD3"/>
    <w:rsid w:val="00E969D5"/>
    <w:rsid w:val="00E97796"/>
    <w:rsid w:val="00EA0B5D"/>
    <w:rsid w:val="00EA35AB"/>
    <w:rsid w:val="00EA58D1"/>
    <w:rsid w:val="00EA61BC"/>
    <w:rsid w:val="00EA681A"/>
    <w:rsid w:val="00EA735B"/>
    <w:rsid w:val="00EB17DE"/>
    <w:rsid w:val="00EB1E69"/>
    <w:rsid w:val="00EB2086"/>
    <w:rsid w:val="00EB220F"/>
    <w:rsid w:val="00EB5EDF"/>
    <w:rsid w:val="00EB60FE"/>
    <w:rsid w:val="00EB74DB"/>
    <w:rsid w:val="00EB7A64"/>
    <w:rsid w:val="00EC3FB9"/>
    <w:rsid w:val="00EC44CA"/>
    <w:rsid w:val="00EC5359"/>
    <w:rsid w:val="00EC55C0"/>
    <w:rsid w:val="00EC562A"/>
    <w:rsid w:val="00EC5CC5"/>
    <w:rsid w:val="00ED067A"/>
    <w:rsid w:val="00ED2B50"/>
    <w:rsid w:val="00EE0350"/>
    <w:rsid w:val="00EE0719"/>
    <w:rsid w:val="00EE0E80"/>
    <w:rsid w:val="00EE54A6"/>
    <w:rsid w:val="00EE613F"/>
    <w:rsid w:val="00EE7295"/>
    <w:rsid w:val="00EE76AD"/>
    <w:rsid w:val="00EE7869"/>
    <w:rsid w:val="00EF054A"/>
    <w:rsid w:val="00EF2CFB"/>
    <w:rsid w:val="00EF3235"/>
    <w:rsid w:val="00EF3292"/>
    <w:rsid w:val="00EF4736"/>
    <w:rsid w:val="00EF7E72"/>
    <w:rsid w:val="00F000BC"/>
    <w:rsid w:val="00F06D37"/>
    <w:rsid w:val="00F07B9D"/>
    <w:rsid w:val="00F11586"/>
    <w:rsid w:val="00F1183B"/>
    <w:rsid w:val="00F11C9F"/>
    <w:rsid w:val="00F12263"/>
    <w:rsid w:val="00F1409D"/>
    <w:rsid w:val="00F14214"/>
    <w:rsid w:val="00F157A9"/>
    <w:rsid w:val="00F21027"/>
    <w:rsid w:val="00F25BB6"/>
    <w:rsid w:val="00F26B7E"/>
    <w:rsid w:val="00F27A3B"/>
    <w:rsid w:val="00F33817"/>
    <w:rsid w:val="00F3408E"/>
    <w:rsid w:val="00F420A3"/>
    <w:rsid w:val="00F420D5"/>
    <w:rsid w:val="00F43ED4"/>
    <w:rsid w:val="00F451EA"/>
    <w:rsid w:val="00F45325"/>
    <w:rsid w:val="00F45447"/>
    <w:rsid w:val="00F456C6"/>
    <w:rsid w:val="00F4577B"/>
    <w:rsid w:val="00F46496"/>
    <w:rsid w:val="00F474D0"/>
    <w:rsid w:val="00F50179"/>
    <w:rsid w:val="00F51582"/>
    <w:rsid w:val="00F515EE"/>
    <w:rsid w:val="00F55308"/>
    <w:rsid w:val="00F56511"/>
    <w:rsid w:val="00F6194E"/>
    <w:rsid w:val="00F623AC"/>
    <w:rsid w:val="00F6412A"/>
    <w:rsid w:val="00F6538F"/>
    <w:rsid w:val="00F65893"/>
    <w:rsid w:val="00F66A4A"/>
    <w:rsid w:val="00F71E22"/>
    <w:rsid w:val="00F72142"/>
    <w:rsid w:val="00F72AE7"/>
    <w:rsid w:val="00F73866"/>
    <w:rsid w:val="00F81141"/>
    <w:rsid w:val="00F833BA"/>
    <w:rsid w:val="00F84011"/>
    <w:rsid w:val="00F84FD0"/>
    <w:rsid w:val="00F85591"/>
    <w:rsid w:val="00F859A8"/>
    <w:rsid w:val="00F86D87"/>
    <w:rsid w:val="00F87515"/>
    <w:rsid w:val="00F9108B"/>
    <w:rsid w:val="00F911C4"/>
    <w:rsid w:val="00F91349"/>
    <w:rsid w:val="00F93A8A"/>
    <w:rsid w:val="00F95248"/>
    <w:rsid w:val="00F956A9"/>
    <w:rsid w:val="00F95AAD"/>
    <w:rsid w:val="00F963ED"/>
    <w:rsid w:val="00F966CF"/>
    <w:rsid w:val="00F96CAE"/>
    <w:rsid w:val="00F97C99"/>
    <w:rsid w:val="00FA4DAC"/>
    <w:rsid w:val="00FA662D"/>
    <w:rsid w:val="00FA73B1"/>
    <w:rsid w:val="00FA7A1A"/>
    <w:rsid w:val="00FB03F0"/>
    <w:rsid w:val="00FB0CB9"/>
    <w:rsid w:val="00FB231D"/>
    <w:rsid w:val="00FB45F1"/>
    <w:rsid w:val="00FB4A72"/>
    <w:rsid w:val="00FB54E8"/>
    <w:rsid w:val="00FB7054"/>
    <w:rsid w:val="00FB70DA"/>
    <w:rsid w:val="00FC17B7"/>
    <w:rsid w:val="00FC1ECA"/>
    <w:rsid w:val="00FC2B6E"/>
    <w:rsid w:val="00FC2CB7"/>
    <w:rsid w:val="00FC4090"/>
    <w:rsid w:val="00FC55B4"/>
    <w:rsid w:val="00FC5E44"/>
    <w:rsid w:val="00FD00E6"/>
    <w:rsid w:val="00FD09A1"/>
    <w:rsid w:val="00FD0A62"/>
    <w:rsid w:val="00FD2A7C"/>
    <w:rsid w:val="00FD59EB"/>
    <w:rsid w:val="00FD7299"/>
    <w:rsid w:val="00FE1FBE"/>
    <w:rsid w:val="00FE3901"/>
    <w:rsid w:val="00FE39D3"/>
    <w:rsid w:val="00FE4BCE"/>
    <w:rsid w:val="00FE54AE"/>
    <w:rsid w:val="00FE576A"/>
    <w:rsid w:val="00FE7E79"/>
    <w:rsid w:val="00FF3E7D"/>
    <w:rsid w:val="00FF4355"/>
    <w:rsid w:val="00FF5B99"/>
    <w:rsid w:val="00FF730C"/>
    <w:rsid w:val="00FF73F4"/>
    <w:rsid w:val="00FF7CE4"/>
    <w:rsid w:val="00FF7E39"/>
    <w:rsid w:val="03FB485E"/>
    <w:rsid w:val="05A75C03"/>
    <w:rsid w:val="06A03AD9"/>
    <w:rsid w:val="0A27015B"/>
    <w:rsid w:val="0BF71DAF"/>
    <w:rsid w:val="0C3F40E9"/>
    <w:rsid w:val="0C7F6E6A"/>
    <w:rsid w:val="12B73E31"/>
    <w:rsid w:val="19244252"/>
    <w:rsid w:val="1B8B42C2"/>
    <w:rsid w:val="211B098C"/>
    <w:rsid w:val="211B0ECA"/>
    <w:rsid w:val="22021E75"/>
    <w:rsid w:val="28942A08"/>
    <w:rsid w:val="2CD23AFF"/>
    <w:rsid w:val="2EF079F9"/>
    <w:rsid w:val="2FB7997D"/>
    <w:rsid w:val="307C1504"/>
    <w:rsid w:val="35B73D61"/>
    <w:rsid w:val="38B045F7"/>
    <w:rsid w:val="3B716BD9"/>
    <w:rsid w:val="3BC132F4"/>
    <w:rsid w:val="3D7A7FC6"/>
    <w:rsid w:val="3DF07052"/>
    <w:rsid w:val="3E6F5651"/>
    <w:rsid w:val="3FB26D04"/>
    <w:rsid w:val="412B15D8"/>
    <w:rsid w:val="44ED7D11"/>
    <w:rsid w:val="45C142B9"/>
    <w:rsid w:val="47C80A30"/>
    <w:rsid w:val="4A82670C"/>
    <w:rsid w:val="4ACE40E1"/>
    <w:rsid w:val="4AF313B8"/>
    <w:rsid w:val="4C523EBC"/>
    <w:rsid w:val="4DF07E31"/>
    <w:rsid w:val="4EF851EF"/>
    <w:rsid w:val="50FD6E2D"/>
    <w:rsid w:val="51F57718"/>
    <w:rsid w:val="52B50CE3"/>
    <w:rsid w:val="5FB73613"/>
    <w:rsid w:val="61BA7585"/>
    <w:rsid w:val="66F978FF"/>
    <w:rsid w:val="670C7632"/>
    <w:rsid w:val="684D66E1"/>
    <w:rsid w:val="6A0960AB"/>
    <w:rsid w:val="6FCFCC22"/>
    <w:rsid w:val="734D07B0"/>
    <w:rsid w:val="793FAA29"/>
    <w:rsid w:val="7A5544A0"/>
    <w:rsid w:val="7C7575D0"/>
    <w:rsid w:val="7F785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2E59D35"/>
  <w15:docId w15:val="{F25595C8-C116-4772-8D3C-DD5AA0F09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b">
    <w:name w:val="Normal"/>
    <w:qFormat/>
    <w:pPr>
      <w:widowControl w:val="0"/>
      <w:adjustRightInd w:val="0"/>
      <w:spacing w:after="160" w:line="400" w:lineRule="exact"/>
      <w:jc w:val="both"/>
    </w:pPr>
    <w:rPr>
      <w:kern w:val="2"/>
      <w:sz w:val="21"/>
      <w:szCs w:val="21"/>
    </w:rPr>
  </w:style>
  <w:style w:type="paragraph" w:styleId="1">
    <w:name w:val="heading 1"/>
    <w:basedOn w:val="afffb"/>
    <w:next w:val="afffb"/>
    <w:link w:val="10"/>
    <w:qFormat/>
    <w:pPr>
      <w:keepNext/>
      <w:keepLines/>
      <w:spacing w:before="340" w:after="330" w:line="578" w:lineRule="auto"/>
      <w:outlineLvl w:val="0"/>
    </w:pPr>
    <w:rPr>
      <w:b/>
      <w:bCs/>
      <w:kern w:val="44"/>
      <w:sz w:val="44"/>
      <w:szCs w:val="44"/>
    </w:rPr>
  </w:style>
  <w:style w:type="paragraph" w:styleId="22">
    <w:name w:val="heading 2"/>
    <w:basedOn w:val="afffb"/>
    <w:next w:val="afffb"/>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b"/>
    <w:next w:val="afffb"/>
    <w:link w:val="30"/>
    <w:qFormat/>
    <w:pPr>
      <w:keepNext/>
      <w:keepLines/>
      <w:spacing w:before="260" w:after="260" w:line="416" w:lineRule="auto"/>
      <w:outlineLvl w:val="2"/>
    </w:pPr>
    <w:rPr>
      <w:b/>
      <w:bCs/>
      <w:sz w:val="32"/>
      <w:szCs w:val="32"/>
    </w:rPr>
  </w:style>
  <w:style w:type="paragraph" w:styleId="4">
    <w:name w:val="heading 4"/>
    <w:basedOn w:val="afffb"/>
    <w:next w:val="afffb"/>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b"/>
    <w:next w:val="afffb"/>
    <w:link w:val="50"/>
    <w:qFormat/>
    <w:pPr>
      <w:keepNext/>
      <w:keepLines/>
      <w:adjustRightInd/>
      <w:spacing w:before="280" w:after="290" w:line="376" w:lineRule="auto"/>
      <w:outlineLvl w:val="4"/>
    </w:pPr>
    <w:rPr>
      <w:b/>
      <w:bCs/>
      <w:sz w:val="28"/>
      <w:szCs w:val="28"/>
    </w:rPr>
  </w:style>
  <w:style w:type="paragraph" w:styleId="6">
    <w:name w:val="heading 6"/>
    <w:basedOn w:val="afffb"/>
    <w:next w:val="afffb"/>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b"/>
    <w:next w:val="afffb"/>
    <w:link w:val="70"/>
    <w:qFormat/>
    <w:pPr>
      <w:keepNext/>
      <w:keepLines/>
      <w:adjustRightInd/>
      <w:spacing w:before="240" w:after="64" w:line="320" w:lineRule="auto"/>
      <w:outlineLvl w:val="6"/>
    </w:pPr>
    <w:rPr>
      <w:b/>
      <w:bCs/>
      <w:sz w:val="24"/>
      <w:szCs w:val="24"/>
    </w:rPr>
  </w:style>
  <w:style w:type="paragraph" w:styleId="8">
    <w:name w:val="heading 8"/>
    <w:basedOn w:val="afffb"/>
    <w:next w:val="afffb"/>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b"/>
    <w:next w:val="afffb"/>
    <w:link w:val="90"/>
    <w:qFormat/>
    <w:pPr>
      <w:keepNext/>
      <w:keepLines/>
      <w:adjustRightInd/>
      <w:spacing w:before="240" w:after="64" w:line="320" w:lineRule="auto"/>
      <w:outlineLvl w:val="8"/>
    </w:pPr>
    <w:rPr>
      <w:rFonts w:ascii="Arial" w:eastAsia="黑体" w:hAnsi="Arial"/>
    </w:rPr>
  </w:style>
  <w:style w:type="character" w:default="1" w:styleId="afffc">
    <w:name w:val="Default Paragraph Font"/>
    <w:uiPriority w:val="1"/>
    <w:semiHidden/>
    <w:unhideWhenUsed/>
  </w:style>
  <w:style w:type="table" w:default="1" w:styleId="afffd">
    <w:name w:val="Normal Table"/>
    <w:uiPriority w:val="99"/>
    <w:semiHidden/>
    <w:unhideWhenUsed/>
    <w:tblPr>
      <w:tblInd w:w="0" w:type="dxa"/>
      <w:tblCellMar>
        <w:top w:w="0" w:type="dxa"/>
        <w:left w:w="108" w:type="dxa"/>
        <w:bottom w:w="0" w:type="dxa"/>
        <w:right w:w="108" w:type="dxa"/>
      </w:tblCellMar>
    </w:tblPr>
  </w:style>
  <w:style w:type="numbering" w:default="1" w:styleId="afffe">
    <w:name w:val="No List"/>
    <w:uiPriority w:val="99"/>
    <w:semiHidden/>
    <w:unhideWhenUsed/>
  </w:style>
  <w:style w:type="paragraph" w:styleId="TOC7">
    <w:name w:val="toc 7"/>
    <w:basedOn w:val="afffb"/>
    <w:next w:val="afffb"/>
    <w:uiPriority w:val="39"/>
    <w:unhideWhenUsed/>
    <w:qFormat/>
    <w:pPr>
      <w:tabs>
        <w:tab w:val="right" w:leader="dot" w:pos="9344"/>
      </w:tabs>
      <w:spacing w:line="300" w:lineRule="exact"/>
      <w:ind w:left="1259"/>
    </w:pPr>
    <w:rPr>
      <w:rFonts w:ascii="宋体"/>
    </w:rPr>
  </w:style>
  <w:style w:type="paragraph" w:styleId="affff">
    <w:name w:val="Normal Indent"/>
    <w:basedOn w:val="afffb"/>
    <w:qFormat/>
    <w:pPr>
      <w:ind w:firstLine="420"/>
    </w:pPr>
  </w:style>
  <w:style w:type="paragraph" w:styleId="affff0">
    <w:name w:val="annotation text"/>
    <w:basedOn w:val="afffb"/>
    <w:link w:val="affff1"/>
    <w:uiPriority w:val="99"/>
    <w:semiHidden/>
    <w:unhideWhenUsed/>
    <w:qFormat/>
    <w:pPr>
      <w:jc w:val="left"/>
    </w:pPr>
  </w:style>
  <w:style w:type="paragraph" w:styleId="affff2">
    <w:name w:val="Body Text"/>
    <w:basedOn w:val="afffb"/>
    <w:link w:val="affff3"/>
    <w:qFormat/>
    <w:pPr>
      <w:spacing w:after="120"/>
    </w:pPr>
  </w:style>
  <w:style w:type="paragraph" w:styleId="TOC5">
    <w:name w:val="toc 5"/>
    <w:basedOn w:val="afffb"/>
    <w:next w:val="afffb"/>
    <w:uiPriority w:val="39"/>
    <w:unhideWhenUsed/>
    <w:qFormat/>
    <w:pPr>
      <w:ind w:left="839"/>
    </w:pPr>
    <w:rPr>
      <w:rFonts w:ascii="宋体"/>
    </w:rPr>
  </w:style>
  <w:style w:type="paragraph" w:styleId="TOC3">
    <w:name w:val="toc 3"/>
    <w:basedOn w:val="afffb"/>
    <w:next w:val="afffb"/>
    <w:uiPriority w:val="39"/>
    <w:unhideWhenUsed/>
    <w:qFormat/>
    <w:pPr>
      <w:spacing w:line="300" w:lineRule="exact"/>
      <w:ind w:left="420"/>
    </w:pPr>
    <w:rPr>
      <w:rFonts w:ascii="宋体"/>
    </w:rPr>
  </w:style>
  <w:style w:type="paragraph" w:styleId="affff4">
    <w:name w:val="Balloon Text"/>
    <w:basedOn w:val="afffb"/>
    <w:link w:val="affff5"/>
    <w:uiPriority w:val="99"/>
    <w:semiHidden/>
    <w:unhideWhenUsed/>
    <w:qFormat/>
    <w:rPr>
      <w:sz w:val="18"/>
      <w:szCs w:val="18"/>
    </w:rPr>
  </w:style>
  <w:style w:type="paragraph" w:styleId="affff6">
    <w:name w:val="footer"/>
    <w:basedOn w:val="afffb"/>
    <w:link w:val="affff7"/>
    <w:uiPriority w:val="99"/>
    <w:qFormat/>
    <w:pPr>
      <w:tabs>
        <w:tab w:val="center" w:pos="4153"/>
        <w:tab w:val="right" w:pos="8306"/>
      </w:tabs>
      <w:adjustRightInd/>
      <w:snapToGrid w:val="0"/>
      <w:spacing w:line="240" w:lineRule="auto"/>
      <w:jc w:val="right"/>
    </w:pPr>
    <w:rPr>
      <w:rFonts w:ascii="宋体"/>
      <w:sz w:val="18"/>
      <w:szCs w:val="18"/>
    </w:rPr>
  </w:style>
  <w:style w:type="paragraph" w:styleId="affff8">
    <w:name w:val="header"/>
    <w:basedOn w:val="afffb"/>
    <w:link w:val="affff9"/>
    <w:uiPriority w:val="99"/>
    <w:qFormat/>
    <w:pPr>
      <w:tabs>
        <w:tab w:val="center" w:pos="4153"/>
        <w:tab w:val="right" w:pos="8306"/>
      </w:tabs>
      <w:adjustRightInd/>
      <w:snapToGrid w:val="0"/>
      <w:jc w:val="center"/>
    </w:pPr>
    <w:rPr>
      <w:sz w:val="18"/>
      <w:szCs w:val="18"/>
    </w:rPr>
  </w:style>
  <w:style w:type="paragraph" w:styleId="TOC1">
    <w:name w:val="toc 1"/>
    <w:basedOn w:val="afffb"/>
    <w:next w:val="afffb"/>
    <w:uiPriority w:val="39"/>
    <w:unhideWhenUsed/>
    <w:qFormat/>
    <w:rPr>
      <w:rFonts w:ascii="宋体"/>
    </w:rPr>
  </w:style>
  <w:style w:type="paragraph" w:styleId="TOC4">
    <w:name w:val="toc 4"/>
    <w:basedOn w:val="afffb"/>
    <w:next w:val="afffb"/>
    <w:uiPriority w:val="39"/>
    <w:unhideWhenUsed/>
    <w:qFormat/>
    <w:pPr>
      <w:tabs>
        <w:tab w:val="right" w:leader="dot" w:pos="9344"/>
      </w:tabs>
      <w:spacing w:line="300" w:lineRule="exact"/>
      <w:ind w:left="629"/>
    </w:pPr>
    <w:rPr>
      <w:rFonts w:ascii="宋体"/>
    </w:rPr>
  </w:style>
  <w:style w:type="paragraph" w:styleId="affffa">
    <w:name w:val="footnote text"/>
    <w:basedOn w:val="afffb"/>
    <w:next w:val="afffb"/>
    <w:link w:val="affffb"/>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b"/>
    <w:next w:val="afffb"/>
    <w:uiPriority w:val="39"/>
    <w:unhideWhenUsed/>
    <w:qFormat/>
    <w:pPr>
      <w:spacing w:line="300" w:lineRule="exact"/>
      <w:ind w:left="1049"/>
    </w:pPr>
    <w:rPr>
      <w:rFonts w:ascii="宋体"/>
    </w:rPr>
  </w:style>
  <w:style w:type="paragraph" w:styleId="affffc">
    <w:name w:val="table of figures"/>
    <w:basedOn w:val="afffb"/>
    <w:next w:val="afffb"/>
    <w:semiHidden/>
    <w:qFormat/>
    <w:pPr>
      <w:adjustRightInd/>
      <w:spacing w:line="240" w:lineRule="auto"/>
      <w:jc w:val="left"/>
    </w:pPr>
    <w:rPr>
      <w:szCs w:val="24"/>
    </w:rPr>
  </w:style>
  <w:style w:type="paragraph" w:styleId="TOC2">
    <w:name w:val="toc 2"/>
    <w:basedOn w:val="afffb"/>
    <w:next w:val="afffb"/>
    <w:uiPriority w:val="39"/>
    <w:unhideWhenUsed/>
    <w:qFormat/>
    <w:pPr>
      <w:tabs>
        <w:tab w:val="right" w:leader="dot" w:pos="9344"/>
      </w:tabs>
      <w:spacing w:line="300" w:lineRule="exact"/>
      <w:ind w:left="210"/>
    </w:pPr>
    <w:rPr>
      <w:rFonts w:ascii="宋体"/>
    </w:rPr>
  </w:style>
  <w:style w:type="paragraph" w:styleId="affffd">
    <w:name w:val="Title"/>
    <w:basedOn w:val="afffb"/>
    <w:link w:val="affffe"/>
    <w:qFormat/>
    <w:pPr>
      <w:spacing w:before="240" w:after="60"/>
      <w:jc w:val="center"/>
      <w:outlineLvl w:val="0"/>
    </w:pPr>
    <w:rPr>
      <w:rFonts w:ascii="Arial" w:hAnsi="Arial" w:cs="Arial"/>
      <w:b/>
      <w:bCs/>
      <w:sz w:val="32"/>
      <w:szCs w:val="32"/>
    </w:rPr>
  </w:style>
  <w:style w:type="paragraph" w:styleId="afffff">
    <w:name w:val="annotation subject"/>
    <w:basedOn w:val="affff0"/>
    <w:next w:val="affff0"/>
    <w:link w:val="afffff0"/>
    <w:uiPriority w:val="99"/>
    <w:semiHidden/>
    <w:unhideWhenUsed/>
    <w:qFormat/>
    <w:rPr>
      <w:b/>
      <w:bCs/>
    </w:rPr>
  </w:style>
  <w:style w:type="table" w:styleId="afffff1">
    <w:name w:val="Table Grid"/>
    <w:basedOn w:val="afffd"/>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2">
    <w:name w:val="Strong"/>
    <w:uiPriority w:val="22"/>
    <w:qFormat/>
    <w:rPr>
      <w:b/>
      <w:bCs/>
    </w:rPr>
  </w:style>
  <w:style w:type="character" w:styleId="afffff3">
    <w:name w:val="page number"/>
    <w:qFormat/>
    <w:rPr>
      <w:rFonts w:ascii="宋体" w:eastAsia="宋体" w:hAnsi="Times New Roman"/>
      <w:sz w:val="18"/>
    </w:rPr>
  </w:style>
  <w:style w:type="character" w:styleId="afffff4">
    <w:name w:val="Emphasis"/>
    <w:uiPriority w:val="20"/>
    <w:qFormat/>
    <w:rPr>
      <w:i/>
      <w:iCs/>
    </w:rPr>
  </w:style>
  <w:style w:type="character" w:styleId="afffff5">
    <w:name w:val="Hyperlink"/>
    <w:uiPriority w:val="99"/>
    <w:qFormat/>
    <w:rPr>
      <w:rFonts w:ascii="宋体" w:eastAsia="宋体" w:hAnsi="Times New Roman"/>
      <w:color w:val="auto"/>
      <w:spacing w:val="0"/>
      <w:w w:val="100"/>
      <w:position w:val="0"/>
      <w:sz w:val="21"/>
      <w:u w:val="none"/>
      <w:vertAlign w:val="baseline"/>
    </w:rPr>
  </w:style>
  <w:style w:type="character" w:styleId="afffff6">
    <w:name w:val="annotation reference"/>
    <w:basedOn w:val="afffc"/>
    <w:uiPriority w:val="99"/>
    <w:semiHidden/>
    <w:unhideWhenUsed/>
    <w:qFormat/>
    <w:rPr>
      <w:sz w:val="21"/>
      <w:szCs w:val="21"/>
    </w:rPr>
  </w:style>
  <w:style w:type="character" w:styleId="afffff7">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9">
    <w:name w:val="页眉 字符"/>
    <w:link w:val="affff8"/>
    <w:uiPriority w:val="99"/>
    <w:qFormat/>
    <w:rPr>
      <w:kern w:val="2"/>
      <w:sz w:val="18"/>
      <w:szCs w:val="18"/>
    </w:rPr>
  </w:style>
  <w:style w:type="character" w:customStyle="1" w:styleId="affff7">
    <w:name w:val="页脚 字符"/>
    <w:link w:val="affff6"/>
    <w:uiPriority w:val="99"/>
    <w:qFormat/>
    <w:rPr>
      <w:rFonts w:ascii="宋体"/>
      <w:kern w:val="2"/>
      <w:sz w:val="18"/>
      <w:szCs w:val="18"/>
    </w:rPr>
  </w:style>
  <w:style w:type="character" w:customStyle="1" w:styleId="affff5">
    <w:name w:val="批注框文本 字符"/>
    <w:link w:val="affff4"/>
    <w:uiPriority w:val="99"/>
    <w:semiHidden/>
    <w:qFormat/>
    <w:rPr>
      <w:kern w:val="2"/>
      <w:sz w:val="18"/>
      <w:szCs w:val="18"/>
    </w:rPr>
  </w:style>
  <w:style w:type="paragraph" w:styleId="afffff8">
    <w:name w:val="Quote"/>
    <w:basedOn w:val="afffb"/>
    <w:next w:val="afffb"/>
    <w:link w:val="afffff9"/>
    <w:uiPriority w:val="29"/>
    <w:qFormat/>
    <w:rPr>
      <w:i/>
      <w:iCs/>
      <w:color w:val="000000"/>
    </w:rPr>
  </w:style>
  <w:style w:type="character" w:customStyle="1" w:styleId="afffff9">
    <w:name w:val="引用 字符"/>
    <w:link w:val="afffff8"/>
    <w:uiPriority w:val="29"/>
    <w:qFormat/>
    <w:rPr>
      <w:i/>
      <w:iCs/>
      <w:color w:val="000000"/>
      <w:kern w:val="2"/>
      <w:sz w:val="21"/>
      <w:szCs w:val="21"/>
    </w:rPr>
  </w:style>
  <w:style w:type="character" w:customStyle="1" w:styleId="affffe">
    <w:name w:val="标题 字符"/>
    <w:link w:val="affffd"/>
    <w:qFormat/>
    <w:rPr>
      <w:rFonts w:ascii="Arial" w:hAnsi="Arial" w:cs="Arial"/>
      <w:b/>
      <w:bCs/>
      <w:kern w:val="2"/>
      <w:sz w:val="32"/>
      <w:szCs w:val="32"/>
    </w:rPr>
  </w:style>
  <w:style w:type="paragraph" w:customStyle="1" w:styleId="afffffa">
    <w:name w:val="标准标志"/>
    <w:next w:val="afffb"/>
    <w:qFormat/>
    <w:pPr>
      <w:framePr w:w="2268" w:h="1392" w:hRule="exact" w:wrap="around" w:hAnchor="margin" w:x="6748" w:y="171" w:anchorLock="1"/>
      <w:shd w:val="solid" w:color="FFFFFF" w:fill="FFFFFF"/>
      <w:spacing w:after="160" w:line="0" w:lineRule="atLeast"/>
      <w:jc w:val="right"/>
    </w:pPr>
    <w:rPr>
      <w:rFonts w:ascii="Times New Roman" w:hAnsi="Times New Roman"/>
      <w:b/>
      <w:w w:val="130"/>
      <w:sz w:val="96"/>
    </w:rPr>
  </w:style>
  <w:style w:type="paragraph" w:customStyle="1" w:styleId="afffffb">
    <w:name w:val="标准称谓"/>
    <w:next w:val="afffb"/>
    <w:qFormat/>
    <w:pPr>
      <w:framePr w:w="9638" w:h="754" w:hRule="exact" w:hSpace="180" w:vSpace="180" w:wrap="around" w:vAnchor="page" w:hAnchor="margin" w:xAlign="center" w:y="2128" w:anchorLock="1"/>
      <w:widowControl w:val="0"/>
      <w:kinsoku w:val="0"/>
      <w:overflowPunct w:val="0"/>
      <w:autoSpaceDE w:val="0"/>
      <w:autoSpaceDN w:val="0"/>
      <w:spacing w:after="160" w:line="0" w:lineRule="atLeast"/>
      <w:jc w:val="distribute"/>
    </w:pPr>
    <w:rPr>
      <w:rFonts w:ascii="宋体" w:hAnsi="Times New Roman"/>
      <w:b/>
      <w:bCs/>
      <w:w w:val="148"/>
      <w:sz w:val="52"/>
    </w:rPr>
  </w:style>
  <w:style w:type="paragraph" w:customStyle="1" w:styleId="afffffc">
    <w:name w:val="标准文件_页脚偶数页"/>
    <w:qFormat/>
    <w:pPr>
      <w:spacing w:after="160" w:line="278" w:lineRule="auto"/>
      <w:ind w:left="198"/>
    </w:pPr>
    <w:rPr>
      <w:rFonts w:ascii="宋体" w:hAnsi="Times New Roman"/>
      <w:sz w:val="18"/>
    </w:rPr>
  </w:style>
  <w:style w:type="paragraph" w:customStyle="1" w:styleId="afffffd">
    <w:name w:val="标准文件_页脚奇数页"/>
    <w:qFormat/>
    <w:pPr>
      <w:spacing w:after="160" w:line="278" w:lineRule="auto"/>
      <w:ind w:right="227"/>
      <w:jc w:val="right"/>
    </w:pPr>
    <w:rPr>
      <w:rFonts w:ascii="宋体" w:hAnsi="Times New Roman"/>
      <w:sz w:val="18"/>
    </w:rPr>
  </w:style>
  <w:style w:type="paragraph" w:customStyle="1" w:styleId="afffffe">
    <w:name w:val="标准书眉一"/>
    <w:qFormat/>
    <w:pPr>
      <w:spacing w:after="160" w:line="278" w:lineRule="auto"/>
      <w:jc w:val="both"/>
    </w:pPr>
    <w:rPr>
      <w:rFonts w:ascii="Times New Roman" w:hAnsi="Times New Roman"/>
    </w:rPr>
  </w:style>
  <w:style w:type="paragraph" w:customStyle="1" w:styleId="ICS">
    <w:name w:val="标准文件_ICS"/>
    <w:basedOn w:val="afffb"/>
    <w:qFormat/>
    <w:pPr>
      <w:spacing w:line="0" w:lineRule="atLeast"/>
    </w:pPr>
    <w:rPr>
      <w:rFonts w:ascii="黑体" w:eastAsia="黑体" w:hAnsi="宋体"/>
    </w:rPr>
  </w:style>
  <w:style w:type="paragraph" w:customStyle="1" w:styleId="affffff">
    <w:name w:val="标准文件_标准正文"/>
    <w:basedOn w:val="afffb"/>
    <w:next w:val="affffff0"/>
    <w:qFormat/>
    <w:pPr>
      <w:snapToGrid w:val="0"/>
      <w:ind w:firstLineChars="200" w:firstLine="200"/>
    </w:pPr>
    <w:rPr>
      <w:kern w:val="0"/>
    </w:rPr>
  </w:style>
  <w:style w:type="paragraph" w:customStyle="1" w:styleId="affffff0">
    <w:name w:val="标准文件_段"/>
    <w:link w:val="Char"/>
    <w:qFormat/>
    <w:pPr>
      <w:autoSpaceDE w:val="0"/>
      <w:autoSpaceDN w:val="0"/>
      <w:spacing w:after="160" w:line="278" w:lineRule="auto"/>
      <w:ind w:firstLineChars="200" w:firstLine="200"/>
      <w:jc w:val="both"/>
    </w:pPr>
    <w:rPr>
      <w:rFonts w:ascii="宋体" w:hAnsi="Times New Roman"/>
      <w:sz w:val="21"/>
    </w:rPr>
  </w:style>
  <w:style w:type="paragraph" w:customStyle="1" w:styleId="affffff1">
    <w:name w:val="标准文件_版本"/>
    <w:basedOn w:val="affffff"/>
    <w:qFormat/>
    <w:pPr>
      <w:adjustRightInd/>
      <w:snapToGrid/>
      <w:ind w:firstLineChars="0" w:firstLine="0"/>
    </w:pPr>
    <w:rPr>
      <w:rFonts w:ascii="宋体" w:hAnsi="宋体"/>
      <w:kern w:val="2"/>
    </w:rPr>
  </w:style>
  <w:style w:type="paragraph" w:customStyle="1" w:styleId="affffff2">
    <w:name w:val="标准文件_标准部门"/>
    <w:basedOn w:val="afffb"/>
    <w:qFormat/>
    <w:pPr>
      <w:jc w:val="center"/>
    </w:pPr>
    <w:rPr>
      <w:rFonts w:ascii="黑体" w:eastAsia="黑体"/>
      <w:kern w:val="0"/>
      <w:sz w:val="44"/>
    </w:rPr>
  </w:style>
  <w:style w:type="paragraph" w:customStyle="1" w:styleId="affffff3">
    <w:name w:val="标准文件_标准代替"/>
    <w:basedOn w:val="afffb"/>
    <w:next w:val="afffb"/>
    <w:qFormat/>
    <w:pPr>
      <w:spacing w:line="310" w:lineRule="exact"/>
      <w:jc w:val="right"/>
    </w:pPr>
    <w:rPr>
      <w:rFonts w:ascii="宋体" w:hAnsi="宋体"/>
      <w:kern w:val="0"/>
    </w:rPr>
  </w:style>
  <w:style w:type="paragraph" w:customStyle="1" w:styleId="affffff4">
    <w:name w:val="标准文件_标准名称标题"/>
    <w:basedOn w:val="afffb"/>
    <w:next w:val="afffb"/>
    <w:qFormat/>
    <w:pPr>
      <w:widowControl/>
      <w:shd w:val="clear" w:color="FFFFFF" w:fill="FFFFFF"/>
      <w:adjustRightInd/>
      <w:spacing w:before="640" w:after="100"/>
      <w:jc w:val="center"/>
    </w:pPr>
    <w:rPr>
      <w:rFonts w:ascii="黑体" w:eastAsia="黑体"/>
      <w:kern w:val="0"/>
      <w:sz w:val="32"/>
    </w:rPr>
  </w:style>
  <w:style w:type="paragraph" w:customStyle="1" w:styleId="affffff5">
    <w:name w:val="标准文件_页眉奇数页"/>
    <w:next w:val="afffb"/>
    <w:qFormat/>
    <w:pPr>
      <w:tabs>
        <w:tab w:val="center" w:pos="4154"/>
        <w:tab w:val="right" w:pos="8306"/>
      </w:tabs>
      <w:spacing w:after="120" w:line="278" w:lineRule="auto"/>
      <w:jc w:val="right"/>
    </w:pPr>
    <w:rPr>
      <w:rFonts w:ascii="黑体" w:eastAsia="黑体" w:hAnsi="宋体"/>
      <w:sz w:val="21"/>
    </w:rPr>
  </w:style>
  <w:style w:type="paragraph" w:customStyle="1" w:styleId="affffff6">
    <w:name w:val="标准文件_页眉偶数页"/>
    <w:basedOn w:val="affffff5"/>
    <w:next w:val="afffb"/>
    <w:qFormat/>
    <w:pPr>
      <w:jc w:val="left"/>
    </w:pPr>
  </w:style>
  <w:style w:type="paragraph" w:customStyle="1" w:styleId="affffff7">
    <w:name w:val="标准文件_参考文献标题"/>
    <w:basedOn w:val="afffb"/>
    <w:next w:val="afffb"/>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spacing w:after="160" w:line="278" w:lineRule="auto"/>
    </w:pPr>
    <w:rPr>
      <w:rFonts w:ascii="宋体" w:hAnsi="Times New Roman"/>
    </w:rPr>
  </w:style>
  <w:style w:type="paragraph" w:customStyle="1" w:styleId="afff4">
    <w:name w:val="标准文件_二级条标题"/>
    <w:next w:val="affffff0"/>
    <w:qFormat/>
    <w:pPr>
      <w:widowControl w:val="0"/>
      <w:numPr>
        <w:ilvl w:val="3"/>
        <w:numId w:val="2"/>
      </w:numPr>
      <w:spacing w:beforeLines="50" w:before="50" w:afterLines="50" w:after="50" w:line="278" w:lineRule="auto"/>
      <w:jc w:val="both"/>
      <w:outlineLvl w:val="2"/>
    </w:pPr>
    <w:rPr>
      <w:rFonts w:ascii="黑体" w:eastAsia="黑体" w:hAnsi="Times New Roman"/>
      <w:sz w:val="21"/>
    </w:rPr>
  </w:style>
  <w:style w:type="character" w:customStyle="1" w:styleId="affffff8">
    <w:name w:val="标准文件_发布"/>
    <w:qFormat/>
    <w:rPr>
      <w:rFonts w:ascii="黑体" w:eastAsia="黑体"/>
      <w:spacing w:val="0"/>
      <w:w w:val="100"/>
      <w:position w:val="3"/>
      <w:sz w:val="28"/>
    </w:rPr>
  </w:style>
  <w:style w:type="paragraph" w:customStyle="1" w:styleId="ad">
    <w:name w:val="标准文件_方框数字列项"/>
    <w:basedOn w:val="affffff0"/>
    <w:qFormat/>
    <w:pPr>
      <w:numPr>
        <w:numId w:val="3"/>
      </w:numPr>
      <w:ind w:firstLineChars="0" w:firstLine="0"/>
    </w:pPr>
  </w:style>
  <w:style w:type="paragraph" w:customStyle="1" w:styleId="affffff9">
    <w:name w:val="标准文件_封面标准编号"/>
    <w:basedOn w:val="afffb"/>
    <w:next w:val="affffff3"/>
    <w:qFormat/>
    <w:pPr>
      <w:spacing w:line="310" w:lineRule="exact"/>
      <w:jc w:val="right"/>
    </w:pPr>
    <w:rPr>
      <w:rFonts w:ascii="黑体" w:eastAsia="黑体"/>
      <w:kern w:val="0"/>
      <w:sz w:val="28"/>
    </w:rPr>
  </w:style>
  <w:style w:type="paragraph" w:customStyle="1" w:styleId="affffffa">
    <w:name w:val="标准文件_封面标准分类号"/>
    <w:basedOn w:val="afffb"/>
    <w:qFormat/>
    <w:rPr>
      <w:rFonts w:ascii="黑体" w:eastAsia="黑体"/>
      <w:b/>
      <w:kern w:val="0"/>
      <w:sz w:val="28"/>
    </w:rPr>
  </w:style>
  <w:style w:type="paragraph" w:customStyle="1" w:styleId="affffffb">
    <w:name w:val="标准文件_封面标准名称"/>
    <w:basedOn w:val="afffb"/>
    <w:qFormat/>
    <w:pPr>
      <w:spacing w:line="240" w:lineRule="auto"/>
      <w:jc w:val="center"/>
    </w:pPr>
    <w:rPr>
      <w:rFonts w:ascii="黑体" w:eastAsia="黑体"/>
      <w:kern w:val="0"/>
      <w:sz w:val="52"/>
    </w:rPr>
  </w:style>
  <w:style w:type="paragraph" w:customStyle="1" w:styleId="affffffc">
    <w:name w:val="标准文件_封面标准英文名称"/>
    <w:basedOn w:val="afffb"/>
    <w:qFormat/>
    <w:pPr>
      <w:spacing w:line="240" w:lineRule="auto"/>
      <w:jc w:val="center"/>
    </w:pPr>
    <w:rPr>
      <w:rFonts w:ascii="黑体" w:eastAsia="黑体"/>
      <w:b/>
      <w:sz w:val="28"/>
    </w:rPr>
  </w:style>
  <w:style w:type="paragraph" w:customStyle="1" w:styleId="affffffd">
    <w:name w:val="标准文件_封面发布日期"/>
    <w:basedOn w:val="afffb"/>
    <w:qFormat/>
    <w:pPr>
      <w:spacing w:line="310" w:lineRule="exact"/>
    </w:pPr>
    <w:rPr>
      <w:rFonts w:ascii="黑体" w:eastAsia="黑体"/>
      <w:kern w:val="0"/>
      <w:sz w:val="28"/>
    </w:rPr>
  </w:style>
  <w:style w:type="paragraph" w:customStyle="1" w:styleId="affffffe">
    <w:name w:val="标准文件_封面密级"/>
    <w:basedOn w:val="afffb"/>
    <w:qFormat/>
    <w:rPr>
      <w:rFonts w:eastAsia="黑体"/>
      <w:sz w:val="32"/>
    </w:rPr>
  </w:style>
  <w:style w:type="paragraph" w:customStyle="1" w:styleId="afffffff">
    <w:name w:val="标准文件_封面实施日期"/>
    <w:basedOn w:val="afffb"/>
    <w:qFormat/>
    <w:pPr>
      <w:spacing w:line="310" w:lineRule="exact"/>
      <w:jc w:val="right"/>
    </w:pPr>
    <w:rPr>
      <w:rFonts w:ascii="黑体" w:eastAsia="黑体"/>
      <w:sz w:val="28"/>
    </w:rPr>
  </w:style>
  <w:style w:type="paragraph" w:customStyle="1" w:styleId="afffffff0">
    <w:name w:val="标准文件_封面抬头"/>
    <w:basedOn w:val="affffff0"/>
    <w:qFormat/>
    <w:pPr>
      <w:adjustRightInd w:val="0"/>
      <w:spacing w:line="800" w:lineRule="exact"/>
      <w:ind w:firstLineChars="0" w:firstLine="0"/>
      <w:jc w:val="distribute"/>
    </w:pPr>
    <w:rPr>
      <w:rFonts w:ascii="黑体" w:eastAsia="黑体"/>
      <w:b/>
      <w:sz w:val="64"/>
    </w:rPr>
  </w:style>
  <w:style w:type="paragraph" w:customStyle="1" w:styleId="aff9">
    <w:name w:val="标准文件_附录标识"/>
    <w:next w:val="affffff0"/>
    <w:qFormat/>
    <w:pPr>
      <w:numPr>
        <w:numId w:val="4"/>
      </w:numPr>
      <w:shd w:val="clear" w:color="FFFFFF" w:fill="FFFFFF"/>
      <w:tabs>
        <w:tab w:val="left" w:pos="6406"/>
      </w:tabs>
      <w:spacing w:before="560" w:afterLines="50" w:after="50" w:line="278" w:lineRule="auto"/>
      <w:ind w:left="0"/>
      <w:jc w:val="center"/>
      <w:outlineLvl w:val="0"/>
    </w:pPr>
    <w:rPr>
      <w:rFonts w:ascii="黑体" w:eastAsia="黑体" w:hAnsi="Times New Roman"/>
      <w:sz w:val="21"/>
    </w:rPr>
  </w:style>
  <w:style w:type="paragraph" w:customStyle="1" w:styleId="aff5">
    <w:name w:val="标准文件_附录表标题"/>
    <w:next w:val="affffff0"/>
    <w:qFormat/>
    <w:pPr>
      <w:numPr>
        <w:ilvl w:val="1"/>
        <w:numId w:val="5"/>
      </w:numPr>
      <w:adjustRightInd w:val="0"/>
      <w:snapToGrid w:val="0"/>
      <w:spacing w:beforeLines="50" w:before="50" w:afterLines="50" w:after="50" w:line="278" w:lineRule="auto"/>
      <w:ind w:left="0"/>
      <w:jc w:val="center"/>
      <w:textAlignment w:val="baseline"/>
    </w:pPr>
    <w:rPr>
      <w:rFonts w:ascii="黑体" w:eastAsia="黑体" w:hAnsi="Times New Roman"/>
      <w:kern w:val="21"/>
      <w:sz w:val="21"/>
    </w:rPr>
  </w:style>
  <w:style w:type="paragraph" w:customStyle="1" w:styleId="affa">
    <w:name w:val="标准文件_附录一级条标题"/>
    <w:next w:val="affffff0"/>
    <w:qFormat/>
    <w:pPr>
      <w:widowControl w:val="0"/>
      <w:numPr>
        <w:ilvl w:val="1"/>
        <w:numId w:val="4"/>
      </w:numPr>
      <w:spacing w:beforeLines="50" w:before="50" w:afterLines="50" w:after="50" w:line="278" w:lineRule="auto"/>
      <w:jc w:val="both"/>
      <w:outlineLvl w:val="2"/>
    </w:pPr>
    <w:rPr>
      <w:rFonts w:ascii="黑体" w:eastAsia="黑体" w:hAnsi="Times New Roman"/>
      <w:kern w:val="21"/>
      <w:sz w:val="21"/>
    </w:rPr>
  </w:style>
  <w:style w:type="paragraph" w:customStyle="1" w:styleId="affb">
    <w:name w:val="标准文件_附录二级条标题"/>
    <w:basedOn w:val="affa"/>
    <w:next w:val="affffff0"/>
    <w:qFormat/>
    <w:pPr>
      <w:widowControl/>
      <w:numPr>
        <w:ilvl w:val="2"/>
      </w:numPr>
      <w:wordWrap w:val="0"/>
      <w:overflowPunct w:val="0"/>
      <w:autoSpaceDE w:val="0"/>
      <w:autoSpaceDN w:val="0"/>
      <w:textAlignment w:val="baseline"/>
      <w:outlineLvl w:val="3"/>
    </w:pPr>
  </w:style>
  <w:style w:type="paragraph" w:customStyle="1" w:styleId="afffffff1">
    <w:name w:val="标准文件_附录公式"/>
    <w:basedOn w:val="affffff"/>
    <w:next w:val="affffff"/>
    <w:qFormat/>
    <w:pPr>
      <w:tabs>
        <w:tab w:val="center" w:pos="4678"/>
        <w:tab w:val="right" w:leader="middleDot" w:pos="9356"/>
      </w:tabs>
      <w:spacing w:line="240" w:lineRule="auto"/>
      <w:ind w:right="-51" w:firstLineChars="0" w:firstLine="0"/>
    </w:pPr>
    <w:rPr>
      <w:rFonts w:ascii="宋体" w:hAnsi="宋体"/>
    </w:rPr>
  </w:style>
  <w:style w:type="paragraph" w:customStyle="1" w:styleId="affc">
    <w:name w:val="标准文件_附录三级条标题"/>
    <w:next w:val="affffff0"/>
    <w:qFormat/>
    <w:pPr>
      <w:widowControl w:val="0"/>
      <w:numPr>
        <w:ilvl w:val="3"/>
        <w:numId w:val="4"/>
      </w:numPr>
      <w:spacing w:beforeLines="50" w:before="50" w:afterLines="50" w:after="50" w:line="278" w:lineRule="auto"/>
      <w:jc w:val="both"/>
      <w:outlineLvl w:val="4"/>
    </w:pPr>
    <w:rPr>
      <w:rFonts w:ascii="黑体" w:eastAsia="黑体" w:hAnsi="Times New Roman"/>
      <w:kern w:val="21"/>
      <w:sz w:val="21"/>
    </w:rPr>
  </w:style>
  <w:style w:type="paragraph" w:customStyle="1" w:styleId="affd">
    <w:name w:val="标准文件_附录四级条标题"/>
    <w:next w:val="affffff0"/>
    <w:qFormat/>
    <w:pPr>
      <w:widowControl w:val="0"/>
      <w:numPr>
        <w:ilvl w:val="4"/>
        <w:numId w:val="4"/>
      </w:numPr>
      <w:spacing w:beforeLines="50" w:before="50" w:afterLines="50" w:after="50" w:line="278" w:lineRule="auto"/>
      <w:jc w:val="both"/>
      <w:outlineLvl w:val="5"/>
    </w:pPr>
    <w:rPr>
      <w:rFonts w:ascii="黑体" w:eastAsia="黑体" w:hAnsi="Times New Roman"/>
      <w:kern w:val="21"/>
      <w:sz w:val="21"/>
    </w:rPr>
  </w:style>
  <w:style w:type="paragraph" w:customStyle="1" w:styleId="aff">
    <w:name w:val="标准文件_附录图标题"/>
    <w:next w:val="affffff0"/>
    <w:qFormat/>
    <w:pPr>
      <w:numPr>
        <w:ilvl w:val="1"/>
        <w:numId w:val="6"/>
      </w:numPr>
      <w:adjustRightInd w:val="0"/>
      <w:snapToGrid w:val="0"/>
      <w:spacing w:beforeLines="50" w:before="50" w:afterLines="50" w:after="50" w:line="278" w:lineRule="auto"/>
      <w:jc w:val="center"/>
    </w:pPr>
    <w:rPr>
      <w:rFonts w:ascii="黑体" w:eastAsia="黑体" w:hAnsi="Times New Roman"/>
      <w:sz w:val="21"/>
    </w:rPr>
  </w:style>
  <w:style w:type="paragraph" w:customStyle="1" w:styleId="affe">
    <w:name w:val="标准文件_附录五级条标题"/>
    <w:next w:val="affffff0"/>
    <w:qFormat/>
    <w:pPr>
      <w:widowControl w:val="0"/>
      <w:numPr>
        <w:ilvl w:val="5"/>
        <w:numId w:val="4"/>
      </w:numPr>
      <w:spacing w:beforeLines="50" w:before="50" w:afterLines="50" w:after="50" w:line="278" w:lineRule="auto"/>
      <w:jc w:val="both"/>
      <w:outlineLvl w:val="6"/>
    </w:pPr>
    <w:rPr>
      <w:rFonts w:ascii="黑体" w:eastAsia="黑体" w:hAnsi="Times New Roman"/>
      <w:kern w:val="21"/>
      <w:sz w:val="21"/>
    </w:rPr>
  </w:style>
  <w:style w:type="paragraph" w:customStyle="1" w:styleId="af0">
    <w:name w:val="标准文件_附录英文标识"/>
    <w:next w:val="affff2"/>
    <w:qFormat/>
    <w:pPr>
      <w:numPr>
        <w:numId w:val="7"/>
      </w:numPr>
      <w:tabs>
        <w:tab w:val="left" w:pos="6406"/>
      </w:tabs>
      <w:spacing w:before="220" w:after="320" w:line="278" w:lineRule="auto"/>
      <w:jc w:val="center"/>
      <w:outlineLvl w:val="0"/>
    </w:pPr>
    <w:rPr>
      <w:rFonts w:ascii="黑体" w:eastAsia="黑体" w:hAnsi="Times New Roman"/>
      <w:sz w:val="21"/>
    </w:rPr>
  </w:style>
  <w:style w:type="character" w:customStyle="1" w:styleId="affff3">
    <w:name w:val="正文文本 字符"/>
    <w:link w:val="affff2"/>
    <w:qFormat/>
    <w:rPr>
      <w:kern w:val="2"/>
      <w:sz w:val="21"/>
      <w:szCs w:val="21"/>
    </w:rPr>
  </w:style>
  <w:style w:type="paragraph" w:customStyle="1" w:styleId="afffffff2">
    <w:name w:val="标准文件_附录章标题"/>
    <w:next w:val="affffff0"/>
    <w:qFormat/>
    <w:pPr>
      <w:wordWrap w:val="0"/>
      <w:overflowPunct w:val="0"/>
      <w:autoSpaceDE w:val="0"/>
      <w:spacing w:beforeLines="50" w:afterLines="50" w:after="160" w:line="278" w:lineRule="auto"/>
      <w:jc w:val="both"/>
      <w:textAlignment w:val="baseline"/>
      <w:outlineLvl w:val="1"/>
    </w:pPr>
    <w:rPr>
      <w:rFonts w:ascii="黑体" w:eastAsia="黑体" w:hAnsi="Times New Roman"/>
      <w:kern w:val="21"/>
      <w:sz w:val="21"/>
    </w:rPr>
  </w:style>
  <w:style w:type="paragraph" w:customStyle="1" w:styleId="afffffff3">
    <w:name w:val="标准文件_公式后的破折号"/>
    <w:basedOn w:val="affffff0"/>
    <w:next w:val="affffff0"/>
    <w:qFormat/>
    <w:pPr>
      <w:ind w:leftChars="200" w:left="488" w:hangingChars="290" w:hanging="289"/>
    </w:pPr>
  </w:style>
  <w:style w:type="paragraph" w:customStyle="1" w:styleId="a6">
    <w:name w:val="标准文件_前言、引言标题"/>
    <w:next w:val="afffb"/>
    <w:qFormat/>
    <w:pPr>
      <w:numPr>
        <w:numId w:val="8"/>
      </w:numPr>
      <w:shd w:val="clear" w:color="FFFFFF" w:fill="FFFFFF"/>
      <w:spacing w:before="480" w:afterLines="150" w:after="150" w:line="278" w:lineRule="auto"/>
      <w:jc w:val="center"/>
      <w:outlineLvl w:val="0"/>
    </w:pPr>
    <w:rPr>
      <w:rFonts w:ascii="黑体" w:eastAsia="黑体" w:hAnsi="Times New Roman"/>
      <w:sz w:val="32"/>
    </w:rPr>
  </w:style>
  <w:style w:type="paragraph" w:customStyle="1" w:styleId="afffffff4">
    <w:name w:val="标准文件_目次、标准名称标题"/>
    <w:basedOn w:val="a6"/>
    <w:next w:val="affffff0"/>
    <w:qFormat/>
    <w:pPr>
      <w:spacing w:line="460" w:lineRule="exact"/>
      <w:ind w:left="0" w:firstLine="0"/>
    </w:pPr>
  </w:style>
  <w:style w:type="paragraph" w:customStyle="1" w:styleId="afffffff5">
    <w:name w:val="标准文件_目录标题"/>
    <w:basedOn w:val="afffb"/>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spacing w:after="160" w:line="278" w:lineRule="auto"/>
      <w:ind w:firstLineChars="200" w:firstLine="200"/>
    </w:pPr>
    <w:rPr>
      <w:rFonts w:ascii="Times New Roman" w:hAnsi="Times New Roman"/>
      <w:sz w:val="21"/>
    </w:rPr>
  </w:style>
  <w:style w:type="paragraph" w:customStyle="1" w:styleId="aff2">
    <w:name w:val="标准文件_破折号列项（二级）"/>
    <w:basedOn w:val="af1"/>
    <w:qFormat/>
    <w:pPr>
      <w:numPr>
        <w:numId w:val="10"/>
      </w:numPr>
    </w:pPr>
  </w:style>
  <w:style w:type="paragraph" w:customStyle="1" w:styleId="afff5">
    <w:name w:val="标准文件_三级条标题"/>
    <w:basedOn w:val="afff4"/>
    <w:next w:val="affffff0"/>
    <w:qFormat/>
    <w:pPr>
      <w:widowControl/>
      <w:numPr>
        <w:ilvl w:val="4"/>
      </w:numPr>
      <w:ind w:left="0"/>
      <w:outlineLvl w:val="3"/>
    </w:pPr>
  </w:style>
  <w:style w:type="character" w:customStyle="1" w:styleId="11">
    <w:name w:val="不明显参考1"/>
    <w:uiPriority w:val="31"/>
    <w:qFormat/>
    <w:rPr>
      <w:smallCaps/>
      <w:color w:val="C0504D"/>
      <w:u w:val="single"/>
    </w:rPr>
  </w:style>
  <w:style w:type="paragraph" w:customStyle="1" w:styleId="afffffff6">
    <w:name w:val="标准文件_示例后续"/>
    <w:basedOn w:val="afffb"/>
    <w:qFormat/>
    <w:pPr>
      <w:adjustRightInd/>
      <w:spacing w:line="240" w:lineRule="auto"/>
      <w:ind w:firstLineChars="200" w:firstLine="200"/>
    </w:pPr>
    <w:rPr>
      <w:sz w:val="18"/>
      <w:szCs w:val="24"/>
    </w:rPr>
  </w:style>
  <w:style w:type="paragraph" w:customStyle="1" w:styleId="afff">
    <w:name w:val="标准文件_数字编号列项"/>
    <w:qFormat/>
    <w:pPr>
      <w:numPr>
        <w:numId w:val="11"/>
      </w:numPr>
      <w:spacing w:after="160" w:line="278" w:lineRule="auto"/>
      <w:jc w:val="both"/>
    </w:pPr>
    <w:rPr>
      <w:rFonts w:ascii="宋体" w:hAnsi="宋体"/>
      <w:sz w:val="21"/>
    </w:rPr>
  </w:style>
  <w:style w:type="paragraph" w:customStyle="1" w:styleId="afff6">
    <w:name w:val="标准文件_四级条标题"/>
    <w:next w:val="affffff0"/>
    <w:qFormat/>
    <w:pPr>
      <w:widowControl w:val="0"/>
      <w:numPr>
        <w:ilvl w:val="5"/>
        <w:numId w:val="2"/>
      </w:numPr>
      <w:spacing w:beforeLines="50" w:before="50" w:afterLines="50" w:after="50" w:line="278" w:lineRule="auto"/>
      <w:jc w:val="both"/>
      <w:outlineLvl w:val="4"/>
    </w:pPr>
    <w:rPr>
      <w:rFonts w:ascii="黑体" w:eastAsia="黑体" w:hAnsi="Times New Roman"/>
      <w:sz w:val="21"/>
    </w:rPr>
  </w:style>
  <w:style w:type="character" w:customStyle="1" w:styleId="affffb">
    <w:name w:val="脚注文本 字符"/>
    <w:link w:val="affffa"/>
    <w:semiHidden/>
    <w:qFormat/>
    <w:rPr>
      <w:rFonts w:ascii="宋体"/>
      <w:kern w:val="2"/>
      <w:sz w:val="18"/>
      <w:szCs w:val="18"/>
    </w:rPr>
  </w:style>
  <w:style w:type="paragraph" w:customStyle="1" w:styleId="afffffff7">
    <w:name w:val="标准文件_条文脚注"/>
    <w:basedOn w:val="affffa"/>
    <w:qFormat/>
    <w:pPr>
      <w:adjustRightInd w:val="0"/>
      <w:spacing w:line="240" w:lineRule="auto"/>
      <w:ind w:leftChars="0" w:left="0" w:firstLineChars="200" w:firstLine="200"/>
      <w:jc w:val="both"/>
    </w:pPr>
    <w:rPr>
      <w:rFonts w:hAnsi="宋体"/>
    </w:rPr>
  </w:style>
  <w:style w:type="paragraph" w:customStyle="1" w:styleId="afa">
    <w:name w:val="标准文件_图表脚注"/>
    <w:basedOn w:val="afffb"/>
    <w:next w:val="affffff0"/>
    <w:qFormat/>
    <w:pPr>
      <w:numPr>
        <w:numId w:val="12"/>
      </w:numPr>
      <w:spacing w:line="240" w:lineRule="auto"/>
      <w:jc w:val="left"/>
    </w:pPr>
    <w:rPr>
      <w:rFonts w:ascii="宋体" w:hAnsi="宋体"/>
      <w:sz w:val="18"/>
    </w:rPr>
  </w:style>
  <w:style w:type="character" w:customStyle="1" w:styleId="afffffff8">
    <w:name w:val="标准文件_图表脚注内容"/>
    <w:qFormat/>
    <w:rPr>
      <w:rFonts w:ascii="宋体" w:eastAsia="宋体" w:hAnsi="宋体" w:cs="Times New Roman"/>
      <w:spacing w:val="0"/>
      <w:sz w:val="18"/>
      <w:vertAlign w:val="superscript"/>
    </w:rPr>
  </w:style>
  <w:style w:type="paragraph" w:customStyle="1" w:styleId="afff7">
    <w:name w:val="标准文件_五级条标题"/>
    <w:next w:val="affffff0"/>
    <w:qFormat/>
    <w:pPr>
      <w:widowControl w:val="0"/>
      <w:numPr>
        <w:ilvl w:val="6"/>
        <w:numId w:val="2"/>
      </w:numPr>
      <w:spacing w:beforeLines="50" w:before="50" w:afterLines="50" w:after="50" w:line="278" w:lineRule="auto"/>
      <w:jc w:val="both"/>
      <w:outlineLvl w:val="5"/>
    </w:pPr>
    <w:rPr>
      <w:rFonts w:ascii="黑体" w:eastAsia="黑体" w:hAnsi="Times New Roman"/>
      <w:sz w:val="21"/>
    </w:rPr>
  </w:style>
  <w:style w:type="paragraph" w:customStyle="1" w:styleId="afff2">
    <w:name w:val="标准文件_章标题"/>
    <w:next w:val="affffff0"/>
    <w:qFormat/>
    <w:pPr>
      <w:numPr>
        <w:ilvl w:val="1"/>
        <w:numId w:val="2"/>
      </w:numPr>
      <w:spacing w:beforeLines="100" w:before="100" w:afterLines="100" w:after="100" w:line="278" w:lineRule="auto"/>
      <w:jc w:val="both"/>
      <w:outlineLvl w:val="0"/>
    </w:pPr>
    <w:rPr>
      <w:rFonts w:ascii="黑体" w:eastAsia="黑体" w:hAnsi="Times New Roman"/>
      <w:sz w:val="21"/>
    </w:rPr>
  </w:style>
  <w:style w:type="paragraph" w:customStyle="1" w:styleId="afff3">
    <w:name w:val="标准文件_一级条标题"/>
    <w:basedOn w:val="afff2"/>
    <w:next w:val="affffff0"/>
    <w:qFormat/>
    <w:pPr>
      <w:numPr>
        <w:ilvl w:val="2"/>
      </w:numPr>
      <w:spacing w:beforeLines="50" w:before="50" w:afterLines="50" w:after="50"/>
      <w:ind w:left="0"/>
      <w:outlineLvl w:val="1"/>
    </w:pPr>
  </w:style>
  <w:style w:type="paragraph" w:customStyle="1" w:styleId="afffffff9">
    <w:name w:val="标准文件_一致程度"/>
    <w:basedOn w:val="afffb"/>
    <w:qFormat/>
    <w:pPr>
      <w:spacing w:line="440" w:lineRule="exact"/>
      <w:jc w:val="center"/>
    </w:pPr>
    <w:rPr>
      <w:sz w:val="28"/>
    </w:rPr>
  </w:style>
  <w:style w:type="paragraph" w:customStyle="1" w:styleId="afffffffa">
    <w:name w:val="标准文件_引言标题"/>
    <w:next w:val="afffb"/>
    <w:qFormat/>
    <w:pPr>
      <w:shd w:val="clear" w:color="FFFFFF" w:fill="FFFFFF"/>
      <w:spacing w:before="540" w:after="600" w:line="278" w:lineRule="auto"/>
      <w:jc w:val="center"/>
      <w:outlineLvl w:val="0"/>
    </w:pPr>
    <w:rPr>
      <w:rFonts w:ascii="黑体" w:eastAsia="黑体" w:hAnsi="Times New Roman"/>
      <w:sz w:val="32"/>
    </w:rPr>
  </w:style>
  <w:style w:type="paragraph" w:customStyle="1" w:styleId="afffffffb">
    <w:name w:val="标准文件_英文图表脚注"/>
    <w:basedOn w:val="affffff"/>
    <w:qFormat/>
    <w:pPr>
      <w:widowControl/>
      <w:adjustRightInd/>
      <w:snapToGrid/>
      <w:spacing w:line="240" w:lineRule="auto"/>
      <w:ind w:left="79" w:hangingChars="80" w:hanging="79"/>
    </w:pPr>
    <w:rPr>
      <w:rFonts w:ascii="宋体" w:hAnsi="宋体"/>
    </w:rPr>
  </w:style>
  <w:style w:type="paragraph" w:customStyle="1" w:styleId="afc">
    <w:name w:val="标准文件_数字编号列项（二级）"/>
    <w:qFormat/>
    <w:pPr>
      <w:numPr>
        <w:ilvl w:val="1"/>
        <w:numId w:val="13"/>
      </w:numPr>
      <w:tabs>
        <w:tab w:val="left" w:pos="851"/>
      </w:tabs>
      <w:spacing w:after="160" w:line="278" w:lineRule="auto"/>
      <w:jc w:val="both"/>
    </w:pPr>
    <w:rPr>
      <w:rFonts w:ascii="宋体" w:hAnsi="Times New Roman"/>
      <w:sz w:val="21"/>
    </w:rPr>
  </w:style>
  <w:style w:type="paragraph" w:customStyle="1" w:styleId="af">
    <w:name w:val="标准文件_英文注："/>
    <w:basedOn w:val="afffb"/>
    <w:next w:val="affffff0"/>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b"/>
    <w:qFormat/>
    <w:pPr>
      <w:numPr>
        <w:numId w:val="15"/>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ff0"/>
    <w:qFormat/>
    <w:pPr>
      <w:numPr>
        <w:numId w:val="16"/>
      </w:numPr>
      <w:tabs>
        <w:tab w:val="left" w:pos="0"/>
      </w:tabs>
      <w:spacing w:beforeLines="50" w:before="50" w:afterLines="50" w:after="50" w:line="278" w:lineRule="auto"/>
      <w:jc w:val="center"/>
    </w:pPr>
    <w:rPr>
      <w:rFonts w:ascii="黑体" w:eastAsia="黑体" w:hAnsi="Times New Roman"/>
      <w:sz w:val="21"/>
    </w:rPr>
  </w:style>
  <w:style w:type="paragraph" w:customStyle="1" w:styleId="afffffffc">
    <w:name w:val="标准文件_正文公式"/>
    <w:basedOn w:val="afffb"/>
    <w:next w:val="affffff"/>
    <w:qFormat/>
    <w:pPr>
      <w:tabs>
        <w:tab w:val="center" w:pos="4678"/>
        <w:tab w:val="right" w:leader="middleDot" w:pos="9356"/>
      </w:tabs>
      <w:spacing w:line="240" w:lineRule="auto"/>
    </w:pPr>
    <w:rPr>
      <w:rFonts w:ascii="宋体" w:hAnsi="宋体"/>
    </w:rPr>
  </w:style>
  <w:style w:type="paragraph" w:customStyle="1" w:styleId="aff3">
    <w:name w:val="标准文件_正文图标题"/>
    <w:next w:val="affffff0"/>
    <w:qFormat/>
    <w:pPr>
      <w:numPr>
        <w:numId w:val="17"/>
      </w:numPr>
      <w:spacing w:beforeLines="50" w:before="50" w:afterLines="50" w:after="50" w:line="278" w:lineRule="auto"/>
      <w:jc w:val="center"/>
    </w:pPr>
    <w:rPr>
      <w:rFonts w:ascii="黑体" w:eastAsia="黑体" w:hAnsi="Times New Roman"/>
      <w:sz w:val="21"/>
    </w:rPr>
  </w:style>
  <w:style w:type="paragraph" w:customStyle="1" w:styleId="afff9">
    <w:name w:val="标准文件_正文英文表标题"/>
    <w:next w:val="affffff0"/>
    <w:qFormat/>
    <w:pPr>
      <w:numPr>
        <w:numId w:val="18"/>
      </w:numPr>
      <w:spacing w:after="160" w:line="278" w:lineRule="auto"/>
      <w:jc w:val="center"/>
    </w:pPr>
    <w:rPr>
      <w:rFonts w:ascii="黑体" w:eastAsia="黑体" w:hAnsi="Times New Roman"/>
      <w:sz w:val="21"/>
    </w:rPr>
  </w:style>
  <w:style w:type="paragraph" w:customStyle="1" w:styleId="aff1">
    <w:name w:val="标准文件_正文英文图标题"/>
    <w:next w:val="affffff0"/>
    <w:qFormat/>
    <w:pPr>
      <w:numPr>
        <w:numId w:val="19"/>
      </w:numPr>
      <w:spacing w:after="160" w:line="278" w:lineRule="auto"/>
      <w:jc w:val="center"/>
    </w:pPr>
    <w:rPr>
      <w:rFonts w:ascii="黑体" w:eastAsia="黑体" w:hAnsi="Times New Roman"/>
      <w:sz w:val="21"/>
    </w:rPr>
  </w:style>
  <w:style w:type="paragraph" w:customStyle="1" w:styleId="afd">
    <w:name w:val="标准文件_编号列项（三级）"/>
    <w:qFormat/>
    <w:pPr>
      <w:numPr>
        <w:ilvl w:val="2"/>
        <w:numId w:val="13"/>
      </w:numPr>
      <w:tabs>
        <w:tab w:val="left" w:pos="851"/>
      </w:tabs>
      <w:spacing w:after="160" w:line="278" w:lineRule="auto"/>
    </w:pPr>
    <w:rPr>
      <w:rFonts w:ascii="宋体" w:hAnsi="Times New Roman"/>
      <w:sz w:val="21"/>
    </w:rPr>
  </w:style>
  <w:style w:type="paragraph" w:customStyle="1" w:styleId="a1">
    <w:name w:val="二级无标题条"/>
    <w:basedOn w:val="afffb"/>
    <w:qFormat/>
    <w:pPr>
      <w:numPr>
        <w:ilvl w:val="3"/>
        <w:numId w:val="20"/>
      </w:numPr>
      <w:adjustRightInd/>
      <w:spacing w:line="240" w:lineRule="auto"/>
    </w:pPr>
    <w:rPr>
      <w:rFonts w:ascii="宋体" w:hAnsi="宋体"/>
      <w:szCs w:val="24"/>
    </w:rPr>
  </w:style>
  <w:style w:type="paragraph" w:customStyle="1" w:styleId="afffffffd">
    <w:name w:val="发布部门"/>
    <w:next w:val="affffff0"/>
    <w:qFormat/>
    <w:pPr>
      <w:framePr w:w="7433" w:h="585" w:hRule="exact" w:hSpace="180" w:vSpace="180" w:wrap="around" w:hAnchor="margin" w:xAlign="center" w:y="14401" w:anchorLock="1"/>
      <w:spacing w:after="160" w:line="278" w:lineRule="auto"/>
      <w:jc w:val="center"/>
    </w:pPr>
    <w:rPr>
      <w:rFonts w:ascii="宋体" w:hAnsi="Times New Roman"/>
      <w:b/>
      <w:w w:val="135"/>
      <w:sz w:val="36"/>
    </w:rPr>
  </w:style>
  <w:style w:type="paragraph" w:customStyle="1" w:styleId="afffffffe">
    <w:name w:val="发布日期"/>
    <w:qFormat/>
    <w:pPr>
      <w:framePr w:w="4000" w:h="473" w:hRule="exact" w:hSpace="180" w:vSpace="180" w:wrap="around" w:hAnchor="margin" w:y="13511" w:anchorLock="1"/>
      <w:spacing w:after="160" w:line="278" w:lineRule="auto"/>
    </w:pPr>
    <w:rPr>
      <w:rFonts w:ascii="Times New Roman" w:eastAsia="黑体" w:hAnsi="Times New Roman"/>
      <w:sz w:val="28"/>
    </w:rPr>
  </w:style>
  <w:style w:type="paragraph" w:customStyle="1" w:styleId="affffffff">
    <w:name w:val="封面标准代替信息"/>
    <w:basedOn w:val="afffb"/>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f0">
    <w:name w:val="封面标准名称"/>
    <w:qFormat/>
    <w:pPr>
      <w:framePr w:w="9638" w:h="6917" w:hRule="exact" w:wrap="around" w:hAnchor="margin" w:xAlign="center" w:y="5955" w:anchorLock="1"/>
      <w:widowControl w:val="0"/>
      <w:spacing w:after="160" w:line="680" w:lineRule="exact"/>
      <w:jc w:val="center"/>
      <w:textAlignment w:val="center"/>
    </w:pPr>
    <w:rPr>
      <w:rFonts w:ascii="黑体" w:eastAsia="黑体" w:hAnsi="Times New Roman"/>
      <w:sz w:val="52"/>
    </w:rPr>
  </w:style>
  <w:style w:type="paragraph" w:customStyle="1" w:styleId="affffffff1">
    <w:name w:val="封面标准文稿编辑信息"/>
    <w:qFormat/>
    <w:pPr>
      <w:spacing w:before="180" w:after="160" w:line="180" w:lineRule="exact"/>
      <w:jc w:val="center"/>
    </w:pPr>
    <w:rPr>
      <w:rFonts w:ascii="宋体" w:hAnsi="Times New Roman"/>
      <w:sz w:val="21"/>
    </w:rPr>
  </w:style>
  <w:style w:type="paragraph" w:customStyle="1" w:styleId="affffffff2">
    <w:name w:val="封面标准文稿类别"/>
    <w:qFormat/>
    <w:pPr>
      <w:spacing w:before="440" w:after="160" w:line="400" w:lineRule="exact"/>
      <w:jc w:val="center"/>
    </w:pPr>
    <w:rPr>
      <w:rFonts w:ascii="宋体" w:hAnsi="Times New Roman"/>
      <w:sz w:val="24"/>
    </w:rPr>
  </w:style>
  <w:style w:type="paragraph" w:customStyle="1" w:styleId="affffffff3">
    <w:name w:val="封面标准英文名称"/>
    <w:qFormat/>
    <w:pPr>
      <w:widowControl w:val="0"/>
      <w:spacing w:after="160" w:line="360" w:lineRule="exact"/>
      <w:jc w:val="center"/>
    </w:pPr>
    <w:rPr>
      <w:rFonts w:ascii="Times New Roman" w:hAnsi="Times New Roman"/>
      <w:sz w:val="28"/>
    </w:rPr>
  </w:style>
  <w:style w:type="paragraph" w:customStyle="1" w:styleId="affffffff4">
    <w:name w:val="封面一致性程度标识"/>
    <w:qFormat/>
    <w:pPr>
      <w:spacing w:before="440" w:after="160" w:line="440" w:lineRule="exact"/>
      <w:jc w:val="center"/>
    </w:pPr>
    <w:rPr>
      <w:rFonts w:ascii="Times New Roman" w:hAnsi="Times New Roman"/>
      <w:sz w:val="28"/>
    </w:rPr>
  </w:style>
  <w:style w:type="paragraph" w:customStyle="1" w:styleId="affffffff5">
    <w:name w:val="封面正文"/>
    <w:qFormat/>
    <w:pPr>
      <w:spacing w:after="160" w:line="278" w:lineRule="auto"/>
      <w:jc w:val="both"/>
    </w:pPr>
    <w:rPr>
      <w:rFonts w:ascii="Times New Roman" w:hAnsi="Times New Roman"/>
    </w:rPr>
  </w:style>
  <w:style w:type="paragraph" w:customStyle="1" w:styleId="affffffff6">
    <w:name w:val="附录二级无标题条"/>
    <w:basedOn w:val="afffb"/>
    <w:next w:val="affffff0"/>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7">
    <w:name w:val="附录三级无标题条"/>
    <w:basedOn w:val="affffffff6"/>
    <w:next w:val="affffff0"/>
    <w:qFormat/>
    <w:pPr>
      <w:outlineLvl w:val="4"/>
    </w:pPr>
  </w:style>
  <w:style w:type="paragraph" w:customStyle="1" w:styleId="affffffff8">
    <w:name w:val="附录四级无标题条"/>
    <w:basedOn w:val="affffffff7"/>
    <w:next w:val="affffff0"/>
    <w:qFormat/>
    <w:pPr>
      <w:outlineLvl w:val="5"/>
    </w:pPr>
  </w:style>
  <w:style w:type="paragraph" w:customStyle="1" w:styleId="affffffff9">
    <w:name w:val="附录图"/>
    <w:next w:val="affffff0"/>
    <w:qFormat/>
    <w:pPr>
      <w:wordWrap w:val="0"/>
      <w:overflowPunct w:val="0"/>
      <w:autoSpaceDE w:val="0"/>
      <w:spacing w:beforeLines="50" w:before="50" w:afterLines="50" w:after="50" w:line="278" w:lineRule="auto"/>
      <w:jc w:val="center"/>
      <w:textAlignment w:val="baseline"/>
      <w:outlineLvl w:val="1"/>
    </w:pPr>
    <w:rPr>
      <w:rFonts w:ascii="黑体" w:eastAsia="黑体" w:hAnsi="Times New Roman"/>
      <w:kern w:val="21"/>
      <w:sz w:val="21"/>
    </w:rPr>
  </w:style>
  <w:style w:type="paragraph" w:customStyle="1" w:styleId="af8">
    <w:name w:val="标准文件_一级项"/>
    <w:qFormat/>
    <w:pPr>
      <w:numPr>
        <w:numId w:val="21"/>
      </w:numPr>
      <w:spacing w:after="160" w:line="278" w:lineRule="auto"/>
    </w:pPr>
    <w:rPr>
      <w:rFonts w:ascii="宋体" w:hAnsi="Times New Roman"/>
      <w:sz w:val="21"/>
    </w:rPr>
  </w:style>
  <w:style w:type="paragraph" w:customStyle="1" w:styleId="affffffffa">
    <w:name w:val="附录五级无标题条"/>
    <w:basedOn w:val="affffffff8"/>
    <w:next w:val="affffff0"/>
    <w:qFormat/>
    <w:pPr>
      <w:outlineLvl w:val="6"/>
    </w:pPr>
  </w:style>
  <w:style w:type="paragraph" w:customStyle="1" w:styleId="affffffffb">
    <w:name w:val="附录性质"/>
    <w:basedOn w:val="afffb"/>
    <w:qFormat/>
    <w:pPr>
      <w:widowControl/>
      <w:adjustRightInd/>
      <w:jc w:val="center"/>
    </w:pPr>
    <w:rPr>
      <w:rFonts w:ascii="黑体" w:eastAsia="黑体"/>
    </w:rPr>
  </w:style>
  <w:style w:type="paragraph" w:customStyle="1" w:styleId="affffffffc">
    <w:name w:val="附录一级无标题条"/>
    <w:basedOn w:val="afffffff2"/>
    <w:next w:val="affffff0"/>
    <w:qFormat/>
    <w:pPr>
      <w:autoSpaceDN w:val="0"/>
      <w:outlineLvl w:val="2"/>
    </w:pPr>
    <w:rPr>
      <w:rFonts w:ascii="宋体" w:eastAsia="宋体" w:hAnsi="宋体"/>
    </w:rPr>
  </w:style>
  <w:style w:type="character" w:customStyle="1" w:styleId="affffffffd">
    <w:name w:val="个人答复风格"/>
    <w:qFormat/>
    <w:rPr>
      <w:rFonts w:ascii="Arial" w:eastAsia="宋体" w:hAnsi="Arial" w:cs="Arial"/>
      <w:color w:val="auto"/>
      <w:spacing w:val="0"/>
      <w:sz w:val="20"/>
    </w:rPr>
  </w:style>
  <w:style w:type="character" w:customStyle="1" w:styleId="affffffffe">
    <w:name w:val="个人撰写风格"/>
    <w:qFormat/>
    <w:rPr>
      <w:rFonts w:ascii="Arial" w:eastAsia="宋体" w:hAnsi="Arial" w:cs="Arial"/>
      <w:color w:val="auto"/>
      <w:spacing w:val="0"/>
      <w:sz w:val="20"/>
    </w:rPr>
  </w:style>
  <w:style w:type="paragraph" w:customStyle="1" w:styleId="afffffffff">
    <w:name w:val="脚注后续"/>
    <w:qFormat/>
    <w:pPr>
      <w:spacing w:after="160" w:line="278" w:lineRule="auto"/>
      <w:ind w:leftChars="350" w:left="350"/>
      <w:jc w:val="both"/>
    </w:pPr>
    <w:rPr>
      <w:rFonts w:ascii="宋体" w:hAnsi="Times New Roman"/>
      <w:sz w:val="18"/>
    </w:rPr>
  </w:style>
  <w:style w:type="paragraph" w:customStyle="1" w:styleId="afffa">
    <w:name w:val="列项——"/>
    <w:qFormat/>
    <w:pPr>
      <w:widowControl w:val="0"/>
      <w:numPr>
        <w:numId w:val="22"/>
      </w:numPr>
      <w:spacing w:after="160" w:line="278" w:lineRule="auto"/>
      <w:jc w:val="both"/>
    </w:pPr>
    <w:rPr>
      <w:rFonts w:ascii="宋体" w:hAnsi="宋体"/>
      <w:sz w:val="21"/>
    </w:rPr>
  </w:style>
  <w:style w:type="paragraph" w:customStyle="1" w:styleId="afffffffff0">
    <w:name w:val="列项·"/>
    <w:basedOn w:val="affffff0"/>
    <w:qFormat/>
    <w:pPr>
      <w:tabs>
        <w:tab w:val="left" w:pos="840"/>
      </w:tabs>
    </w:pPr>
  </w:style>
  <w:style w:type="paragraph" w:customStyle="1" w:styleId="afffffffff1">
    <w:name w:val="目次、索引正文"/>
    <w:qFormat/>
    <w:pPr>
      <w:spacing w:after="160" w:line="320" w:lineRule="exact"/>
      <w:jc w:val="both"/>
    </w:pPr>
    <w:rPr>
      <w:rFonts w:ascii="宋体" w:hAnsi="Times New Roman"/>
      <w:sz w:val="21"/>
    </w:rPr>
  </w:style>
  <w:style w:type="paragraph" w:customStyle="1" w:styleId="210">
    <w:name w:val="目录 21"/>
    <w:basedOn w:val="afffb"/>
    <w:next w:val="afffb"/>
    <w:semiHidden/>
    <w:qFormat/>
    <w:pPr>
      <w:adjustRightInd/>
      <w:spacing w:line="240" w:lineRule="auto"/>
      <w:jc w:val="left"/>
    </w:pPr>
    <w:rPr>
      <w:bCs/>
      <w:iCs/>
    </w:rPr>
  </w:style>
  <w:style w:type="paragraph" w:customStyle="1" w:styleId="31">
    <w:name w:val="目录 31"/>
    <w:basedOn w:val="afffb"/>
    <w:next w:val="afffb"/>
    <w:semiHidden/>
    <w:qFormat/>
    <w:pPr>
      <w:spacing w:line="240" w:lineRule="auto"/>
    </w:pPr>
    <w:rPr>
      <w:rFonts w:ascii="宋体" w:hAnsi="宋体"/>
      <w:iCs/>
    </w:rPr>
  </w:style>
  <w:style w:type="paragraph" w:customStyle="1" w:styleId="41">
    <w:name w:val="目录 41"/>
    <w:basedOn w:val="afffb"/>
    <w:next w:val="afffb"/>
    <w:semiHidden/>
    <w:qFormat/>
    <w:pPr>
      <w:adjustRightInd/>
      <w:spacing w:line="240" w:lineRule="auto"/>
      <w:jc w:val="left"/>
    </w:pPr>
  </w:style>
  <w:style w:type="paragraph" w:customStyle="1" w:styleId="51">
    <w:name w:val="目录 51"/>
    <w:basedOn w:val="afffb"/>
    <w:next w:val="afffb"/>
    <w:semiHidden/>
    <w:qFormat/>
    <w:pPr>
      <w:spacing w:line="240" w:lineRule="auto"/>
    </w:pPr>
    <w:rPr>
      <w:rFonts w:ascii="宋体" w:hAnsi="宋体"/>
    </w:rPr>
  </w:style>
  <w:style w:type="paragraph" w:customStyle="1" w:styleId="61">
    <w:name w:val="目录 61"/>
    <w:basedOn w:val="afffb"/>
    <w:next w:val="afffb"/>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f2">
    <w:name w:val="其他标准称谓"/>
    <w:qFormat/>
    <w:pPr>
      <w:spacing w:after="160" w:line="0" w:lineRule="atLeast"/>
      <w:jc w:val="distribute"/>
    </w:pPr>
    <w:rPr>
      <w:rFonts w:ascii="黑体" w:eastAsia="黑体" w:hAnsi="宋体"/>
      <w:sz w:val="52"/>
    </w:rPr>
  </w:style>
  <w:style w:type="paragraph" w:customStyle="1" w:styleId="afffffffff3">
    <w:name w:val="其他发布部门"/>
    <w:basedOn w:val="afffffffd"/>
    <w:qFormat/>
    <w:pPr>
      <w:framePr w:wrap="around"/>
      <w:spacing w:line="0" w:lineRule="atLeast"/>
    </w:pPr>
    <w:rPr>
      <w:rFonts w:ascii="黑体" w:eastAsia="黑体"/>
      <w:b w:val="0"/>
    </w:rPr>
  </w:style>
  <w:style w:type="paragraph" w:customStyle="1" w:styleId="afff1">
    <w:name w:val="前言标题"/>
    <w:next w:val="afffb"/>
    <w:qFormat/>
    <w:pPr>
      <w:numPr>
        <w:numId w:val="2"/>
      </w:numPr>
      <w:shd w:val="clear" w:color="FFFFFF" w:fill="FFFFFF"/>
      <w:spacing w:before="540" w:after="600" w:line="278" w:lineRule="auto"/>
      <w:jc w:val="center"/>
      <w:outlineLvl w:val="0"/>
    </w:pPr>
    <w:rPr>
      <w:rFonts w:ascii="黑体" w:eastAsia="黑体" w:hAnsi="Times New Roman"/>
      <w:sz w:val="32"/>
    </w:rPr>
  </w:style>
  <w:style w:type="paragraph" w:customStyle="1" w:styleId="a2">
    <w:name w:val="三级无标题条"/>
    <w:basedOn w:val="afffb"/>
    <w:qFormat/>
    <w:pPr>
      <w:numPr>
        <w:ilvl w:val="4"/>
        <w:numId w:val="20"/>
      </w:numPr>
      <w:adjustRightInd/>
      <w:spacing w:line="240" w:lineRule="auto"/>
    </w:pPr>
    <w:rPr>
      <w:rFonts w:ascii="宋体" w:hAnsi="宋体"/>
      <w:szCs w:val="24"/>
    </w:rPr>
  </w:style>
  <w:style w:type="paragraph" w:customStyle="1" w:styleId="afffffffff4">
    <w:name w:val="实施日期"/>
    <w:basedOn w:val="afffffffe"/>
    <w:qFormat/>
    <w:pPr>
      <w:framePr w:hSpace="0" w:wrap="around" w:xAlign="right"/>
      <w:jc w:val="right"/>
    </w:pPr>
  </w:style>
  <w:style w:type="paragraph" w:customStyle="1" w:styleId="a3">
    <w:name w:val="四级无标题条"/>
    <w:basedOn w:val="afffb"/>
    <w:qFormat/>
    <w:pPr>
      <w:numPr>
        <w:ilvl w:val="5"/>
        <w:numId w:val="20"/>
      </w:numPr>
      <w:adjustRightInd/>
      <w:spacing w:line="240" w:lineRule="auto"/>
    </w:pPr>
    <w:rPr>
      <w:rFonts w:ascii="宋体" w:hAnsi="宋体"/>
      <w:szCs w:val="24"/>
    </w:rPr>
  </w:style>
  <w:style w:type="paragraph" w:customStyle="1" w:styleId="afffffffff5">
    <w:name w:val="文献分类号"/>
    <w:qFormat/>
    <w:pPr>
      <w:framePr w:hSpace="180" w:vSpace="180" w:wrap="around" w:hAnchor="margin" w:y="1" w:anchorLock="1"/>
      <w:widowControl w:val="0"/>
      <w:spacing w:after="160" w:line="278" w:lineRule="auto"/>
      <w:textAlignment w:val="center"/>
    </w:pPr>
    <w:rPr>
      <w:rFonts w:ascii="Times New Roman" w:eastAsia="黑体" w:hAnsi="Times New Roman"/>
      <w:sz w:val="21"/>
    </w:rPr>
  </w:style>
  <w:style w:type="paragraph" w:customStyle="1" w:styleId="afffffffff6">
    <w:name w:val="无标题条"/>
    <w:next w:val="affffff0"/>
    <w:qFormat/>
    <w:pPr>
      <w:spacing w:after="160" w:line="278" w:lineRule="auto"/>
      <w:jc w:val="both"/>
    </w:pPr>
    <w:rPr>
      <w:rFonts w:ascii="宋体" w:hAnsi="宋体"/>
      <w:sz w:val="21"/>
    </w:rPr>
  </w:style>
  <w:style w:type="paragraph" w:customStyle="1" w:styleId="a4">
    <w:name w:val="五级无标题条"/>
    <w:basedOn w:val="afffb"/>
    <w:qFormat/>
    <w:pPr>
      <w:numPr>
        <w:ilvl w:val="6"/>
        <w:numId w:val="20"/>
      </w:numPr>
      <w:adjustRightInd/>
    </w:pPr>
    <w:rPr>
      <w:szCs w:val="24"/>
    </w:rPr>
  </w:style>
  <w:style w:type="paragraph" w:customStyle="1" w:styleId="a0">
    <w:name w:val="一级无标题条"/>
    <w:basedOn w:val="afffb"/>
    <w:qFormat/>
    <w:pPr>
      <w:numPr>
        <w:ilvl w:val="2"/>
        <w:numId w:val="20"/>
      </w:numPr>
      <w:adjustRightInd/>
      <w:spacing w:before="10" w:after="10" w:line="240" w:lineRule="auto"/>
    </w:pPr>
    <w:rPr>
      <w:rFonts w:ascii="宋体" w:hAnsi="宋体"/>
      <w:szCs w:val="24"/>
    </w:rPr>
  </w:style>
  <w:style w:type="paragraph" w:customStyle="1" w:styleId="afffffffff7">
    <w:name w:val="注:后续"/>
    <w:qFormat/>
    <w:pPr>
      <w:spacing w:after="160" w:line="300" w:lineRule="exact"/>
      <w:ind w:leftChars="400" w:left="600" w:hangingChars="200" w:hanging="200"/>
      <w:jc w:val="both"/>
    </w:pPr>
    <w:rPr>
      <w:rFonts w:ascii="宋体" w:hAnsi="Times New Roman"/>
      <w:sz w:val="18"/>
    </w:rPr>
  </w:style>
  <w:style w:type="paragraph" w:customStyle="1" w:styleId="afffffffff8">
    <w:name w:val="注×:后续"/>
    <w:basedOn w:val="afffffffff7"/>
    <w:qFormat/>
    <w:pPr>
      <w:ind w:leftChars="0" w:left="1406" w:firstLineChars="0" w:hanging="499"/>
    </w:pPr>
  </w:style>
  <w:style w:type="paragraph" w:customStyle="1" w:styleId="afffffffff9">
    <w:name w:val="标准文件_一级无标题"/>
    <w:basedOn w:val="afff3"/>
    <w:qFormat/>
    <w:pPr>
      <w:spacing w:beforeLines="0" w:before="0" w:afterLines="0" w:after="0"/>
      <w:outlineLvl w:val="9"/>
    </w:pPr>
    <w:rPr>
      <w:rFonts w:ascii="宋体" w:eastAsia="宋体"/>
    </w:rPr>
  </w:style>
  <w:style w:type="paragraph" w:customStyle="1" w:styleId="afffffffffa">
    <w:name w:val="标准文件_五级无标题"/>
    <w:basedOn w:val="afff7"/>
    <w:qFormat/>
    <w:pPr>
      <w:spacing w:beforeLines="0" w:before="0" w:afterLines="0" w:after="0"/>
      <w:outlineLvl w:val="9"/>
    </w:pPr>
    <w:rPr>
      <w:rFonts w:ascii="宋体" w:eastAsia="宋体"/>
    </w:rPr>
  </w:style>
  <w:style w:type="paragraph" w:customStyle="1" w:styleId="afffffffffb">
    <w:name w:val="标准文件_三级无标题"/>
    <w:basedOn w:val="afff5"/>
    <w:qFormat/>
    <w:pPr>
      <w:spacing w:beforeLines="0" w:before="0" w:afterLines="0" w:after="0"/>
      <w:outlineLvl w:val="9"/>
    </w:pPr>
    <w:rPr>
      <w:rFonts w:ascii="宋体" w:eastAsia="宋体"/>
    </w:rPr>
  </w:style>
  <w:style w:type="paragraph" w:customStyle="1" w:styleId="afffffffffc">
    <w:name w:val="标准文件_二级无标题"/>
    <w:basedOn w:val="afff4"/>
    <w:qFormat/>
    <w:pPr>
      <w:spacing w:beforeLines="0" w:before="0" w:afterLines="0" w:after="0"/>
      <w:outlineLvl w:val="9"/>
    </w:pPr>
    <w:rPr>
      <w:rFonts w:ascii="宋体" w:eastAsia="宋体"/>
    </w:rPr>
  </w:style>
  <w:style w:type="paragraph" w:customStyle="1" w:styleId="afffffffffd">
    <w:name w:val="标准_四级无标题"/>
    <w:basedOn w:val="afff6"/>
    <w:next w:val="affffff0"/>
    <w:qFormat/>
    <w:rPr>
      <w:rFonts w:eastAsia="宋体"/>
    </w:rPr>
  </w:style>
  <w:style w:type="paragraph" w:customStyle="1" w:styleId="afffffffffe">
    <w:name w:val="标准文件_四级无标题"/>
    <w:basedOn w:val="afff6"/>
    <w:qFormat/>
    <w:pPr>
      <w:spacing w:beforeLines="0" w:before="0" w:afterLines="0" w:after="0"/>
      <w:outlineLvl w:val="9"/>
    </w:pPr>
    <w:rPr>
      <w:rFonts w:ascii="宋体" w:eastAsia="宋体" w:hAnsi="黑体"/>
      <w:szCs w:val="52"/>
    </w:rPr>
  </w:style>
  <w:style w:type="paragraph" w:customStyle="1" w:styleId="aff7">
    <w:name w:val="标准文件_大写罗马数字编号列项"/>
    <w:basedOn w:val="affffff0"/>
    <w:qFormat/>
    <w:pPr>
      <w:numPr>
        <w:numId w:val="23"/>
      </w:numPr>
      <w:ind w:firstLineChars="0" w:firstLine="0"/>
    </w:pPr>
    <w:rPr>
      <w:rFonts w:ascii="Times New Roman" w:cs="Arial"/>
      <w:szCs w:val="28"/>
    </w:rPr>
  </w:style>
  <w:style w:type="paragraph" w:customStyle="1" w:styleId="ae">
    <w:name w:val="标准文件_小写罗马数字编号列项"/>
    <w:basedOn w:val="affffff0"/>
    <w:qFormat/>
    <w:pPr>
      <w:numPr>
        <w:numId w:val="24"/>
      </w:numPr>
      <w:ind w:firstLineChars="0" w:firstLine="0"/>
    </w:pPr>
    <w:rPr>
      <w:rFonts w:cs="Arial"/>
      <w:szCs w:val="28"/>
    </w:rPr>
  </w:style>
  <w:style w:type="paragraph" w:customStyle="1" w:styleId="affffffffff">
    <w:name w:val="标准文件_附录标题"/>
    <w:basedOn w:val="aff9"/>
    <w:qFormat/>
    <w:pPr>
      <w:numPr>
        <w:numId w:val="0"/>
      </w:numPr>
      <w:spacing w:after="280"/>
      <w:outlineLvl w:val="9"/>
    </w:pPr>
  </w:style>
  <w:style w:type="paragraph" w:customStyle="1" w:styleId="affffffffff0">
    <w:name w:val="标准文件_二级项"/>
    <w:qFormat/>
    <w:pPr>
      <w:spacing w:after="160" w:line="278" w:lineRule="auto"/>
    </w:pPr>
    <w:rPr>
      <w:rFonts w:ascii="宋体" w:hAnsi="Times New Roman"/>
      <w:sz w:val="21"/>
    </w:rPr>
  </w:style>
  <w:style w:type="paragraph" w:customStyle="1" w:styleId="af9">
    <w:name w:val="标准文件_三级项"/>
    <w:basedOn w:val="afffb"/>
    <w:qFormat/>
    <w:pPr>
      <w:numPr>
        <w:ilvl w:val="2"/>
        <w:numId w:val="21"/>
      </w:numPr>
      <w:spacing w:line="-300" w:lineRule="auto"/>
    </w:pPr>
    <w:rPr>
      <w:rFonts w:ascii="Times New Roman" w:hAnsi="Times New Roman"/>
    </w:rPr>
  </w:style>
  <w:style w:type="paragraph" w:customStyle="1" w:styleId="afff0">
    <w:name w:val="图表脚注说明"/>
    <w:basedOn w:val="afffb"/>
    <w:next w:val="affffff0"/>
    <w:qFormat/>
    <w:pPr>
      <w:numPr>
        <w:numId w:val="25"/>
      </w:numPr>
      <w:adjustRightInd/>
      <w:spacing w:line="240" w:lineRule="auto"/>
    </w:pPr>
    <w:rPr>
      <w:rFonts w:ascii="宋体" w:hAnsi="Times New Roman"/>
      <w:sz w:val="18"/>
      <w:szCs w:val="18"/>
    </w:rPr>
  </w:style>
  <w:style w:type="paragraph" w:customStyle="1" w:styleId="afb">
    <w:name w:val="标准文件_字母编号列项（一级）"/>
    <w:qFormat/>
    <w:pPr>
      <w:numPr>
        <w:numId w:val="13"/>
      </w:numPr>
      <w:spacing w:after="160" w:line="278" w:lineRule="auto"/>
      <w:jc w:val="both"/>
    </w:pPr>
    <w:rPr>
      <w:rFonts w:ascii="宋体" w:hAnsi="Times New Roman"/>
      <w:sz w:val="21"/>
    </w:rPr>
  </w:style>
  <w:style w:type="paragraph" w:customStyle="1" w:styleId="affffffffff1">
    <w:name w:val="标准文件_索引字母"/>
    <w:next w:val="affffff0"/>
    <w:qFormat/>
    <w:pPr>
      <w:spacing w:after="160" w:line="278" w:lineRule="auto"/>
      <w:jc w:val="center"/>
    </w:pPr>
    <w:rPr>
      <w:rFonts w:ascii="宋体" w:eastAsia="Times New Roman" w:hAnsi="宋体"/>
      <w:b/>
      <w:kern w:val="2"/>
      <w:sz w:val="21"/>
    </w:rPr>
  </w:style>
  <w:style w:type="paragraph" w:customStyle="1" w:styleId="affffffffff2">
    <w:name w:val="标准文件_附录前"/>
    <w:next w:val="affffff0"/>
    <w:qFormat/>
    <w:pPr>
      <w:spacing w:after="160" w:line="20" w:lineRule="atLeast"/>
      <w:ind w:firstLine="200"/>
    </w:pPr>
    <w:rPr>
      <w:rFonts w:ascii="宋体" w:hAnsi="宋体"/>
      <w:kern w:val="2"/>
      <w:sz w:val="10"/>
    </w:rPr>
  </w:style>
  <w:style w:type="paragraph" w:customStyle="1" w:styleId="affffffffff3">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f4">
    <w:name w:val="标准文件_表格"/>
    <w:basedOn w:val="affffff0"/>
    <w:qFormat/>
    <w:pPr>
      <w:ind w:firstLineChars="0" w:firstLine="0"/>
      <w:jc w:val="center"/>
    </w:pPr>
    <w:rPr>
      <w:sz w:val="18"/>
    </w:rPr>
  </w:style>
  <w:style w:type="paragraph" w:customStyle="1" w:styleId="afff8">
    <w:name w:val="标准文件_注："/>
    <w:next w:val="affffff0"/>
    <w:qFormat/>
    <w:pPr>
      <w:widowControl w:val="0"/>
      <w:numPr>
        <w:numId w:val="26"/>
      </w:numPr>
      <w:autoSpaceDE w:val="0"/>
      <w:autoSpaceDN w:val="0"/>
      <w:spacing w:after="160" w:line="278" w:lineRule="auto"/>
      <w:ind w:left="737"/>
      <w:jc w:val="both"/>
    </w:pPr>
    <w:rPr>
      <w:rFonts w:ascii="宋体" w:hAnsi="Times New Roman"/>
      <w:sz w:val="18"/>
      <w:szCs w:val="18"/>
    </w:rPr>
  </w:style>
  <w:style w:type="paragraph" w:customStyle="1" w:styleId="a5">
    <w:name w:val="标准文件_注×："/>
    <w:qFormat/>
    <w:pPr>
      <w:widowControl w:val="0"/>
      <w:numPr>
        <w:numId w:val="27"/>
      </w:numPr>
      <w:autoSpaceDE w:val="0"/>
      <w:autoSpaceDN w:val="0"/>
      <w:spacing w:after="160" w:line="278" w:lineRule="auto"/>
      <w:jc w:val="both"/>
    </w:pPr>
    <w:rPr>
      <w:rFonts w:ascii="宋体" w:hAnsi="Times New Roman"/>
      <w:sz w:val="18"/>
      <w:szCs w:val="18"/>
    </w:rPr>
  </w:style>
  <w:style w:type="paragraph" w:customStyle="1" w:styleId="ac">
    <w:name w:val="标准文件_示例："/>
    <w:next w:val="affffffffff5"/>
    <w:qFormat/>
    <w:pPr>
      <w:widowControl w:val="0"/>
      <w:numPr>
        <w:numId w:val="28"/>
      </w:numPr>
      <w:spacing w:after="160" w:line="278" w:lineRule="auto"/>
      <w:jc w:val="both"/>
    </w:pPr>
    <w:rPr>
      <w:rFonts w:ascii="宋体" w:hAnsi="Times New Roman"/>
      <w:sz w:val="18"/>
      <w:szCs w:val="18"/>
    </w:rPr>
  </w:style>
  <w:style w:type="paragraph" w:customStyle="1" w:styleId="affffffffff5">
    <w:name w:val="标准文件_示例内容"/>
    <w:basedOn w:val="affffff0"/>
    <w:qFormat/>
    <w:pPr>
      <w:ind w:firstLine="420"/>
    </w:pPr>
    <w:rPr>
      <w:sz w:val="18"/>
    </w:rPr>
  </w:style>
  <w:style w:type="paragraph" w:customStyle="1" w:styleId="aff0">
    <w:name w:val="标准文件_示例×："/>
    <w:basedOn w:val="afffb"/>
    <w:next w:val="affffffffff5"/>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f0"/>
    <w:qFormat/>
    <w:rPr>
      <w:rFonts w:ascii="宋体" w:hAnsi="Times New Roman"/>
      <w:sz w:val="21"/>
    </w:rPr>
  </w:style>
  <w:style w:type="paragraph" w:customStyle="1" w:styleId="affffffffff6">
    <w:name w:val="标准文件_表格续"/>
    <w:basedOn w:val="affffff0"/>
    <w:next w:val="affffff0"/>
    <w:qFormat/>
    <w:pPr>
      <w:jc w:val="center"/>
    </w:pPr>
    <w:rPr>
      <w:rFonts w:ascii="黑体" w:eastAsia="黑体" w:hAnsi="黑体"/>
    </w:rPr>
  </w:style>
  <w:style w:type="character" w:styleId="affffffffff7">
    <w:name w:val="Placeholder Text"/>
    <w:basedOn w:val="afffc"/>
    <w:uiPriority w:val="99"/>
    <w:semiHidden/>
    <w:qFormat/>
    <w:rPr>
      <w:color w:val="808080"/>
    </w:rPr>
  </w:style>
  <w:style w:type="paragraph" w:customStyle="1" w:styleId="2">
    <w:name w:val="标准文件_二级项2"/>
    <w:basedOn w:val="affffff0"/>
    <w:qFormat/>
    <w:pPr>
      <w:numPr>
        <w:ilvl w:val="1"/>
        <w:numId w:val="21"/>
      </w:numPr>
      <w:ind w:firstLineChars="0" w:firstLine="0"/>
    </w:pPr>
  </w:style>
  <w:style w:type="paragraph" w:customStyle="1" w:styleId="21">
    <w:name w:val="标准文件_三级项2"/>
    <w:basedOn w:val="affffff0"/>
    <w:qFormat/>
    <w:pPr>
      <w:numPr>
        <w:numId w:val="30"/>
      </w:numPr>
      <w:spacing w:line="300" w:lineRule="exact"/>
      <w:ind w:firstLineChars="0"/>
    </w:pPr>
    <w:rPr>
      <w:rFonts w:ascii="Times New Roman"/>
    </w:rPr>
  </w:style>
  <w:style w:type="paragraph" w:customStyle="1" w:styleId="20">
    <w:name w:val="标准文件_一级项2"/>
    <w:basedOn w:val="affffff0"/>
    <w:qFormat/>
    <w:pPr>
      <w:numPr>
        <w:numId w:val="31"/>
      </w:numPr>
      <w:spacing w:line="300" w:lineRule="exact"/>
      <w:ind w:firstLineChars="0"/>
    </w:pPr>
    <w:rPr>
      <w:rFonts w:ascii="Times New Roman"/>
    </w:rPr>
  </w:style>
  <w:style w:type="paragraph" w:customStyle="1" w:styleId="affffffffff8">
    <w:name w:val="标准文件_提示"/>
    <w:basedOn w:val="affffff0"/>
    <w:next w:val="affffff0"/>
    <w:qFormat/>
    <w:pPr>
      <w:ind w:firstLine="420"/>
    </w:pPr>
    <w:rPr>
      <w:rFonts w:ascii="黑体" w:eastAsia="黑体"/>
    </w:rPr>
  </w:style>
  <w:style w:type="character" w:customStyle="1" w:styleId="affffffffff9">
    <w:name w:val="标准文件_来源"/>
    <w:basedOn w:val="afffc"/>
    <w:uiPriority w:val="1"/>
    <w:qFormat/>
    <w:rPr>
      <w:rFonts w:eastAsia="宋体"/>
      <w:sz w:val="21"/>
    </w:rPr>
  </w:style>
  <w:style w:type="paragraph" w:customStyle="1" w:styleId="affffffffffa">
    <w:name w:val="标准文件_图表说明"/>
    <w:qFormat/>
    <w:pPr>
      <w:spacing w:after="160" w:line="276" w:lineRule="auto"/>
      <w:ind w:firstLine="420"/>
    </w:pPr>
    <w:rPr>
      <w:rFonts w:ascii="宋体" w:hAnsi="宋体"/>
      <w:kern w:val="2"/>
      <w:sz w:val="18"/>
    </w:rPr>
  </w:style>
  <w:style w:type="paragraph" w:customStyle="1" w:styleId="affffffffffb">
    <w:name w:val="其他发布日期"/>
    <w:basedOn w:val="afffffffe"/>
    <w:qFormat/>
    <w:pPr>
      <w:framePr w:w="3997" w:h="471" w:hRule="exact" w:hSpace="0" w:vSpace="181" w:wrap="around" w:vAnchor="page" w:hAnchor="page" w:x="1419" w:y="14097"/>
    </w:pPr>
  </w:style>
  <w:style w:type="paragraph" w:customStyle="1" w:styleId="affffffffffc">
    <w:name w:val="其他实施日期"/>
    <w:basedOn w:val="afffffffff4"/>
    <w:qFormat/>
    <w:pPr>
      <w:framePr w:w="3997" w:h="471" w:hRule="exact" w:vSpace="181" w:wrap="around" w:vAnchor="page" w:hAnchor="page" w:x="7089" w:y="14097"/>
    </w:pPr>
  </w:style>
  <w:style w:type="paragraph" w:customStyle="1" w:styleId="affffffffffd">
    <w:name w:val="标准文件_文件编号"/>
    <w:basedOn w:val="affffff0"/>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e">
    <w:name w:val="标准文件_替换文件编号"/>
    <w:basedOn w:val="affffffffffd"/>
    <w:qFormat/>
    <w:pPr>
      <w:framePr w:wrap="auto"/>
      <w:spacing w:before="57"/>
    </w:pPr>
    <w:rPr>
      <w:sz w:val="21"/>
    </w:rPr>
  </w:style>
  <w:style w:type="paragraph" w:customStyle="1" w:styleId="afffffffffff">
    <w:name w:val="标准文件_文件名称"/>
    <w:basedOn w:val="affffff0"/>
    <w:next w:val="affffff0"/>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e">
    <w:name w:val="标准文件_附录图标号"/>
    <w:basedOn w:val="affffff0"/>
    <w:next w:val="affffff0"/>
    <w:qFormat/>
    <w:pPr>
      <w:numPr>
        <w:numId w:val="6"/>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ff0"/>
    <w:next w:val="affffff0"/>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f0"/>
    <w:next w:val="affffff0"/>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f0"/>
    <w:next w:val="affffff0"/>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f0"/>
    <w:next w:val="affffff0"/>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f0"/>
    <w:next w:val="affffff0"/>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f0"/>
    <w:next w:val="affffff0"/>
    <w:qFormat/>
    <w:pPr>
      <w:numPr>
        <w:ilvl w:val="5"/>
        <w:numId w:val="8"/>
      </w:numPr>
      <w:spacing w:beforeLines="50" w:before="50" w:afterLines="50" w:after="50"/>
      <w:ind w:firstLineChars="0"/>
    </w:pPr>
    <w:rPr>
      <w:rFonts w:ascii="黑体" w:eastAsia="黑体"/>
    </w:rPr>
  </w:style>
  <w:style w:type="paragraph" w:customStyle="1" w:styleId="afffffffffff0">
    <w:name w:val="标准文件_注后"/>
    <w:basedOn w:val="affffff0"/>
    <w:qFormat/>
    <w:pPr>
      <w:ind w:left="811" w:firstLineChars="0" w:firstLine="0"/>
    </w:pPr>
    <w:rPr>
      <w:sz w:val="18"/>
    </w:rPr>
  </w:style>
  <w:style w:type="paragraph" w:customStyle="1" w:styleId="X">
    <w:name w:val="标准文件_注X后"/>
    <w:basedOn w:val="affffff0"/>
    <w:qFormat/>
    <w:pPr>
      <w:ind w:left="811" w:firstLineChars="0" w:firstLine="0"/>
    </w:pPr>
    <w:rPr>
      <w:sz w:val="18"/>
    </w:rPr>
  </w:style>
  <w:style w:type="paragraph" w:customStyle="1" w:styleId="afffffffffff1">
    <w:name w:val="标准文件_示例后"/>
    <w:basedOn w:val="affffff0"/>
    <w:qFormat/>
    <w:pPr>
      <w:ind w:left="964" w:firstLineChars="0" w:firstLine="0"/>
    </w:pPr>
    <w:rPr>
      <w:sz w:val="18"/>
    </w:rPr>
  </w:style>
  <w:style w:type="paragraph" w:customStyle="1" w:styleId="X0">
    <w:name w:val="标准文件_示例X后"/>
    <w:basedOn w:val="affffff0"/>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f2">
    <w:name w:val="标准文件_索引项"/>
    <w:basedOn w:val="affffff0"/>
    <w:next w:val="affffff0"/>
    <w:qFormat/>
    <w:pPr>
      <w:tabs>
        <w:tab w:val="right" w:leader="dot" w:pos="9356"/>
      </w:tabs>
      <w:ind w:left="210" w:firstLineChars="0" w:hanging="210"/>
      <w:jc w:val="left"/>
    </w:pPr>
  </w:style>
  <w:style w:type="paragraph" w:customStyle="1" w:styleId="afffffffffff3">
    <w:name w:val="标准文件_附录一级无标题"/>
    <w:basedOn w:val="affa"/>
    <w:qFormat/>
    <w:pPr>
      <w:spacing w:beforeLines="0" w:before="0" w:afterLines="0" w:after="0" w:line="276" w:lineRule="auto"/>
      <w:outlineLvl w:val="9"/>
    </w:pPr>
    <w:rPr>
      <w:rFonts w:ascii="宋体" w:eastAsia="宋体"/>
    </w:rPr>
  </w:style>
  <w:style w:type="paragraph" w:customStyle="1" w:styleId="afffffffffff4">
    <w:name w:val="标准文件_附录二级无标题"/>
    <w:basedOn w:val="affb"/>
    <w:qFormat/>
    <w:pPr>
      <w:spacing w:beforeLines="0" w:before="0" w:afterLines="0" w:after="0" w:line="276" w:lineRule="auto"/>
      <w:outlineLvl w:val="9"/>
    </w:pPr>
    <w:rPr>
      <w:rFonts w:ascii="宋体" w:eastAsia="宋体"/>
    </w:rPr>
  </w:style>
  <w:style w:type="paragraph" w:customStyle="1" w:styleId="afffffffffff5">
    <w:name w:val="标准文件_附录三级无标题"/>
    <w:basedOn w:val="affc"/>
    <w:qFormat/>
    <w:pPr>
      <w:spacing w:beforeLines="0" w:before="0" w:afterLines="0" w:after="0" w:line="276" w:lineRule="auto"/>
      <w:outlineLvl w:val="9"/>
    </w:pPr>
    <w:rPr>
      <w:rFonts w:ascii="宋体" w:eastAsia="宋体"/>
    </w:rPr>
  </w:style>
  <w:style w:type="paragraph" w:customStyle="1" w:styleId="afffffffffff6">
    <w:name w:val="标准文件_附录四级无标题"/>
    <w:basedOn w:val="affd"/>
    <w:qFormat/>
    <w:pPr>
      <w:spacing w:beforeLines="0" w:before="0" w:afterLines="0" w:after="0" w:line="276" w:lineRule="auto"/>
      <w:outlineLvl w:val="9"/>
    </w:pPr>
    <w:rPr>
      <w:rFonts w:ascii="宋体" w:eastAsia="宋体"/>
    </w:rPr>
  </w:style>
  <w:style w:type="paragraph" w:customStyle="1" w:styleId="afffffffffff7">
    <w:name w:val="标准文件_附录五级无标题"/>
    <w:basedOn w:val="affe"/>
    <w:qFormat/>
    <w:pPr>
      <w:spacing w:beforeLines="0" w:before="0" w:afterLines="0" w:after="0" w:line="276" w:lineRule="auto"/>
      <w:outlineLvl w:val="9"/>
    </w:pPr>
    <w:rPr>
      <w:rFonts w:ascii="宋体" w:eastAsia="宋体"/>
    </w:rPr>
  </w:style>
  <w:style w:type="paragraph" w:customStyle="1" w:styleId="afffffffffff8">
    <w:name w:val="标准文件_引言一级无标题"/>
    <w:basedOn w:val="a7"/>
    <w:next w:val="affffff0"/>
    <w:qFormat/>
    <w:pPr>
      <w:spacing w:beforeLines="0" w:before="0" w:afterLines="0" w:after="0" w:line="276" w:lineRule="auto"/>
    </w:pPr>
    <w:rPr>
      <w:rFonts w:ascii="宋体" w:eastAsia="宋体"/>
    </w:rPr>
  </w:style>
  <w:style w:type="paragraph" w:customStyle="1" w:styleId="afffffffffff9">
    <w:name w:val="标准文件_引言二级无标题"/>
    <w:basedOn w:val="a8"/>
    <w:next w:val="affffff0"/>
    <w:qFormat/>
    <w:pPr>
      <w:spacing w:beforeLines="0" w:before="0" w:afterLines="0" w:after="0" w:line="276" w:lineRule="auto"/>
    </w:pPr>
    <w:rPr>
      <w:rFonts w:ascii="宋体" w:eastAsia="宋体"/>
    </w:rPr>
  </w:style>
  <w:style w:type="paragraph" w:customStyle="1" w:styleId="afffffffffffa">
    <w:name w:val="标准文件_引言三级无标题"/>
    <w:basedOn w:val="a9"/>
    <w:qFormat/>
    <w:pPr>
      <w:spacing w:beforeLines="0" w:before="0" w:afterLines="0" w:after="0" w:line="276" w:lineRule="auto"/>
    </w:pPr>
    <w:rPr>
      <w:rFonts w:ascii="宋体" w:eastAsia="宋体"/>
    </w:rPr>
  </w:style>
  <w:style w:type="paragraph" w:customStyle="1" w:styleId="afffffffffffb">
    <w:name w:val="标准文件_引言四级无标题"/>
    <w:basedOn w:val="aa"/>
    <w:next w:val="affffff0"/>
    <w:qFormat/>
    <w:pPr>
      <w:spacing w:beforeLines="0" w:before="0" w:afterLines="0" w:after="0" w:line="276" w:lineRule="auto"/>
    </w:pPr>
    <w:rPr>
      <w:rFonts w:ascii="宋体" w:eastAsia="宋体"/>
    </w:rPr>
  </w:style>
  <w:style w:type="paragraph" w:customStyle="1" w:styleId="afffffffffffc">
    <w:name w:val="标准文件_引言五级无标题"/>
    <w:basedOn w:val="ab"/>
    <w:next w:val="affffff0"/>
    <w:qFormat/>
    <w:pPr>
      <w:spacing w:beforeLines="0" w:before="0" w:afterLines="0" w:after="0" w:line="276" w:lineRule="auto"/>
    </w:pPr>
    <w:rPr>
      <w:rFonts w:ascii="宋体" w:eastAsia="宋体"/>
    </w:rPr>
  </w:style>
  <w:style w:type="paragraph" w:customStyle="1" w:styleId="afffffffffffd">
    <w:name w:val="标准文件_索引标题"/>
    <w:basedOn w:val="affffff7"/>
    <w:next w:val="affffff0"/>
    <w:qFormat/>
    <w:rPr>
      <w:rFonts w:hAnsi="黑体"/>
    </w:rPr>
  </w:style>
  <w:style w:type="paragraph" w:customStyle="1" w:styleId="afffffffffffe">
    <w:name w:val="标准文件_脚注内容"/>
    <w:basedOn w:val="affffff0"/>
    <w:qFormat/>
    <w:pPr>
      <w:ind w:leftChars="200" w:left="400" w:hangingChars="200" w:hanging="200"/>
    </w:pPr>
    <w:rPr>
      <w:sz w:val="15"/>
    </w:rPr>
  </w:style>
  <w:style w:type="paragraph" w:customStyle="1" w:styleId="affffffffffff">
    <w:name w:val="标准文件_术语条一"/>
    <w:basedOn w:val="afffffffff9"/>
    <w:next w:val="affffff0"/>
    <w:qFormat/>
  </w:style>
  <w:style w:type="paragraph" w:customStyle="1" w:styleId="affffffffffff0">
    <w:name w:val="标准文件_术语条二"/>
    <w:basedOn w:val="afffffffffc"/>
    <w:next w:val="affffff0"/>
    <w:qFormat/>
  </w:style>
  <w:style w:type="paragraph" w:customStyle="1" w:styleId="affffffffffff1">
    <w:name w:val="标准文件_术语条三"/>
    <w:basedOn w:val="afffffffffb"/>
    <w:next w:val="affffff0"/>
    <w:qFormat/>
  </w:style>
  <w:style w:type="paragraph" w:customStyle="1" w:styleId="affffffffffff2">
    <w:name w:val="标准文件_术语条四"/>
    <w:basedOn w:val="afffffffffe"/>
    <w:next w:val="affffff0"/>
    <w:qFormat/>
  </w:style>
  <w:style w:type="paragraph" w:customStyle="1" w:styleId="affffffffffff3">
    <w:name w:val="标准文件_术语条五"/>
    <w:basedOn w:val="afffffffffa"/>
    <w:next w:val="affffff0"/>
    <w:qFormat/>
  </w:style>
  <w:style w:type="paragraph" w:customStyle="1" w:styleId="Default">
    <w:name w:val="Default"/>
    <w:qFormat/>
    <w:pPr>
      <w:widowControl w:val="0"/>
      <w:autoSpaceDE w:val="0"/>
      <w:autoSpaceDN w:val="0"/>
      <w:adjustRightInd w:val="0"/>
      <w:spacing w:after="160" w:line="278" w:lineRule="auto"/>
    </w:pPr>
    <w:rPr>
      <w:rFonts w:ascii="宋体" w:cs="宋体"/>
      <w:color w:val="000000"/>
      <w:sz w:val="24"/>
      <w:szCs w:val="24"/>
    </w:rPr>
  </w:style>
  <w:style w:type="character" w:customStyle="1" w:styleId="affffffffffff4">
    <w:name w:val="发布"/>
    <w:basedOn w:val="afffc"/>
    <w:qFormat/>
    <w:rPr>
      <w:rFonts w:ascii="黑体" w:eastAsia="黑体"/>
      <w:spacing w:val="85"/>
      <w:w w:val="100"/>
      <w:position w:val="3"/>
      <w:sz w:val="28"/>
      <w:szCs w:val="28"/>
    </w:rPr>
  </w:style>
  <w:style w:type="paragraph" w:customStyle="1" w:styleId="affffffffffff5">
    <w:name w:val="段"/>
    <w:link w:val="Char0"/>
    <w:qFormat/>
    <w:pPr>
      <w:tabs>
        <w:tab w:val="center" w:pos="4201"/>
        <w:tab w:val="right" w:leader="dot" w:pos="9298"/>
      </w:tabs>
      <w:autoSpaceDE w:val="0"/>
      <w:autoSpaceDN w:val="0"/>
      <w:spacing w:after="160" w:line="278" w:lineRule="auto"/>
      <w:ind w:firstLineChars="200" w:firstLine="420"/>
      <w:jc w:val="both"/>
    </w:pPr>
    <w:rPr>
      <w:rFonts w:ascii="宋体" w:hAnsi="Times New Roman"/>
      <w:sz w:val="21"/>
    </w:rPr>
  </w:style>
  <w:style w:type="character" w:customStyle="1" w:styleId="Char0">
    <w:name w:val="段 Char"/>
    <w:basedOn w:val="afffc"/>
    <w:link w:val="affffffffffff5"/>
    <w:qFormat/>
    <w:rPr>
      <w:rFonts w:ascii="宋体" w:hAnsi="Times New Roman"/>
      <w:sz w:val="21"/>
    </w:rPr>
  </w:style>
  <w:style w:type="paragraph" w:customStyle="1" w:styleId="af3">
    <w:name w:val="一级条标题"/>
    <w:next w:val="affffffffffff5"/>
    <w:qFormat/>
    <w:pPr>
      <w:numPr>
        <w:ilvl w:val="1"/>
        <w:numId w:val="32"/>
      </w:numPr>
      <w:spacing w:beforeLines="50" w:afterLines="50" w:after="160" w:line="278" w:lineRule="auto"/>
      <w:outlineLvl w:val="2"/>
    </w:pPr>
    <w:rPr>
      <w:rFonts w:ascii="黑体" w:eastAsia="黑体" w:hAnsi="Times New Roman"/>
      <w:sz w:val="21"/>
      <w:szCs w:val="21"/>
    </w:rPr>
  </w:style>
  <w:style w:type="paragraph" w:customStyle="1" w:styleId="af2">
    <w:name w:val="章标题"/>
    <w:next w:val="affffffffffff5"/>
    <w:qFormat/>
    <w:pPr>
      <w:numPr>
        <w:numId w:val="32"/>
      </w:numPr>
      <w:spacing w:beforeLines="100" w:afterLines="100" w:after="160" w:line="278" w:lineRule="auto"/>
      <w:jc w:val="both"/>
      <w:outlineLvl w:val="1"/>
    </w:pPr>
    <w:rPr>
      <w:rFonts w:ascii="黑体" w:eastAsia="黑体" w:hAnsi="Times New Roman"/>
      <w:sz w:val="21"/>
    </w:rPr>
  </w:style>
  <w:style w:type="paragraph" w:customStyle="1" w:styleId="af4">
    <w:name w:val="二级条标题"/>
    <w:basedOn w:val="af3"/>
    <w:next w:val="affffffffffff5"/>
    <w:qFormat/>
    <w:pPr>
      <w:numPr>
        <w:ilvl w:val="2"/>
      </w:numPr>
      <w:spacing w:before="50" w:after="50"/>
      <w:ind w:left="0"/>
      <w:outlineLvl w:val="3"/>
    </w:pPr>
  </w:style>
  <w:style w:type="paragraph" w:customStyle="1" w:styleId="af5">
    <w:name w:val="三级条标题"/>
    <w:basedOn w:val="af4"/>
    <w:next w:val="affffffffffff5"/>
    <w:qFormat/>
    <w:pPr>
      <w:numPr>
        <w:ilvl w:val="3"/>
      </w:numPr>
      <w:outlineLvl w:val="4"/>
    </w:pPr>
  </w:style>
  <w:style w:type="paragraph" w:customStyle="1" w:styleId="af6">
    <w:name w:val="四级条标题"/>
    <w:basedOn w:val="af5"/>
    <w:next w:val="affffffffffff5"/>
    <w:qFormat/>
    <w:pPr>
      <w:numPr>
        <w:ilvl w:val="4"/>
      </w:numPr>
      <w:outlineLvl w:val="5"/>
    </w:pPr>
  </w:style>
  <w:style w:type="paragraph" w:customStyle="1" w:styleId="af7">
    <w:name w:val="五级条标题"/>
    <w:basedOn w:val="af6"/>
    <w:next w:val="affffffffffff5"/>
    <w:qFormat/>
    <w:pPr>
      <w:numPr>
        <w:ilvl w:val="5"/>
      </w:numPr>
      <w:outlineLvl w:val="6"/>
    </w:pPr>
  </w:style>
  <w:style w:type="paragraph" w:customStyle="1" w:styleId="12">
    <w:name w:val="正文1"/>
    <w:qFormat/>
    <w:pPr>
      <w:spacing w:after="160" w:line="278" w:lineRule="auto"/>
      <w:jc w:val="both"/>
    </w:pPr>
    <w:rPr>
      <w:rFonts w:ascii="Times New Roman" w:hAnsi="Times New Roman"/>
      <w:kern w:val="2"/>
      <w:sz w:val="21"/>
      <w:szCs w:val="21"/>
    </w:rPr>
  </w:style>
  <w:style w:type="paragraph" w:customStyle="1" w:styleId="13">
    <w:name w:val="列出段落1"/>
    <w:basedOn w:val="afffb"/>
    <w:qFormat/>
    <w:pPr>
      <w:adjustRightInd/>
      <w:spacing w:line="240" w:lineRule="auto"/>
      <w:ind w:firstLineChars="200" w:firstLine="420"/>
    </w:pPr>
    <w:rPr>
      <w:rFonts w:ascii="Times New Roman" w:hAnsi="Times New Roman"/>
    </w:rPr>
  </w:style>
  <w:style w:type="paragraph" w:customStyle="1" w:styleId="affffffffffff6">
    <w:name w:val="附录表标题"/>
    <w:basedOn w:val="afffb"/>
    <w:next w:val="afffb"/>
    <w:qFormat/>
    <w:pPr>
      <w:adjustRightInd/>
      <w:spacing w:beforeLines="50" w:afterLines="50" w:line="240" w:lineRule="auto"/>
      <w:ind w:firstLine="3260"/>
      <w:jc w:val="center"/>
    </w:pPr>
    <w:rPr>
      <w:rFonts w:ascii="黑体" w:eastAsia="黑体" w:hAnsi="Times New Roman"/>
    </w:rPr>
  </w:style>
  <w:style w:type="paragraph" w:customStyle="1" w:styleId="14">
    <w:name w:val="列表段落1"/>
    <w:basedOn w:val="afffb"/>
    <w:qFormat/>
    <w:pPr>
      <w:adjustRightInd/>
      <w:spacing w:line="240" w:lineRule="auto"/>
      <w:ind w:firstLineChars="200" w:firstLine="420"/>
    </w:pPr>
    <w:rPr>
      <w:rFonts w:ascii="Times New Roman" w:hAnsi="Times New Roman"/>
    </w:rPr>
  </w:style>
  <w:style w:type="paragraph" w:customStyle="1" w:styleId="affffffffffff7">
    <w:name w:val="附录表标号"/>
    <w:basedOn w:val="afffb"/>
    <w:next w:val="affffffffffff5"/>
    <w:qFormat/>
    <w:pPr>
      <w:tabs>
        <w:tab w:val="left" w:pos="0"/>
      </w:tabs>
      <w:adjustRightInd/>
      <w:spacing w:line="14" w:lineRule="exact"/>
      <w:ind w:hanging="425"/>
      <w:jc w:val="center"/>
      <w:outlineLvl w:val="0"/>
    </w:pPr>
    <w:rPr>
      <w:rFonts w:ascii="Times New Roman" w:hAnsi="Times New Roman"/>
      <w:color w:val="FFFFFF"/>
      <w:szCs w:val="24"/>
    </w:rPr>
  </w:style>
  <w:style w:type="character" w:customStyle="1" w:styleId="affff1">
    <w:name w:val="批注文字 字符"/>
    <w:basedOn w:val="afffc"/>
    <w:link w:val="affff0"/>
    <w:uiPriority w:val="99"/>
    <w:semiHidden/>
    <w:qFormat/>
    <w:rPr>
      <w:kern w:val="2"/>
      <w:sz w:val="21"/>
      <w:szCs w:val="21"/>
    </w:rPr>
  </w:style>
  <w:style w:type="character" w:customStyle="1" w:styleId="afffff0">
    <w:name w:val="批注主题 字符"/>
    <w:basedOn w:val="affff1"/>
    <w:link w:val="afffff"/>
    <w:uiPriority w:val="99"/>
    <w:semiHidden/>
    <w:qFormat/>
    <w:rPr>
      <w:b/>
      <w:bCs/>
      <w:kern w:val="2"/>
      <w:sz w:val="21"/>
      <w:szCs w:val="21"/>
    </w:rPr>
  </w:style>
  <w:style w:type="paragraph" w:styleId="affffffffffff8">
    <w:name w:val="No Spacing"/>
    <w:link w:val="affffffffffff9"/>
    <w:uiPriority w:val="1"/>
    <w:qFormat/>
    <w:pPr>
      <w:spacing w:after="160" w:line="278" w:lineRule="auto"/>
    </w:pPr>
    <w:rPr>
      <w:rFonts w:asciiTheme="minorHAnsi" w:eastAsiaTheme="minorEastAsia" w:hAnsiTheme="minorHAnsi" w:cstheme="minorBidi"/>
      <w:sz w:val="22"/>
      <w:szCs w:val="22"/>
    </w:rPr>
  </w:style>
  <w:style w:type="character" w:customStyle="1" w:styleId="affffffffffff9">
    <w:name w:val="无间隔 字符"/>
    <w:basedOn w:val="afffc"/>
    <w:link w:val="affffffffffff8"/>
    <w:uiPriority w:val="1"/>
    <w:qFormat/>
    <w:rPr>
      <w:rFonts w:asciiTheme="minorHAnsi" w:eastAsiaTheme="minorEastAsia" w:hAnsiTheme="minorHAnsi" w:cstheme="minorBidi"/>
      <w:sz w:val="22"/>
      <w:szCs w:val="22"/>
    </w:rPr>
  </w:style>
  <w:style w:type="paragraph" w:customStyle="1" w:styleId="55CC04B0BE3E47D5B607E4686F85E0F5">
    <w:name w:val="55CC04B0BE3E47D5B607E4686F85E0F5"/>
    <w:qFormat/>
    <w:pPr>
      <w:spacing w:after="200" w:line="276" w:lineRule="auto"/>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3138BA296C94636A13E7754CE5A6049"/>
        <w:category>
          <w:name w:val="常规"/>
          <w:gallery w:val="placeholder"/>
        </w:category>
        <w:types>
          <w:type w:val="bbPlcHdr"/>
        </w:types>
        <w:behaviors>
          <w:behavior w:val="content"/>
        </w:behaviors>
        <w:guid w:val="{3F399310-50D4-4BDF-8524-72B6362155DC}"/>
      </w:docPartPr>
      <w:docPartBody>
        <w:p w:rsidR="004C60B9" w:rsidRDefault="00000000">
          <w:pPr>
            <w:pStyle w:val="C3138BA296C94636A13E7754CE5A6049"/>
            <w:rPr>
              <w:rFonts w:hint="eastAsia"/>
            </w:rPr>
          </w:pPr>
          <w:r>
            <w:rPr>
              <w:rStyle w:val="a3"/>
              <w:rFonts w:hint="eastAsia"/>
            </w:rPr>
            <w:t>选择一项。</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24F4A" w:rsidRDefault="00B24F4A">
      <w:pPr>
        <w:spacing w:line="240" w:lineRule="auto"/>
        <w:rPr>
          <w:rFonts w:hint="eastAsia"/>
        </w:rPr>
      </w:pPr>
      <w:r>
        <w:separator/>
      </w:r>
    </w:p>
  </w:endnote>
  <w:endnote w:type="continuationSeparator" w:id="0">
    <w:p w:rsidR="00B24F4A" w:rsidRDefault="00B24F4A">
      <w:pPr>
        <w:spacing w:line="240" w:lineRule="auto"/>
        <w:rPr>
          <w:rFonts w:hint="eastAsia"/>
        </w:rPr>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LfX3I1UR+TimesNewRomanPSMT">
    <w:altName w:val="微软雅黑"/>
    <w:charset w:val="00"/>
    <w:family w:val="auto"/>
    <w:pitch w:val="default"/>
    <w:sig w:usb0="00000000" w:usb1="00000000" w:usb2="00000016" w:usb3="00000000" w:csb0="0004001F" w:csb1="00000000"/>
  </w:font>
  <w:font w:name="KTpcKGKq+SimSun">
    <w:altName w:val="微软雅黑"/>
    <w:charset w:val="00"/>
    <w:family w:val="auto"/>
    <w:pitch w:val="default"/>
    <w:sig w:usb0="00000000" w:usb1="00000000" w:usb2="00000016" w:usb3="00000000" w:csb0="0004001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24F4A" w:rsidRDefault="00B24F4A">
      <w:pPr>
        <w:spacing w:after="0"/>
        <w:rPr>
          <w:rFonts w:hint="eastAsia"/>
        </w:rPr>
      </w:pPr>
      <w:r>
        <w:separator/>
      </w:r>
    </w:p>
  </w:footnote>
  <w:footnote w:type="continuationSeparator" w:id="0">
    <w:p w:rsidR="00B24F4A" w:rsidRDefault="00B24F4A">
      <w:pPr>
        <w:spacing w:after="0"/>
        <w:rPr>
          <w:rFonts w:hint="eastAsia"/>
        </w:rPr>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F4197"/>
    <w:rsid w:val="00014B51"/>
    <w:rsid w:val="000236CE"/>
    <w:rsid w:val="0004746D"/>
    <w:rsid w:val="0005209E"/>
    <w:rsid w:val="00054CB5"/>
    <w:rsid w:val="00082646"/>
    <w:rsid w:val="000F0E1D"/>
    <w:rsid w:val="0022426E"/>
    <w:rsid w:val="002302C3"/>
    <w:rsid w:val="002F6909"/>
    <w:rsid w:val="0036221A"/>
    <w:rsid w:val="004062CB"/>
    <w:rsid w:val="00464161"/>
    <w:rsid w:val="004C60B9"/>
    <w:rsid w:val="004E3C71"/>
    <w:rsid w:val="005B7A8E"/>
    <w:rsid w:val="005D5D2A"/>
    <w:rsid w:val="00606DB7"/>
    <w:rsid w:val="0065213C"/>
    <w:rsid w:val="006B337E"/>
    <w:rsid w:val="006D38E7"/>
    <w:rsid w:val="006D7634"/>
    <w:rsid w:val="0076716A"/>
    <w:rsid w:val="00794493"/>
    <w:rsid w:val="007A476F"/>
    <w:rsid w:val="007D6505"/>
    <w:rsid w:val="007E14F8"/>
    <w:rsid w:val="007F25CE"/>
    <w:rsid w:val="007F5D91"/>
    <w:rsid w:val="00801387"/>
    <w:rsid w:val="008B39FB"/>
    <w:rsid w:val="008D1416"/>
    <w:rsid w:val="008F0D70"/>
    <w:rsid w:val="008F2D77"/>
    <w:rsid w:val="0091086D"/>
    <w:rsid w:val="009F1798"/>
    <w:rsid w:val="00A222D9"/>
    <w:rsid w:val="00AA3A1F"/>
    <w:rsid w:val="00AC4C48"/>
    <w:rsid w:val="00AF4197"/>
    <w:rsid w:val="00B24F4A"/>
    <w:rsid w:val="00B25D7B"/>
    <w:rsid w:val="00B31C78"/>
    <w:rsid w:val="00B46267"/>
    <w:rsid w:val="00B91669"/>
    <w:rsid w:val="00BF2553"/>
    <w:rsid w:val="00C038E2"/>
    <w:rsid w:val="00C23A9A"/>
    <w:rsid w:val="00C5788A"/>
    <w:rsid w:val="00C70284"/>
    <w:rsid w:val="00C93047"/>
    <w:rsid w:val="00CD50B0"/>
    <w:rsid w:val="00CF05AD"/>
    <w:rsid w:val="00D34B80"/>
    <w:rsid w:val="00D661B6"/>
    <w:rsid w:val="00DA348C"/>
    <w:rsid w:val="00EF5733"/>
    <w:rsid w:val="00F11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C3138BA296C94636A13E7754CE5A6049">
    <w:name w:val="C3138BA296C94636A13E7754CE5A6049"/>
    <w:qFormat/>
    <w:pPr>
      <w:widowControl w:val="0"/>
      <w:spacing w:after="160" w:line="278" w:lineRule="auto"/>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26</Pages>
  <Words>2655</Words>
  <Characters>15137</Characters>
  <Application>Microsoft Office Word</Application>
  <DocSecurity>0</DocSecurity>
  <Lines>126</Lines>
  <Paragraphs>35</Paragraphs>
  <ScaleCrop>false</ScaleCrop>
  <Company>PCMI</Company>
  <LinksUpToDate>false</LinksUpToDate>
  <CharactersWithSpaces>17757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AOC</dc:creator>
  <dc:description>&lt;config cover="true" show_menu="true" version="1.0.0" doctype="SDKXY"&gt;_x000d_
&lt;/config&gt;</dc:description>
  <cp:lastModifiedBy>AOC</cp:lastModifiedBy>
  <cp:revision>507</cp:revision>
  <cp:lastPrinted>2025-01-14T23:16:00Z</cp:lastPrinted>
  <dcterms:created xsi:type="dcterms:W3CDTF">2024-05-11T01:16:00Z</dcterms:created>
  <dcterms:modified xsi:type="dcterms:W3CDTF">2025-03-07T01:04:00Z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2052-12.1.0.20305</vt:lpwstr>
  </property>
  <property fmtid="{D5CDD505-2E9C-101B-9397-08002B2CF9AE}" pid="15" name="ICV">
    <vt:lpwstr>BF3E4A3FAB094FC8AB79F69AD3548D84_12</vt:lpwstr>
  </property>
  <property fmtid="{D5CDD505-2E9C-101B-9397-08002B2CF9AE}" pid="16" name="KSOTemplateDocerSaveRecord">
    <vt:lpwstr>eyJoZGlkIjoiN2RmZjY1MjYxM2EwNGM2YTkwMTFlYjc4NDY1MzViMWUiLCJ1c2VySWQiOiI0Mjc2MDM2MDMifQ==</vt:lpwstr>
  </property>
</Properties>
</file>