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19C3" w:rsidRDefault="001019C3">
      <w:pPr>
        <w:pStyle w:val="ab"/>
        <w:rPr>
          <w:rFonts w:ascii="Times New Roman" w:hAnsi="Times New Roman"/>
          <w:b/>
          <w:sz w:val="56"/>
          <w:szCs w:val="44"/>
        </w:rPr>
      </w:pPr>
    </w:p>
    <w:p w:rsidR="001019C3" w:rsidRDefault="00B728F3">
      <w:pPr>
        <w:pStyle w:val="ab"/>
        <w:rPr>
          <w:rFonts w:ascii="Times New Roman" w:hAnsi="Times New Roman"/>
          <w:b/>
          <w:sz w:val="56"/>
          <w:szCs w:val="44"/>
        </w:rPr>
      </w:pPr>
      <w:r>
        <w:rPr>
          <w:rFonts w:ascii="Times New Roman" w:hAnsi="Times New Roman"/>
          <w:b/>
          <w:sz w:val="56"/>
          <w:szCs w:val="44"/>
        </w:rPr>
        <w:t>河北省地方标准</w:t>
      </w:r>
    </w:p>
    <w:p w:rsidR="001019C3" w:rsidRDefault="00B728F3">
      <w:pPr>
        <w:pStyle w:val="10"/>
        <w:wordWrap w:val="0"/>
        <w:rPr>
          <w:rFonts w:ascii="黑体" w:eastAsia="黑体"/>
        </w:rPr>
      </w:pPr>
      <w:r>
        <w:rPr>
          <w:rFonts w:ascii="黑体" w:eastAsia="黑体" w:hint="eastAsia"/>
        </w:rPr>
        <w:t>DB13 /T</w:t>
      </w:r>
    </w:p>
    <w:p w:rsidR="001019C3" w:rsidRDefault="001019C3">
      <w:pPr>
        <w:rPr>
          <w:sz w:val="28"/>
          <w:szCs w:val="28"/>
        </w:rPr>
      </w:pPr>
    </w:p>
    <w:p w:rsidR="001019C3" w:rsidRDefault="001019C3">
      <w:pPr>
        <w:rPr>
          <w:sz w:val="28"/>
          <w:szCs w:val="28"/>
        </w:rPr>
      </w:pPr>
    </w:p>
    <w:p w:rsidR="001019C3" w:rsidRDefault="001019C3">
      <w:pPr>
        <w:rPr>
          <w:sz w:val="28"/>
          <w:szCs w:val="28"/>
        </w:rPr>
      </w:pPr>
    </w:p>
    <w:p w:rsidR="001019C3" w:rsidRDefault="001019C3">
      <w:pPr>
        <w:rPr>
          <w:sz w:val="28"/>
          <w:szCs w:val="28"/>
        </w:rPr>
      </w:pPr>
    </w:p>
    <w:p w:rsidR="001019C3" w:rsidRDefault="00B728F3">
      <w:pPr>
        <w:pStyle w:val="a8"/>
        <w:shd w:val="clear" w:color="auto" w:fill="FFFFFF"/>
        <w:spacing w:before="0" w:beforeAutospacing="0" w:after="0" w:afterAutospacing="0"/>
        <w:jc w:val="center"/>
        <w:rPr>
          <w:rFonts w:ascii="黑体" w:eastAsia="黑体"/>
          <w:b/>
          <w:bCs/>
          <w:sz w:val="44"/>
          <w:szCs w:val="44"/>
        </w:rPr>
      </w:pPr>
      <w:r>
        <w:rPr>
          <w:rFonts w:ascii="黑体" w:eastAsia="黑体" w:hAnsi="Tahoma" w:cs="Times New Roman" w:hint="eastAsia"/>
          <w:b/>
          <w:bCs/>
          <w:sz w:val="44"/>
          <w:szCs w:val="44"/>
        </w:rPr>
        <w:t>设施蔬菜自动精量灌溉系统设计规范</w:t>
      </w:r>
    </w:p>
    <w:p w:rsidR="001019C3" w:rsidRDefault="001019C3">
      <w:pPr>
        <w:jc w:val="center"/>
        <w:rPr>
          <w:sz w:val="48"/>
          <w:szCs w:val="48"/>
        </w:rPr>
      </w:pPr>
    </w:p>
    <w:p w:rsidR="001019C3" w:rsidRDefault="001019C3">
      <w:pPr>
        <w:jc w:val="center"/>
        <w:rPr>
          <w:sz w:val="48"/>
          <w:szCs w:val="48"/>
        </w:rPr>
      </w:pPr>
    </w:p>
    <w:p w:rsidR="001019C3" w:rsidRDefault="001019C3">
      <w:pPr>
        <w:jc w:val="center"/>
        <w:rPr>
          <w:sz w:val="48"/>
          <w:szCs w:val="48"/>
        </w:rPr>
      </w:pPr>
    </w:p>
    <w:p w:rsidR="001019C3" w:rsidRDefault="001019C3">
      <w:pPr>
        <w:jc w:val="center"/>
        <w:rPr>
          <w:sz w:val="48"/>
          <w:szCs w:val="48"/>
        </w:rPr>
      </w:pPr>
    </w:p>
    <w:p w:rsidR="001019C3" w:rsidRDefault="001019C3">
      <w:pPr>
        <w:jc w:val="center"/>
        <w:rPr>
          <w:sz w:val="48"/>
          <w:szCs w:val="48"/>
        </w:rPr>
      </w:pPr>
    </w:p>
    <w:p w:rsidR="001019C3" w:rsidRDefault="001019C3">
      <w:pPr>
        <w:jc w:val="center"/>
        <w:rPr>
          <w:sz w:val="48"/>
          <w:szCs w:val="48"/>
        </w:rPr>
      </w:pPr>
    </w:p>
    <w:p w:rsidR="001019C3" w:rsidRDefault="001019C3">
      <w:pPr>
        <w:jc w:val="center"/>
        <w:rPr>
          <w:sz w:val="48"/>
          <w:szCs w:val="48"/>
        </w:rPr>
      </w:pPr>
    </w:p>
    <w:p w:rsidR="003B377F" w:rsidRDefault="003B377F">
      <w:pPr>
        <w:jc w:val="center"/>
        <w:rPr>
          <w:sz w:val="48"/>
          <w:szCs w:val="48"/>
        </w:rPr>
      </w:pPr>
    </w:p>
    <w:p w:rsidR="001019C3" w:rsidRDefault="00B728F3">
      <w:pPr>
        <w:ind w:firstLineChars="50" w:firstLine="141"/>
        <w:rPr>
          <w:rFonts w:ascii="黑体" w:eastAsia="黑体"/>
          <w:b/>
          <w:sz w:val="28"/>
          <w:szCs w:val="28"/>
          <w:u w:val="single"/>
        </w:rPr>
      </w:pPr>
      <w:r>
        <w:rPr>
          <w:rFonts w:ascii="黑体" w:eastAsia="黑体" w:hint="eastAsia"/>
          <w:b/>
          <w:sz w:val="28"/>
          <w:szCs w:val="28"/>
          <w:u w:val="single"/>
        </w:rPr>
        <w:t>202 - -  发布                              202  - -  实施</w:t>
      </w:r>
    </w:p>
    <w:p w:rsidR="001019C3" w:rsidRDefault="00B728F3" w:rsidP="003B377F">
      <w:pPr>
        <w:pStyle w:val="ac"/>
        <w:framePr w:h="585" w:wrap="around" w:vAnchor="page" w:hAnchor="page" w:x="3081" w:y="13081" w:anchorLock="1"/>
        <w:rPr>
          <w:rFonts w:ascii="Times New Roman" w:eastAsia="黑体"/>
        </w:rPr>
      </w:pPr>
      <w:r w:rsidRPr="00924950">
        <w:rPr>
          <w:rFonts w:ascii="Times New Roman" w:eastAsia="黑体"/>
          <w:sz w:val="28"/>
          <w:szCs w:val="28"/>
        </w:rPr>
        <w:t>河北省</w:t>
      </w:r>
      <w:r w:rsidRPr="00924950">
        <w:rPr>
          <w:rFonts w:ascii="Times New Roman" w:eastAsia="黑体" w:hint="eastAsia"/>
          <w:sz w:val="28"/>
          <w:szCs w:val="28"/>
        </w:rPr>
        <w:t>市场</w:t>
      </w:r>
      <w:r w:rsidRPr="00924950">
        <w:rPr>
          <w:rFonts w:ascii="Times New Roman" w:eastAsia="黑体"/>
          <w:sz w:val="28"/>
          <w:szCs w:val="28"/>
        </w:rPr>
        <w:t>监督</w:t>
      </w:r>
      <w:r w:rsidRPr="00924950">
        <w:rPr>
          <w:rFonts w:ascii="Times New Roman" w:eastAsia="黑体" w:hint="eastAsia"/>
          <w:sz w:val="28"/>
          <w:szCs w:val="28"/>
        </w:rPr>
        <w:t>管理</w:t>
      </w:r>
      <w:r w:rsidRPr="00924950">
        <w:rPr>
          <w:rFonts w:ascii="Times New Roman" w:eastAsia="黑体"/>
          <w:sz w:val="28"/>
          <w:szCs w:val="28"/>
        </w:rPr>
        <w:t>局</w:t>
      </w:r>
      <w:r w:rsidR="00924950">
        <w:rPr>
          <w:rFonts w:ascii="Times New Roman" w:eastAsia="黑体" w:hint="eastAsia"/>
          <w:sz w:val="28"/>
          <w:szCs w:val="28"/>
        </w:rPr>
        <w:t xml:space="preserve">     </w:t>
      </w:r>
      <w:r w:rsidRPr="00924950">
        <w:rPr>
          <w:rFonts w:ascii="Times New Roman" w:eastAsia="黑体"/>
          <w:sz w:val="30"/>
          <w:szCs w:val="30"/>
        </w:rPr>
        <w:t>发布</w:t>
      </w:r>
    </w:p>
    <w:p w:rsidR="003B377F" w:rsidRDefault="003B377F">
      <w:pPr>
        <w:spacing w:line="220" w:lineRule="atLeast"/>
        <w:jc w:val="center"/>
        <w:rPr>
          <w:rFonts w:ascii="黑体" w:eastAsia="黑体" w:hAnsi="Times New Roman" w:cs="Times New Roman"/>
          <w:sz w:val="32"/>
          <w:szCs w:val="20"/>
        </w:rPr>
      </w:pPr>
    </w:p>
    <w:p w:rsidR="003B377F" w:rsidRPr="003B377F" w:rsidRDefault="003B377F">
      <w:pPr>
        <w:spacing w:line="220" w:lineRule="atLeast"/>
        <w:jc w:val="center"/>
        <w:rPr>
          <w:rFonts w:ascii="黑体" w:eastAsia="黑体" w:hAnsi="黑体" w:cs="Times New Roman"/>
          <w:sz w:val="32"/>
          <w:szCs w:val="20"/>
        </w:rPr>
      </w:pPr>
    </w:p>
    <w:p w:rsidR="003B377F" w:rsidRDefault="003B377F">
      <w:pPr>
        <w:spacing w:line="220" w:lineRule="atLeast"/>
        <w:jc w:val="center"/>
        <w:rPr>
          <w:rFonts w:ascii="黑体" w:eastAsia="黑体" w:hAnsi="黑体" w:cs="Times New Roman"/>
          <w:sz w:val="32"/>
          <w:szCs w:val="20"/>
        </w:rPr>
      </w:pPr>
    </w:p>
    <w:p w:rsidR="00924950" w:rsidRDefault="00924950">
      <w:pPr>
        <w:spacing w:line="220" w:lineRule="atLeast"/>
        <w:jc w:val="center"/>
        <w:rPr>
          <w:rFonts w:ascii="黑体" w:eastAsia="黑体" w:hAnsi="黑体" w:cs="Times New Roman"/>
          <w:sz w:val="32"/>
          <w:szCs w:val="20"/>
        </w:rPr>
      </w:pPr>
    </w:p>
    <w:p w:rsidR="001019C3" w:rsidRDefault="00B728F3">
      <w:pPr>
        <w:spacing w:line="220" w:lineRule="atLeast"/>
        <w:jc w:val="center"/>
        <w:rPr>
          <w:rFonts w:ascii="黑体" w:eastAsia="黑体" w:hAnsi="黑体" w:cs="Times New Roman"/>
          <w:sz w:val="32"/>
          <w:szCs w:val="20"/>
        </w:rPr>
      </w:pPr>
      <w:r>
        <w:rPr>
          <w:rFonts w:ascii="黑体" w:eastAsia="黑体" w:hAnsi="黑体" w:cs="Times New Roman" w:hint="eastAsia"/>
          <w:sz w:val="32"/>
          <w:szCs w:val="20"/>
        </w:rPr>
        <w:lastRenderedPageBreak/>
        <w:t>前</w:t>
      </w:r>
      <w:bookmarkStart w:id="0" w:name="BKQY"/>
      <w:r>
        <w:rPr>
          <w:rFonts w:ascii="黑体" w:eastAsia="MS Mincho" w:hAnsi="黑体" w:cs="MS Mincho" w:hint="eastAsia"/>
          <w:sz w:val="32"/>
          <w:szCs w:val="20"/>
        </w:rPr>
        <w:t>  </w:t>
      </w:r>
      <w:r>
        <w:rPr>
          <w:rFonts w:ascii="黑体" w:eastAsia="黑体" w:hAnsi="黑体" w:cs="Times New Roman" w:hint="eastAsia"/>
          <w:sz w:val="32"/>
          <w:szCs w:val="20"/>
        </w:rPr>
        <w:t>言</w:t>
      </w:r>
      <w:bookmarkEnd w:id="0"/>
    </w:p>
    <w:p w:rsidR="001019C3" w:rsidRDefault="00B728F3">
      <w:pPr>
        <w:spacing w:after="0"/>
        <w:ind w:firstLineChars="200" w:firstLine="420"/>
        <w:rPr>
          <w:rFonts w:ascii="宋体" w:eastAsia="宋体" w:hAnsi="宋体" w:cs="Times New Roman"/>
          <w:kern w:val="2"/>
          <w:sz w:val="21"/>
          <w:szCs w:val="21"/>
        </w:rPr>
      </w:pPr>
      <w:r>
        <w:rPr>
          <w:rFonts w:ascii="宋体" w:eastAsia="宋体" w:hAnsi="宋体" w:cs="Times New Roman" w:hint="eastAsia"/>
          <w:kern w:val="2"/>
          <w:sz w:val="21"/>
          <w:szCs w:val="21"/>
        </w:rPr>
        <w:t>本文件按照</w:t>
      </w:r>
      <w:r>
        <w:rPr>
          <w:rFonts w:ascii="宋体" w:eastAsia="宋体" w:hAnsi="宋体" w:cs="Times New Roman"/>
          <w:kern w:val="2"/>
          <w:sz w:val="21"/>
          <w:szCs w:val="21"/>
        </w:rPr>
        <w:t>GB/T 1.1</w:t>
      </w:r>
      <w:r>
        <w:rPr>
          <w:rFonts w:ascii="宋体" w:eastAsia="宋体" w:hAnsi="宋体" w:cs="Times New Roman" w:hint="eastAsia"/>
          <w:kern w:val="2"/>
          <w:sz w:val="21"/>
          <w:szCs w:val="21"/>
        </w:rPr>
        <w:t>—</w:t>
      </w:r>
      <w:r>
        <w:rPr>
          <w:rFonts w:ascii="宋体" w:eastAsia="宋体" w:hAnsi="宋体" w:cs="Times New Roman"/>
          <w:kern w:val="2"/>
          <w:sz w:val="21"/>
          <w:szCs w:val="21"/>
        </w:rPr>
        <w:t>20</w:t>
      </w:r>
      <w:r>
        <w:rPr>
          <w:rFonts w:ascii="宋体" w:eastAsia="宋体" w:hAnsi="宋体" w:cs="Times New Roman" w:hint="eastAsia"/>
          <w:kern w:val="2"/>
          <w:sz w:val="21"/>
          <w:szCs w:val="21"/>
        </w:rPr>
        <w:t>20《标准化工作导则  第1部分：标准化文件的结构和起草规则》的规定起草。</w:t>
      </w:r>
    </w:p>
    <w:p w:rsidR="001019C3" w:rsidRDefault="00B728F3">
      <w:pPr>
        <w:spacing w:after="0"/>
        <w:ind w:firstLineChars="200" w:firstLine="420"/>
        <w:rPr>
          <w:rFonts w:ascii="宋体" w:eastAsia="宋体" w:hAnsi="宋体" w:cs="Times New Roman"/>
          <w:kern w:val="2"/>
          <w:sz w:val="21"/>
          <w:szCs w:val="21"/>
        </w:rPr>
      </w:pPr>
      <w:r>
        <w:rPr>
          <w:rFonts w:ascii="宋体" w:eastAsia="宋体" w:hAnsi="宋体" w:cs="Times New Roman" w:hint="eastAsia"/>
          <w:kern w:val="2"/>
          <w:sz w:val="21"/>
          <w:szCs w:val="21"/>
        </w:rPr>
        <w:t>本文件由河北省农业农村厅提出。</w:t>
      </w:r>
    </w:p>
    <w:p w:rsidR="001019C3" w:rsidRDefault="00B728F3">
      <w:pPr>
        <w:spacing w:after="0"/>
        <w:ind w:firstLineChars="200" w:firstLine="420"/>
        <w:rPr>
          <w:rFonts w:ascii="宋体" w:eastAsia="宋体" w:hAnsi="宋体" w:cs="Times New Roman"/>
          <w:kern w:val="2"/>
          <w:sz w:val="21"/>
          <w:szCs w:val="21"/>
        </w:rPr>
      </w:pPr>
      <w:r>
        <w:rPr>
          <w:rFonts w:ascii="宋体" w:eastAsia="宋体" w:hAnsi="宋体" w:cs="Times New Roman" w:hint="eastAsia"/>
          <w:kern w:val="2"/>
          <w:sz w:val="21"/>
          <w:szCs w:val="21"/>
        </w:rPr>
        <w:t>本文件起草单位：</w:t>
      </w:r>
      <w:r w:rsidR="00143D6D">
        <w:rPr>
          <w:rFonts w:ascii="宋体" w:eastAsia="宋体" w:hAnsi="宋体" w:cs="Times New Roman" w:hint="eastAsia"/>
          <w:kern w:val="2"/>
          <w:sz w:val="21"/>
          <w:szCs w:val="21"/>
        </w:rPr>
        <w:t>河北省农林科学院经济作物研究所、</w:t>
      </w:r>
      <w:r>
        <w:rPr>
          <w:rFonts w:ascii="宋体" w:eastAsia="宋体" w:hAnsi="宋体" w:cs="Times New Roman" w:hint="eastAsia"/>
          <w:kern w:val="2"/>
          <w:sz w:val="21"/>
          <w:szCs w:val="21"/>
        </w:rPr>
        <w:t>石家庄市鹿泉区特色农产品协会。</w:t>
      </w:r>
    </w:p>
    <w:p w:rsidR="001019C3" w:rsidRDefault="00B728F3">
      <w:pPr>
        <w:spacing w:after="0"/>
        <w:ind w:firstLineChars="200" w:firstLine="420"/>
        <w:rPr>
          <w:rFonts w:cs="Times New Roman"/>
          <w:sz w:val="21"/>
          <w:szCs w:val="21"/>
        </w:rPr>
      </w:pPr>
      <w:r>
        <w:rPr>
          <w:rFonts w:ascii="宋体" w:eastAsia="宋体" w:hAnsi="宋体" w:cs="Times New Roman" w:hint="eastAsia"/>
          <w:kern w:val="2"/>
          <w:sz w:val="21"/>
          <w:szCs w:val="21"/>
        </w:rPr>
        <w:t>本文件主要起草人：梁玉芹、付吉海、方敬涛、</w:t>
      </w:r>
      <w:bookmarkStart w:id="1" w:name="_GoBack"/>
      <w:bookmarkEnd w:id="1"/>
      <w:r>
        <w:rPr>
          <w:rFonts w:ascii="宋体" w:eastAsia="宋体" w:hAnsi="宋体" w:cs="Times New Roman" w:hint="eastAsia"/>
          <w:kern w:val="2"/>
          <w:sz w:val="21"/>
          <w:szCs w:val="21"/>
        </w:rPr>
        <w:t>王育博、杨阳、曹岩坡、张卫霞、刘云、徐立莎。</w:t>
      </w: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1019C3">
      <w:pPr>
        <w:ind w:firstLineChars="200" w:firstLine="420"/>
        <w:rPr>
          <w:rFonts w:ascii="Times New Roman" w:eastAsia="宋体" w:hAnsi="宋体" w:cs="Times New Roman"/>
          <w:kern w:val="2"/>
          <w:sz w:val="21"/>
          <w:szCs w:val="21"/>
        </w:rPr>
      </w:pPr>
    </w:p>
    <w:p w:rsidR="001019C3" w:rsidRDefault="00B728F3">
      <w:pPr>
        <w:spacing w:line="360" w:lineRule="auto"/>
        <w:jc w:val="center"/>
        <w:rPr>
          <w:rFonts w:ascii="黑体" w:eastAsia="黑体" w:hAnsi="黑体"/>
          <w:sz w:val="32"/>
          <w:szCs w:val="32"/>
        </w:rPr>
      </w:pPr>
      <w:r>
        <w:rPr>
          <w:rFonts w:ascii="黑体" w:eastAsia="黑体" w:hAnsi="黑体" w:hint="eastAsia"/>
          <w:sz w:val="32"/>
          <w:szCs w:val="32"/>
        </w:rPr>
        <w:lastRenderedPageBreak/>
        <w:t>设施蔬菜自动精量灌溉系统设计规范</w:t>
      </w:r>
    </w:p>
    <w:p w:rsidR="001019C3" w:rsidRDefault="00B728F3">
      <w:pPr>
        <w:spacing w:line="360" w:lineRule="auto"/>
        <w:rPr>
          <w:rFonts w:ascii="黑体" w:eastAsia="黑体" w:hAnsi="宋体" w:cs="Times New Roman"/>
          <w:kern w:val="2"/>
          <w:sz w:val="21"/>
          <w:szCs w:val="21"/>
        </w:rPr>
      </w:pPr>
      <w:r>
        <w:rPr>
          <w:rFonts w:ascii="黑体" w:eastAsia="黑体" w:hAnsi="宋体" w:cs="Times New Roman" w:hint="eastAsia"/>
          <w:kern w:val="2"/>
          <w:sz w:val="21"/>
          <w:szCs w:val="21"/>
        </w:rPr>
        <w:t>1 范围</w:t>
      </w:r>
    </w:p>
    <w:p w:rsidR="001019C3" w:rsidRDefault="00B728F3">
      <w:pPr>
        <w:pStyle w:val="reader-word-layer"/>
        <w:shd w:val="clear" w:color="auto" w:fill="FFFFFF"/>
        <w:spacing w:before="0" w:beforeAutospacing="0" w:after="0" w:afterAutospacing="0"/>
        <w:ind w:firstLineChars="200" w:firstLine="420"/>
        <w:rPr>
          <w:color w:val="000000"/>
          <w:szCs w:val="21"/>
        </w:rPr>
      </w:pPr>
      <w:r>
        <w:rPr>
          <w:rFonts w:hint="eastAsia"/>
          <w:color w:val="000000"/>
          <w:szCs w:val="21"/>
        </w:rPr>
        <w:t>本文件规定了设施蔬菜自动精量灌溉系统的主要元器件选择及设定、系统安装、系统操作及维护规范。</w:t>
      </w:r>
    </w:p>
    <w:p w:rsidR="001019C3" w:rsidRDefault="00B728F3">
      <w:pPr>
        <w:pStyle w:val="reader-word-layer"/>
        <w:shd w:val="clear" w:color="auto" w:fill="FFFFFF"/>
        <w:spacing w:before="0" w:beforeAutospacing="0" w:after="0" w:afterAutospacing="0"/>
        <w:ind w:firstLineChars="200" w:firstLine="420"/>
        <w:rPr>
          <w:color w:val="000000"/>
          <w:szCs w:val="21"/>
        </w:rPr>
      </w:pPr>
      <w:r>
        <w:rPr>
          <w:rFonts w:hint="eastAsia"/>
          <w:color w:val="000000"/>
          <w:szCs w:val="21"/>
        </w:rPr>
        <w:t>本文件适用于河北省设施蔬菜自动精量灌溉生产。</w:t>
      </w:r>
    </w:p>
    <w:p w:rsidR="001019C3" w:rsidRDefault="00B728F3" w:rsidP="00D74D6C">
      <w:pPr>
        <w:spacing w:beforeLines="100" w:afterLines="100"/>
        <w:rPr>
          <w:rFonts w:ascii="黑体" w:eastAsia="黑体" w:hAnsi="宋体"/>
          <w:sz w:val="21"/>
          <w:szCs w:val="21"/>
        </w:rPr>
      </w:pPr>
      <w:r>
        <w:rPr>
          <w:rFonts w:ascii="黑体" w:eastAsia="黑体" w:hAnsi="宋体" w:hint="eastAsia"/>
          <w:sz w:val="21"/>
          <w:szCs w:val="21"/>
        </w:rPr>
        <w:t>2 规范性应用文件</w:t>
      </w:r>
    </w:p>
    <w:p w:rsidR="001019C3" w:rsidRDefault="00B728F3">
      <w:pPr>
        <w:widowControl w:val="0"/>
        <w:adjustRightInd/>
        <w:snapToGrid/>
        <w:spacing w:after="0"/>
        <w:ind w:firstLineChars="200" w:firstLine="420"/>
        <w:jc w:val="both"/>
        <w:rPr>
          <w:rStyle w:val="fontstyle01"/>
          <w:rFonts w:hint="default"/>
        </w:rPr>
      </w:pPr>
      <w:r>
        <w:rPr>
          <w:rFonts w:ascii="宋体" w:eastAsia="宋体" w:hAnsi="宋体" w:cs="Times New Roman" w:hint="eastAsia"/>
          <w:kern w:val="2"/>
          <w:sz w:val="21"/>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1019C3" w:rsidRDefault="00B728F3">
      <w:pPr>
        <w:pStyle w:val="ad"/>
        <w:ind w:firstLine="420"/>
      </w:pPr>
      <w:r>
        <w:rPr>
          <w:rFonts w:hint="eastAsia"/>
        </w:rPr>
        <w:t>GB 5084  农田灌溉水质标准</w:t>
      </w:r>
    </w:p>
    <w:p w:rsidR="001019C3" w:rsidRDefault="00B728F3">
      <w:pPr>
        <w:pStyle w:val="ad"/>
        <w:ind w:firstLine="420"/>
      </w:pPr>
      <w:r>
        <w:rPr>
          <w:rFonts w:hint="eastAsia"/>
        </w:rPr>
        <w:t>JB/T 7352 工业过程控制系统用电磁阀</w:t>
      </w:r>
    </w:p>
    <w:p w:rsidR="001019C3" w:rsidRDefault="00B728F3">
      <w:pPr>
        <w:pStyle w:val="ad"/>
        <w:ind w:firstLine="420"/>
      </w:pPr>
      <w:r>
        <w:rPr>
          <w:rFonts w:hAnsi="宋体" w:cs="宋体" w:hint="eastAsia"/>
          <w:szCs w:val="21"/>
        </w:rPr>
        <w:t>GB/T 50485  微灌工程技术标准</w:t>
      </w:r>
    </w:p>
    <w:p w:rsidR="001019C3" w:rsidRDefault="00B728F3">
      <w:pPr>
        <w:pStyle w:val="ad"/>
        <w:ind w:firstLine="420"/>
      </w:pPr>
      <w:r>
        <w:rPr>
          <w:rFonts w:hint="eastAsia"/>
        </w:rPr>
        <w:t>GB/T 41782.1-2022  物联网系统互操作性</w:t>
      </w:r>
    </w:p>
    <w:p w:rsidR="001019C3" w:rsidRDefault="00B728F3">
      <w:pPr>
        <w:pStyle w:val="ad"/>
        <w:ind w:firstLine="420"/>
      </w:pPr>
      <w:r>
        <w:rPr>
          <w:rFonts w:hint="eastAsia"/>
        </w:rPr>
        <w:t>NY/T 2132  温室灌溉系统设计规范</w:t>
      </w:r>
    </w:p>
    <w:p w:rsidR="001019C3" w:rsidRDefault="00B728F3" w:rsidP="00D74D6C">
      <w:pPr>
        <w:spacing w:beforeLines="100" w:afterLines="100"/>
        <w:rPr>
          <w:rFonts w:ascii="黑体" w:eastAsia="黑体" w:hAnsi="宋体" w:cs="Times New Roman"/>
          <w:kern w:val="2"/>
          <w:sz w:val="21"/>
          <w:szCs w:val="21"/>
        </w:rPr>
      </w:pPr>
      <w:r>
        <w:rPr>
          <w:rFonts w:ascii="黑体" w:eastAsia="黑体" w:hAnsi="宋体" w:cs="Times New Roman" w:hint="eastAsia"/>
          <w:kern w:val="2"/>
          <w:sz w:val="21"/>
          <w:szCs w:val="21"/>
        </w:rPr>
        <w:t>3 术语和定义</w:t>
      </w:r>
    </w:p>
    <w:p w:rsidR="001019C3" w:rsidRDefault="00B728F3">
      <w:pPr>
        <w:spacing w:after="0"/>
        <w:ind w:firstLine="420"/>
        <w:rPr>
          <w:rFonts w:ascii="宋体" w:eastAsia="宋体" w:hAnsi="宋体" w:cs="宋体"/>
          <w:kern w:val="2"/>
          <w:sz w:val="21"/>
          <w:szCs w:val="21"/>
        </w:rPr>
      </w:pPr>
      <w:r>
        <w:rPr>
          <w:rFonts w:ascii="宋体" w:eastAsia="宋体" w:hAnsi="宋体" w:cs="宋体" w:hint="eastAsia"/>
          <w:kern w:val="2"/>
          <w:sz w:val="21"/>
          <w:szCs w:val="21"/>
        </w:rPr>
        <w:t>下列术语和定义适用于本标准。</w:t>
      </w:r>
    </w:p>
    <w:p w:rsidR="001019C3" w:rsidRDefault="00B728F3" w:rsidP="00D74D6C">
      <w:pPr>
        <w:spacing w:beforeLines="100" w:afterLines="100"/>
        <w:rPr>
          <w:rFonts w:ascii="黑体" w:eastAsia="黑体" w:hAnsi="黑体" w:cs="Arial"/>
          <w:bCs/>
          <w:sz w:val="21"/>
          <w:szCs w:val="21"/>
        </w:rPr>
      </w:pPr>
      <w:r>
        <w:rPr>
          <w:rFonts w:ascii="黑体" w:eastAsia="黑体" w:hAnsi="黑体" w:cs="Arial" w:hint="eastAsia"/>
          <w:bCs/>
          <w:sz w:val="21"/>
          <w:szCs w:val="21"/>
        </w:rPr>
        <w:t>3.1 自动精量灌溉</w:t>
      </w:r>
    </w:p>
    <w:p w:rsidR="001019C3" w:rsidRDefault="00B728F3">
      <w:pPr>
        <w:spacing w:after="0"/>
        <w:ind w:firstLine="420"/>
        <w:rPr>
          <w:rFonts w:ascii="宋体" w:eastAsia="宋体" w:hAnsi="宋体" w:cs="宋体"/>
          <w:kern w:val="2"/>
          <w:sz w:val="21"/>
          <w:szCs w:val="21"/>
        </w:rPr>
      </w:pPr>
      <w:r>
        <w:rPr>
          <w:rFonts w:ascii="宋体" w:eastAsia="宋体" w:hAnsi="宋体" w:cs="宋体" w:hint="eastAsia"/>
          <w:kern w:val="2"/>
          <w:sz w:val="21"/>
          <w:szCs w:val="21"/>
        </w:rPr>
        <w:t>依据作物需求，适时、适量精准的将水分输送到作物根区，在实现水分高效利用的同时，达到农业灌溉控制的自动化。</w:t>
      </w:r>
    </w:p>
    <w:p w:rsidR="001019C3" w:rsidRDefault="00B728F3" w:rsidP="00D74D6C">
      <w:pPr>
        <w:spacing w:beforeLines="100" w:afterLines="100"/>
        <w:rPr>
          <w:rFonts w:ascii="黑体" w:eastAsia="黑体" w:hAnsi="黑体" w:cs="Arial"/>
          <w:bCs/>
          <w:sz w:val="21"/>
          <w:szCs w:val="21"/>
        </w:rPr>
      </w:pPr>
      <w:r>
        <w:rPr>
          <w:rFonts w:ascii="黑体" w:eastAsia="黑体" w:hAnsi="宋体" w:cs="Times New Roman" w:hint="eastAsia"/>
          <w:kern w:val="2"/>
          <w:sz w:val="21"/>
          <w:szCs w:val="21"/>
        </w:rPr>
        <w:t>4</w:t>
      </w:r>
      <w:r>
        <w:rPr>
          <w:rFonts w:ascii="黑体" w:eastAsia="黑体" w:hAnsi="黑体" w:cs="Arial" w:hint="eastAsia"/>
          <w:bCs/>
          <w:sz w:val="21"/>
          <w:szCs w:val="21"/>
        </w:rPr>
        <w:t>基础条件</w:t>
      </w:r>
    </w:p>
    <w:p w:rsidR="001019C3" w:rsidRDefault="00B728F3" w:rsidP="00D74D6C">
      <w:pPr>
        <w:spacing w:beforeLines="100" w:afterLines="100"/>
        <w:rPr>
          <w:rFonts w:ascii="黑体" w:eastAsia="黑体" w:hAnsi="黑体" w:cs="Arial"/>
          <w:bCs/>
          <w:sz w:val="21"/>
          <w:szCs w:val="21"/>
        </w:rPr>
      </w:pPr>
      <w:r>
        <w:rPr>
          <w:rFonts w:ascii="黑体" w:eastAsia="黑体" w:hAnsi="黑体" w:cs="Arial" w:hint="eastAsia"/>
          <w:bCs/>
          <w:sz w:val="21"/>
          <w:szCs w:val="21"/>
        </w:rPr>
        <w:t>4.1 水源水质</w:t>
      </w:r>
    </w:p>
    <w:p w:rsidR="001019C3" w:rsidRDefault="00B728F3">
      <w:pPr>
        <w:spacing w:after="0"/>
        <w:ind w:firstLine="420"/>
        <w:rPr>
          <w:rFonts w:ascii="宋体" w:eastAsia="宋体" w:hAnsi="宋体" w:cs="宋体"/>
          <w:kern w:val="2"/>
          <w:sz w:val="21"/>
          <w:szCs w:val="21"/>
        </w:rPr>
      </w:pPr>
      <w:r>
        <w:rPr>
          <w:rFonts w:ascii="宋体" w:eastAsia="宋体" w:hAnsi="宋体" w:cs="宋体" w:hint="eastAsia"/>
          <w:kern w:val="2"/>
          <w:sz w:val="21"/>
          <w:szCs w:val="21"/>
        </w:rPr>
        <w:t>灌溉所用水源应为水量充足、清洁、无污染的地下水、地表径流水，水质应符合GB 5084的规定。</w:t>
      </w:r>
    </w:p>
    <w:p w:rsidR="001019C3" w:rsidRDefault="00B728F3" w:rsidP="00D74D6C">
      <w:pPr>
        <w:spacing w:beforeLines="100" w:afterLines="100"/>
        <w:rPr>
          <w:rFonts w:ascii="黑体" w:eastAsia="黑体" w:hAnsi="黑体" w:cs="Arial"/>
          <w:bCs/>
          <w:sz w:val="21"/>
          <w:szCs w:val="21"/>
        </w:rPr>
      </w:pPr>
      <w:r>
        <w:rPr>
          <w:rFonts w:ascii="黑体" w:eastAsia="黑体" w:hAnsi="黑体" w:cs="Arial" w:hint="eastAsia"/>
          <w:bCs/>
          <w:sz w:val="21"/>
          <w:szCs w:val="21"/>
        </w:rPr>
        <w:t>4.2 系统电源</w:t>
      </w:r>
    </w:p>
    <w:p w:rsidR="001019C3" w:rsidRDefault="00B728F3">
      <w:pPr>
        <w:spacing w:after="0"/>
        <w:ind w:firstLine="420"/>
        <w:rPr>
          <w:rFonts w:ascii="宋体" w:eastAsia="宋体" w:hAnsi="宋体" w:cs="宋体"/>
          <w:kern w:val="2"/>
          <w:sz w:val="21"/>
          <w:szCs w:val="21"/>
        </w:rPr>
      </w:pPr>
      <w:r>
        <w:rPr>
          <w:rFonts w:ascii="宋体" w:eastAsia="宋体" w:hAnsi="宋体" w:cs="宋体" w:hint="eastAsia"/>
          <w:kern w:val="2"/>
          <w:sz w:val="21"/>
          <w:szCs w:val="21"/>
        </w:rPr>
        <w:t>选择电路齐全且稳定、无干扰的系统电源，保证仪器正常运行。</w:t>
      </w:r>
    </w:p>
    <w:p w:rsidR="001019C3" w:rsidRDefault="00B728F3" w:rsidP="00D74D6C">
      <w:pPr>
        <w:spacing w:beforeLines="100" w:afterLines="100"/>
        <w:rPr>
          <w:rFonts w:ascii="黑体" w:eastAsia="黑体" w:hAnsi="黑体" w:cs="Arial"/>
          <w:bCs/>
          <w:sz w:val="21"/>
          <w:szCs w:val="21"/>
        </w:rPr>
      </w:pPr>
      <w:r>
        <w:rPr>
          <w:rFonts w:ascii="黑体" w:eastAsia="黑体" w:hAnsi="黑体" w:cs="Arial" w:hint="eastAsia"/>
          <w:bCs/>
          <w:sz w:val="21"/>
          <w:szCs w:val="21"/>
        </w:rPr>
        <w:t>4.3 电磁阀连接管道要求</w:t>
      </w:r>
    </w:p>
    <w:p w:rsidR="001019C3" w:rsidRDefault="00B728F3">
      <w:pPr>
        <w:spacing w:after="0"/>
        <w:ind w:firstLine="420"/>
        <w:jc w:val="both"/>
        <w:rPr>
          <w:rFonts w:ascii="宋体" w:eastAsia="宋体" w:hAnsi="宋体" w:cs="宋体"/>
          <w:kern w:val="2"/>
          <w:sz w:val="21"/>
          <w:szCs w:val="21"/>
        </w:rPr>
      </w:pPr>
      <w:r>
        <w:rPr>
          <w:rFonts w:ascii="宋体" w:eastAsia="宋体" w:hAnsi="宋体" w:cs="宋体" w:hint="eastAsia"/>
          <w:kern w:val="2"/>
          <w:sz w:val="21"/>
          <w:szCs w:val="21"/>
        </w:rPr>
        <w:t>电磁阀与管道的连接需要符合具体的口径和材质要求，以确保系统稳定运行和无泄漏。电磁阀的接口（通常为螺纹或法兰）要与PPR管道连接的接口一致。电磁阀接管口径宜选国标DN50，PPR(PE)热熔管道宜选Φ63，管材的外径为63mm，符合DN50标准的管材。</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5 主要元器件选择及设定</w:t>
      </w:r>
    </w:p>
    <w:p w:rsidR="001019C3" w:rsidRDefault="00B728F3" w:rsidP="00D74D6C">
      <w:pPr>
        <w:spacing w:beforeLines="100" w:afterLines="100"/>
        <w:rPr>
          <w:rFonts w:ascii="宋体" w:eastAsia="宋体" w:hAnsi="宋体" w:cs="宋体"/>
          <w:kern w:val="2"/>
          <w:sz w:val="21"/>
          <w:szCs w:val="21"/>
        </w:rPr>
      </w:pPr>
      <w:r>
        <w:rPr>
          <w:rFonts w:ascii="黑体" w:eastAsia="黑体" w:hAnsi="黑体" w:cs="Arial" w:hint="eastAsia"/>
          <w:bCs/>
          <w:color w:val="000000"/>
          <w:sz w:val="21"/>
          <w:szCs w:val="21"/>
        </w:rPr>
        <w:t>5.1 电磁阀</w:t>
      </w:r>
    </w:p>
    <w:p w:rsidR="001019C3" w:rsidRDefault="00B728F3" w:rsidP="00D74D6C">
      <w:pPr>
        <w:spacing w:beforeLines="100" w:afterLines="100"/>
        <w:ind w:firstLineChars="200" w:firstLine="420"/>
        <w:rPr>
          <w:rFonts w:ascii="宋体" w:eastAsia="宋体" w:hAnsi="宋体" w:cs="宋体"/>
          <w:kern w:val="2"/>
          <w:sz w:val="21"/>
          <w:szCs w:val="21"/>
        </w:rPr>
      </w:pPr>
      <w:r>
        <w:rPr>
          <w:rFonts w:ascii="宋体" w:eastAsia="宋体" w:hAnsi="宋体" w:cs="宋体" w:hint="eastAsia"/>
          <w:kern w:val="2"/>
          <w:sz w:val="21"/>
          <w:szCs w:val="21"/>
        </w:rPr>
        <w:t>选用密封</w:t>
      </w:r>
      <w:r>
        <w:rPr>
          <w:rFonts w:ascii="宋体" w:eastAsia="宋体" w:hAnsi="宋体" w:cs="宋体"/>
          <w:kern w:val="2"/>
          <w:sz w:val="21"/>
          <w:szCs w:val="21"/>
        </w:rPr>
        <w:t>好</w:t>
      </w:r>
      <w:r>
        <w:rPr>
          <w:rFonts w:ascii="宋体" w:eastAsia="宋体" w:hAnsi="宋体" w:cs="宋体" w:hint="eastAsia"/>
          <w:kern w:val="2"/>
          <w:sz w:val="21"/>
          <w:szCs w:val="21"/>
        </w:rPr>
        <w:t>、</w:t>
      </w:r>
      <w:r>
        <w:rPr>
          <w:rFonts w:ascii="宋体" w:eastAsia="宋体" w:hAnsi="宋体" w:cs="宋体"/>
          <w:kern w:val="2"/>
          <w:sz w:val="21"/>
          <w:szCs w:val="21"/>
        </w:rPr>
        <w:t>使用寿命长</w:t>
      </w:r>
      <w:r>
        <w:rPr>
          <w:rFonts w:ascii="宋体" w:eastAsia="宋体" w:hAnsi="宋体" w:cs="宋体" w:hint="eastAsia"/>
          <w:kern w:val="2"/>
          <w:sz w:val="21"/>
          <w:szCs w:val="21"/>
        </w:rPr>
        <w:t>、</w:t>
      </w:r>
      <w:r>
        <w:rPr>
          <w:rFonts w:ascii="宋体" w:eastAsia="宋体" w:hAnsi="宋体" w:cs="宋体"/>
          <w:kern w:val="2"/>
          <w:sz w:val="21"/>
          <w:szCs w:val="21"/>
        </w:rPr>
        <w:t>不容易发热</w:t>
      </w:r>
      <w:r>
        <w:rPr>
          <w:rFonts w:ascii="宋体" w:eastAsia="宋体" w:hAnsi="宋体" w:cs="宋体" w:hint="eastAsia"/>
          <w:kern w:val="2"/>
          <w:sz w:val="21"/>
          <w:szCs w:val="21"/>
        </w:rPr>
        <w:t>的、在断电后能够自动停止灌溉</w:t>
      </w:r>
      <w:r>
        <w:rPr>
          <w:rFonts w:ascii="宋体" w:eastAsia="宋体" w:hAnsi="宋体" w:cs="宋体"/>
          <w:kern w:val="2"/>
          <w:sz w:val="21"/>
          <w:szCs w:val="21"/>
        </w:rPr>
        <w:t>灌溉专用电磁阀</w:t>
      </w:r>
      <w:r>
        <w:rPr>
          <w:rFonts w:ascii="宋体" w:eastAsia="宋体" w:hAnsi="宋体" w:cs="宋体" w:hint="eastAsia"/>
          <w:kern w:val="2"/>
          <w:sz w:val="21"/>
          <w:szCs w:val="21"/>
        </w:rPr>
        <w:t>，如：常闭型电磁阀，根据现场管道内尺寸或流量要求确定电磁阀公称通径为DN 50</w:t>
      </w:r>
      <w:r>
        <w:rPr>
          <w:rFonts w:ascii="宋体" w:eastAsia="宋体" w:hAnsi="宋体" w:cs="宋体" w:hint="eastAsia"/>
          <w:kern w:val="2"/>
          <w:sz w:val="21"/>
          <w:szCs w:val="21"/>
        </w:rPr>
        <w:lastRenderedPageBreak/>
        <w:t>（mm），工作</w:t>
      </w:r>
      <w:r>
        <w:rPr>
          <w:rFonts w:ascii="宋体" w:eastAsia="宋体" w:hAnsi="宋体" w:cs="宋体"/>
          <w:kern w:val="2"/>
          <w:sz w:val="21"/>
          <w:szCs w:val="21"/>
        </w:rPr>
        <w:t>电压</w:t>
      </w:r>
      <w:r>
        <w:rPr>
          <w:rFonts w:ascii="宋体" w:eastAsia="宋体" w:hAnsi="宋体" w:cs="宋体" w:hint="eastAsia"/>
          <w:kern w:val="2"/>
          <w:sz w:val="21"/>
          <w:szCs w:val="21"/>
        </w:rPr>
        <w:t>为了</w:t>
      </w:r>
      <w:r>
        <w:rPr>
          <w:rFonts w:ascii="宋体" w:eastAsia="宋体" w:hAnsi="宋体" w:cs="宋体"/>
          <w:kern w:val="2"/>
          <w:sz w:val="21"/>
          <w:szCs w:val="21"/>
        </w:rPr>
        <w:t>安全</w:t>
      </w:r>
      <w:r>
        <w:rPr>
          <w:rFonts w:ascii="宋体" w:eastAsia="宋体" w:hAnsi="宋体" w:cs="宋体" w:hint="eastAsia"/>
          <w:kern w:val="2"/>
          <w:sz w:val="21"/>
          <w:szCs w:val="21"/>
        </w:rPr>
        <w:t>建议</w:t>
      </w:r>
      <w:r>
        <w:rPr>
          <w:rFonts w:ascii="宋体" w:eastAsia="宋体" w:hAnsi="宋体" w:cs="宋体"/>
          <w:kern w:val="2"/>
          <w:sz w:val="21"/>
          <w:szCs w:val="21"/>
        </w:rPr>
        <w:t>选用</w:t>
      </w:r>
      <w:r>
        <w:rPr>
          <w:rFonts w:ascii="宋体" w:eastAsia="宋体" w:hAnsi="宋体" w:cs="宋体" w:hint="eastAsia"/>
          <w:kern w:val="2"/>
          <w:sz w:val="21"/>
          <w:szCs w:val="21"/>
        </w:rPr>
        <w:t>交流220V电源接线（考虑安全低压标准24伏），符合JB/T 7352中的要求。</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5.2 流量计</w:t>
      </w:r>
    </w:p>
    <w:p w:rsidR="001019C3" w:rsidRDefault="00B728F3">
      <w:pPr>
        <w:spacing w:after="0"/>
        <w:ind w:firstLine="420"/>
        <w:rPr>
          <w:rFonts w:ascii="宋体" w:eastAsia="宋体" w:hAnsi="宋体" w:cs="宋体"/>
          <w:kern w:val="2"/>
          <w:sz w:val="21"/>
          <w:szCs w:val="21"/>
        </w:rPr>
      </w:pPr>
      <w:r>
        <w:rPr>
          <w:rFonts w:ascii="宋体" w:eastAsia="宋体" w:hAnsi="宋体" w:cs="宋体" w:hint="eastAsia"/>
          <w:kern w:val="2"/>
          <w:sz w:val="21"/>
          <w:szCs w:val="21"/>
        </w:rPr>
        <w:t>选择电磁流量计，直径根据管路口径选择，根据控制系统选用模拟量输出或485通讯输出，显示瞬时和累计流量，精度达到0.5%。</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5.3主</w:t>
      </w:r>
      <w:r>
        <w:rPr>
          <w:rFonts w:ascii="黑体" w:eastAsia="黑体" w:hAnsi="黑体" w:cs="Arial"/>
          <w:bCs/>
          <w:color w:val="000000"/>
          <w:sz w:val="21"/>
          <w:szCs w:val="21"/>
        </w:rPr>
        <w:t>控制</w:t>
      </w:r>
      <w:r>
        <w:rPr>
          <w:rFonts w:ascii="黑体" w:eastAsia="黑体" w:hAnsi="黑体" w:cs="Arial" w:hint="eastAsia"/>
          <w:bCs/>
          <w:color w:val="000000"/>
          <w:sz w:val="21"/>
          <w:szCs w:val="21"/>
        </w:rPr>
        <w:t>器</w:t>
      </w:r>
    </w:p>
    <w:p w:rsidR="001019C3" w:rsidRDefault="00B728F3">
      <w:pPr>
        <w:spacing w:after="0"/>
        <w:ind w:firstLine="420"/>
        <w:rPr>
          <w:rFonts w:ascii="宋体" w:eastAsia="宋体" w:hAnsi="宋体" w:cs="宋体"/>
          <w:kern w:val="2"/>
          <w:sz w:val="21"/>
          <w:szCs w:val="21"/>
        </w:rPr>
      </w:pPr>
      <w:r>
        <w:rPr>
          <w:rFonts w:ascii="宋体" w:eastAsia="宋体" w:hAnsi="宋体" w:cs="宋体" w:hint="eastAsia"/>
          <w:kern w:val="2"/>
          <w:sz w:val="21"/>
          <w:szCs w:val="21"/>
        </w:rPr>
        <w:t>主</w:t>
      </w:r>
      <w:r>
        <w:rPr>
          <w:rFonts w:ascii="宋体" w:eastAsia="宋体" w:hAnsi="宋体" w:cs="宋体"/>
          <w:kern w:val="2"/>
          <w:sz w:val="21"/>
          <w:szCs w:val="21"/>
        </w:rPr>
        <w:t>控制</w:t>
      </w:r>
      <w:r>
        <w:rPr>
          <w:rFonts w:ascii="宋体" w:eastAsia="宋体" w:hAnsi="宋体" w:cs="宋体" w:hint="eastAsia"/>
          <w:kern w:val="2"/>
          <w:sz w:val="21"/>
          <w:szCs w:val="21"/>
        </w:rPr>
        <w:t>器通过</w:t>
      </w:r>
      <w:r>
        <w:rPr>
          <w:rFonts w:ascii="宋体" w:eastAsia="宋体" w:hAnsi="宋体" w:cs="宋体"/>
          <w:kern w:val="2"/>
          <w:sz w:val="21"/>
          <w:szCs w:val="21"/>
        </w:rPr>
        <w:t>数据</w:t>
      </w:r>
      <w:r>
        <w:rPr>
          <w:rFonts w:ascii="宋体" w:eastAsia="宋体" w:hAnsi="宋体" w:cs="宋体" w:hint="eastAsia"/>
          <w:kern w:val="2"/>
          <w:sz w:val="21"/>
          <w:szCs w:val="21"/>
        </w:rPr>
        <w:t>采集流量，进行</w:t>
      </w:r>
      <w:r>
        <w:rPr>
          <w:rFonts w:ascii="宋体" w:eastAsia="宋体" w:hAnsi="宋体" w:cs="宋体"/>
          <w:kern w:val="2"/>
          <w:sz w:val="21"/>
          <w:szCs w:val="21"/>
        </w:rPr>
        <w:t>计算和判断，对电磁阀</w:t>
      </w:r>
      <w:r>
        <w:rPr>
          <w:rFonts w:ascii="宋体" w:eastAsia="宋体" w:hAnsi="宋体" w:cs="宋体" w:hint="eastAsia"/>
          <w:kern w:val="2"/>
          <w:sz w:val="21"/>
          <w:szCs w:val="21"/>
        </w:rPr>
        <w:t>进行</w:t>
      </w:r>
      <w:r>
        <w:rPr>
          <w:rFonts w:ascii="宋体" w:eastAsia="宋体" w:hAnsi="宋体" w:cs="宋体"/>
          <w:kern w:val="2"/>
          <w:sz w:val="21"/>
          <w:szCs w:val="21"/>
        </w:rPr>
        <w:t>控制</w:t>
      </w:r>
      <w:r>
        <w:rPr>
          <w:rFonts w:ascii="宋体" w:eastAsia="宋体" w:hAnsi="宋体" w:cs="宋体" w:hint="eastAsia"/>
          <w:kern w:val="2"/>
          <w:sz w:val="21"/>
          <w:szCs w:val="21"/>
        </w:rPr>
        <w:t>。</w:t>
      </w:r>
      <w:r>
        <w:rPr>
          <w:rFonts w:ascii="宋体" w:eastAsia="宋体" w:hAnsi="宋体" w:cs="宋体"/>
          <w:kern w:val="2"/>
          <w:sz w:val="21"/>
          <w:szCs w:val="21"/>
        </w:rPr>
        <w:t>操作人员可以</w:t>
      </w:r>
      <w:r>
        <w:rPr>
          <w:rFonts w:ascii="宋体" w:eastAsia="宋体" w:hAnsi="宋体" w:cs="宋体" w:hint="eastAsia"/>
          <w:kern w:val="2"/>
          <w:sz w:val="21"/>
          <w:szCs w:val="21"/>
        </w:rPr>
        <w:t>在主</w:t>
      </w:r>
      <w:r>
        <w:rPr>
          <w:rFonts w:ascii="宋体" w:eastAsia="宋体" w:hAnsi="宋体" w:cs="宋体"/>
          <w:kern w:val="2"/>
          <w:sz w:val="21"/>
          <w:szCs w:val="21"/>
        </w:rPr>
        <w:t>控制器上查看采集的</w:t>
      </w:r>
      <w:r>
        <w:rPr>
          <w:rFonts w:ascii="宋体" w:eastAsia="宋体" w:hAnsi="宋体" w:cs="宋体" w:hint="eastAsia"/>
          <w:kern w:val="2"/>
          <w:sz w:val="21"/>
          <w:szCs w:val="21"/>
        </w:rPr>
        <w:t>数据，根据不同作物灌溉需求，系统设置作物标准灌溉量，即可自动获得要灌溉地块的灌溉量，实现自动灌溉，并精准控制灌溉量或灌溉时间。</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5.4施肥口</w:t>
      </w:r>
    </w:p>
    <w:p w:rsidR="001019C3" w:rsidRDefault="00B728F3">
      <w:pPr>
        <w:spacing w:after="0"/>
        <w:ind w:firstLine="420"/>
        <w:rPr>
          <w:rFonts w:ascii="宋体" w:eastAsia="宋体" w:hAnsi="宋体" w:cs="宋体"/>
          <w:kern w:val="2"/>
          <w:sz w:val="21"/>
          <w:szCs w:val="21"/>
        </w:rPr>
      </w:pPr>
      <w:r>
        <w:rPr>
          <w:rFonts w:ascii="宋体" w:eastAsia="宋体" w:hAnsi="宋体" w:cs="宋体" w:hint="eastAsia"/>
          <w:kern w:val="2"/>
          <w:sz w:val="21"/>
          <w:szCs w:val="21"/>
        </w:rPr>
        <w:t>施肥口安装在下游，位于流量计和电磁阀之后。</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6 系统安装</w:t>
      </w:r>
    </w:p>
    <w:p w:rsidR="001019C3" w:rsidRDefault="00B728F3">
      <w:pPr>
        <w:pStyle w:val="ad"/>
        <w:ind w:firstLine="420"/>
      </w:pPr>
      <w:r>
        <w:rPr>
          <w:rFonts w:hint="eastAsia"/>
        </w:rPr>
        <w:t>系统安装符合GB/T 41782.1-2022和NY/T 2132的规定。</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6.1主控制器选用及安装</w:t>
      </w:r>
    </w:p>
    <w:p w:rsidR="00D74D6C" w:rsidRDefault="00D74D6C"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6.1.1 主控制器选用</w:t>
      </w:r>
    </w:p>
    <w:p w:rsidR="00D74D6C" w:rsidRDefault="00D74D6C" w:rsidP="00D74D6C">
      <w:pPr>
        <w:pStyle w:val="ad"/>
        <w:ind w:firstLine="420"/>
      </w:pPr>
      <w:r>
        <w:rPr>
          <w:rFonts w:hint="eastAsia"/>
        </w:rPr>
        <w:t>主控制器选用</w:t>
      </w:r>
      <w:r>
        <w:t>标准型控制盒</w:t>
      </w:r>
      <w:r>
        <w:rPr>
          <w:rFonts w:hint="eastAsia"/>
        </w:rPr>
        <w:t>，</w:t>
      </w:r>
      <w:r>
        <w:t>主要材质为金属（如冷轧钢板）或工程塑料。防护等级选择IP65或以上。控制盒内部结构布局合理</w:t>
      </w:r>
      <w:r>
        <w:rPr>
          <w:rFonts w:hint="eastAsia"/>
        </w:rPr>
        <w:t>，</w:t>
      </w:r>
      <w:r>
        <w:t>根据功能分区设计，包括电源模块区、PLC模块区、端子排区和触摸屏连接区</w:t>
      </w:r>
      <w:r>
        <w:rPr>
          <w:rFonts w:hint="eastAsia"/>
        </w:rPr>
        <w:t>，</w:t>
      </w:r>
      <w:r>
        <w:t>预留扩展空间</w:t>
      </w:r>
      <w:r>
        <w:rPr>
          <w:rFonts w:hint="eastAsia"/>
        </w:rPr>
        <w:t>，</w:t>
      </w:r>
      <w:r>
        <w:t>为未来可能增加的模块或功能预留安装位置。</w:t>
      </w:r>
    </w:p>
    <w:p w:rsidR="00D74D6C" w:rsidRDefault="00D74D6C"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6.1.2主控制器安装</w:t>
      </w:r>
    </w:p>
    <w:p w:rsidR="00D74D6C" w:rsidRDefault="00D74D6C" w:rsidP="00D74D6C">
      <w:pPr>
        <w:pStyle w:val="ad"/>
        <w:ind w:firstLine="420"/>
      </w:pPr>
      <w:r>
        <w:t>壁挂安装</w:t>
      </w:r>
      <w:r>
        <w:rPr>
          <w:rFonts w:hint="eastAsia"/>
        </w:rPr>
        <w:t>，</w:t>
      </w:r>
      <w:r>
        <w:t>使用膨胀螺丝或挂钩固定控制盒，适用于温室墙体或立柱。</w:t>
      </w:r>
      <w:r>
        <w:rPr>
          <w:rFonts w:hint="eastAsia"/>
        </w:rPr>
        <w:t>控制器</w:t>
      </w:r>
      <w:r>
        <w:t>应方便用户观察和操作，建议安装高度为1.4</w:t>
      </w:r>
      <w:r>
        <w:rPr>
          <w:rFonts w:hAnsi="宋体" w:hint="eastAsia"/>
          <w:szCs w:val="21"/>
        </w:rPr>
        <w:t>～</w:t>
      </w:r>
      <w:r>
        <w:t>1.6米</w:t>
      </w:r>
      <w:r>
        <w:rPr>
          <w:rFonts w:hint="eastAsia"/>
        </w:rPr>
        <w:t>，避免受潮或浸水。</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6.2流量计和电磁阀安装</w:t>
      </w:r>
    </w:p>
    <w:p w:rsidR="001019C3" w:rsidRDefault="00B728F3">
      <w:pPr>
        <w:pStyle w:val="ad"/>
        <w:ind w:firstLine="420"/>
        <w:rPr>
          <w:color w:val="000000"/>
        </w:rPr>
      </w:pPr>
      <w:r>
        <w:rPr>
          <w:rFonts w:hint="eastAsia"/>
          <w:color w:val="000000"/>
        </w:rPr>
        <w:t>灌溉输水管网主要有干管、支管、毛管组成，并配有流量计、电磁阀、控制阀及相关管件，在灌溉系统首部安装电磁阀、流量计，电磁阀的接口为螺纹接口，使用</w:t>
      </w:r>
      <w:r>
        <w:rPr>
          <w:color w:val="000000"/>
        </w:rPr>
        <w:t>PPR管专用活接头</w:t>
      </w:r>
      <w:r>
        <w:rPr>
          <w:rFonts w:hint="eastAsia"/>
          <w:color w:val="000000"/>
        </w:rPr>
        <w:t>与电磁阀</w:t>
      </w:r>
      <w:r>
        <w:rPr>
          <w:color w:val="000000"/>
        </w:rPr>
        <w:t>螺纹接口连接</w:t>
      </w:r>
      <w:r>
        <w:rPr>
          <w:rFonts w:hint="eastAsia"/>
          <w:color w:val="000000"/>
        </w:rPr>
        <w:t>，流量计安装时要注意水流方向，</w:t>
      </w:r>
      <w:r>
        <w:rPr>
          <w:rFonts w:hAnsi="宋体" w:cs="宋体" w:hint="eastAsia"/>
          <w:kern w:val="2"/>
          <w:szCs w:val="21"/>
        </w:rPr>
        <w:t>符合GB/T 50485中的要求</w:t>
      </w:r>
      <w:r>
        <w:rPr>
          <w:rFonts w:hint="eastAsia"/>
          <w:color w:val="000000"/>
        </w:rPr>
        <w:t>。</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7系统操作</w:t>
      </w:r>
    </w:p>
    <w:p w:rsidR="001019C3" w:rsidRDefault="00B728F3">
      <w:pPr>
        <w:pStyle w:val="ad"/>
        <w:ind w:firstLine="420"/>
      </w:pPr>
      <w:r>
        <w:rPr>
          <w:rFonts w:hint="eastAsia"/>
        </w:rPr>
        <w:t>接通电源即可启动装置，</w:t>
      </w:r>
      <w:r>
        <w:t>用户可根据</w:t>
      </w:r>
      <w:r>
        <w:rPr>
          <w:rFonts w:hint="eastAsia"/>
        </w:rPr>
        <w:t>灌溉地块面积与作物需水规律、</w:t>
      </w:r>
      <w:r>
        <w:t>实际需求</w:t>
      </w:r>
      <w:r>
        <w:rPr>
          <w:rFonts w:hint="eastAsia"/>
        </w:rPr>
        <w:t>相结合</w:t>
      </w:r>
      <w:r>
        <w:t>，</w:t>
      </w:r>
      <w:r>
        <w:rPr>
          <w:rFonts w:hint="eastAsia"/>
        </w:rPr>
        <w:t>下达</w:t>
      </w:r>
      <w:r>
        <w:t>合适的执行</w:t>
      </w:r>
      <w:r>
        <w:rPr>
          <w:rFonts w:hint="eastAsia"/>
        </w:rPr>
        <w:t>命令，符合GB/T 41782.1-2022和NY/T 2132的要求。</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7.1 智能灌溉</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7.1.1 本地控制智能灌溉</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7.1.1.1 启动智能灌溉</w:t>
      </w:r>
    </w:p>
    <w:p w:rsidR="001019C3" w:rsidRDefault="00B728F3">
      <w:pPr>
        <w:pStyle w:val="ad"/>
        <w:ind w:firstLine="420"/>
      </w:pPr>
      <w:r>
        <w:rPr>
          <w:rFonts w:hint="eastAsia"/>
        </w:rPr>
        <w:lastRenderedPageBreak/>
        <w:t>装置启动后，点击“智能灌溉”按钮进入操作界面。</w:t>
      </w:r>
    </w:p>
    <w:p w:rsidR="001019C3" w:rsidRDefault="00B728F3">
      <w:pPr>
        <w:pStyle w:val="ad"/>
        <w:ind w:firstLine="420"/>
      </w:pPr>
      <w:r>
        <w:rPr>
          <w:rFonts w:hint="eastAsia"/>
        </w:rPr>
        <w:t>根据灌溉地块面积的长和宽，在管理软件上输入正确数值，系统根据输入的数值计算出地块亩数。</w:t>
      </w:r>
    </w:p>
    <w:p w:rsidR="001019C3" w:rsidRDefault="00B728F3">
      <w:pPr>
        <w:pStyle w:val="ad"/>
        <w:ind w:firstLine="420"/>
      </w:pPr>
      <w:r>
        <w:rPr>
          <w:rFonts w:hint="eastAsia"/>
        </w:rPr>
        <w:t>根据作物不同生育期以及土壤条件，手动输入标准亩灌水量。</w:t>
      </w:r>
    </w:p>
    <w:p w:rsidR="001019C3" w:rsidRDefault="00B728F3">
      <w:pPr>
        <w:pStyle w:val="ad"/>
        <w:ind w:firstLine="420"/>
      </w:pPr>
      <w:r>
        <w:rPr>
          <w:rFonts w:hint="eastAsia"/>
        </w:rPr>
        <w:t>系统可根据手动输入的“地块面积”和“设定亩灌水量”自动得出“设定地块灌水量”。</w:t>
      </w:r>
    </w:p>
    <w:p w:rsidR="001019C3" w:rsidRDefault="00B728F3">
      <w:pPr>
        <w:pStyle w:val="ad"/>
        <w:ind w:firstLine="420"/>
      </w:pPr>
      <w:r>
        <w:rPr>
          <w:rFonts w:hint="eastAsia"/>
        </w:rPr>
        <w:t>设定完成后点击“开阀”启动灌水，即可启动智能灌溉。</w:t>
      </w:r>
    </w:p>
    <w:p w:rsidR="001019C3" w:rsidRDefault="00B728F3">
      <w:pPr>
        <w:pStyle w:val="ad"/>
        <w:ind w:firstLine="420"/>
      </w:pPr>
      <w:r>
        <w:rPr>
          <w:rFonts w:hint="eastAsia"/>
        </w:rPr>
        <w:t>“实际地块灌水量”、“实际亩灌水量”、“开阀时长”均为“开阀”启动后实时变化的数值。</w:t>
      </w:r>
    </w:p>
    <w:p w:rsidR="001019C3" w:rsidRDefault="00B728F3" w:rsidP="00D74D6C">
      <w:pPr>
        <w:spacing w:beforeLines="100" w:afterLines="100"/>
      </w:pPr>
      <w:r>
        <w:rPr>
          <w:rFonts w:ascii="黑体" w:eastAsia="黑体" w:hAnsi="黑体" w:cs="Arial" w:hint="eastAsia"/>
          <w:bCs/>
          <w:color w:val="000000"/>
          <w:sz w:val="21"/>
          <w:szCs w:val="21"/>
        </w:rPr>
        <w:t>7.1.1.2 结束智能灌溉</w:t>
      </w:r>
    </w:p>
    <w:p w:rsidR="001019C3" w:rsidRDefault="00B728F3">
      <w:pPr>
        <w:pStyle w:val="ad"/>
        <w:ind w:firstLine="420"/>
      </w:pPr>
      <w:r>
        <w:rPr>
          <w:rFonts w:hAnsi="宋体" w:cs="Arial" w:hint="eastAsia"/>
          <w:bCs/>
          <w:szCs w:val="21"/>
        </w:rPr>
        <w:t>当“设定亩灌水量”与“实际亩灌水量”数值一致或“设定地块灌水量”与“实际地块灌水量”数值一致时，即为智能灌溉结束，系统可自动停止灌溉</w:t>
      </w:r>
      <w:r>
        <w:rPr>
          <w:rFonts w:hint="eastAsia"/>
        </w:rPr>
        <w:t>；或当实际灌水量满足本次灌水需求时，可以点击“手动停止”按钮结束本次灌溉。</w:t>
      </w:r>
    </w:p>
    <w:p w:rsidR="001019C3" w:rsidRDefault="00B728F3">
      <w:pPr>
        <w:pStyle w:val="ad"/>
        <w:ind w:firstLine="420"/>
      </w:pPr>
      <w:r>
        <w:rPr>
          <w:rFonts w:hint="eastAsia"/>
        </w:rPr>
        <w:t>灌溉结束点击右上角“×”，即可返回主界面。</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7.1.2 远程控制智能灌溉</w:t>
      </w:r>
    </w:p>
    <w:p w:rsidR="001019C3" w:rsidRDefault="00B728F3">
      <w:pPr>
        <w:pStyle w:val="ad"/>
        <w:ind w:firstLine="420"/>
      </w:pPr>
      <w:r>
        <w:rPr>
          <w:rFonts w:hint="eastAsia"/>
        </w:rPr>
        <w:t>登录控制APP“物联助手”，在登录界面输入用户名和密码（联系厂家获取）。</w:t>
      </w:r>
      <w:r>
        <w:rPr>
          <w:rFonts w:hAnsi="宋体" w:cs="Arial" w:hint="eastAsia"/>
          <w:bCs/>
          <w:szCs w:val="21"/>
        </w:rPr>
        <w:t>在“设备”界面中“列表”选项下，点击所用设备名称，进入控制界面，界面显示及操作同本地控制智能灌溉</w:t>
      </w:r>
      <w:r>
        <w:rPr>
          <w:rFonts w:hint="eastAsia"/>
        </w:rPr>
        <w:t>。</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7.2 数据记录</w:t>
      </w:r>
    </w:p>
    <w:p w:rsidR="001019C3" w:rsidRDefault="00B728F3">
      <w:pPr>
        <w:pStyle w:val="ad"/>
        <w:ind w:firstLine="420"/>
      </w:pPr>
      <w:r>
        <w:rPr>
          <w:rFonts w:hint="eastAsia"/>
        </w:rPr>
        <w:t>智能灌溉结束后，返回主界面，点击“数据记录”即可看到所有灌溉记录，且可以导出至u盘内。每次“开阀”都会自动生成历史数据，且会将新纪录放置顶端，作物整个生长期的灌水情况一目了然。</w:t>
      </w:r>
    </w:p>
    <w:p w:rsidR="001019C3" w:rsidRDefault="00B728F3" w:rsidP="00D74D6C">
      <w:pPr>
        <w:spacing w:beforeLines="100" w:afterLines="100"/>
        <w:rPr>
          <w:rFonts w:ascii="黑体" w:eastAsia="黑体" w:hAnsi="黑体" w:cs="Arial"/>
          <w:bCs/>
          <w:color w:val="000000"/>
          <w:sz w:val="21"/>
          <w:szCs w:val="21"/>
        </w:rPr>
      </w:pPr>
      <w:r>
        <w:rPr>
          <w:rFonts w:ascii="黑体" w:eastAsia="黑体" w:hAnsi="黑体" w:cs="Arial" w:hint="eastAsia"/>
          <w:bCs/>
          <w:color w:val="000000"/>
          <w:sz w:val="21"/>
          <w:szCs w:val="21"/>
        </w:rPr>
        <w:t>8系统维护</w:t>
      </w:r>
    </w:p>
    <w:p w:rsidR="001019C3" w:rsidRDefault="00B728F3">
      <w:pPr>
        <w:spacing w:after="0"/>
        <w:ind w:firstLine="420"/>
        <w:rPr>
          <w:rFonts w:ascii="宋体" w:eastAsia="宋体" w:hAnsi="宋体" w:cs="宋体"/>
          <w:kern w:val="2"/>
          <w:sz w:val="21"/>
          <w:szCs w:val="21"/>
        </w:rPr>
      </w:pPr>
      <w:r>
        <w:rPr>
          <w:rFonts w:ascii="宋体" w:eastAsia="宋体" w:hAnsi="宋体" w:cs="宋体" w:hint="eastAsia"/>
          <w:kern w:val="2"/>
          <w:sz w:val="21"/>
          <w:szCs w:val="21"/>
        </w:rPr>
        <w:t>为保证系统稳定运行，确保监测数据的完整性和准确性，应对灌溉系统设备进行定期维护。</w:t>
      </w:r>
    </w:p>
    <w:p w:rsidR="001019C3" w:rsidRDefault="00B728F3">
      <w:pPr>
        <w:spacing w:after="0"/>
        <w:ind w:firstLine="420"/>
        <w:rPr>
          <w:rFonts w:ascii="宋体" w:eastAsia="宋体" w:hAnsi="宋体" w:cs="宋体"/>
          <w:kern w:val="2"/>
          <w:sz w:val="21"/>
          <w:szCs w:val="21"/>
        </w:rPr>
      </w:pPr>
      <w:r>
        <w:rPr>
          <w:rFonts w:ascii="宋体" w:eastAsia="宋体" w:hAnsi="宋体" w:cs="宋体" w:hint="eastAsia"/>
          <w:kern w:val="2"/>
          <w:sz w:val="21"/>
          <w:szCs w:val="21"/>
        </w:rPr>
        <w:t>（1）定期检查、维护流量计和电磁阀。</w:t>
      </w:r>
    </w:p>
    <w:p w:rsidR="001019C3" w:rsidRDefault="00B728F3">
      <w:pPr>
        <w:spacing w:after="0"/>
        <w:ind w:firstLine="420"/>
        <w:rPr>
          <w:rFonts w:ascii="宋体" w:eastAsia="宋体" w:hAnsi="宋体" w:cs="宋体"/>
          <w:kern w:val="2"/>
          <w:sz w:val="21"/>
          <w:szCs w:val="21"/>
        </w:rPr>
      </w:pPr>
      <w:r>
        <w:rPr>
          <w:rFonts w:ascii="宋体" w:eastAsia="宋体" w:hAnsi="宋体" w:cs="宋体" w:hint="eastAsia"/>
          <w:kern w:val="2"/>
          <w:sz w:val="21"/>
          <w:szCs w:val="21"/>
        </w:rPr>
        <w:t>（2）使用前对主要元器件进行检查、校验；使用中按照生产厂家要求进行维护；周期性使用结束后妥善保管传感器。</w:t>
      </w:r>
    </w:p>
    <w:p w:rsidR="001019C3" w:rsidRDefault="00B728F3">
      <w:pPr>
        <w:spacing w:after="0"/>
        <w:ind w:firstLine="420"/>
        <w:rPr>
          <w:rFonts w:ascii="宋体" w:eastAsia="宋体" w:hAnsi="宋体" w:cs="宋体"/>
          <w:kern w:val="2"/>
          <w:sz w:val="21"/>
          <w:szCs w:val="21"/>
        </w:rPr>
      </w:pPr>
      <w:r>
        <w:rPr>
          <w:rFonts w:ascii="宋体" w:eastAsia="宋体" w:hAnsi="宋体" w:cs="宋体" w:hint="eastAsia"/>
          <w:kern w:val="2"/>
          <w:sz w:val="21"/>
          <w:szCs w:val="21"/>
        </w:rPr>
        <w:t>（3）对主控制器中的灌溉数据进行定期导出及备份。</w:t>
      </w:r>
    </w:p>
    <w:p w:rsidR="001019C3" w:rsidRDefault="001019C3">
      <w:pPr>
        <w:spacing w:line="220" w:lineRule="atLeast"/>
      </w:pPr>
    </w:p>
    <w:p w:rsidR="001019C3" w:rsidRDefault="001633F9">
      <w:pPr>
        <w:ind w:firstLineChars="200" w:firstLine="420"/>
        <w:rPr>
          <w:rFonts w:ascii="宋体" w:eastAsia="宋体" w:hAnsi="宋体" w:cs="宋体"/>
          <w:kern w:val="2"/>
          <w:sz w:val="21"/>
          <w:szCs w:val="21"/>
          <w:shd w:val="clear" w:color="auto" w:fill="FFFFFF"/>
        </w:rPr>
      </w:pPr>
      <w:r>
        <w:rPr>
          <w:rFonts w:ascii="宋体" w:eastAsia="宋体" w:hAnsi="宋体" w:cs="宋体"/>
          <w:kern w:val="2"/>
          <w:sz w:val="21"/>
          <w:szCs w:val="21"/>
        </w:rPr>
        <w:pict>
          <v:shapetype id="_x0000_t32" coordsize="21600,21600" o:spt="32" o:oned="t" path="m,l21600,21600e" filled="f">
            <v:path arrowok="t" fillok="f" o:connecttype="none"/>
            <o:lock v:ext="edit" shapetype="t"/>
          </v:shapetype>
          <v:shape id="Straight Connector 63" o:spid="_x0000_s1026" type="#_x0000_t32" style="position:absolute;left:0;text-align:left;margin-left:65.4pt;margin-top:7.05pt;width:257.25pt;height:.75pt;flip:y;z-index:1" o:preferrelative="t" filled="t">
            <v:stroke miterlimit="2"/>
          </v:shape>
        </w:pict>
      </w:r>
    </w:p>
    <w:sectPr w:rsidR="001019C3" w:rsidSect="001019C3">
      <w:pgSz w:w="11906" w:h="16838"/>
      <w:pgMar w:top="1440" w:right="1800" w:bottom="1440" w:left="1800" w:header="708" w:footer="70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5FF1" w:rsidRDefault="00ED5FF1" w:rsidP="003B377F">
      <w:pPr>
        <w:spacing w:after="0"/>
      </w:pPr>
      <w:r>
        <w:separator/>
      </w:r>
    </w:p>
  </w:endnote>
  <w:endnote w:type="continuationSeparator" w:id="1">
    <w:p w:rsidR="00ED5FF1" w:rsidRDefault="00ED5FF1" w:rsidP="003B377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5FF1" w:rsidRDefault="00ED5FF1" w:rsidP="003B377F">
      <w:pPr>
        <w:spacing w:after="0"/>
      </w:pPr>
      <w:r>
        <w:separator/>
      </w:r>
    </w:p>
  </w:footnote>
  <w:footnote w:type="continuationSeparator" w:id="1">
    <w:p w:rsidR="00ED5FF1" w:rsidRDefault="00ED5FF1" w:rsidP="003B377F">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720"/>
  <w:characterSpacingControl w:val="doNotCompress"/>
  <w:hdrShapeDefaults>
    <o:shapedefaults v:ext="edit" spidmax="9218"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019C3"/>
    <w:rsid w:val="001019C3"/>
    <w:rsid w:val="00143D6D"/>
    <w:rsid w:val="001633F9"/>
    <w:rsid w:val="002346C1"/>
    <w:rsid w:val="00354A16"/>
    <w:rsid w:val="003B377F"/>
    <w:rsid w:val="004858B6"/>
    <w:rsid w:val="004A2CF1"/>
    <w:rsid w:val="004E704C"/>
    <w:rsid w:val="00924950"/>
    <w:rsid w:val="00AA25B9"/>
    <w:rsid w:val="00B728F3"/>
    <w:rsid w:val="00CF671E"/>
    <w:rsid w:val="00D74D6C"/>
    <w:rsid w:val="00DA57A4"/>
    <w:rsid w:val="00ED5FF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fillcolor="#9cbee0" strokecolor="#739cc3">
      <v:fill color="#9cbee0" color2="#bbd5f0" type="gradient">
        <o:fill v:ext="view" type="gradientUnscaled"/>
      </v:fill>
      <v:stroke color="#739cc3" weight="1.25pt" miterlimit="2"/>
    </o:shapedefaults>
    <o:shapelayout v:ext="edit">
      <o:idmap v:ext="edit" data="1"/>
      <o:rules v:ext="edit">
        <o:r id="V:Rule2" type="connector" idref="#Straight Connector 6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微软雅黑"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qFormat="1"/>
    <w:lsdException w:name="footer" w:uiPriority="99" w:qFormat="1"/>
    <w:lsdException w:name="caption" w:uiPriority="35" w:qFormat="1"/>
    <w:lsdException w:name="annotation reference" w:uiPriority="99"/>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19C3"/>
    <w:pPr>
      <w:adjustRightInd w:val="0"/>
      <w:snapToGrid w:val="0"/>
      <w:spacing w:after="200"/>
    </w:pPr>
    <w:rPr>
      <w:rFonts w:ascii="Tahoma" w:hAnsi="Tahoma" w:cs="黑体"/>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1019C3"/>
    <w:rPr>
      <w:b/>
      <w:bCs/>
    </w:rPr>
  </w:style>
  <w:style w:type="paragraph" w:styleId="a4">
    <w:name w:val="annotation text"/>
    <w:basedOn w:val="a"/>
    <w:link w:val="Char0"/>
    <w:uiPriority w:val="99"/>
    <w:semiHidden/>
    <w:unhideWhenUsed/>
    <w:rsid w:val="001019C3"/>
  </w:style>
  <w:style w:type="paragraph" w:styleId="a5">
    <w:name w:val="Balloon Text"/>
    <w:basedOn w:val="a"/>
    <w:link w:val="Char1"/>
    <w:uiPriority w:val="99"/>
    <w:semiHidden/>
    <w:unhideWhenUsed/>
    <w:rsid w:val="001019C3"/>
    <w:pPr>
      <w:spacing w:after="0"/>
    </w:pPr>
    <w:rPr>
      <w:sz w:val="18"/>
      <w:szCs w:val="18"/>
    </w:rPr>
  </w:style>
  <w:style w:type="paragraph" w:styleId="a6">
    <w:name w:val="footer"/>
    <w:basedOn w:val="a"/>
    <w:link w:val="Char2"/>
    <w:uiPriority w:val="99"/>
    <w:semiHidden/>
    <w:unhideWhenUsed/>
    <w:qFormat/>
    <w:rsid w:val="001019C3"/>
    <w:pPr>
      <w:tabs>
        <w:tab w:val="center" w:pos="4153"/>
        <w:tab w:val="right" w:pos="8306"/>
      </w:tabs>
    </w:pPr>
    <w:rPr>
      <w:sz w:val="18"/>
      <w:szCs w:val="18"/>
    </w:rPr>
  </w:style>
  <w:style w:type="paragraph" w:styleId="a7">
    <w:name w:val="header"/>
    <w:basedOn w:val="a"/>
    <w:link w:val="Char3"/>
    <w:uiPriority w:val="99"/>
    <w:semiHidden/>
    <w:unhideWhenUsed/>
    <w:qFormat/>
    <w:rsid w:val="001019C3"/>
    <w:pPr>
      <w:pBdr>
        <w:bottom w:val="single" w:sz="6" w:space="1" w:color="auto"/>
      </w:pBdr>
      <w:tabs>
        <w:tab w:val="center" w:pos="4153"/>
        <w:tab w:val="right" w:pos="8306"/>
      </w:tabs>
      <w:jc w:val="center"/>
    </w:pPr>
    <w:rPr>
      <w:sz w:val="18"/>
      <w:szCs w:val="18"/>
    </w:rPr>
  </w:style>
  <w:style w:type="paragraph" w:styleId="a8">
    <w:name w:val="Normal (Web)"/>
    <w:basedOn w:val="a"/>
    <w:uiPriority w:val="99"/>
    <w:unhideWhenUsed/>
    <w:rsid w:val="001019C3"/>
    <w:pPr>
      <w:adjustRightInd/>
      <w:snapToGrid/>
      <w:spacing w:before="100" w:beforeAutospacing="1" w:after="100" w:afterAutospacing="1"/>
    </w:pPr>
    <w:rPr>
      <w:rFonts w:ascii="宋体" w:eastAsia="宋体" w:hAnsi="宋体" w:cs="宋体"/>
      <w:sz w:val="24"/>
      <w:szCs w:val="24"/>
    </w:rPr>
  </w:style>
  <w:style w:type="character" w:styleId="a9">
    <w:name w:val="page number"/>
    <w:basedOn w:val="a0"/>
    <w:semiHidden/>
    <w:unhideWhenUsed/>
    <w:rsid w:val="001019C3"/>
  </w:style>
  <w:style w:type="character" w:styleId="aa">
    <w:name w:val="annotation reference"/>
    <w:basedOn w:val="a0"/>
    <w:uiPriority w:val="99"/>
    <w:semiHidden/>
    <w:unhideWhenUsed/>
    <w:rsid w:val="001019C3"/>
    <w:rPr>
      <w:sz w:val="21"/>
      <w:szCs w:val="21"/>
    </w:rPr>
  </w:style>
  <w:style w:type="paragraph" w:customStyle="1" w:styleId="1">
    <w:name w:val="修订1"/>
    <w:hidden/>
    <w:uiPriority w:val="99"/>
    <w:semiHidden/>
    <w:rsid w:val="001019C3"/>
    <w:rPr>
      <w:rFonts w:ascii="Tahoma" w:hAnsi="Tahoma"/>
      <w:sz w:val="22"/>
      <w:szCs w:val="22"/>
    </w:rPr>
  </w:style>
  <w:style w:type="paragraph" w:customStyle="1" w:styleId="ab">
    <w:name w:val="其他标准称谓"/>
    <w:rsid w:val="001019C3"/>
    <w:pPr>
      <w:spacing w:line="0" w:lineRule="atLeast"/>
      <w:jc w:val="distribute"/>
    </w:pPr>
    <w:rPr>
      <w:rFonts w:ascii="黑体" w:eastAsia="黑体" w:hAnsi="宋体"/>
      <w:sz w:val="52"/>
    </w:rPr>
  </w:style>
  <w:style w:type="paragraph" w:customStyle="1" w:styleId="10">
    <w:name w:val="封面标准号1"/>
    <w:qFormat/>
    <w:rsid w:val="001019C3"/>
    <w:pPr>
      <w:widowControl w:val="0"/>
      <w:kinsoku w:val="0"/>
      <w:overflowPunct w:val="0"/>
      <w:autoSpaceDE w:val="0"/>
      <w:autoSpaceDN w:val="0"/>
      <w:spacing w:before="308"/>
      <w:jc w:val="right"/>
      <w:textAlignment w:val="center"/>
    </w:pPr>
    <w:rPr>
      <w:rFonts w:eastAsia="宋体"/>
      <w:sz w:val="28"/>
    </w:rPr>
  </w:style>
  <w:style w:type="paragraph" w:customStyle="1" w:styleId="ac">
    <w:name w:val="发布部门"/>
    <w:next w:val="a"/>
    <w:qFormat/>
    <w:rsid w:val="001019C3"/>
    <w:pPr>
      <w:jc w:val="center"/>
    </w:pPr>
    <w:rPr>
      <w:rFonts w:ascii="宋体" w:eastAsia="宋体"/>
      <w:b/>
      <w:spacing w:val="20"/>
      <w:w w:val="135"/>
      <w:sz w:val="36"/>
    </w:rPr>
  </w:style>
  <w:style w:type="paragraph" w:customStyle="1" w:styleId="ad">
    <w:name w:val="标准文件_段"/>
    <w:rsid w:val="001019C3"/>
    <w:pPr>
      <w:autoSpaceDE w:val="0"/>
      <w:autoSpaceDN w:val="0"/>
      <w:ind w:firstLineChars="200" w:firstLine="200"/>
      <w:jc w:val="both"/>
    </w:pPr>
    <w:rPr>
      <w:rFonts w:ascii="宋体" w:eastAsia="宋体"/>
      <w:sz w:val="21"/>
    </w:rPr>
  </w:style>
  <w:style w:type="paragraph" w:customStyle="1" w:styleId="reader-word-layer">
    <w:name w:val="reader-word-layer"/>
    <w:basedOn w:val="a"/>
    <w:uiPriority w:val="99"/>
    <w:qFormat/>
    <w:rsid w:val="001019C3"/>
    <w:pPr>
      <w:widowControl w:val="0"/>
      <w:adjustRightInd/>
      <w:snapToGrid/>
      <w:spacing w:before="100" w:beforeAutospacing="1" w:after="100" w:afterAutospacing="1"/>
      <w:jc w:val="both"/>
    </w:pPr>
    <w:rPr>
      <w:rFonts w:ascii="宋体" w:eastAsia="宋体" w:hAnsi="宋体" w:cs="宋体"/>
      <w:kern w:val="2"/>
      <w:sz w:val="21"/>
      <w:szCs w:val="24"/>
    </w:rPr>
  </w:style>
  <w:style w:type="character" w:customStyle="1" w:styleId="Char3">
    <w:name w:val="页眉 Char"/>
    <w:basedOn w:val="a0"/>
    <w:link w:val="a7"/>
    <w:uiPriority w:val="99"/>
    <w:semiHidden/>
    <w:qFormat/>
    <w:rsid w:val="001019C3"/>
    <w:rPr>
      <w:rFonts w:ascii="Tahoma" w:hAnsi="Tahoma"/>
      <w:sz w:val="18"/>
      <w:szCs w:val="18"/>
    </w:rPr>
  </w:style>
  <w:style w:type="character" w:customStyle="1" w:styleId="Char2">
    <w:name w:val="页脚 Char"/>
    <w:basedOn w:val="a0"/>
    <w:link w:val="a6"/>
    <w:uiPriority w:val="99"/>
    <w:semiHidden/>
    <w:qFormat/>
    <w:rsid w:val="001019C3"/>
    <w:rPr>
      <w:rFonts w:ascii="Tahoma" w:hAnsi="Tahoma"/>
      <w:sz w:val="18"/>
      <w:szCs w:val="18"/>
    </w:rPr>
  </w:style>
  <w:style w:type="character" w:customStyle="1" w:styleId="fontstyle01">
    <w:name w:val="fontstyle01"/>
    <w:basedOn w:val="a0"/>
    <w:rsid w:val="001019C3"/>
    <w:rPr>
      <w:rFonts w:ascii="宋体" w:eastAsia="宋体" w:hAnsi="宋体" w:hint="eastAsia"/>
      <w:color w:val="000000"/>
      <w:sz w:val="22"/>
      <w:szCs w:val="22"/>
    </w:rPr>
  </w:style>
  <w:style w:type="character" w:customStyle="1" w:styleId="Char1">
    <w:name w:val="批注框文本 Char"/>
    <w:basedOn w:val="a0"/>
    <w:link w:val="a5"/>
    <w:uiPriority w:val="99"/>
    <w:semiHidden/>
    <w:rsid w:val="001019C3"/>
    <w:rPr>
      <w:rFonts w:ascii="Tahoma" w:hAnsi="Tahoma"/>
      <w:sz w:val="18"/>
      <w:szCs w:val="18"/>
    </w:rPr>
  </w:style>
  <w:style w:type="character" w:customStyle="1" w:styleId="Char0">
    <w:name w:val="批注文字 Char"/>
    <w:basedOn w:val="a0"/>
    <w:link w:val="a4"/>
    <w:uiPriority w:val="99"/>
    <w:semiHidden/>
    <w:rsid w:val="001019C3"/>
    <w:rPr>
      <w:rFonts w:ascii="Tahoma" w:hAnsi="Tahoma"/>
    </w:rPr>
  </w:style>
  <w:style w:type="character" w:customStyle="1" w:styleId="Char">
    <w:name w:val="批注主题 Char"/>
    <w:basedOn w:val="Char0"/>
    <w:link w:val="a3"/>
    <w:uiPriority w:val="99"/>
    <w:semiHidden/>
    <w:rsid w:val="001019C3"/>
    <w:rPr>
      <w:rFonts w:ascii="Tahoma" w:hAnsi="Tahoma"/>
      <w:b/>
      <w:bCs/>
    </w:rPr>
  </w:style>
  <w:style w:type="character" w:customStyle="1" w:styleId="fontstyle11">
    <w:name w:val="fontstyle11"/>
    <w:basedOn w:val="a0"/>
    <w:rsid w:val="001019C3"/>
    <w:rPr>
      <w:rFonts w:ascii="宋体" w:eastAsia="宋体" w:hAnsi="宋体" w:hint="eastAsia"/>
      <w:color w:val="000000"/>
      <w:sz w:val="2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379</Words>
  <Characters>2166</Characters>
  <Application>Microsoft Office Word</Application>
  <DocSecurity>0</DocSecurity>
  <Lines>18</Lines>
  <Paragraphs>5</Paragraphs>
  <ScaleCrop>false</ScaleCrop>
  <Company/>
  <LinksUpToDate>false</LinksUpToDate>
  <CharactersWithSpaces>2540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  北  省  地  方  标  准</dc:title>
  <dc:creator>Administrator</dc:creator>
  <cp:lastModifiedBy>admin</cp:lastModifiedBy>
  <cp:revision>14</cp:revision>
  <cp:lastPrinted>2021-12-24T02:38:00Z</cp:lastPrinted>
  <dcterms:created xsi:type="dcterms:W3CDTF">2025-01-08T14:59:00Z</dcterms:created>
  <dcterms:modified xsi:type="dcterms:W3CDTF">2025-02-11T01:56:00Z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y fmtid="{D5CDD505-2E9C-101B-9397-08002B2CF9AE}" pid="3" name="ICV">
    <vt:lpwstr>8CFE320D936A47DB9913DF3D17F54B42</vt:lpwstr>
  </property>
</Properties>
</file>