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4D6B4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14:paraId="1C50EDE6">
            <w:pPr>
              <w:pStyle w:val="20"/>
              <w:framePr w:wrap="notBeside" w:vAnchor="page" w:hAnchor="page" w:x="1372" w:y="568"/>
              <w:tabs>
                <w:tab w:val="clear" w:pos="4153"/>
                <w:tab w:val="clear" w:pos="8306"/>
              </w:tabs>
              <w:spacing w:line="240" w:lineRule="auto"/>
              <w:jc w:val="left"/>
              <w:rPr>
                <w:rFonts w:hint="eastAsia"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67C360F3">
            <w:pPr>
              <w:pStyle w:val="20"/>
              <w:framePr w:wrap="notBeside" w:vAnchor="page" w:hAnchor="page" w:x="1372" w:y="568"/>
              <w:tabs>
                <w:tab w:val="clear" w:pos="4153"/>
                <w:tab w:val="clear" w:pos="8306"/>
              </w:tabs>
              <w:spacing w:line="240" w:lineRule="auto"/>
              <w:jc w:val="both"/>
              <w:rPr>
                <w:rFonts w:hint="eastAsia"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ascii="黑体" w:hAnsi="黑体" w:eastAsia="黑体"/>
                <w:sz w:val="21"/>
                <w:szCs w:val="21"/>
              </w:rPr>
              <w:fldChar w:fldCharType="end"/>
            </w:r>
            <w:bookmarkEnd w:id="0"/>
          </w:p>
        </w:tc>
      </w:tr>
      <w:tr w14:paraId="2AA2C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278288F4">
            <w:pPr>
              <w:pStyle w:val="20"/>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55CCBE06">
            <w:pPr>
              <w:pStyle w:val="20"/>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9"/>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429CE8A6">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42B8B24C">
            <w:pPr>
              <w:pStyle w:val="51"/>
              <w:framePr w:w="0" w:hRule="auto" w:wrap="auto" w:vAnchor="margin" w:hAnchor="text" w:xAlign="left" w:yAlign="inline"/>
              <w:rPr>
                <w:rFonts w:hint="eastAsia"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     </w:t>
            </w:r>
            <w:r>
              <w:fldChar w:fldCharType="end"/>
            </w:r>
            <w:bookmarkEnd w:id="3"/>
          </w:p>
        </w:tc>
      </w:tr>
    </w:tbl>
    <w:p w14:paraId="1895F662">
      <w:pPr>
        <w:pStyle w:val="52"/>
        <w:framePr w:w="9639" w:h="624" w:hRule="exact" w:hSpace="181" w:vSpace="181" w:wrap="around" w:hAnchor="page" w:x="1305" w:y="2269"/>
        <w:rPr>
          <w:rFonts w:hint="eastAsia"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14:paraId="4C19CB6B">
      <w:pPr>
        <w:pStyle w:val="197"/>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149D9C18">
      <w:pPr>
        <w:pStyle w:val="198"/>
        <w:rPr>
          <w:rFonts w:hint="eastAsia"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7D79FE7C">
      <w:pPr>
        <w:spacing w:line="240" w:lineRule="auto"/>
        <w:rPr>
          <w:rFonts w:hint="eastAsia"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4C24DCF9">
      <w:pPr>
        <w:pStyle w:val="52"/>
        <w:framePr w:w="9639" w:h="6976" w:hRule="exact" w:hSpace="0" w:vSpace="0" w:wrap="around" w:hAnchor="page" w:y="6408"/>
        <w:jc w:val="center"/>
        <w:rPr>
          <w:rFonts w:hint="eastAsia" w:ascii="黑体" w:hAnsi="黑体" w:eastAsia="黑体"/>
          <w:b w:val="0"/>
          <w:bCs w:val="0"/>
          <w:w w:val="100"/>
        </w:rPr>
      </w:pPr>
    </w:p>
    <w:p w14:paraId="3D3E1519">
      <w:pPr>
        <w:pStyle w:val="199"/>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成人中线导管留置与维护规范</w:t>
      </w:r>
      <w:r>
        <w:fldChar w:fldCharType="end"/>
      </w:r>
      <w:bookmarkEnd w:id="9"/>
    </w:p>
    <w:p w14:paraId="11BC355B">
      <w:pPr>
        <w:framePr w:w="9639" w:h="6974" w:hRule="exact" w:wrap="around" w:vAnchor="page" w:hAnchor="page" w:x="1419" w:y="6408" w:anchorLock="1"/>
        <w:ind w:left="-1418"/>
      </w:pPr>
    </w:p>
    <w:p w14:paraId="7C578C4B">
      <w:pPr>
        <w:pStyle w:val="127"/>
        <w:framePr w:w="9639" w:h="6974" w:hRule="exact" w:wrap="around" w:vAnchor="page" w:hAnchor="page" w:x="1419" w:y="6408" w:anchorLock="1"/>
        <w:textAlignment w:val="bottom"/>
        <w:rPr>
          <w:rFonts w:hint="eastAsia"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Indwelling and maintenance of adult midline cathete</w:t>
      </w:r>
      <w:r>
        <w:rPr>
          <w:rFonts w:hint="eastAsia" w:ascii="黑体" w:hAnsi="黑体" w:eastAsia="黑体"/>
          <w:szCs w:val="28"/>
        </w:rPr>
        <w:t>rs</w:t>
      </w:r>
      <w:r>
        <w:rPr>
          <w:rFonts w:ascii="黑体" w:hAnsi="黑体" w:eastAsia="黑体"/>
          <w:szCs w:val="28"/>
        </w:rPr>
        <w:fldChar w:fldCharType="end"/>
      </w:r>
      <w:bookmarkEnd w:id="10"/>
    </w:p>
    <w:p w14:paraId="45AE07D7">
      <w:pPr>
        <w:framePr w:w="9639" w:h="6974" w:hRule="exact" w:wrap="around" w:vAnchor="page" w:hAnchor="page" w:x="1419" w:y="6408" w:anchorLock="1"/>
        <w:spacing w:line="760" w:lineRule="exact"/>
        <w:ind w:left="-1418"/>
      </w:pPr>
    </w:p>
    <w:p w14:paraId="406FA0D7">
      <w:pPr>
        <w:pStyle w:val="127"/>
        <w:framePr w:w="9639" w:h="6974" w:hRule="exact" w:wrap="around" w:vAnchor="page" w:hAnchor="page" w:x="1419" w:y="6408" w:anchorLock="1"/>
        <w:textAlignment w:val="bottom"/>
        <w:rPr>
          <w:rFonts w:eastAsia="黑体"/>
          <w:szCs w:val="28"/>
        </w:rPr>
      </w:pPr>
    </w:p>
    <w:p w14:paraId="157A3ADD">
      <w:pPr>
        <w:pStyle w:val="127"/>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1"/>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0D30F333">
      <w:pPr>
        <w:pStyle w:val="127"/>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rFonts w:hint="eastAsia"/>
          <w:sz w:val="21"/>
          <w:szCs w:val="28"/>
        </w:rPr>
        <w:t>（本草案完成时间：2024.3）</w:t>
      </w:r>
      <w:r>
        <w:rPr>
          <w:sz w:val="21"/>
          <w:szCs w:val="28"/>
        </w:rPr>
        <w:fldChar w:fldCharType="end"/>
      </w:r>
      <w:bookmarkEnd w:id="12"/>
    </w:p>
    <w:p w14:paraId="29EEA6DF">
      <w:pPr>
        <w:pStyle w:val="127"/>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43848D75">
      <w:pPr>
        <w:pStyle w:val="195"/>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4F33902E">
      <w:pPr>
        <w:pStyle w:val="196"/>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082F03EA">
      <w:pPr>
        <w:pStyle w:val="153"/>
        <w:framePr w:h="584" w:hRule="exact" w:hSpace="181" w:vSpace="181" w:wrap="around" w:y="15027"/>
        <w:rPr>
          <w:rFonts w:hint="eastAsia"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     </w:t>
      </w:r>
      <w:r>
        <w:rPr>
          <w:rFonts w:hAnsi="黑体"/>
          <w:w w:val="100"/>
          <w:sz w:val="28"/>
        </w:rPr>
        <w:fldChar w:fldCharType="end"/>
      </w:r>
      <w:bookmarkEnd w:id="20"/>
      <w:r>
        <w:rPr>
          <w:rFonts w:ascii="Times New Roman"/>
          <w:w w:val="100"/>
          <w:sz w:val="28"/>
        </w:rPr>
        <w:t>  </w:t>
      </w:r>
      <w:r>
        <w:rPr>
          <w:rStyle w:val="231"/>
          <w:rFonts w:hint="eastAsia" w:hAnsi="黑体"/>
          <w:position w:val="0"/>
        </w:rPr>
        <w:t>发</w:t>
      </w:r>
      <w:r>
        <w:rPr>
          <w:rStyle w:val="231"/>
          <w:rFonts w:hint="eastAsia" w:hAnsi="黑体"/>
          <w:spacing w:val="0"/>
          <w:position w:val="0"/>
        </w:rPr>
        <w:t>布</w:t>
      </w:r>
    </w:p>
    <w:p w14:paraId="6A330615">
      <w:pPr>
        <w:rPr>
          <w:rFonts w:hint="eastAsia"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71A9561B">
      <w:pPr>
        <w:pStyle w:val="93"/>
        <w:spacing w:after="468"/>
      </w:pPr>
      <w:bookmarkStart w:id="21" w:name="BookMark1"/>
      <w:bookmarkStart w:id="22" w:name="_Toc130568397"/>
      <w:r>
        <w:rPr>
          <w:rFonts w:hint="eastAsia"/>
          <w:spacing w:val="320"/>
        </w:rPr>
        <w:t>目</w:t>
      </w:r>
      <w:r>
        <w:rPr>
          <w:rFonts w:hint="eastAsia"/>
        </w:rPr>
        <w:t>次</w:t>
      </w:r>
    </w:p>
    <w:p w14:paraId="08592F91">
      <w:pPr>
        <w:pStyle w:val="21"/>
        <w:tabs>
          <w:tab w:val="right" w:leader="dot" w:pos="9344"/>
        </w:tabs>
        <w:rPr>
          <w:rFonts w:hint="eastAsia" w:asciiTheme="minorHAnsi" w:hAnsiTheme="minorHAnsi" w:eastAsiaTheme="minorEastAsia" w:cstheme="minorBidi"/>
          <w:szCs w:val="22"/>
        </w:rPr>
      </w:pPr>
      <w:r>
        <w:fldChar w:fldCharType="begin"/>
      </w:r>
      <w:r>
        <w:instrText xml:space="preserve"> TOC \o "1-1" \h \t "标准文件_一级条标题,2,标准文件_附录一级条标题,2," </w:instrText>
      </w:r>
      <w:r>
        <w:fldChar w:fldCharType="separate"/>
      </w:r>
      <w:r>
        <w:fldChar w:fldCharType="begin"/>
      </w:r>
      <w:r>
        <w:instrText xml:space="preserve"> HYPERLINK \l "_Toc130909527" </w:instrText>
      </w:r>
      <w:r>
        <w:fldChar w:fldCharType="separate"/>
      </w:r>
      <w:r>
        <w:rPr>
          <w:rStyle w:val="34"/>
          <w:rFonts w:hint="eastAsia"/>
        </w:rPr>
        <w:t>前言</w:t>
      </w:r>
      <w:r>
        <w:tab/>
      </w:r>
      <w:r>
        <w:fldChar w:fldCharType="begin"/>
      </w:r>
      <w:r>
        <w:instrText xml:space="preserve"> PAGEREF _Toc130909527 \h </w:instrText>
      </w:r>
      <w:r>
        <w:fldChar w:fldCharType="separate"/>
      </w:r>
      <w:r>
        <w:t>II</w:t>
      </w:r>
      <w:r>
        <w:fldChar w:fldCharType="end"/>
      </w:r>
      <w:r>
        <w:fldChar w:fldCharType="end"/>
      </w:r>
    </w:p>
    <w:p w14:paraId="60827490">
      <w:pPr>
        <w:pStyle w:val="21"/>
        <w:tabs>
          <w:tab w:val="right" w:leader="dot" w:pos="9344"/>
        </w:tabs>
        <w:rPr>
          <w:rFonts w:hint="eastAsia" w:asciiTheme="minorHAnsi" w:hAnsiTheme="minorHAnsi" w:eastAsiaTheme="minorEastAsia" w:cstheme="minorBidi"/>
          <w:szCs w:val="22"/>
        </w:rPr>
      </w:pPr>
      <w:r>
        <w:fldChar w:fldCharType="begin"/>
      </w:r>
      <w:r>
        <w:instrText xml:space="preserve"> HYPERLINK \l "_Toc130909528" </w:instrText>
      </w:r>
      <w:r>
        <w:fldChar w:fldCharType="separate"/>
      </w:r>
      <w:r>
        <w:rPr>
          <w:rStyle w:val="34"/>
        </w:rPr>
        <w:t xml:space="preserve">1 </w:t>
      </w:r>
      <w:r>
        <w:rPr>
          <w:rStyle w:val="34"/>
          <w:rFonts w:hint="eastAsia"/>
        </w:rPr>
        <w:t xml:space="preserve"> 范围</w:t>
      </w:r>
      <w:r>
        <w:tab/>
      </w:r>
      <w:r>
        <w:fldChar w:fldCharType="begin"/>
      </w:r>
      <w:r>
        <w:instrText xml:space="preserve"> PAGEREF _Toc130909528 \h </w:instrText>
      </w:r>
      <w:r>
        <w:fldChar w:fldCharType="separate"/>
      </w:r>
      <w:r>
        <w:t>1</w:t>
      </w:r>
      <w:r>
        <w:fldChar w:fldCharType="end"/>
      </w:r>
      <w:r>
        <w:fldChar w:fldCharType="end"/>
      </w:r>
    </w:p>
    <w:p w14:paraId="07BE9C92">
      <w:pPr>
        <w:pStyle w:val="21"/>
        <w:tabs>
          <w:tab w:val="right" w:leader="dot" w:pos="9344"/>
        </w:tabs>
        <w:rPr>
          <w:rFonts w:hint="eastAsia" w:asciiTheme="minorHAnsi" w:hAnsiTheme="minorHAnsi" w:eastAsiaTheme="minorEastAsia" w:cstheme="minorBidi"/>
          <w:szCs w:val="22"/>
        </w:rPr>
      </w:pPr>
      <w:r>
        <w:fldChar w:fldCharType="begin"/>
      </w:r>
      <w:r>
        <w:instrText xml:space="preserve"> HYPERLINK \l "_Toc130909529" </w:instrText>
      </w:r>
      <w:r>
        <w:fldChar w:fldCharType="separate"/>
      </w:r>
      <w:r>
        <w:rPr>
          <w:rStyle w:val="34"/>
        </w:rPr>
        <w:t xml:space="preserve">2 </w:t>
      </w:r>
      <w:r>
        <w:rPr>
          <w:rStyle w:val="34"/>
          <w:rFonts w:hint="eastAsia"/>
        </w:rPr>
        <w:t xml:space="preserve"> 规范性引用文件</w:t>
      </w:r>
      <w:r>
        <w:tab/>
      </w:r>
      <w:r>
        <w:fldChar w:fldCharType="begin"/>
      </w:r>
      <w:r>
        <w:instrText xml:space="preserve"> PAGEREF _Toc130909529 \h </w:instrText>
      </w:r>
      <w:r>
        <w:fldChar w:fldCharType="separate"/>
      </w:r>
      <w:r>
        <w:t>1</w:t>
      </w:r>
      <w:r>
        <w:fldChar w:fldCharType="end"/>
      </w:r>
      <w:r>
        <w:fldChar w:fldCharType="end"/>
      </w:r>
    </w:p>
    <w:p w14:paraId="368941DD">
      <w:pPr>
        <w:pStyle w:val="21"/>
        <w:tabs>
          <w:tab w:val="right" w:leader="dot" w:pos="9344"/>
        </w:tabs>
        <w:rPr>
          <w:rFonts w:hint="eastAsia" w:asciiTheme="minorHAnsi" w:hAnsiTheme="minorHAnsi" w:eastAsiaTheme="minorEastAsia" w:cstheme="minorBidi"/>
          <w:szCs w:val="22"/>
        </w:rPr>
      </w:pPr>
      <w:r>
        <w:fldChar w:fldCharType="begin"/>
      </w:r>
      <w:r>
        <w:instrText xml:space="preserve"> HYPERLINK \l "_Toc130909530" </w:instrText>
      </w:r>
      <w:r>
        <w:fldChar w:fldCharType="separate"/>
      </w:r>
      <w:r>
        <w:rPr>
          <w:rStyle w:val="34"/>
        </w:rPr>
        <w:t xml:space="preserve">3 </w:t>
      </w:r>
      <w:r>
        <w:rPr>
          <w:rStyle w:val="34"/>
          <w:rFonts w:hint="eastAsia"/>
        </w:rPr>
        <w:t xml:space="preserve"> 术语和定义</w:t>
      </w:r>
      <w:r>
        <w:tab/>
      </w:r>
      <w:r>
        <w:fldChar w:fldCharType="begin"/>
      </w:r>
      <w:r>
        <w:instrText xml:space="preserve"> PAGEREF _Toc130909530 \h </w:instrText>
      </w:r>
      <w:r>
        <w:fldChar w:fldCharType="separate"/>
      </w:r>
      <w:r>
        <w:t>1</w:t>
      </w:r>
      <w:r>
        <w:fldChar w:fldCharType="end"/>
      </w:r>
      <w:r>
        <w:fldChar w:fldCharType="end"/>
      </w:r>
    </w:p>
    <w:p w14:paraId="4AB0974C">
      <w:pPr>
        <w:pStyle w:val="21"/>
        <w:tabs>
          <w:tab w:val="right" w:leader="dot" w:pos="9344"/>
        </w:tabs>
        <w:rPr>
          <w:rFonts w:hint="eastAsia" w:asciiTheme="minorHAnsi" w:hAnsiTheme="minorHAnsi" w:eastAsiaTheme="minorEastAsia" w:cstheme="minorBidi"/>
          <w:szCs w:val="22"/>
        </w:rPr>
      </w:pPr>
      <w:r>
        <w:fldChar w:fldCharType="begin"/>
      </w:r>
      <w:r>
        <w:instrText xml:space="preserve"> HYPERLINK \l "_Toc130909533" </w:instrText>
      </w:r>
      <w:r>
        <w:fldChar w:fldCharType="separate"/>
      </w:r>
      <w:r>
        <w:rPr>
          <w:rStyle w:val="34"/>
        </w:rPr>
        <w:t xml:space="preserve">4 </w:t>
      </w:r>
      <w:r>
        <w:rPr>
          <w:rStyle w:val="34"/>
          <w:rFonts w:hint="eastAsia"/>
        </w:rPr>
        <w:t xml:space="preserve"> 基本要求</w:t>
      </w:r>
      <w:r>
        <w:tab/>
      </w:r>
      <w:r>
        <w:fldChar w:fldCharType="begin"/>
      </w:r>
      <w:r>
        <w:instrText xml:space="preserve"> PAGEREF _Toc130909533 \h </w:instrText>
      </w:r>
      <w:r>
        <w:fldChar w:fldCharType="separate"/>
      </w:r>
      <w:r>
        <w:t>1</w:t>
      </w:r>
      <w:r>
        <w:fldChar w:fldCharType="end"/>
      </w:r>
      <w:r>
        <w:fldChar w:fldCharType="end"/>
      </w:r>
    </w:p>
    <w:p w14:paraId="73A91A8B">
      <w:pPr>
        <w:pStyle w:val="21"/>
        <w:tabs>
          <w:tab w:val="right" w:leader="dot" w:pos="9344"/>
        </w:tabs>
        <w:rPr>
          <w:rFonts w:hint="eastAsia" w:asciiTheme="minorHAnsi" w:hAnsiTheme="minorHAnsi" w:eastAsiaTheme="minorEastAsia" w:cstheme="minorBidi"/>
          <w:szCs w:val="22"/>
        </w:rPr>
      </w:pPr>
      <w:r>
        <w:fldChar w:fldCharType="begin"/>
      </w:r>
      <w:r>
        <w:instrText xml:space="preserve"> HYPERLINK \l "_Toc130909536" </w:instrText>
      </w:r>
      <w:r>
        <w:fldChar w:fldCharType="separate"/>
      </w:r>
      <w:r>
        <w:rPr>
          <w:rStyle w:val="34"/>
        </w:rPr>
        <w:t xml:space="preserve">5 </w:t>
      </w:r>
      <w:r>
        <w:rPr>
          <w:rStyle w:val="34"/>
          <w:rFonts w:hint="eastAsia"/>
        </w:rPr>
        <w:t xml:space="preserve"> 适应症与禁忌症</w:t>
      </w:r>
      <w:r>
        <w:tab/>
      </w:r>
      <w:r>
        <w:fldChar w:fldCharType="begin"/>
      </w:r>
      <w:r>
        <w:instrText xml:space="preserve"> PAGEREF _Toc130909536 \h </w:instrText>
      </w:r>
      <w:r>
        <w:fldChar w:fldCharType="separate"/>
      </w:r>
      <w:r>
        <w:t>2</w:t>
      </w:r>
      <w:r>
        <w:fldChar w:fldCharType="end"/>
      </w:r>
      <w:r>
        <w:fldChar w:fldCharType="end"/>
      </w:r>
    </w:p>
    <w:p w14:paraId="396C41D4">
      <w:pPr>
        <w:pStyle w:val="21"/>
        <w:tabs>
          <w:tab w:val="right" w:leader="dot" w:pos="9344"/>
        </w:tabs>
        <w:rPr>
          <w:rFonts w:hint="eastAsia" w:asciiTheme="minorHAnsi" w:hAnsiTheme="minorHAnsi" w:eastAsiaTheme="minorEastAsia" w:cstheme="minorBidi"/>
          <w:szCs w:val="22"/>
        </w:rPr>
      </w:pPr>
      <w:r>
        <w:fldChar w:fldCharType="begin"/>
      </w:r>
      <w:r>
        <w:instrText xml:space="preserve"> HYPERLINK \l "_Toc130909538" </w:instrText>
      </w:r>
      <w:r>
        <w:fldChar w:fldCharType="separate"/>
      </w:r>
      <w:r>
        <w:rPr>
          <w:rStyle w:val="34"/>
        </w:rPr>
        <w:t xml:space="preserve">6 </w:t>
      </w:r>
      <w:r>
        <w:rPr>
          <w:rStyle w:val="34"/>
          <w:rFonts w:hint="eastAsia"/>
        </w:rPr>
        <w:t xml:space="preserve"> 置管与维护</w:t>
      </w:r>
      <w:r>
        <w:tab/>
      </w:r>
      <w:r>
        <w:rPr>
          <w:rFonts w:hint="eastAsia"/>
        </w:rPr>
        <w:t>2</w:t>
      </w:r>
      <w:r>
        <w:rPr>
          <w:rFonts w:hint="eastAsia"/>
        </w:rPr>
        <w:fldChar w:fldCharType="end"/>
      </w:r>
    </w:p>
    <w:p w14:paraId="09263B42">
      <w:pPr>
        <w:pStyle w:val="21"/>
        <w:tabs>
          <w:tab w:val="right" w:leader="dot" w:pos="9344"/>
        </w:tabs>
        <w:rPr>
          <w:rFonts w:hint="eastAsia" w:asciiTheme="minorHAnsi" w:hAnsiTheme="minorHAnsi" w:eastAsiaTheme="minorEastAsia" w:cstheme="minorBidi"/>
          <w:szCs w:val="22"/>
        </w:rPr>
      </w:pPr>
      <w:r>
        <w:fldChar w:fldCharType="begin"/>
      </w:r>
      <w:r>
        <w:instrText xml:space="preserve"> HYPERLINK \l "_Toc130909547" </w:instrText>
      </w:r>
      <w:r>
        <w:fldChar w:fldCharType="separate"/>
      </w:r>
      <w:r>
        <w:rPr>
          <w:rStyle w:val="34"/>
        </w:rPr>
        <w:t xml:space="preserve">7 </w:t>
      </w:r>
      <w:r>
        <w:rPr>
          <w:rStyle w:val="34"/>
          <w:rFonts w:hint="eastAsia"/>
        </w:rPr>
        <w:t xml:space="preserve"> 并发症的预防和处理</w:t>
      </w:r>
      <w:r>
        <w:tab/>
      </w:r>
      <w:r>
        <w:fldChar w:fldCharType="begin"/>
      </w:r>
      <w:r>
        <w:instrText xml:space="preserve"> PAGEREF _Toc130909547 \h </w:instrText>
      </w:r>
      <w:r>
        <w:fldChar w:fldCharType="separate"/>
      </w:r>
      <w:r>
        <w:t>4</w:t>
      </w:r>
      <w:r>
        <w:fldChar w:fldCharType="end"/>
      </w:r>
      <w:r>
        <w:fldChar w:fldCharType="end"/>
      </w:r>
    </w:p>
    <w:p w14:paraId="1ABC1345">
      <w:pPr>
        <w:pStyle w:val="21"/>
        <w:tabs>
          <w:tab w:val="right" w:leader="dot" w:pos="9344"/>
        </w:tabs>
        <w:rPr>
          <w:rFonts w:hint="eastAsia" w:asciiTheme="minorHAnsi" w:hAnsiTheme="minorHAnsi" w:eastAsiaTheme="minorEastAsia" w:cstheme="minorBidi"/>
          <w:szCs w:val="22"/>
        </w:rPr>
      </w:pPr>
      <w:r>
        <w:fldChar w:fldCharType="begin"/>
      </w:r>
      <w:r>
        <w:instrText xml:space="preserve"> HYPERLINK \l "_Toc130909551" </w:instrText>
      </w:r>
      <w:r>
        <w:fldChar w:fldCharType="separate"/>
      </w:r>
      <w:r>
        <w:rPr>
          <w:rStyle w:val="34"/>
          <w:rFonts w:hint="eastAsia"/>
        </w:rPr>
        <w:t>附录A（规范性）</w:t>
      </w:r>
      <w:r>
        <w:rPr>
          <w:rStyle w:val="34"/>
        </w:rPr>
        <w:t xml:space="preserve">  </w:t>
      </w:r>
      <w:r>
        <w:rPr>
          <w:rStyle w:val="34"/>
          <w:rFonts w:hint="eastAsia"/>
        </w:rPr>
        <w:t>静脉炎量表</w:t>
      </w:r>
      <w:r>
        <w:tab/>
      </w:r>
      <w:r>
        <w:fldChar w:fldCharType="begin"/>
      </w:r>
      <w:r>
        <w:instrText xml:space="preserve"> PAGEREF _Toc130909551 \h </w:instrText>
      </w:r>
      <w:r>
        <w:fldChar w:fldCharType="separate"/>
      </w:r>
      <w:r>
        <w:t>6</w:t>
      </w:r>
      <w:r>
        <w:fldChar w:fldCharType="end"/>
      </w:r>
      <w:r>
        <w:fldChar w:fldCharType="end"/>
      </w:r>
    </w:p>
    <w:p w14:paraId="7C0DDDD4">
      <w:pPr>
        <w:pStyle w:val="93"/>
        <w:spacing w:after="468"/>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14:paraId="61CDFD41">
      <w:pPr>
        <w:pStyle w:val="91"/>
        <w:spacing w:before="900" w:after="468"/>
      </w:pPr>
      <w:bookmarkStart w:id="23" w:name="_Toc130909527"/>
      <w:bookmarkStart w:id="24" w:name="BookMark2"/>
      <w:r>
        <w:rPr>
          <w:spacing w:val="320"/>
        </w:rPr>
        <w:t>前</w:t>
      </w:r>
      <w:r>
        <w:t>言</w:t>
      </w:r>
      <w:bookmarkEnd w:id="22"/>
      <w:bookmarkEnd w:id="23"/>
    </w:p>
    <w:p w14:paraId="36798E8A">
      <w:pPr>
        <w:pStyle w:val="58"/>
        <w:ind w:firstLine="420"/>
      </w:pPr>
      <w:r>
        <w:rPr>
          <w:rFonts w:hint="eastAsia"/>
        </w:rPr>
        <w:t>本文件按照GB/T 1.1—2020《标准化工作导则  第1部分：标准化文件的结构和起草规则》的规定起草。</w:t>
      </w:r>
    </w:p>
    <w:p w14:paraId="705E1B7F">
      <w:pPr>
        <w:pStyle w:val="58"/>
        <w:ind w:firstLine="420"/>
      </w:pPr>
      <w:r>
        <w:rPr>
          <w:rFonts w:hint="eastAsia"/>
        </w:rPr>
        <w:t>本文件由河北省卫生健康委员会提出。</w:t>
      </w:r>
    </w:p>
    <w:p w14:paraId="6551CF65">
      <w:pPr>
        <w:pStyle w:val="58"/>
        <w:ind w:firstLine="420"/>
      </w:pPr>
      <w:r>
        <w:rPr>
          <w:rFonts w:hint="eastAsia"/>
        </w:rPr>
        <w:t>本文件由河北省卫生健康委员会归口。</w:t>
      </w:r>
    </w:p>
    <w:p w14:paraId="0E8E4410">
      <w:pPr>
        <w:pStyle w:val="58"/>
        <w:ind w:firstLine="420"/>
      </w:pPr>
      <w:r>
        <w:rPr>
          <w:rFonts w:hint="eastAsia"/>
        </w:rPr>
        <w:t>本文件起草单位：河北医科大学第二医院、河北省人民医院、河北医科大学第三医院、石家庄市人民医院。</w:t>
      </w:r>
    </w:p>
    <w:p w14:paraId="02D5E2A6">
      <w:pPr>
        <w:pStyle w:val="58"/>
        <w:ind w:firstLine="420"/>
      </w:pPr>
      <w:r>
        <w:rPr>
          <w:rFonts w:hint="eastAsia"/>
        </w:rPr>
        <w:t>本文件主要起草人：许志娟、李萍、夏蕾、孔晔宏、赵改婷、郑振茹、孙秀梅、董会民。</w:t>
      </w:r>
    </w:p>
    <w:p w14:paraId="62649CB2">
      <w:pPr>
        <w:pStyle w:val="58"/>
        <w:ind w:firstLine="420"/>
      </w:pPr>
    </w:p>
    <w:p w14:paraId="20E5367E">
      <w:pPr>
        <w:pStyle w:val="58"/>
        <w:ind w:firstLine="420"/>
        <w:sectPr>
          <w:pgSz w:w="11906" w:h="16838"/>
          <w:pgMar w:top="1928" w:right="1134" w:bottom="1134" w:left="1134" w:header="1418" w:footer="1134" w:gutter="284"/>
          <w:pgNumType w:fmt="upperRoman"/>
          <w:cols w:space="425" w:num="1"/>
          <w:formProt w:val="0"/>
          <w:docGrid w:type="lines" w:linePitch="312" w:charSpace="0"/>
        </w:sectPr>
      </w:pPr>
    </w:p>
    <w:bookmarkEnd w:id="24"/>
    <w:p w14:paraId="44AF6ED6">
      <w:pPr>
        <w:spacing w:line="20" w:lineRule="exact"/>
        <w:jc w:val="center"/>
        <w:rPr>
          <w:rFonts w:hint="eastAsia" w:ascii="黑体" w:hAnsi="黑体" w:eastAsia="黑体"/>
          <w:sz w:val="32"/>
          <w:szCs w:val="32"/>
        </w:rPr>
      </w:pPr>
      <w:bookmarkStart w:id="25" w:name="BookMark4"/>
    </w:p>
    <w:p w14:paraId="193BEA93">
      <w:pPr>
        <w:spacing w:line="20" w:lineRule="exact"/>
        <w:jc w:val="center"/>
        <w:rPr>
          <w:rFonts w:hint="eastAsia" w:ascii="黑体" w:hAnsi="黑体" w:eastAsia="黑体"/>
          <w:sz w:val="32"/>
          <w:szCs w:val="32"/>
        </w:rPr>
      </w:pPr>
    </w:p>
    <w:sdt>
      <w:sdtPr>
        <w:tag w:val="NEW_STAND_NAME"/>
        <w:id w:val="595910757"/>
        <w:lock w:val="sdtLocked"/>
        <w:placeholder>
          <w:docPart w:val="08E9FE862B2E4D4D9C73C6189B94A3B4"/>
        </w:placeholder>
      </w:sdtPr>
      <w:sdtContent>
        <w:p w14:paraId="2AA2D349">
          <w:pPr>
            <w:pStyle w:val="179"/>
            <w:spacing w:before="312" w:beforeLines="100" w:after="686" w:afterLines="220"/>
            <w:rPr>
              <w:rFonts w:hint="eastAsia"/>
            </w:rPr>
          </w:pPr>
          <w:bookmarkStart w:id="26" w:name="NEW_STAND_NAME"/>
          <w:r>
            <w:rPr>
              <w:rFonts w:hint="eastAsia"/>
            </w:rPr>
            <w:t>成人中线导管留置与维护规范</w:t>
          </w:r>
        </w:p>
      </w:sdtContent>
    </w:sdt>
    <w:bookmarkEnd w:id="26"/>
    <w:p w14:paraId="43904EBE">
      <w:pPr>
        <w:pStyle w:val="106"/>
        <w:spacing w:before="312" w:after="312"/>
        <w:rPr>
          <w:highlight w:val="none"/>
        </w:rPr>
      </w:pPr>
      <w:bookmarkStart w:id="27" w:name="_Toc97191423"/>
      <w:bookmarkStart w:id="28" w:name="_Toc24884211"/>
      <w:bookmarkStart w:id="29" w:name="_Toc26718930"/>
      <w:bookmarkStart w:id="30" w:name="_Toc17233325"/>
      <w:bookmarkStart w:id="31" w:name="_Toc129977268"/>
      <w:bookmarkStart w:id="32" w:name="_Toc26986530"/>
      <w:bookmarkStart w:id="33" w:name="_Toc26986771"/>
      <w:bookmarkStart w:id="34" w:name="_Toc26648465"/>
      <w:bookmarkStart w:id="35" w:name="_Toc130568398"/>
      <w:bookmarkStart w:id="36" w:name="_Toc17233333"/>
      <w:bookmarkStart w:id="37" w:name="_Toc24884218"/>
      <w:bookmarkStart w:id="38" w:name="_Toc130909528"/>
      <w:r>
        <w:rPr>
          <w:rFonts w:hint="eastAsia"/>
          <w:highlight w:val="none"/>
        </w:rPr>
        <w:t>范围</w:t>
      </w:r>
      <w:bookmarkEnd w:id="27"/>
      <w:bookmarkEnd w:id="28"/>
      <w:bookmarkEnd w:id="29"/>
      <w:bookmarkEnd w:id="30"/>
      <w:bookmarkEnd w:id="31"/>
      <w:bookmarkEnd w:id="32"/>
      <w:bookmarkEnd w:id="33"/>
      <w:bookmarkEnd w:id="34"/>
      <w:bookmarkEnd w:id="35"/>
      <w:bookmarkEnd w:id="36"/>
      <w:bookmarkEnd w:id="37"/>
      <w:bookmarkEnd w:id="38"/>
    </w:p>
    <w:p w14:paraId="1229A3D8">
      <w:pPr>
        <w:pStyle w:val="58"/>
        <w:ind w:firstLine="420"/>
        <w:rPr>
          <w:highlight w:val="none"/>
        </w:rPr>
      </w:pPr>
      <w:bookmarkStart w:id="39" w:name="_Toc24884212"/>
      <w:bookmarkStart w:id="40" w:name="_Toc17233326"/>
      <w:bookmarkStart w:id="41" w:name="_Toc17233334"/>
      <w:bookmarkStart w:id="42" w:name="_Toc24884219"/>
      <w:bookmarkStart w:id="43" w:name="_Toc26648466"/>
      <w:r>
        <w:rPr>
          <w:highlight w:val="none"/>
        </w:rPr>
        <w:t>本文件规定了成人中线导管</w:t>
      </w:r>
      <w:r>
        <w:rPr>
          <w:rFonts w:hint="eastAsia"/>
          <w:highlight w:val="none"/>
        </w:rPr>
        <w:t>留置</w:t>
      </w:r>
      <w:r>
        <w:rPr>
          <w:highlight w:val="none"/>
        </w:rPr>
        <w:t>与维护的基本要求、适应症与禁忌症、</w:t>
      </w:r>
      <w:r>
        <w:rPr>
          <w:rFonts w:hint="eastAsia"/>
          <w:highlight w:val="none"/>
        </w:rPr>
        <w:t>置管与维护</w:t>
      </w:r>
      <w:r>
        <w:rPr>
          <w:highlight w:val="none"/>
        </w:rPr>
        <w:t>、并发症的预防与处理</w:t>
      </w:r>
      <w:r>
        <w:rPr>
          <w:rFonts w:hint="eastAsia"/>
          <w:highlight w:val="none"/>
        </w:rPr>
        <w:t>。</w:t>
      </w:r>
    </w:p>
    <w:p w14:paraId="627F609F">
      <w:pPr>
        <w:widowControl/>
        <w:spacing w:line="360" w:lineRule="auto"/>
        <w:jc w:val="left"/>
        <w:rPr>
          <w:highlight w:val="none"/>
        </w:rPr>
      </w:pPr>
      <w:r>
        <w:rPr>
          <w:rFonts w:hint="eastAsia"/>
          <w:highlight w:val="none"/>
        </w:rPr>
        <w:t>适用于各级各类医疗卫生机构、</w:t>
      </w:r>
      <w:r>
        <w:rPr>
          <w:rFonts w:hint="eastAsia" w:ascii="宋体" w:hAnsi="Times New Roman"/>
          <w:kern w:val="0"/>
          <w:szCs w:val="20"/>
          <w:highlight w:val="none"/>
        </w:rPr>
        <w:t>养老机构具备中线导管置管及维护技术资质的医护人员。</w:t>
      </w:r>
    </w:p>
    <w:p w14:paraId="4BAA94B8">
      <w:pPr>
        <w:pStyle w:val="106"/>
        <w:spacing w:before="312" w:after="312"/>
        <w:rPr>
          <w:highlight w:val="none"/>
        </w:rPr>
      </w:pPr>
      <w:bookmarkStart w:id="44" w:name="_Toc130568399"/>
      <w:bookmarkStart w:id="45" w:name="_Toc130909529"/>
      <w:bookmarkStart w:id="46" w:name="_Toc129977269"/>
      <w:bookmarkStart w:id="47" w:name="_Toc97191424"/>
      <w:bookmarkStart w:id="48" w:name="_Toc26718931"/>
      <w:bookmarkStart w:id="49" w:name="_Toc26986772"/>
      <w:bookmarkStart w:id="50" w:name="_Toc26986531"/>
      <w:r>
        <w:rPr>
          <w:rFonts w:hint="eastAsia"/>
          <w:highlight w:val="none"/>
        </w:rPr>
        <w:t>规范性引用文件</w:t>
      </w:r>
      <w:bookmarkEnd w:id="39"/>
      <w:bookmarkEnd w:id="40"/>
      <w:bookmarkEnd w:id="41"/>
      <w:bookmarkEnd w:id="42"/>
      <w:bookmarkEnd w:id="43"/>
      <w:bookmarkEnd w:id="44"/>
      <w:bookmarkEnd w:id="45"/>
      <w:bookmarkEnd w:id="46"/>
      <w:bookmarkEnd w:id="47"/>
      <w:bookmarkEnd w:id="48"/>
      <w:bookmarkEnd w:id="49"/>
      <w:bookmarkEnd w:id="50"/>
    </w:p>
    <w:sdt>
      <w:sdtPr>
        <w:rPr>
          <w:rFonts w:hint="eastAsia"/>
          <w:highlight w:val="none"/>
        </w:rPr>
        <w:id w:val="715848253"/>
        <w:placeholder>
          <w:docPart w:val="CF6A7BC2361241578DA1F38BE3505DAF"/>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highlight w:val="none"/>
        </w:rPr>
      </w:sdtEndPr>
      <w:sdtContent>
        <w:p w14:paraId="6A183254">
          <w:pPr>
            <w:pStyle w:val="58"/>
            <w:ind w:firstLine="420"/>
            <w:rPr>
              <w:highlight w:val="none"/>
            </w:rPr>
          </w:pPr>
          <w:r>
            <w:rPr>
              <w:rFonts w:hint="eastAsia"/>
              <w:highlight w:val="none"/>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3D4FB867">
      <w:pPr>
        <w:pStyle w:val="58"/>
        <w:ind w:firstLine="420"/>
        <w:rPr>
          <w:highlight w:val="none"/>
        </w:rPr>
      </w:pPr>
      <w:r>
        <w:rPr>
          <w:rFonts w:hint="eastAsia"/>
          <w:highlight w:val="none"/>
        </w:rPr>
        <w:t xml:space="preserve">GB 19582  </w:t>
      </w:r>
      <w:r>
        <w:rPr>
          <w:rFonts w:hint="eastAsia"/>
          <w:highlight w:val="none"/>
          <w:lang w:val="en-US" w:eastAsia="zh-CN"/>
        </w:rPr>
        <w:t xml:space="preserve">    </w:t>
      </w:r>
      <w:r>
        <w:rPr>
          <w:rFonts w:hint="eastAsia"/>
          <w:highlight w:val="none"/>
        </w:rPr>
        <w:t>医院消毒卫生标准</w:t>
      </w:r>
    </w:p>
    <w:p w14:paraId="366212DF">
      <w:pPr>
        <w:pStyle w:val="58"/>
        <w:ind w:firstLine="420"/>
        <w:rPr>
          <w:rFonts w:hint="eastAsia"/>
          <w:highlight w:val="none"/>
        </w:rPr>
      </w:pPr>
      <w:r>
        <w:rPr>
          <w:rFonts w:hint="eastAsia"/>
          <w:highlight w:val="none"/>
        </w:rPr>
        <w:t>WS/T 512-2016 医疗机构环境表面清洁与消毒管理规范</w:t>
      </w:r>
    </w:p>
    <w:p w14:paraId="7CBDBEE0">
      <w:pPr>
        <w:pStyle w:val="58"/>
        <w:ind w:firstLine="420"/>
        <w:rPr>
          <w:rFonts w:hint="default" w:eastAsia="宋体"/>
          <w:highlight w:val="none"/>
          <w:lang w:val="en-US" w:eastAsia="zh-CN"/>
        </w:rPr>
      </w:pPr>
      <w:r>
        <w:rPr>
          <w:rFonts w:hint="eastAsia"/>
          <w:highlight w:val="none"/>
        </w:rPr>
        <w:t xml:space="preserve">WS/T </w:t>
      </w:r>
      <w:r>
        <w:rPr>
          <w:rFonts w:hint="eastAsia"/>
          <w:highlight w:val="none"/>
          <w:lang w:val="en-US" w:eastAsia="zh-CN"/>
        </w:rPr>
        <w:t xml:space="preserve"> 313     医务人员手卫生规范</w:t>
      </w:r>
      <w:bookmarkStart w:id="76" w:name="_GoBack"/>
      <w:bookmarkEnd w:id="76"/>
    </w:p>
    <w:p w14:paraId="6B7ACB7A">
      <w:pPr>
        <w:pStyle w:val="58"/>
        <w:ind w:firstLine="420"/>
        <w:rPr>
          <w:highlight w:val="none"/>
        </w:rPr>
      </w:pPr>
    </w:p>
    <w:p w14:paraId="60DCF8AF">
      <w:pPr>
        <w:pStyle w:val="106"/>
        <w:spacing w:before="312" w:after="312"/>
        <w:rPr>
          <w:highlight w:val="none"/>
        </w:rPr>
      </w:pPr>
      <w:bookmarkStart w:id="51" w:name="_Toc130909530"/>
      <w:bookmarkStart w:id="52" w:name="_Toc130568400"/>
      <w:bookmarkStart w:id="53" w:name="_Toc97191425"/>
      <w:bookmarkStart w:id="54" w:name="_Toc129977270"/>
      <w:r>
        <w:rPr>
          <w:rFonts w:hint="eastAsia"/>
          <w:highlight w:val="none"/>
        </w:rPr>
        <w:t>术语和定义</w:t>
      </w:r>
      <w:bookmarkEnd w:id="51"/>
      <w:bookmarkEnd w:id="52"/>
    </w:p>
    <w:p w14:paraId="183D4B09">
      <w:pPr>
        <w:pStyle w:val="107"/>
        <w:spacing w:before="156" w:after="156"/>
        <w:rPr>
          <w:highlight w:val="none"/>
        </w:rPr>
      </w:pPr>
      <w:bookmarkStart w:id="55" w:name="_Toc130909531"/>
      <w:r>
        <w:rPr>
          <w:rFonts w:hint="eastAsia"/>
          <w:highlight w:val="none"/>
        </w:rPr>
        <w:t>中线导管</w:t>
      </w:r>
      <w:bookmarkEnd w:id="55"/>
    </w:p>
    <w:p w14:paraId="02745C9C">
      <w:pPr>
        <w:pStyle w:val="58"/>
        <w:ind w:firstLine="420"/>
        <w:rPr>
          <w:highlight w:val="none"/>
        </w:rPr>
      </w:pPr>
      <w:r>
        <w:rPr>
          <w:rFonts w:hint="eastAsia"/>
          <w:highlight w:val="none"/>
        </w:rPr>
        <w:t>又称为中等长度导管，导管长度20-30厘米，常规穿刺或采用超声引导技术从上臂置入贵要静脉、头静脉或肱静脉内，导管尖端位于或接近腋窝，也可达腋静脉胸段或锁骨下静脉。</w:t>
      </w:r>
    </w:p>
    <w:p w14:paraId="451172F6">
      <w:pPr>
        <w:pStyle w:val="107"/>
        <w:spacing w:before="156" w:after="156"/>
        <w:rPr>
          <w:highlight w:val="none"/>
        </w:rPr>
      </w:pPr>
      <w:bookmarkStart w:id="56" w:name="_Toc130909532"/>
      <w:r>
        <w:rPr>
          <w:rFonts w:hint="eastAsia"/>
          <w:highlight w:val="none"/>
        </w:rPr>
        <w:t xml:space="preserve">无菌非接触技术 </w:t>
      </w:r>
      <w:r>
        <w:rPr>
          <w:highlight w:val="none"/>
        </w:rPr>
        <w:t>aseptic non touch technique , ANTT</w:t>
      </w:r>
      <w:bookmarkEnd w:id="56"/>
    </w:p>
    <w:p w14:paraId="49741A3D">
      <w:pPr>
        <w:pStyle w:val="58"/>
        <w:ind w:firstLine="420"/>
        <w:rPr>
          <w:highlight w:val="none"/>
        </w:rPr>
      </w:pPr>
      <w:r>
        <w:rPr>
          <w:rFonts w:hint="eastAsia"/>
          <w:highlight w:val="none"/>
        </w:rPr>
        <w:t>一种具体而定义全面的无菌技术，具有独特的理论实践框架，以关键部位和关键部件保护概念为基础，通过将手卫生和个人防护用品等标准预防措施与适当的无菌区管理、非接触技术和无菌物品相结合来实现。在输液治疗的背景下，包括血管通路装置的置入和管理以及输注给药。</w:t>
      </w:r>
    </w:p>
    <w:p w14:paraId="061F82F6">
      <w:pPr>
        <w:pStyle w:val="58"/>
        <w:ind w:firstLine="420"/>
        <w:rPr>
          <w:highlight w:val="none"/>
        </w:rPr>
      </w:pPr>
    </w:p>
    <w:p w14:paraId="01EFC0F5">
      <w:pPr>
        <w:pStyle w:val="106"/>
        <w:spacing w:before="312" w:after="312"/>
        <w:rPr>
          <w:highlight w:val="none"/>
        </w:rPr>
      </w:pPr>
      <w:bookmarkStart w:id="57" w:name="_Toc130909533"/>
      <w:bookmarkStart w:id="58" w:name="_Toc130568401"/>
      <w:r>
        <w:rPr>
          <w:rFonts w:hint="eastAsia"/>
          <w:highlight w:val="none"/>
        </w:rPr>
        <w:t>基本要求</w:t>
      </w:r>
      <w:bookmarkEnd w:id="57"/>
      <w:bookmarkEnd w:id="58"/>
    </w:p>
    <w:p w14:paraId="65CA2336">
      <w:pPr>
        <w:pStyle w:val="107"/>
        <w:numPr>
          <w:ilvl w:val="2"/>
          <w:numId w:val="0"/>
        </w:numPr>
        <w:spacing w:before="156" w:after="156"/>
        <w:rPr>
          <w:rFonts w:ascii="宋体" w:eastAsia="宋体"/>
          <w:highlight w:val="none"/>
        </w:rPr>
      </w:pPr>
      <w:bookmarkStart w:id="59" w:name="_Toc130909534"/>
      <w:r>
        <w:rPr>
          <w:rFonts w:hint="eastAsia" w:ascii="宋体" w:eastAsia="宋体"/>
          <w:highlight w:val="none"/>
        </w:rPr>
        <w:t>4.1  中线导管置入与维护操作应由接受中线导管相关静脉治疗理论知识与操作技能培训，且考核合格的护士完成。</w:t>
      </w:r>
      <w:bookmarkEnd w:id="59"/>
    </w:p>
    <w:p w14:paraId="16B5AEE8">
      <w:pPr>
        <w:pStyle w:val="67"/>
        <w:numPr>
          <w:ilvl w:val="3"/>
          <w:numId w:val="0"/>
        </w:numPr>
        <w:spacing w:before="156" w:after="156"/>
        <w:rPr>
          <w:rFonts w:ascii="宋体" w:eastAsia="宋体"/>
          <w:highlight w:val="none"/>
        </w:rPr>
      </w:pPr>
      <w:r>
        <w:rPr>
          <w:rFonts w:hint="eastAsia" w:ascii="宋体" w:eastAsia="宋体"/>
          <w:highlight w:val="none"/>
        </w:rPr>
        <w:t>4.2  评估患者病情、年龄、查看化验检查报告(血常规、凝血功能）、静脉治疗方案、药物性质、导管置入史、局部皮肤、肢体活动情况。</w:t>
      </w:r>
    </w:p>
    <w:p w14:paraId="5303AE0E">
      <w:pPr>
        <w:pStyle w:val="107"/>
        <w:numPr>
          <w:ilvl w:val="2"/>
          <w:numId w:val="0"/>
        </w:numPr>
        <w:spacing w:before="156" w:after="156"/>
        <w:rPr>
          <w:rFonts w:ascii="宋体" w:eastAsia="宋体"/>
          <w:highlight w:val="none"/>
        </w:rPr>
      </w:pPr>
      <w:bookmarkStart w:id="60" w:name="_Toc130909535"/>
      <w:r>
        <w:rPr>
          <w:rFonts w:hint="eastAsia" w:ascii="宋体" w:eastAsia="宋体"/>
          <w:highlight w:val="none"/>
        </w:rPr>
        <w:t>4.3  置管前，应对患者和或照顾者进行中线导管置入目的、风险、优点、导管使用及维护等相关知识的</w:t>
      </w:r>
      <w:bookmarkEnd w:id="60"/>
      <w:r>
        <w:rPr>
          <w:rFonts w:hint="eastAsia" w:ascii="宋体" w:eastAsia="宋体"/>
          <w:highlight w:val="none"/>
        </w:rPr>
        <w:t>沟通，确认已知情同意。</w:t>
      </w:r>
    </w:p>
    <w:p w14:paraId="4F393CA1">
      <w:pPr>
        <w:pStyle w:val="107"/>
        <w:numPr>
          <w:ilvl w:val="2"/>
          <w:numId w:val="0"/>
        </w:numPr>
        <w:spacing w:before="156" w:after="156"/>
        <w:rPr>
          <w:highlight w:val="none"/>
        </w:rPr>
      </w:pPr>
      <w:r>
        <w:rPr>
          <w:rFonts w:hint="eastAsia" w:ascii="宋体" w:eastAsia="宋体"/>
          <w:highlight w:val="none"/>
        </w:rPr>
        <w:t>4.4  宜在专用环境中进行操作，操作室的清洁与消毒应符合GB 19582和WS/T 512-2016的要求。</w:t>
      </w:r>
    </w:p>
    <w:p w14:paraId="61D7DBC1">
      <w:pPr>
        <w:pStyle w:val="106"/>
        <w:spacing w:before="312" w:after="312"/>
        <w:rPr>
          <w:highlight w:val="none"/>
        </w:rPr>
      </w:pPr>
      <w:bookmarkStart w:id="61" w:name="_Toc130909536"/>
      <w:bookmarkStart w:id="62" w:name="_Toc130568402"/>
      <w:r>
        <w:rPr>
          <w:rFonts w:hint="eastAsia"/>
          <w:highlight w:val="none"/>
        </w:rPr>
        <w:t>适应症与禁忌症</w:t>
      </w:r>
      <w:bookmarkEnd w:id="61"/>
      <w:bookmarkEnd w:id="62"/>
    </w:p>
    <w:p w14:paraId="31167134">
      <w:pPr>
        <w:pStyle w:val="67"/>
        <w:numPr>
          <w:ilvl w:val="0"/>
          <w:numId w:val="0"/>
        </w:numPr>
        <w:spacing w:before="156" w:after="156"/>
        <w:rPr>
          <w:highlight w:val="none"/>
        </w:rPr>
      </w:pPr>
      <w:r>
        <w:rPr>
          <w:rFonts w:hint="eastAsia"/>
          <w:highlight w:val="none"/>
        </w:rPr>
        <w:t>5.1适应症</w:t>
      </w:r>
    </w:p>
    <w:p w14:paraId="4501958E">
      <w:pPr>
        <w:pStyle w:val="67"/>
        <w:numPr>
          <w:ilvl w:val="3"/>
          <w:numId w:val="0"/>
        </w:numPr>
        <w:spacing w:before="156" w:after="156"/>
        <w:rPr>
          <w:rFonts w:ascii="宋体" w:eastAsia="宋体"/>
          <w:highlight w:val="none"/>
        </w:rPr>
      </w:pPr>
      <w:r>
        <w:rPr>
          <w:rFonts w:hint="eastAsia" w:ascii="宋体" w:eastAsia="宋体"/>
          <w:highlight w:val="none"/>
        </w:rPr>
        <w:t>5.1.1  预计静脉治疗5-14天的患者。</w:t>
      </w:r>
    </w:p>
    <w:p w14:paraId="68D3553B">
      <w:pPr>
        <w:pStyle w:val="67"/>
        <w:numPr>
          <w:ilvl w:val="3"/>
          <w:numId w:val="0"/>
        </w:numPr>
        <w:spacing w:before="156" w:after="156"/>
        <w:rPr>
          <w:rFonts w:ascii="宋体" w:eastAsia="宋体"/>
          <w:highlight w:val="none"/>
        </w:rPr>
      </w:pPr>
      <w:r>
        <w:rPr>
          <w:rFonts w:hint="eastAsia" w:ascii="宋体" w:eastAsia="宋体"/>
          <w:highlight w:val="none"/>
        </w:rPr>
        <w:t>5.1.2 持续输注等渗或者接近等渗药物的患者。</w:t>
      </w:r>
    </w:p>
    <w:p w14:paraId="0E79A0D0">
      <w:pPr>
        <w:pStyle w:val="67"/>
        <w:numPr>
          <w:ilvl w:val="3"/>
          <w:numId w:val="0"/>
        </w:numPr>
        <w:spacing w:before="156" w:after="156"/>
        <w:rPr>
          <w:rFonts w:ascii="宋体" w:eastAsia="宋体"/>
          <w:highlight w:val="none"/>
        </w:rPr>
      </w:pPr>
      <w:r>
        <w:rPr>
          <w:rFonts w:hint="eastAsia" w:ascii="宋体" w:eastAsia="宋体"/>
          <w:highlight w:val="none"/>
        </w:rPr>
        <w:t>5.1.3 短期（＜6天）静脉注射万古霉素的患者。</w:t>
      </w:r>
    </w:p>
    <w:p w14:paraId="6B1B0003">
      <w:pPr>
        <w:pStyle w:val="67"/>
        <w:numPr>
          <w:ilvl w:val="3"/>
          <w:numId w:val="0"/>
        </w:numPr>
        <w:spacing w:before="156" w:after="156"/>
        <w:rPr>
          <w:rFonts w:ascii="宋体" w:eastAsia="宋体"/>
          <w:highlight w:val="none"/>
        </w:rPr>
      </w:pPr>
      <w:r>
        <w:rPr>
          <w:rFonts w:hint="eastAsia" w:ascii="宋体" w:eastAsia="宋体"/>
          <w:highlight w:val="none"/>
        </w:rPr>
        <w:t>5.1.4 需持续镇静与镇痛治疗的患者。</w:t>
      </w:r>
    </w:p>
    <w:p w14:paraId="05DC52A1">
      <w:pPr>
        <w:pStyle w:val="107"/>
        <w:numPr>
          <w:ilvl w:val="2"/>
          <w:numId w:val="0"/>
        </w:numPr>
        <w:spacing w:before="156" w:after="156"/>
        <w:rPr>
          <w:highlight w:val="none"/>
        </w:rPr>
      </w:pPr>
      <w:bookmarkStart w:id="63" w:name="_Toc130909537"/>
      <w:r>
        <w:rPr>
          <w:rFonts w:hint="eastAsia"/>
          <w:highlight w:val="none"/>
        </w:rPr>
        <w:t>5.2禁忌症</w:t>
      </w:r>
      <w:bookmarkEnd w:id="63"/>
    </w:p>
    <w:p w14:paraId="705A8E60">
      <w:pPr>
        <w:pStyle w:val="67"/>
        <w:numPr>
          <w:ilvl w:val="3"/>
          <w:numId w:val="0"/>
        </w:numPr>
        <w:spacing w:before="156" w:after="156"/>
        <w:rPr>
          <w:rFonts w:ascii="宋体" w:eastAsia="宋体"/>
          <w:highlight w:val="none"/>
        </w:rPr>
      </w:pPr>
      <w:r>
        <w:rPr>
          <w:rFonts w:hint="eastAsia" w:ascii="宋体" w:eastAsia="宋体"/>
          <w:highlight w:val="none"/>
        </w:rPr>
        <w:t>5.2.1 持续输注发疱剂药物治疗。</w:t>
      </w:r>
    </w:p>
    <w:p w14:paraId="5D14F94D">
      <w:pPr>
        <w:pStyle w:val="67"/>
        <w:numPr>
          <w:ilvl w:val="3"/>
          <w:numId w:val="0"/>
        </w:numPr>
        <w:spacing w:before="156" w:after="156"/>
        <w:rPr>
          <w:rFonts w:ascii="宋体" w:eastAsia="宋体"/>
          <w:highlight w:val="none"/>
        </w:rPr>
      </w:pPr>
      <w:r>
        <w:rPr>
          <w:rFonts w:hint="eastAsia" w:ascii="宋体" w:eastAsia="宋体"/>
          <w:highlight w:val="none"/>
        </w:rPr>
        <w:t>5.2.2有血栓、高凝状态病史、四肢的静脉血流降低（如麻痹、矫形、神经系统病症），慢性肾脏病3期、4期及5期需要静脉保护的患者。</w:t>
      </w:r>
    </w:p>
    <w:p w14:paraId="08ACE5B4">
      <w:pPr>
        <w:pStyle w:val="67"/>
        <w:numPr>
          <w:ilvl w:val="3"/>
          <w:numId w:val="0"/>
        </w:numPr>
        <w:spacing w:before="156" w:after="156"/>
        <w:rPr>
          <w:rFonts w:ascii="宋体" w:eastAsia="宋体"/>
          <w:highlight w:val="none"/>
        </w:rPr>
      </w:pPr>
      <w:r>
        <w:rPr>
          <w:rFonts w:hint="eastAsia" w:ascii="宋体" w:eastAsia="宋体"/>
          <w:highlight w:val="none"/>
        </w:rPr>
        <w:t>5.2.3乳腺手术清扫腋窝淋巴结、淋巴水肿的患者，不宜在术侧上肢穿刺置管。</w:t>
      </w:r>
    </w:p>
    <w:p w14:paraId="6BF4DEFD">
      <w:pPr>
        <w:pStyle w:val="106"/>
        <w:spacing w:before="312" w:after="312"/>
        <w:rPr>
          <w:highlight w:val="none"/>
        </w:rPr>
      </w:pPr>
      <w:r>
        <w:rPr>
          <w:rFonts w:hint="eastAsia"/>
          <w:highlight w:val="none"/>
        </w:rPr>
        <w:t>置管与维护</w:t>
      </w:r>
    </w:p>
    <w:bookmarkEnd w:id="53"/>
    <w:bookmarkEnd w:id="54"/>
    <w:p w14:paraId="2C1B7D62">
      <w:pPr>
        <w:pStyle w:val="107"/>
        <w:numPr>
          <w:ilvl w:val="2"/>
          <w:numId w:val="0"/>
        </w:numPr>
        <w:spacing w:before="156" w:after="156"/>
        <w:rPr>
          <w:highlight w:val="none"/>
        </w:rPr>
      </w:pPr>
      <w:r>
        <w:rPr>
          <w:rFonts w:hint="eastAsia"/>
          <w:highlight w:val="none"/>
        </w:rPr>
        <w:t>6.1导管及穿刺部位选择</w:t>
      </w:r>
    </w:p>
    <w:p w14:paraId="35A5DA9D">
      <w:pPr>
        <w:pStyle w:val="67"/>
        <w:numPr>
          <w:ilvl w:val="3"/>
          <w:numId w:val="0"/>
        </w:numPr>
        <w:spacing w:before="156" w:after="156" w:line="360" w:lineRule="auto"/>
        <w:rPr>
          <w:rFonts w:ascii="宋体" w:eastAsia="宋体"/>
          <w:highlight w:val="none"/>
        </w:rPr>
      </w:pPr>
      <w:r>
        <w:rPr>
          <w:rFonts w:hint="eastAsia" w:ascii="宋体" w:eastAsia="宋体"/>
          <w:highlight w:val="none"/>
        </w:rPr>
        <w:t>导管的选择，在满足治疗方案的需要下选择管径最细，管腔数量最少的导管。穿刺部位的选择，应优先考虑保护外周静脉，还应评估输液治疗的类型、持续时间、患者的意愿，以及患者自身状况和血管状况。</w:t>
      </w:r>
    </w:p>
    <w:p w14:paraId="36C093D9">
      <w:pPr>
        <w:pStyle w:val="67"/>
        <w:numPr>
          <w:ilvl w:val="3"/>
          <w:numId w:val="0"/>
        </w:numPr>
        <w:spacing w:before="156" w:after="156"/>
        <w:rPr>
          <w:rFonts w:ascii="宋体" w:eastAsia="宋体"/>
          <w:b/>
          <w:bCs/>
          <w:highlight w:val="none"/>
        </w:rPr>
      </w:pPr>
      <w:r>
        <w:rPr>
          <w:rFonts w:hint="eastAsia"/>
          <w:highlight w:val="none"/>
        </w:rPr>
        <w:t>6.1.1导管选择</w:t>
      </w:r>
      <w:r>
        <w:rPr>
          <w:rFonts w:hint="eastAsia" w:ascii="宋体" w:eastAsia="宋体"/>
          <w:b/>
          <w:bCs/>
          <w:highlight w:val="none"/>
        </w:rPr>
        <w:t>：</w:t>
      </w:r>
    </w:p>
    <w:p w14:paraId="14F4CB5E">
      <w:pPr>
        <w:pStyle w:val="67"/>
        <w:numPr>
          <w:ilvl w:val="3"/>
          <w:numId w:val="0"/>
        </w:numPr>
        <w:spacing w:before="156" w:after="156"/>
        <w:rPr>
          <w:rFonts w:ascii="宋体" w:eastAsia="宋体"/>
          <w:highlight w:val="none"/>
        </w:rPr>
      </w:pPr>
      <w:r>
        <w:rPr>
          <w:rFonts w:hint="eastAsia" w:ascii="宋体" w:eastAsia="宋体"/>
          <w:highlight w:val="none"/>
        </w:rPr>
        <w:t>6.1.1.1选择合适的导管型号，导管外径与置管静脉内径比值≤45%。</w:t>
      </w:r>
    </w:p>
    <w:p w14:paraId="0E2A9F55">
      <w:pPr>
        <w:pStyle w:val="67"/>
        <w:numPr>
          <w:ilvl w:val="3"/>
          <w:numId w:val="0"/>
        </w:numPr>
        <w:spacing w:before="156" w:after="156"/>
        <w:rPr>
          <w:rFonts w:ascii="宋体" w:eastAsia="宋体"/>
          <w:highlight w:val="none"/>
        </w:rPr>
      </w:pPr>
      <w:r>
        <w:rPr>
          <w:rFonts w:hint="eastAsia" w:ascii="宋体" w:eastAsia="宋体"/>
          <w:highlight w:val="none"/>
        </w:rPr>
        <w:t>6.1.1.2除非需要特殊的双腔适应症，否则应放置单腔中线导管，避免放置多腔中线导管或直径大于4fr的导管。</w:t>
      </w:r>
    </w:p>
    <w:p w14:paraId="142F2C9D">
      <w:pPr>
        <w:pStyle w:val="67"/>
        <w:numPr>
          <w:ilvl w:val="3"/>
          <w:numId w:val="0"/>
        </w:numPr>
        <w:spacing w:before="156" w:after="156"/>
        <w:rPr>
          <w:highlight w:val="none"/>
        </w:rPr>
      </w:pPr>
      <w:r>
        <w:rPr>
          <w:rFonts w:hint="eastAsia"/>
          <w:highlight w:val="none"/>
        </w:rPr>
        <w:t>6.1.2穿刺部位选择：</w:t>
      </w:r>
    </w:p>
    <w:p w14:paraId="70CF475E">
      <w:pPr>
        <w:pStyle w:val="67"/>
        <w:numPr>
          <w:ilvl w:val="3"/>
          <w:numId w:val="0"/>
        </w:numPr>
        <w:spacing w:before="156" w:after="156"/>
        <w:rPr>
          <w:rFonts w:ascii="宋体" w:eastAsia="宋体"/>
          <w:highlight w:val="none"/>
        </w:rPr>
      </w:pPr>
      <w:r>
        <w:rPr>
          <w:rFonts w:hint="eastAsia" w:ascii="宋体" w:eastAsia="宋体"/>
          <w:highlight w:val="none"/>
        </w:rPr>
        <w:t>6.1.2.1穿刺部位首选上臂，血管首选贵要静脉。</w:t>
      </w:r>
    </w:p>
    <w:p w14:paraId="5AF1D429">
      <w:pPr>
        <w:pStyle w:val="67"/>
        <w:numPr>
          <w:ilvl w:val="3"/>
          <w:numId w:val="0"/>
        </w:numPr>
        <w:spacing w:before="156" w:after="156"/>
        <w:rPr>
          <w:rFonts w:ascii="宋体" w:eastAsia="宋体"/>
          <w:highlight w:val="none"/>
        </w:rPr>
      </w:pPr>
      <w:r>
        <w:rPr>
          <w:rFonts w:hint="eastAsia" w:ascii="宋体" w:eastAsia="宋体"/>
          <w:highlight w:val="none"/>
        </w:rPr>
        <w:t>6.1.2.2穿刺部位如有疼痛、感染、血管受损（瘀紫、渗出、静脉炎硬化等）、计划手术或放疗则应另选穿刺部位。</w:t>
      </w:r>
    </w:p>
    <w:p w14:paraId="0A652235">
      <w:pPr>
        <w:pStyle w:val="67"/>
        <w:numPr>
          <w:ilvl w:val="3"/>
          <w:numId w:val="0"/>
        </w:numPr>
        <w:spacing w:before="156" w:after="156"/>
        <w:rPr>
          <w:rFonts w:ascii="宋体" w:eastAsia="宋体"/>
          <w:highlight w:val="none"/>
        </w:rPr>
      </w:pPr>
      <w:r>
        <w:rPr>
          <w:rFonts w:hint="eastAsia" w:ascii="宋体" w:eastAsia="宋体"/>
          <w:highlight w:val="none"/>
        </w:rPr>
        <w:t>6.1.2.3对静脉选择困难的患者，推荐使用血管可视化技术辅助静脉识别和选择。</w:t>
      </w:r>
    </w:p>
    <w:p w14:paraId="64DE01A6">
      <w:pPr>
        <w:pStyle w:val="67"/>
        <w:numPr>
          <w:ilvl w:val="3"/>
          <w:numId w:val="0"/>
        </w:numPr>
        <w:spacing w:before="156" w:after="156"/>
        <w:rPr>
          <w:highlight w:val="none"/>
        </w:rPr>
      </w:pPr>
    </w:p>
    <w:p w14:paraId="33F23890">
      <w:pPr>
        <w:pStyle w:val="67"/>
        <w:numPr>
          <w:ilvl w:val="3"/>
          <w:numId w:val="0"/>
        </w:numPr>
        <w:spacing w:before="156" w:after="156"/>
        <w:rPr>
          <w:highlight w:val="none"/>
        </w:rPr>
      </w:pPr>
      <w:bookmarkStart w:id="64" w:name="_Toc130909543"/>
      <w:r>
        <w:rPr>
          <w:rFonts w:hint="eastAsia"/>
          <w:highlight w:val="none"/>
        </w:rPr>
        <w:t>6.2 测量与定位</w:t>
      </w:r>
      <w:bookmarkEnd w:id="64"/>
    </w:p>
    <w:p w14:paraId="6E70BE6E">
      <w:pPr>
        <w:pStyle w:val="67"/>
        <w:numPr>
          <w:ilvl w:val="3"/>
          <w:numId w:val="0"/>
        </w:numPr>
        <w:spacing w:before="156" w:after="156"/>
        <w:rPr>
          <w:rFonts w:ascii="宋体" w:eastAsia="宋体"/>
          <w:highlight w:val="none"/>
        </w:rPr>
      </w:pPr>
      <w:r>
        <w:rPr>
          <w:rFonts w:hint="eastAsia" w:ascii="宋体" w:eastAsia="宋体"/>
          <w:highlight w:val="none"/>
        </w:rPr>
        <w:t>6.2.1测量置管长度和双侧上臂围并记录。</w:t>
      </w:r>
    </w:p>
    <w:p w14:paraId="76468528">
      <w:pPr>
        <w:pStyle w:val="67"/>
        <w:numPr>
          <w:ilvl w:val="3"/>
          <w:numId w:val="0"/>
        </w:numPr>
        <w:spacing w:before="156" w:after="156"/>
        <w:rPr>
          <w:rFonts w:ascii="宋体" w:eastAsia="宋体"/>
          <w:highlight w:val="none"/>
        </w:rPr>
      </w:pPr>
      <w:r>
        <w:rPr>
          <w:rFonts w:hint="eastAsia" w:ascii="宋体" w:eastAsia="宋体"/>
          <w:highlight w:val="none"/>
        </w:rPr>
        <w:t>6.2.2置管长度测量有3种方法。</w:t>
      </w:r>
    </w:p>
    <w:p w14:paraId="0A6F51D6">
      <w:pPr>
        <w:pStyle w:val="134"/>
        <w:rPr>
          <w:rFonts w:hint="eastAsia" w:asciiTheme="minorEastAsia" w:hAnsiTheme="minorEastAsia"/>
          <w:highlight w:val="none"/>
        </w:rPr>
      </w:pPr>
      <w:r>
        <w:rPr>
          <w:rFonts w:hint="eastAsia"/>
          <w:highlight w:val="none"/>
        </w:rPr>
        <w:t>从预穿刺点沿静脉走向至腋窝水平</w:t>
      </w:r>
    </w:p>
    <w:p w14:paraId="6BA32D6C">
      <w:pPr>
        <w:pStyle w:val="134"/>
        <w:rPr>
          <w:highlight w:val="none"/>
        </w:rPr>
      </w:pPr>
      <w:r>
        <w:rPr>
          <w:rFonts w:hint="eastAsia"/>
          <w:highlight w:val="none"/>
        </w:rPr>
        <w:t>从预穿刺点沿静脉走向至同侧胸锁关节减2cm</w:t>
      </w:r>
    </w:p>
    <w:p w14:paraId="6E12684A">
      <w:pPr>
        <w:pStyle w:val="134"/>
        <w:rPr>
          <w:highlight w:val="none"/>
        </w:rPr>
      </w:pPr>
      <w:r>
        <w:rPr>
          <w:highlight w:val="none"/>
        </w:rPr>
        <w:t>从预穿刺点</w:t>
      </w:r>
      <w:r>
        <w:rPr>
          <w:rFonts w:hint="eastAsia"/>
          <w:highlight w:val="none"/>
        </w:rPr>
        <w:t>沿静脉走向至同侧锁骨中线</w:t>
      </w:r>
    </w:p>
    <w:p w14:paraId="5337D9FD">
      <w:pPr>
        <w:pStyle w:val="107"/>
        <w:numPr>
          <w:ilvl w:val="2"/>
          <w:numId w:val="0"/>
        </w:numPr>
        <w:spacing w:before="156" w:after="156"/>
        <w:rPr>
          <w:highlight w:val="none"/>
        </w:rPr>
      </w:pPr>
      <w:r>
        <w:rPr>
          <w:rFonts w:hint="eastAsia"/>
          <w:highlight w:val="none"/>
        </w:rPr>
        <w:t xml:space="preserve">6.3 </w:t>
      </w:r>
      <w:bookmarkStart w:id="65" w:name="_Toc130909544"/>
      <w:r>
        <w:rPr>
          <w:rFonts w:hint="eastAsia"/>
          <w:highlight w:val="none"/>
        </w:rPr>
        <w:t>导管置入</w:t>
      </w:r>
      <w:bookmarkEnd w:id="65"/>
    </w:p>
    <w:p w14:paraId="20B2A989">
      <w:pPr>
        <w:pStyle w:val="67"/>
        <w:numPr>
          <w:ilvl w:val="3"/>
          <w:numId w:val="0"/>
        </w:numPr>
        <w:spacing w:before="156" w:after="156"/>
        <w:rPr>
          <w:rFonts w:hint="eastAsia" w:ascii="宋体" w:hAnsi="宋体" w:eastAsia="宋体" w:cs="宋体"/>
          <w:color w:val="000000"/>
          <w:szCs w:val="21"/>
          <w:highlight w:val="none"/>
        </w:rPr>
      </w:pPr>
      <w:r>
        <w:rPr>
          <w:rFonts w:hint="eastAsia" w:ascii="宋体" w:eastAsia="宋体"/>
          <w:highlight w:val="none"/>
        </w:rPr>
        <w:t xml:space="preserve">6.3.1  </w:t>
      </w:r>
      <w:r>
        <w:rPr>
          <w:rFonts w:ascii="宋体" w:hAnsi="宋体" w:eastAsia="宋体" w:cs="宋体"/>
          <w:color w:val="000000"/>
          <w:szCs w:val="21"/>
          <w:highlight w:val="none"/>
        </w:rPr>
        <w:t>核对置管医嘱，查看相关检验、检查报告</w:t>
      </w:r>
      <w:r>
        <w:rPr>
          <w:rFonts w:hint="eastAsia" w:ascii="宋体" w:hAnsi="宋体" w:eastAsia="宋体" w:cs="宋体"/>
          <w:color w:val="000000"/>
          <w:szCs w:val="21"/>
          <w:highlight w:val="none"/>
        </w:rPr>
        <w:t>。</w:t>
      </w:r>
    </w:p>
    <w:p w14:paraId="011EB275">
      <w:pPr>
        <w:pStyle w:val="67"/>
        <w:numPr>
          <w:ilvl w:val="3"/>
          <w:numId w:val="0"/>
        </w:numPr>
        <w:spacing w:before="156" w:after="156"/>
        <w:rPr>
          <w:rFonts w:hint="eastAsia" w:ascii="宋体" w:hAnsi="宋体" w:eastAsia="宋体" w:cs="宋体"/>
          <w:color w:val="000000"/>
          <w:szCs w:val="21"/>
          <w:highlight w:val="none"/>
        </w:rPr>
      </w:pPr>
      <w:r>
        <w:rPr>
          <w:rFonts w:hint="eastAsia" w:ascii="宋体" w:eastAsia="宋体"/>
          <w:highlight w:val="none"/>
        </w:rPr>
        <w:t xml:space="preserve">6.3.2  </w:t>
      </w:r>
      <w:r>
        <w:rPr>
          <w:rFonts w:ascii="宋体" w:hAnsi="宋体" w:eastAsia="宋体" w:cs="宋体"/>
          <w:color w:val="000000"/>
          <w:szCs w:val="21"/>
          <w:highlight w:val="none"/>
        </w:rPr>
        <w:t>签署置管知情同意书</w:t>
      </w:r>
      <w:r>
        <w:rPr>
          <w:rFonts w:hint="eastAsia" w:ascii="宋体" w:hAnsi="宋体" w:eastAsia="宋体" w:cs="宋体"/>
          <w:color w:val="000000"/>
          <w:szCs w:val="21"/>
          <w:highlight w:val="none"/>
        </w:rPr>
        <w:t>。</w:t>
      </w:r>
    </w:p>
    <w:p w14:paraId="11B0E323">
      <w:pPr>
        <w:pStyle w:val="67"/>
        <w:numPr>
          <w:ilvl w:val="3"/>
          <w:numId w:val="0"/>
        </w:numPr>
        <w:spacing w:before="156" w:after="156"/>
        <w:rPr>
          <w:rFonts w:hint="eastAsia" w:ascii="宋体" w:hAnsi="宋体" w:eastAsia="宋体" w:cs="宋体"/>
          <w:color w:val="000000"/>
          <w:szCs w:val="21"/>
          <w:highlight w:val="none"/>
        </w:rPr>
      </w:pPr>
      <w:r>
        <w:rPr>
          <w:rFonts w:hint="eastAsia" w:ascii="宋体" w:eastAsia="宋体"/>
          <w:highlight w:val="none"/>
        </w:rPr>
        <w:t xml:space="preserve">6.3.3 </w:t>
      </w:r>
      <w:r>
        <w:rPr>
          <w:rFonts w:ascii="宋体" w:hAnsi="宋体" w:eastAsia="宋体" w:cs="宋体"/>
          <w:color w:val="000000"/>
          <w:szCs w:val="21"/>
          <w:highlight w:val="none"/>
        </w:rPr>
        <w:t>宜用超声评估穿刺血管走形、深度、直径等，选择导管/静脉管径比≤</w:t>
      </w:r>
      <w:r>
        <w:rPr>
          <w:rFonts w:ascii="Times New Roman" w:eastAsia="宋体"/>
          <w:color w:val="000000"/>
          <w:szCs w:val="21"/>
          <w:highlight w:val="none"/>
        </w:rPr>
        <w:t>45%</w:t>
      </w:r>
      <w:r>
        <w:rPr>
          <w:rFonts w:ascii="宋体" w:hAnsi="宋体" w:eastAsia="宋体" w:cs="宋体"/>
          <w:color w:val="000000"/>
          <w:szCs w:val="21"/>
          <w:highlight w:val="none"/>
        </w:rPr>
        <w:t>的导管。</w:t>
      </w:r>
    </w:p>
    <w:p w14:paraId="4A0664C5">
      <w:pPr>
        <w:pStyle w:val="67"/>
        <w:numPr>
          <w:ilvl w:val="3"/>
          <w:numId w:val="0"/>
        </w:numPr>
        <w:spacing w:before="156" w:after="156"/>
        <w:rPr>
          <w:rFonts w:ascii="宋体" w:eastAsia="宋体"/>
          <w:highlight w:val="none"/>
        </w:rPr>
      </w:pPr>
      <w:r>
        <w:rPr>
          <w:rFonts w:hint="eastAsia" w:ascii="宋体" w:eastAsia="宋体"/>
          <w:highlight w:val="none"/>
        </w:rPr>
        <w:t xml:space="preserve">6.3.4  </w:t>
      </w:r>
      <w:r>
        <w:rPr>
          <w:rFonts w:ascii="宋体" w:hAnsi="宋体" w:eastAsia="宋体" w:cs="宋体"/>
          <w:color w:val="000000"/>
          <w:szCs w:val="21"/>
          <w:highlight w:val="none"/>
        </w:rPr>
        <w:t xml:space="preserve">指导患者配合操作，患者取舒适体位，手臂外展与躯干呈 </w:t>
      </w:r>
      <w:r>
        <w:rPr>
          <w:rFonts w:ascii="Times New Roman" w:eastAsia="宋体"/>
          <w:color w:val="000000"/>
          <w:szCs w:val="21"/>
          <w:highlight w:val="none"/>
        </w:rPr>
        <w:t>45</w:t>
      </w:r>
      <w:r>
        <w:rPr>
          <w:rFonts w:ascii="宋体" w:hAnsi="宋体" w:eastAsia="宋体" w:cs="宋体"/>
          <w:color w:val="000000"/>
          <w:szCs w:val="21"/>
          <w:highlight w:val="none"/>
        </w:rPr>
        <w:t>°～</w:t>
      </w:r>
      <w:r>
        <w:rPr>
          <w:rFonts w:ascii="Times New Roman" w:eastAsia="宋体"/>
          <w:color w:val="000000"/>
          <w:szCs w:val="21"/>
          <w:highlight w:val="none"/>
        </w:rPr>
        <w:t>90</w:t>
      </w:r>
      <w:r>
        <w:rPr>
          <w:rFonts w:ascii="宋体" w:hAnsi="宋体" w:eastAsia="宋体" w:cs="宋体"/>
          <w:color w:val="000000"/>
          <w:szCs w:val="21"/>
          <w:highlight w:val="none"/>
        </w:rPr>
        <w:t>°，测量双侧臂围和预置</w:t>
      </w:r>
      <w:r>
        <w:rPr>
          <w:rFonts w:hint="eastAsia" w:ascii="宋体" w:hAnsi="宋体" w:eastAsia="宋体" w:cs="宋体"/>
          <w:color w:val="000000"/>
          <w:szCs w:val="21"/>
          <w:highlight w:val="none"/>
        </w:rPr>
        <w:t>导</w:t>
      </w:r>
      <w:r>
        <w:rPr>
          <w:rFonts w:ascii="宋体" w:hAnsi="宋体" w:eastAsia="宋体" w:cs="宋体"/>
          <w:color w:val="000000"/>
          <w:szCs w:val="21"/>
          <w:highlight w:val="none"/>
        </w:rPr>
        <w:t>管长度</w:t>
      </w:r>
      <w:r>
        <w:rPr>
          <w:rFonts w:hint="eastAsia" w:ascii="宋体" w:eastAsia="宋体"/>
          <w:highlight w:val="none"/>
        </w:rPr>
        <w:t>。</w:t>
      </w:r>
    </w:p>
    <w:p w14:paraId="7254C19A">
      <w:pPr>
        <w:pStyle w:val="67"/>
        <w:numPr>
          <w:ilvl w:val="3"/>
          <w:numId w:val="0"/>
        </w:numPr>
        <w:spacing w:before="156" w:after="156"/>
        <w:rPr>
          <w:rFonts w:ascii="宋体" w:eastAsia="宋体"/>
          <w:highlight w:val="none"/>
        </w:rPr>
      </w:pPr>
      <w:r>
        <w:rPr>
          <w:rFonts w:hint="eastAsia" w:ascii="宋体" w:eastAsia="宋体"/>
          <w:highlight w:val="none"/>
        </w:rPr>
        <w:t xml:space="preserve">6.3.5 应选择符合国家要求的皮肤消毒剂， </w:t>
      </w:r>
      <w:r>
        <w:rPr>
          <w:rFonts w:ascii="宋体" w:hAnsi="宋体" w:eastAsia="宋体" w:cs="宋体"/>
          <w:color w:val="000000"/>
          <w:szCs w:val="21"/>
          <w:highlight w:val="none"/>
        </w:rPr>
        <w:t>以穿刺点为中心消毒皮肤，直径≥</w:t>
      </w:r>
      <w:r>
        <w:rPr>
          <w:rFonts w:ascii="Times New Roman" w:eastAsia="宋体"/>
          <w:color w:val="000000"/>
          <w:szCs w:val="21"/>
          <w:highlight w:val="none"/>
        </w:rPr>
        <w:t>20cm</w:t>
      </w:r>
      <w:r>
        <w:rPr>
          <w:rFonts w:ascii="宋体" w:hAnsi="宋体" w:eastAsia="宋体" w:cs="宋体"/>
          <w:color w:val="000000"/>
          <w:szCs w:val="21"/>
          <w:highlight w:val="none"/>
        </w:rPr>
        <w:t>，建立最大化无菌屏障</w:t>
      </w:r>
      <w:r>
        <w:rPr>
          <w:rFonts w:hint="eastAsia" w:ascii="宋体" w:eastAsia="宋体"/>
          <w:highlight w:val="none"/>
        </w:rPr>
        <w:t>。</w:t>
      </w:r>
    </w:p>
    <w:p w14:paraId="389425FC">
      <w:pPr>
        <w:pStyle w:val="67"/>
        <w:numPr>
          <w:ilvl w:val="3"/>
          <w:numId w:val="0"/>
        </w:numPr>
        <w:spacing w:before="156" w:after="156"/>
        <w:rPr>
          <w:rFonts w:ascii="宋体" w:eastAsia="宋体"/>
          <w:highlight w:val="none"/>
        </w:rPr>
      </w:pPr>
      <w:r>
        <w:rPr>
          <w:rFonts w:hint="eastAsia" w:ascii="宋体" w:eastAsia="宋体"/>
          <w:highlight w:val="none"/>
        </w:rPr>
        <w:t xml:space="preserve">6.3.6  </w:t>
      </w:r>
      <w:r>
        <w:rPr>
          <w:rFonts w:ascii="宋体" w:hAnsi="宋体" w:eastAsia="宋体" w:cs="宋体"/>
          <w:color w:val="000000"/>
          <w:szCs w:val="21"/>
          <w:highlight w:val="none"/>
        </w:rPr>
        <w:t>用生理盐水预冲导管，检查导管完整性</w:t>
      </w:r>
      <w:r>
        <w:rPr>
          <w:rFonts w:hint="eastAsia" w:ascii="宋体" w:eastAsia="宋体"/>
          <w:highlight w:val="none"/>
        </w:rPr>
        <w:t>。</w:t>
      </w:r>
    </w:p>
    <w:p w14:paraId="268203E6">
      <w:pPr>
        <w:pStyle w:val="67"/>
        <w:numPr>
          <w:ilvl w:val="3"/>
          <w:numId w:val="0"/>
        </w:numPr>
        <w:spacing w:before="156" w:after="156"/>
        <w:rPr>
          <w:rFonts w:ascii="宋体" w:eastAsia="宋体"/>
          <w:highlight w:val="none"/>
        </w:rPr>
      </w:pPr>
      <w:r>
        <w:rPr>
          <w:rFonts w:hint="eastAsia" w:ascii="宋体" w:eastAsia="宋体"/>
          <w:highlight w:val="none"/>
        </w:rPr>
        <w:t xml:space="preserve">6.3.7  </w:t>
      </w:r>
      <w:r>
        <w:rPr>
          <w:rFonts w:ascii="宋体" w:hAnsi="宋体" w:eastAsia="宋体" w:cs="宋体"/>
          <w:color w:val="000000"/>
          <w:szCs w:val="21"/>
          <w:highlight w:val="none"/>
        </w:rPr>
        <w:t>在穿刺点上方扎止血带，按需要进行穿刺点局部浸润麻醉</w:t>
      </w:r>
      <w:r>
        <w:rPr>
          <w:rFonts w:hint="eastAsia" w:ascii="宋体" w:eastAsia="宋体"/>
          <w:highlight w:val="none"/>
        </w:rPr>
        <w:t>。</w:t>
      </w:r>
    </w:p>
    <w:p w14:paraId="64DC4FBE">
      <w:pPr>
        <w:pStyle w:val="67"/>
        <w:numPr>
          <w:ilvl w:val="3"/>
          <w:numId w:val="0"/>
        </w:numPr>
        <w:spacing w:before="156" w:after="156"/>
        <w:rPr>
          <w:rFonts w:ascii="宋体" w:eastAsia="宋体"/>
          <w:highlight w:val="none"/>
        </w:rPr>
      </w:pPr>
      <w:r>
        <w:rPr>
          <w:rFonts w:hint="eastAsia" w:ascii="宋体" w:eastAsia="宋体"/>
          <w:highlight w:val="none"/>
        </w:rPr>
        <w:t xml:space="preserve">6.3.8 </w:t>
      </w:r>
      <w:r>
        <w:rPr>
          <w:rFonts w:ascii="宋体" w:hAnsi="宋体" w:eastAsia="宋体" w:cs="宋体"/>
          <w:color w:val="000000"/>
          <w:szCs w:val="21"/>
          <w:highlight w:val="none"/>
        </w:rPr>
        <w:t>静脉穿刺宜采用塞丁格技术，操作成功后，缓慢送入导管至预测量长度</w:t>
      </w:r>
      <w:r>
        <w:rPr>
          <w:rFonts w:hint="eastAsia" w:ascii="宋体" w:eastAsia="宋体"/>
          <w:highlight w:val="none"/>
        </w:rPr>
        <w:t>。</w:t>
      </w:r>
    </w:p>
    <w:p w14:paraId="72EC06E9">
      <w:pPr>
        <w:pStyle w:val="58"/>
        <w:ind w:firstLine="0" w:firstLineChars="0"/>
        <w:rPr>
          <w:highlight w:val="none"/>
        </w:rPr>
      </w:pPr>
      <w:r>
        <w:rPr>
          <w:rFonts w:hint="eastAsia"/>
          <w:highlight w:val="none"/>
        </w:rPr>
        <w:t xml:space="preserve">6.3.9 </w:t>
      </w:r>
      <w:r>
        <w:rPr>
          <w:rFonts w:hAnsi="宋体" w:cs="宋体"/>
          <w:color w:val="000000"/>
          <w:szCs w:val="21"/>
          <w:highlight w:val="none"/>
        </w:rPr>
        <w:t>抽回血，确认导管位于静脉管腔内，冲封管后应选择透明或纱布类无菌敷料固定导管，敷料外应注明日期</w:t>
      </w:r>
      <w:r>
        <w:rPr>
          <w:rFonts w:hint="eastAsia"/>
          <w:highlight w:val="none"/>
        </w:rPr>
        <w:t>。</w:t>
      </w:r>
    </w:p>
    <w:p w14:paraId="63D1FF25">
      <w:pPr>
        <w:pStyle w:val="58"/>
        <w:ind w:firstLine="0" w:firstLineChars="0"/>
        <w:rPr>
          <w:highlight w:val="none"/>
        </w:rPr>
      </w:pPr>
    </w:p>
    <w:p w14:paraId="0A361ADE">
      <w:pPr>
        <w:pStyle w:val="107"/>
        <w:numPr>
          <w:ilvl w:val="2"/>
          <w:numId w:val="0"/>
        </w:numPr>
        <w:spacing w:before="156" w:after="156"/>
        <w:rPr>
          <w:highlight w:val="none"/>
        </w:rPr>
      </w:pPr>
      <w:r>
        <w:rPr>
          <w:rFonts w:hint="eastAsia"/>
          <w:highlight w:val="none"/>
        </w:rPr>
        <w:t>6.4 导管尖端位置</w:t>
      </w:r>
    </w:p>
    <w:p w14:paraId="58B163C1">
      <w:pPr>
        <w:pStyle w:val="67"/>
        <w:numPr>
          <w:ilvl w:val="3"/>
          <w:numId w:val="0"/>
        </w:numPr>
        <w:spacing w:before="156" w:after="156" w:line="360" w:lineRule="auto"/>
        <w:rPr>
          <w:rFonts w:ascii="宋体" w:eastAsia="宋体"/>
          <w:highlight w:val="none"/>
        </w:rPr>
      </w:pPr>
      <w:r>
        <w:rPr>
          <w:rFonts w:hint="eastAsia" w:ascii="宋体" w:eastAsia="宋体"/>
          <w:highlight w:val="none"/>
        </w:rPr>
        <w:t>目前尚需要更多的证据综合评估在不同临床需求下中线导管的最佳尖端位置。</w:t>
      </w:r>
    </w:p>
    <w:p w14:paraId="284CCA4B">
      <w:pPr>
        <w:pStyle w:val="67"/>
        <w:numPr>
          <w:ilvl w:val="3"/>
          <w:numId w:val="0"/>
        </w:numPr>
        <w:spacing w:before="156" w:after="156"/>
        <w:rPr>
          <w:rFonts w:ascii="宋体" w:eastAsia="宋体"/>
          <w:highlight w:val="none"/>
        </w:rPr>
      </w:pPr>
      <w:r>
        <w:rPr>
          <w:rFonts w:hint="eastAsia" w:ascii="宋体" w:eastAsia="宋体"/>
          <w:highlight w:val="none"/>
        </w:rPr>
        <w:t>6.4.1用于胃肠外营养、渗透压大于900mOsm/L的补液治疗，导管尖端应位于腋静脉胸段或锁骨下静脉。</w:t>
      </w:r>
    </w:p>
    <w:p w14:paraId="24F9574B">
      <w:pPr>
        <w:pStyle w:val="67"/>
        <w:numPr>
          <w:ilvl w:val="3"/>
          <w:numId w:val="0"/>
        </w:numPr>
        <w:spacing w:before="156" w:after="156"/>
        <w:rPr>
          <w:highlight w:val="none"/>
        </w:rPr>
      </w:pPr>
      <w:r>
        <w:rPr>
          <w:rFonts w:hint="eastAsia" w:ascii="宋体" w:eastAsia="宋体"/>
          <w:highlight w:val="none"/>
        </w:rPr>
        <w:t>6.4.2中线导管尖端位置位于血流量及血管管腔更大的位置时，患者血栓风险更低。</w:t>
      </w:r>
    </w:p>
    <w:p w14:paraId="0C96ACFE">
      <w:pPr>
        <w:pStyle w:val="107"/>
        <w:numPr>
          <w:ilvl w:val="2"/>
          <w:numId w:val="0"/>
        </w:numPr>
        <w:spacing w:before="156" w:after="156"/>
        <w:rPr>
          <w:highlight w:val="none"/>
        </w:rPr>
      </w:pPr>
      <w:bookmarkStart w:id="66" w:name="_Toc130909545"/>
      <w:r>
        <w:rPr>
          <w:rFonts w:hint="eastAsia"/>
          <w:highlight w:val="none"/>
        </w:rPr>
        <w:t>6.5 导管维护</w:t>
      </w:r>
      <w:bookmarkEnd w:id="66"/>
    </w:p>
    <w:p w14:paraId="0B775076">
      <w:pPr>
        <w:pStyle w:val="58"/>
        <w:spacing w:line="360" w:lineRule="auto"/>
        <w:ind w:firstLine="0" w:firstLineChars="0"/>
        <w:rPr>
          <w:highlight w:val="none"/>
        </w:rPr>
      </w:pPr>
      <w:r>
        <w:rPr>
          <w:rFonts w:hint="eastAsia" w:ascii="黑体" w:eastAsia="黑体"/>
          <w:highlight w:val="none"/>
        </w:rPr>
        <w:t>6.5.1 导管评估</w:t>
      </w:r>
      <w:r>
        <w:rPr>
          <w:rFonts w:hint="eastAsia"/>
          <w:highlight w:val="none"/>
        </w:rPr>
        <w:t xml:space="preserve"> </w:t>
      </w:r>
    </w:p>
    <w:p w14:paraId="7B567D94">
      <w:pPr>
        <w:pStyle w:val="67"/>
        <w:numPr>
          <w:ilvl w:val="3"/>
          <w:numId w:val="0"/>
        </w:numPr>
        <w:spacing w:before="156" w:after="156"/>
        <w:rPr>
          <w:rFonts w:ascii="宋体" w:eastAsia="宋体"/>
          <w:highlight w:val="none"/>
        </w:rPr>
      </w:pPr>
      <w:r>
        <w:rPr>
          <w:rFonts w:hint="eastAsia" w:ascii="宋体" w:eastAsia="宋体"/>
          <w:highlight w:val="none"/>
        </w:rPr>
        <w:t>6.5.1.1 每日评估导管功能：导管是否通畅、有无损伤、脱出、移位等。</w:t>
      </w:r>
    </w:p>
    <w:p w14:paraId="401C983E">
      <w:pPr>
        <w:pStyle w:val="67"/>
        <w:numPr>
          <w:ilvl w:val="3"/>
          <w:numId w:val="0"/>
        </w:numPr>
        <w:spacing w:before="156" w:after="156"/>
        <w:rPr>
          <w:rFonts w:ascii="宋体" w:eastAsia="宋体"/>
          <w:highlight w:val="none"/>
        </w:rPr>
      </w:pPr>
      <w:r>
        <w:rPr>
          <w:rFonts w:hint="eastAsia" w:ascii="宋体" w:eastAsia="宋体"/>
          <w:highlight w:val="none"/>
        </w:rPr>
        <w:t>6.5.1.2 评估导管相关并发症：患者有无血栓、静脉炎、全身感染等临床表现。</w:t>
      </w:r>
    </w:p>
    <w:p w14:paraId="24095792">
      <w:pPr>
        <w:pStyle w:val="67"/>
        <w:numPr>
          <w:ilvl w:val="3"/>
          <w:numId w:val="0"/>
        </w:numPr>
        <w:spacing w:before="156" w:after="156"/>
        <w:rPr>
          <w:rFonts w:ascii="宋体" w:eastAsia="宋体"/>
          <w:highlight w:val="none"/>
        </w:rPr>
      </w:pPr>
      <w:r>
        <w:rPr>
          <w:rFonts w:hint="eastAsia" w:ascii="宋体" w:eastAsia="宋体"/>
          <w:highlight w:val="none"/>
        </w:rPr>
        <w:t>6.5.1.3 评估测量双侧臂围。</w:t>
      </w:r>
    </w:p>
    <w:p w14:paraId="157135BD">
      <w:pPr>
        <w:pStyle w:val="67"/>
        <w:numPr>
          <w:ilvl w:val="3"/>
          <w:numId w:val="0"/>
        </w:numPr>
        <w:spacing w:before="156" w:after="156"/>
        <w:rPr>
          <w:highlight w:val="none"/>
        </w:rPr>
      </w:pPr>
      <w:r>
        <w:rPr>
          <w:rFonts w:hint="eastAsia"/>
          <w:highlight w:val="none"/>
        </w:rPr>
        <w:t>6.5.2敷料更换</w:t>
      </w:r>
    </w:p>
    <w:p w14:paraId="332741E4">
      <w:pPr>
        <w:pStyle w:val="67"/>
        <w:numPr>
          <w:ilvl w:val="3"/>
          <w:numId w:val="0"/>
        </w:numPr>
        <w:spacing w:before="156" w:after="156"/>
        <w:rPr>
          <w:rFonts w:ascii="宋体" w:eastAsia="宋体"/>
          <w:highlight w:val="none"/>
        </w:rPr>
      </w:pPr>
      <w:r>
        <w:rPr>
          <w:rFonts w:hint="eastAsia" w:ascii="宋体" w:eastAsia="宋体"/>
          <w:highlight w:val="none"/>
        </w:rPr>
        <w:t>6.5.2.1  应在置管后24 h 更换敷料。</w:t>
      </w:r>
    </w:p>
    <w:p w14:paraId="0417A472">
      <w:pPr>
        <w:pStyle w:val="67"/>
        <w:numPr>
          <w:ilvl w:val="3"/>
          <w:numId w:val="0"/>
        </w:numPr>
        <w:spacing w:before="156" w:after="156" w:line="360" w:lineRule="auto"/>
        <w:rPr>
          <w:rFonts w:hint="eastAsia" w:ascii="宋体" w:hAnsi="宋体" w:eastAsia="宋体" w:cs="宋体"/>
          <w:color w:val="000000"/>
          <w:szCs w:val="21"/>
          <w:highlight w:val="none"/>
        </w:rPr>
      </w:pPr>
      <w:r>
        <w:rPr>
          <w:rFonts w:hint="eastAsia" w:ascii="宋体" w:eastAsia="宋体"/>
          <w:highlight w:val="none"/>
        </w:rPr>
        <w:t xml:space="preserve">6.5.2.2  </w:t>
      </w:r>
      <w:r>
        <w:rPr>
          <w:rFonts w:ascii="宋体" w:hAnsi="宋体" w:eastAsia="宋体" w:cs="宋体"/>
          <w:color w:val="000000"/>
          <w:szCs w:val="21"/>
          <w:highlight w:val="none"/>
        </w:rPr>
        <w:t xml:space="preserve">无菌透明敷料应至少每 </w:t>
      </w:r>
      <w:r>
        <w:rPr>
          <w:rFonts w:ascii="Times New Roman" w:eastAsia="宋体"/>
          <w:color w:val="000000"/>
          <w:szCs w:val="21"/>
          <w:highlight w:val="none"/>
        </w:rPr>
        <w:t xml:space="preserve">7d </w:t>
      </w:r>
      <w:r>
        <w:rPr>
          <w:rFonts w:ascii="宋体" w:hAnsi="宋体" w:eastAsia="宋体" w:cs="宋体"/>
          <w:color w:val="000000"/>
          <w:szCs w:val="21"/>
          <w:highlight w:val="none"/>
        </w:rPr>
        <w:t xml:space="preserve">更换一次，无菌纱布敷料应至少每 </w:t>
      </w:r>
      <w:r>
        <w:rPr>
          <w:rFonts w:ascii="Times New Roman" w:eastAsia="宋体"/>
          <w:color w:val="000000"/>
          <w:szCs w:val="21"/>
          <w:highlight w:val="none"/>
        </w:rPr>
        <w:t xml:space="preserve">2d </w:t>
      </w:r>
      <w:r>
        <w:rPr>
          <w:rFonts w:ascii="宋体" w:hAnsi="宋体" w:eastAsia="宋体" w:cs="宋体"/>
          <w:color w:val="000000"/>
          <w:szCs w:val="21"/>
          <w:highlight w:val="none"/>
        </w:rPr>
        <w:t>更换一次；若穿刺部位发生渗液、渗血时应及时更换敷料；穿刺部位的敷料发生松动、污染等完整性受损时应立即更换。</w:t>
      </w:r>
    </w:p>
    <w:p w14:paraId="1A0C4A03">
      <w:pPr>
        <w:pStyle w:val="67"/>
        <w:numPr>
          <w:ilvl w:val="3"/>
          <w:numId w:val="0"/>
        </w:numPr>
        <w:spacing w:before="156" w:after="156" w:line="360" w:lineRule="auto"/>
        <w:rPr>
          <w:rFonts w:ascii="宋体" w:eastAsia="宋体"/>
          <w:highlight w:val="none"/>
        </w:rPr>
      </w:pPr>
      <w:r>
        <w:rPr>
          <w:rFonts w:hint="eastAsia" w:ascii="宋体" w:eastAsia="宋体"/>
          <w:highlight w:val="none"/>
        </w:rPr>
        <w:t>6.5.2.3  透明敷料不耐受的患者，应更换敷料种类，并按照具体敷料要求更换。</w:t>
      </w:r>
    </w:p>
    <w:p w14:paraId="64800917">
      <w:pPr>
        <w:pStyle w:val="67"/>
        <w:numPr>
          <w:ilvl w:val="3"/>
          <w:numId w:val="0"/>
        </w:numPr>
        <w:spacing w:before="156" w:after="156"/>
        <w:rPr>
          <w:highlight w:val="none"/>
        </w:rPr>
      </w:pPr>
      <w:r>
        <w:rPr>
          <w:rFonts w:hint="eastAsia"/>
          <w:highlight w:val="none"/>
        </w:rPr>
        <w:t>6.5.3接头装置</w:t>
      </w:r>
    </w:p>
    <w:p w14:paraId="1EE99372">
      <w:pPr>
        <w:pStyle w:val="67"/>
        <w:numPr>
          <w:ilvl w:val="3"/>
          <w:numId w:val="0"/>
        </w:numPr>
        <w:spacing w:before="156" w:after="156"/>
        <w:rPr>
          <w:rFonts w:ascii="宋体" w:eastAsia="宋体"/>
          <w:highlight w:val="none"/>
        </w:rPr>
      </w:pPr>
      <w:r>
        <w:rPr>
          <w:rFonts w:hint="eastAsia" w:ascii="宋体" w:eastAsia="宋体"/>
          <w:highlight w:val="none"/>
        </w:rPr>
        <w:t>6.5.3.1  宜使用恒压／正压无针输液接头。</w:t>
      </w:r>
    </w:p>
    <w:p w14:paraId="01CA38F6">
      <w:pPr>
        <w:pStyle w:val="67"/>
        <w:numPr>
          <w:ilvl w:val="3"/>
          <w:numId w:val="0"/>
        </w:numPr>
        <w:spacing w:before="156" w:after="156"/>
        <w:rPr>
          <w:rFonts w:ascii="宋体" w:eastAsia="宋体"/>
          <w:highlight w:val="none"/>
        </w:rPr>
      </w:pPr>
      <w:r>
        <w:rPr>
          <w:rFonts w:hint="eastAsia" w:ascii="宋体" w:eastAsia="宋体"/>
          <w:highlight w:val="none"/>
        </w:rPr>
        <w:t>6.5.3.2  无针接头应至少每周更换1次或按照产品说明书进行更换。松动、污染时应立即更换。</w:t>
      </w:r>
    </w:p>
    <w:p w14:paraId="45F7DFDA">
      <w:pPr>
        <w:pStyle w:val="67"/>
        <w:numPr>
          <w:ilvl w:val="3"/>
          <w:numId w:val="0"/>
        </w:numPr>
        <w:spacing w:before="156" w:after="156"/>
        <w:rPr>
          <w:rFonts w:ascii="宋体" w:eastAsia="宋体"/>
          <w:highlight w:val="none"/>
        </w:rPr>
      </w:pPr>
      <w:r>
        <w:rPr>
          <w:rFonts w:hint="eastAsia" w:ascii="宋体" w:eastAsia="宋体"/>
          <w:highlight w:val="none"/>
        </w:rPr>
        <w:t>6.5.3.3  无针接头使用前，用力擦洗其表面不少于15 s。</w:t>
      </w:r>
    </w:p>
    <w:p w14:paraId="515387A9">
      <w:pPr>
        <w:pStyle w:val="67"/>
        <w:numPr>
          <w:ilvl w:val="3"/>
          <w:numId w:val="0"/>
        </w:numPr>
        <w:spacing w:before="156" w:after="156"/>
        <w:rPr>
          <w:rFonts w:ascii="宋体" w:eastAsia="宋体"/>
          <w:highlight w:val="none"/>
        </w:rPr>
      </w:pPr>
      <w:r>
        <w:rPr>
          <w:rFonts w:hint="eastAsia" w:ascii="宋体" w:eastAsia="宋体"/>
          <w:highlight w:val="none"/>
        </w:rPr>
        <w:t>6.5.3.4  导管固定宜使用导管固定装置，不宜使用胶布或缝线。</w:t>
      </w:r>
    </w:p>
    <w:p w14:paraId="0C884A98">
      <w:pPr>
        <w:pStyle w:val="67"/>
        <w:numPr>
          <w:ilvl w:val="3"/>
          <w:numId w:val="0"/>
        </w:numPr>
        <w:spacing w:before="156" w:after="156"/>
        <w:rPr>
          <w:highlight w:val="none"/>
        </w:rPr>
      </w:pPr>
      <w:r>
        <w:rPr>
          <w:rFonts w:hint="eastAsia"/>
          <w:highlight w:val="none"/>
        </w:rPr>
        <w:t>6.5.4冲、封管</w:t>
      </w:r>
    </w:p>
    <w:p w14:paraId="63A267C8">
      <w:pPr>
        <w:pStyle w:val="67"/>
        <w:numPr>
          <w:ilvl w:val="3"/>
          <w:numId w:val="0"/>
        </w:numPr>
        <w:spacing w:before="156" w:after="156"/>
        <w:rPr>
          <w:rFonts w:ascii="宋体" w:eastAsia="宋体"/>
          <w:highlight w:val="none"/>
        </w:rPr>
      </w:pPr>
      <w:r>
        <w:rPr>
          <w:rFonts w:hint="eastAsia" w:ascii="宋体" w:eastAsia="宋体"/>
          <w:highlight w:val="none"/>
        </w:rPr>
        <w:t>6.5.4.1  应在输液前抽回血评估导管功能，输液后使用生理盐水脉冲式冲管和正压封管。注射器溶积≥10ml。</w:t>
      </w:r>
    </w:p>
    <w:p w14:paraId="68745732">
      <w:pPr>
        <w:pStyle w:val="67"/>
        <w:numPr>
          <w:ilvl w:val="3"/>
          <w:numId w:val="0"/>
        </w:numPr>
        <w:spacing w:before="156" w:after="156"/>
        <w:rPr>
          <w:rFonts w:ascii="宋体" w:eastAsia="宋体"/>
          <w:highlight w:val="none"/>
        </w:rPr>
      </w:pPr>
      <w:r>
        <w:rPr>
          <w:rFonts w:hint="eastAsia" w:ascii="宋体" w:eastAsia="宋体"/>
          <w:highlight w:val="none"/>
        </w:rPr>
        <w:t>6.5.4.2  输注刺激性、黏稠度高的药物、血制品后应立即冲管。</w:t>
      </w:r>
    </w:p>
    <w:p w14:paraId="5241F673">
      <w:pPr>
        <w:pStyle w:val="67"/>
        <w:numPr>
          <w:ilvl w:val="3"/>
          <w:numId w:val="0"/>
        </w:numPr>
        <w:spacing w:before="156" w:after="156"/>
        <w:rPr>
          <w:rFonts w:ascii="宋体" w:eastAsia="宋体"/>
          <w:highlight w:val="none"/>
        </w:rPr>
      </w:pPr>
      <w:r>
        <w:rPr>
          <w:rFonts w:hint="eastAsia" w:ascii="宋体" w:eastAsia="宋体"/>
          <w:highlight w:val="none"/>
        </w:rPr>
        <w:t>6.5.4.3  冲管时有阻力／回抽无回血，不可强行推注。</w:t>
      </w:r>
    </w:p>
    <w:p w14:paraId="47987916">
      <w:pPr>
        <w:pStyle w:val="107"/>
        <w:numPr>
          <w:ilvl w:val="2"/>
          <w:numId w:val="0"/>
        </w:numPr>
        <w:spacing w:before="156" w:after="156"/>
        <w:rPr>
          <w:highlight w:val="none"/>
        </w:rPr>
      </w:pPr>
      <w:bookmarkStart w:id="67" w:name="_Toc130909546"/>
      <w:r>
        <w:rPr>
          <w:rFonts w:hint="eastAsia"/>
          <w:highlight w:val="none"/>
        </w:rPr>
        <w:t>6.5.5 导管拔除</w:t>
      </w:r>
      <w:bookmarkEnd w:id="67"/>
    </w:p>
    <w:p w14:paraId="3F6A1CA1">
      <w:pPr>
        <w:pStyle w:val="67"/>
        <w:numPr>
          <w:ilvl w:val="3"/>
          <w:numId w:val="0"/>
        </w:numPr>
        <w:spacing w:before="156" w:after="156"/>
        <w:rPr>
          <w:rFonts w:ascii="宋体" w:eastAsia="宋体"/>
          <w:highlight w:val="none"/>
        </w:rPr>
      </w:pPr>
      <w:r>
        <w:rPr>
          <w:rFonts w:hint="eastAsia" w:ascii="宋体" w:eastAsia="宋体"/>
          <w:highlight w:val="none"/>
        </w:rPr>
        <w:t>6.5.5.1根据现场评估结果和（或）全身并发症的临床症状、体征拔除导管。</w:t>
      </w:r>
    </w:p>
    <w:p w14:paraId="64D92BF2">
      <w:pPr>
        <w:pStyle w:val="67"/>
        <w:numPr>
          <w:ilvl w:val="3"/>
          <w:numId w:val="0"/>
        </w:numPr>
        <w:spacing w:before="156" w:after="156"/>
        <w:rPr>
          <w:rFonts w:ascii="宋体" w:eastAsia="宋体"/>
          <w:highlight w:val="none"/>
        </w:rPr>
      </w:pPr>
      <w:r>
        <w:rPr>
          <w:rFonts w:hint="eastAsia" w:ascii="宋体" w:eastAsia="宋体"/>
          <w:highlight w:val="none"/>
        </w:rPr>
        <w:t>6.5.5.2在非最佳无菌条件（如在紧急情况）下置管，应在24 h 内尽早拔除。</w:t>
      </w:r>
    </w:p>
    <w:p w14:paraId="7A77CC7C">
      <w:pPr>
        <w:pStyle w:val="67"/>
        <w:numPr>
          <w:ilvl w:val="3"/>
          <w:numId w:val="0"/>
        </w:numPr>
        <w:spacing w:before="156" w:after="156"/>
        <w:rPr>
          <w:rFonts w:ascii="宋体" w:eastAsia="宋体"/>
          <w:highlight w:val="none"/>
        </w:rPr>
      </w:pPr>
      <w:r>
        <w:rPr>
          <w:rFonts w:hint="eastAsia" w:ascii="宋体" w:eastAsia="宋体"/>
          <w:highlight w:val="none"/>
        </w:rPr>
        <w:t>6.5.5.3应每日评估保留导管的必要性，不需要时应尽早拔除。</w:t>
      </w:r>
    </w:p>
    <w:p w14:paraId="60ECAEA0">
      <w:pPr>
        <w:pStyle w:val="67"/>
        <w:numPr>
          <w:ilvl w:val="3"/>
          <w:numId w:val="0"/>
        </w:numPr>
        <w:spacing w:before="156" w:after="156"/>
        <w:rPr>
          <w:rFonts w:ascii="宋体" w:eastAsia="宋体"/>
          <w:highlight w:val="none"/>
        </w:rPr>
      </w:pPr>
      <w:r>
        <w:rPr>
          <w:rFonts w:hint="eastAsia" w:ascii="宋体" w:eastAsia="宋体"/>
          <w:highlight w:val="none"/>
        </w:rPr>
        <w:t>6.5.5.4导管功能已丧失、合并导管相关血流感染，应尽早拔除。</w:t>
      </w:r>
    </w:p>
    <w:p w14:paraId="72F41A72">
      <w:pPr>
        <w:pStyle w:val="67"/>
        <w:numPr>
          <w:ilvl w:val="3"/>
          <w:numId w:val="0"/>
        </w:numPr>
        <w:spacing w:before="156" w:after="156"/>
        <w:rPr>
          <w:rFonts w:ascii="宋体" w:eastAsia="宋体"/>
          <w:highlight w:val="none"/>
        </w:rPr>
      </w:pPr>
      <w:r>
        <w:rPr>
          <w:rFonts w:hint="eastAsia" w:ascii="宋体" w:eastAsia="宋体"/>
          <w:highlight w:val="none"/>
        </w:rPr>
        <w:t>6.5.5.5不宜在发生血栓后常规拔除导管。</w:t>
      </w:r>
    </w:p>
    <w:p w14:paraId="19A77DF4">
      <w:pPr>
        <w:pStyle w:val="67"/>
        <w:numPr>
          <w:ilvl w:val="3"/>
          <w:numId w:val="0"/>
        </w:numPr>
        <w:spacing w:before="156" w:after="156"/>
        <w:rPr>
          <w:rFonts w:ascii="宋体" w:eastAsia="宋体"/>
          <w:highlight w:val="none"/>
        </w:rPr>
      </w:pPr>
      <w:r>
        <w:rPr>
          <w:rFonts w:hint="eastAsia" w:ascii="宋体" w:eastAsia="宋体"/>
          <w:highlight w:val="none"/>
        </w:rPr>
        <w:t>6.5.5.6拔除导管后，应评估并记录导管完整性。</w:t>
      </w:r>
    </w:p>
    <w:p w14:paraId="4997BAE7">
      <w:pPr>
        <w:pStyle w:val="106"/>
        <w:spacing w:before="312" w:after="312"/>
        <w:rPr>
          <w:highlight w:val="none"/>
        </w:rPr>
      </w:pPr>
      <w:bookmarkStart w:id="68" w:name="_Toc130909547"/>
      <w:bookmarkStart w:id="69" w:name="_Toc130568404"/>
      <w:r>
        <w:rPr>
          <w:highlight w:val="none"/>
        </w:rPr>
        <w:t>并发症的预防和处理</w:t>
      </w:r>
      <w:bookmarkEnd w:id="68"/>
      <w:bookmarkEnd w:id="69"/>
    </w:p>
    <w:p w14:paraId="5CEA11C6">
      <w:pPr>
        <w:pStyle w:val="67"/>
        <w:numPr>
          <w:ilvl w:val="3"/>
          <w:numId w:val="0"/>
        </w:numPr>
        <w:spacing w:before="156" w:after="156"/>
        <w:rPr>
          <w:highlight w:val="none"/>
        </w:rPr>
      </w:pPr>
      <w:r>
        <w:rPr>
          <w:rFonts w:hint="eastAsia"/>
          <w:highlight w:val="none"/>
        </w:rPr>
        <w:t>7.1静脉炎</w:t>
      </w:r>
    </w:p>
    <w:p w14:paraId="1AB8BB50">
      <w:pPr>
        <w:pStyle w:val="67"/>
        <w:numPr>
          <w:ilvl w:val="3"/>
          <w:numId w:val="0"/>
        </w:numPr>
        <w:spacing w:before="156" w:after="156" w:line="360" w:lineRule="auto"/>
        <w:rPr>
          <w:rFonts w:ascii="宋体" w:eastAsia="宋体"/>
          <w:highlight w:val="none"/>
        </w:rPr>
      </w:pPr>
      <w:r>
        <w:rPr>
          <w:rFonts w:hint="eastAsia" w:ascii="宋体" w:eastAsia="宋体"/>
          <w:highlight w:val="none"/>
        </w:rPr>
        <w:t>7.1.1根据病人人群、治疗方案和风险因素，使用静脉炎量表或可视化静脉炎量表，每日对静脉炎的症状和体征进行评估。</w:t>
      </w:r>
    </w:p>
    <w:p w14:paraId="3BF6B27F">
      <w:pPr>
        <w:pStyle w:val="67"/>
        <w:numPr>
          <w:ilvl w:val="3"/>
          <w:numId w:val="0"/>
        </w:numPr>
        <w:spacing w:before="156" w:after="156" w:line="360" w:lineRule="auto"/>
        <w:rPr>
          <w:rFonts w:ascii="宋体" w:eastAsia="宋体"/>
          <w:highlight w:val="none"/>
        </w:rPr>
      </w:pPr>
      <w:r>
        <w:rPr>
          <w:rFonts w:hint="eastAsia" w:ascii="宋体" w:eastAsia="宋体"/>
          <w:highlight w:val="none"/>
        </w:rPr>
        <w:t>7.1.2根据静脉炎量表判定不同分级进行相应导管处置。可通过抬高肢体或遵医嘱使用药物干预措施。</w:t>
      </w:r>
    </w:p>
    <w:p w14:paraId="022A8217">
      <w:pPr>
        <w:pStyle w:val="67"/>
        <w:numPr>
          <w:ilvl w:val="3"/>
          <w:numId w:val="0"/>
        </w:numPr>
        <w:spacing w:before="156" w:after="156" w:line="360" w:lineRule="auto"/>
        <w:rPr>
          <w:rFonts w:ascii="宋体" w:eastAsia="宋体"/>
          <w:highlight w:val="none"/>
        </w:rPr>
      </w:pPr>
      <w:r>
        <w:rPr>
          <w:rFonts w:hint="eastAsia" w:ascii="宋体" w:eastAsia="宋体"/>
          <w:highlight w:val="none"/>
        </w:rPr>
        <w:t>7.1.3拔除中等长度导管后，应对穿刺部位监测48小时，及时发现输液后静脉炎。</w:t>
      </w:r>
    </w:p>
    <w:p w14:paraId="33CD5890">
      <w:pPr>
        <w:pStyle w:val="67"/>
        <w:numPr>
          <w:ilvl w:val="3"/>
          <w:numId w:val="0"/>
        </w:numPr>
        <w:spacing w:before="156" w:after="156"/>
        <w:rPr>
          <w:highlight w:val="none"/>
        </w:rPr>
      </w:pPr>
      <w:bookmarkStart w:id="70" w:name="_Toc130909548"/>
      <w:r>
        <w:rPr>
          <w:rFonts w:hint="eastAsia"/>
          <w:highlight w:val="none"/>
        </w:rPr>
        <w:t>7.2导管堵塞</w:t>
      </w:r>
      <w:bookmarkEnd w:id="70"/>
    </w:p>
    <w:p w14:paraId="67CB6C98">
      <w:pPr>
        <w:pStyle w:val="67"/>
        <w:numPr>
          <w:ilvl w:val="3"/>
          <w:numId w:val="0"/>
        </w:numPr>
        <w:spacing w:before="156" w:after="156" w:line="360" w:lineRule="auto"/>
        <w:rPr>
          <w:rFonts w:ascii="宋体" w:eastAsia="宋体"/>
          <w:highlight w:val="none"/>
        </w:rPr>
      </w:pPr>
      <w:r>
        <w:rPr>
          <w:rFonts w:hint="eastAsia" w:ascii="宋体" w:eastAsia="宋体"/>
          <w:highlight w:val="none"/>
        </w:rPr>
        <w:t>7.2.1遵循规范的导管冲封管程序，及时识别导管功能异常：回血缓慢或无法抽出回血；无法冲管或输液不畅；输液泵频繁堵塞报警。</w:t>
      </w:r>
    </w:p>
    <w:p w14:paraId="021203BA">
      <w:pPr>
        <w:pStyle w:val="58"/>
        <w:spacing w:line="360" w:lineRule="auto"/>
        <w:ind w:firstLine="0" w:firstLineChars="0"/>
        <w:rPr>
          <w:highlight w:val="none"/>
        </w:rPr>
      </w:pPr>
      <w:r>
        <w:rPr>
          <w:rFonts w:hint="eastAsia"/>
          <w:highlight w:val="none"/>
        </w:rPr>
        <w:t>7.2.2发生导管堵塞时，应评估导管堵塞的原因，包括机械性堵塞、药物性堵塞、血栓性堵塞。</w:t>
      </w:r>
    </w:p>
    <w:p w14:paraId="08259765">
      <w:pPr>
        <w:pStyle w:val="67"/>
        <w:numPr>
          <w:ilvl w:val="3"/>
          <w:numId w:val="0"/>
        </w:numPr>
        <w:spacing w:before="156" w:after="156" w:line="360" w:lineRule="auto"/>
        <w:rPr>
          <w:rFonts w:ascii="宋体" w:eastAsia="宋体"/>
          <w:highlight w:val="none"/>
        </w:rPr>
      </w:pPr>
      <w:r>
        <w:rPr>
          <w:rFonts w:hint="eastAsia" w:ascii="宋体" w:eastAsia="宋体"/>
          <w:highlight w:val="none"/>
        </w:rPr>
        <w:t>7.2.3依据导管堵塞原因及类型，采取适当处理措施，与医师、药师共同分析恢复导管功能使用药物的品种、剂量及浓度。</w:t>
      </w:r>
    </w:p>
    <w:p w14:paraId="252DA03D">
      <w:pPr>
        <w:pStyle w:val="67"/>
        <w:numPr>
          <w:ilvl w:val="3"/>
          <w:numId w:val="0"/>
        </w:numPr>
        <w:spacing w:before="156" w:after="156"/>
        <w:rPr>
          <w:highlight w:val="none"/>
        </w:rPr>
      </w:pPr>
      <w:bookmarkStart w:id="71" w:name="_Toc130909549"/>
      <w:r>
        <w:rPr>
          <w:rFonts w:hint="eastAsia"/>
          <w:highlight w:val="none"/>
        </w:rPr>
        <w:t>7.3导管相关性静脉血栓形成</w:t>
      </w:r>
      <w:bookmarkEnd w:id="71"/>
    </w:p>
    <w:p w14:paraId="62690483">
      <w:pPr>
        <w:pStyle w:val="67"/>
        <w:numPr>
          <w:ilvl w:val="3"/>
          <w:numId w:val="0"/>
        </w:numPr>
        <w:spacing w:before="156" w:after="156" w:line="360" w:lineRule="auto"/>
        <w:rPr>
          <w:rFonts w:ascii="宋体" w:eastAsia="宋体"/>
          <w:highlight w:val="none"/>
        </w:rPr>
      </w:pPr>
      <w:r>
        <w:rPr>
          <w:rFonts w:hint="eastAsia" w:ascii="宋体" w:eastAsia="宋体"/>
          <w:highlight w:val="none"/>
        </w:rPr>
        <w:t>7.3.1可通过观察、测量和询问患者主诉及彩色多普勒影像学检查方法，评估是否发生导管相关性静脉血栓。</w:t>
      </w:r>
    </w:p>
    <w:p w14:paraId="71DF07AA">
      <w:pPr>
        <w:pStyle w:val="67"/>
        <w:numPr>
          <w:ilvl w:val="3"/>
          <w:numId w:val="0"/>
        </w:numPr>
        <w:spacing w:before="156" w:after="156" w:line="360" w:lineRule="auto"/>
        <w:rPr>
          <w:rFonts w:ascii="宋体" w:eastAsia="宋体"/>
          <w:highlight w:val="none"/>
        </w:rPr>
      </w:pPr>
      <w:r>
        <w:rPr>
          <w:rFonts w:hint="eastAsia" w:ascii="宋体" w:eastAsia="宋体"/>
          <w:highlight w:val="none"/>
        </w:rPr>
        <w:t>7.3.2评估及识别患者发生导管相关性静脉血栓的症状或体征：上肢、肩部、颈部红肿和（或）疼痛、置管侧上肢肿胀增粗、皮温增高，上肢颜色变化。关注静脉血栓的隐匿症状，如患者主诉置管侧肢体、腋窝、肩臂部酸胀和（或）疼痛等。</w:t>
      </w:r>
    </w:p>
    <w:p w14:paraId="143606D6">
      <w:pPr>
        <w:pStyle w:val="67"/>
        <w:numPr>
          <w:ilvl w:val="3"/>
          <w:numId w:val="0"/>
        </w:numPr>
        <w:spacing w:before="156" w:after="156" w:line="360" w:lineRule="auto"/>
        <w:rPr>
          <w:rFonts w:ascii="宋体" w:eastAsia="宋体"/>
          <w:highlight w:val="none"/>
        </w:rPr>
      </w:pPr>
      <w:r>
        <w:rPr>
          <w:rFonts w:hint="eastAsia" w:ascii="宋体" w:eastAsia="宋体"/>
          <w:highlight w:val="none"/>
        </w:rPr>
        <w:t>7.3.3 有症状血栓，根据治疗对导管的依赖程度、重新建立静脉液路的可能性及血栓的进展情况，综合考虑或选择拔管时机。</w:t>
      </w:r>
    </w:p>
    <w:p w14:paraId="77B0FFCE">
      <w:pPr>
        <w:pStyle w:val="67"/>
        <w:numPr>
          <w:ilvl w:val="3"/>
          <w:numId w:val="0"/>
        </w:numPr>
        <w:spacing w:before="156" w:after="156" w:line="360" w:lineRule="auto"/>
        <w:rPr>
          <w:rFonts w:ascii="宋体" w:eastAsia="宋体"/>
          <w:highlight w:val="none"/>
        </w:rPr>
      </w:pPr>
      <w:r>
        <w:rPr>
          <w:rFonts w:hint="eastAsia" w:ascii="宋体" w:eastAsia="宋体"/>
          <w:highlight w:val="none"/>
        </w:rPr>
        <w:t>7.3.4无症状、主诉及客观体征时，单纯影像检查发现的血栓，不宜抗凝、拔管等处理措施。</w:t>
      </w:r>
    </w:p>
    <w:p w14:paraId="5C52674A">
      <w:pPr>
        <w:pStyle w:val="67"/>
        <w:numPr>
          <w:ilvl w:val="3"/>
          <w:numId w:val="0"/>
        </w:numPr>
        <w:spacing w:before="156" w:after="156" w:line="360" w:lineRule="auto"/>
        <w:rPr>
          <w:highlight w:val="none"/>
        </w:rPr>
      </w:pPr>
      <w:bookmarkStart w:id="72" w:name="_Toc130909550"/>
      <w:r>
        <w:rPr>
          <w:rFonts w:hint="eastAsia"/>
          <w:highlight w:val="none"/>
        </w:rPr>
        <w:t>7.4导管相关血流感染感染</w:t>
      </w:r>
      <w:bookmarkEnd w:id="72"/>
    </w:p>
    <w:p w14:paraId="6051599F">
      <w:pPr>
        <w:pStyle w:val="67"/>
        <w:numPr>
          <w:ilvl w:val="3"/>
          <w:numId w:val="0"/>
        </w:numPr>
        <w:spacing w:before="156" w:after="156" w:line="360" w:lineRule="auto"/>
        <w:rPr>
          <w:rFonts w:ascii="宋体" w:eastAsia="宋体"/>
          <w:highlight w:val="none"/>
        </w:rPr>
      </w:pPr>
      <w:r>
        <w:rPr>
          <w:rFonts w:hint="eastAsia" w:ascii="宋体" w:eastAsia="宋体"/>
          <w:highlight w:val="none"/>
        </w:rPr>
        <w:t>7.4.1应通过观察、监测、血培养和询问患者主诉等方法评估患者是否发生了导管相关血流感染。</w:t>
      </w:r>
    </w:p>
    <w:p w14:paraId="2BE81D80">
      <w:pPr>
        <w:pStyle w:val="67"/>
        <w:numPr>
          <w:ilvl w:val="3"/>
          <w:numId w:val="0"/>
        </w:numPr>
        <w:spacing w:before="156" w:after="156" w:line="360" w:lineRule="auto"/>
        <w:rPr>
          <w:rFonts w:ascii="宋体" w:eastAsia="宋体"/>
          <w:highlight w:val="none"/>
        </w:rPr>
      </w:pPr>
      <w:r>
        <w:rPr>
          <w:rFonts w:hint="eastAsia" w:ascii="宋体" w:eastAsia="宋体"/>
          <w:highlight w:val="none"/>
        </w:rPr>
        <w:t>7.4.2确认发生导管相关性血流感染时，应进一步评估其发生感染的类型及严重程度，确定是否拔除或保留导管。</w:t>
      </w:r>
    </w:p>
    <w:p w14:paraId="02C09131">
      <w:pPr>
        <w:pStyle w:val="67"/>
        <w:numPr>
          <w:ilvl w:val="3"/>
          <w:numId w:val="0"/>
        </w:numPr>
        <w:spacing w:before="156" w:after="156" w:line="360" w:lineRule="auto"/>
        <w:rPr>
          <w:rFonts w:ascii="宋体" w:eastAsia="宋体"/>
          <w:highlight w:val="none"/>
        </w:rPr>
      </w:pPr>
      <w:r>
        <w:rPr>
          <w:rFonts w:hint="eastAsia" w:ascii="宋体" w:eastAsia="宋体"/>
          <w:highlight w:val="none"/>
        </w:rPr>
        <w:t>7.4.3发生导管相关性血流感染后，应对置管局部、肢体、患者症状改善情况持续评估并记录。</w:t>
      </w:r>
    </w:p>
    <w:p w14:paraId="308EC88A">
      <w:pPr>
        <w:widowControl/>
        <w:spacing w:line="230" w:lineRule="atLeast"/>
        <w:ind w:firstLine="420" w:firstLineChars="200"/>
        <w:rPr>
          <w:rFonts w:ascii="宋体" w:hAnsi="Times New Roman"/>
          <w:kern w:val="0"/>
          <w:szCs w:val="20"/>
          <w:highlight w:val="none"/>
        </w:rPr>
      </w:pPr>
    </w:p>
    <w:p w14:paraId="0951B824">
      <w:pPr>
        <w:widowControl/>
        <w:spacing w:line="230" w:lineRule="atLeast"/>
        <w:ind w:firstLine="420" w:firstLineChars="200"/>
        <w:rPr>
          <w:rFonts w:ascii="宋体" w:hAnsi="Times New Roman"/>
          <w:kern w:val="0"/>
          <w:szCs w:val="20"/>
          <w:highlight w:val="none"/>
        </w:rPr>
        <w:sectPr>
          <w:pgSz w:w="11906" w:h="16838"/>
          <w:pgMar w:top="1928" w:right="1134" w:bottom="1134" w:left="1134" w:header="1418" w:footer="1134" w:gutter="284"/>
          <w:pgNumType w:start="1"/>
          <w:cols w:space="425" w:num="1"/>
          <w:formProt w:val="0"/>
          <w:docGrid w:type="lines" w:linePitch="312" w:charSpace="0"/>
        </w:sectPr>
      </w:pPr>
    </w:p>
    <w:bookmarkEnd w:id="25"/>
    <w:p w14:paraId="2D9880E6">
      <w:pPr>
        <w:pStyle w:val="200"/>
        <w:rPr>
          <w:rFonts w:hint="eastAsia"/>
          <w:vanish w:val="0"/>
          <w:highlight w:val="none"/>
        </w:rPr>
      </w:pPr>
      <w:bookmarkStart w:id="73" w:name="BookMark5"/>
    </w:p>
    <w:p w14:paraId="4E95C15C">
      <w:pPr>
        <w:pStyle w:val="201"/>
        <w:rPr>
          <w:vanish w:val="0"/>
          <w:highlight w:val="none"/>
        </w:rPr>
      </w:pPr>
    </w:p>
    <w:p w14:paraId="6227BD0A">
      <w:pPr>
        <w:pStyle w:val="78"/>
        <w:spacing w:after="156"/>
        <w:jc w:val="center"/>
        <w:rPr>
          <w:highlight w:val="none"/>
        </w:rPr>
      </w:pPr>
      <w:bookmarkStart w:id="74" w:name="_Toc130909551"/>
      <w:bookmarkStart w:id="75" w:name="_Toc130568405"/>
    </w:p>
    <w:p w14:paraId="298C0193">
      <w:pPr>
        <w:pStyle w:val="79"/>
        <w:numPr>
          <w:ilvl w:val="1"/>
          <w:numId w:val="0"/>
        </w:numPr>
        <w:spacing w:before="156" w:after="156"/>
        <w:ind w:leftChars="0"/>
        <w:jc w:val="center"/>
        <w:rPr>
          <w:rFonts w:hint="eastAsia"/>
          <w:kern w:val="0"/>
          <w:highlight w:val="none"/>
          <w:lang w:eastAsia="zh-CN"/>
        </w:rPr>
      </w:pPr>
      <w:r>
        <w:rPr>
          <w:rFonts w:hint="eastAsia"/>
          <w:kern w:val="0"/>
          <w:highlight w:val="none"/>
          <w:lang w:eastAsia="zh-CN"/>
        </w:rPr>
        <w:t>（规范性）</w:t>
      </w:r>
    </w:p>
    <w:bookmarkEnd w:id="74"/>
    <w:bookmarkEnd w:id="75"/>
    <w:p w14:paraId="5C8FDC30">
      <w:pPr>
        <w:pStyle w:val="79"/>
        <w:numPr>
          <w:numId w:val="0"/>
        </w:numPr>
        <w:spacing w:before="156" w:after="156"/>
        <w:ind w:leftChars="0"/>
        <w:jc w:val="center"/>
        <w:rPr>
          <w:rFonts w:hint="eastAsia" w:eastAsia="黑体"/>
          <w:kern w:val="0"/>
          <w:highlight w:val="none"/>
          <w:lang w:eastAsia="zh-CN"/>
        </w:rPr>
      </w:pPr>
      <w:r>
        <w:rPr>
          <w:rFonts w:hint="eastAsia"/>
          <w:kern w:val="0"/>
          <w:highlight w:val="none"/>
          <w:lang w:eastAsia="zh-CN"/>
        </w:rPr>
        <w:t>静脉炎量表</w:t>
      </w:r>
    </w:p>
    <w:tbl>
      <w:tblPr>
        <w:tblStyle w:val="2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4685"/>
        <w:gridCol w:w="4689"/>
      </w:tblGrid>
      <w:tr w14:paraId="168462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4685" w:type="dxa"/>
            <w:tcBorders>
              <w:top w:val="single" w:color="auto" w:sz="8" w:space="0"/>
              <w:bottom w:val="single" w:color="auto" w:sz="8" w:space="0"/>
            </w:tcBorders>
            <w:shd w:val="clear" w:color="auto" w:fill="auto"/>
            <w:vAlign w:val="center"/>
          </w:tcPr>
          <w:p w14:paraId="15FF0D9C">
            <w:pPr>
              <w:pStyle w:val="180"/>
              <w:rPr>
                <w:highlight w:val="none"/>
              </w:rPr>
            </w:pPr>
            <w:r>
              <w:rPr>
                <w:highlight w:val="none"/>
              </w:rPr>
              <w:t>等级</w:t>
            </w:r>
          </w:p>
        </w:tc>
        <w:tc>
          <w:tcPr>
            <w:tcW w:w="4689" w:type="dxa"/>
            <w:tcBorders>
              <w:top w:val="single" w:color="auto" w:sz="8" w:space="0"/>
              <w:bottom w:val="single" w:color="auto" w:sz="8" w:space="0"/>
            </w:tcBorders>
            <w:shd w:val="clear" w:color="auto" w:fill="auto"/>
            <w:vAlign w:val="center"/>
          </w:tcPr>
          <w:p w14:paraId="74B9C9EC">
            <w:pPr>
              <w:pStyle w:val="180"/>
              <w:rPr>
                <w:highlight w:val="none"/>
              </w:rPr>
            </w:pPr>
            <w:r>
              <w:rPr>
                <w:highlight w:val="none"/>
              </w:rPr>
              <w:t>临床标准</w:t>
            </w:r>
          </w:p>
        </w:tc>
      </w:tr>
      <w:tr w14:paraId="469151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685" w:type="dxa"/>
            <w:tcBorders>
              <w:top w:val="single" w:color="auto" w:sz="8" w:space="0"/>
            </w:tcBorders>
            <w:shd w:val="clear" w:color="auto" w:fill="auto"/>
            <w:vAlign w:val="center"/>
          </w:tcPr>
          <w:p w14:paraId="6FB1E47C">
            <w:pPr>
              <w:pStyle w:val="180"/>
              <w:rPr>
                <w:highlight w:val="none"/>
              </w:rPr>
            </w:pPr>
            <w:r>
              <w:rPr>
                <w:rFonts w:hint="eastAsia"/>
                <w:highlight w:val="none"/>
              </w:rPr>
              <w:t>0级</w:t>
            </w:r>
          </w:p>
        </w:tc>
        <w:tc>
          <w:tcPr>
            <w:tcW w:w="4689" w:type="dxa"/>
            <w:tcBorders>
              <w:top w:val="single" w:color="auto" w:sz="8" w:space="0"/>
            </w:tcBorders>
            <w:shd w:val="clear" w:color="auto" w:fill="auto"/>
            <w:vAlign w:val="center"/>
          </w:tcPr>
          <w:p w14:paraId="1697547F">
            <w:pPr>
              <w:pStyle w:val="180"/>
              <w:rPr>
                <w:highlight w:val="none"/>
              </w:rPr>
            </w:pPr>
            <w:r>
              <w:rPr>
                <w:highlight w:val="none"/>
              </w:rPr>
              <w:t>无症状</w:t>
            </w:r>
          </w:p>
        </w:tc>
      </w:tr>
      <w:tr w14:paraId="1FD993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685" w:type="dxa"/>
            <w:shd w:val="clear" w:color="auto" w:fill="auto"/>
            <w:vAlign w:val="center"/>
          </w:tcPr>
          <w:p w14:paraId="4FFF9C27">
            <w:pPr>
              <w:pStyle w:val="180"/>
              <w:rPr>
                <w:highlight w:val="none"/>
              </w:rPr>
            </w:pPr>
            <w:r>
              <w:rPr>
                <w:rFonts w:hint="eastAsia"/>
                <w:highlight w:val="none"/>
              </w:rPr>
              <w:t>1级</w:t>
            </w:r>
          </w:p>
        </w:tc>
        <w:tc>
          <w:tcPr>
            <w:tcW w:w="4689" w:type="dxa"/>
            <w:shd w:val="clear" w:color="auto" w:fill="auto"/>
            <w:vAlign w:val="center"/>
          </w:tcPr>
          <w:p w14:paraId="1C165578">
            <w:pPr>
              <w:pStyle w:val="180"/>
              <w:rPr>
                <w:highlight w:val="none"/>
              </w:rPr>
            </w:pPr>
            <w:r>
              <w:rPr>
                <w:highlight w:val="none"/>
              </w:rPr>
              <w:t>穿刺部位发红，伴或不伴疼痛</w:t>
            </w:r>
          </w:p>
        </w:tc>
      </w:tr>
      <w:tr w14:paraId="0C09F4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685" w:type="dxa"/>
            <w:shd w:val="clear" w:color="auto" w:fill="auto"/>
            <w:vAlign w:val="center"/>
          </w:tcPr>
          <w:p w14:paraId="78EEAEE8">
            <w:pPr>
              <w:pStyle w:val="180"/>
              <w:rPr>
                <w:highlight w:val="none"/>
              </w:rPr>
            </w:pPr>
            <w:r>
              <w:rPr>
                <w:rFonts w:hint="eastAsia"/>
                <w:highlight w:val="none"/>
              </w:rPr>
              <w:t>2级</w:t>
            </w:r>
          </w:p>
        </w:tc>
        <w:tc>
          <w:tcPr>
            <w:tcW w:w="4689" w:type="dxa"/>
            <w:shd w:val="clear" w:color="auto" w:fill="auto"/>
            <w:vAlign w:val="center"/>
          </w:tcPr>
          <w:p w14:paraId="77B8EA85">
            <w:pPr>
              <w:pStyle w:val="180"/>
              <w:rPr>
                <w:highlight w:val="none"/>
              </w:rPr>
            </w:pPr>
            <w:r>
              <w:rPr>
                <w:highlight w:val="none"/>
              </w:rPr>
              <w:t>穿刺部位疼痛伴有发红和或水肿</w:t>
            </w:r>
          </w:p>
        </w:tc>
      </w:tr>
      <w:tr w14:paraId="69AC8A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685" w:type="dxa"/>
            <w:vMerge w:val="restart"/>
            <w:shd w:val="clear" w:color="auto" w:fill="auto"/>
            <w:vAlign w:val="center"/>
          </w:tcPr>
          <w:p w14:paraId="74F26956">
            <w:pPr>
              <w:pStyle w:val="180"/>
              <w:rPr>
                <w:highlight w:val="none"/>
              </w:rPr>
            </w:pPr>
            <w:r>
              <w:rPr>
                <w:rFonts w:hint="eastAsia"/>
                <w:highlight w:val="none"/>
              </w:rPr>
              <w:t>3级</w:t>
            </w:r>
          </w:p>
        </w:tc>
        <w:tc>
          <w:tcPr>
            <w:tcW w:w="4689" w:type="dxa"/>
            <w:shd w:val="clear" w:color="auto" w:fill="auto"/>
            <w:vAlign w:val="center"/>
          </w:tcPr>
          <w:p w14:paraId="12BFF87D">
            <w:pPr>
              <w:pStyle w:val="180"/>
              <w:rPr>
                <w:highlight w:val="none"/>
              </w:rPr>
            </w:pPr>
            <w:r>
              <w:rPr>
                <w:highlight w:val="none"/>
              </w:rPr>
              <w:t>穿刺部位疼痛伴有发红</w:t>
            </w:r>
          </w:p>
        </w:tc>
      </w:tr>
      <w:tr w14:paraId="2C8680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685" w:type="dxa"/>
            <w:vMerge w:val="continue"/>
            <w:shd w:val="clear" w:color="auto" w:fill="auto"/>
            <w:vAlign w:val="center"/>
          </w:tcPr>
          <w:p w14:paraId="1B54FD6A">
            <w:pPr>
              <w:pStyle w:val="180"/>
              <w:rPr>
                <w:highlight w:val="none"/>
              </w:rPr>
            </w:pPr>
          </w:p>
        </w:tc>
        <w:tc>
          <w:tcPr>
            <w:tcW w:w="4689" w:type="dxa"/>
            <w:shd w:val="clear" w:color="auto" w:fill="auto"/>
            <w:vAlign w:val="center"/>
          </w:tcPr>
          <w:p w14:paraId="268A8E6C">
            <w:pPr>
              <w:pStyle w:val="180"/>
              <w:rPr>
                <w:highlight w:val="none"/>
              </w:rPr>
            </w:pPr>
            <w:r>
              <w:rPr>
                <w:highlight w:val="none"/>
              </w:rPr>
              <w:t>条索状物形成</w:t>
            </w:r>
          </w:p>
        </w:tc>
      </w:tr>
      <w:tr w14:paraId="236AAC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685" w:type="dxa"/>
            <w:vMerge w:val="continue"/>
            <w:shd w:val="clear" w:color="auto" w:fill="auto"/>
            <w:vAlign w:val="center"/>
          </w:tcPr>
          <w:p w14:paraId="3EFF8236">
            <w:pPr>
              <w:pStyle w:val="180"/>
              <w:rPr>
                <w:highlight w:val="none"/>
              </w:rPr>
            </w:pPr>
          </w:p>
        </w:tc>
        <w:tc>
          <w:tcPr>
            <w:tcW w:w="4689" w:type="dxa"/>
            <w:shd w:val="clear" w:color="auto" w:fill="auto"/>
            <w:vAlign w:val="center"/>
          </w:tcPr>
          <w:p w14:paraId="6B33204A">
            <w:pPr>
              <w:pStyle w:val="180"/>
              <w:rPr>
                <w:highlight w:val="none"/>
              </w:rPr>
            </w:pPr>
            <w:r>
              <w:rPr>
                <w:highlight w:val="none"/>
              </w:rPr>
              <w:t>可触摸到条索状的静脉</w:t>
            </w:r>
          </w:p>
        </w:tc>
      </w:tr>
      <w:tr w14:paraId="6F5FEC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685" w:type="dxa"/>
            <w:vMerge w:val="restart"/>
            <w:shd w:val="clear" w:color="auto" w:fill="auto"/>
            <w:vAlign w:val="center"/>
          </w:tcPr>
          <w:p w14:paraId="4E666B1A">
            <w:pPr>
              <w:pStyle w:val="180"/>
              <w:rPr>
                <w:highlight w:val="none"/>
              </w:rPr>
            </w:pPr>
            <w:r>
              <w:rPr>
                <w:rFonts w:hint="eastAsia"/>
                <w:highlight w:val="none"/>
              </w:rPr>
              <w:t>4级</w:t>
            </w:r>
          </w:p>
        </w:tc>
        <w:tc>
          <w:tcPr>
            <w:tcW w:w="4689" w:type="dxa"/>
            <w:shd w:val="clear" w:color="auto" w:fill="auto"/>
            <w:vAlign w:val="center"/>
          </w:tcPr>
          <w:p w14:paraId="4A27AE8B">
            <w:pPr>
              <w:pStyle w:val="180"/>
              <w:rPr>
                <w:highlight w:val="none"/>
              </w:rPr>
            </w:pPr>
            <w:r>
              <w:rPr>
                <w:highlight w:val="none"/>
              </w:rPr>
              <w:t>穿刺部位疼痛伴有发红</w:t>
            </w:r>
          </w:p>
        </w:tc>
      </w:tr>
      <w:tr w14:paraId="7F5836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685" w:type="dxa"/>
            <w:vMerge w:val="continue"/>
            <w:shd w:val="clear" w:color="auto" w:fill="auto"/>
            <w:vAlign w:val="center"/>
          </w:tcPr>
          <w:p w14:paraId="4DF27B77">
            <w:pPr>
              <w:pStyle w:val="180"/>
              <w:rPr>
                <w:highlight w:val="none"/>
              </w:rPr>
            </w:pPr>
          </w:p>
        </w:tc>
        <w:tc>
          <w:tcPr>
            <w:tcW w:w="4689" w:type="dxa"/>
            <w:shd w:val="clear" w:color="auto" w:fill="auto"/>
            <w:vAlign w:val="center"/>
          </w:tcPr>
          <w:p w14:paraId="6A77572C">
            <w:pPr>
              <w:pStyle w:val="180"/>
              <w:rPr>
                <w:highlight w:val="none"/>
              </w:rPr>
            </w:pPr>
            <w:r>
              <w:rPr>
                <w:highlight w:val="none"/>
              </w:rPr>
              <w:t>条索状物形成</w:t>
            </w:r>
          </w:p>
        </w:tc>
      </w:tr>
      <w:tr w14:paraId="2C16D3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685" w:type="dxa"/>
            <w:vMerge w:val="continue"/>
            <w:shd w:val="clear" w:color="auto" w:fill="auto"/>
            <w:vAlign w:val="center"/>
          </w:tcPr>
          <w:p w14:paraId="7620A510">
            <w:pPr>
              <w:pStyle w:val="180"/>
              <w:rPr>
                <w:highlight w:val="none"/>
              </w:rPr>
            </w:pPr>
          </w:p>
        </w:tc>
        <w:tc>
          <w:tcPr>
            <w:tcW w:w="4689" w:type="dxa"/>
            <w:shd w:val="clear" w:color="auto" w:fill="auto"/>
            <w:vAlign w:val="center"/>
          </w:tcPr>
          <w:p w14:paraId="5D694F5F">
            <w:pPr>
              <w:pStyle w:val="180"/>
              <w:rPr>
                <w:highlight w:val="none"/>
              </w:rPr>
            </w:pPr>
            <w:r>
              <w:rPr>
                <w:highlight w:val="none"/>
              </w:rPr>
              <w:t>可触摸到条索状的静脉长度大于</w:t>
            </w:r>
            <w:r>
              <w:rPr>
                <w:rFonts w:hint="eastAsia"/>
                <w:highlight w:val="none"/>
              </w:rPr>
              <w:t>2.5厘米</w:t>
            </w:r>
          </w:p>
        </w:tc>
      </w:tr>
      <w:tr w14:paraId="670D75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685" w:type="dxa"/>
            <w:vMerge w:val="continue"/>
            <w:tcBorders>
              <w:bottom w:val="single" w:color="auto" w:sz="8" w:space="0"/>
            </w:tcBorders>
            <w:shd w:val="clear" w:color="auto" w:fill="auto"/>
            <w:vAlign w:val="center"/>
          </w:tcPr>
          <w:p w14:paraId="02B8820B">
            <w:pPr>
              <w:pStyle w:val="180"/>
              <w:rPr>
                <w:highlight w:val="none"/>
              </w:rPr>
            </w:pPr>
          </w:p>
        </w:tc>
        <w:tc>
          <w:tcPr>
            <w:tcW w:w="4689" w:type="dxa"/>
            <w:tcBorders>
              <w:bottom w:val="single" w:color="auto" w:sz="8" w:space="0"/>
            </w:tcBorders>
            <w:shd w:val="clear" w:color="auto" w:fill="auto"/>
            <w:vAlign w:val="center"/>
          </w:tcPr>
          <w:p w14:paraId="7B6183E2">
            <w:pPr>
              <w:pStyle w:val="184"/>
              <w:ind w:firstLine="360"/>
              <w:jc w:val="center"/>
              <w:rPr>
                <w:highlight w:val="none"/>
              </w:rPr>
            </w:pPr>
            <w:r>
              <w:rPr>
                <w:highlight w:val="none"/>
              </w:rPr>
              <w:t>有脓性渗出物</w:t>
            </w:r>
          </w:p>
        </w:tc>
      </w:tr>
    </w:tbl>
    <w:p w14:paraId="0A62B9B4">
      <w:pPr>
        <w:pStyle w:val="184"/>
        <w:ind w:firstLine="360"/>
        <w:rPr>
          <w:highlight w:val="none"/>
        </w:rPr>
      </w:pPr>
    </w:p>
    <w:bookmarkEnd w:id="73"/>
    <w:p w14:paraId="087AD2F6">
      <w:pPr>
        <w:pStyle w:val="58"/>
        <w:ind w:firstLine="420"/>
        <w:rPr>
          <w:highlight w:val="none"/>
        </w:rPr>
      </w:pPr>
    </w:p>
    <w:sectPr>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Light">
    <w:altName w:val="宋体"/>
    <w:panose1 w:val="02010600030101010101"/>
    <w:charset w:val="86"/>
    <w:family w:val="auto"/>
    <w:pitch w:val="default"/>
    <w:sig w:usb0="00000000" w:usb1="00000000" w:usb2="00000016" w:usb3="00000000" w:csb0="0004000F" w:csb1="00000000"/>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F95299">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7F6FD6">
    <w:pPr>
      <w:pStyle w:val="19"/>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4E904">
    <w:pPr>
      <w:pStyle w:val="19"/>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2D52B5">
    <w:pPr>
      <w:pStyle w:val="54"/>
    </w:pPr>
    <w:r>
      <w:fldChar w:fldCharType="begin"/>
    </w:r>
    <w:r>
      <w:instrText xml:space="preserve">PAGE   \* MERGEFORMAT</w:instrText>
    </w:r>
    <w:r>
      <w:fldChar w:fldCharType="separate"/>
    </w:r>
    <w:r>
      <w:rPr>
        <w:lang w:val="zh-CN"/>
      </w:rPr>
      <w:t>I</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8EE4D">
    <w:pPr>
      <w:pStyle w:val="20"/>
      <w:wordWrap w:val="0"/>
      <w:jc w:val="right"/>
      <w:rPr>
        <w:rFonts w:hint="eastAsia"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6C2BF7">
    <w:pPr>
      <w:pStyle w:val="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2DDFAE">
    <w:pPr>
      <w:pStyle w:val="20"/>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2BCCE">
    <w:pPr>
      <w:pStyle w:val="63"/>
      <w:rPr>
        <w:rFonts w:hint="eastAsia"/>
      </w:rPr>
    </w:pPr>
    <w:r>
      <w:fldChar w:fldCharType="begin"/>
    </w:r>
    <w:r>
      <w:instrText xml:space="preserve"> STYLEREF  标准文件_文件编号  \* MERGEFORMAT </w:instrText>
    </w:r>
    <w:r>
      <w:fldChar w:fldCharType="separate"/>
    </w:r>
    <w:r>
      <w:t>DB XX/T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40A5B2">
    <w:pPr>
      <w:pStyle w:val="20"/>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XX/T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6"/>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1"/>
      <w:suff w:val="nothing"/>
      <w:lvlText w:val="%1%2.%3　"/>
      <w:lvlJc w:val="left"/>
      <w:pPr>
        <w:ind w:left="0" w:firstLine="0"/>
      </w:pPr>
    </w:lvl>
    <w:lvl w:ilvl="3" w:tentative="0">
      <w:start w:val="1"/>
      <w:numFmt w:val="decimal"/>
      <w:pStyle w:val="120"/>
      <w:suff w:val="nothing"/>
      <w:lvlText w:val="%1%2.%3.%4　"/>
      <w:lvlJc w:val="left"/>
      <w:pPr>
        <w:ind w:left="0" w:firstLine="0"/>
      </w:pPr>
    </w:lvl>
    <w:lvl w:ilvl="4" w:tentative="0">
      <w:start w:val="1"/>
      <w:numFmt w:val="decimal"/>
      <w:pStyle w:val="155"/>
      <w:suff w:val="nothing"/>
      <w:lvlText w:val="%1%2.%3.%4.%5　"/>
      <w:lvlJc w:val="left"/>
      <w:pPr>
        <w:ind w:left="0" w:firstLine="0"/>
      </w:pPr>
    </w:lvl>
    <w:lvl w:ilvl="5" w:tentative="0">
      <w:start w:val="1"/>
      <w:numFmt w:val="decimal"/>
      <w:pStyle w:val="157"/>
      <w:suff w:val="nothing"/>
      <w:lvlText w:val="%1%2.%3.%4.%5.%6　"/>
      <w:lvlJc w:val="left"/>
      <w:pPr>
        <w:ind w:left="0" w:firstLine="0"/>
      </w:pPr>
    </w:lvl>
    <w:lvl w:ilvl="6" w:tentative="0">
      <w:start w:val="1"/>
      <w:numFmt w:val="decimal"/>
      <w:pStyle w:val="160"/>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2"/>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1"/>
      <w:lvlText w:val="%1"/>
      <w:lvlJc w:val="left"/>
      <w:pPr>
        <w:ind w:left="425" w:hanging="425"/>
      </w:pPr>
      <w:rPr>
        <w:rFonts w:hint="eastAsia"/>
      </w:rPr>
    </w:lvl>
    <w:lvl w:ilvl="1" w:tentative="0">
      <w:start w:val="1"/>
      <w:numFmt w:val="decimal"/>
      <w:pStyle w:val="202"/>
      <w:suff w:val="nothing"/>
      <w:lvlText w:val="%10.%2 "/>
      <w:lvlJc w:val="left"/>
      <w:pPr>
        <w:ind w:left="0" w:firstLine="0"/>
      </w:pPr>
      <w:rPr>
        <w:rFonts w:hint="eastAsia" w:ascii="黑体" w:eastAsia="黑体" w:hAnsiTheme="minorHAnsi"/>
        <w:b w:val="0"/>
        <w:i w:val="0"/>
        <w:sz w:val="21"/>
      </w:rPr>
    </w:lvl>
    <w:lvl w:ilvl="2" w:tentative="0">
      <w:start w:val="1"/>
      <w:numFmt w:val="decimal"/>
      <w:pStyle w:val="203"/>
      <w:suff w:val="nothing"/>
      <w:lvlText w:val="%10.%2.%3 "/>
      <w:lvlJc w:val="left"/>
      <w:pPr>
        <w:ind w:left="0" w:firstLine="0"/>
      </w:pPr>
      <w:rPr>
        <w:rFonts w:hint="eastAsia" w:ascii="黑体" w:eastAsia="黑体" w:hAnsiTheme="minorHAnsi"/>
        <w:b w:val="0"/>
        <w:i w:val="0"/>
        <w:sz w:val="21"/>
      </w:rPr>
    </w:lvl>
    <w:lvl w:ilvl="3" w:tentative="0">
      <w:start w:val="1"/>
      <w:numFmt w:val="decimal"/>
      <w:pStyle w:val="204"/>
      <w:suff w:val="nothing"/>
      <w:lvlText w:val="%10.%2.%3.%4 "/>
      <w:lvlJc w:val="left"/>
      <w:pPr>
        <w:ind w:left="0" w:firstLine="0"/>
      </w:pPr>
      <w:rPr>
        <w:rFonts w:hint="eastAsia" w:ascii="黑体" w:eastAsia="黑体" w:hAnsiTheme="minorHAnsi"/>
        <w:b w:val="0"/>
        <w:i w:val="0"/>
        <w:sz w:val="21"/>
      </w:rPr>
    </w:lvl>
    <w:lvl w:ilvl="4" w:tentative="0">
      <w:start w:val="1"/>
      <w:numFmt w:val="decimal"/>
      <w:pStyle w:val="205"/>
      <w:suff w:val="nothing"/>
      <w:lvlText w:val="%10.%2.%3.%4.%5 "/>
      <w:lvlJc w:val="left"/>
      <w:pPr>
        <w:ind w:left="0" w:firstLine="0"/>
      </w:pPr>
      <w:rPr>
        <w:rFonts w:hint="eastAsia" w:ascii="黑体" w:eastAsia="黑体" w:hAnsiTheme="minorHAnsi"/>
        <w:b w:val="0"/>
        <w:i w:val="0"/>
        <w:sz w:val="21"/>
      </w:rPr>
    </w:lvl>
    <w:lvl w:ilvl="5" w:tentative="0">
      <w:start w:val="1"/>
      <w:numFmt w:val="decimal"/>
      <w:pStyle w:val="206"/>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3"/>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9"/>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2"/>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7"/>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4"/>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4"/>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9"/>
      <w:lvlText w:val=""/>
      <w:lvlJc w:val="left"/>
      <w:pPr>
        <w:ind w:left="851" w:hanging="431"/>
      </w:pPr>
      <w:rPr>
        <w:rFonts w:hint="default" w:ascii="Symbol" w:hAnsi="Symbol"/>
        <w:sz w:val="21"/>
      </w:rPr>
    </w:lvl>
    <w:lvl w:ilvl="2" w:tentative="0">
      <w:start w:val="1"/>
      <w:numFmt w:val="bullet"/>
      <w:pStyle w:val="174"/>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3"/>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6"/>
      <w:lvlText w:val="%1)"/>
      <w:lvlJc w:val="left"/>
      <w:pPr>
        <w:tabs>
          <w:tab w:val="left" w:pos="851"/>
        </w:tabs>
        <w:ind w:left="851" w:hanging="426"/>
      </w:pPr>
      <w:rPr>
        <w:rFonts w:hint="eastAsia" w:ascii="宋体" w:hAnsi="Times New Roman" w:eastAsia="宋体"/>
        <w:sz w:val="21"/>
      </w:rPr>
    </w:lvl>
    <w:lvl w:ilvl="1" w:tentative="0">
      <w:start w:val="1"/>
      <w:numFmt w:val="decimal"/>
      <w:pStyle w:val="111"/>
      <w:lvlText w:val="%2)"/>
      <w:lvlJc w:val="left"/>
      <w:pPr>
        <w:tabs>
          <w:tab w:val="left" w:pos="1276"/>
        </w:tabs>
        <w:ind w:left="1276" w:hanging="425"/>
      </w:pPr>
      <w:rPr>
        <w:rFonts w:hint="eastAsia" w:ascii="宋体" w:hAnsi="Times New Roman" w:eastAsia="宋体"/>
        <w:sz w:val="21"/>
      </w:rPr>
    </w:lvl>
    <w:lvl w:ilvl="2" w:tentative="0">
      <w:start w:val="1"/>
      <w:numFmt w:val="decimal"/>
      <w:pStyle w:val="119"/>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200"/>
      <w:lvlText w:val="%1"/>
      <w:lvlJc w:val="left"/>
      <w:pPr>
        <w:ind w:left="420" w:hanging="420"/>
      </w:pPr>
      <w:rPr>
        <w:rFonts w:hint="eastAsia"/>
      </w:rPr>
    </w:lvl>
    <w:lvl w:ilvl="1" w:tentative="0">
      <w:start w:val="1"/>
      <w:numFmt w:val="decimal"/>
      <w:pStyle w:val="85"/>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5"/>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8"/>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5"/>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6"/>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1"/>
      <w:suff w:val="space"/>
      <w:lvlText w:val="%1"/>
      <w:lvlJc w:val="left"/>
      <w:pPr>
        <w:ind w:left="425" w:hanging="425"/>
      </w:pPr>
      <w:rPr>
        <w:rFonts w:hint="eastAsia"/>
      </w:rPr>
    </w:lvl>
    <w:lvl w:ilvl="1" w:tentative="0">
      <w:start w:val="1"/>
      <w:numFmt w:val="decimal"/>
      <w:pStyle w:val="79"/>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3"/>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4"/>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1"/>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8"/>
      <w:suff w:val="nothing"/>
      <w:lvlText w:val="附录%1"/>
      <w:lvlJc w:val="left"/>
      <w:pPr>
        <w:ind w:left="0" w:firstLine="0"/>
      </w:pPr>
      <w:rPr>
        <w:rFonts w:hint="eastAsia"/>
        <w:spacing w:val="100"/>
      </w:rPr>
    </w:lvl>
    <w:lvl w:ilvl="1" w:tentative="0">
      <w:start w:val="1"/>
      <w:numFmt w:val="decimal"/>
      <w:pStyle w:val="80"/>
      <w:suff w:val="nothing"/>
      <w:lvlText w:val="%1.%2　"/>
      <w:lvlJc w:val="left"/>
      <w:pPr>
        <w:ind w:left="0" w:firstLine="0"/>
      </w:pPr>
      <w:rPr>
        <w:rFonts w:hint="eastAsia" w:ascii="黑体" w:eastAsia="黑体"/>
        <w:b w:val="0"/>
        <w:i w:val="0"/>
        <w:sz w:val="21"/>
      </w:rPr>
    </w:lvl>
    <w:lvl w:ilvl="2" w:tentative="0">
      <w:start w:val="1"/>
      <w:numFmt w:val="decimal"/>
      <w:pStyle w:val="81"/>
      <w:suff w:val="nothing"/>
      <w:lvlText w:val="%1.%2.%3　"/>
      <w:lvlJc w:val="left"/>
      <w:pPr>
        <w:ind w:left="0" w:firstLine="0"/>
      </w:pPr>
      <w:rPr>
        <w:rFonts w:hint="eastAsia" w:ascii="黑体" w:eastAsia="黑体"/>
        <w:b w:val="0"/>
        <w:i w:val="0"/>
        <w:sz w:val="21"/>
      </w:rPr>
    </w:lvl>
    <w:lvl w:ilvl="3" w:tentative="0">
      <w:start w:val="1"/>
      <w:numFmt w:val="decimal"/>
      <w:pStyle w:val="83"/>
      <w:suff w:val="nothing"/>
      <w:lvlText w:val="%1.%2.%3.%4　"/>
      <w:lvlJc w:val="left"/>
      <w:pPr>
        <w:ind w:left="0" w:firstLine="0"/>
      </w:pPr>
      <w:rPr>
        <w:rFonts w:hint="eastAsia" w:ascii="黑体" w:eastAsia="黑体"/>
        <w:b w:val="0"/>
        <w:i w:val="0"/>
        <w:sz w:val="21"/>
      </w:rPr>
    </w:lvl>
    <w:lvl w:ilvl="4" w:tentative="0">
      <w:start w:val="1"/>
      <w:numFmt w:val="decimal"/>
      <w:pStyle w:val="84"/>
      <w:suff w:val="nothing"/>
      <w:lvlText w:val="%1.%2.%3.%4.%5　"/>
      <w:lvlJc w:val="left"/>
      <w:pPr>
        <w:ind w:left="0" w:firstLine="0"/>
      </w:pPr>
      <w:rPr>
        <w:rFonts w:hint="eastAsia" w:ascii="黑体" w:eastAsia="黑体"/>
        <w:b w:val="0"/>
        <w:i w:val="0"/>
        <w:sz w:val="21"/>
      </w:rPr>
    </w:lvl>
    <w:lvl w:ilvl="5" w:tentative="0">
      <w:start w:val="1"/>
      <w:numFmt w:val="decimal"/>
      <w:pStyle w:val="86"/>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90"/>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9"/>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4"/>
      <w:suff w:val="nothing"/>
      <w:lvlText w:val="%1"/>
      <w:lvlJc w:val="left"/>
      <w:pPr>
        <w:ind w:left="0" w:firstLine="0"/>
      </w:pPr>
      <w:rPr>
        <w:rFonts w:hint="eastAsia"/>
      </w:rPr>
    </w:lvl>
    <w:lvl w:ilvl="1" w:tentative="0">
      <w:start w:val="1"/>
      <w:numFmt w:val="decimal"/>
      <w:pStyle w:val="106"/>
      <w:suff w:val="nothing"/>
      <w:lvlText w:val="%1%2　"/>
      <w:lvlJc w:val="left"/>
      <w:pPr>
        <w:ind w:left="0" w:firstLine="0"/>
      </w:pPr>
      <w:rPr>
        <w:rFonts w:hint="eastAsia" w:ascii="黑体" w:eastAsia="黑体"/>
        <w:b w:val="0"/>
        <w:i w:val="0"/>
        <w:sz w:val="21"/>
      </w:rPr>
    </w:lvl>
    <w:lvl w:ilvl="2" w:tentative="0">
      <w:start w:val="1"/>
      <w:numFmt w:val="decimal"/>
      <w:pStyle w:val="107"/>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7"/>
      <w:suff w:val="nothing"/>
      <w:lvlText w:val="%1%2.%3.%4　"/>
      <w:lvlJc w:val="left"/>
      <w:pPr>
        <w:ind w:left="0" w:firstLine="0"/>
      </w:pPr>
      <w:rPr>
        <w:rFonts w:hint="eastAsia" w:ascii="黑体" w:eastAsia="黑体"/>
        <w:b w:val="0"/>
        <w:i w:val="0"/>
        <w:sz w:val="21"/>
      </w:rPr>
    </w:lvl>
    <w:lvl w:ilvl="4" w:tentative="0">
      <w:start w:val="1"/>
      <w:numFmt w:val="decimal"/>
      <w:pStyle w:val="96"/>
      <w:suff w:val="nothing"/>
      <w:lvlText w:val="%1%2.%3.%4.%5　"/>
      <w:lvlJc w:val="left"/>
      <w:pPr>
        <w:ind w:left="0" w:firstLine="0"/>
      </w:pPr>
      <w:rPr>
        <w:rFonts w:hint="eastAsia" w:ascii="黑体" w:eastAsia="黑体"/>
        <w:b w:val="0"/>
        <w:i w:val="0"/>
        <w:sz w:val="21"/>
      </w:rPr>
    </w:lvl>
    <w:lvl w:ilvl="5" w:tentative="0">
      <w:start w:val="1"/>
      <w:numFmt w:val="decimal"/>
      <w:pStyle w:val="100"/>
      <w:suff w:val="nothing"/>
      <w:lvlText w:val="%1%2.%3.%4.%5.%6　"/>
      <w:lvlJc w:val="left"/>
      <w:pPr>
        <w:ind w:left="0" w:firstLine="0"/>
      </w:pPr>
      <w:rPr>
        <w:rFonts w:hint="eastAsia" w:ascii="黑体" w:eastAsia="黑体"/>
        <w:b w:val="0"/>
        <w:i w:val="0"/>
        <w:sz w:val="21"/>
      </w:rPr>
    </w:lvl>
    <w:lvl w:ilvl="6" w:tentative="0">
      <w:start w:val="1"/>
      <w:numFmt w:val="decimal"/>
      <w:pStyle w:val="105"/>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1"/>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7"/>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1" w:cryptProviderType="rsaAES" w:cryptAlgorithmClass="hash" w:cryptAlgorithmType="typeAny" w:cryptAlgorithmSid="14" w:cryptSpinCount="100000" w:hash="RdWoYYiGDrywrkpyCEFOR9Zh3oQyB1h96KjMtqINWnOQuuEiHaZ97UndLvMHb1LwTM4e/A3pETY8ByZsNYcmGw==" w:salt="+1RE4Kp/eTG2YN0HcnZSLQ=="/>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3NjVmZDNhMTUxMDM3YWUxOGU5YzVlZDJjOGY4NWQifQ=="/>
  </w:docVars>
  <w:rsids>
    <w:rsidRoot w:val="00EF77FE"/>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6442"/>
    <w:rsid w:val="00047F28"/>
    <w:rsid w:val="000503AA"/>
    <w:rsid w:val="000506A1"/>
    <w:rsid w:val="000515DD"/>
    <w:rsid w:val="0005265A"/>
    <w:rsid w:val="000539DD"/>
    <w:rsid w:val="00053BD3"/>
    <w:rsid w:val="000556ED"/>
    <w:rsid w:val="00055FE2"/>
    <w:rsid w:val="0005616F"/>
    <w:rsid w:val="0006046C"/>
    <w:rsid w:val="00060C2E"/>
    <w:rsid w:val="00061033"/>
    <w:rsid w:val="000619E9"/>
    <w:rsid w:val="000622D4"/>
    <w:rsid w:val="0006357D"/>
    <w:rsid w:val="00064B58"/>
    <w:rsid w:val="00067F1E"/>
    <w:rsid w:val="0007043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97221"/>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5F68"/>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1CD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A1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1A62"/>
    <w:rsid w:val="001C2C03"/>
    <w:rsid w:val="001C42F7"/>
    <w:rsid w:val="001C49E5"/>
    <w:rsid w:val="001C5A21"/>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1CD2"/>
    <w:rsid w:val="00213096"/>
    <w:rsid w:val="002142EA"/>
    <w:rsid w:val="002204BB"/>
    <w:rsid w:val="00221B79"/>
    <w:rsid w:val="00221C6B"/>
    <w:rsid w:val="002253A1"/>
    <w:rsid w:val="00225CF8"/>
    <w:rsid w:val="0022794E"/>
    <w:rsid w:val="00230D1C"/>
    <w:rsid w:val="00233D64"/>
    <w:rsid w:val="0023482A"/>
    <w:rsid w:val="002359CB"/>
    <w:rsid w:val="00243540"/>
    <w:rsid w:val="0024497B"/>
    <w:rsid w:val="0024515B"/>
    <w:rsid w:val="00246021"/>
    <w:rsid w:val="0024666E"/>
    <w:rsid w:val="00247AFF"/>
    <w:rsid w:val="00247F52"/>
    <w:rsid w:val="00250B25"/>
    <w:rsid w:val="00250BBE"/>
    <w:rsid w:val="002515C2"/>
    <w:rsid w:val="0025194F"/>
    <w:rsid w:val="0026148A"/>
    <w:rsid w:val="00262696"/>
    <w:rsid w:val="00263D25"/>
    <w:rsid w:val="002643C3"/>
    <w:rsid w:val="00264A0C"/>
    <w:rsid w:val="00266EEB"/>
    <w:rsid w:val="00267EF4"/>
    <w:rsid w:val="00270CB8"/>
    <w:rsid w:val="0027258C"/>
    <w:rsid w:val="00272B08"/>
    <w:rsid w:val="002771AC"/>
    <w:rsid w:val="00281BB8"/>
    <w:rsid w:val="00281E9E"/>
    <w:rsid w:val="00282405"/>
    <w:rsid w:val="00285170"/>
    <w:rsid w:val="00285361"/>
    <w:rsid w:val="0028666A"/>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0A4E"/>
    <w:rsid w:val="003615D2"/>
    <w:rsid w:val="0036429C"/>
    <w:rsid w:val="00364A53"/>
    <w:rsid w:val="003654CB"/>
    <w:rsid w:val="00365AA9"/>
    <w:rsid w:val="00365F86"/>
    <w:rsid w:val="00365F87"/>
    <w:rsid w:val="00366E89"/>
    <w:rsid w:val="003705F4"/>
    <w:rsid w:val="00370D58"/>
    <w:rsid w:val="00371316"/>
    <w:rsid w:val="00371D83"/>
    <w:rsid w:val="00376713"/>
    <w:rsid w:val="003769F4"/>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75"/>
    <w:rsid w:val="003B5BF0"/>
    <w:rsid w:val="003B60BF"/>
    <w:rsid w:val="003B6BE3"/>
    <w:rsid w:val="003B7BC7"/>
    <w:rsid w:val="003C010C"/>
    <w:rsid w:val="003C0A6C"/>
    <w:rsid w:val="003C14F8"/>
    <w:rsid w:val="003C5A43"/>
    <w:rsid w:val="003D0519"/>
    <w:rsid w:val="003D0FF6"/>
    <w:rsid w:val="003D262C"/>
    <w:rsid w:val="003D59F1"/>
    <w:rsid w:val="003D6D61"/>
    <w:rsid w:val="003D79C6"/>
    <w:rsid w:val="003E0579"/>
    <w:rsid w:val="003E091D"/>
    <w:rsid w:val="003E1C53"/>
    <w:rsid w:val="003E2A69"/>
    <w:rsid w:val="003E2D49"/>
    <w:rsid w:val="003E2FD4"/>
    <w:rsid w:val="003E49F6"/>
    <w:rsid w:val="003E660F"/>
    <w:rsid w:val="003F00AB"/>
    <w:rsid w:val="003F0841"/>
    <w:rsid w:val="003F23D3"/>
    <w:rsid w:val="003F3F08"/>
    <w:rsid w:val="003F49F1"/>
    <w:rsid w:val="003F6272"/>
    <w:rsid w:val="00400E72"/>
    <w:rsid w:val="0040101B"/>
    <w:rsid w:val="00401400"/>
    <w:rsid w:val="00404869"/>
    <w:rsid w:val="00405884"/>
    <w:rsid w:val="00407D39"/>
    <w:rsid w:val="0041477A"/>
    <w:rsid w:val="004167A3"/>
    <w:rsid w:val="00432DAA"/>
    <w:rsid w:val="004340F7"/>
    <w:rsid w:val="00434305"/>
    <w:rsid w:val="00435DF7"/>
    <w:rsid w:val="0044083F"/>
    <w:rsid w:val="00441AE7"/>
    <w:rsid w:val="00444B57"/>
    <w:rsid w:val="00445574"/>
    <w:rsid w:val="004467FB"/>
    <w:rsid w:val="00452D6B"/>
    <w:rsid w:val="00452F0E"/>
    <w:rsid w:val="00454484"/>
    <w:rsid w:val="0045517B"/>
    <w:rsid w:val="00463B77"/>
    <w:rsid w:val="00463C7B"/>
    <w:rsid w:val="004644A6"/>
    <w:rsid w:val="004659BD"/>
    <w:rsid w:val="00466ADF"/>
    <w:rsid w:val="004706DF"/>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395"/>
    <w:rsid w:val="004B2701"/>
    <w:rsid w:val="004B2D30"/>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06D8"/>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5FF9"/>
    <w:rsid w:val="005073F0"/>
    <w:rsid w:val="00510A7B"/>
    <w:rsid w:val="00512F6E"/>
    <w:rsid w:val="00513038"/>
    <w:rsid w:val="00514174"/>
    <w:rsid w:val="00516088"/>
    <w:rsid w:val="00516B0B"/>
    <w:rsid w:val="005220EC"/>
    <w:rsid w:val="00523F95"/>
    <w:rsid w:val="00524D65"/>
    <w:rsid w:val="00525B16"/>
    <w:rsid w:val="00530D7A"/>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0D4D"/>
    <w:rsid w:val="00551F6F"/>
    <w:rsid w:val="00555044"/>
    <w:rsid w:val="00561475"/>
    <w:rsid w:val="0056487B"/>
    <w:rsid w:val="00564FB9"/>
    <w:rsid w:val="00566AD5"/>
    <w:rsid w:val="00573D9E"/>
    <w:rsid w:val="00577CC8"/>
    <w:rsid w:val="005801E3"/>
    <w:rsid w:val="00581802"/>
    <w:rsid w:val="005836A8"/>
    <w:rsid w:val="0058409C"/>
    <w:rsid w:val="00584262"/>
    <w:rsid w:val="00586630"/>
    <w:rsid w:val="00587ADD"/>
    <w:rsid w:val="00590F5B"/>
    <w:rsid w:val="005915B1"/>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174"/>
    <w:rsid w:val="005F4712"/>
    <w:rsid w:val="006015CE"/>
    <w:rsid w:val="00604784"/>
    <w:rsid w:val="00606419"/>
    <w:rsid w:val="00607D29"/>
    <w:rsid w:val="00610673"/>
    <w:rsid w:val="00612952"/>
    <w:rsid w:val="0061298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4948"/>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406A"/>
    <w:rsid w:val="006770F4"/>
    <w:rsid w:val="00677A84"/>
    <w:rsid w:val="0068026D"/>
    <w:rsid w:val="00680A27"/>
    <w:rsid w:val="006816A4"/>
    <w:rsid w:val="006819B8"/>
    <w:rsid w:val="006840A6"/>
    <w:rsid w:val="006850CD"/>
    <w:rsid w:val="00685AAB"/>
    <w:rsid w:val="00685C7E"/>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5B4"/>
    <w:rsid w:val="006D16C4"/>
    <w:rsid w:val="006D3E96"/>
    <w:rsid w:val="006D4515"/>
    <w:rsid w:val="006D4BB1"/>
    <w:rsid w:val="006D6593"/>
    <w:rsid w:val="006E23EA"/>
    <w:rsid w:val="006F03A8"/>
    <w:rsid w:val="006F2ACA"/>
    <w:rsid w:val="006F2ADC"/>
    <w:rsid w:val="006F2BFE"/>
    <w:rsid w:val="006F31E9"/>
    <w:rsid w:val="006F41D3"/>
    <w:rsid w:val="006F6284"/>
    <w:rsid w:val="006F7486"/>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1F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02EE"/>
    <w:rsid w:val="0078114B"/>
    <w:rsid w:val="00781DD2"/>
    <w:rsid w:val="00783ECF"/>
    <w:rsid w:val="0078413A"/>
    <w:rsid w:val="00790905"/>
    <w:rsid w:val="007959E8"/>
    <w:rsid w:val="00795E9C"/>
    <w:rsid w:val="007A0521"/>
    <w:rsid w:val="007A2E12"/>
    <w:rsid w:val="007A3475"/>
    <w:rsid w:val="007A41C8"/>
    <w:rsid w:val="007A54CE"/>
    <w:rsid w:val="007A6FD9"/>
    <w:rsid w:val="007A7FFA"/>
    <w:rsid w:val="007B04EB"/>
    <w:rsid w:val="007B0D4F"/>
    <w:rsid w:val="007B4466"/>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38C8"/>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15F3"/>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BE0"/>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45FF"/>
    <w:rsid w:val="009062E6"/>
    <w:rsid w:val="00911BE5"/>
    <w:rsid w:val="00913CA9"/>
    <w:rsid w:val="009145AE"/>
    <w:rsid w:val="009146CE"/>
    <w:rsid w:val="00914CA7"/>
    <w:rsid w:val="00915C3E"/>
    <w:rsid w:val="009161A8"/>
    <w:rsid w:val="009245F5"/>
    <w:rsid w:val="00924950"/>
    <w:rsid w:val="009249EC"/>
    <w:rsid w:val="00924F4D"/>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34C"/>
    <w:rsid w:val="00991875"/>
    <w:rsid w:val="00991F92"/>
    <w:rsid w:val="00992985"/>
    <w:rsid w:val="00993889"/>
    <w:rsid w:val="0099551B"/>
    <w:rsid w:val="00997BF1"/>
    <w:rsid w:val="009A089C"/>
    <w:rsid w:val="009A0B2A"/>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6FA"/>
    <w:rsid w:val="009E0F62"/>
    <w:rsid w:val="009E4A58"/>
    <w:rsid w:val="009E5A2D"/>
    <w:rsid w:val="009E5AB2"/>
    <w:rsid w:val="009E6219"/>
    <w:rsid w:val="009F03B3"/>
    <w:rsid w:val="009F6905"/>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25774"/>
    <w:rsid w:val="00A303B7"/>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3947"/>
    <w:rsid w:val="00A76F4E"/>
    <w:rsid w:val="00A77CCB"/>
    <w:rsid w:val="00A8385E"/>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4AC7"/>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3828"/>
    <w:rsid w:val="00AE5EB4"/>
    <w:rsid w:val="00AE7A69"/>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5FD7"/>
    <w:rsid w:val="00B4654C"/>
    <w:rsid w:val="00B46AF0"/>
    <w:rsid w:val="00B47293"/>
    <w:rsid w:val="00B50E50"/>
    <w:rsid w:val="00B52120"/>
    <w:rsid w:val="00B54ABC"/>
    <w:rsid w:val="00B54DDE"/>
    <w:rsid w:val="00B56FBE"/>
    <w:rsid w:val="00B57E39"/>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3D03"/>
    <w:rsid w:val="00BD52D7"/>
    <w:rsid w:val="00BD5AD2"/>
    <w:rsid w:val="00BD73C5"/>
    <w:rsid w:val="00BE22F3"/>
    <w:rsid w:val="00BE5B52"/>
    <w:rsid w:val="00BE7B8D"/>
    <w:rsid w:val="00BF0993"/>
    <w:rsid w:val="00BF10A9"/>
    <w:rsid w:val="00BF1703"/>
    <w:rsid w:val="00BF231C"/>
    <w:rsid w:val="00BF51E5"/>
    <w:rsid w:val="00BF74A6"/>
    <w:rsid w:val="00BF7925"/>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4F8"/>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39F9"/>
    <w:rsid w:val="00D66846"/>
    <w:rsid w:val="00D675FB"/>
    <w:rsid w:val="00D71F25"/>
    <w:rsid w:val="00D72A9C"/>
    <w:rsid w:val="00D77031"/>
    <w:rsid w:val="00D84941"/>
    <w:rsid w:val="00D84FA1"/>
    <w:rsid w:val="00D851F0"/>
    <w:rsid w:val="00D86DB7"/>
    <w:rsid w:val="00D86EA8"/>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C7336"/>
    <w:rsid w:val="00DD00FF"/>
    <w:rsid w:val="00DD0619"/>
    <w:rsid w:val="00DD07FB"/>
    <w:rsid w:val="00DD25C6"/>
    <w:rsid w:val="00DD4FE5"/>
    <w:rsid w:val="00DD54B0"/>
    <w:rsid w:val="00DD57EE"/>
    <w:rsid w:val="00DD6BCC"/>
    <w:rsid w:val="00DE0A4B"/>
    <w:rsid w:val="00DE2410"/>
    <w:rsid w:val="00DE2939"/>
    <w:rsid w:val="00DE6E81"/>
    <w:rsid w:val="00DE703F"/>
    <w:rsid w:val="00DE72BA"/>
    <w:rsid w:val="00DE7595"/>
    <w:rsid w:val="00DE7671"/>
    <w:rsid w:val="00DF085D"/>
    <w:rsid w:val="00DF1961"/>
    <w:rsid w:val="00DF44DE"/>
    <w:rsid w:val="00DF5F11"/>
    <w:rsid w:val="00E01138"/>
    <w:rsid w:val="00E02DFB"/>
    <w:rsid w:val="00E030F9"/>
    <w:rsid w:val="00E0311A"/>
    <w:rsid w:val="00E03138"/>
    <w:rsid w:val="00E031EE"/>
    <w:rsid w:val="00E06404"/>
    <w:rsid w:val="00E065D2"/>
    <w:rsid w:val="00E11A85"/>
    <w:rsid w:val="00E12495"/>
    <w:rsid w:val="00E15CCD"/>
    <w:rsid w:val="00E202EF"/>
    <w:rsid w:val="00E210B5"/>
    <w:rsid w:val="00E23D99"/>
    <w:rsid w:val="00E2426F"/>
    <w:rsid w:val="00E2552F"/>
    <w:rsid w:val="00E25E12"/>
    <w:rsid w:val="00E300DD"/>
    <w:rsid w:val="00E303A1"/>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3778"/>
    <w:rsid w:val="00E94AF0"/>
    <w:rsid w:val="00E95D13"/>
    <w:rsid w:val="00E95DD3"/>
    <w:rsid w:val="00E969D5"/>
    <w:rsid w:val="00EA3CC3"/>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8DD"/>
    <w:rsid w:val="00EE0E80"/>
    <w:rsid w:val="00EE54A6"/>
    <w:rsid w:val="00EE613F"/>
    <w:rsid w:val="00EE7295"/>
    <w:rsid w:val="00EE7305"/>
    <w:rsid w:val="00EE7869"/>
    <w:rsid w:val="00EF054A"/>
    <w:rsid w:val="00EF3235"/>
    <w:rsid w:val="00EF77FE"/>
    <w:rsid w:val="00EF7E72"/>
    <w:rsid w:val="00F06D37"/>
    <w:rsid w:val="00F07B9D"/>
    <w:rsid w:val="00F11586"/>
    <w:rsid w:val="00F1183B"/>
    <w:rsid w:val="00F11C9F"/>
    <w:rsid w:val="00F12263"/>
    <w:rsid w:val="00F1409D"/>
    <w:rsid w:val="00F14214"/>
    <w:rsid w:val="00F157A9"/>
    <w:rsid w:val="00F21938"/>
    <w:rsid w:val="00F25BB6"/>
    <w:rsid w:val="00F26B7E"/>
    <w:rsid w:val="00F27A3B"/>
    <w:rsid w:val="00F33817"/>
    <w:rsid w:val="00F36B89"/>
    <w:rsid w:val="00F420D5"/>
    <w:rsid w:val="00F451EA"/>
    <w:rsid w:val="00F45447"/>
    <w:rsid w:val="00F456C6"/>
    <w:rsid w:val="00F4577B"/>
    <w:rsid w:val="00F46496"/>
    <w:rsid w:val="00F474D0"/>
    <w:rsid w:val="00F50179"/>
    <w:rsid w:val="00F515EE"/>
    <w:rsid w:val="00F56511"/>
    <w:rsid w:val="00F57943"/>
    <w:rsid w:val="00F6194E"/>
    <w:rsid w:val="00F623AC"/>
    <w:rsid w:val="00F62D90"/>
    <w:rsid w:val="00F6412A"/>
    <w:rsid w:val="00F65893"/>
    <w:rsid w:val="00F66A4A"/>
    <w:rsid w:val="00F71E22"/>
    <w:rsid w:val="00F72142"/>
    <w:rsid w:val="00F72AE7"/>
    <w:rsid w:val="00F772EE"/>
    <w:rsid w:val="00F77A96"/>
    <w:rsid w:val="00F81141"/>
    <w:rsid w:val="00F833BA"/>
    <w:rsid w:val="00F84FD0"/>
    <w:rsid w:val="00F859A8"/>
    <w:rsid w:val="00F86D87"/>
    <w:rsid w:val="00F904B2"/>
    <w:rsid w:val="00F9108B"/>
    <w:rsid w:val="00F91349"/>
    <w:rsid w:val="00F93A8A"/>
    <w:rsid w:val="00F95248"/>
    <w:rsid w:val="00F955C1"/>
    <w:rsid w:val="00F956A9"/>
    <w:rsid w:val="00F963ED"/>
    <w:rsid w:val="00F966CF"/>
    <w:rsid w:val="00F96CAE"/>
    <w:rsid w:val="00F97C99"/>
    <w:rsid w:val="00FA4894"/>
    <w:rsid w:val="00FA4DAC"/>
    <w:rsid w:val="00FA5556"/>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303F"/>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A3C57F0"/>
    <w:rsid w:val="0BEF6A57"/>
    <w:rsid w:val="122E32E5"/>
    <w:rsid w:val="123B531D"/>
    <w:rsid w:val="12D76496"/>
    <w:rsid w:val="221C2B18"/>
    <w:rsid w:val="23AB5501"/>
    <w:rsid w:val="27D03788"/>
    <w:rsid w:val="296028EA"/>
    <w:rsid w:val="29E47902"/>
    <w:rsid w:val="2E0917A2"/>
    <w:rsid w:val="2E7024EE"/>
    <w:rsid w:val="301420D8"/>
    <w:rsid w:val="3FE37431"/>
    <w:rsid w:val="41CD5A95"/>
    <w:rsid w:val="486378A9"/>
    <w:rsid w:val="4E261AA5"/>
    <w:rsid w:val="51810B4B"/>
    <w:rsid w:val="559D43FA"/>
    <w:rsid w:val="57D66BD7"/>
    <w:rsid w:val="58D565A1"/>
    <w:rsid w:val="58E81E30"/>
    <w:rsid w:val="5B063D29"/>
    <w:rsid w:val="5F3A3447"/>
    <w:rsid w:val="5FC83055"/>
    <w:rsid w:val="64940A13"/>
    <w:rsid w:val="6665416A"/>
    <w:rsid w:val="676254A4"/>
    <w:rsid w:val="6DCC41CC"/>
    <w:rsid w:val="6DD10C8D"/>
    <w:rsid w:val="6E8A580C"/>
    <w:rsid w:val="6F5D43B1"/>
    <w:rsid w:val="708F6BDE"/>
    <w:rsid w:val="70E86E84"/>
    <w:rsid w:val="75183646"/>
    <w:rsid w:val="791C6377"/>
    <w:rsid w:val="7DCF2C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4">
    <w:name w:val="heading 1"/>
    <w:basedOn w:val="1"/>
    <w:next w:val="1"/>
    <w:link w:val="36"/>
    <w:autoRedefine/>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37"/>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link w:val="38"/>
    <w:autoRedefine/>
    <w:qFormat/>
    <w:uiPriority w:val="0"/>
    <w:pPr>
      <w:keepNext/>
      <w:keepLines/>
      <w:spacing w:before="260" w:after="260" w:line="416" w:lineRule="auto"/>
      <w:outlineLvl w:val="2"/>
    </w:pPr>
    <w:rPr>
      <w:b/>
      <w:bCs/>
      <w:sz w:val="32"/>
      <w:szCs w:val="32"/>
    </w:rPr>
  </w:style>
  <w:style w:type="paragraph" w:styleId="7">
    <w:name w:val="heading 4"/>
    <w:basedOn w:val="1"/>
    <w:next w:val="1"/>
    <w:link w:val="39"/>
    <w:autoRedefine/>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40"/>
    <w:autoRedefine/>
    <w:qFormat/>
    <w:uiPriority w:val="0"/>
    <w:pPr>
      <w:keepNext/>
      <w:keepLines/>
      <w:adjustRightInd/>
      <w:spacing w:before="280" w:after="290" w:line="376" w:lineRule="auto"/>
      <w:outlineLvl w:val="4"/>
    </w:pPr>
    <w:rPr>
      <w:b/>
      <w:bCs/>
      <w:sz w:val="28"/>
      <w:szCs w:val="28"/>
    </w:rPr>
  </w:style>
  <w:style w:type="paragraph" w:styleId="9">
    <w:name w:val="heading 6"/>
    <w:basedOn w:val="1"/>
    <w:next w:val="1"/>
    <w:link w:val="41"/>
    <w:autoRedefine/>
    <w:qFormat/>
    <w:uiPriority w:val="0"/>
    <w:pPr>
      <w:keepNext/>
      <w:keepLines/>
      <w:adjustRightInd/>
      <w:spacing w:before="240" w:after="64" w:line="320" w:lineRule="auto"/>
      <w:outlineLvl w:val="5"/>
    </w:pPr>
    <w:rPr>
      <w:rFonts w:ascii="Arial" w:hAnsi="Arial" w:eastAsia="黑体"/>
      <w:b/>
      <w:bCs/>
      <w:sz w:val="24"/>
      <w:szCs w:val="24"/>
    </w:rPr>
  </w:style>
  <w:style w:type="paragraph" w:styleId="10">
    <w:name w:val="heading 7"/>
    <w:basedOn w:val="1"/>
    <w:next w:val="1"/>
    <w:link w:val="42"/>
    <w:autoRedefine/>
    <w:qFormat/>
    <w:uiPriority w:val="0"/>
    <w:pPr>
      <w:keepNext/>
      <w:keepLines/>
      <w:adjustRightInd/>
      <w:spacing w:before="240" w:after="64" w:line="320" w:lineRule="auto"/>
      <w:outlineLvl w:val="6"/>
    </w:pPr>
    <w:rPr>
      <w:b/>
      <w:bCs/>
      <w:sz w:val="24"/>
      <w:szCs w:val="24"/>
    </w:rPr>
  </w:style>
  <w:style w:type="paragraph" w:styleId="11">
    <w:name w:val="heading 8"/>
    <w:basedOn w:val="1"/>
    <w:next w:val="1"/>
    <w:link w:val="43"/>
    <w:autoRedefine/>
    <w:qFormat/>
    <w:uiPriority w:val="0"/>
    <w:pPr>
      <w:keepNext/>
      <w:keepLines/>
      <w:adjustRightInd/>
      <w:spacing w:before="240" w:after="64" w:line="320" w:lineRule="auto"/>
      <w:outlineLvl w:val="7"/>
    </w:pPr>
    <w:rPr>
      <w:rFonts w:ascii="Arial" w:hAnsi="Arial" w:eastAsia="黑体"/>
      <w:sz w:val="24"/>
      <w:szCs w:val="24"/>
    </w:rPr>
  </w:style>
  <w:style w:type="paragraph" w:styleId="12">
    <w:name w:val="heading 9"/>
    <w:basedOn w:val="1"/>
    <w:next w:val="1"/>
    <w:link w:val="44"/>
    <w:autoRedefine/>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semiHidden/>
    <w:unhideWhenUsed/>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customStyle="1" w:styleId="2">
    <w:name w:val="BodyText1I2"/>
    <w:basedOn w:val="3"/>
    <w:autoRedefine/>
    <w:qFormat/>
    <w:uiPriority w:val="0"/>
    <w:pPr>
      <w:ind w:firstLine="420"/>
    </w:pPr>
  </w:style>
  <w:style w:type="paragraph" w:customStyle="1" w:styleId="3">
    <w:name w:val="BodyTextIndent"/>
    <w:basedOn w:val="1"/>
    <w:autoRedefine/>
    <w:qFormat/>
    <w:uiPriority w:val="0"/>
    <w:pPr>
      <w:spacing w:after="120"/>
      <w:ind w:left="420" w:leftChars="200"/>
    </w:pPr>
  </w:style>
  <w:style w:type="paragraph" w:styleId="13">
    <w:name w:val="toc 7"/>
    <w:basedOn w:val="1"/>
    <w:next w:val="1"/>
    <w:autoRedefine/>
    <w:unhideWhenUsed/>
    <w:qFormat/>
    <w:uiPriority w:val="39"/>
    <w:pPr>
      <w:tabs>
        <w:tab w:val="right" w:leader="dot" w:pos="9344"/>
      </w:tabs>
      <w:spacing w:line="300" w:lineRule="exact"/>
      <w:ind w:left="1259"/>
    </w:pPr>
    <w:rPr>
      <w:rFonts w:ascii="宋体"/>
    </w:rPr>
  </w:style>
  <w:style w:type="paragraph" w:styleId="14">
    <w:name w:val="Normal Indent"/>
    <w:basedOn w:val="1"/>
    <w:autoRedefine/>
    <w:qFormat/>
    <w:uiPriority w:val="0"/>
    <w:pPr>
      <w:ind w:firstLine="420"/>
    </w:pPr>
  </w:style>
  <w:style w:type="paragraph" w:styleId="15">
    <w:name w:val="Body Text"/>
    <w:basedOn w:val="1"/>
    <w:link w:val="88"/>
    <w:autoRedefine/>
    <w:qFormat/>
    <w:uiPriority w:val="0"/>
    <w:pPr>
      <w:spacing w:after="120"/>
    </w:pPr>
  </w:style>
  <w:style w:type="paragraph" w:styleId="16">
    <w:name w:val="toc 5"/>
    <w:basedOn w:val="1"/>
    <w:next w:val="1"/>
    <w:autoRedefine/>
    <w:unhideWhenUsed/>
    <w:qFormat/>
    <w:uiPriority w:val="39"/>
    <w:pPr>
      <w:ind w:left="839"/>
    </w:pPr>
    <w:rPr>
      <w:rFonts w:ascii="宋体"/>
    </w:rPr>
  </w:style>
  <w:style w:type="paragraph" w:styleId="17">
    <w:name w:val="toc 3"/>
    <w:basedOn w:val="1"/>
    <w:next w:val="1"/>
    <w:autoRedefine/>
    <w:unhideWhenUsed/>
    <w:qFormat/>
    <w:uiPriority w:val="39"/>
    <w:pPr>
      <w:spacing w:line="300" w:lineRule="exact"/>
      <w:ind w:left="420"/>
    </w:pPr>
    <w:rPr>
      <w:rFonts w:ascii="宋体"/>
    </w:rPr>
  </w:style>
  <w:style w:type="paragraph" w:styleId="18">
    <w:name w:val="Balloon Text"/>
    <w:basedOn w:val="1"/>
    <w:link w:val="47"/>
    <w:autoRedefine/>
    <w:semiHidden/>
    <w:unhideWhenUsed/>
    <w:qFormat/>
    <w:uiPriority w:val="99"/>
    <w:rPr>
      <w:sz w:val="18"/>
      <w:szCs w:val="18"/>
    </w:rPr>
  </w:style>
  <w:style w:type="paragraph" w:styleId="19">
    <w:name w:val="footer"/>
    <w:basedOn w:val="1"/>
    <w:link w:val="46"/>
    <w:autoRedefine/>
    <w:qFormat/>
    <w:uiPriority w:val="99"/>
    <w:pPr>
      <w:tabs>
        <w:tab w:val="center" w:pos="4153"/>
        <w:tab w:val="right" w:pos="8306"/>
      </w:tabs>
      <w:adjustRightInd/>
      <w:snapToGrid w:val="0"/>
      <w:spacing w:line="240" w:lineRule="auto"/>
      <w:jc w:val="right"/>
    </w:pPr>
    <w:rPr>
      <w:rFonts w:ascii="宋体"/>
      <w:sz w:val="18"/>
      <w:szCs w:val="18"/>
    </w:rPr>
  </w:style>
  <w:style w:type="paragraph" w:styleId="20">
    <w:name w:val="header"/>
    <w:basedOn w:val="1"/>
    <w:link w:val="45"/>
    <w:autoRedefine/>
    <w:qFormat/>
    <w:uiPriority w:val="99"/>
    <w:pPr>
      <w:tabs>
        <w:tab w:val="center" w:pos="4153"/>
        <w:tab w:val="right" w:pos="8306"/>
      </w:tabs>
      <w:adjustRightInd/>
      <w:snapToGrid w:val="0"/>
      <w:jc w:val="center"/>
    </w:pPr>
    <w:rPr>
      <w:sz w:val="18"/>
      <w:szCs w:val="18"/>
    </w:rPr>
  </w:style>
  <w:style w:type="paragraph" w:styleId="21">
    <w:name w:val="toc 1"/>
    <w:basedOn w:val="1"/>
    <w:next w:val="1"/>
    <w:autoRedefine/>
    <w:unhideWhenUsed/>
    <w:qFormat/>
    <w:uiPriority w:val="39"/>
    <w:rPr>
      <w:rFonts w:ascii="宋体"/>
    </w:rPr>
  </w:style>
  <w:style w:type="paragraph" w:styleId="22">
    <w:name w:val="toc 4"/>
    <w:basedOn w:val="1"/>
    <w:next w:val="1"/>
    <w:autoRedefine/>
    <w:unhideWhenUsed/>
    <w:qFormat/>
    <w:uiPriority w:val="39"/>
    <w:pPr>
      <w:tabs>
        <w:tab w:val="right" w:leader="dot" w:pos="9344"/>
      </w:tabs>
      <w:spacing w:line="300" w:lineRule="exact"/>
      <w:ind w:left="629"/>
    </w:pPr>
    <w:rPr>
      <w:rFonts w:ascii="宋体"/>
    </w:rPr>
  </w:style>
  <w:style w:type="paragraph" w:styleId="23">
    <w:name w:val="footnote text"/>
    <w:basedOn w:val="1"/>
    <w:next w:val="1"/>
    <w:link w:val="101"/>
    <w:autoRedefine/>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4">
    <w:name w:val="toc 6"/>
    <w:basedOn w:val="1"/>
    <w:next w:val="1"/>
    <w:autoRedefine/>
    <w:unhideWhenUsed/>
    <w:qFormat/>
    <w:uiPriority w:val="39"/>
    <w:pPr>
      <w:spacing w:line="300" w:lineRule="exact"/>
      <w:ind w:left="1049"/>
    </w:pPr>
    <w:rPr>
      <w:rFonts w:ascii="宋体"/>
    </w:rPr>
  </w:style>
  <w:style w:type="paragraph" w:styleId="25">
    <w:name w:val="table of figures"/>
    <w:basedOn w:val="1"/>
    <w:next w:val="1"/>
    <w:autoRedefine/>
    <w:semiHidden/>
    <w:qFormat/>
    <w:uiPriority w:val="0"/>
    <w:pPr>
      <w:adjustRightInd/>
      <w:spacing w:line="240" w:lineRule="auto"/>
      <w:jc w:val="left"/>
    </w:pPr>
    <w:rPr>
      <w:szCs w:val="24"/>
    </w:rPr>
  </w:style>
  <w:style w:type="paragraph" w:styleId="26">
    <w:name w:val="toc 2"/>
    <w:basedOn w:val="1"/>
    <w:next w:val="1"/>
    <w:autoRedefine/>
    <w:unhideWhenUsed/>
    <w:qFormat/>
    <w:uiPriority w:val="39"/>
    <w:pPr>
      <w:tabs>
        <w:tab w:val="right" w:leader="dot" w:pos="9344"/>
      </w:tabs>
      <w:spacing w:line="300" w:lineRule="exact"/>
      <w:ind w:left="210"/>
    </w:pPr>
    <w:rPr>
      <w:rFonts w:ascii="宋体"/>
    </w:rPr>
  </w:style>
  <w:style w:type="paragraph" w:styleId="27">
    <w:name w:val="Title"/>
    <w:basedOn w:val="1"/>
    <w:link w:val="50"/>
    <w:autoRedefine/>
    <w:qFormat/>
    <w:uiPriority w:val="0"/>
    <w:pPr>
      <w:spacing w:before="240" w:after="60"/>
      <w:jc w:val="center"/>
      <w:outlineLvl w:val="0"/>
    </w:pPr>
    <w:rPr>
      <w:rFonts w:ascii="Arial" w:hAnsi="Arial" w:cs="Arial"/>
      <w:b/>
      <w:bCs/>
      <w:sz w:val="32"/>
      <w:szCs w:val="32"/>
    </w:rPr>
  </w:style>
  <w:style w:type="table" w:styleId="29">
    <w:name w:val="Table Grid"/>
    <w:basedOn w:val="2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autoRedefine/>
    <w:qFormat/>
    <w:uiPriority w:val="22"/>
    <w:rPr>
      <w:b/>
      <w:bCs/>
    </w:rPr>
  </w:style>
  <w:style w:type="character" w:styleId="32">
    <w:name w:val="page number"/>
    <w:autoRedefine/>
    <w:qFormat/>
    <w:uiPriority w:val="0"/>
    <w:rPr>
      <w:rFonts w:ascii="宋体" w:hAnsi="Times New Roman" w:eastAsia="宋体"/>
      <w:sz w:val="18"/>
    </w:rPr>
  </w:style>
  <w:style w:type="character" w:styleId="33">
    <w:name w:val="Emphasis"/>
    <w:autoRedefine/>
    <w:qFormat/>
    <w:uiPriority w:val="20"/>
    <w:rPr>
      <w:i/>
      <w:iCs/>
    </w:rPr>
  </w:style>
  <w:style w:type="character" w:styleId="34">
    <w:name w:val="Hyperlink"/>
    <w:autoRedefine/>
    <w:qFormat/>
    <w:uiPriority w:val="99"/>
    <w:rPr>
      <w:rFonts w:ascii="宋体" w:hAnsi="Times New Roman" w:eastAsia="宋体"/>
      <w:color w:val="auto"/>
      <w:spacing w:val="0"/>
      <w:w w:val="100"/>
      <w:position w:val="0"/>
      <w:sz w:val="21"/>
      <w:u w:val="none"/>
      <w:vertAlign w:val="baseline"/>
    </w:rPr>
  </w:style>
  <w:style w:type="character" w:styleId="35">
    <w:name w:val="footnote reference"/>
    <w:autoRedefine/>
    <w:semiHidden/>
    <w:qFormat/>
    <w:uiPriority w:val="0"/>
    <w:rPr>
      <w:rFonts w:ascii="宋体" w:hAnsi="宋体" w:eastAsia="宋体" w:cs="Times New Roman"/>
      <w:spacing w:val="0"/>
      <w:sz w:val="18"/>
      <w:vertAlign w:val="superscript"/>
    </w:rPr>
  </w:style>
  <w:style w:type="character" w:customStyle="1" w:styleId="36">
    <w:name w:val="标题 1 字符"/>
    <w:link w:val="4"/>
    <w:autoRedefine/>
    <w:qFormat/>
    <w:uiPriority w:val="0"/>
    <w:rPr>
      <w:b/>
      <w:bCs/>
      <w:kern w:val="44"/>
      <w:sz w:val="44"/>
      <w:szCs w:val="44"/>
    </w:rPr>
  </w:style>
  <w:style w:type="character" w:customStyle="1" w:styleId="37">
    <w:name w:val="标题 2 字符"/>
    <w:link w:val="5"/>
    <w:autoRedefine/>
    <w:qFormat/>
    <w:uiPriority w:val="0"/>
    <w:rPr>
      <w:rFonts w:ascii="Arial" w:hAnsi="Arial" w:eastAsia="黑体"/>
      <w:b/>
      <w:bCs/>
      <w:kern w:val="2"/>
      <w:sz w:val="32"/>
      <w:szCs w:val="32"/>
    </w:rPr>
  </w:style>
  <w:style w:type="character" w:customStyle="1" w:styleId="38">
    <w:name w:val="标题 3 字符"/>
    <w:link w:val="6"/>
    <w:autoRedefine/>
    <w:qFormat/>
    <w:uiPriority w:val="0"/>
    <w:rPr>
      <w:b/>
      <w:bCs/>
      <w:kern w:val="2"/>
      <w:sz w:val="32"/>
      <w:szCs w:val="32"/>
    </w:rPr>
  </w:style>
  <w:style w:type="character" w:customStyle="1" w:styleId="39">
    <w:name w:val="标题 4 字符"/>
    <w:link w:val="7"/>
    <w:autoRedefine/>
    <w:qFormat/>
    <w:uiPriority w:val="0"/>
    <w:rPr>
      <w:rFonts w:ascii="Arial" w:hAnsi="Arial" w:eastAsia="黑体"/>
      <w:b/>
      <w:bCs/>
      <w:kern w:val="2"/>
      <w:sz w:val="28"/>
      <w:szCs w:val="28"/>
    </w:rPr>
  </w:style>
  <w:style w:type="character" w:customStyle="1" w:styleId="40">
    <w:name w:val="标题 5 字符"/>
    <w:link w:val="8"/>
    <w:autoRedefine/>
    <w:qFormat/>
    <w:uiPriority w:val="0"/>
    <w:rPr>
      <w:b/>
      <w:bCs/>
      <w:kern w:val="2"/>
      <w:sz w:val="28"/>
      <w:szCs w:val="28"/>
    </w:rPr>
  </w:style>
  <w:style w:type="character" w:customStyle="1" w:styleId="41">
    <w:name w:val="标题 6 字符"/>
    <w:link w:val="9"/>
    <w:autoRedefine/>
    <w:qFormat/>
    <w:uiPriority w:val="0"/>
    <w:rPr>
      <w:rFonts w:ascii="Arial" w:hAnsi="Arial" w:eastAsia="黑体"/>
      <w:b/>
      <w:bCs/>
      <w:kern w:val="2"/>
      <w:sz w:val="24"/>
      <w:szCs w:val="24"/>
    </w:rPr>
  </w:style>
  <w:style w:type="character" w:customStyle="1" w:styleId="42">
    <w:name w:val="标题 7 字符"/>
    <w:link w:val="10"/>
    <w:qFormat/>
    <w:uiPriority w:val="0"/>
    <w:rPr>
      <w:b/>
      <w:bCs/>
      <w:kern w:val="2"/>
      <w:sz w:val="24"/>
      <w:szCs w:val="24"/>
    </w:rPr>
  </w:style>
  <w:style w:type="character" w:customStyle="1" w:styleId="43">
    <w:name w:val="标题 8 字符"/>
    <w:link w:val="11"/>
    <w:qFormat/>
    <w:uiPriority w:val="0"/>
    <w:rPr>
      <w:rFonts w:ascii="Arial" w:hAnsi="Arial" w:eastAsia="黑体"/>
      <w:kern w:val="2"/>
      <w:sz w:val="24"/>
      <w:szCs w:val="24"/>
    </w:rPr>
  </w:style>
  <w:style w:type="character" w:customStyle="1" w:styleId="44">
    <w:name w:val="标题 9 字符"/>
    <w:link w:val="12"/>
    <w:qFormat/>
    <w:uiPriority w:val="0"/>
    <w:rPr>
      <w:rFonts w:ascii="Arial" w:hAnsi="Arial" w:eastAsia="黑体"/>
      <w:kern w:val="2"/>
      <w:sz w:val="21"/>
      <w:szCs w:val="21"/>
    </w:rPr>
  </w:style>
  <w:style w:type="character" w:customStyle="1" w:styleId="45">
    <w:name w:val="页眉 字符"/>
    <w:link w:val="20"/>
    <w:uiPriority w:val="99"/>
    <w:rPr>
      <w:kern w:val="2"/>
      <w:sz w:val="18"/>
      <w:szCs w:val="18"/>
    </w:rPr>
  </w:style>
  <w:style w:type="character" w:customStyle="1" w:styleId="46">
    <w:name w:val="页脚 字符"/>
    <w:link w:val="19"/>
    <w:uiPriority w:val="99"/>
    <w:rPr>
      <w:rFonts w:ascii="宋体"/>
      <w:kern w:val="2"/>
      <w:sz w:val="18"/>
      <w:szCs w:val="18"/>
    </w:rPr>
  </w:style>
  <w:style w:type="character" w:customStyle="1" w:styleId="47">
    <w:name w:val="批注框文本 字符"/>
    <w:link w:val="18"/>
    <w:semiHidden/>
    <w:qFormat/>
    <w:uiPriority w:val="99"/>
    <w:rPr>
      <w:kern w:val="2"/>
      <w:sz w:val="18"/>
      <w:szCs w:val="18"/>
    </w:rPr>
  </w:style>
  <w:style w:type="paragraph" w:styleId="48">
    <w:name w:val="Quote"/>
    <w:basedOn w:val="1"/>
    <w:next w:val="1"/>
    <w:link w:val="49"/>
    <w:qFormat/>
    <w:uiPriority w:val="29"/>
    <w:rPr>
      <w:i/>
      <w:iCs/>
      <w:color w:val="000000"/>
    </w:rPr>
  </w:style>
  <w:style w:type="character" w:customStyle="1" w:styleId="49">
    <w:name w:val="引用 字符"/>
    <w:link w:val="48"/>
    <w:uiPriority w:val="29"/>
    <w:rPr>
      <w:i/>
      <w:iCs/>
      <w:color w:val="000000"/>
      <w:kern w:val="2"/>
      <w:sz w:val="21"/>
      <w:szCs w:val="21"/>
    </w:rPr>
  </w:style>
  <w:style w:type="character" w:customStyle="1" w:styleId="50">
    <w:name w:val="标题 字符"/>
    <w:link w:val="27"/>
    <w:qFormat/>
    <w:uiPriority w:val="0"/>
    <w:rPr>
      <w:rFonts w:ascii="Arial" w:hAnsi="Arial" w:cs="Arial"/>
      <w:b/>
      <w:bCs/>
      <w:kern w:val="2"/>
      <w:sz w:val="32"/>
      <w:szCs w:val="32"/>
    </w:rPr>
  </w:style>
  <w:style w:type="paragraph" w:customStyle="1" w:styleId="51">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2">
    <w:name w:val="标准称谓"/>
    <w:next w:val="1"/>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3">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4">
    <w:name w:val="标准文件_页脚奇数页"/>
    <w:uiPriority w:val="0"/>
    <w:pPr>
      <w:ind w:right="227"/>
      <w:jc w:val="right"/>
    </w:pPr>
    <w:rPr>
      <w:rFonts w:ascii="宋体" w:hAnsi="Times New Roman" w:eastAsia="宋体" w:cs="Times New Roman"/>
      <w:sz w:val="18"/>
      <w:lang w:val="en-US" w:eastAsia="zh-CN" w:bidi="ar-SA"/>
    </w:rPr>
  </w:style>
  <w:style w:type="paragraph" w:customStyle="1" w:styleId="55">
    <w:name w:val="标准书眉一"/>
    <w:uiPriority w:val="0"/>
    <w:pPr>
      <w:jc w:val="both"/>
    </w:pPr>
    <w:rPr>
      <w:rFonts w:ascii="Times New Roman" w:hAnsi="Times New Roman" w:eastAsia="宋体" w:cs="Times New Roman"/>
      <w:lang w:val="en-US" w:eastAsia="zh-CN" w:bidi="ar-SA"/>
    </w:rPr>
  </w:style>
  <w:style w:type="paragraph" w:customStyle="1" w:styleId="56">
    <w:name w:val="标准文件_ICS"/>
    <w:basedOn w:val="1"/>
    <w:uiPriority w:val="0"/>
    <w:pPr>
      <w:spacing w:line="0" w:lineRule="atLeast"/>
    </w:pPr>
    <w:rPr>
      <w:rFonts w:ascii="黑体" w:hAnsi="宋体" w:eastAsia="黑体"/>
    </w:rPr>
  </w:style>
  <w:style w:type="paragraph" w:customStyle="1" w:styleId="57">
    <w:name w:val="标准文件_标准正文"/>
    <w:basedOn w:val="1"/>
    <w:next w:val="58"/>
    <w:uiPriority w:val="0"/>
    <w:pPr>
      <w:snapToGrid w:val="0"/>
      <w:ind w:firstLine="200" w:firstLineChars="200"/>
    </w:pPr>
    <w:rPr>
      <w:kern w:val="0"/>
    </w:rPr>
  </w:style>
  <w:style w:type="paragraph" w:customStyle="1" w:styleId="58">
    <w:name w:val="标准文件_段"/>
    <w:link w:val="186"/>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9">
    <w:name w:val="标准文件_版本"/>
    <w:basedOn w:val="57"/>
    <w:uiPriority w:val="0"/>
    <w:pPr>
      <w:adjustRightInd/>
      <w:snapToGrid/>
      <w:ind w:firstLine="0" w:firstLineChars="0"/>
    </w:pPr>
    <w:rPr>
      <w:rFonts w:ascii="宋体" w:hAnsi="宋体"/>
      <w:kern w:val="2"/>
    </w:rPr>
  </w:style>
  <w:style w:type="paragraph" w:customStyle="1" w:styleId="60">
    <w:name w:val="标准文件_标准部门"/>
    <w:basedOn w:val="1"/>
    <w:autoRedefine/>
    <w:qFormat/>
    <w:uiPriority w:val="0"/>
    <w:pPr>
      <w:jc w:val="center"/>
    </w:pPr>
    <w:rPr>
      <w:rFonts w:ascii="黑体" w:eastAsia="黑体"/>
      <w:kern w:val="0"/>
      <w:sz w:val="44"/>
    </w:rPr>
  </w:style>
  <w:style w:type="paragraph" w:customStyle="1" w:styleId="61">
    <w:name w:val="标准文件_标准代替"/>
    <w:basedOn w:val="1"/>
    <w:next w:val="1"/>
    <w:autoRedefine/>
    <w:qFormat/>
    <w:uiPriority w:val="0"/>
    <w:pPr>
      <w:spacing w:line="310" w:lineRule="exact"/>
      <w:jc w:val="right"/>
    </w:pPr>
    <w:rPr>
      <w:rFonts w:ascii="宋体" w:hAnsi="宋体"/>
      <w:kern w:val="0"/>
    </w:rPr>
  </w:style>
  <w:style w:type="paragraph" w:customStyle="1" w:styleId="62">
    <w:name w:val="标准文件_标准名称标题"/>
    <w:basedOn w:val="1"/>
    <w:next w:val="1"/>
    <w:autoRedefine/>
    <w:qFormat/>
    <w:uiPriority w:val="0"/>
    <w:pPr>
      <w:widowControl/>
      <w:shd w:val="clear" w:color="FFFFFF" w:fill="FFFFFF"/>
      <w:adjustRightInd/>
      <w:spacing w:before="640" w:after="100"/>
      <w:jc w:val="center"/>
    </w:pPr>
    <w:rPr>
      <w:rFonts w:ascii="黑体" w:eastAsia="黑体"/>
      <w:kern w:val="0"/>
      <w:sz w:val="32"/>
    </w:rPr>
  </w:style>
  <w:style w:type="paragraph" w:customStyle="1" w:styleId="63">
    <w:name w:val="标准文件_页眉奇数页"/>
    <w:next w:val="1"/>
    <w:autoRedefine/>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4">
    <w:name w:val="标准文件_页眉偶数页"/>
    <w:basedOn w:val="63"/>
    <w:next w:val="1"/>
    <w:autoRedefine/>
    <w:qFormat/>
    <w:uiPriority w:val="0"/>
    <w:pPr>
      <w:jc w:val="left"/>
    </w:pPr>
  </w:style>
  <w:style w:type="paragraph" w:customStyle="1" w:styleId="65">
    <w:name w:val="标准文件_参考文献标题"/>
    <w:basedOn w:val="1"/>
    <w:next w:val="1"/>
    <w:autoRedefine/>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6">
    <w:name w:val="标准文件_参考文献条目"/>
    <w:autoRedefine/>
    <w:qFormat/>
    <w:uiPriority w:val="0"/>
    <w:pPr>
      <w:numPr>
        <w:ilvl w:val="0"/>
        <w:numId w:val="1"/>
      </w:numPr>
    </w:pPr>
    <w:rPr>
      <w:rFonts w:ascii="宋体" w:hAnsi="Times New Roman" w:eastAsia="宋体" w:cs="Times New Roman"/>
      <w:lang w:val="en-US" w:eastAsia="zh-CN" w:bidi="ar-SA"/>
    </w:rPr>
  </w:style>
  <w:style w:type="paragraph" w:customStyle="1" w:styleId="67">
    <w:name w:val="标准文件_二级条标题"/>
    <w:next w:val="58"/>
    <w:autoRedefine/>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8">
    <w:name w:val="标准文件_发布"/>
    <w:autoRedefine/>
    <w:qFormat/>
    <w:uiPriority w:val="0"/>
    <w:rPr>
      <w:rFonts w:ascii="黑体" w:eastAsia="黑体"/>
      <w:spacing w:val="0"/>
      <w:w w:val="100"/>
      <w:position w:val="3"/>
      <w:sz w:val="28"/>
    </w:rPr>
  </w:style>
  <w:style w:type="paragraph" w:customStyle="1" w:styleId="69">
    <w:name w:val="标准文件_方框数字列项"/>
    <w:basedOn w:val="58"/>
    <w:autoRedefine/>
    <w:qFormat/>
    <w:uiPriority w:val="0"/>
    <w:pPr>
      <w:numPr>
        <w:ilvl w:val="0"/>
        <w:numId w:val="3"/>
      </w:numPr>
      <w:ind w:firstLine="0" w:firstLineChars="0"/>
    </w:pPr>
  </w:style>
  <w:style w:type="paragraph" w:customStyle="1" w:styleId="70">
    <w:name w:val="标准文件_封面标准编号"/>
    <w:basedOn w:val="1"/>
    <w:next w:val="61"/>
    <w:autoRedefine/>
    <w:qFormat/>
    <w:uiPriority w:val="0"/>
    <w:pPr>
      <w:spacing w:line="310" w:lineRule="exact"/>
      <w:jc w:val="right"/>
    </w:pPr>
    <w:rPr>
      <w:rFonts w:ascii="黑体" w:eastAsia="黑体"/>
      <w:kern w:val="0"/>
      <w:sz w:val="28"/>
    </w:rPr>
  </w:style>
  <w:style w:type="paragraph" w:customStyle="1" w:styleId="71">
    <w:name w:val="标准文件_封面标准分类号"/>
    <w:basedOn w:val="1"/>
    <w:autoRedefine/>
    <w:qFormat/>
    <w:uiPriority w:val="0"/>
    <w:rPr>
      <w:rFonts w:ascii="黑体" w:eastAsia="黑体"/>
      <w:b/>
      <w:kern w:val="0"/>
      <w:sz w:val="28"/>
    </w:rPr>
  </w:style>
  <w:style w:type="paragraph" w:customStyle="1" w:styleId="72">
    <w:name w:val="标准文件_封面标准名称"/>
    <w:basedOn w:val="1"/>
    <w:autoRedefine/>
    <w:qFormat/>
    <w:uiPriority w:val="0"/>
    <w:pPr>
      <w:spacing w:line="240" w:lineRule="auto"/>
      <w:jc w:val="center"/>
    </w:pPr>
    <w:rPr>
      <w:rFonts w:ascii="黑体" w:eastAsia="黑体"/>
      <w:kern w:val="0"/>
      <w:sz w:val="52"/>
    </w:rPr>
  </w:style>
  <w:style w:type="paragraph" w:customStyle="1" w:styleId="73">
    <w:name w:val="标准文件_封面标准英文名称"/>
    <w:basedOn w:val="1"/>
    <w:autoRedefine/>
    <w:qFormat/>
    <w:uiPriority w:val="0"/>
    <w:pPr>
      <w:spacing w:line="240" w:lineRule="auto"/>
      <w:jc w:val="center"/>
    </w:pPr>
    <w:rPr>
      <w:rFonts w:ascii="黑体" w:eastAsia="黑体"/>
      <w:b/>
      <w:sz w:val="28"/>
    </w:rPr>
  </w:style>
  <w:style w:type="paragraph" w:customStyle="1" w:styleId="74">
    <w:name w:val="标准文件_封面发布日期"/>
    <w:basedOn w:val="1"/>
    <w:autoRedefine/>
    <w:qFormat/>
    <w:uiPriority w:val="0"/>
    <w:pPr>
      <w:spacing w:line="310" w:lineRule="exact"/>
    </w:pPr>
    <w:rPr>
      <w:rFonts w:ascii="黑体" w:eastAsia="黑体"/>
      <w:kern w:val="0"/>
      <w:sz w:val="28"/>
    </w:rPr>
  </w:style>
  <w:style w:type="paragraph" w:customStyle="1" w:styleId="75">
    <w:name w:val="标准文件_封面密级"/>
    <w:basedOn w:val="1"/>
    <w:autoRedefine/>
    <w:qFormat/>
    <w:uiPriority w:val="0"/>
    <w:rPr>
      <w:rFonts w:eastAsia="黑体"/>
      <w:sz w:val="32"/>
    </w:rPr>
  </w:style>
  <w:style w:type="paragraph" w:customStyle="1" w:styleId="76">
    <w:name w:val="标准文件_封面实施日期"/>
    <w:basedOn w:val="1"/>
    <w:autoRedefine/>
    <w:qFormat/>
    <w:uiPriority w:val="0"/>
    <w:pPr>
      <w:spacing w:line="310" w:lineRule="exact"/>
      <w:jc w:val="right"/>
    </w:pPr>
    <w:rPr>
      <w:rFonts w:ascii="黑体" w:eastAsia="黑体"/>
      <w:sz w:val="28"/>
    </w:rPr>
  </w:style>
  <w:style w:type="paragraph" w:customStyle="1" w:styleId="77">
    <w:name w:val="标准文件_封面抬头"/>
    <w:basedOn w:val="58"/>
    <w:autoRedefine/>
    <w:qFormat/>
    <w:uiPriority w:val="0"/>
    <w:pPr>
      <w:adjustRightInd w:val="0"/>
      <w:spacing w:line="800" w:lineRule="exact"/>
      <w:ind w:firstLine="0" w:firstLineChars="0"/>
      <w:jc w:val="distribute"/>
    </w:pPr>
    <w:rPr>
      <w:rFonts w:ascii="黑体" w:eastAsia="黑体"/>
      <w:b/>
      <w:sz w:val="64"/>
    </w:rPr>
  </w:style>
  <w:style w:type="paragraph" w:customStyle="1" w:styleId="78">
    <w:name w:val="标准文件_附录标识"/>
    <w:next w:val="58"/>
    <w:autoRedefine/>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9">
    <w:name w:val="标准文件_附录表标题"/>
    <w:next w:val="58"/>
    <w:autoRedefine/>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80">
    <w:name w:val="标准文件_附录一级条标题"/>
    <w:next w:val="58"/>
    <w:autoRedefine/>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1">
    <w:name w:val="标准文件_附录二级条标题"/>
    <w:basedOn w:val="80"/>
    <w:next w:val="58"/>
    <w:autoRedefine/>
    <w:qFormat/>
    <w:uiPriority w:val="0"/>
    <w:pPr>
      <w:widowControl/>
      <w:numPr>
        <w:ilvl w:val="2"/>
      </w:numPr>
      <w:wordWrap w:val="0"/>
      <w:overflowPunct w:val="0"/>
      <w:autoSpaceDE w:val="0"/>
      <w:autoSpaceDN w:val="0"/>
      <w:textAlignment w:val="baseline"/>
      <w:outlineLvl w:val="3"/>
    </w:pPr>
  </w:style>
  <w:style w:type="paragraph" w:customStyle="1" w:styleId="82">
    <w:name w:val="标准文件_附录公式"/>
    <w:basedOn w:val="57"/>
    <w:next w:val="57"/>
    <w:autoRedefine/>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3">
    <w:name w:val="标准文件_附录三级条标题"/>
    <w:next w:val="58"/>
    <w:autoRedefine/>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4">
    <w:name w:val="标准文件_附录四级条标题"/>
    <w:next w:val="58"/>
    <w:autoRedefine/>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5">
    <w:name w:val="标准文件_附录图标题"/>
    <w:next w:val="58"/>
    <w:autoRedefine/>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6">
    <w:name w:val="标准文件_附录五级条标题"/>
    <w:next w:val="58"/>
    <w:autoRedefine/>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7">
    <w:name w:val="标准文件_附录英文标识"/>
    <w:next w:val="15"/>
    <w:autoRedefine/>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8">
    <w:name w:val="正文文本 字符"/>
    <w:link w:val="15"/>
    <w:qFormat/>
    <w:uiPriority w:val="0"/>
    <w:rPr>
      <w:kern w:val="2"/>
      <w:sz w:val="21"/>
      <w:szCs w:val="21"/>
    </w:rPr>
  </w:style>
  <w:style w:type="paragraph" w:customStyle="1" w:styleId="89">
    <w:name w:val="标准文件_附录章标题"/>
    <w:next w:val="58"/>
    <w:autoRedefine/>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0">
    <w:name w:val="标准文件_公式后的破折号"/>
    <w:basedOn w:val="58"/>
    <w:next w:val="58"/>
    <w:autoRedefine/>
    <w:qFormat/>
    <w:uiPriority w:val="0"/>
    <w:pPr>
      <w:ind w:left="488" w:leftChars="200" w:hanging="289" w:hangingChars="290"/>
    </w:pPr>
  </w:style>
  <w:style w:type="paragraph" w:customStyle="1" w:styleId="91">
    <w:name w:val="标准文件_前言、引言标题"/>
    <w:next w:val="1"/>
    <w:autoRedefine/>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2">
    <w:name w:val="标准文件_目次、标准名称标题"/>
    <w:basedOn w:val="91"/>
    <w:next w:val="58"/>
    <w:autoRedefine/>
    <w:qFormat/>
    <w:uiPriority w:val="0"/>
    <w:pPr>
      <w:spacing w:line="460" w:lineRule="exact"/>
      <w:ind w:left="0" w:firstLine="0"/>
    </w:pPr>
  </w:style>
  <w:style w:type="paragraph" w:customStyle="1" w:styleId="93">
    <w:name w:val="标准文件_目录标题"/>
    <w:basedOn w:val="1"/>
    <w:autoRedefine/>
    <w:qFormat/>
    <w:uiPriority w:val="0"/>
    <w:pPr>
      <w:spacing w:before="480" w:after="150" w:afterLines="150" w:line="240" w:lineRule="auto"/>
      <w:jc w:val="center"/>
    </w:pPr>
    <w:rPr>
      <w:rFonts w:ascii="黑体" w:eastAsia="黑体"/>
      <w:sz w:val="32"/>
    </w:rPr>
  </w:style>
  <w:style w:type="paragraph" w:customStyle="1" w:styleId="94">
    <w:name w:val="标准文件_破折号列项"/>
    <w:autoRedefine/>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5">
    <w:name w:val="标准文件_破折号列项（二级）"/>
    <w:basedOn w:val="94"/>
    <w:qFormat/>
    <w:uiPriority w:val="0"/>
    <w:pPr>
      <w:numPr>
        <w:numId w:val="10"/>
      </w:numPr>
    </w:pPr>
  </w:style>
  <w:style w:type="paragraph" w:customStyle="1" w:styleId="96">
    <w:name w:val="标准文件_三级条标题"/>
    <w:basedOn w:val="67"/>
    <w:next w:val="58"/>
    <w:autoRedefine/>
    <w:qFormat/>
    <w:uiPriority w:val="0"/>
    <w:pPr>
      <w:widowControl/>
      <w:numPr>
        <w:ilvl w:val="4"/>
      </w:numPr>
      <w:outlineLvl w:val="3"/>
    </w:pPr>
  </w:style>
  <w:style w:type="character" w:customStyle="1" w:styleId="97">
    <w:name w:val="不明显参考1"/>
    <w:autoRedefine/>
    <w:qFormat/>
    <w:uiPriority w:val="31"/>
    <w:rPr>
      <w:smallCaps/>
      <w:color w:val="C0504D"/>
      <w:u w:val="single"/>
    </w:rPr>
  </w:style>
  <w:style w:type="paragraph" w:customStyle="1" w:styleId="98">
    <w:name w:val="标准文件_示例后续"/>
    <w:basedOn w:val="1"/>
    <w:autoRedefine/>
    <w:qFormat/>
    <w:uiPriority w:val="0"/>
    <w:pPr>
      <w:adjustRightInd/>
      <w:spacing w:line="240" w:lineRule="auto"/>
      <w:ind w:firstLine="200" w:firstLineChars="200"/>
    </w:pPr>
    <w:rPr>
      <w:sz w:val="18"/>
      <w:szCs w:val="24"/>
    </w:rPr>
  </w:style>
  <w:style w:type="paragraph" w:customStyle="1" w:styleId="99">
    <w:name w:val="标准文件_数字编号列项"/>
    <w:autoRedefine/>
    <w:qFormat/>
    <w:uiPriority w:val="0"/>
    <w:pPr>
      <w:numPr>
        <w:ilvl w:val="0"/>
        <w:numId w:val="11"/>
      </w:numPr>
      <w:jc w:val="both"/>
    </w:pPr>
    <w:rPr>
      <w:rFonts w:ascii="宋体" w:hAnsi="宋体" w:eastAsia="宋体" w:cs="Times New Roman"/>
      <w:sz w:val="21"/>
      <w:lang w:val="en-US" w:eastAsia="zh-CN" w:bidi="ar-SA"/>
    </w:rPr>
  </w:style>
  <w:style w:type="paragraph" w:customStyle="1" w:styleId="100">
    <w:name w:val="标准文件_四级条标题"/>
    <w:next w:val="58"/>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1">
    <w:name w:val="脚注文本 字符"/>
    <w:link w:val="23"/>
    <w:autoRedefine/>
    <w:semiHidden/>
    <w:qFormat/>
    <w:uiPriority w:val="0"/>
    <w:rPr>
      <w:rFonts w:ascii="宋体"/>
      <w:kern w:val="2"/>
      <w:sz w:val="18"/>
      <w:szCs w:val="18"/>
    </w:rPr>
  </w:style>
  <w:style w:type="paragraph" w:customStyle="1" w:styleId="102">
    <w:name w:val="标准文件_条文脚注"/>
    <w:basedOn w:val="23"/>
    <w:autoRedefine/>
    <w:qFormat/>
    <w:uiPriority w:val="0"/>
    <w:pPr>
      <w:adjustRightInd w:val="0"/>
      <w:spacing w:line="240" w:lineRule="auto"/>
      <w:ind w:left="0" w:leftChars="0" w:firstLine="200" w:firstLineChars="200"/>
      <w:jc w:val="both"/>
    </w:pPr>
    <w:rPr>
      <w:rFonts w:hAnsi="宋体"/>
    </w:rPr>
  </w:style>
  <w:style w:type="paragraph" w:customStyle="1" w:styleId="103">
    <w:name w:val="标准文件_图表脚注"/>
    <w:basedOn w:val="1"/>
    <w:next w:val="58"/>
    <w:autoRedefine/>
    <w:qFormat/>
    <w:uiPriority w:val="0"/>
    <w:pPr>
      <w:numPr>
        <w:ilvl w:val="0"/>
        <w:numId w:val="12"/>
      </w:numPr>
      <w:spacing w:line="240" w:lineRule="auto"/>
      <w:jc w:val="left"/>
    </w:pPr>
    <w:rPr>
      <w:rFonts w:ascii="宋体" w:hAnsi="宋体"/>
      <w:sz w:val="18"/>
    </w:rPr>
  </w:style>
  <w:style w:type="character" w:customStyle="1" w:styleId="104">
    <w:name w:val="标准文件_图表脚注内容"/>
    <w:autoRedefine/>
    <w:qFormat/>
    <w:uiPriority w:val="0"/>
    <w:rPr>
      <w:rFonts w:ascii="宋体" w:hAnsi="宋体" w:eastAsia="宋体" w:cs="Times New Roman"/>
      <w:spacing w:val="0"/>
      <w:sz w:val="18"/>
      <w:vertAlign w:val="superscript"/>
    </w:rPr>
  </w:style>
  <w:style w:type="paragraph" w:customStyle="1" w:styleId="105">
    <w:name w:val="标准文件_五级条标题"/>
    <w:next w:val="58"/>
    <w:autoRedefine/>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6">
    <w:name w:val="标准文件_章标题"/>
    <w:next w:val="58"/>
    <w:autoRedefine/>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7">
    <w:name w:val="标准文件_一级条标题"/>
    <w:basedOn w:val="106"/>
    <w:next w:val="58"/>
    <w:autoRedefine/>
    <w:qFormat/>
    <w:uiPriority w:val="0"/>
    <w:pPr>
      <w:numPr>
        <w:ilvl w:val="2"/>
      </w:numPr>
      <w:spacing w:before="50" w:beforeLines="50" w:after="50" w:afterLines="50"/>
      <w:outlineLvl w:val="1"/>
    </w:pPr>
  </w:style>
  <w:style w:type="paragraph" w:customStyle="1" w:styleId="108">
    <w:name w:val="标准文件_一致程度"/>
    <w:basedOn w:val="1"/>
    <w:autoRedefine/>
    <w:qFormat/>
    <w:uiPriority w:val="0"/>
    <w:pPr>
      <w:spacing w:line="440" w:lineRule="exact"/>
      <w:jc w:val="center"/>
    </w:pPr>
    <w:rPr>
      <w:sz w:val="28"/>
    </w:rPr>
  </w:style>
  <w:style w:type="paragraph" w:customStyle="1" w:styleId="109">
    <w:name w:val="标准文件_引言标题"/>
    <w:next w:val="1"/>
    <w:autoRedefine/>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0">
    <w:name w:val="标准文件_英文图表脚注"/>
    <w:basedOn w:val="57"/>
    <w:autoRedefine/>
    <w:qFormat/>
    <w:uiPriority w:val="0"/>
    <w:pPr>
      <w:widowControl/>
      <w:adjustRightInd/>
      <w:snapToGrid/>
      <w:spacing w:line="240" w:lineRule="auto"/>
      <w:ind w:left="79" w:hanging="79" w:hangingChars="80"/>
    </w:pPr>
    <w:rPr>
      <w:rFonts w:ascii="宋体" w:hAnsi="宋体"/>
    </w:rPr>
  </w:style>
  <w:style w:type="paragraph" w:customStyle="1" w:styleId="111">
    <w:name w:val="标准文件_数字编号列项（二级）"/>
    <w:autoRedefine/>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2">
    <w:name w:val="标准文件_英文注："/>
    <w:basedOn w:val="1"/>
    <w:next w:val="58"/>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3">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4">
    <w:name w:val="标准文件_正文表标题"/>
    <w:next w:val="58"/>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公式"/>
    <w:basedOn w:val="1"/>
    <w:next w:val="57"/>
    <w:qFormat/>
    <w:uiPriority w:val="0"/>
    <w:pPr>
      <w:tabs>
        <w:tab w:val="center" w:pos="4678"/>
        <w:tab w:val="right" w:leader="middleDot" w:pos="9356"/>
      </w:tabs>
      <w:spacing w:line="240" w:lineRule="auto"/>
    </w:pPr>
    <w:rPr>
      <w:rFonts w:ascii="宋体" w:hAnsi="宋体"/>
    </w:rPr>
  </w:style>
  <w:style w:type="paragraph" w:customStyle="1" w:styleId="116">
    <w:name w:val="标准文件_正文图标题"/>
    <w:next w:val="58"/>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7">
    <w:name w:val="标准文件_正文英文表标题"/>
    <w:next w:val="58"/>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8">
    <w:name w:val="标准文件_正文英文图标题"/>
    <w:next w:val="58"/>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9">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0">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1">
    <w:name w:val="发布部门"/>
    <w:next w:val="58"/>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2">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3">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4">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6">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7">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8">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9">
    <w:name w:val="封面正文"/>
    <w:qFormat/>
    <w:uiPriority w:val="0"/>
    <w:pPr>
      <w:jc w:val="both"/>
    </w:pPr>
    <w:rPr>
      <w:rFonts w:ascii="Times New Roman" w:hAnsi="Times New Roman" w:eastAsia="宋体" w:cs="Times New Roman"/>
      <w:lang w:val="en-US" w:eastAsia="zh-CN" w:bidi="ar-SA"/>
    </w:rPr>
  </w:style>
  <w:style w:type="paragraph" w:customStyle="1" w:styleId="130">
    <w:name w:val="附录二级无标题条"/>
    <w:basedOn w:val="1"/>
    <w:next w:val="58"/>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1">
    <w:name w:val="附录三级无标题条"/>
    <w:basedOn w:val="130"/>
    <w:next w:val="58"/>
    <w:qFormat/>
    <w:uiPriority w:val="0"/>
    <w:pPr>
      <w:outlineLvl w:val="4"/>
    </w:pPr>
  </w:style>
  <w:style w:type="paragraph" w:customStyle="1" w:styleId="132">
    <w:name w:val="附录四级无标题条"/>
    <w:basedOn w:val="131"/>
    <w:next w:val="58"/>
    <w:qFormat/>
    <w:uiPriority w:val="0"/>
    <w:pPr>
      <w:outlineLvl w:val="5"/>
    </w:pPr>
  </w:style>
  <w:style w:type="paragraph" w:customStyle="1" w:styleId="133">
    <w:name w:val="附录图"/>
    <w:next w:val="58"/>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4">
    <w:name w:val="标准文件_一级项"/>
    <w:autoRedefine/>
    <w:qFormat/>
    <w:uiPriority w:val="0"/>
    <w:pPr>
      <w:numPr>
        <w:ilvl w:val="0"/>
        <w:numId w:val="21"/>
      </w:numPr>
    </w:pPr>
    <w:rPr>
      <w:rFonts w:ascii="宋体" w:hAnsi="Times New Roman" w:eastAsia="宋体" w:cs="Times New Roman"/>
      <w:sz w:val="21"/>
      <w:lang w:val="en-US" w:eastAsia="zh-CN" w:bidi="ar-SA"/>
    </w:rPr>
  </w:style>
  <w:style w:type="paragraph" w:customStyle="1" w:styleId="135">
    <w:name w:val="附录五级无标题条"/>
    <w:basedOn w:val="132"/>
    <w:next w:val="58"/>
    <w:qFormat/>
    <w:uiPriority w:val="0"/>
    <w:pPr>
      <w:outlineLvl w:val="6"/>
    </w:pPr>
  </w:style>
  <w:style w:type="paragraph" w:customStyle="1" w:styleId="136">
    <w:name w:val="附录性质"/>
    <w:basedOn w:val="1"/>
    <w:autoRedefine/>
    <w:qFormat/>
    <w:uiPriority w:val="0"/>
    <w:pPr>
      <w:widowControl/>
      <w:adjustRightInd/>
      <w:jc w:val="center"/>
    </w:pPr>
    <w:rPr>
      <w:rFonts w:ascii="黑体" w:eastAsia="黑体"/>
    </w:rPr>
  </w:style>
  <w:style w:type="paragraph" w:customStyle="1" w:styleId="137">
    <w:name w:val="附录一级无标题条"/>
    <w:basedOn w:val="89"/>
    <w:next w:val="58"/>
    <w:qFormat/>
    <w:uiPriority w:val="0"/>
    <w:pPr>
      <w:autoSpaceDN w:val="0"/>
      <w:outlineLvl w:val="2"/>
    </w:pPr>
    <w:rPr>
      <w:rFonts w:ascii="宋体" w:hAnsi="宋体" w:eastAsia="宋体"/>
    </w:rPr>
  </w:style>
  <w:style w:type="character" w:customStyle="1" w:styleId="138">
    <w:name w:val="个人答复风格"/>
    <w:qFormat/>
    <w:uiPriority w:val="0"/>
    <w:rPr>
      <w:rFonts w:ascii="Arial" w:hAnsi="Arial" w:eastAsia="宋体" w:cs="Arial"/>
      <w:color w:val="auto"/>
      <w:spacing w:val="0"/>
      <w:sz w:val="20"/>
    </w:rPr>
  </w:style>
  <w:style w:type="character" w:customStyle="1" w:styleId="139">
    <w:name w:val="个人撰写风格"/>
    <w:qFormat/>
    <w:uiPriority w:val="0"/>
    <w:rPr>
      <w:rFonts w:ascii="Arial" w:hAnsi="Arial" w:eastAsia="宋体" w:cs="Arial"/>
      <w:color w:val="auto"/>
      <w:spacing w:val="0"/>
      <w:sz w:val="20"/>
    </w:rPr>
  </w:style>
  <w:style w:type="paragraph" w:customStyle="1" w:styleId="140">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1">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2">
    <w:name w:val="列项·"/>
    <w:basedOn w:val="58"/>
    <w:qFormat/>
    <w:uiPriority w:val="0"/>
    <w:pPr>
      <w:tabs>
        <w:tab w:val="left" w:pos="840"/>
      </w:tabs>
    </w:pPr>
  </w:style>
  <w:style w:type="paragraph" w:customStyle="1" w:styleId="143">
    <w:name w:val="目次、索引正文"/>
    <w:autoRedefine/>
    <w:qFormat/>
    <w:uiPriority w:val="0"/>
    <w:pPr>
      <w:spacing w:line="320" w:lineRule="exact"/>
      <w:jc w:val="both"/>
    </w:pPr>
    <w:rPr>
      <w:rFonts w:ascii="宋体" w:hAnsi="Times New Roman" w:eastAsia="宋体" w:cs="Times New Roman"/>
      <w:sz w:val="21"/>
      <w:lang w:val="en-US" w:eastAsia="zh-CN" w:bidi="ar-SA"/>
    </w:rPr>
  </w:style>
  <w:style w:type="paragraph" w:customStyle="1" w:styleId="144">
    <w:name w:val="目录 21"/>
    <w:basedOn w:val="1"/>
    <w:next w:val="1"/>
    <w:autoRedefine/>
    <w:semiHidden/>
    <w:qFormat/>
    <w:uiPriority w:val="0"/>
    <w:pPr>
      <w:adjustRightInd/>
      <w:spacing w:line="240" w:lineRule="auto"/>
      <w:jc w:val="left"/>
    </w:pPr>
    <w:rPr>
      <w:bCs/>
      <w:iCs/>
    </w:rPr>
  </w:style>
  <w:style w:type="paragraph" w:customStyle="1" w:styleId="145">
    <w:name w:val="目录 31"/>
    <w:basedOn w:val="1"/>
    <w:next w:val="1"/>
    <w:autoRedefine/>
    <w:semiHidden/>
    <w:qFormat/>
    <w:uiPriority w:val="0"/>
    <w:pPr>
      <w:spacing w:line="240" w:lineRule="auto"/>
    </w:pPr>
    <w:rPr>
      <w:rFonts w:ascii="宋体" w:hAnsi="宋体"/>
      <w:iCs/>
    </w:rPr>
  </w:style>
  <w:style w:type="paragraph" w:customStyle="1" w:styleId="146">
    <w:name w:val="目录 41"/>
    <w:basedOn w:val="1"/>
    <w:next w:val="1"/>
    <w:autoRedefine/>
    <w:semiHidden/>
    <w:qFormat/>
    <w:uiPriority w:val="0"/>
    <w:pPr>
      <w:adjustRightInd/>
      <w:spacing w:line="240" w:lineRule="auto"/>
      <w:jc w:val="left"/>
    </w:pPr>
  </w:style>
  <w:style w:type="paragraph" w:customStyle="1" w:styleId="147">
    <w:name w:val="目录 51"/>
    <w:basedOn w:val="1"/>
    <w:next w:val="1"/>
    <w:autoRedefine/>
    <w:semiHidden/>
    <w:qFormat/>
    <w:uiPriority w:val="0"/>
    <w:pPr>
      <w:spacing w:line="240" w:lineRule="auto"/>
    </w:pPr>
    <w:rPr>
      <w:rFonts w:ascii="宋体" w:hAnsi="宋体"/>
    </w:rPr>
  </w:style>
  <w:style w:type="paragraph" w:customStyle="1" w:styleId="148">
    <w:name w:val="目录 61"/>
    <w:basedOn w:val="1"/>
    <w:next w:val="1"/>
    <w:autoRedefine/>
    <w:semiHidden/>
    <w:qFormat/>
    <w:uiPriority w:val="0"/>
    <w:pPr>
      <w:adjustRightInd/>
      <w:spacing w:line="240" w:lineRule="auto"/>
      <w:jc w:val="left"/>
    </w:pPr>
  </w:style>
  <w:style w:type="paragraph" w:customStyle="1" w:styleId="149">
    <w:name w:val="目录 71"/>
    <w:basedOn w:val="148"/>
    <w:autoRedefine/>
    <w:semiHidden/>
    <w:qFormat/>
    <w:uiPriority w:val="0"/>
    <w:pPr>
      <w:ind w:left="1260"/>
    </w:pPr>
  </w:style>
  <w:style w:type="paragraph" w:customStyle="1" w:styleId="150">
    <w:name w:val="目录 81"/>
    <w:basedOn w:val="149"/>
    <w:autoRedefine/>
    <w:semiHidden/>
    <w:qFormat/>
    <w:uiPriority w:val="0"/>
    <w:pPr>
      <w:ind w:left="1470"/>
    </w:pPr>
  </w:style>
  <w:style w:type="paragraph" w:customStyle="1" w:styleId="151">
    <w:name w:val="目录 91"/>
    <w:basedOn w:val="150"/>
    <w:autoRedefine/>
    <w:semiHidden/>
    <w:qFormat/>
    <w:uiPriority w:val="0"/>
    <w:pPr>
      <w:ind w:left="1680"/>
    </w:pPr>
  </w:style>
  <w:style w:type="paragraph" w:customStyle="1" w:styleId="15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3">
    <w:name w:val="其他发布部门"/>
    <w:basedOn w:val="121"/>
    <w:qFormat/>
    <w:uiPriority w:val="0"/>
    <w:pPr>
      <w:framePr w:wrap="around"/>
      <w:spacing w:line="0" w:lineRule="atLeast"/>
    </w:pPr>
    <w:rPr>
      <w:rFonts w:ascii="黑体" w:eastAsia="黑体"/>
      <w:b w:val="0"/>
    </w:rPr>
  </w:style>
  <w:style w:type="paragraph" w:customStyle="1" w:styleId="154">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5">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6">
    <w:name w:val="实施日期"/>
    <w:basedOn w:val="122"/>
    <w:qFormat/>
    <w:uiPriority w:val="0"/>
    <w:pPr>
      <w:framePr w:hSpace="0" w:wrap="around" w:xAlign="right"/>
      <w:jc w:val="right"/>
    </w:pPr>
  </w:style>
  <w:style w:type="paragraph" w:customStyle="1" w:styleId="157">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8">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9">
    <w:name w:val="无标题条"/>
    <w:next w:val="58"/>
    <w:qFormat/>
    <w:uiPriority w:val="0"/>
    <w:pPr>
      <w:jc w:val="both"/>
    </w:pPr>
    <w:rPr>
      <w:rFonts w:ascii="宋体" w:hAnsi="宋体" w:eastAsia="宋体" w:cs="Times New Roman"/>
      <w:sz w:val="21"/>
      <w:lang w:val="en-US" w:eastAsia="zh-CN" w:bidi="ar-SA"/>
    </w:rPr>
  </w:style>
  <w:style w:type="paragraph" w:customStyle="1" w:styleId="160">
    <w:name w:val="五级无标题条"/>
    <w:basedOn w:val="1"/>
    <w:qFormat/>
    <w:uiPriority w:val="0"/>
    <w:pPr>
      <w:numPr>
        <w:ilvl w:val="6"/>
        <w:numId w:val="20"/>
      </w:numPr>
      <w:adjustRightInd/>
    </w:pPr>
    <w:rPr>
      <w:szCs w:val="24"/>
    </w:rPr>
  </w:style>
  <w:style w:type="paragraph" w:customStyle="1" w:styleId="161">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2">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3">
    <w:name w:val="注×:后续"/>
    <w:basedOn w:val="162"/>
    <w:qFormat/>
    <w:uiPriority w:val="0"/>
    <w:pPr>
      <w:ind w:left="1406" w:leftChars="0" w:hanging="499" w:firstLineChars="0"/>
    </w:pPr>
  </w:style>
  <w:style w:type="paragraph" w:customStyle="1" w:styleId="164">
    <w:name w:val="标准文件_一级无标题"/>
    <w:basedOn w:val="107"/>
    <w:qFormat/>
    <w:uiPriority w:val="0"/>
    <w:pPr>
      <w:spacing w:before="0" w:beforeLines="0" w:after="0" w:afterLines="0"/>
      <w:outlineLvl w:val="9"/>
    </w:pPr>
    <w:rPr>
      <w:rFonts w:ascii="宋体" w:eastAsia="宋体"/>
    </w:rPr>
  </w:style>
  <w:style w:type="paragraph" w:customStyle="1" w:styleId="165">
    <w:name w:val="标准文件_五级无标题"/>
    <w:basedOn w:val="105"/>
    <w:qFormat/>
    <w:uiPriority w:val="0"/>
    <w:pPr>
      <w:spacing w:before="0" w:beforeLines="0" w:after="0" w:afterLines="0"/>
      <w:outlineLvl w:val="9"/>
    </w:pPr>
    <w:rPr>
      <w:rFonts w:ascii="宋体" w:eastAsia="宋体"/>
    </w:rPr>
  </w:style>
  <w:style w:type="paragraph" w:customStyle="1" w:styleId="166">
    <w:name w:val="标准文件_三级无标题"/>
    <w:basedOn w:val="96"/>
    <w:qFormat/>
    <w:uiPriority w:val="0"/>
    <w:pPr>
      <w:spacing w:before="0" w:beforeLines="0" w:after="0" w:afterLines="0"/>
      <w:outlineLvl w:val="9"/>
    </w:pPr>
    <w:rPr>
      <w:rFonts w:ascii="宋体" w:eastAsia="宋体"/>
    </w:rPr>
  </w:style>
  <w:style w:type="paragraph" w:customStyle="1" w:styleId="167">
    <w:name w:val="标准文件_二级无标题"/>
    <w:basedOn w:val="67"/>
    <w:qFormat/>
    <w:uiPriority w:val="0"/>
    <w:pPr>
      <w:spacing w:before="0" w:beforeLines="0" w:after="0" w:afterLines="0"/>
      <w:outlineLvl w:val="9"/>
    </w:pPr>
    <w:rPr>
      <w:rFonts w:ascii="宋体" w:eastAsia="宋体"/>
    </w:rPr>
  </w:style>
  <w:style w:type="paragraph" w:customStyle="1" w:styleId="168">
    <w:name w:val="标准_四级无标题"/>
    <w:basedOn w:val="100"/>
    <w:next w:val="58"/>
    <w:qFormat/>
    <w:uiPriority w:val="0"/>
    <w:rPr>
      <w:rFonts w:eastAsia="宋体"/>
    </w:rPr>
  </w:style>
  <w:style w:type="paragraph" w:customStyle="1" w:styleId="169">
    <w:name w:val="标准文件_四级无标题"/>
    <w:basedOn w:val="100"/>
    <w:qFormat/>
    <w:uiPriority w:val="0"/>
    <w:pPr>
      <w:spacing w:before="0" w:beforeLines="0" w:after="0" w:afterLines="0"/>
      <w:outlineLvl w:val="9"/>
    </w:pPr>
    <w:rPr>
      <w:rFonts w:ascii="宋体" w:hAnsi="黑体" w:eastAsia="宋体"/>
      <w:szCs w:val="52"/>
    </w:rPr>
  </w:style>
  <w:style w:type="paragraph" w:customStyle="1" w:styleId="170">
    <w:name w:val="标准文件_大写罗马数字编号列项"/>
    <w:basedOn w:val="58"/>
    <w:qFormat/>
    <w:uiPriority w:val="0"/>
    <w:pPr>
      <w:numPr>
        <w:ilvl w:val="0"/>
        <w:numId w:val="23"/>
      </w:numPr>
      <w:ind w:firstLine="0" w:firstLineChars="0"/>
    </w:pPr>
    <w:rPr>
      <w:rFonts w:ascii="Times New Roman" w:cs="Arial"/>
      <w:szCs w:val="28"/>
    </w:rPr>
  </w:style>
  <w:style w:type="paragraph" w:customStyle="1" w:styleId="171">
    <w:name w:val="标准文件_小写罗马数字编号列项"/>
    <w:basedOn w:val="58"/>
    <w:qFormat/>
    <w:uiPriority w:val="0"/>
    <w:pPr>
      <w:numPr>
        <w:ilvl w:val="0"/>
        <w:numId w:val="24"/>
      </w:numPr>
      <w:ind w:firstLine="0" w:firstLineChars="0"/>
    </w:pPr>
    <w:rPr>
      <w:rFonts w:cs="Arial"/>
      <w:szCs w:val="28"/>
    </w:rPr>
  </w:style>
  <w:style w:type="paragraph" w:customStyle="1" w:styleId="172">
    <w:name w:val="标准文件_附录标题"/>
    <w:basedOn w:val="78"/>
    <w:qFormat/>
    <w:uiPriority w:val="0"/>
    <w:pPr>
      <w:numPr>
        <w:numId w:val="0"/>
      </w:numPr>
      <w:spacing w:after="280"/>
      <w:outlineLvl w:val="9"/>
    </w:pPr>
  </w:style>
  <w:style w:type="paragraph" w:customStyle="1" w:styleId="173">
    <w:name w:val="标准文件_二级项"/>
    <w:qFormat/>
    <w:uiPriority w:val="0"/>
    <w:rPr>
      <w:rFonts w:ascii="宋体" w:hAnsi="Times New Roman" w:eastAsia="宋体" w:cs="Times New Roman"/>
      <w:sz w:val="21"/>
      <w:lang w:val="en-US" w:eastAsia="zh-CN" w:bidi="ar-SA"/>
    </w:rPr>
  </w:style>
  <w:style w:type="paragraph" w:customStyle="1" w:styleId="174">
    <w:name w:val="标准文件_三级项"/>
    <w:basedOn w:val="1"/>
    <w:qFormat/>
    <w:uiPriority w:val="0"/>
    <w:pPr>
      <w:numPr>
        <w:ilvl w:val="2"/>
        <w:numId w:val="21"/>
      </w:numPr>
      <w:spacing w:line="536870612" w:lineRule="auto"/>
    </w:pPr>
    <w:rPr>
      <w:rFonts w:ascii="Times New Roman" w:hAnsi="Times New Roman"/>
    </w:rPr>
  </w:style>
  <w:style w:type="paragraph" w:customStyle="1" w:styleId="175">
    <w:name w:val="图表脚注说明"/>
    <w:basedOn w:val="1"/>
    <w:next w:val="58"/>
    <w:qFormat/>
    <w:uiPriority w:val="0"/>
    <w:pPr>
      <w:numPr>
        <w:ilvl w:val="0"/>
        <w:numId w:val="25"/>
      </w:numPr>
      <w:adjustRightInd/>
      <w:spacing w:line="240" w:lineRule="auto"/>
    </w:pPr>
    <w:rPr>
      <w:rFonts w:ascii="宋体" w:hAnsi="Times New Roman"/>
      <w:sz w:val="18"/>
      <w:szCs w:val="18"/>
    </w:rPr>
  </w:style>
  <w:style w:type="paragraph" w:customStyle="1" w:styleId="176">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7">
    <w:name w:val="标准文件_索引字母"/>
    <w:next w:val="58"/>
    <w:qFormat/>
    <w:uiPriority w:val="0"/>
    <w:pPr>
      <w:jc w:val="center"/>
    </w:pPr>
    <w:rPr>
      <w:rFonts w:ascii="宋体" w:hAnsi="宋体" w:eastAsia="Times New Roman" w:cs="Times New Roman"/>
      <w:b/>
      <w:kern w:val="2"/>
      <w:sz w:val="21"/>
      <w:lang w:val="en-US" w:eastAsia="zh-CN" w:bidi="ar-SA"/>
    </w:rPr>
  </w:style>
  <w:style w:type="paragraph" w:customStyle="1" w:styleId="178">
    <w:name w:val="标准文件_附录前"/>
    <w:next w:val="58"/>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9">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0">
    <w:name w:val="标准文件_表格"/>
    <w:basedOn w:val="58"/>
    <w:qFormat/>
    <w:uiPriority w:val="0"/>
    <w:pPr>
      <w:ind w:firstLine="0" w:firstLineChars="0"/>
      <w:jc w:val="center"/>
    </w:pPr>
    <w:rPr>
      <w:sz w:val="18"/>
    </w:rPr>
  </w:style>
  <w:style w:type="paragraph" w:customStyle="1" w:styleId="181">
    <w:name w:val="标准文件_注："/>
    <w:next w:val="58"/>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示例："/>
    <w:next w:val="184"/>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4">
    <w:name w:val="标准文件_示例内容"/>
    <w:basedOn w:val="58"/>
    <w:qFormat/>
    <w:uiPriority w:val="0"/>
    <w:pPr>
      <w:ind w:firstLine="420"/>
    </w:pPr>
    <w:rPr>
      <w:sz w:val="18"/>
    </w:rPr>
  </w:style>
  <w:style w:type="paragraph" w:customStyle="1" w:styleId="185">
    <w:name w:val="标准文件_示例×："/>
    <w:basedOn w:val="1"/>
    <w:next w:val="184"/>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6">
    <w:name w:val="标准文件_段 Char"/>
    <w:link w:val="58"/>
    <w:qFormat/>
    <w:uiPriority w:val="0"/>
    <w:rPr>
      <w:rFonts w:ascii="宋体" w:hAnsi="Times New Roman"/>
      <w:sz w:val="21"/>
    </w:rPr>
  </w:style>
  <w:style w:type="paragraph" w:customStyle="1" w:styleId="187">
    <w:name w:val="标准文件_表格续"/>
    <w:basedOn w:val="58"/>
    <w:next w:val="58"/>
    <w:qFormat/>
    <w:uiPriority w:val="0"/>
    <w:pPr>
      <w:jc w:val="center"/>
    </w:pPr>
    <w:rPr>
      <w:rFonts w:ascii="黑体" w:hAnsi="黑体" w:eastAsia="黑体"/>
    </w:rPr>
  </w:style>
  <w:style w:type="character" w:styleId="188">
    <w:name w:val="Placeholder Text"/>
    <w:basedOn w:val="30"/>
    <w:semiHidden/>
    <w:qFormat/>
    <w:uiPriority w:val="99"/>
    <w:rPr>
      <w:color w:val="808080"/>
    </w:rPr>
  </w:style>
  <w:style w:type="paragraph" w:customStyle="1" w:styleId="189">
    <w:name w:val="标准文件_二级项2"/>
    <w:basedOn w:val="58"/>
    <w:qFormat/>
    <w:uiPriority w:val="0"/>
    <w:pPr>
      <w:numPr>
        <w:ilvl w:val="1"/>
        <w:numId w:val="21"/>
      </w:numPr>
      <w:ind w:firstLine="0" w:firstLineChars="0"/>
    </w:pPr>
  </w:style>
  <w:style w:type="paragraph" w:customStyle="1" w:styleId="190">
    <w:name w:val="标准文件_三级项2"/>
    <w:basedOn w:val="58"/>
    <w:qFormat/>
    <w:uiPriority w:val="0"/>
    <w:pPr>
      <w:numPr>
        <w:ilvl w:val="0"/>
        <w:numId w:val="30"/>
      </w:numPr>
      <w:spacing w:line="300" w:lineRule="exact"/>
      <w:ind w:firstLineChars="0"/>
    </w:pPr>
    <w:rPr>
      <w:rFonts w:ascii="Times New Roman"/>
    </w:rPr>
  </w:style>
  <w:style w:type="paragraph" w:customStyle="1" w:styleId="191">
    <w:name w:val="标准文件_一级项2"/>
    <w:basedOn w:val="58"/>
    <w:qFormat/>
    <w:uiPriority w:val="0"/>
    <w:pPr>
      <w:numPr>
        <w:ilvl w:val="0"/>
        <w:numId w:val="31"/>
      </w:numPr>
      <w:spacing w:line="300" w:lineRule="exact"/>
      <w:ind w:firstLineChars="0"/>
    </w:pPr>
    <w:rPr>
      <w:rFonts w:ascii="Times New Roman"/>
    </w:rPr>
  </w:style>
  <w:style w:type="paragraph" w:customStyle="1" w:styleId="192">
    <w:name w:val="标准文件_提示"/>
    <w:basedOn w:val="58"/>
    <w:next w:val="58"/>
    <w:qFormat/>
    <w:uiPriority w:val="0"/>
    <w:pPr>
      <w:ind w:firstLine="420"/>
    </w:pPr>
    <w:rPr>
      <w:rFonts w:ascii="黑体" w:eastAsia="黑体"/>
    </w:rPr>
  </w:style>
  <w:style w:type="character" w:customStyle="1" w:styleId="193">
    <w:name w:val="标准文件_来源"/>
    <w:basedOn w:val="30"/>
    <w:qFormat/>
    <w:uiPriority w:val="1"/>
    <w:rPr>
      <w:rFonts w:eastAsia="宋体"/>
      <w:sz w:val="21"/>
    </w:rPr>
  </w:style>
  <w:style w:type="paragraph" w:customStyle="1" w:styleId="194">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5">
    <w:name w:val="其他发布日期"/>
    <w:basedOn w:val="122"/>
    <w:uiPriority w:val="0"/>
    <w:pPr>
      <w:framePr w:w="3997" w:h="471" w:hRule="exact" w:hSpace="0" w:vSpace="181" w:wrap="around" w:vAnchor="page" w:hAnchor="page" w:x="1419" w:y="14097"/>
    </w:pPr>
  </w:style>
  <w:style w:type="paragraph" w:customStyle="1" w:styleId="196">
    <w:name w:val="其他实施日期"/>
    <w:basedOn w:val="156"/>
    <w:uiPriority w:val="0"/>
    <w:pPr>
      <w:framePr w:w="3997" w:h="471" w:hRule="exact" w:vSpace="181" w:wrap="around" w:vAnchor="page" w:hAnchor="page" w:x="7089" w:y="14097"/>
    </w:pPr>
  </w:style>
  <w:style w:type="paragraph" w:customStyle="1" w:styleId="197">
    <w:name w:val="标准文件_文件编号"/>
    <w:basedOn w:val="58"/>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8">
    <w:name w:val="标准文件_替换文件编号"/>
    <w:basedOn w:val="197"/>
    <w:qFormat/>
    <w:uiPriority w:val="0"/>
    <w:pPr>
      <w:spacing w:before="57"/>
    </w:pPr>
    <w:rPr>
      <w:sz w:val="21"/>
    </w:rPr>
  </w:style>
  <w:style w:type="paragraph" w:customStyle="1" w:styleId="199">
    <w:name w:val="标准文件_文件名称"/>
    <w:basedOn w:val="58"/>
    <w:next w:val="58"/>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0">
    <w:name w:val="标准文件_附录图标号"/>
    <w:basedOn w:val="58"/>
    <w:next w:val="58"/>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1">
    <w:name w:val="标准文件_附录表标号"/>
    <w:basedOn w:val="58"/>
    <w:next w:val="58"/>
    <w:qFormat/>
    <w:uiPriority w:val="0"/>
    <w:pPr>
      <w:numPr>
        <w:ilvl w:val="0"/>
        <w:numId w:val="5"/>
      </w:numPr>
      <w:spacing w:line="14" w:lineRule="exact"/>
      <w:ind w:firstLine="0" w:firstLineChars="0"/>
      <w:jc w:val="center"/>
    </w:pPr>
    <w:rPr>
      <w:rFonts w:eastAsia="黑体"/>
      <w:vanish/>
      <w:sz w:val="2"/>
    </w:rPr>
  </w:style>
  <w:style w:type="paragraph" w:customStyle="1" w:styleId="202">
    <w:name w:val="标准文件_引言一级条标题"/>
    <w:basedOn w:val="58"/>
    <w:next w:val="58"/>
    <w:qFormat/>
    <w:uiPriority w:val="0"/>
    <w:pPr>
      <w:numPr>
        <w:ilvl w:val="1"/>
        <w:numId w:val="8"/>
      </w:numPr>
      <w:spacing w:before="50" w:beforeLines="50" w:after="50" w:afterLines="50"/>
      <w:ind w:firstLineChars="0"/>
    </w:pPr>
    <w:rPr>
      <w:rFonts w:ascii="黑体" w:eastAsia="黑体"/>
    </w:rPr>
  </w:style>
  <w:style w:type="paragraph" w:customStyle="1" w:styleId="203">
    <w:name w:val="标准文件_引言二级条标题"/>
    <w:basedOn w:val="58"/>
    <w:next w:val="58"/>
    <w:qFormat/>
    <w:uiPriority w:val="0"/>
    <w:pPr>
      <w:numPr>
        <w:ilvl w:val="2"/>
        <w:numId w:val="8"/>
      </w:numPr>
      <w:spacing w:before="50" w:beforeLines="50" w:after="50" w:afterLines="50"/>
      <w:ind w:firstLineChars="0"/>
    </w:pPr>
    <w:rPr>
      <w:rFonts w:ascii="黑体" w:eastAsia="黑体"/>
    </w:rPr>
  </w:style>
  <w:style w:type="paragraph" w:customStyle="1" w:styleId="204">
    <w:name w:val="标准文件_引言三级条标题"/>
    <w:basedOn w:val="58"/>
    <w:next w:val="58"/>
    <w:qFormat/>
    <w:uiPriority w:val="0"/>
    <w:pPr>
      <w:numPr>
        <w:ilvl w:val="3"/>
        <w:numId w:val="8"/>
      </w:numPr>
      <w:spacing w:before="50" w:beforeLines="50" w:after="50" w:afterLines="50"/>
      <w:ind w:firstLineChars="0"/>
    </w:pPr>
    <w:rPr>
      <w:rFonts w:ascii="黑体" w:eastAsia="黑体"/>
    </w:rPr>
  </w:style>
  <w:style w:type="paragraph" w:customStyle="1" w:styleId="205">
    <w:name w:val="标准文件_引言四级条标题"/>
    <w:basedOn w:val="58"/>
    <w:next w:val="58"/>
    <w:autoRedefine/>
    <w:qFormat/>
    <w:uiPriority w:val="0"/>
    <w:pPr>
      <w:numPr>
        <w:ilvl w:val="4"/>
        <w:numId w:val="8"/>
      </w:numPr>
      <w:spacing w:before="50" w:beforeLines="50" w:after="50" w:afterLines="50"/>
      <w:ind w:firstLineChars="0"/>
    </w:pPr>
    <w:rPr>
      <w:rFonts w:ascii="黑体" w:eastAsia="黑体"/>
    </w:rPr>
  </w:style>
  <w:style w:type="paragraph" w:customStyle="1" w:styleId="206">
    <w:name w:val="标准文件_引言五级条标题"/>
    <w:basedOn w:val="58"/>
    <w:next w:val="58"/>
    <w:qFormat/>
    <w:uiPriority w:val="0"/>
    <w:pPr>
      <w:numPr>
        <w:ilvl w:val="5"/>
        <w:numId w:val="8"/>
      </w:numPr>
      <w:spacing w:before="50" w:beforeLines="50" w:after="50" w:afterLines="50"/>
      <w:ind w:firstLineChars="0"/>
    </w:pPr>
    <w:rPr>
      <w:rFonts w:ascii="黑体" w:eastAsia="黑体"/>
    </w:rPr>
  </w:style>
  <w:style w:type="paragraph" w:customStyle="1" w:styleId="207">
    <w:name w:val="标准文件_注后"/>
    <w:basedOn w:val="58"/>
    <w:qFormat/>
    <w:uiPriority w:val="0"/>
    <w:pPr>
      <w:ind w:left="811" w:firstLine="0" w:firstLineChars="0"/>
    </w:pPr>
    <w:rPr>
      <w:sz w:val="18"/>
    </w:rPr>
  </w:style>
  <w:style w:type="paragraph" w:customStyle="1" w:styleId="208">
    <w:name w:val="标准文件_注X后"/>
    <w:basedOn w:val="58"/>
    <w:qFormat/>
    <w:uiPriority w:val="0"/>
    <w:pPr>
      <w:ind w:left="811" w:firstLine="0" w:firstLineChars="0"/>
    </w:pPr>
    <w:rPr>
      <w:sz w:val="18"/>
    </w:rPr>
  </w:style>
  <w:style w:type="paragraph" w:customStyle="1" w:styleId="209">
    <w:name w:val="标准文件_示例后"/>
    <w:basedOn w:val="58"/>
    <w:qFormat/>
    <w:uiPriority w:val="0"/>
    <w:pPr>
      <w:ind w:left="964" w:firstLine="0" w:firstLineChars="0"/>
    </w:pPr>
    <w:rPr>
      <w:sz w:val="18"/>
    </w:rPr>
  </w:style>
  <w:style w:type="paragraph" w:customStyle="1" w:styleId="210">
    <w:name w:val="标准文件_示例X后"/>
    <w:basedOn w:val="58"/>
    <w:link w:val="211"/>
    <w:qFormat/>
    <w:uiPriority w:val="0"/>
    <w:pPr>
      <w:ind w:left="1049" w:firstLine="0" w:firstLineChars="0"/>
    </w:pPr>
    <w:rPr>
      <w:sz w:val="18"/>
    </w:rPr>
  </w:style>
  <w:style w:type="character" w:customStyle="1" w:styleId="211">
    <w:name w:val="标准文件_示例X后 字符"/>
    <w:basedOn w:val="186"/>
    <w:link w:val="210"/>
    <w:uiPriority w:val="0"/>
    <w:rPr>
      <w:rFonts w:ascii="宋体" w:hAnsi="Times New Roman"/>
      <w:sz w:val="18"/>
    </w:rPr>
  </w:style>
  <w:style w:type="paragraph" w:customStyle="1" w:styleId="212">
    <w:name w:val="标准文件_索引项"/>
    <w:basedOn w:val="58"/>
    <w:next w:val="58"/>
    <w:qFormat/>
    <w:uiPriority w:val="0"/>
    <w:pPr>
      <w:tabs>
        <w:tab w:val="right" w:leader="dot" w:pos="9356"/>
      </w:tabs>
      <w:ind w:left="210" w:hanging="210" w:firstLineChars="0"/>
      <w:jc w:val="left"/>
    </w:pPr>
  </w:style>
  <w:style w:type="paragraph" w:customStyle="1" w:styleId="213">
    <w:name w:val="标准文件_附录一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二级无标题"/>
    <w:basedOn w:val="81"/>
    <w:uiPriority w:val="0"/>
    <w:pPr>
      <w:spacing w:before="0" w:beforeLines="0" w:after="0" w:afterLines="0" w:line="276" w:lineRule="auto"/>
      <w:outlineLvl w:val="9"/>
    </w:pPr>
    <w:rPr>
      <w:rFonts w:ascii="宋体" w:eastAsia="宋体"/>
    </w:rPr>
  </w:style>
  <w:style w:type="paragraph" w:customStyle="1" w:styleId="215">
    <w:name w:val="标准文件_附录三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四级无标题"/>
    <w:basedOn w:val="84"/>
    <w:qFormat/>
    <w:uiPriority w:val="0"/>
    <w:pPr>
      <w:spacing w:before="0" w:beforeLines="0" w:after="0" w:afterLines="0" w:line="276" w:lineRule="auto"/>
      <w:outlineLvl w:val="9"/>
    </w:pPr>
    <w:rPr>
      <w:rFonts w:ascii="宋体" w:eastAsia="宋体"/>
    </w:rPr>
  </w:style>
  <w:style w:type="paragraph" w:customStyle="1" w:styleId="217">
    <w:name w:val="标准文件_附录五级无标题"/>
    <w:basedOn w:val="86"/>
    <w:qFormat/>
    <w:uiPriority w:val="0"/>
    <w:pPr>
      <w:spacing w:before="0" w:beforeLines="0" w:after="0" w:afterLines="0" w:line="276" w:lineRule="auto"/>
      <w:outlineLvl w:val="9"/>
    </w:pPr>
    <w:rPr>
      <w:rFonts w:ascii="宋体" w:eastAsia="宋体"/>
    </w:rPr>
  </w:style>
  <w:style w:type="paragraph" w:customStyle="1" w:styleId="218">
    <w:name w:val="标准文件_引言一级无标题"/>
    <w:basedOn w:val="202"/>
    <w:next w:val="58"/>
    <w:qFormat/>
    <w:uiPriority w:val="0"/>
    <w:pPr>
      <w:spacing w:before="0" w:beforeLines="0" w:after="0" w:afterLines="0" w:line="276" w:lineRule="auto"/>
    </w:pPr>
    <w:rPr>
      <w:rFonts w:ascii="宋体" w:eastAsia="宋体"/>
    </w:rPr>
  </w:style>
  <w:style w:type="paragraph" w:customStyle="1" w:styleId="219">
    <w:name w:val="标准文件_引言二级无标题"/>
    <w:basedOn w:val="203"/>
    <w:next w:val="58"/>
    <w:qFormat/>
    <w:uiPriority w:val="0"/>
    <w:pPr>
      <w:spacing w:before="0" w:beforeLines="0" w:after="0" w:afterLines="0" w:line="276" w:lineRule="auto"/>
    </w:pPr>
    <w:rPr>
      <w:rFonts w:ascii="宋体" w:eastAsia="宋体"/>
    </w:rPr>
  </w:style>
  <w:style w:type="paragraph" w:customStyle="1" w:styleId="220">
    <w:name w:val="标准文件_引言三级无标题"/>
    <w:basedOn w:val="204"/>
    <w:qFormat/>
    <w:uiPriority w:val="0"/>
    <w:pPr>
      <w:spacing w:before="0" w:beforeLines="0" w:after="0" w:afterLines="0" w:line="276" w:lineRule="auto"/>
    </w:pPr>
    <w:rPr>
      <w:rFonts w:ascii="宋体" w:eastAsia="宋体"/>
    </w:rPr>
  </w:style>
  <w:style w:type="paragraph" w:customStyle="1" w:styleId="221">
    <w:name w:val="标准文件_引言四级无标题"/>
    <w:basedOn w:val="205"/>
    <w:next w:val="58"/>
    <w:qFormat/>
    <w:uiPriority w:val="0"/>
    <w:pPr>
      <w:spacing w:before="0" w:beforeLines="0" w:after="0" w:afterLines="0" w:line="276" w:lineRule="auto"/>
    </w:pPr>
    <w:rPr>
      <w:rFonts w:ascii="宋体" w:eastAsia="宋体"/>
    </w:rPr>
  </w:style>
  <w:style w:type="paragraph" w:customStyle="1" w:styleId="222">
    <w:name w:val="标准文件_引言五级无标题"/>
    <w:basedOn w:val="206"/>
    <w:next w:val="58"/>
    <w:qFormat/>
    <w:uiPriority w:val="0"/>
    <w:pPr>
      <w:spacing w:before="0" w:beforeLines="0" w:after="0" w:afterLines="0" w:line="276" w:lineRule="auto"/>
    </w:pPr>
    <w:rPr>
      <w:rFonts w:ascii="宋体" w:eastAsia="宋体"/>
    </w:rPr>
  </w:style>
  <w:style w:type="paragraph" w:customStyle="1" w:styleId="223">
    <w:name w:val="标准文件_索引标题"/>
    <w:basedOn w:val="65"/>
    <w:next w:val="58"/>
    <w:qFormat/>
    <w:uiPriority w:val="0"/>
    <w:rPr>
      <w:rFonts w:hAnsi="黑体"/>
    </w:rPr>
  </w:style>
  <w:style w:type="paragraph" w:customStyle="1" w:styleId="224">
    <w:name w:val="标准文件_脚注内容"/>
    <w:basedOn w:val="58"/>
    <w:qFormat/>
    <w:uiPriority w:val="0"/>
    <w:pPr>
      <w:ind w:left="400" w:leftChars="200" w:hanging="200" w:hangingChars="200"/>
    </w:pPr>
    <w:rPr>
      <w:sz w:val="15"/>
    </w:rPr>
  </w:style>
  <w:style w:type="paragraph" w:customStyle="1" w:styleId="225">
    <w:name w:val="标准文件_术语条一"/>
    <w:basedOn w:val="164"/>
    <w:next w:val="58"/>
    <w:qFormat/>
    <w:uiPriority w:val="0"/>
  </w:style>
  <w:style w:type="paragraph" w:customStyle="1" w:styleId="226">
    <w:name w:val="标准文件_术语条二"/>
    <w:basedOn w:val="167"/>
    <w:next w:val="58"/>
    <w:qFormat/>
    <w:uiPriority w:val="0"/>
  </w:style>
  <w:style w:type="paragraph" w:customStyle="1" w:styleId="227">
    <w:name w:val="标准文件_术语条三"/>
    <w:basedOn w:val="166"/>
    <w:next w:val="58"/>
    <w:qFormat/>
    <w:uiPriority w:val="0"/>
  </w:style>
  <w:style w:type="paragraph" w:customStyle="1" w:styleId="228">
    <w:name w:val="标准文件_术语条四"/>
    <w:basedOn w:val="169"/>
    <w:next w:val="58"/>
    <w:qFormat/>
    <w:uiPriority w:val="0"/>
  </w:style>
  <w:style w:type="paragraph" w:customStyle="1" w:styleId="229">
    <w:name w:val="标准文件_术语条五"/>
    <w:basedOn w:val="165"/>
    <w:next w:val="58"/>
    <w:qFormat/>
    <w:uiPriority w:val="0"/>
  </w:style>
  <w:style w:type="paragraph" w:customStyle="1" w:styleId="230">
    <w:name w:val="Defaul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1">
    <w:name w:val="发布"/>
    <w:basedOn w:val="30"/>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08E9FE862B2E4D4D9C73C6189B94A3B4"/>
        <w:style w:val=""/>
        <w:category>
          <w:name w:val="常规"/>
          <w:gallery w:val="placeholder"/>
        </w:category>
        <w:types>
          <w:type w:val="bbPlcHdr"/>
        </w:types>
        <w:behaviors>
          <w:behavior w:val="content"/>
        </w:behaviors>
        <w:description w:val=""/>
        <w:guid w:val="{AB47B18C-EAD6-4474-A1E7-D889441EE822}"/>
      </w:docPartPr>
      <w:docPartBody>
        <w:p w14:paraId="4F3955A8">
          <w:pPr>
            <w:pStyle w:val="5"/>
            <w:rPr>
              <w:rFonts w:hint="eastAsia"/>
            </w:rPr>
          </w:pPr>
          <w:r>
            <w:rPr>
              <w:rStyle w:val="4"/>
              <w:rFonts w:hint="eastAsia"/>
            </w:rPr>
            <w:t>单击或点击此处输入文字。</w:t>
          </w:r>
        </w:p>
      </w:docPartBody>
    </w:docPart>
    <w:docPart>
      <w:docPartPr>
        <w:name w:val="CF6A7BC2361241578DA1F38BE3505DAF"/>
        <w:style w:val=""/>
        <w:category>
          <w:name w:val="常规"/>
          <w:gallery w:val="placeholder"/>
        </w:category>
        <w:types>
          <w:type w:val="bbPlcHdr"/>
        </w:types>
        <w:behaviors>
          <w:behavior w:val="content"/>
        </w:behaviors>
        <w:description w:val=""/>
        <w:guid w:val="{EE714D4E-5D17-4461-A324-42A676169C29}"/>
      </w:docPartPr>
      <w:docPartBody>
        <w:p w14:paraId="738B91DA">
          <w:pPr>
            <w:pStyle w:val="6"/>
            <w:rPr>
              <w:rFonts w:hint="eastAsia"/>
            </w:rPr>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30C"/>
    <w:rsid w:val="0007043E"/>
    <w:rsid w:val="00185FEC"/>
    <w:rsid w:val="00247AFF"/>
    <w:rsid w:val="002C598B"/>
    <w:rsid w:val="0034624B"/>
    <w:rsid w:val="00437A75"/>
    <w:rsid w:val="004C135D"/>
    <w:rsid w:val="00580F88"/>
    <w:rsid w:val="00603213"/>
    <w:rsid w:val="00644948"/>
    <w:rsid w:val="00854850"/>
    <w:rsid w:val="008F087E"/>
    <w:rsid w:val="0094630C"/>
    <w:rsid w:val="00A66C42"/>
    <w:rsid w:val="00A8385E"/>
    <w:rsid w:val="00AB74CA"/>
    <w:rsid w:val="00AF2B62"/>
    <w:rsid w:val="00BA77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08E9FE862B2E4D4D9C73C6189B94A3B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CF6A7BC2361241578DA1F38BE3505DAF"/>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8D9401-B0BD-4D0A-8493-1C11EC30C229}">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9</Pages>
  <Words>3313</Words>
  <Characters>3833</Characters>
  <Lines>35</Lines>
  <Paragraphs>10</Paragraphs>
  <TotalTime>1</TotalTime>
  <ScaleCrop>false</ScaleCrop>
  <LinksUpToDate>false</LinksUpToDate>
  <CharactersWithSpaces>3966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2023-03-17T12:05:00Z</dcterms:created>
  <dc:creator>HUAWEI</dc:creator>
  <dc:description>&lt;config cover="true" show_menu="true" version="1.0.0" doctype="SDKXY"&gt;_x000d_
&lt;/config&gt;</dc:description>
  <cp:lastModifiedBy>夏蕾</cp:lastModifiedBy>
  <cp:lastPrinted>2024-04-03T04:25:00Z</cp:lastPrinted>
  <dcterms:modified xsi:type="dcterms:W3CDTF">2025-01-27T02:14:59Z</dcterms:modified>
  <dc:title>地方标准</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2052-12.1.0.19770</vt:lpwstr>
  </property>
  <property fmtid="{D5CDD505-2E9C-101B-9397-08002B2CF9AE}" pid="15" name="ICV">
    <vt:lpwstr>B2D7DC8566A94BE99F84624605F5D246_13</vt:lpwstr>
  </property>
  <property fmtid="{D5CDD505-2E9C-101B-9397-08002B2CF9AE}" pid="16" name="KSOTemplateDocerSaveRecord">
    <vt:lpwstr>eyJoZGlkIjoiNGY4YjgxZGM4MmRkMjExZmM1MmVhNzViNWMyMjRhNDUiLCJ1c2VySWQiOiIyNjU4NjQwMTgifQ==</vt:lpwstr>
  </property>
</Properties>
</file>