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3DE388">
      <w:pPr>
        <w:pStyle w:val="116"/>
        <w:rPr>
          <w:rFonts w:hint="default" w:ascii="Times New Roman" w:hAnsi="Times New Roman" w:cs="Times New Roman"/>
        </w:rPr>
        <w:sectPr>
          <w:headerReference r:id="rId4" w:type="first"/>
          <w:headerReference r:id="rId3" w:type="default"/>
          <w:footerReference r:id="rId5" w:type="default"/>
          <w:footerReference r:id="rId6" w:type="even"/>
          <w:pgSz w:w="11907" w:h="16839"/>
          <w:pgMar w:top="567" w:right="851" w:bottom="1361" w:left="1418" w:header="0" w:footer="0" w:gutter="0"/>
          <w:pgNumType w:start="1"/>
          <w:cols w:space="425" w:num="1"/>
          <w:titlePg/>
          <w:docGrid w:type="lines" w:linePitch="312" w:charSpace="0"/>
        </w:sectPr>
      </w:pPr>
      <w:bookmarkStart w:id="0" w:name="SectionMark0"/>
      <w:r>
        <w:rPr>
          <w:rFonts w:hint="default" w:ascii="Times New Roman" w:hAnsi="Times New Roman" w:cs="Times New Roman"/>
        </w:rPr>
        <mc:AlternateContent>
          <mc:Choice Requires="wps">
            <w:drawing>
              <wp:anchor distT="0" distB="0" distL="114300" distR="114300" simplePos="0" relativeHeight="251667456" behindDoc="0" locked="1" layoutInCell="1" allowOverlap="1">
                <wp:simplePos x="0" y="0"/>
                <wp:positionH relativeFrom="margin">
                  <wp:posOffset>-66675</wp:posOffset>
                </wp:positionH>
                <wp:positionV relativeFrom="margin">
                  <wp:posOffset>8477250</wp:posOffset>
                </wp:positionV>
                <wp:extent cx="6120130" cy="834390"/>
                <wp:effectExtent l="0" t="0" r="0" b="0"/>
                <wp:wrapNone/>
                <wp:docPr id="11"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834390"/>
                        </a:xfrm>
                        <a:prstGeom prst="rect">
                          <a:avLst/>
                        </a:prstGeom>
                        <a:solidFill>
                          <a:srgbClr val="FFFFFF"/>
                        </a:solidFill>
                        <a:ln>
                          <a:noFill/>
                        </a:ln>
                      </wps:spPr>
                      <wps:txbx>
                        <w:txbxContent>
                          <w:p w14:paraId="465AF5C7">
                            <w:pPr>
                              <w:pStyle w:val="133"/>
                              <w:ind w:firstLine="2124" w:firstLineChars="450"/>
                              <w:jc w:val="both"/>
                              <w:rPr>
                                <w:spacing w:val="0"/>
                                <w:sz w:val="32"/>
                                <w:szCs w:val="32"/>
                              </w:rPr>
                            </w:pPr>
                            <w:r>
                              <w:rPr>
                                <w:rFonts w:hint="eastAsia"/>
                                <w:sz w:val="32"/>
                                <w:szCs w:val="32"/>
                              </w:rPr>
                              <w:t>河北省市场监督管理局</w:t>
                            </w:r>
                            <w:r>
                              <w:rPr>
                                <w:rFonts w:hint="eastAsia"/>
                                <w:spacing w:val="50"/>
                                <w:sz w:val="32"/>
                                <w:szCs w:val="32"/>
                              </w:rPr>
                              <w:t xml:space="preserve">  </w:t>
                            </w:r>
                            <w:r>
                              <w:rPr>
                                <w:rFonts w:hint="eastAsia"/>
                                <w:spacing w:val="0"/>
                                <w:sz w:val="32"/>
                                <w:szCs w:val="32"/>
                              </w:rPr>
                              <w:t>发 布</w:t>
                            </w:r>
                          </w:p>
                          <w:p w14:paraId="51A82603">
                            <w:pPr>
                              <w:pStyle w:val="133"/>
                              <w:ind w:firstLine="1944" w:firstLineChars="450"/>
                              <w:jc w:val="both"/>
                              <w:rPr>
                                <w:spacing w:val="0"/>
                                <w:sz w:val="32"/>
                                <w:szCs w:val="32"/>
                              </w:rPr>
                            </w:pP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5.25pt;margin-top:667.5pt;height:65.7pt;width:481.9pt;mso-position-horizontal-relative:margin;mso-position-vertical-relative:margin;z-index:251667456;mso-width-relative:page;mso-height-relative:page;" fillcolor="#FFFFFF" filled="t" stroked="f" coordsize="21600,21600" o:gfxdata="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bNR8Y2wAAAA0BAAAPAAAAAAAA&#10;AAEAIAAAACIAAABkcnMvZG93bnJldi54bWxQSwECFAAUAAAACACHTuJA8+G9LQ8CAAAsBAAADgAA&#10;AAAAAAABACAAAAAqAQAAZHJzL2Uyb0RvYy54bWxQSwUGAAAAAAYABgBZAQAAqwUAAAAA&#10;">
                <v:fill on="t" focussize="0,0"/>
                <v:stroke on="f"/>
                <v:imagedata o:title=""/>
                <o:lock v:ext="edit" aspectratio="f"/>
                <v:textbox inset="0mm,0mm,0mm,0mm">
                  <w:txbxContent>
                    <w:p w14:paraId="465AF5C7">
                      <w:pPr>
                        <w:pStyle w:val="133"/>
                        <w:ind w:firstLine="2124" w:firstLineChars="450"/>
                        <w:jc w:val="both"/>
                        <w:rPr>
                          <w:spacing w:val="0"/>
                          <w:sz w:val="32"/>
                          <w:szCs w:val="32"/>
                        </w:rPr>
                      </w:pPr>
                      <w:r>
                        <w:rPr>
                          <w:rFonts w:hint="eastAsia"/>
                          <w:sz w:val="32"/>
                          <w:szCs w:val="32"/>
                        </w:rPr>
                        <w:t>河北省市场监督管理局</w:t>
                      </w:r>
                      <w:r>
                        <w:rPr>
                          <w:rFonts w:hint="eastAsia"/>
                          <w:spacing w:val="50"/>
                          <w:sz w:val="32"/>
                          <w:szCs w:val="32"/>
                        </w:rPr>
                        <w:t xml:space="preserve">  </w:t>
                      </w:r>
                      <w:r>
                        <w:rPr>
                          <w:rFonts w:hint="eastAsia"/>
                          <w:spacing w:val="0"/>
                          <w:sz w:val="32"/>
                          <w:szCs w:val="32"/>
                        </w:rPr>
                        <w:t>发 布</w:t>
                      </w:r>
                    </w:p>
                    <w:p w14:paraId="51A82603">
                      <w:pPr>
                        <w:pStyle w:val="133"/>
                        <w:ind w:firstLine="1944" w:firstLineChars="450"/>
                        <w:jc w:val="both"/>
                        <w:rPr>
                          <w:spacing w:val="0"/>
                          <w:sz w:val="32"/>
                          <w:szCs w:val="32"/>
                        </w:rPr>
                      </w:pP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8465185</wp:posOffset>
                </wp:positionV>
                <wp:extent cx="6121400" cy="0"/>
                <wp:effectExtent l="14605" t="14605" r="7620" b="13970"/>
                <wp:wrapNone/>
                <wp:docPr id="10" name="Line 11"/>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1" o:spid="_x0000_s1026" o:spt="20" style="position:absolute;left:0pt;margin-left:0pt;margin-top:666.55pt;height:0pt;width:482pt;z-index:251666432;mso-width-relative:page;mso-height-relative:page;" filled="f" stroked="t" coordsize="21600,21600" o:gfxdata="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4tX6jXAAAACgEAAA8AAAAAAAAAAQAgAAAAIgAAAGRycy9k&#10;b3ducmV2LnhtbFBLAQIUABQAAAAIAIdO4kCyu4SUygEAAKIDAAAOAAAAAAAAAAEAIAAAACYBAABk&#10;cnMvZTJvRG9jLnhtbFBLBQYAAAAABgAGAFkBAABiBQAAAAA=&#10;">
                <v:fill on="f" focussize="0,0"/>
                <v:stroke weight="1pt" color="#08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2273300</wp:posOffset>
                </wp:positionV>
                <wp:extent cx="6121400" cy="0"/>
                <wp:effectExtent l="14605" t="13970" r="7620" b="14605"/>
                <wp:wrapNone/>
                <wp:docPr id="9" name="Line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0" o:spid="_x0000_s1026" o:spt="20" style="position:absolute;left:0pt;margin-left:0pt;margin-top:179pt;height:0pt;width:482pt;z-index:251665408;mso-width-relative:page;mso-height-relative:page;" filled="f" stroked="t" coordsize="21600,21600" o:gfxdata="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O54MdYAAAAIAQAADwAAAAAAAAABACAAAAAiAAAAZHJzL2Rv&#10;d25yZXYueG1sUEsBAhQAFAAAAAgAh07iQP2dZi7KAQAAoQMAAA4AAAAAAAAAAQAgAAAAJQEAAGRy&#10;cy9lMm9Eb2MueG1sUEsFBgAAAAAGAAYAWQEAAGEFAAAAAA==&#10;">
                <v:fill on="f" focussize="0,0"/>
                <v:stroke weight="1pt" color="#08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64384" behindDoc="0" locked="1" layoutInCell="1" allowOverlap="1">
                <wp:simplePos x="0" y="0"/>
                <wp:positionH relativeFrom="margin">
                  <wp:posOffset>4000500</wp:posOffset>
                </wp:positionH>
                <wp:positionV relativeFrom="margin">
                  <wp:posOffset>8122920</wp:posOffset>
                </wp:positionV>
                <wp:extent cx="2019300" cy="312420"/>
                <wp:effectExtent l="0" t="0" r="4445" b="0"/>
                <wp:wrapNone/>
                <wp:docPr id="8"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2CF215A4">
                            <w:pPr>
                              <w:pStyle w:val="135"/>
                              <w:rPr>
                                <w:rFonts w:eastAsiaTheme="minorEastAsia"/>
                              </w:rPr>
                            </w:pPr>
                            <w:r>
                              <w:rPr>
                                <w:rFonts w:hint="eastAsia" w:eastAsiaTheme="minorEastAsia"/>
                                <w:lang w:eastAsia="zh-CN"/>
                              </w:rPr>
                              <w:t>2025</w:t>
                            </w:r>
                            <w:r>
                              <w:rPr>
                                <w:rFonts w:eastAsiaTheme="minorEastAsia"/>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15pt;margin-top:639.6pt;height:24.6pt;width:159pt;mso-position-horizontal-relative:margin;mso-position-vertical-relative:margin;z-index:251664384;mso-width-relative:page;mso-height-relative:page;" fillcolor="#FFFFFF" filled="t" stroked="f" coordsize="21600,21600" o:gfxdata="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1dmztoAAAANAQAADwAAAAAAAAAB&#10;ACAAAAAiAAAAZHJzL2Rvd25yZXYueG1sUEsBAhQAFAAAAAgAh07iQDLOYOEOAgAAKwQAAA4AAAAA&#10;AAAAAQAgAAAAKQEAAGRycy9lMm9Eb2MueG1sUEsFBgAAAAAGAAYAWQEAAKkFAAAAAA==&#10;">
                <v:fill on="t" focussize="0,0"/>
                <v:stroke on="f"/>
                <v:imagedata o:title=""/>
                <o:lock v:ext="edit" aspectratio="f"/>
                <v:textbox inset="0mm,0mm,0mm,0mm">
                  <w:txbxContent>
                    <w:p w14:paraId="2CF215A4">
                      <w:pPr>
                        <w:pStyle w:val="135"/>
                        <w:rPr>
                          <w:rFonts w:eastAsiaTheme="minorEastAsia"/>
                        </w:rPr>
                      </w:pPr>
                      <w:r>
                        <w:rPr>
                          <w:rFonts w:hint="eastAsia" w:eastAsiaTheme="minorEastAsia"/>
                          <w:lang w:eastAsia="zh-CN"/>
                        </w:rPr>
                        <w:t>2025</w:t>
                      </w:r>
                      <w:r>
                        <w:rPr>
                          <w:rFonts w:eastAsiaTheme="minorEastAsia"/>
                        </w:rPr>
                        <w:t>-××-××实施</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8122920</wp:posOffset>
                </wp:positionV>
                <wp:extent cx="2019300" cy="312420"/>
                <wp:effectExtent l="0" t="0" r="4445" b="0"/>
                <wp:wrapNone/>
                <wp:docPr id="7"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5C17B783">
                            <w:pPr>
                              <w:pStyle w:val="107"/>
                              <w:rPr>
                                <w:rFonts w:eastAsia="宋体"/>
                              </w:rPr>
                            </w:pPr>
                            <w:r>
                              <w:rPr>
                                <w:rFonts w:hint="eastAsia" w:eastAsia="宋体"/>
                                <w:lang w:eastAsia="zh-CN"/>
                              </w:rPr>
                              <w:t>2025</w:t>
                            </w:r>
                            <w:r>
                              <w:rPr>
                                <w:rFonts w:eastAsia="宋体"/>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39.6pt;height:24.6pt;width:159pt;mso-position-horizontal-relative:margin;mso-position-vertical-relative:margin;z-index:251664384;mso-width-relative:page;mso-height-relative:page;" fillcolor="#FFFFFF" filled="t" stroked="f" coordsize="21600,21600" o:gfxdata="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cL4p3YAAAACgEAAA8AAAAAAAAAAQAg&#10;AAAAIgAAAGRycy9kb3ducmV2LnhtbFBLAQIUABQAAAAIAIdO4kBwRvrSDgIAACsEAAAOAAAAAAAA&#10;AAEAIAAAACcBAABkcnMvZTJvRG9jLnhtbFBLBQYAAAAABgAGAFkBAACnBQAAAAA=&#10;">
                <v:fill on="t" focussize="0,0"/>
                <v:stroke on="f"/>
                <v:imagedata o:title=""/>
                <o:lock v:ext="edit" aspectratio="f"/>
                <v:textbox inset="0mm,0mm,0mm,0mm">
                  <w:txbxContent>
                    <w:p w14:paraId="5C17B783">
                      <w:pPr>
                        <w:pStyle w:val="107"/>
                        <w:rPr>
                          <w:rFonts w:eastAsia="宋体"/>
                        </w:rPr>
                      </w:pPr>
                      <w:r>
                        <w:rPr>
                          <w:rFonts w:hint="eastAsia" w:eastAsia="宋体"/>
                          <w:lang w:eastAsia="zh-CN"/>
                        </w:rPr>
                        <w:t>2025</w:t>
                      </w:r>
                      <w:r>
                        <w:rPr>
                          <w:rFonts w:eastAsia="宋体"/>
                        </w:rPr>
                        <w:t>-××-××发布</w:t>
                      </w:r>
                    </w:p>
                  </w:txbxContent>
                </v:textbox>
                <w10:anchorlock/>
              </v:shape>
            </w:pict>
          </mc:Fallback>
        </mc:AlternateContent>
      </w:r>
      <w:bookmarkStart w:id="39" w:name="_GoBack"/>
      <w:bookmarkEnd w:id="39"/>
      <w:r>
        <w:rPr>
          <w:rFonts w:hint="default" w:ascii="Times New Roman" w:hAnsi="Times New Roman" w:cs="Times New Roman"/>
        </w:rPr>
        <mc:AlternateContent>
          <mc:Choice Requires="wps">
            <w:drawing>
              <wp:anchor distT="0" distB="0" distL="114300" distR="114300" simplePos="0" relativeHeight="251663360" behindDoc="0" locked="1" layoutInCell="1" allowOverlap="1">
                <wp:simplePos x="0" y="0"/>
                <wp:positionH relativeFrom="margin">
                  <wp:posOffset>-70485</wp:posOffset>
                </wp:positionH>
                <wp:positionV relativeFrom="margin">
                  <wp:posOffset>2769870</wp:posOffset>
                </wp:positionV>
                <wp:extent cx="6091555" cy="2823210"/>
                <wp:effectExtent l="0" t="0" r="4445" b="0"/>
                <wp:wrapNone/>
                <wp:docPr id="6" name="fmFrame4"/>
                <wp:cNvGraphicFramePr/>
                <a:graphic xmlns:a="http://schemas.openxmlformats.org/drawingml/2006/main">
                  <a:graphicData uri="http://schemas.microsoft.com/office/word/2010/wordprocessingShape">
                    <wps:wsp>
                      <wps:cNvSpPr txBox="1">
                        <a:spLocks noChangeArrowheads="1"/>
                      </wps:cNvSpPr>
                      <wps:spPr bwMode="auto">
                        <a:xfrm>
                          <a:off x="0" y="0"/>
                          <a:ext cx="6091555" cy="2823210"/>
                        </a:xfrm>
                        <a:prstGeom prst="rect">
                          <a:avLst/>
                        </a:prstGeom>
                        <a:solidFill>
                          <a:srgbClr val="FFFFFF"/>
                        </a:solidFill>
                        <a:ln>
                          <a:noFill/>
                        </a:ln>
                      </wps:spPr>
                      <wps:txbx>
                        <w:txbxContent>
                          <w:p w14:paraId="6494F4CA">
                            <w:pPr>
                              <w:pStyle w:val="111"/>
                              <w:rPr>
                                <w:b/>
                                <w:spacing w:val="40"/>
                                <w:szCs w:val="52"/>
                              </w:rPr>
                            </w:pPr>
                            <w:r>
                              <w:rPr>
                                <w:rFonts w:hint="eastAsia"/>
                                <w:b/>
                                <w:spacing w:val="40"/>
                                <w:szCs w:val="52"/>
                              </w:rPr>
                              <w:t>城镇再生水利用指南</w:t>
                            </w:r>
                          </w:p>
                          <w:p w14:paraId="69E7A0AD">
                            <w:pPr>
                              <w:pStyle w:val="111"/>
                              <w:rPr>
                                <w:b/>
                                <w:spacing w:val="40"/>
                                <w:szCs w:val="52"/>
                              </w:rPr>
                            </w:pPr>
                            <w:r>
                              <w:rPr>
                                <w:rFonts w:hint="eastAsia"/>
                                <w:b/>
                                <w:spacing w:val="40"/>
                                <w:szCs w:val="52"/>
                              </w:rPr>
                              <w:t xml:space="preserve"> 第2部分</w:t>
                            </w:r>
                            <w:r>
                              <w:rPr>
                                <w:b/>
                                <w:spacing w:val="40"/>
                                <w:szCs w:val="52"/>
                              </w:rPr>
                              <w:t>：</w:t>
                            </w:r>
                            <w:r>
                              <w:rPr>
                                <w:rFonts w:hint="eastAsia"/>
                                <w:b/>
                                <w:spacing w:val="40"/>
                                <w:szCs w:val="52"/>
                              </w:rPr>
                              <w:t>市政杂用</w:t>
                            </w:r>
                          </w:p>
                          <w:p w14:paraId="2ABB507D">
                            <w:pPr>
                              <w:pStyle w:val="46"/>
                              <w:snapToGrid w:val="0"/>
                              <w:spacing w:before="156" w:beforeLines="50" w:line="240" w:lineRule="auto"/>
                              <w:ind w:firstLine="0"/>
                              <w:jc w:val="center"/>
                              <w:rPr>
                                <w:rFonts w:eastAsia="华文仿宋"/>
                                <w:b/>
                                <w:color w:val="auto"/>
                                <w:sz w:val="32"/>
                                <w:szCs w:val="32"/>
                                <w:lang w:val="en-GB"/>
                              </w:rPr>
                            </w:pPr>
                            <w:r>
                              <w:rPr>
                                <w:rFonts w:hint="eastAsia" w:eastAsia="华文仿宋"/>
                                <w:b/>
                                <w:color w:val="auto"/>
                                <w:sz w:val="32"/>
                                <w:szCs w:val="32"/>
                                <w:lang w:val="en-GB"/>
                              </w:rPr>
                              <w:t>Guidelines for the use of reclaimed water</w:t>
                            </w:r>
                          </w:p>
                          <w:p w14:paraId="37431BD1">
                            <w:pPr>
                              <w:pStyle w:val="46"/>
                              <w:snapToGrid w:val="0"/>
                              <w:spacing w:before="156" w:beforeLines="50" w:line="240" w:lineRule="auto"/>
                              <w:ind w:firstLine="0"/>
                              <w:jc w:val="center"/>
                              <w:rPr>
                                <w:rFonts w:eastAsia="华文仿宋"/>
                                <w:b/>
                                <w:color w:val="auto"/>
                                <w:sz w:val="32"/>
                                <w:szCs w:val="32"/>
                                <w:lang w:val="en-GB"/>
                              </w:rPr>
                            </w:pPr>
                            <w:r>
                              <w:rPr>
                                <w:rFonts w:hint="eastAsia" w:eastAsia="华文仿宋"/>
                                <w:b/>
                                <w:color w:val="auto"/>
                                <w:sz w:val="32"/>
                                <w:szCs w:val="32"/>
                                <w:lang w:val="en-GB"/>
                              </w:rPr>
                              <w:t>Part 3: Urban miscellaneous uses</w:t>
                            </w:r>
                          </w:p>
                          <w:p w14:paraId="0FAC7515">
                            <w:pPr>
                              <w:pStyle w:val="46"/>
                              <w:snapToGrid w:val="0"/>
                              <w:spacing w:before="312" w:beforeLines="100" w:line="240" w:lineRule="auto"/>
                              <w:ind w:firstLine="0"/>
                              <w:jc w:val="center"/>
                              <w:rPr>
                                <w:rFonts w:eastAsia="华文仿宋"/>
                                <w:b/>
                                <w:color w:val="auto"/>
                                <w:sz w:val="32"/>
                                <w:szCs w:val="32"/>
                                <w:lang w:val="en-GB"/>
                              </w:rPr>
                            </w:pPr>
                            <w:r>
                              <w:rPr>
                                <w:rFonts w:hint="eastAsia" w:eastAsia="华文仿宋"/>
                                <w:b/>
                                <w:color w:val="auto"/>
                                <w:sz w:val="32"/>
                                <w:szCs w:val="32"/>
                                <w:lang w:val="en-GB"/>
                              </w:rPr>
                              <w:t>（</w:t>
                            </w:r>
                            <w:r>
                              <w:rPr>
                                <w:rFonts w:hint="eastAsia" w:eastAsia="华文仿宋"/>
                                <w:b/>
                                <w:color w:val="auto"/>
                                <w:sz w:val="32"/>
                                <w:szCs w:val="32"/>
                                <w:lang w:val="en-US" w:eastAsia="zh-CN"/>
                              </w:rPr>
                              <w:t>网上</w:t>
                            </w:r>
                            <w:r>
                              <w:rPr>
                                <w:rFonts w:hint="eastAsia" w:eastAsia="华文仿宋"/>
                                <w:b/>
                                <w:color w:val="auto"/>
                                <w:sz w:val="32"/>
                                <w:szCs w:val="32"/>
                              </w:rPr>
                              <w:t>征求意见稿</w:t>
                            </w:r>
                            <w:r>
                              <w:rPr>
                                <w:rFonts w:hint="eastAsia" w:eastAsia="华文仿宋"/>
                                <w:b/>
                                <w:color w:val="auto"/>
                                <w:sz w:val="32"/>
                                <w:szCs w:val="32"/>
                                <w:lang w:val="en-GB"/>
                              </w:rPr>
                              <w:t>）</w:t>
                            </w: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5.55pt;margin-top:218.1pt;height:222.3pt;width:479.65pt;mso-position-horizontal-relative:margin;mso-position-vertical-relative:margin;z-index:251663360;mso-width-relative:page;mso-height-relative:page;" fillcolor="#FFFFFF" filled="t" stroked="f" coordsize="21600,21600" o:gfxdata="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pSj8doAAAALAQAADwAAAAAA&#10;AAABACAAAAAiAAAAZHJzL2Rvd25yZXYueG1sUEsBAhQAFAAAAAgAh07iQPJNv8sRAgAALAQAAA4A&#10;AAAAAAAAAQAgAAAAKQEAAGRycy9lMm9Eb2MueG1sUEsFBgAAAAAGAAYAWQEAAKwFAAAAAA==&#10;">
                <v:fill on="t" focussize="0,0"/>
                <v:stroke on="f"/>
                <v:imagedata o:title=""/>
                <o:lock v:ext="edit" aspectratio="f"/>
                <v:textbox inset="0mm,0mm,0mm,0mm">
                  <w:txbxContent>
                    <w:p w14:paraId="6494F4CA">
                      <w:pPr>
                        <w:pStyle w:val="111"/>
                        <w:rPr>
                          <w:b/>
                          <w:spacing w:val="40"/>
                          <w:szCs w:val="52"/>
                        </w:rPr>
                      </w:pPr>
                      <w:r>
                        <w:rPr>
                          <w:rFonts w:hint="eastAsia"/>
                          <w:b/>
                          <w:spacing w:val="40"/>
                          <w:szCs w:val="52"/>
                        </w:rPr>
                        <w:t>城镇再生水利用指南</w:t>
                      </w:r>
                    </w:p>
                    <w:p w14:paraId="69E7A0AD">
                      <w:pPr>
                        <w:pStyle w:val="111"/>
                        <w:rPr>
                          <w:b/>
                          <w:spacing w:val="40"/>
                          <w:szCs w:val="52"/>
                        </w:rPr>
                      </w:pPr>
                      <w:r>
                        <w:rPr>
                          <w:rFonts w:hint="eastAsia"/>
                          <w:b/>
                          <w:spacing w:val="40"/>
                          <w:szCs w:val="52"/>
                        </w:rPr>
                        <w:t xml:space="preserve"> 第2部分</w:t>
                      </w:r>
                      <w:r>
                        <w:rPr>
                          <w:b/>
                          <w:spacing w:val="40"/>
                          <w:szCs w:val="52"/>
                        </w:rPr>
                        <w:t>：</w:t>
                      </w:r>
                      <w:r>
                        <w:rPr>
                          <w:rFonts w:hint="eastAsia"/>
                          <w:b/>
                          <w:spacing w:val="40"/>
                          <w:szCs w:val="52"/>
                        </w:rPr>
                        <w:t>市政杂用</w:t>
                      </w:r>
                    </w:p>
                    <w:p w14:paraId="2ABB507D">
                      <w:pPr>
                        <w:pStyle w:val="46"/>
                        <w:snapToGrid w:val="0"/>
                        <w:spacing w:before="156" w:beforeLines="50" w:line="240" w:lineRule="auto"/>
                        <w:ind w:firstLine="0"/>
                        <w:jc w:val="center"/>
                        <w:rPr>
                          <w:rFonts w:eastAsia="华文仿宋"/>
                          <w:b/>
                          <w:color w:val="auto"/>
                          <w:sz w:val="32"/>
                          <w:szCs w:val="32"/>
                          <w:lang w:val="en-GB"/>
                        </w:rPr>
                      </w:pPr>
                      <w:r>
                        <w:rPr>
                          <w:rFonts w:hint="eastAsia" w:eastAsia="华文仿宋"/>
                          <w:b/>
                          <w:color w:val="auto"/>
                          <w:sz w:val="32"/>
                          <w:szCs w:val="32"/>
                          <w:lang w:val="en-GB"/>
                        </w:rPr>
                        <w:t>Guidelines for the use of reclaimed water</w:t>
                      </w:r>
                    </w:p>
                    <w:p w14:paraId="37431BD1">
                      <w:pPr>
                        <w:pStyle w:val="46"/>
                        <w:snapToGrid w:val="0"/>
                        <w:spacing w:before="156" w:beforeLines="50" w:line="240" w:lineRule="auto"/>
                        <w:ind w:firstLine="0"/>
                        <w:jc w:val="center"/>
                        <w:rPr>
                          <w:rFonts w:eastAsia="华文仿宋"/>
                          <w:b/>
                          <w:color w:val="auto"/>
                          <w:sz w:val="32"/>
                          <w:szCs w:val="32"/>
                          <w:lang w:val="en-GB"/>
                        </w:rPr>
                      </w:pPr>
                      <w:r>
                        <w:rPr>
                          <w:rFonts w:hint="eastAsia" w:eastAsia="华文仿宋"/>
                          <w:b/>
                          <w:color w:val="auto"/>
                          <w:sz w:val="32"/>
                          <w:szCs w:val="32"/>
                          <w:lang w:val="en-GB"/>
                        </w:rPr>
                        <w:t>Part 3: Urban miscellaneous uses</w:t>
                      </w:r>
                    </w:p>
                    <w:p w14:paraId="0FAC7515">
                      <w:pPr>
                        <w:pStyle w:val="46"/>
                        <w:snapToGrid w:val="0"/>
                        <w:spacing w:before="312" w:beforeLines="100" w:line="240" w:lineRule="auto"/>
                        <w:ind w:firstLine="0"/>
                        <w:jc w:val="center"/>
                        <w:rPr>
                          <w:rFonts w:eastAsia="华文仿宋"/>
                          <w:b/>
                          <w:color w:val="auto"/>
                          <w:sz w:val="32"/>
                          <w:szCs w:val="32"/>
                          <w:lang w:val="en-GB"/>
                        </w:rPr>
                      </w:pPr>
                      <w:r>
                        <w:rPr>
                          <w:rFonts w:hint="eastAsia" w:eastAsia="华文仿宋"/>
                          <w:b/>
                          <w:color w:val="auto"/>
                          <w:sz w:val="32"/>
                          <w:szCs w:val="32"/>
                          <w:lang w:val="en-GB"/>
                        </w:rPr>
                        <w:t>（</w:t>
                      </w:r>
                      <w:r>
                        <w:rPr>
                          <w:rFonts w:hint="eastAsia" w:eastAsia="华文仿宋"/>
                          <w:b/>
                          <w:color w:val="auto"/>
                          <w:sz w:val="32"/>
                          <w:szCs w:val="32"/>
                          <w:lang w:val="en-US" w:eastAsia="zh-CN"/>
                        </w:rPr>
                        <w:t>网上</w:t>
                      </w:r>
                      <w:r>
                        <w:rPr>
                          <w:rFonts w:hint="eastAsia" w:eastAsia="华文仿宋"/>
                          <w:b/>
                          <w:color w:val="auto"/>
                          <w:sz w:val="32"/>
                          <w:szCs w:val="32"/>
                        </w:rPr>
                        <w:t>征求意见稿</w:t>
                      </w:r>
                      <w:r>
                        <w:rPr>
                          <w:rFonts w:hint="eastAsia" w:eastAsia="华文仿宋"/>
                          <w:b/>
                          <w:color w:val="auto"/>
                          <w:sz w:val="32"/>
                          <w:szCs w:val="32"/>
                          <w:lang w:val="en-GB"/>
                        </w:rPr>
                        <w:t>）</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2336" behindDoc="0" locked="1" layoutInCell="1" allowOverlap="1">
                <wp:simplePos x="0" y="0"/>
                <wp:positionH relativeFrom="margin">
                  <wp:align>center</wp:align>
                </wp:positionH>
                <wp:positionV relativeFrom="margin">
                  <wp:posOffset>1422400</wp:posOffset>
                </wp:positionV>
                <wp:extent cx="5802630" cy="860425"/>
                <wp:effectExtent l="0" t="0" r="7620" b="0"/>
                <wp:wrapNone/>
                <wp:docPr id="5"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14:paraId="445D34FF">
                            <w:pPr>
                              <w:pStyle w:val="108"/>
                              <w:rPr>
                                <w:rFonts w:hint="eastAsia" w:eastAsia="宋体"/>
                                <w:lang w:eastAsia="zh-CN"/>
                              </w:rPr>
                            </w:pPr>
                            <w:r>
                              <w:t>DB</w:t>
                            </w:r>
                            <w:r>
                              <w:rPr>
                                <w:rFonts w:hint="eastAsia"/>
                              </w:rPr>
                              <w:t>13</w:t>
                            </w:r>
                            <w:r>
                              <w:t xml:space="preserve">/T </w:t>
                            </w:r>
                            <w:r>
                              <w:rPr>
                                <w:rFonts w:hint="eastAsia"/>
                              </w:rPr>
                              <w:t>×××</w:t>
                            </w:r>
                            <w:r>
                              <w:t>—</w:t>
                            </w:r>
                            <w:r>
                              <w:rPr>
                                <w:rFonts w:hint="eastAsia"/>
                                <w:lang w:eastAsia="zh-CN"/>
                              </w:rPr>
                              <w:t>2025</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top:112pt;height:67.75pt;width:456.9pt;mso-position-horizontal:center;mso-position-horizontal-relative:margin;mso-position-vertical-relative:margin;z-index:251662336;mso-width-relative:page;mso-height-relative:page;" fillcolor="#FFFFFF" filled="t" stroked="f" coordsize="21600,21600" o:gfxdata="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26HotgAAAAIAQAADwAAAAAAAAAB&#10;ACAAAAAiAAAAZHJzL2Rvd25yZXYueG1sUEsBAhQAFAAAAAgAh07iQCLHNgYQAgAAKwQAAA4AAAAA&#10;AAAAAQAgAAAAJwEAAGRycy9lMm9Eb2MueG1sUEsFBgAAAAAGAAYAWQEAAKkFAAAAAA==&#10;">
                <v:fill on="t" focussize="0,0"/>
                <v:stroke on="f"/>
                <v:imagedata o:title=""/>
                <o:lock v:ext="edit" aspectratio="f"/>
                <v:textbox inset="0mm,0mm,0mm,0mm">
                  <w:txbxContent>
                    <w:p w14:paraId="445D34FF">
                      <w:pPr>
                        <w:pStyle w:val="108"/>
                        <w:rPr>
                          <w:rFonts w:hint="eastAsia" w:eastAsia="宋体"/>
                          <w:lang w:eastAsia="zh-CN"/>
                        </w:rPr>
                      </w:pPr>
                      <w:r>
                        <w:t>DB</w:t>
                      </w:r>
                      <w:r>
                        <w:rPr>
                          <w:rFonts w:hint="eastAsia"/>
                        </w:rPr>
                        <w:t>13</w:t>
                      </w:r>
                      <w:r>
                        <w:t xml:space="preserve">/T </w:t>
                      </w:r>
                      <w:r>
                        <w:rPr>
                          <w:rFonts w:hint="eastAsia"/>
                        </w:rPr>
                        <w:t>×××</w:t>
                      </w:r>
                      <w:r>
                        <w:t>—</w:t>
                      </w:r>
                      <w:r>
                        <w:rPr>
                          <w:rFonts w:hint="eastAsia"/>
                          <w:lang w:eastAsia="zh-CN"/>
                        </w:rPr>
                        <w:t>2025</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175000" cy="720090"/>
                <wp:effectExtent l="1905" t="635" r="4445" b="3175"/>
                <wp:wrapNone/>
                <wp:docPr id="4"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14:paraId="049CFCFA">
                            <w:pPr>
                              <w:pStyle w:val="92"/>
                            </w:pPr>
                            <w:r>
                              <w:t>DB13</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1312;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WTs82AAAAAoBAAAPAAAAAAAAAAEA&#10;IAAAACIAAABkcnMvZG93bnJldi54bWxQSwECFAAUAAAACACHTuJAC7ew/g8CAAArBAAADgAAAAAA&#10;AAABACAAAAAnAQAAZHJzL2Uyb0RvYy54bWxQSwUGAAAAAAYABgBZAQAAqAUAAAAA&#10;">
                <v:fill on="t" focussize="0,0"/>
                <v:stroke on="f"/>
                <v:imagedata o:title=""/>
                <o:lock v:ext="edit" aspectratio="f"/>
                <v:textbox inset="0mm,0mm,0mm,0mm">
                  <w:txbxContent>
                    <w:p w14:paraId="049CFCFA">
                      <w:pPr>
                        <w:pStyle w:val="92"/>
                      </w:pPr>
                      <w:r>
                        <w:t>DB13</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14:paraId="2AFA8351">
                            <w:pPr>
                              <w:pStyle w:val="132"/>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5HBdcAAAAIAQAADwAAAAAAAAABACAA&#10;AAAiAAAAZHJzL2Rvd25yZXYueG1sUEsBAhQAFAAAAAgAh07iQL1ajLsOAgAAKwQAAA4AAAAAAAAA&#10;AQAgAAAAJgEAAGRycy9lMm9Eb2MueG1sUEsFBgAAAAAGAAYAWQEAAKYFAAAAAA==&#10;">
                <v:fill on="t" focussize="0,0"/>
                <v:stroke on="f"/>
                <v:imagedata o:title=""/>
                <o:lock v:ext="edit" aspectratio="f"/>
                <v:textbox inset="0mm,0mm,0mm,0mm">
                  <w:txbxContent>
                    <w:p w14:paraId="2AFA8351">
                      <w:pPr>
                        <w:pStyle w:val="132"/>
                      </w:pPr>
                      <w:r>
                        <w:rPr>
                          <w:rFonts w:hint="eastAsia"/>
                        </w:rPr>
                        <w:t>河北省地方标准</w:t>
                      </w:r>
                    </w:p>
                  </w:txbxContent>
                </v:textbox>
                <w10:anchorlock/>
              </v:shape>
            </w:pict>
          </mc:Fallback>
        </mc:AlternateContent>
      </w:r>
      <w:r>
        <w:rPr>
          <w:rFonts w:hint="default" w:ascii="Times New Roman" w:hAnsi="Times New Roman" w:cs="Times New Roman"/>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0" b="1270"/>
                <wp:wrapNone/>
                <wp:docPr id="2" name="fmFrame1"/>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14:paraId="366A347C">
                            <w:pPr>
                              <w:pStyle w:val="141"/>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14:paraId="6385C7E8">
                            <w:pPr>
                              <w:pStyle w:val="141"/>
                            </w:pPr>
                            <w:r>
                              <w:rPr>
                                <w:rFonts w:hint="eastAsia"/>
                              </w:rPr>
                              <w:t xml:space="preserve">R </w:t>
                            </w:r>
                            <w:r>
                              <w:rPr>
                                <w:rFonts w:ascii="黑体"/>
                              </w:rPr>
                              <w:t>0</w:t>
                            </w:r>
                            <w:r>
                              <w:rPr>
                                <w:rFonts w:hint="eastAsia" w:ascii="黑体"/>
                              </w:rPr>
                              <w:t>1</w:t>
                            </w: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ezL4NMAAAAFAQAADwAAAAAAAAABACAAAAAi&#10;AAAAZHJzL2Rvd25yZXYueG1sUEsBAhQAFAAAAAgAh07iQAnRnG8PAgAAKwQAAA4AAAAAAAAAAQAg&#10;AAAAIgEAAGRycy9lMm9Eb2MueG1sUEsFBgAAAAAGAAYAWQEAAKMFAAAAAA==&#10;">
                <v:fill on="t" focussize="0,0"/>
                <v:stroke on="f"/>
                <v:imagedata o:title=""/>
                <o:lock v:ext="edit" aspectratio="f"/>
                <v:textbox inset="0mm,0mm,0mm,0mm">
                  <w:txbxContent>
                    <w:p w14:paraId="366A347C">
                      <w:pPr>
                        <w:pStyle w:val="141"/>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14:paraId="6385C7E8">
                      <w:pPr>
                        <w:pStyle w:val="141"/>
                      </w:pPr>
                      <w:r>
                        <w:rPr>
                          <w:rFonts w:hint="eastAsia"/>
                        </w:rPr>
                        <w:t xml:space="preserve">R </w:t>
                      </w:r>
                      <w:r>
                        <w:rPr>
                          <w:rFonts w:ascii="黑体"/>
                        </w:rPr>
                        <w:t>0</w:t>
                      </w:r>
                      <w:r>
                        <w:rPr>
                          <w:rFonts w:hint="eastAsia" w:ascii="黑体"/>
                        </w:rPr>
                        <w:t>1</w:t>
                      </w:r>
                    </w:p>
                  </w:txbxContent>
                </v:textbox>
                <w10:anchorlock/>
              </v:shape>
            </w:pict>
          </mc:Fallback>
        </mc:AlternateContent>
      </w:r>
      <w:r>
        <w:rPr>
          <w:rFonts w:hint="default" w:ascii="Times New Roman" w:hAnsi="Times New Roman" w:cs="Times New Roman"/>
          <w:lang w:val="en-US" w:eastAsia="zh-CN"/>
        </w:rPr>
        <w:t>[</w:t>
      </w:r>
    </w:p>
    <w:bookmarkEnd w:id="0"/>
    <w:p w14:paraId="24BC55DB">
      <w:pPr>
        <w:pStyle w:val="2"/>
        <w:spacing w:before="640" w:after="560" w:line="240" w:lineRule="auto"/>
        <w:jc w:val="center"/>
        <w:rPr>
          <w:rFonts w:hint="default" w:ascii="Times New Roman" w:hAnsi="Times New Roman" w:eastAsia="黑体" w:cs="Times New Roman"/>
          <w:b w:val="0"/>
          <w:sz w:val="32"/>
          <w:szCs w:val="32"/>
        </w:rPr>
      </w:pPr>
      <w:bookmarkStart w:id="1" w:name="_Toc22889"/>
      <w:bookmarkStart w:id="2" w:name="_Toc25486"/>
      <w:bookmarkStart w:id="3" w:name="SectionMark2"/>
      <w:r>
        <w:rPr>
          <w:rFonts w:hint="default" w:ascii="Times New Roman" w:hAnsi="Times New Roman" w:eastAsia="黑体" w:cs="Times New Roman"/>
          <w:b w:val="0"/>
          <w:sz w:val="32"/>
          <w:szCs w:val="32"/>
        </w:rPr>
        <w:t>前    言</w:t>
      </w:r>
      <w:bookmarkEnd w:id="1"/>
      <w:bookmarkEnd w:id="2"/>
    </w:p>
    <w:p w14:paraId="41148334">
      <w:pPr>
        <w:spacing w:line="420" w:lineRule="exact"/>
        <w:ind w:firstLine="420" w:firstLineChars="200"/>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本文件按照GB/T 1.1</w:t>
      </w:r>
      <w:r>
        <w:rPr>
          <w:rFonts w:hint="default" w:ascii="Times New Roman" w:hAnsi="Times New Roman" w:cs="Times New Roman" w:eastAsiaTheme="minorEastAsia"/>
          <w:szCs w:val="21"/>
        </w:rPr>
        <w:t>—2020</w:t>
      </w:r>
      <w:r>
        <w:rPr>
          <w:rFonts w:hint="default" w:ascii="Times New Roman" w:hAnsi="Times New Roman" w:cs="Times New Roman" w:eastAsiaTheme="minorEastAsia"/>
          <w:bCs/>
          <w:szCs w:val="21"/>
        </w:rPr>
        <w:t>《标准化工作导则  第1部分：标准化文件的结构和起草规则》的规定起草。</w:t>
      </w:r>
    </w:p>
    <w:p w14:paraId="21DDBD92">
      <w:pPr>
        <w:spacing w:line="420" w:lineRule="exact"/>
        <w:ind w:firstLine="420" w:firstLineChars="200"/>
        <w:rPr>
          <w:rFonts w:hint="default" w:ascii="Times New Roman" w:hAnsi="Times New Roman" w:cs="Times New Roman"/>
          <w:bCs/>
          <w:szCs w:val="21"/>
        </w:rPr>
      </w:pPr>
      <w:r>
        <w:rPr>
          <w:rFonts w:hint="default" w:ascii="Times New Roman" w:hAnsi="Times New Roman" w:cs="Times New Roman"/>
          <w:bCs/>
          <w:szCs w:val="21"/>
        </w:rPr>
        <w:t>本文件由</w:t>
      </w:r>
      <w:r>
        <w:rPr>
          <w:rFonts w:hint="default" w:ascii="Times New Roman" w:hAnsi="Times New Roman" w:cs="Times New Roman"/>
          <w:kern w:val="0"/>
          <w:szCs w:val="21"/>
        </w:rPr>
        <w:t>河北省水利厅提出并归口。</w:t>
      </w:r>
    </w:p>
    <w:p w14:paraId="3583E7A0">
      <w:pPr>
        <w:spacing w:line="420" w:lineRule="exact"/>
        <w:ind w:firstLine="420" w:firstLineChars="200"/>
        <w:rPr>
          <w:rFonts w:hint="default" w:ascii="Times New Roman" w:hAnsi="Times New Roman" w:cs="Times New Roman"/>
          <w:kern w:val="0"/>
          <w:szCs w:val="21"/>
        </w:rPr>
      </w:pPr>
      <w:r>
        <w:rPr>
          <w:rFonts w:hint="default" w:ascii="Times New Roman" w:hAnsi="Times New Roman" w:cs="Times New Roman"/>
          <w:kern w:val="0"/>
          <w:szCs w:val="21"/>
        </w:rPr>
        <w:t>本文件起草单位：</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p>
    <w:p w14:paraId="66EE33F2">
      <w:pPr>
        <w:spacing w:line="420" w:lineRule="exact"/>
        <w:ind w:firstLine="420" w:firstLineChars="200"/>
        <w:rPr>
          <w:rFonts w:hint="default" w:ascii="Times New Roman" w:hAnsi="Times New Roman" w:cs="Times New Roman"/>
        </w:rPr>
      </w:pPr>
      <w:r>
        <w:rPr>
          <w:rFonts w:hint="default" w:ascii="Times New Roman" w:hAnsi="Times New Roman" w:cs="Times New Roman"/>
          <w:bCs/>
          <w:szCs w:val="21"/>
        </w:rPr>
        <w:t>本文件主要起草人：</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t>、</w:t>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r>
        <w:rPr>
          <w:rFonts w:hint="default" w:ascii="Times New Roman" w:hAnsi="Times New Roman" w:cs="Times New Roman"/>
          <w:kern w:val="0"/>
          <w:szCs w:val="21"/>
        </w:rPr>
        <w:sym w:font="Wingdings 2" w:char="F0CD"/>
      </w:r>
    </w:p>
    <w:p w14:paraId="45D78C2F">
      <w:pPr>
        <w:rPr>
          <w:rFonts w:hint="default" w:ascii="Times New Roman" w:hAnsi="Times New Roman" w:cs="Times New Roman"/>
        </w:rPr>
        <w:sectPr>
          <w:headerReference r:id="rId7" w:type="default"/>
          <w:pgSz w:w="11907" w:h="16839"/>
          <w:pgMar w:top="1418" w:right="1134" w:bottom="1134" w:left="1418" w:header="1418" w:footer="851" w:gutter="0"/>
          <w:pgNumType w:fmt="upperRoman"/>
          <w:cols w:space="425" w:num="1"/>
          <w:docGrid w:type="lines" w:linePitch="312" w:charSpace="0"/>
        </w:sectPr>
      </w:pPr>
    </w:p>
    <w:bookmarkEnd w:id="3"/>
    <w:p w14:paraId="13AD5B62">
      <w:pPr>
        <w:spacing w:before="360" w:after="120" w:line="440" w:lineRule="exact"/>
        <w:jc w:val="center"/>
        <w:rPr>
          <w:rFonts w:hint="default" w:ascii="Times New Roman" w:hAnsi="Times New Roman" w:eastAsia="黑体" w:cs="Times New Roman"/>
          <w:sz w:val="32"/>
          <w:szCs w:val="28"/>
        </w:rPr>
      </w:pPr>
      <w:bookmarkStart w:id="4" w:name="_Hlk129018307"/>
      <w:bookmarkStart w:id="5" w:name="SectionMark4"/>
      <w:r>
        <w:rPr>
          <w:rFonts w:hint="default" w:ascii="Times New Roman" w:hAnsi="Times New Roman" w:eastAsia="黑体" w:cs="Times New Roman"/>
          <w:sz w:val="32"/>
          <w:szCs w:val="28"/>
        </w:rPr>
        <w:t>城镇再生水利用指南 第2部分：市政杂用</w:t>
      </w:r>
    </w:p>
    <w:bookmarkEnd w:id="4"/>
    <w:p w14:paraId="2BD77C63">
      <w:pPr>
        <w:pStyle w:val="2"/>
        <w:spacing w:before="156" w:beforeLines="50" w:after="156" w:afterLines="50" w:line="460" w:lineRule="exact"/>
        <w:rPr>
          <w:rFonts w:hint="default" w:ascii="Times New Roman" w:hAnsi="Times New Roman" w:eastAsia="黑体" w:cs="Times New Roman"/>
          <w:b w:val="0"/>
          <w:kern w:val="0"/>
          <w:sz w:val="21"/>
          <w:szCs w:val="24"/>
        </w:rPr>
      </w:pPr>
      <w:bookmarkStart w:id="6" w:name="_Toc21846"/>
      <w:bookmarkStart w:id="7" w:name="_Toc5091"/>
      <w:bookmarkStart w:id="8" w:name="_Toc158083342"/>
      <w:r>
        <w:rPr>
          <w:rFonts w:hint="default" w:ascii="Times New Roman" w:hAnsi="Times New Roman" w:eastAsia="黑体" w:cs="Times New Roman"/>
          <w:b w:val="0"/>
          <w:kern w:val="0"/>
          <w:sz w:val="21"/>
          <w:szCs w:val="24"/>
        </w:rPr>
        <w:t>1  范围</w:t>
      </w:r>
      <w:bookmarkEnd w:id="6"/>
      <w:bookmarkEnd w:id="7"/>
      <w:bookmarkEnd w:id="8"/>
    </w:p>
    <w:p w14:paraId="065AD784">
      <w:pPr>
        <w:spacing w:line="400" w:lineRule="exact"/>
        <w:ind w:firstLine="420" w:firstLineChars="200"/>
        <w:rPr>
          <w:rFonts w:hint="default" w:ascii="Times New Roman" w:hAnsi="Times New Roman" w:cs="Times New Roman"/>
        </w:rPr>
      </w:pPr>
      <w:bookmarkStart w:id="9" w:name="_Toc158083343"/>
      <w:r>
        <w:rPr>
          <w:rFonts w:hint="default" w:ascii="Times New Roman" w:hAnsi="Times New Roman" w:cs="Times New Roman"/>
        </w:rPr>
        <w:t>本文件给出</w:t>
      </w:r>
      <w:r>
        <w:rPr>
          <w:rFonts w:hint="default" w:ascii="Times New Roman" w:hAnsi="Times New Roman" w:cs="Times New Roman"/>
          <w:color w:val="auto"/>
        </w:rPr>
        <w:t>了城镇再生水市</w:t>
      </w:r>
      <w:r>
        <w:rPr>
          <w:rFonts w:hint="default" w:ascii="Times New Roman" w:hAnsi="Times New Roman" w:cs="Times New Roman"/>
        </w:rPr>
        <w:t xml:space="preserve">政杂用的基本要求、再生水生产-输配-利用、监测控制、日常管理和应急管理的指南。 </w:t>
      </w:r>
    </w:p>
    <w:p w14:paraId="69318C01">
      <w:pPr>
        <w:spacing w:line="400" w:lineRule="exact"/>
        <w:ind w:firstLine="420" w:firstLineChars="200"/>
        <w:rPr>
          <w:rFonts w:hint="default" w:ascii="Times New Roman" w:hAnsi="Times New Roman" w:cs="Times New Roman"/>
        </w:rPr>
      </w:pPr>
      <w:r>
        <w:rPr>
          <w:rFonts w:hint="default" w:ascii="Times New Roman" w:hAnsi="Times New Roman" w:cs="Times New Roman"/>
        </w:rPr>
        <w:t>本文件适用</w:t>
      </w:r>
      <w:r>
        <w:rPr>
          <w:rFonts w:hint="default" w:ascii="Times New Roman" w:hAnsi="Times New Roman" w:cs="Times New Roman"/>
          <w:color w:val="auto"/>
        </w:rPr>
        <w:t>于城镇再生水的市政杂用，包括冲厕、车辆冲洗、城市绿化、道路清扫</w:t>
      </w:r>
      <w:r>
        <w:rPr>
          <w:rFonts w:hint="default" w:ascii="Times New Roman" w:hAnsi="Times New Roman" w:cs="Times New Roman"/>
          <w:color w:val="auto"/>
          <w:lang w:eastAsia="zh-CN"/>
        </w:rPr>
        <w:t>、消防</w:t>
      </w:r>
      <w:r>
        <w:rPr>
          <w:rFonts w:hint="eastAsia" w:cs="Times New Roman"/>
          <w:color w:val="auto"/>
          <w:lang w:eastAsia="zh-CN"/>
        </w:rPr>
        <w:t>、建筑用水</w:t>
      </w:r>
      <w:r>
        <w:rPr>
          <w:rFonts w:hint="default" w:ascii="Times New Roman" w:hAnsi="Times New Roman" w:cs="Times New Roman"/>
        </w:rPr>
        <w:t>等。</w:t>
      </w:r>
    </w:p>
    <w:p w14:paraId="2C31FC27">
      <w:pPr>
        <w:pStyle w:val="2"/>
        <w:spacing w:before="156" w:beforeLines="50" w:after="156" w:afterLines="50" w:line="460" w:lineRule="exact"/>
        <w:rPr>
          <w:rFonts w:hint="default" w:ascii="Times New Roman" w:hAnsi="Times New Roman" w:eastAsia="黑体" w:cs="Times New Roman"/>
          <w:b w:val="0"/>
          <w:kern w:val="0"/>
          <w:sz w:val="21"/>
          <w:szCs w:val="24"/>
        </w:rPr>
      </w:pPr>
      <w:bookmarkStart w:id="10" w:name="_Toc28884"/>
      <w:bookmarkStart w:id="11" w:name="_Toc8985"/>
      <w:r>
        <w:rPr>
          <w:rFonts w:hint="default" w:ascii="Times New Roman" w:hAnsi="Times New Roman" w:eastAsia="黑体" w:cs="Times New Roman"/>
          <w:b w:val="0"/>
          <w:kern w:val="0"/>
          <w:sz w:val="21"/>
          <w:szCs w:val="24"/>
        </w:rPr>
        <w:t>2  规范性引用文件</w:t>
      </w:r>
      <w:bookmarkEnd w:id="9"/>
      <w:bookmarkEnd w:id="10"/>
      <w:bookmarkEnd w:id="11"/>
    </w:p>
    <w:p w14:paraId="172158CF">
      <w:pPr>
        <w:spacing w:line="400" w:lineRule="exact"/>
        <w:ind w:firstLine="420" w:firstLineChars="200"/>
        <w:rPr>
          <w:rFonts w:hint="default" w:ascii="Times New Roman" w:hAnsi="Times New Roman" w:cs="Times New Roman"/>
        </w:rPr>
      </w:pPr>
      <w:r>
        <w:rPr>
          <w:rFonts w:hint="default" w:ascii="Times New Roman" w:hAnsi="Times New Roman" w:cs="Times New Roman"/>
          <w:szCs w:val="21"/>
        </w:rPr>
        <w:t>下列文件中的内容通过文中的规范性引用而构成本文件必不可少的条款</w:t>
      </w:r>
      <w:r>
        <w:rPr>
          <w:rFonts w:hint="default" w:ascii="Times New Roman" w:hAnsi="Times New Roman" w:cs="Times New Roman"/>
          <w:szCs w:val="21"/>
          <w:lang w:eastAsia="zh-CN"/>
        </w:rPr>
        <w:t>。</w:t>
      </w:r>
      <w:r>
        <w:rPr>
          <w:rFonts w:hint="default" w:ascii="Times New Roman" w:hAnsi="Times New Roman" w:cs="Times New Roman"/>
          <w:szCs w:val="21"/>
        </w:rPr>
        <w:t>其中，注日期的引用文件，仅该日期对应的版本适用于本文件；不注日期的引用文件，其最新版本（包括所有的修改单）适用于本文件。</w:t>
      </w:r>
    </w:p>
    <w:p w14:paraId="6CFBBE87">
      <w:pPr>
        <w:spacing w:line="400" w:lineRule="exact"/>
        <w:ind w:firstLine="420" w:firstLineChars="200"/>
        <w:rPr>
          <w:rFonts w:hint="default" w:ascii="Times New Roman" w:hAnsi="Times New Roman" w:cs="Times New Roman" w:eastAsiaTheme="minorEastAsia"/>
          <w:highlight w:val="none"/>
        </w:rPr>
      </w:pPr>
      <w:bookmarkStart w:id="12" w:name="_Hlk122887783"/>
      <w:r>
        <w:rPr>
          <w:rFonts w:hint="default" w:ascii="Times New Roman" w:hAnsi="Times New Roman" w:cs="Times New Roman" w:eastAsiaTheme="minorEastAsia"/>
          <w:highlight w:val="none"/>
        </w:rPr>
        <w:t>GB/T 12452  水平衡测试通则</w:t>
      </w:r>
    </w:p>
    <w:bookmarkEnd w:id="12"/>
    <w:p w14:paraId="4DB58CB7">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 xml:space="preserve">GB/T 18919  城市污水再生利用 分类 </w:t>
      </w:r>
    </w:p>
    <w:p w14:paraId="0F42F99F">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GB/T 18920  城市污水再生利用 城市杂用水水质</w:t>
      </w:r>
    </w:p>
    <w:p w14:paraId="220F5B95">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GB/T 21534  节约用水 术语</w:t>
      </w:r>
    </w:p>
    <w:p w14:paraId="4C227E4F">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GB/T 24789  用水单位水计量器具配备和管理通则</w:t>
      </w:r>
    </w:p>
    <w:p w14:paraId="6E3A678A">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GB/T 30681  洗车场所节水技术规范</w:t>
      </w:r>
    </w:p>
    <w:p w14:paraId="4A160F6E">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GB/T 31436  节水型卫生洁具</w:t>
      </w:r>
    </w:p>
    <w:p w14:paraId="36B42BBF">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00" w:lineRule="exact"/>
        <w:ind w:left="0" w:right="0" w:firstLine="420" w:firstLineChars="200"/>
        <w:rPr>
          <w:rFonts w:hint="default" w:ascii="Times New Roman" w:hAnsi="Times New Roman" w:cs="Times New Roman" w:eastAsiaTheme="minorEastAsia"/>
          <w:i w:val="0"/>
          <w:iCs w:val="0"/>
          <w:caps w:val="0"/>
          <w:color w:val="auto"/>
          <w:spacing w:val="0"/>
          <w:sz w:val="21"/>
          <w:szCs w:val="20"/>
          <w:highlight w:val="none"/>
        </w:rPr>
      </w:pPr>
      <w:r>
        <w:rPr>
          <w:rFonts w:hint="default" w:ascii="Times New Roman" w:hAnsi="Times New Roman" w:cs="Times New Roman" w:eastAsiaTheme="minorEastAsia"/>
          <w:i w:val="0"/>
          <w:iCs w:val="0"/>
          <w:caps w:val="0"/>
          <w:color w:val="auto"/>
          <w:spacing w:val="0"/>
          <w:sz w:val="21"/>
          <w:szCs w:val="20"/>
          <w:highlight w:val="none"/>
          <w:shd w:val="clear" w:fill="FFFFFF"/>
        </w:rPr>
        <w:t>GB/T 41017 </w:t>
      </w:r>
      <w:r>
        <w:rPr>
          <w:rFonts w:hint="default" w:ascii="Times New Roman" w:hAnsi="Times New Roman" w:cs="Times New Roman" w:eastAsiaTheme="minorEastAsia"/>
          <w:i w:val="0"/>
          <w:iCs w:val="0"/>
          <w:caps w:val="0"/>
          <w:color w:val="auto"/>
          <w:spacing w:val="0"/>
          <w:sz w:val="21"/>
          <w:szCs w:val="20"/>
          <w:highlight w:val="none"/>
          <w:shd w:val="clear" w:fill="FFFFFF"/>
          <w:lang w:val="en-US" w:eastAsia="zh-CN"/>
        </w:rPr>
        <w:t xml:space="preserve"> </w:t>
      </w:r>
      <w:r>
        <w:rPr>
          <w:rFonts w:hint="default" w:ascii="Times New Roman" w:hAnsi="Times New Roman" w:cs="Times New Roman" w:eastAsiaTheme="minorEastAsia"/>
          <w:i w:val="0"/>
          <w:iCs w:val="0"/>
          <w:caps w:val="0"/>
          <w:color w:val="auto"/>
          <w:spacing w:val="0"/>
          <w:sz w:val="21"/>
          <w:szCs w:val="20"/>
          <w:highlight w:val="none"/>
          <w:shd w:val="clear" w:fill="FFFFFF"/>
        </w:rPr>
        <w:t>水回用导则 污水再生处理技术与工艺评价方法</w:t>
      </w:r>
    </w:p>
    <w:p w14:paraId="04442BCC">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00" w:lineRule="exact"/>
        <w:ind w:left="0" w:right="0" w:firstLine="420" w:firstLineChars="200"/>
        <w:rPr>
          <w:rFonts w:hint="default" w:ascii="Times New Roman" w:hAnsi="Times New Roman" w:cs="Times New Roman" w:eastAsiaTheme="minorEastAsia"/>
          <w:i w:val="0"/>
          <w:iCs w:val="0"/>
          <w:caps w:val="0"/>
          <w:color w:val="auto"/>
          <w:spacing w:val="0"/>
          <w:sz w:val="21"/>
          <w:szCs w:val="20"/>
          <w:highlight w:val="none"/>
        </w:rPr>
      </w:pPr>
      <w:r>
        <w:rPr>
          <w:rFonts w:hint="default" w:ascii="Times New Roman" w:hAnsi="Times New Roman" w:cs="Times New Roman" w:eastAsiaTheme="minorEastAsia"/>
          <w:i w:val="0"/>
          <w:iCs w:val="0"/>
          <w:caps w:val="0"/>
          <w:color w:val="auto"/>
          <w:spacing w:val="0"/>
          <w:sz w:val="21"/>
          <w:szCs w:val="20"/>
          <w:highlight w:val="none"/>
          <w:shd w:val="clear" w:fill="FFFFFF"/>
        </w:rPr>
        <w:t>GB/T 41016-2021 水回用导则 再生水厂水质管理</w:t>
      </w:r>
    </w:p>
    <w:p w14:paraId="3B055FDA">
      <w:pPr>
        <w:shd w:val="clea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GB 50335  城镇污水再生利用工程设计规范</w:t>
      </w:r>
    </w:p>
    <w:p w14:paraId="032F034D">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GB 50400  建筑与小区雨水控制及利用工程技术规范</w:t>
      </w:r>
    </w:p>
    <w:p w14:paraId="006A98F6">
      <w:pPr>
        <w:spacing w:line="400" w:lineRule="exact"/>
        <w:ind w:firstLine="420" w:firstLineChars="200"/>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SL368  再生水水质标准</w:t>
      </w:r>
    </w:p>
    <w:p w14:paraId="2EFD7E18">
      <w:pPr>
        <w:spacing w:line="400" w:lineRule="exact"/>
        <w:ind w:firstLine="420" w:firstLineChars="200"/>
        <w:rPr>
          <w:rFonts w:hint="default" w:ascii="Times New Roman" w:hAnsi="Times New Roman" w:cs="Times New Roman" w:eastAsiaTheme="minorEastAsia"/>
          <w:color w:val="auto"/>
          <w:highlight w:val="none"/>
          <w:lang w:eastAsia="zh-CN"/>
        </w:rPr>
      </w:pPr>
      <w:r>
        <w:rPr>
          <w:rFonts w:hint="default" w:ascii="Times New Roman" w:hAnsi="Times New Roman" w:cs="Times New Roman" w:eastAsiaTheme="minorEastAsia"/>
          <w:color w:val="auto"/>
          <w:highlight w:val="none"/>
        </w:rPr>
        <w:t>DB</w:t>
      </w:r>
      <w:r>
        <w:rPr>
          <w:rFonts w:hint="default" w:ascii="Times New Roman" w:hAnsi="Times New Roman" w:cs="Times New Roman" w:eastAsiaTheme="minorEastAsia"/>
          <w:color w:val="auto"/>
          <w:highlight w:val="none"/>
          <w:lang w:val="en-US" w:eastAsia="zh-CN"/>
        </w:rPr>
        <w:t>11</w:t>
      </w:r>
      <w:r>
        <w:rPr>
          <w:rFonts w:hint="default" w:ascii="Times New Roman" w:hAnsi="Times New Roman" w:cs="Times New Roman" w:eastAsiaTheme="minorEastAsia"/>
          <w:color w:val="auto"/>
          <w:highlight w:val="none"/>
        </w:rPr>
        <w:t xml:space="preserve">/T </w:t>
      </w:r>
      <w:r>
        <w:rPr>
          <w:rFonts w:hint="default" w:ascii="Times New Roman" w:hAnsi="Times New Roman" w:cs="Times New Roman" w:eastAsiaTheme="minorEastAsia"/>
          <w:color w:val="auto"/>
          <w:highlight w:val="none"/>
          <w:lang w:val="en-US" w:eastAsia="zh-CN"/>
        </w:rPr>
        <w:t>1767.3</w:t>
      </w:r>
      <w:r>
        <w:rPr>
          <w:rFonts w:hint="default" w:ascii="Times New Roman" w:hAnsi="Times New Roman" w:cs="Times New Roman" w:eastAsiaTheme="minorEastAsia"/>
          <w:color w:val="auto"/>
          <w:highlight w:val="none"/>
        </w:rPr>
        <w:t xml:space="preserve">  </w:t>
      </w:r>
      <w:r>
        <w:rPr>
          <w:rFonts w:hint="default" w:ascii="Times New Roman" w:hAnsi="Times New Roman" w:cs="Times New Roman" w:eastAsiaTheme="minorEastAsia"/>
          <w:color w:val="auto"/>
          <w:highlight w:val="none"/>
          <w:lang w:eastAsia="zh-CN"/>
        </w:rPr>
        <w:t>再生水利用指南</w:t>
      </w:r>
      <w:r>
        <w:rPr>
          <w:rFonts w:hint="default" w:ascii="Times New Roman" w:hAnsi="Times New Roman" w:cs="Times New Roman" w:eastAsiaTheme="minorEastAsia"/>
          <w:color w:val="auto"/>
          <w:highlight w:val="none"/>
        </w:rPr>
        <w:t xml:space="preserve"> 第</w:t>
      </w:r>
      <w:r>
        <w:rPr>
          <w:rFonts w:hint="default" w:ascii="Times New Roman" w:hAnsi="Times New Roman" w:cs="Times New Roman" w:eastAsiaTheme="minorEastAsia"/>
          <w:color w:val="auto"/>
          <w:highlight w:val="none"/>
          <w:lang w:val="en-US" w:eastAsia="zh-CN"/>
        </w:rPr>
        <w:t>3</w:t>
      </w:r>
      <w:r>
        <w:rPr>
          <w:rFonts w:hint="default" w:ascii="Times New Roman" w:hAnsi="Times New Roman" w:cs="Times New Roman" w:eastAsiaTheme="minorEastAsia"/>
          <w:color w:val="auto"/>
          <w:highlight w:val="none"/>
        </w:rPr>
        <w:t>部分：</w:t>
      </w:r>
      <w:r>
        <w:rPr>
          <w:rFonts w:hint="default" w:ascii="Times New Roman" w:hAnsi="Times New Roman" w:cs="Times New Roman" w:eastAsiaTheme="minorEastAsia"/>
          <w:color w:val="auto"/>
          <w:highlight w:val="none"/>
          <w:lang w:eastAsia="zh-CN"/>
        </w:rPr>
        <w:t>市政杂用</w:t>
      </w:r>
    </w:p>
    <w:p w14:paraId="1FC42740">
      <w:pPr>
        <w:spacing w:line="400" w:lineRule="exact"/>
        <w:ind w:firstLine="420" w:firstLineChars="20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DB13/T 5450.2  生活与服务业用水定额 第2部分：服务业</w:t>
      </w:r>
    </w:p>
    <w:p w14:paraId="7CF05F33">
      <w:pPr>
        <w:spacing w:line="400" w:lineRule="exact"/>
        <w:ind w:firstLine="420" w:firstLineChars="200"/>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JGJ63  混凝土用水标准</w:t>
      </w:r>
    </w:p>
    <w:p w14:paraId="22331694">
      <w:pPr>
        <w:pStyle w:val="2"/>
        <w:spacing w:before="156" w:beforeLines="50" w:after="156" w:afterLines="50" w:line="460" w:lineRule="exact"/>
        <w:rPr>
          <w:rFonts w:hint="default" w:ascii="Times New Roman" w:hAnsi="Times New Roman" w:eastAsia="黑体" w:cs="Times New Roman"/>
          <w:b w:val="0"/>
          <w:kern w:val="0"/>
          <w:sz w:val="21"/>
          <w:szCs w:val="24"/>
        </w:rPr>
      </w:pPr>
      <w:bookmarkStart w:id="13" w:name="_Toc185"/>
      <w:bookmarkStart w:id="14" w:name="_Toc4482"/>
      <w:r>
        <w:rPr>
          <w:rFonts w:hint="default" w:ascii="Times New Roman" w:hAnsi="Times New Roman" w:eastAsia="黑体" w:cs="Times New Roman"/>
          <w:b w:val="0"/>
          <w:kern w:val="0"/>
          <w:sz w:val="21"/>
          <w:szCs w:val="24"/>
        </w:rPr>
        <w:t>3  术语和定义</w:t>
      </w:r>
      <w:bookmarkEnd w:id="13"/>
      <w:bookmarkEnd w:id="14"/>
    </w:p>
    <w:p w14:paraId="1F762AF1">
      <w:pPr>
        <w:spacing w:line="400" w:lineRule="exact"/>
        <w:ind w:left="360"/>
        <w:rPr>
          <w:rFonts w:hint="default" w:ascii="Times New Roman" w:hAnsi="Times New Roman" w:cs="Times New Roman" w:eastAsiaTheme="minorEastAsia"/>
        </w:rPr>
      </w:pPr>
      <w:bookmarkStart w:id="15" w:name="_Hlk128908030"/>
      <w:r>
        <w:rPr>
          <w:rFonts w:hint="default" w:ascii="Times New Roman" w:hAnsi="Times New Roman" w:cs="Times New Roman" w:eastAsiaTheme="minorEastAsia"/>
        </w:rPr>
        <w:t>GB/T 18919、GB/T 18920、GB/T 21534、GB/T 30681</w:t>
      </w:r>
      <w:bookmarkEnd w:id="15"/>
      <w:r>
        <w:rPr>
          <w:rFonts w:hint="default" w:ascii="Times New Roman" w:hAnsi="Times New Roman" w:cs="Times New Roman" w:eastAsiaTheme="minorEastAsia"/>
        </w:rPr>
        <w:t>界定的术语和定义适用于本文件。</w:t>
      </w:r>
    </w:p>
    <w:p w14:paraId="50CB8DC7">
      <w:pPr>
        <w:pStyle w:val="2"/>
        <w:spacing w:before="156" w:beforeLines="50" w:after="156" w:afterLines="50" w:line="460" w:lineRule="exact"/>
        <w:rPr>
          <w:rFonts w:hint="default" w:ascii="Times New Roman" w:hAnsi="Times New Roman" w:eastAsia="黑体" w:cs="Times New Roman"/>
          <w:b w:val="0"/>
          <w:kern w:val="0"/>
          <w:sz w:val="21"/>
          <w:szCs w:val="24"/>
        </w:rPr>
      </w:pPr>
      <w:bookmarkStart w:id="16" w:name="_Toc15386"/>
      <w:bookmarkStart w:id="17" w:name="_Toc14690"/>
      <w:bookmarkStart w:id="18" w:name="_Toc109900069"/>
      <w:r>
        <w:rPr>
          <w:rFonts w:hint="default" w:ascii="Times New Roman" w:hAnsi="Times New Roman" w:eastAsia="黑体" w:cs="Times New Roman"/>
          <w:b w:val="0"/>
          <w:kern w:val="0"/>
          <w:sz w:val="21"/>
          <w:szCs w:val="24"/>
        </w:rPr>
        <w:t>4  基本要求</w:t>
      </w:r>
      <w:bookmarkEnd w:id="16"/>
      <w:bookmarkEnd w:id="17"/>
      <w:bookmarkEnd w:id="18"/>
    </w:p>
    <w:p w14:paraId="1B0BE237">
      <w:pPr>
        <w:spacing w:line="400" w:lineRule="exact"/>
        <w:outlineLvl w:val="1"/>
        <w:rPr>
          <w:rFonts w:hint="default" w:ascii="Times New Roman" w:hAnsi="Times New Roman" w:cs="Times New Roman"/>
        </w:rPr>
      </w:pPr>
      <w:r>
        <w:rPr>
          <w:rFonts w:hint="default" w:ascii="Times New Roman" w:hAnsi="Times New Roman" w:eastAsia="黑体" w:cs="Times New Roman"/>
          <w:b/>
          <w:bCs/>
          <w:color w:val="auto"/>
        </w:rPr>
        <w:t xml:space="preserve">4.1 </w:t>
      </w:r>
      <w:r>
        <w:rPr>
          <w:rFonts w:hint="default" w:ascii="Times New Roman" w:hAnsi="Times New Roman" w:eastAsia="黑体" w:cs="Times New Roman"/>
          <w:color w:val="FF0000"/>
        </w:rPr>
        <w:t xml:space="preserve"> </w:t>
      </w:r>
      <w:r>
        <w:rPr>
          <w:rFonts w:hint="default" w:ascii="Times New Roman" w:hAnsi="Times New Roman" w:cs="Times New Roman"/>
        </w:rPr>
        <w:t>除明确规定不应使用的场所（如医院、幼儿园、养老院等）外，再生水输配管网覆盖范围内的市政杂用应使用再生水。</w:t>
      </w:r>
    </w:p>
    <w:p w14:paraId="4B2E940D">
      <w:pPr>
        <w:spacing w:line="400" w:lineRule="exact"/>
        <w:outlineLvl w:val="1"/>
        <w:rPr>
          <w:rFonts w:hint="default" w:ascii="Times New Roman" w:hAnsi="Times New Roman" w:cs="Times New Roman"/>
        </w:rPr>
      </w:pPr>
      <w:r>
        <w:rPr>
          <w:rFonts w:hint="default" w:ascii="Times New Roman" w:hAnsi="Times New Roman" w:eastAsia="黑体" w:cs="Times New Roman"/>
          <w:b/>
          <w:bCs/>
        </w:rPr>
        <w:t xml:space="preserve">4.2 </w:t>
      </w:r>
      <w:r>
        <w:rPr>
          <w:rFonts w:hint="default" w:ascii="Times New Roman" w:hAnsi="Times New Roman" w:eastAsia="黑体" w:cs="Times New Roman"/>
        </w:rPr>
        <w:t xml:space="preserve"> </w:t>
      </w:r>
      <w:r>
        <w:rPr>
          <w:rFonts w:hint="default" w:ascii="Times New Roman" w:hAnsi="Times New Roman" w:cs="Times New Roman"/>
        </w:rPr>
        <w:t>供需双方依法通过协议的方式，明确再生水供水水质、水量和水压等要求。</w:t>
      </w:r>
    </w:p>
    <w:p w14:paraId="33CDF71D">
      <w:pPr>
        <w:spacing w:line="400" w:lineRule="exact"/>
        <w:outlineLvl w:val="1"/>
        <w:rPr>
          <w:rFonts w:hint="default" w:ascii="Times New Roman" w:hAnsi="Times New Roman" w:cs="Times New Roman"/>
          <w:color w:val="auto"/>
        </w:rPr>
      </w:pPr>
      <w:r>
        <w:rPr>
          <w:rFonts w:hint="default" w:ascii="Times New Roman" w:hAnsi="Times New Roman" w:eastAsia="黑体" w:cs="Times New Roman"/>
          <w:b/>
          <w:bCs/>
          <w:color w:val="auto"/>
        </w:rPr>
        <w:t xml:space="preserve">4.3 </w:t>
      </w:r>
      <w:r>
        <w:rPr>
          <w:rFonts w:hint="default" w:ascii="Times New Roman" w:hAnsi="Times New Roman" w:eastAsia="黑体" w:cs="Times New Roman"/>
          <w:color w:val="auto"/>
        </w:rPr>
        <w:t xml:space="preserve"> </w:t>
      </w:r>
      <w:r>
        <w:rPr>
          <w:rFonts w:hint="default" w:ascii="Times New Roman" w:hAnsi="Times New Roman" w:cs="Times New Roman"/>
          <w:color w:val="auto"/>
        </w:rPr>
        <w:t>再生水利用不应对生活、生产和生态产生现实的和潜在的危害。再生水水源的水量、水质应满足再生水生产与供给的可靠性、稳定性和安全性要求，且不应对后续再生利用过程产生危害。</w:t>
      </w:r>
    </w:p>
    <w:p w14:paraId="0B0FAD3A">
      <w:pPr>
        <w:spacing w:line="400" w:lineRule="exact"/>
        <w:outlineLvl w:val="1"/>
        <w:rPr>
          <w:rFonts w:hint="default" w:ascii="Times New Roman" w:hAnsi="Times New Roman" w:cs="Times New Roman"/>
          <w:color w:val="auto"/>
        </w:rPr>
      </w:pPr>
      <w:r>
        <w:rPr>
          <w:rFonts w:hint="default" w:ascii="Times New Roman" w:hAnsi="Times New Roman" w:eastAsia="黑体" w:cs="Times New Roman"/>
          <w:b/>
          <w:bCs/>
          <w:color w:val="auto"/>
        </w:rPr>
        <w:t xml:space="preserve">4.4 </w:t>
      </w:r>
      <w:r>
        <w:rPr>
          <w:rFonts w:hint="default" w:ascii="Times New Roman" w:hAnsi="Times New Roman" w:eastAsia="黑体" w:cs="Times New Roman"/>
          <w:color w:val="auto"/>
        </w:rPr>
        <w:t xml:space="preserve"> </w:t>
      </w:r>
      <w:r>
        <w:rPr>
          <w:rFonts w:hint="default" w:ascii="Times New Roman" w:hAnsi="Times New Roman" w:cs="Times New Roman"/>
          <w:color w:val="auto"/>
        </w:rPr>
        <w:t>再生水利用除应符合SL368标准外，尚应符合国家及行业现行有关标准的规定。</w:t>
      </w:r>
    </w:p>
    <w:p w14:paraId="4D2874D2">
      <w:pPr>
        <w:pStyle w:val="2"/>
        <w:spacing w:before="156" w:beforeLines="50" w:after="156" w:afterLines="50" w:line="460" w:lineRule="exact"/>
        <w:rPr>
          <w:rFonts w:hint="default" w:ascii="Times New Roman" w:hAnsi="Times New Roman" w:eastAsia="黑体" w:cs="Times New Roman"/>
          <w:b w:val="0"/>
          <w:kern w:val="0"/>
          <w:sz w:val="21"/>
          <w:szCs w:val="24"/>
        </w:rPr>
      </w:pPr>
      <w:bookmarkStart w:id="19" w:name="_Toc15625"/>
      <w:r>
        <w:rPr>
          <w:rFonts w:hint="default" w:ascii="Times New Roman" w:hAnsi="Times New Roman" w:eastAsia="黑体" w:cs="Times New Roman"/>
          <w:b w:val="0"/>
          <w:kern w:val="0"/>
          <w:sz w:val="21"/>
          <w:szCs w:val="24"/>
        </w:rPr>
        <w:t>5  生产（水源-水质-设计水量）</w:t>
      </w:r>
      <w:bookmarkEnd w:id="19"/>
    </w:p>
    <w:p w14:paraId="47B79E96">
      <w:pPr>
        <w:spacing w:line="400" w:lineRule="exact"/>
        <w:outlineLvl w:val="1"/>
        <w:rPr>
          <w:rFonts w:hint="default" w:ascii="Times New Roman" w:hAnsi="Times New Roman" w:cs="Times New Roman"/>
        </w:rPr>
      </w:pPr>
      <w:r>
        <w:rPr>
          <w:rFonts w:hint="default" w:ascii="Times New Roman" w:hAnsi="Times New Roman" w:eastAsia="黑体" w:cs="Times New Roman"/>
          <w:b/>
          <w:bCs/>
        </w:rPr>
        <w:t>5.1</w:t>
      </w:r>
      <w:r>
        <w:rPr>
          <w:rFonts w:hint="default" w:ascii="Times New Roman" w:hAnsi="Times New Roman" w:eastAsia="黑体" w:cs="Times New Roman"/>
        </w:rPr>
        <w:t xml:space="preserve">  </w:t>
      </w:r>
      <w:r>
        <w:rPr>
          <w:rFonts w:hint="default" w:ascii="Times New Roman" w:hAnsi="Times New Roman" w:cs="Times New Roman"/>
        </w:rPr>
        <w:t>宜将生活污水，或不含重金属、有毒有害工业废水的城市污水作为再生水的主要水源。</w:t>
      </w:r>
    </w:p>
    <w:p w14:paraId="5412F851">
      <w:pPr>
        <w:spacing w:line="400" w:lineRule="exact"/>
        <w:outlineLvl w:val="1"/>
        <w:rPr>
          <w:rFonts w:hint="default" w:ascii="Times New Roman" w:hAnsi="Times New Roman" w:cs="Times New Roman"/>
          <w:color w:val="auto"/>
          <w:highlight w:val="none"/>
          <w:lang w:eastAsia="zh-CN"/>
        </w:rPr>
      </w:pPr>
      <w:r>
        <w:rPr>
          <w:rFonts w:hint="default" w:ascii="Times New Roman" w:hAnsi="Times New Roman" w:eastAsia="黑体" w:cs="Times New Roman"/>
          <w:b/>
          <w:bCs/>
        </w:rPr>
        <w:t>5.2</w:t>
      </w:r>
      <w:r>
        <w:rPr>
          <w:rFonts w:hint="default" w:ascii="Times New Roman" w:hAnsi="Times New Roman" w:eastAsia="黑体" w:cs="Times New Roman"/>
        </w:rPr>
        <w:t xml:space="preserve">  </w:t>
      </w:r>
      <w:r>
        <w:rPr>
          <w:rFonts w:hint="default" w:ascii="Times New Roman" w:hAnsi="Times New Roman" w:cs="Times New Roman"/>
        </w:rPr>
        <w:t>再生水水源水宜通过排水管道、暗渠收集输送，不得二次污染。</w:t>
      </w:r>
      <w:r>
        <w:rPr>
          <w:rFonts w:hint="default" w:ascii="Times New Roman" w:hAnsi="Times New Roman" w:cs="Times New Roman"/>
          <w:lang w:eastAsia="zh-CN"/>
        </w:rPr>
        <w:t>严禁以放射性废水、重金属及有毒有害物</w:t>
      </w:r>
      <w:r>
        <w:rPr>
          <w:rFonts w:hint="default" w:ascii="Times New Roman" w:hAnsi="Times New Roman" w:cs="Times New Roman"/>
          <w:color w:val="auto"/>
          <w:highlight w:val="none"/>
          <w:lang w:eastAsia="zh-CN"/>
        </w:rPr>
        <w:t>质超标的污水作为再生水水源。</w:t>
      </w:r>
    </w:p>
    <w:p w14:paraId="4377614D">
      <w:pPr>
        <w:spacing w:line="400" w:lineRule="exact"/>
        <w:outlineLvl w:val="1"/>
        <w:rPr>
          <w:rFonts w:hint="default" w:ascii="Times New Roman" w:hAnsi="Times New Roman" w:eastAsia="黑体" w:cs="Times New Roman"/>
          <w:color w:val="auto"/>
          <w:highlight w:val="none"/>
        </w:rPr>
      </w:pPr>
      <w:r>
        <w:rPr>
          <w:rFonts w:hint="default" w:ascii="Times New Roman" w:hAnsi="Times New Roman" w:eastAsia="黑体" w:cs="Times New Roman"/>
          <w:b/>
          <w:bCs/>
          <w:color w:val="auto"/>
          <w:highlight w:val="none"/>
        </w:rPr>
        <w:t>5.3</w:t>
      </w:r>
      <w:r>
        <w:rPr>
          <w:rFonts w:hint="default" w:ascii="Times New Roman" w:hAnsi="Times New Roman" w:eastAsia="黑体" w:cs="Times New Roman"/>
          <w:color w:val="auto"/>
          <w:highlight w:val="none"/>
        </w:rPr>
        <w:t xml:space="preserve">  </w:t>
      </w:r>
      <w:r>
        <w:rPr>
          <w:rFonts w:hint="default" w:ascii="Times New Roman" w:hAnsi="Times New Roman" w:cs="Times New Roman"/>
          <w:color w:val="auto"/>
          <w:highlight w:val="none"/>
        </w:rPr>
        <w:t>再生水水质应满足</w:t>
      </w:r>
      <w:bookmarkStart w:id="20" w:name="_Hlk128908047"/>
      <w:r>
        <w:rPr>
          <w:rFonts w:hint="default" w:ascii="Times New Roman" w:hAnsi="Times New Roman" w:cs="Times New Roman"/>
          <w:color w:val="auto"/>
          <w:highlight w:val="none"/>
        </w:rPr>
        <w:t xml:space="preserve"> GB/T 18920 </w:t>
      </w:r>
      <w:bookmarkEnd w:id="20"/>
      <w:r>
        <w:rPr>
          <w:rFonts w:hint="default" w:ascii="Times New Roman" w:hAnsi="Times New Roman" w:cs="Times New Roman"/>
          <w:color w:val="auto"/>
          <w:highlight w:val="none"/>
        </w:rPr>
        <w:t>的要求。当再生水用于多种用途时，其水质标准应按最高</w:t>
      </w:r>
      <w:r>
        <w:rPr>
          <w:rFonts w:hint="default" w:ascii="Times New Roman" w:hAnsi="Times New Roman" w:cs="Times New Roman"/>
          <w:color w:val="auto"/>
          <w:highlight w:val="none"/>
          <w:lang w:eastAsia="zh-CN"/>
        </w:rPr>
        <w:t>水质标准</w:t>
      </w:r>
      <w:r>
        <w:rPr>
          <w:rFonts w:hint="default" w:ascii="Times New Roman" w:hAnsi="Times New Roman" w:cs="Times New Roman"/>
          <w:color w:val="auto"/>
          <w:highlight w:val="none"/>
        </w:rPr>
        <w:t>要求确定</w:t>
      </w:r>
      <w:r>
        <w:rPr>
          <w:rFonts w:hint="default" w:ascii="Times New Roman" w:hAnsi="Times New Roman" w:eastAsia="黑体" w:cs="Times New Roman"/>
          <w:color w:val="auto"/>
          <w:highlight w:val="none"/>
          <w:lang w:eastAsia="zh-CN"/>
        </w:rPr>
        <w:t>。</w:t>
      </w:r>
      <w:r>
        <w:rPr>
          <w:rFonts w:hint="default" w:ascii="Times New Roman" w:hAnsi="Times New Roman" w:cs="Times New Roman"/>
          <w:color w:val="auto"/>
          <w:highlight w:val="none"/>
        </w:rPr>
        <w:t>也可按用水量最大用户的水质标准要求确定。个别水质要求更高的用户，可自行补充处理达到其水质要求。</w:t>
      </w:r>
    </w:p>
    <w:p w14:paraId="33AF2564">
      <w:pPr>
        <w:spacing w:line="400" w:lineRule="exact"/>
        <w:outlineLvl w:val="1"/>
        <w:rPr>
          <w:rFonts w:hint="default" w:ascii="Times New Roman" w:hAnsi="Times New Roman" w:cs="Times New Roman"/>
        </w:rPr>
      </w:pPr>
      <w:r>
        <w:rPr>
          <w:rFonts w:hint="default" w:ascii="Times New Roman" w:hAnsi="Times New Roman" w:eastAsia="黑体" w:cs="Times New Roman"/>
          <w:b/>
          <w:bCs/>
        </w:rPr>
        <w:t>5.4</w:t>
      </w:r>
      <w:r>
        <w:rPr>
          <w:rFonts w:hint="default" w:ascii="Times New Roman" w:hAnsi="Times New Roman" w:eastAsia="黑体" w:cs="Times New Roman"/>
        </w:rPr>
        <w:t xml:space="preserve">  </w:t>
      </w:r>
      <w:r>
        <w:rPr>
          <w:rFonts w:hint="default" w:ascii="Times New Roman" w:hAnsi="Times New Roman" w:cs="Times New Roman"/>
        </w:rPr>
        <w:t>水质基本控制项目及限值见表 A.1，选择控制项目及限值见表 A.2</w:t>
      </w:r>
    </w:p>
    <w:p w14:paraId="6415AD89">
      <w:pPr>
        <w:spacing w:line="400" w:lineRule="exact"/>
        <w:outlineLvl w:val="1"/>
        <w:rPr>
          <w:rFonts w:hint="default" w:ascii="Times New Roman" w:hAnsi="Times New Roman" w:cs="Times New Roman"/>
        </w:rPr>
      </w:pPr>
      <w:r>
        <w:rPr>
          <w:rFonts w:hint="default" w:ascii="Times New Roman" w:hAnsi="Times New Roman" w:eastAsia="黑体" w:cs="Times New Roman"/>
          <w:b/>
          <w:bCs/>
        </w:rPr>
        <w:t>5.5</w:t>
      </w:r>
      <w:r>
        <w:rPr>
          <w:rFonts w:hint="default" w:ascii="Times New Roman" w:hAnsi="Times New Roman" w:eastAsia="黑体" w:cs="Times New Roman"/>
        </w:rPr>
        <w:t xml:space="preserve">  </w:t>
      </w:r>
      <w:r>
        <w:rPr>
          <w:rFonts w:hint="default" w:ascii="Times New Roman" w:hAnsi="Times New Roman" w:cs="Times New Roman"/>
        </w:rPr>
        <w:t>用户应根据再生水水质达标及水质波动情况，根据不同市政杂用用途特点，选择重点关注指标进行重点分析。</w:t>
      </w:r>
      <w:r>
        <w:rPr>
          <w:rFonts w:hint="default" w:ascii="Times New Roman" w:hAnsi="Times New Roman" w:cs="Times New Roman"/>
          <w:lang w:val="en-US" w:eastAsia="zh-CN"/>
        </w:rPr>
        <w:t>水质</w:t>
      </w:r>
      <w:r>
        <w:rPr>
          <w:rFonts w:hint="default" w:ascii="Times New Roman" w:hAnsi="Times New Roman" w:cs="Times New Roman"/>
        </w:rPr>
        <w:t>采样点布设位置应包括水源</w:t>
      </w:r>
      <w:r>
        <w:rPr>
          <w:rFonts w:hint="default" w:ascii="Times New Roman" w:hAnsi="Times New Roman" w:cs="Times New Roman"/>
          <w:lang w:val="en-US" w:eastAsia="zh-CN"/>
        </w:rPr>
        <w:t>设施进水口处</w:t>
      </w:r>
      <w:r>
        <w:rPr>
          <w:rFonts w:hint="default" w:ascii="Times New Roman" w:hAnsi="Times New Roman" w:cs="Times New Roman"/>
        </w:rPr>
        <w:t>、处理设施出水口、管网和用户端。重点关注指标见表 B.1。</w:t>
      </w:r>
    </w:p>
    <w:p w14:paraId="5405EE68">
      <w:pPr>
        <w:spacing w:line="400" w:lineRule="exact"/>
        <w:outlineLvl w:val="1"/>
        <w:rPr>
          <w:rFonts w:hint="default" w:ascii="Times New Roman" w:hAnsi="Times New Roman" w:cs="Times New Roman"/>
        </w:rPr>
      </w:pPr>
      <w:r>
        <w:rPr>
          <w:rFonts w:hint="default" w:ascii="Times New Roman" w:hAnsi="Times New Roman" w:eastAsia="黑体" w:cs="Times New Roman"/>
          <w:b/>
          <w:bCs/>
        </w:rPr>
        <w:t>5.6</w:t>
      </w:r>
      <w:r>
        <w:rPr>
          <w:rFonts w:hint="default" w:ascii="Times New Roman" w:hAnsi="Times New Roman" w:eastAsia="黑体" w:cs="Times New Roman"/>
        </w:rPr>
        <w:t xml:space="preserve">  </w:t>
      </w:r>
      <w:r>
        <w:rPr>
          <w:rFonts w:hint="default" w:ascii="Times New Roman" w:hAnsi="Times New Roman" w:cs="Times New Roman"/>
        </w:rPr>
        <w:t>当再生水水质不能满足用户直接利用要求时，应对再生水进行深度处理，宜选择技术先进、安全可靠、经济合理的工艺。</w:t>
      </w:r>
    </w:p>
    <w:p w14:paraId="544753AB">
      <w:pPr>
        <w:spacing w:line="400" w:lineRule="exact"/>
        <w:outlineLvl w:val="1"/>
        <w:rPr>
          <w:rFonts w:hint="default" w:ascii="Times New Roman" w:hAnsi="Times New Roman" w:cs="Times New Roman"/>
          <w:lang w:val="en-US" w:eastAsia="zh-CN"/>
        </w:rPr>
      </w:pPr>
      <w:r>
        <w:rPr>
          <w:rFonts w:hint="default" w:ascii="Times New Roman" w:hAnsi="Times New Roman" w:eastAsia="黑体" w:cs="Times New Roman"/>
          <w:b/>
          <w:bCs/>
        </w:rPr>
        <w:t>5.7</w:t>
      </w:r>
      <w:r>
        <w:rPr>
          <w:rFonts w:hint="default" w:ascii="Times New Roman" w:hAnsi="Times New Roman" w:eastAsia="黑体" w:cs="Times New Roman"/>
        </w:rPr>
        <w:t xml:space="preserve">  </w:t>
      </w:r>
      <w:r>
        <w:rPr>
          <w:rFonts w:hint="default" w:ascii="Times New Roman" w:hAnsi="Times New Roman" w:cs="Times New Roman"/>
        </w:rPr>
        <w:t>车辆冲洗、城市绿化再生水设计水量参考DB13/T5450.2的要求；冲厕、道路清扫再生水设计水量结合调研及有关规定确定。市政道路清扫、绿化灌溉用水量应根据路面形式、植物种类、气候和土壤性质等条件确定。道路浇洒可根据浇洒面积按2.0~3.0L/（m</w:t>
      </w:r>
      <w:r>
        <w:rPr>
          <w:rFonts w:hint="default"/>
          <w:vertAlign w:val="superscript"/>
        </w:rPr>
        <w:t>2</w:t>
      </w:r>
      <w:r>
        <w:rPr>
          <w:rFonts w:hint="default" w:ascii="Times New Roman" w:hAnsi="Times New Roman" w:cs="Times New Roman"/>
        </w:rPr>
        <w:t>.d）计算，绿化灌溉用水量可根据灌溉面积按1.0~2.0L/（m</w:t>
      </w:r>
      <w:r>
        <w:rPr>
          <w:rFonts w:hint="default"/>
          <w:vertAlign w:val="superscript"/>
        </w:rPr>
        <w:t>2</w:t>
      </w:r>
      <w:r>
        <w:rPr>
          <w:rFonts w:hint="default" w:ascii="Times New Roman" w:hAnsi="Times New Roman" w:cs="Times New Roman"/>
        </w:rPr>
        <w:t>.d）计算。</w:t>
      </w:r>
      <w:r>
        <w:rPr>
          <w:rFonts w:hint="default" w:ascii="Times New Roman" w:hAnsi="Times New Roman" w:cs="Times New Roman"/>
          <w:lang w:eastAsia="zh-CN"/>
        </w:rPr>
        <w:t>再生水做为备用消防水源，</w:t>
      </w:r>
      <w:r>
        <w:rPr>
          <w:rFonts w:hint="default" w:ascii="Times New Roman" w:hAnsi="Times New Roman" w:eastAsia="Helvetica" w:cs="Times New Roman"/>
          <w:i w:val="0"/>
          <w:iCs w:val="0"/>
          <w:caps w:val="0"/>
          <w:color w:val="333333"/>
          <w:spacing w:val="0"/>
          <w:sz w:val="21"/>
          <w:szCs w:val="21"/>
          <w:shd w:val="clear" w:fill="FFFFFF"/>
        </w:rPr>
        <w:t>水质应满足水基消防设施的功能要求</w:t>
      </w:r>
      <w:r>
        <w:rPr>
          <w:rFonts w:hint="default" w:ascii="Times New Roman" w:hAnsi="Times New Roman" w:cs="Times New Roman"/>
          <w:lang w:val="en-US" w:eastAsia="zh-CN"/>
        </w:rPr>
        <w:t>。</w:t>
      </w:r>
      <w:r>
        <w:rPr>
          <w:rFonts w:hint="eastAsia" w:cs="Times New Roman"/>
          <w:lang w:val="en-US" w:eastAsia="zh-CN"/>
        </w:rPr>
        <w:t>建筑用再生水时，水质应满足（JGJ63）再生水水质要求。</w:t>
      </w:r>
    </w:p>
    <w:p w14:paraId="6A5D3BCB">
      <w:pPr>
        <w:spacing w:before="156" w:beforeLines="50" w:after="156" w:afterLines="50" w:line="400" w:lineRule="exact"/>
        <w:outlineLvl w:val="1"/>
        <w:rPr>
          <w:rFonts w:hint="default" w:ascii="Times New Roman" w:hAnsi="Times New Roman" w:eastAsia="黑体" w:cs="Times New Roman"/>
          <w:b w:val="0"/>
          <w:kern w:val="0"/>
          <w:sz w:val="21"/>
          <w:szCs w:val="24"/>
        </w:rPr>
      </w:pPr>
      <w:bookmarkStart w:id="21" w:name="_Toc20869"/>
      <w:r>
        <w:rPr>
          <w:rFonts w:hint="default" w:ascii="Times New Roman" w:hAnsi="Times New Roman" w:eastAsia="黑体" w:cs="Times New Roman"/>
          <w:b w:val="0"/>
          <w:kern w:val="0"/>
          <w:sz w:val="21"/>
          <w:szCs w:val="24"/>
        </w:rPr>
        <w:t>6 输配（输配水管道+附属设施）</w:t>
      </w:r>
      <w:bookmarkEnd w:id="21"/>
    </w:p>
    <w:p w14:paraId="636F9805">
      <w:pPr>
        <w:outlineLvl w:val="1"/>
        <w:rPr>
          <w:rFonts w:hint="default" w:ascii="Times New Roman" w:hAnsi="Times New Roman" w:cs="Times New Roman"/>
          <w:highlight w:val="yellow"/>
        </w:rPr>
      </w:pPr>
      <w:r>
        <w:rPr>
          <w:rFonts w:hint="default" w:ascii="Times New Roman" w:hAnsi="Times New Roman" w:eastAsia="黑体" w:cs="Times New Roman"/>
          <w:b/>
          <w:bCs/>
        </w:rPr>
        <w:t>6.1</w:t>
      </w:r>
      <w:r>
        <w:rPr>
          <w:rFonts w:hint="default" w:ascii="Times New Roman" w:hAnsi="Times New Roman" w:eastAsia="黑体" w:cs="Times New Roman"/>
        </w:rPr>
        <w:t xml:space="preserve">  </w:t>
      </w:r>
      <w:r>
        <w:rPr>
          <w:rFonts w:hint="default" w:ascii="Times New Roman" w:hAnsi="Times New Roman" w:cs="Times New Roman"/>
        </w:rPr>
        <w:t>再生水</w:t>
      </w:r>
      <w:r>
        <w:rPr>
          <w:rFonts w:hint="default" w:ascii="Times New Roman" w:hAnsi="Times New Roman" w:cs="Times New Roman"/>
          <w:lang w:eastAsia="zh-CN"/>
        </w:rPr>
        <w:t>输配水管道平面和竖向</w:t>
      </w:r>
      <w:r>
        <w:rPr>
          <w:rFonts w:hint="default" w:ascii="Times New Roman" w:hAnsi="Times New Roman" w:cs="Times New Roman"/>
        </w:rPr>
        <w:t>布置、水力计算、管道敷设及附属设施设置应符合</w:t>
      </w:r>
      <w:bookmarkStart w:id="22" w:name="_Hlk128908081"/>
      <w:r>
        <w:rPr>
          <w:rFonts w:hint="default" w:ascii="Times New Roman" w:hAnsi="Times New Roman" w:cs="Times New Roman"/>
        </w:rPr>
        <w:t>GB 50013、GB50289</w:t>
      </w:r>
      <w:bookmarkEnd w:id="22"/>
      <w:r>
        <w:rPr>
          <w:rFonts w:hint="default" w:ascii="Times New Roman" w:hAnsi="Times New Roman" w:cs="Times New Roman"/>
        </w:rPr>
        <w:t>的规定。</w:t>
      </w:r>
    </w:p>
    <w:p w14:paraId="21F9578F">
      <w:pPr>
        <w:spacing w:line="400" w:lineRule="exact"/>
        <w:outlineLvl w:val="1"/>
        <w:rPr>
          <w:rFonts w:hint="default" w:ascii="Times New Roman" w:hAnsi="Times New Roman" w:cs="Times New Roman"/>
        </w:rPr>
      </w:pPr>
      <w:r>
        <w:rPr>
          <w:rFonts w:hint="default" w:ascii="Times New Roman" w:hAnsi="Times New Roman" w:eastAsia="黑体" w:cs="Times New Roman"/>
          <w:b/>
          <w:bCs/>
        </w:rPr>
        <w:t>6.2</w:t>
      </w:r>
      <w:r>
        <w:rPr>
          <w:rFonts w:hint="default" w:ascii="Times New Roman" w:hAnsi="Times New Roman" w:eastAsia="黑体" w:cs="Times New Roman"/>
        </w:rPr>
        <w:t xml:space="preserve">  </w:t>
      </w:r>
      <w:r>
        <w:rPr>
          <w:rFonts w:hint="default" w:ascii="Times New Roman" w:hAnsi="Times New Roman" w:cs="Times New Roman"/>
        </w:rPr>
        <w:t>应根据再生水用水途径，合理确定管网</w:t>
      </w:r>
      <w:r>
        <w:rPr>
          <w:rFonts w:hint="default" w:ascii="Times New Roman" w:hAnsi="Times New Roman" w:cs="Times New Roman"/>
          <w:lang w:eastAsia="zh-CN"/>
        </w:rPr>
        <w:t>设计</w:t>
      </w:r>
      <w:r>
        <w:rPr>
          <w:rFonts w:hint="default" w:ascii="Times New Roman" w:hAnsi="Times New Roman" w:cs="Times New Roman"/>
        </w:rPr>
        <w:t>压力。不同用户的服务压力要求差别大时，采用分压供水方式供水</w:t>
      </w:r>
      <w:r>
        <w:rPr>
          <w:rFonts w:hint="default" w:ascii="Times New Roman" w:hAnsi="Times New Roman" w:cs="Times New Roman"/>
          <w:lang w:eastAsia="zh-CN"/>
        </w:rPr>
        <w:t>来满足使用要求</w:t>
      </w:r>
      <w:r>
        <w:rPr>
          <w:rFonts w:hint="default" w:ascii="Times New Roman" w:hAnsi="Times New Roman" w:cs="Times New Roman"/>
        </w:rPr>
        <w:t>。</w:t>
      </w:r>
    </w:p>
    <w:p w14:paraId="7EECD266">
      <w:pPr>
        <w:spacing w:line="400" w:lineRule="exact"/>
        <w:outlineLvl w:val="1"/>
        <w:rPr>
          <w:rFonts w:hint="default" w:ascii="Times New Roman" w:hAnsi="Times New Roman" w:cs="Times New Roman"/>
        </w:rPr>
      </w:pPr>
      <w:r>
        <w:rPr>
          <w:rFonts w:hint="default" w:ascii="Times New Roman" w:hAnsi="Times New Roman" w:eastAsia="黑体" w:cs="Times New Roman"/>
          <w:b/>
          <w:bCs/>
        </w:rPr>
        <w:t>6.3</w:t>
      </w:r>
      <w:r>
        <w:rPr>
          <w:rFonts w:hint="default" w:ascii="Times New Roman" w:hAnsi="Times New Roman" w:eastAsia="黑体" w:cs="Times New Roman"/>
        </w:rPr>
        <w:t xml:space="preserve">  </w:t>
      </w:r>
      <w:r>
        <w:rPr>
          <w:rFonts w:hint="default" w:ascii="Times New Roman" w:hAnsi="Times New Roman" w:cs="Times New Roman"/>
        </w:rPr>
        <w:t>再生水管道采用独立系统，</w:t>
      </w:r>
      <w:r>
        <w:rPr>
          <w:rFonts w:hint="default" w:ascii="Times New Roman" w:hAnsi="Times New Roman" w:cs="Times New Roman"/>
          <w:lang w:eastAsia="zh-CN"/>
        </w:rPr>
        <w:t>严禁</w:t>
      </w:r>
      <w:r>
        <w:rPr>
          <w:rFonts w:hint="default" w:ascii="Times New Roman" w:hAnsi="Times New Roman" w:cs="Times New Roman"/>
        </w:rPr>
        <w:t>与</w:t>
      </w:r>
      <w:r>
        <w:rPr>
          <w:rFonts w:hint="default" w:ascii="Times New Roman" w:hAnsi="Times New Roman" w:cs="Times New Roman"/>
          <w:lang w:eastAsia="zh-CN"/>
        </w:rPr>
        <w:t>生活饮用水给水管道</w:t>
      </w:r>
      <w:r>
        <w:rPr>
          <w:rFonts w:hint="default" w:ascii="Times New Roman" w:hAnsi="Times New Roman" w:cs="Times New Roman"/>
        </w:rPr>
        <w:t>、自建设施供水系统</w:t>
      </w:r>
      <w:r>
        <w:rPr>
          <w:rFonts w:hint="default" w:ascii="Times New Roman" w:hAnsi="Times New Roman" w:cs="Times New Roman"/>
          <w:lang w:eastAsia="zh-CN"/>
        </w:rPr>
        <w:t>连通</w:t>
      </w:r>
      <w:r>
        <w:rPr>
          <w:rFonts w:hint="eastAsia" w:cs="Times New Roman"/>
          <w:lang w:eastAsia="zh-CN"/>
        </w:rPr>
        <w:t>，</w:t>
      </w:r>
      <w:r>
        <w:rPr>
          <w:rFonts w:hint="default" w:ascii="Times New Roman" w:hAnsi="Times New Roman" w:cs="Times New Roman"/>
        </w:rPr>
        <w:t>用户宜根据实际需求设置再生水储存设施（如再生水二次供水水箱）</w:t>
      </w:r>
      <w:r>
        <w:rPr>
          <w:rFonts w:hint="default" w:ascii="Times New Roman" w:hAnsi="Times New Roman" w:cs="Times New Roman"/>
          <w:lang w:eastAsia="zh-CN"/>
        </w:rPr>
        <w:t>。</w:t>
      </w:r>
    </w:p>
    <w:p w14:paraId="5B3957B4">
      <w:pPr>
        <w:spacing w:line="400" w:lineRule="exact"/>
        <w:outlineLvl w:val="1"/>
        <w:rPr>
          <w:rFonts w:hint="default" w:ascii="Times New Roman" w:hAnsi="Times New Roman" w:eastAsia="宋体" w:cs="Times New Roman"/>
          <w:lang w:eastAsia="zh-CN"/>
        </w:rPr>
      </w:pPr>
      <w:r>
        <w:rPr>
          <w:rFonts w:hint="default" w:ascii="Times New Roman" w:eastAsia="黑体"/>
          <w:b/>
          <w:bCs/>
          <w:lang w:val="en-US" w:eastAsia="zh-CN"/>
        </w:rPr>
        <w:t>6.4</w:t>
      </w:r>
      <w:r>
        <w:rPr>
          <w:rFonts w:hint="default" w:ascii="Times New Roman" w:hAnsi="Times New Roman" w:eastAsia="黑体" w:cs="Times New Roman"/>
          <w:b/>
          <w:bCs/>
          <w:lang w:val="en-US" w:eastAsia="zh-CN"/>
        </w:rPr>
        <w:t xml:space="preserve"> </w:t>
      </w:r>
      <w:r>
        <w:rPr>
          <w:rFonts w:hint="default" w:ascii="Times New Roman" w:hAnsi="Times New Roman" w:cs="Times New Roman"/>
        </w:rPr>
        <w:t>再生水储存设施宜采用耐腐蚀、易清垢的材料制作。钢板池(箱)内、外壁及其附配件均应采取可靠的防腐蚀措施。再生水管网供水区域较大、距离再生水厂较远时，可设置管网运行管理站点（如再生水二次加压泵站）。</w:t>
      </w:r>
    </w:p>
    <w:p w14:paraId="6C0BB4F1">
      <w:pPr>
        <w:spacing w:line="400" w:lineRule="exact"/>
        <w:outlineLvl w:val="1"/>
        <w:rPr>
          <w:rFonts w:hint="default" w:ascii="Times New Roman" w:hAnsi="Times New Roman" w:cs="Times New Roman"/>
          <w:color w:val="auto"/>
        </w:rPr>
      </w:pPr>
      <w:r>
        <w:rPr>
          <w:rFonts w:hint="default" w:ascii="Times New Roman" w:hAnsi="Times New Roman" w:eastAsia="黑体" w:cs="Times New Roman"/>
          <w:b/>
          <w:bCs/>
        </w:rPr>
        <w:t>6.</w:t>
      </w:r>
      <w:r>
        <w:rPr>
          <w:rFonts w:hint="default" w:ascii="Times New Roman" w:hAnsi="Times New Roman" w:eastAsia="黑体" w:cs="Times New Roman"/>
          <w:b/>
          <w:bCs/>
          <w:lang w:val="en-US" w:eastAsia="zh-CN"/>
        </w:rPr>
        <w:t>5</w:t>
      </w:r>
      <w:r>
        <w:rPr>
          <w:rFonts w:hint="default" w:ascii="Times New Roman" w:hAnsi="Times New Roman" w:eastAsia="黑体" w:cs="Times New Roman"/>
        </w:rPr>
        <w:t xml:space="preserve">  </w:t>
      </w:r>
      <w:r>
        <w:rPr>
          <w:rFonts w:hint="default" w:ascii="Times New Roman" w:hAnsi="Times New Roman" w:cs="Times New Roman"/>
        </w:rPr>
        <w:t>再生水管道管材选择应根据水量、水压、外部荷载、地质情况、施工维护等条件，经技术经济比较确定</w:t>
      </w:r>
      <w:r>
        <w:rPr>
          <w:rFonts w:hint="default" w:ascii="Times New Roman" w:hAnsi="Times New Roman" w:cs="Times New Roman"/>
          <w:lang w:eastAsia="zh-CN"/>
        </w:rPr>
        <w:t>，</w:t>
      </w:r>
      <w:r>
        <w:rPr>
          <w:rFonts w:hint="default" w:ascii="Times New Roman" w:hAnsi="Times New Roman" w:cs="Times New Roman"/>
        </w:rPr>
        <w:t>可采用塑</w:t>
      </w:r>
      <w:r>
        <w:rPr>
          <w:rFonts w:hint="default" w:ascii="Times New Roman" w:hAnsi="Times New Roman" w:cs="Times New Roman"/>
          <w:color w:val="auto"/>
        </w:rPr>
        <w:t>料管、钢塑复合管或其他具有可靠防腐性能的给水管材，不应采用非镀锌钢管。 ；管道不应穿过毒物污染及腐蚀性地段，不能避开时，应采取有效防护措施。再生水管道在穿过毒物污染区和腐蚀地段时应符合GB55026的有关规定。</w:t>
      </w:r>
    </w:p>
    <w:p w14:paraId="6FE356C7">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rPr>
        <w:t>6.</w:t>
      </w:r>
      <w:r>
        <w:rPr>
          <w:rFonts w:hint="default" w:ascii="Times New Roman" w:hAnsi="Times New Roman" w:cs="Times New Roman"/>
          <w:color w:val="auto"/>
          <w:lang w:val="en-US" w:eastAsia="zh-CN"/>
        </w:rPr>
        <w:t>6</w:t>
      </w:r>
      <w:r>
        <w:rPr>
          <w:rFonts w:hint="default" w:ascii="Times New Roman" w:hAnsi="Times New Roman" w:cs="Times New Roman"/>
          <w:color w:val="auto"/>
        </w:rPr>
        <w:t xml:space="preserve">  城镇再生水储存设施的排空管道、溢流管道严禁直接和污水管道或雨水管渠连接，并应做好卫生防护工作，保障再生水水质安全。</w:t>
      </w:r>
    </w:p>
    <w:p w14:paraId="1A7F9BB3">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rPr>
        <w:t>6.</w:t>
      </w:r>
      <w:r>
        <w:rPr>
          <w:rFonts w:hint="default" w:ascii="Times New Roman" w:hAnsi="Times New Roman" w:cs="Times New Roman"/>
          <w:color w:val="auto"/>
          <w:lang w:val="en-US" w:eastAsia="zh-CN"/>
        </w:rPr>
        <w:t>7</w:t>
      </w:r>
      <w:r>
        <w:rPr>
          <w:rFonts w:hint="default" w:ascii="Times New Roman" w:hAnsi="Times New Roman" w:cs="Times New Roman"/>
          <w:color w:val="auto"/>
        </w:rPr>
        <w:t xml:space="preserve">  再生水管道和储存等设备时应采用识别色，并配置“再生水管道”耐久标识，再生水管道埋地、暗敷时设置连续耐久标志带。</w:t>
      </w:r>
    </w:p>
    <w:p w14:paraId="3760A11F">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rPr>
        <w:t>6.</w:t>
      </w:r>
      <w:r>
        <w:rPr>
          <w:rFonts w:hint="default" w:ascii="Times New Roman" w:hAnsi="Times New Roman" w:cs="Times New Roman"/>
          <w:color w:val="auto"/>
          <w:lang w:val="en-US" w:eastAsia="zh-CN"/>
        </w:rPr>
        <w:t>8</w:t>
      </w:r>
      <w:r>
        <w:rPr>
          <w:rFonts w:hint="default" w:ascii="Times New Roman" w:hAnsi="Times New Roman" w:cs="Times New Roman"/>
          <w:color w:val="auto"/>
        </w:rPr>
        <w:t xml:space="preserve">  再生水管道向集水池等淹没出流配水时，应设置防止倒流装置。</w:t>
      </w:r>
    </w:p>
    <w:p w14:paraId="7608447F">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rPr>
        <w:t>6.</w:t>
      </w:r>
      <w:r>
        <w:rPr>
          <w:rFonts w:hint="default" w:ascii="Times New Roman" w:hAnsi="Times New Roman" w:cs="Times New Roman"/>
          <w:color w:val="auto"/>
          <w:lang w:val="en-US" w:eastAsia="zh-CN"/>
        </w:rPr>
        <w:t>9</w:t>
      </w:r>
      <w:r>
        <w:rPr>
          <w:rFonts w:hint="default" w:ascii="Times New Roman" w:hAnsi="Times New Roman" w:cs="Times New Roman"/>
          <w:color w:val="auto"/>
        </w:rPr>
        <w:t xml:space="preserve">  绿化、浇洒、汽车冲洗宜采用有防护功能的壁式或地下式给水栓，且用水口应设带锁装置。</w:t>
      </w:r>
    </w:p>
    <w:p w14:paraId="76D81CB0">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rPr>
        <w:t>6.</w:t>
      </w:r>
      <w:r>
        <w:rPr>
          <w:rFonts w:hint="default" w:ascii="Times New Roman" w:hAnsi="Times New Roman" w:cs="Times New Roman"/>
          <w:color w:val="auto"/>
          <w:lang w:val="en-US" w:eastAsia="zh-CN"/>
        </w:rPr>
        <w:t>10</w:t>
      </w:r>
      <w:r>
        <w:rPr>
          <w:rFonts w:hint="default" w:ascii="Times New Roman" w:hAnsi="Times New Roman" w:cs="Times New Roman"/>
          <w:color w:val="auto"/>
        </w:rPr>
        <w:t xml:space="preserve">  再生水</w:t>
      </w:r>
      <w:r>
        <w:rPr>
          <w:rFonts w:hint="default" w:ascii="Times New Roman" w:hAnsi="Times New Roman" w:cs="Times New Roman"/>
          <w:color w:val="auto"/>
          <w:lang w:eastAsia="zh-CN"/>
        </w:rPr>
        <w:t>管网及</w:t>
      </w:r>
      <w:r>
        <w:rPr>
          <w:rFonts w:hint="default" w:ascii="Times New Roman" w:hAnsi="Times New Roman" w:cs="Times New Roman"/>
          <w:color w:val="auto"/>
        </w:rPr>
        <w:t>附属设施应考虑冬季防冻措施。</w:t>
      </w:r>
    </w:p>
    <w:p w14:paraId="1AB1B963">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lang w:val="en-US" w:eastAsia="zh-CN"/>
        </w:rPr>
        <w:t>6.11  再生水管道的阀门设置时应方便事故检修及放空排水，宜在阀门间管段低洼处设置泄水阀</w:t>
      </w:r>
      <w:r>
        <w:rPr>
          <w:rFonts w:hint="eastAsia" w:ascii="Times New Roman" w:hAnsi="Times New Roman" w:cs="Times New Roman"/>
          <w:color w:val="auto"/>
          <w:lang w:eastAsia="zh-CN"/>
        </w:rPr>
        <w:t>。</w:t>
      </w:r>
    </w:p>
    <w:p w14:paraId="638B0E47">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rPr>
        <w:t>6.1</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再生水取水装置宜根据再生水用途及取水便利性设置。取水装置应具备计量及远程计量工程，且计量器具配备和管理应符合</w:t>
      </w:r>
      <w:bookmarkStart w:id="23" w:name="_Hlk128908115"/>
      <w:r>
        <w:rPr>
          <w:rFonts w:hint="default" w:ascii="Times New Roman" w:hAnsi="Times New Roman" w:cs="Times New Roman"/>
          <w:color w:val="auto"/>
        </w:rPr>
        <w:t>GB/T 24789</w:t>
      </w:r>
      <w:bookmarkEnd w:id="23"/>
      <w:r>
        <w:rPr>
          <w:rFonts w:hint="default" w:ascii="Times New Roman" w:hAnsi="Times New Roman" w:cs="Times New Roman"/>
          <w:color w:val="auto"/>
        </w:rPr>
        <w:t>的要求。 再生水供水系统应安装计量装置。</w:t>
      </w:r>
    </w:p>
    <w:p w14:paraId="2268758E">
      <w:pPr>
        <w:spacing w:line="400" w:lineRule="exact"/>
        <w:outlineLvl w:val="1"/>
        <w:rPr>
          <w:rFonts w:hint="default" w:ascii="Times New Roman" w:hAnsi="Times New Roman" w:cs="Times New Roman"/>
          <w:color w:val="auto"/>
        </w:rPr>
      </w:pPr>
      <w:r>
        <w:rPr>
          <w:rFonts w:hint="default" w:ascii="Times New Roman" w:hAnsi="Times New Roman" w:cs="Times New Roman"/>
          <w:color w:val="auto"/>
        </w:rPr>
        <w:t>6.1</w:t>
      </w:r>
      <w:r>
        <w:rPr>
          <w:rFonts w:hint="default" w:ascii="Times New Roman" w:hAnsi="Times New Roman" w:cs="Times New Roman"/>
          <w:color w:val="auto"/>
          <w:lang w:val="en-US" w:eastAsia="zh-CN"/>
        </w:rPr>
        <w:t>3</w:t>
      </w:r>
      <w:r>
        <w:rPr>
          <w:rFonts w:hint="default" w:ascii="Times New Roman" w:hAnsi="Times New Roman" w:cs="Times New Roman"/>
          <w:color w:val="auto"/>
        </w:rPr>
        <w:t xml:space="preserve">  再生水管道附属建筑物结构设计应符合</w:t>
      </w:r>
      <w:bookmarkStart w:id="24" w:name="_Hlk128908125"/>
      <w:r>
        <w:rPr>
          <w:rFonts w:hint="default" w:ascii="Times New Roman" w:hAnsi="Times New Roman" w:cs="Times New Roman"/>
          <w:color w:val="auto"/>
        </w:rPr>
        <w:t>GB50069</w:t>
      </w:r>
      <w:bookmarkEnd w:id="24"/>
      <w:r>
        <w:rPr>
          <w:rFonts w:hint="default" w:ascii="Times New Roman" w:hAnsi="Times New Roman" w:cs="Times New Roman"/>
          <w:color w:val="auto"/>
        </w:rPr>
        <w:t>的有关规定。</w:t>
      </w:r>
    </w:p>
    <w:p w14:paraId="664F9E8E">
      <w:pPr>
        <w:spacing w:line="400" w:lineRule="exact"/>
        <w:outlineLvl w:val="1"/>
        <w:rPr>
          <w:rFonts w:hint="default" w:ascii="Times New Roman" w:hAnsi="Times New Roman" w:cs="Times New Roman"/>
          <w:color w:val="auto"/>
        </w:rPr>
      </w:pPr>
      <w:bookmarkStart w:id="25" w:name="_Toc16869"/>
      <w:r>
        <w:rPr>
          <w:rFonts w:hint="default" w:ascii="Times New Roman" w:hAnsi="Times New Roman" w:cs="Times New Roman"/>
          <w:color w:val="auto"/>
        </w:rPr>
        <w:t>7  利用</w:t>
      </w:r>
      <w:bookmarkEnd w:id="25"/>
    </w:p>
    <w:p w14:paraId="07EB06C4">
      <w:pPr>
        <w:spacing w:line="400" w:lineRule="exact"/>
        <w:outlineLvl w:val="1"/>
        <w:rPr>
          <w:rFonts w:hint="default" w:ascii="Times New Roman" w:hAnsi="Times New Roman" w:eastAsia="黑体" w:cs="Times New Roman"/>
        </w:rPr>
      </w:pPr>
      <w:r>
        <w:rPr>
          <w:rFonts w:hint="default" w:ascii="Times New Roman" w:hAnsi="Times New Roman" w:eastAsia="黑体" w:cs="Times New Roman"/>
          <w:b/>
          <w:bCs/>
        </w:rPr>
        <w:t>7.1</w:t>
      </w:r>
      <w:r>
        <w:rPr>
          <w:rFonts w:hint="default" w:ascii="Times New Roman" w:hAnsi="Times New Roman" w:eastAsia="黑体" w:cs="Times New Roman"/>
        </w:rPr>
        <w:t xml:space="preserve">  冲厕</w:t>
      </w:r>
    </w:p>
    <w:p w14:paraId="6F54B23D">
      <w:pPr>
        <w:spacing w:line="400" w:lineRule="exact"/>
        <w:outlineLvl w:val="1"/>
        <w:rPr>
          <w:rFonts w:hint="default" w:ascii="Times New Roman" w:hAnsi="Times New Roman" w:eastAsia="宋体" w:cs="Times New Roman"/>
          <w:spacing w:val="-3"/>
          <w:lang w:eastAsia="zh-CN"/>
        </w:rPr>
      </w:pPr>
      <w:r>
        <w:rPr>
          <w:rFonts w:hint="default" w:ascii="Times New Roman" w:hAnsi="Times New Roman" w:eastAsia="黑体" w:cs="Times New Roman"/>
        </w:rPr>
        <w:t xml:space="preserve">7.1.1  </w:t>
      </w:r>
      <w:r>
        <w:rPr>
          <w:rFonts w:hint="default" w:ascii="Times New Roman" w:hAnsi="Times New Roman" w:cs="Times New Roman"/>
        </w:rPr>
        <w:t>利用再生水的便器水箱不应同时设置自来水进水管</w:t>
      </w:r>
      <w:r>
        <w:rPr>
          <w:rFonts w:hint="default" w:ascii="Times New Roman" w:hAnsi="Times New Roman" w:cs="Times New Roman"/>
          <w:lang w:eastAsia="zh-CN"/>
        </w:rPr>
        <w:t>。</w:t>
      </w:r>
    </w:p>
    <w:p w14:paraId="42D9C529">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7.1.2  </w:t>
      </w:r>
      <w:r>
        <w:rPr>
          <w:rFonts w:hint="default" w:ascii="Times New Roman" w:hAnsi="Times New Roman" w:cs="Times New Roman"/>
        </w:rPr>
        <w:t>当再生水二次供水水箱设有自来水补水管时，补水管从水箱上部或顶部接入，其出水口最低点高出溢流边缘的空气间隙不小于 150 mm。补水管不应采用淹没式浮球阀补水</w:t>
      </w:r>
      <w:r>
        <w:rPr>
          <w:rFonts w:hint="default" w:ascii="Times New Roman" w:hAnsi="Times New Roman" w:cs="Times New Roman"/>
          <w:spacing w:val="-3"/>
        </w:rPr>
        <w:t>。</w:t>
      </w:r>
    </w:p>
    <w:p w14:paraId="400B8A88">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7.1.3  </w:t>
      </w:r>
      <w:r>
        <w:rPr>
          <w:rFonts w:hint="default" w:ascii="Times New Roman" w:hAnsi="Times New Roman" w:cs="Times New Roman"/>
        </w:rPr>
        <w:t>长时间不使用便器时，应采取措施（如将水箱中的水排空、向水箱内投加消毒剂等）防止微生物滋生</w:t>
      </w:r>
      <w:r>
        <w:rPr>
          <w:rFonts w:hint="default" w:ascii="Times New Roman" w:hAnsi="Times New Roman" w:cs="Times New Roman"/>
          <w:spacing w:val="-3"/>
        </w:rPr>
        <w:t>。</w:t>
      </w:r>
    </w:p>
    <w:p w14:paraId="0D81F6B4">
      <w:pPr>
        <w:spacing w:line="400" w:lineRule="exact"/>
        <w:outlineLvl w:val="1"/>
        <w:rPr>
          <w:rFonts w:hint="default" w:ascii="Times New Roman" w:hAnsi="Times New Roman" w:cs="Times New Roman"/>
        </w:rPr>
      </w:pPr>
      <w:r>
        <w:rPr>
          <w:rFonts w:hint="default" w:ascii="Times New Roman" w:hAnsi="Times New Roman" w:eastAsia="黑体" w:cs="Times New Roman"/>
          <w:b/>
          <w:bCs/>
        </w:rPr>
        <w:t>7.2</w:t>
      </w:r>
      <w:r>
        <w:rPr>
          <w:rFonts w:hint="default" w:ascii="Times New Roman" w:hAnsi="Times New Roman" w:eastAsia="黑体" w:cs="Times New Roman"/>
        </w:rPr>
        <w:t xml:space="preserve">  车辆清洗</w:t>
      </w:r>
      <w:r>
        <w:rPr>
          <w:rFonts w:hint="default" w:ascii="Times New Roman" w:hAnsi="Times New Roman" w:cs="Times New Roman"/>
        </w:rPr>
        <w:t xml:space="preserve"> </w:t>
      </w:r>
    </w:p>
    <w:p w14:paraId="6030410F">
      <w:pPr>
        <w:spacing w:line="400" w:lineRule="exact"/>
        <w:outlineLvl w:val="1"/>
        <w:rPr>
          <w:rFonts w:hint="default" w:ascii="Times New Roman" w:hAnsi="Times New Roman" w:cs="Times New Roman"/>
        </w:rPr>
      </w:pPr>
      <w:r>
        <w:rPr>
          <w:rFonts w:hint="default" w:ascii="Times New Roman" w:hAnsi="Times New Roman" w:eastAsia="黑体" w:cs="Times New Roman"/>
        </w:rPr>
        <w:t xml:space="preserve">7.2.1  </w:t>
      </w:r>
      <w:r>
        <w:rPr>
          <w:rFonts w:hint="default" w:ascii="Times New Roman" w:hAnsi="Times New Roman" w:cs="Times New Roman"/>
        </w:rPr>
        <w:t>宜采用非直接接触式的洗车方式（如隧道式洗车机等）。</w:t>
      </w:r>
    </w:p>
    <w:p w14:paraId="495437B9">
      <w:pPr>
        <w:spacing w:line="400" w:lineRule="exact"/>
        <w:outlineLvl w:val="1"/>
        <w:rPr>
          <w:rFonts w:hint="default" w:ascii="Times New Roman" w:hAnsi="Times New Roman" w:cs="Times New Roman"/>
          <w:spacing w:val="-53"/>
        </w:rPr>
      </w:pPr>
      <w:r>
        <w:rPr>
          <w:rFonts w:hint="default" w:ascii="Times New Roman" w:hAnsi="Times New Roman" w:eastAsia="黑体" w:cs="Times New Roman"/>
        </w:rPr>
        <w:t xml:space="preserve">7.2.2  </w:t>
      </w:r>
      <w:r>
        <w:rPr>
          <w:rFonts w:hint="default" w:ascii="Times New Roman" w:hAnsi="Times New Roman" w:cs="Times New Roman"/>
        </w:rPr>
        <w:t>采用龙门式洗车机洗车、手动洗车等方式时，工作人员宜采取安全防护措施（如佩戴口罩等）</w:t>
      </w:r>
      <w:r>
        <w:rPr>
          <w:rFonts w:hint="default" w:ascii="Times New Roman" w:hAnsi="Times New Roman" w:cs="Times New Roman"/>
          <w:spacing w:val="-53"/>
        </w:rPr>
        <w:t>。</w:t>
      </w:r>
    </w:p>
    <w:p w14:paraId="2311C976">
      <w:pPr>
        <w:spacing w:line="400" w:lineRule="exact"/>
        <w:outlineLvl w:val="1"/>
        <w:rPr>
          <w:rFonts w:hint="default" w:ascii="Times New Roman" w:hAnsi="Times New Roman" w:eastAsia="黑体" w:cs="Times New Roman"/>
        </w:rPr>
      </w:pPr>
      <w:r>
        <w:rPr>
          <w:rFonts w:hint="default" w:ascii="Times New Roman" w:hAnsi="Times New Roman" w:eastAsia="黑体" w:cs="Times New Roman"/>
          <w:b/>
          <w:bCs/>
        </w:rPr>
        <w:t>7.3</w:t>
      </w:r>
      <w:r>
        <w:rPr>
          <w:rFonts w:hint="default" w:ascii="Times New Roman" w:hAnsi="Times New Roman" w:eastAsia="黑体" w:cs="Times New Roman"/>
        </w:rPr>
        <w:t xml:space="preserve">  城市绿化</w:t>
      </w:r>
    </w:p>
    <w:p w14:paraId="72EBD235">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7.3.1  </w:t>
      </w:r>
      <w:r>
        <w:rPr>
          <w:rFonts w:hint="default" w:ascii="Times New Roman" w:hAnsi="Times New Roman" w:cs="Times New Roman"/>
          <w:spacing w:val="-3"/>
        </w:rPr>
        <w:t>应在再生水灌溉区域内设置明确的提示标识。</w:t>
      </w:r>
    </w:p>
    <w:p w14:paraId="59715BE1">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7.3.2  </w:t>
      </w:r>
      <w:r>
        <w:rPr>
          <w:rFonts w:hint="default" w:ascii="Times New Roman" w:hAnsi="Times New Roman" w:cs="Times New Roman"/>
          <w:spacing w:val="-3"/>
        </w:rPr>
        <w:t>宜将灌溉作业安排在公众暴露少的时间段并采用公众暴露风险低的灌溉方式</w:t>
      </w:r>
      <w:r>
        <w:rPr>
          <w:rFonts w:hint="default" w:ascii="Times New Roman" w:hAnsi="Times New Roman" w:cs="Times New Roman"/>
        </w:rPr>
        <w:t>（</w:t>
      </w:r>
      <w:r>
        <w:rPr>
          <w:rFonts w:hint="default" w:ascii="Times New Roman" w:hAnsi="Times New Roman" w:cs="Times New Roman"/>
          <w:spacing w:val="-3"/>
        </w:rPr>
        <w:t>如微灌等</w:t>
      </w:r>
      <w:r>
        <w:rPr>
          <w:rFonts w:hint="default" w:ascii="Times New Roman" w:hAnsi="Times New Roman" w:cs="Times New Roman"/>
        </w:rPr>
        <w:t>）</w:t>
      </w:r>
      <w:r>
        <w:rPr>
          <w:rFonts w:hint="default" w:ascii="Times New Roman" w:hAnsi="Times New Roman" w:cs="Times New Roman"/>
          <w:spacing w:val="-3"/>
        </w:rPr>
        <w:t>。</w:t>
      </w:r>
    </w:p>
    <w:p w14:paraId="5363C51E">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7.3.3  </w:t>
      </w:r>
      <w:r>
        <w:rPr>
          <w:rFonts w:hint="default" w:ascii="Times New Roman" w:hAnsi="Times New Roman" w:cs="Times New Roman"/>
          <w:spacing w:val="-3"/>
        </w:rPr>
        <w:t>宜考虑再生水中溶解性总固体含量对植物的影响，可根据再生水中溶解性总固体含量选择具有相应耐盐性的植物种类。常见植物推荐见 DB11/T 672</w:t>
      </w:r>
    </w:p>
    <w:p w14:paraId="5A1F7E7F">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7.3.4  </w:t>
      </w:r>
      <w:r>
        <w:rPr>
          <w:rFonts w:hint="default" w:ascii="Times New Roman" w:hAnsi="Times New Roman" w:cs="Times New Roman"/>
          <w:spacing w:val="-3"/>
        </w:rPr>
        <w:t>再生水灌溉设施应专人管理，非灌溉用途时不得开启阀门，且不能擅自改造管线，不得与自来水管线对接使用。</w:t>
      </w:r>
    </w:p>
    <w:p w14:paraId="7B31B8F0">
      <w:pPr>
        <w:spacing w:line="400" w:lineRule="exact"/>
        <w:outlineLvl w:val="1"/>
        <w:rPr>
          <w:rFonts w:hint="default" w:ascii="Times New Roman" w:hAnsi="Times New Roman" w:eastAsia="黑体" w:cs="Times New Roman"/>
        </w:rPr>
      </w:pPr>
      <w:r>
        <w:rPr>
          <w:rFonts w:hint="default" w:ascii="Times New Roman" w:hAnsi="Times New Roman" w:eastAsia="黑体" w:cs="Times New Roman"/>
          <w:b/>
          <w:bCs/>
        </w:rPr>
        <w:t>7.4</w:t>
      </w:r>
      <w:r>
        <w:rPr>
          <w:rFonts w:hint="default" w:ascii="Times New Roman" w:hAnsi="Times New Roman" w:eastAsia="黑体" w:cs="Times New Roman"/>
        </w:rPr>
        <w:t xml:space="preserve">  道路清扫</w:t>
      </w:r>
    </w:p>
    <w:p w14:paraId="5037AA1A">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7.4.1  </w:t>
      </w:r>
      <w:r>
        <w:rPr>
          <w:rFonts w:hint="default" w:ascii="Times New Roman" w:hAnsi="Times New Roman" w:cs="Times New Roman"/>
          <w:spacing w:val="-3"/>
        </w:rPr>
        <w:t>利用再生水的道路清扫车辆应设置明确的提示标识。</w:t>
      </w:r>
    </w:p>
    <w:p w14:paraId="0EE62F16">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7.4.2  </w:t>
      </w:r>
      <w:r>
        <w:rPr>
          <w:rFonts w:hint="default" w:ascii="Times New Roman" w:hAnsi="Times New Roman" w:cs="Times New Roman"/>
          <w:spacing w:val="-3"/>
        </w:rPr>
        <w:t>采取措施防止清扫车辆水箱腐蚀（如使用防腐涂料等）。</w:t>
      </w:r>
    </w:p>
    <w:p w14:paraId="386BAAAF">
      <w:pPr>
        <w:spacing w:line="400" w:lineRule="exact"/>
        <w:outlineLvl w:val="1"/>
        <w:rPr>
          <w:rFonts w:hint="default" w:ascii="Times New Roman" w:hAnsi="Times New Roman" w:cs="Times New Roman"/>
          <w:spacing w:val="-3"/>
        </w:rPr>
      </w:pPr>
      <w:r>
        <w:rPr>
          <w:rFonts w:hint="default" w:ascii="Times New Roman" w:hAnsi="Times New Roman" w:eastAsia="黑体" w:cs="Times New Roman"/>
        </w:rPr>
        <w:t xml:space="preserve">7.4.3  </w:t>
      </w:r>
      <w:r>
        <w:rPr>
          <w:rFonts w:hint="default" w:ascii="Times New Roman" w:hAnsi="Times New Roman" w:cs="Times New Roman"/>
          <w:spacing w:val="-3"/>
        </w:rPr>
        <w:t>宜将道路清</w:t>
      </w:r>
      <w:r>
        <w:rPr>
          <w:rFonts w:hint="default" w:ascii="Times New Roman" w:hAnsi="Times New Roman" w:cs="Times New Roman"/>
          <w:spacing w:val="0"/>
          <w:sz w:val="21"/>
        </w:rPr>
        <w:t>扫作业安排在公众暴露少的时间段。</w:t>
      </w:r>
    </w:p>
    <w:p w14:paraId="3DEDB902">
      <w:pPr>
        <w:spacing w:line="400" w:lineRule="exact"/>
        <w:outlineLvl w:val="1"/>
        <w:rPr>
          <w:rFonts w:hint="default" w:ascii="Times New Roman" w:hAnsi="Times New Roman" w:eastAsia="黑体" w:cs="Times New Roman"/>
          <w:lang w:eastAsia="zh-CN"/>
        </w:rPr>
      </w:pPr>
      <w:r>
        <w:rPr>
          <w:rFonts w:hint="default" w:ascii="Times New Roman" w:hAnsi="Times New Roman" w:eastAsia="黑体" w:cs="Times New Roman"/>
          <w:b/>
          <w:bCs/>
        </w:rPr>
        <w:t>7.</w:t>
      </w:r>
      <w:r>
        <w:rPr>
          <w:rFonts w:hint="default" w:ascii="Times New Roman" w:hAnsi="Times New Roman" w:eastAsia="黑体" w:cs="Times New Roman"/>
          <w:b/>
          <w:bCs/>
          <w:lang w:val="en-US" w:eastAsia="zh-CN"/>
        </w:rPr>
        <w:t>5</w:t>
      </w:r>
      <w:r>
        <w:rPr>
          <w:rFonts w:hint="default" w:ascii="Times New Roman" w:hAnsi="Times New Roman" w:eastAsia="黑体" w:cs="Times New Roman"/>
        </w:rPr>
        <w:t xml:space="preserve">  </w:t>
      </w:r>
      <w:r>
        <w:rPr>
          <w:rFonts w:hint="default" w:ascii="Times New Roman" w:hAnsi="Times New Roman" w:eastAsia="黑体" w:cs="Times New Roman"/>
          <w:lang w:eastAsia="zh-CN"/>
        </w:rPr>
        <w:t>消防</w:t>
      </w:r>
    </w:p>
    <w:p w14:paraId="13B60B01">
      <w:pPr>
        <w:spacing w:line="400" w:lineRule="exact"/>
        <w:outlineLvl w:val="1"/>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黑体" w:cs="Times New Roman"/>
        </w:rPr>
        <w:t>7.</w:t>
      </w:r>
      <w:r>
        <w:rPr>
          <w:rFonts w:hint="default" w:ascii="Times New Roman" w:hAnsi="Times New Roman" w:eastAsia="黑体" w:cs="Times New Roman"/>
          <w:lang w:val="en-US" w:eastAsia="zh-CN"/>
        </w:rPr>
        <w:t>5</w:t>
      </w:r>
      <w:r>
        <w:rPr>
          <w:rFonts w:hint="default" w:ascii="Times New Roman" w:hAnsi="Times New Roman" w:eastAsia="黑体" w:cs="Times New Roman"/>
        </w:rPr>
        <w:t xml:space="preserve">.1  </w:t>
      </w:r>
      <w:r>
        <w:rPr>
          <w:rFonts w:hint="default" w:ascii="Times New Roman" w:hAnsi="Times New Roman" w:eastAsia="Helvetica" w:cs="Times New Roman"/>
          <w:i w:val="0"/>
          <w:iCs w:val="0"/>
          <w:caps w:val="0"/>
          <w:color w:val="333333"/>
          <w:spacing w:val="0"/>
          <w:sz w:val="21"/>
          <w:szCs w:val="21"/>
          <w:shd w:val="clear" w:fill="FFFFFF"/>
        </w:rPr>
        <w:t>消防给水管道内平时所充水的pH值应为6.0～9.0</w:t>
      </w:r>
      <w:r>
        <w:rPr>
          <w:rFonts w:hint="default" w:ascii="Times New Roman" w:hAnsi="Times New Roman" w:cs="Times New Roman"/>
          <w:lang w:eastAsia="zh-CN"/>
        </w:rPr>
        <w:t>。</w:t>
      </w:r>
      <w:r>
        <w:rPr>
          <w:rFonts w:hint="default" w:ascii="Times New Roman" w:hAnsi="Times New Roman" w:eastAsia="Helvetica" w:cs="Times New Roman"/>
          <w:i w:val="0"/>
          <w:iCs w:val="0"/>
          <w:caps w:val="0"/>
          <w:color w:val="333333"/>
          <w:spacing w:val="0"/>
          <w:sz w:val="21"/>
          <w:szCs w:val="21"/>
          <w:shd w:val="clear" w:fill="FFFFFF"/>
        </w:rPr>
        <w:t xml:space="preserve">    </w:t>
      </w:r>
    </w:p>
    <w:p w14:paraId="00EBAFC9">
      <w:pPr>
        <w:spacing w:line="400" w:lineRule="exact"/>
        <w:outlineLvl w:val="1"/>
        <w:rPr>
          <w:rFonts w:hint="default" w:ascii="Times New Roman" w:hAnsi="Times New Roman" w:eastAsia="Helvetica" w:cs="Times New Roman"/>
          <w:i w:val="0"/>
          <w:iCs w:val="0"/>
          <w:caps w:val="0"/>
          <w:color w:val="333333"/>
          <w:spacing w:val="0"/>
          <w:sz w:val="21"/>
          <w:szCs w:val="21"/>
          <w:shd w:val="clear" w:fill="FFFFFF"/>
        </w:rPr>
      </w:pPr>
      <w:r>
        <w:rPr>
          <w:rFonts w:hint="default" w:ascii="Times New Roman" w:hAnsi="Times New Roman" w:eastAsia="黑体" w:cs="Times New Roman"/>
        </w:rPr>
        <w:t>7.</w:t>
      </w:r>
      <w:r>
        <w:rPr>
          <w:rFonts w:hint="default" w:ascii="Times New Roman" w:hAnsi="Times New Roman" w:eastAsia="黑体" w:cs="Times New Roman"/>
          <w:lang w:val="en-US" w:eastAsia="zh-CN"/>
        </w:rPr>
        <w:t>5</w:t>
      </w:r>
      <w:r>
        <w:rPr>
          <w:rFonts w:hint="default" w:ascii="Times New Roman" w:hAnsi="Times New Roman" w:eastAsia="黑体" w:cs="Times New Roman"/>
        </w:rPr>
        <w:t>.</w:t>
      </w:r>
      <w:r>
        <w:rPr>
          <w:rFonts w:hint="default" w:ascii="Times New Roman" w:hAnsi="Times New Roman" w:eastAsia="黑体" w:cs="Times New Roman"/>
          <w:lang w:val="en-US" w:eastAsia="zh-CN"/>
        </w:rPr>
        <w:t>2</w:t>
      </w:r>
      <w:r>
        <w:rPr>
          <w:rFonts w:hint="default" w:ascii="Times New Roman" w:hAnsi="Times New Roman" w:eastAsia="黑体" w:cs="Times New Roman"/>
        </w:rPr>
        <w:t xml:space="preserve"> </w:t>
      </w:r>
      <w:r>
        <w:rPr>
          <w:rFonts w:hint="default" w:ascii="Times New Roman" w:hAnsi="Times New Roman" w:eastAsia="黑体" w:cs="Times New Roman"/>
          <w:lang w:val="en-US" w:eastAsia="zh-CN"/>
        </w:rPr>
        <w:t xml:space="preserve"> </w:t>
      </w:r>
      <w:r>
        <w:rPr>
          <w:rFonts w:hint="default" w:ascii="Times New Roman" w:hAnsi="Times New Roman" w:eastAsia="Helvetica" w:cs="Times New Roman"/>
          <w:i w:val="0"/>
          <w:iCs w:val="0"/>
          <w:caps w:val="0"/>
          <w:color w:val="333333"/>
          <w:spacing w:val="0"/>
          <w:sz w:val="21"/>
          <w:szCs w:val="21"/>
          <w:shd w:val="clear" w:fill="FFFFFF"/>
        </w:rPr>
        <w:t>水质应满足水基消防设施的功能要求；</w:t>
      </w:r>
      <w:r>
        <w:rPr>
          <w:rFonts w:hint="default" w:ascii="Times New Roman" w:hAnsi="Times New Roman" w:eastAsia="Helvetica" w:cs="Times New Roman"/>
          <w:i w:val="0"/>
          <w:iCs w:val="0"/>
          <w:caps w:val="0"/>
          <w:color w:val="333333"/>
          <w:spacing w:val="0"/>
          <w:sz w:val="21"/>
          <w:szCs w:val="21"/>
          <w:shd w:val="clear" w:fill="FFFFFF"/>
        </w:rPr>
        <w:br w:type="textWrapping"/>
      </w:r>
      <w:r>
        <w:rPr>
          <w:rFonts w:hint="default" w:ascii="Times New Roman" w:hAnsi="Times New Roman" w:eastAsia="黑体" w:cs="Times New Roman"/>
          <w:i w:val="0"/>
          <w:iCs w:val="0"/>
          <w:caps w:val="0"/>
          <w:spacing w:val="0"/>
          <w:sz w:val="21"/>
          <w:szCs w:val="20"/>
          <w:shd w:val="clear"/>
          <w:lang w:eastAsia="zh-CN"/>
        </w:rPr>
        <w:t>7</w:t>
      </w:r>
      <w:r>
        <w:rPr>
          <w:rFonts w:hint="default" w:ascii="Times New Roman" w:hAnsi="Times New Roman" w:eastAsia="黑体" w:cs="Times New Roman"/>
          <w:i w:val="0"/>
          <w:iCs w:val="0"/>
          <w:caps w:val="0"/>
          <w:spacing w:val="0"/>
          <w:sz w:val="21"/>
          <w:szCs w:val="20"/>
          <w:shd w:val="clear"/>
          <w:lang w:val="en-US" w:eastAsia="zh-CN"/>
        </w:rPr>
        <w:t xml:space="preserve">.5.3  </w:t>
      </w:r>
      <w:r>
        <w:rPr>
          <w:rFonts w:hint="default" w:ascii="Times New Roman" w:hAnsi="Times New Roman" w:cs="Times New Roman"/>
          <w:i w:val="0"/>
          <w:iCs w:val="0"/>
          <w:caps w:val="0"/>
          <w:color w:val="333333"/>
          <w:spacing w:val="0"/>
          <w:sz w:val="21"/>
          <w:szCs w:val="21"/>
          <w:shd w:val="clear" w:fill="FFFFFF"/>
          <w:lang w:eastAsia="zh-CN"/>
        </w:rPr>
        <w:t>再生</w:t>
      </w:r>
      <w:r>
        <w:rPr>
          <w:rFonts w:hint="default" w:ascii="Times New Roman" w:hAnsi="Times New Roman" w:eastAsia="Helvetica" w:cs="Times New Roman"/>
          <w:i w:val="0"/>
          <w:iCs w:val="0"/>
          <w:caps w:val="0"/>
          <w:color w:val="333333"/>
          <w:spacing w:val="0"/>
          <w:sz w:val="21"/>
          <w:szCs w:val="21"/>
          <w:shd w:val="clear" w:fill="FFFFFF"/>
        </w:rPr>
        <w:t>水量应满足水基消防设施在设计持续供水时间内的最大用水量要求；</w:t>
      </w:r>
      <w:r>
        <w:rPr>
          <w:rFonts w:hint="default" w:ascii="Times New Roman" w:hAnsi="Times New Roman" w:eastAsia="Helvetica" w:cs="Times New Roman"/>
          <w:i w:val="0"/>
          <w:iCs w:val="0"/>
          <w:caps w:val="0"/>
          <w:color w:val="333333"/>
          <w:spacing w:val="0"/>
          <w:sz w:val="21"/>
          <w:szCs w:val="21"/>
          <w:shd w:val="clear" w:fill="FFFFFF"/>
        </w:rPr>
        <w:br w:type="textWrapping"/>
      </w:r>
      <w:r>
        <w:rPr>
          <w:rFonts w:hint="default" w:ascii="Times New Roman" w:hAnsi="Times New Roman" w:eastAsia="Helvetica" w:cs="Times New Roman"/>
          <w:i w:val="0"/>
          <w:iCs w:val="0"/>
          <w:caps w:val="0"/>
          <w:color w:val="333333"/>
          <w:spacing w:val="0"/>
          <w:sz w:val="21"/>
          <w:szCs w:val="21"/>
          <w:shd w:val="clear" w:fill="FFFFFF"/>
        </w:rPr>
        <w:t> </w:t>
      </w:r>
      <w:r>
        <w:rPr>
          <w:rFonts w:hint="default" w:ascii="Times New Roman" w:hAnsi="Times New Roman" w:cs="Times New Roman"/>
          <w:i w:val="0"/>
          <w:iCs w:val="0"/>
          <w:caps w:val="0"/>
          <w:color w:val="333333"/>
          <w:spacing w:val="0"/>
          <w:sz w:val="21"/>
          <w:szCs w:val="21"/>
          <w:shd w:val="clear" w:fill="FFFFFF"/>
          <w:lang w:val="en-US" w:eastAsia="zh-CN"/>
        </w:rPr>
        <w:t>7.5.4</w:t>
      </w:r>
      <w:r>
        <w:rPr>
          <w:rFonts w:hint="default" w:ascii="Times New Roman" w:hAnsi="Times New Roman" w:eastAsia="Helvetica" w:cs="Times New Roman"/>
          <w:i w:val="0"/>
          <w:iCs w:val="0"/>
          <w:caps w:val="0"/>
          <w:color w:val="333333"/>
          <w:spacing w:val="0"/>
          <w:sz w:val="21"/>
          <w:szCs w:val="21"/>
          <w:shd w:val="clear" w:fill="FFFFFF"/>
        </w:rPr>
        <w:t xml:space="preserve"> </w:t>
      </w:r>
      <w:r>
        <w:rPr>
          <w:rFonts w:hint="default" w:ascii="Times New Roman" w:hAnsi="Times New Roman" w:cs="Times New Roman"/>
          <w:i w:val="0"/>
          <w:iCs w:val="0"/>
          <w:caps w:val="0"/>
          <w:color w:val="333333"/>
          <w:spacing w:val="0"/>
          <w:sz w:val="21"/>
          <w:szCs w:val="21"/>
          <w:shd w:val="clear" w:fill="FFFFFF"/>
          <w:lang w:val="en-US" w:eastAsia="zh-CN"/>
        </w:rPr>
        <w:t xml:space="preserve"> </w:t>
      </w:r>
      <w:r>
        <w:rPr>
          <w:rFonts w:hint="default" w:ascii="Times New Roman" w:hAnsi="Times New Roman" w:eastAsia="Helvetica" w:cs="Times New Roman"/>
          <w:i w:val="0"/>
          <w:iCs w:val="0"/>
          <w:caps w:val="0"/>
          <w:color w:val="333333"/>
          <w:spacing w:val="0"/>
          <w:sz w:val="21"/>
          <w:szCs w:val="21"/>
          <w:shd w:val="clear" w:fill="FFFFFF"/>
        </w:rPr>
        <w:t>供消防车取水的</w:t>
      </w:r>
      <w:r>
        <w:rPr>
          <w:rFonts w:hint="default" w:ascii="Times New Roman" w:hAnsi="Times New Roman" w:cs="Times New Roman"/>
          <w:i w:val="0"/>
          <w:iCs w:val="0"/>
          <w:caps w:val="0"/>
          <w:color w:val="333333"/>
          <w:spacing w:val="0"/>
          <w:sz w:val="21"/>
          <w:szCs w:val="21"/>
          <w:shd w:val="clear" w:fill="FFFFFF"/>
          <w:lang w:eastAsia="zh-CN"/>
        </w:rPr>
        <w:t>再生水</w:t>
      </w:r>
      <w:r>
        <w:rPr>
          <w:rFonts w:hint="default" w:ascii="Times New Roman" w:hAnsi="Times New Roman" w:eastAsia="Helvetica" w:cs="Times New Roman"/>
          <w:i w:val="0"/>
          <w:iCs w:val="0"/>
          <w:caps w:val="0"/>
          <w:color w:val="333333"/>
          <w:spacing w:val="0"/>
          <w:sz w:val="21"/>
          <w:szCs w:val="21"/>
          <w:shd w:val="clear" w:fill="FFFFFF"/>
        </w:rPr>
        <w:t>，应采取保障消防车安全取水与通行的技术措施，消防车取水的最大吸水高度应满足消防车可靠吸水的要求。</w:t>
      </w:r>
    </w:p>
    <w:p w14:paraId="46F65DA6">
      <w:pPr>
        <w:spacing w:line="400" w:lineRule="exact"/>
        <w:outlineLvl w:val="1"/>
        <w:rPr>
          <w:rFonts w:hint="default" w:ascii="Times New Roman" w:hAnsi="Times New Roman" w:eastAsia="黑体" w:cs="Times New Roman"/>
          <w:lang w:eastAsia="zh-CN"/>
        </w:rPr>
      </w:pPr>
      <w:r>
        <w:rPr>
          <w:rFonts w:hint="default" w:ascii="Times New Roman" w:hAnsi="Times New Roman" w:eastAsia="黑体" w:cs="Times New Roman"/>
          <w:b/>
          <w:bCs/>
        </w:rPr>
        <w:t>7.</w:t>
      </w:r>
      <w:r>
        <w:rPr>
          <w:rFonts w:hint="default" w:ascii="Times New Roman" w:hAnsi="Times New Roman" w:eastAsia="黑体" w:cs="Times New Roman"/>
          <w:b/>
          <w:bCs/>
          <w:lang w:val="en-US" w:eastAsia="zh-CN"/>
        </w:rPr>
        <w:t>6</w:t>
      </w:r>
      <w:r>
        <w:rPr>
          <w:rFonts w:hint="default" w:ascii="Times New Roman" w:hAnsi="Times New Roman" w:eastAsia="黑体" w:cs="Times New Roman"/>
        </w:rPr>
        <w:t xml:space="preserve">  </w:t>
      </w:r>
      <w:r>
        <w:rPr>
          <w:rFonts w:hint="default" w:ascii="Times New Roman" w:hAnsi="Times New Roman" w:eastAsia="黑体" w:cs="Times New Roman"/>
          <w:lang w:eastAsia="zh-CN"/>
        </w:rPr>
        <w:t>建筑施工</w:t>
      </w:r>
    </w:p>
    <w:p w14:paraId="525974FF">
      <w:pPr>
        <w:spacing w:line="400" w:lineRule="exact"/>
        <w:outlineLvl w:val="1"/>
        <w:rPr>
          <w:rFonts w:hint="default" w:ascii="Times New Roman" w:hAnsi="Times New Roman" w:eastAsia="Helvetica" w:cs="Times New Roman"/>
          <w:color w:val="333333"/>
          <w:szCs w:val="21"/>
          <w:shd w:val="clear" w:fill="FFFFFF"/>
          <w:lang w:val="en-US" w:eastAsia="zh-CN"/>
        </w:rPr>
      </w:pPr>
      <w:r>
        <w:rPr>
          <w:rFonts w:hint="default" w:ascii="Times New Roman" w:eastAsia="黑体"/>
          <w:lang w:val="en-US" w:eastAsia="zh-CN"/>
        </w:rPr>
        <w:t>7.6.</w:t>
      </w:r>
      <w:r>
        <w:rPr>
          <w:rFonts w:hint="default" w:ascii="Times New Roman" w:hAnsi="Times New Roman" w:eastAsia="黑体" w:cs="Times New Roman"/>
          <w:lang w:val="en-US" w:eastAsia="zh-CN"/>
        </w:rPr>
        <w:t>1</w:t>
      </w:r>
      <w:r>
        <w:rPr>
          <w:rFonts w:hint="default" w:ascii="Times New Roman" w:eastAsia="黑体"/>
          <w:lang w:val="en-US" w:eastAsia="zh-CN"/>
        </w:rPr>
        <w:t xml:space="preserve">  </w:t>
      </w:r>
      <w:r>
        <w:rPr>
          <w:rFonts w:hint="default" w:ascii="Times New Roman" w:hAnsi="Times New Roman" w:eastAsia="Helvetica" w:cs="Times New Roman"/>
          <w:color w:val="333333"/>
          <w:szCs w:val="21"/>
          <w:shd w:val="clear" w:fill="FFFFFF"/>
          <w:lang w:val="en-US" w:eastAsia="zh-CN"/>
        </w:rPr>
        <w:t>再生水可用于混凝土企业设备的洗刷。</w:t>
      </w:r>
    </w:p>
    <w:p w14:paraId="395B8BF8">
      <w:pPr>
        <w:spacing w:line="400" w:lineRule="exact"/>
        <w:outlineLvl w:val="1"/>
        <w:rPr>
          <w:rFonts w:hint="default" w:ascii="Times New Roman" w:eastAsia="黑体"/>
          <w:spacing w:val="0"/>
        </w:rPr>
      </w:pPr>
      <w:r>
        <w:rPr>
          <w:rFonts w:hint="default" w:ascii="Times New Roman" w:hAnsi="Times New Roman" w:eastAsia="黑体" w:cs="Times New Roman"/>
          <w:lang w:val="en-US" w:eastAsia="zh-CN"/>
        </w:rPr>
        <w:t xml:space="preserve">7.6.2 </w:t>
      </w:r>
      <w:r>
        <w:rPr>
          <w:rFonts w:hint="default" w:ascii="Times New Roman" w:hAnsi="Times New Roman" w:eastAsia="Helvetica" w:cs="Times New Roman"/>
          <w:color w:val="333333"/>
          <w:szCs w:val="21"/>
          <w:shd w:val="clear" w:fill="FFFFFF"/>
          <w:lang w:val="en-US" w:eastAsia="zh-CN"/>
        </w:rPr>
        <w:t xml:space="preserve"> 建筑施工现场的运输车辆及地面清洗可用再生水，施工现场利用再生水的</w:t>
      </w:r>
      <w:r>
        <w:rPr>
          <w:rFonts w:hint="default" w:ascii="Times New Roman" w:hAnsi="Times New Roman" w:eastAsia="Helvetica" w:cs="Times New Roman"/>
          <w:color w:val="333333"/>
          <w:spacing w:val="0"/>
          <w:szCs w:val="21"/>
          <w:shd w:val="clear" w:fill="FFFFFF"/>
        </w:rPr>
        <w:t>应设置明确的提示标识。</w:t>
      </w:r>
    </w:p>
    <w:p w14:paraId="2B57B112">
      <w:pPr>
        <w:spacing w:before="156" w:beforeLines="50" w:after="156" w:afterLines="50" w:line="400" w:lineRule="exact"/>
        <w:outlineLvl w:val="1"/>
        <w:rPr>
          <w:rFonts w:hint="default" w:ascii="Times New Roman" w:hAnsi="Times New Roman" w:eastAsia="黑体" w:cs="Times New Roman"/>
          <w:b w:val="0"/>
          <w:kern w:val="0"/>
          <w:sz w:val="21"/>
          <w:szCs w:val="24"/>
        </w:rPr>
      </w:pPr>
      <w:bookmarkStart w:id="26" w:name="_Toc19511"/>
      <w:r>
        <w:rPr>
          <w:rFonts w:hint="default" w:ascii="Times New Roman" w:hAnsi="Times New Roman" w:eastAsia="黑体" w:cs="Times New Roman"/>
          <w:b w:val="0"/>
          <w:kern w:val="0"/>
          <w:sz w:val="21"/>
          <w:szCs w:val="24"/>
        </w:rPr>
        <w:t>8  监测控制</w:t>
      </w:r>
      <w:bookmarkEnd w:id="26"/>
    </w:p>
    <w:p w14:paraId="75BD3303">
      <w:pPr>
        <w:spacing w:line="400" w:lineRule="exact"/>
        <w:outlineLvl w:val="1"/>
        <w:rPr>
          <w:rFonts w:hint="default" w:ascii="Times New Roman" w:hAnsi="Times New Roman" w:cs="Times New Roman"/>
        </w:rPr>
      </w:pPr>
      <w:r>
        <w:rPr>
          <w:rFonts w:hint="default" w:ascii="Times New Roman" w:hAnsi="Times New Roman" w:eastAsia="黑体" w:cs="Times New Roman"/>
          <w:b/>
          <w:bCs/>
        </w:rPr>
        <w:t>8.1</w:t>
      </w:r>
      <w:r>
        <w:rPr>
          <w:rFonts w:hint="default" w:ascii="Times New Roman" w:hAnsi="Times New Roman" w:eastAsia="黑体" w:cs="Times New Roman"/>
        </w:rPr>
        <w:t xml:space="preserve">  </w:t>
      </w:r>
      <w:r>
        <w:rPr>
          <w:rFonts w:hint="default" w:ascii="Times New Roman" w:hAnsi="Times New Roman" w:cs="Times New Roman"/>
        </w:rPr>
        <w:t>再生水水源收集系统中的污（废）水接入口，宜设置水质监测点和控制闸门。</w:t>
      </w:r>
    </w:p>
    <w:p w14:paraId="0CDE16C2">
      <w:pPr>
        <w:spacing w:line="400" w:lineRule="exact"/>
        <w:outlineLvl w:val="1"/>
        <w:rPr>
          <w:rFonts w:hint="default" w:ascii="Times New Roman" w:hAnsi="Times New Roman" w:cs="Times New Roman"/>
        </w:rPr>
      </w:pPr>
      <w:r>
        <w:rPr>
          <w:rFonts w:hint="default" w:ascii="Times New Roman" w:hAnsi="Times New Roman" w:eastAsia="黑体" w:cs="Times New Roman"/>
          <w:b/>
          <w:bCs/>
        </w:rPr>
        <w:t>8.2</w:t>
      </w:r>
      <w:r>
        <w:rPr>
          <w:rFonts w:hint="default" w:ascii="Times New Roman" w:hAnsi="Times New Roman" w:eastAsia="黑体" w:cs="Times New Roman"/>
        </w:rPr>
        <w:t xml:space="preserve">  </w:t>
      </w:r>
      <w:r>
        <w:rPr>
          <w:rFonts w:hint="default" w:ascii="Times New Roman" w:hAnsi="Times New Roman" w:cs="Times New Roman"/>
        </w:rPr>
        <w:t>再生水供水企业应建立完善的水质水量监测及预警系统，按照供水协议的要求进行再生水水质监测，并及时向用户提供水质信息。有条件的可实现在线监测。</w:t>
      </w:r>
    </w:p>
    <w:p w14:paraId="6333C550">
      <w:pPr>
        <w:spacing w:line="400" w:lineRule="exact"/>
        <w:outlineLvl w:val="1"/>
        <w:rPr>
          <w:rFonts w:hint="default" w:ascii="Times New Roman" w:hAnsi="Times New Roman" w:cs="Times New Roman"/>
        </w:rPr>
      </w:pPr>
      <w:r>
        <w:rPr>
          <w:rFonts w:hint="default" w:ascii="Times New Roman" w:hAnsi="Times New Roman" w:eastAsia="黑体" w:cs="Times New Roman"/>
          <w:b/>
          <w:bCs/>
        </w:rPr>
        <w:t>8.3</w:t>
      </w:r>
      <w:r>
        <w:rPr>
          <w:rFonts w:hint="default" w:ascii="Times New Roman" w:hAnsi="Times New Roman" w:eastAsia="黑体" w:cs="Times New Roman"/>
        </w:rPr>
        <w:t xml:space="preserve">  </w:t>
      </w:r>
      <w:r>
        <w:rPr>
          <w:rFonts w:hint="default" w:ascii="Times New Roman" w:hAnsi="Times New Roman" w:cs="Times New Roman"/>
        </w:rPr>
        <w:t>再生水供水管道起端、配水管网中的特征点，以及各用户进户管道上宜设置测流、测压装置，并宜设置遥测、遥信、遥控系统。</w:t>
      </w:r>
    </w:p>
    <w:p w14:paraId="744D5B77">
      <w:pPr>
        <w:spacing w:line="400" w:lineRule="exact"/>
        <w:outlineLvl w:val="1"/>
        <w:rPr>
          <w:rFonts w:hint="default" w:ascii="Times New Roman" w:hAnsi="Times New Roman" w:cs="Times New Roman"/>
        </w:rPr>
      </w:pPr>
      <w:r>
        <w:rPr>
          <w:rFonts w:hint="default" w:ascii="Times New Roman" w:hAnsi="Times New Roman" w:eastAsia="黑体" w:cs="Times New Roman"/>
          <w:b/>
          <w:bCs/>
        </w:rPr>
        <w:t>8.4</w:t>
      </w:r>
      <w:r>
        <w:rPr>
          <w:rFonts w:hint="default" w:ascii="Times New Roman" w:hAnsi="Times New Roman" w:eastAsia="黑体" w:cs="Times New Roman"/>
        </w:rPr>
        <w:t xml:space="preserve">  </w:t>
      </w:r>
      <w:r>
        <w:rPr>
          <w:rFonts w:hint="default" w:ascii="Times New Roman" w:hAnsi="Times New Roman" w:cs="Times New Roman"/>
        </w:rPr>
        <w:t>用户宜根据实际需求进行水质监测，主要监测项目、监测频率和检测方法见表 C.1。</w:t>
      </w:r>
    </w:p>
    <w:p w14:paraId="2A28FBD3">
      <w:pPr>
        <w:spacing w:line="400" w:lineRule="exact"/>
        <w:outlineLvl w:val="1"/>
        <w:rPr>
          <w:rFonts w:hint="default" w:ascii="Times New Roman" w:hAnsi="Times New Roman" w:cs="Times New Roman"/>
        </w:rPr>
      </w:pPr>
      <w:r>
        <w:rPr>
          <w:rFonts w:hint="default" w:ascii="Times New Roman" w:hAnsi="Times New Roman" w:eastAsia="黑体" w:cs="Times New Roman"/>
          <w:b/>
          <w:bCs/>
        </w:rPr>
        <w:t>8.5</w:t>
      </w:r>
      <w:r>
        <w:rPr>
          <w:rFonts w:hint="default" w:ascii="Times New Roman" w:hAnsi="Times New Roman" w:eastAsia="黑体" w:cs="Times New Roman"/>
        </w:rPr>
        <w:t xml:space="preserve">  </w:t>
      </w:r>
      <w:r>
        <w:rPr>
          <w:rFonts w:hint="default" w:ascii="Times New Roman" w:hAnsi="Times New Roman" w:cs="Times New Roman"/>
        </w:rPr>
        <w:t xml:space="preserve">再生水用于城市绿化时，用户宜监测植物生长状况和土壤残留。监测项目、监测频率和检测方法见 </w:t>
      </w:r>
      <w:bookmarkStart w:id="27" w:name="_Hlk128908142"/>
      <w:r>
        <w:rPr>
          <w:rFonts w:hint="default" w:ascii="Times New Roman" w:hAnsi="Times New Roman" w:cs="Times New Roman"/>
        </w:rPr>
        <w:t>SL 368</w:t>
      </w:r>
      <w:bookmarkEnd w:id="27"/>
      <w:r>
        <w:rPr>
          <w:rFonts w:hint="default" w:ascii="Times New Roman" w:hAnsi="Times New Roman" w:cs="Times New Roman"/>
        </w:rPr>
        <w:t>。</w:t>
      </w:r>
    </w:p>
    <w:p w14:paraId="63A7DE65">
      <w:pPr>
        <w:pStyle w:val="2"/>
        <w:spacing w:before="156" w:beforeLines="50" w:after="156" w:afterLines="50" w:line="460" w:lineRule="exact"/>
        <w:rPr>
          <w:rFonts w:hint="default" w:ascii="Times New Roman" w:hAnsi="Times New Roman" w:eastAsia="黑体" w:cs="Times New Roman"/>
          <w:b w:val="0"/>
          <w:kern w:val="0"/>
          <w:sz w:val="21"/>
          <w:szCs w:val="24"/>
        </w:rPr>
      </w:pPr>
      <w:bookmarkStart w:id="28" w:name="_Toc11290"/>
      <w:r>
        <w:rPr>
          <w:rFonts w:hint="default" w:ascii="Times New Roman" w:hAnsi="Times New Roman" w:eastAsia="黑体" w:cs="Times New Roman"/>
          <w:b w:val="0"/>
          <w:kern w:val="0"/>
          <w:sz w:val="21"/>
          <w:szCs w:val="24"/>
        </w:rPr>
        <w:t>9  日常管理</w:t>
      </w:r>
      <w:bookmarkEnd w:id="28"/>
    </w:p>
    <w:p w14:paraId="0E47B4D0">
      <w:pPr>
        <w:spacing w:line="400" w:lineRule="exact"/>
        <w:outlineLvl w:val="1"/>
        <w:rPr>
          <w:rFonts w:hint="default" w:ascii="Times New Roman" w:hAnsi="Times New Roman" w:cs="Times New Roman"/>
        </w:rPr>
      </w:pPr>
      <w:r>
        <w:rPr>
          <w:rFonts w:hint="default" w:ascii="Times New Roman" w:hAnsi="Times New Roman" w:eastAsia="黑体" w:cs="Times New Roman"/>
          <w:b/>
          <w:bCs/>
        </w:rPr>
        <w:t>9.1</w:t>
      </w:r>
      <w:r>
        <w:rPr>
          <w:rFonts w:hint="default" w:ascii="Times New Roman" w:hAnsi="Times New Roman" w:eastAsia="黑体" w:cs="Times New Roman"/>
        </w:rPr>
        <w:t xml:space="preserve">  </w:t>
      </w:r>
      <w:r>
        <w:rPr>
          <w:rFonts w:hint="default" w:ascii="Times New Roman" w:hAnsi="Times New Roman" w:cs="Times New Roman"/>
        </w:rPr>
        <w:t>建立健全各项管理制度，保证再生水设施正常运行。</w:t>
      </w:r>
    </w:p>
    <w:p w14:paraId="4E5B4651">
      <w:pPr>
        <w:spacing w:line="400" w:lineRule="exact"/>
        <w:outlineLvl w:val="1"/>
        <w:rPr>
          <w:rFonts w:hint="default" w:ascii="Times New Roman" w:hAnsi="Times New Roman" w:cs="Times New Roman"/>
        </w:rPr>
      </w:pPr>
      <w:r>
        <w:rPr>
          <w:rFonts w:hint="default" w:ascii="Times New Roman" w:hAnsi="Times New Roman" w:eastAsia="黑体" w:cs="Times New Roman"/>
          <w:b/>
          <w:bCs/>
        </w:rPr>
        <w:t>9.2</w:t>
      </w:r>
      <w:r>
        <w:rPr>
          <w:rFonts w:hint="default" w:ascii="Times New Roman" w:hAnsi="Times New Roman" w:eastAsia="黑体" w:cs="Times New Roman"/>
        </w:rPr>
        <w:t xml:space="preserve">  </w:t>
      </w:r>
      <w:r>
        <w:rPr>
          <w:rFonts w:hint="default" w:ascii="Times New Roman" w:hAnsi="Times New Roman" w:cs="Times New Roman"/>
        </w:rPr>
        <w:t>应明确再生水利用管理人员，制定管理制度。管理职责包括日常运行、工程维养、水量计量、环境监测和安全管理等。</w:t>
      </w:r>
    </w:p>
    <w:p w14:paraId="66EB0CB0">
      <w:pPr>
        <w:spacing w:line="400" w:lineRule="exact"/>
        <w:outlineLvl w:val="1"/>
        <w:rPr>
          <w:rFonts w:hint="default" w:ascii="Times New Roman" w:hAnsi="Times New Roman" w:cs="Times New Roman"/>
        </w:rPr>
      </w:pPr>
      <w:r>
        <w:rPr>
          <w:rFonts w:hint="default" w:ascii="Times New Roman" w:hAnsi="Times New Roman" w:eastAsia="黑体" w:cs="Times New Roman"/>
          <w:b/>
          <w:bCs/>
        </w:rPr>
        <w:t>9.3</w:t>
      </w:r>
      <w:r>
        <w:rPr>
          <w:rFonts w:hint="default" w:ascii="Times New Roman" w:hAnsi="Times New Roman" w:eastAsia="黑体" w:cs="Times New Roman"/>
        </w:rPr>
        <w:t xml:space="preserve">  </w:t>
      </w:r>
      <w:r>
        <w:rPr>
          <w:rFonts w:hint="default" w:ascii="Times New Roman" w:hAnsi="Times New Roman" w:cs="Times New Roman"/>
        </w:rPr>
        <w:t>制定再生水管道运行与维护管理制度，实现专业化、规范化和智慧化管理。</w:t>
      </w:r>
    </w:p>
    <w:p w14:paraId="1CE582F0">
      <w:pPr>
        <w:spacing w:line="400" w:lineRule="exact"/>
        <w:outlineLvl w:val="1"/>
        <w:rPr>
          <w:rFonts w:hint="default" w:ascii="Times New Roman" w:hAnsi="Times New Roman" w:cs="Times New Roman"/>
        </w:rPr>
      </w:pPr>
      <w:r>
        <w:rPr>
          <w:rFonts w:hint="default" w:ascii="Times New Roman" w:hAnsi="Times New Roman" w:eastAsia="黑体" w:cs="Times New Roman"/>
          <w:b/>
          <w:bCs/>
        </w:rPr>
        <w:t>9.4</w:t>
      </w:r>
      <w:r>
        <w:rPr>
          <w:rFonts w:hint="default" w:ascii="Times New Roman" w:hAnsi="Times New Roman" w:eastAsia="黑体" w:cs="Times New Roman"/>
        </w:rPr>
        <w:t xml:space="preserve">  </w:t>
      </w:r>
      <w:r>
        <w:rPr>
          <w:rFonts w:hint="default" w:ascii="Times New Roman" w:hAnsi="Times New Roman" w:cs="Times New Roman"/>
        </w:rPr>
        <w:t>低温季节，应对再生水供水设备及管网采取必要的防冻措施。</w:t>
      </w:r>
    </w:p>
    <w:p w14:paraId="51EDA969">
      <w:pPr>
        <w:spacing w:line="400" w:lineRule="exact"/>
        <w:outlineLvl w:val="1"/>
        <w:rPr>
          <w:rFonts w:hint="default" w:ascii="Times New Roman" w:hAnsi="Times New Roman" w:cs="Times New Roman"/>
        </w:rPr>
      </w:pPr>
      <w:r>
        <w:rPr>
          <w:rFonts w:hint="default" w:ascii="Times New Roman" w:hAnsi="Times New Roman" w:eastAsia="黑体" w:cs="Times New Roman"/>
          <w:b/>
          <w:bCs/>
        </w:rPr>
        <w:t>9.5</w:t>
      </w:r>
      <w:r>
        <w:rPr>
          <w:rFonts w:hint="default" w:ascii="Times New Roman" w:hAnsi="Times New Roman" w:eastAsia="黑体" w:cs="Times New Roman"/>
        </w:rPr>
        <w:t xml:space="preserve">  </w:t>
      </w:r>
      <w:r>
        <w:rPr>
          <w:rFonts w:hint="default" w:ascii="Times New Roman" w:hAnsi="Times New Roman" w:cs="Times New Roman"/>
        </w:rPr>
        <w:t>制定检修维护制度，定期对再生水设施进行巡查和维护，密切关注嗅味、色度、浊度等指标，发现问题及时联系供水企业。</w:t>
      </w:r>
    </w:p>
    <w:p w14:paraId="517441A0">
      <w:pPr>
        <w:spacing w:line="400" w:lineRule="exact"/>
        <w:outlineLvl w:val="1"/>
        <w:rPr>
          <w:rFonts w:hint="default" w:ascii="Times New Roman" w:hAnsi="Times New Roman" w:cs="Times New Roman"/>
        </w:rPr>
      </w:pPr>
      <w:r>
        <w:rPr>
          <w:rFonts w:hint="default" w:ascii="Times New Roman" w:hAnsi="Times New Roman" w:eastAsia="黑体" w:cs="Times New Roman"/>
          <w:b/>
          <w:bCs/>
        </w:rPr>
        <w:t>9.6</w:t>
      </w:r>
      <w:r>
        <w:rPr>
          <w:rFonts w:hint="default" w:ascii="Times New Roman" w:hAnsi="Times New Roman" w:eastAsia="黑体" w:cs="Times New Roman"/>
        </w:rPr>
        <w:t xml:space="preserve">  </w:t>
      </w:r>
      <w:r>
        <w:rPr>
          <w:rFonts w:hint="default" w:ascii="Times New Roman" w:hAnsi="Times New Roman" w:cs="Times New Roman"/>
        </w:rPr>
        <w:t>自建再生水深度处理设施的运行维护人员应依据法律法规，由市节水管理部门培训并考核合格后，持证上岗。建立明确的岗位责任制，各工种、岗位应按工艺特征要求制订相应的安全操作规程</w:t>
      </w:r>
      <w:r>
        <w:rPr>
          <w:rFonts w:hint="eastAsia" w:cs="Times New Roman"/>
          <w:lang w:eastAsia="zh-CN"/>
        </w:rPr>
        <w:t>，</w:t>
      </w:r>
      <w:r>
        <w:rPr>
          <w:rFonts w:hint="default" w:ascii="Times New Roman" w:hAnsi="Times New Roman" w:cs="Times New Roman"/>
        </w:rPr>
        <w:t>定期对全员进行安全考核，建立奖惩机制。</w:t>
      </w:r>
    </w:p>
    <w:p w14:paraId="30CEBAA7">
      <w:pPr>
        <w:spacing w:line="400" w:lineRule="exact"/>
        <w:outlineLvl w:val="1"/>
        <w:rPr>
          <w:rFonts w:hint="default" w:ascii="Times New Roman" w:hAnsi="Times New Roman" w:cs="Times New Roman"/>
        </w:rPr>
      </w:pPr>
      <w:r>
        <w:rPr>
          <w:rFonts w:hint="default" w:ascii="Times New Roman" w:hAnsi="Times New Roman" w:eastAsia="黑体" w:cs="Times New Roman"/>
          <w:b/>
          <w:bCs/>
        </w:rPr>
        <w:t>9.7</w:t>
      </w:r>
      <w:r>
        <w:rPr>
          <w:rFonts w:hint="default" w:ascii="Times New Roman" w:hAnsi="Times New Roman" w:eastAsia="黑体" w:cs="Times New Roman"/>
        </w:rPr>
        <w:t xml:space="preserve">  </w:t>
      </w:r>
      <w:r>
        <w:rPr>
          <w:rFonts w:hint="default" w:ascii="Times New Roman" w:hAnsi="Times New Roman" w:cs="Times New Roman"/>
        </w:rPr>
        <w:t>建立健全再生水利用档案管理制度，所有程序和过程进行全面准确的记录、备份和归档。</w:t>
      </w:r>
    </w:p>
    <w:p w14:paraId="1F2ADE69">
      <w:pPr>
        <w:pStyle w:val="2"/>
        <w:spacing w:before="156" w:beforeLines="50" w:after="156" w:afterLines="50" w:line="460" w:lineRule="exact"/>
        <w:rPr>
          <w:rFonts w:hint="default" w:ascii="Times New Roman" w:hAnsi="Times New Roman" w:eastAsia="黑体" w:cs="Times New Roman"/>
          <w:b w:val="0"/>
          <w:kern w:val="0"/>
          <w:sz w:val="21"/>
          <w:szCs w:val="24"/>
        </w:rPr>
      </w:pPr>
      <w:bookmarkStart w:id="29" w:name="_Toc7256"/>
      <w:r>
        <w:rPr>
          <w:rFonts w:hint="default" w:ascii="Times New Roman" w:hAnsi="Times New Roman" w:eastAsia="黑体" w:cs="Times New Roman"/>
          <w:b w:val="0"/>
          <w:kern w:val="0"/>
          <w:sz w:val="21"/>
          <w:szCs w:val="24"/>
        </w:rPr>
        <w:t>10  应急管理</w:t>
      </w:r>
      <w:bookmarkEnd w:id="29"/>
    </w:p>
    <w:p w14:paraId="7014539C">
      <w:pPr>
        <w:spacing w:line="400" w:lineRule="exact"/>
        <w:outlineLvl w:val="1"/>
        <w:rPr>
          <w:rFonts w:hint="default" w:ascii="Times New Roman" w:hAnsi="Times New Roman" w:eastAsia="黑体" w:cs="Times New Roman"/>
        </w:rPr>
      </w:pPr>
      <w:r>
        <w:rPr>
          <w:rFonts w:hint="default" w:ascii="Times New Roman" w:hAnsi="Times New Roman" w:eastAsia="黑体" w:cs="Times New Roman"/>
          <w:b/>
          <w:bCs/>
        </w:rPr>
        <w:t>10.1</w:t>
      </w:r>
      <w:r>
        <w:rPr>
          <w:rFonts w:hint="default" w:ascii="Times New Roman" w:hAnsi="Times New Roman" w:eastAsia="黑体" w:cs="Times New Roman"/>
        </w:rPr>
        <w:t xml:space="preserve">  应根据再生水管网运行维护安全和突发事件可能造成影响的程度建立分级处置制度。</w:t>
      </w:r>
    </w:p>
    <w:p w14:paraId="5ED234BD">
      <w:pPr>
        <w:spacing w:line="400" w:lineRule="exact"/>
        <w:outlineLvl w:val="1"/>
        <w:rPr>
          <w:rFonts w:hint="default" w:ascii="Times New Roman" w:hAnsi="Times New Roman" w:cs="Times New Roman"/>
        </w:rPr>
      </w:pPr>
      <w:r>
        <w:rPr>
          <w:rFonts w:hint="default" w:ascii="Times New Roman" w:hAnsi="Times New Roman" w:eastAsia="黑体" w:cs="Times New Roman"/>
          <w:b/>
          <w:bCs/>
        </w:rPr>
        <w:t>10.2</w:t>
      </w:r>
      <w:r>
        <w:rPr>
          <w:rFonts w:hint="default" w:ascii="Times New Roman" w:hAnsi="Times New Roman" w:eastAsia="黑体" w:cs="Times New Roman"/>
        </w:rPr>
        <w:t xml:space="preserve">  </w:t>
      </w:r>
      <w:r>
        <w:rPr>
          <w:rFonts w:hint="default" w:ascii="Times New Roman" w:hAnsi="Times New Roman" w:cs="Times New Roman"/>
        </w:rPr>
        <w:t>供水企业和用户宜建立沟通联动机制，并针对传染病暴发、串接、水质异常等可能存在的事故和风险制定并及时启动应急预案。并按规定程序报批。</w:t>
      </w:r>
    </w:p>
    <w:p w14:paraId="3C7545BA">
      <w:pPr>
        <w:spacing w:line="400" w:lineRule="exact"/>
        <w:outlineLvl w:val="1"/>
        <w:rPr>
          <w:rFonts w:hint="default" w:ascii="Times New Roman" w:hAnsi="Times New Roman" w:cs="Times New Roman"/>
        </w:rPr>
      </w:pPr>
      <w:r>
        <w:rPr>
          <w:rFonts w:hint="default" w:ascii="Times New Roman" w:hAnsi="Times New Roman" w:eastAsia="黑体" w:cs="Times New Roman"/>
          <w:b/>
          <w:bCs/>
        </w:rPr>
        <w:t>10.3</w:t>
      </w:r>
      <w:r>
        <w:rPr>
          <w:rFonts w:hint="default" w:ascii="Times New Roman" w:hAnsi="Times New Roman" w:eastAsia="黑体" w:cs="Times New Roman"/>
        </w:rPr>
        <w:t xml:space="preserve">  </w:t>
      </w:r>
      <w:r>
        <w:rPr>
          <w:rFonts w:hint="default" w:ascii="Times New Roman" w:hAnsi="Times New Roman" w:cs="Times New Roman"/>
        </w:rPr>
        <w:t>供水企业应急预案至少包括对紧急事件的界定、应急预案的启动程序、相关部门和人员的职责、与相关部门和机构及用户的联络、停产安排、不符合标准的再生水的处置方法等。</w:t>
      </w:r>
    </w:p>
    <w:p w14:paraId="31276EF8">
      <w:pPr>
        <w:spacing w:line="400" w:lineRule="exact"/>
        <w:outlineLvl w:val="1"/>
        <w:rPr>
          <w:rFonts w:hint="default" w:ascii="Times New Roman" w:hAnsi="Times New Roman" w:cs="Times New Roman"/>
        </w:rPr>
      </w:pPr>
      <w:r>
        <w:rPr>
          <w:rFonts w:hint="default" w:ascii="Times New Roman" w:hAnsi="Times New Roman" w:eastAsia="黑体" w:cs="Times New Roman"/>
          <w:b/>
          <w:bCs/>
        </w:rPr>
        <w:t>10.4</w:t>
      </w:r>
      <w:r>
        <w:rPr>
          <w:rFonts w:hint="default" w:ascii="Times New Roman" w:hAnsi="Times New Roman" w:eastAsia="黑体" w:cs="Times New Roman"/>
        </w:rPr>
        <w:t xml:space="preserve">  </w:t>
      </w:r>
      <w:r>
        <w:rPr>
          <w:rFonts w:hint="default" w:ascii="Times New Roman" w:hAnsi="Times New Roman" w:cs="Times New Roman"/>
        </w:rPr>
        <w:t>用户应急预案至少包括应急预案的启动程序、事故风险分析、相关部门和人员的职责、处置措施等，处置措施中应明确备用水源等重要事项。</w:t>
      </w:r>
    </w:p>
    <w:p w14:paraId="45AFA147">
      <w:pPr>
        <w:spacing w:line="400" w:lineRule="exact"/>
        <w:outlineLvl w:val="1"/>
        <w:rPr>
          <w:rFonts w:hint="default" w:ascii="Times New Roman" w:hAnsi="Times New Roman" w:cs="Times New Roman"/>
        </w:rPr>
      </w:pPr>
      <w:r>
        <w:rPr>
          <w:rFonts w:hint="default" w:ascii="Times New Roman" w:hAnsi="Times New Roman" w:eastAsia="黑体" w:cs="Times New Roman"/>
          <w:b/>
          <w:bCs/>
        </w:rPr>
        <w:t>10.5</w:t>
      </w:r>
      <w:r>
        <w:rPr>
          <w:rFonts w:hint="default" w:ascii="Times New Roman" w:hAnsi="Times New Roman" w:eastAsia="黑体" w:cs="Times New Roman"/>
        </w:rPr>
        <w:t xml:space="preserve">  </w:t>
      </w:r>
      <w:r>
        <w:rPr>
          <w:rFonts w:hint="default" w:ascii="Times New Roman" w:hAnsi="Times New Roman" w:cs="Times New Roman"/>
        </w:rPr>
        <w:t>当发生爆管、破损等突发事件时，应迅速关阀止水，组织应急抢修。</w:t>
      </w:r>
    </w:p>
    <w:p w14:paraId="7B78E2C5">
      <w:pPr>
        <w:spacing w:line="400" w:lineRule="exact"/>
        <w:outlineLvl w:val="1"/>
        <w:rPr>
          <w:rFonts w:hint="default" w:ascii="Times New Roman" w:hAnsi="Times New Roman" w:cs="Times New Roman"/>
        </w:rPr>
      </w:pPr>
      <w:r>
        <w:rPr>
          <w:rFonts w:hint="default" w:ascii="Times New Roman" w:hAnsi="Times New Roman" w:eastAsia="黑体" w:cs="Times New Roman"/>
          <w:b/>
          <w:bCs/>
        </w:rPr>
        <w:t>10.6</w:t>
      </w:r>
      <w:r>
        <w:rPr>
          <w:rFonts w:hint="default" w:ascii="Times New Roman" w:hAnsi="Times New Roman" w:eastAsia="黑体" w:cs="Times New Roman"/>
        </w:rPr>
        <w:t xml:space="preserve">  </w:t>
      </w:r>
      <w:r>
        <w:rPr>
          <w:rFonts w:hint="default" w:ascii="Times New Roman" w:hAnsi="Times New Roman" w:cs="Times New Roman"/>
        </w:rPr>
        <w:t>因突发事件和工程施工、设备维修等原因需要停止供水时，供水企业提前通知用户。</w:t>
      </w:r>
    </w:p>
    <w:p w14:paraId="51B5550D">
      <w:pPr>
        <w:spacing w:line="400" w:lineRule="exact"/>
        <w:outlineLvl w:val="1"/>
        <w:rPr>
          <w:rFonts w:hint="default" w:ascii="Times New Roman" w:hAnsi="Times New Roman" w:cs="Times New Roman"/>
        </w:rPr>
      </w:pPr>
      <w:r>
        <w:rPr>
          <w:rFonts w:hint="default" w:ascii="Times New Roman" w:hAnsi="Times New Roman" w:eastAsia="黑体" w:cs="Times New Roman"/>
          <w:b/>
          <w:bCs/>
        </w:rPr>
        <w:t>10.7</w:t>
      </w:r>
      <w:r>
        <w:rPr>
          <w:rFonts w:hint="default" w:ascii="Times New Roman" w:hAnsi="Times New Roman" w:eastAsia="黑体" w:cs="Times New Roman"/>
        </w:rPr>
        <w:t xml:space="preserve">  </w:t>
      </w:r>
      <w:r>
        <w:rPr>
          <w:rFonts w:hint="default" w:ascii="Times New Roman" w:hAnsi="Times New Roman" w:cs="Times New Roman"/>
        </w:rPr>
        <w:t>因进行管道维修、抢修实行计划停水后，如工程未能按时完工，应启动停水区域应急供水方案。</w:t>
      </w:r>
    </w:p>
    <w:p w14:paraId="6A496832">
      <w:pPr>
        <w:spacing w:line="400" w:lineRule="exact"/>
        <w:rPr>
          <w:rFonts w:hint="default" w:ascii="Times New Roman" w:hAnsi="Times New Roman" w:cs="Times New Roman"/>
        </w:rPr>
      </w:pPr>
      <w:r>
        <w:rPr>
          <w:rFonts w:hint="default" w:ascii="Times New Roman" w:hAnsi="Times New Roman" w:eastAsia="黑体" w:cs="Times New Roman"/>
          <w:b/>
          <w:bCs/>
        </w:rPr>
        <w:t>10.8</w:t>
      </w:r>
      <w:r>
        <w:rPr>
          <w:rFonts w:hint="default" w:ascii="Times New Roman" w:hAnsi="Times New Roman" w:eastAsia="黑体" w:cs="Times New Roman"/>
        </w:rPr>
        <w:t xml:space="preserve">  </w:t>
      </w:r>
      <w:r>
        <w:rPr>
          <w:rFonts w:hint="default" w:ascii="Times New Roman" w:hAnsi="Times New Roman" w:cs="Times New Roman"/>
        </w:rPr>
        <w:t>重大及以上突发事件发生后应对事件的发生原因和处置情况进行评估，编制事件分析报告。</w:t>
      </w:r>
    </w:p>
    <w:p w14:paraId="3D7A68E6">
      <w:pPr>
        <w:rPr>
          <w:rFonts w:hint="default" w:ascii="Times New Roman" w:hAnsi="Times New Roman" w:cs="Times New Roman"/>
        </w:rPr>
      </w:pPr>
      <w:r>
        <w:rPr>
          <w:rFonts w:hint="default" w:ascii="Times New Roman" w:hAnsi="Times New Roman" w:cs="Times New Roman"/>
        </w:rPr>
        <w:br w:type="page"/>
      </w:r>
    </w:p>
    <w:p w14:paraId="49EC78FE">
      <w:pPr>
        <w:autoSpaceDE w:val="0"/>
        <w:autoSpaceDN w:val="0"/>
        <w:spacing w:before="72"/>
        <w:ind w:left="23" w:right="723"/>
        <w:jc w:val="center"/>
        <w:outlineLvl w:val="0"/>
        <w:rPr>
          <w:rFonts w:hint="default" w:ascii="Times New Roman" w:hAnsi="Times New Roman" w:eastAsia="黑体" w:cs="Times New Roman"/>
          <w:szCs w:val="21"/>
        </w:rPr>
      </w:pPr>
      <w:r>
        <w:rPr>
          <w:rFonts w:hint="default" w:ascii="Times New Roman" w:hAnsi="Times New Roman" w:eastAsia="黑体" w:cs="Times New Roman"/>
          <w:szCs w:val="21"/>
        </w:rPr>
        <w:t>附  录 A</w:t>
      </w:r>
    </w:p>
    <w:p w14:paraId="4F031C8E">
      <w:pPr>
        <w:autoSpaceDE w:val="0"/>
        <w:autoSpaceDN w:val="0"/>
        <w:spacing w:before="45"/>
        <w:ind w:left="23" w:right="623"/>
        <w:jc w:val="center"/>
        <w:outlineLvl w:val="0"/>
        <w:rPr>
          <w:rFonts w:hint="default" w:ascii="Times New Roman" w:hAnsi="Times New Roman" w:eastAsia="黑体" w:cs="Times New Roman"/>
          <w:szCs w:val="21"/>
        </w:rPr>
      </w:pPr>
      <w:r>
        <w:rPr>
          <w:rFonts w:hint="default" w:ascii="Times New Roman" w:hAnsi="Times New Roman" w:eastAsia="黑体" w:cs="Times New Roman"/>
          <w:szCs w:val="21"/>
        </w:rPr>
        <w:t>（资料性）</w:t>
      </w:r>
    </w:p>
    <w:p w14:paraId="642EF525">
      <w:pPr>
        <w:autoSpaceDE w:val="0"/>
        <w:autoSpaceDN w:val="0"/>
        <w:spacing w:before="43"/>
        <w:ind w:left="23" w:right="621"/>
        <w:jc w:val="center"/>
        <w:outlineLvl w:val="0"/>
        <w:rPr>
          <w:rFonts w:hint="default" w:ascii="Times New Roman" w:hAnsi="Times New Roman" w:eastAsia="黑体" w:cs="Times New Roman"/>
          <w:szCs w:val="21"/>
        </w:rPr>
      </w:pPr>
      <w:r>
        <w:rPr>
          <w:rFonts w:hint="default" w:ascii="Times New Roman" w:hAnsi="Times New Roman" w:eastAsia="黑体" w:cs="Times New Roman"/>
          <w:szCs w:val="21"/>
        </w:rPr>
        <w:t>再生水市政杂用水质控制项目与限值</w:t>
      </w:r>
    </w:p>
    <w:p w14:paraId="2A61A5FA">
      <w:pPr>
        <w:autoSpaceDE w:val="0"/>
        <w:autoSpaceDN w:val="0"/>
        <w:spacing w:before="3"/>
        <w:jc w:val="left"/>
        <w:rPr>
          <w:rFonts w:hint="default" w:ascii="Times New Roman" w:hAnsi="Times New Roman" w:cs="Times New Roman"/>
          <w:sz w:val="17"/>
          <w:szCs w:val="21"/>
        </w:rPr>
      </w:pPr>
    </w:p>
    <w:p w14:paraId="2C0C6DEE">
      <w:pPr>
        <w:autoSpaceDE w:val="0"/>
        <w:autoSpaceDN w:val="0"/>
        <w:ind w:left="112"/>
        <w:jc w:val="left"/>
        <w:rPr>
          <w:rFonts w:hint="default" w:ascii="Times New Roman" w:hAnsi="Times New Roman" w:cs="Times New Roman"/>
          <w:szCs w:val="21"/>
        </w:rPr>
      </w:pPr>
      <w:r>
        <w:rPr>
          <w:rFonts w:hint="default" w:ascii="Times New Roman" w:hAnsi="Times New Roman" w:cs="Times New Roman"/>
          <w:szCs w:val="21"/>
        </w:rPr>
        <w:t xml:space="preserve">再生水市政杂用水质基本控制项目与限值见表 A.1。 </w:t>
      </w:r>
    </w:p>
    <w:bookmarkEnd w:id="5"/>
    <w:p w14:paraId="71592816">
      <w:pPr>
        <w:spacing w:before="156" w:beforeLines="50" w:after="156" w:afterLines="50" w:line="400" w:lineRule="exact"/>
        <w:jc w:val="center"/>
        <w:outlineLvl w:val="1"/>
        <w:rPr>
          <w:rFonts w:hint="default" w:ascii="Times New Roman" w:hAnsi="Times New Roman" w:eastAsia="黑体" w:cs="Times New Roman"/>
          <w:b/>
          <w:szCs w:val="21"/>
        </w:rPr>
      </w:pPr>
      <w:bookmarkStart w:id="30" w:name="_Toc99720430"/>
      <w:bookmarkStart w:id="31" w:name="_Toc99721403"/>
      <w:bookmarkStart w:id="32" w:name="_Toc104561544"/>
      <w:bookmarkStart w:id="33" w:name="_Toc99720187"/>
      <w:bookmarkStart w:id="34" w:name="SectionMark5"/>
      <w:r>
        <w:rPr>
          <w:rFonts w:hint="default" w:ascii="Times New Roman" w:hAnsi="Times New Roman" w:eastAsia="黑体" w:cs="Times New Roman"/>
          <w:b/>
          <w:szCs w:val="21"/>
        </w:rPr>
        <w:t xml:space="preserve">表1  </w:t>
      </w:r>
      <w:bookmarkEnd w:id="30"/>
      <w:bookmarkEnd w:id="31"/>
      <w:bookmarkEnd w:id="32"/>
      <w:bookmarkEnd w:id="33"/>
      <w:r>
        <w:rPr>
          <w:rFonts w:hint="default" w:ascii="Times New Roman" w:hAnsi="Times New Roman" w:eastAsia="黑体" w:cs="Times New Roman"/>
          <w:b/>
          <w:szCs w:val="21"/>
        </w:rPr>
        <w:t>再生水市政杂用水质基本控制项目与限值</w:t>
      </w:r>
    </w:p>
    <w:tbl>
      <w:tblPr>
        <w:tblStyle w:val="74"/>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700"/>
        <w:gridCol w:w="3133"/>
        <w:gridCol w:w="1848"/>
        <w:gridCol w:w="1850"/>
        <w:gridCol w:w="1844"/>
      </w:tblGrid>
      <w:tr w14:paraId="12A35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5" w:hRule="atLeast"/>
          <w:jc w:val="center"/>
        </w:trPr>
        <w:tc>
          <w:tcPr>
            <w:tcW w:w="364" w:type="pct"/>
            <w:tcBorders>
              <w:right w:val="single" w:color="000000" w:sz="4" w:space="0"/>
            </w:tcBorders>
            <w:vAlign w:val="center"/>
          </w:tcPr>
          <w:p w14:paraId="77DB7024">
            <w:pPr>
              <w:pStyle w:val="182"/>
              <w:spacing w:before="11"/>
              <w:jc w:val="left"/>
              <w:rPr>
                <w:rFonts w:hint="default" w:ascii="Times New Roman" w:hAnsi="Times New Roman" w:cs="Times New Roman"/>
                <w:sz w:val="12"/>
              </w:rPr>
            </w:pPr>
          </w:p>
          <w:p w14:paraId="61991805">
            <w:pPr>
              <w:pStyle w:val="182"/>
              <w:spacing w:before="0"/>
              <w:ind w:right="148"/>
              <w:jc w:val="right"/>
              <w:rPr>
                <w:rFonts w:hint="default" w:ascii="Times New Roman" w:hAnsi="Times New Roman" w:cs="Times New Roman"/>
                <w:sz w:val="18"/>
              </w:rPr>
            </w:pPr>
            <w:r>
              <w:rPr>
                <w:rFonts w:hint="default" w:ascii="Times New Roman" w:hAnsi="Times New Roman" w:cs="Times New Roman"/>
                <w:sz w:val="18"/>
              </w:rPr>
              <w:t>序号</w:t>
            </w:r>
          </w:p>
        </w:tc>
        <w:tc>
          <w:tcPr>
            <w:tcW w:w="1629" w:type="pct"/>
            <w:tcBorders>
              <w:left w:val="single" w:color="000000" w:sz="4" w:space="0"/>
              <w:right w:val="single" w:color="000000" w:sz="4" w:space="0"/>
            </w:tcBorders>
            <w:vAlign w:val="center"/>
          </w:tcPr>
          <w:p w14:paraId="5ED3F8C9">
            <w:pPr>
              <w:pStyle w:val="182"/>
              <w:keepNext w:val="0"/>
              <w:keepLines w:val="0"/>
              <w:pageBreakBefore w:val="0"/>
              <w:widowControl w:val="0"/>
              <w:kinsoku/>
              <w:wordWrap/>
              <w:overflowPunct/>
              <w:topLinePunct w:val="0"/>
              <w:autoSpaceDE/>
              <w:autoSpaceDN/>
              <w:bidi w:val="0"/>
              <w:adjustRightInd/>
              <w:snapToGrid/>
              <w:spacing w:before="0"/>
              <w:ind w:right="219"/>
              <w:jc w:val="center"/>
              <w:textAlignment w:val="auto"/>
              <w:rPr>
                <w:rFonts w:hint="default" w:ascii="Times New Roman" w:hAnsi="Times New Roman" w:cs="Times New Roman"/>
                <w:sz w:val="18"/>
              </w:rPr>
            </w:pPr>
            <w:r>
              <w:rPr>
                <w:rFonts w:hint="default" w:ascii="Times New Roman" w:hAnsi="Times New Roman" w:cs="Times New Roman"/>
                <w:sz w:val="18"/>
              </w:rPr>
              <w:t>项目</w:t>
            </w:r>
          </w:p>
        </w:tc>
        <w:tc>
          <w:tcPr>
            <w:tcW w:w="961" w:type="pct"/>
            <w:tcBorders>
              <w:left w:val="single" w:color="000000" w:sz="4" w:space="0"/>
              <w:right w:val="single" w:color="000000" w:sz="4" w:space="0"/>
            </w:tcBorders>
            <w:vAlign w:val="center"/>
          </w:tcPr>
          <w:p w14:paraId="7AD4A4E1">
            <w:pPr>
              <w:pStyle w:val="182"/>
              <w:keepNext w:val="0"/>
              <w:keepLines w:val="0"/>
              <w:pageBreakBefore w:val="0"/>
              <w:widowControl w:val="0"/>
              <w:kinsoku/>
              <w:wordWrap/>
              <w:overflowPunct/>
              <w:topLinePunct w:val="0"/>
              <w:autoSpaceDE/>
              <w:autoSpaceDN/>
              <w:bidi w:val="0"/>
              <w:adjustRightInd/>
              <w:snapToGrid/>
              <w:spacing w:before="0"/>
              <w:ind w:right="256"/>
              <w:jc w:val="center"/>
              <w:textAlignment w:val="auto"/>
              <w:rPr>
                <w:rFonts w:hint="default" w:ascii="Times New Roman" w:hAnsi="Times New Roman" w:cs="Times New Roman"/>
                <w:sz w:val="18"/>
              </w:rPr>
            </w:pPr>
            <w:r>
              <w:rPr>
                <w:rFonts w:hint="default" w:ascii="Times New Roman" w:hAnsi="Times New Roman" w:cs="Times New Roman"/>
                <w:sz w:val="18"/>
              </w:rPr>
              <w:t>冲厕、车辆冲洗</w:t>
            </w:r>
          </w:p>
        </w:tc>
        <w:tc>
          <w:tcPr>
            <w:tcW w:w="962" w:type="pct"/>
            <w:tcBorders>
              <w:left w:val="single" w:color="000000" w:sz="4" w:space="0"/>
              <w:right w:val="single" w:color="000000" w:sz="4" w:space="0"/>
            </w:tcBorders>
            <w:vAlign w:val="center"/>
          </w:tcPr>
          <w:p w14:paraId="0FBB8578">
            <w:pPr>
              <w:pStyle w:val="182"/>
              <w:keepNext w:val="0"/>
              <w:keepLines w:val="0"/>
              <w:pageBreakBefore w:val="0"/>
              <w:widowControl w:val="0"/>
              <w:kinsoku/>
              <w:wordWrap/>
              <w:overflowPunct/>
              <w:topLinePunct w:val="0"/>
              <w:autoSpaceDE/>
              <w:autoSpaceDN/>
              <w:bidi w:val="0"/>
              <w:adjustRightInd/>
              <w:snapToGrid/>
              <w:spacing w:before="0"/>
              <w:jc w:val="center"/>
              <w:textAlignment w:val="auto"/>
              <w:rPr>
                <w:rFonts w:hint="default" w:ascii="Times New Roman" w:hAnsi="Times New Roman" w:cs="Times New Roman"/>
                <w:sz w:val="18"/>
              </w:rPr>
            </w:pPr>
            <w:r>
              <w:rPr>
                <w:rFonts w:hint="default" w:ascii="Times New Roman" w:hAnsi="Times New Roman" w:cs="Times New Roman"/>
                <w:sz w:val="18"/>
              </w:rPr>
              <w:t>城市绿化</w:t>
            </w:r>
            <w:r>
              <w:rPr>
                <w:rFonts w:hint="default" w:ascii="Times New Roman" w:hAnsi="Times New Roman" w:cs="Times New Roman"/>
                <w:sz w:val="18"/>
                <w:lang w:eastAsia="zh-CN"/>
              </w:rPr>
              <w:t>、</w:t>
            </w:r>
            <w:r>
              <w:rPr>
                <w:rFonts w:hint="default" w:ascii="Times New Roman" w:hAnsi="Times New Roman" w:cs="Times New Roman"/>
                <w:sz w:val="18"/>
              </w:rPr>
              <w:t>道路清扫</w:t>
            </w:r>
            <w:r>
              <w:rPr>
                <w:rFonts w:hint="default" w:ascii="Times New Roman" w:hAnsi="Times New Roman" w:cs="Times New Roman"/>
                <w:sz w:val="18"/>
                <w:lang w:eastAsia="zh-CN"/>
              </w:rPr>
              <w:t>、消防</w:t>
            </w:r>
          </w:p>
        </w:tc>
        <w:tc>
          <w:tcPr>
            <w:tcW w:w="956" w:type="pct"/>
            <w:tcBorders>
              <w:left w:val="single" w:color="000000" w:sz="4" w:space="0"/>
            </w:tcBorders>
            <w:vAlign w:val="center"/>
          </w:tcPr>
          <w:p w14:paraId="310AB217">
            <w:pPr>
              <w:pStyle w:val="182"/>
              <w:keepNext w:val="0"/>
              <w:keepLines w:val="0"/>
              <w:pageBreakBefore w:val="0"/>
              <w:widowControl w:val="0"/>
              <w:kinsoku/>
              <w:wordWrap/>
              <w:overflowPunct/>
              <w:topLinePunct w:val="0"/>
              <w:autoSpaceDE/>
              <w:autoSpaceDN/>
              <w:bidi w:val="0"/>
              <w:adjustRightInd/>
              <w:snapToGrid/>
              <w:spacing w:before="0"/>
              <w:jc w:val="center"/>
              <w:textAlignment w:val="auto"/>
              <w:rPr>
                <w:rFonts w:hint="default" w:ascii="Times New Roman" w:hAnsi="Times New Roman" w:eastAsia="宋体" w:cs="Times New Roman"/>
                <w:sz w:val="18"/>
                <w:lang w:eastAsia="zh-CN"/>
              </w:rPr>
            </w:pPr>
            <w:r>
              <w:rPr>
                <w:rFonts w:hint="default" w:ascii="Times New Roman" w:hAnsi="Times New Roman" w:cs="Times New Roman"/>
                <w:sz w:val="18"/>
                <w:lang w:eastAsia="zh-CN"/>
              </w:rPr>
              <w:t>建筑施工</w:t>
            </w:r>
          </w:p>
        </w:tc>
      </w:tr>
      <w:tr w14:paraId="01E59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364" w:type="pct"/>
            <w:tcBorders>
              <w:bottom w:val="single" w:color="000000" w:sz="4" w:space="0"/>
              <w:right w:val="single" w:color="000000" w:sz="4" w:space="0"/>
            </w:tcBorders>
          </w:tcPr>
          <w:p w14:paraId="15C82CD1">
            <w:pPr>
              <w:pStyle w:val="182"/>
              <w:ind w:right="191"/>
              <w:jc w:val="right"/>
              <w:rPr>
                <w:rFonts w:hint="default" w:ascii="Times New Roman" w:hAnsi="Times New Roman" w:cs="Times New Roman"/>
                <w:sz w:val="18"/>
              </w:rPr>
            </w:pPr>
            <w:r>
              <w:rPr>
                <w:rFonts w:hint="default" w:ascii="Times New Roman" w:hAnsi="Times New Roman" w:cs="Times New Roman"/>
                <w:sz w:val="18"/>
              </w:rPr>
              <w:t xml:space="preserve">1 </w:t>
            </w:r>
          </w:p>
        </w:tc>
        <w:tc>
          <w:tcPr>
            <w:tcW w:w="1629" w:type="pct"/>
            <w:tcBorders>
              <w:left w:val="single" w:color="000000" w:sz="4" w:space="0"/>
              <w:bottom w:val="single" w:color="000000" w:sz="4" w:space="0"/>
              <w:right w:val="single" w:color="000000" w:sz="4" w:space="0"/>
            </w:tcBorders>
          </w:tcPr>
          <w:p w14:paraId="06578DF8">
            <w:pPr>
              <w:pStyle w:val="182"/>
              <w:ind w:left="330" w:right="219"/>
              <w:rPr>
                <w:rFonts w:hint="default" w:ascii="Times New Roman" w:hAnsi="Times New Roman" w:cs="Times New Roman"/>
                <w:sz w:val="18"/>
              </w:rPr>
            </w:pPr>
            <w:r>
              <w:rPr>
                <w:rFonts w:hint="default" w:ascii="Times New Roman" w:hAnsi="Times New Roman" w:cs="Times New Roman"/>
                <w:sz w:val="18"/>
              </w:rPr>
              <w:t xml:space="preserve">pH </w:t>
            </w:r>
          </w:p>
        </w:tc>
        <w:tc>
          <w:tcPr>
            <w:tcW w:w="961" w:type="pct"/>
            <w:tcBorders>
              <w:left w:val="single" w:color="000000" w:sz="4" w:space="0"/>
              <w:bottom w:val="single" w:color="000000" w:sz="4" w:space="0"/>
              <w:right w:val="single" w:color="000000" w:sz="4" w:space="0"/>
            </w:tcBorders>
          </w:tcPr>
          <w:p w14:paraId="142DD2D3">
            <w:pPr>
              <w:pStyle w:val="182"/>
              <w:ind w:left="275" w:right="169"/>
              <w:rPr>
                <w:rFonts w:hint="default" w:ascii="Times New Roman" w:hAnsi="Times New Roman" w:cs="Times New Roman"/>
                <w:sz w:val="18"/>
              </w:rPr>
            </w:pPr>
            <w:r>
              <w:rPr>
                <w:rFonts w:hint="default" w:ascii="Times New Roman" w:hAnsi="Times New Roman" w:cs="Times New Roman"/>
                <w:sz w:val="18"/>
              </w:rPr>
              <w:t xml:space="preserve">6.0～9.0 </w:t>
            </w:r>
          </w:p>
        </w:tc>
        <w:tc>
          <w:tcPr>
            <w:tcW w:w="962" w:type="pct"/>
            <w:tcBorders>
              <w:left w:val="single" w:color="000000" w:sz="4" w:space="0"/>
              <w:bottom w:val="single" w:color="000000" w:sz="4" w:space="0"/>
              <w:right w:val="single" w:color="000000" w:sz="4" w:space="0"/>
            </w:tcBorders>
          </w:tcPr>
          <w:p w14:paraId="70D5CA9D">
            <w:pPr>
              <w:pStyle w:val="182"/>
              <w:ind w:left="566"/>
              <w:jc w:val="left"/>
              <w:rPr>
                <w:rFonts w:hint="default" w:ascii="Times New Roman" w:hAnsi="Times New Roman" w:cs="Times New Roman"/>
                <w:sz w:val="18"/>
              </w:rPr>
            </w:pPr>
            <w:r>
              <w:rPr>
                <w:rFonts w:hint="default" w:ascii="Times New Roman" w:hAnsi="Times New Roman" w:cs="Times New Roman"/>
                <w:sz w:val="18"/>
              </w:rPr>
              <w:t xml:space="preserve">6.0～9.0 </w:t>
            </w:r>
          </w:p>
        </w:tc>
        <w:tc>
          <w:tcPr>
            <w:tcW w:w="956" w:type="pct"/>
            <w:tcBorders>
              <w:left w:val="single" w:color="000000" w:sz="4" w:space="0"/>
              <w:bottom w:val="single" w:color="000000" w:sz="4" w:space="0"/>
            </w:tcBorders>
          </w:tcPr>
          <w:p w14:paraId="3098922C">
            <w:pPr>
              <w:pStyle w:val="182"/>
              <w:ind w:left="556"/>
              <w:jc w:val="left"/>
              <w:rPr>
                <w:rFonts w:hint="default" w:ascii="Times New Roman" w:hAnsi="Times New Roman" w:cs="Times New Roman"/>
                <w:sz w:val="18"/>
              </w:rPr>
            </w:pPr>
            <w:r>
              <w:rPr>
                <w:rFonts w:hint="default" w:ascii="Times New Roman" w:hAnsi="Times New Roman" w:cs="Times New Roman"/>
                <w:sz w:val="18"/>
              </w:rPr>
              <w:t xml:space="preserve">6.0～9.0 </w:t>
            </w:r>
          </w:p>
        </w:tc>
      </w:tr>
      <w:tr w14:paraId="394FF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364" w:type="pct"/>
            <w:tcBorders>
              <w:top w:val="single" w:color="000000" w:sz="4" w:space="0"/>
              <w:bottom w:val="single" w:color="000000" w:sz="4" w:space="0"/>
              <w:right w:val="single" w:color="000000" w:sz="4" w:space="0"/>
            </w:tcBorders>
          </w:tcPr>
          <w:p w14:paraId="46D5F1E8">
            <w:pPr>
              <w:pStyle w:val="182"/>
              <w:spacing w:before="81"/>
              <w:ind w:right="191"/>
              <w:jc w:val="right"/>
              <w:rPr>
                <w:rFonts w:hint="default" w:ascii="Times New Roman" w:hAnsi="Times New Roman" w:cs="Times New Roman"/>
                <w:sz w:val="18"/>
              </w:rPr>
            </w:pPr>
            <w:r>
              <w:rPr>
                <w:rFonts w:hint="default" w:ascii="Times New Roman" w:hAnsi="Times New Roman" w:cs="Times New Roman"/>
                <w:sz w:val="18"/>
              </w:rPr>
              <w:t xml:space="preserve">2 </w:t>
            </w:r>
          </w:p>
        </w:tc>
        <w:tc>
          <w:tcPr>
            <w:tcW w:w="1629" w:type="pct"/>
            <w:tcBorders>
              <w:top w:val="single" w:color="000000" w:sz="4" w:space="0"/>
              <w:left w:val="single" w:color="000000" w:sz="4" w:space="0"/>
              <w:bottom w:val="single" w:color="000000" w:sz="4" w:space="0"/>
              <w:right w:val="single" w:color="000000" w:sz="4" w:space="0"/>
            </w:tcBorders>
          </w:tcPr>
          <w:p w14:paraId="3CC6AD36">
            <w:pPr>
              <w:pStyle w:val="182"/>
              <w:spacing w:before="81"/>
              <w:ind w:left="331" w:right="219"/>
              <w:rPr>
                <w:rFonts w:hint="default" w:ascii="Times New Roman" w:hAnsi="Times New Roman" w:cs="Times New Roman"/>
                <w:sz w:val="18"/>
              </w:rPr>
            </w:pPr>
            <w:r>
              <w:rPr>
                <w:rFonts w:hint="default" w:ascii="Times New Roman" w:hAnsi="Times New Roman" w:cs="Times New Roman"/>
                <w:sz w:val="18"/>
              </w:rPr>
              <w:t xml:space="preserve">色度，铂钴色度单位 </w:t>
            </w:r>
          </w:p>
        </w:tc>
        <w:tc>
          <w:tcPr>
            <w:tcW w:w="961" w:type="pct"/>
            <w:tcBorders>
              <w:top w:val="single" w:color="000000" w:sz="4" w:space="0"/>
              <w:left w:val="single" w:color="000000" w:sz="4" w:space="0"/>
              <w:bottom w:val="single" w:color="000000" w:sz="4" w:space="0"/>
              <w:right w:val="single" w:color="000000" w:sz="4" w:space="0"/>
            </w:tcBorders>
          </w:tcPr>
          <w:p w14:paraId="177B53A1">
            <w:pPr>
              <w:pStyle w:val="182"/>
              <w:spacing w:before="81"/>
              <w:ind w:left="275" w:right="169"/>
              <w:rPr>
                <w:rFonts w:hint="default" w:ascii="Times New Roman" w:hAnsi="Times New Roman" w:cs="Times New Roman"/>
                <w:sz w:val="18"/>
              </w:rPr>
            </w:pPr>
            <w:r>
              <w:rPr>
                <w:rFonts w:hint="default" w:ascii="Times New Roman" w:hAnsi="Times New Roman" w:cs="Times New Roman"/>
                <w:sz w:val="18"/>
              </w:rPr>
              <w:t xml:space="preserve">≤15 </w:t>
            </w:r>
          </w:p>
        </w:tc>
        <w:tc>
          <w:tcPr>
            <w:tcW w:w="962" w:type="pct"/>
            <w:tcBorders>
              <w:top w:val="single" w:color="000000" w:sz="4" w:space="0"/>
              <w:left w:val="single" w:color="000000" w:sz="4" w:space="0"/>
              <w:bottom w:val="single" w:color="000000" w:sz="4" w:space="0"/>
              <w:right w:val="single" w:color="000000" w:sz="4" w:space="0"/>
            </w:tcBorders>
          </w:tcPr>
          <w:p w14:paraId="651F65BB">
            <w:pPr>
              <w:pStyle w:val="182"/>
              <w:spacing w:before="81"/>
              <w:ind w:left="140" w:right="32"/>
              <w:rPr>
                <w:rFonts w:hint="default" w:ascii="Times New Roman" w:hAnsi="Times New Roman" w:cs="Times New Roman"/>
                <w:sz w:val="18"/>
              </w:rPr>
            </w:pPr>
            <w:r>
              <w:rPr>
                <w:rFonts w:hint="default" w:ascii="Times New Roman" w:hAnsi="Times New Roman" w:cs="Times New Roman"/>
                <w:sz w:val="18"/>
              </w:rPr>
              <w:t xml:space="preserve">≤30 </w:t>
            </w:r>
          </w:p>
        </w:tc>
        <w:tc>
          <w:tcPr>
            <w:tcW w:w="956" w:type="pct"/>
            <w:tcBorders>
              <w:top w:val="single" w:color="000000" w:sz="4" w:space="0"/>
              <w:left w:val="single" w:color="000000" w:sz="4" w:space="0"/>
              <w:bottom w:val="single" w:color="000000" w:sz="4" w:space="0"/>
            </w:tcBorders>
          </w:tcPr>
          <w:p w14:paraId="35798D22">
            <w:pPr>
              <w:pStyle w:val="182"/>
              <w:spacing w:before="81"/>
              <w:ind w:left="356" w:right="250"/>
              <w:rPr>
                <w:rFonts w:hint="default" w:ascii="Times New Roman" w:hAnsi="Times New Roman" w:cs="Times New Roman"/>
                <w:sz w:val="18"/>
              </w:rPr>
            </w:pPr>
            <w:r>
              <w:rPr>
                <w:rFonts w:hint="default" w:ascii="Times New Roman" w:hAnsi="Times New Roman" w:cs="Times New Roman"/>
                <w:sz w:val="18"/>
              </w:rPr>
              <w:t xml:space="preserve">≤30 </w:t>
            </w:r>
          </w:p>
        </w:tc>
      </w:tr>
      <w:tr w14:paraId="713AD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jc w:val="center"/>
        </w:trPr>
        <w:tc>
          <w:tcPr>
            <w:tcW w:w="364" w:type="pct"/>
            <w:tcBorders>
              <w:top w:val="single" w:color="000000" w:sz="4" w:space="0"/>
              <w:bottom w:val="single" w:color="000000" w:sz="4" w:space="0"/>
              <w:right w:val="single" w:color="000000" w:sz="4" w:space="0"/>
            </w:tcBorders>
          </w:tcPr>
          <w:p w14:paraId="04630E9C">
            <w:pPr>
              <w:pStyle w:val="182"/>
              <w:spacing w:before="81"/>
              <w:ind w:right="191"/>
              <w:jc w:val="right"/>
              <w:rPr>
                <w:rFonts w:hint="default" w:ascii="Times New Roman" w:hAnsi="Times New Roman" w:cs="Times New Roman"/>
                <w:sz w:val="18"/>
              </w:rPr>
            </w:pPr>
            <w:r>
              <w:rPr>
                <w:rFonts w:hint="default" w:ascii="Times New Roman" w:hAnsi="Times New Roman" w:cs="Times New Roman"/>
                <w:sz w:val="18"/>
              </w:rPr>
              <w:t xml:space="preserve">3 </w:t>
            </w:r>
          </w:p>
        </w:tc>
        <w:tc>
          <w:tcPr>
            <w:tcW w:w="1629" w:type="pct"/>
            <w:tcBorders>
              <w:top w:val="single" w:color="000000" w:sz="4" w:space="0"/>
              <w:left w:val="single" w:color="000000" w:sz="4" w:space="0"/>
              <w:bottom w:val="single" w:color="000000" w:sz="4" w:space="0"/>
              <w:right w:val="single" w:color="000000" w:sz="4" w:space="0"/>
            </w:tcBorders>
          </w:tcPr>
          <w:p w14:paraId="1159DA47">
            <w:pPr>
              <w:pStyle w:val="182"/>
              <w:spacing w:before="81"/>
              <w:ind w:left="331" w:right="219"/>
              <w:rPr>
                <w:rFonts w:hint="default" w:ascii="Times New Roman" w:hAnsi="Times New Roman" w:cs="Times New Roman"/>
                <w:sz w:val="18"/>
              </w:rPr>
            </w:pPr>
            <w:r>
              <w:rPr>
                <w:rFonts w:hint="default" w:ascii="Times New Roman" w:hAnsi="Times New Roman" w:cs="Times New Roman"/>
                <w:sz w:val="18"/>
              </w:rPr>
              <w:t xml:space="preserve">嗅 </w:t>
            </w:r>
          </w:p>
        </w:tc>
        <w:tc>
          <w:tcPr>
            <w:tcW w:w="961" w:type="pct"/>
            <w:tcBorders>
              <w:top w:val="single" w:color="000000" w:sz="4" w:space="0"/>
              <w:left w:val="single" w:color="000000" w:sz="4" w:space="0"/>
              <w:bottom w:val="single" w:color="000000" w:sz="4" w:space="0"/>
              <w:right w:val="single" w:color="000000" w:sz="4" w:space="0"/>
            </w:tcBorders>
          </w:tcPr>
          <w:p w14:paraId="79347DAC">
            <w:pPr>
              <w:pStyle w:val="182"/>
              <w:spacing w:before="81"/>
              <w:ind w:left="275" w:right="168"/>
              <w:rPr>
                <w:rFonts w:hint="default" w:ascii="Times New Roman" w:hAnsi="Times New Roman" w:cs="Times New Roman"/>
                <w:sz w:val="18"/>
              </w:rPr>
            </w:pPr>
            <w:r>
              <w:rPr>
                <w:rFonts w:hint="default" w:ascii="Times New Roman" w:hAnsi="Times New Roman" w:cs="Times New Roman"/>
                <w:sz w:val="18"/>
              </w:rPr>
              <w:t xml:space="preserve">无不快感 </w:t>
            </w:r>
          </w:p>
        </w:tc>
        <w:tc>
          <w:tcPr>
            <w:tcW w:w="962" w:type="pct"/>
            <w:tcBorders>
              <w:top w:val="single" w:color="000000" w:sz="4" w:space="0"/>
              <w:left w:val="single" w:color="000000" w:sz="4" w:space="0"/>
              <w:bottom w:val="single" w:color="000000" w:sz="4" w:space="0"/>
              <w:right w:val="single" w:color="000000" w:sz="4" w:space="0"/>
            </w:tcBorders>
          </w:tcPr>
          <w:p w14:paraId="56C19223">
            <w:pPr>
              <w:pStyle w:val="182"/>
              <w:spacing w:before="81"/>
              <w:ind w:left="566"/>
              <w:jc w:val="left"/>
              <w:rPr>
                <w:rFonts w:hint="default" w:ascii="Times New Roman" w:hAnsi="Times New Roman" w:cs="Times New Roman"/>
                <w:sz w:val="18"/>
              </w:rPr>
            </w:pPr>
            <w:r>
              <w:rPr>
                <w:rFonts w:hint="default" w:ascii="Times New Roman" w:hAnsi="Times New Roman" w:cs="Times New Roman"/>
                <w:sz w:val="18"/>
              </w:rPr>
              <w:t xml:space="preserve">无不快感 </w:t>
            </w:r>
          </w:p>
        </w:tc>
        <w:tc>
          <w:tcPr>
            <w:tcW w:w="956" w:type="pct"/>
            <w:tcBorders>
              <w:top w:val="single" w:color="000000" w:sz="4" w:space="0"/>
              <w:left w:val="single" w:color="000000" w:sz="4" w:space="0"/>
              <w:bottom w:val="single" w:color="000000" w:sz="4" w:space="0"/>
            </w:tcBorders>
          </w:tcPr>
          <w:p w14:paraId="615C4E17">
            <w:pPr>
              <w:pStyle w:val="182"/>
              <w:spacing w:before="81"/>
              <w:ind w:left="556"/>
              <w:jc w:val="left"/>
              <w:rPr>
                <w:rFonts w:hint="default" w:ascii="Times New Roman" w:hAnsi="Times New Roman" w:cs="Times New Roman"/>
                <w:sz w:val="18"/>
              </w:rPr>
            </w:pPr>
            <w:r>
              <w:rPr>
                <w:rFonts w:hint="default" w:ascii="Times New Roman" w:hAnsi="Times New Roman" w:cs="Times New Roman"/>
                <w:sz w:val="18"/>
              </w:rPr>
              <w:t xml:space="preserve">无不快感 </w:t>
            </w:r>
          </w:p>
        </w:tc>
      </w:tr>
      <w:tr w14:paraId="6F4055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8" w:hRule="atLeast"/>
          <w:jc w:val="center"/>
        </w:trPr>
        <w:tc>
          <w:tcPr>
            <w:tcW w:w="364" w:type="pct"/>
            <w:tcBorders>
              <w:top w:val="single" w:color="000000" w:sz="4" w:space="0"/>
              <w:bottom w:val="single" w:color="000000" w:sz="4" w:space="0"/>
              <w:right w:val="single" w:color="000000" w:sz="4" w:space="0"/>
            </w:tcBorders>
          </w:tcPr>
          <w:p w14:paraId="492A14AE">
            <w:pPr>
              <w:pStyle w:val="182"/>
              <w:spacing w:before="81"/>
              <w:ind w:right="191"/>
              <w:jc w:val="right"/>
              <w:rPr>
                <w:rFonts w:hint="default" w:ascii="Times New Roman" w:hAnsi="Times New Roman" w:cs="Times New Roman"/>
                <w:sz w:val="18"/>
              </w:rPr>
            </w:pPr>
            <w:r>
              <w:rPr>
                <w:rFonts w:hint="default" w:ascii="Times New Roman" w:hAnsi="Times New Roman" w:cs="Times New Roman"/>
                <w:sz w:val="18"/>
              </w:rPr>
              <w:t xml:space="preserve">4 </w:t>
            </w:r>
          </w:p>
        </w:tc>
        <w:tc>
          <w:tcPr>
            <w:tcW w:w="1629" w:type="pct"/>
            <w:tcBorders>
              <w:top w:val="single" w:color="000000" w:sz="4" w:space="0"/>
              <w:left w:val="single" w:color="000000" w:sz="4" w:space="0"/>
              <w:bottom w:val="single" w:color="000000" w:sz="4" w:space="0"/>
              <w:right w:val="single" w:color="000000" w:sz="4" w:space="0"/>
            </w:tcBorders>
          </w:tcPr>
          <w:p w14:paraId="2B4F3AEF">
            <w:pPr>
              <w:pStyle w:val="182"/>
              <w:spacing w:before="81"/>
              <w:ind w:left="331" w:right="219"/>
              <w:rPr>
                <w:rFonts w:hint="default" w:ascii="Times New Roman" w:hAnsi="Times New Roman" w:cs="Times New Roman"/>
                <w:sz w:val="18"/>
              </w:rPr>
            </w:pPr>
            <w:r>
              <w:rPr>
                <w:rFonts w:hint="default" w:ascii="Times New Roman" w:hAnsi="Times New Roman" w:cs="Times New Roman"/>
                <w:sz w:val="18"/>
              </w:rPr>
              <w:t xml:space="preserve">浊度（NTU） </w:t>
            </w:r>
          </w:p>
        </w:tc>
        <w:tc>
          <w:tcPr>
            <w:tcW w:w="961" w:type="pct"/>
            <w:tcBorders>
              <w:top w:val="single" w:color="000000" w:sz="4" w:space="0"/>
              <w:left w:val="single" w:color="000000" w:sz="4" w:space="0"/>
              <w:bottom w:val="single" w:color="000000" w:sz="4" w:space="0"/>
              <w:right w:val="single" w:color="000000" w:sz="4" w:space="0"/>
            </w:tcBorders>
          </w:tcPr>
          <w:p w14:paraId="3A7879FD">
            <w:pPr>
              <w:pStyle w:val="182"/>
              <w:spacing w:before="81"/>
              <w:ind w:left="275" w:right="164"/>
              <w:rPr>
                <w:rFonts w:hint="default" w:ascii="Times New Roman" w:hAnsi="Times New Roman" w:cs="Times New Roman"/>
                <w:sz w:val="18"/>
              </w:rPr>
            </w:pPr>
            <w:r>
              <w:rPr>
                <w:rFonts w:hint="default" w:ascii="Times New Roman" w:hAnsi="Times New Roman" w:cs="Times New Roman"/>
                <w:sz w:val="18"/>
              </w:rPr>
              <w:t xml:space="preserve">≤5 </w:t>
            </w:r>
          </w:p>
        </w:tc>
        <w:tc>
          <w:tcPr>
            <w:tcW w:w="962" w:type="pct"/>
            <w:tcBorders>
              <w:top w:val="single" w:color="000000" w:sz="4" w:space="0"/>
              <w:left w:val="single" w:color="000000" w:sz="4" w:space="0"/>
              <w:bottom w:val="single" w:color="000000" w:sz="4" w:space="0"/>
              <w:right w:val="single" w:color="000000" w:sz="4" w:space="0"/>
            </w:tcBorders>
          </w:tcPr>
          <w:p w14:paraId="5EB22D3D">
            <w:pPr>
              <w:pStyle w:val="182"/>
              <w:spacing w:before="81"/>
              <w:ind w:left="140" w:right="32"/>
              <w:rPr>
                <w:rFonts w:hint="default" w:ascii="Times New Roman" w:hAnsi="Times New Roman" w:cs="Times New Roman"/>
                <w:sz w:val="18"/>
              </w:rPr>
            </w:pPr>
            <w:r>
              <w:rPr>
                <w:rFonts w:hint="default" w:ascii="Times New Roman" w:hAnsi="Times New Roman" w:cs="Times New Roman"/>
                <w:sz w:val="18"/>
              </w:rPr>
              <w:t xml:space="preserve">≤10 </w:t>
            </w:r>
          </w:p>
        </w:tc>
        <w:tc>
          <w:tcPr>
            <w:tcW w:w="956" w:type="pct"/>
            <w:tcBorders>
              <w:top w:val="single" w:color="000000" w:sz="4" w:space="0"/>
              <w:left w:val="single" w:color="000000" w:sz="4" w:space="0"/>
              <w:bottom w:val="single" w:color="000000" w:sz="4" w:space="0"/>
            </w:tcBorders>
          </w:tcPr>
          <w:p w14:paraId="6EE97A9E">
            <w:pPr>
              <w:pStyle w:val="182"/>
              <w:spacing w:before="81"/>
              <w:ind w:left="356" w:right="250"/>
              <w:rPr>
                <w:rFonts w:hint="default" w:ascii="Times New Roman" w:hAnsi="Times New Roman" w:cs="Times New Roman"/>
                <w:sz w:val="18"/>
              </w:rPr>
            </w:pPr>
            <w:r>
              <w:rPr>
                <w:rFonts w:hint="default" w:ascii="Times New Roman" w:hAnsi="Times New Roman" w:cs="Times New Roman"/>
                <w:sz w:val="18"/>
              </w:rPr>
              <w:t xml:space="preserve">≤10 </w:t>
            </w:r>
          </w:p>
        </w:tc>
      </w:tr>
      <w:tr w14:paraId="1C89E5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jc w:val="center"/>
        </w:trPr>
        <w:tc>
          <w:tcPr>
            <w:tcW w:w="364" w:type="pct"/>
            <w:tcBorders>
              <w:top w:val="single" w:color="000000" w:sz="4" w:space="0"/>
              <w:bottom w:val="single" w:color="000000" w:sz="4" w:space="0"/>
              <w:right w:val="single" w:color="000000" w:sz="4" w:space="0"/>
            </w:tcBorders>
          </w:tcPr>
          <w:p w14:paraId="5E1A0B4D">
            <w:pPr>
              <w:pStyle w:val="182"/>
              <w:spacing w:before="81"/>
              <w:ind w:right="191"/>
              <w:jc w:val="right"/>
              <w:rPr>
                <w:rFonts w:hint="default" w:ascii="Times New Roman" w:hAnsi="Times New Roman" w:cs="Times New Roman"/>
                <w:sz w:val="18"/>
              </w:rPr>
            </w:pPr>
            <w:r>
              <w:rPr>
                <w:rFonts w:hint="default" w:ascii="Times New Roman" w:hAnsi="Times New Roman" w:cs="Times New Roman"/>
                <w:sz w:val="18"/>
              </w:rPr>
              <w:t xml:space="preserve">5 </w:t>
            </w:r>
          </w:p>
        </w:tc>
        <w:tc>
          <w:tcPr>
            <w:tcW w:w="1629" w:type="pct"/>
            <w:tcBorders>
              <w:top w:val="single" w:color="000000" w:sz="4" w:space="0"/>
              <w:left w:val="single" w:color="000000" w:sz="4" w:space="0"/>
              <w:bottom w:val="single" w:color="000000" w:sz="4" w:space="0"/>
              <w:right w:val="single" w:color="000000" w:sz="4" w:space="0"/>
            </w:tcBorders>
          </w:tcPr>
          <w:p w14:paraId="49F5A197">
            <w:pPr>
              <w:pStyle w:val="182"/>
              <w:spacing w:before="81"/>
              <w:ind w:left="331" w:right="219"/>
              <w:rPr>
                <w:rFonts w:hint="default" w:ascii="Times New Roman" w:hAnsi="Times New Roman" w:cs="Times New Roman"/>
                <w:sz w:val="18"/>
              </w:rPr>
            </w:pPr>
            <w:r>
              <w:rPr>
                <w:rFonts w:hint="default" w:ascii="Times New Roman" w:hAnsi="Times New Roman" w:cs="Times New Roman"/>
                <w:position w:val="1"/>
                <w:sz w:val="18"/>
              </w:rPr>
              <w:t>BOD</w:t>
            </w:r>
            <w:r>
              <w:rPr>
                <w:rFonts w:hint="default" w:ascii="Times New Roman" w:hAnsi="Times New Roman" w:cs="Times New Roman"/>
                <w:sz w:val="9"/>
              </w:rPr>
              <w:t>5</w:t>
            </w:r>
            <w:r>
              <w:rPr>
                <w:rFonts w:hint="default" w:ascii="Times New Roman" w:hAnsi="Times New Roman" w:cs="Times New Roman"/>
                <w:position w:val="1"/>
                <w:sz w:val="18"/>
              </w:rPr>
              <w:t xml:space="preserve">（mg/L） </w:t>
            </w:r>
          </w:p>
        </w:tc>
        <w:tc>
          <w:tcPr>
            <w:tcW w:w="961" w:type="pct"/>
            <w:tcBorders>
              <w:top w:val="single" w:color="000000" w:sz="4" w:space="0"/>
              <w:left w:val="single" w:color="000000" w:sz="4" w:space="0"/>
              <w:bottom w:val="single" w:color="000000" w:sz="4" w:space="0"/>
              <w:right w:val="single" w:color="000000" w:sz="4" w:space="0"/>
            </w:tcBorders>
          </w:tcPr>
          <w:p w14:paraId="77ADD2FA">
            <w:pPr>
              <w:pStyle w:val="182"/>
              <w:spacing w:before="81"/>
              <w:ind w:left="275" w:right="169"/>
              <w:rPr>
                <w:rFonts w:hint="default" w:ascii="Times New Roman" w:hAnsi="Times New Roman" w:cs="Times New Roman"/>
                <w:sz w:val="18"/>
              </w:rPr>
            </w:pPr>
            <w:r>
              <w:rPr>
                <w:rFonts w:hint="default" w:ascii="Times New Roman" w:hAnsi="Times New Roman" w:cs="Times New Roman"/>
                <w:sz w:val="18"/>
              </w:rPr>
              <w:t xml:space="preserve">≤10 </w:t>
            </w:r>
          </w:p>
        </w:tc>
        <w:tc>
          <w:tcPr>
            <w:tcW w:w="962" w:type="pct"/>
            <w:tcBorders>
              <w:top w:val="single" w:color="000000" w:sz="4" w:space="0"/>
              <w:left w:val="single" w:color="000000" w:sz="4" w:space="0"/>
              <w:bottom w:val="single" w:color="000000" w:sz="4" w:space="0"/>
              <w:right w:val="single" w:color="000000" w:sz="4" w:space="0"/>
            </w:tcBorders>
          </w:tcPr>
          <w:p w14:paraId="4E705F08">
            <w:pPr>
              <w:pStyle w:val="182"/>
              <w:spacing w:before="81"/>
              <w:ind w:left="140" w:right="32"/>
              <w:rPr>
                <w:rFonts w:hint="default" w:ascii="Times New Roman" w:hAnsi="Times New Roman" w:cs="Times New Roman"/>
                <w:sz w:val="18"/>
              </w:rPr>
            </w:pPr>
            <w:r>
              <w:rPr>
                <w:rFonts w:hint="default" w:ascii="Times New Roman" w:hAnsi="Times New Roman" w:cs="Times New Roman"/>
                <w:sz w:val="18"/>
              </w:rPr>
              <w:t xml:space="preserve">≤10 </w:t>
            </w:r>
          </w:p>
        </w:tc>
        <w:tc>
          <w:tcPr>
            <w:tcW w:w="956" w:type="pct"/>
            <w:tcBorders>
              <w:top w:val="single" w:color="000000" w:sz="4" w:space="0"/>
              <w:left w:val="single" w:color="000000" w:sz="4" w:space="0"/>
              <w:bottom w:val="single" w:color="000000" w:sz="4" w:space="0"/>
            </w:tcBorders>
          </w:tcPr>
          <w:p w14:paraId="63596C3D">
            <w:pPr>
              <w:pStyle w:val="182"/>
              <w:spacing w:before="81"/>
              <w:ind w:left="356" w:right="250"/>
              <w:rPr>
                <w:rFonts w:hint="default" w:ascii="Times New Roman" w:hAnsi="Times New Roman" w:cs="Times New Roman"/>
                <w:sz w:val="18"/>
              </w:rPr>
            </w:pPr>
            <w:r>
              <w:rPr>
                <w:rFonts w:hint="default" w:ascii="Times New Roman" w:hAnsi="Times New Roman" w:cs="Times New Roman"/>
                <w:sz w:val="18"/>
              </w:rPr>
              <w:t xml:space="preserve">≤10 </w:t>
            </w:r>
          </w:p>
        </w:tc>
      </w:tr>
      <w:tr w14:paraId="7A0C2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7" w:hRule="atLeast"/>
          <w:jc w:val="center"/>
        </w:trPr>
        <w:tc>
          <w:tcPr>
            <w:tcW w:w="364" w:type="pct"/>
            <w:tcBorders>
              <w:top w:val="single" w:color="000000" w:sz="4" w:space="0"/>
              <w:bottom w:val="single" w:color="000000" w:sz="4" w:space="0"/>
              <w:right w:val="single" w:color="000000" w:sz="4" w:space="0"/>
            </w:tcBorders>
          </w:tcPr>
          <w:p w14:paraId="2A0C8196">
            <w:pPr>
              <w:pStyle w:val="182"/>
              <w:ind w:right="191"/>
              <w:jc w:val="right"/>
              <w:rPr>
                <w:rFonts w:hint="default" w:ascii="Times New Roman" w:hAnsi="Times New Roman" w:cs="Times New Roman"/>
                <w:sz w:val="18"/>
              </w:rPr>
            </w:pPr>
            <w:r>
              <w:rPr>
                <w:rFonts w:hint="default" w:ascii="Times New Roman" w:hAnsi="Times New Roman" w:cs="Times New Roman"/>
                <w:sz w:val="18"/>
              </w:rPr>
              <w:t xml:space="preserve">6 </w:t>
            </w:r>
          </w:p>
        </w:tc>
        <w:tc>
          <w:tcPr>
            <w:tcW w:w="1629" w:type="pct"/>
            <w:tcBorders>
              <w:top w:val="single" w:color="000000" w:sz="4" w:space="0"/>
              <w:left w:val="single" w:color="000000" w:sz="4" w:space="0"/>
              <w:bottom w:val="single" w:color="000000" w:sz="4" w:space="0"/>
              <w:right w:val="single" w:color="000000" w:sz="4" w:space="0"/>
            </w:tcBorders>
          </w:tcPr>
          <w:p w14:paraId="21597D8E">
            <w:pPr>
              <w:pStyle w:val="182"/>
              <w:ind w:left="329" w:right="219"/>
              <w:rPr>
                <w:rFonts w:hint="default" w:ascii="Times New Roman" w:hAnsi="Times New Roman" w:cs="Times New Roman"/>
                <w:sz w:val="18"/>
              </w:rPr>
            </w:pPr>
            <w:r>
              <w:rPr>
                <w:rFonts w:hint="default" w:ascii="Times New Roman" w:hAnsi="Times New Roman" w:cs="Times New Roman"/>
                <w:sz w:val="18"/>
              </w:rPr>
              <w:t xml:space="preserve">氨氮（mg/L） </w:t>
            </w:r>
          </w:p>
        </w:tc>
        <w:tc>
          <w:tcPr>
            <w:tcW w:w="961" w:type="pct"/>
            <w:tcBorders>
              <w:top w:val="single" w:color="000000" w:sz="4" w:space="0"/>
              <w:left w:val="single" w:color="000000" w:sz="4" w:space="0"/>
              <w:bottom w:val="single" w:color="000000" w:sz="4" w:space="0"/>
              <w:right w:val="single" w:color="000000" w:sz="4" w:space="0"/>
            </w:tcBorders>
          </w:tcPr>
          <w:p w14:paraId="1751F0C7">
            <w:pPr>
              <w:pStyle w:val="182"/>
              <w:ind w:left="275" w:right="164"/>
              <w:rPr>
                <w:rFonts w:hint="default" w:ascii="Times New Roman" w:hAnsi="Times New Roman" w:cs="Times New Roman"/>
                <w:sz w:val="18"/>
              </w:rPr>
            </w:pPr>
            <w:r>
              <w:rPr>
                <w:rFonts w:hint="default" w:ascii="Times New Roman" w:hAnsi="Times New Roman" w:cs="Times New Roman"/>
                <w:sz w:val="18"/>
              </w:rPr>
              <w:t xml:space="preserve">≤5 </w:t>
            </w:r>
          </w:p>
        </w:tc>
        <w:tc>
          <w:tcPr>
            <w:tcW w:w="962" w:type="pct"/>
            <w:tcBorders>
              <w:top w:val="single" w:color="000000" w:sz="4" w:space="0"/>
              <w:left w:val="single" w:color="000000" w:sz="4" w:space="0"/>
              <w:bottom w:val="single" w:color="000000" w:sz="4" w:space="0"/>
              <w:right w:val="single" w:color="000000" w:sz="4" w:space="0"/>
            </w:tcBorders>
          </w:tcPr>
          <w:p w14:paraId="12C624FA">
            <w:pPr>
              <w:pStyle w:val="182"/>
              <w:ind w:left="140" w:right="32"/>
              <w:rPr>
                <w:rFonts w:hint="default" w:ascii="Times New Roman" w:hAnsi="Times New Roman" w:cs="Times New Roman"/>
                <w:sz w:val="18"/>
              </w:rPr>
            </w:pPr>
            <w:r>
              <w:rPr>
                <w:rFonts w:hint="default" w:ascii="Times New Roman" w:hAnsi="Times New Roman" w:cs="Times New Roman"/>
                <w:sz w:val="18"/>
              </w:rPr>
              <w:t xml:space="preserve">≤8 </w:t>
            </w:r>
          </w:p>
        </w:tc>
        <w:tc>
          <w:tcPr>
            <w:tcW w:w="956" w:type="pct"/>
            <w:tcBorders>
              <w:top w:val="single" w:color="000000" w:sz="4" w:space="0"/>
              <w:left w:val="single" w:color="000000" w:sz="4" w:space="0"/>
              <w:bottom w:val="single" w:color="000000" w:sz="4" w:space="0"/>
            </w:tcBorders>
          </w:tcPr>
          <w:p w14:paraId="4D8E29F7">
            <w:pPr>
              <w:pStyle w:val="182"/>
              <w:ind w:left="356" w:right="245"/>
              <w:rPr>
                <w:rFonts w:hint="default" w:ascii="Times New Roman" w:hAnsi="Times New Roman" w:cs="Times New Roman"/>
                <w:sz w:val="18"/>
              </w:rPr>
            </w:pPr>
            <w:r>
              <w:rPr>
                <w:rFonts w:hint="default" w:ascii="Times New Roman" w:hAnsi="Times New Roman" w:cs="Times New Roman"/>
                <w:sz w:val="18"/>
              </w:rPr>
              <w:t xml:space="preserve">≤8 </w:t>
            </w:r>
          </w:p>
        </w:tc>
      </w:tr>
      <w:tr w14:paraId="108B67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jc w:val="center"/>
        </w:trPr>
        <w:tc>
          <w:tcPr>
            <w:tcW w:w="364" w:type="pct"/>
            <w:tcBorders>
              <w:top w:val="single" w:color="000000" w:sz="4" w:space="0"/>
              <w:bottom w:val="single" w:color="000000" w:sz="4" w:space="0"/>
              <w:right w:val="single" w:color="000000" w:sz="4" w:space="0"/>
            </w:tcBorders>
          </w:tcPr>
          <w:p w14:paraId="43070A85">
            <w:pPr>
              <w:pStyle w:val="182"/>
              <w:spacing w:before="81"/>
              <w:ind w:right="191"/>
              <w:jc w:val="right"/>
              <w:rPr>
                <w:rFonts w:hint="default" w:ascii="Times New Roman" w:hAnsi="Times New Roman" w:cs="Times New Roman"/>
                <w:sz w:val="18"/>
              </w:rPr>
            </w:pPr>
            <w:r>
              <w:rPr>
                <w:rFonts w:hint="default" w:ascii="Times New Roman" w:hAnsi="Times New Roman" w:cs="Times New Roman"/>
                <w:sz w:val="18"/>
              </w:rPr>
              <w:t xml:space="preserve">7 </w:t>
            </w:r>
          </w:p>
        </w:tc>
        <w:tc>
          <w:tcPr>
            <w:tcW w:w="1629" w:type="pct"/>
            <w:tcBorders>
              <w:top w:val="single" w:color="000000" w:sz="4" w:space="0"/>
              <w:left w:val="single" w:color="000000" w:sz="4" w:space="0"/>
              <w:bottom w:val="single" w:color="000000" w:sz="4" w:space="0"/>
              <w:right w:val="single" w:color="000000" w:sz="4" w:space="0"/>
            </w:tcBorders>
          </w:tcPr>
          <w:p w14:paraId="0412F87F">
            <w:pPr>
              <w:pStyle w:val="182"/>
              <w:spacing w:before="81"/>
              <w:ind w:left="329" w:right="219"/>
              <w:rPr>
                <w:rFonts w:hint="default" w:ascii="Times New Roman" w:hAnsi="Times New Roman" w:cs="Times New Roman"/>
                <w:sz w:val="18"/>
              </w:rPr>
            </w:pPr>
            <w:r>
              <w:rPr>
                <w:rFonts w:hint="default" w:ascii="Times New Roman" w:hAnsi="Times New Roman" w:cs="Times New Roman"/>
                <w:sz w:val="18"/>
              </w:rPr>
              <w:t xml:space="preserve">阴离子表面活性剂（mg/L） </w:t>
            </w:r>
          </w:p>
        </w:tc>
        <w:tc>
          <w:tcPr>
            <w:tcW w:w="961" w:type="pct"/>
            <w:tcBorders>
              <w:top w:val="single" w:color="000000" w:sz="4" w:space="0"/>
              <w:left w:val="single" w:color="000000" w:sz="4" w:space="0"/>
              <w:bottom w:val="single" w:color="000000" w:sz="4" w:space="0"/>
              <w:right w:val="single" w:color="000000" w:sz="4" w:space="0"/>
            </w:tcBorders>
          </w:tcPr>
          <w:p w14:paraId="4D3D8B45">
            <w:pPr>
              <w:pStyle w:val="182"/>
              <w:spacing w:before="81"/>
              <w:ind w:left="275" w:right="169"/>
              <w:rPr>
                <w:rFonts w:hint="default" w:ascii="Times New Roman" w:hAnsi="Times New Roman" w:cs="Times New Roman"/>
                <w:sz w:val="18"/>
              </w:rPr>
            </w:pPr>
            <w:r>
              <w:rPr>
                <w:rFonts w:hint="default" w:ascii="Times New Roman" w:hAnsi="Times New Roman" w:cs="Times New Roman"/>
                <w:sz w:val="18"/>
              </w:rPr>
              <w:t xml:space="preserve">≤0.5 </w:t>
            </w:r>
          </w:p>
        </w:tc>
        <w:tc>
          <w:tcPr>
            <w:tcW w:w="962" w:type="pct"/>
            <w:tcBorders>
              <w:top w:val="single" w:color="000000" w:sz="4" w:space="0"/>
              <w:left w:val="single" w:color="000000" w:sz="4" w:space="0"/>
              <w:bottom w:val="single" w:color="000000" w:sz="4" w:space="0"/>
              <w:right w:val="single" w:color="000000" w:sz="4" w:space="0"/>
            </w:tcBorders>
          </w:tcPr>
          <w:p w14:paraId="2C6BAC0D">
            <w:pPr>
              <w:pStyle w:val="182"/>
              <w:spacing w:before="81"/>
              <w:ind w:left="700"/>
              <w:jc w:val="left"/>
              <w:rPr>
                <w:rFonts w:hint="default" w:ascii="Times New Roman" w:hAnsi="Times New Roman" w:cs="Times New Roman"/>
                <w:sz w:val="18"/>
              </w:rPr>
            </w:pPr>
            <w:r>
              <w:rPr>
                <w:rFonts w:hint="default" w:ascii="Times New Roman" w:hAnsi="Times New Roman" w:cs="Times New Roman"/>
                <w:sz w:val="18"/>
              </w:rPr>
              <w:t xml:space="preserve">≤0.5 </w:t>
            </w:r>
          </w:p>
        </w:tc>
        <w:tc>
          <w:tcPr>
            <w:tcW w:w="956" w:type="pct"/>
            <w:tcBorders>
              <w:top w:val="single" w:color="000000" w:sz="4" w:space="0"/>
              <w:left w:val="single" w:color="000000" w:sz="4" w:space="0"/>
              <w:bottom w:val="single" w:color="000000" w:sz="4" w:space="0"/>
            </w:tcBorders>
          </w:tcPr>
          <w:p w14:paraId="330B84AC">
            <w:pPr>
              <w:pStyle w:val="182"/>
              <w:spacing w:before="81"/>
              <w:ind w:left="691"/>
              <w:jc w:val="left"/>
              <w:rPr>
                <w:rFonts w:hint="default" w:ascii="Times New Roman" w:hAnsi="Times New Roman" w:cs="Times New Roman"/>
                <w:sz w:val="18"/>
              </w:rPr>
            </w:pPr>
            <w:r>
              <w:rPr>
                <w:rFonts w:hint="default" w:ascii="Times New Roman" w:hAnsi="Times New Roman" w:cs="Times New Roman"/>
                <w:sz w:val="18"/>
              </w:rPr>
              <w:t xml:space="preserve">≤0.5 </w:t>
            </w:r>
          </w:p>
        </w:tc>
      </w:tr>
      <w:tr w14:paraId="56CF93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364" w:type="pct"/>
            <w:tcBorders>
              <w:top w:val="single" w:color="000000" w:sz="4" w:space="0"/>
              <w:bottom w:val="single" w:color="000000" w:sz="4" w:space="0"/>
              <w:right w:val="single" w:color="000000" w:sz="4" w:space="0"/>
            </w:tcBorders>
          </w:tcPr>
          <w:p w14:paraId="7210926B">
            <w:pPr>
              <w:pStyle w:val="182"/>
              <w:ind w:right="191"/>
              <w:jc w:val="right"/>
              <w:rPr>
                <w:rFonts w:hint="default" w:ascii="Times New Roman" w:hAnsi="Times New Roman" w:cs="Times New Roman"/>
                <w:sz w:val="18"/>
              </w:rPr>
            </w:pPr>
            <w:r>
              <w:rPr>
                <w:rFonts w:hint="default" w:ascii="Times New Roman" w:hAnsi="Times New Roman" w:cs="Times New Roman"/>
                <w:sz w:val="18"/>
              </w:rPr>
              <w:t xml:space="preserve">8 </w:t>
            </w:r>
          </w:p>
        </w:tc>
        <w:tc>
          <w:tcPr>
            <w:tcW w:w="1629" w:type="pct"/>
            <w:tcBorders>
              <w:top w:val="single" w:color="000000" w:sz="4" w:space="0"/>
              <w:left w:val="single" w:color="000000" w:sz="4" w:space="0"/>
              <w:bottom w:val="single" w:color="000000" w:sz="4" w:space="0"/>
              <w:right w:val="single" w:color="000000" w:sz="4" w:space="0"/>
            </w:tcBorders>
          </w:tcPr>
          <w:p w14:paraId="3A4B9110">
            <w:pPr>
              <w:pStyle w:val="182"/>
              <w:ind w:left="331" w:right="219"/>
              <w:rPr>
                <w:rFonts w:hint="default" w:ascii="Times New Roman" w:hAnsi="Times New Roman" w:cs="Times New Roman"/>
                <w:sz w:val="18"/>
              </w:rPr>
            </w:pPr>
            <w:r>
              <w:rPr>
                <w:rFonts w:hint="default" w:ascii="Times New Roman" w:hAnsi="Times New Roman" w:cs="Times New Roman"/>
                <w:sz w:val="18"/>
              </w:rPr>
              <w:t xml:space="preserve">铁（mg/L） </w:t>
            </w:r>
          </w:p>
        </w:tc>
        <w:tc>
          <w:tcPr>
            <w:tcW w:w="961" w:type="pct"/>
            <w:tcBorders>
              <w:top w:val="single" w:color="000000" w:sz="4" w:space="0"/>
              <w:left w:val="single" w:color="000000" w:sz="4" w:space="0"/>
              <w:bottom w:val="single" w:color="000000" w:sz="4" w:space="0"/>
              <w:right w:val="single" w:color="000000" w:sz="4" w:space="0"/>
            </w:tcBorders>
          </w:tcPr>
          <w:p w14:paraId="7A18B74F">
            <w:pPr>
              <w:pStyle w:val="182"/>
              <w:ind w:left="275" w:right="169"/>
              <w:rPr>
                <w:rFonts w:hint="default" w:ascii="Times New Roman" w:hAnsi="Times New Roman" w:cs="Times New Roman"/>
                <w:sz w:val="18"/>
              </w:rPr>
            </w:pPr>
            <w:r>
              <w:rPr>
                <w:rFonts w:hint="default" w:ascii="Times New Roman" w:hAnsi="Times New Roman" w:cs="Times New Roman"/>
                <w:sz w:val="18"/>
              </w:rPr>
              <w:t xml:space="preserve">≤0.3 </w:t>
            </w:r>
          </w:p>
        </w:tc>
        <w:tc>
          <w:tcPr>
            <w:tcW w:w="962" w:type="pct"/>
            <w:tcBorders>
              <w:top w:val="single" w:color="000000" w:sz="4" w:space="0"/>
              <w:left w:val="single" w:color="000000" w:sz="4" w:space="0"/>
              <w:bottom w:val="single" w:color="000000" w:sz="4" w:space="0"/>
              <w:right w:val="single" w:color="000000" w:sz="4" w:space="0"/>
            </w:tcBorders>
          </w:tcPr>
          <w:p w14:paraId="0E7C9572">
            <w:pPr>
              <w:pStyle w:val="182"/>
              <w:ind w:left="140" w:right="33"/>
              <w:rPr>
                <w:rFonts w:hint="default" w:ascii="Times New Roman" w:hAnsi="Times New Roman" w:cs="Times New Roman"/>
                <w:sz w:val="18"/>
              </w:rPr>
            </w:pPr>
            <w:r>
              <w:rPr>
                <w:rFonts w:hint="default" w:ascii="Times New Roman" w:hAnsi="Times New Roman" w:cs="Times New Roman"/>
                <w:sz w:val="18"/>
              </w:rPr>
              <w:t xml:space="preserve">— </w:t>
            </w:r>
          </w:p>
        </w:tc>
        <w:tc>
          <w:tcPr>
            <w:tcW w:w="956" w:type="pct"/>
            <w:tcBorders>
              <w:top w:val="single" w:color="000000" w:sz="4" w:space="0"/>
              <w:left w:val="single" w:color="000000" w:sz="4" w:space="0"/>
              <w:bottom w:val="single" w:color="000000" w:sz="4" w:space="0"/>
            </w:tcBorders>
          </w:tcPr>
          <w:p w14:paraId="6DA9F1CD">
            <w:pPr>
              <w:pStyle w:val="182"/>
              <w:ind w:left="356" w:right="246"/>
              <w:rPr>
                <w:rFonts w:hint="default" w:ascii="Times New Roman" w:hAnsi="Times New Roman" w:cs="Times New Roman"/>
                <w:sz w:val="18"/>
              </w:rPr>
            </w:pPr>
            <w:r>
              <w:rPr>
                <w:rFonts w:hint="default" w:ascii="Times New Roman" w:hAnsi="Times New Roman" w:cs="Times New Roman"/>
                <w:sz w:val="18"/>
              </w:rPr>
              <w:t xml:space="preserve">— </w:t>
            </w:r>
          </w:p>
        </w:tc>
      </w:tr>
      <w:tr w14:paraId="7640DE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364" w:type="pct"/>
            <w:tcBorders>
              <w:top w:val="single" w:color="000000" w:sz="4" w:space="0"/>
              <w:bottom w:val="single" w:color="000000" w:sz="4" w:space="0"/>
              <w:right w:val="single" w:color="000000" w:sz="4" w:space="0"/>
            </w:tcBorders>
          </w:tcPr>
          <w:p w14:paraId="238B86FE">
            <w:pPr>
              <w:pStyle w:val="182"/>
              <w:spacing w:before="81"/>
              <w:ind w:right="191"/>
              <w:jc w:val="right"/>
              <w:rPr>
                <w:rFonts w:hint="default" w:ascii="Times New Roman" w:hAnsi="Times New Roman" w:cs="Times New Roman"/>
                <w:sz w:val="18"/>
              </w:rPr>
            </w:pPr>
            <w:r>
              <w:rPr>
                <w:rFonts w:hint="default" w:ascii="Times New Roman" w:hAnsi="Times New Roman" w:cs="Times New Roman"/>
                <w:sz w:val="18"/>
              </w:rPr>
              <w:t xml:space="preserve">9 </w:t>
            </w:r>
          </w:p>
        </w:tc>
        <w:tc>
          <w:tcPr>
            <w:tcW w:w="1629" w:type="pct"/>
            <w:tcBorders>
              <w:top w:val="single" w:color="000000" w:sz="4" w:space="0"/>
              <w:left w:val="single" w:color="000000" w:sz="4" w:space="0"/>
              <w:bottom w:val="single" w:color="000000" w:sz="4" w:space="0"/>
              <w:right w:val="single" w:color="000000" w:sz="4" w:space="0"/>
            </w:tcBorders>
          </w:tcPr>
          <w:p w14:paraId="2B582F82">
            <w:pPr>
              <w:pStyle w:val="182"/>
              <w:spacing w:before="81"/>
              <w:ind w:left="331" w:right="219"/>
              <w:rPr>
                <w:rFonts w:hint="default" w:ascii="Times New Roman" w:hAnsi="Times New Roman" w:cs="Times New Roman"/>
                <w:sz w:val="18"/>
              </w:rPr>
            </w:pPr>
            <w:r>
              <w:rPr>
                <w:rFonts w:hint="default" w:ascii="Times New Roman" w:hAnsi="Times New Roman" w:cs="Times New Roman"/>
                <w:sz w:val="18"/>
              </w:rPr>
              <w:t xml:space="preserve">锰（mg/L） </w:t>
            </w:r>
          </w:p>
        </w:tc>
        <w:tc>
          <w:tcPr>
            <w:tcW w:w="961" w:type="pct"/>
            <w:tcBorders>
              <w:top w:val="single" w:color="000000" w:sz="4" w:space="0"/>
              <w:left w:val="single" w:color="000000" w:sz="4" w:space="0"/>
              <w:bottom w:val="single" w:color="000000" w:sz="4" w:space="0"/>
              <w:right w:val="single" w:color="000000" w:sz="4" w:space="0"/>
            </w:tcBorders>
          </w:tcPr>
          <w:p w14:paraId="75DE94DD">
            <w:pPr>
              <w:pStyle w:val="182"/>
              <w:spacing w:before="81"/>
              <w:ind w:left="275" w:right="169"/>
              <w:rPr>
                <w:rFonts w:hint="default" w:ascii="Times New Roman" w:hAnsi="Times New Roman" w:cs="Times New Roman"/>
                <w:sz w:val="18"/>
              </w:rPr>
            </w:pPr>
            <w:r>
              <w:rPr>
                <w:rFonts w:hint="default" w:ascii="Times New Roman" w:hAnsi="Times New Roman" w:cs="Times New Roman"/>
                <w:sz w:val="18"/>
              </w:rPr>
              <w:t xml:space="preserve">≤0.1 </w:t>
            </w:r>
          </w:p>
        </w:tc>
        <w:tc>
          <w:tcPr>
            <w:tcW w:w="962" w:type="pct"/>
            <w:tcBorders>
              <w:top w:val="single" w:color="000000" w:sz="4" w:space="0"/>
              <w:left w:val="single" w:color="000000" w:sz="4" w:space="0"/>
              <w:bottom w:val="single" w:color="000000" w:sz="4" w:space="0"/>
              <w:right w:val="single" w:color="000000" w:sz="4" w:space="0"/>
            </w:tcBorders>
          </w:tcPr>
          <w:p w14:paraId="567CC4DE">
            <w:pPr>
              <w:pStyle w:val="182"/>
              <w:spacing w:before="81"/>
              <w:ind w:left="140" w:right="33"/>
              <w:rPr>
                <w:rFonts w:hint="default" w:ascii="Times New Roman" w:hAnsi="Times New Roman" w:cs="Times New Roman"/>
                <w:sz w:val="18"/>
              </w:rPr>
            </w:pPr>
            <w:r>
              <w:rPr>
                <w:rFonts w:hint="default" w:ascii="Times New Roman" w:hAnsi="Times New Roman" w:cs="Times New Roman"/>
                <w:sz w:val="18"/>
              </w:rPr>
              <w:t xml:space="preserve">— </w:t>
            </w:r>
          </w:p>
        </w:tc>
        <w:tc>
          <w:tcPr>
            <w:tcW w:w="956" w:type="pct"/>
            <w:tcBorders>
              <w:top w:val="single" w:color="000000" w:sz="4" w:space="0"/>
              <w:left w:val="single" w:color="000000" w:sz="4" w:space="0"/>
              <w:bottom w:val="single" w:color="000000" w:sz="4" w:space="0"/>
            </w:tcBorders>
          </w:tcPr>
          <w:p w14:paraId="6F04F075">
            <w:pPr>
              <w:pStyle w:val="182"/>
              <w:spacing w:before="81"/>
              <w:ind w:left="356" w:right="246"/>
              <w:rPr>
                <w:rFonts w:hint="default" w:ascii="Times New Roman" w:hAnsi="Times New Roman" w:cs="Times New Roman"/>
                <w:sz w:val="18"/>
              </w:rPr>
            </w:pPr>
            <w:r>
              <w:rPr>
                <w:rFonts w:hint="default" w:ascii="Times New Roman" w:hAnsi="Times New Roman" w:cs="Times New Roman"/>
                <w:sz w:val="18"/>
              </w:rPr>
              <w:t xml:space="preserve">— </w:t>
            </w:r>
          </w:p>
        </w:tc>
      </w:tr>
      <w:tr w14:paraId="406EA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jc w:val="center"/>
        </w:trPr>
        <w:tc>
          <w:tcPr>
            <w:tcW w:w="364" w:type="pct"/>
            <w:tcBorders>
              <w:top w:val="single" w:color="000000" w:sz="4" w:space="0"/>
              <w:bottom w:val="single" w:color="000000" w:sz="4" w:space="0"/>
              <w:right w:val="single" w:color="000000" w:sz="4" w:space="0"/>
            </w:tcBorders>
          </w:tcPr>
          <w:p w14:paraId="3106B88B">
            <w:pPr>
              <w:pStyle w:val="182"/>
              <w:spacing w:before="81"/>
              <w:ind w:right="148"/>
              <w:jc w:val="right"/>
              <w:rPr>
                <w:rFonts w:hint="default" w:ascii="Times New Roman" w:hAnsi="Times New Roman" w:cs="Times New Roman"/>
                <w:sz w:val="18"/>
              </w:rPr>
            </w:pPr>
            <w:r>
              <w:rPr>
                <w:rFonts w:hint="default" w:ascii="Times New Roman" w:hAnsi="Times New Roman" w:cs="Times New Roman"/>
                <w:sz w:val="18"/>
              </w:rPr>
              <w:t xml:space="preserve">10 </w:t>
            </w:r>
          </w:p>
        </w:tc>
        <w:tc>
          <w:tcPr>
            <w:tcW w:w="1629" w:type="pct"/>
            <w:tcBorders>
              <w:top w:val="single" w:color="000000" w:sz="4" w:space="0"/>
              <w:left w:val="single" w:color="000000" w:sz="4" w:space="0"/>
              <w:bottom w:val="single" w:color="000000" w:sz="4" w:space="0"/>
              <w:right w:val="single" w:color="000000" w:sz="4" w:space="0"/>
            </w:tcBorders>
          </w:tcPr>
          <w:p w14:paraId="7B6CA077">
            <w:pPr>
              <w:pStyle w:val="182"/>
              <w:spacing w:before="81"/>
              <w:ind w:left="329" w:right="219"/>
              <w:rPr>
                <w:rFonts w:hint="default" w:ascii="Times New Roman" w:hAnsi="Times New Roman" w:cs="Times New Roman"/>
                <w:sz w:val="18"/>
              </w:rPr>
            </w:pPr>
            <w:r>
              <w:rPr>
                <w:rFonts w:hint="default" w:ascii="Times New Roman" w:hAnsi="Times New Roman" w:cs="Times New Roman"/>
                <w:sz w:val="18"/>
              </w:rPr>
              <w:t xml:space="preserve">溶解性总固体（mg/L） </w:t>
            </w:r>
          </w:p>
        </w:tc>
        <w:tc>
          <w:tcPr>
            <w:tcW w:w="961" w:type="pct"/>
            <w:tcBorders>
              <w:top w:val="single" w:color="000000" w:sz="4" w:space="0"/>
              <w:left w:val="single" w:color="000000" w:sz="4" w:space="0"/>
              <w:bottom w:val="single" w:color="000000" w:sz="4" w:space="0"/>
              <w:right w:val="single" w:color="000000" w:sz="4" w:space="0"/>
            </w:tcBorders>
          </w:tcPr>
          <w:p w14:paraId="391A5547">
            <w:pPr>
              <w:pStyle w:val="182"/>
              <w:spacing w:before="81"/>
              <w:ind w:left="275" w:right="167"/>
              <w:rPr>
                <w:rFonts w:hint="default" w:ascii="Times New Roman" w:hAnsi="Times New Roman" w:cs="Times New Roman"/>
                <w:sz w:val="18"/>
              </w:rPr>
            </w:pPr>
            <w:r>
              <w:rPr>
                <w:rFonts w:hint="default" w:ascii="Times New Roman" w:hAnsi="Times New Roman" w:cs="Times New Roman"/>
                <w:sz w:val="18"/>
              </w:rPr>
              <w:t>≤1000（2000）</w:t>
            </w:r>
            <w:r>
              <w:rPr>
                <w:rFonts w:hint="default" w:ascii="Times New Roman" w:hAnsi="Times New Roman" w:cs="Times New Roman"/>
                <w:sz w:val="18"/>
                <w:vertAlign w:val="superscript"/>
              </w:rPr>
              <w:t>a</w:t>
            </w:r>
          </w:p>
        </w:tc>
        <w:tc>
          <w:tcPr>
            <w:tcW w:w="962" w:type="pct"/>
            <w:tcBorders>
              <w:top w:val="single" w:color="000000" w:sz="4" w:space="0"/>
              <w:left w:val="single" w:color="000000" w:sz="4" w:space="0"/>
              <w:bottom w:val="single" w:color="000000" w:sz="4" w:space="0"/>
              <w:right w:val="single" w:color="000000" w:sz="4" w:space="0"/>
            </w:tcBorders>
          </w:tcPr>
          <w:p w14:paraId="48ADEDB7">
            <w:pPr>
              <w:pStyle w:val="182"/>
              <w:spacing w:before="81"/>
              <w:rPr>
                <w:rFonts w:hint="default" w:ascii="Times New Roman" w:hAnsi="Times New Roman" w:cs="Times New Roman"/>
                <w:sz w:val="18"/>
              </w:rPr>
            </w:pPr>
            <w:r>
              <w:rPr>
                <w:rFonts w:hint="default" w:ascii="Times New Roman" w:hAnsi="Times New Roman" w:cs="Times New Roman"/>
                <w:sz w:val="18"/>
              </w:rPr>
              <w:t>≤1000（2000）</w:t>
            </w:r>
            <w:r>
              <w:rPr>
                <w:rFonts w:hint="default" w:ascii="Times New Roman" w:hAnsi="Times New Roman" w:cs="Times New Roman"/>
                <w:sz w:val="18"/>
                <w:vertAlign w:val="superscript"/>
              </w:rPr>
              <w:t>a</w:t>
            </w:r>
          </w:p>
        </w:tc>
        <w:tc>
          <w:tcPr>
            <w:tcW w:w="956" w:type="pct"/>
            <w:tcBorders>
              <w:top w:val="single" w:color="000000" w:sz="4" w:space="0"/>
              <w:left w:val="single" w:color="000000" w:sz="4" w:space="0"/>
              <w:bottom w:val="single" w:color="000000" w:sz="4" w:space="0"/>
            </w:tcBorders>
          </w:tcPr>
          <w:p w14:paraId="0FA0C097">
            <w:pPr>
              <w:pStyle w:val="182"/>
              <w:spacing w:before="81"/>
              <w:rPr>
                <w:rFonts w:hint="default" w:ascii="Times New Roman" w:hAnsi="Times New Roman" w:cs="Times New Roman"/>
                <w:sz w:val="18"/>
              </w:rPr>
            </w:pPr>
            <w:r>
              <w:rPr>
                <w:rFonts w:hint="default" w:ascii="Times New Roman" w:hAnsi="Times New Roman" w:cs="Times New Roman"/>
                <w:sz w:val="18"/>
              </w:rPr>
              <w:t>≤1000（2000）</w:t>
            </w:r>
            <w:r>
              <w:rPr>
                <w:rFonts w:hint="default" w:ascii="Times New Roman" w:hAnsi="Times New Roman" w:cs="Times New Roman"/>
                <w:sz w:val="18"/>
                <w:vertAlign w:val="superscript"/>
              </w:rPr>
              <w:t>a</w:t>
            </w:r>
          </w:p>
        </w:tc>
      </w:tr>
      <w:tr w14:paraId="49C0E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364" w:type="pct"/>
            <w:tcBorders>
              <w:top w:val="single" w:color="000000" w:sz="4" w:space="0"/>
              <w:bottom w:val="single" w:color="000000" w:sz="4" w:space="0"/>
              <w:right w:val="single" w:color="000000" w:sz="4" w:space="0"/>
            </w:tcBorders>
          </w:tcPr>
          <w:p w14:paraId="4146977B">
            <w:pPr>
              <w:pStyle w:val="182"/>
              <w:spacing w:before="81"/>
              <w:ind w:right="148"/>
              <w:jc w:val="right"/>
              <w:rPr>
                <w:rFonts w:hint="default" w:ascii="Times New Roman" w:hAnsi="Times New Roman" w:cs="Times New Roman"/>
                <w:sz w:val="18"/>
              </w:rPr>
            </w:pPr>
            <w:r>
              <w:rPr>
                <w:rFonts w:hint="default" w:ascii="Times New Roman" w:hAnsi="Times New Roman" w:cs="Times New Roman"/>
                <w:sz w:val="18"/>
              </w:rPr>
              <w:t xml:space="preserve">11 </w:t>
            </w:r>
          </w:p>
        </w:tc>
        <w:tc>
          <w:tcPr>
            <w:tcW w:w="1629" w:type="pct"/>
            <w:tcBorders>
              <w:top w:val="single" w:color="000000" w:sz="4" w:space="0"/>
              <w:left w:val="single" w:color="000000" w:sz="4" w:space="0"/>
              <w:bottom w:val="single" w:color="000000" w:sz="4" w:space="0"/>
              <w:right w:val="single" w:color="000000" w:sz="4" w:space="0"/>
            </w:tcBorders>
          </w:tcPr>
          <w:p w14:paraId="7176E321">
            <w:pPr>
              <w:pStyle w:val="182"/>
              <w:spacing w:before="81"/>
              <w:ind w:left="331" w:right="219"/>
              <w:rPr>
                <w:rFonts w:hint="default" w:ascii="Times New Roman" w:hAnsi="Times New Roman" w:cs="Times New Roman"/>
                <w:sz w:val="18"/>
              </w:rPr>
            </w:pPr>
            <w:r>
              <w:rPr>
                <w:rFonts w:hint="default" w:ascii="Times New Roman" w:hAnsi="Times New Roman" w:cs="Times New Roman"/>
                <w:sz w:val="18"/>
              </w:rPr>
              <w:t xml:space="preserve">溶解氧（mg/L） </w:t>
            </w:r>
          </w:p>
        </w:tc>
        <w:tc>
          <w:tcPr>
            <w:tcW w:w="961" w:type="pct"/>
            <w:tcBorders>
              <w:top w:val="single" w:color="000000" w:sz="4" w:space="0"/>
              <w:left w:val="single" w:color="000000" w:sz="4" w:space="0"/>
              <w:bottom w:val="single" w:color="000000" w:sz="4" w:space="0"/>
              <w:right w:val="single" w:color="000000" w:sz="4" w:space="0"/>
            </w:tcBorders>
          </w:tcPr>
          <w:p w14:paraId="00CC10D4">
            <w:pPr>
              <w:pStyle w:val="182"/>
              <w:spacing w:before="73"/>
              <w:ind w:left="275" w:right="164"/>
              <w:rPr>
                <w:rFonts w:hint="default" w:ascii="Times New Roman" w:hAnsi="Times New Roman" w:cs="Times New Roman"/>
                <w:sz w:val="18"/>
              </w:rPr>
            </w:pPr>
            <w:r>
              <w:rPr>
                <w:rFonts w:hint="default" w:ascii="Times New Roman" w:hAnsi="Times New Roman" w:cs="Times New Roman"/>
                <w:sz w:val="18"/>
              </w:rPr>
              <w:t>≥</w:t>
            </w:r>
            <w:r>
              <w:rPr>
                <w:rFonts w:hint="default" w:ascii="Times New Roman" w:hAnsi="Times New Roman" w:cs="Times New Roman"/>
                <w:position w:val="2"/>
                <w:sz w:val="18"/>
              </w:rPr>
              <w:t xml:space="preserve">2 </w:t>
            </w:r>
          </w:p>
        </w:tc>
        <w:tc>
          <w:tcPr>
            <w:tcW w:w="962" w:type="pct"/>
            <w:tcBorders>
              <w:top w:val="single" w:color="000000" w:sz="4" w:space="0"/>
              <w:left w:val="single" w:color="000000" w:sz="4" w:space="0"/>
              <w:bottom w:val="single" w:color="000000" w:sz="4" w:space="0"/>
              <w:right w:val="single" w:color="000000" w:sz="4" w:space="0"/>
            </w:tcBorders>
          </w:tcPr>
          <w:p w14:paraId="66B7AF29">
            <w:pPr>
              <w:pStyle w:val="182"/>
              <w:spacing w:before="73"/>
              <w:ind w:left="140" w:right="32"/>
              <w:rPr>
                <w:rFonts w:hint="default" w:ascii="Times New Roman" w:hAnsi="Times New Roman" w:cs="Times New Roman"/>
                <w:sz w:val="18"/>
              </w:rPr>
            </w:pPr>
            <w:r>
              <w:rPr>
                <w:rFonts w:hint="default" w:ascii="Times New Roman" w:hAnsi="Times New Roman" w:cs="Times New Roman"/>
                <w:sz w:val="18"/>
              </w:rPr>
              <w:t>≥</w:t>
            </w:r>
            <w:r>
              <w:rPr>
                <w:rFonts w:hint="default" w:ascii="Times New Roman" w:hAnsi="Times New Roman" w:cs="Times New Roman"/>
                <w:position w:val="2"/>
                <w:sz w:val="18"/>
              </w:rPr>
              <w:t xml:space="preserve">2 </w:t>
            </w:r>
          </w:p>
        </w:tc>
        <w:tc>
          <w:tcPr>
            <w:tcW w:w="956" w:type="pct"/>
            <w:tcBorders>
              <w:top w:val="single" w:color="000000" w:sz="4" w:space="0"/>
              <w:left w:val="single" w:color="000000" w:sz="4" w:space="0"/>
              <w:bottom w:val="single" w:color="000000" w:sz="4" w:space="0"/>
            </w:tcBorders>
          </w:tcPr>
          <w:p w14:paraId="4BE1C2C2">
            <w:pPr>
              <w:pStyle w:val="182"/>
              <w:spacing w:before="73"/>
              <w:ind w:left="356" w:right="246"/>
              <w:rPr>
                <w:rFonts w:hint="default" w:ascii="Times New Roman" w:hAnsi="Times New Roman" w:cs="Times New Roman"/>
                <w:sz w:val="18"/>
              </w:rPr>
            </w:pPr>
            <w:r>
              <w:rPr>
                <w:rFonts w:hint="default" w:ascii="Times New Roman" w:hAnsi="Times New Roman" w:cs="Times New Roman"/>
                <w:sz w:val="18"/>
              </w:rPr>
              <w:t>≥</w:t>
            </w:r>
            <w:r>
              <w:rPr>
                <w:rFonts w:hint="default" w:ascii="Times New Roman" w:hAnsi="Times New Roman" w:cs="Times New Roman"/>
                <w:position w:val="2"/>
                <w:sz w:val="18"/>
              </w:rPr>
              <w:t>2</w:t>
            </w:r>
            <w:r>
              <w:rPr>
                <w:rFonts w:hint="default" w:ascii="Times New Roman" w:hAnsi="Times New Roman" w:cs="Times New Roman"/>
                <w:sz w:val="18"/>
              </w:rPr>
              <w:t xml:space="preserve"> </w:t>
            </w:r>
          </w:p>
        </w:tc>
      </w:tr>
      <w:tr w14:paraId="76AA9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78" w:hRule="atLeast"/>
          <w:jc w:val="center"/>
        </w:trPr>
        <w:tc>
          <w:tcPr>
            <w:tcW w:w="364" w:type="pct"/>
            <w:tcBorders>
              <w:top w:val="single" w:color="000000" w:sz="4" w:space="0"/>
              <w:bottom w:val="single" w:color="000000" w:sz="4" w:space="0"/>
              <w:right w:val="single" w:color="000000" w:sz="4" w:space="0"/>
            </w:tcBorders>
          </w:tcPr>
          <w:p w14:paraId="63EE5C8C">
            <w:pPr>
              <w:pStyle w:val="182"/>
              <w:spacing w:before="5"/>
              <w:jc w:val="left"/>
              <w:rPr>
                <w:rFonts w:hint="default" w:ascii="Times New Roman" w:hAnsi="Times New Roman" w:cs="Times New Roman"/>
                <w:sz w:val="17"/>
              </w:rPr>
            </w:pPr>
          </w:p>
          <w:p w14:paraId="42373508">
            <w:pPr>
              <w:pStyle w:val="182"/>
              <w:spacing w:before="0"/>
              <w:ind w:right="148"/>
              <w:jc w:val="right"/>
              <w:rPr>
                <w:rFonts w:hint="default" w:ascii="Times New Roman" w:hAnsi="Times New Roman" w:cs="Times New Roman"/>
                <w:sz w:val="18"/>
              </w:rPr>
            </w:pPr>
            <w:r>
              <w:rPr>
                <w:rFonts w:hint="default" w:ascii="Times New Roman" w:hAnsi="Times New Roman" w:cs="Times New Roman"/>
                <w:sz w:val="18"/>
              </w:rPr>
              <w:t xml:space="preserve">12 </w:t>
            </w:r>
          </w:p>
        </w:tc>
        <w:tc>
          <w:tcPr>
            <w:tcW w:w="1629" w:type="pct"/>
            <w:tcBorders>
              <w:top w:val="single" w:color="000000" w:sz="4" w:space="0"/>
              <w:left w:val="single" w:color="000000" w:sz="4" w:space="0"/>
              <w:bottom w:val="single" w:color="000000" w:sz="4" w:space="0"/>
              <w:right w:val="single" w:color="000000" w:sz="4" w:space="0"/>
            </w:tcBorders>
          </w:tcPr>
          <w:p w14:paraId="726272E2">
            <w:pPr>
              <w:pStyle w:val="182"/>
              <w:spacing w:before="5"/>
              <w:jc w:val="left"/>
              <w:rPr>
                <w:rFonts w:hint="default" w:ascii="Times New Roman" w:hAnsi="Times New Roman" w:cs="Times New Roman"/>
                <w:sz w:val="17"/>
              </w:rPr>
            </w:pPr>
          </w:p>
          <w:p w14:paraId="653E7E4E">
            <w:pPr>
              <w:pStyle w:val="182"/>
              <w:spacing w:before="0"/>
              <w:ind w:left="329" w:right="219"/>
              <w:rPr>
                <w:rFonts w:hint="default" w:ascii="Times New Roman" w:hAnsi="Times New Roman" w:cs="Times New Roman"/>
                <w:sz w:val="18"/>
              </w:rPr>
            </w:pPr>
            <w:r>
              <w:rPr>
                <w:rFonts w:hint="default" w:ascii="Times New Roman" w:hAnsi="Times New Roman" w:cs="Times New Roman"/>
                <w:sz w:val="18"/>
              </w:rPr>
              <w:t xml:space="preserve">总氯（mg/L） </w:t>
            </w:r>
          </w:p>
        </w:tc>
        <w:tc>
          <w:tcPr>
            <w:tcW w:w="961" w:type="pct"/>
            <w:tcBorders>
              <w:top w:val="single" w:color="000000" w:sz="4" w:space="0"/>
              <w:left w:val="single" w:color="000000" w:sz="4" w:space="0"/>
              <w:bottom w:val="single" w:color="000000" w:sz="4" w:space="0"/>
              <w:right w:val="single" w:color="000000" w:sz="4" w:space="0"/>
            </w:tcBorders>
          </w:tcPr>
          <w:p w14:paraId="2A4F186C">
            <w:pPr>
              <w:pStyle w:val="182"/>
              <w:spacing w:before="88"/>
              <w:ind w:left="275" w:right="169"/>
              <w:rPr>
                <w:rFonts w:hint="default" w:ascii="Times New Roman" w:hAnsi="Times New Roman" w:cs="Times New Roman"/>
                <w:sz w:val="18"/>
              </w:rPr>
            </w:pPr>
            <w:r>
              <w:rPr>
                <w:rFonts w:hint="default" w:ascii="Times New Roman" w:hAnsi="Times New Roman" w:cs="Times New Roman"/>
                <w:position w:val="2"/>
                <w:sz w:val="18"/>
              </w:rPr>
              <w:t>出厂</w:t>
            </w:r>
            <w:r>
              <w:rPr>
                <w:rFonts w:hint="default" w:ascii="Times New Roman" w:hAnsi="Times New Roman" w:cs="Times New Roman"/>
                <w:sz w:val="18"/>
              </w:rPr>
              <w:t>≥</w:t>
            </w:r>
            <w:r>
              <w:rPr>
                <w:rFonts w:hint="default" w:ascii="Times New Roman" w:hAnsi="Times New Roman" w:cs="Times New Roman"/>
                <w:position w:val="2"/>
                <w:sz w:val="18"/>
              </w:rPr>
              <w:t xml:space="preserve">1.0 </w:t>
            </w:r>
          </w:p>
          <w:p w14:paraId="13E22151">
            <w:pPr>
              <w:pStyle w:val="182"/>
              <w:spacing w:before="1"/>
              <w:ind w:left="275" w:right="169"/>
              <w:rPr>
                <w:rFonts w:hint="default" w:ascii="Times New Roman" w:hAnsi="Times New Roman" w:cs="Times New Roman"/>
                <w:sz w:val="18"/>
              </w:rPr>
            </w:pPr>
            <w:r>
              <w:rPr>
                <w:rFonts w:hint="default" w:ascii="Times New Roman" w:hAnsi="Times New Roman" w:cs="Times New Roman"/>
                <w:position w:val="2"/>
                <w:sz w:val="18"/>
              </w:rPr>
              <w:t>管网末端</w:t>
            </w:r>
            <w:r>
              <w:rPr>
                <w:rFonts w:hint="default" w:ascii="Times New Roman" w:hAnsi="Times New Roman" w:cs="Times New Roman"/>
                <w:sz w:val="18"/>
              </w:rPr>
              <w:t>≥</w:t>
            </w:r>
            <w:r>
              <w:rPr>
                <w:rFonts w:hint="default" w:ascii="Times New Roman" w:hAnsi="Times New Roman" w:cs="Times New Roman"/>
                <w:position w:val="2"/>
                <w:sz w:val="18"/>
              </w:rPr>
              <w:t xml:space="preserve">0.2 </w:t>
            </w:r>
          </w:p>
        </w:tc>
        <w:tc>
          <w:tcPr>
            <w:tcW w:w="962" w:type="pct"/>
            <w:tcBorders>
              <w:top w:val="single" w:color="000000" w:sz="4" w:space="0"/>
              <w:left w:val="single" w:color="000000" w:sz="4" w:space="0"/>
              <w:bottom w:val="single" w:color="000000" w:sz="4" w:space="0"/>
              <w:right w:val="single" w:color="000000" w:sz="4" w:space="0"/>
            </w:tcBorders>
          </w:tcPr>
          <w:p w14:paraId="57F5E18F">
            <w:pPr>
              <w:pStyle w:val="182"/>
              <w:spacing w:before="88"/>
              <w:ind w:left="139" w:right="33"/>
              <w:rPr>
                <w:rFonts w:hint="default" w:ascii="Times New Roman" w:hAnsi="Times New Roman" w:cs="Times New Roman"/>
                <w:sz w:val="18"/>
              </w:rPr>
            </w:pPr>
            <w:r>
              <w:rPr>
                <w:rFonts w:hint="default" w:ascii="Times New Roman" w:hAnsi="Times New Roman" w:cs="Times New Roman"/>
                <w:position w:val="2"/>
                <w:sz w:val="18"/>
              </w:rPr>
              <w:t>出厂</w:t>
            </w:r>
            <w:r>
              <w:rPr>
                <w:rFonts w:hint="default" w:ascii="Times New Roman" w:hAnsi="Times New Roman" w:cs="Times New Roman"/>
                <w:sz w:val="18"/>
              </w:rPr>
              <w:t xml:space="preserve">≥ </w:t>
            </w:r>
            <w:r>
              <w:rPr>
                <w:rFonts w:hint="default" w:ascii="Times New Roman" w:hAnsi="Times New Roman" w:cs="Times New Roman"/>
                <w:position w:val="2"/>
                <w:sz w:val="18"/>
              </w:rPr>
              <w:t xml:space="preserve">1.0 </w:t>
            </w:r>
          </w:p>
          <w:p w14:paraId="2B1421C3">
            <w:pPr>
              <w:pStyle w:val="182"/>
              <w:spacing w:before="1"/>
              <w:ind w:left="140" w:right="33"/>
              <w:rPr>
                <w:rFonts w:hint="default" w:ascii="Times New Roman" w:hAnsi="Times New Roman" w:cs="Times New Roman"/>
                <w:sz w:val="18"/>
              </w:rPr>
            </w:pPr>
            <w:r>
              <w:rPr>
                <w:rFonts w:hint="default" w:ascii="Times New Roman" w:hAnsi="Times New Roman" w:cs="Times New Roman"/>
                <w:sz w:val="18"/>
              </w:rPr>
              <w:t>2.5≥</w:t>
            </w:r>
            <w:r>
              <w:rPr>
                <w:rFonts w:hint="default" w:ascii="Times New Roman" w:hAnsi="Times New Roman" w:cs="Times New Roman"/>
                <w:position w:val="2"/>
                <w:sz w:val="18"/>
              </w:rPr>
              <w:t>管网末端</w:t>
            </w:r>
            <w:r>
              <w:rPr>
                <w:rFonts w:hint="default" w:ascii="Times New Roman" w:hAnsi="Times New Roman" w:cs="Times New Roman"/>
                <w:sz w:val="18"/>
              </w:rPr>
              <w:t>≥</w:t>
            </w:r>
            <w:r>
              <w:rPr>
                <w:rFonts w:hint="default" w:ascii="Times New Roman" w:hAnsi="Times New Roman" w:cs="Times New Roman"/>
                <w:position w:val="2"/>
                <w:sz w:val="18"/>
              </w:rPr>
              <w:t xml:space="preserve">0.2 </w:t>
            </w:r>
          </w:p>
        </w:tc>
        <w:tc>
          <w:tcPr>
            <w:tcW w:w="956" w:type="pct"/>
            <w:tcBorders>
              <w:top w:val="single" w:color="000000" w:sz="4" w:space="0"/>
              <w:left w:val="single" w:color="000000" w:sz="4" w:space="0"/>
              <w:bottom w:val="single" w:color="000000" w:sz="4" w:space="0"/>
            </w:tcBorders>
          </w:tcPr>
          <w:p w14:paraId="3E758D28">
            <w:pPr>
              <w:pStyle w:val="182"/>
              <w:spacing w:before="105"/>
              <w:ind w:left="356" w:right="250"/>
              <w:rPr>
                <w:rFonts w:hint="default" w:ascii="Times New Roman" w:hAnsi="Times New Roman" w:cs="Times New Roman"/>
                <w:sz w:val="18"/>
              </w:rPr>
            </w:pPr>
            <w:r>
              <w:rPr>
                <w:rFonts w:hint="default" w:ascii="Times New Roman" w:hAnsi="Times New Roman" w:cs="Times New Roman"/>
                <w:sz w:val="18"/>
              </w:rPr>
              <w:t xml:space="preserve">出厂≥1.0 </w:t>
            </w:r>
          </w:p>
          <w:p w14:paraId="76B78CA7">
            <w:pPr>
              <w:pStyle w:val="182"/>
              <w:spacing w:before="5"/>
              <w:ind w:left="356" w:right="250"/>
              <w:rPr>
                <w:rFonts w:hint="default" w:ascii="Times New Roman" w:hAnsi="Times New Roman" w:cs="Times New Roman"/>
                <w:sz w:val="18"/>
              </w:rPr>
            </w:pPr>
            <w:r>
              <w:rPr>
                <w:rFonts w:hint="default" w:ascii="Times New Roman" w:hAnsi="Times New Roman" w:cs="Times New Roman"/>
                <w:sz w:val="18"/>
              </w:rPr>
              <w:t xml:space="preserve">管网末端≥0.2 </w:t>
            </w:r>
          </w:p>
        </w:tc>
      </w:tr>
      <w:tr w14:paraId="4AE7B2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1" w:hRule="atLeast"/>
          <w:jc w:val="center"/>
        </w:trPr>
        <w:tc>
          <w:tcPr>
            <w:tcW w:w="364" w:type="pct"/>
            <w:tcBorders>
              <w:top w:val="single" w:color="000000" w:sz="4" w:space="0"/>
              <w:right w:val="single" w:color="000000" w:sz="4" w:space="0"/>
            </w:tcBorders>
          </w:tcPr>
          <w:p w14:paraId="13C20AE1">
            <w:pPr>
              <w:pStyle w:val="182"/>
              <w:spacing w:before="7"/>
              <w:jc w:val="left"/>
              <w:rPr>
                <w:rFonts w:hint="default" w:ascii="Times New Roman" w:hAnsi="Times New Roman" w:cs="Times New Roman"/>
                <w:sz w:val="17"/>
              </w:rPr>
            </w:pPr>
          </w:p>
          <w:p w14:paraId="0056DCEC">
            <w:pPr>
              <w:pStyle w:val="182"/>
              <w:spacing w:before="0"/>
              <w:ind w:right="148"/>
              <w:jc w:val="right"/>
              <w:rPr>
                <w:rFonts w:hint="default" w:ascii="Times New Roman" w:hAnsi="Times New Roman" w:cs="Times New Roman"/>
                <w:sz w:val="18"/>
              </w:rPr>
            </w:pPr>
            <w:r>
              <w:rPr>
                <w:rFonts w:hint="default" w:ascii="Times New Roman" w:hAnsi="Times New Roman" w:cs="Times New Roman"/>
                <w:sz w:val="18"/>
              </w:rPr>
              <w:t xml:space="preserve">13 </w:t>
            </w:r>
          </w:p>
        </w:tc>
        <w:tc>
          <w:tcPr>
            <w:tcW w:w="1629" w:type="pct"/>
            <w:tcBorders>
              <w:top w:val="single" w:color="000000" w:sz="4" w:space="0"/>
              <w:left w:val="single" w:color="000000" w:sz="4" w:space="0"/>
              <w:right w:val="single" w:color="000000" w:sz="4" w:space="0"/>
            </w:tcBorders>
          </w:tcPr>
          <w:p w14:paraId="2495803D">
            <w:pPr>
              <w:pStyle w:val="182"/>
              <w:spacing w:before="108"/>
              <w:ind w:left="329" w:right="219"/>
              <w:rPr>
                <w:rFonts w:hint="default" w:ascii="Times New Roman" w:hAnsi="Times New Roman" w:cs="Times New Roman"/>
                <w:sz w:val="18"/>
              </w:rPr>
            </w:pPr>
            <w:r>
              <w:rPr>
                <w:rFonts w:hint="default" w:ascii="Times New Roman" w:hAnsi="Times New Roman" w:cs="Times New Roman"/>
                <w:sz w:val="18"/>
              </w:rPr>
              <w:t xml:space="preserve">大肠埃希氏菌 </w:t>
            </w:r>
          </w:p>
          <w:p w14:paraId="45FA0F83">
            <w:pPr>
              <w:pStyle w:val="182"/>
              <w:spacing w:before="2"/>
              <w:ind w:left="331" w:right="219"/>
              <w:rPr>
                <w:rFonts w:hint="default" w:ascii="Times New Roman" w:hAnsi="Times New Roman" w:cs="Times New Roman"/>
                <w:sz w:val="18"/>
              </w:rPr>
            </w:pPr>
            <w:r>
              <w:rPr>
                <w:rFonts w:hint="default" w:ascii="Times New Roman" w:hAnsi="Times New Roman" w:cs="Times New Roman"/>
                <w:sz w:val="18"/>
              </w:rPr>
              <w:t xml:space="preserve">（MPN/100 mL 或 CFU/100 mL） </w:t>
            </w:r>
          </w:p>
        </w:tc>
        <w:tc>
          <w:tcPr>
            <w:tcW w:w="961" w:type="pct"/>
            <w:tcBorders>
              <w:top w:val="single" w:color="000000" w:sz="4" w:space="0"/>
              <w:left w:val="single" w:color="000000" w:sz="4" w:space="0"/>
              <w:right w:val="single" w:color="000000" w:sz="4" w:space="0"/>
            </w:tcBorders>
          </w:tcPr>
          <w:p w14:paraId="352E2EA5">
            <w:pPr>
              <w:pStyle w:val="182"/>
              <w:spacing w:before="7"/>
              <w:jc w:val="left"/>
              <w:rPr>
                <w:rFonts w:hint="default" w:ascii="Times New Roman" w:hAnsi="Times New Roman" w:cs="Times New Roman"/>
                <w:sz w:val="17"/>
              </w:rPr>
            </w:pPr>
          </w:p>
          <w:p w14:paraId="05D6B543">
            <w:pPr>
              <w:pStyle w:val="182"/>
              <w:spacing w:before="0"/>
              <w:ind w:left="275" w:right="168"/>
              <w:rPr>
                <w:rFonts w:hint="default" w:ascii="Times New Roman" w:hAnsi="Times New Roman" w:cs="Times New Roman"/>
                <w:sz w:val="18"/>
              </w:rPr>
            </w:pPr>
            <w:r>
              <w:rPr>
                <w:rFonts w:hint="default" w:ascii="Times New Roman" w:hAnsi="Times New Roman" w:cs="Times New Roman"/>
                <w:sz w:val="18"/>
              </w:rPr>
              <w:t xml:space="preserve">不应检出 </w:t>
            </w:r>
          </w:p>
        </w:tc>
        <w:tc>
          <w:tcPr>
            <w:tcW w:w="962" w:type="pct"/>
            <w:tcBorders>
              <w:top w:val="single" w:color="000000" w:sz="4" w:space="0"/>
              <w:left w:val="single" w:color="000000" w:sz="4" w:space="0"/>
              <w:right w:val="single" w:color="000000" w:sz="4" w:space="0"/>
            </w:tcBorders>
          </w:tcPr>
          <w:p w14:paraId="34CBC1D5">
            <w:pPr>
              <w:pStyle w:val="182"/>
              <w:spacing w:before="7"/>
              <w:jc w:val="left"/>
              <w:rPr>
                <w:rFonts w:hint="default" w:ascii="Times New Roman" w:hAnsi="Times New Roman" w:cs="Times New Roman"/>
                <w:sz w:val="17"/>
              </w:rPr>
            </w:pPr>
          </w:p>
          <w:p w14:paraId="453B7900">
            <w:pPr>
              <w:pStyle w:val="182"/>
              <w:spacing w:before="0"/>
              <w:ind w:left="566"/>
              <w:jc w:val="left"/>
              <w:rPr>
                <w:rFonts w:hint="default" w:ascii="Times New Roman" w:hAnsi="Times New Roman" w:cs="Times New Roman"/>
                <w:sz w:val="18"/>
              </w:rPr>
            </w:pPr>
            <w:r>
              <w:rPr>
                <w:rFonts w:hint="default" w:ascii="Times New Roman" w:hAnsi="Times New Roman" w:cs="Times New Roman"/>
                <w:sz w:val="18"/>
              </w:rPr>
              <w:t xml:space="preserve">不应检出 </w:t>
            </w:r>
          </w:p>
        </w:tc>
        <w:tc>
          <w:tcPr>
            <w:tcW w:w="956" w:type="pct"/>
            <w:tcBorders>
              <w:top w:val="single" w:color="000000" w:sz="4" w:space="0"/>
              <w:left w:val="single" w:color="000000" w:sz="4" w:space="0"/>
            </w:tcBorders>
          </w:tcPr>
          <w:p w14:paraId="51DD0D79">
            <w:pPr>
              <w:pStyle w:val="182"/>
              <w:spacing w:before="7"/>
              <w:jc w:val="left"/>
              <w:rPr>
                <w:rFonts w:hint="default" w:ascii="Times New Roman" w:hAnsi="Times New Roman" w:cs="Times New Roman"/>
                <w:sz w:val="17"/>
              </w:rPr>
            </w:pPr>
          </w:p>
          <w:p w14:paraId="305386A4">
            <w:pPr>
              <w:pStyle w:val="182"/>
              <w:spacing w:before="0"/>
              <w:ind w:left="556"/>
              <w:jc w:val="left"/>
              <w:rPr>
                <w:rFonts w:hint="default" w:ascii="Times New Roman" w:hAnsi="Times New Roman" w:cs="Times New Roman"/>
                <w:sz w:val="18"/>
              </w:rPr>
            </w:pPr>
            <w:r>
              <w:rPr>
                <w:rFonts w:hint="default" w:ascii="Times New Roman" w:hAnsi="Times New Roman" w:cs="Times New Roman"/>
                <w:sz w:val="18"/>
              </w:rPr>
              <w:t xml:space="preserve">不应检出 </w:t>
            </w:r>
          </w:p>
        </w:tc>
      </w:tr>
      <w:tr w14:paraId="2AEC3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4875" w:type="pct"/>
            <w:gridSpan w:val="5"/>
          </w:tcPr>
          <w:p w14:paraId="146C8CB1">
            <w:pPr>
              <w:pStyle w:val="182"/>
              <w:snapToGrid w:val="0"/>
              <w:spacing w:before="167"/>
              <w:ind w:left="437"/>
              <w:jc w:val="left"/>
              <w:rPr>
                <w:rFonts w:hint="default" w:ascii="Times New Roman" w:hAnsi="Times New Roman" w:cs="Times New Roman"/>
                <w:sz w:val="18"/>
              </w:rPr>
            </w:pPr>
            <w:r>
              <w:rPr>
                <w:rFonts w:hint="default" w:ascii="Times New Roman" w:hAnsi="Times New Roman" w:eastAsia="黑体" w:cs="Times New Roman"/>
                <w:sz w:val="18"/>
              </w:rPr>
              <w:t>注： 1.</w:t>
            </w:r>
            <w:r>
              <w:rPr>
                <w:rFonts w:hint="default" w:ascii="Times New Roman" w:hAnsi="Times New Roman" w:cs="Times New Roman"/>
                <w:sz w:val="18"/>
              </w:rPr>
              <w:t xml:space="preserve">“—”表示对此项无要求。 </w:t>
            </w:r>
          </w:p>
          <w:p w14:paraId="52787289">
            <w:pPr>
              <w:pStyle w:val="182"/>
              <w:snapToGrid w:val="0"/>
              <w:spacing w:before="167"/>
              <w:ind w:left="437"/>
              <w:jc w:val="left"/>
              <w:rPr>
                <w:rFonts w:hint="default" w:ascii="Times New Roman" w:hAnsi="Times New Roman" w:cs="Times New Roman"/>
                <w:sz w:val="18"/>
              </w:rPr>
            </w:pPr>
            <w:r>
              <w:rPr>
                <w:rFonts w:hint="default" w:ascii="Times New Roman" w:hAnsi="Times New Roman" w:cs="Times New Roman"/>
                <w:sz w:val="18"/>
              </w:rPr>
              <w:t xml:space="preserve">     2.括号内指标值为沿海及本地水源中溶解性固体含量较高的地区的指标。</w:t>
            </w:r>
          </w:p>
        </w:tc>
      </w:tr>
    </w:tbl>
    <w:p w14:paraId="19964FF9">
      <w:pPr>
        <w:widowControl/>
        <w:adjustRightInd w:val="0"/>
        <w:snapToGrid w:val="0"/>
        <w:jc w:val="center"/>
        <w:textAlignment w:val="center"/>
        <w:rPr>
          <w:rFonts w:hint="default" w:ascii="Times New Roman" w:hAnsi="Times New Roman" w:cs="Times New Roman" w:eastAsiaTheme="minorEastAsia"/>
          <w:kern w:val="0"/>
          <w:sz w:val="18"/>
          <w:szCs w:val="18"/>
          <w:lang w:bidi="ar"/>
        </w:rPr>
      </w:pPr>
    </w:p>
    <w:p w14:paraId="12E16184">
      <w:pPr>
        <w:widowControl/>
        <w:adjustRightInd w:val="0"/>
        <w:snapToGrid w:val="0"/>
        <w:jc w:val="center"/>
        <w:textAlignment w:val="center"/>
        <w:rPr>
          <w:rFonts w:hint="default" w:ascii="Times New Roman" w:hAnsi="Times New Roman" w:cs="Times New Roman" w:eastAsiaTheme="minorEastAsia"/>
          <w:kern w:val="0"/>
          <w:sz w:val="18"/>
          <w:szCs w:val="18"/>
          <w:lang w:bidi="ar"/>
        </w:rPr>
      </w:pPr>
    </w:p>
    <w:p w14:paraId="28A01B79">
      <w:pPr>
        <w:autoSpaceDE w:val="0"/>
        <w:autoSpaceDN w:val="0"/>
        <w:spacing w:before="43"/>
        <w:ind w:left="532"/>
        <w:jc w:val="left"/>
        <w:rPr>
          <w:rFonts w:hint="default" w:ascii="Times New Roman" w:hAnsi="Times New Roman" w:cs="Times New Roman"/>
          <w:szCs w:val="21"/>
        </w:rPr>
      </w:pPr>
      <w:r>
        <w:rPr>
          <w:rFonts w:hint="default" w:ascii="Times New Roman" w:hAnsi="Times New Roman" w:cs="Times New Roman"/>
          <w:szCs w:val="21"/>
        </w:rPr>
        <w:t xml:space="preserve">再生水市政杂用水质选择控制项目与限值见表A.2。 </w:t>
      </w:r>
    </w:p>
    <w:p w14:paraId="15555701">
      <w:pPr>
        <w:autoSpaceDE w:val="0"/>
        <w:autoSpaceDN w:val="0"/>
        <w:spacing w:before="175"/>
        <w:ind w:left="24" w:right="726"/>
        <w:jc w:val="center"/>
        <w:rPr>
          <w:rFonts w:hint="default" w:ascii="Times New Roman" w:hAnsi="Times New Roman" w:eastAsia="黑体" w:cs="Times New Roman"/>
          <w:szCs w:val="21"/>
        </w:rPr>
      </w:pPr>
      <w:r>
        <w:rPr>
          <w:rFonts w:hint="default" w:ascii="Times New Roman" w:hAnsi="Times New Roman" w:eastAsia="黑体" w:cs="Times New Roman"/>
          <w:szCs w:val="21"/>
        </w:rPr>
        <w:t>表A.2 再生水市政杂用水质选择控制项目与限值</w:t>
      </w:r>
    </w:p>
    <w:p w14:paraId="652B35B8">
      <w:pPr>
        <w:autoSpaceDE w:val="0"/>
        <w:autoSpaceDN w:val="0"/>
        <w:spacing w:before="3"/>
        <w:jc w:val="left"/>
        <w:rPr>
          <w:rFonts w:hint="default" w:ascii="Times New Roman" w:hAnsi="Times New Roman" w:cs="Times New Roman"/>
          <w:sz w:val="12"/>
          <w:szCs w:val="21"/>
        </w:rPr>
      </w:pPr>
    </w:p>
    <w:tbl>
      <w:tblPr>
        <w:tblStyle w:val="74"/>
        <w:tblW w:w="0" w:type="auto"/>
        <w:tblInd w:w="12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98"/>
        <w:gridCol w:w="4255"/>
        <w:gridCol w:w="4380"/>
      </w:tblGrid>
      <w:tr w14:paraId="3D3A0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698" w:type="dxa"/>
            <w:tcBorders>
              <w:right w:val="single" w:color="000000" w:sz="4" w:space="0"/>
            </w:tcBorders>
          </w:tcPr>
          <w:p w14:paraId="3D353F24">
            <w:pPr>
              <w:autoSpaceDE w:val="0"/>
              <w:autoSpaceDN w:val="0"/>
              <w:spacing w:before="167"/>
              <w:ind w:left="197" w:right="86"/>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序号 </w:t>
            </w:r>
          </w:p>
        </w:tc>
        <w:tc>
          <w:tcPr>
            <w:tcW w:w="4255" w:type="dxa"/>
            <w:tcBorders>
              <w:left w:val="single" w:color="000000" w:sz="4" w:space="0"/>
              <w:right w:val="single" w:color="000000" w:sz="4" w:space="0"/>
            </w:tcBorders>
          </w:tcPr>
          <w:p w14:paraId="0E1D828A">
            <w:pPr>
              <w:autoSpaceDE w:val="0"/>
              <w:autoSpaceDN w:val="0"/>
              <w:spacing w:before="167"/>
              <w:ind w:left="1527" w:right="141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项目 </w:t>
            </w:r>
          </w:p>
        </w:tc>
        <w:tc>
          <w:tcPr>
            <w:tcW w:w="4380" w:type="dxa"/>
            <w:tcBorders>
              <w:left w:val="single" w:color="000000" w:sz="4" w:space="0"/>
            </w:tcBorders>
          </w:tcPr>
          <w:p w14:paraId="5A6BEE84">
            <w:pPr>
              <w:autoSpaceDE w:val="0"/>
              <w:autoSpaceDN w:val="0"/>
              <w:spacing w:before="167"/>
              <w:ind w:right="1901"/>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限值 </w:t>
            </w:r>
          </w:p>
        </w:tc>
      </w:tr>
      <w:tr w14:paraId="0C0AD3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3" w:hRule="atLeast"/>
        </w:trPr>
        <w:tc>
          <w:tcPr>
            <w:tcW w:w="698" w:type="dxa"/>
            <w:tcBorders>
              <w:bottom w:val="single" w:color="000000" w:sz="4" w:space="0"/>
              <w:right w:val="single" w:color="000000" w:sz="4" w:space="0"/>
            </w:tcBorders>
          </w:tcPr>
          <w:p w14:paraId="32B501F8">
            <w:pPr>
              <w:autoSpaceDE w:val="0"/>
              <w:autoSpaceDN w:val="0"/>
              <w:spacing w:before="110"/>
              <w:ind w:left="197" w:right="8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1 </w:t>
            </w:r>
          </w:p>
        </w:tc>
        <w:tc>
          <w:tcPr>
            <w:tcW w:w="4255" w:type="dxa"/>
            <w:tcBorders>
              <w:left w:val="single" w:color="000000" w:sz="4" w:space="0"/>
              <w:bottom w:val="single" w:color="000000" w:sz="4" w:space="0"/>
              <w:right w:val="single" w:color="000000" w:sz="4" w:space="0"/>
            </w:tcBorders>
          </w:tcPr>
          <w:p w14:paraId="6259D90D">
            <w:pPr>
              <w:autoSpaceDE w:val="0"/>
              <w:autoSpaceDN w:val="0"/>
              <w:spacing w:before="110"/>
              <w:ind w:left="1527" w:right="1417"/>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氯化物（mg/L） </w:t>
            </w:r>
          </w:p>
        </w:tc>
        <w:tc>
          <w:tcPr>
            <w:tcW w:w="4380" w:type="dxa"/>
            <w:tcBorders>
              <w:left w:val="single" w:color="000000" w:sz="4" w:space="0"/>
              <w:bottom w:val="single" w:color="000000" w:sz="4" w:space="0"/>
            </w:tcBorders>
          </w:tcPr>
          <w:p w14:paraId="0B9A11D9">
            <w:pPr>
              <w:autoSpaceDE w:val="0"/>
              <w:autoSpaceDN w:val="0"/>
              <w:spacing w:before="110"/>
              <w:ind w:right="1858"/>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≤350 </w:t>
            </w:r>
          </w:p>
        </w:tc>
      </w:tr>
      <w:tr w14:paraId="5AC41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5" w:hRule="atLeast"/>
        </w:trPr>
        <w:tc>
          <w:tcPr>
            <w:tcW w:w="698" w:type="dxa"/>
            <w:tcBorders>
              <w:top w:val="single" w:color="000000" w:sz="4" w:space="0"/>
              <w:right w:val="single" w:color="000000" w:sz="4" w:space="0"/>
            </w:tcBorders>
          </w:tcPr>
          <w:p w14:paraId="023CC5C4">
            <w:pPr>
              <w:autoSpaceDE w:val="0"/>
              <w:autoSpaceDN w:val="0"/>
              <w:spacing w:before="110"/>
              <w:ind w:left="197" w:right="8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2 </w:t>
            </w:r>
          </w:p>
        </w:tc>
        <w:tc>
          <w:tcPr>
            <w:tcW w:w="4255" w:type="dxa"/>
            <w:tcBorders>
              <w:top w:val="single" w:color="000000" w:sz="4" w:space="0"/>
              <w:left w:val="single" w:color="000000" w:sz="4" w:space="0"/>
              <w:right w:val="single" w:color="000000" w:sz="4" w:space="0"/>
            </w:tcBorders>
          </w:tcPr>
          <w:p w14:paraId="03FE88AC">
            <w:pPr>
              <w:autoSpaceDE w:val="0"/>
              <w:autoSpaceDN w:val="0"/>
              <w:spacing w:before="110"/>
              <w:ind w:left="1527" w:right="1417"/>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硫酸盐（mg/L） </w:t>
            </w:r>
          </w:p>
        </w:tc>
        <w:tc>
          <w:tcPr>
            <w:tcW w:w="4380" w:type="dxa"/>
            <w:tcBorders>
              <w:top w:val="single" w:color="000000" w:sz="4" w:space="0"/>
              <w:left w:val="single" w:color="000000" w:sz="4" w:space="0"/>
            </w:tcBorders>
          </w:tcPr>
          <w:p w14:paraId="4C3210A5">
            <w:pPr>
              <w:autoSpaceDE w:val="0"/>
              <w:autoSpaceDN w:val="0"/>
              <w:spacing w:before="110"/>
              <w:ind w:right="1858"/>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≤500 </w:t>
            </w:r>
          </w:p>
        </w:tc>
      </w:tr>
    </w:tbl>
    <w:p w14:paraId="700FD36E">
      <w:pPr>
        <w:autoSpaceDE w:val="0"/>
        <w:autoSpaceDN w:val="0"/>
        <w:jc w:val="left"/>
        <w:rPr>
          <w:rFonts w:hint="default" w:ascii="Times New Roman" w:hAnsi="Times New Roman" w:cs="Times New Roman"/>
          <w:sz w:val="24"/>
          <w:szCs w:val="21"/>
          <w:lang w:eastAsia="en-US"/>
        </w:rPr>
      </w:pPr>
    </w:p>
    <w:p w14:paraId="7C0143BF">
      <w:pPr>
        <w:autoSpaceDE w:val="0"/>
        <w:autoSpaceDN w:val="0"/>
        <w:jc w:val="left"/>
        <w:rPr>
          <w:rFonts w:hint="default" w:ascii="Times New Roman" w:hAnsi="Times New Roman" w:cs="Times New Roman"/>
          <w:sz w:val="20"/>
          <w:szCs w:val="21"/>
          <w:lang w:eastAsia="en-US"/>
        </w:rPr>
      </w:pPr>
    </w:p>
    <w:p w14:paraId="652C35AA">
      <w:pPr>
        <w:widowControl/>
        <w:autoSpaceDE w:val="0"/>
        <w:autoSpaceDN w:val="0"/>
        <w:adjustRightInd/>
        <w:snapToGrid/>
        <w:spacing w:before="175"/>
        <w:ind w:left="24" w:right="726"/>
        <w:jc w:val="center"/>
        <w:textAlignment w:val="auto"/>
        <w:rPr>
          <w:rFonts w:hint="default" w:ascii="Times New Roman" w:hAnsi="Times New Roman" w:eastAsia="黑体" w:cs="Times New Roman"/>
          <w:kern w:val="2"/>
          <w:sz w:val="21"/>
          <w:szCs w:val="21"/>
          <w:lang w:bidi="ar"/>
        </w:rPr>
      </w:pPr>
      <w:r>
        <w:rPr>
          <w:rFonts w:hint="default" w:ascii="Times New Roman" w:hAnsi="Times New Roman" w:eastAsia="黑体" w:cs="Times New Roman"/>
          <w:kern w:val="2"/>
          <w:sz w:val="21"/>
          <w:szCs w:val="21"/>
          <w:lang w:bidi="ar"/>
        </w:rPr>
        <w:t>表</w:t>
      </w:r>
      <w:r>
        <w:rPr>
          <w:rFonts w:hint="default" w:ascii="Times New Roman" w:hAnsi="Times New Roman" w:eastAsia="黑体" w:cs="Times New Roman"/>
          <w:kern w:val="2"/>
          <w:sz w:val="21"/>
          <w:szCs w:val="21"/>
          <w:lang w:eastAsia="zh-CN" w:bidi="ar"/>
        </w:rPr>
        <w:t>A</w:t>
      </w:r>
      <w:r>
        <w:rPr>
          <w:rFonts w:hint="default" w:ascii="Times New Roman" w:hAnsi="Times New Roman" w:eastAsia="黑体" w:cs="Times New Roman"/>
          <w:kern w:val="2"/>
          <w:sz w:val="21"/>
          <w:szCs w:val="21"/>
          <w:lang w:val="en-US" w:eastAsia="zh-CN" w:bidi="ar"/>
        </w:rPr>
        <w:t>.3</w:t>
      </w:r>
      <w:r>
        <w:rPr>
          <w:rFonts w:hint="default" w:ascii="Times New Roman" w:hAnsi="Times New Roman" w:eastAsia="黑体" w:cs="Times New Roman"/>
          <w:kern w:val="2"/>
          <w:sz w:val="21"/>
          <w:szCs w:val="21"/>
          <w:lang w:bidi="ar"/>
        </w:rPr>
        <w:t xml:space="preserve"> 混凝土拌合用水水质要求</w:t>
      </w:r>
    </w:p>
    <w:tbl>
      <w:tblPr>
        <w:tblStyle w:val="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2"/>
        <w:gridCol w:w="2393"/>
        <w:gridCol w:w="2393"/>
        <w:gridCol w:w="2393"/>
      </w:tblGrid>
      <w:tr w14:paraId="3CFA6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392" w:type="dxa"/>
            <w:vAlign w:val="center"/>
          </w:tcPr>
          <w:p w14:paraId="2C831CF9">
            <w:pPr>
              <w:widowControl/>
              <w:adjustRightInd w:val="0"/>
              <w:snapToGrid w:val="0"/>
              <w:jc w:val="center"/>
              <w:textAlignment w:val="center"/>
              <w:rPr>
                <w:rFonts w:hint="default" w:ascii="Times New Roman" w:hAnsi="Times New Roman" w:cs="Times New Roman" w:eastAsiaTheme="minorEastAsia"/>
                <w:kern w:val="0"/>
                <w:sz w:val="18"/>
                <w:szCs w:val="18"/>
                <w:lang w:val="en-US" w:eastAsia="zh-CN" w:bidi="ar"/>
              </w:rPr>
            </w:pPr>
            <w:r>
              <w:rPr>
                <w:rFonts w:hint="default" w:ascii="Times New Roman" w:hAnsi="Times New Roman" w:cs="Times New Roman" w:eastAsiaTheme="minorEastAsia"/>
                <w:kern w:val="0"/>
                <w:sz w:val="18"/>
                <w:szCs w:val="18"/>
                <w:lang w:bidi="ar"/>
              </w:rPr>
              <w:t>项目</w:t>
            </w:r>
          </w:p>
        </w:tc>
        <w:tc>
          <w:tcPr>
            <w:tcW w:w="2393" w:type="dxa"/>
            <w:vAlign w:val="center"/>
          </w:tcPr>
          <w:p w14:paraId="7FFD773A">
            <w:pPr>
              <w:widowControl/>
              <w:adjustRightInd w:val="0"/>
              <w:snapToGrid w:val="0"/>
              <w:jc w:val="center"/>
              <w:textAlignment w:val="center"/>
              <w:rPr>
                <w:rFonts w:hint="default" w:ascii="Times New Roman" w:hAnsi="Times New Roman" w:cs="Times New Roman" w:eastAsiaTheme="minorEastAsia"/>
                <w:kern w:val="0"/>
                <w:sz w:val="18"/>
                <w:szCs w:val="18"/>
                <w:lang w:val="en-US" w:eastAsia="zh-CN" w:bidi="ar"/>
              </w:rPr>
            </w:pPr>
            <w:r>
              <w:rPr>
                <w:rFonts w:hint="default" w:ascii="Times New Roman" w:hAnsi="Times New Roman" w:cs="Times New Roman" w:eastAsiaTheme="minorEastAsia"/>
                <w:kern w:val="0"/>
                <w:sz w:val="18"/>
                <w:szCs w:val="18"/>
                <w:lang w:val="en-US" w:eastAsia="zh-CN" w:bidi="ar"/>
              </w:rPr>
              <w:t>预应力</w:t>
            </w:r>
            <w:r>
              <w:rPr>
                <w:rFonts w:hint="default" w:ascii="Times New Roman" w:hAnsi="Times New Roman" w:cs="Times New Roman" w:eastAsiaTheme="minorEastAsia"/>
                <w:kern w:val="0"/>
                <w:sz w:val="18"/>
                <w:szCs w:val="18"/>
                <w:lang w:bidi="ar"/>
              </w:rPr>
              <w:t>混凝土</w:t>
            </w:r>
          </w:p>
        </w:tc>
        <w:tc>
          <w:tcPr>
            <w:tcW w:w="2393" w:type="dxa"/>
            <w:vAlign w:val="center"/>
          </w:tcPr>
          <w:p w14:paraId="3DCAEC69">
            <w:pPr>
              <w:widowControl/>
              <w:adjustRightInd w:val="0"/>
              <w:snapToGrid w:val="0"/>
              <w:jc w:val="center"/>
              <w:textAlignment w:val="center"/>
              <w:rPr>
                <w:rFonts w:hint="default" w:ascii="Times New Roman" w:hAnsi="Times New Roman" w:cs="Times New Roman" w:eastAsiaTheme="minorEastAsia"/>
                <w:kern w:val="0"/>
                <w:sz w:val="18"/>
                <w:szCs w:val="18"/>
                <w:lang w:val="en-US" w:eastAsia="zh-CN" w:bidi="ar"/>
              </w:rPr>
            </w:pPr>
            <w:r>
              <w:rPr>
                <w:rFonts w:hint="default" w:ascii="Times New Roman" w:hAnsi="Times New Roman" w:cs="Times New Roman" w:eastAsiaTheme="minorEastAsia"/>
                <w:kern w:val="0"/>
                <w:sz w:val="18"/>
                <w:szCs w:val="18"/>
                <w:lang w:bidi="ar"/>
              </w:rPr>
              <w:t>钢筋混凝土</w:t>
            </w:r>
          </w:p>
        </w:tc>
        <w:tc>
          <w:tcPr>
            <w:tcW w:w="2393" w:type="dxa"/>
            <w:vAlign w:val="center"/>
          </w:tcPr>
          <w:p w14:paraId="3B7F37B3">
            <w:pPr>
              <w:widowControl/>
              <w:adjustRightInd w:val="0"/>
              <w:snapToGrid w:val="0"/>
              <w:jc w:val="center"/>
              <w:textAlignment w:val="center"/>
              <w:rPr>
                <w:rFonts w:hint="default" w:ascii="Times New Roman" w:hAnsi="Times New Roman" w:cs="Times New Roman" w:eastAsiaTheme="minorEastAsia"/>
                <w:kern w:val="0"/>
                <w:sz w:val="18"/>
                <w:szCs w:val="18"/>
                <w:lang w:val="en-US" w:eastAsia="zh-CN" w:bidi="ar"/>
              </w:rPr>
            </w:pPr>
            <w:r>
              <w:rPr>
                <w:rFonts w:hint="default" w:ascii="Times New Roman" w:hAnsi="Times New Roman" w:cs="Times New Roman" w:eastAsiaTheme="minorEastAsia"/>
                <w:kern w:val="0"/>
                <w:sz w:val="18"/>
                <w:szCs w:val="18"/>
                <w:lang w:bidi="ar"/>
              </w:rPr>
              <w:t>素混凝土</w:t>
            </w:r>
          </w:p>
        </w:tc>
      </w:tr>
      <w:tr w14:paraId="6EB93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92" w:type="dxa"/>
            <w:vAlign w:val="center"/>
          </w:tcPr>
          <w:p w14:paraId="679D9D4E">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pH 值</w:t>
            </w:r>
          </w:p>
        </w:tc>
        <w:tc>
          <w:tcPr>
            <w:tcW w:w="2393" w:type="dxa"/>
            <w:vAlign w:val="center"/>
          </w:tcPr>
          <w:p w14:paraId="26E6D339">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&gt;5.0</w:t>
            </w:r>
          </w:p>
        </w:tc>
        <w:tc>
          <w:tcPr>
            <w:tcW w:w="2393" w:type="dxa"/>
            <w:vAlign w:val="center"/>
          </w:tcPr>
          <w:p w14:paraId="3AAACB4F">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&gt;4.5</w:t>
            </w:r>
          </w:p>
        </w:tc>
        <w:tc>
          <w:tcPr>
            <w:tcW w:w="2393" w:type="dxa"/>
            <w:vAlign w:val="center"/>
          </w:tcPr>
          <w:p w14:paraId="4662830C">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&gt;4.5</w:t>
            </w:r>
          </w:p>
        </w:tc>
      </w:tr>
      <w:tr w14:paraId="70A25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92" w:type="dxa"/>
            <w:vAlign w:val="center"/>
          </w:tcPr>
          <w:p w14:paraId="0335EBD4">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不溶物(mg/L)</w:t>
            </w:r>
          </w:p>
        </w:tc>
        <w:tc>
          <w:tcPr>
            <w:tcW w:w="2393" w:type="dxa"/>
            <w:vAlign w:val="center"/>
          </w:tcPr>
          <w:p w14:paraId="4B3E91F4">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&lt;2000</w:t>
            </w:r>
          </w:p>
        </w:tc>
        <w:tc>
          <w:tcPr>
            <w:tcW w:w="2393" w:type="dxa"/>
            <w:vAlign w:val="center"/>
          </w:tcPr>
          <w:p w14:paraId="7A4208EF">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&lt;2000</w:t>
            </w:r>
          </w:p>
        </w:tc>
        <w:tc>
          <w:tcPr>
            <w:tcW w:w="2393" w:type="dxa"/>
            <w:vAlign w:val="center"/>
          </w:tcPr>
          <w:p w14:paraId="14D1B0C0">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&lt;5000</w:t>
            </w:r>
          </w:p>
        </w:tc>
      </w:tr>
      <w:tr w14:paraId="45C47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92" w:type="dxa"/>
            <w:vAlign w:val="center"/>
          </w:tcPr>
          <w:p w14:paraId="19BBE029">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可溶物(mg/L)</w:t>
            </w:r>
          </w:p>
        </w:tc>
        <w:tc>
          <w:tcPr>
            <w:tcW w:w="2393" w:type="dxa"/>
            <w:vAlign w:val="center"/>
          </w:tcPr>
          <w:p w14:paraId="58A7748A">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&lt;2000</w:t>
            </w:r>
          </w:p>
        </w:tc>
        <w:tc>
          <w:tcPr>
            <w:tcW w:w="2393" w:type="dxa"/>
            <w:vAlign w:val="center"/>
          </w:tcPr>
          <w:p w14:paraId="547E62DD">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&lt;5000</w:t>
            </w:r>
          </w:p>
        </w:tc>
        <w:tc>
          <w:tcPr>
            <w:tcW w:w="2393" w:type="dxa"/>
            <w:vAlign w:val="center"/>
          </w:tcPr>
          <w:p w14:paraId="21E7FC3E">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&lt;10000</w:t>
            </w:r>
          </w:p>
        </w:tc>
      </w:tr>
      <w:tr w14:paraId="41E7E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92" w:type="dxa"/>
            <w:vAlign w:val="center"/>
          </w:tcPr>
          <w:p w14:paraId="20BFDBB0">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C1(mg/L)</w:t>
            </w:r>
          </w:p>
        </w:tc>
        <w:tc>
          <w:tcPr>
            <w:tcW w:w="2393" w:type="dxa"/>
            <w:vAlign w:val="center"/>
          </w:tcPr>
          <w:p w14:paraId="1FE2F291">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&lt;500</w:t>
            </w:r>
          </w:p>
        </w:tc>
        <w:tc>
          <w:tcPr>
            <w:tcW w:w="2393" w:type="dxa"/>
            <w:vAlign w:val="center"/>
          </w:tcPr>
          <w:p w14:paraId="603772F8">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&lt;1000</w:t>
            </w:r>
          </w:p>
        </w:tc>
        <w:tc>
          <w:tcPr>
            <w:tcW w:w="2393" w:type="dxa"/>
            <w:vAlign w:val="center"/>
          </w:tcPr>
          <w:p w14:paraId="746815AD">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&lt;3500</w:t>
            </w:r>
          </w:p>
        </w:tc>
      </w:tr>
      <w:tr w14:paraId="1EA68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92" w:type="dxa"/>
            <w:vAlign w:val="center"/>
          </w:tcPr>
          <w:p w14:paraId="529BE7B7">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val="en-US" w:eastAsia="zh-CN" w:bidi="ar"/>
              </w:rPr>
              <w:t>SO</w:t>
            </w:r>
            <w:r>
              <w:rPr>
                <w:rFonts w:hint="default" w:ascii="Times New Roman" w:hAnsi="Times New Roman" w:cs="Times New Roman" w:eastAsiaTheme="minorEastAsia"/>
                <w:kern w:val="0"/>
                <w:sz w:val="18"/>
                <w:szCs w:val="18"/>
                <w:vertAlign w:val="subscript"/>
                <w:lang w:val="en-US" w:eastAsia="zh-CN" w:bidi="ar"/>
              </w:rPr>
              <w:t>4</w:t>
            </w:r>
            <w:r>
              <w:rPr>
                <w:rFonts w:hint="default" w:ascii="Times New Roman" w:hAnsi="Times New Roman" w:cs="Times New Roman" w:eastAsiaTheme="minorEastAsia"/>
                <w:kern w:val="0"/>
                <w:sz w:val="18"/>
                <w:szCs w:val="18"/>
                <w:vertAlign w:val="superscript"/>
                <w:lang w:val="en-US" w:eastAsia="zh-CN" w:bidi="ar"/>
              </w:rPr>
              <w:t>2</w:t>
            </w:r>
            <w:r>
              <w:rPr>
                <w:rFonts w:hint="default" w:ascii="Times New Roman" w:hAnsi="Times New Roman" w:cs="Times New Roman" w:eastAsiaTheme="minorEastAsia"/>
                <w:kern w:val="0"/>
                <w:sz w:val="18"/>
                <w:szCs w:val="18"/>
                <w:lang w:bidi="ar"/>
              </w:rPr>
              <w:t>-(mg/L)</w:t>
            </w:r>
          </w:p>
        </w:tc>
        <w:tc>
          <w:tcPr>
            <w:tcW w:w="2393" w:type="dxa"/>
            <w:vAlign w:val="center"/>
          </w:tcPr>
          <w:p w14:paraId="519104BC">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&lt;600</w:t>
            </w:r>
          </w:p>
        </w:tc>
        <w:tc>
          <w:tcPr>
            <w:tcW w:w="2393" w:type="dxa"/>
            <w:vAlign w:val="center"/>
          </w:tcPr>
          <w:p w14:paraId="60474670">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&lt;2000</w:t>
            </w:r>
          </w:p>
        </w:tc>
        <w:tc>
          <w:tcPr>
            <w:tcW w:w="2393" w:type="dxa"/>
            <w:vAlign w:val="center"/>
          </w:tcPr>
          <w:p w14:paraId="64724687">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&lt;2700</w:t>
            </w:r>
          </w:p>
        </w:tc>
      </w:tr>
      <w:tr w14:paraId="0952F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392" w:type="dxa"/>
            <w:vAlign w:val="center"/>
          </w:tcPr>
          <w:p w14:paraId="76F4788C">
            <w:pPr>
              <w:widowControl/>
              <w:adjustRightInd w:val="0"/>
              <w:snapToGrid w:val="0"/>
              <w:jc w:val="center"/>
              <w:textAlignment w:val="center"/>
              <w:rPr>
                <w:rFonts w:hint="default" w:ascii="Times New Roman" w:hAnsi="Times New Roman" w:cs="Times New Roman" w:eastAsiaTheme="minorEastAsia"/>
                <w:kern w:val="0"/>
                <w:sz w:val="18"/>
                <w:szCs w:val="18"/>
                <w:lang w:eastAsia="zh-CN" w:bidi="ar"/>
              </w:rPr>
            </w:pPr>
            <w:r>
              <w:rPr>
                <w:rFonts w:hint="default" w:ascii="Times New Roman" w:hAnsi="Times New Roman" w:cs="Times New Roman" w:eastAsiaTheme="minorEastAsia"/>
                <w:kern w:val="0"/>
                <w:sz w:val="18"/>
                <w:szCs w:val="18"/>
                <w:lang w:eastAsia="zh-CN" w:bidi="ar"/>
              </w:rPr>
              <w:t>碱含量</w:t>
            </w:r>
            <w:r>
              <w:rPr>
                <w:rFonts w:hint="default" w:ascii="Times New Roman" w:hAnsi="Times New Roman" w:cs="Times New Roman" w:eastAsiaTheme="minorEastAsia"/>
                <w:kern w:val="0"/>
                <w:sz w:val="18"/>
                <w:szCs w:val="18"/>
                <w:lang w:bidi="ar"/>
              </w:rPr>
              <w:t>(mg/L)</w:t>
            </w:r>
          </w:p>
        </w:tc>
        <w:tc>
          <w:tcPr>
            <w:tcW w:w="2393" w:type="dxa"/>
            <w:vAlign w:val="center"/>
          </w:tcPr>
          <w:p w14:paraId="35AC873F">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&lt;1500</w:t>
            </w:r>
          </w:p>
        </w:tc>
        <w:tc>
          <w:tcPr>
            <w:tcW w:w="2393" w:type="dxa"/>
            <w:vAlign w:val="center"/>
          </w:tcPr>
          <w:p w14:paraId="0E043122">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&lt;1500</w:t>
            </w:r>
          </w:p>
        </w:tc>
        <w:tc>
          <w:tcPr>
            <w:tcW w:w="2393" w:type="dxa"/>
            <w:vAlign w:val="center"/>
          </w:tcPr>
          <w:p w14:paraId="0D5214C7">
            <w:pPr>
              <w:widowControl/>
              <w:adjustRightInd w:val="0"/>
              <w:snapToGrid w:val="0"/>
              <w:jc w:val="center"/>
              <w:textAlignment w:val="center"/>
              <w:rPr>
                <w:rFonts w:hint="default" w:ascii="Times New Roman" w:hAnsi="Times New Roman" w:cs="Times New Roman" w:eastAsiaTheme="minorEastAsia"/>
                <w:kern w:val="0"/>
                <w:sz w:val="18"/>
                <w:szCs w:val="18"/>
                <w:vertAlign w:val="baseline"/>
                <w:lang w:bidi="ar"/>
              </w:rPr>
            </w:pPr>
            <w:r>
              <w:rPr>
                <w:rFonts w:hint="default" w:ascii="Times New Roman" w:hAnsi="Times New Roman" w:cs="Times New Roman" w:eastAsiaTheme="minorEastAsia"/>
                <w:kern w:val="0"/>
                <w:sz w:val="18"/>
                <w:szCs w:val="18"/>
                <w:lang w:bidi="ar"/>
              </w:rPr>
              <w:t>&lt;1500</w:t>
            </w:r>
          </w:p>
        </w:tc>
      </w:tr>
    </w:tbl>
    <w:p w14:paraId="18EDC28D">
      <w:pPr>
        <w:widowControl/>
        <w:adjustRightInd w:val="0"/>
        <w:snapToGrid w:val="0"/>
        <w:jc w:val="left"/>
        <w:textAlignment w:val="center"/>
        <w:rPr>
          <w:rFonts w:hint="default" w:ascii="Times New Roman" w:hAnsi="Times New Roman" w:cs="Times New Roman" w:eastAsiaTheme="minorEastAsia"/>
          <w:kern w:val="0"/>
          <w:sz w:val="18"/>
          <w:szCs w:val="18"/>
          <w:lang w:bidi="ar"/>
        </w:rPr>
      </w:pPr>
      <w:r>
        <w:rPr>
          <w:rFonts w:hint="default" w:ascii="Times New Roman" w:hAnsi="Times New Roman" w:cs="Times New Roman" w:eastAsiaTheme="minorEastAsia"/>
          <w:kern w:val="0"/>
          <w:sz w:val="18"/>
          <w:szCs w:val="18"/>
          <w:lang w:bidi="ar"/>
        </w:rPr>
        <w:t>注:碱含量按Na</w:t>
      </w:r>
      <w:r>
        <w:rPr>
          <w:rFonts w:hint="default" w:ascii="Times New Roman" w:hAnsi="Times New Roman" w:cs="Times New Roman" w:eastAsiaTheme="minorEastAsia"/>
          <w:kern w:val="0"/>
          <w:sz w:val="18"/>
          <w:szCs w:val="18"/>
          <w:vertAlign w:val="subscript"/>
          <w:lang w:bidi="ar"/>
        </w:rPr>
        <w:t>2</w:t>
      </w:r>
      <w:r>
        <w:rPr>
          <w:rFonts w:hint="default" w:ascii="Times New Roman" w:hAnsi="Times New Roman" w:cs="Times New Roman" w:eastAsiaTheme="minorEastAsia"/>
          <w:kern w:val="0"/>
          <w:sz w:val="18"/>
          <w:szCs w:val="18"/>
          <w:lang w:val="en-US" w:eastAsia="zh-CN" w:bidi="ar"/>
        </w:rPr>
        <w:t>O</w:t>
      </w:r>
      <w:r>
        <w:rPr>
          <w:rFonts w:hint="default" w:ascii="Times New Roman" w:hAnsi="Times New Roman" w:cs="Times New Roman" w:eastAsiaTheme="minorEastAsia"/>
          <w:kern w:val="0"/>
          <w:sz w:val="18"/>
          <w:szCs w:val="18"/>
          <w:lang w:bidi="ar"/>
        </w:rPr>
        <w:t>+0.658K</w:t>
      </w:r>
      <w:r>
        <w:rPr>
          <w:rFonts w:hint="default" w:ascii="Times New Roman" w:hAnsi="Times New Roman" w:cs="Times New Roman" w:eastAsiaTheme="minorEastAsia"/>
          <w:kern w:val="0"/>
          <w:sz w:val="18"/>
          <w:szCs w:val="18"/>
          <w:vertAlign w:val="subscript"/>
          <w:lang w:val="en-US" w:eastAsia="zh-CN" w:bidi="ar"/>
        </w:rPr>
        <w:t>2</w:t>
      </w:r>
      <w:r>
        <w:rPr>
          <w:rFonts w:hint="default" w:ascii="Times New Roman" w:hAnsi="Times New Roman" w:cs="Times New Roman" w:eastAsiaTheme="minorEastAsia"/>
          <w:kern w:val="0"/>
          <w:sz w:val="18"/>
          <w:szCs w:val="18"/>
          <w:lang w:val="en-US" w:eastAsia="zh-CN" w:bidi="ar"/>
        </w:rPr>
        <w:t>O</w:t>
      </w:r>
      <w:r>
        <w:rPr>
          <w:rFonts w:hint="default" w:ascii="Times New Roman" w:hAnsi="Times New Roman" w:cs="Times New Roman" w:eastAsiaTheme="minorEastAsia"/>
          <w:kern w:val="0"/>
          <w:sz w:val="18"/>
          <w:szCs w:val="18"/>
          <w:lang w:bidi="ar"/>
        </w:rPr>
        <w:t>计算值来表示。采用非碱活性骨料时，可不检验碱含量。</w:t>
      </w:r>
      <w:r>
        <w:rPr>
          <w:rFonts w:hint="default" w:ascii="Times New Roman" w:hAnsi="Times New Roman" w:cs="Times New Roman" w:eastAsiaTheme="minorEastAsia"/>
          <w:kern w:val="0"/>
          <w:sz w:val="18"/>
          <w:szCs w:val="18"/>
          <w:lang w:bidi="ar"/>
        </w:rPr>
        <w:br w:type="page"/>
      </w:r>
    </w:p>
    <w:bookmarkEnd w:id="34"/>
    <w:p w14:paraId="6B8F018A">
      <w:pPr>
        <w:jc w:val="center"/>
        <w:outlineLvl w:val="0"/>
        <w:rPr>
          <w:rFonts w:hint="default" w:ascii="Times New Roman" w:hAnsi="Times New Roman" w:eastAsia="黑体" w:cs="Times New Roman"/>
          <w:b/>
          <w:szCs w:val="21"/>
        </w:rPr>
      </w:pPr>
      <w:r>
        <w:rPr>
          <w:rFonts w:hint="default" w:ascii="Times New Roman" w:hAnsi="Times New Roman" w:eastAsia="黑体" w:cs="Times New Roman"/>
          <w:b/>
          <w:szCs w:val="21"/>
        </w:rPr>
        <w:t>附  录  B</w:t>
      </w:r>
    </w:p>
    <w:p w14:paraId="1C42E730">
      <w:pPr>
        <w:autoSpaceDE w:val="0"/>
        <w:autoSpaceDN w:val="0"/>
        <w:jc w:val="center"/>
        <w:outlineLvl w:val="0"/>
        <w:rPr>
          <w:rFonts w:hint="default" w:ascii="Times New Roman" w:hAnsi="Times New Roman" w:eastAsia="黑体" w:cs="Times New Roman"/>
          <w:b/>
          <w:szCs w:val="21"/>
        </w:rPr>
      </w:pPr>
      <w:r>
        <w:rPr>
          <w:rFonts w:hint="default" w:ascii="Times New Roman" w:hAnsi="Times New Roman" w:eastAsia="黑体" w:cs="Times New Roman"/>
          <w:b/>
          <w:szCs w:val="21"/>
        </w:rPr>
        <w:t>（资料性）</w:t>
      </w:r>
    </w:p>
    <w:p w14:paraId="13D263E4">
      <w:pPr>
        <w:autoSpaceDE w:val="0"/>
        <w:autoSpaceDN w:val="0"/>
        <w:jc w:val="center"/>
        <w:outlineLvl w:val="0"/>
        <w:rPr>
          <w:rFonts w:hint="default" w:ascii="Times New Roman" w:hAnsi="Times New Roman" w:eastAsia="黑体" w:cs="Times New Roman"/>
          <w:b/>
          <w:szCs w:val="21"/>
        </w:rPr>
      </w:pPr>
      <w:r>
        <w:rPr>
          <w:rFonts w:hint="default" w:ascii="Times New Roman" w:hAnsi="Times New Roman" w:eastAsia="黑体" w:cs="Times New Roman"/>
          <w:b/>
          <w:szCs w:val="21"/>
        </w:rPr>
        <w:t>用户重点关注指标</w:t>
      </w:r>
    </w:p>
    <w:p w14:paraId="08603048">
      <w:pPr>
        <w:autoSpaceDE w:val="0"/>
        <w:autoSpaceDN w:val="0"/>
        <w:jc w:val="left"/>
        <w:rPr>
          <w:rFonts w:hint="default" w:ascii="Times New Roman" w:hAnsi="Times New Roman" w:cs="Times New Roman"/>
          <w:sz w:val="15"/>
          <w:szCs w:val="21"/>
          <w:lang w:eastAsia="en-US"/>
        </w:rPr>
      </w:pPr>
      <w:bookmarkStart w:id="35" w:name="_Toc23822"/>
      <w:bookmarkStart w:id="36" w:name="_Toc121926582"/>
      <w:bookmarkStart w:id="37" w:name="_Toc117693399"/>
      <w:bookmarkStart w:id="38" w:name="_Toc120697315"/>
    </w:p>
    <w:p w14:paraId="25E9BF44">
      <w:pPr>
        <w:autoSpaceDE w:val="0"/>
        <w:autoSpaceDN w:val="0"/>
        <w:spacing w:before="71"/>
        <w:ind w:left="398"/>
        <w:jc w:val="left"/>
        <w:rPr>
          <w:rFonts w:hint="default" w:ascii="Times New Roman" w:hAnsi="Times New Roman" w:cs="Times New Roman"/>
          <w:szCs w:val="21"/>
        </w:rPr>
      </w:pPr>
      <w:r>
        <w:rPr>
          <w:rFonts w:hint="default" w:ascii="Times New Roman" w:hAnsi="Times New Roman" w:cs="Times New Roman"/>
          <w:szCs w:val="21"/>
        </w:rPr>
        <w:t>用户重点关注指标见表 B.1。</w:t>
      </w:r>
    </w:p>
    <w:p w14:paraId="10C462C2">
      <w:pPr>
        <w:autoSpaceDE w:val="0"/>
        <w:autoSpaceDN w:val="0"/>
        <w:jc w:val="left"/>
        <w:rPr>
          <w:rFonts w:hint="default" w:ascii="Times New Roman" w:hAnsi="Times New Roman" w:cs="Times New Roman"/>
          <w:sz w:val="12"/>
          <w:szCs w:val="21"/>
        </w:rPr>
      </w:pPr>
    </w:p>
    <w:p w14:paraId="6651BF7E">
      <w:pPr>
        <w:autoSpaceDE w:val="0"/>
        <w:autoSpaceDN w:val="0"/>
        <w:spacing w:before="72"/>
        <w:ind w:left="24" w:right="54"/>
        <w:jc w:val="center"/>
        <w:rPr>
          <w:rFonts w:hint="default" w:ascii="Times New Roman" w:hAnsi="Times New Roman" w:eastAsia="黑体" w:cs="Times New Roman"/>
          <w:szCs w:val="21"/>
          <w:lang w:eastAsia="en-US"/>
        </w:rPr>
      </w:pPr>
      <w:r>
        <w:rPr>
          <w:rFonts w:hint="default" w:ascii="Times New Roman" w:hAnsi="Times New Roman" w:eastAsia="黑体" w:cs="Times New Roman"/>
          <w:szCs w:val="21"/>
          <w:lang w:eastAsia="en-US"/>
        </w:rPr>
        <w:t>表 B.1 用户重点关注指标</w:t>
      </w:r>
    </w:p>
    <w:p w14:paraId="57EF2F49">
      <w:pPr>
        <w:autoSpaceDE w:val="0"/>
        <w:autoSpaceDN w:val="0"/>
        <w:spacing w:before="7"/>
        <w:jc w:val="left"/>
        <w:rPr>
          <w:rFonts w:hint="default" w:ascii="Times New Roman" w:hAnsi="Times New Roman" w:cs="Times New Roman"/>
          <w:sz w:val="13"/>
          <w:szCs w:val="21"/>
          <w:lang w:eastAsia="en-US"/>
        </w:rPr>
      </w:pPr>
    </w:p>
    <w:tbl>
      <w:tblPr>
        <w:tblStyle w:val="74"/>
        <w:tblW w:w="0" w:type="auto"/>
        <w:tblInd w:w="40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77"/>
        <w:gridCol w:w="7457"/>
      </w:tblGrid>
      <w:tr w14:paraId="17AAD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trPr>
        <w:tc>
          <w:tcPr>
            <w:tcW w:w="1877" w:type="dxa"/>
            <w:tcBorders>
              <w:right w:val="single" w:color="000000" w:sz="4" w:space="0"/>
            </w:tcBorders>
          </w:tcPr>
          <w:p w14:paraId="641FE814">
            <w:pPr>
              <w:autoSpaceDE w:val="0"/>
              <w:autoSpaceDN w:val="0"/>
              <w:spacing w:before="112"/>
              <w:ind w:left="423" w:right="319"/>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市政杂用途径 </w:t>
            </w:r>
          </w:p>
        </w:tc>
        <w:tc>
          <w:tcPr>
            <w:tcW w:w="7457" w:type="dxa"/>
            <w:tcBorders>
              <w:left w:val="single" w:color="000000" w:sz="4" w:space="0"/>
            </w:tcBorders>
          </w:tcPr>
          <w:p w14:paraId="23AEAEC6">
            <w:pPr>
              <w:autoSpaceDE w:val="0"/>
              <w:autoSpaceDN w:val="0"/>
              <w:spacing w:before="112"/>
              <w:ind w:left="3214" w:right="31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重点关注指标 </w:t>
            </w:r>
          </w:p>
        </w:tc>
      </w:tr>
      <w:tr w14:paraId="48263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0" w:hRule="atLeast"/>
        </w:trPr>
        <w:tc>
          <w:tcPr>
            <w:tcW w:w="1877" w:type="dxa"/>
            <w:tcBorders>
              <w:bottom w:val="single" w:color="000000" w:sz="4" w:space="0"/>
              <w:right w:val="single" w:color="000000" w:sz="4" w:space="0"/>
            </w:tcBorders>
            <w:vAlign w:val="center"/>
          </w:tcPr>
          <w:p w14:paraId="277798F3">
            <w:pPr>
              <w:keepNext w:val="0"/>
              <w:keepLines w:val="0"/>
              <w:pageBreakBefore w:val="0"/>
              <w:widowControl w:val="0"/>
              <w:kinsoku/>
              <w:wordWrap/>
              <w:overflowPunct/>
              <w:topLinePunct w:val="0"/>
              <w:autoSpaceDE w:val="0"/>
              <w:autoSpaceDN w:val="0"/>
              <w:bidi w:val="0"/>
              <w:adjustRightInd/>
              <w:snapToGrid w:val="0"/>
              <w:spacing w:before="112" w:line="360" w:lineRule="auto"/>
              <w:ind w:left="423" w:right="319"/>
              <w:jc w:val="center"/>
              <w:textAlignment w:val="auto"/>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冲厕</w:t>
            </w:r>
          </w:p>
        </w:tc>
        <w:tc>
          <w:tcPr>
            <w:tcW w:w="7457" w:type="dxa"/>
            <w:tcBorders>
              <w:left w:val="single" w:color="000000" w:sz="4" w:space="0"/>
              <w:bottom w:val="single" w:color="000000" w:sz="4" w:space="0"/>
            </w:tcBorders>
            <w:vAlign w:val="center"/>
          </w:tcPr>
          <w:p w14:paraId="54D2A515">
            <w:pPr>
              <w:keepNext w:val="0"/>
              <w:keepLines w:val="0"/>
              <w:pageBreakBefore w:val="0"/>
              <w:widowControl w:val="0"/>
              <w:kinsoku/>
              <w:wordWrap/>
              <w:overflowPunct/>
              <w:topLinePunct w:val="0"/>
              <w:autoSpaceDE w:val="0"/>
              <w:autoSpaceDN w:val="0"/>
              <w:bidi w:val="0"/>
              <w:adjustRightInd/>
              <w:snapToGrid w:val="0"/>
              <w:spacing w:before="112" w:line="360" w:lineRule="auto"/>
              <w:ind w:left="220"/>
              <w:jc w:val="center"/>
              <w:textAlignment w:val="auto"/>
              <w:rPr>
                <w:rFonts w:hint="default" w:ascii="Times New Roman" w:hAnsi="Times New Roman" w:cs="Times New Roman"/>
                <w:sz w:val="18"/>
                <w:szCs w:val="22"/>
              </w:rPr>
            </w:pPr>
            <w:r>
              <w:rPr>
                <w:rFonts w:hint="default" w:ascii="Times New Roman" w:hAnsi="Times New Roman" w:cs="Times New Roman"/>
                <w:sz w:val="18"/>
                <w:szCs w:val="22"/>
              </w:rPr>
              <w:t>pH、BOD</w:t>
            </w:r>
            <w:r>
              <w:rPr>
                <w:rFonts w:hint="default" w:ascii="Times New Roman" w:hAnsi="Times New Roman" w:cs="Times New Roman"/>
                <w:sz w:val="18"/>
                <w:szCs w:val="22"/>
                <w:vertAlign w:val="subscript"/>
              </w:rPr>
              <w:t>5</w:t>
            </w:r>
            <w:r>
              <w:rPr>
                <w:rFonts w:hint="default" w:ascii="Times New Roman" w:hAnsi="Times New Roman" w:cs="Times New Roman"/>
                <w:sz w:val="18"/>
                <w:szCs w:val="22"/>
              </w:rPr>
              <w:t>、嗅、色度、浊度、氨氮、总氯、大肠埃希氏菌、铁、锰、</w:t>
            </w:r>
            <w:r>
              <w:rPr>
                <w:rFonts w:hint="default" w:ascii="Times New Roman" w:hAnsi="Times New Roman" w:cs="Times New Roman"/>
                <w:sz w:val="18"/>
              </w:rPr>
              <w:t>阴离子表面活性剂</w:t>
            </w:r>
          </w:p>
        </w:tc>
      </w:tr>
      <w:tr w14:paraId="01B6F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0" w:hRule="atLeast"/>
        </w:trPr>
        <w:tc>
          <w:tcPr>
            <w:tcW w:w="1877" w:type="dxa"/>
            <w:tcBorders>
              <w:top w:val="single" w:color="000000" w:sz="4" w:space="0"/>
              <w:bottom w:val="single" w:color="000000" w:sz="4" w:space="0"/>
              <w:right w:val="single" w:color="000000" w:sz="4" w:space="0"/>
            </w:tcBorders>
            <w:vAlign w:val="center"/>
          </w:tcPr>
          <w:p w14:paraId="312C1FED">
            <w:pPr>
              <w:keepNext w:val="0"/>
              <w:keepLines w:val="0"/>
              <w:pageBreakBefore w:val="0"/>
              <w:widowControl w:val="0"/>
              <w:kinsoku/>
              <w:wordWrap/>
              <w:overflowPunct/>
              <w:topLinePunct w:val="0"/>
              <w:autoSpaceDE w:val="0"/>
              <w:autoSpaceDN w:val="0"/>
              <w:bidi w:val="0"/>
              <w:adjustRightInd/>
              <w:snapToGrid w:val="0"/>
              <w:spacing w:before="112" w:line="360" w:lineRule="auto"/>
              <w:ind w:left="423" w:right="319"/>
              <w:jc w:val="center"/>
              <w:textAlignment w:val="auto"/>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车辆冲洗</w:t>
            </w:r>
          </w:p>
        </w:tc>
        <w:tc>
          <w:tcPr>
            <w:tcW w:w="7457" w:type="dxa"/>
            <w:tcBorders>
              <w:top w:val="single" w:color="000000" w:sz="4" w:space="0"/>
              <w:left w:val="single" w:color="000000" w:sz="4" w:space="0"/>
              <w:bottom w:val="single" w:color="000000" w:sz="4" w:space="0"/>
            </w:tcBorders>
            <w:vAlign w:val="center"/>
          </w:tcPr>
          <w:p w14:paraId="40E11FED">
            <w:pPr>
              <w:keepNext w:val="0"/>
              <w:keepLines w:val="0"/>
              <w:pageBreakBefore w:val="0"/>
              <w:widowControl w:val="0"/>
              <w:kinsoku/>
              <w:wordWrap/>
              <w:overflowPunct/>
              <w:topLinePunct w:val="0"/>
              <w:autoSpaceDE w:val="0"/>
              <w:autoSpaceDN w:val="0"/>
              <w:bidi w:val="0"/>
              <w:adjustRightInd/>
              <w:snapToGrid w:val="0"/>
              <w:spacing w:before="112" w:line="360" w:lineRule="auto"/>
              <w:ind w:left="220"/>
              <w:jc w:val="center"/>
              <w:textAlignment w:val="auto"/>
              <w:rPr>
                <w:rFonts w:hint="default" w:ascii="Times New Roman" w:hAnsi="Times New Roman" w:cs="Times New Roman"/>
                <w:sz w:val="18"/>
                <w:szCs w:val="22"/>
              </w:rPr>
            </w:pPr>
            <w:r>
              <w:rPr>
                <w:rFonts w:hint="default" w:ascii="Times New Roman" w:hAnsi="Times New Roman" w:cs="Times New Roman"/>
                <w:sz w:val="18"/>
                <w:szCs w:val="22"/>
              </w:rPr>
              <w:t>嗅、色度、浊度、总氯、大肠埃希氏菌、铁、锰</w:t>
            </w:r>
          </w:p>
        </w:tc>
      </w:tr>
      <w:tr w14:paraId="7C6B2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0" w:hRule="atLeast"/>
        </w:trPr>
        <w:tc>
          <w:tcPr>
            <w:tcW w:w="1877" w:type="dxa"/>
            <w:tcBorders>
              <w:top w:val="single" w:color="000000" w:sz="4" w:space="0"/>
              <w:bottom w:val="single" w:color="000000" w:sz="4" w:space="0"/>
              <w:right w:val="single" w:color="000000" w:sz="4" w:space="0"/>
            </w:tcBorders>
            <w:vAlign w:val="center"/>
          </w:tcPr>
          <w:p w14:paraId="146165A8">
            <w:pPr>
              <w:keepNext w:val="0"/>
              <w:keepLines w:val="0"/>
              <w:pageBreakBefore w:val="0"/>
              <w:widowControl w:val="0"/>
              <w:kinsoku/>
              <w:wordWrap/>
              <w:overflowPunct/>
              <w:topLinePunct w:val="0"/>
              <w:autoSpaceDE w:val="0"/>
              <w:autoSpaceDN w:val="0"/>
              <w:bidi w:val="0"/>
              <w:adjustRightInd/>
              <w:snapToGrid w:val="0"/>
              <w:spacing w:before="112" w:line="360" w:lineRule="auto"/>
              <w:ind w:left="423" w:right="319"/>
              <w:jc w:val="center"/>
              <w:textAlignment w:val="auto"/>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城市绿化</w:t>
            </w:r>
          </w:p>
        </w:tc>
        <w:tc>
          <w:tcPr>
            <w:tcW w:w="7457" w:type="dxa"/>
            <w:tcBorders>
              <w:top w:val="single" w:color="000000" w:sz="4" w:space="0"/>
              <w:left w:val="single" w:color="000000" w:sz="4" w:space="0"/>
              <w:bottom w:val="single" w:color="000000" w:sz="4" w:space="0"/>
            </w:tcBorders>
            <w:vAlign w:val="center"/>
          </w:tcPr>
          <w:p w14:paraId="67AD92B3">
            <w:pPr>
              <w:keepNext w:val="0"/>
              <w:keepLines w:val="0"/>
              <w:pageBreakBefore w:val="0"/>
              <w:widowControl w:val="0"/>
              <w:kinsoku/>
              <w:wordWrap/>
              <w:overflowPunct/>
              <w:topLinePunct w:val="0"/>
              <w:autoSpaceDE w:val="0"/>
              <w:autoSpaceDN w:val="0"/>
              <w:bidi w:val="0"/>
              <w:adjustRightInd/>
              <w:snapToGrid w:val="0"/>
              <w:spacing w:before="112" w:line="360" w:lineRule="auto"/>
              <w:ind w:left="220"/>
              <w:jc w:val="center"/>
              <w:textAlignment w:val="auto"/>
              <w:rPr>
                <w:rFonts w:hint="default" w:ascii="Times New Roman" w:hAnsi="Times New Roman" w:cs="Times New Roman"/>
                <w:sz w:val="18"/>
                <w:szCs w:val="22"/>
              </w:rPr>
            </w:pPr>
            <w:r>
              <w:rPr>
                <w:rFonts w:hint="default" w:ascii="Times New Roman" w:hAnsi="Times New Roman" w:cs="Times New Roman"/>
                <w:sz w:val="18"/>
                <w:szCs w:val="22"/>
              </w:rPr>
              <w:t>嗅、色度、浊度、溶解性总固体、氯化物、总氯、大肠埃希氏菌</w:t>
            </w:r>
          </w:p>
        </w:tc>
      </w:tr>
      <w:tr w14:paraId="32E3E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0" w:hRule="atLeast"/>
        </w:trPr>
        <w:tc>
          <w:tcPr>
            <w:tcW w:w="1877" w:type="dxa"/>
            <w:tcBorders>
              <w:top w:val="single" w:color="000000" w:sz="4" w:space="0"/>
              <w:right w:val="single" w:color="000000" w:sz="4" w:space="0"/>
            </w:tcBorders>
            <w:vAlign w:val="center"/>
          </w:tcPr>
          <w:p w14:paraId="560A1E0D">
            <w:pPr>
              <w:keepNext w:val="0"/>
              <w:keepLines w:val="0"/>
              <w:pageBreakBefore w:val="0"/>
              <w:widowControl w:val="0"/>
              <w:kinsoku/>
              <w:wordWrap/>
              <w:overflowPunct/>
              <w:topLinePunct w:val="0"/>
              <w:autoSpaceDE w:val="0"/>
              <w:autoSpaceDN w:val="0"/>
              <w:bidi w:val="0"/>
              <w:adjustRightInd/>
              <w:snapToGrid w:val="0"/>
              <w:spacing w:before="112" w:line="360" w:lineRule="auto"/>
              <w:ind w:left="423" w:right="319"/>
              <w:jc w:val="center"/>
              <w:textAlignment w:val="auto"/>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道路清扫</w:t>
            </w:r>
          </w:p>
        </w:tc>
        <w:tc>
          <w:tcPr>
            <w:tcW w:w="7457" w:type="dxa"/>
            <w:tcBorders>
              <w:top w:val="single" w:color="000000" w:sz="4" w:space="0"/>
              <w:left w:val="single" w:color="000000" w:sz="4" w:space="0"/>
            </w:tcBorders>
            <w:vAlign w:val="center"/>
          </w:tcPr>
          <w:p w14:paraId="234481F4">
            <w:pPr>
              <w:keepNext w:val="0"/>
              <w:keepLines w:val="0"/>
              <w:pageBreakBefore w:val="0"/>
              <w:widowControl w:val="0"/>
              <w:kinsoku/>
              <w:wordWrap/>
              <w:overflowPunct/>
              <w:topLinePunct w:val="0"/>
              <w:autoSpaceDE w:val="0"/>
              <w:autoSpaceDN w:val="0"/>
              <w:bidi w:val="0"/>
              <w:adjustRightInd/>
              <w:snapToGrid w:val="0"/>
              <w:spacing w:before="112" w:line="360" w:lineRule="auto"/>
              <w:ind w:left="220"/>
              <w:jc w:val="center"/>
              <w:textAlignment w:val="auto"/>
              <w:rPr>
                <w:rFonts w:hint="default" w:ascii="Times New Roman" w:hAnsi="Times New Roman" w:cs="Times New Roman"/>
                <w:sz w:val="18"/>
                <w:szCs w:val="22"/>
              </w:rPr>
            </w:pPr>
            <w:r>
              <w:rPr>
                <w:rFonts w:hint="default" w:ascii="Times New Roman" w:hAnsi="Times New Roman" w:cs="Times New Roman"/>
                <w:sz w:val="18"/>
                <w:szCs w:val="22"/>
              </w:rPr>
              <w:t>嗅、色度、浊度、总氯、大肠埃希氏菌、</w:t>
            </w:r>
            <w:r>
              <w:rPr>
                <w:rFonts w:hint="default" w:ascii="Times New Roman" w:hAnsi="Times New Roman" w:cs="Times New Roman"/>
                <w:sz w:val="18"/>
              </w:rPr>
              <w:t>阴离子表面活性剂</w:t>
            </w:r>
          </w:p>
        </w:tc>
      </w:tr>
    </w:tbl>
    <w:p w14:paraId="7DF42A06">
      <w:pPr>
        <w:autoSpaceDE w:val="0"/>
        <w:autoSpaceDN w:val="0"/>
        <w:jc w:val="left"/>
        <w:rPr>
          <w:rFonts w:hint="default" w:ascii="Times New Roman" w:hAnsi="Times New Roman" w:cs="Times New Roman"/>
          <w:sz w:val="24"/>
          <w:szCs w:val="21"/>
        </w:rPr>
      </w:pPr>
    </w:p>
    <w:p w14:paraId="3733067B">
      <w:pPr>
        <w:autoSpaceDE w:val="0"/>
        <w:autoSpaceDN w:val="0"/>
        <w:jc w:val="left"/>
        <w:rPr>
          <w:rFonts w:hint="default" w:ascii="Times New Roman" w:hAnsi="Times New Roman" w:cs="Times New Roman"/>
          <w:sz w:val="24"/>
          <w:szCs w:val="21"/>
        </w:rPr>
      </w:pPr>
    </w:p>
    <w:p w14:paraId="09A1E4AA">
      <w:pPr>
        <w:keepNext/>
        <w:keepLines/>
        <w:spacing w:before="156" w:beforeLines="50" w:after="156" w:afterLines="50" w:line="460" w:lineRule="exact"/>
        <w:rPr>
          <w:rFonts w:hint="default" w:ascii="Times New Roman" w:hAnsi="Times New Roman" w:eastAsia="黑体" w:cs="Times New Roman"/>
          <w:kern w:val="0"/>
          <w:szCs w:val="24"/>
        </w:rPr>
      </w:pPr>
    </w:p>
    <w:p w14:paraId="6A51D425">
      <w:pPr>
        <w:keepNext/>
        <w:keepLines/>
        <w:spacing w:before="156" w:beforeLines="50" w:after="156" w:afterLines="50" w:line="460" w:lineRule="exact"/>
        <w:rPr>
          <w:rFonts w:hint="default" w:ascii="Times New Roman" w:hAnsi="Times New Roman" w:eastAsia="黑体" w:cs="Times New Roman"/>
          <w:kern w:val="0"/>
          <w:szCs w:val="24"/>
        </w:rPr>
      </w:pPr>
    </w:p>
    <w:p w14:paraId="3C1074EA">
      <w:pPr>
        <w:spacing w:before="156" w:beforeLines="50" w:after="156" w:afterLines="50" w:line="460" w:lineRule="exact"/>
        <w:rPr>
          <w:rFonts w:hint="default" w:ascii="Times New Roman" w:hAnsi="Times New Roman" w:eastAsia="黑体" w:cs="Times New Roman"/>
          <w:kern w:val="0"/>
          <w:szCs w:val="24"/>
        </w:rPr>
      </w:pPr>
      <w:r>
        <w:rPr>
          <w:rFonts w:hint="default" w:ascii="Times New Roman" w:hAnsi="Times New Roman" w:eastAsia="黑体" w:cs="Times New Roman"/>
          <w:kern w:val="0"/>
          <w:szCs w:val="24"/>
        </w:rPr>
        <w:br w:type="page"/>
      </w:r>
    </w:p>
    <w:p w14:paraId="3A367AE5">
      <w:pPr>
        <w:autoSpaceDE w:val="0"/>
        <w:autoSpaceDN w:val="0"/>
        <w:ind w:left="23" w:right="723"/>
        <w:jc w:val="center"/>
        <w:outlineLvl w:val="0"/>
        <w:rPr>
          <w:rFonts w:hint="default" w:ascii="Times New Roman" w:hAnsi="Times New Roman" w:eastAsia="黑体" w:cs="Times New Roman"/>
          <w:szCs w:val="21"/>
        </w:rPr>
      </w:pPr>
      <w:r>
        <w:rPr>
          <w:rFonts w:hint="default" w:ascii="Times New Roman" w:hAnsi="Times New Roman" w:eastAsia="黑体" w:cs="Times New Roman"/>
          <w:szCs w:val="21"/>
        </w:rPr>
        <w:t>附  录 C</w:t>
      </w:r>
    </w:p>
    <w:p w14:paraId="20A74B69">
      <w:pPr>
        <w:autoSpaceDE w:val="0"/>
        <w:autoSpaceDN w:val="0"/>
        <w:spacing w:before="43"/>
        <w:ind w:left="23" w:right="623"/>
        <w:jc w:val="center"/>
        <w:outlineLvl w:val="0"/>
        <w:rPr>
          <w:rFonts w:hint="default" w:ascii="Times New Roman" w:hAnsi="Times New Roman" w:eastAsia="黑体" w:cs="Times New Roman"/>
          <w:szCs w:val="21"/>
        </w:rPr>
      </w:pPr>
      <w:r>
        <w:rPr>
          <w:rFonts w:hint="default" w:ascii="Times New Roman" w:hAnsi="Times New Roman" w:eastAsia="黑体" w:cs="Times New Roman"/>
          <w:szCs w:val="21"/>
        </w:rPr>
        <w:t>（资料性）</w:t>
      </w:r>
    </w:p>
    <w:p w14:paraId="135A508C">
      <w:pPr>
        <w:autoSpaceDE w:val="0"/>
        <w:autoSpaceDN w:val="0"/>
        <w:spacing w:before="3"/>
        <w:jc w:val="left"/>
        <w:rPr>
          <w:rFonts w:hint="default" w:ascii="Times New Roman" w:hAnsi="Times New Roman" w:cs="Times New Roman"/>
          <w:sz w:val="17"/>
          <w:szCs w:val="21"/>
        </w:rPr>
      </w:pPr>
    </w:p>
    <w:p w14:paraId="5E4A9668">
      <w:pPr>
        <w:autoSpaceDE w:val="0"/>
        <w:autoSpaceDN w:val="0"/>
        <w:ind w:left="112"/>
        <w:jc w:val="left"/>
        <w:rPr>
          <w:rFonts w:hint="default" w:ascii="Times New Roman" w:hAnsi="Times New Roman" w:cs="Times New Roman"/>
          <w:szCs w:val="21"/>
        </w:rPr>
      </w:pPr>
      <w:r>
        <w:rPr>
          <w:rFonts w:hint="default" w:ascii="Times New Roman" w:hAnsi="Times New Roman" w:cs="Times New Roman"/>
          <w:szCs w:val="21"/>
        </w:rPr>
        <w:t xml:space="preserve">用户主要水质监测项目、监测频率与检测方法见表 C.1。 </w:t>
      </w:r>
    </w:p>
    <w:p w14:paraId="00DEA30D">
      <w:pPr>
        <w:autoSpaceDE w:val="0"/>
        <w:autoSpaceDN w:val="0"/>
        <w:spacing w:before="201"/>
        <w:ind w:left="24" w:right="623"/>
        <w:jc w:val="center"/>
        <w:rPr>
          <w:rFonts w:hint="default" w:ascii="Times New Roman" w:hAnsi="Times New Roman" w:eastAsia="黑体" w:cs="Times New Roman"/>
          <w:szCs w:val="21"/>
        </w:rPr>
      </w:pPr>
      <w:r>
        <w:rPr>
          <w:rFonts w:hint="default" w:ascii="Times New Roman" w:hAnsi="Times New Roman" w:eastAsia="黑体" w:cs="Times New Roman"/>
          <w:szCs w:val="21"/>
        </w:rPr>
        <w:t>表C.1 用户主要水质监测项目、监测频率与检测方法</w:t>
      </w:r>
    </w:p>
    <w:p w14:paraId="735B9A7D">
      <w:pPr>
        <w:autoSpaceDE w:val="0"/>
        <w:autoSpaceDN w:val="0"/>
        <w:spacing w:before="3"/>
        <w:jc w:val="left"/>
        <w:rPr>
          <w:rFonts w:hint="default" w:ascii="Times New Roman" w:hAnsi="Times New Roman" w:cs="Times New Roman"/>
          <w:sz w:val="12"/>
          <w:szCs w:val="21"/>
        </w:rPr>
      </w:pPr>
    </w:p>
    <w:tbl>
      <w:tblPr>
        <w:tblStyle w:val="74"/>
        <w:tblW w:w="0" w:type="auto"/>
        <w:tblInd w:w="12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81"/>
        <w:gridCol w:w="2139"/>
        <w:gridCol w:w="1294"/>
        <w:gridCol w:w="1294"/>
        <w:gridCol w:w="1296"/>
        <w:gridCol w:w="1296"/>
        <w:gridCol w:w="1435"/>
      </w:tblGrid>
      <w:tr w14:paraId="2031A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0" w:hRule="atLeast"/>
        </w:trPr>
        <w:tc>
          <w:tcPr>
            <w:tcW w:w="581" w:type="dxa"/>
            <w:vMerge w:val="restart"/>
            <w:tcBorders>
              <w:right w:val="single" w:color="000000" w:sz="4" w:space="0"/>
            </w:tcBorders>
          </w:tcPr>
          <w:p w14:paraId="6F67535C">
            <w:pPr>
              <w:autoSpaceDE w:val="0"/>
              <w:autoSpaceDN w:val="0"/>
              <w:jc w:val="left"/>
              <w:rPr>
                <w:rFonts w:hint="default" w:ascii="Times New Roman" w:hAnsi="Times New Roman" w:cs="Times New Roman"/>
                <w:sz w:val="20"/>
                <w:szCs w:val="22"/>
              </w:rPr>
            </w:pPr>
          </w:p>
          <w:p w14:paraId="78C39E56">
            <w:pPr>
              <w:autoSpaceDE w:val="0"/>
              <w:autoSpaceDN w:val="0"/>
              <w:spacing w:before="149"/>
              <w:ind w:left="112"/>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序号 </w:t>
            </w:r>
          </w:p>
        </w:tc>
        <w:tc>
          <w:tcPr>
            <w:tcW w:w="2139" w:type="dxa"/>
            <w:vMerge w:val="restart"/>
            <w:tcBorders>
              <w:left w:val="single" w:color="000000" w:sz="4" w:space="0"/>
              <w:right w:val="single" w:color="000000" w:sz="4" w:space="0"/>
            </w:tcBorders>
          </w:tcPr>
          <w:p w14:paraId="69743A77">
            <w:pPr>
              <w:autoSpaceDE w:val="0"/>
              <w:autoSpaceDN w:val="0"/>
              <w:jc w:val="left"/>
              <w:rPr>
                <w:rFonts w:hint="default" w:ascii="Times New Roman" w:hAnsi="Times New Roman" w:cs="Times New Roman"/>
                <w:sz w:val="20"/>
                <w:szCs w:val="22"/>
                <w:lang w:eastAsia="en-US"/>
              </w:rPr>
            </w:pPr>
          </w:p>
          <w:p w14:paraId="78BEA4E3">
            <w:pPr>
              <w:autoSpaceDE w:val="0"/>
              <w:autoSpaceDN w:val="0"/>
              <w:spacing w:before="149"/>
              <w:ind w:left="511" w:right="406"/>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项目 </w:t>
            </w:r>
          </w:p>
        </w:tc>
        <w:tc>
          <w:tcPr>
            <w:tcW w:w="5180" w:type="dxa"/>
            <w:gridSpan w:val="4"/>
            <w:tcBorders>
              <w:left w:val="single" w:color="000000" w:sz="4" w:space="0"/>
              <w:right w:val="single" w:color="000000" w:sz="4" w:space="0"/>
            </w:tcBorders>
          </w:tcPr>
          <w:p w14:paraId="1A1B8D17">
            <w:pPr>
              <w:autoSpaceDE w:val="0"/>
              <w:autoSpaceDN w:val="0"/>
              <w:spacing w:before="141"/>
              <w:ind w:left="2260" w:right="2149"/>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监测频率 </w:t>
            </w:r>
          </w:p>
        </w:tc>
        <w:tc>
          <w:tcPr>
            <w:tcW w:w="1435" w:type="dxa"/>
            <w:vMerge w:val="restart"/>
            <w:tcBorders>
              <w:left w:val="single" w:color="000000" w:sz="4" w:space="0"/>
            </w:tcBorders>
          </w:tcPr>
          <w:p w14:paraId="73F98D57">
            <w:pPr>
              <w:autoSpaceDE w:val="0"/>
              <w:autoSpaceDN w:val="0"/>
              <w:spacing w:before="5"/>
              <w:jc w:val="left"/>
              <w:rPr>
                <w:rFonts w:hint="default" w:ascii="Times New Roman" w:hAnsi="Times New Roman" w:cs="Times New Roman"/>
                <w:sz w:val="19"/>
                <w:szCs w:val="22"/>
                <w:lang w:eastAsia="en-US"/>
              </w:rPr>
            </w:pPr>
          </w:p>
          <w:p w14:paraId="089AB51A">
            <w:pPr>
              <w:autoSpaceDE w:val="0"/>
              <w:autoSpaceDN w:val="0"/>
              <w:ind w:left="360"/>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检测方法 </w:t>
            </w:r>
          </w:p>
          <w:p w14:paraId="06CFCE3A">
            <w:pPr>
              <w:autoSpaceDE w:val="0"/>
              <w:autoSpaceDN w:val="0"/>
              <w:spacing w:before="82"/>
              <w:ind w:left="360"/>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执行标准 </w:t>
            </w:r>
          </w:p>
        </w:tc>
      </w:tr>
      <w:tr w14:paraId="6EB97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0" w:hRule="atLeast"/>
        </w:trPr>
        <w:tc>
          <w:tcPr>
            <w:tcW w:w="581" w:type="dxa"/>
            <w:vMerge w:val="continue"/>
            <w:tcBorders>
              <w:top w:val="nil"/>
              <w:right w:val="single" w:color="000000" w:sz="4" w:space="0"/>
            </w:tcBorders>
          </w:tcPr>
          <w:p w14:paraId="4D048107">
            <w:pPr>
              <w:autoSpaceDE w:val="0"/>
              <w:autoSpaceDN w:val="0"/>
              <w:jc w:val="left"/>
              <w:rPr>
                <w:rFonts w:hint="default" w:ascii="Times New Roman" w:hAnsi="Times New Roman" w:cs="Times New Roman"/>
                <w:kern w:val="0"/>
                <w:sz w:val="2"/>
                <w:szCs w:val="2"/>
                <w:lang w:eastAsia="en-US"/>
              </w:rPr>
            </w:pPr>
          </w:p>
        </w:tc>
        <w:tc>
          <w:tcPr>
            <w:tcW w:w="2139" w:type="dxa"/>
            <w:vMerge w:val="continue"/>
            <w:tcBorders>
              <w:top w:val="nil"/>
              <w:left w:val="single" w:color="000000" w:sz="4" w:space="0"/>
              <w:right w:val="single" w:color="000000" w:sz="4" w:space="0"/>
            </w:tcBorders>
          </w:tcPr>
          <w:p w14:paraId="128183C0">
            <w:pPr>
              <w:autoSpaceDE w:val="0"/>
              <w:autoSpaceDN w:val="0"/>
              <w:jc w:val="left"/>
              <w:rPr>
                <w:rFonts w:hint="default" w:ascii="Times New Roman" w:hAnsi="Times New Roman" w:cs="Times New Roman"/>
                <w:kern w:val="0"/>
                <w:sz w:val="2"/>
                <w:szCs w:val="2"/>
                <w:lang w:eastAsia="en-US"/>
              </w:rPr>
            </w:pPr>
          </w:p>
        </w:tc>
        <w:tc>
          <w:tcPr>
            <w:tcW w:w="1294" w:type="dxa"/>
            <w:tcBorders>
              <w:left w:val="single" w:color="000000" w:sz="4" w:space="0"/>
              <w:right w:val="single" w:color="000000" w:sz="4" w:space="0"/>
            </w:tcBorders>
          </w:tcPr>
          <w:p w14:paraId="5452C31C">
            <w:pPr>
              <w:autoSpaceDE w:val="0"/>
              <w:autoSpaceDN w:val="0"/>
              <w:spacing w:before="141"/>
              <w:ind w:left="316" w:right="207"/>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冲厕 </w:t>
            </w:r>
          </w:p>
        </w:tc>
        <w:tc>
          <w:tcPr>
            <w:tcW w:w="1294" w:type="dxa"/>
            <w:tcBorders>
              <w:left w:val="single" w:color="000000" w:sz="4" w:space="0"/>
              <w:right w:val="single" w:color="000000" w:sz="4" w:space="0"/>
            </w:tcBorders>
          </w:tcPr>
          <w:p w14:paraId="4E015FD2">
            <w:pPr>
              <w:autoSpaceDE w:val="0"/>
              <w:autoSpaceDN w:val="0"/>
              <w:spacing w:before="141"/>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车辆冲洗 </w:t>
            </w:r>
          </w:p>
        </w:tc>
        <w:tc>
          <w:tcPr>
            <w:tcW w:w="1296" w:type="dxa"/>
            <w:tcBorders>
              <w:left w:val="single" w:color="000000" w:sz="4" w:space="0"/>
              <w:right w:val="single" w:color="000000" w:sz="4" w:space="0"/>
            </w:tcBorders>
          </w:tcPr>
          <w:p w14:paraId="79538793">
            <w:pPr>
              <w:autoSpaceDE w:val="0"/>
              <w:autoSpaceDN w:val="0"/>
              <w:spacing w:before="141"/>
              <w:ind w:left="316"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城市绿化 </w:t>
            </w:r>
          </w:p>
        </w:tc>
        <w:tc>
          <w:tcPr>
            <w:tcW w:w="1296" w:type="dxa"/>
            <w:tcBorders>
              <w:left w:val="single" w:color="000000" w:sz="4" w:space="0"/>
              <w:right w:val="single" w:color="000000" w:sz="4" w:space="0"/>
            </w:tcBorders>
          </w:tcPr>
          <w:p w14:paraId="23FE6737">
            <w:pPr>
              <w:autoSpaceDE w:val="0"/>
              <w:autoSpaceDN w:val="0"/>
              <w:spacing w:before="141"/>
              <w:ind w:left="291"/>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道路清扫 </w:t>
            </w:r>
          </w:p>
        </w:tc>
        <w:tc>
          <w:tcPr>
            <w:tcW w:w="1435" w:type="dxa"/>
            <w:vMerge w:val="continue"/>
            <w:tcBorders>
              <w:top w:val="nil"/>
              <w:left w:val="single" w:color="000000" w:sz="4" w:space="0"/>
            </w:tcBorders>
          </w:tcPr>
          <w:p w14:paraId="2CC695CD">
            <w:pPr>
              <w:autoSpaceDE w:val="0"/>
              <w:autoSpaceDN w:val="0"/>
              <w:jc w:val="left"/>
              <w:rPr>
                <w:rFonts w:hint="default" w:ascii="Times New Roman" w:hAnsi="Times New Roman" w:cs="Times New Roman"/>
                <w:kern w:val="0"/>
                <w:sz w:val="2"/>
                <w:szCs w:val="2"/>
                <w:lang w:eastAsia="en-US"/>
              </w:rPr>
            </w:pPr>
          </w:p>
        </w:tc>
      </w:tr>
      <w:tr w14:paraId="35D85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581" w:type="dxa"/>
            <w:tcBorders>
              <w:bottom w:val="single" w:color="000000" w:sz="4" w:space="0"/>
              <w:right w:val="single" w:color="000000" w:sz="4" w:space="0"/>
            </w:tcBorders>
          </w:tcPr>
          <w:p w14:paraId="7A4FA9DF">
            <w:pPr>
              <w:autoSpaceDE w:val="0"/>
              <w:autoSpaceDN w:val="0"/>
              <w:spacing w:before="83"/>
              <w:ind w:right="13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1 </w:t>
            </w:r>
          </w:p>
        </w:tc>
        <w:tc>
          <w:tcPr>
            <w:tcW w:w="2139" w:type="dxa"/>
            <w:tcBorders>
              <w:left w:val="single" w:color="000000" w:sz="4" w:space="0"/>
              <w:bottom w:val="single" w:color="000000" w:sz="4" w:space="0"/>
              <w:right w:val="single" w:color="000000" w:sz="4" w:space="0"/>
            </w:tcBorders>
          </w:tcPr>
          <w:p w14:paraId="57DDF883">
            <w:pPr>
              <w:autoSpaceDE w:val="0"/>
              <w:autoSpaceDN w:val="0"/>
              <w:spacing w:before="83"/>
              <w:ind w:left="603" w:right="4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pH </w:t>
            </w:r>
          </w:p>
        </w:tc>
        <w:tc>
          <w:tcPr>
            <w:tcW w:w="1294" w:type="dxa"/>
            <w:tcBorders>
              <w:left w:val="single" w:color="000000" w:sz="4" w:space="0"/>
              <w:bottom w:val="single" w:color="000000" w:sz="4" w:space="0"/>
              <w:right w:val="single" w:color="000000" w:sz="4" w:space="0"/>
            </w:tcBorders>
          </w:tcPr>
          <w:p w14:paraId="369D8348">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4" w:type="dxa"/>
            <w:tcBorders>
              <w:left w:val="single" w:color="000000" w:sz="4" w:space="0"/>
              <w:bottom w:val="single" w:color="000000" w:sz="4" w:space="0"/>
              <w:right w:val="single" w:color="000000" w:sz="4" w:space="0"/>
            </w:tcBorders>
          </w:tcPr>
          <w:p w14:paraId="2E592A84">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left w:val="single" w:color="000000" w:sz="4" w:space="0"/>
              <w:bottom w:val="single" w:color="000000" w:sz="4" w:space="0"/>
              <w:right w:val="single" w:color="000000" w:sz="4" w:space="0"/>
            </w:tcBorders>
          </w:tcPr>
          <w:p w14:paraId="1591F769">
            <w:pPr>
              <w:autoSpaceDE w:val="0"/>
              <w:autoSpaceDN w:val="0"/>
              <w:spacing w:before="83"/>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left w:val="single" w:color="000000" w:sz="4" w:space="0"/>
              <w:bottom w:val="single" w:color="000000" w:sz="4" w:space="0"/>
              <w:right w:val="single" w:color="000000" w:sz="4" w:space="0"/>
            </w:tcBorders>
          </w:tcPr>
          <w:p w14:paraId="7B07401B">
            <w:pPr>
              <w:autoSpaceDE w:val="0"/>
              <w:autoSpaceDN w:val="0"/>
              <w:spacing w:before="83"/>
              <w:ind w:left="334"/>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435" w:type="dxa"/>
            <w:tcBorders>
              <w:left w:val="single" w:color="000000" w:sz="4" w:space="0"/>
              <w:bottom w:val="single" w:color="000000" w:sz="4" w:space="0"/>
            </w:tcBorders>
          </w:tcPr>
          <w:p w14:paraId="02FE3B13">
            <w:pPr>
              <w:autoSpaceDE w:val="0"/>
              <w:autoSpaceDN w:val="0"/>
              <w:spacing w:before="83"/>
              <w:ind w:right="159"/>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5750.4</w:t>
            </w:r>
            <w:r>
              <w:rPr>
                <w:rFonts w:hint="default" w:ascii="Times New Roman" w:hAnsi="Times New Roman" w:cs="Times New Roman"/>
                <w:sz w:val="18"/>
                <w:szCs w:val="22"/>
                <w:lang w:eastAsia="en-US"/>
              </w:rPr>
              <w:t xml:space="preserve"> </w:t>
            </w:r>
          </w:p>
        </w:tc>
      </w:tr>
      <w:tr w14:paraId="627A6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bottom w:val="single" w:color="000000" w:sz="4" w:space="0"/>
              <w:right w:val="single" w:color="000000" w:sz="4" w:space="0"/>
            </w:tcBorders>
          </w:tcPr>
          <w:p w14:paraId="541E683B">
            <w:pPr>
              <w:autoSpaceDE w:val="0"/>
              <w:autoSpaceDN w:val="0"/>
              <w:spacing w:before="84"/>
              <w:ind w:right="13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2 </w:t>
            </w:r>
          </w:p>
        </w:tc>
        <w:tc>
          <w:tcPr>
            <w:tcW w:w="2139" w:type="dxa"/>
            <w:tcBorders>
              <w:top w:val="single" w:color="000000" w:sz="4" w:space="0"/>
              <w:left w:val="single" w:color="000000" w:sz="4" w:space="0"/>
              <w:bottom w:val="single" w:color="000000" w:sz="4" w:space="0"/>
              <w:right w:val="single" w:color="000000" w:sz="4" w:space="0"/>
            </w:tcBorders>
          </w:tcPr>
          <w:p w14:paraId="20EAB5D6">
            <w:pPr>
              <w:autoSpaceDE w:val="0"/>
              <w:autoSpaceDN w:val="0"/>
              <w:spacing w:before="84"/>
              <w:ind w:left="603" w:right="406"/>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色度 </w:t>
            </w:r>
          </w:p>
        </w:tc>
        <w:tc>
          <w:tcPr>
            <w:tcW w:w="1294" w:type="dxa"/>
            <w:tcBorders>
              <w:top w:val="single" w:color="000000" w:sz="4" w:space="0"/>
              <w:left w:val="single" w:color="000000" w:sz="4" w:space="0"/>
              <w:bottom w:val="single" w:color="000000" w:sz="4" w:space="0"/>
              <w:right w:val="single" w:color="000000" w:sz="4" w:space="0"/>
            </w:tcBorders>
          </w:tcPr>
          <w:p w14:paraId="2D56F85F">
            <w:pPr>
              <w:autoSpaceDE w:val="0"/>
              <w:autoSpaceDN w:val="0"/>
              <w:spacing w:before="84"/>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4" w:type="dxa"/>
            <w:tcBorders>
              <w:top w:val="single" w:color="000000" w:sz="4" w:space="0"/>
              <w:left w:val="single" w:color="000000" w:sz="4" w:space="0"/>
              <w:bottom w:val="single" w:color="000000" w:sz="4" w:space="0"/>
              <w:right w:val="single" w:color="000000" w:sz="4" w:space="0"/>
            </w:tcBorders>
          </w:tcPr>
          <w:p w14:paraId="17164D37">
            <w:pPr>
              <w:autoSpaceDE w:val="0"/>
              <w:autoSpaceDN w:val="0"/>
              <w:spacing w:before="84"/>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top w:val="single" w:color="000000" w:sz="4" w:space="0"/>
              <w:left w:val="single" w:color="000000" w:sz="4" w:space="0"/>
              <w:bottom w:val="single" w:color="000000" w:sz="4" w:space="0"/>
              <w:right w:val="single" w:color="000000" w:sz="4" w:space="0"/>
            </w:tcBorders>
          </w:tcPr>
          <w:p w14:paraId="7429D147">
            <w:pPr>
              <w:autoSpaceDE w:val="0"/>
              <w:autoSpaceDN w:val="0"/>
              <w:spacing w:before="84"/>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top w:val="single" w:color="000000" w:sz="4" w:space="0"/>
              <w:left w:val="single" w:color="000000" w:sz="4" w:space="0"/>
              <w:bottom w:val="single" w:color="000000" w:sz="4" w:space="0"/>
              <w:right w:val="single" w:color="000000" w:sz="4" w:space="0"/>
            </w:tcBorders>
          </w:tcPr>
          <w:p w14:paraId="5A644FC5">
            <w:pPr>
              <w:autoSpaceDE w:val="0"/>
              <w:autoSpaceDN w:val="0"/>
              <w:spacing w:before="84"/>
              <w:ind w:left="334"/>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435" w:type="dxa"/>
            <w:tcBorders>
              <w:top w:val="single" w:color="000000" w:sz="4" w:space="0"/>
              <w:left w:val="single" w:color="000000" w:sz="4" w:space="0"/>
              <w:bottom w:val="single" w:color="000000" w:sz="4" w:space="0"/>
            </w:tcBorders>
          </w:tcPr>
          <w:p w14:paraId="06BAA8F2">
            <w:pPr>
              <w:autoSpaceDE w:val="0"/>
              <w:autoSpaceDN w:val="0"/>
              <w:spacing w:before="84"/>
              <w:ind w:right="159"/>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5750.4</w:t>
            </w:r>
            <w:r>
              <w:rPr>
                <w:rFonts w:hint="default" w:ascii="Times New Roman" w:hAnsi="Times New Roman" w:cs="Times New Roman"/>
                <w:sz w:val="18"/>
                <w:szCs w:val="22"/>
                <w:lang w:eastAsia="en-US"/>
              </w:rPr>
              <w:t xml:space="preserve"> </w:t>
            </w:r>
          </w:p>
        </w:tc>
      </w:tr>
      <w:tr w14:paraId="5D41A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8" w:hRule="atLeast"/>
        </w:trPr>
        <w:tc>
          <w:tcPr>
            <w:tcW w:w="581" w:type="dxa"/>
            <w:tcBorders>
              <w:top w:val="single" w:color="000000" w:sz="4" w:space="0"/>
              <w:bottom w:val="single" w:color="000000" w:sz="4" w:space="0"/>
              <w:right w:val="single" w:color="000000" w:sz="4" w:space="0"/>
            </w:tcBorders>
          </w:tcPr>
          <w:p w14:paraId="7F2B5080">
            <w:pPr>
              <w:autoSpaceDE w:val="0"/>
              <w:autoSpaceDN w:val="0"/>
              <w:spacing w:before="84"/>
              <w:ind w:right="13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3 </w:t>
            </w:r>
          </w:p>
        </w:tc>
        <w:tc>
          <w:tcPr>
            <w:tcW w:w="2139" w:type="dxa"/>
            <w:tcBorders>
              <w:top w:val="single" w:color="000000" w:sz="4" w:space="0"/>
              <w:left w:val="single" w:color="000000" w:sz="4" w:space="0"/>
              <w:bottom w:val="single" w:color="000000" w:sz="4" w:space="0"/>
              <w:right w:val="single" w:color="000000" w:sz="4" w:space="0"/>
            </w:tcBorders>
          </w:tcPr>
          <w:p w14:paraId="6A1809F0">
            <w:pPr>
              <w:autoSpaceDE w:val="0"/>
              <w:autoSpaceDN w:val="0"/>
              <w:spacing w:before="84"/>
              <w:ind w:left="603" w:right="4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嗅 </w:t>
            </w:r>
          </w:p>
        </w:tc>
        <w:tc>
          <w:tcPr>
            <w:tcW w:w="1294" w:type="dxa"/>
            <w:tcBorders>
              <w:top w:val="single" w:color="000000" w:sz="4" w:space="0"/>
              <w:left w:val="single" w:color="000000" w:sz="4" w:space="0"/>
              <w:bottom w:val="single" w:color="000000" w:sz="4" w:space="0"/>
              <w:right w:val="single" w:color="000000" w:sz="4" w:space="0"/>
            </w:tcBorders>
          </w:tcPr>
          <w:p w14:paraId="21F630E3">
            <w:pPr>
              <w:autoSpaceDE w:val="0"/>
              <w:autoSpaceDN w:val="0"/>
              <w:spacing w:before="84"/>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4" w:type="dxa"/>
            <w:tcBorders>
              <w:top w:val="single" w:color="000000" w:sz="4" w:space="0"/>
              <w:left w:val="single" w:color="000000" w:sz="4" w:space="0"/>
              <w:bottom w:val="single" w:color="000000" w:sz="4" w:space="0"/>
              <w:right w:val="single" w:color="000000" w:sz="4" w:space="0"/>
            </w:tcBorders>
          </w:tcPr>
          <w:p w14:paraId="3646C277">
            <w:pPr>
              <w:autoSpaceDE w:val="0"/>
              <w:autoSpaceDN w:val="0"/>
              <w:spacing w:before="84"/>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top w:val="single" w:color="000000" w:sz="4" w:space="0"/>
              <w:left w:val="single" w:color="000000" w:sz="4" w:space="0"/>
              <w:bottom w:val="single" w:color="000000" w:sz="4" w:space="0"/>
              <w:right w:val="single" w:color="000000" w:sz="4" w:space="0"/>
            </w:tcBorders>
          </w:tcPr>
          <w:p w14:paraId="101A6ED9">
            <w:pPr>
              <w:autoSpaceDE w:val="0"/>
              <w:autoSpaceDN w:val="0"/>
              <w:spacing w:before="84"/>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top w:val="single" w:color="000000" w:sz="4" w:space="0"/>
              <w:left w:val="single" w:color="000000" w:sz="4" w:space="0"/>
              <w:bottom w:val="single" w:color="000000" w:sz="4" w:space="0"/>
              <w:right w:val="single" w:color="000000" w:sz="4" w:space="0"/>
            </w:tcBorders>
          </w:tcPr>
          <w:p w14:paraId="23CDBCBF">
            <w:pPr>
              <w:autoSpaceDE w:val="0"/>
              <w:autoSpaceDN w:val="0"/>
              <w:spacing w:before="84"/>
              <w:ind w:left="334"/>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435" w:type="dxa"/>
            <w:tcBorders>
              <w:top w:val="single" w:color="000000" w:sz="4" w:space="0"/>
              <w:left w:val="single" w:color="000000" w:sz="4" w:space="0"/>
              <w:bottom w:val="single" w:color="000000" w:sz="4" w:space="0"/>
            </w:tcBorders>
          </w:tcPr>
          <w:p w14:paraId="62EB8FBF">
            <w:pPr>
              <w:autoSpaceDE w:val="0"/>
              <w:autoSpaceDN w:val="0"/>
              <w:spacing w:before="84"/>
              <w:ind w:right="159"/>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5750.4</w:t>
            </w:r>
            <w:r>
              <w:rPr>
                <w:rFonts w:hint="default" w:ascii="Times New Roman" w:hAnsi="Times New Roman" w:cs="Times New Roman"/>
                <w:sz w:val="18"/>
                <w:szCs w:val="22"/>
                <w:lang w:eastAsia="en-US"/>
              </w:rPr>
              <w:t xml:space="preserve"> </w:t>
            </w:r>
          </w:p>
        </w:tc>
      </w:tr>
      <w:tr w14:paraId="3810F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bottom w:val="single" w:color="000000" w:sz="4" w:space="0"/>
              <w:right w:val="single" w:color="000000" w:sz="4" w:space="0"/>
            </w:tcBorders>
          </w:tcPr>
          <w:p w14:paraId="14292A6F">
            <w:pPr>
              <w:autoSpaceDE w:val="0"/>
              <w:autoSpaceDN w:val="0"/>
              <w:spacing w:before="84"/>
              <w:ind w:right="13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4 </w:t>
            </w:r>
          </w:p>
        </w:tc>
        <w:tc>
          <w:tcPr>
            <w:tcW w:w="2139" w:type="dxa"/>
            <w:tcBorders>
              <w:top w:val="single" w:color="000000" w:sz="4" w:space="0"/>
              <w:left w:val="single" w:color="000000" w:sz="4" w:space="0"/>
              <w:bottom w:val="single" w:color="000000" w:sz="4" w:space="0"/>
              <w:right w:val="single" w:color="000000" w:sz="4" w:space="0"/>
            </w:tcBorders>
          </w:tcPr>
          <w:p w14:paraId="0216D18A">
            <w:pPr>
              <w:autoSpaceDE w:val="0"/>
              <w:autoSpaceDN w:val="0"/>
              <w:spacing w:before="84"/>
              <w:ind w:left="603" w:right="406"/>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浊度 </w:t>
            </w:r>
          </w:p>
        </w:tc>
        <w:tc>
          <w:tcPr>
            <w:tcW w:w="1294" w:type="dxa"/>
            <w:tcBorders>
              <w:top w:val="single" w:color="000000" w:sz="4" w:space="0"/>
              <w:left w:val="single" w:color="000000" w:sz="4" w:space="0"/>
              <w:bottom w:val="single" w:color="000000" w:sz="4" w:space="0"/>
              <w:right w:val="single" w:color="000000" w:sz="4" w:space="0"/>
            </w:tcBorders>
          </w:tcPr>
          <w:p w14:paraId="1051D1CD">
            <w:pPr>
              <w:autoSpaceDE w:val="0"/>
              <w:autoSpaceDN w:val="0"/>
              <w:spacing w:before="84"/>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4" w:type="dxa"/>
            <w:tcBorders>
              <w:top w:val="single" w:color="000000" w:sz="4" w:space="0"/>
              <w:left w:val="single" w:color="000000" w:sz="4" w:space="0"/>
              <w:bottom w:val="single" w:color="000000" w:sz="4" w:space="0"/>
              <w:right w:val="single" w:color="000000" w:sz="4" w:space="0"/>
            </w:tcBorders>
          </w:tcPr>
          <w:p w14:paraId="7531136B">
            <w:pPr>
              <w:autoSpaceDE w:val="0"/>
              <w:autoSpaceDN w:val="0"/>
              <w:spacing w:before="84"/>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top w:val="single" w:color="000000" w:sz="4" w:space="0"/>
              <w:left w:val="single" w:color="000000" w:sz="4" w:space="0"/>
              <w:bottom w:val="single" w:color="000000" w:sz="4" w:space="0"/>
              <w:right w:val="single" w:color="000000" w:sz="4" w:space="0"/>
            </w:tcBorders>
          </w:tcPr>
          <w:p w14:paraId="0E2BEA76">
            <w:pPr>
              <w:autoSpaceDE w:val="0"/>
              <w:autoSpaceDN w:val="0"/>
              <w:spacing w:before="84"/>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296" w:type="dxa"/>
            <w:tcBorders>
              <w:top w:val="single" w:color="000000" w:sz="4" w:space="0"/>
              <w:left w:val="single" w:color="000000" w:sz="4" w:space="0"/>
              <w:bottom w:val="single" w:color="000000" w:sz="4" w:space="0"/>
              <w:right w:val="single" w:color="000000" w:sz="4" w:space="0"/>
            </w:tcBorders>
          </w:tcPr>
          <w:p w14:paraId="30DB238F">
            <w:pPr>
              <w:autoSpaceDE w:val="0"/>
              <w:autoSpaceDN w:val="0"/>
              <w:spacing w:before="84"/>
              <w:ind w:left="334"/>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每日1次 </w:t>
            </w:r>
          </w:p>
        </w:tc>
        <w:tc>
          <w:tcPr>
            <w:tcW w:w="1435" w:type="dxa"/>
            <w:tcBorders>
              <w:top w:val="single" w:color="000000" w:sz="4" w:space="0"/>
              <w:left w:val="single" w:color="000000" w:sz="4" w:space="0"/>
              <w:bottom w:val="single" w:color="000000" w:sz="4" w:space="0"/>
            </w:tcBorders>
          </w:tcPr>
          <w:p w14:paraId="0A8FCBE5">
            <w:pPr>
              <w:autoSpaceDE w:val="0"/>
              <w:autoSpaceDN w:val="0"/>
              <w:spacing w:before="84"/>
              <w:ind w:right="159"/>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5750.4</w:t>
            </w:r>
            <w:r>
              <w:rPr>
                <w:rFonts w:hint="default" w:ascii="Times New Roman" w:hAnsi="Times New Roman" w:cs="Times New Roman"/>
                <w:sz w:val="18"/>
                <w:szCs w:val="22"/>
                <w:lang w:eastAsia="en-US"/>
              </w:rPr>
              <w:t xml:space="preserve"> </w:t>
            </w:r>
          </w:p>
        </w:tc>
      </w:tr>
      <w:tr w14:paraId="5EAB46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8" w:hRule="atLeast"/>
        </w:trPr>
        <w:tc>
          <w:tcPr>
            <w:tcW w:w="581" w:type="dxa"/>
            <w:tcBorders>
              <w:top w:val="single" w:color="000000" w:sz="4" w:space="0"/>
              <w:bottom w:val="single" w:color="000000" w:sz="4" w:space="0"/>
              <w:right w:val="single" w:color="000000" w:sz="4" w:space="0"/>
            </w:tcBorders>
          </w:tcPr>
          <w:p w14:paraId="3466CCDD">
            <w:pPr>
              <w:autoSpaceDE w:val="0"/>
              <w:autoSpaceDN w:val="0"/>
              <w:spacing w:before="84"/>
              <w:ind w:right="13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5 </w:t>
            </w:r>
          </w:p>
        </w:tc>
        <w:tc>
          <w:tcPr>
            <w:tcW w:w="2139" w:type="dxa"/>
            <w:tcBorders>
              <w:top w:val="single" w:color="000000" w:sz="4" w:space="0"/>
              <w:left w:val="single" w:color="000000" w:sz="4" w:space="0"/>
              <w:bottom w:val="single" w:color="000000" w:sz="4" w:space="0"/>
              <w:right w:val="single" w:color="000000" w:sz="4" w:space="0"/>
            </w:tcBorders>
          </w:tcPr>
          <w:p w14:paraId="63088C3E">
            <w:pPr>
              <w:autoSpaceDE w:val="0"/>
              <w:autoSpaceDN w:val="0"/>
              <w:spacing w:before="84"/>
              <w:ind w:left="603" w:right="406"/>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溶解性总固体 </w:t>
            </w:r>
          </w:p>
        </w:tc>
        <w:tc>
          <w:tcPr>
            <w:tcW w:w="1294" w:type="dxa"/>
            <w:tcBorders>
              <w:top w:val="single" w:color="000000" w:sz="4" w:space="0"/>
              <w:left w:val="single" w:color="000000" w:sz="4" w:space="0"/>
              <w:bottom w:val="single" w:color="000000" w:sz="4" w:space="0"/>
              <w:right w:val="single" w:color="000000" w:sz="4" w:space="0"/>
            </w:tcBorders>
          </w:tcPr>
          <w:p w14:paraId="6661459E">
            <w:pPr>
              <w:autoSpaceDE w:val="0"/>
              <w:autoSpaceDN w:val="0"/>
              <w:spacing w:before="84"/>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294" w:type="dxa"/>
            <w:tcBorders>
              <w:top w:val="single" w:color="000000" w:sz="4" w:space="0"/>
              <w:left w:val="single" w:color="000000" w:sz="4" w:space="0"/>
              <w:bottom w:val="single" w:color="000000" w:sz="4" w:space="0"/>
              <w:right w:val="single" w:color="000000" w:sz="4" w:space="0"/>
            </w:tcBorders>
          </w:tcPr>
          <w:p w14:paraId="229AA262">
            <w:pPr>
              <w:autoSpaceDE w:val="0"/>
              <w:autoSpaceDN w:val="0"/>
              <w:spacing w:before="84"/>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296" w:type="dxa"/>
            <w:tcBorders>
              <w:top w:val="single" w:color="000000" w:sz="4" w:space="0"/>
              <w:left w:val="single" w:color="000000" w:sz="4" w:space="0"/>
              <w:bottom w:val="single" w:color="000000" w:sz="4" w:space="0"/>
              <w:right w:val="single" w:color="000000" w:sz="4" w:space="0"/>
            </w:tcBorders>
          </w:tcPr>
          <w:p w14:paraId="468E8898">
            <w:pPr>
              <w:autoSpaceDE w:val="0"/>
              <w:autoSpaceDN w:val="0"/>
              <w:spacing w:before="84"/>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296" w:type="dxa"/>
            <w:tcBorders>
              <w:top w:val="single" w:color="000000" w:sz="4" w:space="0"/>
              <w:left w:val="single" w:color="000000" w:sz="4" w:space="0"/>
              <w:bottom w:val="single" w:color="000000" w:sz="4" w:space="0"/>
              <w:right w:val="single" w:color="000000" w:sz="4" w:space="0"/>
            </w:tcBorders>
          </w:tcPr>
          <w:p w14:paraId="34FE2F01">
            <w:pPr>
              <w:autoSpaceDE w:val="0"/>
              <w:autoSpaceDN w:val="0"/>
              <w:spacing w:before="84"/>
              <w:ind w:left="446"/>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435" w:type="dxa"/>
            <w:tcBorders>
              <w:top w:val="single" w:color="000000" w:sz="4" w:space="0"/>
              <w:left w:val="single" w:color="000000" w:sz="4" w:space="0"/>
              <w:bottom w:val="single" w:color="000000" w:sz="4" w:space="0"/>
            </w:tcBorders>
          </w:tcPr>
          <w:p w14:paraId="00AA8837">
            <w:pPr>
              <w:autoSpaceDE w:val="0"/>
              <w:autoSpaceDN w:val="0"/>
              <w:spacing w:before="84"/>
              <w:ind w:right="11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GB/T 5750.4 </w:t>
            </w:r>
          </w:p>
        </w:tc>
      </w:tr>
      <w:tr w14:paraId="6D3E0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581" w:type="dxa"/>
            <w:tcBorders>
              <w:top w:val="single" w:color="000000" w:sz="4" w:space="0"/>
              <w:bottom w:val="single" w:color="000000" w:sz="4" w:space="0"/>
              <w:right w:val="single" w:color="000000" w:sz="4" w:space="0"/>
            </w:tcBorders>
          </w:tcPr>
          <w:p w14:paraId="18437E81">
            <w:pPr>
              <w:autoSpaceDE w:val="0"/>
              <w:autoSpaceDN w:val="0"/>
              <w:spacing w:before="83"/>
              <w:ind w:right="13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6 </w:t>
            </w:r>
          </w:p>
        </w:tc>
        <w:tc>
          <w:tcPr>
            <w:tcW w:w="2139" w:type="dxa"/>
            <w:tcBorders>
              <w:top w:val="single" w:color="000000" w:sz="4" w:space="0"/>
              <w:left w:val="single" w:color="000000" w:sz="4" w:space="0"/>
              <w:bottom w:val="single" w:color="000000" w:sz="4" w:space="0"/>
              <w:right w:val="single" w:color="000000" w:sz="4" w:space="0"/>
            </w:tcBorders>
          </w:tcPr>
          <w:p w14:paraId="4BBDD2FB">
            <w:pPr>
              <w:autoSpaceDE w:val="0"/>
              <w:autoSpaceDN w:val="0"/>
              <w:spacing w:before="83"/>
              <w:ind w:left="603" w:right="406"/>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总氯 </w:t>
            </w:r>
          </w:p>
        </w:tc>
        <w:tc>
          <w:tcPr>
            <w:tcW w:w="1294" w:type="dxa"/>
            <w:tcBorders>
              <w:top w:val="single" w:color="000000" w:sz="4" w:space="0"/>
              <w:left w:val="single" w:color="000000" w:sz="4" w:space="0"/>
              <w:bottom w:val="single" w:color="000000" w:sz="4" w:space="0"/>
              <w:right w:val="single" w:color="000000" w:sz="4" w:space="0"/>
            </w:tcBorders>
          </w:tcPr>
          <w:p w14:paraId="00CF10C8">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294" w:type="dxa"/>
            <w:tcBorders>
              <w:top w:val="single" w:color="000000" w:sz="4" w:space="0"/>
              <w:left w:val="single" w:color="000000" w:sz="4" w:space="0"/>
              <w:bottom w:val="single" w:color="000000" w:sz="4" w:space="0"/>
              <w:right w:val="single" w:color="000000" w:sz="4" w:space="0"/>
            </w:tcBorders>
          </w:tcPr>
          <w:p w14:paraId="2102C764">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296" w:type="dxa"/>
            <w:tcBorders>
              <w:top w:val="single" w:color="000000" w:sz="4" w:space="0"/>
              <w:left w:val="single" w:color="000000" w:sz="4" w:space="0"/>
              <w:bottom w:val="single" w:color="000000" w:sz="4" w:space="0"/>
              <w:right w:val="single" w:color="000000" w:sz="4" w:space="0"/>
            </w:tcBorders>
          </w:tcPr>
          <w:p w14:paraId="2D27B107">
            <w:pPr>
              <w:autoSpaceDE w:val="0"/>
              <w:autoSpaceDN w:val="0"/>
              <w:spacing w:before="83"/>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296" w:type="dxa"/>
            <w:tcBorders>
              <w:top w:val="single" w:color="000000" w:sz="4" w:space="0"/>
              <w:left w:val="single" w:color="000000" w:sz="4" w:space="0"/>
              <w:bottom w:val="single" w:color="000000" w:sz="4" w:space="0"/>
              <w:right w:val="single" w:color="000000" w:sz="4" w:space="0"/>
            </w:tcBorders>
          </w:tcPr>
          <w:p w14:paraId="0174A44B">
            <w:pPr>
              <w:autoSpaceDE w:val="0"/>
              <w:autoSpaceDN w:val="0"/>
              <w:spacing w:before="83"/>
              <w:ind w:left="446"/>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435" w:type="dxa"/>
            <w:tcBorders>
              <w:top w:val="single" w:color="000000" w:sz="4" w:space="0"/>
              <w:left w:val="single" w:color="000000" w:sz="4" w:space="0"/>
              <w:bottom w:val="single" w:color="000000" w:sz="4" w:space="0"/>
            </w:tcBorders>
          </w:tcPr>
          <w:p w14:paraId="6CC2BE9A">
            <w:pPr>
              <w:autoSpaceDE w:val="0"/>
              <w:autoSpaceDN w:val="0"/>
              <w:spacing w:before="83"/>
              <w:ind w:right="159"/>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5750.11</w:t>
            </w:r>
            <w:r>
              <w:rPr>
                <w:rFonts w:hint="default" w:ascii="Times New Roman" w:hAnsi="Times New Roman" w:cs="Times New Roman"/>
                <w:sz w:val="18"/>
                <w:szCs w:val="22"/>
                <w:lang w:eastAsia="en-US"/>
              </w:rPr>
              <w:t xml:space="preserve"> </w:t>
            </w:r>
          </w:p>
        </w:tc>
      </w:tr>
      <w:tr w14:paraId="3B76FF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right w:val="single" w:color="000000" w:sz="4" w:space="0"/>
            </w:tcBorders>
          </w:tcPr>
          <w:p w14:paraId="345B6B16">
            <w:pPr>
              <w:autoSpaceDE w:val="0"/>
              <w:autoSpaceDN w:val="0"/>
              <w:spacing w:before="83"/>
              <w:ind w:right="13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7 </w:t>
            </w:r>
          </w:p>
        </w:tc>
        <w:tc>
          <w:tcPr>
            <w:tcW w:w="2139" w:type="dxa"/>
            <w:tcBorders>
              <w:top w:val="single" w:color="000000" w:sz="4" w:space="0"/>
              <w:left w:val="single" w:color="000000" w:sz="4" w:space="0"/>
              <w:right w:val="single" w:color="000000" w:sz="4" w:space="0"/>
            </w:tcBorders>
          </w:tcPr>
          <w:p w14:paraId="18B986EA">
            <w:pPr>
              <w:autoSpaceDE w:val="0"/>
              <w:autoSpaceDN w:val="0"/>
              <w:spacing w:before="83"/>
              <w:ind w:left="603" w:right="4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氯化物 </w:t>
            </w:r>
          </w:p>
        </w:tc>
        <w:tc>
          <w:tcPr>
            <w:tcW w:w="1294" w:type="dxa"/>
            <w:tcBorders>
              <w:top w:val="single" w:color="000000" w:sz="4" w:space="0"/>
              <w:left w:val="single" w:color="000000" w:sz="4" w:space="0"/>
              <w:right w:val="single" w:color="000000" w:sz="4" w:space="0"/>
            </w:tcBorders>
          </w:tcPr>
          <w:p w14:paraId="5FAA8182">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 </w:t>
            </w:r>
          </w:p>
        </w:tc>
        <w:tc>
          <w:tcPr>
            <w:tcW w:w="1294" w:type="dxa"/>
            <w:tcBorders>
              <w:top w:val="single" w:color="000000" w:sz="4" w:space="0"/>
              <w:left w:val="single" w:color="000000" w:sz="4" w:space="0"/>
              <w:right w:val="single" w:color="000000" w:sz="4" w:space="0"/>
            </w:tcBorders>
          </w:tcPr>
          <w:p w14:paraId="04BB6AED">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 </w:t>
            </w:r>
          </w:p>
        </w:tc>
        <w:tc>
          <w:tcPr>
            <w:tcW w:w="1296" w:type="dxa"/>
            <w:tcBorders>
              <w:top w:val="single" w:color="000000" w:sz="4" w:space="0"/>
              <w:left w:val="single" w:color="000000" w:sz="4" w:space="0"/>
              <w:right w:val="single" w:color="000000" w:sz="4" w:space="0"/>
            </w:tcBorders>
          </w:tcPr>
          <w:p w14:paraId="570EE0CC">
            <w:pPr>
              <w:autoSpaceDE w:val="0"/>
              <w:autoSpaceDN w:val="0"/>
              <w:spacing w:before="83"/>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定期</w:t>
            </w:r>
            <w:r>
              <w:rPr>
                <w:rFonts w:hint="default" w:ascii="Times New Roman" w:hAnsi="Times New Roman" w:cs="Times New Roman"/>
                <w:position w:val="9"/>
                <w:sz w:val="9"/>
                <w:szCs w:val="22"/>
                <w:lang w:eastAsia="en-US"/>
              </w:rPr>
              <w:t>a</w:t>
            </w:r>
            <w:r>
              <w:rPr>
                <w:rFonts w:hint="default" w:ascii="Times New Roman" w:hAnsi="Times New Roman" w:cs="Times New Roman"/>
                <w:sz w:val="18"/>
                <w:szCs w:val="22"/>
                <w:lang w:eastAsia="en-US"/>
              </w:rPr>
              <w:t xml:space="preserve"> 每日1次 </w:t>
            </w:r>
          </w:p>
        </w:tc>
        <w:tc>
          <w:tcPr>
            <w:tcW w:w="1296" w:type="dxa"/>
            <w:tcBorders>
              <w:top w:val="single" w:color="000000" w:sz="4" w:space="0"/>
              <w:left w:val="single" w:color="000000" w:sz="4" w:space="0"/>
              <w:right w:val="single" w:color="000000" w:sz="4" w:space="0"/>
            </w:tcBorders>
          </w:tcPr>
          <w:p w14:paraId="6EE5E64B">
            <w:pPr>
              <w:autoSpaceDE w:val="0"/>
              <w:autoSpaceDN w:val="0"/>
              <w:spacing w:before="83"/>
              <w:ind w:left="313"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 </w:t>
            </w:r>
          </w:p>
        </w:tc>
        <w:tc>
          <w:tcPr>
            <w:tcW w:w="1435" w:type="dxa"/>
            <w:tcBorders>
              <w:top w:val="single" w:color="000000" w:sz="4" w:space="0"/>
              <w:left w:val="single" w:color="000000" w:sz="4" w:space="0"/>
            </w:tcBorders>
          </w:tcPr>
          <w:p w14:paraId="2BBF6CB9">
            <w:pPr>
              <w:autoSpaceDE w:val="0"/>
              <w:autoSpaceDN w:val="0"/>
              <w:spacing w:before="83"/>
              <w:ind w:right="114"/>
              <w:jc w:val="righ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 xml:space="preserve">GB/T 5750.5 </w:t>
            </w:r>
          </w:p>
        </w:tc>
      </w:tr>
      <w:tr w14:paraId="0369A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right w:val="single" w:color="000000" w:sz="4" w:space="0"/>
            </w:tcBorders>
          </w:tcPr>
          <w:p w14:paraId="626A08AD">
            <w:pPr>
              <w:autoSpaceDE w:val="0"/>
              <w:autoSpaceDN w:val="0"/>
              <w:spacing w:before="83"/>
              <w:ind w:right="134"/>
              <w:jc w:val="right"/>
              <w:rPr>
                <w:rFonts w:hint="default" w:ascii="Times New Roman" w:hAnsi="Times New Roman" w:cs="Times New Roman"/>
                <w:sz w:val="18"/>
                <w:szCs w:val="22"/>
                <w:lang w:eastAsia="en-US"/>
              </w:rPr>
            </w:pPr>
          </w:p>
        </w:tc>
        <w:tc>
          <w:tcPr>
            <w:tcW w:w="2139" w:type="dxa"/>
            <w:tcBorders>
              <w:top w:val="single" w:color="000000" w:sz="4" w:space="0"/>
              <w:left w:val="single" w:color="000000" w:sz="4" w:space="0"/>
              <w:right w:val="single" w:color="000000" w:sz="4" w:space="0"/>
            </w:tcBorders>
          </w:tcPr>
          <w:p w14:paraId="614A7BD5">
            <w:pPr>
              <w:autoSpaceDE w:val="0"/>
              <w:autoSpaceDN w:val="0"/>
              <w:spacing w:before="83"/>
              <w:ind w:left="603" w:right="404"/>
              <w:jc w:val="center"/>
              <w:rPr>
                <w:rFonts w:hint="default" w:ascii="Times New Roman" w:hAnsi="Times New Roman" w:cs="Times New Roman"/>
                <w:sz w:val="18"/>
                <w:szCs w:val="22"/>
              </w:rPr>
            </w:pPr>
            <w:r>
              <w:rPr>
                <w:rFonts w:hint="default" w:ascii="Times New Roman" w:hAnsi="Times New Roman" w:cs="Times New Roman"/>
                <w:sz w:val="18"/>
                <w:szCs w:val="22"/>
              </w:rPr>
              <w:t>BOD</w:t>
            </w:r>
            <w:r>
              <w:rPr>
                <w:rFonts w:hint="default" w:ascii="Times New Roman" w:hAnsi="Times New Roman" w:cs="Times New Roman"/>
                <w:sz w:val="18"/>
                <w:szCs w:val="22"/>
                <w:vertAlign w:val="subscript"/>
              </w:rPr>
              <w:t>5</w:t>
            </w:r>
          </w:p>
        </w:tc>
        <w:tc>
          <w:tcPr>
            <w:tcW w:w="1294" w:type="dxa"/>
            <w:tcBorders>
              <w:top w:val="single" w:color="000000" w:sz="4" w:space="0"/>
              <w:left w:val="single" w:color="000000" w:sz="4" w:space="0"/>
              <w:right w:val="single" w:color="000000" w:sz="4" w:space="0"/>
            </w:tcBorders>
          </w:tcPr>
          <w:p w14:paraId="65D3F84F">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4" w:type="dxa"/>
            <w:tcBorders>
              <w:top w:val="single" w:color="000000" w:sz="4" w:space="0"/>
              <w:left w:val="single" w:color="000000" w:sz="4" w:space="0"/>
              <w:right w:val="single" w:color="000000" w:sz="4" w:space="0"/>
            </w:tcBorders>
          </w:tcPr>
          <w:p w14:paraId="4402CD1F">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6077D896">
            <w:pPr>
              <w:autoSpaceDE w:val="0"/>
              <w:autoSpaceDN w:val="0"/>
              <w:spacing w:before="83"/>
              <w:ind w:left="316" w:right="208"/>
              <w:jc w:val="center"/>
              <w:rPr>
                <w:rFonts w:hint="default" w:ascii="Times New Roman" w:hAnsi="Times New Roman" w:cs="Times New Roman"/>
                <w:sz w:val="18"/>
                <w:szCs w:val="22"/>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r>
              <w:rPr>
                <w:rFonts w:hint="default" w:ascii="Times New Roman" w:hAnsi="Times New Roman" w:cs="Times New Roman"/>
                <w:sz w:val="18"/>
                <w:szCs w:val="22"/>
              </w:rPr>
              <w:t>/</w:t>
            </w:r>
            <w:r>
              <w:rPr>
                <w:rFonts w:hint="default" w:ascii="Times New Roman" w:hAnsi="Times New Roman" w:cs="Times New Roman"/>
                <w:sz w:val="18"/>
                <w:szCs w:val="22"/>
                <w:lang w:eastAsia="en-US"/>
              </w:rPr>
              <w:t>每</w:t>
            </w:r>
            <w:r>
              <w:rPr>
                <w:rFonts w:hint="default" w:ascii="Times New Roman" w:hAnsi="Times New Roman" w:cs="Times New Roman"/>
                <w:sz w:val="18"/>
                <w:szCs w:val="22"/>
              </w:rPr>
              <w:t>季度</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275F2690">
            <w:pPr>
              <w:autoSpaceDE w:val="0"/>
              <w:autoSpaceDN w:val="0"/>
              <w:spacing w:before="83"/>
              <w:ind w:left="313"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435" w:type="dxa"/>
            <w:tcBorders>
              <w:top w:val="single" w:color="000000" w:sz="4" w:space="0"/>
              <w:left w:val="single" w:color="000000" w:sz="4" w:space="0"/>
            </w:tcBorders>
          </w:tcPr>
          <w:p w14:paraId="0D115EF3">
            <w:pPr>
              <w:wordWrap w:val="0"/>
              <w:autoSpaceDE w:val="0"/>
              <w:autoSpaceDN w:val="0"/>
              <w:spacing w:before="83"/>
              <w:ind w:right="114"/>
              <w:jc w:val="right"/>
              <w:rPr>
                <w:rFonts w:hint="default" w:ascii="Times New Roman" w:hAnsi="Times New Roman" w:cs="Times New Roman"/>
                <w:sz w:val="18"/>
                <w:szCs w:val="22"/>
              </w:rPr>
            </w:pPr>
            <w:r>
              <w:rPr>
                <w:rFonts w:hint="default" w:ascii="Times New Roman" w:hAnsi="Times New Roman" w:cs="Times New Roman"/>
                <w:sz w:val="18"/>
                <w:szCs w:val="22"/>
              </w:rPr>
              <w:t>HJ 505</w:t>
            </w:r>
          </w:p>
        </w:tc>
      </w:tr>
      <w:tr w14:paraId="0E348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right w:val="single" w:color="000000" w:sz="4" w:space="0"/>
            </w:tcBorders>
          </w:tcPr>
          <w:p w14:paraId="538E8DC6">
            <w:pPr>
              <w:autoSpaceDE w:val="0"/>
              <w:autoSpaceDN w:val="0"/>
              <w:spacing w:before="83"/>
              <w:ind w:right="134"/>
              <w:jc w:val="right"/>
              <w:rPr>
                <w:rFonts w:hint="default" w:ascii="Times New Roman" w:hAnsi="Times New Roman" w:cs="Times New Roman"/>
                <w:sz w:val="18"/>
                <w:szCs w:val="22"/>
                <w:lang w:eastAsia="en-US"/>
              </w:rPr>
            </w:pPr>
          </w:p>
        </w:tc>
        <w:tc>
          <w:tcPr>
            <w:tcW w:w="2139" w:type="dxa"/>
            <w:tcBorders>
              <w:top w:val="single" w:color="000000" w:sz="4" w:space="0"/>
              <w:left w:val="single" w:color="000000" w:sz="4" w:space="0"/>
              <w:right w:val="single" w:color="000000" w:sz="4" w:space="0"/>
            </w:tcBorders>
          </w:tcPr>
          <w:p w14:paraId="6B86748B">
            <w:pPr>
              <w:autoSpaceDE w:val="0"/>
              <w:autoSpaceDN w:val="0"/>
              <w:spacing w:before="83"/>
              <w:ind w:left="603" w:right="404"/>
              <w:jc w:val="center"/>
              <w:rPr>
                <w:rFonts w:hint="default" w:ascii="Times New Roman" w:hAnsi="Times New Roman" w:cs="Times New Roman"/>
                <w:sz w:val="18"/>
                <w:szCs w:val="22"/>
              </w:rPr>
            </w:pPr>
            <w:r>
              <w:rPr>
                <w:rFonts w:hint="default" w:ascii="Times New Roman" w:hAnsi="Times New Roman" w:cs="Times New Roman"/>
                <w:sz w:val="18"/>
                <w:szCs w:val="22"/>
              </w:rPr>
              <w:t>氨氮</w:t>
            </w:r>
          </w:p>
        </w:tc>
        <w:tc>
          <w:tcPr>
            <w:tcW w:w="1294" w:type="dxa"/>
            <w:tcBorders>
              <w:top w:val="single" w:color="000000" w:sz="4" w:space="0"/>
              <w:left w:val="single" w:color="000000" w:sz="4" w:space="0"/>
              <w:right w:val="single" w:color="000000" w:sz="4" w:space="0"/>
            </w:tcBorders>
          </w:tcPr>
          <w:p w14:paraId="099C2973">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4" w:type="dxa"/>
            <w:tcBorders>
              <w:top w:val="single" w:color="000000" w:sz="4" w:space="0"/>
              <w:left w:val="single" w:color="000000" w:sz="4" w:space="0"/>
              <w:right w:val="single" w:color="000000" w:sz="4" w:space="0"/>
            </w:tcBorders>
          </w:tcPr>
          <w:p w14:paraId="152ED0BC">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78ECECC6">
            <w:pPr>
              <w:autoSpaceDE w:val="0"/>
              <w:autoSpaceDN w:val="0"/>
              <w:spacing w:before="83"/>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7560C08F">
            <w:pPr>
              <w:autoSpaceDE w:val="0"/>
              <w:autoSpaceDN w:val="0"/>
              <w:spacing w:before="83"/>
              <w:ind w:left="313"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435" w:type="dxa"/>
            <w:tcBorders>
              <w:top w:val="single" w:color="000000" w:sz="4" w:space="0"/>
              <w:left w:val="single" w:color="000000" w:sz="4" w:space="0"/>
            </w:tcBorders>
          </w:tcPr>
          <w:p w14:paraId="0F4FE85A">
            <w:pPr>
              <w:autoSpaceDE w:val="0"/>
              <w:autoSpaceDN w:val="0"/>
              <w:spacing w:before="83"/>
              <w:ind w:right="114"/>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5750.5</w:t>
            </w:r>
          </w:p>
        </w:tc>
      </w:tr>
      <w:tr w14:paraId="62D2E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right w:val="single" w:color="000000" w:sz="4" w:space="0"/>
            </w:tcBorders>
          </w:tcPr>
          <w:p w14:paraId="1EE5832D">
            <w:pPr>
              <w:autoSpaceDE w:val="0"/>
              <w:autoSpaceDN w:val="0"/>
              <w:spacing w:before="83"/>
              <w:ind w:right="134"/>
              <w:jc w:val="right"/>
              <w:rPr>
                <w:rFonts w:hint="default" w:ascii="Times New Roman" w:hAnsi="Times New Roman" w:cs="Times New Roman"/>
                <w:sz w:val="18"/>
                <w:szCs w:val="22"/>
                <w:lang w:eastAsia="en-US"/>
              </w:rPr>
            </w:pPr>
          </w:p>
        </w:tc>
        <w:tc>
          <w:tcPr>
            <w:tcW w:w="2139" w:type="dxa"/>
            <w:tcBorders>
              <w:top w:val="single" w:color="000000" w:sz="4" w:space="0"/>
              <w:left w:val="single" w:color="000000" w:sz="4" w:space="0"/>
              <w:right w:val="single" w:color="000000" w:sz="4" w:space="0"/>
            </w:tcBorders>
          </w:tcPr>
          <w:p w14:paraId="5EE1727D">
            <w:pPr>
              <w:autoSpaceDE w:val="0"/>
              <w:autoSpaceDN w:val="0"/>
              <w:spacing w:before="83"/>
              <w:ind w:left="603" w:right="404"/>
              <w:jc w:val="center"/>
              <w:rPr>
                <w:rFonts w:hint="default" w:ascii="Times New Roman" w:hAnsi="Times New Roman" w:cs="Times New Roman"/>
                <w:sz w:val="18"/>
                <w:szCs w:val="22"/>
              </w:rPr>
            </w:pPr>
            <w:r>
              <w:rPr>
                <w:rFonts w:hint="default" w:ascii="Times New Roman" w:hAnsi="Times New Roman" w:cs="Times New Roman"/>
                <w:sz w:val="18"/>
                <w:szCs w:val="22"/>
              </w:rPr>
              <w:t>铁</w:t>
            </w:r>
          </w:p>
        </w:tc>
        <w:tc>
          <w:tcPr>
            <w:tcW w:w="1294" w:type="dxa"/>
            <w:tcBorders>
              <w:top w:val="single" w:color="000000" w:sz="4" w:space="0"/>
              <w:left w:val="single" w:color="000000" w:sz="4" w:space="0"/>
              <w:right w:val="single" w:color="000000" w:sz="4" w:space="0"/>
            </w:tcBorders>
          </w:tcPr>
          <w:p w14:paraId="37A7E143">
            <w:pPr>
              <w:autoSpaceDE w:val="0"/>
              <w:autoSpaceDN w:val="0"/>
              <w:spacing w:before="83"/>
              <w:ind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4" w:type="dxa"/>
            <w:tcBorders>
              <w:top w:val="single" w:color="000000" w:sz="4" w:space="0"/>
              <w:left w:val="single" w:color="000000" w:sz="4" w:space="0"/>
              <w:right w:val="single" w:color="000000" w:sz="4" w:space="0"/>
            </w:tcBorders>
          </w:tcPr>
          <w:p w14:paraId="5E5D5B5D">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5D322173">
            <w:pPr>
              <w:autoSpaceDE w:val="0"/>
              <w:autoSpaceDN w:val="0"/>
              <w:spacing w:before="83"/>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5517C890">
            <w:pPr>
              <w:autoSpaceDE w:val="0"/>
              <w:autoSpaceDN w:val="0"/>
              <w:spacing w:before="83"/>
              <w:ind w:left="313"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435" w:type="dxa"/>
            <w:tcBorders>
              <w:top w:val="single" w:color="000000" w:sz="4" w:space="0"/>
              <w:left w:val="single" w:color="000000" w:sz="4" w:space="0"/>
            </w:tcBorders>
          </w:tcPr>
          <w:p w14:paraId="52EA0FDE">
            <w:pPr>
              <w:autoSpaceDE w:val="0"/>
              <w:autoSpaceDN w:val="0"/>
              <w:spacing w:before="83"/>
              <w:ind w:right="114"/>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5750.6</w:t>
            </w:r>
          </w:p>
        </w:tc>
      </w:tr>
      <w:tr w14:paraId="2A5FB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right w:val="single" w:color="000000" w:sz="4" w:space="0"/>
            </w:tcBorders>
          </w:tcPr>
          <w:p w14:paraId="7D5F639B">
            <w:pPr>
              <w:autoSpaceDE w:val="0"/>
              <w:autoSpaceDN w:val="0"/>
              <w:spacing w:before="83"/>
              <w:ind w:right="134"/>
              <w:jc w:val="right"/>
              <w:rPr>
                <w:rFonts w:hint="default" w:ascii="Times New Roman" w:hAnsi="Times New Roman" w:cs="Times New Roman"/>
                <w:sz w:val="18"/>
                <w:szCs w:val="22"/>
                <w:lang w:eastAsia="en-US"/>
              </w:rPr>
            </w:pPr>
          </w:p>
        </w:tc>
        <w:tc>
          <w:tcPr>
            <w:tcW w:w="2139" w:type="dxa"/>
            <w:tcBorders>
              <w:top w:val="single" w:color="000000" w:sz="4" w:space="0"/>
              <w:left w:val="single" w:color="000000" w:sz="4" w:space="0"/>
              <w:right w:val="single" w:color="000000" w:sz="4" w:space="0"/>
            </w:tcBorders>
          </w:tcPr>
          <w:p w14:paraId="2CF128AD">
            <w:pPr>
              <w:autoSpaceDE w:val="0"/>
              <w:autoSpaceDN w:val="0"/>
              <w:spacing w:before="83"/>
              <w:ind w:left="603" w:right="404"/>
              <w:jc w:val="center"/>
              <w:rPr>
                <w:rFonts w:hint="default" w:ascii="Times New Roman" w:hAnsi="Times New Roman" w:cs="Times New Roman"/>
                <w:sz w:val="18"/>
                <w:szCs w:val="22"/>
              </w:rPr>
            </w:pPr>
            <w:r>
              <w:rPr>
                <w:rFonts w:hint="default" w:ascii="Times New Roman" w:hAnsi="Times New Roman" w:cs="Times New Roman"/>
                <w:sz w:val="18"/>
                <w:szCs w:val="22"/>
              </w:rPr>
              <w:t>锰</w:t>
            </w:r>
          </w:p>
        </w:tc>
        <w:tc>
          <w:tcPr>
            <w:tcW w:w="1294" w:type="dxa"/>
            <w:tcBorders>
              <w:top w:val="single" w:color="000000" w:sz="4" w:space="0"/>
              <w:left w:val="single" w:color="000000" w:sz="4" w:space="0"/>
              <w:right w:val="single" w:color="000000" w:sz="4" w:space="0"/>
            </w:tcBorders>
          </w:tcPr>
          <w:p w14:paraId="5FCA65DD">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4" w:type="dxa"/>
            <w:tcBorders>
              <w:top w:val="single" w:color="000000" w:sz="4" w:space="0"/>
              <w:left w:val="single" w:color="000000" w:sz="4" w:space="0"/>
              <w:right w:val="single" w:color="000000" w:sz="4" w:space="0"/>
            </w:tcBorders>
          </w:tcPr>
          <w:p w14:paraId="147E9923">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64BD4D7B">
            <w:pPr>
              <w:autoSpaceDE w:val="0"/>
              <w:autoSpaceDN w:val="0"/>
              <w:spacing w:before="83"/>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682CA129">
            <w:pPr>
              <w:autoSpaceDE w:val="0"/>
              <w:autoSpaceDN w:val="0"/>
              <w:spacing w:before="83"/>
              <w:ind w:left="313"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435" w:type="dxa"/>
            <w:tcBorders>
              <w:top w:val="single" w:color="000000" w:sz="4" w:space="0"/>
              <w:left w:val="single" w:color="000000" w:sz="4" w:space="0"/>
            </w:tcBorders>
          </w:tcPr>
          <w:p w14:paraId="3597D532">
            <w:pPr>
              <w:autoSpaceDE w:val="0"/>
              <w:autoSpaceDN w:val="0"/>
              <w:spacing w:before="83"/>
              <w:ind w:right="114"/>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5750.6</w:t>
            </w:r>
          </w:p>
        </w:tc>
      </w:tr>
      <w:tr w14:paraId="76DE7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right w:val="single" w:color="000000" w:sz="4" w:space="0"/>
            </w:tcBorders>
          </w:tcPr>
          <w:p w14:paraId="60935E45">
            <w:pPr>
              <w:autoSpaceDE w:val="0"/>
              <w:autoSpaceDN w:val="0"/>
              <w:spacing w:before="83"/>
              <w:ind w:right="134"/>
              <w:jc w:val="right"/>
              <w:rPr>
                <w:rFonts w:hint="default" w:ascii="Times New Roman" w:hAnsi="Times New Roman" w:cs="Times New Roman"/>
                <w:sz w:val="18"/>
                <w:szCs w:val="22"/>
                <w:lang w:eastAsia="en-US"/>
              </w:rPr>
            </w:pPr>
          </w:p>
        </w:tc>
        <w:tc>
          <w:tcPr>
            <w:tcW w:w="2139" w:type="dxa"/>
            <w:tcBorders>
              <w:top w:val="single" w:color="000000" w:sz="4" w:space="0"/>
              <w:left w:val="single" w:color="000000" w:sz="4" w:space="0"/>
              <w:right w:val="single" w:color="000000" w:sz="4" w:space="0"/>
            </w:tcBorders>
          </w:tcPr>
          <w:p w14:paraId="3188CD01">
            <w:pPr>
              <w:autoSpaceDE w:val="0"/>
              <w:autoSpaceDN w:val="0"/>
              <w:spacing w:before="83"/>
              <w:ind w:left="603" w:right="404"/>
              <w:jc w:val="center"/>
              <w:rPr>
                <w:rFonts w:hint="default" w:ascii="Times New Roman" w:hAnsi="Times New Roman" w:cs="Times New Roman"/>
                <w:sz w:val="18"/>
                <w:szCs w:val="22"/>
              </w:rPr>
            </w:pPr>
            <w:r>
              <w:rPr>
                <w:rFonts w:hint="default" w:ascii="Times New Roman" w:hAnsi="Times New Roman" w:cs="Times New Roman"/>
                <w:sz w:val="18"/>
              </w:rPr>
              <w:t>阴离子表面活性剂</w:t>
            </w:r>
          </w:p>
        </w:tc>
        <w:tc>
          <w:tcPr>
            <w:tcW w:w="1294" w:type="dxa"/>
            <w:tcBorders>
              <w:top w:val="single" w:color="000000" w:sz="4" w:space="0"/>
              <w:left w:val="single" w:color="000000" w:sz="4" w:space="0"/>
              <w:right w:val="single" w:color="000000" w:sz="4" w:space="0"/>
            </w:tcBorders>
          </w:tcPr>
          <w:p w14:paraId="3C684602">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4" w:type="dxa"/>
            <w:tcBorders>
              <w:top w:val="single" w:color="000000" w:sz="4" w:space="0"/>
              <w:left w:val="single" w:color="000000" w:sz="4" w:space="0"/>
              <w:right w:val="single" w:color="000000" w:sz="4" w:space="0"/>
            </w:tcBorders>
          </w:tcPr>
          <w:p w14:paraId="25CF1FCD">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040BB67E">
            <w:pPr>
              <w:autoSpaceDE w:val="0"/>
              <w:autoSpaceDN w:val="0"/>
              <w:spacing w:before="83"/>
              <w:ind w:left="316" w:right="208"/>
              <w:jc w:val="center"/>
              <w:rPr>
                <w:rFonts w:hint="default" w:ascii="Times New Roman" w:hAnsi="Times New Roman" w:cs="Times New Roman"/>
                <w:sz w:val="18"/>
                <w:szCs w:val="22"/>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r>
              <w:rPr>
                <w:rFonts w:hint="default" w:ascii="Times New Roman" w:hAnsi="Times New Roman" w:cs="Times New Roman"/>
                <w:sz w:val="18"/>
                <w:szCs w:val="22"/>
              </w:rPr>
              <w:t>/</w:t>
            </w:r>
            <w:r>
              <w:rPr>
                <w:rFonts w:hint="default" w:ascii="Times New Roman" w:hAnsi="Times New Roman" w:cs="Times New Roman"/>
                <w:sz w:val="18"/>
                <w:szCs w:val="22"/>
                <w:lang w:eastAsia="en-US"/>
              </w:rPr>
              <w:t>每</w:t>
            </w:r>
            <w:r>
              <w:rPr>
                <w:rFonts w:hint="default" w:ascii="Times New Roman" w:hAnsi="Times New Roman" w:cs="Times New Roman"/>
                <w:sz w:val="18"/>
                <w:szCs w:val="22"/>
              </w:rPr>
              <w:t>季度</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379DA6E8">
            <w:pPr>
              <w:autoSpaceDE w:val="0"/>
              <w:autoSpaceDN w:val="0"/>
              <w:spacing w:before="83"/>
              <w:ind w:left="313"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435" w:type="dxa"/>
            <w:tcBorders>
              <w:top w:val="single" w:color="000000" w:sz="4" w:space="0"/>
              <w:left w:val="single" w:color="000000" w:sz="4" w:space="0"/>
            </w:tcBorders>
          </w:tcPr>
          <w:p w14:paraId="4A477661">
            <w:pPr>
              <w:autoSpaceDE w:val="0"/>
              <w:autoSpaceDN w:val="0"/>
              <w:spacing w:before="83"/>
              <w:ind w:right="114"/>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5750.4</w:t>
            </w:r>
          </w:p>
        </w:tc>
      </w:tr>
      <w:tr w14:paraId="598EB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581" w:type="dxa"/>
            <w:tcBorders>
              <w:top w:val="single" w:color="000000" w:sz="4" w:space="0"/>
              <w:right w:val="single" w:color="000000" w:sz="4" w:space="0"/>
            </w:tcBorders>
          </w:tcPr>
          <w:p w14:paraId="467DF430">
            <w:pPr>
              <w:autoSpaceDE w:val="0"/>
              <w:autoSpaceDN w:val="0"/>
              <w:spacing w:before="83"/>
              <w:ind w:right="134"/>
              <w:jc w:val="right"/>
              <w:rPr>
                <w:rFonts w:hint="default" w:ascii="Times New Roman" w:hAnsi="Times New Roman" w:cs="Times New Roman"/>
                <w:sz w:val="18"/>
                <w:szCs w:val="22"/>
                <w:lang w:eastAsia="en-US"/>
              </w:rPr>
            </w:pPr>
          </w:p>
        </w:tc>
        <w:tc>
          <w:tcPr>
            <w:tcW w:w="2139" w:type="dxa"/>
            <w:tcBorders>
              <w:top w:val="single" w:color="000000" w:sz="4" w:space="0"/>
              <w:left w:val="single" w:color="000000" w:sz="4" w:space="0"/>
              <w:right w:val="single" w:color="000000" w:sz="4" w:space="0"/>
            </w:tcBorders>
          </w:tcPr>
          <w:p w14:paraId="5A7C5D69">
            <w:pPr>
              <w:autoSpaceDE w:val="0"/>
              <w:autoSpaceDN w:val="0"/>
              <w:spacing w:before="83"/>
              <w:ind w:left="603" w:right="404"/>
              <w:jc w:val="center"/>
              <w:rPr>
                <w:rFonts w:hint="default" w:ascii="Times New Roman" w:hAnsi="Times New Roman" w:cs="Times New Roman"/>
                <w:sz w:val="18"/>
                <w:szCs w:val="22"/>
              </w:rPr>
            </w:pPr>
            <w:r>
              <w:rPr>
                <w:rFonts w:hint="default" w:ascii="Times New Roman" w:hAnsi="Times New Roman" w:cs="Times New Roman"/>
                <w:sz w:val="18"/>
                <w:szCs w:val="22"/>
                <w:lang w:eastAsia="en-US"/>
              </w:rPr>
              <w:t>大肠埃希氏菌</w:t>
            </w:r>
          </w:p>
        </w:tc>
        <w:tc>
          <w:tcPr>
            <w:tcW w:w="1294" w:type="dxa"/>
            <w:tcBorders>
              <w:top w:val="single" w:color="000000" w:sz="4" w:space="0"/>
              <w:left w:val="single" w:color="000000" w:sz="4" w:space="0"/>
              <w:right w:val="single" w:color="000000" w:sz="4" w:space="0"/>
            </w:tcBorders>
          </w:tcPr>
          <w:p w14:paraId="669218D1">
            <w:pPr>
              <w:autoSpaceDE w:val="0"/>
              <w:autoSpaceDN w:val="0"/>
              <w:spacing w:before="83"/>
              <w:ind w:left="316" w:right="204"/>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 xml:space="preserve">1次 </w:t>
            </w:r>
          </w:p>
        </w:tc>
        <w:tc>
          <w:tcPr>
            <w:tcW w:w="1294" w:type="dxa"/>
            <w:tcBorders>
              <w:top w:val="single" w:color="000000" w:sz="4" w:space="0"/>
              <w:left w:val="single" w:color="000000" w:sz="4" w:space="0"/>
              <w:right w:val="single" w:color="000000" w:sz="4" w:space="0"/>
            </w:tcBorders>
          </w:tcPr>
          <w:p w14:paraId="1E2989DA">
            <w:pPr>
              <w:autoSpaceDE w:val="0"/>
              <w:autoSpaceDN w:val="0"/>
              <w:spacing w:before="83"/>
              <w:ind w:left="316" w:right="205"/>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63DB9B50">
            <w:pPr>
              <w:autoSpaceDE w:val="0"/>
              <w:autoSpaceDN w:val="0"/>
              <w:spacing w:before="83"/>
              <w:ind w:left="316" w:right="208"/>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296" w:type="dxa"/>
            <w:tcBorders>
              <w:top w:val="single" w:color="000000" w:sz="4" w:space="0"/>
              <w:left w:val="single" w:color="000000" w:sz="4" w:space="0"/>
              <w:right w:val="single" w:color="000000" w:sz="4" w:space="0"/>
            </w:tcBorders>
          </w:tcPr>
          <w:p w14:paraId="511AD2FB">
            <w:pPr>
              <w:autoSpaceDE w:val="0"/>
              <w:autoSpaceDN w:val="0"/>
              <w:spacing w:before="83"/>
              <w:ind w:left="313" w:right="210"/>
              <w:jc w:val="center"/>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每</w:t>
            </w:r>
            <w:r>
              <w:rPr>
                <w:rFonts w:hint="default" w:ascii="Times New Roman" w:hAnsi="Times New Roman" w:cs="Times New Roman"/>
                <w:sz w:val="18"/>
                <w:szCs w:val="22"/>
              </w:rPr>
              <w:t>周</w:t>
            </w:r>
            <w:r>
              <w:rPr>
                <w:rFonts w:hint="default" w:ascii="Times New Roman" w:hAnsi="Times New Roman" w:cs="Times New Roman"/>
                <w:sz w:val="18"/>
                <w:szCs w:val="22"/>
                <w:lang w:eastAsia="en-US"/>
              </w:rPr>
              <w:t>1次</w:t>
            </w:r>
          </w:p>
        </w:tc>
        <w:tc>
          <w:tcPr>
            <w:tcW w:w="1435" w:type="dxa"/>
            <w:tcBorders>
              <w:top w:val="single" w:color="000000" w:sz="4" w:space="0"/>
              <w:left w:val="single" w:color="000000" w:sz="4" w:space="0"/>
            </w:tcBorders>
          </w:tcPr>
          <w:p w14:paraId="104687F3">
            <w:pPr>
              <w:autoSpaceDE w:val="0"/>
              <w:autoSpaceDN w:val="0"/>
              <w:spacing w:before="83"/>
              <w:ind w:right="114"/>
              <w:jc w:val="right"/>
              <w:rPr>
                <w:rFonts w:hint="default" w:ascii="Times New Roman" w:hAnsi="Times New Roman" w:cs="Times New Roman"/>
                <w:sz w:val="18"/>
                <w:szCs w:val="22"/>
                <w:lang w:eastAsia="en-US"/>
              </w:rPr>
            </w:pPr>
            <w:r>
              <w:rPr>
                <w:rFonts w:hint="default" w:ascii="Times New Roman" w:hAnsi="Times New Roman" w:cs="Times New Roman"/>
                <w:sz w:val="18"/>
                <w:szCs w:val="22"/>
              </w:rPr>
              <w:t>GB/T 5750.12</w:t>
            </w:r>
          </w:p>
        </w:tc>
      </w:tr>
      <w:tr w14:paraId="3CA64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9335" w:type="dxa"/>
            <w:gridSpan w:val="7"/>
          </w:tcPr>
          <w:p w14:paraId="520A4CCF">
            <w:pPr>
              <w:autoSpaceDE w:val="0"/>
              <w:autoSpaceDN w:val="0"/>
              <w:spacing w:before="83"/>
              <w:ind w:left="436"/>
              <w:jc w:val="left"/>
              <w:rPr>
                <w:rFonts w:hint="default" w:ascii="Times New Roman" w:hAnsi="Times New Roman" w:cs="Times New Roman"/>
                <w:sz w:val="18"/>
                <w:szCs w:val="22"/>
              </w:rPr>
            </w:pPr>
            <w:r>
              <w:rPr>
                <w:rFonts w:hint="default" w:ascii="Times New Roman" w:hAnsi="Times New Roman" w:eastAsia="黑体" w:cs="Times New Roman"/>
                <w:sz w:val="18"/>
                <w:szCs w:val="22"/>
              </w:rPr>
              <w:t>注： 1.</w:t>
            </w:r>
            <w:r>
              <w:rPr>
                <w:rFonts w:hint="default" w:ascii="Times New Roman" w:hAnsi="Times New Roman" w:cs="Times New Roman"/>
                <w:sz w:val="18"/>
                <w:szCs w:val="22"/>
              </w:rPr>
              <w:t xml:space="preserve">“—”表示对此项无要求。 </w:t>
            </w:r>
          </w:p>
        </w:tc>
      </w:tr>
      <w:tr w14:paraId="17234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9335" w:type="dxa"/>
            <w:gridSpan w:val="7"/>
          </w:tcPr>
          <w:p w14:paraId="4698C095">
            <w:pPr>
              <w:autoSpaceDE w:val="0"/>
              <w:autoSpaceDN w:val="0"/>
              <w:spacing w:before="83"/>
              <w:ind w:firstLine="900" w:firstLineChars="500"/>
              <w:jc w:val="left"/>
              <w:rPr>
                <w:rFonts w:hint="default" w:ascii="Times New Roman" w:hAnsi="Times New Roman" w:cs="Times New Roman"/>
                <w:sz w:val="18"/>
                <w:szCs w:val="22"/>
                <w:lang w:eastAsia="en-US"/>
              </w:rPr>
            </w:pPr>
            <w:r>
              <w:rPr>
                <w:rFonts w:hint="default" w:ascii="Times New Roman" w:hAnsi="Times New Roman" w:cs="Times New Roman"/>
                <w:sz w:val="18"/>
                <w:szCs w:val="22"/>
                <w:lang w:eastAsia="en-US"/>
              </w:rPr>
              <w:t>2.</w:t>
            </w:r>
            <w:r>
              <w:rPr>
                <w:rFonts w:hint="default" w:ascii="Times New Roman" w:hAnsi="Times New Roman" w:cs="Times New Roman"/>
                <w:position w:val="9"/>
                <w:sz w:val="9"/>
                <w:szCs w:val="22"/>
                <w:lang w:eastAsia="en-US"/>
              </w:rPr>
              <w:t xml:space="preserve">a </w:t>
            </w:r>
            <w:r>
              <w:rPr>
                <w:rFonts w:hint="default" w:ascii="Times New Roman" w:hAnsi="Times New Roman" w:cs="Times New Roman"/>
                <w:sz w:val="18"/>
                <w:szCs w:val="22"/>
                <w:lang w:eastAsia="en-US"/>
              </w:rPr>
              <w:t xml:space="preserve">定期监测项目，宜每半年 1 次，每年至少 1 次。 </w:t>
            </w:r>
          </w:p>
        </w:tc>
      </w:tr>
    </w:tbl>
    <w:p w14:paraId="0AB30A94">
      <w:pPr>
        <w:autoSpaceDE w:val="0"/>
        <w:autoSpaceDN w:val="0"/>
        <w:jc w:val="left"/>
        <w:rPr>
          <w:rFonts w:hint="default" w:ascii="Times New Roman" w:hAnsi="Times New Roman" w:cs="Times New Roman"/>
          <w:sz w:val="24"/>
          <w:szCs w:val="21"/>
          <w:lang w:eastAsia="en-US"/>
        </w:rPr>
      </w:pPr>
    </w:p>
    <w:p w14:paraId="2C040A52">
      <w:pPr>
        <w:autoSpaceDE w:val="0"/>
        <w:autoSpaceDN w:val="0"/>
        <w:jc w:val="left"/>
        <w:rPr>
          <w:rFonts w:hint="default" w:ascii="Times New Roman" w:hAnsi="Times New Roman" w:cs="Times New Roman"/>
          <w:sz w:val="24"/>
          <w:szCs w:val="21"/>
          <w:lang w:eastAsia="en-US"/>
        </w:rPr>
      </w:pPr>
    </w:p>
    <w:bookmarkEnd w:id="35"/>
    <w:bookmarkEnd w:id="36"/>
    <w:bookmarkEnd w:id="37"/>
    <w:bookmarkEnd w:id="38"/>
    <w:p w14:paraId="7ABBB243">
      <w:pPr>
        <w:spacing w:line="400" w:lineRule="exact"/>
        <w:ind w:firstLine="420" w:firstLineChars="200"/>
        <w:jc w:val="left"/>
        <w:rPr>
          <w:rFonts w:hint="default" w:ascii="Times New Roman" w:hAnsi="Times New Roman" w:cs="Times New Roman" w:eastAsiaTheme="minorEastAsia"/>
          <w:bCs/>
          <w:szCs w:val="21"/>
        </w:rPr>
      </w:pPr>
    </w:p>
    <w:p w14:paraId="47651A5A">
      <w:pPr>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br w:type="page"/>
      </w:r>
    </w:p>
    <w:p w14:paraId="418377D3">
      <w:pPr>
        <w:tabs>
          <w:tab w:val="left" w:pos="4759"/>
          <w:tab w:val="left" w:pos="5179"/>
          <w:tab w:val="left" w:pos="5601"/>
        </w:tabs>
        <w:autoSpaceDE w:val="0"/>
        <w:autoSpaceDN w:val="0"/>
        <w:spacing w:before="72"/>
        <w:ind w:left="4337"/>
        <w:jc w:val="left"/>
        <w:outlineLvl w:val="0"/>
        <w:rPr>
          <w:rFonts w:hint="default" w:ascii="Times New Roman" w:hAnsi="Times New Roman" w:eastAsia="黑体" w:cs="Times New Roman"/>
          <w:szCs w:val="21"/>
          <w:lang w:eastAsia="en-US"/>
        </w:rPr>
      </w:pPr>
      <w:r>
        <w:rPr>
          <w:rFonts w:hint="default" w:ascii="Times New Roman" w:hAnsi="Times New Roman" w:eastAsia="黑体" w:cs="Times New Roman"/>
          <w:szCs w:val="21"/>
          <w:lang w:eastAsia="en-US"/>
        </w:rPr>
        <w:t>参</w:t>
      </w:r>
      <w:r>
        <w:rPr>
          <w:rFonts w:hint="default" w:ascii="Times New Roman" w:hAnsi="Times New Roman" w:eastAsia="黑体" w:cs="Times New Roman"/>
          <w:szCs w:val="21"/>
          <w:lang w:eastAsia="en-US"/>
        </w:rPr>
        <w:tab/>
      </w:r>
      <w:r>
        <w:rPr>
          <w:rFonts w:hint="default" w:ascii="Times New Roman" w:hAnsi="Times New Roman" w:eastAsia="黑体" w:cs="Times New Roman"/>
          <w:szCs w:val="21"/>
          <w:lang w:eastAsia="en-US"/>
        </w:rPr>
        <w:t>考</w:t>
      </w:r>
      <w:r>
        <w:rPr>
          <w:rFonts w:hint="default" w:ascii="Times New Roman" w:hAnsi="Times New Roman" w:eastAsia="黑体" w:cs="Times New Roman"/>
          <w:szCs w:val="21"/>
          <w:lang w:eastAsia="en-US"/>
        </w:rPr>
        <w:tab/>
      </w:r>
      <w:r>
        <w:rPr>
          <w:rFonts w:hint="default" w:ascii="Times New Roman" w:hAnsi="Times New Roman" w:eastAsia="黑体" w:cs="Times New Roman"/>
          <w:szCs w:val="21"/>
          <w:lang w:eastAsia="en-US"/>
        </w:rPr>
        <w:t>文</w:t>
      </w:r>
      <w:r>
        <w:rPr>
          <w:rFonts w:hint="default" w:ascii="Times New Roman" w:hAnsi="Times New Roman" w:eastAsia="黑体" w:cs="Times New Roman"/>
          <w:szCs w:val="21"/>
          <w:lang w:eastAsia="en-US"/>
        </w:rPr>
        <w:tab/>
      </w:r>
      <w:r>
        <w:rPr>
          <w:rFonts w:hint="default" w:ascii="Times New Roman" w:hAnsi="Times New Roman" w:eastAsia="黑体" w:cs="Times New Roman"/>
          <w:szCs w:val="21"/>
          <w:lang w:eastAsia="en-US"/>
        </w:rPr>
        <w:t>献</w:t>
      </w:r>
    </w:p>
    <w:p w14:paraId="31F35BDE">
      <w:pPr>
        <w:autoSpaceDE w:val="0"/>
        <w:autoSpaceDN w:val="0"/>
        <w:spacing w:before="6"/>
        <w:jc w:val="left"/>
        <w:rPr>
          <w:rFonts w:hint="default" w:ascii="Times New Roman" w:hAnsi="Times New Roman" w:cs="Times New Roman"/>
          <w:sz w:val="15"/>
          <w:szCs w:val="21"/>
          <w:lang w:eastAsia="en-US"/>
        </w:rPr>
      </w:pPr>
    </w:p>
    <w:p w14:paraId="484BCDCC">
      <w:pPr>
        <w:numPr>
          <w:ilvl w:val="255"/>
          <w:numId w:val="0"/>
        </w:numPr>
        <w:autoSpaceDE w:val="0"/>
        <w:autoSpaceDN w:val="0"/>
        <w:spacing w:line="279" w:lineRule="auto"/>
        <w:ind w:right="3165"/>
        <w:jc w:val="left"/>
        <w:rPr>
          <w:rFonts w:hint="default" w:ascii="Times New Roman" w:hAnsi="Times New Roman" w:cs="Times New Roman"/>
          <w:szCs w:val="21"/>
        </w:rPr>
      </w:pPr>
      <w:r>
        <w:rPr>
          <w:rFonts w:hint="default" w:ascii="Times New Roman" w:hAnsi="Times New Roman" w:cs="Times New Roman"/>
          <w:szCs w:val="21"/>
        </w:rPr>
        <w:t>GB/T 5750.4 生活饮用水标准检验方法 感官性状和物理指标</w:t>
      </w:r>
    </w:p>
    <w:p w14:paraId="20400AB5">
      <w:pPr>
        <w:numPr>
          <w:ilvl w:val="255"/>
          <w:numId w:val="0"/>
        </w:numPr>
        <w:autoSpaceDE w:val="0"/>
        <w:autoSpaceDN w:val="0"/>
        <w:spacing w:line="279" w:lineRule="auto"/>
        <w:ind w:right="3165"/>
        <w:jc w:val="left"/>
        <w:rPr>
          <w:rFonts w:hint="default" w:ascii="Times New Roman" w:hAnsi="Times New Roman" w:cs="Times New Roman"/>
          <w:szCs w:val="21"/>
        </w:rPr>
      </w:pPr>
      <w:r>
        <w:rPr>
          <w:rFonts w:hint="default" w:ascii="Times New Roman" w:hAnsi="Times New Roman" w:cs="Times New Roman"/>
          <w:szCs w:val="21"/>
        </w:rPr>
        <w:t>GB/T 5750.5  生活饮用水标准检验方法 无机非金属指标</w:t>
      </w:r>
    </w:p>
    <w:p w14:paraId="272501F1">
      <w:pPr>
        <w:numPr>
          <w:ilvl w:val="255"/>
          <w:numId w:val="0"/>
        </w:numPr>
        <w:autoSpaceDE w:val="0"/>
        <w:autoSpaceDN w:val="0"/>
        <w:spacing w:line="279" w:lineRule="auto"/>
        <w:ind w:right="3165"/>
        <w:jc w:val="left"/>
        <w:rPr>
          <w:rFonts w:hint="default" w:ascii="Times New Roman" w:hAnsi="Times New Roman" w:cs="Times New Roman"/>
          <w:szCs w:val="21"/>
        </w:rPr>
      </w:pPr>
      <w:r>
        <w:rPr>
          <w:rFonts w:hint="default" w:ascii="Times New Roman" w:hAnsi="Times New Roman" w:cs="Times New Roman"/>
          <w:szCs w:val="21"/>
        </w:rPr>
        <w:t xml:space="preserve">GB/T 5750.11 生活饮用水标准检验方法 消毒剂指标 </w:t>
      </w:r>
    </w:p>
    <w:p w14:paraId="4FA6908E">
      <w:pPr>
        <w:numPr>
          <w:ilvl w:val="255"/>
          <w:numId w:val="0"/>
        </w:numPr>
        <w:autoSpaceDE w:val="0"/>
        <w:autoSpaceDN w:val="0"/>
        <w:spacing w:line="279" w:lineRule="auto"/>
        <w:ind w:right="5159"/>
        <w:jc w:val="left"/>
        <w:rPr>
          <w:rFonts w:hint="default" w:ascii="Times New Roman" w:hAnsi="Times New Roman" w:cs="Times New Roman"/>
          <w:szCs w:val="21"/>
        </w:rPr>
      </w:pPr>
      <w:r>
        <w:rPr>
          <w:rFonts w:hint="default" w:ascii="Times New Roman" w:hAnsi="Times New Roman" w:cs="Times New Roman"/>
          <w:szCs w:val="21"/>
        </w:rPr>
        <w:t>JGJ 39  托儿所、幼儿园建筑设计规范</w:t>
      </w:r>
    </w:p>
    <w:p w14:paraId="73C5CFB0">
      <w:pPr>
        <w:numPr>
          <w:ilvl w:val="255"/>
          <w:numId w:val="0"/>
        </w:numPr>
        <w:autoSpaceDE w:val="0"/>
        <w:autoSpaceDN w:val="0"/>
        <w:spacing w:line="279" w:lineRule="auto"/>
        <w:ind w:right="5159"/>
        <w:jc w:val="left"/>
        <w:rPr>
          <w:rFonts w:hint="default" w:ascii="Times New Roman" w:hAnsi="Times New Roman" w:cs="Times New Roman"/>
          <w:szCs w:val="21"/>
        </w:rPr>
      </w:pPr>
      <w:r>
        <w:rPr>
          <w:rFonts w:hint="default" w:ascii="Times New Roman" w:hAnsi="Times New Roman" w:cs="Times New Roman"/>
          <w:szCs w:val="21"/>
        </w:rPr>
        <w:t>JGJ 450 老年人照料设施建筑设计标准</w:t>
      </w:r>
    </w:p>
    <w:p w14:paraId="78D3649F">
      <w:pPr>
        <w:numPr>
          <w:ilvl w:val="255"/>
          <w:numId w:val="0"/>
        </w:numPr>
        <w:autoSpaceDE w:val="0"/>
        <w:autoSpaceDN w:val="0"/>
        <w:spacing w:line="279" w:lineRule="auto"/>
        <w:ind w:right="5159"/>
        <w:jc w:val="left"/>
        <w:rPr>
          <w:rFonts w:hint="default" w:ascii="Times New Roman" w:hAnsi="Times New Roman" w:cs="Times New Roman"/>
          <w:szCs w:val="21"/>
        </w:rPr>
      </w:pPr>
      <w:r>
        <w:rPr>
          <w:rFonts w:hint="default" w:ascii="Times New Roman" w:hAnsi="Times New Roman" w:cs="Times New Roman"/>
          <w:szCs w:val="21"/>
        </w:rPr>
        <w:t xml:space="preserve">DB11/T 348 建筑中水运行管理规范  </w:t>
      </w:r>
    </w:p>
    <w:p w14:paraId="2940568B">
      <w:pPr>
        <w:ind w:firstLine="420" w:firstLineChars="200"/>
        <w:jc w:val="left"/>
        <w:rPr>
          <w:rFonts w:hint="default" w:ascii="Times New Roman" w:hAnsi="Times New Roman" w:cs="Times New Roman" w:eastAsiaTheme="minorEastAsia"/>
          <w:bCs/>
          <w:szCs w:val="21"/>
        </w:rPr>
      </w:pPr>
    </w:p>
    <w:p w14:paraId="459DF746">
      <w:pPr>
        <w:spacing w:line="400" w:lineRule="exact"/>
        <w:jc w:val="left"/>
        <w:rPr>
          <w:rFonts w:hint="default" w:ascii="Times New Roman" w:hAnsi="Times New Roman" w:eastAsia="黑体" w:cs="Times New Roman"/>
        </w:rPr>
      </w:pPr>
    </w:p>
    <w:p w14:paraId="417F5909">
      <w:pPr>
        <w:spacing w:line="400" w:lineRule="exact"/>
        <w:jc w:val="center"/>
        <w:rPr>
          <w:rFonts w:hint="default" w:ascii="Times New Roman" w:hAnsi="Times New Roman" w:cs="Times New Roman"/>
          <w:szCs w:val="21"/>
        </w:rPr>
      </w:pPr>
      <w:r>
        <w:rPr>
          <w:rFonts w:hint="default" w:ascii="Times New Roman" w:hAnsi="Times New Roman" w:cs="Times New Roman"/>
          <w:szCs w:val="21"/>
        </w:rPr>
        <w:t>___________________________</w:t>
      </w:r>
    </w:p>
    <w:p w14:paraId="4E170FB2">
      <w:pPr>
        <w:rPr>
          <w:rFonts w:hint="default" w:ascii="Times New Roman" w:hAnsi="Times New Roman" w:cs="Times New Roman"/>
        </w:rPr>
      </w:pPr>
    </w:p>
    <w:sectPr>
      <w:footerReference r:id="rId8" w:type="default"/>
      <w:pgSz w:w="11907" w:h="16839"/>
      <w:pgMar w:top="1418" w:right="1134" w:bottom="1134" w:left="1418" w:header="1418"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47306A-ECF2-48AD-BFF5-A2DE63793E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embedRegular r:id="rId2" w:fontKey="{324D6AFE-8D0D-488A-8829-42B9354D8067}"/>
  </w:font>
  <w:font w:name="Wingdings 2">
    <w:panose1 w:val="05020102010507070707"/>
    <w:charset w:val="02"/>
    <w:family w:val="roman"/>
    <w:pitch w:val="default"/>
    <w:sig w:usb0="00000000" w:usb1="00000000" w:usb2="00000000" w:usb3="00000000" w:csb0="80000000" w:csb1="00000000"/>
    <w:embedRegular r:id="rId3" w:fontKey="{4ACF15E5-3E09-405F-87D2-292DEE05DC16}"/>
  </w:font>
  <w:font w:name="Helvetica">
    <w:altName w:val="Arial"/>
    <w:panose1 w:val="00000000000000000000"/>
    <w:charset w:val="00"/>
    <w:family w:val="auto"/>
    <w:pitch w:val="default"/>
    <w:sig w:usb0="00000000" w:usb1="00000000" w:usb2="00000000" w:usb3="00000000" w:csb0="00000000" w:csb1="00000000"/>
    <w:embedRegular r:id="rId4" w:fontKey="{1D93644A-D2FC-4A9B-AB59-12DBB9C5D9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4466F">
    <w:pPr>
      <w:pStyle w:val="95"/>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1447A">
    <w:pPr>
      <w:pStyle w:val="49"/>
      <w:framePr w:wrap="around" w:vAnchor="text" w:hAnchor="margin" w:xAlign="right" w:y="1"/>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p w14:paraId="6B8B4971">
    <w:pPr>
      <w:pStyle w:val="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default" w:ascii="Times New Roman" w:hAnsi="Times New Roman" w:cs="Times New Roman"/>
      </w:rPr>
      <w:id w:val="245924841"/>
    </w:sdtPr>
    <w:sdtEndPr>
      <w:rPr>
        <w:rFonts w:hint="default" w:cs="Times New Roman" w:asciiTheme="minorEastAsia" w:hAnsiTheme="minorEastAsia" w:eastAsiaTheme="minorEastAsia"/>
      </w:rPr>
    </w:sdtEndPr>
    <w:sdtContent>
      <w:p w14:paraId="3EB627BC">
        <w:pPr>
          <w:pStyle w:val="49"/>
          <w:ind w:left="840" w:hanging="420"/>
          <w:jc w:val="center"/>
          <w:rPr>
            <w:rStyle w:val="78"/>
            <w:rFonts w:asciiTheme="minorEastAsia" w:hAnsiTheme="minorEastAsia" w:eastAsiaTheme="minorEastAsia"/>
          </w:rPr>
        </w:pP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PAGE   \* MERGEFORMAT</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lang w:val="zh-CN"/>
          </w:rPr>
          <w:t>5</w:t>
        </w:r>
        <w:r>
          <w:rPr>
            <w:rFonts w:hint="default" w:ascii="Times New Roman" w:hAnsi="Times New Roman" w:cs="Times New Roman" w:eastAsiaTheme="minorEastAsia"/>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CC37D">
    <w:pPr>
      <w:pStyle w:val="96"/>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970A2">
    <w:pPr>
      <w:pStyle w:val="9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1E3C3">
    <w:pPr>
      <w:pStyle w:val="96"/>
      <w:wordWrap w:val="0"/>
      <w:rPr>
        <w:rFonts w:hint="eastAsia" w:eastAsiaTheme="minorEastAsia"/>
        <w:lang w:eastAsia="zh-CN"/>
      </w:rPr>
    </w:pPr>
    <w:r>
      <w:rPr>
        <w:rFonts w:eastAsiaTheme="minorEastAsia"/>
      </w:rPr>
      <w:t>DB13/T   —</w:t>
    </w:r>
    <w:r>
      <w:rPr>
        <w:rFonts w:hint="eastAsia" w:eastAsiaTheme="minorEastAsia"/>
        <w:lang w:eastAsia="zh-CN"/>
      </w:rP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37"/>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5"/>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43"/>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35"/>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66"/>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42"/>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21"/>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32"/>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19"/>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39"/>
      <w:lvlText w:val=""/>
      <w:lvlJc w:val="left"/>
      <w:pPr>
        <w:tabs>
          <w:tab w:val="left" w:pos="360"/>
        </w:tabs>
        <w:ind w:left="360" w:hanging="360" w:hangingChars="200"/>
      </w:pPr>
      <w:rPr>
        <w:rFonts w:hint="default" w:ascii="Wingdings" w:hAnsi="Wingdings"/>
      </w:rPr>
    </w:lvl>
  </w:abstractNum>
  <w:abstractNum w:abstractNumId="10">
    <w:nsid w:val="0AE367E9"/>
    <w:multiLevelType w:val="multilevel"/>
    <w:tmpl w:val="0AE367E9"/>
    <w:lvl w:ilvl="0" w:tentative="0">
      <w:start w:val="1"/>
      <w:numFmt w:val="none"/>
      <w:pStyle w:val="136"/>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407E65F9"/>
    <w:multiLevelType w:val="multilevel"/>
    <w:tmpl w:val="407E65F9"/>
    <w:lvl w:ilvl="0" w:tentative="0">
      <w:start w:val="1"/>
      <w:numFmt w:val="none"/>
      <w:pStyle w:val="25"/>
      <w:lvlText w:val="%1●　"/>
      <w:lvlJc w:val="left"/>
      <w:pPr>
        <w:tabs>
          <w:tab w:val="left" w:pos="560"/>
        </w:tabs>
        <w:ind w:left="517" w:hanging="317"/>
      </w:pPr>
      <w:rPr>
        <w:rFonts w:hint="eastAsia" w:ascii="宋体" w:hAnsi="Times New Roman" w:eastAsia="宋体"/>
        <w:b w:val="0"/>
        <w:i w:val="0"/>
        <w:sz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46806F7D"/>
    <w:multiLevelType w:val="multilevel"/>
    <w:tmpl w:val="46806F7D"/>
    <w:lvl w:ilvl="0" w:tentative="0">
      <w:start w:val="1"/>
      <w:numFmt w:val="none"/>
      <w:pStyle w:val="124"/>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6D22D8F"/>
    <w:multiLevelType w:val="multilevel"/>
    <w:tmpl w:val="46D22D8F"/>
    <w:lvl w:ilvl="0" w:tentative="0">
      <w:start w:val="1"/>
      <w:numFmt w:val="none"/>
      <w:pStyle w:val="149"/>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496E4D7B"/>
    <w:multiLevelType w:val="multilevel"/>
    <w:tmpl w:val="496E4D7B"/>
    <w:lvl w:ilvl="0" w:tentative="0">
      <w:start w:val="1"/>
      <w:numFmt w:val="none"/>
      <w:pStyle w:val="147"/>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F302902"/>
    <w:multiLevelType w:val="multilevel"/>
    <w:tmpl w:val="4F302902"/>
    <w:lvl w:ilvl="0" w:tentative="0">
      <w:start w:val="1"/>
      <w:numFmt w:val="none"/>
      <w:pStyle w:val="118"/>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557C2AF5"/>
    <w:multiLevelType w:val="multilevel"/>
    <w:tmpl w:val="557C2AF5"/>
    <w:lvl w:ilvl="0" w:tentative="0">
      <w:start w:val="1"/>
      <w:numFmt w:val="decimal"/>
      <w:pStyle w:val="145"/>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7">
    <w:nsid w:val="6350366A"/>
    <w:multiLevelType w:val="multilevel"/>
    <w:tmpl w:val="6350366A"/>
    <w:lvl w:ilvl="0" w:tentative="0">
      <w:start w:val="1"/>
      <w:numFmt w:val="none"/>
      <w:pStyle w:val="129"/>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646260FA"/>
    <w:multiLevelType w:val="multilevel"/>
    <w:tmpl w:val="646260FA"/>
    <w:lvl w:ilvl="0" w:tentative="0">
      <w:start w:val="1"/>
      <w:numFmt w:val="decimal"/>
      <w:pStyle w:val="14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tentative="0">
      <w:start w:val="1"/>
      <w:numFmt w:val="upperLetter"/>
      <w:pStyle w:val="117"/>
      <w:suff w:val="nothing"/>
      <w:lvlText w:val="附　录　%1"/>
      <w:lvlJc w:val="left"/>
      <w:pPr>
        <w:ind w:left="0" w:firstLine="0"/>
      </w:pPr>
      <w:rPr>
        <w:rFonts w:hint="eastAsia" w:ascii="黑体" w:hAnsi="Times New Roman" w:eastAsia="黑体"/>
        <w:b w:val="0"/>
        <w:i w:val="0"/>
        <w:sz w:val="24"/>
        <w:szCs w:val="24"/>
      </w:rPr>
    </w:lvl>
    <w:lvl w:ilvl="1" w:tentative="0">
      <w:start w:val="1"/>
      <w:numFmt w:val="decimal"/>
      <w:pStyle w:val="11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12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6CEA2025"/>
    <w:multiLevelType w:val="multilevel"/>
    <w:tmpl w:val="6CEA2025"/>
    <w:lvl w:ilvl="0" w:tentative="0">
      <w:start w:val="1"/>
      <w:numFmt w:val="none"/>
      <w:pStyle w:val="99"/>
      <w:suff w:val="nothing"/>
      <w:lvlText w:val="%1"/>
      <w:lvlJc w:val="left"/>
      <w:pPr>
        <w:ind w:left="0" w:firstLine="0"/>
      </w:pPr>
      <w:rPr>
        <w:rFonts w:hint="default" w:ascii="Times New Roman" w:hAnsi="Times New Roman"/>
        <w:b/>
        <w:i w:val="0"/>
        <w:sz w:val="21"/>
      </w:rPr>
    </w:lvl>
    <w:lvl w:ilvl="1" w:tentative="0">
      <w:start w:val="1"/>
      <w:numFmt w:val="decimal"/>
      <w:pStyle w:val="102"/>
      <w:suff w:val="nothing"/>
      <w:lvlText w:val="%1%2　"/>
      <w:lvlJc w:val="left"/>
      <w:pPr>
        <w:ind w:left="315" w:firstLine="0"/>
      </w:pPr>
      <w:rPr>
        <w:rFonts w:hint="eastAsia" w:ascii="黑体" w:hAnsi="Times New Roman" w:eastAsia="黑体"/>
        <w:b w:val="0"/>
        <w:i w:val="0"/>
        <w:sz w:val="24"/>
        <w:szCs w:val="24"/>
      </w:rPr>
    </w:lvl>
    <w:lvl w:ilvl="2" w:tentative="0">
      <w:start w:val="1"/>
      <w:numFmt w:val="decimal"/>
      <w:pStyle w:val="103"/>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pStyle w:val="104"/>
      <w:suff w:val="nothing"/>
      <w:lvlText w:val="%1%2.%3.%4　"/>
      <w:lvlJc w:val="left"/>
      <w:pPr>
        <w:ind w:left="840" w:firstLine="0"/>
      </w:pPr>
      <w:rPr>
        <w:rFonts w:hint="default" w:ascii="Times New Roman" w:hAnsi="Times New Roman" w:eastAsia="黑体" w:cs="Times New Roman"/>
        <w:b w:val="0"/>
        <w:i w:val="0"/>
        <w:sz w:val="21"/>
      </w:rPr>
    </w:lvl>
    <w:lvl w:ilvl="4" w:tentative="0">
      <w:start w:val="1"/>
      <w:numFmt w:val="decimal"/>
      <w:pStyle w:val="134"/>
      <w:suff w:val="nothing"/>
      <w:lvlText w:val="%1%2.%3.%4.%5　"/>
      <w:lvlJc w:val="left"/>
      <w:pPr>
        <w:ind w:left="0" w:firstLine="0"/>
      </w:pPr>
      <w:rPr>
        <w:rFonts w:hint="eastAsia" w:ascii="黑体" w:hAnsi="Times New Roman" w:eastAsia="黑体"/>
        <w:b w:val="0"/>
        <w:i w:val="0"/>
        <w:sz w:val="21"/>
      </w:rPr>
    </w:lvl>
    <w:lvl w:ilvl="5" w:tentative="0">
      <w:start w:val="1"/>
      <w:numFmt w:val="decimal"/>
      <w:pStyle w:val="138"/>
      <w:suff w:val="nothing"/>
      <w:lvlText w:val="%1%2.%3.%4.%5.%6　"/>
      <w:lvlJc w:val="left"/>
      <w:pPr>
        <w:ind w:left="0" w:firstLine="0"/>
      </w:pPr>
      <w:rPr>
        <w:rFonts w:hint="eastAsia" w:ascii="黑体" w:hAnsi="Times New Roman" w:eastAsia="黑体"/>
        <w:b w:val="0"/>
        <w:i w:val="0"/>
        <w:sz w:val="21"/>
      </w:rPr>
    </w:lvl>
    <w:lvl w:ilvl="6" w:tentative="0">
      <w:start w:val="1"/>
      <w:numFmt w:val="decimal"/>
      <w:pStyle w:val="14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1">
    <w:nsid w:val="6DBF04F4"/>
    <w:multiLevelType w:val="multilevel"/>
    <w:tmpl w:val="6DBF04F4"/>
    <w:lvl w:ilvl="0" w:tentative="0">
      <w:start w:val="1"/>
      <w:numFmt w:val="none"/>
      <w:pStyle w:val="146"/>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76933334"/>
    <w:multiLevelType w:val="multilevel"/>
    <w:tmpl w:val="76933334"/>
    <w:lvl w:ilvl="0" w:tentative="0">
      <w:start w:val="1"/>
      <w:numFmt w:val="none"/>
      <w:pStyle w:val="128"/>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6"/>
  </w:num>
  <w:num w:numId="3">
    <w:abstractNumId w:val="11"/>
  </w:num>
  <w:num w:numId="4">
    <w:abstractNumId w:val="7"/>
  </w:num>
  <w:num w:numId="5">
    <w:abstractNumId w:val="3"/>
  </w:num>
  <w:num w:numId="6">
    <w:abstractNumId w:val="0"/>
  </w:num>
  <w:num w:numId="7">
    <w:abstractNumId w:val="9"/>
  </w:num>
  <w:num w:numId="8">
    <w:abstractNumId w:val="5"/>
  </w:num>
  <w:num w:numId="9">
    <w:abstractNumId w:val="2"/>
  </w:num>
  <w:num w:numId="10">
    <w:abstractNumId w:val="1"/>
  </w:num>
  <w:num w:numId="11">
    <w:abstractNumId w:val="4"/>
  </w:num>
  <w:num w:numId="12">
    <w:abstractNumId w:val="20"/>
  </w:num>
  <w:num w:numId="13">
    <w:abstractNumId w:val="19"/>
  </w:num>
  <w:num w:numId="14">
    <w:abstractNumId w:val="15"/>
  </w:num>
  <w:num w:numId="15">
    <w:abstractNumId w:val="12"/>
  </w:num>
  <w:num w:numId="16">
    <w:abstractNumId w:val="22"/>
  </w:num>
  <w:num w:numId="17">
    <w:abstractNumId w:val="17"/>
  </w:num>
  <w:num w:numId="18">
    <w:abstractNumId w:val="10"/>
  </w:num>
  <w:num w:numId="19">
    <w:abstractNumId w:val="18"/>
  </w:num>
  <w:num w:numId="20">
    <w:abstractNumId w:val="16"/>
  </w:num>
  <w:num w:numId="21">
    <w:abstractNumId w:val="21"/>
  </w:num>
  <w:num w:numId="22">
    <w:abstractNumId w:val="14"/>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2NzU1YWZjNzQwMWU4MTFlYTdmMGJjNmE4YWU3ZTcifQ=="/>
  </w:docVars>
  <w:rsids>
    <w:rsidRoot w:val="00350028"/>
    <w:rsid w:val="000015D9"/>
    <w:rsid w:val="000022D9"/>
    <w:rsid w:val="00003317"/>
    <w:rsid w:val="00004FA5"/>
    <w:rsid w:val="00005FCB"/>
    <w:rsid w:val="00006EF1"/>
    <w:rsid w:val="00007928"/>
    <w:rsid w:val="000079F4"/>
    <w:rsid w:val="00007D6F"/>
    <w:rsid w:val="0001019C"/>
    <w:rsid w:val="00011A74"/>
    <w:rsid w:val="0001210B"/>
    <w:rsid w:val="00012C24"/>
    <w:rsid w:val="0001321C"/>
    <w:rsid w:val="00013737"/>
    <w:rsid w:val="00016FC0"/>
    <w:rsid w:val="00017D75"/>
    <w:rsid w:val="0002272D"/>
    <w:rsid w:val="00023F62"/>
    <w:rsid w:val="000245AB"/>
    <w:rsid w:val="00024BF4"/>
    <w:rsid w:val="000257D0"/>
    <w:rsid w:val="00033C28"/>
    <w:rsid w:val="0003430B"/>
    <w:rsid w:val="000362DA"/>
    <w:rsid w:val="000369E1"/>
    <w:rsid w:val="0004098A"/>
    <w:rsid w:val="000411E8"/>
    <w:rsid w:val="000440BF"/>
    <w:rsid w:val="00044AD6"/>
    <w:rsid w:val="00051FCB"/>
    <w:rsid w:val="0005217D"/>
    <w:rsid w:val="0005363E"/>
    <w:rsid w:val="00053A50"/>
    <w:rsid w:val="0005458E"/>
    <w:rsid w:val="00054892"/>
    <w:rsid w:val="00054940"/>
    <w:rsid w:val="00055552"/>
    <w:rsid w:val="00055AE5"/>
    <w:rsid w:val="00057F91"/>
    <w:rsid w:val="00062346"/>
    <w:rsid w:val="00062394"/>
    <w:rsid w:val="00062A2C"/>
    <w:rsid w:val="0006398E"/>
    <w:rsid w:val="00065730"/>
    <w:rsid w:val="0006590C"/>
    <w:rsid w:val="000660F7"/>
    <w:rsid w:val="000667E4"/>
    <w:rsid w:val="00066821"/>
    <w:rsid w:val="00067507"/>
    <w:rsid w:val="00070921"/>
    <w:rsid w:val="00070A9D"/>
    <w:rsid w:val="000724AF"/>
    <w:rsid w:val="000724EC"/>
    <w:rsid w:val="00072F09"/>
    <w:rsid w:val="00075651"/>
    <w:rsid w:val="00075E08"/>
    <w:rsid w:val="0007616C"/>
    <w:rsid w:val="00077628"/>
    <w:rsid w:val="0007762F"/>
    <w:rsid w:val="000776F5"/>
    <w:rsid w:val="00077728"/>
    <w:rsid w:val="00080156"/>
    <w:rsid w:val="00083328"/>
    <w:rsid w:val="00083AD7"/>
    <w:rsid w:val="00083DDE"/>
    <w:rsid w:val="00086BFD"/>
    <w:rsid w:val="00087910"/>
    <w:rsid w:val="00087FBD"/>
    <w:rsid w:val="0009025A"/>
    <w:rsid w:val="00093191"/>
    <w:rsid w:val="000936E8"/>
    <w:rsid w:val="000939AB"/>
    <w:rsid w:val="00093A9C"/>
    <w:rsid w:val="00094C10"/>
    <w:rsid w:val="000961F6"/>
    <w:rsid w:val="000973D7"/>
    <w:rsid w:val="00097F3F"/>
    <w:rsid w:val="000A01F7"/>
    <w:rsid w:val="000A03F5"/>
    <w:rsid w:val="000A05BC"/>
    <w:rsid w:val="000A222C"/>
    <w:rsid w:val="000A3644"/>
    <w:rsid w:val="000A3766"/>
    <w:rsid w:val="000A5C19"/>
    <w:rsid w:val="000A6AB6"/>
    <w:rsid w:val="000B011D"/>
    <w:rsid w:val="000B0327"/>
    <w:rsid w:val="000B04D1"/>
    <w:rsid w:val="000B04FC"/>
    <w:rsid w:val="000B1124"/>
    <w:rsid w:val="000B14EA"/>
    <w:rsid w:val="000B2735"/>
    <w:rsid w:val="000B2D09"/>
    <w:rsid w:val="000B2FE9"/>
    <w:rsid w:val="000B4F01"/>
    <w:rsid w:val="000B77AA"/>
    <w:rsid w:val="000C13F9"/>
    <w:rsid w:val="000C15EE"/>
    <w:rsid w:val="000C16B2"/>
    <w:rsid w:val="000C1DDC"/>
    <w:rsid w:val="000C22C3"/>
    <w:rsid w:val="000C5017"/>
    <w:rsid w:val="000C51AA"/>
    <w:rsid w:val="000C51F0"/>
    <w:rsid w:val="000C6D2F"/>
    <w:rsid w:val="000C7648"/>
    <w:rsid w:val="000D051A"/>
    <w:rsid w:val="000D06CB"/>
    <w:rsid w:val="000D0ABF"/>
    <w:rsid w:val="000D1709"/>
    <w:rsid w:val="000D37F4"/>
    <w:rsid w:val="000D451C"/>
    <w:rsid w:val="000D51EA"/>
    <w:rsid w:val="000D56E2"/>
    <w:rsid w:val="000D5882"/>
    <w:rsid w:val="000D7176"/>
    <w:rsid w:val="000E0FD7"/>
    <w:rsid w:val="000E1046"/>
    <w:rsid w:val="000E10B3"/>
    <w:rsid w:val="000E13F4"/>
    <w:rsid w:val="000E224D"/>
    <w:rsid w:val="000E28B2"/>
    <w:rsid w:val="000E2E37"/>
    <w:rsid w:val="000E2FD1"/>
    <w:rsid w:val="000E4B5D"/>
    <w:rsid w:val="000E6AC4"/>
    <w:rsid w:val="000F0066"/>
    <w:rsid w:val="000F0228"/>
    <w:rsid w:val="000F0BE8"/>
    <w:rsid w:val="000F1F58"/>
    <w:rsid w:val="000F4D36"/>
    <w:rsid w:val="000F5096"/>
    <w:rsid w:val="000F5F8F"/>
    <w:rsid w:val="000F6509"/>
    <w:rsid w:val="0010022A"/>
    <w:rsid w:val="001003F3"/>
    <w:rsid w:val="0010083C"/>
    <w:rsid w:val="001015E5"/>
    <w:rsid w:val="00101FD2"/>
    <w:rsid w:val="001026DB"/>
    <w:rsid w:val="00103A9D"/>
    <w:rsid w:val="00103C0C"/>
    <w:rsid w:val="00103DEC"/>
    <w:rsid w:val="00104921"/>
    <w:rsid w:val="00104C81"/>
    <w:rsid w:val="0010566F"/>
    <w:rsid w:val="00106676"/>
    <w:rsid w:val="00106767"/>
    <w:rsid w:val="0011029A"/>
    <w:rsid w:val="00110340"/>
    <w:rsid w:val="00111F76"/>
    <w:rsid w:val="0011254C"/>
    <w:rsid w:val="001148C6"/>
    <w:rsid w:val="0011621C"/>
    <w:rsid w:val="0012053D"/>
    <w:rsid w:val="00120963"/>
    <w:rsid w:val="00121704"/>
    <w:rsid w:val="00121BA4"/>
    <w:rsid w:val="00123222"/>
    <w:rsid w:val="00123B7F"/>
    <w:rsid w:val="00124214"/>
    <w:rsid w:val="00124225"/>
    <w:rsid w:val="00124BA3"/>
    <w:rsid w:val="00124C60"/>
    <w:rsid w:val="001274FA"/>
    <w:rsid w:val="0013286B"/>
    <w:rsid w:val="00133BB0"/>
    <w:rsid w:val="001352EA"/>
    <w:rsid w:val="001361EB"/>
    <w:rsid w:val="00136D8C"/>
    <w:rsid w:val="00140AE5"/>
    <w:rsid w:val="001429E9"/>
    <w:rsid w:val="001439BF"/>
    <w:rsid w:val="00143AAE"/>
    <w:rsid w:val="00145C6B"/>
    <w:rsid w:val="001525B4"/>
    <w:rsid w:val="001536CD"/>
    <w:rsid w:val="001542A6"/>
    <w:rsid w:val="00155F51"/>
    <w:rsid w:val="001562D0"/>
    <w:rsid w:val="001571DC"/>
    <w:rsid w:val="00157CDA"/>
    <w:rsid w:val="00157E75"/>
    <w:rsid w:val="00157F5B"/>
    <w:rsid w:val="00160488"/>
    <w:rsid w:val="00161051"/>
    <w:rsid w:val="00161334"/>
    <w:rsid w:val="00164E04"/>
    <w:rsid w:val="001663C8"/>
    <w:rsid w:val="00172E5B"/>
    <w:rsid w:val="00173EE9"/>
    <w:rsid w:val="00174E33"/>
    <w:rsid w:val="00174ECF"/>
    <w:rsid w:val="00175179"/>
    <w:rsid w:val="00175A5A"/>
    <w:rsid w:val="001767BD"/>
    <w:rsid w:val="0017681E"/>
    <w:rsid w:val="0018176A"/>
    <w:rsid w:val="001817F6"/>
    <w:rsid w:val="00183DB7"/>
    <w:rsid w:val="00185508"/>
    <w:rsid w:val="001866E1"/>
    <w:rsid w:val="001922F9"/>
    <w:rsid w:val="001927C7"/>
    <w:rsid w:val="00192DA2"/>
    <w:rsid w:val="0019385C"/>
    <w:rsid w:val="00193F1B"/>
    <w:rsid w:val="00193FA1"/>
    <w:rsid w:val="00194561"/>
    <w:rsid w:val="00194CDF"/>
    <w:rsid w:val="00194E11"/>
    <w:rsid w:val="00195016"/>
    <w:rsid w:val="001967CC"/>
    <w:rsid w:val="001A030B"/>
    <w:rsid w:val="001A1FE9"/>
    <w:rsid w:val="001A2400"/>
    <w:rsid w:val="001A255D"/>
    <w:rsid w:val="001A3765"/>
    <w:rsid w:val="001B05AA"/>
    <w:rsid w:val="001B0643"/>
    <w:rsid w:val="001B245B"/>
    <w:rsid w:val="001B425B"/>
    <w:rsid w:val="001B431B"/>
    <w:rsid w:val="001B4813"/>
    <w:rsid w:val="001B53BE"/>
    <w:rsid w:val="001B5F3A"/>
    <w:rsid w:val="001B6123"/>
    <w:rsid w:val="001B67B8"/>
    <w:rsid w:val="001B75A2"/>
    <w:rsid w:val="001C0985"/>
    <w:rsid w:val="001C24C0"/>
    <w:rsid w:val="001C2DA0"/>
    <w:rsid w:val="001C3427"/>
    <w:rsid w:val="001C3BD4"/>
    <w:rsid w:val="001C44C0"/>
    <w:rsid w:val="001C602E"/>
    <w:rsid w:val="001C75F2"/>
    <w:rsid w:val="001D0E65"/>
    <w:rsid w:val="001D1B10"/>
    <w:rsid w:val="001D2EAA"/>
    <w:rsid w:val="001D34BF"/>
    <w:rsid w:val="001D4053"/>
    <w:rsid w:val="001D4510"/>
    <w:rsid w:val="001D51BF"/>
    <w:rsid w:val="001D5561"/>
    <w:rsid w:val="001D59AA"/>
    <w:rsid w:val="001E009E"/>
    <w:rsid w:val="001E1562"/>
    <w:rsid w:val="001E3E6E"/>
    <w:rsid w:val="001E4DCC"/>
    <w:rsid w:val="001E56DC"/>
    <w:rsid w:val="001E59EE"/>
    <w:rsid w:val="001E5D73"/>
    <w:rsid w:val="001E75F9"/>
    <w:rsid w:val="001E7B09"/>
    <w:rsid w:val="001F0578"/>
    <w:rsid w:val="001F3F3C"/>
    <w:rsid w:val="001F50E3"/>
    <w:rsid w:val="001F5923"/>
    <w:rsid w:val="001F5E12"/>
    <w:rsid w:val="002002C5"/>
    <w:rsid w:val="00200391"/>
    <w:rsid w:val="00201CF2"/>
    <w:rsid w:val="00202AE7"/>
    <w:rsid w:val="0020575E"/>
    <w:rsid w:val="002065E9"/>
    <w:rsid w:val="00207E83"/>
    <w:rsid w:val="002115D6"/>
    <w:rsid w:val="00213879"/>
    <w:rsid w:val="00214899"/>
    <w:rsid w:val="00215F01"/>
    <w:rsid w:val="002160EF"/>
    <w:rsid w:val="00216E4E"/>
    <w:rsid w:val="0022092A"/>
    <w:rsid w:val="00221320"/>
    <w:rsid w:val="00221335"/>
    <w:rsid w:val="00221C08"/>
    <w:rsid w:val="00222099"/>
    <w:rsid w:val="002246DA"/>
    <w:rsid w:val="00226F64"/>
    <w:rsid w:val="00232C62"/>
    <w:rsid w:val="00232F90"/>
    <w:rsid w:val="002345C5"/>
    <w:rsid w:val="00237D0E"/>
    <w:rsid w:val="00240E50"/>
    <w:rsid w:val="00241321"/>
    <w:rsid w:val="0024138F"/>
    <w:rsid w:val="00241703"/>
    <w:rsid w:val="00244D2C"/>
    <w:rsid w:val="00247469"/>
    <w:rsid w:val="00247F1F"/>
    <w:rsid w:val="0025081E"/>
    <w:rsid w:val="00251849"/>
    <w:rsid w:val="00251B24"/>
    <w:rsid w:val="00252810"/>
    <w:rsid w:val="00253A8C"/>
    <w:rsid w:val="00256766"/>
    <w:rsid w:val="002572EC"/>
    <w:rsid w:val="00257321"/>
    <w:rsid w:val="00260C28"/>
    <w:rsid w:val="00261A5A"/>
    <w:rsid w:val="00261FC8"/>
    <w:rsid w:val="002625C4"/>
    <w:rsid w:val="00262DEA"/>
    <w:rsid w:val="00262EC7"/>
    <w:rsid w:val="00264007"/>
    <w:rsid w:val="0026423B"/>
    <w:rsid w:val="00265298"/>
    <w:rsid w:val="00265C2C"/>
    <w:rsid w:val="00273E98"/>
    <w:rsid w:val="00274B45"/>
    <w:rsid w:val="00274B8F"/>
    <w:rsid w:val="00275B08"/>
    <w:rsid w:val="002764DE"/>
    <w:rsid w:val="00276EB7"/>
    <w:rsid w:val="00276F1C"/>
    <w:rsid w:val="00277160"/>
    <w:rsid w:val="0028036F"/>
    <w:rsid w:val="002805A8"/>
    <w:rsid w:val="0028095C"/>
    <w:rsid w:val="002825B8"/>
    <w:rsid w:val="002835B0"/>
    <w:rsid w:val="00284BA7"/>
    <w:rsid w:val="002851E1"/>
    <w:rsid w:val="00285CE8"/>
    <w:rsid w:val="00286617"/>
    <w:rsid w:val="00286D47"/>
    <w:rsid w:val="00286F40"/>
    <w:rsid w:val="00287483"/>
    <w:rsid w:val="00290E5F"/>
    <w:rsid w:val="0029194E"/>
    <w:rsid w:val="00292024"/>
    <w:rsid w:val="0029256E"/>
    <w:rsid w:val="00293208"/>
    <w:rsid w:val="00293EEA"/>
    <w:rsid w:val="00294777"/>
    <w:rsid w:val="002951E8"/>
    <w:rsid w:val="00296EB3"/>
    <w:rsid w:val="00297C1C"/>
    <w:rsid w:val="002A11F1"/>
    <w:rsid w:val="002A12CF"/>
    <w:rsid w:val="002A1836"/>
    <w:rsid w:val="002A1CE0"/>
    <w:rsid w:val="002A26F1"/>
    <w:rsid w:val="002A2CF1"/>
    <w:rsid w:val="002A4E3B"/>
    <w:rsid w:val="002A50EC"/>
    <w:rsid w:val="002A5341"/>
    <w:rsid w:val="002B1561"/>
    <w:rsid w:val="002B19ED"/>
    <w:rsid w:val="002B1B33"/>
    <w:rsid w:val="002B2C7B"/>
    <w:rsid w:val="002B4FC3"/>
    <w:rsid w:val="002B6CD4"/>
    <w:rsid w:val="002B6FC1"/>
    <w:rsid w:val="002C007D"/>
    <w:rsid w:val="002C2DD0"/>
    <w:rsid w:val="002C491B"/>
    <w:rsid w:val="002C6E49"/>
    <w:rsid w:val="002C750B"/>
    <w:rsid w:val="002D193F"/>
    <w:rsid w:val="002D44BA"/>
    <w:rsid w:val="002D6DA0"/>
    <w:rsid w:val="002E1E3D"/>
    <w:rsid w:val="002E225C"/>
    <w:rsid w:val="002E643C"/>
    <w:rsid w:val="002E677B"/>
    <w:rsid w:val="002F0BD9"/>
    <w:rsid w:val="002F1419"/>
    <w:rsid w:val="002F255B"/>
    <w:rsid w:val="002F3CE0"/>
    <w:rsid w:val="002F4655"/>
    <w:rsid w:val="002F5063"/>
    <w:rsid w:val="002F6A5C"/>
    <w:rsid w:val="00300CA4"/>
    <w:rsid w:val="00301A32"/>
    <w:rsid w:val="00302264"/>
    <w:rsid w:val="00302A17"/>
    <w:rsid w:val="0030520B"/>
    <w:rsid w:val="003054E4"/>
    <w:rsid w:val="0030674A"/>
    <w:rsid w:val="003068E0"/>
    <w:rsid w:val="003123F2"/>
    <w:rsid w:val="00312559"/>
    <w:rsid w:val="00312C94"/>
    <w:rsid w:val="003138E3"/>
    <w:rsid w:val="0031602E"/>
    <w:rsid w:val="003166FD"/>
    <w:rsid w:val="00320AB1"/>
    <w:rsid w:val="00322356"/>
    <w:rsid w:val="00323ABF"/>
    <w:rsid w:val="00323FCD"/>
    <w:rsid w:val="00325F0B"/>
    <w:rsid w:val="00327655"/>
    <w:rsid w:val="00330298"/>
    <w:rsid w:val="003306CC"/>
    <w:rsid w:val="00330759"/>
    <w:rsid w:val="00330F65"/>
    <w:rsid w:val="00331921"/>
    <w:rsid w:val="00332F44"/>
    <w:rsid w:val="00333067"/>
    <w:rsid w:val="003346CE"/>
    <w:rsid w:val="003359CB"/>
    <w:rsid w:val="00335ADD"/>
    <w:rsid w:val="00337F74"/>
    <w:rsid w:val="003419FA"/>
    <w:rsid w:val="0034321E"/>
    <w:rsid w:val="00343B7E"/>
    <w:rsid w:val="0034462E"/>
    <w:rsid w:val="003457CE"/>
    <w:rsid w:val="0034691A"/>
    <w:rsid w:val="00346F21"/>
    <w:rsid w:val="003478A4"/>
    <w:rsid w:val="00347D90"/>
    <w:rsid w:val="00350028"/>
    <w:rsid w:val="0035014C"/>
    <w:rsid w:val="00351C17"/>
    <w:rsid w:val="00351DFC"/>
    <w:rsid w:val="003520A0"/>
    <w:rsid w:val="00352B38"/>
    <w:rsid w:val="00355063"/>
    <w:rsid w:val="003554F2"/>
    <w:rsid w:val="003618A0"/>
    <w:rsid w:val="00362265"/>
    <w:rsid w:val="003623E7"/>
    <w:rsid w:val="00363216"/>
    <w:rsid w:val="00364B87"/>
    <w:rsid w:val="00365E88"/>
    <w:rsid w:val="0036680B"/>
    <w:rsid w:val="00367135"/>
    <w:rsid w:val="00367AB2"/>
    <w:rsid w:val="0037197F"/>
    <w:rsid w:val="00371B4B"/>
    <w:rsid w:val="0037359C"/>
    <w:rsid w:val="0037490D"/>
    <w:rsid w:val="00376665"/>
    <w:rsid w:val="003776C7"/>
    <w:rsid w:val="00377814"/>
    <w:rsid w:val="0038117E"/>
    <w:rsid w:val="00381852"/>
    <w:rsid w:val="00382CD8"/>
    <w:rsid w:val="0038372C"/>
    <w:rsid w:val="00383D32"/>
    <w:rsid w:val="003854A6"/>
    <w:rsid w:val="00386A98"/>
    <w:rsid w:val="00386D17"/>
    <w:rsid w:val="00393D6B"/>
    <w:rsid w:val="003940AB"/>
    <w:rsid w:val="00394B88"/>
    <w:rsid w:val="003958C2"/>
    <w:rsid w:val="00396F86"/>
    <w:rsid w:val="00397998"/>
    <w:rsid w:val="003A2575"/>
    <w:rsid w:val="003A59C9"/>
    <w:rsid w:val="003A74E7"/>
    <w:rsid w:val="003B1205"/>
    <w:rsid w:val="003B2446"/>
    <w:rsid w:val="003B485A"/>
    <w:rsid w:val="003B4A48"/>
    <w:rsid w:val="003B68AA"/>
    <w:rsid w:val="003B7A57"/>
    <w:rsid w:val="003C1F77"/>
    <w:rsid w:val="003C21D5"/>
    <w:rsid w:val="003C2B28"/>
    <w:rsid w:val="003C3F9A"/>
    <w:rsid w:val="003C41C8"/>
    <w:rsid w:val="003C4547"/>
    <w:rsid w:val="003C4D27"/>
    <w:rsid w:val="003C514D"/>
    <w:rsid w:val="003C525B"/>
    <w:rsid w:val="003C5A7A"/>
    <w:rsid w:val="003C6F59"/>
    <w:rsid w:val="003C702D"/>
    <w:rsid w:val="003D03D3"/>
    <w:rsid w:val="003D0683"/>
    <w:rsid w:val="003D5FCE"/>
    <w:rsid w:val="003D6112"/>
    <w:rsid w:val="003E0329"/>
    <w:rsid w:val="003E0346"/>
    <w:rsid w:val="003E26E4"/>
    <w:rsid w:val="003E49AD"/>
    <w:rsid w:val="003E5240"/>
    <w:rsid w:val="003E598E"/>
    <w:rsid w:val="003E6438"/>
    <w:rsid w:val="003E7FA9"/>
    <w:rsid w:val="003F01E5"/>
    <w:rsid w:val="003F01EA"/>
    <w:rsid w:val="003F07E6"/>
    <w:rsid w:val="003F0D16"/>
    <w:rsid w:val="003F0EA8"/>
    <w:rsid w:val="003F129D"/>
    <w:rsid w:val="003F211B"/>
    <w:rsid w:val="003F5586"/>
    <w:rsid w:val="003F59DA"/>
    <w:rsid w:val="003F6821"/>
    <w:rsid w:val="004006AC"/>
    <w:rsid w:val="004006BB"/>
    <w:rsid w:val="004006E5"/>
    <w:rsid w:val="00401EDA"/>
    <w:rsid w:val="004032C3"/>
    <w:rsid w:val="004038D7"/>
    <w:rsid w:val="00404BBB"/>
    <w:rsid w:val="0040547D"/>
    <w:rsid w:val="00405831"/>
    <w:rsid w:val="00405BA7"/>
    <w:rsid w:val="004109E4"/>
    <w:rsid w:val="004128C2"/>
    <w:rsid w:val="00412D49"/>
    <w:rsid w:val="00412F82"/>
    <w:rsid w:val="0041340A"/>
    <w:rsid w:val="00413A3C"/>
    <w:rsid w:val="00413B15"/>
    <w:rsid w:val="00413CBF"/>
    <w:rsid w:val="00413D49"/>
    <w:rsid w:val="00414A34"/>
    <w:rsid w:val="00421360"/>
    <w:rsid w:val="00421C7A"/>
    <w:rsid w:val="00421E32"/>
    <w:rsid w:val="004222D7"/>
    <w:rsid w:val="0042382C"/>
    <w:rsid w:val="00423B83"/>
    <w:rsid w:val="00424048"/>
    <w:rsid w:val="004241E1"/>
    <w:rsid w:val="00425F8F"/>
    <w:rsid w:val="00427AAC"/>
    <w:rsid w:val="004302EF"/>
    <w:rsid w:val="00430336"/>
    <w:rsid w:val="00430DC2"/>
    <w:rsid w:val="00431A37"/>
    <w:rsid w:val="00431DCA"/>
    <w:rsid w:val="00432E89"/>
    <w:rsid w:val="0043338F"/>
    <w:rsid w:val="0043477A"/>
    <w:rsid w:val="004353AD"/>
    <w:rsid w:val="004404F1"/>
    <w:rsid w:val="00440BA6"/>
    <w:rsid w:val="00440E3E"/>
    <w:rsid w:val="0044167C"/>
    <w:rsid w:val="00441CA2"/>
    <w:rsid w:val="00443F5A"/>
    <w:rsid w:val="0044491C"/>
    <w:rsid w:val="0044596E"/>
    <w:rsid w:val="00447580"/>
    <w:rsid w:val="00447976"/>
    <w:rsid w:val="00450167"/>
    <w:rsid w:val="00450C4B"/>
    <w:rsid w:val="00452112"/>
    <w:rsid w:val="00453AD5"/>
    <w:rsid w:val="00453C5B"/>
    <w:rsid w:val="00453E54"/>
    <w:rsid w:val="00454DFC"/>
    <w:rsid w:val="0045592C"/>
    <w:rsid w:val="00455D48"/>
    <w:rsid w:val="004562F2"/>
    <w:rsid w:val="00460711"/>
    <w:rsid w:val="00460932"/>
    <w:rsid w:val="00463A2A"/>
    <w:rsid w:val="0046417E"/>
    <w:rsid w:val="004649E8"/>
    <w:rsid w:val="00464A5B"/>
    <w:rsid w:val="0046643D"/>
    <w:rsid w:val="004675F1"/>
    <w:rsid w:val="004712F3"/>
    <w:rsid w:val="004713A7"/>
    <w:rsid w:val="004720AD"/>
    <w:rsid w:val="004743F4"/>
    <w:rsid w:val="00474607"/>
    <w:rsid w:val="00476C52"/>
    <w:rsid w:val="00480E68"/>
    <w:rsid w:val="004818C2"/>
    <w:rsid w:val="00481C07"/>
    <w:rsid w:val="004835A1"/>
    <w:rsid w:val="00485F8C"/>
    <w:rsid w:val="00486132"/>
    <w:rsid w:val="00486212"/>
    <w:rsid w:val="00490D71"/>
    <w:rsid w:val="00494BA6"/>
    <w:rsid w:val="00495236"/>
    <w:rsid w:val="00495557"/>
    <w:rsid w:val="0049595D"/>
    <w:rsid w:val="0049702B"/>
    <w:rsid w:val="004974E7"/>
    <w:rsid w:val="004A164F"/>
    <w:rsid w:val="004A1F10"/>
    <w:rsid w:val="004A2965"/>
    <w:rsid w:val="004A37F2"/>
    <w:rsid w:val="004A4163"/>
    <w:rsid w:val="004A4FC3"/>
    <w:rsid w:val="004A5111"/>
    <w:rsid w:val="004A68B2"/>
    <w:rsid w:val="004B34B7"/>
    <w:rsid w:val="004B4661"/>
    <w:rsid w:val="004B4A5C"/>
    <w:rsid w:val="004B7CB8"/>
    <w:rsid w:val="004C0A9C"/>
    <w:rsid w:val="004C2858"/>
    <w:rsid w:val="004C2DAE"/>
    <w:rsid w:val="004C395A"/>
    <w:rsid w:val="004C7E66"/>
    <w:rsid w:val="004D0B77"/>
    <w:rsid w:val="004D2053"/>
    <w:rsid w:val="004D476E"/>
    <w:rsid w:val="004D518C"/>
    <w:rsid w:val="004D5CC8"/>
    <w:rsid w:val="004D60CD"/>
    <w:rsid w:val="004D69B5"/>
    <w:rsid w:val="004D6C62"/>
    <w:rsid w:val="004D6E80"/>
    <w:rsid w:val="004D720A"/>
    <w:rsid w:val="004D7BC6"/>
    <w:rsid w:val="004E07BE"/>
    <w:rsid w:val="004E2CBF"/>
    <w:rsid w:val="004E2FF6"/>
    <w:rsid w:val="004E452A"/>
    <w:rsid w:val="004E7A9F"/>
    <w:rsid w:val="004E7F99"/>
    <w:rsid w:val="004F0625"/>
    <w:rsid w:val="004F2D9F"/>
    <w:rsid w:val="004F355E"/>
    <w:rsid w:val="004F47AC"/>
    <w:rsid w:val="004F5B43"/>
    <w:rsid w:val="004F6AF8"/>
    <w:rsid w:val="00500156"/>
    <w:rsid w:val="00500715"/>
    <w:rsid w:val="00500A2E"/>
    <w:rsid w:val="00501225"/>
    <w:rsid w:val="00503421"/>
    <w:rsid w:val="005039E7"/>
    <w:rsid w:val="00504F99"/>
    <w:rsid w:val="0050588D"/>
    <w:rsid w:val="00507542"/>
    <w:rsid w:val="00507BA5"/>
    <w:rsid w:val="00507BB6"/>
    <w:rsid w:val="0051367B"/>
    <w:rsid w:val="00514272"/>
    <w:rsid w:val="00515225"/>
    <w:rsid w:val="005160F4"/>
    <w:rsid w:val="00516ACF"/>
    <w:rsid w:val="00516EAF"/>
    <w:rsid w:val="00517DDA"/>
    <w:rsid w:val="0052003E"/>
    <w:rsid w:val="00523894"/>
    <w:rsid w:val="005245D0"/>
    <w:rsid w:val="00526269"/>
    <w:rsid w:val="00526EDF"/>
    <w:rsid w:val="00527E8A"/>
    <w:rsid w:val="00527F15"/>
    <w:rsid w:val="00530449"/>
    <w:rsid w:val="00531ECD"/>
    <w:rsid w:val="00532236"/>
    <w:rsid w:val="00533C1D"/>
    <w:rsid w:val="00534027"/>
    <w:rsid w:val="00535B7E"/>
    <w:rsid w:val="00537062"/>
    <w:rsid w:val="0053706C"/>
    <w:rsid w:val="00537208"/>
    <w:rsid w:val="00537E01"/>
    <w:rsid w:val="00541C8C"/>
    <w:rsid w:val="00543B48"/>
    <w:rsid w:val="00543F5D"/>
    <w:rsid w:val="00544AE3"/>
    <w:rsid w:val="005466AE"/>
    <w:rsid w:val="00552396"/>
    <w:rsid w:val="0055418B"/>
    <w:rsid w:val="005545F2"/>
    <w:rsid w:val="00554614"/>
    <w:rsid w:val="00554B2A"/>
    <w:rsid w:val="0055538B"/>
    <w:rsid w:val="005562BF"/>
    <w:rsid w:val="00557027"/>
    <w:rsid w:val="00561873"/>
    <w:rsid w:val="00561CE7"/>
    <w:rsid w:val="005626D0"/>
    <w:rsid w:val="00563E6E"/>
    <w:rsid w:val="00565989"/>
    <w:rsid w:val="005668BB"/>
    <w:rsid w:val="00570EC6"/>
    <w:rsid w:val="00571AEF"/>
    <w:rsid w:val="005725D2"/>
    <w:rsid w:val="00573250"/>
    <w:rsid w:val="00573A6B"/>
    <w:rsid w:val="00575D4B"/>
    <w:rsid w:val="00580D31"/>
    <w:rsid w:val="00581918"/>
    <w:rsid w:val="00585D48"/>
    <w:rsid w:val="00585D7C"/>
    <w:rsid w:val="00585F87"/>
    <w:rsid w:val="00587A91"/>
    <w:rsid w:val="00592C70"/>
    <w:rsid w:val="00592DBB"/>
    <w:rsid w:val="00592E95"/>
    <w:rsid w:val="0059784C"/>
    <w:rsid w:val="00597A3A"/>
    <w:rsid w:val="005A0700"/>
    <w:rsid w:val="005A0F05"/>
    <w:rsid w:val="005A242F"/>
    <w:rsid w:val="005A257E"/>
    <w:rsid w:val="005A3EC9"/>
    <w:rsid w:val="005A522E"/>
    <w:rsid w:val="005B0439"/>
    <w:rsid w:val="005B207D"/>
    <w:rsid w:val="005B46F9"/>
    <w:rsid w:val="005B4B6A"/>
    <w:rsid w:val="005B4DBF"/>
    <w:rsid w:val="005B6821"/>
    <w:rsid w:val="005B6C8C"/>
    <w:rsid w:val="005B7039"/>
    <w:rsid w:val="005C0187"/>
    <w:rsid w:val="005C06B8"/>
    <w:rsid w:val="005C1B07"/>
    <w:rsid w:val="005C1D3A"/>
    <w:rsid w:val="005C449A"/>
    <w:rsid w:val="005C52CC"/>
    <w:rsid w:val="005C6761"/>
    <w:rsid w:val="005C68E8"/>
    <w:rsid w:val="005C6E41"/>
    <w:rsid w:val="005D0225"/>
    <w:rsid w:val="005D0499"/>
    <w:rsid w:val="005D14C0"/>
    <w:rsid w:val="005D2571"/>
    <w:rsid w:val="005D2C41"/>
    <w:rsid w:val="005D357E"/>
    <w:rsid w:val="005D398A"/>
    <w:rsid w:val="005D3AC5"/>
    <w:rsid w:val="005D3E1D"/>
    <w:rsid w:val="005D4C2E"/>
    <w:rsid w:val="005D4FD4"/>
    <w:rsid w:val="005D576A"/>
    <w:rsid w:val="005D689C"/>
    <w:rsid w:val="005D7CAB"/>
    <w:rsid w:val="005E01E8"/>
    <w:rsid w:val="005E11F8"/>
    <w:rsid w:val="005E1607"/>
    <w:rsid w:val="005E1ECF"/>
    <w:rsid w:val="005E20A2"/>
    <w:rsid w:val="005E38A2"/>
    <w:rsid w:val="005E4004"/>
    <w:rsid w:val="005E5879"/>
    <w:rsid w:val="005E6239"/>
    <w:rsid w:val="005E7B35"/>
    <w:rsid w:val="005F0C63"/>
    <w:rsid w:val="005F0E19"/>
    <w:rsid w:val="005F0FD4"/>
    <w:rsid w:val="005F1176"/>
    <w:rsid w:val="005F3B52"/>
    <w:rsid w:val="005F67FB"/>
    <w:rsid w:val="005F76E9"/>
    <w:rsid w:val="005F7984"/>
    <w:rsid w:val="00605BAF"/>
    <w:rsid w:val="0060684D"/>
    <w:rsid w:val="00606945"/>
    <w:rsid w:val="00607871"/>
    <w:rsid w:val="006103BD"/>
    <w:rsid w:val="00612590"/>
    <w:rsid w:val="0061496E"/>
    <w:rsid w:val="00617894"/>
    <w:rsid w:val="0062014F"/>
    <w:rsid w:val="00620332"/>
    <w:rsid w:val="00621204"/>
    <w:rsid w:val="00621362"/>
    <w:rsid w:val="00621E19"/>
    <w:rsid w:val="00623650"/>
    <w:rsid w:val="00623741"/>
    <w:rsid w:val="006252A5"/>
    <w:rsid w:val="00625C4C"/>
    <w:rsid w:val="0062706F"/>
    <w:rsid w:val="00627AFE"/>
    <w:rsid w:val="006314B9"/>
    <w:rsid w:val="00632957"/>
    <w:rsid w:val="00634908"/>
    <w:rsid w:val="00636699"/>
    <w:rsid w:val="00637A3E"/>
    <w:rsid w:val="00637EEA"/>
    <w:rsid w:val="00642A27"/>
    <w:rsid w:val="00643BAB"/>
    <w:rsid w:val="00644492"/>
    <w:rsid w:val="006459D3"/>
    <w:rsid w:val="00647BB1"/>
    <w:rsid w:val="00647EA2"/>
    <w:rsid w:val="00650299"/>
    <w:rsid w:val="0065094A"/>
    <w:rsid w:val="00650C0F"/>
    <w:rsid w:val="006510C0"/>
    <w:rsid w:val="00651A0D"/>
    <w:rsid w:val="00653CF0"/>
    <w:rsid w:val="00654268"/>
    <w:rsid w:val="00655165"/>
    <w:rsid w:val="006553FD"/>
    <w:rsid w:val="00656C13"/>
    <w:rsid w:val="00660C5C"/>
    <w:rsid w:val="0066128C"/>
    <w:rsid w:val="006626CC"/>
    <w:rsid w:val="00662A4D"/>
    <w:rsid w:val="00662C14"/>
    <w:rsid w:val="00663099"/>
    <w:rsid w:val="00665BF4"/>
    <w:rsid w:val="00665DEE"/>
    <w:rsid w:val="00667BA0"/>
    <w:rsid w:val="00670633"/>
    <w:rsid w:val="00672033"/>
    <w:rsid w:val="00672F18"/>
    <w:rsid w:val="00673A44"/>
    <w:rsid w:val="006742D2"/>
    <w:rsid w:val="00674656"/>
    <w:rsid w:val="006749A3"/>
    <w:rsid w:val="0067513D"/>
    <w:rsid w:val="006754AB"/>
    <w:rsid w:val="006756F9"/>
    <w:rsid w:val="006768DE"/>
    <w:rsid w:val="00677740"/>
    <w:rsid w:val="006809AC"/>
    <w:rsid w:val="00682A06"/>
    <w:rsid w:val="00684B62"/>
    <w:rsid w:val="00684E44"/>
    <w:rsid w:val="00685DC1"/>
    <w:rsid w:val="00687256"/>
    <w:rsid w:val="00690197"/>
    <w:rsid w:val="00691472"/>
    <w:rsid w:val="00691A12"/>
    <w:rsid w:val="00692DAF"/>
    <w:rsid w:val="0069375A"/>
    <w:rsid w:val="00694294"/>
    <w:rsid w:val="006945F8"/>
    <w:rsid w:val="0069606A"/>
    <w:rsid w:val="00697AAB"/>
    <w:rsid w:val="006A04BA"/>
    <w:rsid w:val="006A05F8"/>
    <w:rsid w:val="006A19EE"/>
    <w:rsid w:val="006A4211"/>
    <w:rsid w:val="006A4889"/>
    <w:rsid w:val="006A609B"/>
    <w:rsid w:val="006A642D"/>
    <w:rsid w:val="006A779E"/>
    <w:rsid w:val="006A7CF3"/>
    <w:rsid w:val="006B0B8A"/>
    <w:rsid w:val="006B182C"/>
    <w:rsid w:val="006B22CB"/>
    <w:rsid w:val="006B2EE1"/>
    <w:rsid w:val="006B470E"/>
    <w:rsid w:val="006B5A64"/>
    <w:rsid w:val="006B6DDF"/>
    <w:rsid w:val="006B7259"/>
    <w:rsid w:val="006C02AE"/>
    <w:rsid w:val="006C161D"/>
    <w:rsid w:val="006C1A71"/>
    <w:rsid w:val="006C1B37"/>
    <w:rsid w:val="006C1C27"/>
    <w:rsid w:val="006C20E4"/>
    <w:rsid w:val="006C21E5"/>
    <w:rsid w:val="006C292A"/>
    <w:rsid w:val="006C3564"/>
    <w:rsid w:val="006C3565"/>
    <w:rsid w:val="006C36B2"/>
    <w:rsid w:val="006C3C44"/>
    <w:rsid w:val="006C3E0D"/>
    <w:rsid w:val="006C5A7C"/>
    <w:rsid w:val="006D02EF"/>
    <w:rsid w:val="006D2939"/>
    <w:rsid w:val="006D29D7"/>
    <w:rsid w:val="006D3757"/>
    <w:rsid w:val="006D66C8"/>
    <w:rsid w:val="006D7DA8"/>
    <w:rsid w:val="006E11BD"/>
    <w:rsid w:val="006E1A55"/>
    <w:rsid w:val="006E3A85"/>
    <w:rsid w:val="006E5B68"/>
    <w:rsid w:val="006E5D86"/>
    <w:rsid w:val="006E6179"/>
    <w:rsid w:val="006E672D"/>
    <w:rsid w:val="006E6F28"/>
    <w:rsid w:val="006E7931"/>
    <w:rsid w:val="006F00CB"/>
    <w:rsid w:val="006F3362"/>
    <w:rsid w:val="006F41D9"/>
    <w:rsid w:val="006F4654"/>
    <w:rsid w:val="006F605E"/>
    <w:rsid w:val="006F6341"/>
    <w:rsid w:val="007027CE"/>
    <w:rsid w:val="00703DAD"/>
    <w:rsid w:val="00705F18"/>
    <w:rsid w:val="007060F0"/>
    <w:rsid w:val="00707D47"/>
    <w:rsid w:val="00710828"/>
    <w:rsid w:val="007109EA"/>
    <w:rsid w:val="00710B26"/>
    <w:rsid w:val="00710DB7"/>
    <w:rsid w:val="00712E6D"/>
    <w:rsid w:val="007133D2"/>
    <w:rsid w:val="00714AEF"/>
    <w:rsid w:val="007150AF"/>
    <w:rsid w:val="00716AD9"/>
    <w:rsid w:val="00716E94"/>
    <w:rsid w:val="00716FB5"/>
    <w:rsid w:val="0072155C"/>
    <w:rsid w:val="0072196F"/>
    <w:rsid w:val="0072443E"/>
    <w:rsid w:val="00724963"/>
    <w:rsid w:val="00724D43"/>
    <w:rsid w:val="00726ECF"/>
    <w:rsid w:val="00730497"/>
    <w:rsid w:val="00732CCC"/>
    <w:rsid w:val="00732EF6"/>
    <w:rsid w:val="0073309A"/>
    <w:rsid w:val="00733746"/>
    <w:rsid w:val="00733B71"/>
    <w:rsid w:val="00734B74"/>
    <w:rsid w:val="00735DA2"/>
    <w:rsid w:val="007417EF"/>
    <w:rsid w:val="0074240E"/>
    <w:rsid w:val="00742E9C"/>
    <w:rsid w:val="00743FD7"/>
    <w:rsid w:val="00745BE9"/>
    <w:rsid w:val="007468FE"/>
    <w:rsid w:val="00746A72"/>
    <w:rsid w:val="00747C67"/>
    <w:rsid w:val="007509EE"/>
    <w:rsid w:val="00750AE8"/>
    <w:rsid w:val="007519DF"/>
    <w:rsid w:val="007531E4"/>
    <w:rsid w:val="00753A54"/>
    <w:rsid w:val="00753FE2"/>
    <w:rsid w:val="007545ED"/>
    <w:rsid w:val="00754989"/>
    <w:rsid w:val="007554FA"/>
    <w:rsid w:val="00755E11"/>
    <w:rsid w:val="00755EB2"/>
    <w:rsid w:val="00756456"/>
    <w:rsid w:val="007619E5"/>
    <w:rsid w:val="007629B4"/>
    <w:rsid w:val="00762ED1"/>
    <w:rsid w:val="00766248"/>
    <w:rsid w:val="007700E5"/>
    <w:rsid w:val="00770DAE"/>
    <w:rsid w:val="00770F3F"/>
    <w:rsid w:val="007729BC"/>
    <w:rsid w:val="00777701"/>
    <w:rsid w:val="00777DC9"/>
    <w:rsid w:val="00777FD7"/>
    <w:rsid w:val="0078030E"/>
    <w:rsid w:val="007806BD"/>
    <w:rsid w:val="007811EA"/>
    <w:rsid w:val="0078138F"/>
    <w:rsid w:val="00781CCC"/>
    <w:rsid w:val="00783973"/>
    <w:rsid w:val="00783FF7"/>
    <w:rsid w:val="00785054"/>
    <w:rsid w:val="007870A4"/>
    <w:rsid w:val="00790677"/>
    <w:rsid w:val="007927D2"/>
    <w:rsid w:val="00794567"/>
    <w:rsid w:val="00796C08"/>
    <w:rsid w:val="007974AC"/>
    <w:rsid w:val="007A01B9"/>
    <w:rsid w:val="007A1116"/>
    <w:rsid w:val="007A3986"/>
    <w:rsid w:val="007A4199"/>
    <w:rsid w:val="007A41FB"/>
    <w:rsid w:val="007A4212"/>
    <w:rsid w:val="007A439E"/>
    <w:rsid w:val="007A46A0"/>
    <w:rsid w:val="007A4BC4"/>
    <w:rsid w:val="007A580C"/>
    <w:rsid w:val="007B005A"/>
    <w:rsid w:val="007B01FE"/>
    <w:rsid w:val="007B1325"/>
    <w:rsid w:val="007B217E"/>
    <w:rsid w:val="007B4054"/>
    <w:rsid w:val="007B5232"/>
    <w:rsid w:val="007B5E22"/>
    <w:rsid w:val="007B6E13"/>
    <w:rsid w:val="007B6F2D"/>
    <w:rsid w:val="007B761F"/>
    <w:rsid w:val="007B7B09"/>
    <w:rsid w:val="007B7E72"/>
    <w:rsid w:val="007B7E97"/>
    <w:rsid w:val="007C0C2F"/>
    <w:rsid w:val="007C64B1"/>
    <w:rsid w:val="007D125F"/>
    <w:rsid w:val="007D12A7"/>
    <w:rsid w:val="007D22D9"/>
    <w:rsid w:val="007D246C"/>
    <w:rsid w:val="007D3F46"/>
    <w:rsid w:val="007D423F"/>
    <w:rsid w:val="007D4812"/>
    <w:rsid w:val="007D7748"/>
    <w:rsid w:val="007D788D"/>
    <w:rsid w:val="007D79CC"/>
    <w:rsid w:val="007D7C4C"/>
    <w:rsid w:val="007E185F"/>
    <w:rsid w:val="007E1D6E"/>
    <w:rsid w:val="007E20CF"/>
    <w:rsid w:val="007E29B9"/>
    <w:rsid w:val="007E2E64"/>
    <w:rsid w:val="007E3ECB"/>
    <w:rsid w:val="007E5C53"/>
    <w:rsid w:val="007F19E8"/>
    <w:rsid w:val="007F1FE4"/>
    <w:rsid w:val="007F37B7"/>
    <w:rsid w:val="007F4185"/>
    <w:rsid w:val="007F429C"/>
    <w:rsid w:val="007F53DC"/>
    <w:rsid w:val="007F5924"/>
    <w:rsid w:val="007F7380"/>
    <w:rsid w:val="007F753B"/>
    <w:rsid w:val="007F7AE7"/>
    <w:rsid w:val="007F7FD4"/>
    <w:rsid w:val="008000C7"/>
    <w:rsid w:val="0080119E"/>
    <w:rsid w:val="00802B8E"/>
    <w:rsid w:val="00803138"/>
    <w:rsid w:val="0080447B"/>
    <w:rsid w:val="0080478E"/>
    <w:rsid w:val="008053A2"/>
    <w:rsid w:val="00805B49"/>
    <w:rsid w:val="00805E72"/>
    <w:rsid w:val="008066B2"/>
    <w:rsid w:val="00806CEC"/>
    <w:rsid w:val="008079E3"/>
    <w:rsid w:val="008132CD"/>
    <w:rsid w:val="00814CC3"/>
    <w:rsid w:val="00814E17"/>
    <w:rsid w:val="00814EF3"/>
    <w:rsid w:val="00816B75"/>
    <w:rsid w:val="00817CFA"/>
    <w:rsid w:val="00820604"/>
    <w:rsid w:val="00822605"/>
    <w:rsid w:val="00823E28"/>
    <w:rsid w:val="008240C3"/>
    <w:rsid w:val="00825C1D"/>
    <w:rsid w:val="00825C1F"/>
    <w:rsid w:val="008268A0"/>
    <w:rsid w:val="008268B3"/>
    <w:rsid w:val="00831510"/>
    <w:rsid w:val="00831EF4"/>
    <w:rsid w:val="00832AF0"/>
    <w:rsid w:val="00833C52"/>
    <w:rsid w:val="008365F3"/>
    <w:rsid w:val="00840804"/>
    <w:rsid w:val="008416C4"/>
    <w:rsid w:val="008417F0"/>
    <w:rsid w:val="00841C83"/>
    <w:rsid w:val="008424E6"/>
    <w:rsid w:val="008432C9"/>
    <w:rsid w:val="0084381B"/>
    <w:rsid w:val="00843F4C"/>
    <w:rsid w:val="00843F51"/>
    <w:rsid w:val="008451AC"/>
    <w:rsid w:val="00845C44"/>
    <w:rsid w:val="00845F7B"/>
    <w:rsid w:val="008519D4"/>
    <w:rsid w:val="00853900"/>
    <w:rsid w:val="008555DA"/>
    <w:rsid w:val="008558AF"/>
    <w:rsid w:val="00855EB8"/>
    <w:rsid w:val="00856FED"/>
    <w:rsid w:val="0085785A"/>
    <w:rsid w:val="00857D5F"/>
    <w:rsid w:val="00861182"/>
    <w:rsid w:val="00861857"/>
    <w:rsid w:val="008629F4"/>
    <w:rsid w:val="00864A4E"/>
    <w:rsid w:val="0086794D"/>
    <w:rsid w:val="00867DF9"/>
    <w:rsid w:val="008700F3"/>
    <w:rsid w:val="0087126E"/>
    <w:rsid w:val="00873098"/>
    <w:rsid w:val="00875253"/>
    <w:rsid w:val="008764BC"/>
    <w:rsid w:val="00876C30"/>
    <w:rsid w:val="0087736D"/>
    <w:rsid w:val="00880E76"/>
    <w:rsid w:val="00881EC8"/>
    <w:rsid w:val="008834C9"/>
    <w:rsid w:val="00883511"/>
    <w:rsid w:val="00884455"/>
    <w:rsid w:val="00885643"/>
    <w:rsid w:val="0088596E"/>
    <w:rsid w:val="00886A6F"/>
    <w:rsid w:val="008901B8"/>
    <w:rsid w:val="008903AE"/>
    <w:rsid w:val="00891045"/>
    <w:rsid w:val="00891110"/>
    <w:rsid w:val="00891553"/>
    <w:rsid w:val="008923B4"/>
    <w:rsid w:val="008924F8"/>
    <w:rsid w:val="008927DE"/>
    <w:rsid w:val="008948B5"/>
    <w:rsid w:val="00895C93"/>
    <w:rsid w:val="00896622"/>
    <w:rsid w:val="00896866"/>
    <w:rsid w:val="00896ADD"/>
    <w:rsid w:val="008A149B"/>
    <w:rsid w:val="008A1B6E"/>
    <w:rsid w:val="008A2169"/>
    <w:rsid w:val="008A41A5"/>
    <w:rsid w:val="008A47AD"/>
    <w:rsid w:val="008A527D"/>
    <w:rsid w:val="008A5729"/>
    <w:rsid w:val="008A6203"/>
    <w:rsid w:val="008A6362"/>
    <w:rsid w:val="008A76D9"/>
    <w:rsid w:val="008A7819"/>
    <w:rsid w:val="008B18C1"/>
    <w:rsid w:val="008B1DE1"/>
    <w:rsid w:val="008B23F8"/>
    <w:rsid w:val="008B4E64"/>
    <w:rsid w:val="008B63C6"/>
    <w:rsid w:val="008B6A26"/>
    <w:rsid w:val="008C02F3"/>
    <w:rsid w:val="008C083F"/>
    <w:rsid w:val="008C181D"/>
    <w:rsid w:val="008C25C7"/>
    <w:rsid w:val="008C34C4"/>
    <w:rsid w:val="008C41EA"/>
    <w:rsid w:val="008C4F76"/>
    <w:rsid w:val="008C564F"/>
    <w:rsid w:val="008C62BF"/>
    <w:rsid w:val="008C679B"/>
    <w:rsid w:val="008D02D8"/>
    <w:rsid w:val="008D03A2"/>
    <w:rsid w:val="008D2A29"/>
    <w:rsid w:val="008D2D18"/>
    <w:rsid w:val="008D3DBA"/>
    <w:rsid w:val="008D437A"/>
    <w:rsid w:val="008D4B0A"/>
    <w:rsid w:val="008D4D47"/>
    <w:rsid w:val="008D4FA1"/>
    <w:rsid w:val="008D5C04"/>
    <w:rsid w:val="008D5CAB"/>
    <w:rsid w:val="008D5E7C"/>
    <w:rsid w:val="008D625B"/>
    <w:rsid w:val="008D6485"/>
    <w:rsid w:val="008D6546"/>
    <w:rsid w:val="008D6838"/>
    <w:rsid w:val="008D6B05"/>
    <w:rsid w:val="008E3A31"/>
    <w:rsid w:val="008E3BE5"/>
    <w:rsid w:val="008E4549"/>
    <w:rsid w:val="008E6CCD"/>
    <w:rsid w:val="008F1DAC"/>
    <w:rsid w:val="008F310A"/>
    <w:rsid w:val="008F3D22"/>
    <w:rsid w:val="008F4473"/>
    <w:rsid w:val="008F4740"/>
    <w:rsid w:val="008F5064"/>
    <w:rsid w:val="008F5755"/>
    <w:rsid w:val="008F58D4"/>
    <w:rsid w:val="008F5B3F"/>
    <w:rsid w:val="008F5C4D"/>
    <w:rsid w:val="008F6EB1"/>
    <w:rsid w:val="00900CB8"/>
    <w:rsid w:val="00900E0D"/>
    <w:rsid w:val="0090206F"/>
    <w:rsid w:val="00902D37"/>
    <w:rsid w:val="009055D9"/>
    <w:rsid w:val="00906091"/>
    <w:rsid w:val="00906123"/>
    <w:rsid w:val="00906A84"/>
    <w:rsid w:val="00911804"/>
    <w:rsid w:val="00913F13"/>
    <w:rsid w:val="00916626"/>
    <w:rsid w:val="00916C88"/>
    <w:rsid w:val="00917680"/>
    <w:rsid w:val="009203A4"/>
    <w:rsid w:val="00920BBB"/>
    <w:rsid w:val="009219A4"/>
    <w:rsid w:val="00921C7A"/>
    <w:rsid w:val="00921FFC"/>
    <w:rsid w:val="00924491"/>
    <w:rsid w:val="009259CA"/>
    <w:rsid w:val="009260BC"/>
    <w:rsid w:val="00926ED0"/>
    <w:rsid w:val="0092791E"/>
    <w:rsid w:val="0093371C"/>
    <w:rsid w:val="00933733"/>
    <w:rsid w:val="00934A54"/>
    <w:rsid w:val="00935B57"/>
    <w:rsid w:val="00936857"/>
    <w:rsid w:val="0094137B"/>
    <w:rsid w:val="00942CAF"/>
    <w:rsid w:val="009502E2"/>
    <w:rsid w:val="00950AEA"/>
    <w:rsid w:val="00951EED"/>
    <w:rsid w:val="00952257"/>
    <w:rsid w:val="0095400E"/>
    <w:rsid w:val="0095446A"/>
    <w:rsid w:val="00955079"/>
    <w:rsid w:val="0095538B"/>
    <w:rsid w:val="00956449"/>
    <w:rsid w:val="00956A94"/>
    <w:rsid w:val="00960516"/>
    <w:rsid w:val="009613E2"/>
    <w:rsid w:val="00961853"/>
    <w:rsid w:val="00963CCF"/>
    <w:rsid w:val="00963F14"/>
    <w:rsid w:val="009655C5"/>
    <w:rsid w:val="0096564B"/>
    <w:rsid w:val="009714DB"/>
    <w:rsid w:val="00974A2C"/>
    <w:rsid w:val="00975378"/>
    <w:rsid w:val="00975954"/>
    <w:rsid w:val="00976099"/>
    <w:rsid w:val="00976CE3"/>
    <w:rsid w:val="00977919"/>
    <w:rsid w:val="00980B29"/>
    <w:rsid w:val="00981CE0"/>
    <w:rsid w:val="00982B4D"/>
    <w:rsid w:val="009847D3"/>
    <w:rsid w:val="00985EC7"/>
    <w:rsid w:val="00987F99"/>
    <w:rsid w:val="00990C1A"/>
    <w:rsid w:val="00991F8E"/>
    <w:rsid w:val="00993748"/>
    <w:rsid w:val="00993839"/>
    <w:rsid w:val="00994816"/>
    <w:rsid w:val="00995362"/>
    <w:rsid w:val="00995F9A"/>
    <w:rsid w:val="00996A87"/>
    <w:rsid w:val="00997ADF"/>
    <w:rsid w:val="009A023C"/>
    <w:rsid w:val="009A1068"/>
    <w:rsid w:val="009A1482"/>
    <w:rsid w:val="009A2120"/>
    <w:rsid w:val="009A31C6"/>
    <w:rsid w:val="009A47A9"/>
    <w:rsid w:val="009A6366"/>
    <w:rsid w:val="009A6C85"/>
    <w:rsid w:val="009A709E"/>
    <w:rsid w:val="009A70C6"/>
    <w:rsid w:val="009A75EC"/>
    <w:rsid w:val="009A763B"/>
    <w:rsid w:val="009A7964"/>
    <w:rsid w:val="009B0C57"/>
    <w:rsid w:val="009B0F24"/>
    <w:rsid w:val="009B1B1D"/>
    <w:rsid w:val="009B3FCD"/>
    <w:rsid w:val="009B438F"/>
    <w:rsid w:val="009B4557"/>
    <w:rsid w:val="009B6211"/>
    <w:rsid w:val="009B7113"/>
    <w:rsid w:val="009B7936"/>
    <w:rsid w:val="009C02E8"/>
    <w:rsid w:val="009C2872"/>
    <w:rsid w:val="009C3ACC"/>
    <w:rsid w:val="009C5003"/>
    <w:rsid w:val="009C52F6"/>
    <w:rsid w:val="009C55D0"/>
    <w:rsid w:val="009C62A2"/>
    <w:rsid w:val="009C65CC"/>
    <w:rsid w:val="009C6622"/>
    <w:rsid w:val="009C7683"/>
    <w:rsid w:val="009D1225"/>
    <w:rsid w:val="009D209B"/>
    <w:rsid w:val="009D298C"/>
    <w:rsid w:val="009D29DE"/>
    <w:rsid w:val="009D31C7"/>
    <w:rsid w:val="009D4D74"/>
    <w:rsid w:val="009D5A5C"/>
    <w:rsid w:val="009D66AB"/>
    <w:rsid w:val="009D7089"/>
    <w:rsid w:val="009D782A"/>
    <w:rsid w:val="009E41E0"/>
    <w:rsid w:val="009E45F9"/>
    <w:rsid w:val="009E4656"/>
    <w:rsid w:val="009E4932"/>
    <w:rsid w:val="009E4E0C"/>
    <w:rsid w:val="009E5AF6"/>
    <w:rsid w:val="009E5E7C"/>
    <w:rsid w:val="009E77CF"/>
    <w:rsid w:val="009E7A08"/>
    <w:rsid w:val="009F0FCE"/>
    <w:rsid w:val="009F1F83"/>
    <w:rsid w:val="009F1FF7"/>
    <w:rsid w:val="009F39CE"/>
    <w:rsid w:val="009F4F7A"/>
    <w:rsid w:val="009F5668"/>
    <w:rsid w:val="00A01045"/>
    <w:rsid w:val="00A02C1D"/>
    <w:rsid w:val="00A03069"/>
    <w:rsid w:val="00A03568"/>
    <w:rsid w:val="00A03A25"/>
    <w:rsid w:val="00A04B86"/>
    <w:rsid w:val="00A0757F"/>
    <w:rsid w:val="00A110D0"/>
    <w:rsid w:val="00A11403"/>
    <w:rsid w:val="00A11E34"/>
    <w:rsid w:val="00A12888"/>
    <w:rsid w:val="00A12B24"/>
    <w:rsid w:val="00A12EC2"/>
    <w:rsid w:val="00A14A33"/>
    <w:rsid w:val="00A14E0E"/>
    <w:rsid w:val="00A16649"/>
    <w:rsid w:val="00A203A8"/>
    <w:rsid w:val="00A213F1"/>
    <w:rsid w:val="00A21C64"/>
    <w:rsid w:val="00A21E38"/>
    <w:rsid w:val="00A23161"/>
    <w:rsid w:val="00A237A6"/>
    <w:rsid w:val="00A23AA4"/>
    <w:rsid w:val="00A23C3E"/>
    <w:rsid w:val="00A24010"/>
    <w:rsid w:val="00A250D6"/>
    <w:rsid w:val="00A2753E"/>
    <w:rsid w:val="00A279BE"/>
    <w:rsid w:val="00A31531"/>
    <w:rsid w:val="00A32899"/>
    <w:rsid w:val="00A33BC6"/>
    <w:rsid w:val="00A35A2E"/>
    <w:rsid w:val="00A35FA4"/>
    <w:rsid w:val="00A37C9C"/>
    <w:rsid w:val="00A41681"/>
    <w:rsid w:val="00A41D0D"/>
    <w:rsid w:val="00A41F1A"/>
    <w:rsid w:val="00A41FE9"/>
    <w:rsid w:val="00A4543C"/>
    <w:rsid w:val="00A45D64"/>
    <w:rsid w:val="00A5094A"/>
    <w:rsid w:val="00A5493A"/>
    <w:rsid w:val="00A566AA"/>
    <w:rsid w:val="00A57A4A"/>
    <w:rsid w:val="00A60D03"/>
    <w:rsid w:val="00A6220C"/>
    <w:rsid w:val="00A64EFF"/>
    <w:rsid w:val="00A64FF7"/>
    <w:rsid w:val="00A662D2"/>
    <w:rsid w:val="00A703C2"/>
    <w:rsid w:val="00A703F6"/>
    <w:rsid w:val="00A70BA2"/>
    <w:rsid w:val="00A71DDA"/>
    <w:rsid w:val="00A742EA"/>
    <w:rsid w:val="00A74B3A"/>
    <w:rsid w:val="00A74EAA"/>
    <w:rsid w:val="00A85259"/>
    <w:rsid w:val="00A87B1A"/>
    <w:rsid w:val="00A90931"/>
    <w:rsid w:val="00A9155A"/>
    <w:rsid w:val="00A93B50"/>
    <w:rsid w:val="00A9458F"/>
    <w:rsid w:val="00A959FC"/>
    <w:rsid w:val="00A97954"/>
    <w:rsid w:val="00A97D04"/>
    <w:rsid w:val="00AA1051"/>
    <w:rsid w:val="00AA124E"/>
    <w:rsid w:val="00AA2518"/>
    <w:rsid w:val="00AA5063"/>
    <w:rsid w:val="00AA5B48"/>
    <w:rsid w:val="00AA6796"/>
    <w:rsid w:val="00AB0C30"/>
    <w:rsid w:val="00AB1280"/>
    <w:rsid w:val="00AB1351"/>
    <w:rsid w:val="00AB15D1"/>
    <w:rsid w:val="00AB269B"/>
    <w:rsid w:val="00AB4C65"/>
    <w:rsid w:val="00AB54B6"/>
    <w:rsid w:val="00AB55C5"/>
    <w:rsid w:val="00AB7609"/>
    <w:rsid w:val="00AB76D3"/>
    <w:rsid w:val="00AC1391"/>
    <w:rsid w:val="00AC1882"/>
    <w:rsid w:val="00AC2076"/>
    <w:rsid w:val="00AC2902"/>
    <w:rsid w:val="00AC3C15"/>
    <w:rsid w:val="00AC5D34"/>
    <w:rsid w:val="00AC7726"/>
    <w:rsid w:val="00AD2357"/>
    <w:rsid w:val="00AD4085"/>
    <w:rsid w:val="00AD4657"/>
    <w:rsid w:val="00AD5244"/>
    <w:rsid w:val="00AD582C"/>
    <w:rsid w:val="00AD6550"/>
    <w:rsid w:val="00AD66CA"/>
    <w:rsid w:val="00AD6A15"/>
    <w:rsid w:val="00AD7585"/>
    <w:rsid w:val="00AE041B"/>
    <w:rsid w:val="00AE0D13"/>
    <w:rsid w:val="00AE7058"/>
    <w:rsid w:val="00AE71D1"/>
    <w:rsid w:val="00AF088D"/>
    <w:rsid w:val="00AF1AE3"/>
    <w:rsid w:val="00AF21C3"/>
    <w:rsid w:val="00AF26DE"/>
    <w:rsid w:val="00AF29B5"/>
    <w:rsid w:val="00AF2D9F"/>
    <w:rsid w:val="00AF307A"/>
    <w:rsid w:val="00AF395B"/>
    <w:rsid w:val="00AF3EE7"/>
    <w:rsid w:val="00AF4734"/>
    <w:rsid w:val="00AF5349"/>
    <w:rsid w:val="00AF5451"/>
    <w:rsid w:val="00AF7B95"/>
    <w:rsid w:val="00AF7D4A"/>
    <w:rsid w:val="00B01667"/>
    <w:rsid w:val="00B03A88"/>
    <w:rsid w:val="00B03C36"/>
    <w:rsid w:val="00B073F3"/>
    <w:rsid w:val="00B1185B"/>
    <w:rsid w:val="00B12109"/>
    <w:rsid w:val="00B129FA"/>
    <w:rsid w:val="00B13598"/>
    <w:rsid w:val="00B13CDD"/>
    <w:rsid w:val="00B14811"/>
    <w:rsid w:val="00B14BBC"/>
    <w:rsid w:val="00B16BC5"/>
    <w:rsid w:val="00B17294"/>
    <w:rsid w:val="00B17AE0"/>
    <w:rsid w:val="00B17FBA"/>
    <w:rsid w:val="00B223FA"/>
    <w:rsid w:val="00B238BA"/>
    <w:rsid w:val="00B25AA9"/>
    <w:rsid w:val="00B26C13"/>
    <w:rsid w:val="00B275AE"/>
    <w:rsid w:val="00B27821"/>
    <w:rsid w:val="00B30093"/>
    <w:rsid w:val="00B309F9"/>
    <w:rsid w:val="00B31369"/>
    <w:rsid w:val="00B31950"/>
    <w:rsid w:val="00B33608"/>
    <w:rsid w:val="00B34561"/>
    <w:rsid w:val="00B352D5"/>
    <w:rsid w:val="00B3675F"/>
    <w:rsid w:val="00B37A7B"/>
    <w:rsid w:val="00B37E4E"/>
    <w:rsid w:val="00B42D1F"/>
    <w:rsid w:val="00B4395A"/>
    <w:rsid w:val="00B44288"/>
    <w:rsid w:val="00B44B3E"/>
    <w:rsid w:val="00B45BE5"/>
    <w:rsid w:val="00B46277"/>
    <w:rsid w:val="00B46E1C"/>
    <w:rsid w:val="00B4741E"/>
    <w:rsid w:val="00B4782A"/>
    <w:rsid w:val="00B503EB"/>
    <w:rsid w:val="00B529A7"/>
    <w:rsid w:val="00B52E73"/>
    <w:rsid w:val="00B5348E"/>
    <w:rsid w:val="00B5601B"/>
    <w:rsid w:val="00B569F8"/>
    <w:rsid w:val="00B56BD0"/>
    <w:rsid w:val="00B573DD"/>
    <w:rsid w:val="00B60E4E"/>
    <w:rsid w:val="00B61EBC"/>
    <w:rsid w:val="00B6685E"/>
    <w:rsid w:val="00B674F7"/>
    <w:rsid w:val="00B67FEF"/>
    <w:rsid w:val="00B70BE5"/>
    <w:rsid w:val="00B711BE"/>
    <w:rsid w:val="00B717CA"/>
    <w:rsid w:val="00B71CD1"/>
    <w:rsid w:val="00B73536"/>
    <w:rsid w:val="00B7463E"/>
    <w:rsid w:val="00B74FF3"/>
    <w:rsid w:val="00B75948"/>
    <w:rsid w:val="00B76317"/>
    <w:rsid w:val="00B76839"/>
    <w:rsid w:val="00B77874"/>
    <w:rsid w:val="00B77BBB"/>
    <w:rsid w:val="00B8023D"/>
    <w:rsid w:val="00B816B6"/>
    <w:rsid w:val="00B81B84"/>
    <w:rsid w:val="00B84AE1"/>
    <w:rsid w:val="00B86247"/>
    <w:rsid w:val="00B90721"/>
    <w:rsid w:val="00B91253"/>
    <w:rsid w:val="00B92300"/>
    <w:rsid w:val="00B9255F"/>
    <w:rsid w:val="00B92927"/>
    <w:rsid w:val="00B9297E"/>
    <w:rsid w:val="00B92AE2"/>
    <w:rsid w:val="00B931CF"/>
    <w:rsid w:val="00B93AD2"/>
    <w:rsid w:val="00B94348"/>
    <w:rsid w:val="00BA08C6"/>
    <w:rsid w:val="00BA0D25"/>
    <w:rsid w:val="00BA13A1"/>
    <w:rsid w:val="00BA1AD5"/>
    <w:rsid w:val="00BA3115"/>
    <w:rsid w:val="00BA3B89"/>
    <w:rsid w:val="00BA5012"/>
    <w:rsid w:val="00BA64C4"/>
    <w:rsid w:val="00BA6E48"/>
    <w:rsid w:val="00BB2205"/>
    <w:rsid w:val="00BB242E"/>
    <w:rsid w:val="00BB293B"/>
    <w:rsid w:val="00BB2D49"/>
    <w:rsid w:val="00BB4CDB"/>
    <w:rsid w:val="00BB5538"/>
    <w:rsid w:val="00BB6B29"/>
    <w:rsid w:val="00BB7078"/>
    <w:rsid w:val="00BB71B4"/>
    <w:rsid w:val="00BC06EC"/>
    <w:rsid w:val="00BC19B6"/>
    <w:rsid w:val="00BC28F7"/>
    <w:rsid w:val="00BC2CC3"/>
    <w:rsid w:val="00BC4194"/>
    <w:rsid w:val="00BC579A"/>
    <w:rsid w:val="00BC58D3"/>
    <w:rsid w:val="00BC7F5D"/>
    <w:rsid w:val="00BD09D6"/>
    <w:rsid w:val="00BD0A55"/>
    <w:rsid w:val="00BD1467"/>
    <w:rsid w:val="00BD4E30"/>
    <w:rsid w:val="00BD4F4D"/>
    <w:rsid w:val="00BD562F"/>
    <w:rsid w:val="00BD7D6D"/>
    <w:rsid w:val="00BE1263"/>
    <w:rsid w:val="00BE1A94"/>
    <w:rsid w:val="00BE1E54"/>
    <w:rsid w:val="00BE262A"/>
    <w:rsid w:val="00BE47F1"/>
    <w:rsid w:val="00BE5E1C"/>
    <w:rsid w:val="00BE741E"/>
    <w:rsid w:val="00BE786B"/>
    <w:rsid w:val="00BE7FCA"/>
    <w:rsid w:val="00BF0847"/>
    <w:rsid w:val="00BF10F2"/>
    <w:rsid w:val="00BF147D"/>
    <w:rsid w:val="00BF3D70"/>
    <w:rsid w:val="00BF407D"/>
    <w:rsid w:val="00BF5D92"/>
    <w:rsid w:val="00BF6624"/>
    <w:rsid w:val="00BF6CF2"/>
    <w:rsid w:val="00C00B4C"/>
    <w:rsid w:val="00C04953"/>
    <w:rsid w:val="00C04C65"/>
    <w:rsid w:val="00C05463"/>
    <w:rsid w:val="00C05CD3"/>
    <w:rsid w:val="00C10178"/>
    <w:rsid w:val="00C14B77"/>
    <w:rsid w:val="00C14EB3"/>
    <w:rsid w:val="00C157E9"/>
    <w:rsid w:val="00C1589F"/>
    <w:rsid w:val="00C16688"/>
    <w:rsid w:val="00C17271"/>
    <w:rsid w:val="00C1762D"/>
    <w:rsid w:val="00C209F7"/>
    <w:rsid w:val="00C226B0"/>
    <w:rsid w:val="00C22AB3"/>
    <w:rsid w:val="00C318DA"/>
    <w:rsid w:val="00C34589"/>
    <w:rsid w:val="00C35433"/>
    <w:rsid w:val="00C37E40"/>
    <w:rsid w:val="00C409F2"/>
    <w:rsid w:val="00C41687"/>
    <w:rsid w:val="00C4229D"/>
    <w:rsid w:val="00C43A84"/>
    <w:rsid w:val="00C44DA7"/>
    <w:rsid w:val="00C44F55"/>
    <w:rsid w:val="00C4554B"/>
    <w:rsid w:val="00C457BC"/>
    <w:rsid w:val="00C45CE0"/>
    <w:rsid w:val="00C46288"/>
    <w:rsid w:val="00C5012F"/>
    <w:rsid w:val="00C527B6"/>
    <w:rsid w:val="00C53256"/>
    <w:rsid w:val="00C53587"/>
    <w:rsid w:val="00C53BBF"/>
    <w:rsid w:val="00C54463"/>
    <w:rsid w:val="00C578E6"/>
    <w:rsid w:val="00C61759"/>
    <w:rsid w:val="00C61CDB"/>
    <w:rsid w:val="00C61F69"/>
    <w:rsid w:val="00C622A7"/>
    <w:rsid w:val="00C624AF"/>
    <w:rsid w:val="00C62C0D"/>
    <w:rsid w:val="00C632BA"/>
    <w:rsid w:val="00C63B3C"/>
    <w:rsid w:val="00C63F48"/>
    <w:rsid w:val="00C661B5"/>
    <w:rsid w:val="00C66CCB"/>
    <w:rsid w:val="00C7124E"/>
    <w:rsid w:val="00C72680"/>
    <w:rsid w:val="00C7273C"/>
    <w:rsid w:val="00C73D56"/>
    <w:rsid w:val="00C7615B"/>
    <w:rsid w:val="00C82056"/>
    <w:rsid w:val="00C82892"/>
    <w:rsid w:val="00C8320E"/>
    <w:rsid w:val="00C83F36"/>
    <w:rsid w:val="00C844F2"/>
    <w:rsid w:val="00C8482F"/>
    <w:rsid w:val="00C84D64"/>
    <w:rsid w:val="00C85D63"/>
    <w:rsid w:val="00C86741"/>
    <w:rsid w:val="00C903B0"/>
    <w:rsid w:val="00C90E16"/>
    <w:rsid w:val="00C9277D"/>
    <w:rsid w:val="00C93232"/>
    <w:rsid w:val="00C95626"/>
    <w:rsid w:val="00C95D98"/>
    <w:rsid w:val="00C960DC"/>
    <w:rsid w:val="00C96C8C"/>
    <w:rsid w:val="00C96E31"/>
    <w:rsid w:val="00C96E37"/>
    <w:rsid w:val="00CA0955"/>
    <w:rsid w:val="00CA2BEE"/>
    <w:rsid w:val="00CA621E"/>
    <w:rsid w:val="00CA644C"/>
    <w:rsid w:val="00CA64F3"/>
    <w:rsid w:val="00CA76BE"/>
    <w:rsid w:val="00CB0FF4"/>
    <w:rsid w:val="00CB208D"/>
    <w:rsid w:val="00CB3511"/>
    <w:rsid w:val="00CB438C"/>
    <w:rsid w:val="00CB4E6E"/>
    <w:rsid w:val="00CB7193"/>
    <w:rsid w:val="00CC02F1"/>
    <w:rsid w:val="00CC16C4"/>
    <w:rsid w:val="00CC1927"/>
    <w:rsid w:val="00CC3948"/>
    <w:rsid w:val="00CC46E0"/>
    <w:rsid w:val="00CC4A87"/>
    <w:rsid w:val="00CC4F9D"/>
    <w:rsid w:val="00CC5449"/>
    <w:rsid w:val="00CC5A61"/>
    <w:rsid w:val="00CC5C56"/>
    <w:rsid w:val="00CC611E"/>
    <w:rsid w:val="00CD0248"/>
    <w:rsid w:val="00CD038B"/>
    <w:rsid w:val="00CD296B"/>
    <w:rsid w:val="00CD320E"/>
    <w:rsid w:val="00CD3561"/>
    <w:rsid w:val="00CD6085"/>
    <w:rsid w:val="00CE47C0"/>
    <w:rsid w:val="00CE4AC0"/>
    <w:rsid w:val="00CE5219"/>
    <w:rsid w:val="00CE6EDE"/>
    <w:rsid w:val="00CE7DDA"/>
    <w:rsid w:val="00CF02CB"/>
    <w:rsid w:val="00CF0762"/>
    <w:rsid w:val="00CF44F8"/>
    <w:rsid w:val="00CF5397"/>
    <w:rsid w:val="00CF5A81"/>
    <w:rsid w:val="00CF5D4D"/>
    <w:rsid w:val="00CF608F"/>
    <w:rsid w:val="00D038BB"/>
    <w:rsid w:val="00D048F4"/>
    <w:rsid w:val="00D0649C"/>
    <w:rsid w:val="00D10A92"/>
    <w:rsid w:val="00D10B13"/>
    <w:rsid w:val="00D10DB1"/>
    <w:rsid w:val="00D10FB8"/>
    <w:rsid w:val="00D1108D"/>
    <w:rsid w:val="00D125E8"/>
    <w:rsid w:val="00D159C4"/>
    <w:rsid w:val="00D15E91"/>
    <w:rsid w:val="00D16067"/>
    <w:rsid w:val="00D2177B"/>
    <w:rsid w:val="00D22687"/>
    <w:rsid w:val="00D23670"/>
    <w:rsid w:val="00D237DB"/>
    <w:rsid w:val="00D23EC1"/>
    <w:rsid w:val="00D2430D"/>
    <w:rsid w:val="00D24EA6"/>
    <w:rsid w:val="00D252E2"/>
    <w:rsid w:val="00D267EF"/>
    <w:rsid w:val="00D30881"/>
    <w:rsid w:val="00D31782"/>
    <w:rsid w:val="00D34158"/>
    <w:rsid w:val="00D3461B"/>
    <w:rsid w:val="00D352BD"/>
    <w:rsid w:val="00D360C7"/>
    <w:rsid w:val="00D37C6F"/>
    <w:rsid w:val="00D40400"/>
    <w:rsid w:val="00D4075E"/>
    <w:rsid w:val="00D4137B"/>
    <w:rsid w:val="00D42FE0"/>
    <w:rsid w:val="00D44F3C"/>
    <w:rsid w:val="00D464CE"/>
    <w:rsid w:val="00D50E74"/>
    <w:rsid w:val="00D51406"/>
    <w:rsid w:val="00D5143E"/>
    <w:rsid w:val="00D52C75"/>
    <w:rsid w:val="00D535EB"/>
    <w:rsid w:val="00D53D17"/>
    <w:rsid w:val="00D5464D"/>
    <w:rsid w:val="00D54ED6"/>
    <w:rsid w:val="00D554E8"/>
    <w:rsid w:val="00D56947"/>
    <w:rsid w:val="00D600B2"/>
    <w:rsid w:val="00D60D6C"/>
    <w:rsid w:val="00D6102F"/>
    <w:rsid w:val="00D629B5"/>
    <w:rsid w:val="00D64ED3"/>
    <w:rsid w:val="00D65502"/>
    <w:rsid w:val="00D6659F"/>
    <w:rsid w:val="00D67643"/>
    <w:rsid w:val="00D71C40"/>
    <w:rsid w:val="00D72CB8"/>
    <w:rsid w:val="00D72F7D"/>
    <w:rsid w:val="00D7315B"/>
    <w:rsid w:val="00D73A13"/>
    <w:rsid w:val="00D7412E"/>
    <w:rsid w:val="00D7469F"/>
    <w:rsid w:val="00D768C1"/>
    <w:rsid w:val="00D771E7"/>
    <w:rsid w:val="00D82F8E"/>
    <w:rsid w:val="00D84F15"/>
    <w:rsid w:val="00D862CF"/>
    <w:rsid w:val="00D8761E"/>
    <w:rsid w:val="00D9264C"/>
    <w:rsid w:val="00D952C5"/>
    <w:rsid w:val="00D96949"/>
    <w:rsid w:val="00D9780A"/>
    <w:rsid w:val="00DA0203"/>
    <w:rsid w:val="00DA121E"/>
    <w:rsid w:val="00DA183C"/>
    <w:rsid w:val="00DA1F1E"/>
    <w:rsid w:val="00DA37A0"/>
    <w:rsid w:val="00DA3DFE"/>
    <w:rsid w:val="00DA4E4E"/>
    <w:rsid w:val="00DA5A55"/>
    <w:rsid w:val="00DA6B74"/>
    <w:rsid w:val="00DA720C"/>
    <w:rsid w:val="00DB0DE4"/>
    <w:rsid w:val="00DB12BB"/>
    <w:rsid w:val="00DB2C91"/>
    <w:rsid w:val="00DB3E6D"/>
    <w:rsid w:val="00DB4016"/>
    <w:rsid w:val="00DB430C"/>
    <w:rsid w:val="00DB4590"/>
    <w:rsid w:val="00DB6949"/>
    <w:rsid w:val="00DB6F95"/>
    <w:rsid w:val="00DB7081"/>
    <w:rsid w:val="00DB7E7F"/>
    <w:rsid w:val="00DC0469"/>
    <w:rsid w:val="00DC2BEA"/>
    <w:rsid w:val="00DC37E6"/>
    <w:rsid w:val="00DC3953"/>
    <w:rsid w:val="00DC54BF"/>
    <w:rsid w:val="00DC5B31"/>
    <w:rsid w:val="00DC5CEA"/>
    <w:rsid w:val="00DC7182"/>
    <w:rsid w:val="00DD3435"/>
    <w:rsid w:val="00DD44E5"/>
    <w:rsid w:val="00DD5279"/>
    <w:rsid w:val="00DD5315"/>
    <w:rsid w:val="00DE3C5E"/>
    <w:rsid w:val="00DE4FAD"/>
    <w:rsid w:val="00DE6892"/>
    <w:rsid w:val="00DF1C07"/>
    <w:rsid w:val="00DF2142"/>
    <w:rsid w:val="00DF43C3"/>
    <w:rsid w:val="00DF55DF"/>
    <w:rsid w:val="00DF5F32"/>
    <w:rsid w:val="00DF6CC4"/>
    <w:rsid w:val="00DF7289"/>
    <w:rsid w:val="00E00833"/>
    <w:rsid w:val="00E02437"/>
    <w:rsid w:val="00E039DE"/>
    <w:rsid w:val="00E03C7A"/>
    <w:rsid w:val="00E040EE"/>
    <w:rsid w:val="00E06D45"/>
    <w:rsid w:val="00E0743C"/>
    <w:rsid w:val="00E07924"/>
    <w:rsid w:val="00E10B03"/>
    <w:rsid w:val="00E10C63"/>
    <w:rsid w:val="00E12250"/>
    <w:rsid w:val="00E126B9"/>
    <w:rsid w:val="00E1285B"/>
    <w:rsid w:val="00E12FAC"/>
    <w:rsid w:val="00E16901"/>
    <w:rsid w:val="00E16AAA"/>
    <w:rsid w:val="00E21987"/>
    <w:rsid w:val="00E21C6C"/>
    <w:rsid w:val="00E24030"/>
    <w:rsid w:val="00E24A98"/>
    <w:rsid w:val="00E24B9F"/>
    <w:rsid w:val="00E25439"/>
    <w:rsid w:val="00E25677"/>
    <w:rsid w:val="00E27259"/>
    <w:rsid w:val="00E27726"/>
    <w:rsid w:val="00E328A0"/>
    <w:rsid w:val="00E32EAF"/>
    <w:rsid w:val="00E33115"/>
    <w:rsid w:val="00E344FE"/>
    <w:rsid w:val="00E347BE"/>
    <w:rsid w:val="00E34BE6"/>
    <w:rsid w:val="00E37496"/>
    <w:rsid w:val="00E40E09"/>
    <w:rsid w:val="00E423EB"/>
    <w:rsid w:val="00E430BF"/>
    <w:rsid w:val="00E43D65"/>
    <w:rsid w:val="00E44143"/>
    <w:rsid w:val="00E44B02"/>
    <w:rsid w:val="00E44E97"/>
    <w:rsid w:val="00E4563A"/>
    <w:rsid w:val="00E45940"/>
    <w:rsid w:val="00E46208"/>
    <w:rsid w:val="00E46B3C"/>
    <w:rsid w:val="00E47A74"/>
    <w:rsid w:val="00E52319"/>
    <w:rsid w:val="00E529FB"/>
    <w:rsid w:val="00E54F8E"/>
    <w:rsid w:val="00E55797"/>
    <w:rsid w:val="00E62988"/>
    <w:rsid w:val="00E64217"/>
    <w:rsid w:val="00E64437"/>
    <w:rsid w:val="00E64AFC"/>
    <w:rsid w:val="00E6511A"/>
    <w:rsid w:val="00E65E40"/>
    <w:rsid w:val="00E661FF"/>
    <w:rsid w:val="00E66F49"/>
    <w:rsid w:val="00E67F93"/>
    <w:rsid w:val="00E70D7F"/>
    <w:rsid w:val="00E74332"/>
    <w:rsid w:val="00E74996"/>
    <w:rsid w:val="00E75AD6"/>
    <w:rsid w:val="00E75F70"/>
    <w:rsid w:val="00E76E01"/>
    <w:rsid w:val="00E81409"/>
    <w:rsid w:val="00E81745"/>
    <w:rsid w:val="00E82617"/>
    <w:rsid w:val="00E832F7"/>
    <w:rsid w:val="00E83880"/>
    <w:rsid w:val="00E83C74"/>
    <w:rsid w:val="00E83EF8"/>
    <w:rsid w:val="00E87411"/>
    <w:rsid w:val="00E922B3"/>
    <w:rsid w:val="00E923A0"/>
    <w:rsid w:val="00E93E1F"/>
    <w:rsid w:val="00E94840"/>
    <w:rsid w:val="00E954FF"/>
    <w:rsid w:val="00E95C48"/>
    <w:rsid w:val="00E963DD"/>
    <w:rsid w:val="00E96722"/>
    <w:rsid w:val="00EA0BD4"/>
    <w:rsid w:val="00EA1EB1"/>
    <w:rsid w:val="00EA2926"/>
    <w:rsid w:val="00EA3FDB"/>
    <w:rsid w:val="00EA4ABB"/>
    <w:rsid w:val="00EA6764"/>
    <w:rsid w:val="00EA68FD"/>
    <w:rsid w:val="00EA703C"/>
    <w:rsid w:val="00EA7072"/>
    <w:rsid w:val="00EB1610"/>
    <w:rsid w:val="00EB1B7F"/>
    <w:rsid w:val="00EB2190"/>
    <w:rsid w:val="00EB27E3"/>
    <w:rsid w:val="00EB4C8A"/>
    <w:rsid w:val="00EB4D0C"/>
    <w:rsid w:val="00EB4D5C"/>
    <w:rsid w:val="00EB5328"/>
    <w:rsid w:val="00EB5362"/>
    <w:rsid w:val="00EB6EB1"/>
    <w:rsid w:val="00EB7122"/>
    <w:rsid w:val="00EB7E9E"/>
    <w:rsid w:val="00EB7F5F"/>
    <w:rsid w:val="00EC0DCB"/>
    <w:rsid w:val="00EC19CD"/>
    <w:rsid w:val="00EC1D42"/>
    <w:rsid w:val="00EC1DC0"/>
    <w:rsid w:val="00EC48BF"/>
    <w:rsid w:val="00EC4923"/>
    <w:rsid w:val="00EC4FD9"/>
    <w:rsid w:val="00EC5131"/>
    <w:rsid w:val="00ED024C"/>
    <w:rsid w:val="00ED0EE5"/>
    <w:rsid w:val="00ED12FD"/>
    <w:rsid w:val="00ED3EA6"/>
    <w:rsid w:val="00ED475D"/>
    <w:rsid w:val="00ED4EDA"/>
    <w:rsid w:val="00ED6299"/>
    <w:rsid w:val="00ED65BE"/>
    <w:rsid w:val="00ED6979"/>
    <w:rsid w:val="00ED6BAF"/>
    <w:rsid w:val="00EE109B"/>
    <w:rsid w:val="00EE7E47"/>
    <w:rsid w:val="00EE7F5E"/>
    <w:rsid w:val="00EF0909"/>
    <w:rsid w:val="00EF0A07"/>
    <w:rsid w:val="00EF0E5C"/>
    <w:rsid w:val="00EF4A6D"/>
    <w:rsid w:val="00EF4B47"/>
    <w:rsid w:val="00EF711A"/>
    <w:rsid w:val="00F00EB1"/>
    <w:rsid w:val="00F01F45"/>
    <w:rsid w:val="00F024A6"/>
    <w:rsid w:val="00F0293D"/>
    <w:rsid w:val="00F03046"/>
    <w:rsid w:val="00F05063"/>
    <w:rsid w:val="00F05154"/>
    <w:rsid w:val="00F0520F"/>
    <w:rsid w:val="00F0562B"/>
    <w:rsid w:val="00F06A8E"/>
    <w:rsid w:val="00F10801"/>
    <w:rsid w:val="00F11541"/>
    <w:rsid w:val="00F12CFA"/>
    <w:rsid w:val="00F1343B"/>
    <w:rsid w:val="00F1406D"/>
    <w:rsid w:val="00F163A3"/>
    <w:rsid w:val="00F163E7"/>
    <w:rsid w:val="00F17F53"/>
    <w:rsid w:val="00F2026F"/>
    <w:rsid w:val="00F20E9D"/>
    <w:rsid w:val="00F20F86"/>
    <w:rsid w:val="00F20FD2"/>
    <w:rsid w:val="00F2387A"/>
    <w:rsid w:val="00F23D5E"/>
    <w:rsid w:val="00F245B2"/>
    <w:rsid w:val="00F25FA2"/>
    <w:rsid w:val="00F26252"/>
    <w:rsid w:val="00F268BF"/>
    <w:rsid w:val="00F26A51"/>
    <w:rsid w:val="00F27ED8"/>
    <w:rsid w:val="00F3185B"/>
    <w:rsid w:val="00F35989"/>
    <w:rsid w:val="00F403A4"/>
    <w:rsid w:val="00F40D1E"/>
    <w:rsid w:val="00F41EF5"/>
    <w:rsid w:val="00F42390"/>
    <w:rsid w:val="00F4278D"/>
    <w:rsid w:val="00F441F4"/>
    <w:rsid w:val="00F45EAF"/>
    <w:rsid w:val="00F45EF8"/>
    <w:rsid w:val="00F514CF"/>
    <w:rsid w:val="00F51B2C"/>
    <w:rsid w:val="00F51FE5"/>
    <w:rsid w:val="00F522B7"/>
    <w:rsid w:val="00F53341"/>
    <w:rsid w:val="00F53824"/>
    <w:rsid w:val="00F54744"/>
    <w:rsid w:val="00F566D5"/>
    <w:rsid w:val="00F575FE"/>
    <w:rsid w:val="00F579E5"/>
    <w:rsid w:val="00F61C1A"/>
    <w:rsid w:val="00F626FA"/>
    <w:rsid w:val="00F628B5"/>
    <w:rsid w:val="00F6595C"/>
    <w:rsid w:val="00F67001"/>
    <w:rsid w:val="00F671E4"/>
    <w:rsid w:val="00F70880"/>
    <w:rsid w:val="00F713C3"/>
    <w:rsid w:val="00F71777"/>
    <w:rsid w:val="00F71FA1"/>
    <w:rsid w:val="00F76675"/>
    <w:rsid w:val="00F77473"/>
    <w:rsid w:val="00F824FE"/>
    <w:rsid w:val="00F83013"/>
    <w:rsid w:val="00F832F7"/>
    <w:rsid w:val="00F83407"/>
    <w:rsid w:val="00F85106"/>
    <w:rsid w:val="00F8517E"/>
    <w:rsid w:val="00F86AA0"/>
    <w:rsid w:val="00F90F59"/>
    <w:rsid w:val="00F916FB"/>
    <w:rsid w:val="00F92901"/>
    <w:rsid w:val="00F94757"/>
    <w:rsid w:val="00F95256"/>
    <w:rsid w:val="00F95BD9"/>
    <w:rsid w:val="00F974CB"/>
    <w:rsid w:val="00FA072D"/>
    <w:rsid w:val="00FA1179"/>
    <w:rsid w:val="00FA1487"/>
    <w:rsid w:val="00FA154B"/>
    <w:rsid w:val="00FA18F7"/>
    <w:rsid w:val="00FA2058"/>
    <w:rsid w:val="00FA20E3"/>
    <w:rsid w:val="00FA221F"/>
    <w:rsid w:val="00FA398C"/>
    <w:rsid w:val="00FA42CB"/>
    <w:rsid w:val="00FA42F2"/>
    <w:rsid w:val="00FA64BD"/>
    <w:rsid w:val="00FA6D20"/>
    <w:rsid w:val="00FA6D95"/>
    <w:rsid w:val="00FA7861"/>
    <w:rsid w:val="00FA7DEB"/>
    <w:rsid w:val="00FB0ACC"/>
    <w:rsid w:val="00FB258F"/>
    <w:rsid w:val="00FB5ADD"/>
    <w:rsid w:val="00FB5F2F"/>
    <w:rsid w:val="00FB7152"/>
    <w:rsid w:val="00FC0C26"/>
    <w:rsid w:val="00FC491C"/>
    <w:rsid w:val="00FC6049"/>
    <w:rsid w:val="00FD1A36"/>
    <w:rsid w:val="00FD1B68"/>
    <w:rsid w:val="00FD1BB5"/>
    <w:rsid w:val="00FD3721"/>
    <w:rsid w:val="00FD403F"/>
    <w:rsid w:val="00FD49C3"/>
    <w:rsid w:val="00FD63E4"/>
    <w:rsid w:val="00FD7B03"/>
    <w:rsid w:val="00FE0076"/>
    <w:rsid w:val="00FE0C2B"/>
    <w:rsid w:val="00FE10E4"/>
    <w:rsid w:val="00FE2773"/>
    <w:rsid w:val="00FE392D"/>
    <w:rsid w:val="00FE5D3C"/>
    <w:rsid w:val="00FE5E2B"/>
    <w:rsid w:val="00FF0B88"/>
    <w:rsid w:val="00FF0CCA"/>
    <w:rsid w:val="00FF28EB"/>
    <w:rsid w:val="00FF3D61"/>
    <w:rsid w:val="00FF41CB"/>
    <w:rsid w:val="00FF434E"/>
    <w:rsid w:val="00FF5E71"/>
    <w:rsid w:val="02315D47"/>
    <w:rsid w:val="0284408F"/>
    <w:rsid w:val="02FB67C1"/>
    <w:rsid w:val="034D786B"/>
    <w:rsid w:val="044E5208"/>
    <w:rsid w:val="049525BD"/>
    <w:rsid w:val="04DC7F02"/>
    <w:rsid w:val="054760D8"/>
    <w:rsid w:val="0567501A"/>
    <w:rsid w:val="05781ACB"/>
    <w:rsid w:val="05F61DC8"/>
    <w:rsid w:val="0601162E"/>
    <w:rsid w:val="06105E32"/>
    <w:rsid w:val="06123DD0"/>
    <w:rsid w:val="063C05BF"/>
    <w:rsid w:val="07467E01"/>
    <w:rsid w:val="096C5296"/>
    <w:rsid w:val="0C1938F1"/>
    <w:rsid w:val="0D904269"/>
    <w:rsid w:val="0FB00067"/>
    <w:rsid w:val="0FCB77DB"/>
    <w:rsid w:val="0FDE007B"/>
    <w:rsid w:val="1106147C"/>
    <w:rsid w:val="191E6227"/>
    <w:rsid w:val="19EC2101"/>
    <w:rsid w:val="1B3C7B0E"/>
    <w:rsid w:val="1D7B5214"/>
    <w:rsid w:val="1DD813DB"/>
    <w:rsid w:val="20157ACA"/>
    <w:rsid w:val="20CA738D"/>
    <w:rsid w:val="21286E09"/>
    <w:rsid w:val="21913F55"/>
    <w:rsid w:val="21E84FB2"/>
    <w:rsid w:val="24CA19B7"/>
    <w:rsid w:val="25FC2044"/>
    <w:rsid w:val="26D25441"/>
    <w:rsid w:val="27FD51DD"/>
    <w:rsid w:val="28102FC1"/>
    <w:rsid w:val="28327402"/>
    <w:rsid w:val="28D77F4A"/>
    <w:rsid w:val="29264B58"/>
    <w:rsid w:val="294C5FC2"/>
    <w:rsid w:val="2C3A0CE1"/>
    <w:rsid w:val="2CA07380"/>
    <w:rsid w:val="2CFB0BD8"/>
    <w:rsid w:val="2D4C57C7"/>
    <w:rsid w:val="307A6987"/>
    <w:rsid w:val="30F23C09"/>
    <w:rsid w:val="3341378C"/>
    <w:rsid w:val="33DC1707"/>
    <w:rsid w:val="33EB36F8"/>
    <w:rsid w:val="347C2FFF"/>
    <w:rsid w:val="35F20D6E"/>
    <w:rsid w:val="369807DF"/>
    <w:rsid w:val="36983295"/>
    <w:rsid w:val="38346385"/>
    <w:rsid w:val="38593326"/>
    <w:rsid w:val="3895455E"/>
    <w:rsid w:val="3AE21D6C"/>
    <w:rsid w:val="3D155A3A"/>
    <w:rsid w:val="3EC15781"/>
    <w:rsid w:val="3EE53B65"/>
    <w:rsid w:val="422B5D33"/>
    <w:rsid w:val="428C5F04"/>
    <w:rsid w:val="42B66F5F"/>
    <w:rsid w:val="432F1853"/>
    <w:rsid w:val="448E617E"/>
    <w:rsid w:val="47EA5553"/>
    <w:rsid w:val="481B4B2D"/>
    <w:rsid w:val="49E62540"/>
    <w:rsid w:val="49F71BA3"/>
    <w:rsid w:val="4F8634D5"/>
    <w:rsid w:val="51136310"/>
    <w:rsid w:val="51B00003"/>
    <w:rsid w:val="52C13C7D"/>
    <w:rsid w:val="537E1A3B"/>
    <w:rsid w:val="54722FC1"/>
    <w:rsid w:val="555360BA"/>
    <w:rsid w:val="55B1338D"/>
    <w:rsid w:val="563459FC"/>
    <w:rsid w:val="58497F9E"/>
    <w:rsid w:val="59232E69"/>
    <w:rsid w:val="59FD7B5D"/>
    <w:rsid w:val="5A2728A6"/>
    <w:rsid w:val="5A923FAC"/>
    <w:rsid w:val="5AB820EA"/>
    <w:rsid w:val="5B2302B4"/>
    <w:rsid w:val="5CBF10FA"/>
    <w:rsid w:val="5E197566"/>
    <w:rsid w:val="5E3971C4"/>
    <w:rsid w:val="61FB2BE5"/>
    <w:rsid w:val="62327626"/>
    <w:rsid w:val="63396280"/>
    <w:rsid w:val="63640C4D"/>
    <w:rsid w:val="63DF5BB6"/>
    <w:rsid w:val="644C6F2C"/>
    <w:rsid w:val="66A0548C"/>
    <w:rsid w:val="67BF3478"/>
    <w:rsid w:val="67FE4F06"/>
    <w:rsid w:val="68BE3E3A"/>
    <w:rsid w:val="69763ACB"/>
    <w:rsid w:val="6CDE270D"/>
    <w:rsid w:val="6E0B0643"/>
    <w:rsid w:val="71B27028"/>
    <w:rsid w:val="73A8660A"/>
    <w:rsid w:val="73F41B79"/>
    <w:rsid w:val="75527FAB"/>
    <w:rsid w:val="78170512"/>
    <w:rsid w:val="782567A5"/>
    <w:rsid w:val="78A771BA"/>
    <w:rsid w:val="7A7E0C60"/>
    <w:rsid w:val="7C271E4D"/>
    <w:rsid w:val="7C570EF7"/>
    <w:rsid w:val="7C6C2588"/>
    <w:rsid w:val="7CF44998"/>
    <w:rsid w:val="7D011D62"/>
    <w:rsid w:val="7FE10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79"/>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0"/>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paragraph" w:styleId="5">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autoRedefine/>
    <w:qFormat/>
    <w:uiPriority w:val="0"/>
    <w:pPr>
      <w:keepNext/>
      <w:keepLines/>
      <w:spacing w:before="280" w:after="290" w:line="376" w:lineRule="auto"/>
      <w:outlineLvl w:val="4"/>
    </w:pPr>
    <w:rPr>
      <w:b/>
      <w:bCs/>
      <w:sz w:val="28"/>
      <w:szCs w:val="28"/>
    </w:rPr>
  </w:style>
  <w:style w:type="paragraph" w:styleId="7">
    <w:name w:val="heading 6"/>
    <w:basedOn w:val="1"/>
    <w:next w:val="1"/>
    <w:link w:val="166"/>
    <w:autoRedefine/>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autoRedefine/>
    <w:qFormat/>
    <w:uiPriority w:val="0"/>
    <w:pPr>
      <w:keepNext/>
      <w:keepLines/>
      <w:spacing w:before="240" w:after="64" w:line="320" w:lineRule="auto"/>
      <w:outlineLvl w:val="6"/>
    </w:pPr>
    <w:rPr>
      <w:b/>
      <w:bCs/>
      <w:sz w:val="24"/>
    </w:rPr>
  </w:style>
  <w:style w:type="paragraph" w:styleId="9">
    <w:name w:val="heading 8"/>
    <w:basedOn w:val="1"/>
    <w:next w:val="1"/>
    <w:autoRedefine/>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76">
    <w:name w:val="Default Paragraph Font"/>
    <w:autoRedefine/>
    <w:semiHidden/>
    <w:unhideWhenUsed/>
    <w:qFormat/>
    <w:uiPriority w:val="1"/>
  </w:style>
  <w:style w:type="table" w:default="1" w:styleId="74">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szCs w:val="24"/>
    </w:rPr>
  </w:style>
  <w:style w:type="paragraph" w:styleId="12">
    <w:name w:val="toc 7"/>
    <w:basedOn w:val="13"/>
    <w:next w:val="1"/>
    <w:autoRedefine/>
    <w:semiHidden/>
    <w:qFormat/>
    <w:uiPriority w:val="0"/>
    <w:pPr>
      <w:tabs>
        <w:tab w:val="right" w:leader="dot" w:pos="9345"/>
      </w:tabs>
    </w:pPr>
  </w:style>
  <w:style w:type="paragraph" w:styleId="13">
    <w:name w:val="toc 6"/>
    <w:basedOn w:val="14"/>
    <w:next w:val="1"/>
    <w:semiHidden/>
    <w:qFormat/>
    <w:uiPriority w:val="0"/>
    <w:pPr>
      <w:tabs>
        <w:tab w:val="right" w:leader="dot" w:pos="9345"/>
      </w:tabs>
    </w:pPr>
  </w:style>
  <w:style w:type="paragraph" w:styleId="14">
    <w:name w:val="toc 5"/>
    <w:basedOn w:val="15"/>
    <w:next w:val="1"/>
    <w:autoRedefine/>
    <w:semiHidden/>
    <w:qFormat/>
    <w:uiPriority w:val="0"/>
    <w:pPr>
      <w:tabs>
        <w:tab w:val="right" w:leader="dot" w:pos="9345"/>
      </w:tabs>
    </w:pPr>
  </w:style>
  <w:style w:type="paragraph" w:styleId="15">
    <w:name w:val="toc 4"/>
    <w:basedOn w:val="16"/>
    <w:next w:val="1"/>
    <w:semiHidden/>
    <w:qFormat/>
    <w:uiPriority w:val="0"/>
    <w:pPr>
      <w:tabs>
        <w:tab w:val="right" w:leader="dot" w:pos="9345"/>
      </w:tabs>
    </w:pPr>
  </w:style>
  <w:style w:type="paragraph" w:styleId="16">
    <w:name w:val="toc 3"/>
    <w:basedOn w:val="17"/>
    <w:next w:val="1"/>
    <w:autoRedefine/>
    <w:semiHidden/>
    <w:qFormat/>
    <w:uiPriority w:val="0"/>
    <w:pPr>
      <w:tabs>
        <w:tab w:val="right" w:leader="dot" w:pos="9345"/>
      </w:tabs>
    </w:pPr>
  </w:style>
  <w:style w:type="paragraph" w:styleId="17">
    <w:name w:val="toc 2"/>
    <w:basedOn w:val="18"/>
    <w:next w:val="1"/>
    <w:autoRedefine/>
    <w:semiHidden/>
    <w:qFormat/>
    <w:uiPriority w:val="0"/>
    <w:pPr>
      <w:tabs>
        <w:tab w:val="right" w:leader="dot" w:pos="9345"/>
      </w:tabs>
    </w:pPr>
    <w:rPr>
      <w:color w:val="000000"/>
    </w:rPr>
  </w:style>
  <w:style w:type="paragraph" w:styleId="18">
    <w:name w:val="toc 1"/>
    <w:next w:val="1"/>
    <w:autoRedefine/>
    <w:qFormat/>
    <w:uiPriority w:val="39"/>
    <w:pPr>
      <w:tabs>
        <w:tab w:val="right" w:leader="dot" w:pos="9345"/>
      </w:tabs>
      <w:spacing w:line="420" w:lineRule="exact"/>
      <w:jc w:val="both"/>
    </w:pPr>
    <w:rPr>
      <w:rFonts w:ascii="宋体" w:hAnsi="Times New Roman" w:eastAsia="宋体" w:cs="Times New Roman"/>
      <w:sz w:val="21"/>
      <w:lang w:val="en-US" w:eastAsia="zh-CN" w:bidi="ar-SA"/>
    </w:rPr>
  </w:style>
  <w:style w:type="paragraph" w:styleId="19">
    <w:name w:val="List Number 2"/>
    <w:basedOn w:val="1"/>
    <w:qFormat/>
    <w:uiPriority w:val="0"/>
    <w:pPr>
      <w:numPr>
        <w:ilvl w:val="0"/>
        <w:numId w:val="1"/>
      </w:numPr>
      <w:tabs>
        <w:tab w:val="left" w:pos="780"/>
        <w:tab w:val="clear" w:pos="360"/>
      </w:tabs>
      <w:ind w:left="780" w:leftChars="200"/>
    </w:pPr>
    <w:rPr>
      <w:szCs w:val="24"/>
    </w:rPr>
  </w:style>
  <w:style w:type="paragraph" w:styleId="20">
    <w:name w:val="Note Heading"/>
    <w:basedOn w:val="1"/>
    <w:next w:val="1"/>
    <w:autoRedefine/>
    <w:qFormat/>
    <w:uiPriority w:val="0"/>
    <w:pPr>
      <w:jc w:val="center"/>
    </w:pPr>
    <w:rPr>
      <w:szCs w:val="24"/>
    </w:rPr>
  </w:style>
  <w:style w:type="paragraph" w:styleId="21">
    <w:name w:val="List Bullet 4"/>
    <w:basedOn w:val="1"/>
    <w:autoRedefine/>
    <w:qFormat/>
    <w:uiPriority w:val="0"/>
    <w:pPr>
      <w:numPr>
        <w:ilvl w:val="0"/>
        <w:numId w:val="2"/>
      </w:numPr>
      <w:tabs>
        <w:tab w:val="left" w:pos="1620"/>
        <w:tab w:val="clear" w:pos="1200"/>
      </w:tabs>
      <w:ind w:left="1620" w:leftChars="600"/>
    </w:pPr>
    <w:rPr>
      <w:szCs w:val="24"/>
    </w:rPr>
  </w:style>
  <w:style w:type="paragraph" w:styleId="22">
    <w:name w:val="E-mail Signature"/>
    <w:basedOn w:val="1"/>
    <w:autoRedefine/>
    <w:qFormat/>
    <w:uiPriority w:val="0"/>
    <w:rPr>
      <w:szCs w:val="24"/>
    </w:rPr>
  </w:style>
  <w:style w:type="paragraph" w:styleId="23">
    <w:name w:val="List Number"/>
    <w:basedOn w:val="1"/>
    <w:autoRedefine/>
    <w:qFormat/>
    <w:uiPriority w:val="0"/>
    <w:rPr>
      <w:szCs w:val="24"/>
    </w:rPr>
  </w:style>
  <w:style w:type="paragraph" w:styleId="24">
    <w:name w:val="Normal Indent"/>
    <w:basedOn w:val="1"/>
    <w:autoRedefine/>
    <w:qFormat/>
    <w:uiPriority w:val="0"/>
    <w:pPr>
      <w:ind w:firstLine="420" w:firstLineChars="200"/>
    </w:pPr>
    <w:rPr>
      <w:szCs w:val="24"/>
    </w:rPr>
  </w:style>
  <w:style w:type="paragraph" w:styleId="25">
    <w:name w:val="List Bullet"/>
    <w:basedOn w:val="1"/>
    <w:autoRedefine/>
    <w:qFormat/>
    <w:uiPriority w:val="0"/>
    <w:pPr>
      <w:numPr>
        <w:ilvl w:val="0"/>
        <w:numId w:val="3"/>
      </w:numPr>
    </w:pPr>
    <w:rPr>
      <w:szCs w:val="24"/>
    </w:rPr>
  </w:style>
  <w:style w:type="paragraph" w:styleId="26">
    <w:name w:val="envelope address"/>
    <w:basedOn w:val="1"/>
    <w:autoRedefine/>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27">
    <w:name w:val="Document Map"/>
    <w:basedOn w:val="1"/>
    <w:autoRedefine/>
    <w:semiHidden/>
    <w:qFormat/>
    <w:uiPriority w:val="0"/>
    <w:pPr>
      <w:shd w:val="clear" w:color="auto" w:fill="000080"/>
    </w:pPr>
  </w:style>
  <w:style w:type="paragraph" w:styleId="28">
    <w:name w:val="annotation text"/>
    <w:basedOn w:val="1"/>
    <w:autoRedefine/>
    <w:semiHidden/>
    <w:qFormat/>
    <w:uiPriority w:val="0"/>
    <w:pPr>
      <w:jc w:val="left"/>
    </w:pPr>
    <w:rPr>
      <w:szCs w:val="24"/>
    </w:rPr>
  </w:style>
  <w:style w:type="paragraph" w:styleId="29">
    <w:name w:val="Salutation"/>
    <w:basedOn w:val="1"/>
    <w:next w:val="1"/>
    <w:autoRedefine/>
    <w:qFormat/>
    <w:uiPriority w:val="0"/>
    <w:rPr>
      <w:szCs w:val="24"/>
    </w:rPr>
  </w:style>
  <w:style w:type="paragraph" w:styleId="30">
    <w:name w:val="Body Text 3"/>
    <w:basedOn w:val="1"/>
    <w:autoRedefine/>
    <w:qFormat/>
    <w:uiPriority w:val="0"/>
    <w:pPr>
      <w:spacing w:after="120"/>
    </w:pPr>
    <w:rPr>
      <w:sz w:val="16"/>
      <w:szCs w:val="16"/>
    </w:rPr>
  </w:style>
  <w:style w:type="paragraph" w:styleId="31">
    <w:name w:val="Closing"/>
    <w:basedOn w:val="1"/>
    <w:autoRedefine/>
    <w:qFormat/>
    <w:uiPriority w:val="0"/>
    <w:pPr>
      <w:ind w:left="100" w:leftChars="2100"/>
    </w:pPr>
    <w:rPr>
      <w:szCs w:val="24"/>
    </w:rPr>
  </w:style>
  <w:style w:type="paragraph" w:styleId="32">
    <w:name w:val="List Bullet 3"/>
    <w:basedOn w:val="1"/>
    <w:autoRedefine/>
    <w:qFormat/>
    <w:uiPriority w:val="0"/>
    <w:pPr>
      <w:numPr>
        <w:ilvl w:val="0"/>
        <w:numId w:val="4"/>
      </w:numPr>
      <w:tabs>
        <w:tab w:val="left" w:pos="1200"/>
        <w:tab w:val="clear" w:pos="780"/>
      </w:tabs>
      <w:ind w:left="1200" w:leftChars="400"/>
    </w:pPr>
    <w:rPr>
      <w:szCs w:val="24"/>
    </w:rPr>
  </w:style>
  <w:style w:type="paragraph" w:styleId="33">
    <w:name w:val="Body Text"/>
    <w:basedOn w:val="1"/>
    <w:autoRedefine/>
    <w:qFormat/>
    <w:uiPriority w:val="0"/>
    <w:pPr>
      <w:wordWrap w:val="0"/>
      <w:spacing w:line="480" w:lineRule="exact"/>
      <w:jc w:val="right"/>
    </w:pPr>
    <w:rPr>
      <w:color w:val="000000"/>
      <w:position w:val="-10"/>
      <w:sz w:val="18"/>
    </w:rPr>
  </w:style>
  <w:style w:type="paragraph" w:styleId="34">
    <w:name w:val="Body Text Indent"/>
    <w:basedOn w:val="1"/>
    <w:autoRedefine/>
    <w:qFormat/>
    <w:uiPriority w:val="0"/>
    <w:pPr>
      <w:spacing w:after="120"/>
      <w:ind w:left="420" w:leftChars="200"/>
    </w:pPr>
  </w:style>
  <w:style w:type="paragraph" w:styleId="35">
    <w:name w:val="List Number 3"/>
    <w:basedOn w:val="1"/>
    <w:autoRedefine/>
    <w:qFormat/>
    <w:uiPriority w:val="0"/>
    <w:pPr>
      <w:numPr>
        <w:ilvl w:val="0"/>
        <w:numId w:val="5"/>
      </w:numPr>
      <w:tabs>
        <w:tab w:val="left" w:pos="1200"/>
        <w:tab w:val="clear" w:pos="780"/>
      </w:tabs>
      <w:ind w:left="1200" w:leftChars="400"/>
    </w:pPr>
    <w:rPr>
      <w:szCs w:val="24"/>
    </w:rPr>
  </w:style>
  <w:style w:type="paragraph" w:styleId="36">
    <w:name w:val="List 2"/>
    <w:basedOn w:val="1"/>
    <w:autoRedefine/>
    <w:qFormat/>
    <w:uiPriority w:val="0"/>
    <w:pPr>
      <w:ind w:left="100" w:leftChars="200" w:hanging="200" w:hangingChars="200"/>
    </w:pPr>
    <w:rPr>
      <w:szCs w:val="24"/>
    </w:rPr>
  </w:style>
  <w:style w:type="paragraph" w:styleId="37">
    <w:name w:val="List Continue"/>
    <w:basedOn w:val="1"/>
    <w:autoRedefine/>
    <w:qFormat/>
    <w:uiPriority w:val="0"/>
    <w:pPr>
      <w:numPr>
        <w:ilvl w:val="0"/>
        <w:numId w:val="6"/>
      </w:numPr>
      <w:tabs>
        <w:tab w:val="clear" w:pos="2040"/>
      </w:tabs>
      <w:spacing w:after="120"/>
      <w:ind w:left="420" w:leftChars="200" w:firstLine="0" w:firstLineChars="0"/>
    </w:pPr>
    <w:rPr>
      <w:szCs w:val="24"/>
    </w:rPr>
  </w:style>
  <w:style w:type="paragraph" w:styleId="38">
    <w:name w:val="Block Text"/>
    <w:basedOn w:val="1"/>
    <w:autoRedefine/>
    <w:qFormat/>
    <w:uiPriority w:val="0"/>
    <w:pPr>
      <w:spacing w:after="120"/>
      <w:ind w:left="1440" w:leftChars="700" w:right="1440" w:rightChars="700"/>
    </w:pPr>
    <w:rPr>
      <w:szCs w:val="24"/>
    </w:rPr>
  </w:style>
  <w:style w:type="paragraph" w:styleId="39">
    <w:name w:val="List Bullet 2"/>
    <w:basedOn w:val="1"/>
    <w:autoRedefine/>
    <w:qFormat/>
    <w:uiPriority w:val="0"/>
    <w:pPr>
      <w:numPr>
        <w:ilvl w:val="0"/>
        <w:numId w:val="7"/>
      </w:numPr>
      <w:tabs>
        <w:tab w:val="left" w:pos="780"/>
        <w:tab w:val="clear" w:pos="360"/>
      </w:tabs>
      <w:ind w:left="780" w:leftChars="200"/>
    </w:pPr>
    <w:rPr>
      <w:szCs w:val="24"/>
    </w:rPr>
  </w:style>
  <w:style w:type="paragraph" w:styleId="40">
    <w:name w:val="HTML Address"/>
    <w:basedOn w:val="1"/>
    <w:autoRedefine/>
    <w:qFormat/>
    <w:uiPriority w:val="0"/>
    <w:rPr>
      <w:i/>
      <w:iCs/>
    </w:rPr>
  </w:style>
  <w:style w:type="paragraph" w:styleId="41">
    <w:name w:val="Plain Text"/>
    <w:basedOn w:val="1"/>
    <w:autoRedefine/>
    <w:qFormat/>
    <w:uiPriority w:val="0"/>
    <w:rPr>
      <w:rFonts w:ascii="宋体" w:hAnsi="Courier New" w:cs="Courier New"/>
      <w:szCs w:val="21"/>
    </w:rPr>
  </w:style>
  <w:style w:type="paragraph" w:styleId="42">
    <w:name w:val="List Bullet 5"/>
    <w:basedOn w:val="1"/>
    <w:autoRedefine/>
    <w:qFormat/>
    <w:uiPriority w:val="0"/>
    <w:pPr>
      <w:numPr>
        <w:ilvl w:val="0"/>
        <w:numId w:val="8"/>
      </w:numPr>
      <w:tabs>
        <w:tab w:val="left" w:pos="2040"/>
        <w:tab w:val="clear" w:pos="1620"/>
      </w:tabs>
      <w:ind w:left="2040" w:leftChars="800"/>
    </w:pPr>
    <w:rPr>
      <w:szCs w:val="24"/>
    </w:rPr>
  </w:style>
  <w:style w:type="paragraph" w:styleId="43">
    <w:name w:val="List Number 4"/>
    <w:basedOn w:val="1"/>
    <w:autoRedefine/>
    <w:qFormat/>
    <w:uiPriority w:val="0"/>
    <w:pPr>
      <w:numPr>
        <w:ilvl w:val="0"/>
        <w:numId w:val="9"/>
      </w:numPr>
      <w:tabs>
        <w:tab w:val="left" w:pos="1620"/>
        <w:tab w:val="clear" w:pos="1200"/>
      </w:tabs>
      <w:ind w:left="1620" w:leftChars="600"/>
    </w:pPr>
    <w:rPr>
      <w:szCs w:val="24"/>
    </w:rPr>
  </w:style>
  <w:style w:type="paragraph" w:styleId="44">
    <w:name w:val="toc 8"/>
    <w:basedOn w:val="12"/>
    <w:next w:val="1"/>
    <w:autoRedefine/>
    <w:semiHidden/>
    <w:qFormat/>
    <w:uiPriority w:val="0"/>
  </w:style>
  <w:style w:type="paragraph" w:styleId="45">
    <w:name w:val="Date"/>
    <w:basedOn w:val="1"/>
    <w:next w:val="1"/>
    <w:autoRedefine/>
    <w:qFormat/>
    <w:uiPriority w:val="0"/>
    <w:pPr>
      <w:ind w:left="100" w:leftChars="2500"/>
    </w:pPr>
    <w:rPr>
      <w:b/>
      <w:color w:val="0000FF"/>
      <w:szCs w:val="21"/>
    </w:rPr>
  </w:style>
  <w:style w:type="paragraph" w:styleId="46">
    <w:name w:val="Body Text Indent 2"/>
    <w:basedOn w:val="1"/>
    <w:link w:val="142"/>
    <w:autoRedefine/>
    <w:qFormat/>
    <w:uiPriority w:val="0"/>
    <w:pPr>
      <w:spacing w:line="360" w:lineRule="auto"/>
      <w:ind w:firstLine="480"/>
    </w:pPr>
    <w:rPr>
      <w:color w:val="FF0000"/>
      <w:kern w:val="0"/>
      <w:sz w:val="24"/>
    </w:rPr>
  </w:style>
  <w:style w:type="paragraph" w:styleId="47">
    <w:name w:val="List Continue 5"/>
    <w:basedOn w:val="1"/>
    <w:autoRedefine/>
    <w:qFormat/>
    <w:uiPriority w:val="0"/>
    <w:pPr>
      <w:spacing w:after="120"/>
      <w:ind w:left="2100" w:leftChars="1000"/>
    </w:pPr>
    <w:rPr>
      <w:szCs w:val="24"/>
    </w:rPr>
  </w:style>
  <w:style w:type="paragraph" w:styleId="48">
    <w:name w:val="Balloon Text"/>
    <w:basedOn w:val="1"/>
    <w:autoRedefine/>
    <w:semiHidden/>
    <w:qFormat/>
    <w:uiPriority w:val="0"/>
    <w:rPr>
      <w:sz w:val="18"/>
      <w:szCs w:val="18"/>
    </w:rPr>
  </w:style>
  <w:style w:type="paragraph" w:styleId="49">
    <w:name w:val="footer"/>
    <w:basedOn w:val="1"/>
    <w:link w:val="181"/>
    <w:autoRedefine/>
    <w:qFormat/>
    <w:uiPriority w:val="99"/>
    <w:pPr>
      <w:tabs>
        <w:tab w:val="center" w:pos="4153"/>
        <w:tab w:val="right" w:pos="8306"/>
      </w:tabs>
      <w:snapToGrid w:val="0"/>
      <w:ind w:right="210" w:rightChars="100"/>
      <w:jc w:val="right"/>
    </w:pPr>
    <w:rPr>
      <w:sz w:val="18"/>
      <w:szCs w:val="18"/>
    </w:rPr>
  </w:style>
  <w:style w:type="paragraph" w:styleId="50">
    <w:name w:val="envelope return"/>
    <w:basedOn w:val="1"/>
    <w:autoRedefine/>
    <w:qFormat/>
    <w:uiPriority w:val="0"/>
    <w:pPr>
      <w:snapToGrid w:val="0"/>
    </w:pPr>
    <w:rPr>
      <w:rFonts w:ascii="Arial" w:hAnsi="Arial" w:cs="Arial"/>
      <w:szCs w:val="24"/>
    </w:rPr>
  </w:style>
  <w:style w:type="paragraph" w:styleId="5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2">
    <w:name w:val="Signature"/>
    <w:basedOn w:val="1"/>
    <w:autoRedefine/>
    <w:qFormat/>
    <w:uiPriority w:val="0"/>
    <w:pPr>
      <w:ind w:left="100" w:leftChars="2100"/>
    </w:pPr>
    <w:rPr>
      <w:szCs w:val="24"/>
    </w:rPr>
  </w:style>
  <w:style w:type="paragraph" w:styleId="53">
    <w:name w:val="List Continue 4"/>
    <w:basedOn w:val="1"/>
    <w:autoRedefine/>
    <w:qFormat/>
    <w:uiPriority w:val="0"/>
    <w:pPr>
      <w:spacing w:after="120"/>
      <w:ind w:left="1680" w:leftChars="800"/>
    </w:pPr>
    <w:rPr>
      <w:szCs w:val="24"/>
    </w:rPr>
  </w:style>
  <w:style w:type="paragraph" w:styleId="54">
    <w:name w:val="Subtitle"/>
    <w:basedOn w:val="1"/>
    <w:autoRedefine/>
    <w:qFormat/>
    <w:uiPriority w:val="0"/>
    <w:pPr>
      <w:spacing w:before="240" w:after="60" w:line="312" w:lineRule="auto"/>
      <w:jc w:val="center"/>
      <w:outlineLvl w:val="1"/>
    </w:pPr>
    <w:rPr>
      <w:rFonts w:ascii="Arial" w:hAnsi="Arial" w:cs="Arial"/>
      <w:b/>
      <w:bCs/>
      <w:kern w:val="28"/>
      <w:sz w:val="32"/>
      <w:szCs w:val="32"/>
    </w:rPr>
  </w:style>
  <w:style w:type="paragraph" w:styleId="55">
    <w:name w:val="List Number 5"/>
    <w:basedOn w:val="1"/>
    <w:autoRedefine/>
    <w:qFormat/>
    <w:uiPriority w:val="0"/>
    <w:pPr>
      <w:numPr>
        <w:ilvl w:val="0"/>
        <w:numId w:val="10"/>
      </w:numPr>
      <w:tabs>
        <w:tab w:val="left" w:pos="2040"/>
        <w:tab w:val="clear" w:pos="1620"/>
      </w:tabs>
      <w:ind w:left="2040" w:leftChars="800"/>
    </w:pPr>
    <w:rPr>
      <w:szCs w:val="24"/>
    </w:rPr>
  </w:style>
  <w:style w:type="paragraph" w:styleId="56">
    <w:name w:val="List"/>
    <w:basedOn w:val="1"/>
    <w:autoRedefine/>
    <w:qFormat/>
    <w:uiPriority w:val="0"/>
    <w:pPr>
      <w:ind w:left="200" w:hanging="200" w:hangingChars="200"/>
    </w:pPr>
    <w:rPr>
      <w:szCs w:val="24"/>
    </w:rPr>
  </w:style>
  <w:style w:type="paragraph" w:styleId="57">
    <w:name w:val="footnote text"/>
    <w:basedOn w:val="1"/>
    <w:autoRedefine/>
    <w:semiHidden/>
    <w:qFormat/>
    <w:uiPriority w:val="0"/>
    <w:pPr>
      <w:snapToGrid w:val="0"/>
      <w:jc w:val="left"/>
    </w:pPr>
    <w:rPr>
      <w:sz w:val="18"/>
      <w:szCs w:val="18"/>
    </w:rPr>
  </w:style>
  <w:style w:type="paragraph" w:styleId="58">
    <w:name w:val="List 5"/>
    <w:basedOn w:val="1"/>
    <w:autoRedefine/>
    <w:qFormat/>
    <w:uiPriority w:val="0"/>
    <w:pPr>
      <w:ind w:left="100" w:leftChars="800" w:hanging="200" w:hangingChars="200"/>
    </w:pPr>
    <w:rPr>
      <w:szCs w:val="24"/>
    </w:rPr>
  </w:style>
  <w:style w:type="paragraph" w:styleId="59">
    <w:name w:val="Body Text Indent 3"/>
    <w:basedOn w:val="1"/>
    <w:autoRedefine/>
    <w:qFormat/>
    <w:uiPriority w:val="0"/>
    <w:pPr>
      <w:spacing w:line="360" w:lineRule="auto"/>
    </w:pPr>
    <w:rPr>
      <w:rFonts w:ascii="宋体" w:hAnsi="宋体"/>
      <w:szCs w:val="24"/>
    </w:rPr>
  </w:style>
  <w:style w:type="paragraph" w:styleId="60">
    <w:name w:val="toc 9"/>
    <w:basedOn w:val="44"/>
    <w:next w:val="1"/>
    <w:autoRedefine/>
    <w:semiHidden/>
    <w:qFormat/>
    <w:uiPriority w:val="0"/>
  </w:style>
  <w:style w:type="paragraph" w:styleId="61">
    <w:name w:val="Body Text 2"/>
    <w:basedOn w:val="1"/>
    <w:autoRedefine/>
    <w:qFormat/>
    <w:uiPriority w:val="0"/>
    <w:pPr>
      <w:spacing w:after="120" w:line="480" w:lineRule="auto"/>
    </w:pPr>
    <w:rPr>
      <w:szCs w:val="24"/>
    </w:rPr>
  </w:style>
  <w:style w:type="paragraph" w:styleId="62">
    <w:name w:val="List 4"/>
    <w:basedOn w:val="1"/>
    <w:autoRedefine/>
    <w:qFormat/>
    <w:uiPriority w:val="0"/>
    <w:pPr>
      <w:ind w:left="100" w:leftChars="600" w:hanging="200" w:hangingChars="200"/>
    </w:pPr>
    <w:rPr>
      <w:szCs w:val="24"/>
    </w:rPr>
  </w:style>
  <w:style w:type="paragraph" w:styleId="63">
    <w:name w:val="List Continue 2"/>
    <w:basedOn w:val="1"/>
    <w:autoRedefine/>
    <w:qFormat/>
    <w:uiPriority w:val="0"/>
    <w:pPr>
      <w:spacing w:after="120"/>
      <w:ind w:left="840" w:leftChars="400"/>
    </w:pPr>
    <w:rPr>
      <w:szCs w:val="24"/>
    </w:rPr>
  </w:style>
  <w:style w:type="paragraph" w:styleId="64">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65">
    <w:name w:val="HTML Preformatted"/>
    <w:basedOn w:val="1"/>
    <w:autoRedefine/>
    <w:qFormat/>
    <w:uiPriority w:val="0"/>
    <w:rPr>
      <w:rFonts w:ascii="Courier New" w:hAnsi="Courier New" w:cs="Courier New"/>
      <w:sz w:val="20"/>
    </w:rPr>
  </w:style>
  <w:style w:type="paragraph" w:styleId="66">
    <w:name w:val="Normal (Web)"/>
    <w:basedOn w:val="1"/>
    <w:autoRedefine/>
    <w:qFormat/>
    <w:uiPriority w:val="0"/>
    <w:pPr>
      <w:numPr>
        <w:ilvl w:val="0"/>
        <w:numId w:val="11"/>
      </w:numPr>
      <w:tabs>
        <w:tab w:val="clear" w:pos="2040"/>
      </w:tabs>
      <w:ind w:left="0" w:leftChars="0" w:firstLine="0" w:firstLineChars="0"/>
    </w:pPr>
    <w:rPr>
      <w:sz w:val="24"/>
      <w:szCs w:val="24"/>
    </w:rPr>
  </w:style>
  <w:style w:type="paragraph" w:styleId="67">
    <w:name w:val="List Continue 3"/>
    <w:basedOn w:val="1"/>
    <w:autoRedefine/>
    <w:qFormat/>
    <w:uiPriority w:val="0"/>
    <w:pPr>
      <w:spacing w:after="120"/>
      <w:ind w:left="1260" w:leftChars="600"/>
    </w:pPr>
    <w:rPr>
      <w:szCs w:val="24"/>
    </w:rPr>
  </w:style>
  <w:style w:type="paragraph" w:styleId="68">
    <w:name w:val="index 1"/>
    <w:basedOn w:val="1"/>
    <w:next w:val="1"/>
    <w:autoRedefine/>
    <w:semiHidden/>
    <w:qFormat/>
    <w:uiPriority w:val="0"/>
    <w:rPr>
      <w:szCs w:val="24"/>
    </w:rPr>
  </w:style>
  <w:style w:type="paragraph" w:styleId="69">
    <w:name w:val="index 2"/>
    <w:basedOn w:val="1"/>
    <w:next w:val="1"/>
    <w:autoRedefine/>
    <w:semiHidden/>
    <w:qFormat/>
    <w:uiPriority w:val="0"/>
    <w:pPr>
      <w:ind w:left="200" w:leftChars="200"/>
    </w:pPr>
    <w:rPr>
      <w:szCs w:val="24"/>
    </w:rPr>
  </w:style>
  <w:style w:type="paragraph" w:styleId="70">
    <w:name w:val="Title"/>
    <w:basedOn w:val="1"/>
    <w:autoRedefine/>
    <w:qFormat/>
    <w:uiPriority w:val="0"/>
    <w:pPr>
      <w:spacing w:before="240" w:after="60"/>
      <w:jc w:val="center"/>
      <w:outlineLvl w:val="0"/>
    </w:pPr>
    <w:rPr>
      <w:rFonts w:ascii="Arial" w:hAnsi="Arial" w:cs="Arial"/>
      <w:b/>
      <w:bCs/>
      <w:sz w:val="32"/>
      <w:szCs w:val="32"/>
    </w:rPr>
  </w:style>
  <w:style w:type="paragraph" w:styleId="71">
    <w:name w:val="annotation subject"/>
    <w:basedOn w:val="28"/>
    <w:next w:val="28"/>
    <w:autoRedefine/>
    <w:semiHidden/>
    <w:qFormat/>
    <w:uiPriority w:val="0"/>
    <w:rPr>
      <w:b/>
      <w:bCs/>
    </w:rPr>
  </w:style>
  <w:style w:type="paragraph" w:styleId="72">
    <w:name w:val="Body Text First Indent"/>
    <w:basedOn w:val="33"/>
    <w:autoRedefine/>
    <w:qFormat/>
    <w:uiPriority w:val="0"/>
    <w:pPr>
      <w:wordWrap/>
      <w:spacing w:after="120" w:line="240" w:lineRule="auto"/>
      <w:ind w:firstLine="420" w:firstLineChars="100"/>
      <w:jc w:val="both"/>
    </w:pPr>
    <w:rPr>
      <w:color w:val="auto"/>
      <w:position w:val="0"/>
      <w:sz w:val="21"/>
      <w:szCs w:val="24"/>
    </w:rPr>
  </w:style>
  <w:style w:type="paragraph" w:styleId="73">
    <w:name w:val="Body Text First Indent 2"/>
    <w:basedOn w:val="34"/>
    <w:autoRedefine/>
    <w:qFormat/>
    <w:uiPriority w:val="0"/>
    <w:pPr>
      <w:ind w:firstLine="420" w:firstLineChars="200"/>
    </w:pPr>
    <w:rPr>
      <w:szCs w:val="24"/>
    </w:rPr>
  </w:style>
  <w:style w:type="table" w:styleId="75">
    <w:name w:val="Table Grid"/>
    <w:basedOn w:val="7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7">
    <w:name w:val="Strong"/>
    <w:autoRedefine/>
    <w:qFormat/>
    <w:uiPriority w:val="0"/>
    <w:rPr>
      <w:rFonts w:ascii="仿宋_GB2312" w:eastAsia="仿宋_GB2312"/>
      <w:b/>
      <w:bCs/>
      <w:sz w:val="28"/>
      <w:szCs w:val="28"/>
      <w:lang w:val="en-US" w:eastAsia="zh-CN" w:bidi="ar-SA"/>
    </w:rPr>
  </w:style>
  <w:style w:type="character" w:styleId="78">
    <w:name w:val="page number"/>
    <w:autoRedefine/>
    <w:qFormat/>
    <w:uiPriority w:val="0"/>
    <w:rPr>
      <w:rFonts w:ascii="Times New Roman" w:hAnsi="Times New Roman" w:eastAsia="宋体"/>
      <w:sz w:val="18"/>
    </w:rPr>
  </w:style>
  <w:style w:type="character" w:styleId="79">
    <w:name w:val="HTML Definition"/>
    <w:autoRedefine/>
    <w:qFormat/>
    <w:uiPriority w:val="0"/>
    <w:rPr>
      <w:i/>
      <w:iCs/>
    </w:rPr>
  </w:style>
  <w:style w:type="character" w:styleId="80">
    <w:name w:val="HTML Typewriter"/>
    <w:autoRedefine/>
    <w:qFormat/>
    <w:uiPriority w:val="0"/>
    <w:rPr>
      <w:rFonts w:ascii="Courier New" w:hAnsi="Courier New"/>
      <w:sz w:val="20"/>
      <w:szCs w:val="20"/>
    </w:rPr>
  </w:style>
  <w:style w:type="character" w:styleId="81">
    <w:name w:val="HTML Acronym"/>
    <w:basedOn w:val="76"/>
    <w:autoRedefine/>
    <w:qFormat/>
    <w:uiPriority w:val="0"/>
  </w:style>
  <w:style w:type="character" w:styleId="82">
    <w:name w:val="HTML Variable"/>
    <w:autoRedefine/>
    <w:qFormat/>
    <w:uiPriority w:val="0"/>
    <w:rPr>
      <w:i/>
      <w:iCs/>
    </w:rPr>
  </w:style>
  <w:style w:type="character" w:styleId="83">
    <w:name w:val="Hyperlink"/>
    <w:autoRedefine/>
    <w:qFormat/>
    <w:uiPriority w:val="99"/>
    <w:rPr>
      <w:rFonts w:ascii="Times New Roman" w:hAnsi="Times New Roman" w:eastAsia="宋体"/>
      <w:color w:val="auto"/>
      <w:spacing w:val="0"/>
      <w:w w:val="100"/>
      <w:position w:val="0"/>
      <w:sz w:val="21"/>
      <w:u w:val="none"/>
      <w:vertAlign w:val="baseline"/>
    </w:rPr>
  </w:style>
  <w:style w:type="character" w:styleId="84">
    <w:name w:val="HTML Code"/>
    <w:autoRedefine/>
    <w:qFormat/>
    <w:uiPriority w:val="0"/>
    <w:rPr>
      <w:rFonts w:ascii="Courier New" w:hAnsi="Courier New"/>
      <w:sz w:val="20"/>
      <w:szCs w:val="20"/>
    </w:rPr>
  </w:style>
  <w:style w:type="character" w:styleId="85">
    <w:name w:val="annotation reference"/>
    <w:basedOn w:val="76"/>
    <w:autoRedefine/>
    <w:qFormat/>
    <w:uiPriority w:val="0"/>
    <w:rPr>
      <w:sz w:val="21"/>
      <w:szCs w:val="21"/>
    </w:rPr>
  </w:style>
  <w:style w:type="character" w:styleId="86">
    <w:name w:val="HTML Cite"/>
    <w:autoRedefine/>
    <w:qFormat/>
    <w:uiPriority w:val="0"/>
    <w:rPr>
      <w:i/>
      <w:iCs/>
    </w:rPr>
  </w:style>
  <w:style w:type="character" w:styleId="87">
    <w:name w:val="footnote reference"/>
    <w:autoRedefine/>
    <w:semiHidden/>
    <w:qFormat/>
    <w:uiPriority w:val="0"/>
    <w:rPr>
      <w:vertAlign w:val="superscript"/>
    </w:rPr>
  </w:style>
  <w:style w:type="character" w:styleId="88">
    <w:name w:val="HTML Keyboard"/>
    <w:autoRedefine/>
    <w:qFormat/>
    <w:uiPriority w:val="0"/>
    <w:rPr>
      <w:rFonts w:ascii="Courier New" w:hAnsi="Courier New"/>
      <w:sz w:val="20"/>
      <w:szCs w:val="20"/>
    </w:rPr>
  </w:style>
  <w:style w:type="character" w:styleId="89">
    <w:name w:val="HTML Sample"/>
    <w:autoRedefine/>
    <w:qFormat/>
    <w:uiPriority w:val="0"/>
    <w:rPr>
      <w:rFonts w:ascii="Courier New" w:hAnsi="Courier New"/>
    </w:rPr>
  </w:style>
  <w:style w:type="character" w:customStyle="1" w:styleId="90">
    <w:name w:val="标题 2 字符"/>
    <w:link w:val="3"/>
    <w:autoRedefine/>
    <w:qFormat/>
    <w:uiPriority w:val="0"/>
    <w:rPr>
      <w:rFonts w:ascii="Arial" w:hAnsi="Arial" w:eastAsia="黑体"/>
      <w:b/>
      <w:bCs/>
      <w:kern w:val="2"/>
      <w:sz w:val="32"/>
      <w:szCs w:val="32"/>
      <w:lang w:val="en-US" w:eastAsia="zh-CN" w:bidi="ar-SA"/>
    </w:rPr>
  </w:style>
  <w:style w:type="paragraph" w:customStyle="1" w:styleId="91">
    <w:name w:val="Char Char Char1 Char"/>
    <w:basedOn w:val="1"/>
    <w:autoRedefine/>
    <w:qFormat/>
    <w:uiPriority w:val="0"/>
    <w:pPr>
      <w:spacing w:line="360" w:lineRule="auto"/>
    </w:pPr>
    <w:rPr>
      <w:rFonts w:ascii="Tahoma" w:hAnsi="Tahoma"/>
      <w:sz w:val="24"/>
    </w:rPr>
  </w:style>
  <w:style w:type="paragraph" w:customStyle="1" w:styleId="92">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93">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4">
    <w:name w:val="标准书脚_偶数页"/>
    <w:autoRedefine/>
    <w:qFormat/>
    <w:uiPriority w:val="0"/>
    <w:pPr>
      <w:spacing w:before="120"/>
    </w:pPr>
    <w:rPr>
      <w:rFonts w:ascii="Times New Roman" w:hAnsi="Times New Roman" w:eastAsia="宋体" w:cs="Times New Roman"/>
      <w:sz w:val="18"/>
      <w:lang w:val="en-US" w:eastAsia="zh-CN" w:bidi="ar-SA"/>
    </w:rPr>
  </w:style>
  <w:style w:type="paragraph" w:customStyle="1" w:styleId="95">
    <w:name w:val="标准书脚_奇数页"/>
    <w:autoRedefine/>
    <w:qFormat/>
    <w:uiPriority w:val="0"/>
    <w:pPr>
      <w:spacing w:before="120"/>
      <w:jc w:val="right"/>
    </w:pPr>
    <w:rPr>
      <w:rFonts w:ascii="Times New Roman" w:hAnsi="Times New Roman" w:eastAsia="宋体" w:cs="Times New Roman"/>
      <w:sz w:val="18"/>
      <w:lang w:val="en-US" w:eastAsia="zh-CN" w:bidi="ar-SA"/>
    </w:rPr>
  </w:style>
  <w:style w:type="paragraph" w:customStyle="1" w:styleId="96">
    <w:name w:val="标准书眉_奇数页"/>
    <w:next w:val="1"/>
    <w:autoRedefine/>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97">
    <w:name w:val="标准书眉_偶数页"/>
    <w:basedOn w:val="96"/>
    <w:next w:val="1"/>
    <w:autoRedefine/>
    <w:qFormat/>
    <w:uiPriority w:val="0"/>
    <w:pPr>
      <w:jc w:val="left"/>
    </w:pPr>
  </w:style>
  <w:style w:type="paragraph" w:customStyle="1" w:styleId="98">
    <w:name w:val="标准书眉一"/>
    <w:autoRedefine/>
    <w:qFormat/>
    <w:uiPriority w:val="0"/>
    <w:pPr>
      <w:jc w:val="both"/>
    </w:pPr>
    <w:rPr>
      <w:rFonts w:ascii="Times New Roman" w:hAnsi="Times New Roman" w:eastAsia="宋体" w:cs="Times New Roman"/>
      <w:lang w:val="en-US" w:eastAsia="zh-CN" w:bidi="ar-SA"/>
    </w:rPr>
  </w:style>
  <w:style w:type="paragraph" w:customStyle="1" w:styleId="99">
    <w:name w:val="前言、引言标题"/>
    <w:next w:val="1"/>
    <w:autoRedefine/>
    <w:qFormat/>
    <w:uiPriority w:val="0"/>
    <w:pPr>
      <w:numPr>
        <w:ilvl w:val="0"/>
        <w:numId w:val="1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0">
    <w:name w:val="参考文献、索引标题"/>
    <w:basedOn w:val="99"/>
    <w:next w:val="1"/>
    <w:autoRedefine/>
    <w:qFormat/>
    <w:uiPriority w:val="0"/>
    <w:pPr>
      <w:numPr>
        <w:numId w:val="0"/>
      </w:numPr>
      <w:spacing w:after="200"/>
    </w:pPr>
    <w:rPr>
      <w:sz w:val="21"/>
    </w:rPr>
  </w:style>
  <w:style w:type="paragraph" w:customStyle="1" w:styleId="101">
    <w:name w:val="段"/>
    <w:link w:val="169"/>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2">
    <w:name w:val="章标题"/>
    <w:next w:val="101"/>
    <w:autoRedefine/>
    <w:qFormat/>
    <w:uiPriority w:val="0"/>
    <w:pPr>
      <w:numPr>
        <w:ilvl w:val="1"/>
        <w:numId w:val="1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3">
    <w:name w:val="一级条标题"/>
    <w:next w:val="101"/>
    <w:autoRedefine/>
    <w:qFormat/>
    <w:uiPriority w:val="0"/>
    <w:pPr>
      <w:numPr>
        <w:ilvl w:val="2"/>
        <w:numId w:val="12"/>
      </w:numPr>
      <w:outlineLvl w:val="2"/>
    </w:pPr>
    <w:rPr>
      <w:rFonts w:ascii="Times New Roman" w:hAnsi="Times New Roman" w:eastAsia="黑体" w:cs="Times New Roman"/>
      <w:sz w:val="21"/>
      <w:lang w:val="en-US" w:eastAsia="zh-CN" w:bidi="ar-SA"/>
    </w:rPr>
  </w:style>
  <w:style w:type="paragraph" w:customStyle="1" w:styleId="104">
    <w:name w:val="二级条标题"/>
    <w:basedOn w:val="103"/>
    <w:next w:val="101"/>
    <w:autoRedefine/>
    <w:qFormat/>
    <w:uiPriority w:val="0"/>
    <w:pPr>
      <w:numPr>
        <w:ilvl w:val="3"/>
      </w:numPr>
      <w:outlineLvl w:val="3"/>
    </w:pPr>
  </w:style>
  <w:style w:type="character" w:customStyle="1" w:styleId="105">
    <w:name w:val="发布"/>
    <w:autoRedefine/>
    <w:qFormat/>
    <w:uiPriority w:val="0"/>
    <w:rPr>
      <w:rFonts w:ascii="黑体" w:eastAsia="黑体"/>
      <w:spacing w:val="22"/>
      <w:w w:val="100"/>
      <w:position w:val="3"/>
      <w:sz w:val="28"/>
    </w:rPr>
  </w:style>
  <w:style w:type="paragraph" w:customStyle="1" w:styleId="106">
    <w:name w:val="发布部门"/>
    <w:next w:val="101"/>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07">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08">
    <w:name w:val="封面标准号1"/>
    <w:autoRedefine/>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09">
    <w:name w:val="封面标准号2"/>
    <w:basedOn w:val="108"/>
    <w:autoRedefine/>
    <w:qFormat/>
    <w:uiPriority w:val="0"/>
    <w:pPr>
      <w:framePr w:w="9138" w:h="1244" w:hRule="exact" w:wrap="auto" w:vAnchor="page" w:hAnchor="margin" w:y="2908"/>
      <w:adjustRightInd w:val="0"/>
      <w:spacing w:before="357" w:line="280" w:lineRule="exact"/>
    </w:pPr>
  </w:style>
  <w:style w:type="paragraph" w:customStyle="1" w:styleId="110">
    <w:name w:val="封面标准代替信息"/>
    <w:basedOn w:val="109"/>
    <w:autoRedefine/>
    <w:qFormat/>
    <w:uiPriority w:val="0"/>
    <w:pPr>
      <w:spacing w:before="57"/>
    </w:pPr>
    <w:rPr>
      <w:rFonts w:ascii="宋体"/>
      <w:sz w:val="21"/>
    </w:rPr>
  </w:style>
  <w:style w:type="paragraph" w:customStyle="1" w:styleId="111">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12">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13">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14">
    <w:name w:val="封面标准英文名称"/>
    <w:autoRedefine/>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15">
    <w:name w:val="封面一致性程度标识"/>
    <w:autoRedefine/>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16">
    <w:name w:val="封面正文"/>
    <w:autoRedefine/>
    <w:qFormat/>
    <w:uiPriority w:val="0"/>
    <w:pPr>
      <w:jc w:val="both"/>
    </w:pPr>
    <w:rPr>
      <w:rFonts w:ascii="Times New Roman" w:hAnsi="Times New Roman" w:eastAsia="宋体" w:cs="Times New Roman"/>
      <w:lang w:val="en-US" w:eastAsia="zh-CN" w:bidi="ar-SA"/>
    </w:rPr>
  </w:style>
  <w:style w:type="paragraph" w:customStyle="1" w:styleId="117">
    <w:name w:val="附录标识"/>
    <w:basedOn w:val="99"/>
    <w:autoRedefine/>
    <w:qFormat/>
    <w:uiPriority w:val="0"/>
    <w:pPr>
      <w:numPr>
        <w:ilvl w:val="0"/>
        <w:numId w:val="13"/>
      </w:numPr>
      <w:tabs>
        <w:tab w:val="left" w:pos="6405"/>
      </w:tabs>
      <w:spacing w:after="200"/>
    </w:pPr>
    <w:rPr>
      <w:sz w:val="21"/>
    </w:rPr>
  </w:style>
  <w:style w:type="paragraph" w:customStyle="1" w:styleId="118">
    <w:name w:val="附录表标题"/>
    <w:next w:val="101"/>
    <w:autoRedefine/>
    <w:qFormat/>
    <w:uiPriority w:val="0"/>
    <w:pPr>
      <w:numPr>
        <w:ilvl w:val="0"/>
        <w:numId w:val="14"/>
      </w:numPr>
      <w:jc w:val="center"/>
      <w:textAlignment w:val="baseline"/>
    </w:pPr>
    <w:rPr>
      <w:rFonts w:ascii="黑体" w:hAnsi="Times New Roman" w:eastAsia="黑体" w:cs="Times New Roman"/>
      <w:kern w:val="21"/>
      <w:sz w:val="21"/>
      <w:lang w:val="en-US" w:eastAsia="zh-CN" w:bidi="ar-SA"/>
    </w:rPr>
  </w:style>
  <w:style w:type="paragraph" w:customStyle="1" w:styleId="119">
    <w:name w:val="附录章标题"/>
    <w:next w:val="101"/>
    <w:autoRedefine/>
    <w:qFormat/>
    <w:uiPriority w:val="0"/>
    <w:pPr>
      <w:numPr>
        <w:ilvl w:val="1"/>
        <w:numId w:val="1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20">
    <w:name w:val="附录一级条标题"/>
    <w:basedOn w:val="119"/>
    <w:next w:val="101"/>
    <w:autoRedefine/>
    <w:qFormat/>
    <w:uiPriority w:val="0"/>
    <w:pPr>
      <w:numPr>
        <w:ilvl w:val="0"/>
        <w:numId w:val="0"/>
      </w:numPr>
      <w:autoSpaceDN w:val="0"/>
      <w:spacing w:before="0" w:beforeLines="0" w:after="0" w:afterLines="0"/>
      <w:outlineLvl w:val="2"/>
    </w:pPr>
  </w:style>
  <w:style w:type="paragraph" w:customStyle="1" w:styleId="121">
    <w:name w:val="附录二级条标题"/>
    <w:basedOn w:val="120"/>
    <w:next w:val="101"/>
    <w:autoRedefine/>
    <w:qFormat/>
    <w:uiPriority w:val="0"/>
    <w:pPr>
      <w:outlineLvl w:val="3"/>
    </w:pPr>
  </w:style>
  <w:style w:type="paragraph" w:customStyle="1" w:styleId="122">
    <w:name w:val="附录三级条标题"/>
    <w:basedOn w:val="121"/>
    <w:next w:val="101"/>
    <w:autoRedefine/>
    <w:qFormat/>
    <w:uiPriority w:val="0"/>
    <w:pPr>
      <w:outlineLvl w:val="4"/>
    </w:pPr>
  </w:style>
  <w:style w:type="paragraph" w:customStyle="1" w:styleId="123">
    <w:name w:val="附录四级条标题"/>
    <w:basedOn w:val="122"/>
    <w:next w:val="101"/>
    <w:autoRedefine/>
    <w:qFormat/>
    <w:uiPriority w:val="0"/>
    <w:pPr>
      <w:outlineLvl w:val="5"/>
    </w:pPr>
  </w:style>
  <w:style w:type="paragraph" w:customStyle="1" w:styleId="124">
    <w:name w:val="附录图标题"/>
    <w:next w:val="101"/>
    <w:autoRedefine/>
    <w:qFormat/>
    <w:uiPriority w:val="0"/>
    <w:pPr>
      <w:numPr>
        <w:ilvl w:val="0"/>
        <w:numId w:val="15"/>
      </w:numPr>
      <w:jc w:val="center"/>
    </w:pPr>
    <w:rPr>
      <w:rFonts w:ascii="黑体" w:hAnsi="Times New Roman" w:eastAsia="黑体" w:cs="Times New Roman"/>
      <w:sz w:val="21"/>
      <w:lang w:val="en-US" w:eastAsia="zh-CN" w:bidi="ar-SA"/>
    </w:rPr>
  </w:style>
  <w:style w:type="paragraph" w:customStyle="1" w:styleId="125">
    <w:name w:val="附录五级条标题"/>
    <w:basedOn w:val="123"/>
    <w:next w:val="101"/>
    <w:autoRedefine/>
    <w:qFormat/>
    <w:uiPriority w:val="0"/>
    <w:pPr>
      <w:numPr>
        <w:ilvl w:val="6"/>
        <w:numId w:val="13"/>
      </w:numPr>
      <w:outlineLvl w:val="6"/>
    </w:pPr>
  </w:style>
  <w:style w:type="character" w:customStyle="1" w:styleId="126">
    <w:name w:val="个人答复风格"/>
    <w:autoRedefine/>
    <w:qFormat/>
    <w:uiPriority w:val="0"/>
    <w:rPr>
      <w:rFonts w:ascii="Arial" w:hAnsi="Arial" w:eastAsia="宋体" w:cs="Arial"/>
      <w:color w:val="auto"/>
      <w:sz w:val="20"/>
    </w:rPr>
  </w:style>
  <w:style w:type="character" w:customStyle="1" w:styleId="127">
    <w:name w:val="个人撰写风格"/>
    <w:autoRedefine/>
    <w:qFormat/>
    <w:uiPriority w:val="0"/>
    <w:rPr>
      <w:rFonts w:ascii="Arial" w:hAnsi="Arial" w:eastAsia="宋体" w:cs="Arial"/>
      <w:color w:val="auto"/>
      <w:sz w:val="20"/>
    </w:rPr>
  </w:style>
  <w:style w:type="paragraph" w:customStyle="1" w:styleId="128">
    <w:name w:val="列项——（一级）"/>
    <w:autoRedefine/>
    <w:qFormat/>
    <w:uiPriority w:val="0"/>
    <w:pPr>
      <w:widowControl w:val="0"/>
      <w:numPr>
        <w:ilvl w:val="0"/>
        <w:numId w:val="16"/>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29">
    <w:name w:val="列项●（二级）"/>
    <w:autoRedefine/>
    <w:qFormat/>
    <w:uiPriority w:val="0"/>
    <w:pPr>
      <w:numPr>
        <w:ilvl w:val="0"/>
        <w:numId w:val="17"/>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30">
    <w:name w:val="目次、标准名称标题"/>
    <w:basedOn w:val="99"/>
    <w:next w:val="101"/>
    <w:autoRedefine/>
    <w:qFormat/>
    <w:uiPriority w:val="0"/>
    <w:pPr>
      <w:numPr>
        <w:numId w:val="0"/>
      </w:numPr>
      <w:spacing w:line="460" w:lineRule="exact"/>
    </w:pPr>
  </w:style>
  <w:style w:type="paragraph" w:customStyle="1" w:styleId="131">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32">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33">
    <w:name w:val="其他发布部门"/>
    <w:basedOn w:val="106"/>
    <w:autoRedefine/>
    <w:qFormat/>
    <w:uiPriority w:val="0"/>
    <w:pPr>
      <w:framePr w:wrap="around"/>
      <w:spacing w:line="0" w:lineRule="atLeast"/>
    </w:pPr>
    <w:rPr>
      <w:rFonts w:ascii="黑体" w:eastAsia="黑体"/>
      <w:b w:val="0"/>
    </w:rPr>
  </w:style>
  <w:style w:type="paragraph" w:customStyle="1" w:styleId="134">
    <w:name w:val="三级条标题"/>
    <w:basedOn w:val="104"/>
    <w:next w:val="101"/>
    <w:autoRedefine/>
    <w:qFormat/>
    <w:uiPriority w:val="0"/>
    <w:pPr>
      <w:numPr>
        <w:ilvl w:val="4"/>
      </w:numPr>
      <w:outlineLvl w:val="4"/>
    </w:pPr>
  </w:style>
  <w:style w:type="paragraph" w:customStyle="1" w:styleId="135">
    <w:name w:val="实施日期"/>
    <w:basedOn w:val="107"/>
    <w:autoRedefine/>
    <w:qFormat/>
    <w:uiPriority w:val="0"/>
    <w:pPr>
      <w:framePr w:hSpace="0" w:wrap="around" w:xAlign="right"/>
      <w:jc w:val="right"/>
    </w:pPr>
  </w:style>
  <w:style w:type="paragraph" w:customStyle="1" w:styleId="136">
    <w:name w:val="示例"/>
    <w:next w:val="101"/>
    <w:autoRedefine/>
    <w:qFormat/>
    <w:uiPriority w:val="0"/>
    <w:pPr>
      <w:numPr>
        <w:ilvl w:val="0"/>
        <w:numId w:val="18"/>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137">
    <w:name w:val="数字编号列项（二级）"/>
    <w:autoRedefine/>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38">
    <w:name w:val="四级条标题"/>
    <w:basedOn w:val="134"/>
    <w:next w:val="101"/>
    <w:autoRedefine/>
    <w:qFormat/>
    <w:uiPriority w:val="0"/>
    <w:pPr>
      <w:numPr>
        <w:ilvl w:val="5"/>
      </w:numPr>
      <w:outlineLvl w:val="5"/>
    </w:pPr>
  </w:style>
  <w:style w:type="paragraph" w:customStyle="1" w:styleId="139">
    <w:name w:val="条文脚注"/>
    <w:basedOn w:val="57"/>
    <w:autoRedefine/>
    <w:qFormat/>
    <w:uiPriority w:val="0"/>
    <w:pPr>
      <w:ind w:left="780" w:leftChars="200" w:hanging="360" w:hangingChars="200"/>
      <w:jc w:val="both"/>
    </w:pPr>
    <w:rPr>
      <w:rFonts w:ascii="宋体"/>
    </w:rPr>
  </w:style>
  <w:style w:type="paragraph" w:customStyle="1" w:styleId="140">
    <w:name w:val="图表脚注"/>
    <w:next w:val="101"/>
    <w:autoRedefine/>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41">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142">
    <w:name w:val="正文文本缩进 2 字符"/>
    <w:link w:val="46"/>
    <w:autoRedefine/>
    <w:qFormat/>
    <w:uiPriority w:val="0"/>
    <w:rPr>
      <w:rFonts w:eastAsia="宋体"/>
      <w:color w:val="FF0000"/>
      <w:sz w:val="24"/>
      <w:lang w:val="en-US" w:eastAsia="zh-CN" w:bidi="ar-SA"/>
    </w:rPr>
  </w:style>
  <w:style w:type="paragraph" w:customStyle="1" w:styleId="143">
    <w:name w:val="五级条标题"/>
    <w:basedOn w:val="138"/>
    <w:next w:val="101"/>
    <w:autoRedefine/>
    <w:qFormat/>
    <w:uiPriority w:val="0"/>
    <w:pPr>
      <w:numPr>
        <w:ilvl w:val="6"/>
      </w:numPr>
      <w:outlineLvl w:val="6"/>
    </w:pPr>
  </w:style>
  <w:style w:type="paragraph" w:customStyle="1" w:styleId="144">
    <w:name w:val="正文表标题"/>
    <w:next w:val="101"/>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45">
    <w:name w:val="正文图标题"/>
    <w:next w:val="101"/>
    <w:autoRedefine/>
    <w:qFormat/>
    <w:uiPriority w:val="0"/>
    <w:pPr>
      <w:numPr>
        <w:ilvl w:val="0"/>
        <w:numId w:val="20"/>
      </w:numPr>
      <w:jc w:val="center"/>
    </w:pPr>
    <w:rPr>
      <w:rFonts w:ascii="黑体" w:hAnsi="Times New Roman" w:eastAsia="黑体" w:cs="Times New Roman"/>
      <w:sz w:val="21"/>
      <w:lang w:val="en-US" w:eastAsia="zh-CN" w:bidi="ar-SA"/>
    </w:rPr>
  </w:style>
  <w:style w:type="paragraph" w:customStyle="1" w:styleId="146">
    <w:name w:val="注："/>
    <w:next w:val="101"/>
    <w:autoRedefine/>
    <w:qFormat/>
    <w:uiPriority w:val="0"/>
    <w:pPr>
      <w:widowControl w:val="0"/>
      <w:numPr>
        <w:ilvl w:val="0"/>
        <w:numId w:val="21"/>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147">
    <w:name w:val="注×："/>
    <w:autoRedefine/>
    <w:qFormat/>
    <w:uiPriority w:val="0"/>
    <w:pPr>
      <w:widowControl w:val="0"/>
      <w:numPr>
        <w:ilvl w:val="0"/>
        <w:numId w:val="22"/>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48">
    <w:name w:val="字母编号列项（一级）"/>
    <w:autoRedefine/>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49">
    <w:name w:val="列项◆（三级）"/>
    <w:autoRedefine/>
    <w:qFormat/>
    <w:uiPriority w:val="0"/>
    <w:pPr>
      <w:numPr>
        <w:ilvl w:val="0"/>
        <w:numId w:val="23"/>
      </w:numPr>
      <w:ind w:left="800" w:leftChars="600" w:hanging="200" w:hangingChars="200"/>
    </w:pPr>
    <w:rPr>
      <w:rFonts w:ascii="宋体" w:hAnsi="Times New Roman" w:eastAsia="宋体" w:cs="Times New Roman"/>
      <w:sz w:val="21"/>
      <w:lang w:val="en-US" w:eastAsia="zh-CN" w:bidi="ar-SA"/>
    </w:rPr>
  </w:style>
  <w:style w:type="paragraph" w:customStyle="1" w:styleId="150">
    <w:name w:val="编号列项（三级）"/>
    <w:autoRedefine/>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151">
    <w:name w:val="Char Char Char Char Char Char Char Char Char Char Char Char Char Char Char Char Char Char Char"/>
    <w:basedOn w:val="1"/>
    <w:autoRedefine/>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5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3">
    <w:name w:val="已访问的超链接1"/>
    <w:autoRedefine/>
    <w:qFormat/>
    <w:uiPriority w:val="0"/>
    <w:rPr>
      <w:rFonts w:ascii="仿宋_GB2312" w:eastAsia="仿宋_GB2312"/>
      <w:color w:val="800080"/>
      <w:sz w:val="28"/>
      <w:szCs w:val="28"/>
      <w:u w:val="single"/>
      <w:lang w:val="en-US" w:eastAsia="zh-CN" w:bidi="ar-SA"/>
    </w:rPr>
  </w:style>
  <w:style w:type="paragraph" w:customStyle="1" w:styleId="154">
    <w:name w:val="xl2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kern w:val="0"/>
      <w:szCs w:val="21"/>
    </w:rPr>
  </w:style>
  <w:style w:type="character" w:customStyle="1" w:styleId="155">
    <w:name w:val="图名 Char Char Char Char Char Char Char Char Char Char"/>
    <w:autoRedefine/>
    <w:qFormat/>
    <w:uiPriority w:val="0"/>
    <w:rPr>
      <w:rFonts w:ascii="黑体" w:hAnsi="Arial" w:eastAsia="黑体" w:cs="Arial"/>
    </w:rPr>
  </w:style>
  <w:style w:type="character" w:customStyle="1" w:styleId="156">
    <w:name w:val="样式 宋体 小四 Char"/>
    <w:autoRedefine/>
    <w:qFormat/>
    <w:uiPriority w:val="0"/>
    <w:rPr>
      <w:rFonts w:ascii="宋体" w:hAnsi="宋体" w:eastAsia="宋体"/>
      <w:kern w:val="2"/>
      <w:sz w:val="24"/>
      <w:szCs w:val="24"/>
      <w:lang w:val="en-US" w:eastAsia="zh-CN" w:bidi="ar-SA"/>
    </w:rPr>
  </w:style>
  <w:style w:type="paragraph" w:customStyle="1" w:styleId="157">
    <w:name w:val="1"/>
    <w:basedOn w:val="1"/>
    <w:next w:val="46"/>
    <w:autoRedefine/>
    <w:qFormat/>
    <w:uiPriority w:val="0"/>
    <w:pPr>
      <w:spacing w:before="60" w:line="400" w:lineRule="exact"/>
      <w:ind w:firstLine="420" w:firstLineChars="200"/>
    </w:pPr>
    <w:rPr>
      <w:rFonts w:ascii="宋体" w:hAnsi="宋体"/>
      <w:kern w:val="0"/>
      <w:szCs w:val="24"/>
    </w:rPr>
  </w:style>
  <w:style w:type="character" w:customStyle="1" w:styleId="158">
    <w:name w:val="biaozhun"/>
    <w:autoRedefine/>
    <w:qFormat/>
    <w:uiPriority w:val="0"/>
    <w:rPr>
      <w:rFonts w:ascii="仿宋_GB2312" w:eastAsia="仿宋_GB2312"/>
      <w:sz w:val="28"/>
      <w:szCs w:val="28"/>
      <w:lang w:val="en-US" w:eastAsia="zh-CN" w:bidi="ar-SA"/>
    </w:rPr>
  </w:style>
  <w:style w:type="character" w:customStyle="1" w:styleId="159">
    <w:name w:val="gb"/>
    <w:autoRedefine/>
    <w:qFormat/>
    <w:uiPriority w:val="0"/>
    <w:rPr>
      <w:rFonts w:ascii="仿宋_GB2312" w:eastAsia="仿宋_GB2312"/>
      <w:sz w:val="28"/>
      <w:szCs w:val="28"/>
      <w:lang w:val="en-US" w:eastAsia="zh-CN" w:bidi="ar-SA"/>
    </w:rPr>
  </w:style>
  <w:style w:type="paragraph" w:customStyle="1" w:styleId="160">
    <w:name w:val="小注"/>
    <w:basedOn w:val="46"/>
    <w:autoRedefine/>
    <w:qFormat/>
    <w:uiPriority w:val="0"/>
    <w:pPr>
      <w:spacing w:before="60" w:line="240" w:lineRule="auto"/>
      <w:ind w:firstLine="360"/>
    </w:pPr>
    <w:rPr>
      <w:rFonts w:ascii="Arial" w:hAnsi="Arial" w:cs="Arial"/>
      <w:color w:val="auto"/>
      <w:sz w:val="18"/>
      <w:szCs w:val="18"/>
    </w:rPr>
  </w:style>
  <w:style w:type="paragraph" w:customStyle="1" w:styleId="161">
    <w:name w:val="第3级标题"/>
    <w:basedOn w:val="1"/>
    <w:next w:val="1"/>
    <w:autoRedefine/>
    <w:qFormat/>
    <w:uiPriority w:val="0"/>
    <w:pPr>
      <w:spacing w:before="156" w:line="360" w:lineRule="auto"/>
    </w:pPr>
    <w:rPr>
      <w:rFonts w:ascii="黑体" w:eastAsia="黑体"/>
      <w:szCs w:val="24"/>
    </w:rPr>
  </w:style>
  <w:style w:type="paragraph" w:customStyle="1" w:styleId="162">
    <w:name w:val="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63">
    <w:name w:val="表内文字"/>
    <w:basedOn w:val="1"/>
    <w:autoRedefine/>
    <w:qFormat/>
    <w:uiPriority w:val="0"/>
    <w:pPr>
      <w:autoSpaceDE w:val="0"/>
      <w:autoSpaceDN w:val="0"/>
      <w:adjustRightInd w:val="0"/>
      <w:snapToGrid w:val="0"/>
      <w:jc w:val="center"/>
    </w:pPr>
    <w:rPr>
      <w:sz w:val="18"/>
      <w:szCs w:val="18"/>
    </w:rPr>
  </w:style>
  <w:style w:type="paragraph" w:customStyle="1" w:styleId="164">
    <w:name w:val="表注"/>
    <w:next w:val="33"/>
    <w:autoRedefine/>
    <w:qFormat/>
    <w:uiPriority w:val="0"/>
    <w:pPr>
      <w:ind w:firstLine="362"/>
    </w:pPr>
    <w:rPr>
      <w:rFonts w:ascii="Arial" w:hAnsi="Arial" w:eastAsia="宋体" w:cs="Arial"/>
      <w:color w:val="000000"/>
      <w:sz w:val="18"/>
      <w:szCs w:val="18"/>
      <w:lang w:val="en-US" w:eastAsia="zh-CN" w:bidi="ar-SA"/>
    </w:rPr>
  </w:style>
  <w:style w:type="paragraph" w:customStyle="1" w:styleId="165">
    <w:name w:val="Char Char Char1 Char1"/>
    <w:basedOn w:val="1"/>
    <w:autoRedefine/>
    <w:qFormat/>
    <w:uiPriority w:val="0"/>
    <w:pPr>
      <w:spacing w:line="360" w:lineRule="auto"/>
    </w:pPr>
    <w:rPr>
      <w:rFonts w:ascii="Tahoma" w:hAnsi="Tahoma"/>
      <w:sz w:val="24"/>
    </w:rPr>
  </w:style>
  <w:style w:type="character" w:customStyle="1" w:styleId="166">
    <w:name w:val="标题 6 字符"/>
    <w:link w:val="7"/>
    <w:autoRedefine/>
    <w:qFormat/>
    <w:uiPriority w:val="0"/>
    <w:rPr>
      <w:rFonts w:ascii="Arial" w:hAnsi="Arial" w:eastAsia="黑体"/>
      <w:b/>
      <w:bCs/>
      <w:kern w:val="2"/>
      <w:sz w:val="24"/>
      <w:lang w:val="en-US" w:eastAsia="zh-CN" w:bidi="ar-SA"/>
    </w:rPr>
  </w:style>
  <w:style w:type="paragraph" w:customStyle="1" w:styleId="167">
    <w:name w:val="公式说明"/>
    <w:basedOn w:val="101"/>
    <w:autoRedefine/>
    <w:qFormat/>
    <w:uiPriority w:val="0"/>
    <w:pPr>
      <w:tabs>
        <w:tab w:val="center" w:pos="4201"/>
        <w:tab w:val="right" w:leader="dot" w:pos="9298"/>
      </w:tabs>
      <w:ind w:firstLine="420"/>
    </w:pPr>
  </w:style>
  <w:style w:type="paragraph" w:customStyle="1" w:styleId="168">
    <w:name w:val="公式编号"/>
    <w:basedOn w:val="1"/>
    <w:autoRedefine/>
    <w:qFormat/>
    <w:uiPriority w:val="0"/>
    <w:pPr>
      <w:jc w:val="right"/>
    </w:pPr>
    <w:rPr>
      <w:rFonts w:cs="宋体"/>
      <w:kern w:val="0"/>
      <w:szCs w:val="21"/>
    </w:rPr>
  </w:style>
  <w:style w:type="character" w:customStyle="1" w:styleId="169">
    <w:name w:val="段 Char"/>
    <w:link w:val="101"/>
    <w:autoRedefine/>
    <w:qFormat/>
    <w:uiPriority w:val="0"/>
    <w:rPr>
      <w:rFonts w:ascii="宋体"/>
      <w:sz w:val="21"/>
      <w:lang w:val="en-US" w:eastAsia="zh-CN" w:bidi="ar-SA"/>
    </w:rPr>
  </w:style>
  <w:style w:type="paragraph" w:customStyle="1" w:styleId="170">
    <w:name w:val="表中文字"/>
    <w:basedOn w:val="1"/>
    <w:autoRedefine/>
    <w:qFormat/>
    <w:uiPriority w:val="0"/>
    <w:pPr>
      <w:tabs>
        <w:tab w:val="left" w:pos="6195"/>
      </w:tabs>
      <w:autoSpaceDE w:val="0"/>
      <w:autoSpaceDN w:val="0"/>
      <w:adjustRightInd w:val="0"/>
      <w:jc w:val="center"/>
    </w:pPr>
    <w:rPr>
      <w:position w:val="-10"/>
      <w:sz w:val="18"/>
      <w:szCs w:val="18"/>
    </w:rPr>
  </w:style>
  <w:style w:type="paragraph" w:customStyle="1" w:styleId="171">
    <w:name w:val="7表名"/>
    <w:basedOn w:val="1"/>
    <w:next w:val="1"/>
    <w:autoRedefine/>
    <w:qFormat/>
    <w:uiPriority w:val="0"/>
    <w:pPr>
      <w:spacing w:line="360" w:lineRule="auto"/>
      <w:jc w:val="center"/>
      <w:outlineLvl w:val="4"/>
    </w:pPr>
    <w:rPr>
      <w:rFonts w:ascii="黑体" w:eastAsia="黑体"/>
      <w:szCs w:val="21"/>
    </w:rPr>
  </w:style>
  <w:style w:type="character" w:styleId="172">
    <w:name w:val="Placeholder Text"/>
    <w:basedOn w:val="76"/>
    <w:autoRedefine/>
    <w:semiHidden/>
    <w:qFormat/>
    <w:uiPriority w:val="99"/>
    <w:rPr>
      <w:color w:val="808080"/>
    </w:rPr>
  </w:style>
  <w:style w:type="character" w:customStyle="1" w:styleId="173">
    <w:name w:val="font31"/>
    <w:basedOn w:val="76"/>
    <w:autoRedefine/>
    <w:qFormat/>
    <w:uiPriority w:val="0"/>
    <w:rPr>
      <w:rFonts w:hint="eastAsia" w:ascii="宋体" w:hAnsi="宋体" w:eastAsia="宋体" w:cs="宋体"/>
      <w:color w:val="000000"/>
      <w:sz w:val="24"/>
      <w:szCs w:val="24"/>
      <w:u w:val="none"/>
    </w:rPr>
  </w:style>
  <w:style w:type="character" w:customStyle="1" w:styleId="174">
    <w:name w:val="font51"/>
    <w:basedOn w:val="76"/>
    <w:autoRedefine/>
    <w:qFormat/>
    <w:uiPriority w:val="0"/>
    <w:rPr>
      <w:rFonts w:hint="default" w:ascii="Times New Roman" w:hAnsi="Times New Roman" w:cs="Times New Roman"/>
      <w:color w:val="000000"/>
      <w:sz w:val="24"/>
      <w:szCs w:val="24"/>
      <w:u w:val="none"/>
    </w:rPr>
  </w:style>
  <w:style w:type="character" w:customStyle="1" w:styleId="175">
    <w:name w:val="font01"/>
    <w:basedOn w:val="76"/>
    <w:autoRedefine/>
    <w:qFormat/>
    <w:uiPriority w:val="0"/>
    <w:rPr>
      <w:rFonts w:hint="eastAsia" w:ascii="宋体" w:hAnsi="宋体" w:eastAsia="宋体" w:cs="宋体"/>
      <w:color w:val="000000"/>
      <w:sz w:val="24"/>
      <w:szCs w:val="24"/>
      <w:u w:val="none"/>
    </w:rPr>
  </w:style>
  <w:style w:type="character" w:customStyle="1" w:styleId="176">
    <w:name w:val="font11"/>
    <w:basedOn w:val="76"/>
    <w:autoRedefine/>
    <w:qFormat/>
    <w:uiPriority w:val="0"/>
    <w:rPr>
      <w:rFonts w:hint="default" w:ascii="Times New Roman" w:hAnsi="Times New Roman" w:cs="Times New Roman"/>
      <w:color w:val="000000"/>
      <w:sz w:val="24"/>
      <w:szCs w:val="24"/>
      <w:u w:val="none"/>
    </w:rPr>
  </w:style>
  <w:style w:type="paragraph" w:styleId="177">
    <w:name w:val="List Paragraph"/>
    <w:basedOn w:val="1"/>
    <w:autoRedefine/>
    <w:qFormat/>
    <w:uiPriority w:val="34"/>
    <w:pPr>
      <w:ind w:firstLine="420" w:firstLineChars="200"/>
    </w:pPr>
  </w:style>
  <w:style w:type="paragraph" w:customStyle="1" w:styleId="178">
    <w:name w:val="修订1"/>
    <w:autoRedefine/>
    <w:hidden/>
    <w:semiHidden/>
    <w:qFormat/>
    <w:uiPriority w:val="99"/>
    <w:rPr>
      <w:rFonts w:ascii="Times New Roman" w:hAnsi="Times New Roman" w:eastAsia="宋体" w:cs="Times New Roman"/>
      <w:kern w:val="2"/>
      <w:sz w:val="21"/>
      <w:lang w:val="en-US" w:eastAsia="zh-CN" w:bidi="ar-SA"/>
    </w:rPr>
  </w:style>
  <w:style w:type="character" w:customStyle="1" w:styleId="179">
    <w:name w:val="标题 1 字符"/>
    <w:basedOn w:val="76"/>
    <w:link w:val="2"/>
    <w:autoRedefine/>
    <w:qFormat/>
    <w:uiPriority w:val="0"/>
    <w:rPr>
      <w:b/>
      <w:bCs/>
      <w:kern w:val="44"/>
      <w:sz w:val="44"/>
      <w:szCs w:val="44"/>
    </w:rPr>
  </w:style>
  <w:style w:type="paragraph" w:customStyle="1" w:styleId="180">
    <w:name w:val="修订2"/>
    <w:autoRedefine/>
    <w:hidden/>
    <w:semiHidden/>
    <w:qFormat/>
    <w:uiPriority w:val="99"/>
    <w:rPr>
      <w:rFonts w:ascii="Times New Roman" w:hAnsi="Times New Roman" w:eastAsia="宋体" w:cs="Times New Roman"/>
      <w:kern w:val="2"/>
      <w:sz w:val="21"/>
      <w:lang w:val="en-US" w:eastAsia="zh-CN" w:bidi="ar-SA"/>
    </w:rPr>
  </w:style>
  <w:style w:type="character" w:customStyle="1" w:styleId="181">
    <w:name w:val="页脚 字符"/>
    <w:basedOn w:val="76"/>
    <w:link w:val="49"/>
    <w:autoRedefine/>
    <w:qFormat/>
    <w:uiPriority w:val="99"/>
    <w:rPr>
      <w:kern w:val="2"/>
      <w:sz w:val="18"/>
      <w:szCs w:val="18"/>
    </w:rPr>
  </w:style>
  <w:style w:type="paragraph" w:customStyle="1" w:styleId="182">
    <w:name w:val="Table Paragraph"/>
    <w:basedOn w:val="1"/>
    <w:autoRedefine/>
    <w:qFormat/>
    <w:uiPriority w:val="1"/>
    <w:pPr>
      <w:spacing w:before="83"/>
      <w:jc w:val="center"/>
    </w:pPr>
    <w:rPr>
      <w:rFonts w:ascii="宋体" w:hAnsi="宋体" w:cs="宋体"/>
    </w:rPr>
  </w:style>
  <w:style w:type="paragraph" w:customStyle="1" w:styleId="183">
    <w:name w:val="Revision"/>
    <w:autoRedefine/>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288489-7207-4DD3-BF0D-D1311FFCC4DD}">
  <ds:schemaRefs/>
</ds:datastoreItem>
</file>

<file path=docProps/app.xml><?xml version="1.0" encoding="utf-8"?>
<Properties xmlns="http://schemas.openxmlformats.org/officeDocument/2006/extended-properties" xmlns:vt="http://schemas.openxmlformats.org/officeDocument/2006/docPropsVTypes">
  <Template>tds2</Template>
  <Company>CNIS</Company>
  <Pages>12</Pages>
  <Words>1337</Words>
  <Characters>1595</Characters>
  <Lines>51</Lines>
  <Paragraphs>14</Paragraphs>
  <TotalTime>3</TotalTime>
  <ScaleCrop>false</ScaleCrop>
  <LinksUpToDate>false</LinksUpToDate>
  <CharactersWithSpaces>1696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2022-12-25T08:07:00Z</dcterms:created>
  <dc:creator>CSH</dc:creator>
  <cp:lastModifiedBy>缘a妙不可言</cp:lastModifiedBy>
  <cp:lastPrinted>2021-09-15T07:21:00Z</cp:lastPrinted>
  <dcterms:modified xsi:type="dcterms:W3CDTF">2025-01-22T02:27:18Z</dcterms:modified>
  <dc:title> </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2052-12.1.0.19770</vt:lpwstr>
  </property>
  <property fmtid="{D5CDD505-2E9C-101B-9397-08002B2CF9AE}" pid="4" name="ICV">
    <vt:lpwstr>B86FEBFB782149A888D59A24D0FD6884</vt:lpwstr>
  </property>
  <property fmtid="{D5CDD505-2E9C-101B-9397-08002B2CF9AE}" pid="5" name="KSOTemplateDocerSaveRecord">
    <vt:lpwstr>eyJoZGlkIjoiNTk4OWE1OGI3ODA1Mzc0ZjA0MGFmNzI0ZTBjMjIzMmIiLCJ1c2VySWQiOiI1Njc4NzM4OTgifQ==</vt:lpwstr>
  </property>
</Properties>
</file>