
<file path=[Content_Types].xml><?xml version="1.0" encoding="utf-8"?>
<Types xmlns="http://schemas.openxmlformats.org/package/2006/content-types">
  <Default Extension="xml" ContentType="application/xml"/>
  <Default Extension="bin" ContentType="application/vnd.openxmlformats-officedocument.oleObject"/>
  <Default Extension="tiff" ContentType="image/tif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1CA9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FDA6D47">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99EF285">
            <w:pPr>
              <w:pStyle w:val="19"/>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67BB8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3BD8CC5">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9CE3B09">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w:t>
            </w:r>
            <w:r>
              <w:rPr>
                <w:rFonts w:ascii="黑体" w:hAnsi="黑体" w:eastAsia="黑体"/>
                <w:sz w:val="21"/>
                <w:szCs w:val="21"/>
              </w:rPr>
              <w:fldChar w:fldCharType="end"/>
            </w:r>
            <w:bookmarkEnd w:id="1"/>
          </w:p>
        </w:tc>
      </w:tr>
    </w:tbl>
    <w:tbl>
      <w:tblPr>
        <w:tblStyle w:val="30"/>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A49100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21476060">
            <w:pPr>
              <w:pStyle w:val="52"/>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14:paraId="6FF9A001">
      <w:pPr>
        <w:pStyle w:val="53"/>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567C4C09">
      <w:pPr>
        <w:pStyle w:val="198"/>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797DD0E7">
      <w:pPr>
        <w:pStyle w:val="199"/>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6AC433BD">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401C363">
      <w:pPr>
        <w:pStyle w:val="53"/>
        <w:framePr w:w="9639" w:h="6976" w:hRule="exact" w:hSpace="0" w:vSpace="0" w:wrap="around" w:hAnchor="page" w:y="6408"/>
        <w:jc w:val="center"/>
        <w:rPr>
          <w:rFonts w:hint="eastAsia" w:ascii="黑体" w:hAnsi="黑体" w:eastAsia="黑体"/>
          <w:b w:val="0"/>
          <w:bCs w:val="0"/>
          <w:w w:val="100"/>
        </w:rPr>
      </w:pPr>
    </w:p>
    <w:p w14:paraId="52B16BD4">
      <w:pPr>
        <w:pStyle w:val="200"/>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br w:type="textWrapping"/>
      </w:r>
      <w:r>
        <w:rPr>
          <w:rFonts w:hint="eastAsia"/>
        </w:rPr>
        <w:t>高速公路分布式光伏发电工程技术规范</w:t>
      </w:r>
      <w:r>
        <w:fldChar w:fldCharType="end"/>
      </w:r>
      <w:bookmarkEnd w:id="9"/>
    </w:p>
    <w:p w14:paraId="7B828D10">
      <w:pPr>
        <w:framePr w:w="9639" w:h="6974" w:hRule="exact" w:wrap="around" w:vAnchor="page" w:hAnchor="page" w:x="1419" w:y="6408" w:anchorLock="1"/>
        <w:ind w:left="-1418"/>
      </w:pPr>
    </w:p>
    <w:p w14:paraId="5A6A91FA">
      <w:pPr>
        <w:pStyle w:val="128"/>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Technical code for distributed photovoltaic power engineering of Expressway</w:t>
      </w:r>
      <w:r>
        <w:rPr>
          <w:rFonts w:ascii="黑体" w:hAnsi="黑体" w:eastAsia="黑体"/>
          <w:szCs w:val="28"/>
        </w:rPr>
        <w:t>     </w:t>
      </w:r>
      <w:r>
        <w:rPr>
          <w:rFonts w:ascii="黑体" w:hAnsi="黑体" w:eastAsia="黑体"/>
          <w:szCs w:val="28"/>
        </w:rPr>
        <w:fldChar w:fldCharType="end"/>
      </w:r>
      <w:bookmarkEnd w:id="10"/>
    </w:p>
    <w:p w14:paraId="456F04B4">
      <w:pPr>
        <w:framePr w:w="9639" w:h="6974" w:hRule="exact" w:wrap="around" w:vAnchor="page" w:hAnchor="page" w:x="1419" w:y="6408" w:anchorLock="1"/>
        <w:spacing w:line="760" w:lineRule="exact"/>
        <w:ind w:left="-1418"/>
      </w:pPr>
    </w:p>
    <w:p w14:paraId="4F1441E9">
      <w:pPr>
        <w:pStyle w:val="128"/>
        <w:framePr w:w="9639" w:h="6974" w:hRule="exact" w:wrap="around" w:vAnchor="page" w:hAnchor="page" w:x="1419" w:y="6408" w:anchorLock="1"/>
        <w:textAlignment w:val="bottom"/>
        <w:rPr>
          <w:rFonts w:eastAsia="黑体"/>
          <w:szCs w:val="28"/>
        </w:rPr>
      </w:pPr>
    </w:p>
    <w:p w14:paraId="57315D49">
      <w:pPr>
        <w:pStyle w:val="12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1BD4AAF7">
      <w:pPr>
        <w:pStyle w:val="12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bookmarkStart w:id="456" w:name="_GoBack"/>
      <w:bookmarkEnd w:id="456"/>
      <w:r>
        <w:rPr>
          <w:rFonts w:hint="eastAsia"/>
          <w:sz w:val="21"/>
          <w:szCs w:val="28"/>
        </w:rPr>
        <w:t>（本草案完成时间：2024年1</w:t>
      </w:r>
      <w:r>
        <w:rPr>
          <w:rFonts w:hint="eastAsia"/>
          <w:sz w:val="21"/>
          <w:szCs w:val="28"/>
          <w:lang w:val="en-US" w:eastAsia="zh-CN"/>
        </w:rPr>
        <w:t>2</w:t>
      </w:r>
      <w:r>
        <w:rPr>
          <w:rFonts w:hint="eastAsia"/>
          <w:sz w:val="21"/>
          <w:szCs w:val="28"/>
        </w:rPr>
        <w:t>月）</w:t>
      </w:r>
      <w:r>
        <w:rPr>
          <w:sz w:val="21"/>
          <w:szCs w:val="28"/>
        </w:rPr>
        <w:fldChar w:fldCharType="end"/>
      </w:r>
      <w:bookmarkEnd w:id="12"/>
    </w:p>
    <w:p w14:paraId="48AF795B">
      <w:pPr>
        <w:pStyle w:val="12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0ECF77AC">
      <w:pPr>
        <w:pStyle w:val="196"/>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482EAC45">
      <w:pPr>
        <w:pStyle w:val="197"/>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4193A20B">
      <w:pPr>
        <w:pStyle w:val="154"/>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2"/>
          <w:rFonts w:hint="eastAsia" w:hAnsi="黑体"/>
          <w:position w:val="0"/>
        </w:rPr>
        <w:t>发</w:t>
      </w:r>
      <w:r>
        <w:rPr>
          <w:rStyle w:val="232"/>
          <w:rFonts w:hint="eastAsia" w:hAnsi="黑体"/>
          <w:spacing w:val="0"/>
          <w:position w:val="0"/>
        </w:rPr>
        <w:t>布</w:t>
      </w:r>
    </w:p>
    <w:p w14:paraId="2BCFC35B">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C216D9A">
      <w:pPr>
        <w:pStyle w:val="94"/>
        <w:spacing w:after="468"/>
        <w:rPr>
          <w:rFonts w:hint="eastAsia"/>
        </w:rPr>
      </w:pPr>
      <w:bookmarkStart w:id="21" w:name="BookMark1"/>
      <w:bookmarkStart w:id="22" w:name="_Toc182691719"/>
      <w:bookmarkStart w:id="23" w:name="_Toc182637389"/>
      <w:bookmarkStart w:id="24" w:name="_Toc182723012"/>
      <w:bookmarkStart w:id="25" w:name="_Toc182723219"/>
      <w:bookmarkStart w:id="26" w:name="_Toc182722963"/>
      <w:bookmarkStart w:id="27" w:name="_Toc182637123"/>
      <w:bookmarkStart w:id="28" w:name="_Toc182724642"/>
      <w:r>
        <w:rPr>
          <w:rFonts w:hint="eastAsia"/>
          <w:spacing w:val="320"/>
        </w:rPr>
        <w:t>目</w:t>
      </w:r>
      <w:r>
        <w:rPr>
          <w:rFonts w:hint="eastAsia"/>
        </w:rPr>
        <w:t>次</w:t>
      </w:r>
    </w:p>
    <w:p w14:paraId="5AC8F49C">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"_Toc182828221" </w:instrText>
      </w:r>
      <w:r>
        <w:fldChar w:fldCharType="separate"/>
      </w:r>
      <w:r>
        <w:rPr>
          <w:rStyle w:val="35"/>
          <w:rFonts w:hint="eastAsia"/>
        </w:rPr>
        <w:t>前言</w:t>
      </w:r>
      <w:r>
        <w:rPr>
          <w:rFonts w:hint="eastAsia"/>
        </w:rPr>
        <w:tab/>
      </w:r>
      <w:r>
        <w:rPr>
          <w:rFonts w:hint="eastAsia"/>
        </w:rPr>
        <w:fldChar w:fldCharType="begin"/>
      </w:r>
      <w:r>
        <w:rPr>
          <w:rFonts w:hint="eastAsia"/>
        </w:rPr>
        <w:instrText xml:space="preserve"> </w:instrText>
      </w:r>
      <w:r>
        <w:instrText xml:space="preserve">PAGEREF _Toc182828221 \h</w:instrText>
      </w:r>
      <w:r>
        <w:rPr>
          <w:rFonts w:hint="eastAsia"/>
        </w:rPr>
        <w:instrText xml:space="preserve"> </w:instrText>
      </w:r>
      <w:r>
        <w:fldChar w:fldCharType="separate"/>
      </w:r>
      <w:r>
        <w:t>II</w:t>
      </w:r>
      <w:r>
        <w:rPr>
          <w:rFonts w:hint="eastAsia"/>
        </w:rPr>
        <w:fldChar w:fldCharType="end"/>
      </w:r>
      <w:r>
        <w:rPr>
          <w:rFonts w:hint="eastAsia"/>
        </w:rPr>
        <w:fldChar w:fldCharType="end"/>
      </w:r>
    </w:p>
    <w:p w14:paraId="6A5CE39B">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"_Toc182828222" </w:instrText>
      </w:r>
      <w:r>
        <w:fldChar w:fldCharType="separate"/>
      </w:r>
      <w:r>
        <w:rPr>
          <w:rStyle w:val="35"/>
          <w:rFonts w:hint="eastAsia"/>
        </w:rPr>
        <w:t>1</w:t>
      </w:r>
      <w:r>
        <w:rPr>
          <w:rStyle w:val="35"/>
        </w:rPr>
        <w:t xml:space="preserve"> </w:t>
      </w:r>
      <w:r>
        <w:rPr>
          <w:rStyle w:val="35"/>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_Toc182828222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08949079">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"_Toc182828223" </w:instrText>
      </w:r>
      <w:r>
        <w:fldChar w:fldCharType="separate"/>
      </w:r>
      <w:r>
        <w:rPr>
          <w:rStyle w:val="35"/>
          <w:rFonts w:hint="eastAsia"/>
        </w:rPr>
        <w:t>2</w:t>
      </w:r>
      <w:r>
        <w:rPr>
          <w:rStyle w:val="35"/>
        </w:rPr>
        <w:t xml:space="preserve"> </w:t>
      </w:r>
      <w:r>
        <w:rPr>
          <w:rStyle w:val="35"/>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_Toc182828223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4677194B">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"_Toc182828224" </w:instrText>
      </w:r>
      <w:r>
        <w:fldChar w:fldCharType="separate"/>
      </w:r>
      <w:r>
        <w:rPr>
          <w:rStyle w:val="35"/>
          <w:rFonts w:hint="eastAsia"/>
        </w:rPr>
        <w:t>3</w:t>
      </w:r>
      <w:r>
        <w:rPr>
          <w:rStyle w:val="35"/>
        </w:rPr>
        <w:t xml:space="preserve"> </w:t>
      </w:r>
      <w:r>
        <w:rPr>
          <w:rStyle w:val="35"/>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_Toc182828224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621239F2">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"_Toc182828225" </w:instrText>
      </w:r>
      <w:r>
        <w:fldChar w:fldCharType="separate"/>
      </w:r>
      <w:r>
        <w:rPr>
          <w:rStyle w:val="35"/>
          <w:rFonts w:hint="eastAsia"/>
        </w:rPr>
        <w:t>4</w:t>
      </w:r>
      <w:r>
        <w:rPr>
          <w:rStyle w:val="35"/>
        </w:rPr>
        <w:t xml:space="preserve"> </w:t>
      </w:r>
      <w:r>
        <w:rPr>
          <w:rStyle w:val="35"/>
          <w:rFonts w:hint="eastAsia"/>
        </w:rPr>
        <w:t xml:space="preserve"> 总体要求</w:t>
      </w:r>
      <w:r>
        <w:rPr>
          <w:rFonts w:hint="eastAsia"/>
        </w:rPr>
        <w:tab/>
      </w:r>
      <w:r>
        <w:rPr>
          <w:rFonts w:hint="eastAsia"/>
        </w:rPr>
        <w:fldChar w:fldCharType="begin"/>
      </w:r>
      <w:r>
        <w:rPr>
          <w:rFonts w:hint="eastAsia"/>
        </w:rPr>
        <w:instrText xml:space="preserve"> </w:instrText>
      </w:r>
      <w:r>
        <w:instrText xml:space="preserve">PAGEREF _Toc182828225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7045E1BC">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"_Toc182828226" </w:instrText>
      </w:r>
      <w:r>
        <w:fldChar w:fldCharType="separate"/>
      </w:r>
      <w:r>
        <w:rPr>
          <w:rStyle w:val="35"/>
          <w:rFonts w:hint="eastAsia"/>
        </w:rPr>
        <w:t>5</w:t>
      </w:r>
      <w:r>
        <w:rPr>
          <w:rStyle w:val="35"/>
        </w:rPr>
        <w:t xml:space="preserve"> </w:t>
      </w:r>
      <w:r>
        <w:rPr>
          <w:rStyle w:val="35"/>
          <w:rFonts w:hint="eastAsia"/>
        </w:rPr>
        <w:t xml:space="preserve"> 技术要求</w:t>
      </w:r>
      <w:r>
        <w:rPr>
          <w:rFonts w:hint="eastAsia"/>
        </w:rPr>
        <w:tab/>
      </w:r>
      <w:r>
        <w:rPr>
          <w:rFonts w:hint="eastAsia"/>
        </w:rPr>
        <w:fldChar w:fldCharType="begin"/>
      </w:r>
      <w:r>
        <w:rPr>
          <w:rFonts w:hint="eastAsia"/>
        </w:rPr>
        <w:instrText xml:space="preserve"> </w:instrText>
      </w:r>
      <w:r>
        <w:instrText xml:space="preserve">PAGEREF _Toc182828226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43F1EDEC">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"_Toc182828227" </w:instrText>
      </w:r>
      <w:r>
        <w:fldChar w:fldCharType="separate"/>
      </w:r>
      <w:r>
        <w:rPr>
          <w:rStyle w:val="35"/>
          <w:rFonts w:hint="eastAsia"/>
        </w:rPr>
        <w:t>6</w:t>
      </w:r>
      <w:r>
        <w:rPr>
          <w:rStyle w:val="35"/>
        </w:rPr>
        <w:t xml:space="preserve"> </w:t>
      </w:r>
      <w:r>
        <w:rPr>
          <w:rStyle w:val="35"/>
          <w:rFonts w:hint="eastAsia"/>
        </w:rPr>
        <w:t xml:space="preserve"> 施工</w:t>
      </w:r>
      <w:r>
        <w:rPr>
          <w:rFonts w:hint="eastAsia"/>
        </w:rPr>
        <w:tab/>
      </w:r>
      <w:r>
        <w:rPr>
          <w:rFonts w:hint="eastAsia"/>
        </w:rPr>
        <w:fldChar w:fldCharType="begin"/>
      </w:r>
      <w:r>
        <w:rPr>
          <w:rFonts w:hint="eastAsia"/>
        </w:rPr>
        <w:instrText xml:space="preserve"> </w:instrText>
      </w:r>
      <w:r>
        <w:instrText xml:space="preserve">PAGEREF _Toc182828227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33413DB1">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"_Toc182828228" </w:instrText>
      </w:r>
      <w:r>
        <w:fldChar w:fldCharType="separate"/>
      </w:r>
      <w:r>
        <w:rPr>
          <w:rStyle w:val="35"/>
          <w:rFonts w:hint="eastAsia"/>
        </w:rPr>
        <w:t>7</w:t>
      </w:r>
      <w:r>
        <w:rPr>
          <w:rStyle w:val="35"/>
        </w:rPr>
        <w:t xml:space="preserve"> </w:t>
      </w:r>
      <w:r>
        <w:rPr>
          <w:rStyle w:val="35"/>
          <w:rFonts w:hint="eastAsia"/>
        </w:rPr>
        <w:t xml:space="preserve"> 调试</w:t>
      </w:r>
      <w:r>
        <w:rPr>
          <w:rFonts w:hint="eastAsia"/>
        </w:rPr>
        <w:tab/>
      </w:r>
      <w:r>
        <w:rPr>
          <w:rFonts w:hint="eastAsia"/>
        </w:rPr>
        <w:fldChar w:fldCharType="begin"/>
      </w:r>
      <w:r>
        <w:rPr>
          <w:rFonts w:hint="eastAsia"/>
        </w:rPr>
        <w:instrText xml:space="preserve"> </w:instrText>
      </w:r>
      <w:r>
        <w:instrText xml:space="preserve">PAGEREF _Toc182828228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68E889AA">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"_Toc182828229" </w:instrText>
      </w:r>
      <w:r>
        <w:fldChar w:fldCharType="separate"/>
      </w:r>
      <w:r>
        <w:rPr>
          <w:rStyle w:val="35"/>
          <w:rFonts w:hint="eastAsia"/>
        </w:rPr>
        <w:t>8</w:t>
      </w:r>
      <w:r>
        <w:rPr>
          <w:rStyle w:val="35"/>
        </w:rPr>
        <w:t xml:space="preserve"> </w:t>
      </w:r>
      <w:r>
        <w:rPr>
          <w:rStyle w:val="35"/>
          <w:rFonts w:hint="eastAsia"/>
        </w:rPr>
        <w:t xml:space="preserve"> 验收</w:t>
      </w:r>
      <w:r>
        <w:rPr>
          <w:rFonts w:hint="eastAsia"/>
        </w:rPr>
        <w:tab/>
      </w:r>
      <w:r>
        <w:rPr>
          <w:rFonts w:hint="eastAsia"/>
        </w:rPr>
        <w:fldChar w:fldCharType="begin"/>
      </w:r>
      <w:r>
        <w:rPr>
          <w:rFonts w:hint="eastAsia"/>
        </w:rPr>
        <w:instrText xml:space="preserve"> </w:instrText>
      </w:r>
      <w:r>
        <w:instrText xml:space="preserve">PAGEREF _Toc182828229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3BF61AD8">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"_Toc182828230" </w:instrText>
      </w:r>
      <w:r>
        <w:fldChar w:fldCharType="separate"/>
      </w:r>
      <w:r>
        <w:rPr>
          <w:rStyle w:val="35"/>
          <w:rFonts w:hint="eastAsia"/>
        </w:rPr>
        <w:t>附录A（资料性）</w:t>
      </w:r>
      <w:r>
        <w:rPr>
          <w:rStyle w:val="35"/>
        </w:rPr>
        <w:t xml:space="preserve"> </w:t>
      </w:r>
      <w:r>
        <w:rPr>
          <w:rStyle w:val="35"/>
          <w:rFonts w:hint="eastAsia"/>
        </w:rPr>
        <w:t xml:space="preserve"> 高速公路分布式光伏发电工程建设流程</w:t>
      </w:r>
      <w:r>
        <w:rPr>
          <w:rFonts w:hint="eastAsia"/>
        </w:rPr>
        <w:tab/>
      </w:r>
      <w:r>
        <w:rPr>
          <w:rFonts w:hint="eastAsia"/>
        </w:rPr>
        <w:fldChar w:fldCharType="begin"/>
      </w:r>
      <w:r>
        <w:rPr>
          <w:rFonts w:hint="eastAsia"/>
        </w:rPr>
        <w:instrText xml:space="preserve"> </w:instrText>
      </w:r>
      <w:r>
        <w:instrText xml:space="preserve">PAGEREF _Toc182828230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1468BFE9">
      <w:pPr>
        <w:pStyle w:val="94"/>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21AE9D3E">
      <w:pPr>
        <w:pStyle w:val="92"/>
        <w:spacing w:before="900" w:after="468"/>
      </w:pPr>
      <w:bookmarkStart w:id="29" w:name="_Toc182828221"/>
      <w:bookmarkStart w:id="30" w:name="BookMark2"/>
      <w:r>
        <w:rPr>
          <w:rFonts w:hint="eastAsia"/>
          <w:spacing w:val="320"/>
        </w:rPr>
        <w:t>前</w:t>
      </w:r>
      <w:r>
        <w:rPr>
          <w:rFonts w:hint="eastAsia"/>
        </w:rPr>
        <w:t>言</w:t>
      </w:r>
      <w:bookmarkEnd w:id="22"/>
      <w:bookmarkEnd w:id="23"/>
      <w:bookmarkEnd w:id="24"/>
      <w:bookmarkEnd w:id="25"/>
      <w:bookmarkEnd w:id="26"/>
      <w:bookmarkEnd w:id="27"/>
      <w:bookmarkEnd w:id="28"/>
      <w:bookmarkEnd w:id="29"/>
    </w:p>
    <w:p w14:paraId="42D30C18">
      <w:pPr>
        <w:pStyle w:val="59"/>
        <w:ind w:firstLine="420"/>
      </w:pPr>
      <w:r>
        <w:rPr>
          <w:rFonts w:hint="eastAsia"/>
        </w:rPr>
        <w:t>本文件按照GB/T 1.1—2020《标准化工作导则  第1部分：标准化文件的结构和起草规则》的规定起草。</w:t>
      </w:r>
    </w:p>
    <w:p w14:paraId="3583D3E1">
      <w:pPr>
        <w:pStyle w:val="59"/>
        <w:ind w:firstLine="420"/>
      </w:pPr>
      <w:r>
        <w:rPr>
          <w:rFonts w:hint="eastAsia"/>
        </w:rPr>
        <w:t>本文件由河北省交通运输厅提出并归口。</w:t>
      </w:r>
    </w:p>
    <w:p w14:paraId="1D642C71">
      <w:pPr>
        <w:pStyle w:val="59"/>
        <w:ind w:firstLine="420"/>
      </w:pPr>
      <w:r>
        <w:rPr>
          <w:rFonts w:hint="eastAsia"/>
        </w:rPr>
        <w:t>请注意本文件的某些内容可能涉及专利。本文件的发布机构不承担识别专利的责任。</w:t>
      </w:r>
    </w:p>
    <w:p w14:paraId="2709AC64">
      <w:pPr>
        <w:pStyle w:val="59"/>
        <w:ind w:firstLine="420"/>
      </w:pPr>
      <w:r>
        <w:rPr>
          <w:rFonts w:hint="eastAsia"/>
        </w:rPr>
        <w:t>本文件起草单位：河北省高速集团生态建设有限公司、河北水利电力</w:t>
      </w:r>
      <w:r>
        <w:t>学院</w:t>
      </w:r>
      <w:r>
        <w:rPr>
          <w:rFonts w:hint="eastAsia"/>
          <w:lang w:eastAsia="zh-CN"/>
        </w:rPr>
        <w:t>、河北远践交通科学研究有限公司</w:t>
      </w:r>
      <w:r>
        <w:rPr>
          <w:rFonts w:hint="eastAsia"/>
        </w:rPr>
        <w:t>。</w:t>
      </w:r>
    </w:p>
    <w:p w14:paraId="39273ACA">
      <w:pPr>
        <w:pStyle w:val="59"/>
        <w:ind w:firstLine="420"/>
      </w:pPr>
      <w:r>
        <w:rPr>
          <w:rFonts w:hint="eastAsia"/>
        </w:rPr>
        <w:t>本文件主要起草人：</w:t>
      </w:r>
    </w:p>
    <w:p w14:paraId="310735A5">
      <w:pPr>
        <w:pStyle w:val="59"/>
        <w:ind w:firstLine="420"/>
      </w:pPr>
    </w:p>
    <w:p w14:paraId="50A26465">
      <w:pPr>
        <w:pStyle w:val="59"/>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30"/>
    <w:p w14:paraId="6492AF2D">
      <w:pPr>
        <w:spacing w:line="20" w:lineRule="exact"/>
        <w:jc w:val="center"/>
        <w:rPr>
          <w:rFonts w:hint="eastAsia" w:ascii="黑体" w:hAnsi="黑体" w:eastAsia="黑体"/>
          <w:sz w:val="32"/>
          <w:szCs w:val="32"/>
        </w:rPr>
      </w:pPr>
      <w:bookmarkStart w:id="31" w:name="BookMark4"/>
    </w:p>
    <w:p w14:paraId="6A5735AD">
      <w:pPr>
        <w:spacing w:line="20" w:lineRule="exact"/>
        <w:jc w:val="center"/>
        <w:rPr>
          <w:rFonts w:hint="eastAsia" w:ascii="黑体" w:hAnsi="黑体" w:eastAsia="黑体"/>
          <w:sz w:val="32"/>
          <w:szCs w:val="32"/>
        </w:rPr>
      </w:pPr>
    </w:p>
    <w:sdt>
      <w:sdtPr>
        <w:tag w:val="NEW_STAND_NAME"/>
        <w:id w:val="595910757"/>
        <w:lock w:val="sdtLocked"/>
        <w:placeholder>
          <w:docPart w:val="F14FD32C7D574E7ABF940B9DEC40FE43"/>
        </w:placeholder>
      </w:sdtPr>
      <w:sdtContent>
        <w:p w14:paraId="2EB31001">
          <w:pPr>
            <w:pStyle w:val="180"/>
            <w:spacing w:before="3" w:beforeLines="1" w:after="686" w:afterLines="220"/>
            <w:rPr>
              <w:rFonts w:hint="eastAsia"/>
            </w:rPr>
          </w:pPr>
          <w:bookmarkStart w:id="32" w:name="NEW_STAND_NAME"/>
          <w:r>
            <w:rPr>
              <w:rFonts w:hint="eastAsia"/>
            </w:rPr>
            <w:br w:type="textWrapping"/>
          </w:r>
          <w:r>
            <w:rPr>
              <w:rFonts w:hint="eastAsia"/>
            </w:rPr>
            <w:t>高速公路分布式光伏发电工程技术规范</w:t>
          </w:r>
        </w:p>
      </w:sdtContent>
    </w:sdt>
    <w:bookmarkEnd w:id="32"/>
    <w:p w14:paraId="2679CE42">
      <w:pPr>
        <w:pStyle w:val="107"/>
        <w:spacing w:before="312" w:after="312"/>
      </w:pPr>
      <w:bookmarkStart w:id="33" w:name="_Toc17233333"/>
      <w:bookmarkStart w:id="34" w:name="_Toc182637124"/>
      <w:bookmarkStart w:id="35" w:name="_Toc26986771"/>
      <w:bookmarkStart w:id="36" w:name="_Toc182724643"/>
      <w:bookmarkStart w:id="37" w:name="_Toc182723220"/>
      <w:bookmarkStart w:id="38" w:name="_Toc182637390"/>
      <w:bookmarkStart w:id="39" w:name="_Toc182691720"/>
      <w:bookmarkStart w:id="40" w:name="_Toc24884211"/>
      <w:bookmarkStart w:id="41" w:name="_Toc182723013"/>
      <w:bookmarkStart w:id="42" w:name="_Toc182609542"/>
      <w:bookmarkStart w:id="43" w:name="_Toc97191423"/>
      <w:bookmarkStart w:id="44" w:name="_Toc182722964"/>
      <w:bookmarkStart w:id="45" w:name="_Toc26986530"/>
      <w:bookmarkStart w:id="46" w:name="_Toc26718930"/>
      <w:bookmarkStart w:id="47" w:name="_Toc17233325"/>
      <w:bookmarkStart w:id="48" w:name="_Toc24884218"/>
      <w:bookmarkStart w:id="49" w:name="_Toc182828222"/>
      <w:bookmarkStart w:id="50" w:name="_Toc26648465"/>
      <w:r>
        <w:rPr>
          <w:rFonts w:hint="eastAsia"/>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29EA6FED">
      <w:pPr>
        <w:pStyle w:val="59"/>
        <w:ind w:firstLine="420"/>
      </w:pPr>
      <w:bookmarkStart w:id="51" w:name="_Toc17233334"/>
      <w:bookmarkStart w:id="52" w:name="_Toc24884219"/>
      <w:bookmarkStart w:id="53" w:name="_Toc26648466"/>
      <w:bookmarkStart w:id="54" w:name="_Toc24884212"/>
      <w:bookmarkStart w:id="55" w:name="_Toc17233326"/>
      <w:r>
        <w:rPr>
          <w:rFonts w:hint="eastAsia"/>
        </w:rPr>
        <w:t>本规范规定了高速公路路堤边坡、匝道圈和服务区光伏发电工程的基本规定、项目选址、技术要求、施工交通组织、监控测量和环境保护与水土保持的要求，本规范适用于既有高速公路路堤边坡、匝道圈和服务区分布式光伏发电工程建设，新建、改扩建高速公路建设光伏发电工程可参照执行。</w:t>
      </w:r>
    </w:p>
    <w:p w14:paraId="21D4A88C">
      <w:pPr>
        <w:pStyle w:val="59"/>
        <w:ind w:firstLine="420"/>
      </w:pPr>
      <w:r>
        <w:rPr>
          <w:rFonts w:hint="eastAsia"/>
        </w:rPr>
        <w:t>本规范适用于10kV及以下电压等级的高速公路分布式光伏发电系统建设。</w:t>
      </w:r>
    </w:p>
    <w:p w14:paraId="7652C757">
      <w:pPr>
        <w:pStyle w:val="107"/>
        <w:spacing w:before="312" w:after="312"/>
      </w:pPr>
      <w:bookmarkStart w:id="56" w:name="_Toc182723014"/>
      <w:bookmarkStart w:id="57" w:name="_Toc182722965"/>
      <w:bookmarkStart w:id="58" w:name="_Toc182723221"/>
      <w:bookmarkStart w:id="59" w:name="_Toc182691721"/>
      <w:bookmarkStart w:id="60" w:name="_Toc182637125"/>
      <w:bookmarkStart w:id="61" w:name="_Toc26718931"/>
      <w:bookmarkStart w:id="62" w:name="_Toc26986772"/>
      <w:bookmarkStart w:id="63" w:name="_Toc182828223"/>
      <w:bookmarkStart w:id="64" w:name="_Toc182637391"/>
      <w:bookmarkStart w:id="65" w:name="_Toc97191424"/>
      <w:bookmarkStart w:id="66" w:name="_Toc26986531"/>
      <w:bookmarkStart w:id="67" w:name="_Toc182609543"/>
      <w:bookmarkStart w:id="68" w:name="_Toc182724644"/>
      <w:r>
        <w:rPr>
          <w:rFonts w:hint="eastAsia"/>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sdt>
      <w:sdtPr>
        <w:rPr>
          <w:rFonts w:hint="eastAsia"/>
        </w:rPr>
        <w:id w:val="715848253"/>
        <w:placeholder>
          <w:docPart w:val="57AAA5801CA44807ABA828D7CAFEE4C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60B6558E">
          <w:pPr>
            <w:pStyle w:val="59"/>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DFD19A7">
      <w:pPr>
        <w:pStyle w:val="59"/>
        <w:ind w:firstLine="420"/>
      </w:pPr>
      <w:r>
        <w:t>GB/T38335光伏发电站运行规程</w:t>
      </w:r>
    </w:p>
    <w:p w14:paraId="01CDF92F">
      <w:pPr>
        <w:pStyle w:val="59"/>
        <w:ind w:firstLine="420"/>
      </w:pPr>
      <w:r>
        <w:t>GB50009建筑结构荷载规范</w:t>
      </w:r>
    </w:p>
    <w:p w14:paraId="55DD278F">
      <w:pPr>
        <w:pStyle w:val="59"/>
        <w:ind w:firstLine="420"/>
      </w:pPr>
      <w:r>
        <w:t>GB50217电力工程电缆设计标准</w:t>
      </w:r>
    </w:p>
    <w:p w14:paraId="20438E97">
      <w:pPr>
        <w:pStyle w:val="59"/>
        <w:ind w:firstLine="420"/>
      </w:pPr>
      <w:r>
        <w:t>GB50794光伏发电站施工规范</w:t>
      </w:r>
    </w:p>
    <w:p w14:paraId="5AC20814">
      <w:pPr>
        <w:pStyle w:val="59"/>
        <w:ind w:firstLine="420"/>
      </w:pPr>
      <w:r>
        <w:t>GB50797光伏发电站设计规范</w:t>
      </w:r>
    </w:p>
    <w:p w14:paraId="60BCBD35">
      <w:pPr>
        <w:pStyle w:val="59"/>
        <w:ind w:firstLine="420"/>
      </w:pPr>
      <w:r>
        <w:t>GB51101太阳能发电站支架基础技术规范</w:t>
      </w:r>
    </w:p>
    <w:p w14:paraId="43B38135">
      <w:pPr>
        <w:pStyle w:val="59"/>
        <w:ind w:firstLine="420"/>
      </w:pPr>
      <w:r>
        <w:t>GB/T21086建筑幕墙</w:t>
      </w:r>
    </w:p>
    <w:p w14:paraId="587097C2">
      <w:pPr>
        <w:pStyle w:val="59"/>
        <w:ind w:firstLine="420"/>
      </w:pPr>
      <w:r>
        <w:t>GB/T29321光伏发电站无功补偿技术规范</w:t>
      </w:r>
    </w:p>
    <w:p w14:paraId="727ACE95">
      <w:pPr>
        <w:pStyle w:val="59"/>
        <w:ind w:firstLine="420"/>
      </w:pPr>
      <w:r>
        <w:t>GB/T32512光伏发电站防雷技术要求</w:t>
      </w:r>
    </w:p>
    <w:p w14:paraId="6C54138D">
      <w:pPr>
        <w:pStyle w:val="59"/>
        <w:ind w:firstLine="420"/>
      </w:pPr>
      <w:r>
        <w:t>GB/T33342户用分布式光伏发电并网接口技术规范</w:t>
      </w:r>
    </w:p>
    <w:p w14:paraId="707EF7F0">
      <w:pPr>
        <w:pStyle w:val="59"/>
        <w:ind w:firstLine="420"/>
      </w:pPr>
      <w:r>
        <w:t>GB/T33599光伏发电站并网运行控制规范</w:t>
      </w:r>
    </w:p>
    <w:p w14:paraId="51FAABCC">
      <w:pPr>
        <w:pStyle w:val="59"/>
        <w:ind w:firstLine="420"/>
      </w:pPr>
      <w:r>
        <w:t>GB/T34932分布式光伏发电系统远程监控技术规范</w:t>
      </w:r>
    </w:p>
    <w:p w14:paraId="189D8375">
      <w:pPr>
        <w:pStyle w:val="59"/>
        <w:ind w:firstLine="420"/>
      </w:pPr>
      <w:r>
        <w:t>GB/T36963光伏建筑一体化系统防雷技术规范</w:t>
      </w:r>
    </w:p>
    <w:p w14:paraId="6DC8EAE1">
      <w:pPr>
        <w:pStyle w:val="59"/>
        <w:ind w:firstLine="420"/>
      </w:pPr>
      <w:r>
        <w:t>GB/T37408光伏发电并网逆变器技术要求</w:t>
      </w:r>
    </w:p>
    <w:p w14:paraId="4FE7AF9A">
      <w:pPr>
        <w:pStyle w:val="59"/>
        <w:ind w:firstLine="420"/>
      </w:pPr>
      <w:r>
        <w:t>GB/T50796光伏发电工程验收规范</w:t>
      </w:r>
    </w:p>
    <w:p w14:paraId="06487626">
      <w:pPr>
        <w:pStyle w:val="59"/>
        <w:ind w:firstLine="420"/>
      </w:pPr>
      <w:r>
        <w:rPr>
          <w:rFonts w:hint="eastAsia"/>
        </w:rPr>
        <w:t>GB/T14549电能质量公用电网谐波</w:t>
      </w:r>
    </w:p>
    <w:p w14:paraId="24E9430F">
      <w:pPr>
        <w:pStyle w:val="59"/>
        <w:ind w:firstLine="420"/>
      </w:pPr>
      <w:r>
        <w:rPr>
          <w:rFonts w:hint="eastAsia"/>
        </w:rPr>
        <w:t>GB/T15543电能质量三相电压不平衡</w:t>
      </w:r>
    </w:p>
    <w:p w14:paraId="23BE5338">
      <w:pPr>
        <w:pStyle w:val="59"/>
        <w:ind w:firstLine="420"/>
      </w:pPr>
      <w:r>
        <w:rPr>
          <w:rFonts w:hint="eastAsia"/>
        </w:rPr>
        <w:t>GB/T12325电能质量供电电压偏差</w:t>
      </w:r>
    </w:p>
    <w:p w14:paraId="578B4ABB">
      <w:pPr>
        <w:pStyle w:val="59"/>
        <w:ind w:firstLine="420"/>
      </w:pPr>
      <w:r>
        <w:rPr>
          <w:rFonts w:hint="eastAsia"/>
        </w:rPr>
        <w:t>GB/T12326电能质量电压波动和闪变</w:t>
      </w:r>
    </w:p>
    <w:p w14:paraId="15BEDB67">
      <w:pPr>
        <w:pStyle w:val="59"/>
        <w:ind w:firstLine="420"/>
      </w:pPr>
      <w:r>
        <w:t>GB50693坡屋面工程技术规范</w:t>
      </w:r>
    </w:p>
    <w:p w14:paraId="55F3AE5F">
      <w:pPr>
        <w:pStyle w:val="59"/>
        <w:ind w:firstLine="420"/>
      </w:pPr>
      <w:r>
        <w:t>JG/T492建筑用光伏构件通用技术要求</w:t>
      </w:r>
    </w:p>
    <w:p w14:paraId="007555F2">
      <w:pPr>
        <w:pStyle w:val="59"/>
        <w:ind w:firstLine="420"/>
      </w:pPr>
      <w:r>
        <w:t>JG/T535建筑用柔性薄膜光伏组件</w:t>
      </w:r>
    </w:p>
    <w:p w14:paraId="306ED9D1">
      <w:pPr>
        <w:pStyle w:val="59"/>
        <w:ind w:firstLine="420"/>
      </w:pPr>
      <w:r>
        <w:t>JTG</w:t>
      </w:r>
      <w:r>
        <w:rPr>
          <w:rFonts w:hint="eastAsia"/>
        </w:rPr>
        <w:t>/</w:t>
      </w:r>
      <w:r>
        <w:t>TD33公路排水设计规范</w:t>
      </w:r>
    </w:p>
    <w:p w14:paraId="27A6E38C">
      <w:pPr>
        <w:pStyle w:val="59"/>
        <w:ind w:firstLine="420"/>
      </w:pPr>
      <w:r>
        <w:t>JTGD81公路交通安全设施设计规范</w:t>
      </w:r>
    </w:p>
    <w:p w14:paraId="48742ED0">
      <w:pPr>
        <w:pStyle w:val="59"/>
        <w:ind w:firstLine="420"/>
      </w:pPr>
      <w:r>
        <w:t>JTGH30公路养护安全作业规程</w:t>
      </w:r>
    </w:p>
    <w:p w14:paraId="2C34C58E">
      <w:pPr>
        <w:pStyle w:val="59"/>
        <w:ind w:firstLine="420"/>
      </w:pPr>
      <w:r>
        <w:t>NB/T32004</w:t>
      </w:r>
      <w:r>
        <w:rPr>
          <w:rFonts w:hint="eastAsia"/>
        </w:rPr>
        <w:t>光伏发电并网逆变器技术规范</w:t>
      </w:r>
    </w:p>
    <w:p w14:paraId="7F8BAE9A">
      <w:pPr>
        <w:pStyle w:val="59"/>
        <w:ind w:firstLine="420"/>
      </w:pPr>
      <w:r>
        <w:t>NB/T42073光伏发电系统用电缆</w:t>
      </w:r>
    </w:p>
    <w:p w14:paraId="2CB637DE">
      <w:pPr>
        <w:pStyle w:val="59"/>
        <w:ind w:firstLine="420"/>
      </w:pPr>
      <w:r>
        <w:t>NB/T42142光伏并网微型逆变器技术规</w:t>
      </w:r>
      <w:r>
        <w:rPr>
          <w:rFonts w:hint="eastAsia"/>
        </w:rPr>
        <w:t>范</w:t>
      </w:r>
    </w:p>
    <w:p w14:paraId="658A051B">
      <w:pPr>
        <w:pStyle w:val="59"/>
        <w:ind w:firstLine="420"/>
      </w:pPr>
      <w:r>
        <w:t>JTG/T3383</w:t>
      </w:r>
      <w:r>
        <w:rPr>
          <w:rFonts w:hint="eastAsia"/>
        </w:rPr>
        <w:t>公路通信及电力管道设计规范</w:t>
      </w:r>
    </w:p>
    <w:p w14:paraId="7AF2C541">
      <w:pPr>
        <w:pStyle w:val="59"/>
        <w:ind w:firstLine="420"/>
      </w:pPr>
      <w:r>
        <w:t>GB/T37655光伏与建筑一体化发电系统验收规范</w:t>
      </w:r>
    </w:p>
    <w:p w14:paraId="4E8656C2">
      <w:pPr>
        <w:pStyle w:val="59"/>
        <w:ind w:firstLine="420"/>
      </w:pPr>
      <w:r>
        <w:rPr>
          <w:rFonts w:hint="eastAsia"/>
        </w:rPr>
        <w:t>GB/T51368建筑光伏系统应用技术标准</w:t>
      </w:r>
    </w:p>
    <w:p w14:paraId="4D7D54A1">
      <w:pPr>
        <w:pStyle w:val="59"/>
        <w:ind w:firstLine="420"/>
      </w:pPr>
      <w:r>
        <w:rPr>
          <w:rFonts w:hint="eastAsia"/>
        </w:rPr>
        <w:t>GB50303建筑电气工程施工质量验收规范</w:t>
      </w:r>
    </w:p>
    <w:p w14:paraId="5C249062">
      <w:pPr>
        <w:pStyle w:val="59"/>
        <w:ind w:firstLine="420"/>
      </w:pPr>
      <w:r>
        <w:rPr>
          <w:rFonts w:hint="eastAsia"/>
        </w:rPr>
        <w:t>GB50057建筑物防雷设计规范</w:t>
      </w:r>
    </w:p>
    <w:p w14:paraId="01C3EF06">
      <w:pPr>
        <w:pStyle w:val="59"/>
        <w:ind w:firstLine="420"/>
      </w:pPr>
      <w:r>
        <w:rPr>
          <w:rFonts w:hint="eastAsia"/>
        </w:rPr>
        <w:t>GB50068建筑结构可靠性设计统一标准</w:t>
      </w:r>
    </w:p>
    <w:p w14:paraId="54B5707A">
      <w:pPr>
        <w:pStyle w:val="59"/>
        <w:ind w:firstLine="420"/>
      </w:pPr>
      <w:r>
        <w:rPr>
          <w:rFonts w:hint="eastAsia"/>
        </w:rPr>
        <w:t>GB50153工程结构可靠性设计统一标准</w:t>
      </w:r>
    </w:p>
    <w:p w14:paraId="4FA8D41C">
      <w:pPr>
        <w:pStyle w:val="59"/>
        <w:ind w:firstLine="420"/>
      </w:pPr>
      <w:r>
        <w:rPr>
          <w:rFonts w:hint="eastAsia"/>
        </w:rPr>
        <w:t>JG/T490太阳能光伏系统支架通用技术要求</w:t>
      </w:r>
    </w:p>
    <w:p w14:paraId="1ADE1436">
      <w:pPr>
        <w:pStyle w:val="59"/>
        <w:ind w:firstLine="420"/>
      </w:pPr>
      <w:r>
        <w:rPr>
          <w:rFonts w:hint="eastAsia"/>
        </w:rPr>
        <w:t>GB50429铝合金结构设计规范</w:t>
      </w:r>
    </w:p>
    <w:p w14:paraId="54BA0D85">
      <w:pPr>
        <w:pStyle w:val="59"/>
        <w:ind w:firstLine="420"/>
      </w:pPr>
      <w:r>
        <w:rPr>
          <w:rFonts w:hint="eastAsia"/>
        </w:rPr>
        <w:t>GB50017钢结构设计标准</w:t>
      </w:r>
    </w:p>
    <w:p w14:paraId="00A5801C">
      <w:pPr>
        <w:pStyle w:val="59"/>
        <w:ind w:firstLine="420"/>
      </w:pPr>
      <w:r>
        <w:rPr>
          <w:rFonts w:hint="eastAsia"/>
        </w:rPr>
        <w:t>GB50896压型金属板工程应用技术规范</w:t>
      </w:r>
    </w:p>
    <w:p w14:paraId="68306F03">
      <w:pPr>
        <w:pStyle w:val="59"/>
        <w:ind w:firstLine="420"/>
      </w:pPr>
      <w:r>
        <w:rPr>
          <w:rFonts w:hint="eastAsia"/>
        </w:rPr>
        <w:t>GB/T9535地面用晶体硅光伏组件设计鉴定和定型</w:t>
      </w:r>
    </w:p>
    <w:p w14:paraId="251FB2D0">
      <w:pPr>
        <w:pStyle w:val="59"/>
        <w:ind w:firstLine="420"/>
      </w:pPr>
      <w:r>
        <w:rPr>
          <w:rFonts w:hint="eastAsia"/>
        </w:rPr>
        <w:t>GB/T18911地面用薄膜光伏组件设计鉴定和定型</w:t>
      </w:r>
    </w:p>
    <w:p w14:paraId="4C1BAA02">
      <w:pPr>
        <w:pStyle w:val="59"/>
        <w:ind w:firstLine="420"/>
      </w:pPr>
      <w:r>
        <w:rPr>
          <w:rFonts w:hint="eastAsia"/>
        </w:rPr>
        <w:t>JGJ203民用建筑太阳能光伏系统应用技术规范</w:t>
      </w:r>
    </w:p>
    <w:p w14:paraId="5C55DD66">
      <w:pPr>
        <w:pStyle w:val="59"/>
        <w:ind w:firstLine="420"/>
      </w:pPr>
      <w:r>
        <w:rPr>
          <w:rFonts w:hint="eastAsia"/>
        </w:rPr>
        <w:t>GB/T34933光伏发电站汇流箱检测技术规程</w:t>
      </w:r>
    </w:p>
    <w:p w14:paraId="651B879E">
      <w:pPr>
        <w:pStyle w:val="59"/>
        <w:ind w:firstLine="420"/>
      </w:pPr>
      <w:r>
        <w:rPr>
          <w:rFonts w:hint="eastAsia"/>
        </w:rPr>
        <w:t>GB/T34936光伏发电站汇流箱技术要求</w:t>
      </w:r>
    </w:p>
    <w:p w14:paraId="6C2E9203">
      <w:pPr>
        <w:pStyle w:val="59"/>
        <w:ind w:firstLine="420"/>
      </w:pPr>
      <w:r>
        <w:rPr>
          <w:rFonts w:hint="eastAsia"/>
        </w:rPr>
        <w:t>GB/T36558电力系统电化学储能系统通用技术条件</w:t>
      </w:r>
    </w:p>
    <w:p w14:paraId="51A46038">
      <w:pPr>
        <w:pStyle w:val="59"/>
        <w:ind w:firstLine="420"/>
      </w:pPr>
      <w:r>
        <w:rPr>
          <w:rFonts w:hint="eastAsia"/>
        </w:rPr>
        <w:t>GB51048电化学储能电站设计规范</w:t>
      </w:r>
    </w:p>
    <w:p w14:paraId="2A0C2A2C">
      <w:pPr>
        <w:pStyle w:val="59"/>
        <w:ind w:firstLine="420"/>
      </w:pPr>
      <w:r>
        <w:rPr>
          <w:rFonts w:hint="eastAsia"/>
        </w:rPr>
        <w:t>GB50227并联电容器装置设计规范</w:t>
      </w:r>
    </w:p>
    <w:p w14:paraId="2FBAAE0E">
      <w:pPr>
        <w:pStyle w:val="59"/>
        <w:ind w:firstLine="420"/>
      </w:pPr>
      <w:r>
        <w:rPr>
          <w:rFonts w:hint="eastAsia"/>
        </w:rPr>
        <w:t>DL/T620交流电气装置的过电压保护和绝缘配合</w:t>
      </w:r>
    </w:p>
    <w:p w14:paraId="27B42149">
      <w:pPr>
        <w:pStyle w:val="59"/>
        <w:ind w:firstLine="420"/>
      </w:pPr>
      <w:r>
        <w:rPr>
          <w:rFonts w:hint="eastAsia"/>
        </w:rPr>
        <w:t>GB/T14285 继电保护和安全自动装置技术规程</w:t>
      </w:r>
    </w:p>
    <w:p w14:paraId="446DAAF6">
      <w:pPr>
        <w:pStyle w:val="59"/>
        <w:ind w:firstLine="420"/>
      </w:pPr>
      <w:r>
        <w:rPr>
          <w:rFonts w:hint="eastAsia"/>
        </w:rPr>
        <w:t>DL/T5044电力工程直流系统设计技术规程</w:t>
      </w:r>
    </w:p>
    <w:p w14:paraId="3E44771C">
      <w:pPr>
        <w:pStyle w:val="59"/>
        <w:ind w:firstLine="420"/>
      </w:pPr>
      <w:r>
        <w:rPr>
          <w:rFonts w:hint="eastAsia"/>
        </w:rPr>
        <w:t>GB50168电气装置安装工程电缆线路施工及验收规范</w:t>
      </w:r>
    </w:p>
    <w:p w14:paraId="639A3B8C">
      <w:pPr>
        <w:pStyle w:val="59"/>
        <w:ind w:firstLine="420"/>
      </w:pPr>
      <w:r>
        <w:rPr>
          <w:rFonts w:hint="eastAsia"/>
        </w:rPr>
        <w:t>GB50205钢结构工程施工质量验收规范</w:t>
      </w:r>
    </w:p>
    <w:p w14:paraId="2EEB438D">
      <w:pPr>
        <w:pStyle w:val="59"/>
        <w:ind w:firstLine="420"/>
      </w:pPr>
      <w:r>
        <w:rPr>
          <w:rFonts w:hint="eastAsia"/>
        </w:rPr>
        <w:t>GB50018冷弯薄壁型钢结构技术规范</w:t>
      </w:r>
    </w:p>
    <w:p w14:paraId="128B3BF6">
      <w:pPr>
        <w:pStyle w:val="59"/>
        <w:ind w:firstLine="420"/>
      </w:pPr>
      <w:r>
        <w:rPr>
          <w:rFonts w:hint="eastAsia"/>
        </w:rPr>
        <w:t>GB/T50224建筑防腐蚀工程施工质量验收标准</w:t>
      </w:r>
    </w:p>
    <w:p w14:paraId="028807A4">
      <w:pPr>
        <w:pStyle w:val="59"/>
        <w:ind w:firstLine="420"/>
      </w:pPr>
      <w:r>
        <w:rPr>
          <w:rFonts w:hint="eastAsia"/>
        </w:rPr>
        <w:t>GB50207屋面工程质量验收规范</w:t>
      </w:r>
    </w:p>
    <w:p w14:paraId="3799C5B1">
      <w:pPr>
        <w:pStyle w:val="59"/>
        <w:ind w:firstLine="420"/>
      </w:pPr>
      <w:r>
        <w:rPr>
          <w:rFonts w:hint="eastAsia"/>
        </w:rPr>
        <w:t>GB50168电气装置安装工程电缆线路施工及验收标准</w:t>
      </w:r>
    </w:p>
    <w:p w14:paraId="2141EA1A">
      <w:pPr>
        <w:pStyle w:val="59"/>
        <w:ind w:firstLine="420"/>
      </w:pPr>
      <w:r>
        <w:rPr>
          <w:rFonts w:hint="eastAsia"/>
        </w:rPr>
        <w:t>GB50169电气装置安装工程 接地装置施工及验收规范</w:t>
      </w:r>
    </w:p>
    <w:p w14:paraId="78BEA6E8">
      <w:pPr>
        <w:pStyle w:val="59"/>
        <w:ind w:firstLine="420"/>
      </w:pPr>
      <w:r>
        <w:rPr>
          <w:rFonts w:hint="eastAsia"/>
        </w:rPr>
        <w:t>GB50172电气装置安装工程 蓄电池施工及验收规范</w:t>
      </w:r>
    </w:p>
    <w:p w14:paraId="45160CB7">
      <w:pPr>
        <w:pStyle w:val="59"/>
        <w:ind w:firstLine="420"/>
      </w:pPr>
      <w:r>
        <w:rPr>
          <w:rFonts w:hint="eastAsia"/>
        </w:rPr>
        <w:t>GB/T14048.2低压开关设备和控制设备 第2部分：断路器</w:t>
      </w:r>
    </w:p>
    <w:p w14:paraId="79F29AD3">
      <w:pPr>
        <w:pStyle w:val="59"/>
        <w:ind w:firstLine="420"/>
      </w:pPr>
      <w:r>
        <w:rPr>
          <w:rFonts w:hint="eastAsia"/>
        </w:rPr>
        <w:t>GB50150电气装置安装工程电气设备交接试验标准</w:t>
      </w:r>
    </w:p>
    <w:p w14:paraId="6B2A8264">
      <w:pPr>
        <w:pStyle w:val="59"/>
        <w:ind w:firstLine="420"/>
      </w:pPr>
      <w:r>
        <w:rPr>
          <w:rFonts w:hint="eastAsia"/>
        </w:rPr>
        <w:t>GB/T19064家用太阳能光伏电源系统技术条件和试验方法</w:t>
      </w:r>
    </w:p>
    <w:p w14:paraId="58D92C57">
      <w:pPr>
        <w:pStyle w:val="59"/>
        <w:ind w:firstLine="420"/>
      </w:pPr>
      <w:r>
        <w:rPr>
          <w:rFonts w:hint="eastAsia"/>
        </w:rPr>
        <w:t>GB50052供配电系统设计规范</w:t>
      </w:r>
    </w:p>
    <w:p w14:paraId="69368C2A">
      <w:pPr>
        <w:pStyle w:val="59"/>
        <w:ind w:firstLine="420"/>
      </w:pPr>
      <w:r>
        <w:rPr>
          <w:rFonts w:hint="eastAsia"/>
        </w:rPr>
        <w:t>GB50693坡屋面工程技术规范</w:t>
      </w:r>
    </w:p>
    <w:p w14:paraId="12BB2BF8">
      <w:pPr>
        <w:pStyle w:val="107"/>
        <w:spacing w:before="312" w:after="312"/>
      </w:pPr>
      <w:bookmarkStart w:id="69" w:name="_Toc182724645"/>
      <w:bookmarkStart w:id="70" w:name="_Toc182637392"/>
      <w:bookmarkStart w:id="71" w:name="_Toc182828224"/>
      <w:bookmarkStart w:id="72" w:name="_Toc182723222"/>
      <w:bookmarkStart w:id="73" w:name="_Toc182723015"/>
      <w:bookmarkStart w:id="74" w:name="_Toc182691722"/>
      <w:bookmarkStart w:id="75" w:name="_Toc182722966"/>
      <w:bookmarkStart w:id="76" w:name="_Toc97191425"/>
      <w:bookmarkStart w:id="77" w:name="_Toc182609544"/>
      <w:bookmarkStart w:id="78" w:name="_Toc182637126"/>
      <w:r>
        <w:rPr>
          <w:rFonts w:hint="eastAsia"/>
          <w:szCs w:val="21"/>
        </w:rPr>
        <w:t>术语和定义</w:t>
      </w:r>
      <w:bookmarkEnd w:id="69"/>
      <w:bookmarkEnd w:id="70"/>
      <w:bookmarkEnd w:id="71"/>
      <w:bookmarkEnd w:id="72"/>
      <w:bookmarkEnd w:id="73"/>
      <w:bookmarkEnd w:id="74"/>
      <w:bookmarkEnd w:id="75"/>
      <w:bookmarkEnd w:id="76"/>
      <w:bookmarkEnd w:id="77"/>
      <w:bookmarkEnd w:id="78"/>
    </w:p>
    <w:sdt>
      <w:sdtPr>
        <w:id w:val="-1909835108"/>
        <w:placeholder>
          <w:docPart w:val="F8331462E904441E8BB9618CDB5AA83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31927441">
          <w:pPr>
            <w:pStyle w:val="59"/>
            <w:ind w:firstLine="409" w:firstLineChars="195"/>
          </w:pPr>
          <w:bookmarkStart w:id="79" w:name="_Toc26986532"/>
          <w:bookmarkEnd w:id="79"/>
          <w:r>
            <w:rPr>
              <w:rFonts w:hint="eastAsia"/>
            </w:rPr>
            <w:t>GB50797和GB51101</w:t>
          </w:r>
          <w:r>
            <w:t>界定的以及下列术语和定义适用于本文件。</w:t>
          </w:r>
        </w:p>
      </w:sdtContent>
    </w:sdt>
    <w:p w14:paraId="5A82AD11">
      <w:pPr>
        <w:pStyle w:val="226"/>
        <w:ind w:left="420" w:hanging="420" w:hangingChars="200"/>
        <w:rPr>
          <w:rFonts w:hint="eastAsia" w:ascii="黑体" w:hAnsi="黑体" w:eastAsia="黑体"/>
        </w:rPr>
      </w:pPr>
      <w:r>
        <w:rPr>
          <w:rFonts w:hint="eastAsia" w:ascii="黑体" w:hAnsi="黑体" w:eastAsia="黑体"/>
        </w:rPr>
        <w:t xml:space="preserve">高速公路路堤边坡 </w:t>
      </w:r>
      <w:r>
        <w:rPr>
          <w:rFonts w:ascii="黑体" w:hAnsi="黑体" w:eastAsia="黑体"/>
        </w:rPr>
        <w:t xml:space="preserve"> </w:t>
      </w:r>
      <w:r>
        <w:rPr>
          <w:rFonts w:hint="eastAsia" w:ascii="黑体" w:hAnsi="黑体" w:eastAsia="黑体"/>
        </w:rPr>
        <w:t>Highway embankment slope</w:t>
      </w:r>
    </w:p>
    <w:p w14:paraId="62363BA4">
      <w:pPr>
        <w:pStyle w:val="59"/>
        <w:ind w:firstLine="420"/>
      </w:pPr>
      <w:r>
        <w:rPr>
          <w:rFonts w:hint="eastAsia"/>
        </w:rPr>
        <w:t>由高速公路填方施工</w:t>
      </w:r>
      <w:r>
        <w:rPr>
          <w:rFonts w:hint="eastAsia"/>
          <w:lang w:eastAsia="zh-CN"/>
        </w:rPr>
        <w:t>，</w:t>
      </w:r>
      <w:r>
        <w:rPr>
          <w:rFonts w:hint="eastAsia"/>
        </w:rPr>
        <w:t>在路基横断面两侧与地面形成的坡面。</w:t>
      </w:r>
    </w:p>
    <w:p w14:paraId="559AF3F2">
      <w:pPr>
        <w:pStyle w:val="226"/>
        <w:ind w:left="420" w:hanging="420" w:hangingChars="200"/>
        <w:rPr>
          <w:rFonts w:hint="eastAsia" w:ascii="黑体" w:hAnsi="黑体" w:eastAsia="黑体"/>
        </w:rPr>
      </w:pPr>
      <w:r>
        <w:rPr>
          <w:rFonts w:hint="eastAsia" w:ascii="黑体" w:hAnsi="黑体" w:eastAsia="黑体"/>
        </w:rPr>
        <w:t>高速</w:t>
      </w:r>
      <w:r>
        <w:rPr>
          <w:rFonts w:ascii="黑体" w:hAnsi="黑体" w:eastAsia="黑体"/>
        </w:rPr>
        <w:t>公路</w:t>
      </w:r>
      <w:r>
        <w:rPr>
          <w:rFonts w:hint="eastAsia" w:ascii="黑体" w:hAnsi="黑体" w:eastAsia="黑体"/>
        </w:rPr>
        <w:t>匝道圈  Highway off-ramp loop</w:t>
      </w:r>
    </w:p>
    <w:p w14:paraId="348D5DF0">
      <w:pPr>
        <w:pStyle w:val="59"/>
        <w:ind w:firstLine="420"/>
      </w:pPr>
      <w:r>
        <w:rPr>
          <w:rFonts w:hint="eastAsia"/>
        </w:rPr>
        <w:t>高速公路匝道是高速公路出口或入口靠右侧的指引道路，高速公路匝道圈是高速公路匝道与主道或辅道形成的环绕包围的空地。</w:t>
      </w:r>
    </w:p>
    <w:p w14:paraId="2E597D8E">
      <w:pPr>
        <w:pStyle w:val="226"/>
        <w:ind w:left="420" w:hanging="420" w:hangingChars="200"/>
        <w:rPr>
          <w:rFonts w:hint="eastAsia" w:ascii="黑体" w:hAnsi="黑体" w:eastAsia="黑体"/>
        </w:rPr>
      </w:pPr>
      <w:r>
        <w:rPr>
          <w:rFonts w:hint="eastAsia" w:ascii="黑体" w:hAnsi="黑体" w:eastAsia="黑体"/>
        </w:rPr>
        <w:t xml:space="preserve">高速公路服务区 </w:t>
      </w:r>
      <w:r>
        <w:rPr>
          <w:rFonts w:ascii="黑体" w:hAnsi="黑体" w:eastAsia="黑体"/>
        </w:rPr>
        <w:t xml:space="preserve"> </w:t>
      </w:r>
      <w:r>
        <w:rPr>
          <w:rFonts w:hint="eastAsia" w:ascii="黑体" w:hAnsi="黑体" w:eastAsia="黑体"/>
        </w:rPr>
        <w:t>Highway service area</w:t>
      </w:r>
    </w:p>
    <w:p w14:paraId="3A32815C">
      <w:pPr>
        <w:pStyle w:val="59"/>
        <w:ind w:firstLine="420"/>
      </w:pPr>
      <w:r>
        <w:rPr>
          <w:rFonts w:hint="eastAsia"/>
        </w:rPr>
        <w:t>高速公路服务区</w:t>
      </w:r>
      <w:r>
        <w:t>是指专门为乘客和司机停留休息的场所，应提供停车场、公共厕所、加油站、车辆修理所、餐饮与小卖部等设施</w:t>
      </w:r>
      <w:r>
        <w:rPr>
          <w:rFonts w:hint="eastAsia"/>
        </w:rPr>
        <w:t>服务区域。</w:t>
      </w:r>
    </w:p>
    <w:p w14:paraId="3E9978EB">
      <w:pPr>
        <w:pStyle w:val="226"/>
        <w:ind w:left="420" w:hanging="420" w:hangingChars="200"/>
        <w:rPr>
          <w:rFonts w:hint="eastAsia" w:ascii="黑体" w:hAnsi="黑体" w:eastAsia="黑体"/>
        </w:rPr>
      </w:pPr>
      <w:r>
        <w:rPr>
          <w:rFonts w:ascii="黑体" w:hAnsi="黑体" w:eastAsia="黑体"/>
        </w:rPr>
        <w:t>螺旋桩</w:t>
      </w:r>
      <w:r>
        <w:rPr>
          <w:rFonts w:hint="eastAsia" w:ascii="黑体" w:hAnsi="黑体" w:eastAsia="黑体"/>
        </w:rPr>
        <w:t xml:space="preserve"> </w:t>
      </w:r>
      <w:r>
        <w:rPr>
          <w:rFonts w:ascii="黑体" w:hAnsi="黑体" w:eastAsia="黑体"/>
        </w:rPr>
        <w:t xml:space="preserve"> </w:t>
      </w:r>
      <w:r>
        <w:rPr>
          <w:rFonts w:hint="eastAsia" w:ascii="黑体" w:hAnsi="黑体" w:eastAsia="黑体"/>
        </w:rPr>
        <w:t>Screw pile</w:t>
      </w:r>
    </w:p>
    <w:p w14:paraId="20C0A8B0">
      <w:pPr>
        <w:pStyle w:val="59"/>
        <w:ind w:firstLine="420"/>
      </w:pPr>
      <w:r>
        <w:t>桩杆上连接一个或多个螺旋状叶片，并通过在桩顶施加扭矩旋拧钻入土中形成的一种可承受竖向和水平向荷载作用的桩。</w:t>
      </w:r>
    </w:p>
    <w:p w14:paraId="1A142F32">
      <w:pPr>
        <w:pStyle w:val="226"/>
        <w:ind w:left="420" w:hanging="420" w:hangingChars="200"/>
        <w:rPr>
          <w:rFonts w:hint="eastAsia" w:ascii="黑体" w:hAnsi="黑体" w:eastAsia="黑体"/>
        </w:rPr>
      </w:pPr>
      <w:r>
        <w:rPr>
          <w:rFonts w:ascii="黑体" w:hAnsi="黑体" w:eastAsia="黑体"/>
        </w:rPr>
        <w:t>光伏组件</w:t>
      </w:r>
      <w:r>
        <w:rPr>
          <w:rFonts w:hint="eastAsia" w:ascii="黑体" w:hAnsi="黑体" w:eastAsia="黑体"/>
        </w:rPr>
        <w:t xml:space="preserve"> </w:t>
      </w:r>
      <w:r>
        <w:rPr>
          <w:rFonts w:ascii="黑体" w:hAnsi="黑体" w:eastAsia="黑体"/>
        </w:rPr>
        <w:t xml:space="preserve"> </w:t>
      </w:r>
      <w:r>
        <w:rPr>
          <w:rFonts w:hint="eastAsia" w:ascii="黑体" w:hAnsi="黑体" w:eastAsia="黑体"/>
        </w:rPr>
        <w:t>PV module</w:t>
      </w:r>
    </w:p>
    <w:p w14:paraId="1363610A">
      <w:pPr>
        <w:pStyle w:val="59"/>
        <w:ind w:firstLine="420"/>
      </w:pPr>
      <w:r>
        <w:t>具有封装及内部联结的、能单独提供直流电输出的、最小不可分割的太阳电池组合装置</w:t>
      </w:r>
      <w:r>
        <w:rPr>
          <w:rFonts w:hint="eastAsia"/>
          <w:lang w:eastAsia="zh-CN"/>
        </w:rPr>
        <w:t>，</w:t>
      </w:r>
      <w:r>
        <w:t>又称太阳能电池组件。</w:t>
      </w:r>
    </w:p>
    <w:p w14:paraId="668E883C">
      <w:pPr>
        <w:pStyle w:val="226"/>
        <w:ind w:left="420" w:hanging="420" w:hangingChars="200"/>
        <w:rPr>
          <w:rFonts w:hint="eastAsia" w:ascii="黑体" w:hAnsi="黑体" w:eastAsia="黑体"/>
        </w:rPr>
      </w:pPr>
      <w:r>
        <w:rPr>
          <w:rFonts w:ascii="黑体" w:hAnsi="黑体" w:eastAsia="黑体"/>
        </w:rPr>
        <w:t>光伏支架</w:t>
      </w:r>
      <w:r>
        <w:rPr>
          <w:rFonts w:hint="eastAsia" w:ascii="黑体" w:hAnsi="黑体" w:eastAsia="黑体"/>
        </w:rPr>
        <w:t xml:space="preserve"> </w:t>
      </w:r>
      <w:r>
        <w:rPr>
          <w:rFonts w:ascii="黑体" w:hAnsi="黑体" w:eastAsia="黑体"/>
        </w:rPr>
        <w:t xml:space="preserve"> </w:t>
      </w:r>
      <w:r>
        <w:rPr>
          <w:rFonts w:hint="eastAsia" w:ascii="黑体" w:hAnsi="黑体" w:eastAsia="黑体"/>
        </w:rPr>
        <w:t>PV stand</w:t>
      </w:r>
    </w:p>
    <w:p w14:paraId="050D4A34">
      <w:pPr>
        <w:pStyle w:val="59"/>
        <w:ind w:firstLine="420"/>
      </w:pPr>
      <w:r>
        <w:t>光伏发电系统中为了摆放、安装、固定光伏组件而设计的专用支架，简称支架。</w:t>
      </w:r>
    </w:p>
    <w:p w14:paraId="69E46FA6">
      <w:pPr>
        <w:pStyle w:val="226"/>
        <w:ind w:left="420" w:hanging="420" w:hangingChars="200"/>
        <w:rPr>
          <w:rFonts w:hint="eastAsia" w:ascii="黑体" w:hAnsi="黑体" w:eastAsia="黑体"/>
        </w:rPr>
      </w:pPr>
      <w:r>
        <w:rPr>
          <w:rFonts w:ascii="黑体" w:hAnsi="黑体" w:eastAsia="黑体"/>
        </w:rPr>
        <w:t>逆变器</w:t>
      </w:r>
      <w:r>
        <w:rPr>
          <w:rFonts w:hint="eastAsia" w:ascii="黑体" w:hAnsi="黑体" w:eastAsia="黑体"/>
        </w:rPr>
        <w:t xml:space="preserve"> </w:t>
      </w:r>
      <w:r>
        <w:rPr>
          <w:rFonts w:ascii="黑体" w:hAnsi="黑体" w:eastAsia="黑体"/>
        </w:rPr>
        <w:t xml:space="preserve"> </w:t>
      </w:r>
      <w:r>
        <w:rPr>
          <w:rFonts w:hint="eastAsia" w:ascii="黑体" w:hAnsi="黑体" w:eastAsia="黑体"/>
        </w:rPr>
        <w:t>Inverter</w:t>
      </w:r>
    </w:p>
    <w:p w14:paraId="7B9C2D6F">
      <w:pPr>
        <w:pStyle w:val="59"/>
        <w:ind w:firstLine="420"/>
      </w:pPr>
      <w:r>
        <w:t>光伏发电站内将直流电变换成交流电的设备。</w:t>
      </w:r>
    </w:p>
    <w:p w14:paraId="3187FE60">
      <w:pPr>
        <w:pStyle w:val="226"/>
        <w:ind w:left="420" w:hanging="420" w:hangingChars="200"/>
        <w:rPr>
          <w:rFonts w:hint="eastAsia" w:ascii="黑体" w:hAnsi="黑体" w:eastAsia="黑体"/>
        </w:rPr>
      </w:pPr>
      <w:r>
        <w:rPr>
          <w:rFonts w:ascii="黑体" w:hAnsi="黑体" w:eastAsia="黑体"/>
        </w:rPr>
        <w:t>箱式变电站</w:t>
      </w:r>
      <w:r>
        <w:rPr>
          <w:rFonts w:hint="eastAsia" w:ascii="黑体" w:hAnsi="黑体" w:eastAsia="黑体"/>
        </w:rPr>
        <w:t xml:space="preserve"> </w:t>
      </w:r>
      <w:r>
        <w:rPr>
          <w:rFonts w:ascii="黑体" w:hAnsi="黑体" w:eastAsia="黑体"/>
        </w:rPr>
        <w:t xml:space="preserve"> </w:t>
      </w:r>
      <w:r>
        <w:rPr>
          <w:rFonts w:hint="eastAsia" w:ascii="黑体" w:hAnsi="黑体" w:eastAsia="黑体"/>
        </w:rPr>
        <w:t>Box-type substation</w:t>
      </w:r>
    </w:p>
    <w:p w14:paraId="493676E0">
      <w:pPr>
        <w:pStyle w:val="59"/>
        <w:ind w:firstLine="420"/>
      </w:pPr>
      <w:r>
        <w:t>将电力变压器、高压和低压开关及控制设备等集成到箱体内的整体式变配电设备。</w:t>
      </w:r>
    </w:p>
    <w:p w14:paraId="497B4C96">
      <w:pPr>
        <w:pStyle w:val="226"/>
        <w:ind w:left="420" w:hanging="420" w:hangingChars="200"/>
        <w:rPr>
          <w:rFonts w:hint="eastAsia" w:ascii="黑体" w:hAnsi="黑体" w:eastAsia="黑体"/>
        </w:rPr>
      </w:pPr>
      <w:r>
        <w:rPr>
          <w:rFonts w:ascii="黑体" w:hAnsi="黑体" w:eastAsia="黑体"/>
        </w:rPr>
        <w:t>分布式光伏发电系统</w:t>
      </w:r>
      <w:r>
        <w:rPr>
          <w:rFonts w:hint="eastAsia" w:ascii="黑体" w:hAnsi="黑体" w:eastAsia="黑体"/>
        </w:rPr>
        <w:t xml:space="preserve"> </w:t>
      </w:r>
      <w:r>
        <w:rPr>
          <w:rFonts w:ascii="黑体" w:hAnsi="黑体" w:eastAsia="黑体"/>
        </w:rPr>
        <w:t xml:space="preserve"> </w:t>
      </w:r>
      <w:r>
        <w:rPr>
          <w:rFonts w:hint="eastAsia" w:ascii="黑体" w:hAnsi="黑体" w:eastAsia="黑体"/>
        </w:rPr>
        <w:t>Distributed PV power generation system</w:t>
      </w:r>
    </w:p>
    <w:p w14:paraId="1A35EED6">
      <w:pPr>
        <w:pStyle w:val="59"/>
        <w:ind w:firstLine="420"/>
      </w:pPr>
      <w:r>
        <w:t>在用户现场或靠近用户现场，采用光伏组件，将太阳能辐射直接转换为电能的发电系统。</w:t>
      </w:r>
    </w:p>
    <w:p w14:paraId="22184124">
      <w:pPr>
        <w:pStyle w:val="226"/>
        <w:ind w:left="420" w:hanging="420" w:hangingChars="200"/>
        <w:rPr>
          <w:rFonts w:hint="eastAsia" w:ascii="黑体" w:hAnsi="黑体" w:eastAsia="黑体"/>
        </w:rPr>
      </w:pPr>
      <w:r>
        <w:rPr>
          <w:rFonts w:ascii="黑体" w:hAnsi="黑体" w:eastAsia="黑体"/>
        </w:rPr>
        <w:t>建材型光伏构件</w:t>
      </w:r>
      <w:r>
        <w:rPr>
          <w:rFonts w:hint="eastAsia" w:ascii="黑体" w:hAnsi="黑体" w:eastAsia="黑体"/>
        </w:rPr>
        <w:t xml:space="preserve"> </w:t>
      </w:r>
      <w:r>
        <w:rPr>
          <w:rFonts w:ascii="黑体" w:hAnsi="黑体" w:eastAsia="黑体"/>
        </w:rPr>
        <w:t xml:space="preserve"> PV</w:t>
      </w:r>
      <w:r>
        <w:rPr>
          <w:rFonts w:hint="eastAsia" w:ascii="黑体" w:hAnsi="黑体" w:eastAsia="黑体"/>
        </w:rPr>
        <w:t xml:space="preserve"> </w:t>
      </w:r>
      <w:r>
        <w:rPr>
          <w:rFonts w:ascii="黑体" w:hAnsi="黑体" w:eastAsia="黑体"/>
        </w:rPr>
        <w:t>modules</w:t>
      </w:r>
      <w:r>
        <w:rPr>
          <w:rFonts w:hint="eastAsia" w:ascii="黑体" w:hAnsi="黑体" w:eastAsia="黑体"/>
        </w:rPr>
        <w:t xml:space="preserve"> </w:t>
      </w:r>
      <w:r>
        <w:rPr>
          <w:rFonts w:ascii="黑体" w:hAnsi="黑体" w:eastAsia="黑体"/>
        </w:rPr>
        <w:t>building</w:t>
      </w:r>
      <w:r>
        <w:rPr>
          <w:rFonts w:hint="eastAsia" w:ascii="黑体" w:hAnsi="黑体" w:eastAsia="黑体"/>
        </w:rPr>
        <w:t xml:space="preserve"> </w:t>
      </w:r>
      <w:r>
        <w:rPr>
          <w:rFonts w:ascii="黑体" w:hAnsi="黑体" w:eastAsia="黑体"/>
        </w:rPr>
        <w:t>components</w:t>
      </w:r>
    </w:p>
    <w:p w14:paraId="1787BACD">
      <w:pPr>
        <w:pStyle w:val="59"/>
        <w:ind w:firstLine="420"/>
      </w:pPr>
      <w:r>
        <w:t>集成封装光伏发电芯片，具有光伏发电功能和建材功能的建材构件。</w:t>
      </w:r>
    </w:p>
    <w:p w14:paraId="4D161134">
      <w:pPr>
        <w:pStyle w:val="226"/>
        <w:ind w:left="420" w:hanging="420" w:hangingChars="200"/>
        <w:rPr>
          <w:rFonts w:hint="eastAsia" w:ascii="黑体" w:hAnsi="黑体" w:eastAsia="黑体"/>
        </w:rPr>
      </w:pPr>
      <w:r>
        <w:rPr>
          <w:rFonts w:ascii="黑体" w:hAnsi="黑体" w:eastAsia="黑体"/>
        </w:rPr>
        <w:t>柔性光伏组件</w:t>
      </w:r>
      <w:r>
        <w:rPr>
          <w:rFonts w:hint="eastAsia" w:ascii="黑体" w:hAnsi="黑体" w:eastAsia="黑体"/>
        </w:rPr>
        <w:t xml:space="preserve"> </w:t>
      </w:r>
      <w:r>
        <w:rPr>
          <w:rFonts w:ascii="黑体" w:hAnsi="黑体" w:eastAsia="黑体"/>
        </w:rPr>
        <w:t xml:space="preserve"> </w:t>
      </w:r>
      <w:r>
        <w:rPr>
          <w:rFonts w:hint="eastAsia" w:ascii="黑体" w:hAnsi="黑体" w:eastAsia="黑体"/>
        </w:rPr>
        <w:t>F</w:t>
      </w:r>
      <w:r>
        <w:rPr>
          <w:rFonts w:ascii="黑体" w:hAnsi="黑体" w:eastAsia="黑体"/>
        </w:rPr>
        <w:t>lexible</w:t>
      </w:r>
      <w:r>
        <w:rPr>
          <w:rFonts w:hint="eastAsia" w:ascii="黑体" w:hAnsi="黑体" w:eastAsia="黑体"/>
        </w:rPr>
        <w:t xml:space="preserve"> </w:t>
      </w:r>
      <w:r>
        <w:rPr>
          <w:rFonts w:ascii="黑体" w:hAnsi="黑体" w:eastAsia="黑体"/>
        </w:rPr>
        <w:t>PV</w:t>
      </w:r>
      <w:r>
        <w:rPr>
          <w:rFonts w:hint="eastAsia" w:ascii="黑体" w:hAnsi="黑体" w:eastAsia="黑体"/>
        </w:rPr>
        <w:t xml:space="preserve"> </w:t>
      </w:r>
      <w:r>
        <w:rPr>
          <w:rFonts w:ascii="黑体" w:hAnsi="黑体" w:eastAsia="黑体"/>
        </w:rPr>
        <w:t>module</w:t>
      </w:r>
    </w:p>
    <w:p w14:paraId="629EE3B6">
      <w:pPr>
        <w:pStyle w:val="59"/>
        <w:ind w:firstLine="420"/>
      </w:pPr>
      <w:r>
        <w:t>采用柔性材料封装，可以一定程度弯曲而保持组件各项性能不被破坏的轻型光伏组件。</w:t>
      </w:r>
    </w:p>
    <w:p w14:paraId="0492A592">
      <w:pPr>
        <w:pStyle w:val="226"/>
        <w:ind w:left="420" w:hanging="420" w:hangingChars="200"/>
        <w:rPr>
          <w:rFonts w:hint="eastAsia" w:ascii="黑体" w:hAnsi="黑体" w:eastAsia="黑体"/>
        </w:rPr>
      </w:pPr>
      <w:r>
        <w:rPr>
          <w:rFonts w:ascii="黑体" w:hAnsi="黑体" w:eastAsia="黑体"/>
        </w:rPr>
        <w:t>光伏组件串</w:t>
      </w:r>
      <w:r>
        <w:rPr>
          <w:rFonts w:hint="eastAsia" w:ascii="黑体" w:hAnsi="黑体" w:eastAsia="黑体"/>
        </w:rPr>
        <w:t xml:space="preserve"> </w:t>
      </w:r>
      <w:r>
        <w:rPr>
          <w:rFonts w:ascii="黑体" w:hAnsi="黑体" w:eastAsia="黑体"/>
        </w:rPr>
        <w:t xml:space="preserve"> PV</w:t>
      </w:r>
      <w:r>
        <w:rPr>
          <w:rFonts w:hint="eastAsia" w:ascii="黑体" w:hAnsi="黑体" w:eastAsia="黑体"/>
        </w:rPr>
        <w:t xml:space="preserve"> </w:t>
      </w:r>
      <w:r>
        <w:rPr>
          <w:rFonts w:ascii="黑体" w:hAnsi="黑体" w:eastAsia="黑体"/>
        </w:rPr>
        <w:t>modules</w:t>
      </w:r>
      <w:r>
        <w:rPr>
          <w:rFonts w:hint="eastAsia" w:ascii="黑体" w:hAnsi="黑体" w:eastAsia="黑体"/>
        </w:rPr>
        <w:t xml:space="preserve"> </w:t>
      </w:r>
      <w:r>
        <w:rPr>
          <w:rFonts w:ascii="黑体" w:hAnsi="黑体" w:eastAsia="黑体"/>
        </w:rPr>
        <w:t>string</w:t>
      </w:r>
    </w:p>
    <w:p w14:paraId="08E68D76">
      <w:pPr>
        <w:pStyle w:val="59"/>
        <w:ind w:firstLine="420"/>
      </w:pPr>
      <w:r>
        <w:t>在光伏发电系统中，将若干个光伏组件串联后，形成具有一定直流电输出的电路单元。</w:t>
      </w:r>
    </w:p>
    <w:p w14:paraId="0FCD9CEB">
      <w:pPr>
        <w:pStyle w:val="226"/>
        <w:ind w:left="420" w:hanging="420" w:hangingChars="200"/>
        <w:rPr>
          <w:rFonts w:hint="eastAsia" w:ascii="黑体" w:hAnsi="黑体" w:eastAsia="黑体"/>
        </w:rPr>
      </w:pPr>
      <w:r>
        <w:rPr>
          <w:rFonts w:ascii="黑体" w:hAnsi="黑体" w:eastAsia="黑体"/>
        </w:rPr>
        <w:t>光伏阵列</w:t>
      </w:r>
      <w:r>
        <w:rPr>
          <w:rFonts w:hint="eastAsia" w:ascii="黑体" w:hAnsi="黑体" w:eastAsia="黑体"/>
        </w:rPr>
        <w:t xml:space="preserve"> </w:t>
      </w:r>
      <w:r>
        <w:rPr>
          <w:rFonts w:ascii="黑体" w:hAnsi="黑体" w:eastAsia="黑体"/>
        </w:rPr>
        <w:t xml:space="preserve"> PV</w:t>
      </w:r>
      <w:r>
        <w:rPr>
          <w:rFonts w:hint="eastAsia" w:ascii="黑体" w:hAnsi="黑体" w:eastAsia="黑体"/>
        </w:rPr>
        <w:t xml:space="preserve"> </w:t>
      </w:r>
      <w:r>
        <w:rPr>
          <w:rFonts w:ascii="黑体" w:hAnsi="黑体" w:eastAsia="黑体"/>
        </w:rPr>
        <w:t>array</w:t>
      </w:r>
    </w:p>
    <w:p w14:paraId="5E09ADEC">
      <w:pPr>
        <w:pStyle w:val="59"/>
        <w:ind w:firstLine="420"/>
      </w:pPr>
      <w:r>
        <w:rPr>
          <w:rFonts w:hint="eastAsia"/>
        </w:rPr>
        <w:t>将若干个光伏组件在机械和电器上按一定方式组装在一起并且有固定的支撑结构而构成的直流发电单</w:t>
      </w:r>
      <w:r>
        <w:t>元。</w:t>
      </w:r>
    </w:p>
    <w:p w14:paraId="497B3DF5">
      <w:pPr>
        <w:pStyle w:val="226"/>
        <w:ind w:left="420" w:hanging="420" w:hangingChars="200"/>
        <w:rPr>
          <w:rFonts w:hint="eastAsia" w:ascii="黑体" w:hAnsi="黑体" w:eastAsia="黑体"/>
        </w:rPr>
      </w:pPr>
      <w:r>
        <w:rPr>
          <w:rFonts w:hint="eastAsia" w:ascii="黑体" w:hAnsi="黑体" w:eastAsia="黑体"/>
        </w:rPr>
        <w:t xml:space="preserve">储能装置 </w:t>
      </w:r>
      <w:r>
        <w:rPr>
          <w:rFonts w:ascii="黑体" w:hAnsi="黑体" w:eastAsia="黑体"/>
        </w:rPr>
        <w:t xml:space="preserve"> E</w:t>
      </w:r>
      <w:r>
        <w:rPr>
          <w:rFonts w:hint="eastAsia" w:ascii="黑体" w:hAnsi="黑体" w:eastAsia="黑体"/>
        </w:rPr>
        <w:t>n</w:t>
      </w:r>
      <w:r>
        <w:rPr>
          <w:rFonts w:ascii="黑体" w:hAnsi="黑体" w:eastAsia="黑体"/>
        </w:rPr>
        <w:t>ergy storage device</w:t>
      </w:r>
    </w:p>
    <w:p w14:paraId="1804A9A9">
      <w:pPr>
        <w:pStyle w:val="59"/>
        <w:ind w:firstLine="420"/>
      </w:pPr>
      <w:r>
        <w:rPr>
          <w:rFonts w:hint="eastAsia"/>
        </w:rPr>
        <w:t>储存电能或其他能源的装置。</w:t>
      </w:r>
    </w:p>
    <w:p w14:paraId="26FDD1B6">
      <w:pPr>
        <w:pStyle w:val="59"/>
        <w:ind w:firstLine="420"/>
      </w:pPr>
    </w:p>
    <w:p w14:paraId="34622CAC">
      <w:pPr>
        <w:pStyle w:val="226"/>
        <w:ind w:left="420" w:hanging="420" w:hangingChars="200"/>
        <w:rPr>
          <w:rFonts w:hint="eastAsia" w:ascii="黑体" w:hAnsi="黑体" w:eastAsia="黑体"/>
        </w:rPr>
      </w:pPr>
      <w:r>
        <w:rPr>
          <w:rFonts w:ascii="黑体" w:hAnsi="黑体" w:eastAsia="黑体"/>
        </w:rPr>
        <w:t>额定容量</w:t>
      </w:r>
      <w:r>
        <w:rPr>
          <w:rFonts w:hint="eastAsia" w:ascii="黑体" w:hAnsi="黑体" w:eastAsia="黑体"/>
        </w:rPr>
        <w:t xml:space="preserve"> </w:t>
      </w:r>
      <w:r>
        <w:rPr>
          <w:rFonts w:ascii="黑体" w:hAnsi="黑体" w:eastAsia="黑体"/>
        </w:rPr>
        <w:t xml:space="preserve"> </w:t>
      </w:r>
      <w:r>
        <w:rPr>
          <w:rFonts w:hint="eastAsia" w:ascii="黑体" w:hAnsi="黑体" w:eastAsia="黑体"/>
        </w:rPr>
        <w:t>R</w:t>
      </w:r>
      <w:r>
        <w:rPr>
          <w:rFonts w:ascii="黑体" w:hAnsi="黑体" w:eastAsia="黑体"/>
        </w:rPr>
        <w:t>ated capacity</w:t>
      </w:r>
    </w:p>
    <w:p w14:paraId="35589894">
      <w:pPr>
        <w:pStyle w:val="59"/>
        <w:ind w:firstLine="420"/>
      </w:pPr>
      <w:r>
        <w:t>光伏系统中安装的逆变器的额定有功功率之和，计量单位是千瓦（kW）。</w:t>
      </w:r>
    </w:p>
    <w:p w14:paraId="22E2344B">
      <w:pPr>
        <w:pStyle w:val="226"/>
        <w:ind w:left="420" w:hanging="420" w:hangingChars="200"/>
        <w:rPr>
          <w:rFonts w:hint="eastAsia" w:ascii="黑体" w:hAnsi="黑体" w:eastAsia="黑体"/>
        </w:rPr>
      </w:pPr>
      <w:r>
        <w:rPr>
          <w:rFonts w:ascii="黑体" w:hAnsi="黑体" w:eastAsia="黑体"/>
        </w:rPr>
        <w:t>蓄电池</w:t>
      </w:r>
      <w:r>
        <w:rPr>
          <w:rFonts w:hint="eastAsia" w:ascii="黑体" w:hAnsi="黑体" w:eastAsia="黑体"/>
        </w:rPr>
        <w:t xml:space="preserve"> </w:t>
      </w:r>
      <w:r>
        <w:rPr>
          <w:rFonts w:ascii="黑体" w:hAnsi="黑体" w:eastAsia="黑体"/>
        </w:rPr>
        <w:t xml:space="preserve"> </w:t>
      </w:r>
      <w:r>
        <w:rPr>
          <w:rFonts w:hint="eastAsia" w:ascii="黑体" w:hAnsi="黑体" w:eastAsia="黑体"/>
        </w:rPr>
        <w:t>S</w:t>
      </w:r>
      <w:r>
        <w:rPr>
          <w:rFonts w:ascii="黑体" w:hAnsi="黑体" w:eastAsia="黑体"/>
        </w:rPr>
        <w:t>econdary battery</w:t>
      </w:r>
    </w:p>
    <w:p w14:paraId="5AFCE282">
      <w:pPr>
        <w:pStyle w:val="59"/>
        <w:ind w:firstLine="420"/>
      </w:pPr>
      <w:r>
        <w:t>能将所获得的电能以化学能的形式贮存并将化学能转为电能的一种电化学装置。</w:t>
      </w:r>
    </w:p>
    <w:p w14:paraId="328A7716">
      <w:pPr>
        <w:pStyle w:val="107"/>
        <w:spacing w:before="312" w:after="312"/>
      </w:pPr>
      <w:bookmarkStart w:id="80" w:name="_Toc182724646"/>
      <w:bookmarkStart w:id="81" w:name="_Toc182723223"/>
      <w:bookmarkStart w:id="82" w:name="_Toc182828225"/>
      <w:bookmarkStart w:id="83" w:name="_Toc182637393"/>
      <w:bookmarkStart w:id="84" w:name="_Toc182722967"/>
      <w:bookmarkStart w:id="85" w:name="_Toc182691723"/>
      <w:bookmarkStart w:id="86" w:name="_Toc182723016"/>
      <w:bookmarkStart w:id="87" w:name="_Toc182637127"/>
      <w:r>
        <w:rPr>
          <w:rFonts w:hint="eastAsia"/>
        </w:rPr>
        <w:t>总体要求</w:t>
      </w:r>
      <w:bookmarkEnd w:id="80"/>
      <w:bookmarkEnd w:id="81"/>
      <w:bookmarkEnd w:id="82"/>
      <w:bookmarkEnd w:id="83"/>
      <w:bookmarkEnd w:id="84"/>
      <w:bookmarkEnd w:id="85"/>
      <w:bookmarkEnd w:id="86"/>
      <w:bookmarkEnd w:id="87"/>
    </w:p>
    <w:p w14:paraId="05074304">
      <w:pPr>
        <w:pStyle w:val="108"/>
        <w:spacing w:before="156" w:after="156"/>
      </w:pPr>
      <w:bookmarkStart w:id="88" w:name="_Toc182722968"/>
      <w:bookmarkStart w:id="89" w:name="_Toc182637394"/>
      <w:bookmarkStart w:id="90" w:name="_Toc182637128"/>
      <w:r>
        <w:rPr>
          <w:rFonts w:hint="eastAsia"/>
        </w:rPr>
        <w:t>高速公路分布式光伏发电工程设计及施工应进行可行性评估，应考虑交通事故及二次事故影响，识别安全应急风险，并制订应急预案。</w:t>
      </w:r>
      <w:bookmarkEnd w:id="88"/>
      <w:bookmarkEnd w:id="89"/>
      <w:bookmarkEnd w:id="90"/>
    </w:p>
    <w:p w14:paraId="02A29087">
      <w:pPr>
        <w:pStyle w:val="108"/>
        <w:spacing w:before="156" w:after="156"/>
      </w:pPr>
      <w:bookmarkStart w:id="91" w:name="_Toc182722969"/>
      <w:bookmarkStart w:id="92" w:name="_Toc182637395"/>
      <w:bookmarkStart w:id="93" w:name="_Toc182637129"/>
      <w:r>
        <w:rPr>
          <w:rFonts w:hint="eastAsia"/>
        </w:rPr>
        <w:t>应结合环境保护和水土保持要求，从高速公路分布式光伏发电工程全生命周期角度，考虑其建设及运行对环境的影响。</w:t>
      </w:r>
      <w:bookmarkEnd w:id="91"/>
      <w:bookmarkEnd w:id="92"/>
      <w:bookmarkEnd w:id="93"/>
    </w:p>
    <w:p w14:paraId="318F34A1">
      <w:pPr>
        <w:pStyle w:val="108"/>
        <w:spacing w:before="156" w:after="156"/>
      </w:pPr>
      <w:bookmarkStart w:id="94" w:name="_Toc182722970"/>
      <w:bookmarkStart w:id="95" w:name="_Toc182637130"/>
      <w:bookmarkStart w:id="96" w:name="_Toc182637396"/>
      <w:r>
        <w:t>光伏建筑一体化系统应纳入建筑工程管理，统一规划、同步设计、同步施工、同步验收，与建筑工程同时投入使用，建筑设计应根据光伏组件的类型、安装位置和安装方式，为光伏组件的安装、使用、维护和保养提供必要的承载条件和空间。</w:t>
      </w:r>
      <w:bookmarkEnd w:id="94"/>
      <w:bookmarkEnd w:id="95"/>
      <w:bookmarkEnd w:id="96"/>
    </w:p>
    <w:p w14:paraId="5DE2D70F">
      <w:pPr>
        <w:pStyle w:val="108"/>
        <w:spacing w:before="156" w:after="156"/>
      </w:pPr>
      <w:bookmarkStart w:id="97" w:name="_Toc182637397"/>
      <w:bookmarkStart w:id="98" w:name="_Toc182722971"/>
      <w:bookmarkStart w:id="99" w:name="_Toc182637131"/>
      <w:r>
        <w:t>光伏系统的最大系统电压应不大于1500VDC，建筑光伏系统的最大系统电压宜不大于1000VDC。</w:t>
      </w:r>
      <w:bookmarkEnd w:id="97"/>
      <w:bookmarkEnd w:id="98"/>
      <w:bookmarkEnd w:id="99"/>
    </w:p>
    <w:p w14:paraId="626151BC">
      <w:pPr>
        <w:pStyle w:val="108"/>
        <w:spacing w:before="156" w:after="156"/>
      </w:pPr>
      <w:bookmarkStart w:id="100" w:name="_Toc182637398"/>
      <w:bookmarkStart w:id="101" w:name="_Toc182637132"/>
      <w:bookmarkStart w:id="102" w:name="_Toc182722972"/>
      <w:r>
        <w:rPr>
          <w:rFonts w:hint="eastAsia"/>
        </w:rPr>
        <w:t>屋顶分布式光伏开发建设应与周边建筑（景观）相协调，综合考虑环境气象条件、建筑条件、运输与施工条件等因素，满足安全可靠、经济适用、环保美观、施工方便、便于发电系统运行维护和检查等要求。</w:t>
      </w:r>
      <w:bookmarkEnd w:id="100"/>
      <w:bookmarkEnd w:id="101"/>
      <w:bookmarkEnd w:id="102"/>
    </w:p>
    <w:p w14:paraId="4A8979BB">
      <w:pPr>
        <w:pStyle w:val="108"/>
        <w:spacing w:before="156" w:after="156"/>
      </w:pPr>
      <w:bookmarkStart w:id="103" w:name="_Toc182722973"/>
      <w:bookmarkStart w:id="104" w:name="_Toc182637133"/>
      <w:bookmarkStart w:id="105" w:name="_Toc182637399"/>
      <w:r>
        <w:t>无人值守的光伏系统，应设置生产运行远程监控系统，并定期查看设备运行工况；具备条件的，宜布置远程视频监控系统，作为无人值守的补充监控手段，加强现场安全状态监控特别是恶劣气象条件下的监控。</w:t>
      </w:r>
      <w:bookmarkEnd w:id="103"/>
      <w:bookmarkEnd w:id="104"/>
      <w:bookmarkEnd w:id="105"/>
    </w:p>
    <w:p w14:paraId="170FCC02">
      <w:pPr>
        <w:pStyle w:val="108"/>
        <w:spacing w:before="156" w:after="156"/>
      </w:pPr>
      <w:bookmarkStart w:id="106" w:name="_Toc182722974"/>
      <w:bookmarkStart w:id="107" w:name="_Toc182637400"/>
      <w:bookmarkStart w:id="108" w:name="_Toc182637134"/>
      <w:r>
        <w:t>光伏发电站设计在满足安全性和可靠性的同时，宜采用绿色、环保、节能、低碳的材料与设施。</w:t>
      </w:r>
      <w:bookmarkEnd w:id="106"/>
      <w:bookmarkEnd w:id="107"/>
      <w:bookmarkEnd w:id="108"/>
    </w:p>
    <w:p w14:paraId="541230BB">
      <w:pPr>
        <w:pStyle w:val="108"/>
        <w:spacing w:before="156" w:after="156"/>
      </w:pPr>
      <w:bookmarkStart w:id="109" w:name="_Toc182637135"/>
      <w:bookmarkStart w:id="110" w:name="_Toc182637401"/>
      <w:bookmarkStart w:id="111" w:name="_Toc182722975"/>
      <w:r>
        <w:t>高速公路</w:t>
      </w:r>
      <w:r>
        <w:rPr>
          <w:rFonts w:hint="eastAsia"/>
        </w:rPr>
        <w:t>分布式</w:t>
      </w:r>
      <w:r>
        <w:t>光伏发电工程主要流程包括设计、施工与验收，应加强流程实施相关方之间的信息沟通与协调，建设流程参照附录</w:t>
      </w:r>
      <w:r>
        <w:rPr>
          <w:rFonts w:hint="eastAsia"/>
        </w:rPr>
        <w:t>A</w:t>
      </w:r>
      <w:r>
        <w:t>。</w:t>
      </w:r>
      <w:bookmarkEnd w:id="109"/>
      <w:bookmarkEnd w:id="110"/>
      <w:bookmarkEnd w:id="111"/>
    </w:p>
    <w:p w14:paraId="58E46520">
      <w:pPr>
        <w:pStyle w:val="108"/>
        <w:spacing w:before="156" w:after="156"/>
      </w:pPr>
      <w:bookmarkStart w:id="112" w:name="_Toc182722976"/>
      <w:bookmarkStart w:id="113" w:name="_Toc182637402"/>
      <w:bookmarkStart w:id="114" w:name="_Toc182637136"/>
      <w:r>
        <w:rPr>
          <w:rFonts w:hint="eastAsia"/>
        </w:rPr>
        <w:t>建设自发自用、余电上网的边坡光伏发电工程，宜选择高速公路服务区、隧道、收费站等大用电量场景的临近路段边坡。</w:t>
      </w:r>
      <w:bookmarkEnd w:id="112"/>
      <w:bookmarkEnd w:id="113"/>
      <w:bookmarkEnd w:id="114"/>
    </w:p>
    <w:p w14:paraId="4D086BBE">
      <w:pPr>
        <w:pStyle w:val="108"/>
        <w:spacing w:before="156" w:after="156"/>
      </w:pPr>
      <w:bookmarkStart w:id="115" w:name="_Toc182637137"/>
      <w:bookmarkStart w:id="116" w:name="_Toc182637403"/>
      <w:bookmarkStart w:id="117" w:name="_Toc182722977"/>
      <w:r>
        <w:rPr>
          <w:rFonts w:hint="eastAsia"/>
        </w:rPr>
        <w:t>在既有服务区、收费站、养护工区、路段管理部门办公区、停车场遮阳棚等建筑物上增设光伏发电系统</w:t>
      </w:r>
      <w:r>
        <w:rPr>
          <w:rFonts w:hint="eastAsia"/>
          <w:lang w:eastAsia="zh-CN"/>
        </w:rPr>
        <w:t>，</w:t>
      </w:r>
      <w:r>
        <w:rPr>
          <w:rFonts w:hint="eastAsia"/>
        </w:rPr>
        <w:t>必须进行建筑物结构和电气的安全复核</w:t>
      </w:r>
      <w:r>
        <w:rPr>
          <w:rFonts w:hint="eastAsia"/>
          <w:lang w:eastAsia="zh-CN"/>
        </w:rPr>
        <w:t>，</w:t>
      </w:r>
      <w:r>
        <w:rPr>
          <w:rFonts w:hint="eastAsia"/>
        </w:rPr>
        <w:t>并应满足建筑结构及电气的安全性要求，且不得降低相邻建筑物的日照标准。</w:t>
      </w:r>
      <w:bookmarkEnd w:id="115"/>
      <w:bookmarkEnd w:id="116"/>
      <w:bookmarkEnd w:id="117"/>
    </w:p>
    <w:p w14:paraId="571A402C">
      <w:pPr>
        <w:pStyle w:val="108"/>
        <w:spacing w:before="156" w:after="156"/>
      </w:pPr>
      <w:bookmarkStart w:id="118" w:name="_Toc182637404"/>
      <w:bookmarkStart w:id="119" w:name="_Toc182722978"/>
      <w:bookmarkStart w:id="120" w:name="_Toc182637138"/>
      <w:r>
        <w:rPr>
          <w:rFonts w:hint="eastAsia"/>
        </w:rPr>
        <w:t>光伏发电站设计时应对站址及其周围区域的工程地质情况进行勘探和调查</w:t>
      </w:r>
      <w:r>
        <w:rPr>
          <w:rFonts w:hint="eastAsia"/>
          <w:lang w:eastAsia="zh-CN"/>
        </w:rPr>
        <w:t>，</w:t>
      </w:r>
      <w:r>
        <w:rPr>
          <w:rFonts w:hint="eastAsia"/>
        </w:rPr>
        <w:t>查明站址的地形地貌特征、结构和主要地层的分布及物理力学性质、地下水条件等。</w:t>
      </w:r>
      <w:bookmarkEnd w:id="118"/>
      <w:bookmarkEnd w:id="119"/>
      <w:bookmarkEnd w:id="120"/>
    </w:p>
    <w:p w14:paraId="251CC442">
      <w:pPr>
        <w:pStyle w:val="107"/>
        <w:spacing w:before="312" w:after="312"/>
      </w:pPr>
      <w:bookmarkStart w:id="121" w:name="_Toc182723224"/>
      <w:bookmarkStart w:id="122" w:name="_Toc182637405"/>
      <w:bookmarkStart w:id="123" w:name="_Toc182637139"/>
      <w:bookmarkStart w:id="124" w:name="_Toc182724647"/>
      <w:bookmarkStart w:id="125" w:name="_Toc182691724"/>
      <w:bookmarkStart w:id="126" w:name="_Toc182723017"/>
      <w:bookmarkStart w:id="127" w:name="_Toc182828226"/>
      <w:bookmarkStart w:id="128" w:name="_Toc182722979"/>
      <w:r>
        <w:t>技术要求</w:t>
      </w:r>
      <w:bookmarkEnd w:id="121"/>
      <w:bookmarkEnd w:id="122"/>
      <w:bookmarkEnd w:id="123"/>
      <w:bookmarkEnd w:id="124"/>
      <w:bookmarkEnd w:id="125"/>
      <w:bookmarkEnd w:id="126"/>
      <w:bookmarkEnd w:id="127"/>
      <w:bookmarkEnd w:id="128"/>
    </w:p>
    <w:p w14:paraId="5BA1DD82">
      <w:pPr>
        <w:pStyle w:val="108"/>
        <w:spacing w:before="156" w:after="156"/>
      </w:pPr>
      <w:bookmarkStart w:id="129" w:name="_Toc182722980"/>
      <w:bookmarkStart w:id="130" w:name="_Toc182637140"/>
      <w:bookmarkStart w:id="131" w:name="_Toc182637406"/>
      <w:r>
        <w:t>一般要求</w:t>
      </w:r>
      <w:bookmarkEnd w:id="129"/>
      <w:bookmarkEnd w:id="130"/>
      <w:bookmarkEnd w:id="131"/>
    </w:p>
    <w:p w14:paraId="6BBBB3A5">
      <w:pPr>
        <w:pStyle w:val="68"/>
        <w:spacing w:before="156" w:after="156"/>
      </w:pPr>
      <w:bookmarkStart w:id="132" w:name="_Toc182637141"/>
      <w:r>
        <w:t>光伏系统宜选用环保低碳、节能高效的材料和设备，光伏组件不宜产生光污染，宜配套组件清洗系统。电气安全应符合GB50303的规定，防雷设计应符合GB50057的规定，结构安全设计应符合GB50068、GB50153的规定。</w:t>
      </w:r>
      <w:bookmarkEnd w:id="132"/>
    </w:p>
    <w:p w14:paraId="1AE79E9B">
      <w:pPr>
        <w:pStyle w:val="68"/>
        <w:spacing w:before="156" w:after="156"/>
      </w:pPr>
      <w:bookmarkStart w:id="133" w:name="_Toc182637142"/>
      <w:r>
        <w:t>光伏方阵与逆变器之间的容量配比应综合考虑光伏方阵的安装类型、场地条件、太阳能资源、光伏方阵至逆变器的各项损耗等因素后确定。</w:t>
      </w:r>
      <w:bookmarkEnd w:id="133"/>
    </w:p>
    <w:p w14:paraId="42BC55E2">
      <w:pPr>
        <w:pStyle w:val="68"/>
        <w:spacing w:before="156" w:after="156"/>
      </w:pPr>
      <w:bookmarkStart w:id="134" w:name="_Toc182637143"/>
      <w:r>
        <w:t>项目施工不应破坏高速公路原有设施的基本功能，光伏组件支撑结构的结构样式、建设高度、结构外沿应与高速公路外围相协调。在人员有可能接触或接近光伏系统的位置，应设置防触电警示标识。</w:t>
      </w:r>
      <w:bookmarkEnd w:id="134"/>
    </w:p>
    <w:p w14:paraId="4E379412">
      <w:pPr>
        <w:pStyle w:val="68"/>
        <w:spacing w:before="156" w:after="156"/>
      </w:pPr>
      <w:bookmarkStart w:id="135" w:name="_Toc182637144"/>
      <w:r>
        <w:t>应减少土石方挖填施工，降低对地表植被和表层土的破坏；应减少开挖施工对边坡及道路基础的影响，保证公路路基稳定。</w:t>
      </w:r>
      <w:bookmarkEnd w:id="135"/>
    </w:p>
    <w:p w14:paraId="45384FA1">
      <w:pPr>
        <w:pStyle w:val="68"/>
        <w:spacing w:before="156" w:after="156"/>
      </w:pPr>
      <w:bookmarkStart w:id="136" w:name="_Toc182637145"/>
      <w:r>
        <w:t>应按照GB50797要求，对边坡光伏发电工程进行过电压保护、防雷接地和消防设计。光伏系统其直流侧最大系统电压大于或等于120V时，宜设置直流电弧保护装置。光伏系统的过电压保护应选用低残压、低残流的防雷技术或产品；接地系统应优先选用隔离式分组接地防护技术。</w:t>
      </w:r>
      <w:bookmarkEnd w:id="136"/>
    </w:p>
    <w:p w14:paraId="1C53AC35">
      <w:pPr>
        <w:pStyle w:val="68"/>
        <w:spacing w:before="156" w:after="156"/>
      </w:pPr>
      <w:bookmarkStart w:id="137" w:name="_Toc182637146"/>
      <w:r>
        <w:rPr>
          <w:rFonts w:hint="eastAsia"/>
        </w:rPr>
        <w:t>工程施工</w:t>
      </w:r>
      <w:r>
        <w:t>启动前，应进行系统调试，并对植被及施工表面恢复补救、交通安全设施</w:t>
      </w:r>
      <w:r>
        <w:rPr>
          <w:rFonts w:hint="eastAsia"/>
        </w:rPr>
        <w:t>和</w:t>
      </w:r>
      <w:r>
        <w:t>排水</w:t>
      </w:r>
      <w:bookmarkEnd w:id="137"/>
      <w:r>
        <w:rPr>
          <w:rFonts w:hint="eastAsia"/>
        </w:rPr>
        <w:t>等恢复功能。</w:t>
      </w:r>
    </w:p>
    <w:p w14:paraId="51022320">
      <w:pPr>
        <w:pStyle w:val="68"/>
        <w:spacing w:before="156" w:after="156"/>
      </w:pPr>
      <w:bookmarkStart w:id="138" w:name="_Toc182637147"/>
      <w:r>
        <w:rPr>
          <w:rFonts w:hint="eastAsia"/>
        </w:rPr>
        <w:t>对</w:t>
      </w:r>
      <w:r>
        <w:t>设施功能、结构稳定性、设备布置及运行、电气和线路安全性等进行必要</w:t>
      </w:r>
      <w:r>
        <w:rPr>
          <w:rFonts w:hint="eastAsia"/>
        </w:rPr>
        <w:t>的</w:t>
      </w:r>
      <w:r>
        <w:t>检查。</w:t>
      </w:r>
      <w:bookmarkEnd w:id="138"/>
    </w:p>
    <w:p w14:paraId="5A0A7377">
      <w:pPr>
        <w:pStyle w:val="108"/>
        <w:spacing w:before="156" w:after="156"/>
      </w:pPr>
      <w:bookmarkStart w:id="139" w:name="_Toc182637148"/>
      <w:bookmarkStart w:id="140" w:name="_Toc182637407"/>
      <w:bookmarkStart w:id="141" w:name="_Toc182722981"/>
      <w:r>
        <w:t>支架和支撑基础</w:t>
      </w:r>
      <w:bookmarkEnd w:id="139"/>
      <w:bookmarkEnd w:id="140"/>
      <w:bookmarkEnd w:id="141"/>
    </w:p>
    <w:p w14:paraId="5DFC8B33">
      <w:pPr>
        <w:pStyle w:val="68"/>
        <w:spacing w:before="156" w:after="156"/>
      </w:pPr>
      <w:bookmarkStart w:id="142" w:name="_Toc182637149"/>
      <w:r>
        <w:t>应根据所选路段的岩土工程勘察结果，进行支架基础设计。金属支架的选用应符合JG/T490的规定，应使用不燃材料；异质金属接触、紧固时，应采取防止电化学腐蚀的隔离措施。支撑结构系统的强度、刚度和稳定性应符合GB50429和GB50017的要求。</w:t>
      </w:r>
      <w:bookmarkEnd w:id="142"/>
    </w:p>
    <w:p w14:paraId="6F37302C">
      <w:pPr>
        <w:pStyle w:val="68"/>
        <w:spacing w:before="156" w:after="156"/>
      </w:pPr>
      <w:bookmarkStart w:id="143" w:name="_Toc182637151"/>
      <w:r>
        <w:t>支架基础型式相关技术要求，包括但不限于：a)为设计提供依据的试验应在设计前进行，基桩载荷试验、锚杆的</w:t>
      </w:r>
      <w:r>
        <w:rPr>
          <w:rFonts w:hint="eastAsia"/>
        </w:rPr>
        <w:t>拉拔</w:t>
      </w:r>
      <w:r>
        <w:t>试验及平板载荷试验等应加载至破坏或设计要求值。支架基础竖向拉力值应根据GB50009中50年一遇的风荷载数值取值，结构建模计算确定；b)通常采用便携式旋紧机进行打桩作业，如遇钻进困难可预成小孔后再旋拧，预成孔孔径不应超过桩杆直径；c)螺旋桩施工完毕后，应测量螺旋桩位置，当桩位偏差大于30mm或大于桩直径的10%时，应进行纠偏，并用素土或砂浆等</w:t>
      </w:r>
      <w:r>
        <w:rPr>
          <w:rFonts w:hint="eastAsia"/>
        </w:rPr>
        <w:t>填缝材料</w:t>
      </w:r>
      <w:r>
        <w:t>回填螺旋桩与边坡之间的缝隙。</w:t>
      </w:r>
      <w:bookmarkEnd w:id="143"/>
    </w:p>
    <w:p w14:paraId="333FF322">
      <w:pPr>
        <w:pStyle w:val="68"/>
        <w:spacing w:before="156" w:after="156"/>
      </w:pPr>
      <w:bookmarkStart w:id="144" w:name="_Toc182637152"/>
      <w:r>
        <w:t>高速公路路堤边坡光伏可选用刚性支架、柔性支架或一体化安装等形式，宜采用刚性材料较少的柔性支架等安装方式，组件支撑板件的板型设计与施工应符合GB50896的相关规定。</w:t>
      </w:r>
      <w:bookmarkEnd w:id="144"/>
    </w:p>
    <w:p w14:paraId="375F2F9A">
      <w:pPr>
        <w:pStyle w:val="68"/>
        <w:spacing w:before="156" w:after="156"/>
      </w:pPr>
      <w:bookmarkStart w:id="145" w:name="_Toc182637153"/>
      <w:r>
        <w:t>支架的风荷载、雪荷载和温度应力应按GB50009中50年一遇的荷载数值取值。</w:t>
      </w:r>
      <w:r>
        <w:rPr>
          <w:rFonts w:hint="eastAsia"/>
        </w:rPr>
        <w:t>光伏支架基础应按承载能力极限状态和正常使用极限状态进行设计，使用年限不应小于高速公路分布式光伏设计使用年限，且不应小于</w:t>
      </w:r>
      <w:r>
        <w:t>25</w:t>
      </w:r>
      <w:r>
        <w:rPr>
          <w:rFonts w:hint="eastAsia"/>
        </w:rPr>
        <w:t>年。</w:t>
      </w:r>
      <w:bookmarkEnd w:id="145"/>
    </w:p>
    <w:p w14:paraId="59B1EF06">
      <w:pPr>
        <w:pStyle w:val="68"/>
        <w:spacing w:before="156" w:after="156"/>
      </w:pPr>
      <w:bookmarkStart w:id="146" w:name="_Toc182637154"/>
      <w:r>
        <w:t>应根据不同地区的实际环境确定支架的防腐处理要求，可采用热浸镀锌或镀镁铝锌等方式进行表面处理。</w:t>
      </w:r>
      <w:bookmarkEnd w:id="146"/>
    </w:p>
    <w:p w14:paraId="2B490779">
      <w:pPr>
        <w:pStyle w:val="68"/>
        <w:spacing w:before="156" w:after="156"/>
      </w:pPr>
      <w:bookmarkStart w:id="147" w:name="_Toc182637157"/>
      <w:r>
        <w:t>采用刚性支架时，应确保同一光伏方阵内各横梁相互平行，连接点不应位于两块光伏板空隙之间。采用柔性支架时，结合边坡地形进行结构设计，支架柱间跨度不小于5m。组件安装前使用专用锚具对钢铰线进行预张拉，确保钢索不会出现明显下沉与偏移，单根拉</w:t>
      </w:r>
      <w:r>
        <w:rPr>
          <w:rFonts w:hint="eastAsia"/>
        </w:rPr>
        <w:t>索</w:t>
      </w:r>
      <w:r>
        <w:t>长度不宜超过120m。</w:t>
      </w:r>
      <w:bookmarkEnd w:id="147"/>
    </w:p>
    <w:p w14:paraId="2BB06F58">
      <w:pPr>
        <w:pStyle w:val="108"/>
        <w:spacing w:before="156" w:after="156"/>
      </w:pPr>
      <w:bookmarkStart w:id="148" w:name="_Toc182637158"/>
      <w:bookmarkStart w:id="149" w:name="_Toc182637408"/>
      <w:bookmarkStart w:id="150" w:name="_Toc182722982"/>
      <w:r>
        <w:t>组件</w:t>
      </w:r>
      <w:bookmarkEnd w:id="148"/>
      <w:bookmarkEnd w:id="149"/>
      <w:bookmarkEnd w:id="150"/>
    </w:p>
    <w:p w14:paraId="2AAC5A43">
      <w:pPr>
        <w:pStyle w:val="68"/>
        <w:spacing w:before="156" w:after="156"/>
      </w:pPr>
      <w:bookmarkStart w:id="151" w:name="_Toc182637159"/>
      <w:r>
        <w:t>光伏方阵安装方式分为固定式、可调式和跟踪式三种，应根据太阳辐射资源、气候条件、使用环境、安装容量、安装场地面积，负荷特性和运行管理方式等进行选择。组件的选择应满足高效、防火的基本功能，宜采用低眩光的无边框或无玻璃光伏组件。</w:t>
      </w:r>
      <w:bookmarkEnd w:id="151"/>
    </w:p>
    <w:p w14:paraId="310F8745">
      <w:pPr>
        <w:pStyle w:val="68"/>
        <w:spacing w:before="156" w:after="156"/>
      </w:pPr>
      <w:bookmarkStart w:id="152" w:name="_Toc182637160"/>
      <w:r>
        <w:t>光伏方阵采用固定式布置时，最佳倾角应结合项目当地多年月平均辐照度、直射分量辐照度、散射分量辐照度、风速、雨水、积雪等气候条件，同时结合边坡利用率、光伏建设容量、电缆用量等确定组件安装方向。</w:t>
      </w:r>
      <w:bookmarkEnd w:id="152"/>
    </w:p>
    <w:p w14:paraId="3BC52E1F">
      <w:pPr>
        <w:pStyle w:val="68"/>
        <w:spacing w:before="156" w:after="156"/>
      </w:pPr>
      <w:bookmarkStart w:id="153" w:name="_Toc182637161"/>
      <w:r>
        <w:t>光伏系统中，接入同一光伏组件串的各光伏组件的电性能参数宜保持一致，接入同一最大功率跟踪回路的光伏组件串的电压、组件朝向、安装倾角宜保持一致。</w:t>
      </w:r>
      <w:bookmarkEnd w:id="153"/>
    </w:p>
    <w:p w14:paraId="16871CC0">
      <w:pPr>
        <w:pStyle w:val="68"/>
        <w:spacing w:before="156" w:after="156"/>
      </w:pPr>
      <w:bookmarkStart w:id="154" w:name="_Toc182637162"/>
      <w:r>
        <w:t>光伏组件串的工作电压变化范围应在逆变器的最大功率追踪电压范围内。当两个以上的光伏组</w:t>
      </w:r>
      <w:r>
        <w:rPr>
          <w:rFonts w:hint="eastAsia"/>
        </w:rPr>
        <w:t>串联</w:t>
      </w:r>
      <w:r>
        <w:t>接到同一路最大功率点跟踪（MPPT），两个以上的光伏子方阵连接到同一逆变器时，应提供光伏组串/子方阵过电流保护；对于在故障条件下可能会有来自其他电源的电流注入光伏方阵时，应提供光伏方阵过电流保护。光伏组件应符合GB/T9535、GB/T18911、JG/T492、JGJ203</w:t>
      </w:r>
      <w:r>
        <w:rPr>
          <w:rFonts w:hint="eastAsia"/>
        </w:rPr>
        <w:t>和</w:t>
      </w:r>
      <w:r>
        <w:t>JG/T535的规定。光伏组件防反二极管的额定电压应不低于最大系统电压的2倍，额定电流应不低于光伏组件短路电流的1.4倍。</w:t>
      </w:r>
      <w:bookmarkEnd w:id="154"/>
    </w:p>
    <w:p w14:paraId="5866C226">
      <w:pPr>
        <w:pStyle w:val="68"/>
        <w:spacing w:before="156" w:after="156"/>
      </w:pPr>
      <w:bookmarkStart w:id="155" w:name="_Toc182637163"/>
      <w:r>
        <w:t>光伏方阵各排、列的布置间距应保证每天9:00～15:00</w:t>
      </w:r>
      <w:r>
        <w:rPr>
          <w:rFonts w:hint="eastAsia"/>
          <w:lang w:eastAsia="zh-CN"/>
        </w:rPr>
        <w:t>（</w:t>
      </w:r>
      <w:r>
        <w:t>当地真太阳时)时段内前、后、左、右互不遮挡。光伏方阵内光伏组件串的最低点距地面的距离不宜低于300mm，并应考虑以下因素：当地的最大积雪深度</w:t>
      </w:r>
      <w:r>
        <w:rPr>
          <w:rFonts w:hint="eastAsia"/>
        </w:rPr>
        <w:t>、</w:t>
      </w:r>
      <w:r>
        <w:t>当地的洪水水位</w:t>
      </w:r>
      <w:r>
        <w:rPr>
          <w:rFonts w:hint="eastAsia"/>
        </w:rPr>
        <w:t>和</w:t>
      </w:r>
      <w:r>
        <w:t>植被高度</w:t>
      </w:r>
      <w:r>
        <w:rPr>
          <w:rFonts w:hint="eastAsia"/>
        </w:rPr>
        <w:t>等</w:t>
      </w:r>
      <w:r>
        <w:t>。光伏方阵上缘与高速公路土路肩外边缘沿坡面的直线距离不小于1.5m；光伏组件与坡面垂直距离应为0.5m±0.1m，确保边坡草皮与组件无接触；边坡纵向相邻组件阵列间应设置宽度不小于1m的检修通道；边坡横向每隔两排组件设置一条维护通道，通道宽度应不小于0.5m。</w:t>
      </w:r>
      <w:bookmarkEnd w:id="155"/>
    </w:p>
    <w:p w14:paraId="793301D2">
      <w:pPr>
        <w:pStyle w:val="68"/>
        <w:spacing w:before="156" w:after="156"/>
      </w:pPr>
      <w:bookmarkStart w:id="156" w:name="_Toc182637164"/>
      <w:r>
        <w:t>将光伏组件与光伏支架牢固组装，并确保组件不会对电缆产生挤压。</w:t>
      </w:r>
      <w:bookmarkEnd w:id="156"/>
    </w:p>
    <w:p w14:paraId="34D9C336">
      <w:pPr>
        <w:pStyle w:val="68"/>
        <w:spacing w:before="156" w:after="156"/>
      </w:pPr>
      <w:bookmarkStart w:id="157" w:name="_Toc182637165"/>
      <w:r>
        <w:t>光伏方阵设计采用横向自下而上，纵向自方阵一侧向另一侧的方式安装光伏组件，</w:t>
      </w:r>
      <w:r>
        <w:rPr>
          <w:rFonts w:hint="eastAsia"/>
          <w:lang w:eastAsia="zh-CN"/>
        </w:rPr>
        <w:t>以便</w:t>
      </w:r>
      <w:r>
        <w:t>于光伏组件表面的清洗和维修。</w:t>
      </w:r>
      <w:bookmarkEnd w:id="157"/>
    </w:p>
    <w:p w14:paraId="2122B414">
      <w:pPr>
        <w:pStyle w:val="68"/>
        <w:spacing w:before="156" w:after="156"/>
      </w:pPr>
      <w:bookmarkStart w:id="158" w:name="_Toc182637166"/>
      <w:r>
        <w:t>同一光伏方阵内，组件间的间隔距离不小于20mm，光伏组件应在与高速公路平行的同一倾斜面内，光伏组件倾斜角度偏差允许范围为±1°，相邻光伏组件间的边缘高差不大于2mm，同组光伏组件间的边缘高差不大于5mm。</w:t>
      </w:r>
      <w:bookmarkEnd w:id="158"/>
    </w:p>
    <w:p w14:paraId="4B63255A">
      <w:pPr>
        <w:pStyle w:val="108"/>
        <w:spacing w:before="156" w:after="156"/>
      </w:pPr>
      <w:bookmarkStart w:id="159" w:name="_Toc182637409"/>
      <w:bookmarkStart w:id="160" w:name="_Toc182722983"/>
      <w:bookmarkStart w:id="161" w:name="_Toc182637167"/>
      <w:r>
        <w:t>电缆</w:t>
      </w:r>
      <w:bookmarkEnd w:id="159"/>
      <w:bookmarkEnd w:id="160"/>
      <w:bookmarkEnd w:id="161"/>
    </w:p>
    <w:p w14:paraId="359CCF7A">
      <w:pPr>
        <w:pStyle w:val="68"/>
        <w:spacing w:before="156" w:after="156"/>
      </w:pPr>
      <w:bookmarkStart w:id="162" w:name="_Toc182637168"/>
      <w:r>
        <w:t>光伏系统用电缆选择与敷设，应符合GB50217的规定，宜采取穿管埋地敷设方式，应在边坡下沿敷设电缆，埋地深度应不小于0.8m，直埋电缆与排水沟净距不小于0.5m；遇不易开挖的边坡路段可采取桥架敷设方式，桥架宜布置于坡脚位置，应预制桥架基础架空桥架，桥架与地面的距离不小于0.1m。</w:t>
      </w:r>
      <w:bookmarkEnd w:id="162"/>
    </w:p>
    <w:p w14:paraId="5BD056BB">
      <w:pPr>
        <w:pStyle w:val="68"/>
        <w:spacing w:before="156" w:after="156"/>
      </w:pPr>
      <w:bookmarkStart w:id="163" w:name="_Toc182637169"/>
      <w:r>
        <w:t>敷设前应复核电缆型号、规格、电压等级等，并检查电缆外观及盘上电缆端头密封性，当采用1500V电压系统时，电缆的绝缘性、护套厚度，椭圆度，绝缘电阻，热延伸，耐盐雾、烟雾、成束燃烧试验的差异，应通过1500V电缆相关测试要求。</w:t>
      </w:r>
      <w:bookmarkEnd w:id="163"/>
    </w:p>
    <w:p w14:paraId="629C34D9">
      <w:pPr>
        <w:pStyle w:val="68"/>
        <w:spacing w:before="156" w:after="156"/>
      </w:pPr>
      <w:bookmarkStart w:id="164" w:name="_Toc182637170"/>
      <w:r>
        <w:t>光伏组件与组串汇流箱、光伏组件与组串逆变器之间的电缆宜有固定措施和防晒措施，且应符合NB/T42073的规定，光伏组串、光伏子方阵和光伏方阵的电缆规格应根据相应线路最小额定电流、线路过电流保护值以及线路预期故障电流来确定，取最大电流值确定电缆线径。</w:t>
      </w:r>
      <w:bookmarkEnd w:id="164"/>
    </w:p>
    <w:p w14:paraId="1DA45EC6">
      <w:pPr>
        <w:pStyle w:val="68"/>
        <w:spacing w:before="156" w:after="156"/>
      </w:pPr>
      <w:bookmarkStart w:id="165" w:name="_Toc182637171"/>
      <w:r>
        <w:t>电缆敷设前，沿电缆敷设路径检查电缆桥架、支架、电缆保护管等，并确认各单元区域的设备位号和平面位置符合设计要求。</w:t>
      </w:r>
      <w:bookmarkEnd w:id="165"/>
    </w:p>
    <w:p w14:paraId="45D481A9">
      <w:pPr>
        <w:pStyle w:val="68"/>
        <w:spacing w:before="156" w:after="156"/>
      </w:pPr>
      <w:bookmarkStart w:id="166" w:name="_Toc182637172"/>
      <w:r>
        <w:t>电缆与公路交叉时，应采用非开挖方式敷设，并设置保护套管。高速公路、一级公路套管顶覆土深度不小于2m，二级及以下公路套管顶覆土深度不小于1.8m。集中敷设于沟道、槽盒中的电缆宜选用C类阻燃电缆。</w:t>
      </w:r>
      <w:bookmarkEnd w:id="166"/>
    </w:p>
    <w:p w14:paraId="047EFEEC">
      <w:pPr>
        <w:pStyle w:val="68"/>
        <w:spacing w:before="156" w:after="156"/>
      </w:pPr>
      <w:bookmarkStart w:id="167" w:name="_Toc182637173"/>
      <w:r>
        <w:t>不应出现电缆外露情形，应对垂落的线缆进行捆扎固定，捆扎间距不大于0.3m，防止直接垂落于坡面。</w:t>
      </w:r>
      <w:bookmarkEnd w:id="167"/>
    </w:p>
    <w:p w14:paraId="17066500">
      <w:pPr>
        <w:pStyle w:val="68"/>
        <w:spacing w:before="156" w:after="156"/>
      </w:pPr>
      <w:r>
        <w:rPr>
          <w:rFonts w:hint="eastAsia"/>
        </w:rPr>
        <w:t>应沿电缆敷设路径，在直线段每隔 100m、转弯处以及接头部位，均需</w:t>
      </w:r>
      <w:r>
        <w:rPr>
          <w:rFonts w:hint="eastAsia"/>
          <w:lang w:eastAsia="zh-CN"/>
        </w:rPr>
        <w:t>树立</w:t>
      </w:r>
      <w:r>
        <w:rPr>
          <w:rFonts w:hint="eastAsia"/>
        </w:rPr>
        <w:t>显著的方位标识或标桩。</w:t>
      </w:r>
    </w:p>
    <w:p w14:paraId="6B5D6C7E">
      <w:pPr>
        <w:pStyle w:val="68"/>
        <w:spacing w:before="156" w:after="156"/>
      </w:pPr>
      <w:bookmarkStart w:id="168" w:name="_Toc182637175"/>
      <w:r>
        <w:t>控制电缆或通讯电缆不宜与电力电缆敷设在同一电缆沟内，当无法避免时，应各置一侧，宜采用防火槽盒或防火隔板进行分隔。</w:t>
      </w:r>
      <w:bookmarkEnd w:id="168"/>
    </w:p>
    <w:p w14:paraId="7A180027">
      <w:pPr>
        <w:pStyle w:val="108"/>
        <w:spacing w:before="156" w:after="156"/>
      </w:pPr>
      <w:bookmarkStart w:id="169" w:name="_Toc182637176"/>
      <w:bookmarkStart w:id="170" w:name="_Toc182722984"/>
      <w:bookmarkStart w:id="171" w:name="_Toc182637410"/>
      <w:r>
        <w:t>汇流箱</w:t>
      </w:r>
      <w:bookmarkEnd w:id="169"/>
      <w:bookmarkEnd w:id="170"/>
      <w:bookmarkEnd w:id="171"/>
    </w:p>
    <w:p w14:paraId="05CAC50B">
      <w:pPr>
        <w:pStyle w:val="68"/>
        <w:spacing w:before="156" w:after="156"/>
      </w:pPr>
      <w:bookmarkStart w:id="172" w:name="_Toc182637177"/>
      <w:r>
        <w:t>光伏直流汇流箱应符合GB/T34933和GB/T34936的规定，直流开关应为光伏专用直流开关。</w:t>
      </w:r>
      <w:bookmarkEnd w:id="172"/>
    </w:p>
    <w:p w14:paraId="4EF5E7A0">
      <w:pPr>
        <w:pStyle w:val="68"/>
        <w:spacing w:before="156" w:after="156"/>
      </w:pPr>
      <w:bookmarkStart w:id="173" w:name="_Toc182637178"/>
      <w:r>
        <w:t>汇流箱应具有低残压、低残流的雷电防护能力，宜采用对接地电阻值不限制，且防护性能好的隔离式防雷接地汇流装置。</w:t>
      </w:r>
      <w:bookmarkEnd w:id="173"/>
    </w:p>
    <w:p w14:paraId="4AC3BA8B">
      <w:pPr>
        <w:pStyle w:val="68"/>
        <w:spacing w:before="156" w:after="156"/>
      </w:pPr>
      <w:bookmarkStart w:id="174" w:name="_Toc182637179"/>
      <w:r>
        <w:t>汇流箱的输入回路宜具有防逆流及过流保护；对于多级汇流光伏发电系统，只需一级具有防逆流保护。</w:t>
      </w:r>
      <w:bookmarkEnd w:id="174"/>
    </w:p>
    <w:p w14:paraId="51D84308">
      <w:pPr>
        <w:pStyle w:val="108"/>
        <w:spacing w:before="156" w:after="156"/>
      </w:pPr>
      <w:bookmarkStart w:id="175" w:name="_Toc182637411"/>
      <w:bookmarkStart w:id="176" w:name="_Toc182637180"/>
      <w:bookmarkStart w:id="177" w:name="_Toc182722985"/>
      <w:r>
        <w:t>逆变器</w:t>
      </w:r>
      <w:bookmarkEnd w:id="175"/>
      <w:bookmarkEnd w:id="176"/>
      <w:bookmarkEnd w:id="177"/>
    </w:p>
    <w:p w14:paraId="70907041">
      <w:pPr>
        <w:pStyle w:val="68"/>
        <w:spacing w:before="156" w:after="156"/>
      </w:pPr>
      <w:bookmarkStart w:id="178" w:name="_Toc182637181"/>
      <w:r>
        <w:t>逆变器应符合GB/T37408</w:t>
      </w:r>
      <w:r>
        <w:rPr>
          <w:rFonts w:hint="eastAsia"/>
        </w:rPr>
        <w:t>、</w:t>
      </w:r>
      <w:r>
        <w:t>NB/T32004</w:t>
      </w:r>
      <w:r>
        <w:rPr>
          <w:rFonts w:hint="eastAsia"/>
        </w:rPr>
        <w:t>和</w:t>
      </w:r>
      <w:r>
        <w:t>NB/T42142的规定。应选用具备频率异常耐受能力、高低电压穿越能力、系统异常电压耐受能力、防孤岛保护能力等功能的逆变器，必要时选用具备组串智能分断功能的逆变器。</w:t>
      </w:r>
      <w:bookmarkEnd w:id="178"/>
    </w:p>
    <w:p w14:paraId="702F7275">
      <w:pPr>
        <w:pStyle w:val="68"/>
        <w:spacing w:before="156" w:after="156"/>
      </w:pPr>
      <w:bookmarkStart w:id="179" w:name="_Toc182637182"/>
      <w:r>
        <w:t>应结合光伏方阵排布、电缆用量、线损、箱式变电站布置方案、外线接入方案等确定逆变器安装位置，且不应对光伏组件形成光线遮挡。</w:t>
      </w:r>
      <w:bookmarkEnd w:id="179"/>
    </w:p>
    <w:p w14:paraId="6746F4A7">
      <w:pPr>
        <w:pStyle w:val="68"/>
        <w:spacing w:before="156" w:after="156"/>
      </w:pPr>
      <w:bookmarkStart w:id="180" w:name="_Toc182637183"/>
      <w:r>
        <w:t>逆变器的总额定容量应根据光伏系统装机容量确定，独立光伏系统逆变器的总额定容量应根据交流侧负荷最大功率及负荷性质确定。逆变器的数量应根据实际安装条件，光伏系统装机容量与单台逆变器额定容量，并结合逆变器允许接入的电流、电压值来确定，超配系数不宜大于1.7。逆变器最大直流输入功率应符合公式（1）规定：</w:t>
      </w:r>
      <w:bookmarkEnd w:id="180"/>
    </w:p>
    <w:p w14:paraId="28249824">
      <w:pPr>
        <w:pStyle w:val="116"/>
        <w:rPr>
          <w:rFonts w:hint="eastAsia"/>
        </w:rPr>
      </w:pPr>
      <w:r>
        <w:rPr>
          <w:rFonts w:hint="eastAsia"/>
        </w:rPr>
        <w:tab/>
      </w:r>
      <w:r>
        <w:rPr>
          <w:position w:val="-10"/>
        </w:rPr>
        <w:object>
          <v:shape id="_x0000_i1025" o:spt="75" type="#_x0000_t75" style="height:16.15pt;width:162pt;" o:ole="t" filled="f" o:preferrelative="t" stroked="f" coordsize="21600,21600">
            <v:path/>
            <v:fill on="f" focussize="0,0"/>
            <v:stroke on="f" joinstyle="miter"/>
            <v:imagedata r:id="rId30" o:title=""/>
            <o:lock v:ext="edit" aspectratio="t"/>
            <w10:wrap type="none"/>
            <w10:anchorlock/>
          </v:shape>
          <o:OLEObject Type="Embed" ProgID="Equation.DSMT4" ShapeID="_x0000_i1025" DrawAspect="Content" ObjectID="_1468075725" r:id="rId29">
            <o:LockedField>false</o:LockedField>
          </o:OLEObject>
        </w:object>
      </w:r>
      <w:r>
        <w:rPr>
          <w:rFonts w:hint="eastAsia" w:ascii="微软雅黑" w:eastAsia="微软雅黑"/>
        </w:rPr>
        <w:tab/>
      </w:r>
      <w:r>
        <w:t>(</w:t>
      </w:r>
      <w:r>
        <w:fldChar w:fldCharType="begin"/>
      </w:r>
      <w:r>
        <w:instrText xml:space="preserve"> AUTONUM </w:instrText>
      </w:r>
      <w:r>
        <w:fldChar w:fldCharType="end"/>
      </w:r>
      <w:r>
        <w:t>)</w:t>
      </w:r>
    </w:p>
    <w:p w14:paraId="1EED5F04">
      <w:pPr>
        <w:pStyle w:val="59"/>
        <w:ind w:firstLine="420"/>
      </w:pPr>
      <w:r>
        <w:rPr>
          <w:rFonts w:hint="eastAsia"/>
        </w:rPr>
        <w:t>式中：</w:t>
      </w:r>
      <w:r>
        <w:rPr>
          <w:i/>
          <w:iCs/>
        </w:rPr>
        <w:t>S</w:t>
      </w:r>
      <w:r>
        <w:rPr>
          <w:vertAlign w:val="subscript"/>
        </w:rPr>
        <w:t>INV</w:t>
      </w:r>
      <w:r>
        <w:t>为逆变器最大</w:t>
      </w:r>
      <w:r>
        <w:rPr>
          <w:rFonts w:hint="eastAsia"/>
        </w:rPr>
        <w:t>直流</w:t>
      </w:r>
      <w:r>
        <w:t>输入</w:t>
      </w:r>
      <w:r>
        <w:rPr>
          <w:rFonts w:hint="eastAsia"/>
        </w:rPr>
        <w:t>功率</w:t>
      </w:r>
      <w:r>
        <w:t>，单位W；</w:t>
      </w:r>
      <w:r>
        <w:rPr>
          <w:i/>
          <w:iCs/>
        </w:rPr>
        <w:t>S</w:t>
      </w:r>
      <w:r>
        <w:rPr>
          <w:vertAlign w:val="subscript"/>
        </w:rPr>
        <w:t>1</w:t>
      </w:r>
      <w:r>
        <w:t>、</w:t>
      </w:r>
      <w:r>
        <w:rPr>
          <w:i/>
          <w:iCs/>
        </w:rPr>
        <w:t>S</w:t>
      </w:r>
      <w:r>
        <w:rPr>
          <w:vertAlign w:val="subscript"/>
        </w:rPr>
        <w:t>2</w:t>
      </w:r>
      <w:r>
        <w:t>、</w:t>
      </w:r>
      <w:r>
        <w:rPr>
          <w:i/>
          <w:iCs/>
        </w:rPr>
        <w:t>S</w:t>
      </w:r>
      <w:r>
        <w:rPr>
          <w:vertAlign w:val="subscript"/>
        </w:rPr>
        <w:t>n</w:t>
      </w:r>
      <w:r>
        <w:rPr>
          <w:rFonts w:hint="eastAsia"/>
        </w:rPr>
        <w:t>为</w:t>
      </w:r>
      <w:r>
        <w:t>组件标称功率，单位W；</w:t>
      </w:r>
      <w:r>
        <w:rPr>
          <w:i/>
          <w:iCs/>
        </w:rPr>
        <w:t>K</w:t>
      </w:r>
      <w:r>
        <w:rPr>
          <w:vertAlign w:val="subscript"/>
        </w:rPr>
        <w:t>1</w:t>
      </w:r>
      <w:r>
        <w:t>、</w:t>
      </w:r>
      <w:r>
        <w:rPr>
          <w:i/>
          <w:iCs/>
        </w:rPr>
        <w:t>K</w:t>
      </w:r>
      <w:r>
        <w:rPr>
          <w:vertAlign w:val="subscript"/>
        </w:rPr>
        <w:t>2</w:t>
      </w:r>
      <w:r>
        <w:t>、</w:t>
      </w:r>
      <w:r>
        <w:rPr>
          <w:i/>
          <w:iCs/>
        </w:rPr>
        <w:t>K</w:t>
      </w:r>
      <w:r>
        <w:rPr>
          <w:vertAlign w:val="subscript"/>
        </w:rPr>
        <w:t>n</w:t>
      </w:r>
      <w:r>
        <w:t>为超配系数。</w:t>
      </w:r>
    </w:p>
    <w:p w14:paraId="1362F04D">
      <w:pPr>
        <w:pStyle w:val="68"/>
        <w:spacing w:before="156" w:after="156"/>
      </w:pPr>
      <w:bookmarkStart w:id="181" w:name="_Toc182637184"/>
      <w:r>
        <w:t>宜采用壁挂方式将逆变器安装于坡脚位置，逆变器与地面的垂直距离不小于1m，壁挂支架基础外沿与排水沟净距不小于0.5m，逆变器安装不应破坏原排水系统。</w:t>
      </w:r>
      <w:bookmarkEnd w:id="181"/>
    </w:p>
    <w:p w14:paraId="55A97743">
      <w:pPr>
        <w:pStyle w:val="68"/>
        <w:spacing w:before="156" w:after="156"/>
      </w:pPr>
      <w:bookmarkStart w:id="182" w:name="_Toc182637185"/>
      <w:r>
        <w:t>电缆与逆变器连接前，应检查电缆绝缘性，并校对电缆相序和极性。</w:t>
      </w:r>
      <w:bookmarkEnd w:id="182"/>
    </w:p>
    <w:p w14:paraId="61513581">
      <w:pPr>
        <w:pStyle w:val="68"/>
        <w:spacing w:before="156" w:after="156"/>
      </w:pPr>
      <w:bookmarkStart w:id="183" w:name="_Toc182637186"/>
      <w:r>
        <w:t>采用套管将逆变器直流进线缆与交流出线缆接入地面，对直流电缆进行组串标号，对交流电缆编号并挂标识牌。</w:t>
      </w:r>
      <w:bookmarkEnd w:id="183"/>
    </w:p>
    <w:p w14:paraId="037E92D9">
      <w:pPr>
        <w:pStyle w:val="68"/>
        <w:spacing w:before="156" w:after="156"/>
      </w:pPr>
      <w:bookmarkStart w:id="184" w:name="_Toc182637187"/>
      <w:r>
        <w:t>应在逆变器明显位置设置防触电警示标识。</w:t>
      </w:r>
      <w:bookmarkEnd w:id="184"/>
    </w:p>
    <w:p w14:paraId="29D44169">
      <w:pPr>
        <w:pStyle w:val="68"/>
        <w:spacing w:before="156" w:after="156"/>
      </w:pPr>
      <w:bookmarkStart w:id="185" w:name="_Toc182637188"/>
      <w:r>
        <w:rPr>
          <w:rFonts w:hint="eastAsia"/>
        </w:rPr>
        <w:t>户外型逆变器的防护等级应不低于</w:t>
      </w:r>
      <w:r>
        <w:t>IP54</w:t>
      </w:r>
      <w:r>
        <w:rPr>
          <w:rFonts w:hint="eastAsia"/>
        </w:rPr>
        <w:t>要求，户内型逆变器的防护等级应不低于</w:t>
      </w:r>
      <w:r>
        <w:t>IP20</w:t>
      </w:r>
      <w:r>
        <w:rPr>
          <w:rFonts w:hint="eastAsia"/>
        </w:rPr>
        <w:t>要求。</w:t>
      </w:r>
      <w:bookmarkEnd w:id="185"/>
    </w:p>
    <w:p w14:paraId="4EDE23EC">
      <w:pPr>
        <w:pStyle w:val="68"/>
        <w:spacing w:before="156" w:after="156"/>
      </w:pPr>
      <w:bookmarkStart w:id="186" w:name="_Toc182637189"/>
      <w:r>
        <w:rPr>
          <w:rFonts w:hint="eastAsia"/>
        </w:rPr>
        <w:t>逆变器应具备有功功率连续平滑调节能力，能够接受本地能量管理系统、配变台区智能融合终端等的控制指令调节有功功率输出值，调节范围为</w:t>
      </w:r>
      <w:r>
        <w:t>20</w:t>
      </w:r>
      <w:r>
        <w:rPr>
          <w:rFonts w:hint="eastAsia"/>
        </w:rPr>
        <w:t>%</w:t>
      </w:r>
      <w:r>
        <w:t>～100%</w:t>
      </w:r>
      <w:r>
        <w:rPr>
          <w:rFonts w:hint="eastAsia"/>
        </w:rPr>
        <w:t>，控制误差应为逆变器额定有功功率侧的</w:t>
      </w:r>
      <w:r>
        <w:t>±1%</w:t>
      </w:r>
      <w:r>
        <w:rPr>
          <w:rFonts w:hint="eastAsia"/>
        </w:rPr>
        <w:t>，响应时间不应大于</w:t>
      </w:r>
      <w:r>
        <w:t>1</w:t>
      </w:r>
      <w:r>
        <w:rPr>
          <w:rFonts w:hint="eastAsia"/>
        </w:rPr>
        <w:t>秒。逆变器稳态无功功率输出范围应在</w:t>
      </w:r>
      <w:r>
        <w:t>-33%～33%</w:t>
      </w:r>
      <w:r>
        <w:rPr>
          <w:rFonts w:hint="eastAsia"/>
        </w:rPr>
        <w:t>内连续可调，具体参照</w:t>
      </w:r>
      <w:r>
        <w:t>GB/T37408</w:t>
      </w:r>
      <w:r>
        <w:rPr>
          <w:rFonts w:hint="eastAsia"/>
        </w:rPr>
        <w:t>，控制误差应为逆变器额定有功率侧的</w:t>
      </w:r>
      <w:r>
        <w:t>±1%</w:t>
      </w:r>
      <w:r>
        <w:rPr>
          <w:rFonts w:hint="eastAsia"/>
        </w:rPr>
        <w:t>，响应时间不应大于</w:t>
      </w:r>
      <w:r>
        <w:t>1</w:t>
      </w:r>
      <w:r>
        <w:rPr>
          <w:rFonts w:hint="eastAsia"/>
        </w:rPr>
        <w:t>秒。</w:t>
      </w:r>
      <w:bookmarkEnd w:id="186"/>
    </w:p>
    <w:p w14:paraId="3B14F937">
      <w:pPr>
        <w:pStyle w:val="68"/>
        <w:spacing w:before="156" w:after="156"/>
      </w:pPr>
      <w:bookmarkStart w:id="187" w:name="_Toc182637190"/>
      <w:r>
        <w:rPr>
          <w:rFonts w:hint="eastAsia"/>
        </w:rPr>
        <w:t>逆变器的配置应满足下列要求：应具备自动运行和停止功能、最大功率跟踪控制功能和防孤岛功能；应具有并网保护装置，并与电网的保护相协调；应具备电压自动调整功能；应具备低电压穿越功能；应具备响应电网有功和无功调节指令的功能；通信协议规约应与电网设备相协调，具备单独接受电网统一调度的功能，并配置满足电网调度要求的本地控制终端；应满足环境对逆变器的噪声和电磁兼容要求。</w:t>
      </w:r>
      <w:bookmarkEnd w:id="187"/>
    </w:p>
    <w:p w14:paraId="2EA97CB6">
      <w:pPr>
        <w:pStyle w:val="108"/>
        <w:spacing w:before="156" w:after="156"/>
      </w:pPr>
      <w:bookmarkStart w:id="188" w:name="_Toc182637412"/>
      <w:bookmarkStart w:id="189" w:name="_Toc182722986"/>
      <w:bookmarkStart w:id="190" w:name="_Toc182637191"/>
      <w:r>
        <w:rPr>
          <w:rFonts w:hint="eastAsia"/>
        </w:rPr>
        <w:t>配套储能</w:t>
      </w:r>
      <w:bookmarkEnd w:id="188"/>
      <w:bookmarkEnd w:id="189"/>
      <w:bookmarkEnd w:id="190"/>
    </w:p>
    <w:p w14:paraId="372221C4">
      <w:pPr>
        <w:pStyle w:val="68"/>
        <w:spacing w:before="156" w:after="156"/>
      </w:pPr>
      <w:bookmarkStart w:id="191" w:name="_Toc182637192"/>
      <w:r>
        <w:t>配套储能以不出现长时间大规模反送、不增加系统调峰负担为原则，综合考虑</w:t>
      </w:r>
      <w:r>
        <w:rPr>
          <w:rFonts w:hint="eastAsia"/>
        </w:rPr>
        <w:t>区域</w:t>
      </w:r>
      <w:r>
        <w:t>光伏开发规模、负荷特性等因素，确定储能配置容量，提升系统调节能力。</w:t>
      </w:r>
      <w:bookmarkEnd w:id="191"/>
    </w:p>
    <w:p w14:paraId="33763944">
      <w:pPr>
        <w:pStyle w:val="68"/>
        <w:spacing w:before="156" w:after="156"/>
      </w:pPr>
      <w:bookmarkStart w:id="192" w:name="_Toc182637193"/>
      <w:r>
        <w:t>配套储能装置应满足10年（5000次循环）以上工作寿命，系统容量10年衰减率不超过20%。</w:t>
      </w:r>
      <w:bookmarkEnd w:id="192"/>
    </w:p>
    <w:p w14:paraId="597FB01B">
      <w:pPr>
        <w:pStyle w:val="68"/>
        <w:spacing w:before="156" w:after="156"/>
      </w:pPr>
      <w:bookmarkStart w:id="193" w:name="_Toc182637194"/>
      <w:r>
        <w:t>配套储能装置优先选用电化学储能。</w:t>
      </w:r>
      <w:bookmarkEnd w:id="193"/>
    </w:p>
    <w:p w14:paraId="1293E3D0">
      <w:pPr>
        <w:pStyle w:val="68"/>
        <w:spacing w:before="156" w:after="156"/>
      </w:pPr>
      <w:bookmarkStart w:id="194" w:name="_Toc182637195"/>
      <w:r>
        <w:t>电化学储能电池的初始充放电能量、循环性能、能量保持与恢复能力、安全性能、绝缘性能、耐压性能等技术要求应符合GB/T36558有关</w:t>
      </w:r>
      <w:r>
        <w:rPr>
          <w:rFonts w:hint="eastAsia"/>
        </w:rPr>
        <w:t>规定</w:t>
      </w:r>
      <w:r>
        <w:t>。</w:t>
      </w:r>
      <w:bookmarkEnd w:id="194"/>
    </w:p>
    <w:p w14:paraId="4E975A89">
      <w:pPr>
        <w:pStyle w:val="68"/>
        <w:spacing w:before="156" w:after="156"/>
      </w:pPr>
      <w:bookmarkStart w:id="195" w:name="_Toc182637196"/>
      <w:r>
        <w:t>储能装置应采用在线监测装置进行智能化实时检测，应具有在线识别电池组落后单体、判断储能电池整体性能、充放电管理等功能，且应具有人机交互界面和通讯接口，便于与监控系统的信息交互，通信协议规约应与电网设备相协调，具备单独接受电网统一调度的功能。</w:t>
      </w:r>
      <w:bookmarkEnd w:id="195"/>
    </w:p>
    <w:p w14:paraId="1F79078C">
      <w:pPr>
        <w:pStyle w:val="68"/>
        <w:spacing w:before="156" w:after="156"/>
      </w:pPr>
      <w:bookmarkStart w:id="196" w:name="_Toc182637197"/>
      <w:r>
        <w:t>储能电池容量和性能应可检测、可诊断，使控制系统可在预知电池容量和性能的情况下降低屋顶分布式光伏接入电网的冲击，提高电网的可靠性和效率。电池储能系统的监控系统及其子系统（包括电池管理系统、储能系统配套升压</w:t>
      </w:r>
      <w:r>
        <w:rPr>
          <w:rFonts w:hint="eastAsia"/>
          <w:lang w:eastAsia="zh-CN"/>
        </w:rPr>
        <w:t>变电</w:t>
      </w:r>
      <w:r>
        <w:t>及高低压配电装置监控单元等）所采用的通信协议需符合国际通用标准及客户要求。</w:t>
      </w:r>
      <w:bookmarkEnd w:id="196"/>
    </w:p>
    <w:p w14:paraId="01234E2B">
      <w:pPr>
        <w:pStyle w:val="68"/>
        <w:spacing w:before="156" w:after="156"/>
      </w:pPr>
      <w:bookmarkStart w:id="197" w:name="_Toc182637198"/>
      <w:r>
        <w:t>储能消防设计应根据建设规模、各类储能不同特性采取相应的消防措施，从全局出发，统筹兼顾，做到安全使用、技术先进、经济合理，储能的耐火等级、灭火设施、消防报警设计应符合GB51048有关</w:t>
      </w:r>
      <w:r>
        <w:rPr>
          <w:rFonts w:hint="eastAsia"/>
        </w:rPr>
        <w:t>规定</w:t>
      </w:r>
      <w:r>
        <w:t>。</w:t>
      </w:r>
      <w:bookmarkEnd w:id="197"/>
    </w:p>
    <w:p w14:paraId="427A85F6">
      <w:pPr>
        <w:pStyle w:val="68"/>
        <w:spacing w:before="156" w:after="156"/>
      </w:pPr>
      <w:bookmarkStart w:id="198" w:name="_Toc182637199"/>
      <w:r>
        <w:t>储能的电池室、电气室等用房应设置火灾自动报警系统、自动灭火系统、排烟设施、应急照明和疏散指示系统。</w:t>
      </w:r>
      <w:bookmarkEnd w:id="198"/>
    </w:p>
    <w:p w14:paraId="71720D00">
      <w:pPr>
        <w:pStyle w:val="68"/>
        <w:spacing w:before="156" w:after="156"/>
      </w:pPr>
      <w:bookmarkStart w:id="199" w:name="_Toc182637200"/>
      <w:r>
        <w:t>电池室之间、电池室与易燃易爆物品及重要设备设施之间、与其他生产生活区域之间应保持安全防火距离，防火距离不足时，应采取相应防火隔离措施。</w:t>
      </w:r>
      <w:bookmarkEnd w:id="199"/>
    </w:p>
    <w:p w14:paraId="3F69AE1D">
      <w:pPr>
        <w:pStyle w:val="68"/>
        <w:spacing w:before="156" w:after="156"/>
      </w:pPr>
      <w:bookmarkStart w:id="200" w:name="_Toc182637201"/>
      <w:r>
        <w:t>电池室配置的自动灭火系统，应与电池管理系统、火灾探测器或可燃气体探测装置、空调、排风系统联动，具备远程被动指令启动和应急机械启动功能，自动灭火系统的最小保护单元应为电池模块，每个电池模块宜单独配置探测器和灭火介质喷头，灭火介质应具有良好的绝缘性和降温性能，能扑灭电池火灾和电气设备火灾，且防止复燃。</w:t>
      </w:r>
      <w:bookmarkEnd w:id="200"/>
    </w:p>
    <w:p w14:paraId="544964C7">
      <w:pPr>
        <w:pStyle w:val="108"/>
        <w:spacing w:before="156" w:after="156"/>
      </w:pPr>
      <w:bookmarkStart w:id="201" w:name="_Toc182637413"/>
      <w:bookmarkStart w:id="202" w:name="_Toc182722987"/>
      <w:bookmarkStart w:id="203" w:name="_Toc182637202"/>
      <w:r>
        <w:t>箱式变电站</w:t>
      </w:r>
      <w:bookmarkEnd w:id="201"/>
      <w:bookmarkEnd w:id="202"/>
      <w:bookmarkEnd w:id="203"/>
    </w:p>
    <w:p w14:paraId="1EAC02C2">
      <w:pPr>
        <w:pStyle w:val="68"/>
        <w:spacing w:before="156" w:after="156"/>
      </w:pPr>
      <w:bookmarkStart w:id="204" w:name="_Toc182637203"/>
      <w:r>
        <w:t>箱式变电站建设应考虑环境保护及安全防护需求，宜选择干式变压器。</w:t>
      </w:r>
      <w:bookmarkEnd w:id="204"/>
    </w:p>
    <w:p w14:paraId="47F2857F">
      <w:pPr>
        <w:pStyle w:val="68"/>
        <w:spacing w:before="156" w:after="156"/>
      </w:pPr>
      <w:bookmarkStart w:id="205" w:name="_Toc182637204"/>
      <w:r>
        <w:t>应结合边坡高度、高速公路隔离栅外土地性质等因素，确定箱式变电站的安装位置，宜安装在高速公路隔离栅以外。</w:t>
      </w:r>
      <w:bookmarkEnd w:id="205"/>
    </w:p>
    <w:p w14:paraId="3DF83BBE">
      <w:pPr>
        <w:pStyle w:val="68"/>
        <w:spacing w:before="156" w:after="156"/>
      </w:pPr>
      <w:bookmarkStart w:id="206" w:name="_Toc182637205"/>
      <w:r>
        <w:t>确需将箱式变电站安装于隔离栅以内时，相关技术要求包括但不限于：</w:t>
      </w:r>
      <w:bookmarkEnd w:id="206"/>
    </w:p>
    <w:p w14:paraId="7718C35C">
      <w:pPr>
        <w:pStyle w:val="177"/>
      </w:pPr>
      <w:r>
        <w:rPr>
          <w:rFonts w:hint="eastAsia"/>
        </w:rPr>
        <w:t>应结合光伏方阵排布、接入方案、线缆用量、走线便利性等，确定箱式变电站安装位置，宜放置于电网接入点附近，箱式变电站不应对光伏方阵造成光线遮挡；</w:t>
      </w:r>
    </w:p>
    <w:p w14:paraId="0C0B8A60">
      <w:pPr>
        <w:pStyle w:val="177"/>
      </w:pPr>
      <w:r>
        <w:t>应结合基础承载力、边坡抗雨水冲刷能力及水土保持需求，预留边坡导水通道，设计箱式变电站基础；</w:t>
      </w:r>
    </w:p>
    <w:p w14:paraId="31C8325C">
      <w:pPr>
        <w:pStyle w:val="177"/>
      </w:pPr>
      <w:r>
        <w:t>箱式变电站应安装于坡底位置，安装完成后的箱体最高点宜低于高速公路路面，箱体最低点与地面的</w:t>
      </w:r>
      <w:r>
        <w:rPr>
          <w:rFonts w:hint="eastAsia"/>
        </w:rPr>
        <w:t>距离</w:t>
      </w:r>
      <w:r>
        <w:t>应不小于0.4m，且保证箱体水平；</w:t>
      </w:r>
    </w:p>
    <w:p w14:paraId="6840B0B6">
      <w:pPr>
        <w:pStyle w:val="177"/>
      </w:pPr>
      <w:r>
        <w:t>应围绕箱式变电站搭建检修平台，检修平台应设置防护围栏，围栏高度不低于1m，应设置检修扶梯与检修平台连接，并在高速公路隔离栅处预留维修通道。</w:t>
      </w:r>
    </w:p>
    <w:p w14:paraId="14C8264A">
      <w:pPr>
        <w:pStyle w:val="68"/>
        <w:spacing w:before="156" w:after="156"/>
      </w:pPr>
      <w:bookmarkStart w:id="207" w:name="_Toc182637206"/>
      <w:r>
        <w:t>应加强箱式变电站安装区域的安全防护，必要时提升公路护栏等级，并在箱式变电站的明显位置设置防触电警示标识。</w:t>
      </w:r>
      <w:bookmarkEnd w:id="207"/>
    </w:p>
    <w:p w14:paraId="5D719523">
      <w:pPr>
        <w:pStyle w:val="108"/>
        <w:spacing w:before="156" w:after="156"/>
      </w:pPr>
      <w:bookmarkStart w:id="208" w:name="_Toc182637414"/>
      <w:bookmarkStart w:id="209" w:name="_Toc182722988"/>
      <w:bookmarkStart w:id="210" w:name="_Toc182637207"/>
      <w:r>
        <w:t>接入系统</w:t>
      </w:r>
      <w:bookmarkEnd w:id="208"/>
      <w:bookmarkEnd w:id="209"/>
      <w:bookmarkEnd w:id="210"/>
    </w:p>
    <w:p w14:paraId="697338A7">
      <w:pPr>
        <w:pStyle w:val="68"/>
        <w:spacing w:before="156" w:after="156"/>
      </w:pPr>
      <w:bookmarkStart w:id="211" w:name="_Toc182637208"/>
      <w:r>
        <w:t>光伏发电工程接入电网应符合GB/T38335的有关规定。</w:t>
      </w:r>
      <w:bookmarkEnd w:id="211"/>
    </w:p>
    <w:p w14:paraId="04514FD0">
      <w:pPr>
        <w:pStyle w:val="68"/>
        <w:spacing w:before="156" w:after="156"/>
      </w:pPr>
      <w:bookmarkStart w:id="212" w:name="_Toc182637209"/>
      <w:r>
        <w:t>光伏发电工程接入电网的电压等级应根据光伏发电站的容量及电网的具体情况，经技术经济比较后确定，宜采用10kV及以下电网等级接入。对于单个并网点，分布式光伏接入的电压等级应按照安全性、灵活性、经济性原则，根据装机容量、导线载流量、上级变压器及线路可接纳能力、所在地区配电网情况、周边分布式电源规划情况，经综合比选后确定，具体可参考表</w:t>
      </w:r>
      <w:r>
        <w:rPr>
          <w:rFonts w:hint="eastAsia"/>
        </w:rPr>
        <w:t>1。</w:t>
      </w:r>
      <w:bookmarkEnd w:id="212"/>
    </w:p>
    <w:p w14:paraId="3E6F9CAE">
      <w:pPr>
        <w:pStyle w:val="115"/>
        <w:spacing w:before="156" w:after="156"/>
      </w:pPr>
      <w:r>
        <w:t>高速公路光伏接入电压等级建议表</w:t>
      </w:r>
    </w:p>
    <w:tbl>
      <w:tblPr>
        <w:tblStyle w:val="30"/>
        <w:tblW w:w="0" w:type="auto"/>
        <w:tblInd w:w="4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494"/>
        <w:gridCol w:w="4397"/>
      </w:tblGrid>
      <w:tr w14:paraId="6305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94" w:type="dxa"/>
            <w:tcBorders>
              <w:top w:val="single" w:color="auto" w:sz="8" w:space="0"/>
              <w:left w:val="single" w:color="auto" w:sz="8" w:space="0"/>
              <w:bottom w:val="single" w:color="auto" w:sz="8" w:space="0"/>
              <w:right w:val="nil"/>
            </w:tcBorders>
            <w:shd w:val="clear" w:color="auto" w:fill="auto"/>
            <w:vAlign w:val="center"/>
          </w:tcPr>
          <w:p w14:paraId="5ADA88F0">
            <w:pPr>
              <w:pStyle w:val="59"/>
              <w:ind w:firstLine="360"/>
              <w:rPr>
                <w:sz w:val="18"/>
              </w:rPr>
            </w:pPr>
            <w:r>
              <w:rPr>
                <w:sz w:val="18"/>
              </w:rPr>
              <w:t>单个并网点容量</w:t>
            </w:r>
            <w:r>
              <w:rPr>
                <w:rFonts w:hint="eastAsia"/>
                <w:sz w:val="18"/>
                <w:lang w:eastAsia="zh-CN"/>
              </w:rPr>
              <w:t>（</w:t>
            </w:r>
            <w:r>
              <w:rPr>
                <w:sz w:val="18"/>
              </w:rPr>
              <w:t>MW)</w:t>
            </w:r>
          </w:p>
        </w:tc>
        <w:tc>
          <w:tcPr>
            <w:tcW w:w="4397" w:type="dxa"/>
            <w:tcBorders>
              <w:top w:val="single" w:color="auto" w:sz="8" w:space="0"/>
              <w:left w:val="nil"/>
              <w:bottom w:val="single" w:color="auto" w:sz="8" w:space="0"/>
              <w:right w:val="single" w:color="auto" w:sz="8" w:space="0"/>
            </w:tcBorders>
            <w:shd w:val="clear" w:color="auto" w:fill="auto"/>
            <w:vAlign w:val="center"/>
          </w:tcPr>
          <w:p w14:paraId="0CC45534">
            <w:pPr>
              <w:pStyle w:val="59"/>
              <w:ind w:firstLine="360"/>
              <w:rPr>
                <w:sz w:val="18"/>
              </w:rPr>
            </w:pPr>
            <w:r>
              <w:rPr>
                <w:sz w:val="18"/>
              </w:rPr>
              <w:t>并网电压等级（kV）</w:t>
            </w:r>
          </w:p>
        </w:tc>
      </w:tr>
      <w:tr w14:paraId="08150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94" w:type="dxa"/>
            <w:tcBorders>
              <w:top w:val="single" w:color="auto" w:sz="8" w:space="0"/>
              <w:left w:val="single" w:color="auto" w:sz="8" w:space="0"/>
              <w:bottom w:val="nil"/>
              <w:right w:val="nil"/>
            </w:tcBorders>
            <w:shd w:val="clear" w:color="auto" w:fill="auto"/>
            <w:vAlign w:val="center"/>
          </w:tcPr>
          <w:p w14:paraId="60A40542">
            <w:pPr>
              <w:pStyle w:val="59"/>
              <w:ind w:firstLine="360"/>
              <w:rPr>
                <w:sz w:val="18"/>
              </w:rPr>
            </w:pPr>
            <w:r>
              <w:rPr>
                <w:rFonts w:hint="eastAsia"/>
                <w:sz w:val="18"/>
                <w:lang w:eastAsia="zh-CN"/>
              </w:rPr>
              <w:t>&lt;</w:t>
            </w:r>
            <w:r>
              <w:rPr>
                <w:sz w:val="18"/>
              </w:rPr>
              <w:t>0.4</w:t>
            </w:r>
          </w:p>
        </w:tc>
        <w:tc>
          <w:tcPr>
            <w:tcW w:w="4397" w:type="dxa"/>
            <w:tcBorders>
              <w:top w:val="single" w:color="auto" w:sz="8" w:space="0"/>
              <w:left w:val="nil"/>
              <w:bottom w:val="nil"/>
              <w:right w:val="single" w:color="auto" w:sz="8" w:space="0"/>
            </w:tcBorders>
            <w:shd w:val="clear" w:color="auto" w:fill="auto"/>
            <w:vAlign w:val="center"/>
          </w:tcPr>
          <w:p w14:paraId="0F6A9CFB">
            <w:pPr>
              <w:pStyle w:val="59"/>
              <w:ind w:firstLine="360"/>
              <w:rPr>
                <w:sz w:val="18"/>
              </w:rPr>
            </w:pPr>
            <w:r>
              <w:rPr>
                <w:sz w:val="18"/>
              </w:rPr>
              <w:t>0.38</w:t>
            </w:r>
          </w:p>
        </w:tc>
      </w:tr>
      <w:tr w14:paraId="5527F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94" w:type="dxa"/>
            <w:tcBorders>
              <w:top w:val="nil"/>
              <w:left w:val="single" w:color="auto" w:sz="8" w:space="0"/>
              <w:bottom w:val="nil"/>
              <w:right w:val="nil"/>
            </w:tcBorders>
            <w:shd w:val="clear" w:color="auto" w:fill="auto"/>
            <w:vAlign w:val="center"/>
          </w:tcPr>
          <w:p w14:paraId="28DA294F">
            <w:pPr>
              <w:pStyle w:val="59"/>
              <w:ind w:firstLine="360"/>
              <w:rPr>
                <w:sz w:val="18"/>
              </w:rPr>
            </w:pPr>
            <w:r>
              <w:rPr>
                <w:sz w:val="18"/>
              </w:rPr>
              <w:t>0.4</w:t>
            </w:r>
            <w:r>
              <w:rPr>
                <w:rFonts w:hint="eastAsia"/>
                <w:sz w:val="18"/>
                <w:lang w:eastAsia="zh-CN"/>
              </w:rPr>
              <w:t>~</w:t>
            </w:r>
            <w:r>
              <w:rPr>
                <w:sz w:val="18"/>
              </w:rPr>
              <w:t>6</w:t>
            </w:r>
          </w:p>
        </w:tc>
        <w:tc>
          <w:tcPr>
            <w:tcW w:w="4397" w:type="dxa"/>
            <w:tcBorders>
              <w:top w:val="nil"/>
              <w:left w:val="nil"/>
              <w:bottom w:val="nil"/>
              <w:right w:val="single" w:color="auto" w:sz="8" w:space="0"/>
            </w:tcBorders>
            <w:shd w:val="clear" w:color="auto" w:fill="auto"/>
            <w:vAlign w:val="center"/>
          </w:tcPr>
          <w:p w14:paraId="546F8401">
            <w:pPr>
              <w:pStyle w:val="59"/>
              <w:ind w:firstLine="360"/>
              <w:rPr>
                <w:sz w:val="18"/>
              </w:rPr>
            </w:pPr>
            <w:r>
              <w:rPr>
                <w:sz w:val="18"/>
              </w:rPr>
              <w:t>10</w:t>
            </w:r>
          </w:p>
        </w:tc>
      </w:tr>
      <w:tr w14:paraId="4BD30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494" w:type="dxa"/>
            <w:tcBorders>
              <w:top w:val="nil"/>
              <w:left w:val="single" w:color="auto" w:sz="8" w:space="0"/>
              <w:bottom w:val="single" w:color="auto" w:sz="8" w:space="0"/>
              <w:right w:val="nil"/>
            </w:tcBorders>
            <w:shd w:val="clear" w:color="auto" w:fill="auto"/>
            <w:vAlign w:val="center"/>
          </w:tcPr>
          <w:p w14:paraId="7A710DCF">
            <w:pPr>
              <w:pStyle w:val="59"/>
              <w:ind w:firstLine="360"/>
              <w:rPr>
                <w:sz w:val="18"/>
              </w:rPr>
            </w:pPr>
            <w:r>
              <w:rPr>
                <w:sz w:val="18"/>
              </w:rPr>
              <w:t>≥6</w:t>
            </w:r>
          </w:p>
        </w:tc>
        <w:tc>
          <w:tcPr>
            <w:tcW w:w="4397" w:type="dxa"/>
            <w:tcBorders>
              <w:top w:val="nil"/>
              <w:left w:val="nil"/>
              <w:bottom w:val="single" w:color="auto" w:sz="8" w:space="0"/>
              <w:right w:val="single" w:color="auto" w:sz="8" w:space="0"/>
            </w:tcBorders>
            <w:shd w:val="clear" w:color="auto" w:fill="auto"/>
            <w:vAlign w:val="center"/>
          </w:tcPr>
          <w:p w14:paraId="5E2BA7D9">
            <w:pPr>
              <w:pStyle w:val="59"/>
              <w:ind w:firstLine="360"/>
              <w:rPr>
                <w:sz w:val="18"/>
              </w:rPr>
            </w:pPr>
            <w:r>
              <w:rPr>
                <w:sz w:val="18"/>
              </w:rPr>
              <w:t>35</w:t>
            </w:r>
          </w:p>
        </w:tc>
      </w:tr>
    </w:tbl>
    <w:p w14:paraId="7AD35565">
      <w:pPr>
        <w:pStyle w:val="59"/>
        <w:ind w:firstLine="420"/>
      </w:pPr>
      <w:r>
        <w:t>注：最终并网电压等级应根据电网条件，经过技术经济比选论证确定，优先采用低电压等级接入。</w:t>
      </w:r>
    </w:p>
    <w:p w14:paraId="187FF25D">
      <w:pPr>
        <w:pStyle w:val="68"/>
        <w:spacing w:before="156" w:after="156"/>
      </w:pPr>
      <w:bookmarkStart w:id="213" w:name="_Toc182637210"/>
      <w:r>
        <w:t>光伏发电工程应具备与电力调度部门进行数据通信的能力，并网双方的通信系统应符合电网安全经济运行对电力通信的要求。</w:t>
      </w:r>
      <w:bookmarkEnd w:id="213"/>
    </w:p>
    <w:p w14:paraId="7F819832">
      <w:pPr>
        <w:pStyle w:val="68"/>
        <w:spacing w:before="156" w:after="156"/>
      </w:pPr>
      <w:bookmarkStart w:id="214" w:name="_Toc182637211"/>
      <w:r>
        <w:t>应充分考虑周边电网接入条件及要求，确定光伏发电工程接入点位，宜按就近并网原则将边坡光伏发电工程与边坡外并网点建立快速通道</w:t>
      </w:r>
      <w:r>
        <w:rPr>
          <w:rFonts w:hint="eastAsia"/>
        </w:rPr>
        <w:t>，具体建议见表</w:t>
      </w:r>
      <w:r>
        <w:t>2</w:t>
      </w:r>
      <w:r>
        <w:rPr>
          <w:rFonts w:hint="eastAsia"/>
        </w:rPr>
        <w:t>。</w:t>
      </w:r>
      <w:bookmarkEnd w:id="214"/>
    </w:p>
    <w:p w14:paraId="29B8C222">
      <w:pPr>
        <w:pStyle w:val="115"/>
        <w:spacing w:before="156" w:after="156"/>
      </w:pPr>
      <w:r>
        <w:t>高速公路光伏并网点选择建议表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21"/>
        <w:gridCol w:w="6936"/>
      </w:tblGrid>
      <w:tr w14:paraId="32896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21" w:type="dxa"/>
            <w:tcBorders>
              <w:top w:val="single" w:color="auto" w:sz="8" w:space="0"/>
              <w:left w:val="single" w:color="auto" w:sz="8" w:space="0"/>
              <w:bottom w:val="single" w:color="auto" w:sz="8" w:space="0"/>
              <w:right w:val="nil"/>
            </w:tcBorders>
            <w:shd w:val="clear" w:color="auto" w:fill="auto"/>
            <w:vAlign w:val="center"/>
          </w:tcPr>
          <w:p w14:paraId="2FFC5184">
            <w:pPr>
              <w:pStyle w:val="59"/>
              <w:ind w:firstLine="360"/>
              <w:rPr>
                <w:sz w:val="18"/>
              </w:rPr>
            </w:pPr>
            <w:r>
              <w:rPr>
                <w:sz w:val="18"/>
              </w:rPr>
              <w:t>电压等级</w:t>
            </w:r>
            <w:r>
              <w:rPr>
                <w:rFonts w:hint="eastAsia"/>
                <w:sz w:val="18"/>
                <w:lang w:eastAsia="zh-CN"/>
              </w:rPr>
              <w:t>（</w:t>
            </w:r>
            <w:r>
              <w:rPr>
                <w:sz w:val="18"/>
              </w:rPr>
              <w:t>kV)</w:t>
            </w:r>
          </w:p>
        </w:tc>
        <w:tc>
          <w:tcPr>
            <w:tcW w:w="6936" w:type="dxa"/>
            <w:tcBorders>
              <w:top w:val="single" w:color="auto" w:sz="8" w:space="0"/>
              <w:left w:val="nil"/>
              <w:bottom w:val="single" w:color="auto" w:sz="8" w:space="0"/>
              <w:right w:val="single" w:color="auto" w:sz="8" w:space="0"/>
            </w:tcBorders>
            <w:shd w:val="clear" w:color="auto" w:fill="auto"/>
            <w:vAlign w:val="center"/>
          </w:tcPr>
          <w:p w14:paraId="7DD01382">
            <w:pPr>
              <w:pStyle w:val="59"/>
              <w:ind w:firstLine="360"/>
              <w:rPr>
                <w:sz w:val="18"/>
              </w:rPr>
            </w:pPr>
            <w:r>
              <w:rPr>
                <w:sz w:val="18"/>
              </w:rPr>
              <w:t>并网点</w:t>
            </w:r>
          </w:p>
        </w:tc>
      </w:tr>
      <w:tr w14:paraId="63DF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21" w:type="dxa"/>
            <w:tcBorders>
              <w:top w:val="single" w:color="auto" w:sz="8" w:space="0"/>
              <w:left w:val="single" w:color="auto" w:sz="8" w:space="0"/>
              <w:bottom w:val="nil"/>
              <w:right w:val="nil"/>
            </w:tcBorders>
            <w:shd w:val="clear" w:color="auto" w:fill="auto"/>
            <w:vAlign w:val="center"/>
          </w:tcPr>
          <w:p w14:paraId="5CE51872">
            <w:pPr>
              <w:pStyle w:val="59"/>
              <w:ind w:firstLine="360"/>
              <w:rPr>
                <w:sz w:val="18"/>
              </w:rPr>
            </w:pPr>
            <w:r>
              <w:rPr>
                <w:sz w:val="18"/>
              </w:rPr>
              <w:t>0.38</w:t>
            </w:r>
          </w:p>
        </w:tc>
        <w:tc>
          <w:tcPr>
            <w:tcW w:w="6936" w:type="dxa"/>
            <w:tcBorders>
              <w:top w:val="single" w:color="auto" w:sz="8" w:space="0"/>
              <w:left w:val="nil"/>
              <w:bottom w:val="nil"/>
              <w:right w:val="single" w:color="auto" w:sz="8" w:space="0"/>
            </w:tcBorders>
            <w:shd w:val="clear" w:color="auto" w:fill="auto"/>
            <w:vAlign w:val="center"/>
          </w:tcPr>
          <w:p w14:paraId="5BE7BA35">
            <w:pPr>
              <w:pStyle w:val="59"/>
              <w:ind w:firstLine="360"/>
              <w:rPr>
                <w:sz w:val="18"/>
              </w:rPr>
            </w:pPr>
            <w:r>
              <w:rPr>
                <w:sz w:val="18"/>
              </w:rPr>
              <w:t>配电室、箱变或柱上变压器低压母线；低压主干线路/配变箱</w:t>
            </w:r>
          </w:p>
        </w:tc>
      </w:tr>
      <w:tr w14:paraId="4DE3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21" w:type="dxa"/>
            <w:tcBorders>
              <w:top w:val="nil"/>
              <w:left w:val="single" w:color="auto" w:sz="8" w:space="0"/>
              <w:bottom w:val="nil"/>
              <w:right w:val="nil"/>
            </w:tcBorders>
            <w:shd w:val="clear" w:color="auto" w:fill="auto"/>
            <w:vAlign w:val="center"/>
          </w:tcPr>
          <w:p w14:paraId="0F478240">
            <w:pPr>
              <w:pStyle w:val="59"/>
              <w:ind w:left="1091" w:leftChars="171" w:hanging="732" w:hangingChars="407"/>
              <w:rPr>
                <w:sz w:val="18"/>
              </w:rPr>
            </w:pPr>
            <w:r>
              <w:rPr>
                <w:sz w:val="18"/>
              </w:rPr>
              <w:t>10</w:t>
            </w:r>
          </w:p>
        </w:tc>
        <w:tc>
          <w:tcPr>
            <w:tcW w:w="6936" w:type="dxa"/>
            <w:tcBorders>
              <w:top w:val="nil"/>
              <w:left w:val="nil"/>
              <w:bottom w:val="nil"/>
              <w:right w:val="single" w:color="auto" w:sz="8" w:space="0"/>
            </w:tcBorders>
            <w:shd w:val="clear" w:color="auto" w:fill="auto"/>
            <w:vAlign w:val="center"/>
          </w:tcPr>
          <w:p w14:paraId="455C8B2B">
            <w:pPr>
              <w:pStyle w:val="59"/>
              <w:ind w:firstLine="360"/>
              <w:rPr>
                <w:sz w:val="18"/>
              </w:rPr>
            </w:pPr>
            <w:r>
              <w:rPr>
                <w:sz w:val="18"/>
              </w:rPr>
              <w:t>变电站、开关站、配电室、箱变、环网箱（室）的10kV母线；</w:t>
            </w:r>
          </w:p>
          <w:p w14:paraId="0A53DA20">
            <w:pPr>
              <w:pStyle w:val="59"/>
              <w:ind w:firstLine="360"/>
              <w:rPr>
                <w:sz w:val="18"/>
              </w:rPr>
            </w:pPr>
            <w:r>
              <w:rPr>
                <w:sz w:val="18"/>
              </w:rPr>
              <w:t>10kV线路（架空线路）</w:t>
            </w:r>
          </w:p>
        </w:tc>
      </w:tr>
      <w:tr w14:paraId="4841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921" w:type="dxa"/>
            <w:tcBorders>
              <w:top w:val="nil"/>
              <w:left w:val="single" w:color="auto" w:sz="8" w:space="0"/>
              <w:bottom w:val="single" w:color="auto" w:sz="8" w:space="0"/>
              <w:right w:val="nil"/>
            </w:tcBorders>
            <w:shd w:val="clear" w:color="auto" w:fill="auto"/>
            <w:vAlign w:val="center"/>
          </w:tcPr>
          <w:p w14:paraId="319E14AC">
            <w:pPr>
              <w:pStyle w:val="59"/>
              <w:ind w:firstLine="360"/>
              <w:rPr>
                <w:sz w:val="18"/>
              </w:rPr>
            </w:pPr>
            <w:r>
              <w:rPr>
                <w:sz w:val="18"/>
              </w:rPr>
              <w:t>35</w:t>
            </w:r>
          </w:p>
        </w:tc>
        <w:tc>
          <w:tcPr>
            <w:tcW w:w="6936" w:type="dxa"/>
            <w:tcBorders>
              <w:top w:val="nil"/>
              <w:left w:val="nil"/>
              <w:bottom w:val="single" w:color="auto" w:sz="8" w:space="0"/>
              <w:right w:val="single" w:color="auto" w:sz="8" w:space="0"/>
            </w:tcBorders>
            <w:shd w:val="clear" w:color="auto" w:fill="auto"/>
            <w:vAlign w:val="center"/>
          </w:tcPr>
          <w:p w14:paraId="188BDA49">
            <w:pPr>
              <w:pStyle w:val="59"/>
              <w:ind w:firstLine="360"/>
              <w:rPr>
                <w:sz w:val="18"/>
              </w:rPr>
            </w:pPr>
            <w:r>
              <w:rPr>
                <w:sz w:val="18"/>
              </w:rPr>
              <w:t>变电站或开关站35kV母线；35kV线路</w:t>
            </w:r>
          </w:p>
        </w:tc>
      </w:tr>
    </w:tbl>
    <w:p w14:paraId="234DABB2">
      <w:pPr>
        <w:pStyle w:val="68"/>
        <w:spacing w:before="156" w:after="156"/>
      </w:pPr>
      <w:bookmarkStart w:id="215" w:name="_Toc182637212"/>
      <w:r>
        <w:t>配电柜、计量柜等带电设施放置于边坡以外，应架高安装并采取隔离措施，并在明显位置设置警示标识。</w:t>
      </w:r>
      <w:bookmarkEnd w:id="215"/>
    </w:p>
    <w:p w14:paraId="75C08E0C">
      <w:pPr>
        <w:pStyle w:val="108"/>
        <w:spacing w:before="156" w:after="156"/>
      </w:pPr>
      <w:bookmarkStart w:id="216" w:name="_Toc182637415"/>
      <w:bookmarkStart w:id="217" w:name="_Toc182722989"/>
      <w:bookmarkStart w:id="218" w:name="_Toc182637213"/>
      <w:r>
        <w:t>电气主接线</w:t>
      </w:r>
      <w:bookmarkEnd w:id="216"/>
      <w:bookmarkEnd w:id="217"/>
      <w:bookmarkEnd w:id="218"/>
    </w:p>
    <w:p w14:paraId="77166003">
      <w:pPr>
        <w:pStyle w:val="68"/>
        <w:spacing w:before="156" w:after="156"/>
      </w:pPr>
      <w:bookmarkStart w:id="219" w:name="_Toc182637214"/>
      <w:r>
        <w:t>光伏升压站或输出汇总点的电气主接线方式，应根据高速公路光伏规划容量、分期建设情况、供电范围、当地负荷情况、接入电压等级和出线回路数等条件，通过技术经济分析比较后确定，可采用如下典型主接线方式：0.38kV宜采用单元或单母线接线；10kV宜采用线变组或单母线接线；35kV宜采用线变组或单母线接线</w:t>
      </w:r>
      <w:r>
        <w:rPr>
          <w:rFonts w:hint="eastAsia"/>
        </w:rPr>
        <w:t>。</w:t>
      </w:r>
      <w:bookmarkEnd w:id="219"/>
    </w:p>
    <w:p w14:paraId="306E4475">
      <w:pPr>
        <w:pStyle w:val="68"/>
        <w:spacing w:before="156" w:after="156"/>
      </w:pPr>
      <w:bookmarkStart w:id="220" w:name="_Toc182637215"/>
      <w:r>
        <w:t>母线上的电压互感器和避雷器应合用一组隔离开关，并组装在一个柜内。</w:t>
      </w:r>
      <w:bookmarkEnd w:id="220"/>
    </w:p>
    <w:p w14:paraId="11450F9A">
      <w:pPr>
        <w:pStyle w:val="68"/>
        <w:spacing w:before="156" w:after="156"/>
      </w:pPr>
      <w:bookmarkStart w:id="221" w:name="_Toc182637216"/>
      <w:r>
        <w:t>光伏系统内l0kV系统中性点可采用不接地、经消弧线圈接地或小电阻接地方式。就地升压变压器的低压侧中性点是否接地应依据逆变器的要求确定。</w:t>
      </w:r>
      <w:bookmarkEnd w:id="221"/>
    </w:p>
    <w:p w14:paraId="21744B48">
      <w:pPr>
        <w:pStyle w:val="68"/>
        <w:spacing w:before="156" w:after="156"/>
      </w:pPr>
      <w:bookmarkStart w:id="222" w:name="_Toc182637217"/>
      <w:r>
        <w:t>当采用消弧线圈接地时，应装设隔离开关。消弧线圈的容量选择和安装要求应符合DL/T620的规定。</w:t>
      </w:r>
      <w:bookmarkEnd w:id="222"/>
    </w:p>
    <w:p w14:paraId="0578D5D0">
      <w:pPr>
        <w:pStyle w:val="108"/>
        <w:spacing w:before="156" w:after="156"/>
      </w:pPr>
      <w:bookmarkStart w:id="223" w:name="_Toc182722990"/>
      <w:bookmarkStart w:id="224" w:name="_Toc182637218"/>
      <w:bookmarkStart w:id="225" w:name="_Toc182637416"/>
      <w:r>
        <w:t>无功补偿装置</w:t>
      </w:r>
      <w:bookmarkEnd w:id="223"/>
      <w:bookmarkEnd w:id="224"/>
      <w:bookmarkEnd w:id="225"/>
    </w:p>
    <w:p w14:paraId="07AF3913">
      <w:pPr>
        <w:pStyle w:val="68"/>
        <w:spacing w:before="156" w:after="156"/>
      </w:pPr>
      <w:bookmarkStart w:id="226" w:name="_Toc182637219"/>
      <w:r>
        <w:t>光伏系统的无功补偿装置应按电力系统无功补偿就地平衡和便于调整电压的原则配置。光伏系统无功电源特性应符合GB/T29321的规定。</w:t>
      </w:r>
      <w:bookmarkEnd w:id="226"/>
    </w:p>
    <w:p w14:paraId="682D3D54">
      <w:pPr>
        <w:pStyle w:val="68"/>
        <w:spacing w:before="156" w:after="156"/>
      </w:pPr>
      <w:bookmarkStart w:id="227" w:name="_Toc182637220"/>
      <w:r>
        <w:t>并联电容器装置的设计应符合GB50227的规定。</w:t>
      </w:r>
      <w:bookmarkEnd w:id="227"/>
    </w:p>
    <w:p w14:paraId="2A96BEE5">
      <w:pPr>
        <w:pStyle w:val="68"/>
        <w:spacing w:before="156" w:after="156"/>
      </w:pPr>
      <w:bookmarkStart w:id="228" w:name="_Toc182637221"/>
      <w:r>
        <w:t>无功补偿装置宜选用成套设备，其性能应符合GB/T29321的规定。</w:t>
      </w:r>
      <w:bookmarkEnd w:id="228"/>
    </w:p>
    <w:p w14:paraId="742628EF">
      <w:pPr>
        <w:pStyle w:val="68"/>
        <w:spacing w:before="156" w:after="156"/>
      </w:pPr>
      <w:bookmarkStart w:id="229" w:name="_Toc182637222"/>
      <w:r>
        <w:t>无功补偿装置配置应充分利用并网逆变器的无功容量及其调节能力。</w:t>
      </w:r>
      <w:bookmarkEnd w:id="229"/>
    </w:p>
    <w:p w14:paraId="76FD5F8B">
      <w:pPr>
        <w:pStyle w:val="108"/>
        <w:spacing w:before="156" w:after="156"/>
      </w:pPr>
      <w:bookmarkStart w:id="230" w:name="_Toc182722991"/>
      <w:bookmarkStart w:id="231" w:name="_Toc182637223"/>
      <w:bookmarkStart w:id="232" w:name="_Toc182637417"/>
      <w:r>
        <w:t>电能质量</w:t>
      </w:r>
      <w:bookmarkEnd w:id="230"/>
      <w:bookmarkEnd w:id="231"/>
      <w:bookmarkEnd w:id="232"/>
    </w:p>
    <w:p w14:paraId="7147481C">
      <w:pPr>
        <w:pStyle w:val="68"/>
        <w:spacing w:before="156" w:after="156"/>
        <w:ind w:left="1558" w:leftChars="742"/>
      </w:pPr>
      <w:bookmarkStart w:id="233" w:name="_Toc182637224"/>
      <w:r>
        <w:t>直接接入公用电网的光伏系统应在并网点装设电能质量在线监测装置；接入用户侧电网的光伏系统的电能质量监测装置应设置在关口计量点。电能质量数据应储存一年以上。</w:t>
      </w:r>
      <w:bookmarkEnd w:id="233"/>
    </w:p>
    <w:p w14:paraId="56A65AAC">
      <w:pPr>
        <w:pStyle w:val="68"/>
        <w:spacing w:before="156" w:after="156"/>
      </w:pPr>
      <w:bookmarkStart w:id="234" w:name="_Toc182637225"/>
      <w:r>
        <w:t>光伏系统接入电网后引起电网公共连接点的谐波电压畸变率以及向电网公共连接点注入的谐波电流应符合GB/T14549的规定。</w:t>
      </w:r>
      <w:bookmarkEnd w:id="234"/>
    </w:p>
    <w:p w14:paraId="46F1661B">
      <w:pPr>
        <w:pStyle w:val="68"/>
        <w:spacing w:before="156" w:after="156"/>
      </w:pPr>
      <w:bookmarkStart w:id="235" w:name="_Toc182637226"/>
      <w:r>
        <w:t>接入电网后，公共连接点的电压应符合GB/T12325的规定。</w:t>
      </w:r>
      <w:bookmarkEnd w:id="235"/>
    </w:p>
    <w:p w14:paraId="35E6E9AF">
      <w:pPr>
        <w:pStyle w:val="68"/>
        <w:spacing w:before="156" w:after="156"/>
      </w:pPr>
      <w:bookmarkStart w:id="236" w:name="_Toc182637227"/>
      <w:r>
        <w:t>引起公共连接点处的电压波动和闪变应符合GB/T12326的规定。</w:t>
      </w:r>
      <w:bookmarkEnd w:id="236"/>
    </w:p>
    <w:p w14:paraId="769FAA2D">
      <w:pPr>
        <w:pStyle w:val="68"/>
        <w:spacing w:before="156" w:after="156"/>
      </w:pPr>
      <w:bookmarkStart w:id="237" w:name="_Toc182637228"/>
      <w:r>
        <w:t>并网运行时，公共连接点三相电压不平衡度应符合GB/T15543的规定。</w:t>
      </w:r>
      <w:bookmarkEnd w:id="237"/>
    </w:p>
    <w:p w14:paraId="665064C0">
      <w:pPr>
        <w:pStyle w:val="68"/>
        <w:spacing w:before="156" w:after="156"/>
      </w:pPr>
      <w:bookmarkStart w:id="238" w:name="_Toc182637229"/>
      <w:r>
        <w:t>并网运行时，向电网馈送的直流电流分量最大不应超过其交流额定值的0.5%。</w:t>
      </w:r>
      <w:bookmarkEnd w:id="238"/>
    </w:p>
    <w:p w14:paraId="353602E0">
      <w:pPr>
        <w:pStyle w:val="108"/>
        <w:spacing w:before="156" w:after="156"/>
      </w:pPr>
      <w:bookmarkStart w:id="239" w:name="_Toc182637230"/>
      <w:bookmarkStart w:id="240" w:name="_Toc182722992"/>
      <w:bookmarkStart w:id="241" w:name="_Toc182637418"/>
      <w:r>
        <w:t>继电保护</w:t>
      </w:r>
      <w:bookmarkEnd w:id="239"/>
      <w:bookmarkEnd w:id="240"/>
      <w:bookmarkEnd w:id="241"/>
    </w:p>
    <w:p w14:paraId="74191F24">
      <w:pPr>
        <w:pStyle w:val="68"/>
        <w:spacing w:before="156" w:after="156"/>
      </w:pPr>
      <w:bookmarkStart w:id="242" w:name="_Toc182637231"/>
      <w:r>
        <w:t>光伏系统的保护应符合GB/T14285的规定，且应符合可靠性、选择性、灵敏性和速动性的要求。</w:t>
      </w:r>
      <w:bookmarkEnd w:id="242"/>
    </w:p>
    <w:p w14:paraId="02CCAB22">
      <w:pPr>
        <w:pStyle w:val="68"/>
        <w:spacing w:before="156" w:after="156"/>
      </w:pPr>
      <w:bookmarkStart w:id="243" w:name="_Toc182637232"/>
      <w:r>
        <w:t>光伏系统应具备快速检测孤岛且立即断开与电网连接的能力，其防孤岛保护应与电网侧线路保护相配合。</w:t>
      </w:r>
      <w:bookmarkEnd w:id="243"/>
    </w:p>
    <w:p w14:paraId="00CDDEFE">
      <w:pPr>
        <w:pStyle w:val="68"/>
        <w:spacing w:before="156" w:after="156"/>
      </w:pPr>
      <w:bookmarkStart w:id="244" w:name="_Toc182637233"/>
      <w:r>
        <w:t>在并网线路同时T接有其他用电负荷情况下，光伏系统防孤岛效应保护动作时间应小于电网侧线路保护重合闸时间。</w:t>
      </w:r>
      <w:bookmarkEnd w:id="244"/>
    </w:p>
    <w:p w14:paraId="74F06D1F">
      <w:pPr>
        <w:pStyle w:val="108"/>
        <w:spacing w:before="156" w:after="156"/>
      </w:pPr>
      <w:bookmarkStart w:id="245" w:name="_Toc182637419"/>
      <w:bookmarkStart w:id="246" w:name="_Toc182637234"/>
      <w:bookmarkStart w:id="247" w:name="_Toc182722993"/>
      <w:r>
        <w:t>站内电源</w:t>
      </w:r>
      <w:bookmarkEnd w:id="245"/>
      <w:bookmarkEnd w:id="246"/>
      <w:bookmarkEnd w:id="247"/>
    </w:p>
    <w:p w14:paraId="46972D99">
      <w:pPr>
        <w:pStyle w:val="68"/>
        <w:spacing w:before="156" w:after="156"/>
      </w:pPr>
      <w:bookmarkStart w:id="248" w:name="_Toc182637235"/>
      <w:r>
        <w:t>光伏系统宜设置蓄电池组，向继电保护、信号、自动装置等控制负荷和交流不间断电源装置、断路器合闸机构及直流事故照明等动力负荷供电，蓄电池组应以全浮充电方式运行。</w:t>
      </w:r>
      <w:bookmarkEnd w:id="248"/>
    </w:p>
    <w:p w14:paraId="30BD309B">
      <w:pPr>
        <w:pStyle w:val="68"/>
        <w:spacing w:before="156" w:after="156"/>
      </w:pPr>
      <w:bookmarkStart w:id="249" w:name="_Toc182637236"/>
      <w:r>
        <w:t>蓄电池组及充电装置的选择可按DL/T5044的规定执行。</w:t>
      </w:r>
      <w:bookmarkEnd w:id="249"/>
    </w:p>
    <w:p w14:paraId="64FE84F8">
      <w:pPr>
        <w:pStyle w:val="108"/>
        <w:spacing w:before="156" w:after="156"/>
      </w:pPr>
      <w:bookmarkStart w:id="250" w:name="_Toc182637237"/>
      <w:bookmarkStart w:id="251" w:name="_Toc182637420"/>
      <w:bookmarkStart w:id="252" w:name="_Toc182722994"/>
      <w:r>
        <w:t>防雷与接地设计</w:t>
      </w:r>
      <w:bookmarkEnd w:id="250"/>
      <w:bookmarkEnd w:id="251"/>
      <w:bookmarkEnd w:id="252"/>
    </w:p>
    <w:p w14:paraId="1340160F">
      <w:pPr>
        <w:pStyle w:val="68"/>
        <w:spacing w:before="156" w:after="156"/>
      </w:pPr>
      <w:bookmarkStart w:id="253" w:name="_Toc182637238"/>
      <w:r>
        <w:t>光伏方阵应设置接地网，并充分利用支架基础金属构件等自然接地体，接地连续、可靠，工频接地电阻应满足相关接地要求。</w:t>
      </w:r>
      <w:bookmarkEnd w:id="253"/>
    </w:p>
    <w:p w14:paraId="1C9AE982">
      <w:pPr>
        <w:pStyle w:val="68"/>
        <w:spacing w:before="156" w:after="156"/>
      </w:pPr>
      <w:bookmarkStart w:id="254" w:name="_Toc182637239"/>
      <w:r>
        <w:t>接地干线（网）应在不同的两点及以上与接地网连接或与原有建筑屋顶防雷接地网连接，连接应牢固可靠，不得采用铝导体做接地体或接地线。</w:t>
      </w:r>
      <w:bookmarkEnd w:id="254"/>
    </w:p>
    <w:p w14:paraId="7DFCF292">
      <w:pPr>
        <w:pStyle w:val="68"/>
        <w:spacing w:before="156" w:after="156"/>
      </w:pPr>
      <w:bookmarkStart w:id="255" w:name="_Toc182637240"/>
      <w:r>
        <w:t>接地干线（网）连接、接地干线（网）与屋顶建筑防雷接地网连接应采用焊接，焊接质量应符合要求，不应出现错位、平行和扭曲等现象，焊接点应做好防腐处理，在直线段上，不应有高低起伏及弯曲等现象。</w:t>
      </w:r>
      <w:bookmarkEnd w:id="255"/>
    </w:p>
    <w:p w14:paraId="6BF2BCC7">
      <w:pPr>
        <w:pStyle w:val="68"/>
        <w:spacing w:before="156" w:after="156"/>
      </w:pPr>
      <w:bookmarkStart w:id="256" w:name="_Toc182637241"/>
      <w:r>
        <w:t>带边框的组件、所有支架、电缆的金属外皮、金属保护管线、桥架、电气设备外壳、基础槽钢和需接地的装置都应与接地干线（网）牢固连接，并对连接处做好防腐处理措施。</w:t>
      </w:r>
      <w:bookmarkEnd w:id="256"/>
    </w:p>
    <w:p w14:paraId="5A41144E">
      <w:pPr>
        <w:pStyle w:val="107"/>
        <w:spacing w:before="312" w:after="312"/>
      </w:pPr>
      <w:bookmarkStart w:id="257" w:name="_Toc182722995"/>
      <w:bookmarkStart w:id="258" w:name="_Toc182637421"/>
      <w:bookmarkStart w:id="259" w:name="_Toc182723225"/>
      <w:bookmarkStart w:id="260" w:name="_Toc182828227"/>
      <w:bookmarkStart w:id="261" w:name="_Toc182637242"/>
      <w:bookmarkStart w:id="262" w:name="_Toc182691725"/>
      <w:bookmarkStart w:id="263" w:name="_Toc182723018"/>
      <w:bookmarkStart w:id="264" w:name="_Toc182724648"/>
      <w:r>
        <w:t>施工</w:t>
      </w:r>
      <w:bookmarkEnd w:id="257"/>
      <w:bookmarkEnd w:id="258"/>
      <w:bookmarkEnd w:id="259"/>
      <w:bookmarkEnd w:id="260"/>
      <w:bookmarkEnd w:id="261"/>
      <w:bookmarkEnd w:id="262"/>
      <w:bookmarkEnd w:id="263"/>
      <w:bookmarkEnd w:id="264"/>
    </w:p>
    <w:p w14:paraId="0DB4D17A">
      <w:pPr>
        <w:pStyle w:val="108"/>
        <w:spacing w:before="156" w:after="156"/>
      </w:pPr>
      <w:bookmarkStart w:id="265" w:name="_Toc182637422"/>
      <w:bookmarkStart w:id="266" w:name="_Toc182637243"/>
      <w:bookmarkStart w:id="267" w:name="_Toc182722996"/>
      <w:r>
        <w:t>一般要求</w:t>
      </w:r>
      <w:bookmarkEnd w:id="265"/>
      <w:bookmarkEnd w:id="266"/>
      <w:bookmarkEnd w:id="267"/>
    </w:p>
    <w:p w14:paraId="6CD4E054">
      <w:pPr>
        <w:pStyle w:val="68"/>
        <w:spacing w:before="156" w:after="156"/>
      </w:pPr>
      <w:bookmarkStart w:id="268" w:name="_Toc182637244"/>
      <w:r>
        <w:rPr>
          <w:rFonts w:hint="eastAsia"/>
        </w:rPr>
        <w:t>应减少土石方挖填施工，降低对地表植被和表层土的破坏；应减少开挖施工对边坡及道路基础的影响，保证公路路基稳定。</w:t>
      </w:r>
      <w:bookmarkEnd w:id="268"/>
    </w:p>
    <w:p w14:paraId="3DAEDA65">
      <w:pPr>
        <w:pStyle w:val="68"/>
        <w:spacing w:before="156" w:after="156"/>
      </w:pPr>
      <w:bookmarkStart w:id="269" w:name="_Toc182637245"/>
      <w:r>
        <w:rPr>
          <w:rFonts w:hint="eastAsia"/>
        </w:rPr>
        <w:t>施工安装应符合设计要求。大型项目应单独编制安装施工方案，高速公路光伏系统的安装施工应纳入建筑设备安装施工组织设计，并应包括与主体结构施工、设备安装、建筑与环境相协调的配合方案以及安全措施等。</w:t>
      </w:r>
      <w:bookmarkEnd w:id="269"/>
    </w:p>
    <w:p w14:paraId="77FD3379">
      <w:pPr>
        <w:pStyle w:val="108"/>
        <w:spacing w:before="156" w:after="156"/>
      </w:pPr>
      <w:bookmarkStart w:id="270" w:name="_Toc182637423"/>
      <w:bookmarkStart w:id="271" w:name="_Toc182637246"/>
      <w:bookmarkStart w:id="272" w:name="_Toc182722997"/>
      <w:r>
        <w:t>施工要求</w:t>
      </w:r>
      <w:bookmarkEnd w:id="270"/>
      <w:bookmarkEnd w:id="271"/>
      <w:bookmarkEnd w:id="272"/>
    </w:p>
    <w:p w14:paraId="47ACA08B">
      <w:pPr>
        <w:pStyle w:val="68"/>
        <w:spacing w:before="156" w:after="156"/>
      </w:pPr>
      <w:bookmarkStart w:id="273" w:name="_Toc182637247"/>
      <w:r>
        <w:t>基本要求</w:t>
      </w:r>
      <w:bookmarkEnd w:id="273"/>
    </w:p>
    <w:p w14:paraId="4497CA70">
      <w:pPr>
        <w:pStyle w:val="97"/>
        <w:spacing w:before="156" w:after="156"/>
      </w:pPr>
      <w:bookmarkStart w:id="274" w:name="_Toc182637248"/>
      <w:r>
        <w:rPr>
          <w:rFonts w:hint="eastAsia"/>
        </w:rPr>
        <w:t>高速公路分布式光伏系统的安装与施工，不应破坏高速公路路堤边坡、匝道圈、服务区、收费站、养护工区、路段管理部门办公区、隧道隔离带、停车场遮阳棚等的附属设施。</w:t>
      </w:r>
      <w:bookmarkEnd w:id="274"/>
    </w:p>
    <w:p w14:paraId="0E3E11A4">
      <w:pPr>
        <w:pStyle w:val="97"/>
        <w:spacing w:before="156" w:after="156"/>
      </w:pPr>
      <w:bookmarkStart w:id="275" w:name="_Toc182637249"/>
      <w:r>
        <w:rPr>
          <w:rFonts w:hint="eastAsia"/>
        </w:rPr>
        <w:t>方阵支架施工及组件安装完成后，应先对设施和设备采取保护措施，再进入电气安装施工。</w:t>
      </w:r>
      <w:bookmarkEnd w:id="275"/>
    </w:p>
    <w:p w14:paraId="7E378A14">
      <w:pPr>
        <w:pStyle w:val="97"/>
        <w:spacing w:before="156" w:after="156"/>
      </w:pPr>
      <w:bookmarkStart w:id="276" w:name="_Toc182637250"/>
      <w:r>
        <w:rPr>
          <w:rFonts w:hint="eastAsia"/>
        </w:rPr>
        <w:t>穿过建筑楼板、屋面和墙面的电缆，其防水套管与建筑主体结构之间的缝隙，应做好防水、防火密封，并做好建筑物表面的光洁处理。</w:t>
      </w:r>
      <w:bookmarkEnd w:id="276"/>
    </w:p>
    <w:p w14:paraId="33B928BD">
      <w:pPr>
        <w:pStyle w:val="97"/>
        <w:spacing w:before="156" w:after="156"/>
      </w:pPr>
      <w:bookmarkStart w:id="277" w:name="_Toc182637251"/>
      <w:r>
        <w:rPr>
          <w:rFonts w:hint="eastAsia"/>
        </w:rPr>
        <w:t>光伏系统的电气装置安装应符合GB50303的规定。电缆线路施工，应符合GB50168的规定。</w:t>
      </w:r>
      <w:bookmarkEnd w:id="277"/>
    </w:p>
    <w:p w14:paraId="615C9DB8">
      <w:pPr>
        <w:pStyle w:val="97"/>
        <w:spacing w:before="156" w:after="156"/>
      </w:pPr>
      <w:bookmarkStart w:id="278" w:name="_Toc182637252"/>
      <w:r>
        <w:rPr>
          <w:rFonts w:hint="eastAsia"/>
        </w:rPr>
        <w:t>系统中光伏方阵、组串等所用的光伏汇流箱、接线盒均应设带电警示标志。</w:t>
      </w:r>
      <w:bookmarkEnd w:id="278"/>
    </w:p>
    <w:p w14:paraId="391B8B7D">
      <w:pPr>
        <w:pStyle w:val="97"/>
        <w:spacing w:before="156" w:after="156"/>
      </w:pPr>
      <w:bookmarkStart w:id="279" w:name="_Toc182637253"/>
      <w:r>
        <w:rPr>
          <w:rFonts w:hint="eastAsia"/>
        </w:rPr>
        <w:t>各分部分项工程施工完毕后应及时进行验收并形成记录。</w:t>
      </w:r>
      <w:bookmarkEnd w:id="279"/>
    </w:p>
    <w:p w14:paraId="70C3069C">
      <w:pPr>
        <w:pStyle w:val="97"/>
        <w:spacing w:before="156" w:after="156"/>
      </w:pPr>
      <w:bookmarkStart w:id="280" w:name="_Toc182637254"/>
      <w:r>
        <w:rPr>
          <w:rFonts w:hint="eastAsia"/>
        </w:rPr>
        <w:t>安装光伏系统时采取以下安全措施：</w:t>
      </w:r>
      <w:bookmarkEnd w:id="280"/>
    </w:p>
    <w:p w14:paraId="04E18477">
      <w:pPr>
        <w:pStyle w:val="177"/>
        <w:numPr>
          <w:ilvl w:val="0"/>
          <w:numId w:val="32"/>
        </w:numPr>
      </w:pPr>
      <w:r>
        <w:rPr>
          <w:rFonts w:hint="eastAsia"/>
        </w:rPr>
        <w:t>应制定专项光伏施工方案，明确作业内容、危险因素、安全要求和应急措施等内容；</w:t>
      </w:r>
    </w:p>
    <w:p w14:paraId="5AA36B06">
      <w:pPr>
        <w:pStyle w:val="177"/>
      </w:pPr>
      <w:r>
        <w:rPr>
          <w:rFonts w:hint="eastAsia"/>
        </w:rPr>
        <w:t>应有保障施工人员人身安全的措施，应戴安全帽、穿绝缘鞋，戴低压绝缘手套，使用绝缘工具；</w:t>
      </w:r>
    </w:p>
    <w:p w14:paraId="4A4D9BF2">
      <w:pPr>
        <w:pStyle w:val="177"/>
      </w:pPr>
      <w:r>
        <w:rPr>
          <w:rFonts w:hint="eastAsia"/>
        </w:rPr>
        <w:t>施工场所应架设防护网，进行施工区域隔离，并放置醒目、清晰、易懂的电气安全标识；</w:t>
      </w:r>
    </w:p>
    <w:p w14:paraId="1E6479CB">
      <w:pPr>
        <w:pStyle w:val="177"/>
      </w:pPr>
      <w:r>
        <w:rPr>
          <w:rFonts w:hint="eastAsia"/>
        </w:rPr>
        <w:t>光伏系统的产品和部件在存放、搬运、吊装过程中，不应受到碰撞和损坏；吊装作业前，应做好安全防护措施；吊装时，吊装机械和货物，不得碰撞周围建筑和公共设施；</w:t>
      </w:r>
    </w:p>
    <w:p w14:paraId="0FA12349">
      <w:pPr>
        <w:pStyle w:val="177"/>
      </w:pPr>
      <w:r>
        <w:rPr>
          <w:rFonts w:hint="eastAsia"/>
        </w:rPr>
        <w:t>安装中的和安装完成的组件不得直接踩踏、重物按压；</w:t>
      </w:r>
    </w:p>
    <w:p w14:paraId="33D36663">
      <w:pPr>
        <w:pStyle w:val="177"/>
      </w:pPr>
      <w:r>
        <w:rPr>
          <w:rFonts w:hint="eastAsia"/>
        </w:rPr>
        <w:t>进行组件连线施工时，施工人员应配备安全防护用品，不得触摸金属带电部位；</w:t>
      </w:r>
    </w:p>
    <w:p w14:paraId="500BA6A6">
      <w:pPr>
        <w:pStyle w:val="177"/>
      </w:pPr>
      <w:r>
        <w:rPr>
          <w:rFonts w:hint="eastAsia"/>
        </w:rPr>
        <w:t>在雨、雪及4级以上风的天气情况下不得进行室外施工，有雷电时应停止电气安装，在环境温度超过40℃时应停止作业；</w:t>
      </w:r>
    </w:p>
    <w:p w14:paraId="6A052178">
      <w:pPr>
        <w:pStyle w:val="177"/>
      </w:pPr>
      <w:r>
        <w:rPr>
          <w:rFonts w:hint="eastAsia"/>
        </w:rPr>
        <w:t>光伏组件吊装时，其底部应衬垫木，背面不得受到任何碰撞和重压；其表面应铺遮光板遮挡阳光；</w:t>
      </w:r>
    </w:p>
    <w:p w14:paraId="61E1D966">
      <w:pPr>
        <w:pStyle w:val="177"/>
      </w:pPr>
      <w:r>
        <w:rPr>
          <w:rFonts w:hint="eastAsia"/>
        </w:rPr>
        <w:t>不得局部遮挡光伏组件；</w:t>
      </w:r>
    </w:p>
    <w:p w14:paraId="305E11F8">
      <w:pPr>
        <w:pStyle w:val="177"/>
      </w:pPr>
      <w:r>
        <w:rPr>
          <w:rFonts w:hint="eastAsia"/>
        </w:rPr>
        <w:t>光伏组件的输出电缆应采取可靠措施，不应非正常短路；</w:t>
      </w:r>
    </w:p>
    <w:p w14:paraId="23E430DC">
      <w:pPr>
        <w:pStyle w:val="177"/>
      </w:pPr>
      <w:r>
        <w:rPr>
          <w:rFonts w:hint="eastAsia"/>
        </w:rPr>
        <w:t>安装过程中，在进行下步工序前，应断开前后工序的电气主控开关；</w:t>
      </w:r>
    </w:p>
    <w:p w14:paraId="043332A1">
      <w:pPr>
        <w:pStyle w:val="177"/>
      </w:pPr>
      <w:r>
        <w:rPr>
          <w:rFonts w:hint="eastAsia"/>
        </w:rPr>
        <w:t>在坡度大于10°的坡面上安装施工，应设置专用踏脚板；</w:t>
      </w:r>
    </w:p>
    <w:p w14:paraId="3B2A01A3">
      <w:pPr>
        <w:pStyle w:val="177"/>
      </w:pPr>
      <w:r>
        <w:rPr>
          <w:rFonts w:hint="eastAsia"/>
        </w:rPr>
        <w:t>施工人员进行高空作业时，应设置可靠防护措施，佩戴安全防护用品，设置醒目、清晰、易懂的安全标识；</w:t>
      </w:r>
    </w:p>
    <w:p w14:paraId="558D9810">
      <w:pPr>
        <w:pStyle w:val="177"/>
      </w:pPr>
      <w:r>
        <w:rPr>
          <w:rFonts w:hint="eastAsia"/>
        </w:rPr>
        <w:t>安装施工机具应定期进行安全检测，电动监测机具应进行绝缘电压试验、手持玻璃吸盘及玻璃吸盘机应进行吸附重量和吸附持续时间等试验；</w:t>
      </w:r>
    </w:p>
    <w:p w14:paraId="340F9373">
      <w:pPr>
        <w:pStyle w:val="177"/>
      </w:pPr>
      <w:r>
        <w:rPr>
          <w:rFonts w:hint="eastAsia"/>
        </w:rPr>
        <w:t>现场焊接作业时，应采取可靠的防火措施；</w:t>
      </w:r>
    </w:p>
    <w:p w14:paraId="5498835C">
      <w:pPr>
        <w:pStyle w:val="177"/>
      </w:pPr>
      <w:r>
        <w:rPr>
          <w:rFonts w:hint="eastAsia"/>
        </w:rPr>
        <w:t>在安装光伏系统时，安装场所上空的架空电线应采取隔离措施；</w:t>
      </w:r>
    </w:p>
    <w:p w14:paraId="79F43F6E">
      <w:pPr>
        <w:pStyle w:val="177"/>
      </w:pPr>
      <w:r>
        <w:rPr>
          <w:rFonts w:hint="eastAsia"/>
        </w:rPr>
        <w:t>工程完成后，应清扫现场并处理施工垃圾；</w:t>
      </w:r>
    </w:p>
    <w:p w14:paraId="2A324517">
      <w:pPr>
        <w:pStyle w:val="177"/>
      </w:pPr>
      <w:r>
        <w:rPr>
          <w:rFonts w:hint="eastAsia"/>
        </w:rPr>
        <w:t>建立安装施工消防安全管理组织方案，制定并落实施工消防安全制度；</w:t>
      </w:r>
    </w:p>
    <w:p w14:paraId="65914D02">
      <w:pPr>
        <w:pStyle w:val="177"/>
      </w:pPr>
      <w:r>
        <w:rPr>
          <w:rFonts w:hint="eastAsia"/>
        </w:rPr>
        <w:t>施工前应清理周边可燃杂物、封堵周边孔洞；</w:t>
      </w:r>
    </w:p>
    <w:p w14:paraId="124434C6">
      <w:pPr>
        <w:pStyle w:val="177"/>
      </w:pPr>
      <w:r>
        <w:rPr>
          <w:rFonts w:hint="eastAsia"/>
        </w:rPr>
        <w:t>施工时应明确由专人携带灭火器、灭火毯等简易消防器材进行看护，同时应安排人员对周边及下方实行不间断巡查。</w:t>
      </w:r>
    </w:p>
    <w:p w14:paraId="5DA94ABF">
      <w:pPr>
        <w:pStyle w:val="68"/>
        <w:spacing w:before="156" w:after="156"/>
      </w:pPr>
      <w:bookmarkStart w:id="281" w:name="_Toc182637255"/>
      <w:r>
        <w:rPr>
          <w:rFonts w:hint="eastAsia"/>
        </w:rPr>
        <w:t>支架基础、预埋件和转接系统施工</w:t>
      </w:r>
      <w:bookmarkEnd w:id="281"/>
    </w:p>
    <w:p w14:paraId="42A571C8">
      <w:pPr>
        <w:pStyle w:val="97"/>
        <w:spacing w:before="156" w:after="156"/>
      </w:pPr>
      <w:bookmarkStart w:id="282" w:name="_Toc182637256"/>
      <w:r>
        <w:rPr>
          <w:rFonts w:hint="eastAsia"/>
        </w:rPr>
        <w:t>支架基础的施工要求如下：</w:t>
      </w:r>
      <w:bookmarkEnd w:id="282"/>
    </w:p>
    <w:p w14:paraId="570D80FF">
      <w:pPr>
        <w:pStyle w:val="177"/>
        <w:numPr>
          <w:ilvl w:val="0"/>
          <w:numId w:val="33"/>
        </w:numPr>
      </w:pPr>
      <w:r>
        <w:rPr>
          <w:rFonts w:hint="eastAsia"/>
        </w:rPr>
        <w:t>应减少支架基础施工对边坡稳定性产生的不良影响，宜采用螺旋桩等破坏性小的支架</w:t>
      </w:r>
      <w:r>
        <w:rPr>
          <w:rFonts w:hint="eastAsia"/>
          <w:lang w:eastAsia="zh-CN"/>
        </w:rPr>
        <w:t>基础型式</w:t>
      </w:r>
      <w:r>
        <w:rPr>
          <w:rFonts w:hint="eastAsia"/>
        </w:rPr>
        <w:t>；</w:t>
      </w:r>
    </w:p>
    <w:p w14:paraId="29A1B990">
      <w:pPr>
        <w:pStyle w:val="177"/>
        <w:numPr>
          <w:ilvl w:val="0"/>
          <w:numId w:val="33"/>
        </w:numPr>
      </w:pPr>
      <w:r>
        <w:rPr>
          <w:rFonts w:hint="eastAsia"/>
        </w:rPr>
        <w:t>支架安装施工宜采用螺栓连接方式，组件与支架之间螺栓的螺杆朝向地面；</w:t>
      </w:r>
    </w:p>
    <w:p w14:paraId="0F13AA2C">
      <w:pPr>
        <w:pStyle w:val="177"/>
        <w:numPr>
          <w:ilvl w:val="0"/>
          <w:numId w:val="33"/>
        </w:numPr>
      </w:pPr>
      <w:r>
        <w:rPr>
          <w:rFonts w:hint="eastAsia"/>
        </w:rPr>
        <w:t>应保证支架立柱与支架基础连接牢固，纵横两向排布于同一直线上，且同一阵列内立柱顶点位于与边坡平行的同一倾斜面内。以倾斜面为基准，支架的高度偏差应不大于5mm；</w:t>
      </w:r>
    </w:p>
    <w:p w14:paraId="600ACAD0">
      <w:pPr>
        <w:pStyle w:val="177"/>
        <w:numPr>
          <w:ilvl w:val="0"/>
          <w:numId w:val="33"/>
        </w:numPr>
      </w:pPr>
      <w:r>
        <w:rPr>
          <w:rFonts w:hint="eastAsia"/>
        </w:rPr>
        <w:t>支架基础的施工不应损害原先的主体结构及防水层；</w:t>
      </w:r>
    </w:p>
    <w:p w14:paraId="19138081">
      <w:pPr>
        <w:pStyle w:val="177"/>
      </w:pPr>
      <w:r>
        <w:rPr>
          <w:rFonts w:hint="eastAsia"/>
        </w:rPr>
        <w:t>采用钢结构作为支架基础时，防水工程施工应在钢结构支架施工前结束，钢结构支架施工过程中不应破坏屋面防水层；</w:t>
      </w:r>
    </w:p>
    <w:p w14:paraId="1C35A0C5">
      <w:pPr>
        <w:pStyle w:val="177"/>
      </w:pPr>
      <w:r>
        <w:rPr>
          <w:rFonts w:hint="eastAsia"/>
        </w:rPr>
        <w:t>接地的扁钢、角钢均应进行防腐处理。</w:t>
      </w:r>
    </w:p>
    <w:p w14:paraId="5065591E">
      <w:pPr>
        <w:pStyle w:val="97"/>
        <w:spacing w:before="156" w:after="156"/>
      </w:pPr>
      <w:bookmarkStart w:id="283" w:name="_Toc182637257"/>
      <w:r>
        <w:rPr>
          <w:rFonts w:hint="eastAsia"/>
        </w:rPr>
        <w:t>支架基础和预埋螺栓（预埋件）的偏差：混凝土独立基础、条形基础的尺寸允许偏差，桩式基础尺寸允许偏差，支架基础预埋螺栓（预埋件）允许偏差应符合GB50794的规定。</w:t>
      </w:r>
      <w:bookmarkEnd w:id="283"/>
    </w:p>
    <w:p w14:paraId="5B18AC8A">
      <w:pPr>
        <w:pStyle w:val="97"/>
        <w:spacing w:before="156" w:after="156"/>
      </w:pPr>
      <w:bookmarkStart w:id="284" w:name="_Toc182637258"/>
      <w:r>
        <w:rPr>
          <w:rFonts w:hint="eastAsia"/>
        </w:rPr>
        <w:t>基座与建筑主体结构应有效连接：钢筋混凝土基座的主筋应锚固在主体结构内，当受到结构条件的限制无法进行锚固时，应采取措施加大基座与主体结构的附着力。</w:t>
      </w:r>
      <w:bookmarkEnd w:id="284"/>
    </w:p>
    <w:p w14:paraId="5C9FFF66">
      <w:pPr>
        <w:pStyle w:val="97"/>
        <w:spacing w:before="156" w:after="156"/>
      </w:pPr>
      <w:bookmarkStart w:id="285" w:name="_Toc182637259"/>
      <w:r>
        <w:rPr>
          <w:rFonts w:hint="eastAsia"/>
        </w:rPr>
        <w:t>预埋件与基座之间的空隙，应采用细石混凝土填捣密实。</w:t>
      </w:r>
      <w:bookmarkEnd w:id="285"/>
    </w:p>
    <w:p w14:paraId="0115E106">
      <w:pPr>
        <w:pStyle w:val="97"/>
        <w:spacing w:before="156" w:after="156"/>
      </w:pPr>
      <w:bookmarkStart w:id="286" w:name="_Toc182637260"/>
      <w:r>
        <w:rPr>
          <w:rFonts w:hint="eastAsia"/>
        </w:rPr>
        <w:t>钢基座及混凝土基座顶面的预埋件，应按设计要求涂上防腐涂料并妥善保护。</w:t>
      </w:r>
      <w:bookmarkEnd w:id="286"/>
    </w:p>
    <w:p w14:paraId="3F66450C">
      <w:pPr>
        <w:pStyle w:val="97"/>
        <w:spacing w:before="156" w:after="156"/>
      </w:pPr>
      <w:bookmarkStart w:id="287" w:name="_Toc182637261"/>
      <w:r>
        <w:rPr>
          <w:rFonts w:hint="eastAsia"/>
        </w:rPr>
        <w:t>电缆沟的施工要求如下：</w:t>
      </w:r>
      <w:bookmarkEnd w:id="287"/>
    </w:p>
    <w:p w14:paraId="5173BB18">
      <w:pPr>
        <w:pStyle w:val="177"/>
        <w:numPr>
          <w:ilvl w:val="0"/>
          <w:numId w:val="34"/>
        </w:numPr>
      </w:pPr>
      <w:r>
        <w:rPr>
          <w:rFonts w:hint="eastAsia"/>
        </w:rPr>
        <w:t>电缆沟的预留孔洞应做好防水措施；</w:t>
      </w:r>
    </w:p>
    <w:p w14:paraId="5FDD75F0">
      <w:pPr>
        <w:pStyle w:val="177"/>
      </w:pPr>
      <w:r>
        <w:rPr>
          <w:rFonts w:hint="eastAsia"/>
        </w:rPr>
        <w:t>电缆沟道变形缝的施工应严格按设计要求进行。</w:t>
      </w:r>
    </w:p>
    <w:p w14:paraId="4E025972">
      <w:pPr>
        <w:pStyle w:val="68"/>
        <w:spacing w:before="156" w:after="156"/>
      </w:pPr>
      <w:bookmarkStart w:id="288" w:name="_Toc182637262"/>
      <w:r>
        <w:rPr>
          <w:rFonts w:hint="eastAsia"/>
        </w:rPr>
        <w:t>支撑系统安装</w:t>
      </w:r>
      <w:bookmarkEnd w:id="288"/>
    </w:p>
    <w:p w14:paraId="4B2E3B69">
      <w:pPr>
        <w:pStyle w:val="97"/>
        <w:spacing w:before="156" w:after="156"/>
      </w:pPr>
      <w:bookmarkStart w:id="289" w:name="_Toc182637263"/>
      <w:r>
        <w:rPr>
          <w:rFonts w:hint="eastAsia"/>
        </w:rPr>
        <w:t>支架或框架安装前要求如下：</w:t>
      </w:r>
      <w:bookmarkEnd w:id="289"/>
    </w:p>
    <w:p w14:paraId="47AA128C">
      <w:pPr>
        <w:pStyle w:val="177"/>
        <w:numPr>
          <w:ilvl w:val="0"/>
          <w:numId w:val="35"/>
        </w:numPr>
      </w:pPr>
      <w:r>
        <w:rPr>
          <w:rFonts w:hint="eastAsia"/>
        </w:rPr>
        <w:t>支架到场后做好型号、规格、材质、外观及防腐涂层检查；</w:t>
      </w:r>
    </w:p>
    <w:p w14:paraId="629651CF">
      <w:pPr>
        <w:pStyle w:val="177"/>
      </w:pPr>
      <w:r>
        <w:rPr>
          <w:rFonts w:hint="eastAsia"/>
        </w:rPr>
        <w:t>对存放在滩涂、盐碱等腐蚀性强的场所的支架做好防腐蚀工作。</w:t>
      </w:r>
    </w:p>
    <w:p w14:paraId="3BCD60F2">
      <w:pPr>
        <w:pStyle w:val="97"/>
        <w:spacing w:before="156" w:after="156"/>
      </w:pPr>
      <w:bookmarkStart w:id="290" w:name="_Toc182637264"/>
      <w:r>
        <w:rPr>
          <w:rFonts w:hint="eastAsia"/>
        </w:rPr>
        <w:t>固定式支架及手动可调支架的安装要求如下：</w:t>
      </w:r>
      <w:bookmarkEnd w:id="290"/>
    </w:p>
    <w:p w14:paraId="510CE939">
      <w:pPr>
        <w:pStyle w:val="177"/>
        <w:numPr>
          <w:ilvl w:val="0"/>
          <w:numId w:val="36"/>
        </w:numPr>
      </w:pPr>
      <w:r>
        <w:rPr>
          <w:rFonts w:hint="eastAsia"/>
        </w:rPr>
        <w:t>支架安装和紧固符合设计图纸要求及符合GB50205的相关规定；</w:t>
      </w:r>
    </w:p>
    <w:p w14:paraId="775C0A38">
      <w:pPr>
        <w:pStyle w:val="177"/>
      </w:pPr>
      <w:r>
        <w:rPr>
          <w:rFonts w:hint="eastAsia"/>
        </w:rPr>
        <w:t>支架倾斜角度偏差度不应大于1°；</w:t>
      </w:r>
    </w:p>
    <w:p w14:paraId="2100F05F">
      <w:pPr>
        <w:pStyle w:val="177"/>
      </w:pPr>
      <w:r>
        <w:rPr>
          <w:rFonts w:hint="eastAsia"/>
        </w:rPr>
        <w:t>光伏组件支架应按设计要求固定在基座上，位置准确，固定牢靠。</w:t>
      </w:r>
    </w:p>
    <w:p w14:paraId="3C1220E3">
      <w:pPr>
        <w:pStyle w:val="97"/>
        <w:spacing w:before="156" w:after="156"/>
      </w:pPr>
      <w:bookmarkStart w:id="291" w:name="_Toc182637265"/>
      <w:r>
        <w:rPr>
          <w:rFonts w:hint="eastAsia"/>
        </w:rPr>
        <w:t>支架的现场焊接工艺除符合设计要求外，还应符合下列要求：</w:t>
      </w:r>
      <w:bookmarkEnd w:id="291"/>
    </w:p>
    <w:p w14:paraId="1E847D08">
      <w:pPr>
        <w:pStyle w:val="177"/>
        <w:numPr>
          <w:ilvl w:val="0"/>
          <w:numId w:val="37"/>
        </w:numPr>
      </w:pPr>
      <w:r>
        <w:rPr>
          <w:rFonts w:hint="eastAsia"/>
        </w:rPr>
        <w:t>支架的组装、焊接与防腐处理应符合GB50018及GB50017的相关规定；</w:t>
      </w:r>
    </w:p>
    <w:p w14:paraId="5BBD6A34">
      <w:pPr>
        <w:pStyle w:val="177"/>
      </w:pPr>
      <w:r>
        <w:rPr>
          <w:rFonts w:hint="eastAsia"/>
        </w:rPr>
        <w:t>焊接工作完毕后，应对焊缝进行检查；</w:t>
      </w:r>
    </w:p>
    <w:p w14:paraId="0CA045FA">
      <w:pPr>
        <w:pStyle w:val="177"/>
      </w:pPr>
      <w:r>
        <w:rPr>
          <w:rFonts w:hint="eastAsia"/>
        </w:rPr>
        <w:t>支架安装完成后，应对其焊接表面进行防腐处理。防腐施工应符合GB/T50224的规定。</w:t>
      </w:r>
    </w:p>
    <w:p w14:paraId="7BA94FAC">
      <w:pPr>
        <w:pStyle w:val="97"/>
        <w:spacing w:before="156" w:after="156"/>
      </w:pPr>
      <w:bookmarkStart w:id="292" w:name="_Toc182637266"/>
      <w:r>
        <w:rPr>
          <w:rFonts w:hint="eastAsia"/>
        </w:rPr>
        <w:t>光伏组件的支撑系统安装要求如下：</w:t>
      </w:r>
      <w:bookmarkEnd w:id="292"/>
    </w:p>
    <w:p w14:paraId="2962811B">
      <w:pPr>
        <w:pStyle w:val="177"/>
        <w:numPr>
          <w:ilvl w:val="0"/>
          <w:numId w:val="38"/>
        </w:numPr>
      </w:pPr>
      <w:r>
        <w:rPr>
          <w:rFonts w:hint="eastAsia"/>
        </w:rPr>
        <w:t>支撑系统所用材料及安装方案均应符合设计要求，钢结构的焊接应符合GB50205的规定；</w:t>
      </w:r>
    </w:p>
    <w:p w14:paraId="42FFB9F5">
      <w:pPr>
        <w:pStyle w:val="177"/>
      </w:pPr>
      <w:r>
        <w:rPr>
          <w:rFonts w:hint="eastAsia"/>
        </w:rPr>
        <w:t>支撑系统与主体结构连接的预埋件，应在主体结构施工时按设计要求埋设，并按设计要求对安装偏差进行检测。预埋件的标高偏差不应大于10mm，预埋件位置差不应大于20mm；</w:t>
      </w:r>
    </w:p>
    <w:p w14:paraId="678DBAFA">
      <w:pPr>
        <w:pStyle w:val="177"/>
      </w:pPr>
      <w:r>
        <w:rPr>
          <w:rFonts w:hint="eastAsia"/>
        </w:rPr>
        <w:t>光伏组件支撑系统安装应符合GB50693和GB50207的规定。</w:t>
      </w:r>
    </w:p>
    <w:p w14:paraId="434AF3E5">
      <w:pPr>
        <w:pStyle w:val="68"/>
        <w:spacing w:before="156" w:after="156"/>
      </w:pPr>
      <w:bookmarkStart w:id="293" w:name="_Toc182637267"/>
      <w:r>
        <w:rPr>
          <w:rFonts w:hint="eastAsia"/>
        </w:rPr>
        <w:t>光伏组件安装</w:t>
      </w:r>
      <w:bookmarkEnd w:id="293"/>
    </w:p>
    <w:p w14:paraId="2D7B6153">
      <w:pPr>
        <w:pStyle w:val="167"/>
      </w:pPr>
      <w:r>
        <w:rPr>
          <w:rFonts w:hint="eastAsia"/>
        </w:rPr>
        <w:t>光伏组件安装前要求如下：</w:t>
      </w:r>
    </w:p>
    <w:p w14:paraId="71516B6A">
      <w:pPr>
        <w:pStyle w:val="177"/>
        <w:numPr>
          <w:ilvl w:val="0"/>
          <w:numId w:val="39"/>
        </w:numPr>
      </w:pPr>
      <w:r>
        <w:rPr>
          <w:rFonts w:hint="eastAsia"/>
        </w:rPr>
        <w:t>安装前应对各光伏组件进行检查，测量每个组件的开路电压、短路电流等技术参数是否正常；</w:t>
      </w:r>
    </w:p>
    <w:p w14:paraId="5B92BF89">
      <w:pPr>
        <w:pStyle w:val="177"/>
      </w:pPr>
      <w:r>
        <w:rPr>
          <w:rFonts w:hint="eastAsia"/>
        </w:rPr>
        <w:t>应按照光伏组件的电压、电流参数对组件进行分类；</w:t>
      </w:r>
    </w:p>
    <w:p w14:paraId="27CAD8B1">
      <w:pPr>
        <w:pStyle w:val="177"/>
      </w:pPr>
      <w:r>
        <w:rPr>
          <w:rFonts w:hint="eastAsia"/>
        </w:rPr>
        <w:t>光伏组件的外观及各部件应完好无损；</w:t>
      </w:r>
    </w:p>
    <w:p w14:paraId="2BE7C3B0">
      <w:pPr>
        <w:pStyle w:val="177"/>
      </w:pPr>
      <w:r>
        <w:rPr>
          <w:rFonts w:hint="eastAsia"/>
        </w:rPr>
        <w:t>在既有建筑上安装光伏组件方阵前，应对建筑原有结构进行安全校核，需要加固的应完成加固措施。</w:t>
      </w:r>
    </w:p>
    <w:p w14:paraId="754AF20E">
      <w:pPr>
        <w:pStyle w:val="97"/>
        <w:spacing w:before="156" w:after="156"/>
      </w:pPr>
      <w:bookmarkStart w:id="294" w:name="_Toc182637268"/>
      <w:r>
        <w:rPr>
          <w:rFonts w:hint="eastAsia"/>
        </w:rPr>
        <w:t>光伏组件安装要求如下：</w:t>
      </w:r>
      <w:bookmarkEnd w:id="294"/>
    </w:p>
    <w:p w14:paraId="5734E8FD">
      <w:pPr>
        <w:pStyle w:val="177"/>
        <w:numPr>
          <w:ilvl w:val="0"/>
          <w:numId w:val="40"/>
        </w:numPr>
      </w:pPr>
      <w:r>
        <w:rPr>
          <w:rFonts w:hint="eastAsia"/>
        </w:rPr>
        <w:t>在安装时应戴低压绝缘手套、穿绝缘鞋、使用绝缘工具；</w:t>
      </w:r>
    </w:p>
    <w:p w14:paraId="23DB0CF3">
      <w:pPr>
        <w:pStyle w:val="177"/>
      </w:pPr>
      <w:r>
        <w:rPr>
          <w:rFonts w:hint="eastAsia"/>
        </w:rPr>
        <w:t>光伏组件输出电缆不得非正常短路，在没有开关连接时，应采取防止触电措施；</w:t>
      </w:r>
    </w:p>
    <w:p w14:paraId="258C945B">
      <w:pPr>
        <w:pStyle w:val="177"/>
      </w:pPr>
      <w:r>
        <w:rPr>
          <w:rFonts w:hint="eastAsia"/>
        </w:rPr>
        <w:t>方阵处应设警告标识，并且按设计要求可靠地固定在支架或连接件上；</w:t>
      </w:r>
    </w:p>
    <w:p w14:paraId="1D2424E0">
      <w:pPr>
        <w:pStyle w:val="177"/>
      </w:pPr>
      <w:r>
        <w:rPr>
          <w:rFonts w:hint="eastAsia"/>
        </w:rPr>
        <w:t>严禁触摸光伏组件串的金属带电部位；</w:t>
      </w:r>
    </w:p>
    <w:p w14:paraId="0EA77999">
      <w:pPr>
        <w:pStyle w:val="177"/>
      </w:pPr>
      <w:r>
        <w:rPr>
          <w:rFonts w:hint="eastAsia"/>
        </w:rPr>
        <w:t>安装光伏组件时，要轻拿轻放，严禁碰撞、敲击；</w:t>
      </w:r>
    </w:p>
    <w:p w14:paraId="49F09C5A">
      <w:pPr>
        <w:pStyle w:val="177"/>
      </w:pPr>
      <w:r>
        <w:rPr>
          <w:rFonts w:hint="eastAsia"/>
        </w:rPr>
        <w:t>光伏组件安装允许偏差应符合表3的规定。</w:t>
      </w:r>
    </w:p>
    <w:p w14:paraId="2EAB0442">
      <w:pPr>
        <w:pStyle w:val="115"/>
        <w:spacing w:before="156" w:after="156"/>
      </w:pPr>
      <w:r>
        <w:rPr>
          <w:rFonts w:hint="eastAsia"/>
        </w:rPr>
        <w:t>光伏组件安装允许偏差</w:t>
      </w:r>
    </w:p>
    <w:tbl>
      <w:tblPr>
        <w:tblStyle w:val="23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88"/>
        <w:gridCol w:w="3189"/>
        <w:gridCol w:w="3193"/>
      </w:tblGrid>
      <w:tr w14:paraId="284584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8" w:space="0"/>
              <w:left w:val="single" w:color="auto" w:sz="8" w:space="0"/>
              <w:bottom w:val="single" w:color="auto" w:sz="8" w:space="0"/>
              <w:right w:val="nil"/>
            </w:tcBorders>
            <w:shd w:val="clear" w:color="auto" w:fill="auto"/>
          </w:tcPr>
          <w:p w14:paraId="71CF3077">
            <w:pPr>
              <w:pStyle w:val="59"/>
              <w:ind w:firstLine="420"/>
              <w:rPr>
                <w:rFonts w:eastAsia="Times New Roman"/>
              </w:rPr>
            </w:pPr>
            <w:r>
              <w:rPr>
                <w:rFonts w:hint="eastAsia" w:eastAsia="Times New Roman"/>
              </w:rPr>
              <w:t>项目</w:t>
            </w:r>
          </w:p>
        </w:tc>
        <w:tc>
          <w:tcPr>
            <w:tcW w:w="3334" w:type="pct"/>
            <w:gridSpan w:val="2"/>
            <w:tcBorders>
              <w:top w:val="single" w:color="auto" w:sz="8" w:space="0"/>
              <w:left w:val="nil"/>
              <w:bottom w:val="single" w:color="auto" w:sz="8" w:space="0"/>
              <w:right w:val="single" w:color="auto" w:sz="8" w:space="0"/>
            </w:tcBorders>
            <w:shd w:val="clear" w:color="auto" w:fill="auto"/>
          </w:tcPr>
          <w:p w14:paraId="348332ED">
            <w:pPr>
              <w:pStyle w:val="59"/>
              <w:ind w:firstLine="420"/>
              <w:rPr>
                <w:rFonts w:eastAsia="Times New Roman"/>
              </w:rPr>
            </w:pPr>
            <w:r>
              <w:rPr>
                <w:rFonts w:hint="eastAsia" w:hAnsi="宋体" w:eastAsia="Times New Roman" w:cs="宋体"/>
              </w:rPr>
              <w:t>允许偏差</w:t>
            </w:r>
          </w:p>
        </w:tc>
      </w:tr>
      <w:tr w14:paraId="389FD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8" w:space="0"/>
              <w:left w:val="single" w:color="auto" w:sz="8" w:space="0"/>
              <w:bottom w:val="nil"/>
              <w:right w:val="nil"/>
            </w:tcBorders>
            <w:shd w:val="clear" w:color="auto" w:fill="auto"/>
          </w:tcPr>
          <w:p w14:paraId="0E09D909">
            <w:pPr>
              <w:pStyle w:val="59"/>
              <w:ind w:firstLine="420"/>
              <w:rPr>
                <w:rFonts w:eastAsia="Times New Roman"/>
              </w:rPr>
            </w:pPr>
            <w:r>
              <w:rPr>
                <w:rFonts w:hint="eastAsia" w:hAnsi="宋体" w:eastAsia="Times New Roman" w:cs="宋体"/>
              </w:rPr>
              <w:t>倾斜角度偏差</w:t>
            </w:r>
          </w:p>
        </w:tc>
        <w:tc>
          <w:tcPr>
            <w:tcW w:w="3334" w:type="pct"/>
            <w:gridSpan w:val="2"/>
            <w:tcBorders>
              <w:top w:val="single" w:color="auto" w:sz="8" w:space="0"/>
              <w:left w:val="nil"/>
              <w:bottom w:val="nil"/>
              <w:right w:val="single" w:color="auto" w:sz="8" w:space="0"/>
            </w:tcBorders>
            <w:shd w:val="clear" w:color="auto" w:fill="auto"/>
          </w:tcPr>
          <w:p w14:paraId="2AD7ECB0">
            <w:pPr>
              <w:pStyle w:val="59"/>
              <w:ind w:firstLine="420"/>
              <w:rPr>
                <w:rFonts w:eastAsia="Times New Roman"/>
              </w:rPr>
            </w:pPr>
            <w:r>
              <w:rPr>
                <w:rFonts w:hint="eastAsia" w:eastAsia="Times New Roman"/>
              </w:rPr>
              <w:t>±1°</w:t>
            </w:r>
          </w:p>
        </w:tc>
      </w:tr>
      <w:tr w14:paraId="4A245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restart"/>
            <w:tcBorders>
              <w:top w:val="nil"/>
              <w:left w:val="single" w:color="auto" w:sz="8" w:space="0"/>
              <w:bottom w:val="single" w:color="auto" w:sz="4" w:space="0"/>
              <w:right w:val="nil"/>
            </w:tcBorders>
            <w:shd w:val="clear" w:color="auto" w:fill="auto"/>
            <w:vAlign w:val="center"/>
          </w:tcPr>
          <w:p w14:paraId="67A832E0">
            <w:pPr>
              <w:pStyle w:val="59"/>
              <w:ind w:firstLine="420"/>
              <w:rPr>
                <w:rFonts w:eastAsia="Times New Roman"/>
              </w:rPr>
            </w:pPr>
            <w:r>
              <w:rPr>
                <w:rFonts w:hint="eastAsia" w:hAnsi="宋体" w:eastAsia="Times New Roman" w:cs="宋体"/>
              </w:rPr>
              <w:t>光伏组件边缘高差</w:t>
            </w:r>
          </w:p>
        </w:tc>
        <w:tc>
          <w:tcPr>
            <w:tcW w:w="1666" w:type="pct"/>
            <w:tcBorders>
              <w:top w:val="nil"/>
              <w:left w:val="nil"/>
              <w:bottom w:val="nil"/>
              <w:right w:val="nil"/>
            </w:tcBorders>
            <w:shd w:val="clear" w:color="auto" w:fill="auto"/>
          </w:tcPr>
          <w:p w14:paraId="3AB499EF">
            <w:pPr>
              <w:pStyle w:val="59"/>
              <w:ind w:firstLine="420"/>
              <w:rPr>
                <w:rFonts w:eastAsia="Times New Roman"/>
              </w:rPr>
            </w:pPr>
            <w:r>
              <w:rPr>
                <w:rFonts w:hint="eastAsia" w:hAnsi="宋体" w:eastAsia="Times New Roman" w:cs="宋体"/>
              </w:rPr>
              <w:t>相邻光伏组</w:t>
            </w:r>
            <w:r>
              <w:rPr>
                <w:rFonts w:hint="eastAsia" w:hAnsi="宋体" w:cs="宋体"/>
                <w:lang w:eastAsia="zh-CN"/>
              </w:rPr>
              <w:t>件之</w:t>
            </w:r>
            <w:r>
              <w:rPr>
                <w:rFonts w:hint="eastAsia" w:hAnsi="宋体" w:eastAsia="Times New Roman" w:cs="宋体"/>
              </w:rPr>
              <w:t>间</w:t>
            </w:r>
          </w:p>
        </w:tc>
        <w:tc>
          <w:tcPr>
            <w:tcW w:w="1668" w:type="pct"/>
            <w:tcBorders>
              <w:top w:val="nil"/>
              <w:left w:val="nil"/>
              <w:bottom w:val="nil"/>
              <w:right w:val="single" w:color="auto" w:sz="8" w:space="0"/>
            </w:tcBorders>
            <w:shd w:val="clear" w:color="auto" w:fill="auto"/>
          </w:tcPr>
          <w:p w14:paraId="3D824881">
            <w:pPr>
              <w:pStyle w:val="59"/>
              <w:ind w:firstLine="420"/>
              <w:rPr>
                <w:rFonts w:eastAsia="Times New Roman"/>
              </w:rPr>
            </w:pPr>
            <w:r>
              <w:rPr>
                <w:rFonts w:hint="eastAsia" w:eastAsia="Times New Roman"/>
              </w:rPr>
              <w:t>≤2mm</w:t>
            </w:r>
          </w:p>
        </w:tc>
      </w:tr>
      <w:tr w14:paraId="446654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nil"/>
              <w:left w:val="single" w:color="auto" w:sz="8" w:space="0"/>
              <w:bottom w:val="single" w:color="auto" w:sz="8" w:space="0"/>
              <w:right w:val="nil"/>
            </w:tcBorders>
            <w:shd w:val="clear" w:color="auto" w:fill="auto"/>
            <w:vAlign w:val="center"/>
          </w:tcPr>
          <w:p w14:paraId="7063DA72">
            <w:pPr>
              <w:pStyle w:val="59"/>
              <w:ind w:firstLine="420"/>
              <w:rPr>
                <w:rFonts w:eastAsia="Times New Roman"/>
              </w:rPr>
            </w:pPr>
          </w:p>
        </w:tc>
        <w:tc>
          <w:tcPr>
            <w:tcW w:w="1666" w:type="pct"/>
            <w:tcBorders>
              <w:top w:val="nil"/>
              <w:left w:val="nil"/>
              <w:bottom w:val="single" w:color="auto" w:sz="8" w:space="0"/>
              <w:right w:val="nil"/>
            </w:tcBorders>
            <w:shd w:val="clear" w:color="auto" w:fill="auto"/>
          </w:tcPr>
          <w:p w14:paraId="41C041D9">
            <w:pPr>
              <w:pStyle w:val="59"/>
              <w:ind w:firstLine="420"/>
              <w:rPr>
                <w:rFonts w:eastAsia="Times New Roman"/>
              </w:rPr>
            </w:pPr>
            <w:r>
              <w:rPr>
                <w:rFonts w:hint="eastAsia" w:hAnsi="宋体" w:eastAsia="Times New Roman" w:cs="宋体"/>
              </w:rPr>
              <w:t>同组光伏组件间</w:t>
            </w:r>
          </w:p>
        </w:tc>
        <w:tc>
          <w:tcPr>
            <w:tcW w:w="1668" w:type="pct"/>
            <w:tcBorders>
              <w:top w:val="nil"/>
              <w:left w:val="nil"/>
              <w:bottom w:val="single" w:color="auto" w:sz="8" w:space="0"/>
              <w:right w:val="single" w:color="auto" w:sz="8" w:space="0"/>
            </w:tcBorders>
            <w:shd w:val="clear" w:color="auto" w:fill="auto"/>
          </w:tcPr>
          <w:p w14:paraId="07AAF42F">
            <w:pPr>
              <w:pStyle w:val="59"/>
              <w:ind w:firstLine="420"/>
              <w:rPr>
                <w:rFonts w:eastAsia="Times New Roman"/>
              </w:rPr>
            </w:pPr>
            <w:r>
              <w:rPr>
                <w:rFonts w:hint="eastAsia" w:eastAsia="Times New Roman"/>
              </w:rPr>
              <w:t>≤5mm</w:t>
            </w:r>
          </w:p>
        </w:tc>
      </w:tr>
    </w:tbl>
    <w:p w14:paraId="24B4C5DB">
      <w:pPr>
        <w:pStyle w:val="97"/>
        <w:spacing w:before="156" w:after="156"/>
      </w:pPr>
      <w:bookmarkStart w:id="295" w:name="_Toc182637269"/>
      <w:r>
        <w:rPr>
          <w:rFonts w:hint="eastAsia"/>
        </w:rPr>
        <w:t>光伏组件之间接线要求如下：</w:t>
      </w:r>
      <w:bookmarkEnd w:id="295"/>
    </w:p>
    <w:p w14:paraId="461731AF">
      <w:pPr>
        <w:pStyle w:val="177"/>
        <w:numPr>
          <w:ilvl w:val="0"/>
          <w:numId w:val="41"/>
        </w:numPr>
      </w:pPr>
      <w:r>
        <w:rPr>
          <w:rFonts w:hint="eastAsia"/>
        </w:rPr>
        <w:t>光伏组件连接数量和路径应符合设计要求；</w:t>
      </w:r>
    </w:p>
    <w:p w14:paraId="02D9D939">
      <w:pPr>
        <w:pStyle w:val="177"/>
      </w:pPr>
      <w:r>
        <w:rPr>
          <w:rFonts w:hint="eastAsia"/>
        </w:rPr>
        <w:t>光伏组件间接插件应连接牢固，同一方阵内光伏组件配套的插接件厂家和型号应一致；彩钢瓦屋面光伏项目具备条件的，可在接插件外加装陶瓷套管，防止接插件不牢固，对彩钢屋面放电拉弧造成安全隐患；</w:t>
      </w:r>
    </w:p>
    <w:p w14:paraId="7A6F2097">
      <w:pPr>
        <w:pStyle w:val="177"/>
      </w:pPr>
      <w:r>
        <w:rPr>
          <w:rFonts w:hint="eastAsia"/>
        </w:rPr>
        <w:t>宜用带保护皮的不锈钢夹、绑带、鞍形夹或耐老化的塑料夹将电缆固定在管子或方阵支架上。当有多个子方阵时，接线可通过分线盒或汇流箱集中后输出；</w:t>
      </w:r>
    </w:p>
    <w:p w14:paraId="14424C9A">
      <w:pPr>
        <w:pStyle w:val="177"/>
      </w:pPr>
      <w:r>
        <w:rPr>
          <w:rFonts w:hint="eastAsia"/>
        </w:rPr>
        <w:t>光伏组件间连接线可利用支架进行固定，并应整齐、美观；</w:t>
      </w:r>
    </w:p>
    <w:p w14:paraId="4E817135">
      <w:pPr>
        <w:pStyle w:val="177"/>
      </w:pPr>
      <w:r>
        <w:rPr>
          <w:rFonts w:hint="eastAsia"/>
        </w:rPr>
        <w:t>同一光伏组件或光伏组件串的正负极不应短接；</w:t>
      </w:r>
    </w:p>
    <w:p w14:paraId="56E0E01C">
      <w:pPr>
        <w:pStyle w:val="177"/>
      </w:pPr>
      <w:r>
        <w:rPr>
          <w:rFonts w:hint="eastAsia"/>
        </w:rPr>
        <w:t>光伏组件金属部件应作接地处理，光伏组件上接地螺丝应与接地线正确连接，并应符合GB50169的规定；</w:t>
      </w:r>
    </w:p>
    <w:p w14:paraId="0C02748E">
      <w:pPr>
        <w:pStyle w:val="177"/>
      </w:pPr>
      <w:r>
        <w:rPr>
          <w:rFonts w:hint="eastAsia"/>
        </w:rPr>
        <w:t>光伏组件上正、负极和各种类型传感器接线正确，将线压紧并注意接线盒的防水处理。</w:t>
      </w:r>
    </w:p>
    <w:p w14:paraId="553E3204">
      <w:pPr>
        <w:pStyle w:val="68"/>
        <w:spacing w:before="156" w:after="156"/>
      </w:pPr>
      <w:bookmarkStart w:id="296" w:name="_Toc182637270"/>
      <w:r>
        <w:rPr>
          <w:rFonts w:hint="eastAsia"/>
        </w:rPr>
        <w:t>逆变器安装</w:t>
      </w:r>
      <w:bookmarkEnd w:id="296"/>
    </w:p>
    <w:p w14:paraId="4E11B9C4">
      <w:pPr>
        <w:pStyle w:val="97"/>
        <w:spacing w:before="156" w:after="156"/>
      </w:pPr>
      <w:bookmarkStart w:id="297" w:name="_Toc182637271"/>
      <w:r>
        <w:rPr>
          <w:rFonts w:hint="eastAsia"/>
        </w:rPr>
        <w:t>逆变器进场后开箱检查要求如下：</w:t>
      </w:r>
      <w:bookmarkEnd w:id="297"/>
    </w:p>
    <w:p w14:paraId="191066C7">
      <w:pPr>
        <w:pStyle w:val="177"/>
        <w:numPr>
          <w:ilvl w:val="0"/>
          <w:numId w:val="42"/>
        </w:numPr>
      </w:pPr>
      <w:r>
        <w:rPr>
          <w:rFonts w:hint="eastAsia"/>
        </w:rPr>
        <w:t>质量证明文件应齐全有效；</w:t>
      </w:r>
    </w:p>
    <w:p w14:paraId="25439A37">
      <w:pPr>
        <w:pStyle w:val="177"/>
      </w:pPr>
      <w:r>
        <w:rPr>
          <w:rFonts w:hint="eastAsia"/>
        </w:rPr>
        <w:t>机器铭牌上标注的规格型号、输入输出容量、输入直流电压、输出交流电压等应符合设计要求；</w:t>
      </w:r>
    </w:p>
    <w:p w14:paraId="2D7FF31E">
      <w:pPr>
        <w:pStyle w:val="177"/>
      </w:pPr>
      <w:r>
        <w:rPr>
          <w:rFonts w:hint="eastAsia"/>
        </w:rPr>
        <w:t>逆变器外观应无损伤，逆变器的开关应处在关闭状态；</w:t>
      </w:r>
    </w:p>
    <w:p w14:paraId="209E9626">
      <w:pPr>
        <w:pStyle w:val="177"/>
      </w:pPr>
      <w:r>
        <w:rPr>
          <w:rFonts w:hint="eastAsia"/>
        </w:rPr>
        <w:t>逆变器允许的直流输入电压应符合光伏方阵输出电压和（或）蓄电池组的电压。</w:t>
      </w:r>
    </w:p>
    <w:p w14:paraId="7EF2F7E2">
      <w:pPr>
        <w:pStyle w:val="97"/>
        <w:spacing w:before="156" w:after="156"/>
      </w:pPr>
      <w:bookmarkStart w:id="298" w:name="_Toc182637272"/>
      <w:r>
        <w:rPr>
          <w:rFonts w:hint="eastAsia"/>
        </w:rPr>
        <w:t>逆变器安装要求如下：</w:t>
      </w:r>
      <w:bookmarkEnd w:id="298"/>
    </w:p>
    <w:p w14:paraId="4A1C8F43">
      <w:pPr>
        <w:pStyle w:val="177"/>
        <w:numPr>
          <w:ilvl w:val="0"/>
          <w:numId w:val="43"/>
        </w:numPr>
      </w:pPr>
      <w:r>
        <w:rPr>
          <w:rFonts w:hint="eastAsia"/>
        </w:rPr>
        <w:t>逆变器安装前，工作面清理干净；</w:t>
      </w:r>
    </w:p>
    <w:p w14:paraId="44B0E86A">
      <w:pPr>
        <w:pStyle w:val="177"/>
        <w:numPr>
          <w:ilvl w:val="0"/>
          <w:numId w:val="43"/>
        </w:numPr>
      </w:pPr>
      <w:r>
        <w:rPr>
          <w:rFonts w:hint="eastAsia"/>
        </w:rPr>
        <w:t>混凝土基础及构件应达到允许安装的强度，焊接构件的质量应符合要求；</w:t>
      </w:r>
    </w:p>
    <w:p w14:paraId="51D0F3A3">
      <w:pPr>
        <w:pStyle w:val="177"/>
        <w:numPr>
          <w:ilvl w:val="0"/>
          <w:numId w:val="43"/>
        </w:numPr>
      </w:pPr>
      <w:r>
        <w:rPr>
          <w:rFonts w:hint="eastAsia"/>
        </w:rPr>
        <w:t>预埋件及预留孔的位置和尺寸，应符合设计要求，预埋件应牢固；</w:t>
      </w:r>
    </w:p>
    <w:p w14:paraId="581F98D8">
      <w:pPr>
        <w:pStyle w:val="177"/>
        <w:numPr>
          <w:ilvl w:val="0"/>
          <w:numId w:val="43"/>
        </w:numPr>
      </w:pPr>
      <w:r>
        <w:rPr>
          <w:rFonts w:hint="eastAsia"/>
        </w:rPr>
        <w:t>室内安装应通风良好，环境温度适宜；相对湿度应符合设计要求，且无凝露；应无水蒸气及腐蚀性气体；附近应无易燃易爆品；应具有符合安全规定的电源；</w:t>
      </w:r>
    </w:p>
    <w:p w14:paraId="4F376E22">
      <w:pPr>
        <w:pStyle w:val="177"/>
        <w:numPr>
          <w:ilvl w:val="0"/>
          <w:numId w:val="43"/>
        </w:numPr>
      </w:pPr>
      <w:r>
        <w:rPr>
          <w:rFonts w:hint="eastAsia"/>
        </w:rPr>
        <w:t>室外安装应考虑安装场地，避免洪水淹没、冰雪覆盖、密不透风、阳光直射等。</w:t>
      </w:r>
    </w:p>
    <w:p w14:paraId="1C88FC20">
      <w:pPr>
        <w:pStyle w:val="97"/>
        <w:spacing w:before="156" w:after="156"/>
      </w:pPr>
      <w:bookmarkStart w:id="299" w:name="_Toc182637273"/>
      <w:r>
        <w:rPr>
          <w:rFonts w:hint="eastAsia"/>
        </w:rPr>
        <w:t>逆变器连接要求如下：</w:t>
      </w:r>
      <w:bookmarkEnd w:id="299"/>
    </w:p>
    <w:p w14:paraId="4E3D0F12">
      <w:pPr>
        <w:pStyle w:val="177"/>
        <w:numPr>
          <w:ilvl w:val="0"/>
          <w:numId w:val="44"/>
        </w:numPr>
      </w:pPr>
      <w:r>
        <w:rPr>
          <w:rFonts w:hint="eastAsia"/>
        </w:rPr>
        <w:t>连接导线时应确保所有开关处于关闭状态，正确连接主机直流输入连接线的正负极、主机接地线，做到接线紧固可靠，接地良好；</w:t>
      </w:r>
    </w:p>
    <w:p w14:paraId="17780F44">
      <w:pPr>
        <w:pStyle w:val="177"/>
      </w:pPr>
      <w:r>
        <w:rPr>
          <w:rFonts w:hint="eastAsia"/>
        </w:rPr>
        <w:t>离网逆变器接好线后应先进行阻抗值测试和绝缘测试，然后进行测量输入的直流电压，确认电压正常后，可在空载状态下开启逆变器。并网逆变器应在确认所接入的交流电网正常、无误状态下开启逆变器；</w:t>
      </w:r>
    </w:p>
    <w:p w14:paraId="73EE627D">
      <w:pPr>
        <w:pStyle w:val="177"/>
      </w:pPr>
      <w:r>
        <w:rPr>
          <w:rFonts w:hint="eastAsia"/>
        </w:rPr>
        <w:t>无断弧功能的开关连接时严禁在有负荷或能够形成低阻回路的情况下接通或断开；</w:t>
      </w:r>
    </w:p>
    <w:p w14:paraId="1B455DDB">
      <w:pPr>
        <w:pStyle w:val="177"/>
      </w:pPr>
      <w:r>
        <w:rPr>
          <w:rFonts w:hint="eastAsia"/>
        </w:rPr>
        <w:t>逆变器与系统的直流侧和交流侧应按要求设置绝缘隔离的装置。光伏系统直流侧应有必要的触电警示和防止触电安全措施，交流侧输出电缆和负荷设备应接有自动切断保护装置；</w:t>
      </w:r>
    </w:p>
    <w:p w14:paraId="4F2E6B8E">
      <w:pPr>
        <w:pStyle w:val="177"/>
      </w:pPr>
      <w:r>
        <w:rPr>
          <w:rFonts w:hint="eastAsia"/>
        </w:rPr>
        <w:t>逆变器交流侧和直流侧电缆接线前应检查电缆绝缘，校对电缆相序和极性。直流侧电缆接线前必须确认汇流箱侧有明显断开点。</w:t>
      </w:r>
    </w:p>
    <w:p w14:paraId="42E10DFD">
      <w:pPr>
        <w:pStyle w:val="68"/>
        <w:spacing w:before="156" w:after="156"/>
      </w:pPr>
      <w:bookmarkStart w:id="300" w:name="_Toc182637274"/>
      <w:r>
        <w:t>交直流汇流箱安装</w:t>
      </w:r>
      <w:bookmarkEnd w:id="300"/>
    </w:p>
    <w:p w14:paraId="4EE26FDC">
      <w:pPr>
        <w:pStyle w:val="97"/>
        <w:spacing w:before="156" w:after="156"/>
      </w:pPr>
      <w:bookmarkStart w:id="301" w:name="_Toc182637275"/>
      <w:r>
        <w:t>光伏汇流箱箱体结构质量及电气元件安装要求如下：</w:t>
      </w:r>
      <w:bookmarkEnd w:id="301"/>
    </w:p>
    <w:p w14:paraId="5FEA39AA">
      <w:pPr>
        <w:pStyle w:val="177"/>
        <w:numPr>
          <w:ilvl w:val="0"/>
          <w:numId w:val="45"/>
        </w:numPr>
      </w:pPr>
      <w:r>
        <w:t>汇流箱有关零部件均应符合各自的技术要求；</w:t>
      </w:r>
    </w:p>
    <w:p w14:paraId="37B31A6E">
      <w:pPr>
        <w:pStyle w:val="177"/>
      </w:pPr>
      <w:r>
        <w:t>油漆电镀应牢固、平整，无剥落、锈蚀及裂痕等现象；</w:t>
      </w:r>
    </w:p>
    <w:p w14:paraId="6D09C879">
      <w:pPr>
        <w:pStyle w:val="177"/>
      </w:pPr>
      <w:r>
        <w:t>机架面板应平整，文字和符号要求清楚、整齐、规范、正确；</w:t>
      </w:r>
    </w:p>
    <w:p w14:paraId="2B5CB3FB">
      <w:pPr>
        <w:pStyle w:val="177"/>
      </w:pPr>
      <w:r>
        <w:t>标牌、标志、标记应完整清晰；</w:t>
      </w:r>
    </w:p>
    <w:p w14:paraId="1E717EED">
      <w:pPr>
        <w:pStyle w:val="177"/>
      </w:pPr>
      <w:r>
        <w:t>各种开关应便于操作，灵活可靠。</w:t>
      </w:r>
    </w:p>
    <w:p w14:paraId="031EFC4E">
      <w:pPr>
        <w:pStyle w:val="97"/>
        <w:spacing w:before="156" w:after="156"/>
      </w:pPr>
      <w:bookmarkStart w:id="302" w:name="_Toc182637276"/>
      <w:r>
        <w:t>光伏汇流箱不宜安装在高温、潮湿地方。</w:t>
      </w:r>
      <w:bookmarkEnd w:id="302"/>
    </w:p>
    <w:p w14:paraId="56C1E446">
      <w:pPr>
        <w:pStyle w:val="97"/>
        <w:spacing w:before="156" w:after="156"/>
      </w:pPr>
      <w:bookmarkStart w:id="303" w:name="_Toc182637277"/>
      <w:r>
        <w:rPr>
          <w:rFonts w:hint="eastAsia"/>
        </w:rPr>
        <w:t>光伏汇流箱可采用直立挂墙式或抱柱式安装，墙体或柱体应有足够强度承受其重量。</w:t>
      </w:r>
      <w:bookmarkEnd w:id="303"/>
    </w:p>
    <w:p w14:paraId="675F2427">
      <w:pPr>
        <w:pStyle w:val="97"/>
        <w:spacing w:before="156" w:after="156"/>
      </w:pPr>
      <w:bookmarkStart w:id="304" w:name="_Toc182637278"/>
      <w:r>
        <w:rPr>
          <w:rFonts w:hint="eastAsia"/>
        </w:rPr>
        <w:t>室外安装的光伏汇流箱，其安装高度不宜低于1.5m。</w:t>
      </w:r>
      <w:bookmarkEnd w:id="304"/>
    </w:p>
    <w:p w14:paraId="47FACB07">
      <w:pPr>
        <w:pStyle w:val="97"/>
        <w:spacing w:before="156" w:after="156"/>
      </w:pPr>
      <w:bookmarkStart w:id="305" w:name="_Toc182637279"/>
      <w:r>
        <w:rPr>
          <w:rFonts w:hint="eastAsia"/>
        </w:rPr>
        <w:t>通讯接线屏蔽层需接入光伏汇流箱提供的屏蔽层端口，在端子内部两个屏蔽层应被短接，整个系统屏蔽层应进行单点接地连接。</w:t>
      </w:r>
      <w:bookmarkEnd w:id="305"/>
    </w:p>
    <w:p w14:paraId="7B4BA3BB">
      <w:pPr>
        <w:pStyle w:val="97"/>
        <w:spacing w:before="156" w:after="156"/>
      </w:pPr>
      <w:bookmarkStart w:id="306" w:name="_Toc182637280"/>
      <w:r>
        <w:rPr>
          <w:rFonts w:hint="eastAsia"/>
        </w:rPr>
        <w:t>输入断路器等级应根据光伏组件的额定等级以及相关标准要求而定。微型断路器的最小等级可由光伏组件的短路电流计算而得。严禁在安装和工作时拆装微型断路器。</w:t>
      </w:r>
      <w:bookmarkEnd w:id="306"/>
    </w:p>
    <w:p w14:paraId="1FD5351F">
      <w:pPr>
        <w:pStyle w:val="97"/>
        <w:spacing w:before="156" w:after="156"/>
      </w:pPr>
      <w:bookmarkStart w:id="307" w:name="_Toc182637281"/>
      <w:r>
        <w:rPr>
          <w:rFonts w:hint="eastAsia"/>
        </w:rPr>
        <w:t>对外接线宜使用多股阻燃铜线，线径应符合设计要求，并不应小于推荐值。空置的防水端子，应拧紧对应尺寸的堵头。对外接线时，应确保螺钉紧固，防止接线松动。</w:t>
      </w:r>
      <w:bookmarkEnd w:id="307"/>
    </w:p>
    <w:p w14:paraId="5163A739">
      <w:pPr>
        <w:pStyle w:val="68"/>
        <w:spacing w:before="156" w:after="156"/>
      </w:pPr>
      <w:bookmarkStart w:id="308" w:name="_Toc182637282"/>
      <w:r>
        <w:rPr>
          <w:rFonts w:hint="eastAsia"/>
        </w:rPr>
        <w:t>蓄电池安装</w:t>
      </w:r>
      <w:bookmarkEnd w:id="308"/>
    </w:p>
    <w:p w14:paraId="7713220D">
      <w:pPr>
        <w:pStyle w:val="97"/>
        <w:spacing w:before="156" w:after="156"/>
      </w:pPr>
      <w:bookmarkStart w:id="309" w:name="_Toc182637283"/>
      <w:r>
        <w:rPr>
          <w:rFonts w:hint="eastAsia"/>
        </w:rPr>
        <w:t>蓄电池宜安装在距离光伏方阵较近的场所，宜与配电室隔开，并应采取防火防爆措施。蓄电池的安装室内应干燥清洁、通风良好、不受阳光直接照射，距离热源不得小于2m，温度宜在10℃～25℃之间。</w:t>
      </w:r>
      <w:bookmarkEnd w:id="309"/>
    </w:p>
    <w:p w14:paraId="340E3F97">
      <w:pPr>
        <w:pStyle w:val="97"/>
        <w:spacing w:before="156" w:after="156"/>
      </w:pPr>
      <w:bookmarkStart w:id="310" w:name="_Toc182637284"/>
      <w:r>
        <w:rPr>
          <w:rFonts w:hint="eastAsia"/>
        </w:rPr>
        <w:t>蓄电池与地面之间应采取绝缘措施，宜安放在专用蓄电池支架上，安装在地面时应在蓄电池底部设置隔离垫。</w:t>
      </w:r>
      <w:bookmarkEnd w:id="310"/>
    </w:p>
    <w:p w14:paraId="21AA48DE">
      <w:pPr>
        <w:pStyle w:val="97"/>
        <w:spacing w:before="156" w:after="156"/>
      </w:pPr>
      <w:bookmarkStart w:id="311" w:name="_Toc182637285"/>
      <w:r>
        <w:rPr>
          <w:rFonts w:hint="eastAsia"/>
        </w:rPr>
        <w:t>蓄电池的安装还应符合GB50172的规定。</w:t>
      </w:r>
      <w:bookmarkEnd w:id="311"/>
    </w:p>
    <w:p w14:paraId="1CBA2B4A">
      <w:pPr>
        <w:pStyle w:val="97"/>
        <w:spacing w:before="156" w:after="156"/>
      </w:pPr>
      <w:bookmarkStart w:id="312" w:name="_Toc182637286"/>
      <w:r>
        <w:rPr>
          <w:rFonts w:hint="eastAsia"/>
        </w:rPr>
        <w:t>蓄电池摆放及支架安装应符合设计要求。</w:t>
      </w:r>
      <w:bookmarkEnd w:id="312"/>
    </w:p>
    <w:p w14:paraId="2D1B8A07">
      <w:pPr>
        <w:pStyle w:val="97"/>
        <w:spacing w:before="156" w:after="156"/>
      </w:pPr>
      <w:bookmarkStart w:id="313" w:name="_Toc182637287"/>
      <w:r>
        <w:rPr>
          <w:rFonts w:hint="eastAsia"/>
        </w:rPr>
        <w:t>蓄电池线路连接前，应检查每只蓄电池的端电压，每只蓄电池电压宜保持一致，并应采用专用的金属连接件将蓄电池连接成组。</w:t>
      </w:r>
      <w:bookmarkEnd w:id="313"/>
    </w:p>
    <w:p w14:paraId="148B07B6">
      <w:pPr>
        <w:pStyle w:val="97"/>
        <w:spacing w:before="156" w:after="156"/>
      </w:pPr>
      <w:bookmarkStart w:id="314" w:name="_Toc182637288"/>
      <w:r>
        <w:rPr>
          <w:rFonts w:hint="eastAsia"/>
        </w:rPr>
        <w:t>多只蓄电池串联时，应将蓄电池全部连接完毕，测量电压正常后再与控制器连接。</w:t>
      </w:r>
      <w:bookmarkEnd w:id="314"/>
    </w:p>
    <w:p w14:paraId="34B38A70">
      <w:pPr>
        <w:pStyle w:val="68"/>
        <w:spacing w:before="156" w:after="156"/>
      </w:pPr>
      <w:bookmarkStart w:id="315" w:name="_Toc182637289"/>
      <w:r>
        <w:rPr>
          <w:rFonts w:hint="eastAsia"/>
        </w:rPr>
        <w:t>防雷与接地</w:t>
      </w:r>
      <w:bookmarkEnd w:id="315"/>
    </w:p>
    <w:p w14:paraId="66D2C2CD">
      <w:pPr>
        <w:pStyle w:val="97"/>
        <w:spacing w:before="156" w:after="156"/>
      </w:pPr>
      <w:bookmarkStart w:id="316" w:name="_Toc182637290"/>
      <w:r>
        <w:rPr>
          <w:rFonts w:hint="eastAsia"/>
        </w:rPr>
        <w:t>防雷装置的施工除应符合设计要求外，还应符合GB/T36963、GB/T32512和GB50169的规定。</w:t>
      </w:r>
      <w:bookmarkEnd w:id="316"/>
    </w:p>
    <w:p w14:paraId="3E8823B1">
      <w:pPr>
        <w:pStyle w:val="97"/>
        <w:spacing w:before="156" w:after="156"/>
      </w:pPr>
      <w:bookmarkStart w:id="317" w:name="_Toc182637291"/>
      <w:r>
        <w:rPr>
          <w:rFonts w:hint="eastAsia"/>
        </w:rPr>
        <w:t>光伏系统的金属支架应单独设置接地。接闪杆、接闪带或接闪网等防雷措施应按相关规定进行安装。</w:t>
      </w:r>
      <w:bookmarkEnd w:id="317"/>
    </w:p>
    <w:p w14:paraId="07CE0263">
      <w:pPr>
        <w:pStyle w:val="97"/>
        <w:spacing w:before="156" w:after="156"/>
      </w:pPr>
      <w:bookmarkStart w:id="318" w:name="_Toc182637292"/>
      <w:r>
        <w:rPr>
          <w:rFonts w:hint="eastAsia"/>
        </w:rPr>
        <w:t>带边框的光伏组件应将边框可靠接地；不带边框的光伏组件，其接地做法应符合设计要求。</w:t>
      </w:r>
      <w:bookmarkEnd w:id="318"/>
    </w:p>
    <w:p w14:paraId="053E5594">
      <w:pPr>
        <w:pStyle w:val="97"/>
        <w:spacing w:before="156" w:after="156"/>
      </w:pPr>
      <w:bookmarkStart w:id="319" w:name="_Toc182637293"/>
      <w:r>
        <w:rPr>
          <w:rFonts w:hint="eastAsia"/>
        </w:rPr>
        <w:t>汇流箱、逆变器等电气设备的接地应牢固可靠、导通良好。电子设备应进行屏蔽接地。</w:t>
      </w:r>
      <w:bookmarkEnd w:id="319"/>
    </w:p>
    <w:p w14:paraId="4365B86D">
      <w:pPr>
        <w:pStyle w:val="97"/>
        <w:spacing w:before="156" w:after="156"/>
      </w:pPr>
      <w:bookmarkStart w:id="320" w:name="_Toc182637294"/>
      <w:r>
        <w:rPr>
          <w:rFonts w:hint="eastAsia"/>
        </w:rPr>
        <w:t>光伏系统接地体的安装电阻阻值应符合设计要求。</w:t>
      </w:r>
      <w:bookmarkEnd w:id="320"/>
    </w:p>
    <w:p w14:paraId="30610723">
      <w:pPr>
        <w:pStyle w:val="97"/>
        <w:spacing w:before="156" w:after="156"/>
      </w:pPr>
      <w:bookmarkStart w:id="321" w:name="_Toc182637295"/>
      <w:r>
        <w:rPr>
          <w:rFonts w:hint="eastAsia"/>
        </w:rPr>
        <w:t>根据建筑物防雷规范，建筑物二类防雷引下线间距要求不大于18m，三类防雷引下线间距要求不大于25m，光伏系统防雷应与建筑物防雷等级一致。</w:t>
      </w:r>
      <w:bookmarkEnd w:id="321"/>
    </w:p>
    <w:p w14:paraId="155BA5E1">
      <w:pPr>
        <w:pStyle w:val="108"/>
        <w:spacing w:before="156" w:after="156"/>
      </w:pPr>
      <w:bookmarkStart w:id="322" w:name="_Toc182722998"/>
      <w:bookmarkStart w:id="323" w:name="_Toc182637296"/>
      <w:bookmarkStart w:id="324" w:name="_Toc182637424"/>
      <w:r>
        <w:t>施工交通组织</w:t>
      </w:r>
      <w:bookmarkEnd w:id="322"/>
      <w:bookmarkEnd w:id="323"/>
      <w:bookmarkEnd w:id="324"/>
    </w:p>
    <w:p w14:paraId="77F76C3F">
      <w:pPr>
        <w:pStyle w:val="68"/>
        <w:spacing w:before="156" w:after="156"/>
      </w:pPr>
      <w:bookmarkStart w:id="325" w:name="_Toc182637297"/>
      <w:r>
        <w:t>应编制施工交通组织方案及应急管理预案，并有效实施，确保施工和行车安全，减少封闭时间及</w:t>
      </w:r>
      <w:r>
        <w:rPr>
          <w:rFonts w:hint="eastAsia"/>
        </w:rPr>
        <w:t>施工对交通的影响，不宜对周边路网造成交通压力。</w:t>
      </w:r>
      <w:bookmarkEnd w:id="325"/>
    </w:p>
    <w:p w14:paraId="6A009FF9">
      <w:pPr>
        <w:pStyle w:val="68"/>
        <w:spacing w:before="156" w:after="156"/>
      </w:pPr>
      <w:bookmarkStart w:id="326" w:name="_Toc182637298"/>
      <w:r>
        <w:rPr>
          <w:rFonts w:hint="eastAsia"/>
        </w:rPr>
        <w:t>应按照JTGH30的规定，采用封闭硬路肩交通组织方式布设交通控制设施，施工作业控制区布置施工作业前，应顺交通流方向布设交通控制设施；作业完成后，应逆交通流方向撤除相关安全设施，恢复正常交通。</w:t>
      </w:r>
      <w:bookmarkEnd w:id="326"/>
    </w:p>
    <w:p w14:paraId="350613A9">
      <w:pPr>
        <w:pStyle w:val="68"/>
        <w:spacing w:before="156" w:after="156"/>
      </w:pPr>
      <w:bookmarkStart w:id="327" w:name="_Toc182637299"/>
      <w:r>
        <w:rPr>
          <w:rFonts w:hint="eastAsia"/>
        </w:rPr>
        <w:t>施工期间应加强安全管控，落实施工安全和交通保障措施，重要位置设置安全提示，施工现场安全标志及安全警示设施。</w:t>
      </w:r>
      <w:bookmarkEnd w:id="327"/>
    </w:p>
    <w:p w14:paraId="452D0C11">
      <w:pPr>
        <w:pStyle w:val="68"/>
        <w:spacing w:before="156" w:after="156"/>
      </w:pPr>
      <w:bookmarkStart w:id="328" w:name="_Toc182637300"/>
      <w:r>
        <w:rPr>
          <w:rFonts w:hint="eastAsia"/>
        </w:rPr>
        <w:t>夜间及雨雪天气不应进行施工作业，需实施夜间应急管理时，应使用带有反光功能的安全设施。</w:t>
      </w:r>
      <w:bookmarkEnd w:id="328"/>
    </w:p>
    <w:p w14:paraId="6C34C190">
      <w:pPr>
        <w:pStyle w:val="108"/>
        <w:spacing w:before="156" w:after="156"/>
      </w:pPr>
      <w:bookmarkStart w:id="329" w:name="_Toc182722999"/>
      <w:bookmarkStart w:id="330" w:name="_Toc182637425"/>
      <w:bookmarkStart w:id="331" w:name="_Toc182637301"/>
      <w:r>
        <w:t>环境保护与水土保持</w:t>
      </w:r>
      <w:bookmarkEnd w:id="329"/>
      <w:bookmarkEnd w:id="330"/>
      <w:bookmarkEnd w:id="331"/>
    </w:p>
    <w:p w14:paraId="3EF2A5E7">
      <w:pPr>
        <w:pStyle w:val="68"/>
        <w:spacing w:before="156" w:after="156"/>
      </w:pPr>
      <w:bookmarkStart w:id="332" w:name="_Toc182637302"/>
      <w:r>
        <w:rPr>
          <w:rFonts w:hint="eastAsia"/>
        </w:rPr>
        <w:t>应结合道路景观需求，统筹光伏发电工程的整体布置与规划。</w:t>
      </w:r>
      <w:bookmarkEnd w:id="332"/>
    </w:p>
    <w:p w14:paraId="7DD35AAB">
      <w:pPr>
        <w:pStyle w:val="68"/>
        <w:spacing w:before="156" w:after="156"/>
      </w:pPr>
      <w:bookmarkStart w:id="333" w:name="_Toc182637303"/>
      <w:r>
        <w:rPr>
          <w:rFonts w:hint="eastAsia"/>
        </w:rPr>
        <w:t>应确保因项目施工所导致的土方开挖、路面破坏等临时性破坏情形得到有效恢复。</w:t>
      </w:r>
      <w:bookmarkEnd w:id="333"/>
    </w:p>
    <w:p w14:paraId="304A4477">
      <w:pPr>
        <w:pStyle w:val="68"/>
        <w:spacing w:before="156" w:after="156"/>
      </w:pPr>
      <w:bookmarkStart w:id="334" w:name="_Toc182637304"/>
      <w:r>
        <w:rPr>
          <w:rFonts w:hint="eastAsia"/>
        </w:rPr>
        <w:t>施工中应尽量减少对边坡植被的破坏，并应充分评估植被破坏对边坡抗冲刷能力的影响，施工结束后及时修复植被，并对边坡植被生长情况进行跟踪观测。</w:t>
      </w:r>
      <w:bookmarkEnd w:id="334"/>
    </w:p>
    <w:p w14:paraId="2C3143E7">
      <w:pPr>
        <w:pStyle w:val="68"/>
        <w:spacing w:before="156" w:after="156"/>
      </w:pPr>
      <w:bookmarkStart w:id="335" w:name="_Toc182637305"/>
      <w:r>
        <w:rPr>
          <w:rFonts w:hint="eastAsia"/>
        </w:rPr>
        <w:t>施工完毕后，应及时拆除临时设施，恢复既有地貌。</w:t>
      </w:r>
      <w:bookmarkEnd w:id="335"/>
    </w:p>
    <w:p w14:paraId="7906B102">
      <w:pPr>
        <w:pStyle w:val="68"/>
        <w:spacing w:before="156" w:after="156"/>
      </w:pPr>
      <w:bookmarkStart w:id="336" w:name="_Toc182637306"/>
      <w:r>
        <w:rPr>
          <w:rFonts w:hint="eastAsia"/>
        </w:rPr>
        <w:t>应减少施工污水、废油、废气等污染物的排放，对废弃物进行有效处理。</w:t>
      </w:r>
      <w:bookmarkEnd w:id="336"/>
    </w:p>
    <w:p w14:paraId="10C18D7E">
      <w:pPr>
        <w:pStyle w:val="107"/>
        <w:spacing w:before="312" w:after="312"/>
      </w:pPr>
      <w:bookmarkStart w:id="337" w:name="_Toc182723226"/>
      <w:bookmarkStart w:id="338" w:name="_Toc182828228"/>
      <w:bookmarkStart w:id="339" w:name="_Toc182723019"/>
      <w:bookmarkStart w:id="340" w:name="_Toc182637426"/>
      <w:bookmarkStart w:id="341" w:name="_Toc182724649"/>
      <w:bookmarkStart w:id="342" w:name="_Toc182637307"/>
      <w:bookmarkStart w:id="343" w:name="_Toc182723000"/>
      <w:bookmarkStart w:id="344" w:name="_Toc182691726"/>
      <w:r>
        <w:t>调试</w:t>
      </w:r>
      <w:bookmarkEnd w:id="337"/>
      <w:bookmarkEnd w:id="338"/>
      <w:bookmarkEnd w:id="339"/>
      <w:bookmarkEnd w:id="340"/>
      <w:bookmarkEnd w:id="341"/>
      <w:bookmarkEnd w:id="342"/>
      <w:bookmarkEnd w:id="343"/>
      <w:bookmarkEnd w:id="344"/>
    </w:p>
    <w:p w14:paraId="6C5DE6AC">
      <w:pPr>
        <w:pStyle w:val="108"/>
        <w:spacing w:before="156" w:after="156"/>
      </w:pPr>
      <w:bookmarkStart w:id="345" w:name="_Toc182723001"/>
      <w:bookmarkStart w:id="346" w:name="_Toc182637427"/>
      <w:bookmarkStart w:id="347" w:name="_Toc182637308"/>
      <w:r>
        <w:t>一般要求</w:t>
      </w:r>
      <w:bookmarkEnd w:id="345"/>
      <w:bookmarkEnd w:id="346"/>
      <w:bookmarkEnd w:id="347"/>
    </w:p>
    <w:p w14:paraId="696754C2">
      <w:pPr>
        <w:pStyle w:val="68"/>
        <w:spacing w:before="156" w:after="156"/>
      </w:pPr>
      <w:bookmarkStart w:id="348" w:name="_Toc182637309"/>
      <w:r>
        <w:t>施工、安装工作完成</w:t>
      </w:r>
      <w:r>
        <w:rPr>
          <w:rFonts w:hint="eastAsia"/>
        </w:rPr>
        <w:t>、</w:t>
      </w:r>
      <w:r>
        <w:t>验收合格</w:t>
      </w:r>
      <w:r>
        <w:rPr>
          <w:rFonts w:hint="eastAsia"/>
        </w:rPr>
        <w:t>后，</w:t>
      </w:r>
      <w:r>
        <w:t>方可进行设备和系统调试。</w:t>
      </w:r>
      <w:bookmarkEnd w:id="348"/>
    </w:p>
    <w:p w14:paraId="3C2B957B">
      <w:pPr>
        <w:pStyle w:val="68"/>
        <w:spacing w:before="156" w:after="156"/>
      </w:pPr>
      <w:bookmarkStart w:id="349" w:name="_Toc182637310"/>
      <w:r>
        <w:t>系统调试过程中发现不合格</w:t>
      </w:r>
      <w:r>
        <w:rPr>
          <w:rFonts w:hint="eastAsia"/>
          <w:lang w:eastAsia="zh-CN"/>
        </w:rPr>
        <w:t>项目</w:t>
      </w:r>
      <w:r>
        <w:t>时，应重新开始调试工作，对所有项目逐项进行测试。</w:t>
      </w:r>
      <w:bookmarkEnd w:id="349"/>
    </w:p>
    <w:p w14:paraId="6F1264F3">
      <w:pPr>
        <w:pStyle w:val="68"/>
        <w:spacing w:before="156" w:after="156"/>
      </w:pPr>
      <w:bookmarkStart w:id="350" w:name="_Toc182637311"/>
      <w:r>
        <w:t>系统的调试应符合相应的国标要求。</w:t>
      </w:r>
      <w:bookmarkEnd w:id="350"/>
    </w:p>
    <w:p w14:paraId="2FB7B33E">
      <w:pPr>
        <w:pStyle w:val="108"/>
        <w:spacing w:before="156" w:after="156"/>
      </w:pPr>
      <w:bookmarkStart w:id="351" w:name="_Toc182637428"/>
      <w:bookmarkStart w:id="352" w:name="_Toc182723002"/>
      <w:bookmarkStart w:id="353" w:name="_Toc182637312"/>
      <w:r>
        <w:t>光伏矩阵调试与检测</w:t>
      </w:r>
      <w:bookmarkEnd w:id="351"/>
      <w:bookmarkEnd w:id="352"/>
      <w:bookmarkEnd w:id="353"/>
    </w:p>
    <w:p w14:paraId="356419D5">
      <w:pPr>
        <w:pStyle w:val="68"/>
        <w:spacing w:before="156" w:after="156"/>
      </w:pPr>
      <w:bookmarkStart w:id="354" w:name="_Toc182637313"/>
      <w:r>
        <w:rPr>
          <w:rFonts w:hint="eastAsia"/>
        </w:rPr>
        <w:t>光伏组件串的调试</w:t>
      </w:r>
      <w:bookmarkEnd w:id="354"/>
    </w:p>
    <w:p w14:paraId="5C3FBEB8">
      <w:pPr>
        <w:pStyle w:val="97"/>
        <w:spacing w:before="156" w:after="156"/>
      </w:pPr>
      <w:bookmarkStart w:id="355" w:name="_Toc182637314"/>
      <w:r>
        <w:t>流箱内光伏组件串的极性应正确。</w:t>
      </w:r>
      <w:bookmarkEnd w:id="355"/>
    </w:p>
    <w:p w14:paraId="1484777B">
      <w:pPr>
        <w:pStyle w:val="97"/>
        <w:spacing w:before="156" w:after="156"/>
      </w:pPr>
      <w:bookmarkStart w:id="356" w:name="_Toc182637315"/>
      <w:r>
        <w:t>汇流箱内熔断器或开关应在断开位置。</w:t>
      </w:r>
      <w:bookmarkEnd w:id="356"/>
    </w:p>
    <w:p w14:paraId="38E86CF8">
      <w:pPr>
        <w:pStyle w:val="97"/>
        <w:spacing w:before="156" w:after="156"/>
      </w:pPr>
      <w:bookmarkStart w:id="357" w:name="_Toc182637316"/>
      <w:r>
        <w:t>检测光伏组件串的开路电压和短路电流，应满足设计要求，且相同测试条件下的相同光伏组件串之间的开路电压偏差不应大于5%。</w:t>
      </w:r>
      <w:bookmarkEnd w:id="357"/>
    </w:p>
    <w:p w14:paraId="47A94447">
      <w:pPr>
        <w:pStyle w:val="97"/>
        <w:spacing w:before="156" w:after="156"/>
      </w:pPr>
      <w:bookmarkStart w:id="358" w:name="_Toc182637317"/>
      <w:r>
        <w:t>光伏组件串电缆温度应无超温等异常情况。</w:t>
      </w:r>
      <w:bookmarkEnd w:id="358"/>
    </w:p>
    <w:p w14:paraId="43AD3DFF">
      <w:pPr>
        <w:pStyle w:val="97"/>
        <w:spacing w:before="156" w:after="156"/>
      </w:pPr>
      <w:bookmarkStart w:id="359" w:name="_Toc182637318"/>
      <w:r>
        <w:t>所有组件串检查应合格并记录。</w:t>
      </w:r>
      <w:bookmarkEnd w:id="359"/>
    </w:p>
    <w:p w14:paraId="6830302F">
      <w:pPr>
        <w:pStyle w:val="68"/>
        <w:spacing w:before="156" w:after="156"/>
      </w:pPr>
      <w:bookmarkStart w:id="360" w:name="_Toc182637319"/>
      <w:r>
        <w:rPr>
          <w:rFonts w:hint="eastAsia"/>
        </w:rPr>
        <w:t>检测光伏组件并联串，开路电压相近时再进行并联。</w:t>
      </w:r>
      <w:bookmarkEnd w:id="360"/>
    </w:p>
    <w:p w14:paraId="1BB55F08">
      <w:pPr>
        <w:pStyle w:val="68"/>
        <w:spacing w:before="156" w:after="156"/>
      </w:pPr>
      <w:bookmarkStart w:id="361" w:name="_Toc182637320"/>
      <w:r>
        <w:rPr>
          <w:rFonts w:hint="eastAsia"/>
        </w:rPr>
        <w:t>光伏组件串检查合格后，将方阵输出的正、负极接入接线箱或控制器，并测量记录方阵的工作电流和电压等参数。</w:t>
      </w:r>
      <w:bookmarkEnd w:id="361"/>
    </w:p>
    <w:p w14:paraId="180B7539">
      <w:pPr>
        <w:pStyle w:val="108"/>
        <w:spacing w:before="156" w:after="156"/>
      </w:pPr>
      <w:bookmarkStart w:id="362" w:name="_Toc182723003"/>
      <w:bookmarkStart w:id="363" w:name="_Toc182637321"/>
      <w:bookmarkStart w:id="364" w:name="_Toc182637429"/>
      <w:r>
        <w:t>逆变器调试与检测</w:t>
      </w:r>
      <w:bookmarkEnd w:id="362"/>
      <w:bookmarkEnd w:id="363"/>
      <w:bookmarkEnd w:id="364"/>
    </w:p>
    <w:p w14:paraId="0A9CD1D8">
      <w:pPr>
        <w:pStyle w:val="68"/>
        <w:spacing w:before="156" w:after="156"/>
      </w:pPr>
      <w:bookmarkStart w:id="365" w:name="_Toc182637322"/>
      <w:r>
        <w:t>逆变器安装后，应对绝缘电阻进行检测。微型逆变器的绝缘电阻应符合NB/T42142的规定，其余类型逆变器的绝缘电阻应符合GB/T37408的规定。</w:t>
      </w:r>
      <w:bookmarkEnd w:id="365"/>
    </w:p>
    <w:p w14:paraId="3D2AFF8B">
      <w:pPr>
        <w:pStyle w:val="68"/>
        <w:spacing w:before="156" w:after="156"/>
      </w:pPr>
      <w:bookmarkStart w:id="366" w:name="_Toc182637323"/>
      <w:r>
        <w:t>逆变器安装后，应对接地电阻进行检验，接地电阻应符合GB/T37408的规定。</w:t>
      </w:r>
      <w:bookmarkEnd w:id="366"/>
    </w:p>
    <w:p w14:paraId="359A5A8D">
      <w:pPr>
        <w:pStyle w:val="68"/>
        <w:spacing w:before="156" w:after="156"/>
      </w:pPr>
      <w:bookmarkStart w:id="367" w:name="_Toc182637324"/>
      <w:r>
        <w:t>逆变器调试与检测要求</w:t>
      </w:r>
      <w:bookmarkEnd w:id="367"/>
    </w:p>
    <w:p w14:paraId="7D90B201">
      <w:pPr>
        <w:pStyle w:val="97"/>
        <w:spacing w:before="156" w:after="156"/>
      </w:pPr>
      <w:bookmarkStart w:id="368" w:name="_Toc182637325"/>
      <w:r>
        <w:t>光伏方阵各组串输</w:t>
      </w:r>
      <w:r>
        <w:rPr>
          <w:rFonts w:hint="eastAsia"/>
        </w:rPr>
        <w:t>出</w:t>
      </w:r>
      <w:r>
        <w:t>电压应符合设计要求。</w:t>
      </w:r>
      <w:bookmarkEnd w:id="368"/>
    </w:p>
    <w:p w14:paraId="3309C7F3">
      <w:pPr>
        <w:pStyle w:val="97"/>
        <w:spacing w:before="156" w:after="156"/>
      </w:pPr>
      <w:bookmarkStart w:id="369" w:name="_Toc182637326"/>
      <w:r>
        <w:t>并网逆变器输</w:t>
      </w:r>
      <w:r>
        <w:rPr>
          <w:rFonts w:hint="eastAsia"/>
        </w:rPr>
        <w:t>出</w:t>
      </w:r>
      <w:r>
        <w:t>端的交流电压应符合设计要求。</w:t>
      </w:r>
      <w:bookmarkEnd w:id="369"/>
    </w:p>
    <w:p w14:paraId="19488B39">
      <w:pPr>
        <w:pStyle w:val="97"/>
        <w:spacing w:before="156" w:after="156"/>
      </w:pPr>
      <w:bookmarkStart w:id="370" w:name="_Toc182637327"/>
      <w:r>
        <w:t>启动运行并网逆变器，各项参数、指标正常后，逐一闭合该并网逆变器的所有汇流开关。</w:t>
      </w:r>
      <w:bookmarkEnd w:id="370"/>
    </w:p>
    <w:p w14:paraId="0F11CA4C">
      <w:pPr>
        <w:pStyle w:val="97"/>
        <w:spacing w:before="156" w:after="156"/>
      </w:pPr>
      <w:bookmarkStart w:id="371" w:name="_Toc182637328"/>
      <w:r>
        <w:t>检测输入、输</w:t>
      </w:r>
      <w:r>
        <w:rPr>
          <w:rFonts w:hint="eastAsia"/>
        </w:rPr>
        <w:t>出</w:t>
      </w:r>
      <w:r>
        <w:t>电压、电流、功率等技术数据，并记录太阳辐照度、环境温度、风速等参数</w:t>
      </w:r>
      <w:r>
        <w:rPr>
          <w:rFonts w:hint="eastAsia"/>
        </w:rPr>
        <w:t>，</w:t>
      </w:r>
      <w:r>
        <w:t>应与设计要求相符合。</w:t>
      </w:r>
      <w:bookmarkEnd w:id="371"/>
    </w:p>
    <w:p w14:paraId="388A8F1D">
      <w:pPr>
        <w:pStyle w:val="108"/>
        <w:spacing w:before="156" w:after="156"/>
      </w:pPr>
      <w:bookmarkStart w:id="372" w:name="_Toc182637329"/>
      <w:bookmarkStart w:id="373" w:name="_Toc182723004"/>
      <w:bookmarkStart w:id="374" w:name="_Toc182637430"/>
      <w:r>
        <w:t>并网箱调试与检测</w:t>
      </w:r>
      <w:bookmarkEnd w:id="372"/>
      <w:bookmarkEnd w:id="373"/>
      <w:bookmarkEnd w:id="374"/>
    </w:p>
    <w:p w14:paraId="36A12CA5">
      <w:pPr>
        <w:pStyle w:val="68"/>
        <w:spacing w:before="156" w:after="156"/>
      </w:pPr>
      <w:bookmarkStart w:id="375" w:name="_Toc182637330"/>
      <w:r>
        <w:t>并网点安装的断路器、隔离开关等并网开断设备，应根据具体的设备类型，按照GB50150的相关规定进行操动机构测试。</w:t>
      </w:r>
      <w:bookmarkEnd w:id="375"/>
    </w:p>
    <w:p w14:paraId="603A7900">
      <w:pPr>
        <w:pStyle w:val="68"/>
        <w:spacing w:before="156" w:after="156"/>
      </w:pPr>
      <w:bookmarkStart w:id="376" w:name="_Toc182637331"/>
      <w:r>
        <w:t>并网接口断路器要求</w:t>
      </w:r>
      <w:bookmarkEnd w:id="376"/>
    </w:p>
    <w:p w14:paraId="3E40E4A5">
      <w:pPr>
        <w:pStyle w:val="97"/>
        <w:spacing w:before="156" w:after="156"/>
      </w:pPr>
      <w:bookmarkStart w:id="377" w:name="_Toc182637332"/>
      <w:r>
        <w:t>并网箱内应安装易操作、具有明显开断指示、具备开断故障电流能力的断路器。</w:t>
      </w:r>
      <w:bookmarkEnd w:id="377"/>
    </w:p>
    <w:p w14:paraId="5A905A24">
      <w:pPr>
        <w:pStyle w:val="97"/>
        <w:spacing w:before="156" w:after="156"/>
      </w:pPr>
      <w:bookmarkStart w:id="378" w:name="_Toc182637333"/>
      <w:r>
        <w:t>断路器应具备短路速断、分励脱扣等功能，并应符合GB/T14048.2的相关</w:t>
      </w:r>
      <w:r>
        <w:rPr>
          <w:rFonts w:hint="eastAsia"/>
        </w:rPr>
        <w:t>规定</w:t>
      </w:r>
      <w:r>
        <w:t>。</w:t>
      </w:r>
      <w:bookmarkEnd w:id="378"/>
    </w:p>
    <w:p w14:paraId="6EDF0CDD">
      <w:pPr>
        <w:pStyle w:val="97"/>
        <w:spacing w:before="156" w:after="156"/>
      </w:pPr>
      <w:bookmarkStart w:id="379" w:name="_Toc182637334"/>
      <w:r>
        <w:t>宜采用具备电源、负荷端反接能力的断路器，当采用不具备反接能力的断路器时，电源端应接入电网侧。</w:t>
      </w:r>
      <w:bookmarkEnd w:id="379"/>
    </w:p>
    <w:p w14:paraId="7DFD68CD">
      <w:pPr>
        <w:pStyle w:val="97"/>
        <w:spacing w:before="156" w:after="156"/>
      </w:pPr>
      <w:bookmarkStart w:id="380" w:name="_Toc182637335"/>
      <w:r>
        <w:t>断路器分断能力应根据并网接口处短路电流水平进行选取，并应留有一定裕度。</w:t>
      </w:r>
      <w:bookmarkEnd w:id="380"/>
    </w:p>
    <w:p w14:paraId="7DAA7DAD">
      <w:pPr>
        <w:pStyle w:val="97"/>
        <w:spacing w:before="156" w:after="156"/>
      </w:pPr>
      <w:bookmarkStart w:id="381" w:name="_Toc182637336"/>
      <w:r>
        <w:t>并网箱内宜安装过欠压保护设备，具备失压跳闸、欠压跳闸、过压跳闸及检有压合闸功能。</w:t>
      </w:r>
      <w:bookmarkEnd w:id="381"/>
    </w:p>
    <w:p w14:paraId="10A443C5">
      <w:pPr>
        <w:pStyle w:val="97"/>
        <w:spacing w:before="156" w:after="156"/>
      </w:pPr>
      <w:bookmarkStart w:id="382" w:name="_Toc182637337"/>
      <w:r>
        <w:t>失压跳闸定值宜整定为20%</w:t>
      </w:r>
      <w:r>
        <w:rPr>
          <w:rFonts w:ascii="Times New Roman"/>
          <w:i/>
        </w:rPr>
        <w:t>U</w:t>
      </w:r>
      <w:r>
        <w:rPr>
          <w:rFonts w:ascii="Times New Roman"/>
          <w:vertAlign w:val="subscript"/>
        </w:rPr>
        <w:t>N</w:t>
      </w:r>
      <w:r>
        <w:rPr>
          <w:rFonts w:hint="eastAsia"/>
        </w:rPr>
        <w:t>，</w:t>
      </w:r>
      <w:r>
        <w:t>欠压跳闸定值宜整定为20%</w:t>
      </w:r>
      <w:r>
        <w:rPr>
          <w:rFonts w:ascii="Times New Roman"/>
          <w:i/>
        </w:rPr>
        <w:t>U</w:t>
      </w:r>
      <w:r>
        <w:rPr>
          <w:rFonts w:ascii="Times New Roman"/>
          <w:vertAlign w:val="subscript"/>
        </w:rPr>
        <w:t>N</w:t>
      </w:r>
      <w:r>
        <w:rPr>
          <w:rFonts w:hint="eastAsia"/>
        </w:rPr>
        <w:t>～</w:t>
      </w:r>
      <w:r>
        <w:t>70%</w:t>
      </w:r>
      <w:r>
        <w:rPr>
          <w:rFonts w:ascii="Times New Roman"/>
          <w:i/>
        </w:rPr>
        <w:t>U</w:t>
      </w:r>
      <w:r>
        <w:rPr>
          <w:rFonts w:ascii="Times New Roman"/>
          <w:vertAlign w:val="subscript"/>
        </w:rPr>
        <w:t>N</w:t>
      </w:r>
      <w:r>
        <w:rPr>
          <w:rFonts w:hint="eastAsia"/>
        </w:rPr>
        <w:t>，</w:t>
      </w:r>
      <w:r>
        <w:t>过压跳闸定值宜整定135%</w:t>
      </w:r>
      <w:r>
        <w:rPr>
          <w:rFonts w:ascii="Times New Roman"/>
          <w:i/>
        </w:rPr>
        <w:t>U</w:t>
      </w:r>
      <w:r>
        <w:rPr>
          <w:rFonts w:ascii="Times New Roman"/>
          <w:vertAlign w:val="subscript"/>
        </w:rPr>
        <w:t>N</w:t>
      </w:r>
      <w:r>
        <w:t>，跳闸宜在</w:t>
      </w:r>
      <w:r>
        <w:rPr>
          <w:rFonts w:hint="eastAsia"/>
        </w:rPr>
        <w:t>1</w:t>
      </w:r>
      <w:r>
        <w:t>s内动作，检有压定值宜整定为大于85%</w:t>
      </w:r>
      <w:r>
        <w:rPr>
          <w:rFonts w:ascii="Times New Roman"/>
          <w:i/>
        </w:rPr>
        <w:t>U</w:t>
      </w:r>
      <w:r>
        <w:rPr>
          <w:rFonts w:ascii="Times New Roman"/>
          <w:vertAlign w:val="subscript"/>
        </w:rPr>
        <w:t>N</w:t>
      </w:r>
      <w:r>
        <w:rPr>
          <w:rFonts w:hint="eastAsia"/>
        </w:rPr>
        <w:t>，</w:t>
      </w:r>
      <w:r>
        <w:t>且检有压合闸宜在10s</w:t>
      </w:r>
      <w:r>
        <w:rPr>
          <w:rFonts w:hint="eastAsia"/>
        </w:rPr>
        <w:t>～</w:t>
      </w:r>
      <w:r>
        <w:t>60s内动作。</w:t>
      </w:r>
      <w:bookmarkEnd w:id="382"/>
    </w:p>
    <w:p w14:paraId="08C8A207">
      <w:pPr>
        <w:pStyle w:val="68"/>
        <w:spacing w:before="156" w:after="156"/>
      </w:pPr>
      <w:bookmarkStart w:id="383" w:name="_Toc182637338"/>
      <w:r>
        <w:t>防雷与浪涌要求</w:t>
      </w:r>
      <w:bookmarkEnd w:id="383"/>
    </w:p>
    <w:p w14:paraId="13FCA8A2">
      <w:pPr>
        <w:pStyle w:val="97"/>
        <w:spacing w:before="156" w:after="156"/>
      </w:pPr>
      <w:bookmarkStart w:id="384" w:name="_Toc182637339"/>
      <w:r>
        <w:t>并网箱内应安装防雷浪涌保护器，以保护负载设备不被浪涌过电压损坏。</w:t>
      </w:r>
      <w:bookmarkEnd w:id="384"/>
    </w:p>
    <w:p w14:paraId="5EDE0A45">
      <w:pPr>
        <w:pStyle w:val="97"/>
        <w:spacing w:before="156" w:after="156"/>
      </w:pPr>
      <w:bookmarkStart w:id="385" w:name="_Toc182637340"/>
      <w:r>
        <w:t>浪涌保护器前宜加装断路器或熔断器，其分断能力必须大于该处的最大短路电流。</w:t>
      </w:r>
      <w:bookmarkEnd w:id="385"/>
    </w:p>
    <w:p w14:paraId="073CD47C">
      <w:pPr>
        <w:pStyle w:val="108"/>
        <w:spacing w:before="156" w:after="156"/>
      </w:pPr>
      <w:bookmarkStart w:id="386" w:name="_Toc182637341"/>
      <w:bookmarkStart w:id="387" w:name="_Toc182723005"/>
      <w:bookmarkStart w:id="388" w:name="_Toc182637431"/>
      <w:r>
        <w:t>监控系统调试</w:t>
      </w:r>
      <w:bookmarkEnd w:id="386"/>
      <w:bookmarkEnd w:id="387"/>
      <w:bookmarkEnd w:id="388"/>
    </w:p>
    <w:p w14:paraId="43B03D3D">
      <w:pPr>
        <w:pStyle w:val="68"/>
        <w:spacing w:before="156" w:after="156"/>
      </w:pPr>
      <w:bookmarkStart w:id="389" w:name="_Toc182637342"/>
      <w:r>
        <w:t>监控系统的调试主要包括在线监测与远程控制。</w:t>
      </w:r>
      <w:bookmarkEnd w:id="389"/>
    </w:p>
    <w:p w14:paraId="5B2A1CBC">
      <w:pPr>
        <w:pStyle w:val="68"/>
        <w:spacing w:before="156" w:after="156"/>
      </w:pPr>
      <w:bookmarkStart w:id="390" w:name="_Toc182637343"/>
      <w:r>
        <w:rPr>
          <w:rFonts w:hint="eastAsia"/>
        </w:rPr>
        <w:t>监控系统调试要求</w:t>
      </w:r>
      <w:bookmarkEnd w:id="390"/>
    </w:p>
    <w:p w14:paraId="799D2E63">
      <w:pPr>
        <w:pStyle w:val="97"/>
        <w:spacing w:before="156" w:after="156"/>
      </w:pPr>
      <w:bookmarkStart w:id="391" w:name="_Toc182637344"/>
      <w:r>
        <w:t>设备的数量、型号、额定参数应符合设计要求，接地应可靠。</w:t>
      </w:r>
      <w:bookmarkEnd w:id="391"/>
    </w:p>
    <w:p w14:paraId="1E0980DB">
      <w:pPr>
        <w:pStyle w:val="97"/>
        <w:spacing w:before="156" w:after="156"/>
      </w:pPr>
      <w:bookmarkStart w:id="392" w:name="_Toc182637345"/>
      <w:r>
        <w:t>防误操作功能应完备可靠。</w:t>
      </w:r>
      <w:bookmarkEnd w:id="392"/>
    </w:p>
    <w:p w14:paraId="6DA112D2">
      <w:pPr>
        <w:pStyle w:val="97"/>
        <w:spacing w:before="156" w:after="156"/>
      </w:pPr>
      <w:bookmarkStart w:id="393" w:name="_Toc182637346"/>
      <w:r>
        <w:t>主备切换功能应符合技术要求。</w:t>
      </w:r>
      <w:bookmarkEnd w:id="393"/>
    </w:p>
    <w:p w14:paraId="575BE425">
      <w:pPr>
        <w:pStyle w:val="97"/>
        <w:spacing w:before="156" w:after="156"/>
      </w:pPr>
      <w:bookmarkStart w:id="394" w:name="_Toc182637347"/>
      <w:r>
        <w:t>在线监测系统调试应符合相应国家标准的要求。</w:t>
      </w:r>
      <w:bookmarkEnd w:id="394"/>
    </w:p>
    <w:p w14:paraId="7B4C41F8">
      <w:pPr>
        <w:pStyle w:val="97"/>
        <w:spacing w:before="156" w:after="156"/>
      </w:pPr>
      <w:bookmarkStart w:id="395" w:name="_Toc182637348"/>
      <w:r>
        <w:t>数据监测装置采集的数据应有效。数据采集设备接收数据应正常，并能按照接收的指令进行数据发送。</w:t>
      </w:r>
      <w:bookmarkEnd w:id="395"/>
    </w:p>
    <w:p w14:paraId="378BC1D4">
      <w:pPr>
        <w:pStyle w:val="97"/>
        <w:spacing w:before="156" w:after="156"/>
      </w:pPr>
      <w:bookmarkStart w:id="396" w:name="_Toc182637349"/>
      <w:r>
        <w:t>远程控制设备操作功能应准确、可靠。</w:t>
      </w:r>
      <w:bookmarkEnd w:id="396"/>
    </w:p>
    <w:p w14:paraId="0797A9E0">
      <w:pPr>
        <w:pStyle w:val="108"/>
        <w:spacing w:before="156" w:after="156"/>
      </w:pPr>
      <w:bookmarkStart w:id="397" w:name="_Toc182637350"/>
      <w:bookmarkStart w:id="398" w:name="_Toc182637432"/>
      <w:bookmarkStart w:id="399" w:name="_Toc182723006"/>
      <w:r>
        <w:t>无功补偿装置</w:t>
      </w:r>
      <w:bookmarkEnd w:id="397"/>
      <w:bookmarkEnd w:id="398"/>
      <w:bookmarkEnd w:id="399"/>
    </w:p>
    <w:p w14:paraId="605CB144">
      <w:pPr>
        <w:pStyle w:val="165"/>
        <w:numPr>
          <w:ilvl w:val="0"/>
          <w:numId w:val="0"/>
        </w:numPr>
      </w:pPr>
      <w:r>
        <w:t>无功补偿装置的补偿功能</w:t>
      </w:r>
      <w:r>
        <w:rPr>
          <w:rFonts w:hint="eastAsia"/>
        </w:rPr>
        <w:t>应</w:t>
      </w:r>
      <w:r>
        <w:t>符合设计文件的技术要求，其他电气设备的应符合GB50150的相关规定。</w:t>
      </w:r>
    </w:p>
    <w:p w14:paraId="5F097510">
      <w:pPr>
        <w:pStyle w:val="108"/>
        <w:spacing w:before="156" w:after="156"/>
      </w:pPr>
      <w:bookmarkStart w:id="400" w:name="_Toc182723007"/>
      <w:bookmarkStart w:id="401" w:name="_Toc182637433"/>
      <w:bookmarkStart w:id="402" w:name="_Toc182637351"/>
      <w:r>
        <w:t>系统性能测试</w:t>
      </w:r>
      <w:bookmarkEnd w:id="400"/>
      <w:bookmarkEnd w:id="401"/>
      <w:bookmarkEnd w:id="402"/>
    </w:p>
    <w:p w14:paraId="08DCCE38">
      <w:pPr>
        <w:pStyle w:val="68"/>
        <w:spacing w:before="156" w:after="156"/>
      </w:pPr>
      <w:bookmarkStart w:id="403" w:name="_Toc182637352"/>
      <w:r>
        <w:t>工程验收前应按照GB/T19064、GB/T33342和GB/T33599的规定对光伏系统进行检查与调试。</w:t>
      </w:r>
      <w:bookmarkEnd w:id="403"/>
    </w:p>
    <w:p w14:paraId="19DFE0EF">
      <w:pPr>
        <w:pStyle w:val="68"/>
        <w:spacing w:before="156" w:after="156"/>
      </w:pPr>
      <w:bookmarkStart w:id="404" w:name="_Toc182637353"/>
      <w:r>
        <w:t>应按系统设计图、电气原理图及安装接线图进行检查，确认设备内部接线和外部接线正确无误</w:t>
      </w:r>
      <w:r>
        <w:rPr>
          <w:rFonts w:hint="eastAsia"/>
        </w:rPr>
        <w:t>，</w:t>
      </w:r>
      <w:r>
        <w:t>应符合GB50052和GB50797的规定；并网型光伏系统与电网间在联结处应有明显的带有标志的可视断开点。</w:t>
      </w:r>
      <w:bookmarkEnd w:id="404"/>
    </w:p>
    <w:p w14:paraId="3CC4F935">
      <w:pPr>
        <w:pStyle w:val="68"/>
        <w:spacing w:before="156" w:after="156"/>
      </w:pPr>
      <w:bookmarkStart w:id="405" w:name="_Toc182637354"/>
      <w:r>
        <w:t>应按设计施工图检查光伏方阵、逆变器和并网保护装置等设备的安装，应与设计图纸一致；检查设备安装、布线及防水等工程的施工记录，应满足设计要求。</w:t>
      </w:r>
      <w:bookmarkEnd w:id="405"/>
    </w:p>
    <w:p w14:paraId="6B992B8F">
      <w:pPr>
        <w:pStyle w:val="68"/>
        <w:spacing w:before="156" w:after="156"/>
      </w:pPr>
      <w:bookmarkStart w:id="406" w:name="_Toc182637355"/>
      <w:r>
        <w:t>检查光伏系统的保护装置，按设备使用说明书有关电气系</w:t>
      </w:r>
      <w:r>
        <w:rPr>
          <w:rFonts w:hint="eastAsia"/>
          <w:lang w:eastAsia="zh-CN"/>
        </w:rPr>
        <w:t>统的</w:t>
      </w:r>
      <w:r>
        <w:t>调整方法及调试要求，采用模拟操作检查其动作、指示、信号和联锁装</w:t>
      </w:r>
      <w:r>
        <w:rPr>
          <w:rFonts w:hint="eastAsia"/>
          <w:lang w:eastAsia="zh-CN"/>
        </w:rPr>
        <w:t>置的</w:t>
      </w:r>
      <w:r>
        <w:t>灵敏可靠性；光伏系统安装的断流容量、熔断器容量、过压、欠压、过流保护等，应符合设计要求。</w:t>
      </w:r>
      <w:bookmarkEnd w:id="406"/>
    </w:p>
    <w:p w14:paraId="6E290DD3">
      <w:pPr>
        <w:pStyle w:val="68"/>
        <w:spacing w:before="156" w:after="156"/>
      </w:pPr>
      <w:bookmarkStart w:id="407" w:name="_Toc182637356"/>
      <w:r>
        <w:t>检查光伏方阵的接地线与防雷接地线的连接，应牢固可靠。</w:t>
      </w:r>
      <w:bookmarkEnd w:id="407"/>
    </w:p>
    <w:p w14:paraId="380441AD">
      <w:pPr>
        <w:pStyle w:val="68"/>
        <w:spacing w:before="156" w:after="156"/>
      </w:pPr>
      <w:bookmarkStart w:id="408" w:name="_Toc182637357"/>
      <w:r>
        <w:t>系统绝缘性能要求</w:t>
      </w:r>
      <w:bookmarkEnd w:id="408"/>
    </w:p>
    <w:p w14:paraId="16586497">
      <w:pPr>
        <w:pStyle w:val="97"/>
        <w:spacing w:before="156" w:after="156"/>
      </w:pPr>
      <w:bookmarkStart w:id="409" w:name="_Toc182637358"/>
      <w:r>
        <w:t>将光伏方阵、汇流箱、并网保护装置等设备的连接回路断开，分别用DC1000V欧姆表测量主回路各极性与地（外壳）的绝缘电阻，应不小于1MΩ</w:t>
      </w:r>
      <w:r>
        <w:rPr>
          <w:rFonts w:hint="eastAsia"/>
        </w:rPr>
        <w:t>，</w:t>
      </w:r>
      <w:r>
        <w:t>其中逆变器的绝缘电阻应符合本文件7.3.1的规定。</w:t>
      </w:r>
      <w:bookmarkEnd w:id="409"/>
    </w:p>
    <w:p w14:paraId="5817A70E">
      <w:pPr>
        <w:pStyle w:val="97"/>
        <w:spacing w:before="156" w:after="156"/>
      </w:pPr>
      <w:bookmarkStart w:id="410" w:name="_Toc182637359"/>
      <w:r>
        <w:t>将光伏方阵、汇流箱、并网保护装置等设备的连接回路断开，分别用AC2000V工频交流耐压仪测量主回路各极性与地（外壳）的绝缘耐压，应能承受AC2000V、1min工频交流电耐压，无闪络、无击穿现象，其中逆变器的绝缘耐压应符合GB/T37408的规定。</w:t>
      </w:r>
      <w:bookmarkEnd w:id="410"/>
    </w:p>
    <w:p w14:paraId="1E70B8C0">
      <w:pPr>
        <w:pStyle w:val="97"/>
        <w:spacing w:before="156" w:after="156"/>
      </w:pPr>
      <w:bookmarkStart w:id="411" w:name="_Toc182637360"/>
      <w:r>
        <w:t>对并网型光伏系统的主要设计工作特性进行现场检验，应符合设计要求。</w:t>
      </w:r>
      <w:bookmarkEnd w:id="411"/>
    </w:p>
    <w:p w14:paraId="656C7078">
      <w:pPr>
        <w:pStyle w:val="68"/>
        <w:spacing w:before="156" w:after="156"/>
      </w:pPr>
      <w:bookmarkStart w:id="412" w:name="_Toc182637361"/>
      <w:r>
        <w:t>系统发电效率检测</w:t>
      </w:r>
      <w:bookmarkEnd w:id="412"/>
    </w:p>
    <w:p w14:paraId="0C2399D1">
      <w:pPr>
        <w:pStyle w:val="97"/>
        <w:spacing w:before="156" w:after="156"/>
      </w:pPr>
      <w:bookmarkStart w:id="413" w:name="_Toc182637362"/>
      <w:r>
        <w:t>光伏系统发电效率</w:t>
      </w:r>
      <w:r>
        <w:rPr>
          <w:rFonts w:hint="eastAsia"/>
        </w:rPr>
        <w:t>可用在S</w:t>
      </w:r>
      <w:r>
        <w:t>TC</w:t>
      </w:r>
      <w:r>
        <w:rPr>
          <w:rFonts w:hint="eastAsia"/>
        </w:rPr>
        <w:t>测试条件下的</w:t>
      </w:r>
      <w:r>
        <w:rPr>
          <w:i/>
        </w:rPr>
        <w:t>PR</w:t>
      </w:r>
      <w:r>
        <w:rPr>
          <w:rFonts w:hint="eastAsia"/>
        </w:rPr>
        <w:t>参数</w:t>
      </w:r>
      <w:r>
        <w:t>来检测，可按公式（2）得到：</w:t>
      </w:r>
      <w:bookmarkEnd w:id="413"/>
    </w:p>
    <w:p w14:paraId="4CD0A1D2">
      <w:pPr>
        <w:pStyle w:val="116"/>
        <w:rPr>
          <w:rFonts w:hint="eastAsia"/>
        </w:rPr>
      </w:pPr>
      <w:r>
        <w:rPr>
          <w:rFonts w:hint="eastAsia"/>
        </w:rPr>
        <w:tab/>
      </w:r>
      <w:r>
        <w:rPr>
          <w:position w:val="-10"/>
        </w:rPr>
        <w:object>
          <v:shape id="_x0000_i1026" o:spt="75" type="#_x0000_t75" style="height:16.15pt;width:136.9pt;" o:ole="t" filled="f" o:preferrelative="t" stroked="f" coordsize="21600,21600">
            <v:path/>
            <v:fill on="f" focussize="0,0"/>
            <v:stroke on="f" joinstyle="miter"/>
            <v:imagedata r:id="rId32" o:title=""/>
            <o:lock v:ext="edit" aspectratio="t"/>
            <w10:wrap type="none"/>
            <w10:anchorlock/>
          </v:shape>
          <o:OLEObject Type="Embed" ProgID="Equation.DSMT4" ShapeID="_x0000_i1026" DrawAspect="Content" ObjectID="_1468075726" r:id="rId31">
            <o:LockedField>false</o:LockedField>
          </o:OLEObject>
        </w:object>
      </w:r>
      <w:r>
        <w:rPr>
          <w:rFonts w:hint="eastAsia" w:ascii="微软雅黑" w:hAnsi="微软雅黑" w:eastAsia="微软雅黑"/>
        </w:rPr>
        <w:tab/>
      </w:r>
      <w:r>
        <w:t>(</w:t>
      </w:r>
      <w:r>
        <w:fldChar w:fldCharType="begin"/>
      </w:r>
      <w:r>
        <w:instrText xml:space="preserve"> AUTONUM </w:instrText>
      </w:r>
      <w:r>
        <w:fldChar w:fldCharType="end"/>
      </w:r>
      <w:r>
        <w:t>)</w:t>
      </w:r>
    </w:p>
    <w:p w14:paraId="7ADCC649">
      <w:pPr>
        <w:pStyle w:val="116"/>
        <w:rPr>
          <w:rFonts w:hAnsi="Times New Roman"/>
          <w:kern w:val="0"/>
          <w:szCs w:val="20"/>
        </w:rPr>
      </w:pPr>
      <w:r>
        <w:rPr>
          <w:rFonts w:hint="eastAsia"/>
        </w:rPr>
        <w:t>式中：</w:t>
      </w:r>
      <w:r>
        <w:rPr>
          <w:rFonts w:hint="eastAsia"/>
          <w:i/>
        </w:rPr>
        <w:t>E</w:t>
      </w:r>
      <w:r>
        <w:rPr>
          <w:rFonts w:hAnsi="Times New Roman"/>
          <w:kern w:val="0"/>
          <w:szCs w:val="20"/>
        </w:rPr>
        <w:t>——光伏系统发电量，单位为千瓦时（kW</w:t>
      </w:r>
      <w:r>
        <w:rPr>
          <w:rFonts w:hint="eastAsia" w:hAnsi="Times New Roman"/>
          <w:kern w:val="0"/>
          <w:szCs w:val="20"/>
        </w:rPr>
        <w:t>·</w:t>
      </w:r>
      <w:r>
        <w:rPr>
          <w:rFonts w:hAnsi="Times New Roman"/>
          <w:kern w:val="0"/>
          <w:szCs w:val="20"/>
        </w:rPr>
        <w:t>h</w:t>
      </w:r>
      <w:r>
        <w:rPr>
          <w:rFonts w:hint="eastAsia" w:hAnsi="Times New Roman"/>
          <w:kern w:val="0"/>
          <w:szCs w:val="20"/>
        </w:rPr>
        <w:t>）</w:t>
      </w:r>
      <w:r>
        <w:rPr>
          <w:rFonts w:hAnsi="Times New Roman"/>
          <w:kern w:val="0"/>
          <w:szCs w:val="20"/>
        </w:rPr>
        <w:t>；</w:t>
      </w:r>
    </w:p>
    <w:p w14:paraId="02AFC5ED">
      <w:pPr>
        <w:pStyle w:val="59"/>
        <w:ind w:firstLine="420"/>
      </w:pPr>
      <w:r>
        <w:rPr>
          <w:i/>
        </w:rPr>
        <w:t>C</w:t>
      </w:r>
      <w:r>
        <w:t>—修正到25°C的光伏组件功率温度修正系数，按公式</w:t>
      </w:r>
      <w:r>
        <w:rPr>
          <w:rFonts w:hint="eastAsia"/>
        </w:rPr>
        <w:t>（</w:t>
      </w:r>
      <w:r>
        <w:t>3</w:t>
      </w:r>
      <w:r>
        <w:rPr>
          <w:rFonts w:hint="eastAsia"/>
        </w:rPr>
        <w:t>）</w:t>
      </w:r>
      <w:r>
        <w:t>计算；</w:t>
      </w:r>
    </w:p>
    <w:p w14:paraId="2C48BBB0">
      <w:pPr>
        <w:pStyle w:val="59"/>
        <w:ind w:firstLine="420"/>
      </w:pPr>
      <w:r>
        <w:rPr>
          <w:i/>
        </w:rPr>
        <w:t>P</w:t>
      </w:r>
      <w:r>
        <w:rPr>
          <w:vertAlign w:val="subscript"/>
        </w:rPr>
        <w:t>0</w:t>
      </w:r>
      <w:r>
        <w:t>—光伏方阵额定功率，单位为千瓦（kW</w:t>
      </w:r>
      <w:r>
        <w:rPr>
          <w:rFonts w:hint="eastAsia"/>
        </w:rPr>
        <w:t>）</w:t>
      </w:r>
      <w:r>
        <w:rPr>
          <w:iCs/>
        </w:rPr>
        <w:t>；</w:t>
      </w:r>
    </w:p>
    <w:p w14:paraId="7D551751">
      <w:pPr>
        <w:pStyle w:val="59"/>
        <w:ind w:firstLine="420"/>
      </w:pPr>
      <w:r>
        <w:rPr>
          <w:i/>
        </w:rPr>
        <w:t>H</w:t>
      </w:r>
      <w:r>
        <w:t>—光伏方阵面辐射量，单位为千瓦时/每平方米（kW</w:t>
      </w:r>
      <w:r>
        <w:rPr>
          <w:rFonts w:hint="eastAsia"/>
        </w:rPr>
        <w:t>·</w:t>
      </w:r>
      <w:r>
        <w:t>h/</w:t>
      </w:r>
      <w:r>
        <w:rPr>
          <w:rFonts w:hint="eastAsia"/>
        </w:rPr>
        <w:t>m</w:t>
      </w:r>
      <w:r>
        <w:rPr>
          <w:rFonts w:hint="eastAsia"/>
          <w:vertAlign w:val="superscript"/>
        </w:rPr>
        <w:t>2</w:t>
      </w:r>
      <w:r>
        <w:rPr>
          <w:rFonts w:hint="eastAsia"/>
        </w:rPr>
        <w:t>）</w:t>
      </w:r>
      <w:r>
        <w:t>；</w:t>
      </w:r>
    </w:p>
    <w:p w14:paraId="446C811A">
      <w:pPr>
        <w:pStyle w:val="59"/>
        <w:ind w:firstLine="420"/>
      </w:pPr>
      <w:r>
        <w:rPr>
          <w:i/>
        </w:rPr>
        <w:t>G</w:t>
      </w:r>
      <w:r>
        <w:t>—标准条件下的辐照度，单位为千瓦/每平方米（kW/</w:t>
      </w:r>
      <w:r>
        <w:rPr>
          <w:rFonts w:hint="eastAsia"/>
        </w:rPr>
        <w:t>m</w:t>
      </w:r>
      <w:r>
        <w:rPr>
          <w:rFonts w:hint="eastAsia"/>
          <w:vertAlign w:val="superscript"/>
        </w:rPr>
        <w:t>2</w:t>
      </w:r>
      <w:r>
        <w:rPr>
          <w:rFonts w:hint="eastAsia"/>
        </w:rPr>
        <w:t>）</w:t>
      </w:r>
      <w:r>
        <w:t>。</w:t>
      </w:r>
    </w:p>
    <w:p w14:paraId="11A193E5">
      <w:pPr>
        <w:pStyle w:val="116"/>
        <w:rPr>
          <w:rFonts w:hint="eastAsia"/>
        </w:rPr>
      </w:pPr>
      <w:r>
        <w:rPr>
          <w:rFonts w:hint="eastAsia"/>
        </w:rPr>
        <w:tab/>
      </w:r>
      <w:r>
        <w:rPr>
          <w:position w:val="-10"/>
        </w:rPr>
        <w:object>
          <v:shape id="_x0000_i1027" o:spt="75" type="#_x0000_t75" style="height:16.15pt;width:108.75pt;" o:ole="t" filled="f" o:preferrelative="t" stroked="f" coordsize="21600,21600">
            <v:path/>
            <v:fill on="f" focussize="0,0"/>
            <v:stroke on="f" joinstyle="miter"/>
            <v:imagedata r:id="rId34" o:title=""/>
            <o:lock v:ext="edit" aspectratio="t"/>
            <w10:wrap type="none"/>
            <w10:anchorlock/>
          </v:shape>
          <o:OLEObject Type="Embed" ProgID="Equation.DSMT4" ShapeID="_x0000_i1027" DrawAspect="Content" ObjectID="_1468075727" r:id="rId33">
            <o:LockedField>false</o:LockedField>
          </o:OLEObject>
        </w:object>
      </w:r>
      <w:r>
        <w:rPr>
          <w:rFonts w:hint="eastAsia" w:ascii="微软雅黑" w:hAnsi="微软雅黑" w:eastAsia="微软雅黑"/>
        </w:rPr>
        <w:tab/>
      </w:r>
      <w:r>
        <w:t>(</w:t>
      </w:r>
      <w:r>
        <w:fldChar w:fldCharType="begin"/>
      </w:r>
      <w:r>
        <w:instrText xml:space="preserve"> AUTONUM </w:instrText>
      </w:r>
      <w:r>
        <w:fldChar w:fldCharType="end"/>
      </w:r>
      <w:r>
        <w:t>)</w:t>
      </w:r>
    </w:p>
    <w:p w14:paraId="7EB37CAC">
      <w:pPr>
        <w:pStyle w:val="58"/>
        <w:ind w:firstLine="420"/>
      </w:pPr>
      <w:r>
        <w:rPr>
          <w:rFonts w:hint="eastAsia"/>
        </w:rPr>
        <w:t>式中：</w:t>
      </w:r>
      <w:r>
        <w:rPr>
          <w:rFonts w:hint="eastAsia"/>
          <w:i/>
        </w:rPr>
        <w:t>δ</w:t>
      </w:r>
      <w:r>
        <w:rPr>
          <w:rFonts w:ascii="宋体" w:hAnsi="Times New Roman"/>
          <w:szCs w:val="20"/>
        </w:rPr>
        <w:t>—光伏组件的温度修正系数即功率温度系数</w:t>
      </w:r>
      <w:r>
        <w:rPr>
          <w:rFonts w:hint="eastAsia" w:ascii="宋体" w:hAnsi="Times New Roman"/>
          <w:szCs w:val="20"/>
          <w:lang w:eastAsia="zh-CN"/>
        </w:rPr>
        <w:t>，</w:t>
      </w:r>
      <w:r>
        <w:rPr>
          <w:rFonts w:hint="eastAsia" w:ascii="宋体" w:hAnsi="Times New Roman"/>
          <w:szCs w:val="20"/>
        </w:rPr>
        <w:t>无量纲</w:t>
      </w:r>
      <w:r>
        <w:rPr>
          <w:rFonts w:ascii="宋体" w:hAnsi="Times New Roman"/>
          <w:szCs w:val="20"/>
        </w:rPr>
        <w:t>；</w:t>
      </w:r>
    </w:p>
    <w:p w14:paraId="46C2D370">
      <w:pPr>
        <w:pStyle w:val="59"/>
        <w:ind w:firstLine="420"/>
      </w:pPr>
      <w:r>
        <w:rPr>
          <w:i/>
        </w:rPr>
        <w:t>T</w:t>
      </w:r>
      <w:r>
        <w:rPr>
          <w:vertAlign w:val="subscript"/>
        </w:rPr>
        <w:t>cell</w:t>
      </w:r>
      <w:r>
        <w:t>—实测评估周期内太阳电池平均工作结温</w:t>
      </w:r>
      <w:r>
        <w:rPr>
          <w:rFonts w:hint="eastAsia"/>
          <w:lang w:eastAsia="zh-CN"/>
        </w:rPr>
        <w:t>，</w:t>
      </w:r>
      <w:r>
        <w:t>单位为</w:t>
      </w:r>
      <w:r>
        <w:rPr>
          <w:rFonts w:hint="eastAsia"/>
        </w:rPr>
        <w:t>摄氏度（</w:t>
      </w:r>
      <w:r>
        <w:t>°C</w:t>
      </w:r>
      <w:r>
        <w:rPr>
          <w:rFonts w:hint="eastAsia"/>
        </w:rPr>
        <w:t>）</w:t>
      </w:r>
      <w:r>
        <w:t>。</w:t>
      </w:r>
    </w:p>
    <w:p w14:paraId="3B363A64">
      <w:pPr>
        <w:pStyle w:val="97"/>
        <w:spacing w:before="156" w:after="156"/>
      </w:pPr>
      <w:bookmarkStart w:id="414" w:name="_Toc182637363"/>
      <w:r>
        <w:t>效率检测最小周期为一个月，最长周期为一年，测试应该从测试周期第一天的零点开始，到测试周期最后一天的零点结束。</w:t>
      </w:r>
      <w:bookmarkEnd w:id="414"/>
    </w:p>
    <w:p w14:paraId="2A6AEBD7">
      <w:pPr>
        <w:pStyle w:val="97"/>
        <w:spacing w:before="156" w:after="156"/>
      </w:pPr>
      <w:bookmarkStart w:id="415" w:name="_Toc182637364"/>
      <w:r>
        <w:t>测试期间应当穿好个人防护服及设备，禁止用手直接触摸电气设备，禁止非授权人员进入工作区。</w:t>
      </w:r>
      <w:bookmarkEnd w:id="415"/>
    </w:p>
    <w:p w14:paraId="62E664F4">
      <w:pPr>
        <w:pStyle w:val="97"/>
        <w:spacing w:before="156" w:after="156"/>
      </w:pPr>
      <w:bookmarkStart w:id="416" w:name="_Toc182637365"/>
      <w:r>
        <w:t>测试仪器应经过有资质的专业技术人员与机构校准。</w:t>
      </w:r>
      <w:bookmarkEnd w:id="416"/>
    </w:p>
    <w:p w14:paraId="3BBBDA47">
      <w:pPr>
        <w:pStyle w:val="97"/>
        <w:spacing w:before="156" w:after="156"/>
      </w:pPr>
      <w:bookmarkStart w:id="417" w:name="_Toc182637366"/>
      <w:r>
        <w:t>测试数据由电站数据采集系统或者关键设备自带的控制系统进行记录，数据采集设备与方法需经专业技术人员确认。</w:t>
      </w:r>
      <w:bookmarkEnd w:id="417"/>
    </w:p>
    <w:p w14:paraId="30B1B660">
      <w:pPr>
        <w:pStyle w:val="97"/>
        <w:spacing w:before="156" w:after="156"/>
      </w:pPr>
      <w:bookmarkStart w:id="418" w:name="_Toc182637367"/>
      <w:r>
        <w:t>测试周期内对光伏系统发电量、光伏方阵正面辐射量、太阳能电池工作温度进行准确测量与记录，应保证数据可靠。</w:t>
      </w:r>
      <w:bookmarkEnd w:id="418"/>
    </w:p>
    <w:p w14:paraId="2CAE5FE3">
      <w:pPr>
        <w:pStyle w:val="107"/>
        <w:spacing w:before="312" w:after="312"/>
      </w:pPr>
      <w:bookmarkStart w:id="419" w:name="_Toc182723008"/>
      <w:bookmarkStart w:id="420" w:name="_Toc182724650"/>
      <w:bookmarkStart w:id="421" w:name="_Toc182723020"/>
      <w:bookmarkStart w:id="422" w:name="_Toc182637368"/>
      <w:bookmarkStart w:id="423" w:name="_Toc182723227"/>
      <w:bookmarkStart w:id="424" w:name="_Toc182691727"/>
      <w:bookmarkStart w:id="425" w:name="_Toc182637434"/>
      <w:bookmarkStart w:id="426" w:name="_Toc182828229"/>
      <w:bookmarkStart w:id="427" w:name="_Hlk182691129"/>
      <w:r>
        <w:t>验收</w:t>
      </w:r>
      <w:bookmarkEnd w:id="419"/>
      <w:bookmarkEnd w:id="420"/>
      <w:bookmarkEnd w:id="421"/>
      <w:bookmarkEnd w:id="422"/>
      <w:bookmarkEnd w:id="423"/>
      <w:bookmarkEnd w:id="424"/>
      <w:bookmarkEnd w:id="425"/>
      <w:bookmarkEnd w:id="426"/>
    </w:p>
    <w:bookmarkEnd w:id="427"/>
    <w:p w14:paraId="38A1473B">
      <w:pPr>
        <w:pStyle w:val="108"/>
        <w:spacing w:before="156" w:after="156"/>
      </w:pPr>
      <w:bookmarkStart w:id="428" w:name="_Toc182637435"/>
      <w:bookmarkStart w:id="429" w:name="_Toc182723009"/>
      <w:bookmarkStart w:id="430" w:name="_Toc182637369"/>
      <w:r>
        <w:t>一般要求</w:t>
      </w:r>
      <w:bookmarkEnd w:id="428"/>
      <w:bookmarkEnd w:id="429"/>
      <w:bookmarkEnd w:id="430"/>
    </w:p>
    <w:p w14:paraId="1E366C04">
      <w:pPr>
        <w:pStyle w:val="68"/>
        <w:spacing w:before="156" w:after="156"/>
      </w:pPr>
      <w:bookmarkStart w:id="431" w:name="_Toc182637370"/>
      <w:r>
        <w:rPr>
          <w:rFonts w:hint="eastAsia"/>
        </w:rPr>
        <w:t>高速公路分布光伏系统工程移交用户前应进行工程验收。</w:t>
      </w:r>
      <w:bookmarkEnd w:id="431"/>
    </w:p>
    <w:p w14:paraId="28DA972B">
      <w:pPr>
        <w:pStyle w:val="68"/>
        <w:spacing w:before="156" w:after="156"/>
      </w:pPr>
      <w:bookmarkStart w:id="432" w:name="_Toc182637371"/>
      <w:r>
        <w:rPr>
          <w:rFonts w:hint="eastAsia"/>
        </w:rPr>
        <w:t>工程的验收除应符合本规范的规定外，还应符合GB/T50796、GB/T37655和GB/T51368的规定。</w:t>
      </w:r>
      <w:bookmarkEnd w:id="432"/>
    </w:p>
    <w:p w14:paraId="64E60B8F">
      <w:pPr>
        <w:pStyle w:val="68"/>
        <w:spacing w:before="156" w:after="156"/>
      </w:pPr>
      <w:bookmarkStart w:id="433" w:name="_Toc182637372"/>
      <w:r>
        <w:rPr>
          <w:rFonts w:hint="eastAsia"/>
        </w:rPr>
        <w:t>工程验收，应做好过程记录、文件签署、立案归档。</w:t>
      </w:r>
      <w:bookmarkEnd w:id="433"/>
    </w:p>
    <w:p w14:paraId="68565CF7">
      <w:pPr>
        <w:pStyle w:val="108"/>
        <w:spacing w:before="156" w:after="156"/>
      </w:pPr>
      <w:bookmarkStart w:id="434" w:name="_Toc182637436"/>
      <w:bookmarkStart w:id="435" w:name="_Toc182723010"/>
      <w:bookmarkStart w:id="436" w:name="_Toc182637373"/>
      <w:r>
        <w:t>验收项目</w:t>
      </w:r>
      <w:bookmarkEnd w:id="434"/>
      <w:bookmarkEnd w:id="435"/>
      <w:bookmarkEnd w:id="436"/>
    </w:p>
    <w:p w14:paraId="54395EC6">
      <w:pPr>
        <w:pStyle w:val="68"/>
        <w:spacing w:before="156" w:after="156"/>
      </w:pPr>
      <w:bookmarkStart w:id="437" w:name="_Toc182637374"/>
      <w:r>
        <w:rPr>
          <w:rFonts w:hint="eastAsia"/>
        </w:rPr>
        <w:t>支架和支撑系统</w:t>
      </w:r>
      <w:bookmarkEnd w:id="437"/>
    </w:p>
    <w:p w14:paraId="37F5B31D">
      <w:pPr>
        <w:pStyle w:val="97"/>
        <w:spacing w:before="156" w:after="156"/>
      </w:pPr>
      <w:bookmarkStart w:id="438" w:name="_Toc182637375"/>
      <w:r>
        <w:rPr>
          <w:rFonts w:hint="eastAsia"/>
        </w:rPr>
        <w:t>支架与基座或建筑主体结构固定牢靠。</w:t>
      </w:r>
      <w:bookmarkEnd w:id="438"/>
    </w:p>
    <w:p w14:paraId="67E52990">
      <w:pPr>
        <w:pStyle w:val="97"/>
        <w:spacing w:before="156" w:after="156"/>
      </w:pPr>
      <w:bookmarkStart w:id="439" w:name="_Toc182637376"/>
      <w:r>
        <w:rPr>
          <w:rFonts w:hint="eastAsia"/>
        </w:rPr>
        <w:t>支架之间的连接应牢固、可靠，无明显偏移。</w:t>
      </w:r>
      <w:bookmarkEnd w:id="439"/>
    </w:p>
    <w:p w14:paraId="5D7864D5">
      <w:pPr>
        <w:pStyle w:val="97"/>
        <w:spacing w:before="156" w:after="156"/>
      </w:pPr>
      <w:bookmarkStart w:id="440" w:name="_Toc182637377"/>
      <w:r>
        <w:rPr>
          <w:rFonts w:hint="eastAsia"/>
        </w:rPr>
        <w:t>支架和支撑系统金属防护涂层应完整无破损。</w:t>
      </w:r>
      <w:bookmarkEnd w:id="440"/>
    </w:p>
    <w:p w14:paraId="6EC13251">
      <w:pPr>
        <w:pStyle w:val="97"/>
        <w:spacing w:before="156" w:after="156"/>
      </w:pPr>
      <w:bookmarkStart w:id="441" w:name="_Toc182637378"/>
      <w:r>
        <w:rPr>
          <w:rFonts w:hint="eastAsia"/>
        </w:rPr>
        <w:t>金属龙骨与建筑物接地系统可靠连接，且焊接、防腐处理应符合要求。</w:t>
      </w:r>
      <w:bookmarkEnd w:id="441"/>
    </w:p>
    <w:p w14:paraId="04B43FB2">
      <w:pPr>
        <w:pStyle w:val="68"/>
        <w:spacing w:before="156" w:after="156"/>
      </w:pPr>
      <w:bookmarkStart w:id="442" w:name="_Toc182637379"/>
      <w:r>
        <w:rPr>
          <w:rFonts w:hint="eastAsia"/>
        </w:rPr>
        <w:t>光伏组（构）件</w:t>
      </w:r>
      <w:bookmarkEnd w:id="442"/>
    </w:p>
    <w:p w14:paraId="11FC434B">
      <w:pPr>
        <w:pStyle w:val="97"/>
        <w:spacing w:before="156" w:after="156"/>
      </w:pPr>
      <w:bookmarkStart w:id="443" w:name="_Toc182637380"/>
      <w:r>
        <w:rPr>
          <w:rFonts w:hint="eastAsia"/>
        </w:rPr>
        <w:t>光伏组件或构件表面颜色均匀一致，无热斑、鼓泡；组件表面应整洁、平直，无明显划痕、裂纹、不可擦除污物、开口、气泡等缺陷。</w:t>
      </w:r>
      <w:bookmarkEnd w:id="443"/>
    </w:p>
    <w:p w14:paraId="15AE4D7F">
      <w:pPr>
        <w:pStyle w:val="97"/>
        <w:spacing w:before="156" w:after="156"/>
      </w:pPr>
      <w:bookmarkStart w:id="444" w:name="_Toc182637381"/>
      <w:r>
        <w:rPr>
          <w:rFonts w:hint="eastAsia"/>
        </w:rPr>
        <w:t>组件边框应表面整洁平整、无破损，无明显脏污、硅胶残留等。</w:t>
      </w:r>
      <w:bookmarkEnd w:id="444"/>
    </w:p>
    <w:p w14:paraId="5ADFABEB">
      <w:pPr>
        <w:pStyle w:val="97"/>
        <w:spacing w:before="156" w:after="156"/>
      </w:pPr>
      <w:bookmarkStart w:id="445" w:name="_Toc182637382"/>
      <w:r>
        <w:rPr>
          <w:rFonts w:hint="eastAsia"/>
        </w:rPr>
        <w:t>建材型光伏构件与龙骨固定牢靠。</w:t>
      </w:r>
      <w:bookmarkEnd w:id="445"/>
    </w:p>
    <w:p w14:paraId="51D34BB5">
      <w:pPr>
        <w:pStyle w:val="68"/>
        <w:spacing w:before="156" w:after="156"/>
      </w:pPr>
      <w:bookmarkStart w:id="446" w:name="_Toc182637383"/>
      <w:r>
        <w:rPr>
          <w:rFonts w:hint="eastAsia"/>
        </w:rPr>
        <w:t>电气设备</w:t>
      </w:r>
      <w:bookmarkEnd w:id="446"/>
    </w:p>
    <w:p w14:paraId="320C49D4">
      <w:pPr>
        <w:pStyle w:val="97"/>
        <w:spacing w:before="156" w:after="156"/>
      </w:pPr>
      <w:bookmarkStart w:id="447" w:name="_Toc182637384"/>
      <w:r>
        <w:rPr>
          <w:rFonts w:hint="eastAsia"/>
        </w:rPr>
        <w:t>光伏系统使用的电缆、汇流箱、光伏控制器、储能蓄电池、逆变器、配电柜等电气系统的工程验收参照GB50303、GB50168、GB50169的相关规定，以及其他相关标准的规定。</w:t>
      </w:r>
      <w:bookmarkEnd w:id="447"/>
    </w:p>
    <w:p w14:paraId="1C791326">
      <w:pPr>
        <w:pStyle w:val="97"/>
        <w:spacing w:before="156" w:after="156"/>
      </w:pPr>
      <w:bookmarkStart w:id="448" w:name="_Toc182637385"/>
      <w:r>
        <w:rPr>
          <w:rFonts w:hint="eastAsia"/>
        </w:rPr>
        <w:t>检查汇流箱、逆变器等电气设备规格、型号、防护等级应符合设计文件要求，金属箱体表面无锈蚀、形变和色变。</w:t>
      </w:r>
      <w:bookmarkEnd w:id="448"/>
    </w:p>
    <w:p w14:paraId="6BE05711">
      <w:pPr>
        <w:pStyle w:val="97"/>
        <w:spacing w:before="156" w:after="156"/>
      </w:pPr>
      <w:bookmarkStart w:id="449" w:name="_Toc182637386"/>
      <w:r>
        <w:rPr>
          <w:rFonts w:hint="eastAsia"/>
        </w:rPr>
        <w:t>电气设备通风散热良好，通风孔无堵塞，风机运转正常。</w:t>
      </w:r>
      <w:bookmarkEnd w:id="449"/>
    </w:p>
    <w:p w14:paraId="18792535">
      <w:pPr>
        <w:pStyle w:val="97"/>
        <w:spacing w:before="156" w:after="156"/>
      </w:pPr>
      <w:bookmarkStart w:id="450" w:name="_Toc182637387"/>
      <w:r>
        <w:rPr>
          <w:rFonts w:hint="eastAsia"/>
        </w:rPr>
        <w:t>电气设备金属外壳、外部散热器、安装支架等非载流导体应可靠接地。安装位置、安装方式、固定方式应符合相关标准及设计要求。</w:t>
      </w:r>
      <w:bookmarkEnd w:id="450"/>
    </w:p>
    <w:p w14:paraId="37E7E91D">
      <w:pPr>
        <w:pStyle w:val="97"/>
        <w:spacing w:before="156" w:after="156"/>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bookmarkStart w:id="451" w:name="_Toc182637388"/>
      <w:r>
        <w:rPr>
          <w:rFonts w:hint="eastAsia"/>
        </w:rPr>
        <w:t>光伏系统用线缆的规格、型号、连接方式应与设计要求相一致。连接器应可靠连接。电缆绝缘层应完好无破损；线缆套管端口应用防火泥等材料封堵；线缆未敷设于电缆沟内的部分，应采用保护套管等合适的方式进行防护。</w:t>
      </w:r>
      <w:bookmarkEnd w:id="451"/>
    </w:p>
    <w:bookmarkEnd w:id="31"/>
    <w:p w14:paraId="4771D5F2">
      <w:pPr>
        <w:pStyle w:val="201"/>
        <w:rPr>
          <w:rFonts w:hint="eastAsia"/>
          <w:vanish w:val="0"/>
        </w:rPr>
      </w:pPr>
      <w:bookmarkStart w:id="452" w:name="BookMark5"/>
    </w:p>
    <w:p w14:paraId="7529868B">
      <w:pPr>
        <w:pStyle w:val="202"/>
        <w:rPr>
          <w:vanish w:val="0"/>
        </w:rPr>
      </w:pPr>
    </w:p>
    <w:p w14:paraId="551B7656">
      <w:pPr>
        <w:pStyle w:val="79"/>
        <w:spacing w:after="156"/>
      </w:pPr>
      <w:r>
        <w:br w:type="textWrapping"/>
      </w:r>
      <w:bookmarkStart w:id="453" w:name="_Toc182828230"/>
      <w:bookmarkStart w:id="454" w:name="_Toc182724651"/>
      <w:r>
        <w:rPr>
          <w:rFonts w:hint="eastAsia"/>
        </w:rPr>
        <w:t>（资料性）</w:t>
      </w:r>
      <w:r>
        <w:br w:type="textWrapping"/>
      </w:r>
      <w:r>
        <w:rPr>
          <w:rFonts w:hint="eastAsia"/>
        </w:rPr>
        <w:t>高速公路分布式光伏发电工程建设流程</w:t>
      </w:r>
      <w:bookmarkEnd w:id="453"/>
      <w:bookmarkEnd w:id="454"/>
    </w:p>
    <w:p w14:paraId="19979431">
      <w:pPr>
        <w:pStyle w:val="59"/>
        <w:ind w:firstLine="420"/>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3115"/>
        <w:gridCol w:w="3115"/>
      </w:tblGrid>
      <w:tr w14:paraId="07D1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tcPr>
          <w:p w14:paraId="671CD232">
            <w:pPr>
              <w:pStyle w:val="59"/>
              <w:ind w:firstLine="0" w:firstLineChars="0"/>
              <w:jc w:val="center"/>
            </w:pPr>
            <w:r>
              <w:rPr>
                <w:rFonts w:hint="eastAsia"/>
              </w:rPr>
              <w:t>阶段</w:t>
            </w:r>
          </w:p>
        </w:tc>
        <w:tc>
          <w:tcPr>
            <w:tcW w:w="3115" w:type="dxa"/>
          </w:tcPr>
          <w:p w14:paraId="57B8C36C">
            <w:pPr>
              <w:pStyle w:val="59"/>
              <w:ind w:firstLine="0" w:firstLineChars="0"/>
              <w:jc w:val="center"/>
            </w:pPr>
            <w:r>
              <w:rPr>
                <w:rFonts w:hint="eastAsia"/>
              </w:rPr>
              <w:t>流程</w:t>
            </w:r>
          </w:p>
        </w:tc>
        <w:tc>
          <w:tcPr>
            <w:tcW w:w="3115" w:type="dxa"/>
          </w:tcPr>
          <w:p w14:paraId="662DD85B">
            <w:pPr>
              <w:pStyle w:val="59"/>
              <w:ind w:firstLine="0" w:firstLineChars="0"/>
              <w:jc w:val="center"/>
            </w:pPr>
            <w:r>
              <w:rPr>
                <w:rFonts w:hint="eastAsia"/>
              </w:rPr>
              <w:t>其他说明</w:t>
            </w:r>
          </w:p>
        </w:tc>
      </w:tr>
      <w:tr w14:paraId="74E3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1" w:hRule="atLeast"/>
        </w:trPr>
        <w:tc>
          <w:tcPr>
            <w:tcW w:w="3114" w:type="dxa"/>
            <w:vAlign w:val="center"/>
          </w:tcPr>
          <w:p w14:paraId="1D1FE80E">
            <w:pPr>
              <w:pStyle w:val="59"/>
              <w:ind w:firstLine="0" w:firstLineChars="0"/>
              <w:jc w:val="center"/>
            </w:pPr>
            <w:r>
              <w:rPr>
                <w:rFonts w:hint="eastAsia"/>
              </w:rPr>
              <w:t>设计</w:t>
            </w:r>
          </w:p>
        </w:tc>
        <w:tc>
          <w:tcPr>
            <w:tcW w:w="3115" w:type="dxa"/>
            <w:vMerge w:val="restart"/>
          </w:tcPr>
          <w:p w14:paraId="6C162F15">
            <w:pPr>
              <w:pStyle w:val="59"/>
              <w:ind w:firstLine="0" w:firstLineChars="0"/>
              <w:jc w:val="center"/>
            </w:pPr>
            <w:r>
              <w:drawing>
                <wp:inline distT="0" distB="0" distL="0" distR="0">
                  <wp:extent cx="1732915" cy="5090795"/>
                  <wp:effectExtent l="0" t="0" r="635" b="0"/>
                  <wp:docPr id="1613627383" name="图片 1613627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27383" name="图片 161362738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759130" cy="5166514"/>
                          </a:xfrm>
                          <a:prstGeom prst="rect">
                            <a:avLst/>
                          </a:prstGeom>
                          <a:noFill/>
                          <a:ln>
                            <a:noFill/>
                          </a:ln>
                        </pic:spPr>
                      </pic:pic>
                    </a:graphicData>
                  </a:graphic>
                </wp:inline>
              </w:drawing>
            </w:r>
          </w:p>
        </w:tc>
        <w:tc>
          <w:tcPr>
            <w:tcW w:w="3115" w:type="dxa"/>
            <w:vAlign w:val="center"/>
          </w:tcPr>
          <w:p w14:paraId="2A193C34">
            <w:pPr>
              <w:autoSpaceDE w:val="0"/>
              <w:autoSpaceDN w:val="0"/>
              <w:spacing w:line="288" w:lineRule="auto"/>
              <w:jc w:val="left"/>
              <w:rPr>
                <w:rFonts w:ascii="宋体" w:cs="宋体"/>
                <w:color w:val="000000"/>
                <w:kern w:val="0"/>
                <w:sz w:val="20"/>
                <w:szCs w:val="20"/>
                <w:lang w:val="zh-CN"/>
              </w:rPr>
            </w:pPr>
            <w:r>
              <w:rPr>
                <w:rFonts w:ascii="宋体" w:cs="宋体"/>
                <w:color w:val="000000"/>
                <w:kern w:val="0"/>
                <w:sz w:val="20"/>
                <w:szCs w:val="20"/>
                <w:lang w:val="zh-CN"/>
              </w:rPr>
              <w:t>1.</w:t>
            </w:r>
            <w:r>
              <w:rPr>
                <w:rFonts w:hint="eastAsia" w:ascii="宋体" w:cs="宋体"/>
                <w:color w:val="000000"/>
                <w:kern w:val="0"/>
                <w:sz w:val="20"/>
                <w:szCs w:val="20"/>
                <w:lang w:val="zh-CN"/>
              </w:rPr>
              <w:t>设计主要包括光伏系统设计、涉路</w:t>
            </w:r>
            <w:r>
              <w:rPr>
                <w:rFonts w:hint="eastAsia" w:ascii="宋体" w:cs="宋体"/>
                <w:color w:val="000000"/>
                <w:kern w:val="0"/>
                <w:sz w:val="20"/>
                <w:szCs w:val="20"/>
              </w:rPr>
              <w:t>工程</w:t>
            </w:r>
            <w:r>
              <w:rPr>
                <w:rFonts w:hint="eastAsia" w:ascii="宋体" w:cs="宋体"/>
                <w:color w:val="000000"/>
                <w:kern w:val="0"/>
                <w:sz w:val="20"/>
                <w:szCs w:val="20"/>
                <w:lang w:val="zh-CN"/>
              </w:rPr>
              <w:t>设计、涉路工程交通组织设计等。</w:t>
            </w:r>
          </w:p>
          <w:p w14:paraId="25276F3C">
            <w:pPr>
              <w:pStyle w:val="59"/>
              <w:ind w:firstLine="0" w:firstLineChars="0"/>
            </w:pPr>
            <w:r>
              <w:rPr>
                <w:rFonts w:cs="宋体"/>
                <w:color w:val="000000"/>
                <w:sz w:val="20"/>
                <w:lang w:val="zh-CN"/>
              </w:rPr>
              <w:t>2.</w:t>
            </w:r>
            <w:r>
              <w:rPr>
                <w:rFonts w:hint="eastAsia" w:cs="宋体"/>
                <w:color w:val="000000"/>
                <w:sz w:val="20"/>
                <w:lang w:val="zh-CN"/>
              </w:rPr>
              <w:t>评价主要包括涉路工程设计评价、施工安全评价、交通组织设计评价等。</w:t>
            </w:r>
          </w:p>
        </w:tc>
      </w:tr>
      <w:tr w14:paraId="1A0BD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1" w:hRule="atLeast"/>
        </w:trPr>
        <w:tc>
          <w:tcPr>
            <w:tcW w:w="3114" w:type="dxa"/>
            <w:vAlign w:val="center"/>
          </w:tcPr>
          <w:p w14:paraId="450AD8E3">
            <w:pPr>
              <w:pStyle w:val="59"/>
              <w:ind w:firstLine="0" w:firstLineChars="0"/>
              <w:jc w:val="center"/>
            </w:pPr>
            <w:r>
              <w:rPr>
                <w:rFonts w:hint="eastAsia"/>
              </w:rPr>
              <w:t>施工</w:t>
            </w:r>
          </w:p>
        </w:tc>
        <w:tc>
          <w:tcPr>
            <w:tcW w:w="3115" w:type="dxa"/>
            <w:vMerge w:val="continue"/>
          </w:tcPr>
          <w:p w14:paraId="4C2F4346">
            <w:pPr>
              <w:pStyle w:val="59"/>
              <w:ind w:firstLine="0" w:firstLineChars="0"/>
              <w:jc w:val="center"/>
            </w:pPr>
          </w:p>
        </w:tc>
        <w:tc>
          <w:tcPr>
            <w:tcW w:w="3115" w:type="dxa"/>
            <w:vAlign w:val="center"/>
          </w:tcPr>
          <w:p w14:paraId="4C34A0DB">
            <w:pPr>
              <w:pStyle w:val="59"/>
              <w:ind w:firstLine="0" w:firstLineChars="0"/>
            </w:pPr>
            <w:r>
              <w:rPr>
                <w:rFonts w:hint="eastAsia" w:cs="宋体"/>
                <w:color w:val="000000"/>
                <w:sz w:val="20"/>
                <w:lang w:val="zh-CN"/>
              </w:rPr>
              <w:t>施工过程还涉及交通组织部署、边城表面处理与修复、防（排）水处理和修复、交通安全设施、能效监控系统安装等支柱性流程。</w:t>
            </w:r>
          </w:p>
        </w:tc>
      </w:tr>
      <w:tr w14:paraId="72812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trPr>
        <w:tc>
          <w:tcPr>
            <w:tcW w:w="3114" w:type="dxa"/>
            <w:vAlign w:val="center"/>
          </w:tcPr>
          <w:p w14:paraId="5319479F">
            <w:pPr>
              <w:pStyle w:val="59"/>
              <w:ind w:firstLine="0" w:firstLineChars="0"/>
              <w:jc w:val="center"/>
            </w:pPr>
            <w:r>
              <w:rPr>
                <w:rFonts w:hint="eastAsia"/>
              </w:rPr>
              <w:t>验收</w:t>
            </w:r>
          </w:p>
        </w:tc>
        <w:tc>
          <w:tcPr>
            <w:tcW w:w="3115" w:type="dxa"/>
            <w:vMerge w:val="continue"/>
          </w:tcPr>
          <w:p w14:paraId="0BDD76A8">
            <w:pPr>
              <w:pStyle w:val="59"/>
              <w:ind w:firstLine="0" w:firstLineChars="0"/>
              <w:jc w:val="center"/>
            </w:pPr>
          </w:p>
        </w:tc>
        <w:tc>
          <w:tcPr>
            <w:tcW w:w="3115" w:type="dxa"/>
            <w:vAlign w:val="center"/>
          </w:tcPr>
          <w:p w14:paraId="4A1DC0FB">
            <w:pPr>
              <w:pStyle w:val="59"/>
              <w:ind w:firstLine="0" w:firstLineChars="0"/>
            </w:pPr>
            <w:r>
              <w:rPr>
                <w:rFonts w:hint="eastAsia" w:cs="宋体"/>
                <w:color w:val="000000"/>
                <w:sz w:val="20"/>
                <w:lang w:val="zh-CN"/>
              </w:rPr>
              <w:t>验收包括单位工程验收、工程启动验收、工程试运和移交生产验收、工程竣工验收等。</w:t>
            </w:r>
          </w:p>
        </w:tc>
      </w:tr>
    </w:tbl>
    <w:p w14:paraId="60E6C156">
      <w:pPr>
        <w:pStyle w:val="59"/>
        <w:ind w:firstLine="420"/>
      </w:pPr>
    </w:p>
    <w:p w14:paraId="0F93DAFC">
      <w:pPr>
        <w:pStyle w:val="59"/>
        <w:ind w:firstLine="420"/>
      </w:pPr>
    </w:p>
    <w:p w14:paraId="3644A7C0">
      <w:pPr>
        <w:pStyle w:val="59"/>
        <w:ind w:firstLine="420"/>
      </w:pPr>
    </w:p>
    <w:bookmarkEnd w:id="452"/>
    <w:p w14:paraId="02E43F0E">
      <w:pPr>
        <w:pStyle w:val="59"/>
        <w:ind w:firstLine="0" w:firstLineChars="0"/>
        <w:jc w:val="center"/>
      </w:pPr>
      <w:bookmarkStart w:id="455" w:name="BookMark8"/>
      <w:r>
        <w:rPr>
          <w:rFonts w:hint="eastAsia"/>
        </w:rPr>
        <w:drawing>
          <wp:inline distT="0" distB="0" distL="0" distR="0">
            <wp:extent cx="1485900" cy="317500"/>
            <wp:effectExtent l="0" t="0" r="0" b="6350"/>
            <wp:docPr id="815116824" name="图片 21"/>
            <wp:cNvGraphicFramePr/>
            <a:graphic xmlns:a="http://schemas.openxmlformats.org/drawingml/2006/main">
              <a:graphicData uri="http://schemas.openxmlformats.org/drawingml/2006/picture">
                <pic:pic xmlns:pic="http://schemas.openxmlformats.org/drawingml/2006/picture">
                  <pic:nvPicPr>
                    <pic:cNvPr id="815116824" name="图片 21"/>
                    <pic:cNvPicPr/>
                  </pic:nvPicPr>
                  <pic:blipFill>
                    <a:blip r:embed="rId3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55"/>
    </w:p>
    <w:p w14:paraId="0953A872">
      <w:pPr>
        <w:pStyle w:val="59"/>
        <w:ind w:firstLine="0" w:firstLineChars="0"/>
        <w:jc w:val="center"/>
      </w:pPr>
    </w:p>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32D0D">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93F6F">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A0799">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BC233">
    <w:pPr>
      <w:pStyle w:val="55"/>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7BF87">
    <w:pPr>
      <w:pStyle w:val="54"/>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6F6A6">
    <w:pPr>
      <w:pStyle w:val="55"/>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E59DE">
    <w:pPr>
      <w:pStyle w:val="54"/>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41CBA">
    <w:pPr>
      <w:pStyle w:val="55"/>
    </w:pPr>
    <w:r>
      <w:fldChar w:fldCharType="begin"/>
    </w:r>
    <w:r>
      <w:instrText xml:space="preserve">PAGE   \* MERGEFORMAT</w:instrText>
    </w:r>
    <w:r>
      <w:fldChar w:fldCharType="separate"/>
    </w:r>
    <w:r>
      <w:rPr>
        <w:lang w:val="zh-CN"/>
      </w:rPr>
      <w:t>3</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B20ED">
    <w:pPr>
      <w:pStyle w:val="54"/>
    </w:pPr>
    <w:r>
      <w:fldChar w:fldCharType="begin"/>
    </w:r>
    <w:r>
      <w:instrText xml:space="preserve"> PAGE   \* MERGEFORMAT \* MERGEFORMAT </w:instrText>
    </w:r>
    <w:r>
      <w:fldChar w:fldCharType="separate"/>
    </w:r>
    <w:r>
      <w:t>20</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B6A1">
    <w:pPr>
      <w:pStyle w:val="55"/>
    </w:pPr>
    <w:r>
      <w:fldChar w:fldCharType="begin"/>
    </w:r>
    <w:r>
      <w:instrText xml:space="preserve">PAGE   \* MERGEFORMAT</w:instrText>
    </w:r>
    <w:r>
      <w:fldChar w:fldCharType="separate"/>
    </w:r>
    <w:r>
      <w:rPr>
        <w:lang w:val="zh-CN"/>
      </w:rPr>
      <w:t>3</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399A4">
    <w:pPr>
      <w:pStyle w:val="54"/>
    </w:pPr>
    <w:r>
      <w:fldChar w:fldCharType="begin"/>
    </w:r>
    <w:r>
      <w:instrText xml:space="preserve"> PAGE   \* MERGEFORMAT \* MERGEFORMAT </w:instrText>
    </w:r>
    <w:r>
      <w:fldChar w:fldCharType="separate"/>
    </w:r>
    <w:r>
      <w:t>22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89826">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6D04D">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1A112">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CE4F1">
    <w:pPr>
      <w:pStyle w:val="64"/>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1BC38">
    <w:pPr>
      <w:pStyle w:val="65"/>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XX/T XXXX—XXXX</w:t>
    </w:r>
    <w:r>
      <w:rPr>
        <w:rFonts w:hint="eastAsia"/>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B598D">
    <w:pPr>
      <w:pStyle w:val="64"/>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5D22C">
    <w:pPr>
      <w:pStyle w:val="65"/>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XX/T XXXX—XXXX</w:t>
    </w:r>
    <w:r>
      <w:rPr>
        <w:rFonts w:hint="eastAsia"/>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73C7B">
    <w:pPr>
      <w:pStyle w:val="64"/>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159F2">
    <w:pPr>
      <w:pStyle w:val="65"/>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XX/T XXXX—XXXX</w:t>
    </w:r>
    <w:r>
      <w:rPr>
        <w:rFonts w:hint="eastAsia"/>
      </w:rP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90038">
    <w:pPr>
      <w:pStyle w:val="64"/>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17C6F">
    <w:pPr>
      <w:pStyle w:val="65"/>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XX/T XXXX—XXXX</w:t>
    </w:r>
    <w:r>
      <w:rPr>
        <w:rFonts w:hint="eastAsia"/>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1417"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2552" w:firstLine="0"/>
      </w:pPr>
      <w:rPr>
        <w:rFonts w:hint="eastAsia" w:ascii="黑体" w:eastAsia="黑体"/>
        <w:b w:val="0"/>
        <w:i w:val="0"/>
        <w:sz w:val="21"/>
      </w:rPr>
    </w:lvl>
    <w:lvl w:ilvl="4" w:tentative="0">
      <w:start w:val="1"/>
      <w:numFmt w:val="decimal"/>
      <w:pStyle w:val="97"/>
      <w:suff w:val="nothing"/>
      <w:lvlText w:val="%1%2.%3.%4.%5　"/>
      <w:lvlJc w:val="left"/>
      <w:pPr>
        <w:ind w:left="3686"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dit="forms" w:enforcement="1" w:cryptProviderType="rsaAES" w:cryptAlgorithmClass="hash" w:cryptAlgorithmType="typeAny" w:cryptAlgorithmSid="14" w:cryptSpinCount="100000" w:hash="Mjhx57AU51OthbJlxqZIS1JYADwwuqFK9P0aTwOp5H5TuoKeRXQu0ckRLe82scqJhKOsLsMBtXZqU7FAEtBkZA==" w:salt="4A4+DM55AadPz/Gd7cMVwQ=="/>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wZWJkZDcyOWM2M2RjYzZlODczNzk2M2M2MzdkMTYifQ=="/>
  </w:docVars>
  <w:rsids>
    <w:rsidRoot w:val="00876A9B"/>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26DD"/>
    <w:rsid w:val="000331D3"/>
    <w:rsid w:val="000346A5"/>
    <w:rsid w:val="000359C3"/>
    <w:rsid w:val="00035A7D"/>
    <w:rsid w:val="000365ED"/>
    <w:rsid w:val="0004151D"/>
    <w:rsid w:val="0004249A"/>
    <w:rsid w:val="00043282"/>
    <w:rsid w:val="00044286"/>
    <w:rsid w:val="00045A73"/>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2DD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B7CEB"/>
    <w:rsid w:val="000C0F6C"/>
    <w:rsid w:val="000C11DB"/>
    <w:rsid w:val="000C1492"/>
    <w:rsid w:val="000C2FBD"/>
    <w:rsid w:val="000C4B41"/>
    <w:rsid w:val="000C57D6"/>
    <w:rsid w:val="000C6362"/>
    <w:rsid w:val="000C740C"/>
    <w:rsid w:val="000C7666"/>
    <w:rsid w:val="000D0A9C"/>
    <w:rsid w:val="000D1795"/>
    <w:rsid w:val="000D329A"/>
    <w:rsid w:val="000D4B9C"/>
    <w:rsid w:val="000D4EB6"/>
    <w:rsid w:val="000D6475"/>
    <w:rsid w:val="000D6D6C"/>
    <w:rsid w:val="000D753B"/>
    <w:rsid w:val="000E4C9E"/>
    <w:rsid w:val="000E6FD7"/>
    <w:rsid w:val="000F06E1"/>
    <w:rsid w:val="000F0E3C"/>
    <w:rsid w:val="000F19D5"/>
    <w:rsid w:val="000F21C6"/>
    <w:rsid w:val="000F4AEA"/>
    <w:rsid w:val="000F633F"/>
    <w:rsid w:val="000F67E9"/>
    <w:rsid w:val="00104926"/>
    <w:rsid w:val="00113B1E"/>
    <w:rsid w:val="0011711C"/>
    <w:rsid w:val="0012059C"/>
    <w:rsid w:val="00124E4F"/>
    <w:rsid w:val="001260B7"/>
    <w:rsid w:val="00126154"/>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1499"/>
    <w:rsid w:val="001529E5"/>
    <w:rsid w:val="00153C7E"/>
    <w:rsid w:val="00156B25"/>
    <w:rsid w:val="00156E1A"/>
    <w:rsid w:val="00157894"/>
    <w:rsid w:val="00157B55"/>
    <w:rsid w:val="00164271"/>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0342"/>
    <w:rsid w:val="001A1A53"/>
    <w:rsid w:val="001A234A"/>
    <w:rsid w:val="001A4CF3"/>
    <w:rsid w:val="001B065C"/>
    <w:rsid w:val="001B06E8"/>
    <w:rsid w:val="001B71D0"/>
    <w:rsid w:val="001B71EE"/>
    <w:rsid w:val="001C04A8"/>
    <w:rsid w:val="001C093E"/>
    <w:rsid w:val="001C2C03"/>
    <w:rsid w:val="001C42F7"/>
    <w:rsid w:val="001C49E5"/>
    <w:rsid w:val="001C680C"/>
    <w:rsid w:val="001C7FEA"/>
    <w:rsid w:val="001D0499"/>
    <w:rsid w:val="001D0BBE"/>
    <w:rsid w:val="001D0ED4"/>
    <w:rsid w:val="001D212F"/>
    <w:rsid w:val="001D29D7"/>
    <w:rsid w:val="001D2DE7"/>
    <w:rsid w:val="001D411C"/>
    <w:rsid w:val="001D5474"/>
    <w:rsid w:val="001E0F3D"/>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2C62"/>
    <w:rsid w:val="002536E0"/>
    <w:rsid w:val="00260067"/>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23B"/>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677"/>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2F21"/>
    <w:rsid w:val="003331E4"/>
    <w:rsid w:val="00333723"/>
    <w:rsid w:val="00336C64"/>
    <w:rsid w:val="00337162"/>
    <w:rsid w:val="0034194F"/>
    <w:rsid w:val="00344605"/>
    <w:rsid w:val="003474AA"/>
    <w:rsid w:val="00350D1D"/>
    <w:rsid w:val="00352C83"/>
    <w:rsid w:val="00357EE8"/>
    <w:rsid w:val="003615D2"/>
    <w:rsid w:val="0036429C"/>
    <w:rsid w:val="00364A53"/>
    <w:rsid w:val="003654CB"/>
    <w:rsid w:val="00365AA9"/>
    <w:rsid w:val="00365F86"/>
    <w:rsid w:val="00365F87"/>
    <w:rsid w:val="00366E89"/>
    <w:rsid w:val="003705F4"/>
    <w:rsid w:val="00370D58"/>
    <w:rsid w:val="00371316"/>
    <w:rsid w:val="00376713"/>
    <w:rsid w:val="003778B7"/>
    <w:rsid w:val="00381815"/>
    <w:rsid w:val="003819AF"/>
    <w:rsid w:val="00381BBC"/>
    <w:rsid w:val="00381CB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B7CE8"/>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3615"/>
    <w:rsid w:val="00404869"/>
    <w:rsid w:val="00405884"/>
    <w:rsid w:val="00407D39"/>
    <w:rsid w:val="0041477A"/>
    <w:rsid w:val="004167A3"/>
    <w:rsid w:val="00416F8E"/>
    <w:rsid w:val="00432DAA"/>
    <w:rsid w:val="00434305"/>
    <w:rsid w:val="00435DF7"/>
    <w:rsid w:val="0043784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7A74"/>
    <w:rsid w:val="004A12DF"/>
    <w:rsid w:val="004A17E6"/>
    <w:rsid w:val="004A1BA8"/>
    <w:rsid w:val="004A4B57"/>
    <w:rsid w:val="004A63FA"/>
    <w:rsid w:val="004B0272"/>
    <w:rsid w:val="004B1D83"/>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BC0"/>
    <w:rsid w:val="004F3CFB"/>
    <w:rsid w:val="004F6456"/>
    <w:rsid w:val="004F696E"/>
    <w:rsid w:val="004F6C71"/>
    <w:rsid w:val="004F70B5"/>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1608"/>
    <w:rsid w:val="00533D04"/>
    <w:rsid w:val="00534804"/>
    <w:rsid w:val="00534BDF"/>
    <w:rsid w:val="005354EA"/>
    <w:rsid w:val="0053585F"/>
    <w:rsid w:val="00535EC4"/>
    <w:rsid w:val="00535ED9"/>
    <w:rsid w:val="0053692B"/>
    <w:rsid w:val="00541853"/>
    <w:rsid w:val="0054257A"/>
    <w:rsid w:val="00543BDA"/>
    <w:rsid w:val="00543FB3"/>
    <w:rsid w:val="005441CC"/>
    <w:rsid w:val="005479DA"/>
    <w:rsid w:val="00547BCC"/>
    <w:rsid w:val="0055013B"/>
    <w:rsid w:val="00551E39"/>
    <w:rsid w:val="00551F6F"/>
    <w:rsid w:val="00555044"/>
    <w:rsid w:val="00561475"/>
    <w:rsid w:val="0056487B"/>
    <w:rsid w:val="00564AF9"/>
    <w:rsid w:val="00564FB9"/>
    <w:rsid w:val="005676E4"/>
    <w:rsid w:val="00573D9E"/>
    <w:rsid w:val="005801E3"/>
    <w:rsid w:val="00581802"/>
    <w:rsid w:val="005836A8"/>
    <w:rsid w:val="0058409C"/>
    <w:rsid w:val="00584262"/>
    <w:rsid w:val="005847AF"/>
    <w:rsid w:val="00586630"/>
    <w:rsid w:val="00587ADD"/>
    <w:rsid w:val="00591E27"/>
    <w:rsid w:val="00596160"/>
    <w:rsid w:val="005966E2"/>
    <w:rsid w:val="00597007"/>
    <w:rsid w:val="005A0966"/>
    <w:rsid w:val="005A11B7"/>
    <w:rsid w:val="005A260B"/>
    <w:rsid w:val="005A4A1B"/>
    <w:rsid w:val="005A729C"/>
    <w:rsid w:val="005A7830"/>
    <w:rsid w:val="005A7FCE"/>
    <w:rsid w:val="005B0029"/>
    <w:rsid w:val="005B0F3F"/>
    <w:rsid w:val="005B4903"/>
    <w:rsid w:val="005B51CE"/>
    <w:rsid w:val="005B5885"/>
    <w:rsid w:val="005B5CD7"/>
    <w:rsid w:val="005B6CF6"/>
    <w:rsid w:val="005B7422"/>
    <w:rsid w:val="005C29B8"/>
    <w:rsid w:val="005C43C3"/>
    <w:rsid w:val="005C5F21"/>
    <w:rsid w:val="005C7156"/>
    <w:rsid w:val="005D0C75"/>
    <w:rsid w:val="005D4171"/>
    <w:rsid w:val="005D63A9"/>
    <w:rsid w:val="005D6A95"/>
    <w:rsid w:val="005D6B2C"/>
    <w:rsid w:val="005D6D9C"/>
    <w:rsid w:val="005E2335"/>
    <w:rsid w:val="005E34CA"/>
    <w:rsid w:val="005E3C18"/>
    <w:rsid w:val="005E5467"/>
    <w:rsid w:val="005E6812"/>
    <w:rsid w:val="005E7881"/>
    <w:rsid w:val="005E78E0"/>
    <w:rsid w:val="005F0D9C"/>
    <w:rsid w:val="005F284E"/>
    <w:rsid w:val="005F4712"/>
    <w:rsid w:val="006015CE"/>
    <w:rsid w:val="00602688"/>
    <w:rsid w:val="00604784"/>
    <w:rsid w:val="00606419"/>
    <w:rsid w:val="00607D29"/>
    <w:rsid w:val="00612952"/>
    <w:rsid w:val="00614CC1"/>
    <w:rsid w:val="00615A9D"/>
    <w:rsid w:val="00616C25"/>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95FEE"/>
    <w:rsid w:val="006A07AA"/>
    <w:rsid w:val="006A25E5"/>
    <w:rsid w:val="006A2B46"/>
    <w:rsid w:val="006A336D"/>
    <w:rsid w:val="006A37B9"/>
    <w:rsid w:val="006B2672"/>
    <w:rsid w:val="006B54BF"/>
    <w:rsid w:val="006B5F44"/>
    <w:rsid w:val="006B5F90"/>
    <w:rsid w:val="006B62E4"/>
    <w:rsid w:val="006C08B6"/>
    <w:rsid w:val="006C1BBA"/>
    <w:rsid w:val="006C2079"/>
    <w:rsid w:val="006C5A62"/>
    <w:rsid w:val="006C5D68"/>
    <w:rsid w:val="006C62FF"/>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4CE6"/>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1175"/>
    <w:rsid w:val="0073119E"/>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4A5A"/>
    <w:rsid w:val="00755402"/>
    <w:rsid w:val="00756B26"/>
    <w:rsid w:val="00756EDF"/>
    <w:rsid w:val="007600E3"/>
    <w:rsid w:val="007614BB"/>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40DB"/>
    <w:rsid w:val="007D6518"/>
    <w:rsid w:val="007D76BD"/>
    <w:rsid w:val="007E0BF1"/>
    <w:rsid w:val="007E7638"/>
    <w:rsid w:val="007F0ED8"/>
    <w:rsid w:val="007F0F63"/>
    <w:rsid w:val="007F75CE"/>
    <w:rsid w:val="008013A4"/>
    <w:rsid w:val="00801D35"/>
    <w:rsid w:val="008027CE"/>
    <w:rsid w:val="00802F42"/>
    <w:rsid w:val="00804383"/>
    <w:rsid w:val="00804BB7"/>
    <w:rsid w:val="00804D41"/>
    <w:rsid w:val="0080667D"/>
    <w:rsid w:val="00810257"/>
    <w:rsid w:val="008104F5"/>
    <w:rsid w:val="00811072"/>
    <w:rsid w:val="00811369"/>
    <w:rsid w:val="00815419"/>
    <w:rsid w:val="008163C8"/>
    <w:rsid w:val="008164A1"/>
    <w:rsid w:val="00817325"/>
    <w:rsid w:val="008209E6"/>
    <w:rsid w:val="0082152B"/>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11E"/>
    <w:rsid w:val="008627A5"/>
    <w:rsid w:val="00863E05"/>
    <w:rsid w:val="00865ACA"/>
    <w:rsid w:val="00865D28"/>
    <w:rsid w:val="00865F85"/>
    <w:rsid w:val="00867C10"/>
    <w:rsid w:val="00870439"/>
    <w:rsid w:val="00870DA1"/>
    <w:rsid w:val="00876A9B"/>
    <w:rsid w:val="00880C2C"/>
    <w:rsid w:val="00883F93"/>
    <w:rsid w:val="00884DB3"/>
    <w:rsid w:val="00885A9D"/>
    <w:rsid w:val="008864F6"/>
    <w:rsid w:val="0089049D"/>
    <w:rsid w:val="0089189F"/>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4E7E"/>
    <w:rsid w:val="008D53AD"/>
    <w:rsid w:val="008D562B"/>
    <w:rsid w:val="008D5733"/>
    <w:rsid w:val="008D622B"/>
    <w:rsid w:val="008D666C"/>
    <w:rsid w:val="008D7B54"/>
    <w:rsid w:val="008E0C9D"/>
    <w:rsid w:val="008E1648"/>
    <w:rsid w:val="008E1B3E"/>
    <w:rsid w:val="008E2319"/>
    <w:rsid w:val="008E3656"/>
    <w:rsid w:val="008E4BB6"/>
    <w:rsid w:val="008E53B2"/>
    <w:rsid w:val="008E5518"/>
    <w:rsid w:val="008E6A84"/>
    <w:rsid w:val="008F0915"/>
    <w:rsid w:val="008F0CDC"/>
    <w:rsid w:val="008F17A3"/>
    <w:rsid w:val="008F1ED3"/>
    <w:rsid w:val="008F23A5"/>
    <w:rsid w:val="008F4C29"/>
    <w:rsid w:val="008F70BD"/>
    <w:rsid w:val="008F788F"/>
    <w:rsid w:val="008F7EA2"/>
    <w:rsid w:val="009024B3"/>
    <w:rsid w:val="00902722"/>
    <w:rsid w:val="009027BC"/>
    <w:rsid w:val="009062E6"/>
    <w:rsid w:val="00911BE5"/>
    <w:rsid w:val="00913CA9"/>
    <w:rsid w:val="009145AE"/>
    <w:rsid w:val="009146CE"/>
    <w:rsid w:val="00914CA7"/>
    <w:rsid w:val="00915C3E"/>
    <w:rsid w:val="009161A8"/>
    <w:rsid w:val="009245F5"/>
    <w:rsid w:val="009249EC"/>
    <w:rsid w:val="00926772"/>
    <w:rsid w:val="009273B3"/>
    <w:rsid w:val="0092762F"/>
    <w:rsid w:val="009305B5"/>
    <w:rsid w:val="0093463D"/>
    <w:rsid w:val="009429D5"/>
    <w:rsid w:val="00942BF1"/>
    <w:rsid w:val="00945180"/>
    <w:rsid w:val="00945428"/>
    <w:rsid w:val="0094607B"/>
    <w:rsid w:val="00953604"/>
    <w:rsid w:val="0095496B"/>
    <w:rsid w:val="009610DC"/>
    <w:rsid w:val="00961490"/>
    <w:rsid w:val="00962EFC"/>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1EFF"/>
    <w:rsid w:val="009A21CD"/>
    <w:rsid w:val="009A278C"/>
    <w:rsid w:val="009A2BC2"/>
    <w:rsid w:val="009A42C1"/>
    <w:rsid w:val="009A5429"/>
    <w:rsid w:val="009A5B15"/>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8D1"/>
    <w:rsid w:val="009E0F62"/>
    <w:rsid w:val="009E4A58"/>
    <w:rsid w:val="009E5A2D"/>
    <w:rsid w:val="009E5AB2"/>
    <w:rsid w:val="009E6219"/>
    <w:rsid w:val="009F03B3"/>
    <w:rsid w:val="009F5387"/>
    <w:rsid w:val="00A0096C"/>
    <w:rsid w:val="00A01757"/>
    <w:rsid w:val="00A028C0"/>
    <w:rsid w:val="00A02BAE"/>
    <w:rsid w:val="00A04F60"/>
    <w:rsid w:val="00A06A6B"/>
    <w:rsid w:val="00A07E47"/>
    <w:rsid w:val="00A11475"/>
    <w:rsid w:val="00A12788"/>
    <w:rsid w:val="00A129D0"/>
    <w:rsid w:val="00A12C33"/>
    <w:rsid w:val="00A138BA"/>
    <w:rsid w:val="00A14852"/>
    <w:rsid w:val="00A14C8E"/>
    <w:rsid w:val="00A153D9"/>
    <w:rsid w:val="00A15F09"/>
    <w:rsid w:val="00A169B6"/>
    <w:rsid w:val="00A2271D"/>
    <w:rsid w:val="00A237D5"/>
    <w:rsid w:val="00A30EFC"/>
    <w:rsid w:val="00A31984"/>
    <w:rsid w:val="00A32D73"/>
    <w:rsid w:val="00A3367B"/>
    <w:rsid w:val="00A3499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2156"/>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58EF"/>
    <w:rsid w:val="00A963F7"/>
    <w:rsid w:val="00A96AD8"/>
    <w:rsid w:val="00AA052C"/>
    <w:rsid w:val="00AA1E45"/>
    <w:rsid w:val="00AA4286"/>
    <w:rsid w:val="00AA456B"/>
    <w:rsid w:val="00AA57F5"/>
    <w:rsid w:val="00AA672E"/>
    <w:rsid w:val="00AA6EC9"/>
    <w:rsid w:val="00AB4168"/>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0918"/>
    <w:rsid w:val="00AE101C"/>
    <w:rsid w:val="00AE37E5"/>
    <w:rsid w:val="00AE3E83"/>
    <w:rsid w:val="00AE5EB4"/>
    <w:rsid w:val="00AF0C18"/>
    <w:rsid w:val="00AF47C5"/>
    <w:rsid w:val="00AF5398"/>
    <w:rsid w:val="00B006CB"/>
    <w:rsid w:val="00B049AF"/>
    <w:rsid w:val="00B07242"/>
    <w:rsid w:val="00B10534"/>
    <w:rsid w:val="00B113DB"/>
    <w:rsid w:val="00B11D8A"/>
    <w:rsid w:val="00B12981"/>
    <w:rsid w:val="00B147DD"/>
    <w:rsid w:val="00B14892"/>
    <w:rsid w:val="00B156FD"/>
    <w:rsid w:val="00B16CDB"/>
    <w:rsid w:val="00B21F61"/>
    <w:rsid w:val="00B235DA"/>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3AC"/>
    <w:rsid w:val="00B50E50"/>
    <w:rsid w:val="00B52120"/>
    <w:rsid w:val="00B54ABC"/>
    <w:rsid w:val="00B54DDE"/>
    <w:rsid w:val="00B56FBE"/>
    <w:rsid w:val="00B57AA0"/>
    <w:rsid w:val="00B60ACF"/>
    <w:rsid w:val="00B61845"/>
    <w:rsid w:val="00B62B58"/>
    <w:rsid w:val="00B62BDD"/>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1479"/>
    <w:rsid w:val="00BA263B"/>
    <w:rsid w:val="00BA42B2"/>
    <w:rsid w:val="00BA58D4"/>
    <w:rsid w:val="00BA5B9E"/>
    <w:rsid w:val="00BA7C9A"/>
    <w:rsid w:val="00BB203B"/>
    <w:rsid w:val="00BB5F8F"/>
    <w:rsid w:val="00BB657A"/>
    <w:rsid w:val="00BC14C6"/>
    <w:rsid w:val="00BC1A4E"/>
    <w:rsid w:val="00BC4790"/>
    <w:rsid w:val="00BC5DC7"/>
    <w:rsid w:val="00BC6B8B"/>
    <w:rsid w:val="00BC73D8"/>
    <w:rsid w:val="00BD52D7"/>
    <w:rsid w:val="00BD574A"/>
    <w:rsid w:val="00BD5AD2"/>
    <w:rsid w:val="00BE22F3"/>
    <w:rsid w:val="00BE4FF1"/>
    <w:rsid w:val="00BE5B52"/>
    <w:rsid w:val="00BE6FDA"/>
    <w:rsid w:val="00BE7B8D"/>
    <w:rsid w:val="00BF0993"/>
    <w:rsid w:val="00BF10A9"/>
    <w:rsid w:val="00BF1703"/>
    <w:rsid w:val="00BF231C"/>
    <w:rsid w:val="00BF51E5"/>
    <w:rsid w:val="00BF74A6"/>
    <w:rsid w:val="00C013AD"/>
    <w:rsid w:val="00C04904"/>
    <w:rsid w:val="00C056B3"/>
    <w:rsid w:val="00C0739A"/>
    <w:rsid w:val="00C103E5"/>
    <w:rsid w:val="00C13319"/>
    <w:rsid w:val="00C13EE9"/>
    <w:rsid w:val="00C21540"/>
    <w:rsid w:val="00C21906"/>
    <w:rsid w:val="00C21BFA"/>
    <w:rsid w:val="00C22148"/>
    <w:rsid w:val="00C23514"/>
    <w:rsid w:val="00C24C8D"/>
    <w:rsid w:val="00C25FE2"/>
    <w:rsid w:val="00C26B53"/>
    <w:rsid w:val="00C279B2"/>
    <w:rsid w:val="00C33E50"/>
    <w:rsid w:val="00C34C20"/>
    <w:rsid w:val="00C35A3E"/>
    <w:rsid w:val="00C37030"/>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28B"/>
    <w:rsid w:val="00C80982"/>
    <w:rsid w:val="00C80CB8"/>
    <w:rsid w:val="00C819F8"/>
    <w:rsid w:val="00C8248C"/>
    <w:rsid w:val="00C84E33"/>
    <w:rsid w:val="00C85907"/>
    <w:rsid w:val="00C86D6F"/>
    <w:rsid w:val="00C905FC"/>
    <w:rsid w:val="00C92D03"/>
    <w:rsid w:val="00C9319C"/>
    <w:rsid w:val="00C9435D"/>
    <w:rsid w:val="00C94DF2"/>
    <w:rsid w:val="00C96741"/>
    <w:rsid w:val="00CA2877"/>
    <w:rsid w:val="00CA2D1B"/>
    <w:rsid w:val="00CA375D"/>
    <w:rsid w:val="00CA6412"/>
    <w:rsid w:val="00CA662A"/>
    <w:rsid w:val="00CA7AFD"/>
    <w:rsid w:val="00CA7C3C"/>
    <w:rsid w:val="00CB0189"/>
    <w:rsid w:val="00CB0BA2"/>
    <w:rsid w:val="00CB0F76"/>
    <w:rsid w:val="00CB1A42"/>
    <w:rsid w:val="00CB1B0C"/>
    <w:rsid w:val="00CB2C0B"/>
    <w:rsid w:val="00CB517D"/>
    <w:rsid w:val="00CB7852"/>
    <w:rsid w:val="00CC038D"/>
    <w:rsid w:val="00CC08DB"/>
    <w:rsid w:val="00CC39FF"/>
    <w:rsid w:val="00CC3C2F"/>
    <w:rsid w:val="00CC3FD9"/>
    <w:rsid w:val="00CC4AC8"/>
    <w:rsid w:val="00CC5233"/>
    <w:rsid w:val="00CC5DE6"/>
    <w:rsid w:val="00CC6E4E"/>
    <w:rsid w:val="00CC6FE8"/>
    <w:rsid w:val="00CC7202"/>
    <w:rsid w:val="00CD2808"/>
    <w:rsid w:val="00CD28BF"/>
    <w:rsid w:val="00CD4092"/>
    <w:rsid w:val="00CD4A20"/>
    <w:rsid w:val="00CD50A1"/>
    <w:rsid w:val="00CD519E"/>
    <w:rsid w:val="00CD561D"/>
    <w:rsid w:val="00CD5F46"/>
    <w:rsid w:val="00CE0C4F"/>
    <w:rsid w:val="00CE30EA"/>
    <w:rsid w:val="00CF048A"/>
    <w:rsid w:val="00CF1420"/>
    <w:rsid w:val="00CF155A"/>
    <w:rsid w:val="00CF2947"/>
    <w:rsid w:val="00CF686F"/>
    <w:rsid w:val="00CF6E60"/>
    <w:rsid w:val="00CF7BCA"/>
    <w:rsid w:val="00D00691"/>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38F5"/>
    <w:rsid w:val="00D25E37"/>
    <w:rsid w:val="00D2661A"/>
    <w:rsid w:val="00D27582"/>
    <w:rsid w:val="00D27EC4"/>
    <w:rsid w:val="00D32719"/>
    <w:rsid w:val="00D33333"/>
    <w:rsid w:val="00D33457"/>
    <w:rsid w:val="00D352A2"/>
    <w:rsid w:val="00D3660F"/>
    <w:rsid w:val="00D4162B"/>
    <w:rsid w:val="00D42F21"/>
    <w:rsid w:val="00D4514F"/>
    <w:rsid w:val="00D451E2"/>
    <w:rsid w:val="00D45E89"/>
    <w:rsid w:val="00D45E8D"/>
    <w:rsid w:val="00D466AE"/>
    <w:rsid w:val="00D4734F"/>
    <w:rsid w:val="00D51BF3"/>
    <w:rsid w:val="00D61DBF"/>
    <w:rsid w:val="00D66766"/>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C64BC"/>
    <w:rsid w:val="00DD00FF"/>
    <w:rsid w:val="00DD0619"/>
    <w:rsid w:val="00DD07FB"/>
    <w:rsid w:val="00DD25C6"/>
    <w:rsid w:val="00DD4FE5"/>
    <w:rsid w:val="00DD54B0"/>
    <w:rsid w:val="00DD57EE"/>
    <w:rsid w:val="00DD6BCC"/>
    <w:rsid w:val="00DE0A4B"/>
    <w:rsid w:val="00DE2410"/>
    <w:rsid w:val="00DE2939"/>
    <w:rsid w:val="00DE6A61"/>
    <w:rsid w:val="00DE6E81"/>
    <w:rsid w:val="00DE703F"/>
    <w:rsid w:val="00DE7595"/>
    <w:rsid w:val="00DE7B60"/>
    <w:rsid w:val="00DF1961"/>
    <w:rsid w:val="00DF44DE"/>
    <w:rsid w:val="00DF5F11"/>
    <w:rsid w:val="00E01138"/>
    <w:rsid w:val="00E02DFB"/>
    <w:rsid w:val="00E030F9"/>
    <w:rsid w:val="00E0311A"/>
    <w:rsid w:val="00E03138"/>
    <w:rsid w:val="00E05FE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7F2"/>
    <w:rsid w:val="00E44A83"/>
    <w:rsid w:val="00E47E22"/>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6988"/>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5DFE"/>
    <w:rsid w:val="00E969D5"/>
    <w:rsid w:val="00EA1622"/>
    <w:rsid w:val="00EA58D1"/>
    <w:rsid w:val="00EA61BC"/>
    <w:rsid w:val="00EA681A"/>
    <w:rsid w:val="00EA735B"/>
    <w:rsid w:val="00EB17DE"/>
    <w:rsid w:val="00EB1E69"/>
    <w:rsid w:val="00EB2086"/>
    <w:rsid w:val="00EB5B9D"/>
    <w:rsid w:val="00EB5EDF"/>
    <w:rsid w:val="00EB60FE"/>
    <w:rsid w:val="00EB74DB"/>
    <w:rsid w:val="00EC3474"/>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374C"/>
    <w:rsid w:val="00F25BB6"/>
    <w:rsid w:val="00F26B7E"/>
    <w:rsid w:val="00F27A3B"/>
    <w:rsid w:val="00F27FEE"/>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2456"/>
    <w:rsid w:val="00F93A8A"/>
    <w:rsid w:val="00F95248"/>
    <w:rsid w:val="00F956A9"/>
    <w:rsid w:val="00F963ED"/>
    <w:rsid w:val="00F966CF"/>
    <w:rsid w:val="00F96CAE"/>
    <w:rsid w:val="00F97C99"/>
    <w:rsid w:val="00FA4DAC"/>
    <w:rsid w:val="00FA662D"/>
    <w:rsid w:val="00FA6F7E"/>
    <w:rsid w:val="00FA73B1"/>
    <w:rsid w:val="00FB0CB9"/>
    <w:rsid w:val="00FB231D"/>
    <w:rsid w:val="00FB45F1"/>
    <w:rsid w:val="00FB4A72"/>
    <w:rsid w:val="00FB54E8"/>
    <w:rsid w:val="00FB7054"/>
    <w:rsid w:val="00FC17B7"/>
    <w:rsid w:val="00FC2CB7"/>
    <w:rsid w:val="00FC4090"/>
    <w:rsid w:val="00FC55B4"/>
    <w:rsid w:val="00FC680F"/>
    <w:rsid w:val="00FD00E6"/>
    <w:rsid w:val="00FD09A1"/>
    <w:rsid w:val="00FD0C91"/>
    <w:rsid w:val="00FD2A7C"/>
    <w:rsid w:val="00FD59EB"/>
    <w:rsid w:val="00FD6692"/>
    <w:rsid w:val="00FD6B4E"/>
    <w:rsid w:val="00FD7299"/>
    <w:rsid w:val="00FE1FBE"/>
    <w:rsid w:val="00FE3901"/>
    <w:rsid w:val="00FE39D3"/>
    <w:rsid w:val="00FE4BCE"/>
    <w:rsid w:val="00FE54AE"/>
    <w:rsid w:val="00FE576A"/>
    <w:rsid w:val="00FE7E79"/>
    <w:rsid w:val="00FF3E7D"/>
    <w:rsid w:val="00FF5B99"/>
    <w:rsid w:val="00FF730C"/>
    <w:rsid w:val="00FF73F4"/>
    <w:rsid w:val="00FF7CE4"/>
    <w:rsid w:val="00FF7E39"/>
    <w:rsid w:val="183D6A80"/>
    <w:rsid w:val="23BE2531"/>
    <w:rsid w:val="4FC552C0"/>
    <w:rsid w:val="56F46C67"/>
    <w:rsid w:val="6B6542AD"/>
    <w:rsid w:val="75BC4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9"/>
    <w:qFormat/>
    <w:uiPriority w:val="0"/>
    <w:pPr>
      <w:spacing w:after="120"/>
    </w:pPr>
  </w:style>
  <w:style w:type="paragraph" w:styleId="14">
    <w:name w:val="toc 5"/>
    <w:basedOn w:val="1"/>
    <w:next w:val="1"/>
    <w:autoRedefine/>
    <w:unhideWhenUsed/>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szCs w:val="22"/>
      <w14:ligatures w14:val="standardContextual"/>
    </w:rPr>
  </w:style>
  <w:style w:type="paragraph" w:styleId="17">
    <w:name w:val="Balloon Text"/>
    <w:basedOn w:val="1"/>
    <w:link w:val="48"/>
    <w:semiHidden/>
    <w:unhideWhenUsed/>
    <w:qFormat/>
    <w:uiPriority w:val="99"/>
    <w:rPr>
      <w:sz w:val="18"/>
      <w:szCs w:val="18"/>
    </w:rPr>
  </w:style>
  <w:style w:type="paragraph" w:styleId="18">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uiPriority w:val="39"/>
    <w:pPr>
      <w:tabs>
        <w:tab w:val="right" w:leader="dot" w:pos="9344"/>
      </w:tabs>
      <w:spacing w:line="300" w:lineRule="exact"/>
      <w:ind w:left="629"/>
    </w:pPr>
    <w:rPr>
      <w:rFonts w:ascii="宋体"/>
    </w:rPr>
  </w:style>
  <w:style w:type="paragraph" w:styleId="22">
    <w:name w:val="Subtitle"/>
    <w:basedOn w:val="1"/>
    <w:next w:val="1"/>
    <w:link w:val="234"/>
    <w:qFormat/>
    <w:uiPriority w:val="99"/>
    <w:pPr>
      <w:adjustRightInd/>
      <w:spacing w:before="240" w:after="60" w:line="312" w:lineRule="auto"/>
      <w:jc w:val="center"/>
      <w:outlineLvl w:val="1"/>
    </w:pPr>
    <w:rPr>
      <w:b/>
      <w:bCs/>
      <w:kern w:val="28"/>
      <w:sz w:val="32"/>
      <w:szCs w:val="32"/>
    </w:rPr>
  </w:style>
  <w:style w:type="paragraph" w:styleId="23">
    <w:name w:val="footnote text"/>
    <w:basedOn w:val="1"/>
    <w:next w:val="1"/>
    <w:link w:val="102"/>
    <w:semiHidden/>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szCs w:val="22"/>
      <w14:ligatures w14:val="standardContextual"/>
    </w:rPr>
  </w:style>
  <w:style w:type="paragraph" w:styleId="28">
    <w:name w:val="Title"/>
    <w:basedOn w:val="1"/>
    <w:link w:val="51"/>
    <w:qFormat/>
    <w:uiPriority w:val="99"/>
    <w:pPr>
      <w:spacing w:before="240" w:after="60"/>
      <w:jc w:val="center"/>
      <w:outlineLvl w:val="0"/>
    </w:pPr>
    <w:rPr>
      <w:rFonts w:ascii="Arial" w:hAnsi="Arial" w:cs="Arial"/>
      <w:b/>
      <w:bCs/>
      <w:sz w:val="32"/>
      <w:szCs w:val="32"/>
    </w:rPr>
  </w:style>
  <w:style w:type="table" w:styleId="30">
    <w:name w:val="Table Grid"/>
    <w:basedOn w:val="2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page number"/>
    <w:qFormat/>
    <w:uiPriority w:val="0"/>
    <w:rPr>
      <w:rFonts w:ascii="宋体" w:hAnsi="Times New Roman" w:eastAsia="宋体"/>
      <w:sz w:val="18"/>
    </w:rPr>
  </w:style>
  <w:style w:type="character" w:styleId="34">
    <w:name w:val="Emphasis"/>
    <w:qFormat/>
    <w:uiPriority w:val="20"/>
    <w:rPr>
      <w:i/>
      <w:iCs/>
    </w:rPr>
  </w:style>
  <w:style w:type="character" w:styleId="35">
    <w:name w:val="Hyperlink"/>
    <w:qFormat/>
    <w:uiPriority w:val="99"/>
    <w:rPr>
      <w:rFonts w:ascii="宋体" w:hAnsi="Times New Roman" w:eastAsia="宋体"/>
      <w:color w:val="auto"/>
      <w:spacing w:val="0"/>
      <w:w w:val="100"/>
      <w:position w:val="0"/>
      <w:sz w:val="21"/>
      <w:u w:val="none"/>
      <w:vertAlign w:val="baseline"/>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字符"/>
    <w:link w:val="2"/>
    <w:qFormat/>
    <w:uiPriority w:val="0"/>
    <w:rPr>
      <w:b/>
      <w:bCs/>
      <w:kern w:val="44"/>
      <w:sz w:val="44"/>
      <w:szCs w:val="44"/>
    </w:rPr>
  </w:style>
  <w:style w:type="character" w:customStyle="1" w:styleId="38">
    <w:name w:val="标题 2 字符"/>
    <w:link w:val="3"/>
    <w:qFormat/>
    <w:uiPriority w:val="0"/>
    <w:rPr>
      <w:rFonts w:ascii="Arial" w:hAnsi="Arial" w:eastAsia="黑体"/>
      <w:b/>
      <w:bCs/>
      <w:kern w:val="2"/>
      <w:sz w:val="32"/>
      <w:szCs w:val="32"/>
    </w:rPr>
  </w:style>
  <w:style w:type="character" w:customStyle="1" w:styleId="39">
    <w:name w:val="标题 3 字符"/>
    <w:link w:val="4"/>
    <w:qFormat/>
    <w:uiPriority w:val="0"/>
    <w:rPr>
      <w:b/>
      <w:bCs/>
      <w:kern w:val="2"/>
      <w:sz w:val="32"/>
      <w:szCs w:val="32"/>
    </w:rPr>
  </w:style>
  <w:style w:type="character" w:customStyle="1" w:styleId="40">
    <w:name w:val="标题 4 字符"/>
    <w:link w:val="5"/>
    <w:qFormat/>
    <w:uiPriority w:val="0"/>
    <w:rPr>
      <w:rFonts w:ascii="Arial" w:hAnsi="Arial" w:eastAsia="黑体"/>
      <w:b/>
      <w:bCs/>
      <w:kern w:val="2"/>
      <w:sz w:val="28"/>
      <w:szCs w:val="28"/>
    </w:rPr>
  </w:style>
  <w:style w:type="character" w:customStyle="1" w:styleId="41">
    <w:name w:val="标题 5 字符"/>
    <w:link w:val="6"/>
    <w:qFormat/>
    <w:uiPriority w:val="0"/>
    <w:rPr>
      <w:b/>
      <w:bCs/>
      <w:kern w:val="2"/>
      <w:sz w:val="28"/>
      <w:szCs w:val="28"/>
    </w:rPr>
  </w:style>
  <w:style w:type="character" w:customStyle="1" w:styleId="42">
    <w:name w:val="标题 6 字符"/>
    <w:link w:val="7"/>
    <w:qFormat/>
    <w:uiPriority w:val="0"/>
    <w:rPr>
      <w:rFonts w:ascii="Arial" w:hAnsi="Arial" w:eastAsia="黑体"/>
      <w:b/>
      <w:bCs/>
      <w:kern w:val="2"/>
      <w:sz w:val="24"/>
      <w:szCs w:val="24"/>
    </w:rPr>
  </w:style>
  <w:style w:type="character" w:customStyle="1" w:styleId="43">
    <w:name w:val="标题 7 字符"/>
    <w:link w:val="8"/>
    <w:qFormat/>
    <w:uiPriority w:val="0"/>
    <w:rPr>
      <w:b/>
      <w:bCs/>
      <w:kern w:val="2"/>
      <w:sz w:val="24"/>
      <w:szCs w:val="24"/>
    </w:rPr>
  </w:style>
  <w:style w:type="character" w:customStyle="1" w:styleId="44">
    <w:name w:val="标题 8 字符"/>
    <w:link w:val="9"/>
    <w:qFormat/>
    <w:uiPriority w:val="0"/>
    <w:rPr>
      <w:rFonts w:ascii="Arial" w:hAnsi="Arial" w:eastAsia="黑体"/>
      <w:kern w:val="2"/>
      <w:sz w:val="24"/>
      <w:szCs w:val="24"/>
    </w:rPr>
  </w:style>
  <w:style w:type="character" w:customStyle="1" w:styleId="45">
    <w:name w:val="标题 9 字符"/>
    <w:link w:val="10"/>
    <w:qFormat/>
    <w:uiPriority w:val="0"/>
    <w:rPr>
      <w:rFonts w:ascii="Arial" w:hAnsi="Arial" w:eastAsia="黑体"/>
      <w:kern w:val="2"/>
      <w:sz w:val="21"/>
      <w:szCs w:val="21"/>
    </w:rPr>
  </w:style>
  <w:style w:type="character" w:customStyle="1" w:styleId="46">
    <w:name w:val="页眉 字符"/>
    <w:link w:val="19"/>
    <w:qFormat/>
    <w:uiPriority w:val="99"/>
    <w:rPr>
      <w:kern w:val="2"/>
      <w:sz w:val="18"/>
      <w:szCs w:val="18"/>
    </w:rPr>
  </w:style>
  <w:style w:type="character" w:customStyle="1" w:styleId="47">
    <w:name w:val="页脚 字符"/>
    <w:link w:val="18"/>
    <w:qFormat/>
    <w:uiPriority w:val="99"/>
    <w:rPr>
      <w:rFonts w:ascii="宋体"/>
      <w:kern w:val="2"/>
      <w:sz w:val="18"/>
      <w:szCs w:val="18"/>
    </w:rPr>
  </w:style>
  <w:style w:type="character" w:customStyle="1" w:styleId="48">
    <w:name w:val="批注框文本 字符"/>
    <w:link w:val="17"/>
    <w:semiHidden/>
    <w:qFormat/>
    <w:uiPriority w:val="99"/>
    <w:rPr>
      <w:kern w:val="2"/>
      <w:sz w:val="18"/>
      <w:szCs w:val="18"/>
    </w:rPr>
  </w:style>
  <w:style w:type="paragraph" w:styleId="49">
    <w:name w:val="Quote"/>
    <w:basedOn w:val="1"/>
    <w:next w:val="1"/>
    <w:link w:val="50"/>
    <w:qFormat/>
    <w:uiPriority w:val="29"/>
    <w:rPr>
      <w:i/>
      <w:iCs/>
      <w:color w:val="000000"/>
    </w:rPr>
  </w:style>
  <w:style w:type="character" w:customStyle="1" w:styleId="50">
    <w:name w:val="引用 字符"/>
    <w:link w:val="49"/>
    <w:qFormat/>
    <w:uiPriority w:val="29"/>
    <w:rPr>
      <w:i/>
      <w:iCs/>
      <w:color w:val="000000"/>
      <w:kern w:val="2"/>
      <w:sz w:val="21"/>
      <w:szCs w:val="21"/>
    </w:rPr>
  </w:style>
  <w:style w:type="character" w:customStyle="1" w:styleId="51">
    <w:name w:val="标题 字符"/>
    <w:link w:val="28"/>
    <w:qFormat/>
    <w:uiPriority w:val="99"/>
    <w:rPr>
      <w:rFonts w:ascii="Arial" w:hAnsi="Arial" w:cs="Arial"/>
      <w:b/>
      <w:bCs/>
      <w:kern w:val="2"/>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ind w:left="1560"/>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字符"/>
    <w:link w:val="13"/>
    <w:qFormat/>
    <w:uiPriority w:val="0"/>
    <w:rPr>
      <w:kern w:val="2"/>
      <w:sz w:val="21"/>
      <w:szCs w:val="21"/>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spacing w:line="460" w:lineRule="exact"/>
      <w:ind w:left="0" w:firstLine="0"/>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ind w:left="0"/>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字符"/>
    <w:link w:val="23"/>
    <w:semiHidden/>
    <w:qFormat/>
    <w:uiPriority w:val="0"/>
    <w:rPr>
      <w:rFonts w:ascii="宋体"/>
      <w:kern w:val="2"/>
      <w:sz w:val="18"/>
      <w:szCs w:val="18"/>
    </w:rPr>
  </w:style>
  <w:style w:type="paragraph" w:customStyle="1" w:styleId="103">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ind w:left="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wrap="around"/>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wrap="around"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qFormat/>
    <w:uiPriority w:val="0"/>
    <w:pPr>
      <w:spacing w:before="0" w:beforeLines="0" w:after="0" w:afterLines="0"/>
      <w:outlineLvl w:val="9"/>
    </w:pPr>
    <w:rPr>
      <w:rFonts w:ascii="宋体" w:eastAsia="宋体"/>
    </w:rPr>
  </w:style>
  <w:style w:type="paragraph" w:customStyle="1" w:styleId="168">
    <w:name w:val="标准文件_二级无标题"/>
    <w:basedOn w:val="68"/>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uiPriority w:val="0"/>
    <w:rPr>
      <w:rFonts w:ascii="宋体"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1"/>
    <w:semiHidden/>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rPr>
      <w:rFonts w:ascii="Times New Roman"/>
    </w:rPr>
  </w:style>
  <w:style w:type="paragraph" w:customStyle="1" w:styleId="192">
    <w:name w:val="标准文件_一级项2"/>
    <w:basedOn w:val="59"/>
    <w:qFormat/>
    <w:uiPriority w:val="0"/>
    <w:pPr>
      <w:numPr>
        <w:ilvl w:val="0"/>
        <w:numId w:val="31"/>
      </w:numPr>
      <w:spacing w:line="300" w:lineRule="exact"/>
      <w:ind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1"/>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uiPriority w:val="0"/>
    <w:pPr>
      <w:framePr w:w="3997" w:h="471" w:hRule="exact" w:hSpace="0" w:vSpace="181" w:wrap="around" w:vAnchor="page" w:hAnchor="page" w:x="1419" w:y="14097"/>
    </w:pPr>
  </w:style>
  <w:style w:type="paragraph" w:customStyle="1" w:styleId="197">
    <w:name w:val="其他实施日期"/>
    <w:basedOn w:val="157"/>
    <w:uiPriority w:val="0"/>
    <w:pPr>
      <w:framePr w:w="3997" w:h="471" w:hRule="exact" w:vSpace="181" w:wrap="around"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1"/>
    <w:qFormat/>
    <w:uiPriority w:val="0"/>
    <w:rPr>
      <w:rFonts w:ascii="黑体" w:eastAsia="黑体"/>
      <w:spacing w:val="85"/>
      <w:w w:val="100"/>
      <w:position w:val="3"/>
      <w:sz w:val="28"/>
      <w:szCs w:val="28"/>
    </w:rPr>
  </w:style>
  <w:style w:type="paragraph" w:customStyle="1" w:styleId="233">
    <w:name w:val="msonormal"/>
    <w:basedOn w:val="1"/>
    <w:qFormat/>
    <w:uiPriority w:val="0"/>
    <w:pPr>
      <w:widowControl/>
      <w:adjustRightInd/>
      <w:spacing w:before="100" w:beforeAutospacing="1" w:after="100" w:afterAutospacing="1" w:line="240" w:lineRule="auto"/>
      <w:jc w:val="left"/>
    </w:pPr>
    <w:rPr>
      <w:rFonts w:ascii="宋体" w:hAnsi="宋体" w:cs="宋体"/>
      <w:kern w:val="0"/>
      <w:sz w:val="24"/>
      <w:szCs w:val="24"/>
    </w:rPr>
  </w:style>
  <w:style w:type="character" w:customStyle="1" w:styleId="234">
    <w:name w:val="副标题 字符"/>
    <w:basedOn w:val="31"/>
    <w:link w:val="22"/>
    <w:qFormat/>
    <w:uiPriority w:val="99"/>
    <w:rPr>
      <w:b/>
      <w:bCs/>
      <w:kern w:val="28"/>
      <w:sz w:val="32"/>
      <w:szCs w:val="32"/>
    </w:rPr>
  </w:style>
  <w:style w:type="table" w:customStyle="1" w:styleId="235">
    <w:name w:val="网格型1"/>
    <w:basedOn w:val="29"/>
    <w:qFormat/>
    <w:uiPriority w:val="0"/>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6">
    <w:name w:val="未处理的提及1"/>
    <w:basedOn w:val="3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0" Type="http://schemas.openxmlformats.org/officeDocument/2006/relationships/glossaryDocument" Target="glossary/document.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6.jpeg"/><Relationship Id="rId35" Type="http://schemas.openxmlformats.org/officeDocument/2006/relationships/image" Target="media/image5.jpeg"/><Relationship Id="rId34" Type="http://schemas.openxmlformats.org/officeDocument/2006/relationships/image" Target="media/image4.wmf"/><Relationship Id="rId33" Type="http://schemas.openxmlformats.org/officeDocument/2006/relationships/oleObject" Target="embeddings/oleObject3.bin"/><Relationship Id="rId32" Type="http://schemas.openxmlformats.org/officeDocument/2006/relationships/image" Target="media/image3.wmf"/><Relationship Id="rId31" Type="http://schemas.openxmlformats.org/officeDocument/2006/relationships/oleObject" Target="embeddings/oleObject2.bin"/><Relationship Id="rId30" Type="http://schemas.openxmlformats.org/officeDocument/2006/relationships/image" Target="media/image2.wmf"/><Relationship Id="rId3" Type="http://schemas.openxmlformats.org/officeDocument/2006/relationships/footnotes" Target="footnotes.xml"/><Relationship Id="rId29" Type="http://schemas.openxmlformats.org/officeDocument/2006/relationships/oleObject" Target="embeddings/oleObject1.bin"/><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14FD32C7D574E7ABF940B9DEC40FE43"/>
        <w:style w:val=""/>
        <w:category>
          <w:name w:val="常规"/>
          <w:gallery w:val="placeholder"/>
        </w:category>
        <w:types>
          <w:type w:val="bbPlcHdr"/>
        </w:types>
        <w:behaviors>
          <w:behavior w:val="content"/>
        </w:behaviors>
        <w:description w:val=""/>
        <w:guid w:val="{E402FF6C-2DB7-4D34-AD21-5E6C9C23B26F}"/>
      </w:docPartPr>
      <w:docPartBody>
        <w:p w14:paraId="46DDC7FF">
          <w:pPr>
            <w:pStyle w:val="5"/>
            <w:rPr>
              <w:rFonts w:hint="eastAsia"/>
            </w:rPr>
          </w:pPr>
          <w:r>
            <w:rPr>
              <w:rStyle w:val="4"/>
              <w:rFonts w:hint="eastAsia"/>
            </w:rPr>
            <w:t>单击或点击此处输入文字。</w:t>
          </w:r>
        </w:p>
      </w:docPartBody>
    </w:docPart>
    <w:docPart>
      <w:docPartPr>
        <w:name w:val="57AAA5801CA44807ABA828D7CAFEE4CD"/>
        <w:style w:val=""/>
        <w:category>
          <w:name w:val="常规"/>
          <w:gallery w:val="placeholder"/>
        </w:category>
        <w:types>
          <w:type w:val="bbPlcHdr"/>
        </w:types>
        <w:behaviors>
          <w:behavior w:val="content"/>
        </w:behaviors>
        <w:description w:val=""/>
        <w:guid w:val="{8E168F5C-7B8A-4715-990B-CE918ECE98AE}"/>
      </w:docPartPr>
      <w:docPartBody>
        <w:p w14:paraId="1F300A5D">
          <w:pPr>
            <w:pStyle w:val="6"/>
            <w:rPr>
              <w:rFonts w:hint="eastAsia"/>
            </w:rPr>
          </w:pPr>
          <w:r>
            <w:rPr>
              <w:rStyle w:val="4"/>
              <w:rFonts w:hint="eastAsia"/>
            </w:rPr>
            <w:t>选择一项。</w:t>
          </w:r>
        </w:p>
      </w:docPartBody>
    </w:docPart>
    <w:docPart>
      <w:docPartPr>
        <w:name w:val="F8331462E904441E8BB9618CDB5AA838"/>
        <w:style w:val=""/>
        <w:category>
          <w:name w:val="常规"/>
          <w:gallery w:val="placeholder"/>
        </w:category>
        <w:types>
          <w:type w:val="bbPlcHdr"/>
        </w:types>
        <w:behaviors>
          <w:behavior w:val="content"/>
        </w:behaviors>
        <w:description w:val=""/>
        <w:guid w:val="{D87F42A9-1C45-4FA1-B679-78D2B913F27C}"/>
      </w:docPartPr>
      <w:docPartBody>
        <w:p w14:paraId="7F2B2582">
          <w:pPr>
            <w:pStyle w:val="7"/>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2F5"/>
    <w:rsid w:val="0001321C"/>
    <w:rsid w:val="0004065C"/>
    <w:rsid w:val="00094FB6"/>
    <w:rsid w:val="001112F5"/>
    <w:rsid w:val="00175E34"/>
    <w:rsid w:val="001D3CB0"/>
    <w:rsid w:val="001F1A61"/>
    <w:rsid w:val="00381BBC"/>
    <w:rsid w:val="00382ED7"/>
    <w:rsid w:val="003B7CE8"/>
    <w:rsid w:val="003C2EF4"/>
    <w:rsid w:val="003E21B3"/>
    <w:rsid w:val="00550215"/>
    <w:rsid w:val="005E5467"/>
    <w:rsid w:val="006F4CE6"/>
    <w:rsid w:val="007A5AB3"/>
    <w:rsid w:val="007D57FF"/>
    <w:rsid w:val="00B67F68"/>
    <w:rsid w:val="00B817C1"/>
    <w:rsid w:val="00C153BB"/>
    <w:rsid w:val="00D3086D"/>
    <w:rsid w:val="00DA0427"/>
    <w:rsid w:val="00E747CF"/>
    <w:rsid w:val="00EA1622"/>
    <w:rsid w:val="00F2374C"/>
    <w:rsid w:val="00F96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F14FD32C7D574E7ABF940B9DEC40FE43"/>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57AAA5801CA44807ABA828D7CAFEE4CD"/>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F8331462E904441E8BB9618CDB5AA83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26</Pages>
  <Words>6091</Words>
  <Characters>7126</Characters>
  <Lines>146</Lines>
  <Paragraphs>41</Paragraphs>
  <TotalTime>260</TotalTime>
  <ScaleCrop>false</ScaleCrop>
  <LinksUpToDate>false</LinksUpToDate>
  <CharactersWithSpaces>7246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2024-11-17T01:43:00Z</dcterms:created>
  <dc:creator>Qing</dc:creator>
  <dc:description>&lt;config cover="true" show_menu="true" version="1.0.0" doctype="SDKXY"&gt;_x000d_
&lt;/config&gt;</dc:description>
  <cp:lastModifiedBy>Qing</cp:lastModifiedBy>
  <cp:lastPrinted>2020-08-30T10:00:00Z</cp:lastPrinted>
  <dcterms:modified xsi:type="dcterms:W3CDTF">2024-12-27T01:27:41Z</dcterms:modified>
  <dc:title>地方标准</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2052-12.1.0.19302</vt:lpwstr>
  </property>
  <property fmtid="{D5CDD505-2E9C-101B-9397-08002B2CF9AE}" pid="16" name="ICV">
    <vt:lpwstr>AC3E9E36B98F4449B991F7367BB682F7_12</vt:lpwstr>
  </property>
  <property fmtid="{D5CDD505-2E9C-101B-9397-08002B2CF9AE}" pid="17" name="KSOTemplateDocerSaveRecord">
    <vt:lpwstr>eyJoZGlkIjoiMTIzYTRjOTVmOWQxMWQ5ZTdhMDU5ZTAwMWU3M2UxYTUiLCJ1c2VySWQiOiI2NTIxNjI2NDkifQ==</vt:lpwstr>
  </property>
</Properties>
</file>