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2A814A">
      <w:pPr>
        <w:pStyle w:val="43"/>
        <w:spacing w:line="340" w:lineRule="exact"/>
        <w:rPr>
          <w:rFonts w:hint="default" w:ascii="Times New Roman" w:hAnsi="Times New Roman" w:cs="Times New Roman"/>
          <w:szCs w:val="21"/>
        </w:rPr>
      </w:pPr>
      <w:bookmarkStart w:id="0" w:name="SectionMark0"/>
      <w:r>
        <w:rPr>
          <w:rFonts w:hint="default" w:ascii="Times New Roman" w:hAnsi="Times New Roman" w:cs="Times New Roman"/>
          <w:szCs w:val="21"/>
        </w:rPr>
        <w:t>ICS65.020.20</w:t>
      </w:r>
    </w:p>
    <w:p w14:paraId="05592BDC">
      <w:pPr>
        <w:pStyle w:val="43"/>
        <w:spacing w:line="340" w:lineRule="exact"/>
        <w:rPr>
          <w:rFonts w:hint="default" w:ascii="Times New Roman" w:hAnsi="Times New Roman" w:cs="Times New Roman"/>
        </w:rPr>
        <w:sectPr>
          <w:headerReference r:id="rId5" w:type="default"/>
          <w:footerReference r:id="rId7" w:type="default"/>
          <w:headerReference r:id="rId6" w:type="even"/>
          <w:footerReference r:id="rId8" w:type="even"/>
          <w:pgSz w:w="11907" w:h="16839"/>
          <w:pgMar w:top="567" w:right="851" w:bottom="1361" w:left="1418" w:header="0" w:footer="0" w:gutter="0"/>
          <w:pgBorders>
            <w:top w:val="none" w:sz="0" w:space="0"/>
            <w:left w:val="none" w:sz="0" w:space="0"/>
            <w:bottom w:val="none" w:sz="0" w:space="0"/>
            <w:right w:val="none" w:sz="0" w:space="0"/>
          </w:pgBorders>
          <w:pgNumType w:start="1"/>
          <w:cols w:space="720" w:num="1"/>
          <w:titlePg/>
          <w:docGrid w:type="lines" w:linePitch="312" w:charSpace="0"/>
        </w:sectPr>
      </w:pPr>
      <w:r>
        <w:rPr>
          <w:rFonts w:hint="default" w:ascii="Times New Roman" w:hAnsi="Times New Roman" w:cs="Times New Roman"/>
          <w:szCs w:val="21"/>
        </w:rPr>
        <w:t>CCS</w:t>
      </w:r>
      <w:r>
        <w:rPr>
          <w:rFonts w:hint="default" w:ascii="Times New Roman" w:hAnsi="Times New Roman" w:eastAsia="黑体" w:cs="Times New Roman"/>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2273300</wp:posOffset>
                </wp:positionV>
                <wp:extent cx="6121400" cy="0"/>
                <wp:effectExtent l="14605" t="10795" r="7620" b="8255"/>
                <wp:wrapNone/>
                <wp:docPr id="22" name="直线 3"/>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cmpd="sng">
                          <a:solidFill>
                            <a:srgbClr val="800008"/>
                          </a:solidFill>
                          <a:round/>
                        </a:ln>
                      </wps:spPr>
                      <wps:bodyPr/>
                    </wps:wsp>
                  </a:graphicData>
                </a:graphic>
              </wp:anchor>
            </w:drawing>
          </mc:Choice>
          <mc:Fallback>
            <w:pict>
              <v:line id="直线 3" o:spid="_x0000_s1026" o:spt="20" style="position:absolute;left:0pt;margin-left:0pt;margin-top:179pt;height:0pt;width:482pt;z-index:251664384;mso-width-relative:page;mso-height-relative:page;" filled="f" stroked="t" coordsize="21600,21600"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Eor7UAAAACAEAAA8AAAAA&#10;AAAAAQAgAAAAIgAAAGRycy9kb3ducmV2LnhtbFBLAQIUABQAAAAIAIdO4kDpA0wj3wEAAK4DAAAO&#10;AAAAAAAAAAEAIAAAACMBAABkcnMvZTJvRG9jLnhtbFBLBQYAAAAABgAGAFkBAAB0BQAAAAA=&#10;">
                <v:fill on="f" focussize="0,0"/>
                <v:stroke weight="1pt" color="#800008" joinstyle="round"/>
                <v:imagedata o:title=""/>
                <o:lock v:ext="edit" aspectratio="f"/>
              </v:line>
            </w:pict>
          </mc:Fallback>
        </mc:AlternateContent>
      </w:r>
      <w:r>
        <w:rPr>
          <w:rFonts w:hint="default" w:ascii="Times New Roman" w:hAnsi="Times New Roman" w:eastAsia="黑体" w:cs="Times New Roman"/>
        </w:rP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8470900</wp:posOffset>
                </wp:positionV>
                <wp:extent cx="6120130" cy="1438910"/>
                <wp:effectExtent l="0" t="0" r="6350" b="8890"/>
                <wp:wrapNone/>
                <wp:docPr id="20" name="fmFrame7"/>
                <wp:cNvGraphicFramePr/>
                <a:graphic xmlns:a="http://schemas.openxmlformats.org/drawingml/2006/main">
                  <a:graphicData uri="http://schemas.microsoft.com/office/word/2010/wordprocessingShape">
                    <wps:wsp>
                      <wps:cNvSpPr txBox="1">
                        <a:spLocks noChangeArrowheads="1"/>
                      </wps:cNvSpPr>
                      <wps:spPr bwMode="auto">
                        <a:xfrm>
                          <a:off x="0" y="0"/>
                          <a:ext cx="6120130" cy="1438910"/>
                        </a:xfrm>
                        <a:prstGeom prst="rect">
                          <a:avLst/>
                        </a:prstGeom>
                        <a:solidFill>
                          <a:srgbClr val="FFFFFF"/>
                        </a:solidFill>
                        <a:ln>
                          <a:noFill/>
                        </a:ln>
                      </wps:spPr>
                      <wps:txbx>
                        <w:txbxContent>
                          <w:p w14:paraId="16B7882B"/>
                          <w:p w14:paraId="4A05EAFE">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kern w:val="2"/>
                                <w:sz w:val="28"/>
                                <w:szCs w:val="28"/>
                                <w:u w:val="single"/>
                              </w:rPr>
                            </w:pPr>
                            <w:r>
                              <w:rPr>
                                <w:rFonts w:hint="default" w:ascii="Times New Roman" w:hAnsi="Times New Roman" w:eastAsia="宋体" w:cs="Times New Roman"/>
                                <w:kern w:val="2"/>
                                <w:sz w:val="28"/>
                                <w:szCs w:val="28"/>
                                <w:u w:val="single"/>
                                <w:lang w:val="en-US" w:eastAsia="zh-CN" w:bidi="ar"/>
                              </w:rPr>
                              <w:t xml:space="preserve"> 202</w:t>
                            </w:r>
                            <w:r>
                              <w:rPr>
                                <w:rFonts w:hint="default" w:ascii="Times New Roman" w:hAnsi="Times New Roman" w:eastAsia="微软雅黑" w:cs="Times New Roman"/>
                                <w:kern w:val="2"/>
                                <w:sz w:val="28"/>
                                <w:szCs w:val="28"/>
                                <w:u w:val="single"/>
                                <w:lang w:val="en-US" w:eastAsia="zh-CN" w:bidi="ar"/>
                              </w:rPr>
                              <w:t>×</w:t>
                            </w:r>
                            <w:r>
                              <w:rPr>
                                <w:rFonts w:hint="default" w:ascii="Times New Roman" w:hAnsi="Times New Roman" w:eastAsia="宋体" w:cs="Times New Roman"/>
                                <w:kern w:val="2"/>
                                <w:sz w:val="28"/>
                                <w:szCs w:val="28"/>
                                <w:u w:val="single"/>
                                <w:lang w:val="en-US" w:eastAsia="zh-CN" w:bidi="ar"/>
                              </w:rPr>
                              <w:t xml:space="preserve">-**-** </w:t>
                            </w:r>
                            <w:r>
                              <w:rPr>
                                <w:rFonts w:hint="eastAsia" w:ascii="黑体" w:hAnsi="宋体" w:eastAsia="黑体" w:cs="黑体"/>
                                <w:kern w:val="2"/>
                                <w:sz w:val="28"/>
                                <w:szCs w:val="28"/>
                                <w:u w:val="single"/>
                                <w:lang w:val="en-US" w:eastAsia="zh-CN" w:bidi="ar"/>
                              </w:rPr>
                              <w:t>发布</w:t>
                            </w:r>
                            <w:r>
                              <w:rPr>
                                <w:rFonts w:hint="default" w:ascii="Times New Roman" w:hAnsi="Times New Roman" w:eastAsia="宋体" w:cs="Times New Roman"/>
                                <w:kern w:val="2"/>
                                <w:sz w:val="28"/>
                                <w:szCs w:val="28"/>
                                <w:u w:val="single"/>
                                <w:lang w:val="en-US" w:eastAsia="zh-CN" w:bidi="ar"/>
                              </w:rPr>
                              <w:t xml:space="preserve">                        202</w:t>
                            </w:r>
                            <w:r>
                              <w:rPr>
                                <w:rFonts w:hint="default" w:ascii="Times New Roman" w:hAnsi="Times New Roman" w:eastAsia="微软雅黑" w:cs="Times New Roman"/>
                                <w:kern w:val="2"/>
                                <w:sz w:val="28"/>
                                <w:szCs w:val="28"/>
                                <w:u w:val="single"/>
                                <w:lang w:val="en-US" w:eastAsia="zh-CN" w:bidi="ar"/>
                              </w:rPr>
                              <w:t>×</w:t>
                            </w:r>
                            <w:r>
                              <w:rPr>
                                <w:rFonts w:hint="default" w:ascii="Times New Roman" w:hAnsi="Times New Roman" w:eastAsia="宋体" w:cs="Times New Roman"/>
                                <w:kern w:val="2"/>
                                <w:sz w:val="28"/>
                                <w:szCs w:val="28"/>
                                <w:u w:val="single"/>
                                <w:lang w:val="en-US" w:eastAsia="zh-CN" w:bidi="ar"/>
                              </w:rPr>
                              <w:t>-</w:t>
                            </w:r>
                            <w:r>
                              <w:rPr>
                                <w:rFonts w:hint="default" w:ascii="Times New Roman" w:hAnsi="Times New Roman" w:eastAsia="微软雅黑" w:cs="Times New Roman"/>
                                <w:kern w:val="2"/>
                                <w:sz w:val="28"/>
                                <w:szCs w:val="28"/>
                                <w:u w:val="single"/>
                                <w:lang w:val="en-US" w:eastAsia="zh-CN" w:bidi="ar"/>
                              </w:rPr>
                              <w:t>××</w:t>
                            </w:r>
                            <w:r>
                              <w:rPr>
                                <w:rFonts w:hint="default" w:ascii="Times New Roman" w:hAnsi="Times New Roman" w:eastAsia="宋体" w:cs="Times New Roman"/>
                                <w:kern w:val="2"/>
                                <w:sz w:val="28"/>
                                <w:szCs w:val="28"/>
                                <w:u w:val="single"/>
                                <w:lang w:val="en-US" w:eastAsia="zh-CN" w:bidi="ar"/>
                              </w:rPr>
                              <w:t>-</w:t>
                            </w:r>
                            <w:r>
                              <w:rPr>
                                <w:rFonts w:hint="default" w:ascii="Times New Roman" w:hAnsi="Times New Roman" w:eastAsia="微软雅黑" w:cs="Times New Roman"/>
                                <w:kern w:val="2"/>
                                <w:sz w:val="28"/>
                                <w:szCs w:val="28"/>
                                <w:u w:val="single"/>
                                <w:lang w:val="en-US" w:eastAsia="zh-CN" w:bidi="ar"/>
                              </w:rPr>
                              <w:t>××</w:t>
                            </w:r>
                            <w:r>
                              <w:rPr>
                                <w:rFonts w:hint="eastAsia" w:ascii="宋体" w:hAnsi="宋体" w:eastAsia="宋体" w:cs="宋体"/>
                                <w:kern w:val="2"/>
                                <w:sz w:val="28"/>
                                <w:szCs w:val="28"/>
                                <w:u w:val="single"/>
                                <w:lang w:val="en-US" w:eastAsia="zh-CN" w:bidi="ar"/>
                              </w:rPr>
                              <w:t>实施</w:t>
                            </w:r>
                            <w:r>
                              <w:rPr>
                                <w:rFonts w:hint="default" w:ascii="Times New Roman" w:hAnsi="Times New Roman" w:eastAsia="宋体" w:cs="Times New Roman"/>
                                <w:kern w:val="2"/>
                                <w:sz w:val="28"/>
                                <w:szCs w:val="28"/>
                                <w:u w:val="single"/>
                                <w:lang w:val="en-US" w:eastAsia="zh-CN" w:bidi="ar"/>
                              </w:rPr>
                              <w:t xml:space="preserve">   </w:t>
                            </w:r>
                          </w:p>
                          <w:p w14:paraId="038C49C1">
                            <w:pPr>
                              <w:keepNext w:val="0"/>
                              <w:keepLines w:val="0"/>
                              <w:widowControl w:val="0"/>
                              <w:suppressLineNumbers w:val="0"/>
                              <w:spacing w:before="0" w:beforeAutospacing="0" w:after="0" w:afterAutospacing="0"/>
                              <w:ind w:left="0" w:right="0"/>
                              <w:jc w:val="center"/>
                            </w:pPr>
                            <w:r>
                              <w:rPr>
                                <w:rFonts w:hint="eastAsia" w:ascii="宋体" w:hAnsi="宋体" w:eastAsia="宋体" w:cs="宋体"/>
                                <w:b/>
                                <w:bCs w:val="0"/>
                                <w:kern w:val="2"/>
                                <w:sz w:val="36"/>
                                <w:szCs w:val="36"/>
                                <w:lang w:val="en-US" w:eastAsia="zh-CN" w:bidi="ar"/>
                              </w:rPr>
                              <w:t>河北省市场监督管理局</w:t>
                            </w:r>
                            <w:r>
                              <w:rPr>
                                <w:rFonts w:hint="default" w:ascii="Times New Roman" w:hAnsi="Times New Roman" w:eastAsia="宋体" w:cs="Times New Roman"/>
                                <w:b/>
                                <w:bCs w:val="0"/>
                                <w:kern w:val="2"/>
                                <w:sz w:val="36"/>
                                <w:szCs w:val="36"/>
                                <w:lang w:val="en-US" w:eastAsia="zh-CN" w:bidi="ar"/>
                              </w:rPr>
                              <w:t xml:space="preserve">  </w:t>
                            </w:r>
                            <w:r>
                              <w:rPr>
                                <w:rFonts w:hint="eastAsia" w:ascii="宋体" w:hAnsi="宋体" w:eastAsia="宋体" w:cs="宋体"/>
                                <w:b/>
                                <w:bCs w:val="0"/>
                                <w:kern w:val="2"/>
                                <w:sz w:val="36"/>
                                <w:szCs w:val="36"/>
                                <w:lang w:val="en-US" w:eastAsia="zh-CN" w:bidi="ar"/>
                              </w:rPr>
                              <w:t>发布</w:t>
                            </w: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0pt;margin-top:667pt;height:113.3pt;width:481.9pt;mso-position-horizontal-relative:margin;mso-position-vertical-relative:margin;z-index:251663360;mso-width-relative:page;mso-height-relative:page;" fillcolor="#FFFFFF" filled="t" stroked="f" coordsize="21600,21600" o:gfxdata="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zoIZe9gAAAAKAQAADwAAAAAAAAAB&#10;ACAAAAAiAAAAZHJzL2Rvd25yZXYueG1sUEsBAhQAFAAAAAgAh07iQLZ5a5QQAgAALQQAAA4AAAAA&#10;AAAAAQAgAAAAJwEAAGRycy9lMm9Eb2MueG1sUEsFBgAAAAAGAAYAWQEAAKkFAAAAAA==&#10;">
                <v:fill on="t" focussize="0,0"/>
                <v:stroke on="f"/>
                <v:imagedata o:title=""/>
                <o:lock v:ext="edit" aspectratio="f"/>
                <v:textbox inset="0mm,0mm,0mm,0mm">
                  <w:txbxContent>
                    <w:p w14:paraId="16B7882B"/>
                    <w:p w14:paraId="4A05EAFE">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kern w:val="2"/>
                          <w:sz w:val="28"/>
                          <w:szCs w:val="28"/>
                          <w:u w:val="single"/>
                        </w:rPr>
                      </w:pPr>
                      <w:r>
                        <w:rPr>
                          <w:rFonts w:hint="default" w:ascii="Times New Roman" w:hAnsi="Times New Roman" w:eastAsia="宋体" w:cs="Times New Roman"/>
                          <w:kern w:val="2"/>
                          <w:sz w:val="28"/>
                          <w:szCs w:val="28"/>
                          <w:u w:val="single"/>
                          <w:lang w:val="en-US" w:eastAsia="zh-CN" w:bidi="ar"/>
                        </w:rPr>
                        <w:t xml:space="preserve"> 202</w:t>
                      </w:r>
                      <w:r>
                        <w:rPr>
                          <w:rFonts w:hint="default" w:ascii="Times New Roman" w:hAnsi="Times New Roman" w:eastAsia="微软雅黑" w:cs="Times New Roman"/>
                          <w:kern w:val="2"/>
                          <w:sz w:val="28"/>
                          <w:szCs w:val="28"/>
                          <w:u w:val="single"/>
                          <w:lang w:val="en-US" w:eastAsia="zh-CN" w:bidi="ar"/>
                        </w:rPr>
                        <w:t>×</w:t>
                      </w:r>
                      <w:r>
                        <w:rPr>
                          <w:rFonts w:hint="default" w:ascii="Times New Roman" w:hAnsi="Times New Roman" w:eastAsia="宋体" w:cs="Times New Roman"/>
                          <w:kern w:val="2"/>
                          <w:sz w:val="28"/>
                          <w:szCs w:val="28"/>
                          <w:u w:val="single"/>
                          <w:lang w:val="en-US" w:eastAsia="zh-CN" w:bidi="ar"/>
                        </w:rPr>
                        <w:t xml:space="preserve">-**-** </w:t>
                      </w:r>
                      <w:r>
                        <w:rPr>
                          <w:rFonts w:hint="eastAsia" w:ascii="黑体" w:hAnsi="宋体" w:eastAsia="黑体" w:cs="黑体"/>
                          <w:kern w:val="2"/>
                          <w:sz w:val="28"/>
                          <w:szCs w:val="28"/>
                          <w:u w:val="single"/>
                          <w:lang w:val="en-US" w:eastAsia="zh-CN" w:bidi="ar"/>
                        </w:rPr>
                        <w:t>发布</w:t>
                      </w:r>
                      <w:r>
                        <w:rPr>
                          <w:rFonts w:hint="default" w:ascii="Times New Roman" w:hAnsi="Times New Roman" w:eastAsia="宋体" w:cs="Times New Roman"/>
                          <w:kern w:val="2"/>
                          <w:sz w:val="28"/>
                          <w:szCs w:val="28"/>
                          <w:u w:val="single"/>
                          <w:lang w:val="en-US" w:eastAsia="zh-CN" w:bidi="ar"/>
                        </w:rPr>
                        <w:t xml:space="preserve">                        202</w:t>
                      </w:r>
                      <w:r>
                        <w:rPr>
                          <w:rFonts w:hint="default" w:ascii="Times New Roman" w:hAnsi="Times New Roman" w:eastAsia="微软雅黑" w:cs="Times New Roman"/>
                          <w:kern w:val="2"/>
                          <w:sz w:val="28"/>
                          <w:szCs w:val="28"/>
                          <w:u w:val="single"/>
                          <w:lang w:val="en-US" w:eastAsia="zh-CN" w:bidi="ar"/>
                        </w:rPr>
                        <w:t>×</w:t>
                      </w:r>
                      <w:r>
                        <w:rPr>
                          <w:rFonts w:hint="default" w:ascii="Times New Roman" w:hAnsi="Times New Roman" w:eastAsia="宋体" w:cs="Times New Roman"/>
                          <w:kern w:val="2"/>
                          <w:sz w:val="28"/>
                          <w:szCs w:val="28"/>
                          <w:u w:val="single"/>
                          <w:lang w:val="en-US" w:eastAsia="zh-CN" w:bidi="ar"/>
                        </w:rPr>
                        <w:t>-</w:t>
                      </w:r>
                      <w:r>
                        <w:rPr>
                          <w:rFonts w:hint="default" w:ascii="Times New Roman" w:hAnsi="Times New Roman" w:eastAsia="微软雅黑" w:cs="Times New Roman"/>
                          <w:kern w:val="2"/>
                          <w:sz w:val="28"/>
                          <w:szCs w:val="28"/>
                          <w:u w:val="single"/>
                          <w:lang w:val="en-US" w:eastAsia="zh-CN" w:bidi="ar"/>
                        </w:rPr>
                        <w:t>××</w:t>
                      </w:r>
                      <w:r>
                        <w:rPr>
                          <w:rFonts w:hint="default" w:ascii="Times New Roman" w:hAnsi="Times New Roman" w:eastAsia="宋体" w:cs="Times New Roman"/>
                          <w:kern w:val="2"/>
                          <w:sz w:val="28"/>
                          <w:szCs w:val="28"/>
                          <w:u w:val="single"/>
                          <w:lang w:val="en-US" w:eastAsia="zh-CN" w:bidi="ar"/>
                        </w:rPr>
                        <w:t>-</w:t>
                      </w:r>
                      <w:r>
                        <w:rPr>
                          <w:rFonts w:hint="default" w:ascii="Times New Roman" w:hAnsi="Times New Roman" w:eastAsia="微软雅黑" w:cs="Times New Roman"/>
                          <w:kern w:val="2"/>
                          <w:sz w:val="28"/>
                          <w:szCs w:val="28"/>
                          <w:u w:val="single"/>
                          <w:lang w:val="en-US" w:eastAsia="zh-CN" w:bidi="ar"/>
                        </w:rPr>
                        <w:t>××</w:t>
                      </w:r>
                      <w:r>
                        <w:rPr>
                          <w:rFonts w:hint="eastAsia" w:ascii="宋体" w:hAnsi="宋体" w:eastAsia="宋体" w:cs="宋体"/>
                          <w:kern w:val="2"/>
                          <w:sz w:val="28"/>
                          <w:szCs w:val="28"/>
                          <w:u w:val="single"/>
                          <w:lang w:val="en-US" w:eastAsia="zh-CN" w:bidi="ar"/>
                        </w:rPr>
                        <w:t>实施</w:t>
                      </w:r>
                      <w:r>
                        <w:rPr>
                          <w:rFonts w:hint="default" w:ascii="Times New Roman" w:hAnsi="Times New Roman" w:eastAsia="宋体" w:cs="Times New Roman"/>
                          <w:kern w:val="2"/>
                          <w:sz w:val="28"/>
                          <w:szCs w:val="28"/>
                          <w:u w:val="single"/>
                          <w:lang w:val="en-US" w:eastAsia="zh-CN" w:bidi="ar"/>
                        </w:rPr>
                        <w:t xml:space="preserve">   </w:t>
                      </w:r>
                    </w:p>
                    <w:p w14:paraId="038C49C1">
                      <w:pPr>
                        <w:keepNext w:val="0"/>
                        <w:keepLines w:val="0"/>
                        <w:widowControl w:val="0"/>
                        <w:suppressLineNumbers w:val="0"/>
                        <w:spacing w:before="0" w:beforeAutospacing="0" w:after="0" w:afterAutospacing="0"/>
                        <w:ind w:left="0" w:right="0"/>
                        <w:jc w:val="center"/>
                      </w:pPr>
                      <w:r>
                        <w:rPr>
                          <w:rFonts w:hint="eastAsia" w:ascii="宋体" w:hAnsi="宋体" w:eastAsia="宋体" w:cs="宋体"/>
                          <w:b/>
                          <w:bCs w:val="0"/>
                          <w:kern w:val="2"/>
                          <w:sz w:val="36"/>
                          <w:szCs w:val="36"/>
                          <w:lang w:val="en-US" w:eastAsia="zh-CN" w:bidi="ar"/>
                        </w:rPr>
                        <w:t>河北省市场监督管理局</w:t>
                      </w:r>
                      <w:r>
                        <w:rPr>
                          <w:rFonts w:hint="default" w:ascii="Times New Roman" w:hAnsi="Times New Roman" w:eastAsia="宋体" w:cs="Times New Roman"/>
                          <w:b/>
                          <w:bCs w:val="0"/>
                          <w:kern w:val="2"/>
                          <w:sz w:val="36"/>
                          <w:szCs w:val="36"/>
                          <w:lang w:val="en-US" w:eastAsia="zh-CN" w:bidi="ar"/>
                        </w:rPr>
                        <w:t xml:space="preserve">  </w:t>
                      </w:r>
                      <w:r>
                        <w:rPr>
                          <w:rFonts w:hint="eastAsia" w:ascii="宋体" w:hAnsi="宋体" w:eastAsia="宋体" w:cs="宋体"/>
                          <w:b/>
                          <w:bCs w:val="0"/>
                          <w:kern w:val="2"/>
                          <w:sz w:val="36"/>
                          <w:szCs w:val="36"/>
                          <w:lang w:val="en-US" w:eastAsia="zh-CN" w:bidi="ar"/>
                        </w:rPr>
                        <w:t>发布</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3635375</wp:posOffset>
                </wp:positionV>
                <wp:extent cx="5969000" cy="4681220"/>
                <wp:effectExtent l="0" t="4445" r="0" b="635"/>
                <wp:wrapNone/>
                <wp:docPr id="17" name="fmFrame4"/>
                <wp:cNvGraphicFramePr/>
                <a:graphic xmlns:a="http://schemas.openxmlformats.org/drawingml/2006/main">
                  <a:graphicData uri="http://schemas.microsoft.com/office/word/2010/wordprocessingShape">
                    <wps:wsp>
                      <wps:cNvSpPr txBox="1">
                        <a:spLocks noChangeArrowheads="1"/>
                      </wps:cNvSpPr>
                      <wps:spPr bwMode="auto">
                        <a:xfrm>
                          <a:off x="0" y="0"/>
                          <a:ext cx="5969000" cy="4681220"/>
                        </a:xfrm>
                        <a:prstGeom prst="rect">
                          <a:avLst/>
                        </a:prstGeom>
                        <a:solidFill>
                          <a:srgbClr val="FFFFFF"/>
                        </a:solidFill>
                        <a:ln>
                          <a:noFill/>
                        </a:ln>
                      </wps:spPr>
                      <wps:txbx>
                        <w:txbxContent>
                          <w:p w14:paraId="48E2C7D7">
                            <w:pPr>
                              <w:ind w:firstLine="964"/>
                              <w:jc w:val="center"/>
                              <w:rPr>
                                <w:b/>
                                <w:sz w:val="48"/>
                                <w:szCs w:val="48"/>
                              </w:rPr>
                            </w:pPr>
                          </w:p>
                          <w:p w14:paraId="2DB328EE">
                            <w:pPr>
                              <w:pStyle w:val="41"/>
                            </w:pPr>
                            <w:bookmarkStart w:id="15" w:name="OLE_LINK7"/>
                            <w:r>
                              <w:rPr>
                                <w:rFonts w:hint="eastAsia"/>
                              </w:rPr>
                              <w:t>农村户用卫生厕所改造技术规程</w:t>
                            </w:r>
                          </w:p>
                          <w:bookmarkEnd w:id="15"/>
                          <w:p w14:paraId="1D82039E">
                            <w:pPr>
                              <w:pStyle w:val="41"/>
                              <w:rPr>
                                <w:rFonts w:ascii="Times New Roman"/>
                                <w:sz w:val="44"/>
                                <w:szCs w:val="16"/>
                              </w:rPr>
                            </w:pPr>
                            <w:r>
                              <w:rPr>
                                <w:rFonts w:hint="eastAsia" w:ascii="Times New Roman"/>
                                <w:sz w:val="44"/>
                                <w:szCs w:val="16"/>
                              </w:rPr>
                              <w:t>Technical regulations for the renovation of rural household sanitary latrines</w:t>
                            </w:r>
                          </w:p>
                          <w:p w14:paraId="210DDC36">
                            <w:pPr>
                              <w:pStyle w:val="41"/>
                            </w:pPr>
                          </w:p>
                          <w:p w14:paraId="3DA314AF">
                            <w:pPr>
                              <w:keepNext/>
                              <w:keepLines/>
                              <w:spacing w:before="260" w:after="260"/>
                              <w:ind w:left="0" w:leftChars="0" w:right="105" w:firstLine="0" w:firstLineChars="0"/>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val="en-US" w:eastAsia="zh-CN"/>
                              </w:rPr>
                              <w:t>征求意见</w:t>
                            </w:r>
                            <w:r>
                              <w:rPr>
                                <w:rFonts w:hint="eastAsia" w:ascii="仿宋_GB2312" w:hAnsi="仿宋_GB2312" w:eastAsia="仿宋_GB2312" w:cs="仿宋_GB2312"/>
                                <w:b/>
                                <w:sz w:val="32"/>
                                <w:szCs w:val="32"/>
                              </w:rPr>
                              <w:t>稿）</w:t>
                            </w:r>
                          </w:p>
                          <w:p w14:paraId="66F506DF">
                            <w:pPr>
                              <w:pStyle w:val="49"/>
                              <w:rPr>
                                <w:i/>
                                <w:iCs/>
                                <w:color w:val="FF0000"/>
                              </w:rPr>
                            </w:pPr>
                          </w:p>
                          <w:p w14:paraId="27DFCA96">
                            <w:pPr>
                              <w:pStyle w:val="49"/>
                              <w:rPr>
                                <w:i/>
                                <w:iCs/>
                                <w:color w:val="FF0000"/>
                              </w:rPr>
                            </w:pPr>
                          </w:p>
                          <w:p w14:paraId="058299AF">
                            <w:pPr>
                              <w:pStyle w:val="50"/>
                            </w:pPr>
                          </w:p>
                          <w:p w14:paraId="4579FBC5">
                            <w:pPr>
                              <w:pStyle w:val="42"/>
                            </w:pPr>
                          </w:p>
                          <w:p w14:paraId="7B5CF255"/>
                          <w:p w14:paraId="5A2572AF"/>
                          <w:p w14:paraId="49AEABCF">
                            <w:pPr>
                              <w:pStyle w:val="41"/>
                            </w:pPr>
                          </w:p>
                          <w:p w14:paraId="426A844D">
                            <w:pPr>
                              <w:pStyle w:val="49"/>
                              <w:rPr>
                                <w:i/>
                                <w:iCs/>
                                <w:color w:val="FF0000"/>
                              </w:rPr>
                            </w:pPr>
                          </w:p>
                          <w:p w14:paraId="7C2EF9B0">
                            <w:pPr>
                              <w:pStyle w:val="49"/>
                              <w:rPr>
                                <w:i/>
                                <w:iCs/>
                                <w:color w:val="FF0000"/>
                              </w:rPr>
                            </w:pPr>
                          </w:p>
                          <w:p w14:paraId="5ADCADEB">
                            <w:pPr>
                              <w:pStyle w:val="49"/>
                            </w:pPr>
                            <w:r>
                              <w:rPr>
                                <w:rFonts w:hint="eastAsia"/>
                              </w:rPr>
                              <w:t>(送审稿)</w:t>
                            </w:r>
                          </w:p>
                          <w:p w14:paraId="47D31835">
                            <w:pPr>
                              <w:pStyle w:val="50"/>
                            </w:pPr>
                          </w:p>
                          <w:p w14:paraId="30EFFC0B">
                            <w:pPr>
                              <w:pStyle w:val="42"/>
                            </w:pPr>
                          </w:p>
                          <w:p w14:paraId="00667E23"/>
                          <w:p w14:paraId="3920CBBE"/>
                          <w:p w14:paraId="2D310564">
                            <w:pPr>
                              <w:pStyle w:val="41"/>
                            </w:pPr>
                            <w:r>
                              <w:rPr>
                                <w:rFonts w:hint="eastAsia"/>
                              </w:rPr>
                              <w:t>农村户用卫生厕所改造技术规程</w:t>
                            </w:r>
                          </w:p>
                          <w:p w14:paraId="4A12A710">
                            <w:pPr>
                              <w:pStyle w:val="41"/>
                              <w:rPr>
                                <w:rFonts w:ascii="Times New Roman"/>
                                <w:sz w:val="44"/>
                                <w:szCs w:val="16"/>
                              </w:rPr>
                            </w:pPr>
                            <w:r>
                              <w:rPr>
                                <w:rFonts w:ascii="Times New Roman"/>
                                <w:sz w:val="44"/>
                                <w:szCs w:val="16"/>
                              </w:rPr>
                              <w:t>rural household latrine</w:t>
                            </w:r>
                          </w:p>
                          <w:p w14:paraId="2F1390D0">
                            <w:pPr>
                              <w:pStyle w:val="41"/>
                            </w:pPr>
                          </w:p>
                          <w:p w14:paraId="1F3883E8">
                            <w:pPr>
                              <w:pStyle w:val="49"/>
                              <w:rPr>
                                <w:i/>
                                <w:iCs/>
                                <w:color w:val="FF0000"/>
                              </w:rPr>
                            </w:pPr>
                          </w:p>
                          <w:p w14:paraId="3B7009E8">
                            <w:pPr>
                              <w:pStyle w:val="49"/>
                              <w:rPr>
                                <w:i/>
                                <w:iCs/>
                                <w:color w:val="FF0000"/>
                              </w:rPr>
                            </w:pPr>
                          </w:p>
                          <w:p w14:paraId="73622FA9">
                            <w:pPr>
                              <w:pStyle w:val="49"/>
                            </w:pPr>
                            <w:r>
                              <w:rPr>
                                <w:rFonts w:hint="eastAsia"/>
                              </w:rPr>
                              <w:t>(送审稿)</w:t>
                            </w:r>
                          </w:p>
                          <w:p w14:paraId="6B6B8B5F">
                            <w:pPr>
                              <w:pStyle w:val="50"/>
                            </w:pPr>
                          </w:p>
                          <w:p w14:paraId="0A449737">
                            <w:pPr>
                              <w:pStyle w:val="42"/>
                            </w:pPr>
                          </w:p>
                          <w:p w14:paraId="1F4D0046"/>
                          <w:p w14:paraId="4C61F633"/>
                          <w:p w14:paraId="4637AA05">
                            <w:pPr>
                              <w:pStyle w:val="41"/>
                            </w:pPr>
                          </w:p>
                          <w:p w14:paraId="145B7F24">
                            <w:pPr>
                              <w:pStyle w:val="49"/>
                              <w:rPr>
                                <w:i/>
                                <w:iCs/>
                                <w:color w:val="FF0000"/>
                              </w:rPr>
                            </w:pPr>
                          </w:p>
                          <w:p w14:paraId="0ECC7389">
                            <w:pPr>
                              <w:pStyle w:val="49"/>
                              <w:rPr>
                                <w:i/>
                                <w:iCs/>
                                <w:color w:val="FF0000"/>
                              </w:rPr>
                            </w:pPr>
                          </w:p>
                          <w:p w14:paraId="662A2B33">
                            <w:pPr>
                              <w:pStyle w:val="49"/>
                            </w:pPr>
                            <w:r>
                              <w:rPr>
                                <w:rFonts w:hint="eastAsia"/>
                              </w:rPr>
                              <w:t>(送审稿)</w:t>
                            </w:r>
                          </w:p>
                          <w:p w14:paraId="3A001FB7">
                            <w:pPr>
                              <w:pStyle w:val="50"/>
                            </w:pPr>
                          </w:p>
                          <w:p w14:paraId="04AED68E">
                            <w:pPr>
                              <w:pStyle w:val="42"/>
                            </w:pPr>
                          </w:p>
                          <w:p w14:paraId="2DA60A8E"/>
                          <w:p w14:paraId="196B773D"/>
                          <w:p w14:paraId="5EF44FC3">
                            <w:pPr>
                              <w:pStyle w:val="41"/>
                            </w:pPr>
                            <w:r>
                              <w:rPr>
                                <w:rFonts w:hint="eastAsia"/>
                              </w:rPr>
                              <w:t>农村户用卫生厕所改造技术规程</w:t>
                            </w:r>
                          </w:p>
                          <w:p w14:paraId="06311AE0">
                            <w:pPr>
                              <w:pStyle w:val="41"/>
                              <w:rPr>
                                <w:rFonts w:ascii="Times New Roman"/>
                                <w:sz w:val="44"/>
                                <w:szCs w:val="16"/>
                              </w:rPr>
                            </w:pPr>
                            <w:r>
                              <w:rPr>
                                <w:rFonts w:ascii="Times New Roman"/>
                                <w:sz w:val="44"/>
                                <w:szCs w:val="16"/>
                              </w:rPr>
                              <w:t>rural household latrine</w:t>
                            </w:r>
                          </w:p>
                          <w:p w14:paraId="16A19C99">
                            <w:pPr>
                              <w:pStyle w:val="41"/>
                            </w:pPr>
                          </w:p>
                          <w:p w14:paraId="0FB7A0B9">
                            <w:pPr>
                              <w:pStyle w:val="49"/>
                              <w:rPr>
                                <w:i/>
                                <w:iCs/>
                                <w:color w:val="FF0000"/>
                              </w:rPr>
                            </w:pPr>
                          </w:p>
                          <w:p w14:paraId="673C8955">
                            <w:pPr>
                              <w:pStyle w:val="49"/>
                              <w:rPr>
                                <w:i/>
                                <w:iCs/>
                                <w:color w:val="FF0000"/>
                              </w:rPr>
                            </w:pPr>
                          </w:p>
                          <w:p w14:paraId="647C4D81">
                            <w:pPr>
                              <w:pStyle w:val="49"/>
                            </w:pPr>
                            <w:r>
                              <w:rPr>
                                <w:rFonts w:hint="eastAsia"/>
                              </w:rPr>
                              <w:t>(送审稿)</w:t>
                            </w:r>
                          </w:p>
                          <w:p w14:paraId="7BE47653">
                            <w:pPr>
                              <w:pStyle w:val="50"/>
                            </w:pPr>
                          </w:p>
                          <w:p w14:paraId="0BA450AA">
                            <w:pPr>
                              <w:pStyle w:val="42"/>
                            </w:pPr>
                          </w:p>
                          <w:p w14:paraId="052B702B"/>
                          <w:p w14:paraId="09177792"/>
                          <w:p w14:paraId="1E2CFD5B">
                            <w:pPr>
                              <w:pStyle w:val="41"/>
                            </w:pPr>
                          </w:p>
                          <w:p w14:paraId="23EE73B1">
                            <w:pPr>
                              <w:pStyle w:val="49"/>
                              <w:rPr>
                                <w:i/>
                                <w:iCs/>
                                <w:color w:val="FF0000"/>
                              </w:rPr>
                            </w:pPr>
                          </w:p>
                          <w:p w14:paraId="5FE175A9">
                            <w:pPr>
                              <w:pStyle w:val="49"/>
                              <w:rPr>
                                <w:i/>
                                <w:iCs/>
                                <w:color w:val="FF0000"/>
                              </w:rPr>
                            </w:pPr>
                          </w:p>
                          <w:p w14:paraId="3D2AE331">
                            <w:pPr>
                              <w:pStyle w:val="49"/>
                            </w:pPr>
                            <w:r>
                              <w:rPr>
                                <w:rFonts w:hint="eastAsia"/>
                              </w:rPr>
                              <w:t>(送审稿)</w:t>
                            </w:r>
                          </w:p>
                          <w:p w14:paraId="22817524">
                            <w:pPr>
                              <w:pStyle w:val="50"/>
                            </w:pPr>
                          </w:p>
                          <w:p w14:paraId="200E933B">
                            <w:pPr>
                              <w:pStyle w:val="42"/>
                            </w:pPr>
                          </w:p>
                          <w:p w14:paraId="5B88507F"/>
                          <w:p w14:paraId="21E17456"/>
                          <w:p w14:paraId="36A724F0">
                            <w:pPr>
                              <w:pStyle w:val="41"/>
                            </w:pPr>
                            <w:r>
                              <w:rPr>
                                <w:rFonts w:hint="eastAsia"/>
                              </w:rPr>
                              <w:t>农村户用卫生厕所改造技术规程</w:t>
                            </w:r>
                          </w:p>
                          <w:p w14:paraId="3B7B7ED8">
                            <w:pPr>
                              <w:pStyle w:val="41"/>
                              <w:rPr>
                                <w:rFonts w:ascii="Times New Roman"/>
                                <w:sz w:val="44"/>
                                <w:szCs w:val="16"/>
                              </w:rPr>
                            </w:pPr>
                            <w:r>
                              <w:rPr>
                                <w:rFonts w:ascii="Times New Roman"/>
                                <w:sz w:val="44"/>
                                <w:szCs w:val="16"/>
                              </w:rPr>
                              <w:t>rural household latrine</w:t>
                            </w:r>
                          </w:p>
                          <w:p w14:paraId="726322C9">
                            <w:pPr>
                              <w:pStyle w:val="41"/>
                            </w:pPr>
                          </w:p>
                          <w:p w14:paraId="7D9EEA45">
                            <w:pPr>
                              <w:pStyle w:val="49"/>
                              <w:rPr>
                                <w:i/>
                                <w:iCs/>
                                <w:color w:val="FF0000"/>
                              </w:rPr>
                            </w:pPr>
                          </w:p>
                          <w:p w14:paraId="30A56457">
                            <w:pPr>
                              <w:pStyle w:val="49"/>
                              <w:rPr>
                                <w:i/>
                                <w:iCs/>
                                <w:color w:val="FF0000"/>
                              </w:rPr>
                            </w:pPr>
                          </w:p>
                          <w:p w14:paraId="7805B01C">
                            <w:pPr>
                              <w:pStyle w:val="49"/>
                            </w:pPr>
                            <w:r>
                              <w:rPr>
                                <w:rFonts w:hint="eastAsia"/>
                              </w:rPr>
                              <w:t>(送审稿)</w:t>
                            </w:r>
                          </w:p>
                          <w:p w14:paraId="70D109FB">
                            <w:pPr>
                              <w:pStyle w:val="50"/>
                            </w:pPr>
                          </w:p>
                          <w:p w14:paraId="40DD9EA3">
                            <w:pPr>
                              <w:pStyle w:val="42"/>
                            </w:pPr>
                          </w:p>
                          <w:p w14:paraId="7FD8E948"/>
                          <w:p w14:paraId="2B645138"/>
                          <w:p w14:paraId="5901F08E">
                            <w:pPr>
                              <w:pStyle w:val="41"/>
                            </w:pPr>
                          </w:p>
                          <w:p w14:paraId="42D7A3F2">
                            <w:pPr>
                              <w:pStyle w:val="49"/>
                              <w:rPr>
                                <w:i/>
                                <w:iCs/>
                                <w:color w:val="FF0000"/>
                              </w:rPr>
                            </w:pPr>
                          </w:p>
                          <w:p w14:paraId="4FAC8A2D">
                            <w:pPr>
                              <w:pStyle w:val="49"/>
                              <w:rPr>
                                <w:i/>
                                <w:iCs/>
                                <w:color w:val="FF0000"/>
                              </w:rPr>
                            </w:pPr>
                          </w:p>
                          <w:p w14:paraId="73D0A95E">
                            <w:pPr>
                              <w:pStyle w:val="49"/>
                            </w:pPr>
                            <w:r>
                              <w:rPr>
                                <w:rFonts w:hint="eastAsia"/>
                              </w:rPr>
                              <w:t>(送审稿)</w:t>
                            </w:r>
                          </w:p>
                          <w:p w14:paraId="06C42350">
                            <w:pPr>
                              <w:pStyle w:val="50"/>
                            </w:pPr>
                          </w:p>
                          <w:p w14:paraId="5F0EC9B6">
                            <w:pPr>
                              <w:pStyle w:val="42"/>
                            </w:pPr>
                          </w:p>
                        </w:txbxContent>
                      </wps:txbx>
                      <wps:bodyPr rot="0" vert="horz" wrap="square" lIns="0" tIns="0" rIns="0" bIns="0" anchor="t" anchorCtr="0" upright="1">
                        <a:noAutofit/>
                      </wps:bodyPr>
                    </wps:wsp>
                  </a:graphicData>
                </a:graphic>
              </wp:anchor>
            </w:drawing>
          </mc:Choice>
          <mc:Fallback>
            <w:pict>
              <v:shape id="fmFrame4" o:spid="_x0000_s1026" o:spt="202" type="#_x0000_t202" style="position:absolute;left:0pt;margin-left:0pt;margin-top:286.25pt;height:368.6pt;width:470pt;mso-position-horizontal-relative:margin;mso-position-vertical-relative:margin;z-index:251662336;mso-width-relative:page;mso-height-relative:page;" fillcolor="#FFFFFF" filled="t" stroked="f" coordsize="21600,21600"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RXn3HYAAAACQEAAA8AAAAAAAAA&#10;AQAgAAAAIgAAAGRycy9kb3ducmV2LnhtbFBLAQIUABQAAAAIAIdO4kAaLdS8EQIAAC0EAAAOAAAA&#10;AAAAAAEAIAAAACcBAABkcnMvZTJvRG9jLnhtbFBLBQYAAAAABgAGAFkBAACqBQAAAAA=&#10;">
                <v:fill on="t" focussize="0,0"/>
                <v:stroke on="f"/>
                <v:imagedata o:title=""/>
                <o:lock v:ext="edit" aspectratio="f"/>
                <v:textbox inset="0mm,0mm,0mm,0mm">
                  <w:txbxContent>
                    <w:p w14:paraId="48E2C7D7">
                      <w:pPr>
                        <w:ind w:firstLine="964"/>
                        <w:jc w:val="center"/>
                        <w:rPr>
                          <w:b/>
                          <w:sz w:val="48"/>
                          <w:szCs w:val="48"/>
                        </w:rPr>
                      </w:pPr>
                    </w:p>
                    <w:p w14:paraId="2DB328EE">
                      <w:pPr>
                        <w:pStyle w:val="41"/>
                      </w:pPr>
                      <w:bookmarkStart w:id="15" w:name="OLE_LINK7"/>
                      <w:r>
                        <w:rPr>
                          <w:rFonts w:hint="eastAsia"/>
                        </w:rPr>
                        <w:t>农村户用卫生厕所改造技术规程</w:t>
                      </w:r>
                    </w:p>
                    <w:bookmarkEnd w:id="15"/>
                    <w:p w14:paraId="1D82039E">
                      <w:pPr>
                        <w:pStyle w:val="41"/>
                        <w:rPr>
                          <w:rFonts w:ascii="Times New Roman"/>
                          <w:sz w:val="44"/>
                          <w:szCs w:val="16"/>
                        </w:rPr>
                      </w:pPr>
                      <w:r>
                        <w:rPr>
                          <w:rFonts w:hint="eastAsia" w:ascii="Times New Roman"/>
                          <w:sz w:val="44"/>
                          <w:szCs w:val="16"/>
                        </w:rPr>
                        <w:t>Technical regulations for the renovation of rural household sanitary latrines</w:t>
                      </w:r>
                    </w:p>
                    <w:p w14:paraId="210DDC36">
                      <w:pPr>
                        <w:pStyle w:val="41"/>
                      </w:pPr>
                    </w:p>
                    <w:p w14:paraId="3DA314AF">
                      <w:pPr>
                        <w:keepNext/>
                        <w:keepLines/>
                        <w:spacing w:before="260" w:after="260"/>
                        <w:ind w:left="0" w:leftChars="0" w:right="105" w:firstLine="0" w:firstLineChars="0"/>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val="en-US" w:eastAsia="zh-CN"/>
                        </w:rPr>
                        <w:t>征求意见</w:t>
                      </w:r>
                      <w:r>
                        <w:rPr>
                          <w:rFonts w:hint="eastAsia" w:ascii="仿宋_GB2312" w:hAnsi="仿宋_GB2312" w:eastAsia="仿宋_GB2312" w:cs="仿宋_GB2312"/>
                          <w:b/>
                          <w:sz w:val="32"/>
                          <w:szCs w:val="32"/>
                        </w:rPr>
                        <w:t>稿）</w:t>
                      </w:r>
                    </w:p>
                    <w:p w14:paraId="66F506DF">
                      <w:pPr>
                        <w:pStyle w:val="49"/>
                        <w:rPr>
                          <w:i/>
                          <w:iCs/>
                          <w:color w:val="FF0000"/>
                        </w:rPr>
                      </w:pPr>
                    </w:p>
                    <w:p w14:paraId="27DFCA96">
                      <w:pPr>
                        <w:pStyle w:val="49"/>
                        <w:rPr>
                          <w:i/>
                          <w:iCs/>
                          <w:color w:val="FF0000"/>
                        </w:rPr>
                      </w:pPr>
                    </w:p>
                    <w:p w14:paraId="058299AF">
                      <w:pPr>
                        <w:pStyle w:val="50"/>
                      </w:pPr>
                    </w:p>
                    <w:p w14:paraId="4579FBC5">
                      <w:pPr>
                        <w:pStyle w:val="42"/>
                      </w:pPr>
                    </w:p>
                    <w:p w14:paraId="7B5CF255"/>
                    <w:p w14:paraId="5A2572AF"/>
                    <w:p w14:paraId="49AEABCF">
                      <w:pPr>
                        <w:pStyle w:val="41"/>
                      </w:pPr>
                    </w:p>
                    <w:p w14:paraId="426A844D">
                      <w:pPr>
                        <w:pStyle w:val="49"/>
                        <w:rPr>
                          <w:i/>
                          <w:iCs/>
                          <w:color w:val="FF0000"/>
                        </w:rPr>
                      </w:pPr>
                    </w:p>
                    <w:p w14:paraId="7C2EF9B0">
                      <w:pPr>
                        <w:pStyle w:val="49"/>
                        <w:rPr>
                          <w:i/>
                          <w:iCs/>
                          <w:color w:val="FF0000"/>
                        </w:rPr>
                      </w:pPr>
                    </w:p>
                    <w:p w14:paraId="5ADCADEB">
                      <w:pPr>
                        <w:pStyle w:val="49"/>
                      </w:pPr>
                      <w:r>
                        <w:rPr>
                          <w:rFonts w:hint="eastAsia"/>
                        </w:rPr>
                        <w:t>(送审稿)</w:t>
                      </w:r>
                    </w:p>
                    <w:p w14:paraId="47D31835">
                      <w:pPr>
                        <w:pStyle w:val="50"/>
                      </w:pPr>
                    </w:p>
                    <w:p w14:paraId="30EFFC0B">
                      <w:pPr>
                        <w:pStyle w:val="42"/>
                      </w:pPr>
                    </w:p>
                    <w:p w14:paraId="00667E23"/>
                    <w:p w14:paraId="3920CBBE"/>
                    <w:p w14:paraId="2D310564">
                      <w:pPr>
                        <w:pStyle w:val="41"/>
                      </w:pPr>
                      <w:r>
                        <w:rPr>
                          <w:rFonts w:hint="eastAsia"/>
                        </w:rPr>
                        <w:t>农村户用卫生厕所改造技术规程</w:t>
                      </w:r>
                    </w:p>
                    <w:p w14:paraId="4A12A710">
                      <w:pPr>
                        <w:pStyle w:val="41"/>
                        <w:rPr>
                          <w:rFonts w:ascii="Times New Roman"/>
                          <w:sz w:val="44"/>
                          <w:szCs w:val="16"/>
                        </w:rPr>
                      </w:pPr>
                      <w:r>
                        <w:rPr>
                          <w:rFonts w:ascii="Times New Roman"/>
                          <w:sz w:val="44"/>
                          <w:szCs w:val="16"/>
                        </w:rPr>
                        <w:t>rural household latrine</w:t>
                      </w:r>
                    </w:p>
                    <w:p w14:paraId="2F1390D0">
                      <w:pPr>
                        <w:pStyle w:val="41"/>
                      </w:pPr>
                    </w:p>
                    <w:p w14:paraId="1F3883E8">
                      <w:pPr>
                        <w:pStyle w:val="49"/>
                        <w:rPr>
                          <w:i/>
                          <w:iCs/>
                          <w:color w:val="FF0000"/>
                        </w:rPr>
                      </w:pPr>
                    </w:p>
                    <w:p w14:paraId="3B7009E8">
                      <w:pPr>
                        <w:pStyle w:val="49"/>
                        <w:rPr>
                          <w:i/>
                          <w:iCs/>
                          <w:color w:val="FF0000"/>
                        </w:rPr>
                      </w:pPr>
                    </w:p>
                    <w:p w14:paraId="73622FA9">
                      <w:pPr>
                        <w:pStyle w:val="49"/>
                      </w:pPr>
                      <w:r>
                        <w:rPr>
                          <w:rFonts w:hint="eastAsia"/>
                        </w:rPr>
                        <w:t>(送审稿)</w:t>
                      </w:r>
                    </w:p>
                    <w:p w14:paraId="6B6B8B5F">
                      <w:pPr>
                        <w:pStyle w:val="50"/>
                      </w:pPr>
                    </w:p>
                    <w:p w14:paraId="0A449737">
                      <w:pPr>
                        <w:pStyle w:val="42"/>
                      </w:pPr>
                    </w:p>
                    <w:p w14:paraId="1F4D0046"/>
                    <w:p w14:paraId="4C61F633"/>
                    <w:p w14:paraId="4637AA05">
                      <w:pPr>
                        <w:pStyle w:val="41"/>
                      </w:pPr>
                    </w:p>
                    <w:p w14:paraId="145B7F24">
                      <w:pPr>
                        <w:pStyle w:val="49"/>
                        <w:rPr>
                          <w:i/>
                          <w:iCs/>
                          <w:color w:val="FF0000"/>
                        </w:rPr>
                      </w:pPr>
                    </w:p>
                    <w:p w14:paraId="0ECC7389">
                      <w:pPr>
                        <w:pStyle w:val="49"/>
                        <w:rPr>
                          <w:i/>
                          <w:iCs/>
                          <w:color w:val="FF0000"/>
                        </w:rPr>
                      </w:pPr>
                    </w:p>
                    <w:p w14:paraId="662A2B33">
                      <w:pPr>
                        <w:pStyle w:val="49"/>
                      </w:pPr>
                      <w:r>
                        <w:rPr>
                          <w:rFonts w:hint="eastAsia"/>
                        </w:rPr>
                        <w:t>(送审稿)</w:t>
                      </w:r>
                    </w:p>
                    <w:p w14:paraId="3A001FB7">
                      <w:pPr>
                        <w:pStyle w:val="50"/>
                      </w:pPr>
                    </w:p>
                    <w:p w14:paraId="04AED68E">
                      <w:pPr>
                        <w:pStyle w:val="42"/>
                      </w:pPr>
                    </w:p>
                    <w:p w14:paraId="2DA60A8E"/>
                    <w:p w14:paraId="196B773D"/>
                    <w:p w14:paraId="5EF44FC3">
                      <w:pPr>
                        <w:pStyle w:val="41"/>
                      </w:pPr>
                      <w:r>
                        <w:rPr>
                          <w:rFonts w:hint="eastAsia"/>
                        </w:rPr>
                        <w:t>农村户用卫生厕所改造技术规程</w:t>
                      </w:r>
                    </w:p>
                    <w:p w14:paraId="06311AE0">
                      <w:pPr>
                        <w:pStyle w:val="41"/>
                        <w:rPr>
                          <w:rFonts w:ascii="Times New Roman"/>
                          <w:sz w:val="44"/>
                          <w:szCs w:val="16"/>
                        </w:rPr>
                      </w:pPr>
                      <w:r>
                        <w:rPr>
                          <w:rFonts w:ascii="Times New Roman"/>
                          <w:sz w:val="44"/>
                          <w:szCs w:val="16"/>
                        </w:rPr>
                        <w:t>rural household latrine</w:t>
                      </w:r>
                    </w:p>
                    <w:p w14:paraId="16A19C99">
                      <w:pPr>
                        <w:pStyle w:val="41"/>
                      </w:pPr>
                    </w:p>
                    <w:p w14:paraId="0FB7A0B9">
                      <w:pPr>
                        <w:pStyle w:val="49"/>
                        <w:rPr>
                          <w:i/>
                          <w:iCs/>
                          <w:color w:val="FF0000"/>
                        </w:rPr>
                      </w:pPr>
                    </w:p>
                    <w:p w14:paraId="673C8955">
                      <w:pPr>
                        <w:pStyle w:val="49"/>
                        <w:rPr>
                          <w:i/>
                          <w:iCs/>
                          <w:color w:val="FF0000"/>
                        </w:rPr>
                      </w:pPr>
                    </w:p>
                    <w:p w14:paraId="647C4D81">
                      <w:pPr>
                        <w:pStyle w:val="49"/>
                      </w:pPr>
                      <w:r>
                        <w:rPr>
                          <w:rFonts w:hint="eastAsia"/>
                        </w:rPr>
                        <w:t>(送审稿)</w:t>
                      </w:r>
                    </w:p>
                    <w:p w14:paraId="7BE47653">
                      <w:pPr>
                        <w:pStyle w:val="50"/>
                      </w:pPr>
                    </w:p>
                    <w:p w14:paraId="0BA450AA">
                      <w:pPr>
                        <w:pStyle w:val="42"/>
                      </w:pPr>
                    </w:p>
                    <w:p w14:paraId="052B702B"/>
                    <w:p w14:paraId="09177792"/>
                    <w:p w14:paraId="1E2CFD5B">
                      <w:pPr>
                        <w:pStyle w:val="41"/>
                      </w:pPr>
                    </w:p>
                    <w:p w14:paraId="23EE73B1">
                      <w:pPr>
                        <w:pStyle w:val="49"/>
                        <w:rPr>
                          <w:i/>
                          <w:iCs/>
                          <w:color w:val="FF0000"/>
                        </w:rPr>
                      </w:pPr>
                    </w:p>
                    <w:p w14:paraId="5FE175A9">
                      <w:pPr>
                        <w:pStyle w:val="49"/>
                        <w:rPr>
                          <w:i/>
                          <w:iCs/>
                          <w:color w:val="FF0000"/>
                        </w:rPr>
                      </w:pPr>
                    </w:p>
                    <w:p w14:paraId="3D2AE331">
                      <w:pPr>
                        <w:pStyle w:val="49"/>
                      </w:pPr>
                      <w:r>
                        <w:rPr>
                          <w:rFonts w:hint="eastAsia"/>
                        </w:rPr>
                        <w:t>(送审稿)</w:t>
                      </w:r>
                    </w:p>
                    <w:p w14:paraId="22817524">
                      <w:pPr>
                        <w:pStyle w:val="50"/>
                      </w:pPr>
                    </w:p>
                    <w:p w14:paraId="200E933B">
                      <w:pPr>
                        <w:pStyle w:val="42"/>
                      </w:pPr>
                    </w:p>
                    <w:p w14:paraId="5B88507F"/>
                    <w:p w14:paraId="21E17456"/>
                    <w:p w14:paraId="36A724F0">
                      <w:pPr>
                        <w:pStyle w:val="41"/>
                      </w:pPr>
                      <w:r>
                        <w:rPr>
                          <w:rFonts w:hint="eastAsia"/>
                        </w:rPr>
                        <w:t>农村户用卫生厕所改造技术规程</w:t>
                      </w:r>
                    </w:p>
                    <w:p w14:paraId="3B7B7ED8">
                      <w:pPr>
                        <w:pStyle w:val="41"/>
                        <w:rPr>
                          <w:rFonts w:ascii="Times New Roman"/>
                          <w:sz w:val="44"/>
                          <w:szCs w:val="16"/>
                        </w:rPr>
                      </w:pPr>
                      <w:r>
                        <w:rPr>
                          <w:rFonts w:ascii="Times New Roman"/>
                          <w:sz w:val="44"/>
                          <w:szCs w:val="16"/>
                        </w:rPr>
                        <w:t>rural household latrine</w:t>
                      </w:r>
                    </w:p>
                    <w:p w14:paraId="726322C9">
                      <w:pPr>
                        <w:pStyle w:val="41"/>
                      </w:pPr>
                    </w:p>
                    <w:p w14:paraId="7D9EEA45">
                      <w:pPr>
                        <w:pStyle w:val="49"/>
                        <w:rPr>
                          <w:i/>
                          <w:iCs/>
                          <w:color w:val="FF0000"/>
                        </w:rPr>
                      </w:pPr>
                    </w:p>
                    <w:p w14:paraId="30A56457">
                      <w:pPr>
                        <w:pStyle w:val="49"/>
                        <w:rPr>
                          <w:i/>
                          <w:iCs/>
                          <w:color w:val="FF0000"/>
                        </w:rPr>
                      </w:pPr>
                    </w:p>
                    <w:p w14:paraId="7805B01C">
                      <w:pPr>
                        <w:pStyle w:val="49"/>
                      </w:pPr>
                      <w:r>
                        <w:rPr>
                          <w:rFonts w:hint="eastAsia"/>
                        </w:rPr>
                        <w:t>(送审稿)</w:t>
                      </w:r>
                    </w:p>
                    <w:p w14:paraId="70D109FB">
                      <w:pPr>
                        <w:pStyle w:val="50"/>
                      </w:pPr>
                    </w:p>
                    <w:p w14:paraId="40DD9EA3">
                      <w:pPr>
                        <w:pStyle w:val="42"/>
                      </w:pPr>
                    </w:p>
                    <w:p w14:paraId="7FD8E948"/>
                    <w:p w14:paraId="2B645138"/>
                    <w:p w14:paraId="5901F08E">
                      <w:pPr>
                        <w:pStyle w:val="41"/>
                      </w:pPr>
                    </w:p>
                    <w:p w14:paraId="42D7A3F2">
                      <w:pPr>
                        <w:pStyle w:val="49"/>
                        <w:rPr>
                          <w:i/>
                          <w:iCs/>
                          <w:color w:val="FF0000"/>
                        </w:rPr>
                      </w:pPr>
                    </w:p>
                    <w:p w14:paraId="4FAC8A2D">
                      <w:pPr>
                        <w:pStyle w:val="49"/>
                        <w:rPr>
                          <w:i/>
                          <w:iCs/>
                          <w:color w:val="FF0000"/>
                        </w:rPr>
                      </w:pPr>
                    </w:p>
                    <w:p w14:paraId="73D0A95E">
                      <w:pPr>
                        <w:pStyle w:val="49"/>
                      </w:pPr>
                      <w:r>
                        <w:rPr>
                          <w:rFonts w:hint="eastAsia"/>
                        </w:rPr>
                        <w:t>(送审稿)</w:t>
                      </w:r>
                    </w:p>
                    <w:p w14:paraId="06C42350">
                      <w:pPr>
                        <w:pStyle w:val="50"/>
                      </w:pPr>
                    </w:p>
                    <w:p w14:paraId="5F0EC9B6">
                      <w:pPr>
                        <w:pStyle w:val="42"/>
                      </w:pP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1312" behindDoc="0" locked="1" layoutInCell="1" allowOverlap="1">
                <wp:simplePos x="0" y="0"/>
                <wp:positionH relativeFrom="margin">
                  <wp:posOffset>0</wp:posOffset>
                </wp:positionH>
                <wp:positionV relativeFrom="margin">
                  <wp:posOffset>1401445</wp:posOffset>
                </wp:positionV>
                <wp:extent cx="5802630" cy="860425"/>
                <wp:effectExtent l="0" t="0" r="2540" b="0"/>
                <wp:wrapNone/>
                <wp:docPr id="16" name="fmFrame3"/>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14:paraId="367C16FD">
                            <w:pPr>
                              <w:pStyle w:val="38"/>
                            </w:pPr>
                            <w:r>
                              <w:t>DB</w:t>
                            </w:r>
                            <w:r>
                              <w:rPr>
                                <w:rFonts w:hint="eastAsia"/>
                              </w:rPr>
                              <w:t>13</w:t>
                            </w:r>
                            <w:r>
                              <w:t>/T</w:t>
                            </w:r>
                            <w:r>
                              <w:rPr>
                                <w:rFonts w:hint="eastAsia"/>
                              </w:rPr>
                              <w:t>xxxx</w:t>
                            </w:r>
                            <w:r>
                              <w:t>—</w:t>
                            </w:r>
                            <w:r>
                              <w:rPr>
                                <w:rFonts w:hint="eastAsia"/>
                              </w:rPr>
                              <w:t>202x</w:t>
                            </w:r>
                          </w:p>
                          <w:p w14:paraId="4A84EFCE"/>
                          <w:p w14:paraId="4CED5746"/>
                          <w:p w14:paraId="276E2C39"/>
                          <w:p w14:paraId="00B0446C"/>
                          <w:p w14:paraId="7F0F526B"/>
                          <w:p w14:paraId="37023D83"/>
                          <w:p w14:paraId="2134F8D2"/>
                        </w:txbxContent>
                      </wps:txbx>
                      <wps:bodyPr rot="0" vert="horz" wrap="square" lIns="0" tIns="0" rIns="0" bIns="0" anchor="t" anchorCtr="0" upright="1">
                        <a:noAutofit/>
                      </wps:bodyPr>
                    </wps:wsp>
                  </a:graphicData>
                </a:graphic>
              </wp:anchor>
            </w:drawing>
          </mc:Choice>
          <mc:Fallback>
            <w:pict>
              <v:shape id="fmFrame3" o:spid="_x0000_s1026" o:spt="202" type="#_x0000_t202" style="position:absolute;left:0pt;margin-left:0pt;margin-top:110.35pt;height:67.75pt;width:456.9pt;mso-position-horizontal-relative:margin;mso-position-vertical-relative:margin;z-index:251661312;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QGk+9gAAAAIAQAADwAAAAAAAAAB&#10;ACAAAAAiAAAAZHJzL2Rvd25yZXYueG1sUEsBAhQAFAAAAAgAh07iQFBC7UUQAgAALAQAAA4AAAAA&#10;AAAAAQAgAAAAJwEAAGRycy9lMm9Eb2MueG1sUEsFBgAAAAAGAAYAWQEAAKkFAAAAAA==&#10;">
                <v:fill on="t" focussize="0,0"/>
                <v:stroke on="f"/>
                <v:imagedata o:title=""/>
                <o:lock v:ext="edit" aspectratio="f"/>
                <v:textbox inset="0mm,0mm,0mm,0mm">
                  <w:txbxContent>
                    <w:p w14:paraId="367C16FD">
                      <w:pPr>
                        <w:pStyle w:val="38"/>
                      </w:pPr>
                      <w:r>
                        <w:t>DB</w:t>
                      </w:r>
                      <w:r>
                        <w:rPr>
                          <w:rFonts w:hint="eastAsia"/>
                        </w:rPr>
                        <w:t>13</w:t>
                      </w:r>
                      <w:r>
                        <w:t>/T</w:t>
                      </w:r>
                      <w:r>
                        <w:rPr>
                          <w:rFonts w:hint="eastAsia"/>
                        </w:rPr>
                        <w:t>xxxx</w:t>
                      </w:r>
                      <w:r>
                        <w:t>—</w:t>
                      </w:r>
                      <w:r>
                        <w:rPr>
                          <w:rFonts w:hint="eastAsia"/>
                        </w:rPr>
                        <w:t>202x</w:t>
                      </w:r>
                    </w:p>
                    <w:p w14:paraId="4A84EFCE"/>
                    <w:p w14:paraId="4CED5746"/>
                    <w:p w14:paraId="276E2C39"/>
                    <w:p w14:paraId="00B0446C"/>
                    <w:p w14:paraId="7F0F526B"/>
                    <w:p w14:paraId="37023D83"/>
                    <w:p w14:paraId="2134F8D2"/>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0288" behindDoc="0" locked="1" layoutInCell="1" allowOverlap="1">
                <wp:simplePos x="0" y="0"/>
                <wp:positionH relativeFrom="margin">
                  <wp:posOffset>2549525</wp:posOffset>
                </wp:positionH>
                <wp:positionV relativeFrom="margin">
                  <wp:posOffset>107315</wp:posOffset>
                </wp:positionV>
                <wp:extent cx="3175000" cy="720090"/>
                <wp:effectExtent l="1905" t="635" r="4445" b="3175"/>
                <wp:wrapNone/>
                <wp:docPr id="15" name="fmFrame8"/>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14:paraId="5A1721B8">
                            <w:pPr>
                              <w:pStyle w:val="47"/>
                            </w:pPr>
                            <w:r>
                              <w:t>DB</w:t>
                            </w:r>
                            <w:r>
                              <w:rPr>
                                <w:rFonts w:hint="eastAsia"/>
                              </w:rPr>
                              <w:t>13</w:t>
                            </w:r>
                          </w:p>
                          <w:p w14:paraId="0848898A"/>
                          <w:p w14:paraId="744782F5"/>
                          <w:p w14:paraId="4CF3461A"/>
                          <w:p w14:paraId="50C70F2E"/>
                          <w:p w14:paraId="5DB57D6E"/>
                          <w:p w14:paraId="6870FCE5"/>
                          <w:p w14:paraId="49614417"/>
                        </w:txbxContent>
                      </wps:txbx>
                      <wps:bodyPr rot="0" vert="horz" wrap="square" lIns="0" tIns="0" rIns="0" bIns="0" anchor="t" anchorCtr="0" upright="1">
                        <a:noAutofit/>
                      </wps:bodyPr>
                    </wps:wsp>
                  </a:graphicData>
                </a:graphic>
              </wp:anchor>
            </w:drawing>
          </mc:Choice>
          <mc:Fallback>
            <w:pict>
              <v:shape id="fmFrame8" o:spid="_x0000_s1026" o:spt="202" type="#_x0000_t202" style="position:absolute;left:0pt;margin-left:200.75pt;margin-top:8.45pt;height:56.7pt;width:250pt;mso-position-horizontal-relative:margin;mso-position-vertical-relative:margin;z-index:251660288;mso-width-relative:page;mso-height-relative:page;" fillcolor="#FFFFFF" filled="t" stroked="f" coordsize="21600,21600"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JWTs82AAAAAoBAAAPAAAAAAAAAAEA&#10;IAAAACIAAABkcnMvZG93bnJldi54bWxQSwECFAAUAAAACACHTuJAnUovmg8CAAAsBAAADgAAAAAA&#10;AAABACAAAAAnAQAAZHJzL2Uyb0RvYy54bWxQSwUGAAAAAAYABgBZAQAAqAUAAAAA&#10;">
                <v:fill on="t" focussize="0,0"/>
                <v:stroke on="f"/>
                <v:imagedata o:title=""/>
                <o:lock v:ext="edit" aspectratio="f"/>
                <v:textbox inset="0mm,0mm,0mm,0mm">
                  <w:txbxContent>
                    <w:p w14:paraId="5A1721B8">
                      <w:pPr>
                        <w:pStyle w:val="47"/>
                      </w:pPr>
                      <w:r>
                        <w:t>DB</w:t>
                      </w:r>
                      <w:r>
                        <w:rPr>
                          <w:rFonts w:hint="eastAsia"/>
                        </w:rPr>
                        <w:t>13</w:t>
                      </w:r>
                    </w:p>
                    <w:p w14:paraId="0848898A"/>
                    <w:p w14:paraId="744782F5"/>
                    <w:p w14:paraId="4CF3461A"/>
                    <w:p w14:paraId="50C70F2E"/>
                    <w:p w14:paraId="5DB57D6E"/>
                    <w:p w14:paraId="6870FCE5"/>
                    <w:p w14:paraId="49614417"/>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1010920</wp:posOffset>
                </wp:positionV>
                <wp:extent cx="6057900" cy="391160"/>
                <wp:effectExtent l="0" t="0" r="4445" b="0"/>
                <wp:wrapNone/>
                <wp:docPr id="14" name="fmFrame2"/>
                <wp:cNvGraphicFramePr/>
                <a:graphic xmlns:a="http://schemas.openxmlformats.org/drawingml/2006/main">
                  <a:graphicData uri="http://schemas.microsoft.com/office/word/2010/wordprocessingShape">
                    <wps:wsp>
                      <wps:cNvSpPr txBox="1">
                        <a:spLocks noChangeArrowheads="1"/>
                      </wps:cNvSpPr>
                      <wps:spPr bwMode="auto">
                        <a:xfrm>
                          <a:off x="0" y="0"/>
                          <a:ext cx="6057900" cy="391160"/>
                        </a:xfrm>
                        <a:prstGeom prst="rect">
                          <a:avLst/>
                        </a:prstGeom>
                        <a:solidFill>
                          <a:srgbClr val="FFFFFF"/>
                        </a:solidFill>
                        <a:ln>
                          <a:noFill/>
                        </a:ln>
                      </wps:spPr>
                      <wps:txbx>
                        <w:txbxContent>
                          <w:p w14:paraId="1148BA66">
                            <w:pPr>
                              <w:pStyle w:val="51"/>
                            </w:pPr>
                            <w:r>
                              <w:rPr>
                                <w:rFonts w:hint="eastAsia"/>
                              </w:rPr>
                              <w:t>河北省地方标准</w:t>
                            </w:r>
                          </w:p>
                          <w:p w14:paraId="401C164A"/>
                          <w:p w14:paraId="6E1D5713"/>
                          <w:p w14:paraId="5916C2EC"/>
                          <w:p w14:paraId="4D882302"/>
                          <w:p w14:paraId="336ACD1A"/>
                          <w:p w14:paraId="4A5D4EB3"/>
                          <w:p w14:paraId="78BD9DF3"/>
                        </w:txbxContent>
                      </wps:txbx>
                      <wps:bodyPr rot="0" vert="horz" wrap="square" lIns="0" tIns="0" rIns="0" bIns="0" anchor="t" anchorCtr="0" upright="1">
                        <a:noAutofit/>
                      </wps:bodyPr>
                    </wps:wsp>
                  </a:graphicData>
                </a:graphic>
              </wp:anchor>
            </w:drawing>
          </mc:Choice>
          <mc:Fallback>
            <w:pict>
              <v:shape id="fmFrame2" o:spid="_x0000_s1026" o:spt="202" type="#_x0000_t202" style="position:absolute;left:0pt;margin-left:0pt;margin-top:79.6pt;height:30.8pt;width:477pt;mso-position-horizontal-relative:margin;mso-position-vertical-relative:margin;z-index:251659264;mso-width-relative:page;mso-height-relative:page;" fillcolor="#FFFFFF" filled="t" stroked="f" coordsize="21600,21600" o:gfxdata="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Lyi++1wAAAAgBAAAPAAAAAAAAAAEA&#10;IAAAACIAAABkcnMvZG93bnJldi54bWxQSwECFAAUAAAACACHTuJAGJHJBRACAAAsBAAADgAAAAAA&#10;AAABACAAAAAmAQAAZHJzL2Uyb0RvYy54bWxQSwUGAAAAAAYABgBZAQAAqAUAAAAA&#10;">
                <v:fill on="t" focussize="0,0"/>
                <v:stroke on="f"/>
                <v:imagedata o:title=""/>
                <o:lock v:ext="edit" aspectratio="f"/>
                <v:textbox inset="0mm,0mm,0mm,0mm">
                  <w:txbxContent>
                    <w:p w14:paraId="1148BA66">
                      <w:pPr>
                        <w:pStyle w:val="51"/>
                      </w:pPr>
                      <w:r>
                        <w:rPr>
                          <w:rFonts w:hint="eastAsia"/>
                        </w:rPr>
                        <w:t>河北省地方标准</w:t>
                      </w:r>
                    </w:p>
                    <w:p w14:paraId="401C164A"/>
                    <w:p w14:paraId="6E1D5713"/>
                    <w:p w14:paraId="5916C2EC"/>
                    <w:p w14:paraId="4D882302"/>
                    <w:p w14:paraId="336ACD1A"/>
                    <w:p w14:paraId="4A5D4EB3"/>
                    <w:p w14:paraId="78BD9DF3"/>
                  </w:txbxContent>
                </v:textbox>
                <w10:anchorlock/>
              </v:shape>
            </w:pict>
          </mc:Fallback>
        </mc:AlternateContent>
      </w:r>
      <w:r>
        <w:rPr>
          <w:rFonts w:hint="default" w:ascii="Times New Roman" w:hAnsi="Times New Roman" w:cs="Times New Roman"/>
        </w:rPr>
        <w:t>B33</w:t>
      </w:r>
    </w:p>
    <w:bookmarkEnd w:id="0"/>
    <w:p w14:paraId="67716583">
      <w:pPr>
        <w:pStyle w:val="13"/>
        <w:widowControl/>
        <w:snapToGrid/>
        <w:spacing w:before="312" w:beforeLines="100" w:beforeAutospacing="0" w:after="312" w:afterLines="100" w:afterAutospacing="0"/>
        <w:ind w:firstLine="0" w:firstLineChars="0"/>
        <w:jc w:val="center"/>
        <w:rPr>
          <w:rFonts w:hint="default" w:ascii="Times New Roman" w:hAnsi="Times New Roman" w:eastAsia="黑体" w:cs="Times New Roman"/>
          <w:color w:val="000000"/>
          <w:sz w:val="28"/>
          <w:szCs w:val="28"/>
        </w:rPr>
      </w:pPr>
      <w:bookmarkStart w:id="1" w:name="SectionMark2"/>
      <w:r>
        <w:rPr>
          <w:rFonts w:hint="default" w:ascii="Times New Roman" w:hAnsi="Times New Roman" w:eastAsia="黑体" w:cs="Times New Roman"/>
          <w:color w:val="000000"/>
          <w:sz w:val="28"/>
          <w:szCs w:val="28"/>
        </w:rPr>
        <w:t>前言</w:t>
      </w:r>
    </w:p>
    <w:p w14:paraId="0FAFB5BF">
      <w:pPr>
        <w:pStyle w:val="7"/>
        <w:widowControl/>
        <w:snapToGrid/>
        <w:spacing w:before="0" w:beforeLines="-2147483648" w:after="0" w:afterLines="-2147483648" w:line="440" w:lineRule="exact"/>
        <w:ind w:firstLine="480"/>
        <w:rPr>
          <w:rFonts w:hint="default" w:ascii="Times New Roman" w:hAnsi="Times New Roman" w:eastAsia="宋体" w:cs="Times New Roman"/>
          <w:kern w:val="0"/>
          <w:sz w:val="24"/>
        </w:rPr>
      </w:pPr>
      <w:r>
        <w:rPr>
          <w:rFonts w:hint="default" w:ascii="Times New Roman" w:hAnsi="Times New Roman" w:eastAsia="宋体" w:cs="Times New Roman"/>
          <w:kern w:val="0"/>
          <w:sz w:val="24"/>
        </w:rPr>
        <w:t>本文件按照GB/T1.1—2020《标准化工作导则第1部分：标准化文件的结构和起草规则》的规定起草。</w:t>
      </w:r>
    </w:p>
    <w:p w14:paraId="1DFF903A">
      <w:pPr>
        <w:pStyle w:val="7"/>
        <w:widowControl/>
        <w:snapToGrid/>
        <w:spacing w:before="0" w:beforeLines="-2147483648" w:after="0" w:afterLines="-2147483648" w:line="440" w:lineRule="exact"/>
        <w:ind w:firstLine="480"/>
        <w:rPr>
          <w:rFonts w:hint="default" w:ascii="Times New Roman" w:hAnsi="Times New Roman" w:eastAsia="宋体" w:cs="Times New Roman"/>
          <w:kern w:val="0"/>
          <w:sz w:val="24"/>
        </w:rPr>
      </w:pPr>
      <w:r>
        <w:rPr>
          <w:rFonts w:hint="default" w:ascii="Times New Roman" w:hAnsi="Times New Roman" w:eastAsia="宋体" w:cs="Times New Roman"/>
          <w:kern w:val="0"/>
          <w:sz w:val="24"/>
        </w:rPr>
        <w:t>本标准由河北省农业农村厅提出。</w:t>
      </w:r>
    </w:p>
    <w:p w14:paraId="6A610022">
      <w:pPr>
        <w:pStyle w:val="7"/>
        <w:widowControl/>
        <w:snapToGrid/>
        <w:spacing w:before="0" w:beforeLines="-2147483648" w:after="0" w:afterLines="-2147483648" w:line="440" w:lineRule="exact"/>
        <w:ind w:firstLine="480"/>
        <w:rPr>
          <w:rFonts w:hint="default" w:ascii="Times New Roman" w:hAnsi="Times New Roman" w:eastAsia="宋体" w:cs="Times New Roman"/>
          <w:kern w:val="0"/>
          <w:sz w:val="24"/>
        </w:rPr>
      </w:pPr>
      <w:r>
        <w:rPr>
          <w:rFonts w:hint="default" w:ascii="Times New Roman" w:hAnsi="Times New Roman" w:eastAsia="宋体" w:cs="Times New Roman"/>
          <w:kern w:val="0"/>
          <w:sz w:val="24"/>
        </w:rPr>
        <w:t>本标准主要起草单位：河北省美丽乡村建设中心、河北农业大学、河北省农林科学院农业资源环境研究所</w:t>
      </w:r>
      <w:bookmarkStart w:id="16" w:name="_GoBack"/>
      <w:bookmarkEnd w:id="16"/>
      <w:r>
        <w:rPr>
          <w:rFonts w:hint="default" w:ascii="Times New Roman" w:hAnsi="Times New Roman" w:eastAsia="宋体" w:cs="Times New Roman"/>
          <w:kern w:val="0"/>
          <w:sz w:val="24"/>
        </w:rPr>
        <w:t>。</w:t>
      </w:r>
    </w:p>
    <w:p w14:paraId="543A1851">
      <w:pPr>
        <w:pStyle w:val="7"/>
        <w:widowControl/>
        <w:snapToGrid/>
        <w:spacing w:before="0" w:beforeLines="-2147483648" w:after="0" w:afterLines="-2147483648" w:line="440" w:lineRule="exact"/>
        <w:ind w:firstLine="480"/>
        <w:rPr>
          <w:rFonts w:hint="default" w:ascii="Times New Roman" w:hAnsi="Times New Roman" w:eastAsia="宋体" w:cs="Times New Roman"/>
          <w:kern w:val="0"/>
          <w:sz w:val="24"/>
        </w:rPr>
      </w:pPr>
      <w:r>
        <w:rPr>
          <w:rFonts w:hint="default" w:ascii="Times New Roman" w:hAnsi="Times New Roman" w:eastAsia="宋体" w:cs="Times New Roman"/>
          <w:kern w:val="0"/>
          <w:sz w:val="24"/>
        </w:rPr>
        <w:t>本标准主要起草人：韩继东、张立勇、孙世友、马岚、李宏军、郭建伟、杜普达、邵婧、张耀宗、张广斌、张喆、王丽、孙永宾、张鼎、王昕睿、谷金波。</w:t>
      </w:r>
    </w:p>
    <w:p w14:paraId="10E28761">
      <w:pPr>
        <w:widowControl/>
        <w:spacing w:line="520" w:lineRule="exact"/>
        <w:ind w:firstLine="560"/>
        <w:jc w:val="left"/>
        <w:rPr>
          <w:rFonts w:hint="default" w:ascii="Times New Roman" w:hAnsi="Times New Roman" w:cs="Times New Roman"/>
          <w:sz w:val="28"/>
          <w:szCs w:val="28"/>
        </w:rPr>
        <w:sectPr>
          <w:headerReference r:id="rId9" w:type="default"/>
          <w:footerReference r:id="rId10" w:type="default"/>
          <w:pgSz w:w="11907" w:h="16839"/>
          <w:pgMar w:top="1418" w:right="1134" w:bottom="1134" w:left="1418" w:header="1418" w:footer="851" w:gutter="0"/>
          <w:pgBorders>
            <w:top w:val="none" w:sz="0" w:space="0"/>
            <w:left w:val="none" w:sz="0" w:space="0"/>
            <w:bottom w:val="none" w:sz="0" w:space="0"/>
            <w:right w:val="none" w:sz="0" w:space="0"/>
          </w:pgBorders>
          <w:pgNumType w:fmt="upperRoman" w:start="1"/>
          <w:cols w:space="720" w:num="1"/>
          <w:docGrid w:type="lines" w:linePitch="312" w:charSpace="0"/>
        </w:sectPr>
      </w:pPr>
    </w:p>
    <w:bookmarkEnd w:id="1"/>
    <w:p w14:paraId="22803426">
      <w:pPr>
        <w:pStyle w:val="41"/>
        <w:rPr>
          <w:rFonts w:hint="default" w:ascii="Times New Roman" w:hAnsi="Times New Roman" w:eastAsia="黑体" w:cs="Times New Roman"/>
          <w:kern w:val="2"/>
          <w:sz w:val="32"/>
          <w:szCs w:val="32"/>
          <w:lang w:val="en-US" w:eastAsia="zh-CN" w:bidi="ar-SA"/>
        </w:rPr>
      </w:pPr>
      <w:bookmarkStart w:id="2" w:name="SectionMark4"/>
      <w:r>
        <w:rPr>
          <w:rFonts w:hint="default" w:ascii="Times New Roman" w:hAnsi="Times New Roman" w:eastAsia="黑体" w:cs="Times New Roman"/>
          <w:kern w:val="2"/>
          <w:sz w:val="32"/>
          <w:szCs w:val="32"/>
          <w:lang w:val="en-US" w:eastAsia="zh-CN" w:bidi="ar-SA"/>
        </w:rPr>
        <w:t>农村户用卫生厕所改造技术规程</w:t>
      </w:r>
    </w:p>
    <w:bookmarkEnd w:id="2"/>
    <w:p w14:paraId="7AB31D67">
      <w:pPr>
        <w:adjustRightInd w:val="0"/>
        <w:snapToGrid w:val="0"/>
        <w:spacing w:before="312" w:beforeLines="100" w:after="156" w:afterLines="50"/>
        <w:ind w:firstLine="0" w:firstLineChars="0"/>
        <w:rPr>
          <w:rFonts w:hint="default" w:ascii="Times New Roman" w:hAnsi="Times New Roman" w:eastAsia="黑体" w:cs="Times New Roman"/>
          <w:b/>
          <w:sz w:val="24"/>
          <w:szCs w:val="24"/>
        </w:rPr>
      </w:pPr>
      <w:r>
        <w:rPr>
          <w:rFonts w:hint="default" w:ascii="Times New Roman" w:hAnsi="Times New Roman" w:eastAsia="黑体" w:cs="Times New Roman"/>
          <w:b/>
          <w:sz w:val="24"/>
          <w:szCs w:val="24"/>
        </w:rPr>
        <w:t>1  范围</w:t>
      </w:r>
    </w:p>
    <w:p w14:paraId="3729B3C1">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本标准规定了农村户厕改造技术</w:t>
      </w:r>
      <w:r>
        <w:rPr>
          <w:rFonts w:hint="default" w:ascii="Times New Roman" w:hAnsi="Times New Roman" w:eastAsia="宋体" w:cs="Times New Roman"/>
          <w:color w:val="000000"/>
          <w:sz w:val="24"/>
          <w:szCs w:val="22"/>
          <w:lang w:val="en-US" w:eastAsia="zh-CN"/>
        </w:rPr>
        <w:t>规程</w:t>
      </w:r>
      <w:r>
        <w:rPr>
          <w:rFonts w:hint="default" w:ascii="Times New Roman" w:hAnsi="Times New Roman" w:eastAsia="宋体" w:cs="Times New Roman"/>
          <w:color w:val="000000"/>
          <w:sz w:val="24"/>
          <w:szCs w:val="22"/>
        </w:rPr>
        <w:t>的术语和定义、基本规定、设计要求、施工与质量验收、使用与管护。</w:t>
      </w:r>
    </w:p>
    <w:p w14:paraId="2C9E6FE1">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为科学指导和规范农村户厕建造、使用和维护，有效提升改厕质量，改善农村人居环境卫生，制定本标准。</w:t>
      </w:r>
    </w:p>
    <w:p w14:paraId="6AB427D8">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本标准规定了农村户厕改造类型、技术要求及维护管理方法。</w:t>
      </w:r>
    </w:p>
    <w:p w14:paraId="7985B6B0">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本标准适用于农村户厕的改造与维护，其他厕所改造与维护可参照本标准执行。</w:t>
      </w:r>
    </w:p>
    <w:p w14:paraId="405EEA90">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除执行本标准外，还应符合国家及地方现行有关标准的规定。</w:t>
      </w:r>
    </w:p>
    <w:p w14:paraId="4E9C5319">
      <w:pPr>
        <w:adjustRightInd w:val="0"/>
        <w:snapToGrid w:val="0"/>
        <w:spacing w:before="312" w:beforeLines="100" w:after="156" w:afterLines="50"/>
        <w:ind w:firstLine="0" w:firstLineChars="0"/>
        <w:rPr>
          <w:rFonts w:hint="default" w:ascii="Times New Roman" w:hAnsi="Times New Roman" w:eastAsia="黑体" w:cs="Times New Roman"/>
          <w:b/>
          <w:sz w:val="24"/>
          <w:szCs w:val="24"/>
        </w:rPr>
      </w:pPr>
      <w:r>
        <w:rPr>
          <w:rFonts w:hint="default" w:ascii="Times New Roman" w:hAnsi="Times New Roman" w:eastAsia="黑体" w:cs="Times New Roman"/>
          <w:b/>
          <w:sz w:val="24"/>
          <w:szCs w:val="24"/>
        </w:rPr>
        <w:t>2  规范性引用文件</w:t>
      </w:r>
    </w:p>
    <w:p w14:paraId="51A81191">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下列文件对于本文件的应用是必不可少的。凡是注日期的引用文件，仅注日期的版本适用于本文件。凡是不注日期的引用文件，其最新版本适（包括所有的修改单）适用于本文件。</w:t>
      </w:r>
    </w:p>
    <w:p w14:paraId="566E11DF">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GB/T 14152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热塑性塑料管材耐外冲击性能试验方法  时针旋转法</w:t>
      </w:r>
    </w:p>
    <w:p w14:paraId="66F81608">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bookmarkStart w:id="3" w:name="OLE_LINK6"/>
      <w:r>
        <w:rPr>
          <w:rFonts w:hint="default" w:ascii="Times New Roman" w:hAnsi="Times New Roman" w:eastAsia="宋体" w:cs="Times New Roman"/>
          <w:color w:val="000000"/>
          <w:sz w:val="24"/>
          <w:szCs w:val="22"/>
        </w:rPr>
        <w:t>GB 19379</w:t>
      </w:r>
      <w:bookmarkEnd w:id="3"/>
      <w:r>
        <w:rPr>
          <w:rFonts w:hint="default" w:ascii="Times New Roman" w:hAnsi="Times New Roman" w:eastAsia="宋体" w:cs="Times New Roman"/>
          <w:color w:val="000000"/>
          <w:sz w:val="24"/>
          <w:szCs w:val="22"/>
        </w:rPr>
        <w:t xml:space="preserve">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农村户厕卫生规范</w:t>
      </w:r>
    </w:p>
    <w:p w14:paraId="56CB83AB">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GB/T 31436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节水型卫生洁具</w:t>
      </w:r>
    </w:p>
    <w:p w14:paraId="448F1A36">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bookmarkStart w:id="4" w:name="OLE_LINK1"/>
      <w:r>
        <w:rPr>
          <w:rFonts w:hint="default" w:ascii="Times New Roman" w:hAnsi="Times New Roman" w:eastAsia="宋体" w:cs="Times New Roman"/>
          <w:color w:val="000000"/>
          <w:sz w:val="24"/>
          <w:szCs w:val="22"/>
        </w:rPr>
        <w:t>GB/T 38836</w:t>
      </w:r>
      <w:bookmarkEnd w:id="4"/>
      <w:r>
        <w:rPr>
          <w:rFonts w:hint="default" w:ascii="Times New Roman" w:hAnsi="Times New Roman" w:eastAsia="宋体" w:cs="Times New Roman"/>
          <w:color w:val="000000"/>
          <w:sz w:val="24"/>
          <w:szCs w:val="22"/>
        </w:rPr>
        <w:t xml:space="preserve">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农村三格式户厕建设技术规范</w:t>
      </w:r>
    </w:p>
    <w:p w14:paraId="5EF8BDC5">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GB 50007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建筑地基基础设计规范</w:t>
      </w:r>
    </w:p>
    <w:p w14:paraId="45F423CC">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GB/T 38837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农村三格式户厕运行维护规范</w:t>
      </w:r>
    </w:p>
    <w:p w14:paraId="49DFB665">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GB/T 38838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农村集中下水道收集户厕建设技术规范</w:t>
      </w:r>
    </w:p>
    <w:p w14:paraId="7BAAD357">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GB 50015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建筑给水排水设计标准</w:t>
      </w:r>
    </w:p>
    <w:p w14:paraId="7C2197A6">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GB 50268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 xml:space="preserve"> 给水排水管道工程施工及验收规范</w:t>
      </w:r>
    </w:p>
    <w:p w14:paraId="0A780575">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GB/T 6952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 xml:space="preserve"> 卫生陶瓷</w:t>
      </w:r>
    </w:p>
    <w:p w14:paraId="7A6A3FCC">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GB 7959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粪便无害化卫生要求</w:t>
      </w:r>
    </w:p>
    <w:p w14:paraId="2EEAE522">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lang w:val="en-US" w:eastAsia="zh-CN"/>
        </w:rPr>
        <w:t>GB/T 4750          户用沼气池设计规范</w:t>
      </w:r>
    </w:p>
    <w:p w14:paraId="7808AFBC">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bookmarkStart w:id="5" w:name="OLE_LINK8"/>
      <w:r>
        <w:rPr>
          <w:rFonts w:hint="default" w:ascii="Times New Roman" w:hAnsi="Times New Roman" w:eastAsia="宋体" w:cs="Times New Roman"/>
          <w:color w:val="000000"/>
          <w:sz w:val="24"/>
          <w:szCs w:val="22"/>
          <w:lang w:val="en-US" w:eastAsia="zh-CN"/>
        </w:rPr>
        <w:t>GB/T 4752          户用沼气池施工操作规程</w:t>
      </w:r>
    </w:p>
    <w:bookmarkEnd w:id="5"/>
    <w:p w14:paraId="05215D2B">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lang w:val="en-US" w:eastAsia="zh-CN"/>
        </w:rPr>
      </w:pPr>
      <w:bookmarkStart w:id="6" w:name="OLE_LINK9"/>
      <w:r>
        <w:rPr>
          <w:rFonts w:hint="default" w:ascii="Times New Roman" w:hAnsi="Times New Roman" w:eastAsia="宋体" w:cs="Times New Roman"/>
          <w:color w:val="000000"/>
          <w:sz w:val="24"/>
          <w:szCs w:val="22"/>
        </w:rPr>
        <w:t>GB9958</w:t>
      </w:r>
      <w:r>
        <w:rPr>
          <w:rFonts w:hint="default" w:ascii="Times New Roman" w:hAnsi="Times New Roman" w:eastAsia="宋体" w:cs="Times New Roman"/>
          <w:color w:val="000000"/>
          <w:sz w:val="24"/>
          <w:szCs w:val="22"/>
          <w:lang w:val="en-US" w:eastAsia="zh-CN"/>
        </w:rPr>
        <w:t>-88          农村家用沼气发酵工艺规程</w:t>
      </w:r>
    </w:p>
    <w:bookmarkEnd w:id="6"/>
    <w:p w14:paraId="1B143A60">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lang w:val="en-US" w:eastAsia="zh-CN"/>
        </w:rPr>
      </w:pPr>
      <w:bookmarkStart w:id="7" w:name="OLE_LINK10"/>
      <w:r>
        <w:rPr>
          <w:rFonts w:hint="default" w:ascii="Times New Roman" w:hAnsi="Times New Roman" w:eastAsia="宋体" w:cs="Times New Roman"/>
          <w:color w:val="000000"/>
          <w:sz w:val="24"/>
          <w:szCs w:val="22"/>
        </w:rPr>
        <w:t>NY/T1639</w:t>
      </w:r>
      <w:r>
        <w:rPr>
          <w:rFonts w:hint="default" w:ascii="Times New Roman" w:hAnsi="Times New Roman" w:eastAsia="宋体" w:cs="Times New Roman"/>
          <w:color w:val="000000"/>
          <w:sz w:val="24"/>
          <w:szCs w:val="22"/>
          <w:lang w:val="en-US" w:eastAsia="zh-CN"/>
        </w:rPr>
        <w:t xml:space="preserve">           农村沼气“一池三改”技术规范</w:t>
      </w:r>
    </w:p>
    <w:bookmarkEnd w:id="7"/>
    <w:p w14:paraId="669AC0E4">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CJJ 124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 xml:space="preserve"> 镇（乡）村排水工程技术规程</w:t>
      </w:r>
    </w:p>
    <w:p w14:paraId="2EA43A7A">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CJ/T 409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 xml:space="preserve"> 玻璃钢化粪池技术要求</w:t>
      </w:r>
    </w:p>
    <w:p w14:paraId="1FA2E0A0">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CJ/T 489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塑料化粪池</w:t>
      </w:r>
    </w:p>
    <w:p w14:paraId="2866C4E4">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HJ 534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环境空气 氨的测定 次氢酸钠-水杨酸分光光度法</w:t>
      </w:r>
    </w:p>
    <w:p w14:paraId="2416C52F">
      <w:pPr>
        <w:widowControl/>
        <w:snapToGrid/>
        <w:spacing w:before="0" w:beforeLines="-2147483648" w:after="0" w:afterLines="-2147483648" w:line="440" w:lineRule="exact"/>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 xml:space="preserve">JC/T 2116          </w:t>
      </w:r>
      <w:r>
        <w:rPr>
          <w:rFonts w:hint="default" w:ascii="Times New Roman" w:hAnsi="Times New Roman" w:eastAsia="宋体" w:cs="Times New Roman"/>
          <w:color w:val="000000"/>
          <w:sz w:val="24"/>
          <w:szCs w:val="22"/>
          <w:lang w:val="en-US" w:eastAsia="zh-CN"/>
        </w:rPr>
        <w:t xml:space="preserve"> </w:t>
      </w:r>
      <w:r>
        <w:rPr>
          <w:rFonts w:hint="default" w:ascii="Times New Roman" w:hAnsi="Times New Roman" w:eastAsia="宋体" w:cs="Times New Roman"/>
          <w:color w:val="000000"/>
          <w:sz w:val="24"/>
          <w:szCs w:val="22"/>
        </w:rPr>
        <w:t>非陶瓷类卫生洁具消毒技术规范</w:t>
      </w:r>
    </w:p>
    <w:p w14:paraId="71186809">
      <w:pPr>
        <w:adjustRightInd w:val="0"/>
        <w:snapToGrid w:val="0"/>
        <w:spacing w:before="312" w:beforeLines="100" w:after="156" w:afterLines="50"/>
        <w:ind w:firstLine="0" w:firstLineChars="0"/>
        <w:rPr>
          <w:rFonts w:hint="default" w:ascii="Times New Roman" w:hAnsi="Times New Roman" w:eastAsia="黑体" w:cs="Times New Roman"/>
          <w:b/>
          <w:sz w:val="24"/>
          <w:szCs w:val="24"/>
        </w:rPr>
      </w:pPr>
      <w:r>
        <w:rPr>
          <w:rFonts w:hint="default" w:ascii="Times New Roman" w:hAnsi="Times New Roman" w:eastAsia="黑体" w:cs="Times New Roman"/>
          <w:b/>
          <w:sz w:val="24"/>
          <w:szCs w:val="24"/>
        </w:rPr>
        <w:t>3  术语和定义</w:t>
      </w:r>
    </w:p>
    <w:p w14:paraId="2A9DB110">
      <w:pPr>
        <w:keepNext w:val="0"/>
        <w:keepLines w:val="0"/>
        <w:pageBreakBefore w:val="0"/>
        <w:kinsoku/>
        <w:wordWrap/>
        <w:overflowPunct/>
        <w:topLinePunct w:val="0"/>
        <w:autoSpaceDE/>
        <w:autoSpaceDN/>
        <w:bidi w:val="0"/>
        <w:adjustRightInd/>
        <w:snapToGrid w:val="0"/>
        <w:spacing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GB19379和GB/T38836界定的以及下列术语和定义适用于本文件。</w:t>
      </w:r>
    </w:p>
    <w:p w14:paraId="29E46793">
      <w:pPr>
        <w:keepNext w:val="0"/>
        <w:keepLines w:val="0"/>
        <w:pageBreakBefore w:val="0"/>
        <w:widowControl/>
        <w:kinsoku/>
        <w:wordWrap/>
        <w:overflowPunct/>
        <w:topLinePunct w:val="0"/>
        <w:autoSpaceDE/>
        <w:autoSpaceDN/>
        <w:bidi w:val="0"/>
        <w:adjustRightInd/>
        <w:snapToGrid w:val="0"/>
        <w:spacing w:line="440" w:lineRule="exact"/>
        <w:ind w:firstLine="0" w:firstLineChars="0"/>
        <w:jc w:val="left"/>
        <w:textAlignment w:val="auto"/>
        <w:rPr>
          <w:rFonts w:hint="default" w:ascii="Times New Roman" w:hAnsi="Times New Roman" w:eastAsia="黑体" w:cs="Times New Roman"/>
          <w:bCs/>
          <w:kern w:val="0"/>
          <w:sz w:val="24"/>
          <w:szCs w:val="24"/>
        </w:rPr>
      </w:pPr>
      <w:r>
        <w:rPr>
          <w:rFonts w:hint="default" w:ascii="Times New Roman" w:hAnsi="Times New Roman" w:eastAsia="黑体" w:cs="Times New Roman"/>
          <w:bCs/>
          <w:kern w:val="0"/>
          <w:sz w:val="24"/>
          <w:szCs w:val="24"/>
        </w:rPr>
        <w:t xml:space="preserve">3.1 </w:t>
      </w:r>
    </w:p>
    <w:p w14:paraId="4DDD8FE2">
      <w:pPr>
        <w:keepNext w:val="0"/>
        <w:keepLines w:val="0"/>
        <w:pageBreakBefore w:val="0"/>
        <w:widowControl/>
        <w:kinsoku/>
        <w:wordWrap/>
        <w:overflowPunct/>
        <w:topLinePunct w:val="0"/>
        <w:autoSpaceDE/>
        <w:autoSpaceDN/>
        <w:bidi w:val="0"/>
        <w:adjustRightInd/>
        <w:snapToGrid w:val="0"/>
        <w:spacing w:line="440" w:lineRule="exact"/>
        <w:jc w:val="left"/>
        <w:textAlignment w:val="auto"/>
        <w:rPr>
          <w:rFonts w:hint="default" w:ascii="Times New Roman" w:hAnsi="Times New Roman" w:cs="Times New Roman"/>
          <w:color w:val="404040"/>
          <w:sz w:val="24"/>
          <w:szCs w:val="24"/>
        </w:rPr>
      </w:pPr>
      <w:r>
        <w:rPr>
          <w:rFonts w:hint="default" w:ascii="Times New Roman" w:hAnsi="Times New Roman" w:eastAsia="黑体" w:cs="Times New Roman"/>
          <w:bCs/>
          <w:kern w:val="0"/>
          <w:sz w:val="24"/>
          <w:szCs w:val="24"/>
        </w:rPr>
        <w:t xml:space="preserve">深坑式旱厕 </w:t>
      </w:r>
      <w:r>
        <w:rPr>
          <w:rFonts w:hint="default" w:ascii="Times New Roman" w:hAnsi="Times New Roman" w:eastAsia="Arial" w:cs="Times New Roman"/>
          <w:color w:val="333333"/>
          <w:kern w:val="0"/>
          <w:sz w:val="24"/>
          <w:szCs w:val="24"/>
          <w:shd w:val="clear" w:color="auto" w:fill="FFFFFF"/>
          <w:lang w:val="en-US" w:eastAsia="zh-CN" w:bidi="ar"/>
        </w:rPr>
        <w:t>Ventilated Improved Pit latrine</w:t>
      </w:r>
    </w:p>
    <w:p w14:paraId="49135EB3">
      <w:pPr>
        <w:keepNext w:val="0"/>
        <w:keepLines w:val="0"/>
        <w:pageBreakBefore w:val="0"/>
        <w:kinsoku/>
        <w:wordWrap/>
        <w:overflowPunct/>
        <w:topLinePunct w:val="0"/>
        <w:autoSpaceDE/>
        <w:autoSpaceDN/>
        <w:bidi w:val="0"/>
        <w:adjustRightInd/>
        <w:snapToGrid w:val="0"/>
        <w:spacing w:line="440" w:lineRule="exact"/>
        <w:textAlignment w:val="auto"/>
        <w:rPr>
          <w:rFonts w:hint="default" w:ascii="Times New Roman" w:hAnsi="Times New Roman" w:cs="Times New Roman"/>
          <w:sz w:val="24"/>
          <w:szCs w:val="24"/>
          <w:highlight w:val="yellow"/>
        </w:rPr>
      </w:pPr>
      <w:r>
        <w:rPr>
          <w:rFonts w:hint="default" w:ascii="Times New Roman" w:hAnsi="Times New Roman" w:cs="Times New Roman"/>
          <w:sz w:val="24"/>
          <w:szCs w:val="24"/>
        </w:rPr>
        <w:t>厕坑深度不小于1.5m或采用深埋式贮粪罐的旱厕，也称</w:t>
      </w:r>
      <w:bookmarkStart w:id="8" w:name="OLE_LINK5"/>
      <w:r>
        <w:rPr>
          <w:rFonts w:hint="default" w:ascii="Times New Roman" w:hAnsi="Times New Roman" w:cs="Times New Roman"/>
          <w:sz w:val="24"/>
          <w:szCs w:val="24"/>
        </w:rPr>
        <w:t>通风改良坑式厕所</w:t>
      </w:r>
      <w:bookmarkEnd w:id="8"/>
      <w:r>
        <w:rPr>
          <w:rFonts w:hint="default" w:ascii="Times New Roman" w:hAnsi="Times New Roman" w:cs="Times New Roman"/>
          <w:sz w:val="24"/>
          <w:szCs w:val="24"/>
        </w:rPr>
        <w:t>。</w:t>
      </w:r>
    </w:p>
    <w:p w14:paraId="374EC508">
      <w:pPr>
        <w:keepNext w:val="0"/>
        <w:keepLines w:val="0"/>
        <w:pageBreakBefore w:val="0"/>
        <w:widowControl/>
        <w:shd w:val="clear" w:color="auto" w:fill="FFFFFF"/>
        <w:kinsoku/>
        <w:wordWrap/>
        <w:overflowPunct/>
        <w:topLinePunct w:val="0"/>
        <w:autoSpaceDE/>
        <w:autoSpaceDN/>
        <w:bidi w:val="0"/>
        <w:adjustRightInd/>
        <w:snapToGrid w:val="0"/>
        <w:spacing w:line="440" w:lineRule="exact"/>
        <w:ind w:right="30" w:firstLine="0" w:firstLineChars="0"/>
        <w:jc w:val="left"/>
        <w:textAlignment w:val="auto"/>
        <w:rPr>
          <w:rFonts w:hint="default" w:ascii="Times New Roman" w:hAnsi="Times New Roman" w:eastAsia="黑体" w:cs="Times New Roman"/>
          <w:bCs/>
          <w:kern w:val="0"/>
          <w:sz w:val="24"/>
          <w:szCs w:val="24"/>
        </w:rPr>
      </w:pPr>
      <w:r>
        <w:rPr>
          <w:rFonts w:hint="default" w:ascii="Times New Roman" w:hAnsi="Times New Roman" w:eastAsia="黑体" w:cs="Times New Roman"/>
          <w:bCs/>
          <w:kern w:val="0"/>
          <w:sz w:val="24"/>
          <w:szCs w:val="24"/>
        </w:rPr>
        <w:t xml:space="preserve">3.2 </w:t>
      </w:r>
    </w:p>
    <w:p w14:paraId="36F4D9C6">
      <w:pPr>
        <w:keepNext w:val="0"/>
        <w:keepLines w:val="0"/>
        <w:pageBreakBefore w:val="0"/>
        <w:widowControl/>
        <w:shd w:val="clear" w:color="auto" w:fill="FFFFFF"/>
        <w:kinsoku/>
        <w:wordWrap/>
        <w:overflowPunct/>
        <w:topLinePunct w:val="0"/>
        <w:autoSpaceDE/>
        <w:autoSpaceDN/>
        <w:bidi w:val="0"/>
        <w:adjustRightInd/>
        <w:snapToGrid w:val="0"/>
        <w:spacing w:line="440" w:lineRule="exact"/>
        <w:ind w:right="30"/>
        <w:jc w:val="left"/>
        <w:textAlignment w:val="auto"/>
        <w:rPr>
          <w:rFonts w:hint="default" w:ascii="Times New Roman" w:hAnsi="Times New Roman" w:eastAsia="黑体" w:cs="Times New Roman"/>
          <w:bCs/>
          <w:kern w:val="0"/>
          <w:sz w:val="24"/>
          <w:szCs w:val="24"/>
        </w:rPr>
      </w:pPr>
      <w:r>
        <w:rPr>
          <w:rFonts w:hint="default" w:ascii="Times New Roman" w:hAnsi="Times New Roman" w:eastAsia="黑体" w:cs="Times New Roman"/>
          <w:bCs/>
          <w:kern w:val="0"/>
          <w:sz w:val="24"/>
          <w:szCs w:val="24"/>
        </w:rPr>
        <w:t>单格式</w:t>
      </w:r>
      <w:r>
        <w:rPr>
          <w:rFonts w:hint="default" w:ascii="Times New Roman" w:hAnsi="Times New Roman" w:eastAsia="黑体" w:cs="Times New Roman"/>
          <w:bCs/>
          <w:kern w:val="0"/>
          <w:sz w:val="24"/>
          <w:szCs w:val="24"/>
          <w:lang w:val="en-US" w:eastAsia="zh-CN"/>
        </w:rPr>
        <w:t>户厕</w:t>
      </w:r>
      <w:r>
        <w:rPr>
          <w:rFonts w:hint="default" w:ascii="Times New Roman" w:hAnsi="Times New Roman" w:eastAsia="黑体" w:cs="Times New Roman"/>
          <w:bCs/>
          <w:kern w:val="0"/>
          <w:sz w:val="24"/>
          <w:szCs w:val="24"/>
        </w:rPr>
        <w:t xml:space="preserve">  </w:t>
      </w:r>
      <w:r>
        <w:rPr>
          <w:rFonts w:hint="default" w:ascii="Times New Roman" w:hAnsi="Times New Roman" w:eastAsia="Arial" w:cs="Times New Roman"/>
          <w:color w:val="333333"/>
          <w:kern w:val="0"/>
          <w:sz w:val="24"/>
          <w:szCs w:val="24"/>
          <w:shd w:val="clear" w:color="auto" w:fill="FFFFFF"/>
          <w:lang w:bidi="ar"/>
        </w:rPr>
        <w:t>Single Format</w:t>
      </w:r>
      <w:r>
        <w:rPr>
          <w:rFonts w:hint="default" w:ascii="Times New Roman" w:hAnsi="Times New Roman" w:eastAsia="黑体" w:cs="Times New Roman"/>
          <w:bCs/>
          <w:kern w:val="0"/>
          <w:sz w:val="24"/>
          <w:szCs w:val="24"/>
        </w:rPr>
        <w:t xml:space="preserve"> </w:t>
      </w:r>
      <w:r>
        <w:rPr>
          <w:rFonts w:hint="default" w:ascii="Times New Roman" w:hAnsi="Times New Roman" w:eastAsia="Arial" w:cs="Times New Roman"/>
          <w:color w:val="333333"/>
          <w:kern w:val="0"/>
          <w:sz w:val="24"/>
          <w:szCs w:val="24"/>
          <w:shd w:val="clear" w:color="auto" w:fill="FFFFFF"/>
          <w:lang w:val="en-US" w:eastAsia="zh-CN" w:bidi="ar"/>
        </w:rPr>
        <w:t>Septic Tank</w:t>
      </w:r>
    </w:p>
    <w:p w14:paraId="5BFEC3A4">
      <w:pPr>
        <w:keepNext w:val="0"/>
        <w:keepLines w:val="0"/>
        <w:pageBreakBefore w:val="0"/>
        <w:kinsoku/>
        <w:wordWrap/>
        <w:overflowPunct/>
        <w:topLinePunct w:val="0"/>
        <w:autoSpaceDE/>
        <w:autoSpaceDN/>
        <w:bidi w:val="0"/>
        <w:adjustRightInd/>
        <w:snapToGrid w:val="0"/>
        <w:spacing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由单个池体实现粪污贮存的</w:t>
      </w:r>
      <w:r>
        <w:rPr>
          <w:rFonts w:hint="default" w:ascii="Times New Roman" w:hAnsi="Times New Roman" w:cs="Times New Roman"/>
          <w:sz w:val="24"/>
          <w:szCs w:val="24"/>
          <w:lang w:val="en-US" w:eastAsia="zh-CN"/>
        </w:rPr>
        <w:t>厕所</w:t>
      </w:r>
      <w:r>
        <w:rPr>
          <w:rFonts w:hint="default" w:ascii="Times New Roman" w:hAnsi="Times New Roman" w:cs="Times New Roman"/>
          <w:sz w:val="24"/>
          <w:szCs w:val="24"/>
        </w:rPr>
        <w:t>。</w:t>
      </w:r>
    </w:p>
    <w:p w14:paraId="4D1ED9AA">
      <w:pPr>
        <w:pStyle w:val="7"/>
        <w:keepNext w:val="0"/>
        <w:keepLines w:val="0"/>
        <w:pageBreakBefore w:val="0"/>
        <w:kinsoku/>
        <w:wordWrap/>
        <w:overflowPunct/>
        <w:topLinePunct w:val="0"/>
        <w:autoSpaceDE/>
        <w:autoSpaceDN/>
        <w:bidi w:val="0"/>
        <w:adjustRightInd/>
        <w:snapToGrid w:val="0"/>
        <w:spacing w:line="440" w:lineRule="exact"/>
        <w:ind w:firstLine="0" w:firstLineChars="0"/>
        <w:textAlignment w:val="auto"/>
        <w:rPr>
          <w:rFonts w:hint="default" w:ascii="Times New Roman" w:hAnsi="Times New Roman" w:eastAsia="黑体" w:cs="Times New Roman"/>
          <w:bCs/>
          <w:kern w:val="0"/>
          <w:sz w:val="24"/>
          <w:szCs w:val="24"/>
        </w:rPr>
      </w:pPr>
      <w:r>
        <w:rPr>
          <w:rFonts w:hint="default" w:ascii="Times New Roman" w:hAnsi="Times New Roman" w:eastAsia="黑体" w:cs="Times New Roman"/>
          <w:bCs/>
          <w:kern w:val="0"/>
          <w:sz w:val="24"/>
          <w:szCs w:val="24"/>
        </w:rPr>
        <w:t>3.3</w:t>
      </w:r>
      <w:bookmarkStart w:id="9" w:name="OLE_LINK2"/>
    </w:p>
    <w:p w14:paraId="18924DAB">
      <w:pPr>
        <w:pStyle w:val="7"/>
        <w:keepNext w:val="0"/>
        <w:keepLines w:val="0"/>
        <w:pageBreakBefore w:val="0"/>
        <w:kinsoku/>
        <w:wordWrap/>
        <w:overflowPunct/>
        <w:topLinePunct w:val="0"/>
        <w:autoSpaceDE/>
        <w:autoSpaceDN/>
        <w:bidi w:val="0"/>
        <w:adjustRightInd/>
        <w:snapToGrid w:val="0"/>
        <w:spacing w:line="440" w:lineRule="exact"/>
        <w:textAlignment w:val="auto"/>
        <w:rPr>
          <w:rFonts w:hint="default" w:ascii="Times New Roman" w:hAnsi="Times New Roman" w:eastAsia="黑体" w:cs="Times New Roman"/>
          <w:bCs/>
          <w:kern w:val="0"/>
          <w:sz w:val="24"/>
          <w:szCs w:val="24"/>
        </w:rPr>
      </w:pPr>
      <w:r>
        <w:rPr>
          <w:rFonts w:hint="default" w:ascii="Times New Roman" w:hAnsi="Times New Roman" w:eastAsia="黑体" w:cs="Times New Roman"/>
          <w:bCs/>
          <w:kern w:val="0"/>
          <w:sz w:val="24"/>
          <w:szCs w:val="24"/>
        </w:rPr>
        <w:t>厌氧发酵池</w:t>
      </w:r>
      <w:bookmarkEnd w:id="9"/>
      <w:r>
        <w:rPr>
          <w:rFonts w:hint="default" w:ascii="Times New Roman" w:hAnsi="Times New Roman" w:eastAsia="黑体" w:cs="Times New Roman"/>
          <w:bCs/>
          <w:kern w:val="0"/>
          <w:sz w:val="24"/>
          <w:szCs w:val="24"/>
        </w:rPr>
        <w:t xml:space="preserve"> </w:t>
      </w:r>
      <w:r>
        <w:rPr>
          <w:rFonts w:hint="default" w:ascii="Times New Roman" w:hAnsi="Times New Roman" w:eastAsia="Arial" w:cs="Times New Roman"/>
          <w:color w:val="333333"/>
          <w:kern w:val="0"/>
          <w:sz w:val="24"/>
          <w:szCs w:val="24"/>
          <w:shd w:val="clear" w:color="auto" w:fill="FFFFFF"/>
          <w:lang w:bidi="ar"/>
        </w:rPr>
        <w:t xml:space="preserve"> </w:t>
      </w:r>
      <w:bookmarkStart w:id="10" w:name="OLE_LINK3"/>
      <w:r>
        <w:rPr>
          <w:rFonts w:hint="default" w:ascii="Times New Roman" w:hAnsi="Times New Roman" w:eastAsia="Arial" w:cs="Times New Roman"/>
          <w:color w:val="333333"/>
          <w:kern w:val="0"/>
          <w:sz w:val="24"/>
          <w:szCs w:val="24"/>
          <w:shd w:val="clear" w:color="auto" w:fill="FFFFFF"/>
          <w:lang w:bidi="ar"/>
        </w:rPr>
        <w:t xml:space="preserve">Anaerobic fermentation </w:t>
      </w:r>
      <w:r>
        <w:rPr>
          <w:rFonts w:hint="default" w:ascii="Times New Roman" w:hAnsi="Times New Roman" w:eastAsia="Arial" w:cs="Times New Roman"/>
          <w:color w:val="333333"/>
          <w:kern w:val="0"/>
          <w:sz w:val="24"/>
          <w:szCs w:val="24"/>
          <w:shd w:val="clear" w:color="auto" w:fill="FFFFFF"/>
          <w:lang w:val="en-US" w:eastAsia="zh-CN" w:bidi="ar"/>
        </w:rPr>
        <w:t>Tank</w:t>
      </w:r>
      <w:bookmarkEnd w:id="10"/>
    </w:p>
    <w:p w14:paraId="1BD28934">
      <w:pPr>
        <w:keepNext w:val="0"/>
        <w:keepLines w:val="0"/>
        <w:pageBreakBefore w:val="0"/>
        <w:kinsoku/>
        <w:wordWrap/>
        <w:overflowPunct/>
        <w:topLinePunct w:val="0"/>
        <w:autoSpaceDE/>
        <w:autoSpaceDN/>
        <w:bidi w:val="0"/>
        <w:adjustRightInd/>
        <w:snapToGrid w:val="0"/>
        <w:spacing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通过厌氧发酵原理进行粪污处理的设施。</w:t>
      </w:r>
    </w:p>
    <w:p w14:paraId="30BE319E">
      <w:pPr>
        <w:keepNext w:val="0"/>
        <w:keepLines w:val="0"/>
        <w:pageBreakBefore w:val="0"/>
        <w:widowControl/>
        <w:kinsoku/>
        <w:wordWrap/>
        <w:overflowPunct/>
        <w:topLinePunct w:val="0"/>
        <w:autoSpaceDE/>
        <w:autoSpaceDN/>
        <w:bidi w:val="0"/>
        <w:adjustRightInd/>
        <w:snapToGrid w:val="0"/>
        <w:spacing w:before="312" w:beforeLines="100" w:after="0" w:afterLines="0" w:line="440" w:lineRule="exact"/>
        <w:ind w:firstLine="0" w:firstLineChars="0"/>
        <w:jc w:val="left"/>
        <w:textAlignment w:val="auto"/>
        <w:rPr>
          <w:rFonts w:hint="default" w:ascii="Times New Roman" w:hAnsi="Times New Roman" w:eastAsia="黑体" w:cs="Times New Roman"/>
          <w:bCs/>
          <w:kern w:val="0"/>
          <w:sz w:val="24"/>
          <w:szCs w:val="24"/>
        </w:rPr>
      </w:pPr>
      <w:r>
        <w:rPr>
          <w:rFonts w:hint="default" w:ascii="Times New Roman" w:hAnsi="Times New Roman" w:eastAsia="黑体" w:cs="Times New Roman"/>
          <w:bCs/>
          <w:kern w:val="0"/>
          <w:sz w:val="24"/>
          <w:szCs w:val="24"/>
        </w:rPr>
        <w:t>3.4</w:t>
      </w:r>
      <w:bookmarkStart w:id="11" w:name="OLE_LINK4"/>
    </w:p>
    <w:p w14:paraId="72D5DC97">
      <w:pPr>
        <w:keepNext w:val="0"/>
        <w:keepLines w:val="0"/>
        <w:pageBreakBefore w:val="0"/>
        <w:widowControl/>
        <w:kinsoku/>
        <w:wordWrap/>
        <w:overflowPunct/>
        <w:topLinePunct w:val="0"/>
        <w:autoSpaceDE/>
        <w:autoSpaceDN/>
        <w:bidi w:val="0"/>
        <w:adjustRightInd/>
        <w:snapToGrid w:val="0"/>
        <w:spacing w:before="0" w:beforeLines="0" w:after="0" w:afterLines="0" w:line="440" w:lineRule="exact"/>
        <w:jc w:val="left"/>
        <w:textAlignment w:val="auto"/>
        <w:rPr>
          <w:rFonts w:hint="default" w:ascii="Times New Roman" w:hAnsi="Times New Roman" w:eastAsia="黑体" w:cs="Times New Roman"/>
          <w:bCs/>
          <w:kern w:val="0"/>
          <w:sz w:val="24"/>
          <w:szCs w:val="24"/>
          <w:lang w:val="en-US" w:eastAsia="zh-CN"/>
        </w:rPr>
      </w:pPr>
      <w:r>
        <w:rPr>
          <w:rFonts w:hint="default" w:ascii="Times New Roman" w:hAnsi="Times New Roman" w:eastAsia="黑体" w:cs="Times New Roman"/>
          <w:bCs/>
          <w:kern w:val="0"/>
          <w:sz w:val="24"/>
          <w:szCs w:val="24"/>
        </w:rPr>
        <w:t>预制式化粪池</w:t>
      </w:r>
      <w:bookmarkEnd w:id="11"/>
      <w:r>
        <w:rPr>
          <w:rFonts w:hint="default" w:ascii="Times New Roman" w:hAnsi="Times New Roman" w:eastAsia="黑体" w:cs="Times New Roman"/>
          <w:bCs/>
          <w:kern w:val="0"/>
          <w:sz w:val="24"/>
          <w:szCs w:val="24"/>
          <w:lang w:val="en-US" w:eastAsia="zh-CN"/>
        </w:rPr>
        <w:t xml:space="preserve">  </w:t>
      </w:r>
      <w:r>
        <w:rPr>
          <w:rFonts w:hint="default" w:ascii="Times New Roman" w:hAnsi="Times New Roman" w:eastAsia="Arial" w:cs="Times New Roman"/>
          <w:color w:val="333333"/>
          <w:kern w:val="0"/>
          <w:sz w:val="24"/>
          <w:szCs w:val="24"/>
          <w:shd w:val="clear" w:color="auto" w:fill="FFFFFF"/>
          <w:lang w:val="en-US" w:eastAsia="zh-CN" w:bidi="ar"/>
        </w:rPr>
        <w:t>Prefabricated</w:t>
      </w:r>
      <w:r>
        <w:rPr>
          <w:rFonts w:hint="default" w:ascii="Times New Roman" w:hAnsi="Times New Roman" w:eastAsia="黑体" w:cs="Times New Roman"/>
          <w:bCs/>
          <w:kern w:val="0"/>
          <w:sz w:val="24"/>
          <w:szCs w:val="24"/>
          <w:lang w:val="en-US" w:eastAsia="zh-CN"/>
        </w:rPr>
        <w:t xml:space="preserve"> </w:t>
      </w:r>
      <w:r>
        <w:rPr>
          <w:rFonts w:hint="default" w:ascii="Times New Roman" w:hAnsi="Times New Roman" w:eastAsia="Arial" w:cs="Times New Roman"/>
          <w:color w:val="333333"/>
          <w:kern w:val="0"/>
          <w:sz w:val="24"/>
          <w:szCs w:val="24"/>
          <w:shd w:val="clear" w:color="auto" w:fill="FFFFFF"/>
          <w:lang w:val="en-US" w:eastAsia="zh-CN" w:bidi="ar"/>
        </w:rPr>
        <w:t>Septic Tank</w:t>
      </w:r>
    </w:p>
    <w:p w14:paraId="5E68D0AA">
      <w:pPr>
        <w:keepNext w:val="0"/>
        <w:keepLines w:val="0"/>
        <w:pageBreakBefore w:val="0"/>
        <w:kinsoku/>
        <w:wordWrap/>
        <w:overflowPunct/>
        <w:topLinePunct w:val="0"/>
        <w:autoSpaceDE/>
        <w:autoSpaceDN/>
        <w:bidi w:val="0"/>
        <w:adjustRightInd/>
        <w:snapToGrid w:val="0"/>
        <w:spacing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采用塑料或玻璃钢等材料通过标准化生产流程在工厂内加工、制作</w:t>
      </w:r>
      <w:r>
        <w:rPr>
          <w:rFonts w:hint="default" w:ascii="Times New Roman" w:hAnsi="Times New Roman" w:cs="Times New Roman"/>
          <w:sz w:val="24"/>
          <w:szCs w:val="24"/>
          <w:lang w:val="en-US" w:eastAsia="zh-CN"/>
        </w:rPr>
        <w:t>和</w:t>
      </w:r>
      <w:r>
        <w:rPr>
          <w:rFonts w:hint="default" w:ascii="Times New Roman" w:hAnsi="Times New Roman" w:cs="Times New Roman"/>
          <w:sz w:val="24"/>
          <w:szCs w:val="24"/>
        </w:rPr>
        <w:t>成型的化粪池。</w:t>
      </w:r>
    </w:p>
    <w:p w14:paraId="17F46802">
      <w:pPr>
        <w:keepNext w:val="0"/>
        <w:keepLines w:val="0"/>
        <w:pageBreakBefore w:val="0"/>
        <w:widowControl/>
        <w:kinsoku/>
        <w:wordWrap/>
        <w:overflowPunct/>
        <w:topLinePunct w:val="0"/>
        <w:autoSpaceDE/>
        <w:autoSpaceDN/>
        <w:bidi w:val="0"/>
        <w:adjustRightInd/>
        <w:snapToGrid w:val="0"/>
        <w:spacing w:before="312" w:beforeLines="100" w:after="0" w:afterLines="0" w:line="440" w:lineRule="exact"/>
        <w:ind w:firstLine="0" w:firstLineChars="0"/>
        <w:jc w:val="left"/>
        <w:textAlignment w:val="auto"/>
        <w:rPr>
          <w:rFonts w:hint="default" w:ascii="Times New Roman" w:hAnsi="Times New Roman" w:eastAsia="黑体" w:cs="Times New Roman"/>
          <w:bCs/>
          <w:kern w:val="0"/>
          <w:sz w:val="24"/>
          <w:szCs w:val="24"/>
        </w:rPr>
      </w:pPr>
      <w:r>
        <w:rPr>
          <w:rFonts w:hint="default" w:ascii="Times New Roman" w:hAnsi="Times New Roman" w:eastAsia="黑体" w:cs="Times New Roman"/>
          <w:bCs/>
          <w:kern w:val="0"/>
          <w:sz w:val="24"/>
          <w:szCs w:val="24"/>
        </w:rPr>
        <w:t xml:space="preserve">3.5 </w:t>
      </w:r>
    </w:p>
    <w:p w14:paraId="24D358C7">
      <w:pPr>
        <w:keepNext w:val="0"/>
        <w:keepLines w:val="0"/>
        <w:pageBreakBefore w:val="0"/>
        <w:widowControl/>
        <w:kinsoku/>
        <w:wordWrap/>
        <w:overflowPunct/>
        <w:topLinePunct w:val="0"/>
        <w:autoSpaceDE/>
        <w:autoSpaceDN/>
        <w:bidi w:val="0"/>
        <w:adjustRightInd/>
        <w:snapToGrid w:val="0"/>
        <w:spacing w:before="0" w:beforeLines="0" w:after="0" w:afterLines="0" w:line="440" w:lineRule="exact"/>
        <w:jc w:val="left"/>
        <w:textAlignment w:val="auto"/>
        <w:rPr>
          <w:rFonts w:hint="default" w:ascii="Times New Roman" w:hAnsi="Times New Roman" w:eastAsia="黑体" w:cs="Times New Roman"/>
          <w:bCs/>
          <w:kern w:val="0"/>
          <w:sz w:val="24"/>
          <w:szCs w:val="24"/>
          <w:lang w:val="en-US" w:eastAsia="zh-CN"/>
        </w:rPr>
      </w:pPr>
      <w:r>
        <w:rPr>
          <w:rFonts w:hint="default" w:ascii="Times New Roman" w:hAnsi="Times New Roman" w:eastAsia="黑体" w:cs="Times New Roman"/>
          <w:bCs/>
          <w:kern w:val="0"/>
          <w:sz w:val="24"/>
          <w:szCs w:val="24"/>
        </w:rPr>
        <w:t>现建式化粪池</w:t>
      </w:r>
      <w:r>
        <w:rPr>
          <w:rFonts w:hint="default" w:ascii="Times New Roman" w:hAnsi="Times New Roman" w:eastAsia="黑体" w:cs="Times New Roman"/>
          <w:bCs/>
          <w:kern w:val="0"/>
          <w:sz w:val="24"/>
          <w:szCs w:val="24"/>
          <w:lang w:val="en-US" w:eastAsia="zh-CN"/>
        </w:rPr>
        <w:t xml:space="preserve">  </w:t>
      </w:r>
      <w:r>
        <w:rPr>
          <w:rFonts w:hint="default" w:ascii="Times New Roman" w:hAnsi="Times New Roman" w:eastAsia="Arial" w:cs="Times New Roman"/>
          <w:color w:val="333333"/>
          <w:kern w:val="0"/>
          <w:sz w:val="24"/>
          <w:szCs w:val="24"/>
          <w:shd w:val="clear" w:color="auto" w:fill="FFFFFF"/>
          <w:lang w:val="en-US" w:eastAsia="zh-CN" w:bidi="ar"/>
        </w:rPr>
        <w:t>On-Site Constructed Septic Tank</w:t>
      </w:r>
    </w:p>
    <w:p w14:paraId="6D006FA6">
      <w:pPr>
        <w:keepNext w:val="0"/>
        <w:keepLines w:val="0"/>
        <w:pageBreakBefore w:val="0"/>
        <w:kinsoku/>
        <w:wordWrap/>
        <w:overflowPunct/>
        <w:topLinePunct w:val="0"/>
        <w:autoSpaceDE/>
        <w:autoSpaceDN/>
        <w:bidi w:val="0"/>
        <w:adjustRightInd/>
        <w:snapToGrid w:val="0"/>
        <w:spacing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采用砖砌、现浇混凝土或混凝土预制件等方式在改厕现场施工建造的化粪池。</w:t>
      </w:r>
    </w:p>
    <w:p w14:paraId="6701ABA5">
      <w:pPr>
        <w:adjustRightInd w:val="0"/>
        <w:snapToGrid w:val="0"/>
        <w:spacing w:before="312" w:beforeLines="100" w:after="156" w:afterLines="50"/>
        <w:ind w:firstLine="0" w:firstLineChars="0"/>
        <w:rPr>
          <w:rFonts w:hint="default" w:ascii="Times New Roman" w:hAnsi="Times New Roman" w:eastAsia="黑体" w:cs="Times New Roman"/>
          <w:b/>
          <w:sz w:val="24"/>
          <w:szCs w:val="24"/>
        </w:rPr>
      </w:pPr>
      <w:r>
        <w:rPr>
          <w:rFonts w:hint="default" w:ascii="Times New Roman" w:hAnsi="Times New Roman" w:eastAsia="黑体" w:cs="Times New Roman"/>
          <w:b/>
          <w:sz w:val="24"/>
          <w:szCs w:val="24"/>
        </w:rPr>
        <w:t>4  基本规定</w:t>
      </w:r>
    </w:p>
    <w:p w14:paraId="405ABDCD">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4.1  农村户厕建设与改造应遵循安全、卫生、环保、经济、适农的原则。</w:t>
      </w:r>
    </w:p>
    <w:p w14:paraId="552DBAA7">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4.2  应统筹自然环境、经济状况、村庄规划、供排水条件、现有设施、居住条件等，因地制宜选用厕所类型。</w:t>
      </w:r>
    </w:p>
    <w:p w14:paraId="49DB84A3">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4.3  在平原、山地、干旱、高寒以及生态脆弱等区域，应采用节水、防冻、防渗漏</w:t>
      </w:r>
      <w:r>
        <w:rPr>
          <w:rFonts w:hint="eastAsia" w:cs="Times New Roman" w:eastAsiaTheme="minorEastAsia"/>
          <w:b/>
          <w:color w:val="000000"/>
          <w:sz w:val="24"/>
          <w:szCs w:val="22"/>
          <w:lang w:eastAsia="zh-CN"/>
        </w:rPr>
        <w:t>、</w:t>
      </w:r>
      <w:r>
        <w:rPr>
          <w:rFonts w:hint="eastAsia" w:cs="Times New Roman" w:eastAsiaTheme="minorEastAsia"/>
          <w:b/>
          <w:color w:val="000000"/>
          <w:sz w:val="24"/>
          <w:szCs w:val="22"/>
          <w:lang w:val="en-US" w:eastAsia="zh-CN"/>
        </w:rPr>
        <w:t>防倒灌</w:t>
      </w:r>
      <w:r>
        <w:rPr>
          <w:rFonts w:hint="default" w:ascii="Times New Roman" w:hAnsi="Times New Roman" w:cs="Times New Roman" w:eastAsiaTheme="minorEastAsia"/>
          <w:b/>
          <w:color w:val="000000"/>
          <w:sz w:val="24"/>
          <w:szCs w:val="22"/>
        </w:rPr>
        <w:t>等</w:t>
      </w:r>
      <w:r>
        <w:rPr>
          <w:rFonts w:hint="eastAsia" w:cs="Times New Roman" w:eastAsiaTheme="minorEastAsia"/>
          <w:b/>
          <w:color w:val="000000"/>
          <w:sz w:val="24"/>
          <w:szCs w:val="22"/>
          <w:lang w:val="en-US" w:eastAsia="zh-CN"/>
        </w:rPr>
        <w:t>措施或</w:t>
      </w:r>
      <w:r>
        <w:rPr>
          <w:rFonts w:hint="default" w:ascii="Times New Roman" w:hAnsi="Times New Roman" w:cs="Times New Roman" w:eastAsiaTheme="minorEastAsia"/>
          <w:b/>
          <w:color w:val="000000"/>
          <w:sz w:val="24"/>
          <w:szCs w:val="22"/>
        </w:rPr>
        <w:t>符合区域特色的改厕措施。</w:t>
      </w:r>
    </w:p>
    <w:p w14:paraId="7E175DF3">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4.4  应建立运行维护监督机制，提供户厕检查维修、粪污收运处理处置等服务。</w:t>
      </w:r>
    </w:p>
    <w:p w14:paraId="73DA37E0">
      <w:pPr>
        <w:adjustRightInd w:val="0"/>
        <w:snapToGrid w:val="0"/>
        <w:spacing w:before="312" w:beforeLines="100" w:after="156" w:afterLines="50"/>
        <w:ind w:firstLine="0" w:firstLineChars="0"/>
        <w:rPr>
          <w:rFonts w:hint="default" w:ascii="Times New Roman" w:hAnsi="Times New Roman" w:eastAsia="黑体" w:cs="Times New Roman"/>
          <w:b/>
          <w:sz w:val="24"/>
          <w:szCs w:val="24"/>
        </w:rPr>
      </w:pPr>
      <w:r>
        <w:rPr>
          <w:rFonts w:hint="default" w:ascii="Times New Roman" w:hAnsi="Times New Roman" w:eastAsia="黑体" w:cs="Times New Roman"/>
          <w:b/>
          <w:sz w:val="24"/>
          <w:szCs w:val="24"/>
        </w:rPr>
        <w:t>5  设计要求</w:t>
      </w:r>
    </w:p>
    <w:p w14:paraId="042074D2">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5.1  一般要求</w:t>
      </w:r>
    </w:p>
    <w:p w14:paraId="7D92040B">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5.1.1  农村户厕建设应与村庄基础设施和住宅建筑相协调；依托已有房屋改建厕屋时，不应影响房屋主体结构使用的安全性。</w:t>
      </w:r>
    </w:p>
    <w:p w14:paraId="6EE65418">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5.1.2  农村户厕建设应依据家庭经济条件、常住人口数、粪污清掏及就地利用需求等合理选用设备和参数。</w:t>
      </w:r>
    </w:p>
    <w:p w14:paraId="6C706E40">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w:t>
      </w:r>
      <w:r>
        <w:rPr>
          <w:rFonts w:hint="default" w:ascii="Times New Roman" w:hAnsi="Times New Roman" w:cs="Times New Roman"/>
          <w:sz w:val="24"/>
          <w:szCs w:val="24"/>
          <w:highlight w:val="none"/>
        </w:rPr>
        <w:t xml:space="preserve">.1.3  </w:t>
      </w:r>
      <w:r>
        <w:rPr>
          <w:rFonts w:hint="default" w:ascii="Times New Roman" w:hAnsi="Times New Roman" w:cs="Times New Roman"/>
          <w:sz w:val="24"/>
          <w:szCs w:val="24"/>
          <w:highlight w:val="none"/>
          <w:lang w:val="en-US" w:eastAsia="zh-CN"/>
        </w:rPr>
        <w:t>平原</w:t>
      </w:r>
      <w:r>
        <w:rPr>
          <w:rFonts w:hint="default" w:ascii="Times New Roman" w:hAnsi="Times New Roman" w:cs="Times New Roman"/>
          <w:sz w:val="24"/>
          <w:szCs w:val="24"/>
          <w:highlight w:val="none"/>
        </w:rPr>
        <w:t>地区进</w:t>
      </w:r>
      <w:r>
        <w:rPr>
          <w:rFonts w:hint="default" w:ascii="Times New Roman" w:hAnsi="Times New Roman" w:cs="Times New Roman"/>
          <w:sz w:val="24"/>
          <w:szCs w:val="24"/>
        </w:rPr>
        <w:t>行农村户厕建设时，可采用三格式户厕、</w:t>
      </w:r>
      <w:r>
        <w:rPr>
          <w:rFonts w:hint="default" w:ascii="Times New Roman" w:hAnsi="Times New Roman" w:cs="Times New Roman"/>
          <w:sz w:val="24"/>
          <w:szCs w:val="24"/>
          <w:lang w:val="en-US" w:eastAsia="zh-CN"/>
        </w:rPr>
        <w:t>单格式户厕、</w:t>
      </w:r>
      <w:r>
        <w:rPr>
          <w:rFonts w:hint="default" w:ascii="Times New Roman" w:hAnsi="Times New Roman" w:cs="Times New Roman"/>
          <w:sz w:val="24"/>
          <w:szCs w:val="24"/>
        </w:rPr>
        <w:t>厌氧发酵式户厕等类型。三格式户厕构造参照GB/T38838执行，</w:t>
      </w:r>
      <w:r>
        <w:rPr>
          <w:rFonts w:hint="default" w:ascii="Times New Roman" w:hAnsi="Times New Roman" w:cs="Times New Roman"/>
          <w:sz w:val="24"/>
          <w:szCs w:val="24"/>
          <w:lang w:val="en-US" w:eastAsia="zh-CN"/>
        </w:rPr>
        <w:t>单格</w:t>
      </w:r>
      <w:r>
        <w:rPr>
          <w:rFonts w:hint="default" w:ascii="Times New Roman" w:hAnsi="Times New Roman" w:cs="Times New Roman"/>
          <w:sz w:val="24"/>
          <w:szCs w:val="24"/>
        </w:rPr>
        <w:t>式户厕构造示意图见附录</w:t>
      </w:r>
      <w:r>
        <w:rPr>
          <w:rFonts w:hint="default" w:ascii="Times New Roman" w:hAnsi="Times New Roman" w:cs="Times New Roman"/>
          <w:sz w:val="24"/>
          <w:szCs w:val="24"/>
          <w:lang w:val="en-US" w:eastAsia="zh-CN"/>
        </w:rPr>
        <w:t>A，</w:t>
      </w:r>
      <w:r>
        <w:rPr>
          <w:rFonts w:hint="default" w:ascii="Times New Roman" w:hAnsi="Times New Roman" w:cs="Times New Roman"/>
          <w:sz w:val="24"/>
          <w:szCs w:val="24"/>
        </w:rPr>
        <w:t>厌氧发酵式户厕构造示意图见附录</w:t>
      </w:r>
      <w:r>
        <w:rPr>
          <w:rFonts w:hint="default" w:ascii="Times New Roman" w:hAnsi="Times New Roman" w:cs="Times New Roman"/>
          <w:sz w:val="24"/>
          <w:szCs w:val="24"/>
          <w:lang w:val="en-US" w:eastAsia="zh-CN"/>
        </w:rPr>
        <w:t>C</w:t>
      </w:r>
      <w:r>
        <w:rPr>
          <w:rFonts w:hint="default" w:ascii="Times New Roman" w:hAnsi="Times New Roman" w:cs="Times New Roman"/>
          <w:sz w:val="24"/>
          <w:szCs w:val="24"/>
        </w:rPr>
        <w:t>。</w:t>
      </w:r>
    </w:p>
    <w:p w14:paraId="200C4BD2">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5.1.</w:t>
      </w:r>
      <w:r>
        <w:rPr>
          <w:rFonts w:hint="default" w:ascii="Times New Roman" w:hAnsi="Times New Roman" w:cs="Times New Roman"/>
          <w:sz w:val="24"/>
          <w:szCs w:val="24"/>
          <w:lang w:val="en-US" w:eastAsia="zh-CN"/>
        </w:rPr>
        <w:t>4</w:t>
      </w:r>
      <w:r>
        <w:rPr>
          <w:rFonts w:hint="default" w:ascii="Times New Roman" w:hAnsi="Times New Roman" w:cs="Times New Roman"/>
          <w:sz w:val="24"/>
          <w:szCs w:val="24"/>
        </w:rPr>
        <w:t xml:space="preserve">  山区、丘陵、坝上等粪污收运</w:t>
      </w:r>
      <w:r>
        <w:rPr>
          <w:rFonts w:hint="default" w:ascii="Times New Roman" w:hAnsi="Times New Roman" w:cs="Times New Roman"/>
          <w:sz w:val="24"/>
          <w:szCs w:val="24"/>
          <w:lang w:val="en-US" w:eastAsia="zh-CN"/>
        </w:rPr>
        <w:t>集中处理</w:t>
      </w:r>
      <w:r>
        <w:rPr>
          <w:rFonts w:hint="default" w:ascii="Times New Roman" w:hAnsi="Times New Roman" w:cs="Times New Roman"/>
          <w:sz w:val="24"/>
          <w:szCs w:val="24"/>
        </w:rPr>
        <w:t>困难地区进行农村户厕建设时，可采用厌氧发酵式厕所。</w:t>
      </w:r>
    </w:p>
    <w:p w14:paraId="7F989040">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5.1.</w:t>
      </w: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 xml:space="preserve">  干旱、高寒及用水困难地区进行农村户厕建设时，可采用双坑交替式、深坑式等旱厕，双坑交替式厕所参照GB19379执行，深坑式</w:t>
      </w:r>
      <w:r>
        <w:rPr>
          <w:rFonts w:hint="default" w:ascii="Times New Roman" w:hAnsi="Times New Roman" w:cs="Times New Roman"/>
          <w:sz w:val="24"/>
          <w:szCs w:val="24"/>
          <w:lang w:val="en-US" w:eastAsia="zh-CN"/>
        </w:rPr>
        <w:t>旱厕</w:t>
      </w:r>
      <w:r>
        <w:rPr>
          <w:rFonts w:hint="default" w:ascii="Times New Roman" w:hAnsi="Times New Roman" w:cs="Times New Roman"/>
          <w:sz w:val="24"/>
          <w:szCs w:val="24"/>
        </w:rPr>
        <w:t>构造见附录B。</w:t>
      </w:r>
    </w:p>
    <w:p w14:paraId="7546B08E">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5.1.</w:t>
      </w:r>
      <w:r>
        <w:rPr>
          <w:rFonts w:hint="default" w:ascii="Times New Roman" w:hAnsi="Times New Roman" w:cs="Times New Roman"/>
          <w:sz w:val="24"/>
          <w:szCs w:val="24"/>
          <w:lang w:val="en-US" w:eastAsia="zh-CN"/>
        </w:rPr>
        <w:t>6</w:t>
      </w:r>
      <w:r>
        <w:rPr>
          <w:rFonts w:hint="default" w:ascii="Times New Roman" w:hAnsi="Times New Roman" w:cs="Times New Roman"/>
          <w:sz w:val="24"/>
          <w:szCs w:val="24"/>
        </w:rPr>
        <w:t xml:space="preserve">  地下水位高且没有就地用肥需求地区进行农村户厕建设时，可采用单格式</w:t>
      </w:r>
      <w:r>
        <w:rPr>
          <w:rFonts w:hint="default" w:ascii="Times New Roman" w:hAnsi="Times New Roman" w:cs="Times New Roman"/>
          <w:sz w:val="24"/>
          <w:szCs w:val="24"/>
          <w:lang w:val="en-US" w:eastAsia="zh-CN"/>
        </w:rPr>
        <w:t>厕所</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其</w:t>
      </w:r>
      <w:r>
        <w:rPr>
          <w:rFonts w:hint="default" w:ascii="Times New Roman" w:hAnsi="Times New Roman" w:cs="Times New Roman"/>
          <w:sz w:val="24"/>
          <w:szCs w:val="24"/>
        </w:rPr>
        <w:t>构造示意图见附录</w:t>
      </w:r>
      <w:r>
        <w:rPr>
          <w:rFonts w:hint="default" w:ascii="Times New Roman" w:hAnsi="Times New Roman" w:cs="Times New Roman"/>
          <w:sz w:val="24"/>
          <w:szCs w:val="24"/>
          <w:lang w:val="en-US" w:eastAsia="zh-CN"/>
        </w:rPr>
        <w:t>A</w:t>
      </w:r>
      <w:r>
        <w:rPr>
          <w:rFonts w:hint="default" w:ascii="Times New Roman" w:hAnsi="Times New Roman" w:cs="Times New Roman"/>
          <w:sz w:val="24"/>
          <w:szCs w:val="24"/>
        </w:rPr>
        <w:t>。</w:t>
      </w:r>
    </w:p>
    <w:p w14:paraId="5F08E11F">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5.1.7  具备完善市政设施地区进行农村户厕建设时，宜选用集中下水道收集式厕所，并参照GB/T38838执行。</w:t>
      </w:r>
    </w:p>
    <w:p w14:paraId="35237511">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5.2  选址</w:t>
      </w:r>
    </w:p>
    <w:p w14:paraId="409E80FD">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5.2.1  厕屋宜建在室内，若为庭院内独立厕屋，应根据布局合理选址、方便使用，应与厨房有效隔离。</w:t>
      </w:r>
    </w:p>
    <w:p w14:paraId="1830F9F6">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5.2.2  化粪池应避开低洼积水地带、远离水源、靠近厕屋、有清掏空间和通道，方便清掏车辆进出。</w:t>
      </w:r>
    </w:p>
    <w:p w14:paraId="4AADA008">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5.3  厕屋</w:t>
      </w:r>
    </w:p>
    <w:p w14:paraId="11AE2FF5">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5.3.1  厕屋结构应完整、安全、可靠，可采用砖石、混凝土、轻型装配式等结构，优先选用当地可再生材料、环保节能保温材料，寒冷地区独立式厕屋应采取防冻措施。</w:t>
      </w:r>
    </w:p>
    <w:p w14:paraId="0C6618DD">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5.3.</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 xml:space="preserve">  厕屋内部净尺寸不小于1.8m×1.2m，净高度不</w:t>
      </w:r>
      <w:r>
        <w:rPr>
          <w:rFonts w:hint="default" w:ascii="Times New Roman" w:hAnsi="Times New Roman" w:cs="Times New Roman"/>
          <w:sz w:val="24"/>
          <w:szCs w:val="24"/>
          <w:lang w:val="en-US" w:eastAsia="zh-CN"/>
        </w:rPr>
        <w:t>小</w:t>
      </w:r>
      <w:r>
        <w:rPr>
          <w:rFonts w:hint="default" w:ascii="Times New Roman" w:hAnsi="Times New Roman" w:cs="Times New Roman"/>
          <w:sz w:val="24"/>
          <w:szCs w:val="24"/>
        </w:rPr>
        <w:t>于2m，厕门高度不低于1.8m，宽</w:t>
      </w:r>
      <w:r>
        <w:rPr>
          <w:rFonts w:hint="default" w:ascii="Times New Roman" w:hAnsi="Times New Roman" w:cs="Times New Roman"/>
          <w:sz w:val="24"/>
          <w:szCs w:val="24"/>
          <w:lang w:val="en-US" w:eastAsia="zh-CN"/>
        </w:rPr>
        <w:t>度</w:t>
      </w:r>
      <w:r>
        <w:rPr>
          <w:rFonts w:hint="default" w:ascii="Times New Roman" w:hAnsi="Times New Roman" w:cs="Times New Roman"/>
          <w:sz w:val="24"/>
          <w:szCs w:val="24"/>
        </w:rPr>
        <w:t>不</w:t>
      </w:r>
      <w:r>
        <w:rPr>
          <w:rFonts w:hint="default" w:ascii="Times New Roman" w:hAnsi="Times New Roman" w:cs="Times New Roman"/>
          <w:sz w:val="24"/>
          <w:szCs w:val="24"/>
          <w:lang w:val="en-US" w:eastAsia="zh-CN"/>
        </w:rPr>
        <w:t>小</w:t>
      </w:r>
      <w:r>
        <w:rPr>
          <w:rFonts w:hint="default" w:ascii="Times New Roman" w:hAnsi="Times New Roman" w:cs="Times New Roman"/>
          <w:sz w:val="24"/>
          <w:szCs w:val="24"/>
        </w:rPr>
        <w:t>于0.7m，</w:t>
      </w:r>
      <w:r>
        <w:rPr>
          <w:rFonts w:hint="default" w:ascii="Times New Roman" w:hAnsi="Times New Roman" w:cs="Times New Roman"/>
          <w:sz w:val="24"/>
          <w:szCs w:val="24"/>
          <w:lang w:val="en-US" w:eastAsia="zh-CN"/>
        </w:rPr>
        <w:t>宜</w:t>
      </w:r>
      <w:r>
        <w:rPr>
          <w:rFonts w:hint="default" w:ascii="Times New Roman" w:hAnsi="Times New Roman" w:cs="Times New Roman"/>
          <w:sz w:val="24"/>
          <w:szCs w:val="24"/>
        </w:rPr>
        <w:t>为外开式；在适当位置</w:t>
      </w:r>
      <w:r>
        <w:rPr>
          <w:rFonts w:hint="default" w:ascii="Times New Roman" w:hAnsi="Times New Roman" w:cs="Times New Roman"/>
          <w:sz w:val="24"/>
          <w:szCs w:val="24"/>
          <w:lang w:val="en-US" w:eastAsia="zh-CN"/>
        </w:rPr>
        <w:t>宜</w:t>
      </w:r>
      <w:r>
        <w:rPr>
          <w:rFonts w:hint="default" w:ascii="Times New Roman" w:hAnsi="Times New Roman" w:cs="Times New Roman"/>
          <w:sz w:val="24"/>
          <w:szCs w:val="24"/>
        </w:rPr>
        <w:t>设置</w:t>
      </w:r>
      <w:r>
        <w:rPr>
          <w:rFonts w:hint="default" w:ascii="Times New Roman" w:hAnsi="Times New Roman" w:cs="Times New Roman"/>
          <w:sz w:val="24"/>
          <w:szCs w:val="24"/>
          <w:lang w:val="en-US" w:eastAsia="zh-CN"/>
        </w:rPr>
        <w:t>尺寸不小于</w:t>
      </w:r>
      <w:r>
        <w:rPr>
          <w:rFonts w:hint="default" w:ascii="Times New Roman" w:hAnsi="Times New Roman" w:cs="Times New Roman"/>
          <w:sz w:val="24"/>
          <w:szCs w:val="24"/>
        </w:rPr>
        <w:t>0.4m×0.6m</w:t>
      </w:r>
      <w:r>
        <w:rPr>
          <w:rFonts w:hint="default" w:ascii="Times New Roman" w:hAnsi="Times New Roman" w:cs="Times New Roman"/>
          <w:sz w:val="24"/>
          <w:szCs w:val="24"/>
          <w:lang w:val="en-US" w:eastAsia="zh-CN"/>
        </w:rPr>
        <w:t>的</w:t>
      </w:r>
      <w:r>
        <w:rPr>
          <w:rFonts w:hint="default" w:ascii="Times New Roman" w:hAnsi="Times New Roman" w:cs="Times New Roman"/>
          <w:sz w:val="24"/>
          <w:szCs w:val="24"/>
        </w:rPr>
        <w:t>厕窗，</w:t>
      </w:r>
      <w:r>
        <w:rPr>
          <w:rFonts w:hint="default" w:ascii="Times New Roman" w:hAnsi="Times New Roman" w:cs="Times New Roman"/>
          <w:sz w:val="24"/>
          <w:szCs w:val="24"/>
          <w:lang w:val="en-US" w:eastAsia="zh-CN"/>
        </w:rPr>
        <w:t>并</w:t>
      </w:r>
      <w:r>
        <w:rPr>
          <w:rFonts w:hint="default" w:ascii="Times New Roman" w:hAnsi="Times New Roman" w:cs="Times New Roman"/>
          <w:sz w:val="24"/>
          <w:szCs w:val="24"/>
        </w:rPr>
        <w:t>安装纱窗。</w:t>
      </w:r>
    </w:p>
    <w:p w14:paraId="1DCA260F">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5.3.</w:t>
      </w: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 xml:space="preserve">  厕屋应有照明、通风等设施，附建式厕屋应具备通向室外的通风设施，夏季炎热地区宜设置降温设施；有老年人或</w:t>
      </w:r>
      <w:r>
        <w:rPr>
          <w:rFonts w:hint="eastAsia" w:ascii="Times New Roman" w:hAnsi="Times New Roman" w:cs="Times New Roman"/>
          <w:sz w:val="24"/>
          <w:szCs w:val="24"/>
          <w:lang w:val="en-US" w:eastAsia="zh-CN"/>
        </w:rPr>
        <w:t>行动不便者</w:t>
      </w:r>
      <w:r>
        <w:rPr>
          <w:rFonts w:hint="default" w:ascii="Times New Roman" w:hAnsi="Times New Roman" w:cs="Times New Roman"/>
          <w:sz w:val="24"/>
          <w:szCs w:val="24"/>
        </w:rPr>
        <w:t>使用的厕屋，宜设置扶手；独立式厕屋地面应高于室外，防止雨水倒灌，并进行硬化防滑处理，有条件的地区，宜设置洗手池等附属设施。</w:t>
      </w:r>
    </w:p>
    <w:p w14:paraId="32BF7EAC">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5.3.4  轻型装配式结构厕屋，板材厚度应根据实际需要确定，且不应小于6cm。</w:t>
      </w:r>
    </w:p>
    <w:p w14:paraId="7437DF90">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5.4  便器与卫生设施</w:t>
      </w:r>
    </w:p>
    <w:p w14:paraId="6BA27FF7">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5.4.1  卫生便器的材质要求应符合GB/T6952及JC/T2116的规定。</w:t>
      </w:r>
    </w:p>
    <w:p w14:paraId="24A27CB8">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5.4.2  卫生便器技术参数要求应符合表5.4.2。</w:t>
      </w:r>
    </w:p>
    <w:p w14:paraId="13512D19">
      <w:pPr>
        <w:pStyle w:val="5"/>
        <w:keepNext/>
        <w:snapToGrid/>
        <w:spacing w:before="312" w:beforeLines="100" w:after="0" w:afterLines="-2147483648"/>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表5.4.2  卫生便器技术参数要求</w:t>
      </w:r>
    </w:p>
    <w:tbl>
      <w:tblPr>
        <w:tblStyle w:val="17"/>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34"/>
        <w:gridCol w:w="3969"/>
        <w:gridCol w:w="3969"/>
      </w:tblGrid>
      <w:tr w14:paraId="60A25EB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54" w:hRule="atLeast"/>
          <w:jc w:val="center"/>
        </w:trPr>
        <w:tc>
          <w:tcPr>
            <w:tcW w:w="1134" w:type="dxa"/>
            <w:tcBorders>
              <w:bottom w:val="single" w:color="auto" w:sz="4" w:space="0"/>
            </w:tcBorders>
            <w:vAlign w:val="center"/>
          </w:tcPr>
          <w:p w14:paraId="1A818638">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项目</w:t>
            </w:r>
          </w:p>
        </w:tc>
        <w:tc>
          <w:tcPr>
            <w:tcW w:w="3969" w:type="dxa"/>
            <w:tcBorders>
              <w:bottom w:val="single" w:color="auto" w:sz="4" w:space="0"/>
            </w:tcBorders>
            <w:vAlign w:val="center"/>
          </w:tcPr>
          <w:p w14:paraId="716BCEED">
            <w:pPr>
              <w:ind w:firstLine="360"/>
              <w:jc w:val="center"/>
              <w:rPr>
                <w:rFonts w:hint="default" w:ascii="Times New Roman" w:hAnsi="Times New Roman" w:cs="Times New Roman"/>
                <w:sz w:val="18"/>
                <w:szCs w:val="18"/>
              </w:rPr>
            </w:pPr>
            <w:r>
              <w:rPr>
                <w:rFonts w:hint="default" w:ascii="Times New Roman" w:hAnsi="Times New Roman" w:cs="Times New Roman"/>
                <w:sz w:val="18"/>
                <w:szCs w:val="18"/>
              </w:rPr>
              <w:t>坐便</w:t>
            </w:r>
          </w:p>
        </w:tc>
        <w:tc>
          <w:tcPr>
            <w:tcW w:w="3969" w:type="dxa"/>
            <w:tcBorders>
              <w:bottom w:val="single" w:color="auto" w:sz="4" w:space="0"/>
            </w:tcBorders>
          </w:tcPr>
          <w:p w14:paraId="6051A38F">
            <w:pPr>
              <w:ind w:firstLine="360"/>
              <w:jc w:val="center"/>
              <w:rPr>
                <w:rFonts w:hint="default" w:ascii="Times New Roman" w:hAnsi="Times New Roman" w:cs="Times New Roman"/>
                <w:sz w:val="18"/>
                <w:szCs w:val="18"/>
              </w:rPr>
            </w:pPr>
            <w:r>
              <w:rPr>
                <w:rFonts w:hint="default" w:ascii="Times New Roman" w:hAnsi="Times New Roman" w:cs="Times New Roman"/>
                <w:sz w:val="18"/>
                <w:szCs w:val="18"/>
              </w:rPr>
              <w:t>蹲便</w:t>
            </w:r>
          </w:p>
        </w:tc>
      </w:tr>
      <w:tr w14:paraId="67AED6A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2" w:hRule="atLeast"/>
          <w:jc w:val="center"/>
        </w:trPr>
        <w:tc>
          <w:tcPr>
            <w:tcW w:w="1134" w:type="dxa"/>
            <w:tcBorders>
              <w:top w:val="single" w:color="auto" w:sz="4" w:space="0"/>
              <w:tl2br w:val="nil"/>
              <w:tr2bl w:val="nil"/>
            </w:tcBorders>
            <w:vAlign w:val="center"/>
          </w:tcPr>
          <w:p w14:paraId="50C9D5C7">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示意图</w:t>
            </w:r>
          </w:p>
        </w:tc>
        <w:tc>
          <w:tcPr>
            <w:tcW w:w="3969" w:type="dxa"/>
            <w:tcBorders>
              <w:top w:val="single" w:color="auto" w:sz="4" w:space="0"/>
              <w:tl2br w:val="nil"/>
              <w:tr2bl w:val="nil"/>
            </w:tcBorders>
            <w:vAlign w:val="center"/>
          </w:tcPr>
          <w:p w14:paraId="00A984E3">
            <w:pPr>
              <w:ind w:firstLine="20"/>
              <w:jc w:val="center"/>
              <w:rPr>
                <w:rFonts w:hint="default" w:ascii="Times New Roman" w:hAnsi="Times New Roman" w:cs="Times New Roman"/>
                <w:sz w:val="18"/>
                <w:szCs w:val="18"/>
              </w:rPr>
            </w:pPr>
            <w:r>
              <w:rPr>
                <w:rFonts w:hint="default" w:ascii="Times New Roman" w:hAnsi="Times New Roman" w:eastAsia="Times New Roman" w:cs="Times New Roman"/>
                <w:snapToGrid w:val="0"/>
                <w:color w:val="000000"/>
                <w:w w:val="0"/>
                <w:kern w:val="0"/>
                <w:sz w:val="0"/>
                <w:szCs w:val="0"/>
                <w:u w:color="000000"/>
                <w:shd w:val="clear" w:color="000000" w:fill="000000"/>
                <w:lang w:val="zh-CN" w:bidi="zh-CN"/>
              </w:rPr>
              <w:t xml:space="preserve"> </w:t>
            </w:r>
            <w:r>
              <w:rPr>
                <w:rFonts w:hint="default" w:ascii="Times New Roman" w:hAnsi="Times New Roman" w:cs="Times New Roman"/>
              </w:rPr>
              <w:drawing>
                <wp:inline distT="0" distB="0" distL="0" distR="0">
                  <wp:extent cx="1652270" cy="1976120"/>
                  <wp:effectExtent l="0" t="0" r="11430" b="5080"/>
                  <wp:docPr id="21" name="图片 10" descr="E:\科研\张立勇\农业厅标准\准备资料\农业厅标准2024.2\附图\3_页面_1.jpg"/>
                  <wp:cNvGraphicFramePr/>
                  <a:graphic xmlns:a="http://schemas.openxmlformats.org/drawingml/2006/main">
                    <a:graphicData uri="http://schemas.openxmlformats.org/drawingml/2006/picture">
                      <pic:pic xmlns:pic="http://schemas.openxmlformats.org/drawingml/2006/picture">
                        <pic:nvPicPr>
                          <pic:cNvPr id="21" name="图片 10" descr="E:\科研\张立勇\农业厅标准\准备资料\农业厅标准2024.2\附图\3_页面_1.jpg"/>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652270" cy="1976120"/>
                          </a:xfrm>
                          <a:prstGeom prst="rect">
                            <a:avLst/>
                          </a:prstGeom>
                          <a:noFill/>
                          <a:ln>
                            <a:noFill/>
                          </a:ln>
                        </pic:spPr>
                      </pic:pic>
                    </a:graphicData>
                  </a:graphic>
                </wp:inline>
              </w:drawing>
            </w:r>
          </w:p>
        </w:tc>
        <w:tc>
          <w:tcPr>
            <w:tcW w:w="3969" w:type="dxa"/>
            <w:tcBorders>
              <w:top w:val="single" w:color="auto" w:sz="4" w:space="0"/>
              <w:tl2br w:val="nil"/>
              <w:tr2bl w:val="nil"/>
            </w:tcBorders>
            <w:vAlign w:val="center"/>
          </w:tcPr>
          <w:p w14:paraId="75928A3D">
            <w:pPr>
              <w:ind w:firstLine="20"/>
              <w:jc w:val="center"/>
              <w:rPr>
                <w:rFonts w:hint="default" w:ascii="Times New Roman" w:hAnsi="Times New Roman" w:cs="Times New Roman"/>
                <w:sz w:val="18"/>
                <w:szCs w:val="18"/>
              </w:rPr>
            </w:pPr>
            <w:r>
              <w:rPr>
                <w:rFonts w:hint="default" w:ascii="Times New Roman" w:hAnsi="Times New Roman" w:eastAsia="Times New Roman" w:cs="Times New Roman"/>
                <w:snapToGrid w:val="0"/>
                <w:color w:val="000000"/>
                <w:w w:val="0"/>
                <w:kern w:val="0"/>
                <w:sz w:val="0"/>
                <w:szCs w:val="0"/>
                <w:u w:color="000000"/>
                <w:shd w:val="clear" w:color="000000" w:fill="000000"/>
                <w:lang w:val="zh-CN" w:bidi="zh-CN"/>
              </w:rPr>
              <w:t xml:space="preserve"> </w:t>
            </w:r>
            <w:r>
              <w:rPr>
                <w:rFonts w:hint="default" w:ascii="Times New Roman" w:hAnsi="Times New Roman" w:cs="Times New Roman"/>
                <w:sz w:val="18"/>
                <w:szCs w:val="18"/>
              </w:rPr>
              <w:drawing>
                <wp:inline distT="0" distB="0" distL="0" distR="0">
                  <wp:extent cx="1864360" cy="1891665"/>
                  <wp:effectExtent l="0" t="0" r="2540" b="635"/>
                  <wp:docPr id="4" name="图片 4" descr="E:\科研\张立勇\农业厅标准\准备资料\农业厅标准2024.2\附图\3_页面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科研\张立勇\农业厅标准\准备资料\农业厅标准2024.2\附图\3_页面_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864360" cy="1891665"/>
                          </a:xfrm>
                          <a:prstGeom prst="rect">
                            <a:avLst/>
                          </a:prstGeom>
                          <a:noFill/>
                          <a:ln>
                            <a:noFill/>
                          </a:ln>
                        </pic:spPr>
                      </pic:pic>
                    </a:graphicData>
                  </a:graphic>
                </wp:inline>
              </w:drawing>
            </w:r>
          </w:p>
        </w:tc>
      </w:tr>
      <w:tr w14:paraId="24D06D6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134" w:type="dxa"/>
            <w:tcBorders>
              <w:tl2br w:val="nil"/>
              <w:tr2bl w:val="nil"/>
            </w:tcBorders>
            <w:vAlign w:val="center"/>
          </w:tcPr>
          <w:p w14:paraId="10239CE9">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尺寸</w:t>
            </w:r>
          </w:p>
        </w:tc>
        <w:tc>
          <w:tcPr>
            <w:tcW w:w="3969" w:type="dxa"/>
            <w:tcBorders>
              <w:tl2br w:val="nil"/>
              <w:tr2bl w:val="nil"/>
            </w:tcBorders>
            <w:vAlign w:val="center"/>
          </w:tcPr>
          <w:p w14:paraId="5094A73B">
            <w:pPr>
              <w:ind w:firstLine="360"/>
              <w:jc w:val="center"/>
              <w:rPr>
                <w:rFonts w:hint="default" w:ascii="Times New Roman" w:hAnsi="Times New Roman" w:cs="Times New Roman"/>
                <w:sz w:val="18"/>
                <w:szCs w:val="18"/>
              </w:rPr>
            </w:pPr>
            <w:r>
              <w:rPr>
                <w:rFonts w:hint="default" w:ascii="Times New Roman" w:hAnsi="Times New Roman" w:cs="Times New Roman"/>
                <w:i/>
                <w:iCs/>
                <w:sz w:val="18"/>
                <w:szCs w:val="18"/>
              </w:rPr>
              <w:t>W</w:t>
            </w:r>
            <w:r>
              <w:rPr>
                <w:rFonts w:hint="default" w:ascii="Times New Roman" w:hAnsi="Times New Roman" w:cs="Times New Roman"/>
                <w:sz w:val="18"/>
                <w:szCs w:val="18"/>
              </w:rPr>
              <w:t>≥300 mm，</w:t>
            </w:r>
            <w:r>
              <w:rPr>
                <w:rFonts w:hint="default" w:ascii="Times New Roman" w:hAnsi="Times New Roman" w:cs="Times New Roman"/>
                <w:i/>
                <w:iCs/>
                <w:sz w:val="18"/>
                <w:szCs w:val="18"/>
              </w:rPr>
              <w:t>L</w:t>
            </w:r>
            <w:r>
              <w:rPr>
                <w:rFonts w:hint="default" w:ascii="Times New Roman" w:hAnsi="Times New Roman" w:cs="Times New Roman"/>
                <w:sz w:val="18"/>
                <w:szCs w:val="18"/>
              </w:rPr>
              <w:t>≥400 mm，</w:t>
            </w:r>
            <w:r>
              <w:rPr>
                <w:rFonts w:hint="default" w:ascii="Times New Roman" w:hAnsi="Times New Roman" w:cs="Times New Roman"/>
                <w:i/>
                <w:iCs/>
                <w:sz w:val="18"/>
                <w:szCs w:val="18"/>
              </w:rPr>
              <w:t>H</w:t>
            </w:r>
            <w:r>
              <w:rPr>
                <w:rFonts w:hint="default" w:ascii="Times New Roman" w:hAnsi="Times New Roman" w:cs="Times New Roman"/>
                <w:sz w:val="18"/>
                <w:szCs w:val="18"/>
              </w:rPr>
              <w:t>≥370 mm</w:t>
            </w:r>
          </w:p>
        </w:tc>
        <w:tc>
          <w:tcPr>
            <w:tcW w:w="3969" w:type="dxa"/>
            <w:tcBorders>
              <w:tl2br w:val="nil"/>
              <w:tr2bl w:val="nil"/>
            </w:tcBorders>
          </w:tcPr>
          <w:p w14:paraId="6001AC7C">
            <w:pPr>
              <w:ind w:firstLine="0" w:firstLineChars="0"/>
              <w:jc w:val="center"/>
              <w:rPr>
                <w:rFonts w:hint="default" w:ascii="Times New Roman" w:hAnsi="Times New Roman" w:cs="Times New Roman"/>
                <w:sz w:val="18"/>
                <w:szCs w:val="18"/>
              </w:rPr>
            </w:pPr>
            <w:r>
              <w:rPr>
                <w:rFonts w:hint="default" w:ascii="Times New Roman" w:hAnsi="Times New Roman" w:cs="Times New Roman"/>
                <w:i/>
                <w:iCs/>
                <w:sz w:val="18"/>
                <w:szCs w:val="18"/>
              </w:rPr>
              <w:t>W</w:t>
            </w:r>
            <w:r>
              <w:rPr>
                <w:rFonts w:hint="default" w:ascii="Times New Roman" w:hAnsi="Times New Roman" w:cs="Times New Roman"/>
                <w:sz w:val="18"/>
                <w:szCs w:val="18"/>
              </w:rPr>
              <w:t>≥420 mm，</w:t>
            </w:r>
            <w:r>
              <w:rPr>
                <w:rFonts w:hint="default" w:ascii="Times New Roman" w:hAnsi="Times New Roman" w:cs="Times New Roman"/>
                <w:i/>
                <w:iCs/>
                <w:sz w:val="18"/>
                <w:szCs w:val="18"/>
              </w:rPr>
              <w:t>L</w:t>
            </w:r>
            <w:r>
              <w:rPr>
                <w:rFonts w:hint="default" w:ascii="Times New Roman" w:hAnsi="Times New Roman" w:cs="Times New Roman"/>
                <w:sz w:val="18"/>
                <w:szCs w:val="18"/>
              </w:rPr>
              <w:t>≥520 mm</w:t>
            </w:r>
          </w:p>
        </w:tc>
      </w:tr>
      <w:tr w14:paraId="378E6BE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134" w:type="dxa"/>
            <w:tcBorders>
              <w:tl2br w:val="nil"/>
              <w:tr2bl w:val="nil"/>
            </w:tcBorders>
            <w:vAlign w:val="center"/>
          </w:tcPr>
          <w:p w14:paraId="11DCD7B4">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胚体厚度</w:t>
            </w:r>
          </w:p>
        </w:tc>
        <w:tc>
          <w:tcPr>
            <w:tcW w:w="3969" w:type="dxa"/>
            <w:tcBorders>
              <w:tl2br w:val="nil"/>
              <w:tr2bl w:val="nil"/>
            </w:tcBorders>
            <w:vAlign w:val="center"/>
          </w:tcPr>
          <w:p w14:paraId="48A41E81">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≥6mm</w:t>
            </w:r>
          </w:p>
        </w:tc>
        <w:tc>
          <w:tcPr>
            <w:tcW w:w="3969" w:type="dxa"/>
            <w:tcBorders>
              <w:tl2br w:val="nil"/>
              <w:tr2bl w:val="nil"/>
            </w:tcBorders>
          </w:tcPr>
          <w:p w14:paraId="4826539A">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≥6 mm</w:t>
            </w:r>
          </w:p>
        </w:tc>
      </w:tr>
      <w:tr w14:paraId="27EB7D2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134" w:type="dxa"/>
            <w:tcBorders>
              <w:tl2br w:val="nil"/>
              <w:tr2bl w:val="nil"/>
            </w:tcBorders>
            <w:vAlign w:val="center"/>
          </w:tcPr>
          <w:p w14:paraId="42DD4A60">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釉面层数</w:t>
            </w:r>
          </w:p>
        </w:tc>
        <w:tc>
          <w:tcPr>
            <w:tcW w:w="3969" w:type="dxa"/>
            <w:tcBorders>
              <w:tl2br w:val="nil"/>
              <w:tr2bl w:val="nil"/>
            </w:tcBorders>
            <w:vAlign w:val="center"/>
          </w:tcPr>
          <w:p w14:paraId="0D47E8DC">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≥2层</w:t>
            </w:r>
          </w:p>
        </w:tc>
        <w:tc>
          <w:tcPr>
            <w:tcW w:w="3969" w:type="dxa"/>
            <w:tcBorders>
              <w:tl2br w:val="nil"/>
              <w:tr2bl w:val="nil"/>
            </w:tcBorders>
          </w:tcPr>
          <w:p w14:paraId="7EEB9FAA">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≥2层</w:t>
            </w:r>
          </w:p>
        </w:tc>
      </w:tr>
      <w:tr w14:paraId="282F2FE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134" w:type="dxa"/>
            <w:tcBorders>
              <w:tl2br w:val="nil"/>
              <w:tr2bl w:val="nil"/>
            </w:tcBorders>
            <w:vAlign w:val="center"/>
          </w:tcPr>
          <w:p w14:paraId="72D6FCC8">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釉面厚度</w:t>
            </w:r>
          </w:p>
        </w:tc>
        <w:tc>
          <w:tcPr>
            <w:tcW w:w="3969" w:type="dxa"/>
            <w:tcBorders>
              <w:tl2br w:val="nil"/>
              <w:tr2bl w:val="nil"/>
            </w:tcBorders>
            <w:vAlign w:val="center"/>
          </w:tcPr>
          <w:p w14:paraId="2C3E9C04">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0.8~1.1 mm</w:t>
            </w:r>
          </w:p>
        </w:tc>
        <w:tc>
          <w:tcPr>
            <w:tcW w:w="3969" w:type="dxa"/>
            <w:tcBorders>
              <w:tl2br w:val="nil"/>
              <w:tr2bl w:val="nil"/>
            </w:tcBorders>
          </w:tcPr>
          <w:p w14:paraId="49A76429">
            <w:pPr>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0.8~1.1 mm</w:t>
            </w:r>
          </w:p>
        </w:tc>
      </w:tr>
    </w:tbl>
    <w:p w14:paraId="4C767221">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5.4.</w:t>
      </w: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 xml:space="preserve">  根据供水条件和便器类型，宜选用节水型电动冲水器具</w:t>
      </w:r>
      <w:r>
        <w:rPr>
          <w:rFonts w:hint="default" w:ascii="Times New Roman" w:hAnsi="Times New Roman" w:cs="Times New Roman"/>
          <w:sz w:val="24"/>
          <w:szCs w:val="24"/>
          <w:lang w:eastAsia="zh-CN"/>
        </w:rPr>
        <w:t>；</w:t>
      </w:r>
      <w:r>
        <w:rPr>
          <w:rFonts w:hint="default" w:ascii="Times New Roman" w:hAnsi="Times New Roman" w:cs="Times New Roman"/>
          <w:sz w:val="24"/>
          <w:szCs w:val="24"/>
        </w:rPr>
        <w:t>便器类产品所配套的便器压力冲水装置应符合GB/T 26750的规定。</w:t>
      </w:r>
    </w:p>
    <w:p w14:paraId="4D38C0A9">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5.4.</w:t>
      </w:r>
      <w:r>
        <w:rPr>
          <w:rFonts w:hint="default" w:ascii="Times New Roman" w:hAnsi="Times New Roman" w:cs="Times New Roman"/>
          <w:sz w:val="24"/>
          <w:szCs w:val="24"/>
          <w:lang w:val="en-US" w:eastAsia="zh-CN"/>
        </w:rPr>
        <w:t>4</w:t>
      </w:r>
      <w:r>
        <w:rPr>
          <w:rFonts w:hint="default" w:ascii="Times New Roman" w:hAnsi="Times New Roman" w:cs="Times New Roman"/>
          <w:sz w:val="24"/>
          <w:szCs w:val="24"/>
        </w:rPr>
        <w:t xml:space="preserve">  寒冷和严寒地区独立式厕屋的便器、排水管、冲水与贮水设备应采取防冻措施，便器不宜附带存水弯；选用直排式便器时，应设置防臭阀等机械式防臭装置。</w:t>
      </w:r>
    </w:p>
    <w:p w14:paraId="440A617C">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5.4.</w:t>
      </w: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 xml:space="preserve">  坐便器应配备便器盖和坐圈，且应符合JC/T 764的规定。</w:t>
      </w:r>
    </w:p>
    <w:p w14:paraId="299EE447">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5.5  化粪池</w:t>
      </w:r>
    </w:p>
    <w:p w14:paraId="6637E8AE">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5.5.1  预制式化粪池应有产品质量合格证，外观光滑平整，无裂缝、污点、杂质等缺陷，承载力、密封、耐腐蚀等性能良好。</w:t>
      </w:r>
    </w:p>
    <w:p w14:paraId="6779850E">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rPr>
      </w:pPr>
      <w:r>
        <w:rPr>
          <w:rFonts w:hint="default" w:ascii="Times New Roman" w:hAnsi="Times New Roman" w:cs="Times New Roman"/>
          <w:sz w:val="24"/>
          <w:szCs w:val="24"/>
        </w:rPr>
        <w:t>5.5.2  现建式化粪池应抹平抹光</w:t>
      </w:r>
      <w:r>
        <w:rPr>
          <w:rFonts w:hint="default" w:ascii="Times New Roman" w:hAnsi="Times New Roman" w:cs="Times New Roman"/>
          <w:sz w:val="24"/>
          <w:szCs w:val="24"/>
          <w:lang w:eastAsia="zh-CN"/>
        </w:rPr>
        <w:t>，</w:t>
      </w:r>
      <w:r>
        <w:rPr>
          <w:rFonts w:hint="default" w:ascii="Times New Roman" w:hAnsi="Times New Roman" w:cs="Times New Roman"/>
          <w:sz w:val="24"/>
          <w:szCs w:val="24"/>
        </w:rPr>
        <w:t>便于清理</w:t>
      </w:r>
      <w:r>
        <w:rPr>
          <w:rFonts w:hint="default" w:ascii="Times New Roman" w:hAnsi="Times New Roman" w:cs="Times New Roman"/>
          <w:sz w:val="24"/>
          <w:szCs w:val="24"/>
          <w:lang w:eastAsia="zh-CN"/>
        </w:rPr>
        <w:t>，</w:t>
      </w:r>
      <w:r>
        <w:rPr>
          <w:rFonts w:hint="default" w:ascii="Times New Roman" w:hAnsi="Times New Roman" w:cs="Times New Roman"/>
          <w:sz w:val="24"/>
          <w:szCs w:val="24"/>
        </w:rPr>
        <w:t>并做好防渗漏处理</w:t>
      </w:r>
      <w:r>
        <w:rPr>
          <w:rFonts w:hint="default" w:ascii="Times New Roman" w:hAnsi="Times New Roman" w:cs="Times New Roman"/>
        </w:rPr>
        <w:t>。</w:t>
      </w:r>
    </w:p>
    <w:p w14:paraId="440837F0">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eastAsia" w:ascii="Times New Roman" w:hAnsi="Times New Roman" w:cs="Times New Roman"/>
          <w:sz w:val="24"/>
          <w:szCs w:val="24"/>
          <w:lang w:val="en-US" w:eastAsia="zh-CN"/>
        </w:rPr>
        <w:t>5.5.3</w:t>
      </w:r>
      <w:r>
        <w:rPr>
          <w:rFonts w:hint="eastAsia" w:cs="Times New Roman"/>
          <w:sz w:val="24"/>
          <w:szCs w:val="24"/>
          <w:lang w:val="en-US" w:eastAsia="zh-CN"/>
        </w:rPr>
        <w:t xml:space="preserve">  </w:t>
      </w:r>
      <w:r>
        <w:rPr>
          <w:rFonts w:hint="eastAsia" w:ascii="Times New Roman" w:hAnsi="Times New Roman" w:cs="Times New Roman"/>
          <w:sz w:val="24"/>
          <w:szCs w:val="24"/>
          <w:highlight w:val="none"/>
        </w:rPr>
        <w:t>排气管管内径不小于100</w:t>
      </w:r>
      <w:r>
        <w:rPr>
          <w:rFonts w:hint="default" w:ascii="Times New Roman" w:hAnsi="Times New Roman" w:cs="Times New Roman"/>
          <w:sz w:val="24"/>
          <w:szCs w:val="24"/>
          <w:highlight w:val="none"/>
        </w:rPr>
        <w:t>mm</w:t>
      </w:r>
      <w:r>
        <w:rPr>
          <w:rFonts w:hint="eastAsia" w:ascii="Times New Roman" w:hAnsi="Times New Roman" w:cs="Times New Roman"/>
          <w:sz w:val="24"/>
          <w:szCs w:val="24"/>
          <w:highlight w:val="none"/>
        </w:rPr>
        <w:t>，</w:t>
      </w:r>
      <w:r>
        <w:rPr>
          <w:rFonts w:hint="eastAsia" w:cs="Times New Roman"/>
          <w:sz w:val="24"/>
          <w:szCs w:val="24"/>
          <w:highlight w:val="none"/>
          <w:lang w:val="en-US" w:eastAsia="zh-CN"/>
        </w:rPr>
        <w:t>宜</w:t>
      </w:r>
      <w:r>
        <w:rPr>
          <w:rFonts w:hint="eastAsia" w:ascii="Times New Roman" w:hAnsi="Times New Roman" w:cs="Times New Roman"/>
          <w:sz w:val="24"/>
          <w:szCs w:val="24"/>
          <w:highlight w:val="none"/>
        </w:rPr>
        <w:t>采用深色吸热材料，宜有防蝇措施，靠墙固定安装，应高于户厕屋檐或围墙墙头，不宜设在建筑物挑出部分的下面；当排气管周边4m之内有窗户时，应高出窗顶或引向无门窗一侧；当设置在其他隐蔽部位时，应高出地面不小于2m</w:t>
      </w:r>
      <w:r>
        <w:rPr>
          <w:rFonts w:hint="eastAsia" w:cs="Times New Roman"/>
          <w:sz w:val="24"/>
          <w:szCs w:val="24"/>
          <w:highlight w:val="none"/>
          <w:lang w:val="en-US" w:eastAsia="zh-CN"/>
        </w:rPr>
        <w:t>,</w:t>
      </w:r>
      <w:r>
        <w:rPr>
          <w:rFonts w:hint="default" w:ascii="Times New Roman" w:hAnsi="Times New Roman" w:cs="Times New Roman"/>
          <w:sz w:val="24"/>
          <w:szCs w:val="24"/>
          <w:highlight w:val="none"/>
          <w:lang w:val="en-US" w:eastAsia="zh-CN"/>
        </w:rPr>
        <w:t>高过厕屋屋檐0.5m以上</w:t>
      </w:r>
      <w:r>
        <w:rPr>
          <w:rFonts w:hint="eastAsia" w:cs="Times New Roman"/>
          <w:sz w:val="24"/>
          <w:szCs w:val="24"/>
          <w:highlight w:val="none"/>
          <w:lang w:val="en-US" w:eastAsia="zh-CN"/>
        </w:rPr>
        <w:t>。</w:t>
      </w:r>
      <w:r>
        <w:rPr>
          <w:rFonts w:hint="eastAsia" w:ascii="Times New Roman" w:hAnsi="Times New Roman" w:cs="Times New Roman"/>
          <w:sz w:val="24"/>
          <w:szCs w:val="24"/>
          <w:highlight w:val="none"/>
        </w:rPr>
        <w:t>排气管顶部应加装伞状防雨帽或T形三通。</w:t>
      </w:r>
    </w:p>
    <w:p w14:paraId="14BC7764">
      <w:pPr>
        <w:keepNext w:val="0"/>
        <w:keepLines w:val="0"/>
        <w:pageBreakBefore w:val="0"/>
        <w:widowControl w:val="0"/>
        <w:kinsoku/>
        <w:wordWrap/>
        <w:overflowPunct/>
        <w:topLinePunct w:val="0"/>
        <w:autoSpaceDE/>
        <w:autoSpaceDN/>
        <w:bidi w:val="0"/>
        <w:adjustRightInd/>
        <w:snapToGrid w:val="0"/>
        <w:spacing w:before="0" w:beforeLines="0" w:after="0" w:afterLines="0" w:line="440" w:lineRule="exact"/>
        <w:ind w:firstLine="0" w:firstLineChars="0"/>
        <w:textAlignment w:val="auto"/>
        <w:rPr>
          <w:rFonts w:hint="default" w:ascii="Times New Roman" w:hAnsi="Times New Roman" w:eastAsia="宋体" w:cs="Times New Roman"/>
          <w:lang w:val="en-US" w:eastAsia="zh-CN"/>
        </w:rPr>
      </w:pPr>
    </w:p>
    <w:p w14:paraId="6FF2EE95">
      <w:pPr>
        <w:adjustRightInd w:val="0"/>
        <w:snapToGrid w:val="0"/>
        <w:spacing w:before="312" w:beforeLines="100" w:after="156" w:afterLines="50"/>
        <w:ind w:firstLine="0" w:firstLineChars="0"/>
        <w:rPr>
          <w:rFonts w:hint="default" w:ascii="Times New Roman" w:hAnsi="Times New Roman" w:eastAsia="黑体" w:cs="Times New Roman"/>
          <w:b/>
          <w:sz w:val="24"/>
          <w:szCs w:val="24"/>
        </w:rPr>
      </w:pPr>
      <w:r>
        <w:rPr>
          <w:rFonts w:hint="default" w:ascii="Times New Roman" w:hAnsi="Times New Roman" w:eastAsia="黑体" w:cs="Times New Roman"/>
          <w:b/>
          <w:sz w:val="24"/>
          <w:szCs w:val="24"/>
        </w:rPr>
        <w:t>6  施工与质量验收</w:t>
      </w:r>
    </w:p>
    <w:p w14:paraId="6F190A35">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6.1  农村户厕施工及质量验收，应符合GB38836的规定。</w:t>
      </w:r>
    </w:p>
    <w:p w14:paraId="0E78B1FA">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6.2  厕屋基础埋深应符合GB50007的规定</w:t>
      </w:r>
      <w:r>
        <w:rPr>
          <w:rFonts w:hint="default" w:ascii="Times New Roman" w:hAnsi="Times New Roman" w:cs="Times New Roman" w:eastAsiaTheme="minorEastAsia"/>
          <w:b/>
          <w:color w:val="000000"/>
          <w:sz w:val="24"/>
          <w:szCs w:val="22"/>
          <w:lang w:eastAsia="zh-CN"/>
        </w:rPr>
        <w:t>，</w:t>
      </w:r>
      <w:r>
        <w:rPr>
          <w:rFonts w:hint="default" w:ascii="Times New Roman" w:hAnsi="Times New Roman" w:cs="Times New Roman" w:eastAsiaTheme="minorEastAsia"/>
          <w:b/>
          <w:color w:val="000000"/>
          <w:sz w:val="24"/>
          <w:szCs w:val="22"/>
        </w:rPr>
        <w:t>化粪池</w:t>
      </w:r>
      <w:r>
        <w:rPr>
          <w:rFonts w:hint="default" w:ascii="Times New Roman" w:hAnsi="Times New Roman" w:cs="Times New Roman" w:eastAsiaTheme="minorEastAsia"/>
          <w:b/>
          <w:color w:val="000000"/>
          <w:sz w:val="24"/>
          <w:szCs w:val="22"/>
          <w:lang w:val="en-US" w:eastAsia="zh-CN"/>
        </w:rPr>
        <w:t>应建在冻土层以下</w:t>
      </w:r>
      <w:r>
        <w:rPr>
          <w:rFonts w:hint="default" w:ascii="Times New Roman" w:hAnsi="Times New Roman" w:cs="Times New Roman" w:eastAsiaTheme="minorEastAsia"/>
          <w:b/>
          <w:color w:val="000000"/>
          <w:sz w:val="24"/>
          <w:szCs w:val="22"/>
        </w:rPr>
        <w:t>。</w:t>
      </w:r>
    </w:p>
    <w:p w14:paraId="0D241E29">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6.3  地下水位浅或雨季施工时，应做好排水措施，防止基坑、管沟内积水和边坡坍塌，同时采取抗浮及稳定措施，防止化粪池、存水罐等地下设施漂浮移位。</w:t>
      </w:r>
    </w:p>
    <w:p w14:paraId="26426AFD">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6.4  开挖难地区，宜采取地上或半地上化粪池</w:t>
      </w:r>
      <w:r>
        <w:rPr>
          <w:rFonts w:hint="default" w:ascii="Times New Roman" w:hAnsi="Times New Roman" w:cs="Times New Roman" w:eastAsiaTheme="minorEastAsia"/>
          <w:b/>
          <w:color w:val="000000"/>
          <w:sz w:val="24"/>
          <w:szCs w:val="22"/>
          <w:lang w:val="en-US" w:eastAsia="zh-CN"/>
        </w:rPr>
        <w:t>和</w:t>
      </w:r>
      <w:r>
        <w:rPr>
          <w:rFonts w:hint="default" w:ascii="Times New Roman" w:hAnsi="Times New Roman" w:cs="Times New Roman" w:eastAsiaTheme="minorEastAsia"/>
          <w:b/>
          <w:color w:val="000000"/>
          <w:sz w:val="24"/>
          <w:szCs w:val="22"/>
        </w:rPr>
        <w:t>水箱与坐便</w:t>
      </w:r>
      <w:r>
        <w:rPr>
          <w:rFonts w:hint="default" w:ascii="Times New Roman" w:hAnsi="Times New Roman" w:cs="Times New Roman" w:eastAsiaTheme="minorEastAsia"/>
          <w:b/>
          <w:color w:val="000000"/>
          <w:sz w:val="24"/>
          <w:szCs w:val="22"/>
          <w:lang w:val="en-US" w:eastAsia="zh-CN"/>
        </w:rPr>
        <w:t>一</w:t>
      </w:r>
      <w:r>
        <w:rPr>
          <w:rFonts w:hint="default" w:ascii="Times New Roman" w:hAnsi="Times New Roman" w:cs="Times New Roman" w:eastAsiaTheme="minorEastAsia"/>
          <w:b/>
          <w:color w:val="000000"/>
          <w:sz w:val="24"/>
          <w:szCs w:val="22"/>
        </w:rPr>
        <w:t>体式马桶等</w:t>
      </w:r>
      <w:r>
        <w:rPr>
          <w:rFonts w:hint="default" w:ascii="Times New Roman" w:hAnsi="Times New Roman" w:cs="Times New Roman" w:eastAsiaTheme="minorEastAsia"/>
          <w:b/>
          <w:color w:val="000000"/>
          <w:sz w:val="24"/>
          <w:szCs w:val="22"/>
          <w:lang w:val="en-US" w:eastAsia="zh-CN"/>
        </w:rPr>
        <w:t>设施</w:t>
      </w:r>
      <w:r>
        <w:rPr>
          <w:rFonts w:hint="default" w:ascii="Times New Roman" w:hAnsi="Times New Roman" w:cs="Times New Roman" w:eastAsiaTheme="minorEastAsia"/>
          <w:b/>
          <w:color w:val="000000"/>
          <w:sz w:val="24"/>
          <w:szCs w:val="22"/>
        </w:rPr>
        <w:t>，并用细土回填，化粪池采用保温材料包裹等防冻措施。</w:t>
      </w:r>
    </w:p>
    <w:p w14:paraId="36CAD52C">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6.5  寒冷和严寒地区，宜避开冬季施工，排水管</w:t>
      </w:r>
      <w:r>
        <w:rPr>
          <w:rFonts w:hint="eastAsia" w:cs="Times New Roman" w:eastAsiaTheme="minorEastAsia"/>
          <w:b/>
          <w:color w:val="000000"/>
          <w:sz w:val="24"/>
          <w:szCs w:val="22"/>
          <w:lang w:val="en-US" w:eastAsia="zh-CN"/>
        </w:rPr>
        <w:t>及化粪池的有效容积线应埋置在冻土层以下或采取防冻措施</w:t>
      </w:r>
      <w:r>
        <w:rPr>
          <w:rFonts w:hint="default" w:ascii="Times New Roman" w:hAnsi="Times New Roman" w:cs="Times New Roman" w:eastAsiaTheme="minorEastAsia"/>
          <w:b/>
          <w:color w:val="000000"/>
          <w:sz w:val="24"/>
          <w:szCs w:val="22"/>
        </w:rPr>
        <w:t>。</w:t>
      </w:r>
    </w:p>
    <w:p w14:paraId="5CDAA8B7">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6.6  化粪池验收时，应进行满水试验，并符合GB19379的规定。</w:t>
      </w:r>
    </w:p>
    <w:p w14:paraId="2B097357">
      <w:pPr>
        <w:adjustRightInd w:val="0"/>
        <w:snapToGrid w:val="0"/>
        <w:spacing w:before="312" w:beforeLines="100" w:after="156" w:afterLines="50"/>
        <w:ind w:firstLine="0" w:firstLineChars="0"/>
        <w:rPr>
          <w:rFonts w:hint="default" w:ascii="Times New Roman" w:hAnsi="Times New Roman" w:eastAsia="黑体" w:cs="Times New Roman"/>
          <w:b/>
          <w:sz w:val="24"/>
          <w:szCs w:val="24"/>
        </w:rPr>
      </w:pPr>
      <w:r>
        <w:rPr>
          <w:rFonts w:hint="default" w:ascii="Times New Roman" w:hAnsi="Times New Roman" w:eastAsia="黑体" w:cs="Times New Roman"/>
          <w:b/>
          <w:sz w:val="24"/>
          <w:szCs w:val="24"/>
        </w:rPr>
        <w:t>7  使用与管护</w:t>
      </w:r>
    </w:p>
    <w:p w14:paraId="0C0EDABF">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7.1  农村户厕的</w:t>
      </w:r>
      <w:r>
        <w:rPr>
          <w:rFonts w:hint="default" w:ascii="Times New Roman" w:hAnsi="Times New Roman" w:cs="Times New Roman" w:eastAsiaTheme="minorEastAsia"/>
          <w:b/>
          <w:color w:val="000000"/>
          <w:sz w:val="24"/>
          <w:szCs w:val="22"/>
          <w:lang w:val="en-US" w:eastAsia="zh-CN"/>
        </w:rPr>
        <w:t>使用、</w:t>
      </w:r>
      <w:r>
        <w:rPr>
          <w:rFonts w:hint="default" w:ascii="Times New Roman" w:hAnsi="Times New Roman" w:cs="Times New Roman" w:eastAsiaTheme="minorEastAsia"/>
          <w:b/>
          <w:color w:val="000000"/>
          <w:sz w:val="24"/>
          <w:szCs w:val="22"/>
        </w:rPr>
        <w:t>维护</w:t>
      </w:r>
      <w:r>
        <w:rPr>
          <w:rFonts w:hint="default" w:ascii="Times New Roman" w:hAnsi="Times New Roman" w:cs="Times New Roman" w:eastAsiaTheme="minorEastAsia"/>
          <w:b/>
          <w:color w:val="000000"/>
          <w:sz w:val="24"/>
          <w:szCs w:val="22"/>
          <w:lang w:val="en-US" w:eastAsia="zh-CN"/>
        </w:rPr>
        <w:t>、</w:t>
      </w:r>
      <w:r>
        <w:rPr>
          <w:rFonts w:hint="default" w:ascii="Times New Roman" w:hAnsi="Times New Roman" w:cs="Times New Roman" w:eastAsiaTheme="minorEastAsia"/>
          <w:b/>
          <w:color w:val="000000"/>
          <w:sz w:val="24"/>
          <w:szCs w:val="22"/>
        </w:rPr>
        <w:t>应急处置</w:t>
      </w:r>
      <w:r>
        <w:rPr>
          <w:rFonts w:hint="default" w:ascii="Times New Roman" w:hAnsi="Times New Roman" w:cs="Times New Roman" w:eastAsiaTheme="minorEastAsia"/>
          <w:b/>
          <w:color w:val="000000"/>
          <w:sz w:val="24"/>
          <w:szCs w:val="22"/>
          <w:lang w:val="en-US" w:eastAsia="zh-CN"/>
        </w:rPr>
        <w:t>及</w:t>
      </w:r>
      <w:r>
        <w:rPr>
          <w:rFonts w:hint="default" w:ascii="Times New Roman" w:hAnsi="Times New Roman" w:cs="Times New Roman" w:eastAsiaTheme="minorEastAsia"/>
          <w:b/>
          <w:color w:val="000000"/>
          <w:sz w:val="24"/>
          <w:szCs w:val="22"/>
        </w:rPr>
        <w:t>管护</w:t>
      </w:r>
      <w:r>
        <w:rPr>
          <w:rFonts w:hint="default" w:ascii="Times New Roman" w:hAnsi="Times New Roman" w:cs="Times New Roman" w:eastAsiaTheme="minorEastAsia"/>
          <w:b/>
          <w:color w:val="000000"/>
          <w:sz w:val="24"/>
          <w:szCs w:val="22"/>
          <w:lang w:val="en-US" w:eastAsia="zh-CN"/>
        </w:rPr>
        <w:t>服务</w:t>
      </w:r>
      <w:r>
        <w:rPr>
          <w:rFonts w:hint="default" w:ascii="Times New Roman" w:hAnsi="Times New Roman" w:cs="Times New Roman" w:eastAsiaTheme="minorEastAsia"/>
          <w:b/>
          <w:color w:val="000000"/>
          <w:sz w:val="24"/>
          <w:szCs w:val="22"/>
        </w:rPr>
        <w:t>应符合GB3883</w:t>
      </w:r>
      <w:r>
        <w:rPr>
          <w:rFonts w:hint="default" w:ascii="Times New Roman" w:hAnsi="Times New Roman" w:cs="Times New Roman" w:eastAsiaTheme="minorEastAsia"/>
          <w:b/>
          <w:color w:val="000000"/>
          <w:sz w:val="24"/>
          <w:szCs w:val="22"/>
          <w:lang w:val="en-US" w:eastAsia="zh-CN"/>
        </w:rPr>
        <w:t>7</w:t>
      </w:r>
      <w:r>
        <w:rPr>
          <w:rFonts w:hint="default" w:ascii="Times New Roman" w:hAnsi="Times New Roman" w:cs="Times New Roman" w:eastAsiaTheme="minorEastAsia"/>
          <w:b/>
          <w:color w:val="000000"/>
          <w:sz w:val="24"/>
          <w:szCs w:val="22"/>
        </w:rPr>
        <w:t>的规定。</w:t>
      </w:r>
    </w:p>
    <w:p w14:paraId="3B6BE609">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7.2  农村户厕卫生环境应符合GB19379的规定。</w:t>
      </w:r>
    </w:p>
    <w:p w14:paraId="384ADFB8">
      <w:pPr>
        <w:widowControl/>
        <w:snapToGrid/>
        <w:spacing w:before="156" w:beforeLines="50" w:after="0" w:afterLines="-2147483648" w:line="440" w:lineRule="exact"/>
        <w:ind w:firstLine="0" w:firstLineChars="0"/>
        <w:rPr>
          <w:rFonts w:hint="default" w:ascii="Times New Roman" w:hAnsi="Times New Roman" w:cs="Times New Roman" w:eastAsiaTheme="minorEastAsia"/>
          <w:b/>
          <w:color w:val="000000"/>
          <w:sz w:val="24"/>
          <w:szCs w:val="22"/>
        </w:rPr>
      </w:pPr>
      <w:r>
        <w:rPr>
          <w:rFonts w:hint="default" w:ascii="Times New Roman" w:hAnsi="Times New Roman" w:cs="Times New Roman" w:eastAsiaTheme="minorEastAsia"/>
          <w:b/>
          <w:color w:val="000000"/>
          <w:sz w:val="24"/>
          <w:szCs w:val="22"/>
        </w:rPr>
        <w:t>7.3  粪污</w:t>
      </w:r>
      <w:r>
        <w:rPr>
          <w:rFonts w:hint="default" w:ascii="Times New Roman" w:hAnsi="Times New Roman" w:cs="Times New Roman" w:eastAsiaTheme="minorEastAsia"/>
          <w:b/>
          <w:color w:val="000000"/>
          <w:sz w:val="24"/>
          <w:szCs w:val="22"/>
          <w:lang w:val="en-US" w:eastAsia="zh-CN"/>
        </w:rPr>
        <w:t>应进行</w:t>
      </w:r>
      <w:r>
        <w:rPr>
          <w:rFonts w:hint="default" w:ascii="Times New Roman" w:hAnsi="Times New Roman" w:cs="Times New Roman" w:eastAsiaTheme="minorEastAsia"/>
          <w:b/>
          <w:color w:val="000000"/>
          <w:sz w:val="24"/>
          <w:szCs w:val="22"/>
        </w:rPr>
        <w:t>无害化处理</w:t>
      </w:r>
      <w:r>
        <w:rPr>
          <w:rFonts w:hint="default" w:ascii="Times New Roman" w:hAnsi="Times New Roman" w:cs="Times New Roman" w:eastAsiaTheme="minorEastAsia"/>
          <w:b/>
          <w:color w:val="000000"/>
          <w:sz w:val="24"/>
          <w:szCs w:val="22"/>
          <w:lang w:eastAsia="zh-CN"/>
        </w:rPr>
        <w:t>，</w:t>
      </w:r>
      <w:r>
        <w:rPr>
          <w:rFonts w:hint="default" w:ascii="Times New Roman" w:hAnsi="Times New Roman" w:cs="Times New Roman" w:eastAsiaTheme="minorEastAsia"/>
          <w:b/>
          <w:color w:val="000000"/>
          <w:sz w:val="24"/>
          <w:szCs w:val="22"/>
          <w:lang w:val="en-US" w:eastAsia="zh-CN"/>
        </w:rPr>
        <w:t>应</w:t>
      </w:r>
      <w:r>
        <w:rPr>
          <w:rFonts w:hint="default" w:ascii="Times New Roman" w:hAnsi="Times New Roman" w:cs="Times New Roman" w:eastAsiaTheme="minorEastAsia"/>
          <w:b/>
          <w:color w:val="000000"/>
          <w:sz w:val="24"/>
          <w:szCs w:val="22"/>
        </w:rPr>
        <w:t>符合GB7959的规定。</w:t>
      </w:r>
    </w:p>
    <w:p w14:paraId="77EB1732">
      <w:pPr>
        <w:widowControl/>
        <w:snapToGrid/>
        <w:spacing w:before="156" w:beforeLines="50" w:after="0" w:afterLines="-2147483648" w:line="440" w:lineRule="exact"/>
        <w:ind w:firstLine="0" w:firstLineChars="0"/>
        <w:rPr>
          <w:rFonts w:hint="default" w:ascii="Times New Roman" w:hAnsi="Times New Roman" w:cs="Times New Roman"/>
        </w:rPr>
      </w:pPr>
      <w:r>
        <w:rPr>
          <w:rFonts w:hint="default" w:ascii="Times New Roman" w:hAnsi="Times New Roman" w:cs="Times New Roman"/>
        </w:rPr>
        <w:br w:type="page"/>
      </w:r>
    </w:p>
    <w:p w14:paraId="2BB5CB1E">
      <w:pPr>
        <w:keepNext w:val="0"/>
        <w:keepLines w:val="0"/>
        <w:pageBreakBefore w:val="0"/>
        <w:widowControl/>
        <w:kinsoku/>
        <w:wordWrap/>
        <w:overflowPunct/>
        <w:topLinePunct w:val="0"/>
        <w:bidi w:val="0"/>
        <w:spacing w:before="0" w:beforeLines="0" w:after="0" w:afterLines="0" w:line="440" w:lineRule="exact"/>
        <w:ind w:firstLine="0" w:firstLineChars="0"/>
        <w:jc w:val="center"/>
        <w:textAlignment w:val="auto"/>
        <w:rPr>
          <w:rFonts w:hint="default" w:ascii="Times New Roman" w:hAnsi="Times New Roman" w:eastAsia="宋体" w:cs="Times New Roman"/>
          <w:b/>
          <w:bCs w:val="0"/>
          <w:kern w:val="0"/>
          <w:sz w:val="24"/>
          <w:szCs w:val="24"/>
        </w:rPr>
      </w:pPr>
      <w:r>
        <w:rPr>
          <w:rFonts w:hint="default" w:ascii="Times New Roman" w:hAnsi="Times New Roman" w:eastAsia="宋体" w:cs="Times New Roman"/>
          <w:b/>
          <w:bCs w:val="0"/>
          <w:kern w:val="0"/>
          <w:sz w:val="24"/>
          <w:szCs w:val="24"/>
        </w:rPr>
        <w:t>附  录  A</w:t>
      </w:r>
    </w:p>
    <w:p w14:paraId="061CCF4A">
      <w:pPr>
        <w:keepNext w:val="0"/>
        <w:keepLines w:val="0"/>
        <w:pageBreakBefore w:val="0"/>
        <w:widowControl/>
        <w:kinsoku/>
        <w:wordWrap/>
        <w:overflowPunct/>
        <w:topLinePunct w:val="0"/>
        <w:bidi w:val="0"/>
        <w:spacing w:before="0" w:beforeLines="0" w:after="0" w:afterLines="0" w:line="440" w:lineRule="exact"/>
        <w:ind w:firstLine="0" w:firstLineChars="0"/>
        <w:jc w:val="center"/>
        <w:textAlignment w:val="auto"/>
        <w:rPr>
          <w:rFonts w:hint="default" w:ascii="Times New Roman" w:hAnsi="Times New Roman" w:eastAsia="宋体" w:cs="Times New Roman"/>
          <w:b/>
          <w:bCs w:val="0"/>
          <w:kern w:val="0"/>
          <w:sz w:val="24"/>
          <w:szCs w:val="24"/>
        </w:rPr>
      </w:pPr>
      <w:r>
        <w:rPr>
          <w:rFonts w:hint="default" w:ascii="Times New Roman" w:hAnsi="Times New Roman" w:eastAsia="宋体" w:cs="Times New Roman"/>
          <w:b/>
          <w:bCs w:val="0"/>
          <w:kern w:val="0"/>
          <w:sz w:val="24"/>
          <w:szCs w:val="24"/>
        </w:rPr>
        <w:t>（规范性附录）</w:t>
      </w:r>
    </w:p>
    <w:p w14:paraId="6F258657">
      <w:pPr>
        <w:keepNext w:val="0"/>
        <w:keepLines w:val="0"/>
        <w:pageBreakBefore w:val="0"/>
        <w:widowControl/>
        <w:kinsoku/>
        <w:wordWrap/>
        <w:overflowPunct/>
        <w:topLinePunct w:val="0"/>
        <w:bidi w:val="0"/>
        <w:spacing w:before="0" w:beforeLines="0" w:after="0" w:afterLines="0" w:line="440" w:lineRule="exact"/>
        <w:ind w:firstLine="0" w:firstLineChars="0"/>
        <w:jc w:val="center"/>
        <w:textAlignment w:val="auto"/>
        <w:rPr>
          <w:rFonts w:hint="default" w:ascii="Times New Roman" w:hAnsi="Times New Roman" w:eastAsia="宋体" w:cs="Times New Roman"/>
          <w:b/>
          <w:bCs w:val="0"/>
          <w:kern w:val="0"/>
          <w:sz w:val="24"/>
          <w:szCs w:val="24"/>
          <w:lang w:eastAsia="zh-CN"/>
        </w:rPr>
      </w:pPr>
      <w:r>
        <w:rPr>
          <w:rFonts w:hint="default" w:ascii="Times New Roman" w:hAnsi="Times New Roman" w:eastAsia="宋体" w:cs="Times New Roman"/>
          <w:b/>
          <w:bCs w:val="0"/>
          <w:kern w:val="0"/>
          <w:sz w:val="24"/>
          <w:szCs w:val="24"/>
        </w:rPr>
        <w:t>单格式</w:t>
      </w:r>
      <w:r>
        <w:rPr>
          <w:rFonts w:hint="default" w:ascii="Times New Roman" w:hAnsi="Times New Roman" w:eastAsia="宋体" w:cs="Times New Roman"/>
          <w:b/>
          <w:bCs w:val="0"/>
          <w:kern w:val="0"/>
          <w:sz w:val="24"/>
          <w:szCs w:val="24"/>
          <w:lang w:val="en-US" w:eastAsia="zh-CN"/>
        </w:rPr>
        <w:t>户厕</w:t>
      </w:r>
    </w:p>
    <w:p w14:paraId="29483AF9">
      <w:pPr>
        <w:keepNext w:val="0"/>
        <w:keepLines w:val="0"/>
        <w:pageBreakBefore w:val="0"/>
        <w:widowControl/>
        <w:kinsoku/>
        <w:wordWrap/>
        <w:overflowPunct/>
        <w:topLinePunct w:val="0"/>
        <w:bidi w:val="0"/>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A.1  基本结构</w:t>
      </w:r>
    </w:p>
    <w:p w14:paraId="5A7E0255">
      <w:pPr>
        <w:keepNext w:val="0"/>
        <w:keepLines w:val="0"/>
        <w:pageBreakBefore w:val="0"/>
        <w:kinsoku/>
        <w:wordWrap/>
        <w:overflowPunct/>
        <w:topLinePunct w:val="0"/>
        <w:bidi w:val="0"/>
        <w:spacing w:before="0" w:beforeLines="0" w:after="0" w:afterLines="0"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单格式化粪池厕所由厕屋、单格化粪池、便器、冲水设备等部分组成，如图A.1所示。</w:t>
      </w:r>
    </w:p>
    <w:p w14:paraId="294E1FCB">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5039995" cy="3183890"/>
            <wp:effectExtent l="0" t="0" r="8255" b="0"/>
            <wp:docPr id="2" name="图片 2" descr="E:\科研\张立勇\农业厅标准\准备资料\农业厅标准2024.9.25\图A.1单格式化粪池厕所示意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研\张立勇\农业厅标准\准备资料\农业厅标准2024.9.25\图A.1单格式化粪池厕所示意图.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040000" cy="3184304"/>
                    </a:xfrm>
                    <a:prstGeom prst="rect">
                      <a:avLst/>
                    </a:prstGeom>
                    <a:noFill/>
                    <a:ln>
                      <a:noFill/>
                    </a:ln>
                  </pic:spPr>
                </pic:pic>
              </a:graphicData>
            </a:graphic>
          </wp:inline>
        </w:drawing>
      </w:r>
    </w:p>
    <w:p w14:paraId="7C568F17">
      <w:pPr>
        <w:pStyle w:val="5"/>
        <w:keepNext/>
        <w:snapToGrid/>
        <w:spacing w:before="312" w:beforeLines="100" w:after="0" w:afterLines="-2147483648"/>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图A.1  单格式化粪池厕所示意图</w:t>
      </w:r>
    </w:p>
    <w:p w14:paraId="65BECD65">
      <w:pPr>
        <w:keepNext w:val="0"/>
        <w:keepLines w:val="0"/>
        <w:pageBreakBefore w:val="0"/>
        <w:widowControl/>
        <w:kinsoku/>
        <w:wordWrap/>
        <w:overflowPunct/>
        <w:topLinePunct w:val="0"/>
        <w:bidi w:val="0"/>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A.2  设计要求</w:t>
      </w:r>
    </w:p>
    <w:p w14:paraId="233E8A42">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A.2.1  单格化粪池容积≥1.5m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w:t>
      </w:r>
    </w:p>
    <w:p w14:paraId="56584C5B">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rPr>
        <w:t>A.2.2  单格化粪池的深度不应小于1200mm</w:t>
      </w:r>
      <w:r>
        <w:rPr>
          <w:rFonts w:hint="default" w:ascii="Times New Roman" w:hAnsi="Times New Roman" w:cs="Times New Roman"/>
          <w:sz w:val="24"/>
          <w:szCs w:val="24"/>
          <w:lang w:eastAsia="zh-CN"/>
        </w:rPr>
        <w:t>。</w:t>
      </w:r>
    </w:p>
    <w:p w14:paraId="49E5A552">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A.2.3  进粪管、排气管及设备选型参照GB</w:t>
      </w:r>
      <w:r>
        <w:rPr>
          <w:rFonts w:hint="default" w:ascii="Times New Roman" w:hAnsi="Times New Roman" w:cs="Times New Roman"/>
          <w:sz w:val="24"/>
          <w:szCs w:val="24"/>
          <w:lang w:val="en-US" w:eastAsia="zh-CN"/>
        </w:rPr>
        <w:t>38836</w:t>
      </w:r>
      <w:r>
        <w:rPr>
          <w:rFonts w:hint="default" w:ascii="Times New Roman" w:hAnsi="Times New Roman" w:cs="Times New Roman"/>
          <w:sz w:val="24"/>
          <w:szCs w:val="24"/>
        </w:rPr>
        <w:t>的规定。</w:t>
      </w:r>
    </w:p>
    <w:p w14:paraId="1B468728">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A.2.4  单格化粪池的顶部应设置清粪口，直径不应小于200mm。清粪口应高出地面不小于100mm，化粪池顶部有覆土时应加装井筒。</w:t>
      </w:r>
    </w:p>
    <w:p w14:paraId="601FA8ED">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A.2.5  单格化粪池清粪口应加盖，清粪口大于250mm时，口盖应有锁闭或防坠装置。</w:t>
      </w:r>
    </w:p>
    <w:p w14:paraId="37460050">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A.2.6  单格化粪池可加装智能化探测和清掏预警装置。</w:t>
      </w:r>
    </w:p>
    <w:p w14:paraId="1AFD3BE8">
      <w:pPr>
        <w:keepNext w:val="0"/>
        <w:keepLines w:val="0"/>
        <w:pageBreakBefore w:val="0"/>
        <w:widowControl/>
        <w:kinsoku/>
        <w:wordWrap/>
        <w:overflowPunct/>
        <w:topLinePunct w:val="0"/>
        <w:bidi w:val="0"/>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A.3  质量要求</w:t>
      </w:r>
    </w:p>
    <w:p w14:paraId="091C5266">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eastAsia="黑体" w:cs="Times New Roman"/>
          <w:sz w:val="24"/>
          <w:szCs w:val="24"/>
        </w:rPr>
        <w:t xml:space="preserve">A.3.1  </w:t>
      </w:r>
      <w:r>
        <w:rPr>
          <w:rFonts w:hint="default" w:ascii="Times New Roman" w:hAnsi="Times New Roman" w:cs="Times New Roman"/>
          <w:sz w:val="24"/>
          <w:szCs w:val="24"/>
        </w:rPr>
        <w:t>单格式化粪池的外观、材料及物理性能参照</w:t>
      </w:r>
      <w:r>
        <w:rPr>
          <w:rFonts w:hint="default" w:ascii="Times New Roman" w:hAnsi="Times New Roman" w:cs="Times New Roman"/>
          <w:bCs/>
          <w:kern w:val="0"/>
          <w:sz w:val="24"/>
          <w:szCs w:val="24"/>
        </w:rPr>
        <w:t>GB/T 38836</w:t>
      </w:r>
      <w:r>
        <w:rPr>
          <w:rFonts w:hint="default" w:ascii="Times New Roman" w:hAnsi="Times New Roman" w:cs="Times New Roman"/>
          <w:sz w:val="24"/>
          <w:szCs w:val="24"/>
        </w:rPr>
        <w:t>相关要求执行。</w:t>
      </w:r>
    </w:p>
    <w:p w14:paraId="39BE8E15">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rPr>
        <w:t>A.3.2  密封性。单格化粪池密封性要求如下</w:t>
      </w:r>
      <w:r>
        <w:rPr>
          <w:rFonts w:hint="default" w:ascii="Times New Roman" w:hAnsi="Times New Roman" w:cs="Times New Roman"/>
          <w:sz w:val="24"/>
          <w:szCs w:val="24"/>
          <w:lang w:eastAsia="zh-CN"/>
        </w:rPr>
        <w:t>：</w:t>
      </w:r>
    </w:p>
    <w:p w14:paraId="542D2F69">
      <w:pPr>
        <w:keepNext w:val="0"/>
        <w:keepLines w:val="0"/>
        <w:pageBreakBefore w:val="0"/>
        <w:kinsoku/>
        <w:wordWrap/>
        <w:overflowPunct/>
        <w:topLinePunct w:val="0"/>
        <w:bidi w:val="0"/>
        <w:spacing w:before="0" w:beforeLines="0" w:after="0" w:afterLines="0"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a）  单格化粪池整体不应渗漏；</w:t>
      </w:r>
    </w:p>
    <w:p w14:paraId="5DC63A7F">
      <w:pPr>
        <w:keepNext w:val="0"/>
        <w:keepLines w:val="0"/>
        <w:pageBreakBefore w:val="0"/>
        <w:kinsoku/>
        <w:wordWrap/>
        <w:overflowPunct/>
        <w:topLinePunct w:val="0"/>
        <w:bidi w:val="0"/>
        <w:spacing w:before="0" w:beforeLines="0" w:after="0" w:afterLines="0"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b）  利用结构组件在现场完成组装的整体式单格化粪池，各部件连接处不应出现渗漏，不应出现影响使用的变形；</w:t>
      </w:r>
    </w:p>
    <w:p w14:paraId="09CF1B61">
      <w:pPr>
        <w:keepNext w:val="0"/>
        <w:keepLines w:val="0"/>
        <w:pageBreakBefore w:val="0"/>
        <w:kinsoku/>
        <w:wordWrap/>
        <w:overflowPunct/>
        <w:topLinePunct w:val="0"/>
        <w:bidi w:val="0"/>
        <w:spacing w:before="0" w:beforeLines="0" w:after="0" w:afterLines="0"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c）  现建式单格化粪池和钢筋混凝土现建式单格化粪池内部池壁应有防渗措施，盖板严密；</w:t>
      </w:r>
    </w:p>
    <w:p w14:paraId="147072F0">
      <w:pPr>
        <w:keepNext w:val="0"/>
        <w:keepLines w:val="0"/>
        <w:pageBreakBefore w:val="0"/>
        <w:kinsoku/>
        <w:wordWrap/>
        <w:overflowPunct/>
        <w:topLinePunct w:val="0"/>
        <w:bidi w:val="0"/>
        <w:spacing w:before="0" w:beforeLines="0" w:after="0" w:afterLines="0"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d）  预制式单格化粪池应进行密封性能检测；</w:t>
      </w:r>
    </w:p>
    <w:p w14:paraId="20E2C927">
      <w:pPr>
        <w:keepNext w:val="0"/>
        <w:keepLines w:val="0"/>
        <w:pageBreakBefore w:val="0"/>
        <w:kinsoku/>
        <w:wordWrap/>
        <w:overflowPunct/>
        <w:topLinePunct w:val="0"/>
        <w:bidi w:val="0"/>
        <w:spacing w:before="0" w:beforeLines="0" w:after="0" w:afterLines="0"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e）  单格化粪池密封性能要求与检测方法应按表A.3.2执行。</w:t>
      </w:r>
    </w:p>
    <w:p w14:paraId="467286FA">
      <w:pPr>
        <w:pStyle w:val="5"/>
        <w:keepNext/>
        <w:snapToGrid/>
        <w:spacing w:before="312" w:beforeLines="100" w:after="0" w:afterLines="-2147483648"/>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表A.3.2  单格化粪池密封性能要求与检测方法</w:t>
      </w:r>
    </w:p>
    <w:tbl>
      <w:tblPr>
        <w:tblStyle w:val="16"/>
        <w:tblW w:w="4854" w:type="pct"/>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638"/>
        <w:gridCol w:w="1394"/>
        <w:gridCol w:w="5667"/>
        <w:gridCol w:w="1593"/>
      </w:tblGrid>
      <w:tr w14:paraId="6D8FBCD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40" w:hRule="atLeast"/>
          <w:tblHeader/>
          <w:jc w:val="center"/>
        </w:trPr>
        <w:tc>
          <w:tcPr>
            <w:tcW w:w="343" w:type="pct"/>
            <w:tcBorders>
              <w:tl2br w:val="nil"/>
              <w:tr2bl w:val="nil"/>
            </w:tcBorders>
            <w:vAlign w:val="center"/>
          </w:tcPr>
          <w:p w14:paraId="5BA0A305">
            <w:pPr>
              <w:keepNext w:val="0"/>
              <w:keepLines w:val="0"/>
              <w:pageBreakBefore w:val="0"/>
              <w:kinsoku/>
              <w:wordWrap/>
              <w:overflowPunct/>
              <w:topLinePunct w:val="0"/>
              <w:autoSpaceDE w:val="0"/>
              <w:autoSpaceDN w:val="0"/>
              <w:bidi w:val="0"/>
              <w:adjustRightInd w:val="0"/>
              <w:spacing w:before="0" w:beforeLines="0" w:after="0" w:afterLines="0" w:line="440" w:lineRule="exact"/>
              <w:ind w:firstLine="0" w:firstLineChars="0"/>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序号</w:t>
            </w:r>
          </w:p>
        </w:tc>
        <w:tc>
          <w:tcPr>
            <w:tcW w:w="750" w:type="pct"/>
            <w:tcBorders>
              <w:tl2br w:val="nil"/>
              <w:tr2bl w:val="nil"/>
            </w:tcBorders>
            <w:vAlign w:val="center"/>
          </w:tcPr>
          <w:p w14:paraId="157DAA0A">
            <w:pPr>
              <w:keepNext w:val="0"/>
              <w:keepLines w:val="0"/>
              <w:pageBreakBefore w:val="0"/>
              <w:kinsoku/>
              <w:wordWrap/>
              <w:overflowPunct/>
              <w:topLinePunct w:val="0"/>
              <w:autoSpaceDE w:val="0"/>
              <w:autoSpaceDN w:val="0"/>
              <w:bidi w:val="0"/>
              <w:adjustRightInd w:val="0"/>
              <w:spacing w:before="0" w:beforeLines="0" w:after="0" w:afterLines="0" w:line="440" w:lineRule="exact"/>
              <w:ind w:firstLine="0" w:firstLineChars="0"/>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检测项目</w:t>
            </w:r>
          </w:p>
        </w:tc>
        <w:tc>
          <w:tcPr>
            <w:tcW w:w="3049" w:type="pct"/>
            <w:tcBorders>
              <w:tl2br w:val="nil"/>
              <w:tr2bl w:val="nil"/>
            </w:tcBorders>
            <w:vAlign w:val="center"/>
          </w:tcPr>
          <w:p w14:paraId="5C834A87">
            <w:pPr>
              <w:keepNext w:val="0"/>
              <w:keepLines w:val="0"/>
              <w:pageBreakBefore w:val="0"/>
              <w:kinsoku/>
              <w:wordWrap/>
              <w:overflowPunct/>
              <w:topLinePunct w:val="0"/>
              <w:autoSpaceDE w:val="0"/>
              <w:autoSpaceDN w:val="0"/>
              <w:bidi w:val="0"/>
              <w:adjustRightInd w:val="0"/>
              <w:spacing w:before="0" w:beforeLines="0" w:after="0" w:afterLines="0" w:line="440" w:lineRule="exact"/>
              <w:ind w:firstLine="0" w:firstLineChars="0"/>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技术要求</w:t>
            </w:r>
          </w:p>
        </w:tc>
        <w:tc>
          <w:tcPr>
            <w:tcW w:w="857" w:type="pct"/>
            <w:tcBorders>
              <w:tl2br w:val="nil"/>
              <w:tr2bl w:val="nil"/>
            </w:tcBorders>
            <w:vAlign w:val="center"/>
          </w:tcPr>
          <w:p w14:paraId="61B4D024">
            <w:pPr>
              <w:keepNext w:val="0"/>
              <w:keepLines w:val="0"/>
              <w:pageBreakBefore w:val="0"/>
              <w:kinsoku/>
              <w:wordWrap/>
              <w:overflowPunct/>
              <w:topLinePunct w:val="0"/>
              <w:autoSpaceDE w:val="0"/>
              <w:autoSpaceDN w:val="0"/>
              <w:bidi w:val="0"/>
              <w:adjustRightInd w:val="0"/>
              <w:spacing w:before="0" w:beforeLines="0" w:after="0" w:afterLines="0" w:line="440" w:lineRule="exact"/>
              <w:ind w:firstLine="0" w:firstLineChars="0"/>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检测方法</w:t>
            </w:r>
          </w:p>
        </w:tc>
      </w:tr>
      <w:tr w14:paraId="401B9AD7">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40" w:hRule="atLeast"/>
          <w:jc w:val="center"/>
        </w:trPr>
        <w:tc>
          <w:tcPr>
            <w:tcW w:w="343" w:type="pct"/>
            <w:tcBorders>
              <w:tl2br w:val="nil"/>
              <w:tr2bl w:val="nil"/>
            </w:tcBorders>
            <w:vAlign w:val="center"/>
          </w:tcPr>
          <w:p w14:paraId="52DE0E8C">
            <w:pPr>
              <w:keepNext w:val="0"/>
              <w:keepLines w:val="0"/>
              <w:pageBreakBefore w:val="0"/>
              <w:kinsoku/>
              <w:wordWrap/>
              <w:overflowPunct/>
              <w:topLinePunct w:val="0"/>
              <w:autoSpaceDE w:val="0"/>
              <w:autoSpaceDN w:val="0"/>
              <w:bidi w:val="0"/>
              <w:adjustRightInd w:val="0"/>
              <w:spacing w:before="0" w:beforeLines="0" w:after="0" w:afterLines="0" w:line="440" w:lineRule="exact"/>
              <w:ind w:firstLine="0" w:firstLineChars="0"/>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1</w:t>
            </w:r>
          </w:p>
        </w:tc>
        <w:tc>
          <w:tcPr>
            <w:tcW w:w="750" w:type="pct"/>
            <w:tcBorders>
              <w:tl2br w:val="nil"/>
              <w:tr2bl w:val="nil"/>
            </w:tcBorders>
            <w:vAlign w:val="center"/>
          </w:tcPr>
          <w:p w14:paraId="69BBBF82">
            <w:pPr>
              <w:keepNext w:val="0"/>
              <w:keepLines w:val="0"/>
              <w:pageBreakBefore w:val="0"/>
              <w:kinsoku/>
              <w:wordWrap/>
              <w:overflowPunct/>
              <w:topLinePunct w:val="0"/>
              <w:autoSpaceDE w:val="0"/>
              <w:autoSpaceDN w:val="0"/>
              <w:bidi w:val="0"/>
              <w:adjustRightInd w:val="0"/>
              <w:spacing w:before="0" w:beforeLines="0" w:after="0" w:afterLines="0" w:line="440" w:lineRule="exact"/>
              <w:ind w:firstLine="0" w:firstLineChars="0"/>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整体密封性能</w:t>
            </w:r>
          </w:p>
        </w:tc>
        <w:tc>
          <w:tcPr>
            <w:tcW w:w="3049" w:type="pct"/>
            <w:tcBorders>
              <w:tl2br w:val="nil"/>
              <w:tr2bl w:val="nil"/>
            </w:tcBorders>
            <w:vAlign w:val="center"/>
          </w:tcPr>
          <w:p w14:paraId="5504C9CC">
            <w:pPr>
              <w:keepNext w:val="0"/>
              <w:keepLines w:val="0"/>
              <w:pageBreakBefore w:val="0"/>
              <w:kinsoku/>
              <w:wordWrap/>
              <w:overflowPunct/>
              <w:topLinePunct w:val="0"/>
              <w:autoSpaceDE w:val="0"/>
              <w:autoSpaceDN w:val="0"/>
              <w:bidi w:val="0"/>
              <w:adjustRightInd w:val="0"/>
              <w:spacing w:before="0" w:beforeLines="0" w:after="0" w:afterLines="0" w:line="440" w:lineRule="exact"/>
              <w:ind w:firstLine="0" w:firstLineChars="0"/>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封闭池体所有进出口，清渣口和清粪口连接井筒200mm后注满水，查看池体、连接部位、外形，无明显变形、无渗漏</w:t>
            </w:r>
          </w:p>
        </w:tc>
        <w:tc>
          <w:tcPr>
            <w:tcW w:w="857" w:type="pct"/>
            <w:tcBorders>
              <w:tl2br w:val="nil"/>
              <w:tr2bl w:val="nil"/>
            </w:tcBorders>
            <w:vAlign w:val="center"/>
          </w:tcPr>
          <w:p w14:paraId="4ECD7C2D">
            <w:pPr>
              <w:keepNext w:val="0"/>
              <w:keepLines w:val="0"/>
              <w:pageBreakBefore w:val="0"/>
              <w:kinsoku/>
              <w:wordWrap/>
              <w:overflowPunct/>
              <w:topLinePunct w:val="0"/>
              <w:autoSpaceDE w:val="0"/>
              <w:autoSpaceDN w:val="0"/>
              <w:bidi w:val="0"/>
              <w:adjustRightInd w:val="0"/>
              <w:spacing w:before="0" w:beforeLines="0" w:after="0" w:afterLines="0" w:line="440" w:lineRule="exact"/>
              <w:ind w:firstLine="0" w:firstLineChars="0"/>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参照GB/T 38836的规定</w:t>
            </w:r>
          </w:p>
        </w:tc>
      </w:tr>
    </w:tbl>
    <w:p w14:paraId="562422ED">
      <w:pPr>
        <w:keepNext w:val="0"/>
        <w:keepLines w:val="0"/>
        <w:pageBreakBefore w:val="0"/>
        <w:widowControl/>
        <w:kinsoku/>
        <w:wordWrap/>
        <w:overflowPunct/>
        <w:topLinePunct w:val="0"/>
        <w:bidi w:val="0"/>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A.4  使用要求</w:t>
      </w:r>
    </w:p>
    <w:p w14:paraId="65ED78B3">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A.4.1  化粪池经确认无渗漏方可投入使用。化粪池投入运行前，应向池内注水约1/3有效容积。</w:t>
      </w:r>
    </w:p>
    <w:p w14:paraId="6210A8F3">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A.4.2  化粪池中粪污的有效停留时间，不少于60</w:t>
      </w:r>
      <w:r>
        <w:rPr>
          <w:rFonts w:hint="eastAsia" w:cs="Times New Roman"/>
          <w:sz w:val="24"/>
          <w:szCs w:val="24"/>
          <w:lang w:val="en-US" w:eastAsia="zh-CN"/>
        </w:rPr>
        <w:t>天</w:t>
      </w:r>
      <w:r>
        <w:rPr>
          <w:rFonts w:hint="default" w:ascii="Times New Roman" w:hAnsi="Times New Roman" w:cs="Times New Roman"/>
          <w:sz w:val="24"/>
          <w:szCs w:val="24"/>
        </w:rPr>
        <w:t>。</w:t>
      </w:r>
    </w:p>
    <w:p w14:paraId="4C1B4701">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A.4.3  化粪池粪污应每月检查一次，防止粪污满溢，并适时清掏。</w:t>
      </w:r>
    </w:p>
    <w:p w14:paraId="1FF4CF75">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A.4.4  化粪池的粪皮、粪渣应每半年检查一次，不应影响进粪管和过粪管的畅通，应适时清掏。</w:t>
      </w:r>
    </w:p>
    <w:p w14:paraId="28084EA1">
      <w:pPr>
        <w:keepNext w:val="0"/>
        <w:keepLines w:val="0"/>
        <w:pageBreakBefore w:val="0"/>
        <w:widowControl/>
        <w:kinsoku/>
        <w:wordWrap/>
        <w:overflowPunct/>
        <w:topLinePunct w:val="0"/>
        <w:bidi w:val="0"/>
        <w:spacing w:before="0" w:beforeLines="0" w:after="0" w:afterLines="0" w:line="440" w:lineRule="exact"/>
        <w:ind w:firstLine="0" w:firstLineChars="0"/>
        <w:jc w:val="center"/>
        <w:textAlignment w:val="auto"/>
        <w:rPr>
          <w:rFonts w:hint="default" w:ascii="Times New Roman" w:hAnsi="Times New Roman" w:eastAsia="宋体" w:cs="Times New Roman"/>
          <w:b/>
          <w:bCs w:val="0"/>
          <w:kern w:val="0"/>
          <w:sz w:val="24"/>
          <w:szCs w:val="24"/>
        </w:rPr>
      </w:pPr>
      <w:r>
        <w:rPr>
          <w:rFonts w:hint="default" w:ascii="Times New Roman" w:hAnsi="Times New Roman" w:cs="Times New Roman"/>
          <w:sz w:val="24"/>
          <w:szCs w:val="24"/>
        </w:rPr>
        <w:br w:type="page"/>
      </w:r>
      <w:r>
        <w:rPr>
          <w:rFonts w:hint="default" w:ascii="Times New Roman" w:hAnsi="Times New Roman" w:eastAsia="宋体" w:cs="Times New Roman"/>
          <w:b/>
          <w:bCs w:val="0"/>
          <w:kern w:val="0"/>
          <w:sz w:val="24"/>
          <w:szCs w:val="24"/>
        </w:rPr>
        <w:t>附  录  B</w:t>
      </w:r>
    </w:p>
    <w:p w14:paraId="7C1A2F80">
      <w:pPr>
        <w:keepNext w:val="0"/>
        <w:keepLines w:val="0"/>
        <w:pageBreakBefore w:val="0"/>
        <w:widowControl/>
        <w:kinsoku/>
        <w:wordWrap/>
        <w:overflowPunct/>
        <w:topLinePunct w:val="0"/>
        <w:bidi w:val="0"/>
        <w:spacing w:before="0" w:beforeLines="0" w:after="0" w:afterLines="0" w:line="440" w:lineRule="exact"/>
        <w:ind w:firstLine="0" w:firstLineChars="0"/>
        <w:jc w:val="center"/>
        <w:textAlignment w:val="auto"/>
        <w:rPr>
          <w:rFonts w:hint="default" w:ascii="Times New Roman" w:hAnsi="Times New Roman" w:eastAsia="宋体" w:cs="Times New Roman"/>
          <w:b/>
          <w:bCs w:val="0"/>
          <w:kern w:val="0"/>
          <w:sz w:val="24"/>
          <w:szCs w:val="24"/>
        </w:rPr>
      </w:pPr>
      <w:r>
        <w:rPr>
          <w:rFonts w:hint="default" w:ascii="Times New Roman" w:hAnsi="Times New Roman" w:eastAsia="宋体" w:cs="Times New Roman"/>
          <w:b/>
          <w:bCs w:val="0"/>
          <w:kern w:val="0"/>
          <w:sz w:val="24"/>
          <w:szCs w:val="24"/>
        </w:rPr>
        <w:t>（规范性附录）</w:t>
      </w:r>
    </w:p>
    <w:p w14:paraId="0E1C67DE">
      <w:pPr>
        <w:keepNext w:val="0"/>
        <w:keepLines w:val="0"/>
        <w:pageBreakBefore w:val="0"/>
        <w:widowControl/>
        <w:kinsoku/>
        <w:wordWrap/>
        <w:overflowPunct/>
        <w:topLinePunct w:val="0"/>
        <w:bidi w:val="0"/>
        <w:spacing w:before="0" w:beforeLines="0" w:after="0" w:afterLines="0" w:line="440" w:lineRule="exact"/>
        <w:ind w:firstLine="0" w:firstLineChars="0"/>
        <w:jc w:val="center"/>
        <w:textAlignment w:val="auto"/>
        <w:rPr>
          <w:rFonts w:hint="default" w:ascii="Times New Roman" w:hAnsi="Times New Roman" w:eastAsia="宋体" w:cs="Times New Roman"/>
          <w:b/>
          <w:bCs w:val="0"/>
          <w:kern w:val="0"/>
          <w:sz w:val="24"/>
          <w:szCs w:val="24"/>
        </w:rPr>
      </w:pPr>
      <w:r>
        <w:rPr>
          <w:rFonts w:hint="default" w:ascii="Times New Roman" w:hAnsi="Times New Roman" w:eastAsia="宋体" w:cs="Times New Roman"/>
          <w:b/>
          <w:bCs w:val="0"/>
          <w:kern w:val="0"/>
          <w:sz w:val="24"/>
          <w:szCs w:val="24"/>
        </w:rPr>
        <w:t>深坑式旱厕</w:t>
      </w:r>
    </w:p>
    <w:p w14:paraId="2E83F62D">
      <w:pPr>
        <w:keepNext w:val="0"/>
        <w:keepLines w:val="0"/>
        <w:pageBreakBefore w:val="0"/>
        <w:widowControl/>
        <w:kinsoku/>
        <w:wordWrap/>
        <w:overflowPunct/>
        <w:topLinePunct w:val="0"/>
        <w:bidi w:val="0"/>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B.1  基本结构</w:t>
      </w:r>
    </w:p>
    <w:p w14:paraId="7B589A9E">
      <w:pPr>
        <w:keepNext w:val="0"/>
        <w:keepLines w:val="0"/>
        <w:pageBreakBefore w:val="0"/>
        <w:kinsoku/>
        <w:wordWrap/>
        <w:overflowPunct/>
        <w:topLinePunct w:val="0"/>
        <w:bidi w:val="0"/>
        <w:spacing w:before="0" w:beforeLines="0" w:after="0" w:afterLines="0"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深坑式旱厕由厕屋、便器与坑深不小于1.5m厕坑或深埋式贮粪罐组成。</w:t>
      </w:r>
    </w:p>
    <w:p w14:paraId="6B146A51">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3239770" cy="4187190"/>
            <wp:effectExtent l="0" t="0" r="11430" b="3810"/>
            <wp:docPr id="5" name="图片 5" descr="E:\科研\张立勇\农业厅标准\准备资料\农业厅标准2024.9.25\图B.1深坑式旱厕示意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研\张立勇\农业厅标准\准备资料\农业厅标准2024.9.25\图B.1深坑式旱厕示意图.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3240000" cy="4187787"/>
                    </a:xfrm>
                    <a:prstGeom prst="rect">
                      <a:avLst/>
                    </a:prstGeom>
                    <a:noFill/>
                    <a:ln>
                      <a:noFill/>
                    </a:ln>
                  </pic:spPr>
                </pic:pic>
              </a:graphicData>
            </a:graphic>
          </wp:inline>
        </w:drawing>
      </w:r>
    </w:p>
    <w:p w14:paraId="087899C9">
      <w:pPr>
        <w:pStyle w:val="5"/>
        <w:keepNext/>
        <w:snapToGrid/>
        <w:spacing w:before="312" w:beforeLines="100" w:after="0" w:afterLines="-2147483648"/>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图B.1  深坑式旱厕示意图</w:t>
      </w:r>
    </w:p>
    <w:p w14:paraId="36657BEA">
      <w:pPr>
        <w:keepNext w:val="0"/>
        <w:keepLines w:val="0"/>
        <w:pageBreakBefore w:val="0"/>
        <w:widowControl/>
        <w:kinsoku/>
        <w:wordWrap/>
        <w:overflowPunct/>
        <w:topLinePunct w:val="0"/>
        <w:bidi w:val="0"/>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B.2  设计要求</w:t>
      </w:r>
    </w:p>
    <w:p w14:paraId="7C0B82AC">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B.2.1  厕屋应符合GB 19379的规定。</w:t>
      </w:r>
    </w:p>
    <w:p w14:paraId="00DAC40F">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B.2.2  排气管</w:t>
      </w:r>
    </w:p>
    <w:p w14:paraId="60F46F9E">
      <w:pPr>
        <w:keepNext w:val="0"/>
        <w:keepLines w:val="0"/>
        <w:pageBreakBefore w:val="0"/>
        <w:kinsoku/>
        <w:wordWrap/>
        <w:overflowPunct/>
        <w:topLinePunct w:val="0"/>
        <w:bidi w:val="0"/>
        <w:spacing w:before="0" w:beforeLines="0" w:after="0" w:afterLines="0" w:line="440" w:lineRule="exact"/>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B.2.2.1  管径≥1</w:t>
      </w:r>
      <w:r>
        <w:rPr>
          <w:rFonts w:hint="default" w:ascii="Times New Roman" w:hAnsi="Times New Roman" w:cs="Times New Roman"/>
          <w:sz w:val="24"/>
          <w:szCs w:val="24"/>
          <w:highlight w:val="none"/>
          <w:lang w:val="en-US" w:eastAsia="zh-CN"/>
        </w:rPr>
        <w:t>0</w:t>
      </w:r>
      <w:r>
        <w:rPr>
          <w:rFonts w:hint="default" w:ascii="Times New Roman" w:hAnsi="Times New Roman" w:cs="Times New Roman"/>
          <w:sz w:val="24"/>
          <w:szCs w:val="24"/>
          <w:highlight w:val="none"/>
        </w:rPr>
        <w:t>0mm，壁厚≥3mm，应引至屋顶并高出厕屋沿500mm。排气管的底部应与</w:t>
      </w:r>
      <w:r>
        <w:rPr>
          <w:rFonts w:hint="default" w:ascii="Times New Roman" w:hAnsi="Times New Roman" w:cs="Times New Roman"/>
          <w:sz w:val="24"/>
          <w:szCs w:val="24"/>
        </w:rPr>
        <w:t>厕坑或贮粪罐</w:t>
      </w:r>
      <w:r>
        <w:rPr>
          <w:rFonts w:hint="default" w:ascii="Times New Roman" w:hAnsi="Times New Roman" w:cs="Times New Roman"/>
          <w:sz w:val="24"/>
          <w:szCs w:val="24"/>
          <w:highlight w:val="none"/>
        </w:rPr>
        <w:t>顶部相通，且有良好密封。</w:t>
      </w:r>
    </w:p>
    <w:p w14:paraId="1B0165AD">
      <w:pPr>
        <w:keepNext w:val="0"/>
        <w:keepLines w:val="0"/>
        <w:pageBreakBefore w:val="0"/>
        <w:kinsoku/>
        <w:wordWrap/>
        <w:overflowPunct/>
        <w:topLinePunct w:val="0"/>
        <w:bidi w:val="0"/>
        <w:spacing w:before="0" w:beforeLines="0" w:after="0" w:afterLines="0" w:line="440" w:lineRule="exact"/>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B.2.2.2  排气管顶端应加装三通，管径≥1</w:t>
      </w:r>
      <w:r>
        <w:rPr>
          <w:rFonts w:hint="default" w:ascii="Times New Roman" w:hAnsi="Times New Roman" w:cs="Times New Roman"/>
          <w:sz w:val="24"/>
          <w:szCs w:val="24"/>
          <w:highlight w:val="none"/>
          <w:lang w:val="en-US" w:eastAsia="zh-CN"/>
        </w:rPr>
        <w:t>0</w:t>
      </w:r>
      <w:r>
        <w:rPr>
          <w:rFonts w:hint="default" w:ascii="Times New Roman" w:hAnsi="Times New Roman" w:cs="Times New Roman"/>
          <w:sz w:val="24"/>
          <w:szCs w:val="24"/>
          <w:highlight w:val="none"/>
        </w:rPr>
        <w:t>0mm，安装方向应与当地主导风风向平行，或直接安装无动力风帽。</w:t>
      </w:r>
    </w:p>
    <w:p w14:paraId="187CCDEA">
      <w:pPr>
        <w:keepNext w:val="0"/>
        <w:keepLines w:val="0"/>
        <w:pageBreakBefore w:val="0"/>
        <w:kinsoku/>
        <w:wordWrap/>
        <w:overflowPunct/>
        <w:topLinePunct w:val="0"/>
        <w:bidi w:val="0"/>
        <w:spacing w:before="0" w:beforeLines="0" w:after="0" w:afterLines="0" w:line="440" w:lineRule="exact"/>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B.2.2.3  使用强制排风装置的产品，管径不应小于70mm。</w:t>
      </w:r>
    </w:p>
    <w:p w14:paraId="68AABC52">
      <w:pPr>
        <w:keepNext w:val="0"/>
        <w:keepLines w:val="0"/>
        <w:pageBreakBefore w:val="0"/>
        <w:kinsoku/>
        <w:wordWrap/>
        <w:overflowPunct/>
        <w:topLinePunct w:val="0"/>
        <w:bidi w:val="0"/>
        <w:spacing w:before="0" w:beforeLines="0" w:after="0" w:afterLines="0" w:line="440" w:lineRule="exact"/>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 xml:space="preserve">B.2.2.4  排气管的设计安装不应有死角和过多的拐弯，防止厕屋返味及气体积聚。排气管的安装应符合GB </w:t>
      </w:r>
      <w:r>
        <w:rPr>
          <w:rFonts w:hint="default" w:ascii="Times New Roman" w:hAnsi="Times New Roman" w:cs="Times New Roman"/>
          <w:sz w:val="24"/>
          <w:szCs w:val="24"/>
          <w:highlight w:val="none"/>
          <w:lang w:val="en-US" w:eastAsia="zh-CN"/>
        </w:rPr>
        <w:t>38836</w:t>
      </w:r>
      <w:r>
        <w:rPr>
          <w:rFonts w:hint="default" w:ascii="Times New Roman" w:hAnsi="Times New Roman" w:cs="Times New Roman"/>
          <w:sz w:val="24"/>
          <w:szCs w:val="24"/>
          <w:highlight w:val="none"/>
        </w:rPr>
        <w:t>的规定。</w:t>
      </w:r>
    </w:p>
    <w:p w14:paraId="75FBE1C4">
      <w:pPr>
        <w:keepNext w:val="0"/>
        <w:keepLines w:val="0"/>
        <w:pageBreakBefore w:val="0"/>
        <w:kinsoku/>
        <w:wordWrap/>
        <w:overflowPunct/>
        <w:topLinePunct w:val="0"/>
        <w:bidi w:val="0"/>
        <w:spacing w:before="0" w:beforeLines="0" w:after="0" w:afterLines="0" w:line="440" w:lineRule="exact"/>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B.2.3  户厕出粪口用挡板密封，</w:t>
      </w:r>
      <w:r>
        <w:rPr>
          <w:rFonts w:hint="default" w:ascii="Times New Roman" w:hAnsi="Times New Roman" w:cs="Times New Roman"/>
          <w:sz w:val="24"/>
          <w:szCs w:val="24"/>
        </w:rPr>
        <w:t>厕坑或贮粪罐</w:t>
      </w:r>
      <w:r>
        <w:rPr>
          <w:rFonts w:hint="default" w:ascii="Times New Roman" w:hAnsi="Times New Roman" w:cs="Times New Roman"/>
          <w:sz w:val="24"/>
          <w:szCs w:val="24"/>
          <w:highlight w:val="none"/>
        </w:rPr>
        <w:t>密封盖应为一体化设计，均应达到防漏防腐的要求。</w:t>
      </w:r>
    </w:p>
    <w:p w14:paraId="75F65E2A">
      <w:pPr>
        <w:keepNext w:val="0"/>
        <w:keepLines w:val="0"/>
        <w:pageBreakBefore w:val="0"/>
        <w:kinsoku/>
        <w:wordWrap/>
        <w:overflowPunct/>
        <w:topLinePunct w:val="0"/>
        <w:bidi w:val="0"/>
        <w:spacing w:before="0" w:beforeLines="0" w:after="0" w:afterLines="0" w:line="440" w:lineRule="exact"/>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val="en-US" w:eastAsia="zh-CN"/>
        </w:rPr>
        <w:t>B</w:t>
      </w:r>
      <w:r>
        <w:rPr>
          <w:rFonts w:hint="default" w:ascii="Times New Roman" w:hAnsi="Times New Roman" w:cs="Times New Roman"/>
          <w:sz w:val="24"/>
          <w:szCs w:val="24"/>
          <w:highlight w:val="none"/>
        </w:rPr>
        <w:t>.</w:t>
      </w:r>
      <w:r>
        <w:rPr>
          <w:rFonts w:hint="default" w:ascii="Times New Roman" w:hAnsi="Times New Roman" w:cs="Times New Roman"/>
          <w:sz w:val="24"/>
          <w:szCs w:val="24"/>
          <w:highlight w:val="none"/>
          <w:lang w:val="en-US" w:eastAsia="zh-CN"/>
        </w:rPr>
        <w:t>2</w:t>
      </w:r>
      <w:r>
        <w:rPr>
          <w:rFonts w:hint="default" w:ascii="Times New Roman" w:hAnsi="Times New Roman" w:cs="Times New Roman"/>
          <w:sz w:val="24"/>
          <w:szCs w:val="24"/>
          <w:highlight w:val="none"/>
        </w:rPr>
        <w:t>.</w:t>
      </w:r>
      <w:r>
        <w:rPr>
          <w:rFonts w:hint="default"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rPr>
        <w:t xml:space="preserve"> 蹲便器宜采用前小后大、前高后低的直排便器，前沿有拱形凸起、防止尿液外溅</w:t>
      </w:r>
      <w:r>
        <w:rPr>
          <w:rFonts w:hint="default"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rPr>
        <w:t>且应采用盖板或塞子密封，防止臭味进入厕屋内。</w:t>
      </w:r>
    </w:p>
    <w:p w14:paraId="5A0F0ECD">
      <w:pPr>
        <w:keepNext w:val="0"/>
        <w:keepLines w:val="0"/>
        <w:pageBreakBefore w:val="0"/>
        <w:kinsoku/>
        <w:wordWrap/>
        <w:overflowPunct/>
        <w:topLinePunct w:val="0"/>
        <w:bidi w:val="0"/>
        <w:spacing w:before="0" w:beforeLines="0" w:after="0" w:afterLines="0" w:line="440" w:lineRule="exact"/>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val="en-US" w:eastAsia="zh-CN"/>
        </w:rPr>
        <w:t>B</w:t>
      </w:r>
      <w:r>
        <w:rPr>
          <w:rFonts w:hint="default" w:ascii="Times New Roman" w:hAnsi="Times New Roman" w:cs="Times New Roman"/>
          <w:sz w:val="24"/>
          <w:szCs w:val="24"/>
          <w:highlight w:val="none"/>
        </w:rPr>
        <w:t>.</w:t>
      </w:r>
      <w:r>
        <w:rPr>
          <w:rFonts w:hint="default" w:ascii="Times New Roman" w:hAnsi="Times New Roman" w:cs="Times New Roman"/>
          <w:sz w:val="24"/>
          <w:szCs w:val="24"/>
          <w:highlight w:val="none"/>
          <w:lang w:val="en-US" w:eastAsia="zh-CN"/>
        </w:rPr>
        <w:t>2.5</w:t>
      </w:r>
      <w:r>
        <w:rPr>
          <w:rFonts w:hint="default" w:ascii="Times New Roman" w:hAnsi="Times New Roman" w:cs="Times New Roman"/>
          <w:sz w:val="24"/>
          <w:szCs w:val="24"/>
          <w:highlight w:val="none"/>
        </w:rPr>
        <w:t xml:space="preserve"> 坐便器排便孔前段应有倾斜面，后端垂直。</w:t>
      </w:r>
    </w:p>
    <w:p w14:paraId="4F675585">
      <w:pPr>
        <w:keepNext w:val="0"/>
        <w:keepLines w:val="0"/>
        <w:pageBreakBefore w:val="0"/>
        <w:widowControl/>
        <w:kinsoku/>
        <w:wordWrap/>
        <w:overflowPunct/>
        <w:topLinePunct w:val="0"/>
        <w:bidi w:val="0"/>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B.3  质量要求</w:t>
      </w:r>
    </w:p>
    <w:p w14:paraId="3D6FE621">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B.3.1  贮粪罐应是一体式</w:t>
      </w:r>
      <w:r>
        <w:rPr>
          <w:rFonts w:hint="default" w:ascii="Times New Roman" w:hAnsi="Times New Roman" w:cs="Times New Roman"/>
          <w:color w:val="auto"/>
          <w:sz w:val="24"/>
          <w:szCs w:val="24"/>
          <w:lang w:val="en-US" w:eastAsia="zh-CN"/>
        </w:rPr>
        <w:t>结构</w:t>
      </w:r>
      <w:r>
        <w:rPr>
          <w:rFonts w:hint="default" w:ascii="Times New Roman" w:hAnsi="Times New Roman" w:cs="Times New Roman"/>
          <w:color w:val="auto"/>
          <w:sz w:val="24"/>
          <w:szCs w:val="24"/>
        </w:rPr>
        <w:t>，罐体顶部距地面</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1.5m，清掏口管径</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400 mm。</w:t>
      </w:r>
    </w:p>
    <w:p w14:paraId="2152024B">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B.3.2  素土回填、夯实，底部做土沙或砂石垫层，垫层</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300mm防止下沉。</w:t>
      </w:r>
    </w:p>
    <w:p w14:paraId="130FE973">
      <w:pPr>
        <w:keepNext w:val="0"/>
        <w:keepLines w:val="0"/>
        <w:pageBreakBefore w:val="0"/>
        <w:kinsoku/>
        <w:wordWrap/>
        <w:overflowPunct/>
        <w:topLinePunct w:val="0"/>
        <w:bidi w:val="0"/>
        <w:spacing w:before="0" w:beforeLines="0" w:after="0" w:afterLines="0" w:line="440" w:lineRule="exact"/>
        <w:ind w:left="0" w:leftChars="0"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B.3.3  罐体与便器使用管体无缝连接，确保密封。</w:t>
      </w:r>
    </w:p>
    <w:p w14:paraId="29440015">
      <w:pPr>
        <w:keepNext w:val="0"/>
        <w:keepLines w:val="0"/>
        <w:pageBreakBefore w:val="0"/>
        <w:widowControl/>
        <w:kinsoku/>
        <w:wordWrap/>
        <w:overflowPunct/>
        <w:topLinePunct w:val="0"/>
        <w:bidi w:val="0"/>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lang w:val="en-US" w:eastAsia="zh-CN"/>
        </w:rPr>
      </w:pPr>
      <w:r>
        <w:rPr>
          <w:rFonts w:hint="default" w:ascii="Times New Roman" w:hAnsi="Times New Roman" w:cs="Times New Roman" w:eastAsiaTheme="minorEastAsia"/>
          <w:b/>
          <w:color w:val="000000"/>
          <w:sz w:val="24"/>
          <w:szCs w:val="24"/>
        </w:rPr>
        <w:t>B.4  使用</w:t>
      </w:r>
      <w:r>
        <w:rPr>
          <w:rFonts w:hint="default" w:ascii="Times New Roman" w:hAnsi="Times New Roman" w:cs="Times New Roman" w:eastAsiaTheme="minorEastAsia"/>
          <w:b/>
          <w:color w:val="000000"/>
          <w:sz w:val="24"/>
          <w:szCs w:val="24"/>
          <w:lang w:val="en-US" w:eastAsia="zh-CN"/>
        </w:rPr>
        <w:t>与粪污管理</w:t>
      </w:r>
    </w:p>
    <w:p w14:paraId="4CB24F70">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 xml:space="preserve">B.4.1  </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粪污</w:t>
      </w:r>
      <w:r>
        <w:rPr>
          <w:rFonts w:hint="default" w:ascii="Times New Roman" w:hAnsi="Times New Roman" w:cs="Times New Roman"/>
          <w:color w:val="000000" w:themeColor="text1"/>
          <w:sz w:val="24"/>
          <w:szCs w:val="24"/>
          <w:highlight w:val="none"/>
          <w14:textFill>
            <w14:solidFill>
              <w14:schemeClr w14:val="tx1"/>
            </w14:solidFill>
          </w14:textFill>
        </w:rPr>
        <w:t>应在每年冰冻前清掏一次贮粪罐</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或厕坑</w:t>
      </w:r>
      <w:r>
        <w:rPr>
          <w:rFonts w:hint="default" w:ascii="Times New Roman" w:hAnsi="Times New Roman" w:cs="Times New Roman"/>
          <w:color w:val="000000" w:themeColor="text1"/>
          <w:sz w:val="24"/>
          <w:szCs w:val="24"/>
          <w:highlight w:val="none"/>
          <w14:textFill>
            <w14:solidFill>
              <w14:schemeClr w14:val="tx1"/>
            </w14:solidFill>
          </w14:textFill>
        </w:rPr>
        <w:t>。</w:t>
      </w:r>
    </w:p>
    <w:p w14:paraId="5207D711">
      <w:pPr>
        <w:keepNext w:val="0"/>
        <w:keepLines w:val="0"/>
        <w:pageBreakBefore w:val="0"/>
        <w:kinsoku/>
        <w:wordWrap/>
        <w:overflowPunct/>
        <w:topLinePunct w:val="0"/>
        <w:bidi w:val="0"/>
        <w:spacing w:before="0" w:beforeLines="0" w:after="0" w:afterLines="0" w:line="440" w:lineRule="exact"/>
        <w:ind w:firstLine="0" w:firstLineChars="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B.</w:t>
      </w:r>
      <w:r>
        <w:rPr>
          <w:rFonts w:hint="default"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rPr>
        <w:t>.</w:t>
      </w:r>
      <w:r>
        <w:rPr>
          <w:rFonts w:hint="default" w:ascii="Times New Roman" w:hAnsi="Times New Roman" w:cs="Times New Roman"/>
          <w:sz w:val="24"/>
          <w:szCs w:val="24"/>
          <w:highlight w:val="none"/>
          <w:lang w:val="en-US" w:eastAsia="zh-CN"/>
        </w:rPr>
        <w:t>2</w:t>
      </w:r>
      <w:r>
        <w:rPr>
          <w:rFonts w:hint="default" w:ascii="Times New Roman" w:hAnsi="Times New Roman" w:cs="Times New Roman"/>
          <w:sz w:val="24"/>
          <w:szCs w:val="24"/>
          <w:highlight w:val="none"/>
        </w:rPr>
        <w:t xml:space="preserve"> 粪污处理卫生总体要求应符合 GB 7959、GB 19379 的规定。</w:t>
      </w:r>
    </w:p>
    <w:p w14:paraId="65E199B0">
      <w:pPr>
        <w:keepNext w:val="0"/>
        <w:keepLines w:val="0"/>
        <w:pageBreakBefore w:val="0"/>
        <w:widowControl/>
        <w:kinsoku/>
        <w:wordWrap/>
        <w:overflowPunct/>
        <w:topLinePunct w:val="0"/>
        <w:bidi w:val="0"/>
        <w:spacing w:before="0" w:beforeLines="0" w:after="0" w:afterLines="0" w:line="440" w:lineRule="exact"/>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br w:type="page"/>
      </w:r>
    </w:p>
    <w:p w14:paraId="246D884C">
      <w:pPr>
        <w:widowControl/>
        <w:jc w:val="left"/>
        <w:rPr>
          <w:rFonts w:hint="default" w:ascii="Times New Roman" w:hAnsi="Times New Roman" w:cs="Times New Roman"/>
        </w:rPr>
      </w:pPr>
    </w:p>
    <w:p w14:paraId="4FE7464B">
      <w:pPr>
        <w:keepNext w:val="0"/>
        <w:keepLines w:val="0"/>
        <w:pageBreakBefore w:val="0"/>
        <w:widowControl/>
        <w:kinsoku/>
        <w:wordWrap/>
        <w:overflowPunct/>
        <w:topLinePunct w:val="0"/>
        <w:bidi w:val="0"/>
        <w:spacing w:before="0" w:beforeLines="0" w:after="0" w:afterLines="0" w:line="440" w:lineRule="exact"/>
        <w:ind w:firstLine="0" w:firstLineChars="0"/>
        <w:jc w:val="center"/>
        <w:textAlignment w:val="auto"/>
        <w:rPr>
          <w:rFonts w:hint="default" w:ascii="Times New Roman" w:hAnsi="Times New Roman" w:eastAsia="宋体" w:cs="Times New Roman"/>
          <w:b/>
          <w:bCs w:val="0"/>
          <w:kern w:val="0"/>
          <w:sz w:val="24"/>
          <w:szCs w:val="24"/>
        </w:rPr>
      </w:pPr>
      <w:r>
        <w:rPr>
          <w:rFonts w:hint="default" w:ascii="Times New Roman" w:hAnsi="Times New Roman" w:eastAsia="宋体" w:cs="Times New Roman"/>
          <w:b/>
          <w:bCs w:val="0"/>
          <w:kern w:val="0"/>
          <w:sz w:val="24"/>
          <w:szCs w:val="24"/>
        </w:rPr>
        <w:t>附  录  C</w:t>
      </w:r>
    </w:p>
    <w:p w14:paraId="6EB90C2C">
      <w:pPr>
        <w:keepNext w:val="0"/>
        <w:keepLines w:val="0"/>
        <w:pageBreakBefore w:val="0"/>
        <w:widowControl/>
        <w:kinsoku/>
        <w:wordWrap/>
        <w:overflowPunct/>
        <w:topLinePunct w:val="0"/>
        <w:bidi w:val="0"/>
        <w:spacing w:before="0" w:beforeLines="0" w:after="0" w:afterLines="0" w:line="440" w:lineRule="exact"/>
        <w:ind w:firstLine="0" w:firstLineChars="0"/>
        <w:jc w:val="center"/>
        <w:textAlignment w:val="auto"/>
        <w:rPr>
          <w:rFonts w:hint="default" w:ascii="Times New Roman" w:hAnsi="Times New Roman" w:eastAsia="宋体" w:cs="Times New Roman"/>
          <w:b/>
          <w:bCs w:val="0"/>
          <w:kern w:val="0"/>
          <w:sz w:val="24"/>
          <w:szCs w:val="24"/>
        </w:rPr>
      </w:pPr>
      <w:r>
        <w:rPr>
          <w:rFonts w:hint="default" w:ascii="Times New Roman" w:hAnsi="Times New Roman" w:eastAsia="宋体" w:cs="Times New Roman"/>
          <w:b/>
          <w:bCs w:val="0"/>
          <w:kern w:val="0"/>
          <w:sz w:val="24"/>
          <w:szCs w:val="24"/>
        </w:rPr>
        <w:t>（规范性附录）</w:t>
      </w:r>
    </w:p>
    <w:p w14:paraId="44F6AEAD">
      <w:pPr>
        <w:keepNext w:val="0"/>
        <w:keepLines w:val="0"/>
        <w:pageBreakBefore w:val="0"/>
        <w:widowControl/>
        <w:kinsoku/>
        <w:wordWrap/>
        <w:overflowPunct/>
        <w:topLinePunct w:val="0"/>
        <w:bidi w:val="0"/>
        <w:spacing w:before="0" w:beforeLines="0" w:after="0" w:afterLines="0" w:line="440" w:lineRule="exact"/>
        <w:ind w:firstLine="0" w:firstLineChars="0"/>
        <w:jc w:val="center"/>
        <w:textAlignment w:val="auto"/>
        <w:rPr>
          <w:rFonts w:hint="default" w:ascii="Times New Roman" w:hAnsi="Times New Roman" w:eastAsia="宋体" w:cs="Times New Roman"/>
          <w:b/>
          <w:bCs w:val="0"/>
          <w:kern w:val="0"/>
          <w:sz w:val="24"/>
          <w:szCs w:val="24"/>
        </w:rPr>
      </w:pPr>
      <w:bookmarkStart w:id="12" w:name="_Hlk147377297"/>
      <w:r>
        <w:rPr>
          <w:rFonts w:hint="default" w:ascii="Times New Roman" w:hAnsi="Times New Roman" w:eastAsia="宋体" w:cs="Times New Roman"/>
          <w:b/>
          <w:bCs w:val="0"/>
          <w:kern w:val="0"/>
          <w:sz w:val="24"/>
          <w:szCs w:val="24"/>
        </w:rPr>
        <w:t>厌氧发酵式</w:t>
      </w:r>
      <w:bookmarkEnd w:id="12"/>
      <w:r>
        <w:rPr>
          <w:rFonts w:hint="default" w:ascii="Times New Roman" w:hAnsi="Times New Roman" w:eastAsia="宋体" w:cs="Times New Roman"/>
          <w:b/>
          <w:bCs w:val="0"/>
          <w:kern w:val="0"/>
          <w:sz w:val="24"/>
          <w:szCs w:val="24"/>
        </w:rPr>
        <w:t>厕所</w:t>
      </w:r>
    </w:p>
    <w:p w14:paraId="3A0E9696">
      <w:pPr>
        <w:keepLines w:val="0"/>
        <w:pageBreakBefore w:val="0"/>
        <w:widowControl/>
        <w:kinsoku/>
        <w:wordWrap/>
        <w:overflowPunct/>
        <w:topLinePunct w:val="0"/>
        <w:autoSpaceDE/>
        <w:autoSpaceDN/>
        <w:bidi w:val="0"/>
        <w:adjustRightInd/>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C.1  基本结构</w:t>
      </w:r>
    </w:p>
    <w:p w14:paraId="73A09DE3">
      <w:pPr>
        <w:keepLines w:val="0"/>
        <w:pageBreakBefore w:val="0"/>
        <w:kinsoku/>
        <w:wordWrap/>
        <w:overflowPunct/>
        <w:topLinePunct w:val="0"/>
        <w:autoSpaceDE/>
        <w:autoSpaceDN/>
        <w:bidi w:val="0"/>
        <w:adjustRightInd/>
        <w:spacing w:before="0" w:beforeLines="0" w:after="0" w:afterLines="0"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厌氧发酵式厕所由厕屋、便器、冲水设备、厌氧</w:t>
      </w:r>
      <w:bookmarkStart w:id="13" w:name="_Hlk147377004"/>
      <w:r>
        <w:rPr>
          <w:rFonts w:hint="default" w:ascii="Times New Roman" w:hAnsi="Times New Roman" w:cs="Times New Roman"/>
          <w:sz w:val="24"/>
          <w:szCs w:val="24"/>
        </w:rPr>
        <w:t>发酵池</w:t>
      </w:r>
      <w:bookmarkEnd w:id="13"/>
      <w:r>
        <w:rPr>
          <w:rFonts w:hint="default" w:ascii="Times New Roman" w:hAnsi="Times New Roman" w:cs="Times New Roman"/>
          <w:sz w:val="24"/>
          <w:szCs w:val="24"/>
        </w:rPr>
        <w:t>等部分组成。</w:t>
      </w:r>
    </w:p>
    <w:p w14:paraId="67669F35">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5759450" cy="3935730"/>
            <wp:effectExtent l="0" t="0" r="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760000" cy="3936171"/>
                    </a:xfrm>
                    <a:prstGeom prst="rect">
                      <a:avLst/>
                    </a:prstGeom>
                    <a:noFill/>
                    <a:ln>
                      <a:noFill/>
                    </a:ln>
                  </pic:spPr>
                </pic:pic>
              </a:graphicData>
            </a:graphic>
          </wp:inline>
        </w:drawing>
      </w:r>
    </w:p>
    <w:p w14:paraId="1F2D2327">
      <w:pPr>
        <w:pStyle w:val="5"/>
        <w:keepNext/>
        <w:keepLines w:val="0"/>
        <w:pageBreakBefore w:val="0"/>
        <w:kinsoku/>
        <w:wordWrap/>
        <w:overflowPunct/>
        <w:topLinePunct w:val="0"/>
        <w:autoSpaceDE/>
        <w:autoSpaceDN/>
        <w:bidi w:val="0"/>
        <w:adjustRightInd/>
        <w:snapToGrid/>
        <w:spacing w:before="0" w:beforeLines="0" w:after="0" w:afterLines="0" w:line="440" w:lineRule="exact"/>
        <w:ind w:firstLine="0" w:firstLineChars="0"/>
        <w:jc w:val="center"/>
        <w:textAlignment w:val="auto"/>
        <w:rPr>
          <w:rFonts w:hint="default" w:ascii="Times New Roman" w:hAnsi="Times New Roman" w:cs="Times New Roman"/>
          <w:b/>
          <w:sz w:val="24"/>
          <w:szCs w:val="24"/>
        </w:rPr>
      </w:pPr>
      <w:r>
        <w:rPr>
          <w:rFonts w:hint="default" w:ascii="Times New Roman" w:hAnsi="Times New Roman" w:cs="Times New Roman"/>
          <w:b/>
          <w:sz w:val="24"/>
          <w:szCs w:val="24"/>
        </w:rPr>
        <w:t xml:space="preserve">图C.1  </w:t>
      </w:r>
      <w:bookmarkStart w:id="14" w:name="_Hlk152429683"/>
      <w:r>
        <w:rPr>
          <w:rFonts w:hint="default" w:ascii="Times New Roman" w:hAnsi="Times New Roman" w:cs="Times New Roman"/>
          <w:b/>
          <w:sz w:val="24"/>
          <w:szCs w:val="24"/>
        </w:rPr>
        <w:t>厌氧发酵式</w:t>
      </w:r>
      <w:bookmarkEnd w:id="14"/>
      <w:r>
        <w:rPr>
          <w:rFonts w:hint="default" w:ascii="Times New Roman" w:hAnsi="Times New Roman" w:cs="Times New Roman"/>
          <w:b/>
          <w:sz w:val="24"/>
          <w:szCs w:val="24"/>
        </w:rPr>
        <w:t>厕所示意图</w:t>
      </w:r>
    </w:p>
    <w:p w14:paraId="5FADA98B">
      <w:pPr>
        <w:keepLines w:val="0"/>
        <w:pageBreakBefore w:val="0"/>
        <w:widowControl/>
        <w:kinsoku/>
        <w:wordWrap/>
        <w:overflowPunct/>
        <w:topLinePunct w:val="0"/>
        <w:autoSpaceDE/>
        <w:autoSpaceDN/>
        <w:bidi w:val="0"/>
        <w:adjustRightInd/>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C.2  设计要求</w:t>
      </w:r>
    </w:p>
    <w:p w14:paraId="2BEF1CF7">
      <w:pPr>
        <w:keepLines w:val="0"/>
        <w:pageBreakBefore w:val="0"/>
        <w:widowControl/>
        <w:kinsoku/>
        <w:wordWrap/>
        <w:overflowPunct/>
        <w:topLinePunct w:val="0"/>
        <w:autoSpaceDE/>
        <w:autoSpaceDN/>
        <w:bidi w:val="0"/>
        <w:adjustRightInd/>
        <w:spacing w:before="0" w:beforeLines="0" w:after="0" w:afterLines="0" w:line="440" w:lineRule="exact"/>
        <w:ind w:firstLine="0" w:firstLineChars="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C.2.1  厌氧发酵池式厕所应同步进行建屋与建池工作。</w:t>
      </w:r>
    </w:p>
    <w:p w14:paraId="3272EED8">
      <w:pPr>
        <w:keepLines w:val="0"/>
        <w:pageBreakBefore w:val="0"/>
        <w:widowControl/>
        <w:kinsoku/>
        <w:wordWrap/>
        <w:overflowPunct/>
        <w:topLinePunct w:val="0"/>
        <w:autoSpaceDE/>
        <w:autoSpaceDN/>
        <w:bidi w:val="0"/>
        <w:adjustRightInd/>
        <w:spacing w:before="0" w:beforeLines="0" w:after="0" w:afterLines="0" w:line="440" w:lineRule="exact"/>
        <w:ind w:firstLine="0" w:firstLineChars="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C.2.2  进粪（斜）口与出粪（斜）口应有盖，粪便不得裸露。</w:t>
      </w:r>
    </w:p>
    <w:p w14:paraId="2A88EC83">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C.2.3  进料管应在发酵池1/2处进料、出料管应浸入发酵池底，还应参照GB19379相关规定执行。</w:t>
      </w:r>
    </w:p>
    <w:p w14:paraId="1D9683F6">
      <w:pPr>
        <w:keepLines w:val="0"/>
        <w:pageBreakBefore w:val="0"/>
        <w:widowControl/>
        <w:kinsoku/>
        <w:wordWrap/>
        <w:overflowPunct/>
        <w:topLinePunct w:val="0"/>
        <w:autoSpaceDE/>
        <w:autoSpaceDN/>
        <w:bidi w:val="0"/>
        <w:adjustRightInd/>
        <w:spacing w:before="0" w:beforeLines="0" w:after="0" w:afterLines="0" w:line="440" w:lineRule="exact"/>
        <w:ind w:firstLine="0" w:firstLineChars="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C.2.5  在传染病高发区，不采用可随时抽取沼液（手动随意出料）、沼液随意滥流排放、污泥电动泵进行回流搅拌或底层出料的设计模式，应采用中层出料方式。</w:t>
      </w:r>
    </w:p>
    <w:p w14:paraId="1AAE73C3">
      <w:pPr>
        <w:keepLines w:val="0"/>
        <w:pageBreakBefore w:val="0"/>
        <w:widowControl/>
        <w:kinsoku/>
        <w:wordWrap/>
        <w:overflowPunct/>
        <w:topLinePunct w:val="0"/>
        <w:autoSpaceDE/>
        <w:autoSpaceDN/>
        <w:bidi w:val="0"/>
        <w:adjustRightInd/>
        <w:spacing w:before="0" w:beforeLines="0" w:after="0" w:afterLines="0" w:line="440" w:lineRule="exact"/>
        <w:ind w:firstLine="0" w:firstLineChars="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C.2.6  粪污在厌氧发酵池内平均停留时间至少保持</w:t>
      </w:r>
      <w:r>
        <w:rPr>
          <w:rFonts w:hint="eastAsia" w:cs="Times New Roman"/>
          <w:sz w:val="24"/>
          <w:szCs w:val="24"/>
          <w:lang w:val="en-US" w:eastAsia="zh-CN"/>
        </w:rPr>
        <w:t>4</w:t>
      </w:r>
      <w:r>
        <w:rPr>
          <w:rFonts w:hint="default" w:ascii="Times New Roman" w:hAnsi="Times New Roman" w:cs="Times New Roman"/>
          <w:sz w:val="24"/>
          <w:szCs w:val="24"/>
        </w:rPr>
        <w:t>5</w:t>
      </w:r>
      <w:r>
        <w:rPr>
          <w:rFonts w:hint="eastAsia" w:cs="Times New Roman"/>
          <w:sz w:val="24"/>
          <w:szCs w:val="24"/>
          <w:lang w:val="en-US" w:eastAsia="zh-CN"/>
        </w:rPr>
        <w:t>天</w:t>
      </w:r>
      <w:r>
        <w:rPr>
          <w:rFonts w:hint="default" w:ascii="Times New Roman" w:hAnsi="Times New Roman" w:cs="Times New Roman"/>
          <w:sz w:val="24"/>
          <w:szCs w:val="24"/>
        </w:rPr>
        <w:t>。</w:t>
      </w:r>
    </w:p>
    <w:p w14:paraId="2DD9036C">
      <w:pPr>
        <w:keepLines w:val="0"/>
        <w:pageBreakBefore w:val="0"/>
        <w:widowControl/>
        <w:kinsoku/>
        <w:wordWrap/>
        <w:overflowPunct/>
        <w:topLinePunct w:val="0"/>
        <w:autoSpaceDE/>
        <w:autoSpaceDN/>
        <w:bidi w:val="0"/>
        <w:adjustRightInd/>
        <w:spacing w:before="0" w:beforeLines="0" w:after="0" w:afterLines="0" w:line="440" w:lineRule="exact"/>
        <w:ind w:firstLine="0" w:firstLineChars="0"/>
        <w:jc w:val="left"/>
        <w:textAlignment w:val="auto"/>
        <w:rPr>
          <w:rFonts w:hint="default" w:ascii="Times New Roman" w:hAnsi="Times New Roman" w:cs="Times New Roman"/>
          <w:sz w:val="24"/>
          <w:szCs w:val="24"/>
          <w:highlight w:val="yellow"/>
        </w:rPr>
      </w:pPr>
      <w:r>
        <w:rPr>
          <w:rFonts w:hint="default" w:ascii="Times New Roman" w:hAnsi="Times New Roman" w:cs="Times New Roman"/>
          <w:sz w:val="24"/>
          <w:szCs w:val="24"/>
        </w:rPr>
        <w:t>C.2.7  厌氧发酵池设计及施工应符合</w:t>
      </w:r>
      <w:r>
        <w:rPr>
          <w:rFonts w:hint="default" w:ascii="Times New Roman" w:hAnsi="Times New Roman" w:cs="Times New Roman"/>
          <w:sz w:val="24"/>
          <w:szCs w:val="24"/>
          <w:highlight w:val="none"/>
        </w:rPr>
        <w:t>GB/T 4750和GB/T 4752</w:t>
      </w:r>
      <w:r>
        <w:rPr>
          <w:rFonts w:hint="default" w:ascii="Times New Roman" w:hAnsi="Times New Roman" w:cs="Times New Roman"/>
          <w:sz w:val="24"/>
          <w:szCs w:val="24"/>
        </w:rPr>
        <w:t>的规定。</w:t>
      </w:r>
    </w:p>
    <w:p w14:paraId="7EE4EC65">
      <w:pPr>
        <w:keepLines w:val="0"/>
        <w:pageBreakBefore w:val="0"/>
        <w:widowControl/>
        <w:kinsoku/>
        <w:wordWrap/>
        <w:overflowPunct/>
        <w:topLinePunct w:val="0"/>
        <w:autoSpaceDE/>
        <w:autoSpaceDN/>
        <w:bidi w:val="0"/>
        <w:adjustRightInd/>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C.3  质量要求</w:t>
      </w:r>
    </w:p>
    <w:p w14:paraId="2B2DE3E0">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eastAsia="黑体" w:cs="Times New Roman"/>
          <w:sz w:val="24"/>
          <w:szCs w:val="24"/>
        </w:rPr>
        <w:t xml:space="preserve">C.3.1  </w:t>
      </w:r>
      <w:r>
        <w:rPr>
          <w:rFonts w:hint="default" w:ascii="Times New Roman" w:hAnsi="Times New Roman" w:cs="Times New Roman"/>
          <w:sz w:val="24"/>
          <w:szCs w:val="24"/>
        </w:rPr>
        <w:t>厌氧发酵式厕所的装配整体式化粪池外观、材料、物理性能参照</w:t>
      </w:r>
      <w:r>
        <w:rPr>
          <w:rFonts w:hint="default" w:ascii="Times New Roman" w:hAnsi="Times New Roman" w:cs="Times New Roman"/>
          <w:bCs/>
          <w:kern w:val="0"/>
          <w:sz w:val="24"/>
          <w:szCs w:val="24"/>
        </w:rPr>
        <w:t>GB/T 38836</w:t>
      </w:r>
      <w:r>
        <w:rPr>
          <w:rFonts w:hint="default" w:ascii="Times New Roman" w:hAnsi="Times New Roman" w:cs="Times New Roman"/>
          <w:sz w:val="24"/>
          <w:szCs w:val="24"/>
        </w:rPr>
        <w:t>的规定。</w:t>
      </w:r>
    </w:p>
    <w:p w14:paraId="3B62D6F5">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highlight w:val="yellow"/>
        </w:rPr>
      </w:pPr>
      <w:r>
        <w:rPr>
          <w:rFonts w:hint="default" w:ascii="Times New Roman" w:hAnsi="Times New Roman" w:cs="Times New Roman"/>
          <w:sz w:val="24"/>
          <w:szCs w:val="24"/>
        </w:rPr>
        <w:t>C.3.2  厌氧发酵池的质量检查与验收应符合GB/T 4751的规定。</w:t>
      </w:r>
    </w:p>
    <w:p w14:paraId="50084FE6">
      <w:pPr>
        <w:keepLines w:val="0"/>
        <w:pageBreakBefore w:val="0"/>
        <w:widowControl/>
        <w:kinsoku/>
        <w:wordWrap/>
        <w:overflowPunct/>
        <w:topLinePunct w:val="0"/>
        <w:autoSpaceDE/>
        <w:autoSpaceDN/>
        <w:bidi w:val="0"/>
        <w:adjustRightInd/>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C.4  使用要求</w:t>
      </w:r>
    </w:p>
    <w:p w14:paraId="7133DE3A">
      <w:pPr>
        <w:keepLines w:val="0"/>
        <w:pageBreakBefore w:val="0"/>
        <w:kinsoku/>
        <w:wordWrap/>
        <w:overflowPunct/>
        <w:topLinePunct w:val="0"/>
        <w:autoSpaceDE/>
        <w:autoSpaceDN/>
        <w:bidi w:val="0"/>
        <w:adjustRightInd/>
        <w:spacing w:before="0" w:beforeLines="0" w:after="0" w:afterLines="0" w:line="4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厌氧发酵式厕所的使用宜符合下列规定：</w:t>
      </w:r>
    </w:p>
    <w:p w14:paraId="76C27A88">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C.4.1  新建厌氧发酵池需经7日以上养护，经试水、试压，不漏水、不漏气后方可投料启动；</w:t>
      </w:r>
    </w:p>
    <w:p w14:paraId="695C02A1">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C.4.2  首次投料启动采用发酵池沉渣作为接种物时，接种量为总发酵液的10%～15%；采用发酵液作为接种物时，为30%以上；</w:t>
      </w:r>
    </w:p>
    <w:p w14:paraId="5235586F">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C.4.3  发酵液含水量一般为90%～95%，料液碳氮比一般为25:1，发酵最适pH值为6.8～7.5；</w:t>
      </w:r>
    </w:p>
    <w:p w14:paraId="784399C5">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C.4.4  根据当地用肥季节和习惯，发酵池每年大出料1～2次；</w:t>
      </w:r>
    </w:p>
    <w:p w14:paraId="1B284AE6">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C.4.5  宜经常检查输配气管道，每2～3年应检修发酵池一次，以保证沼气池的正常运行；</w:t>
      </w:r>
    </w:p>
    <w:p w14:paraId="2AD381D3">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C.4.6  在使用和检查维修发酵池时，应严格防火、防爆和防止窒息事故的发生；</w:t>
      </w:r>
    </w:p>
    <w:p w14:paraId="79C9054D">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C.4.7  不宜向发酵池内投入剧毒农药和各种杀虫剂、杀菌剂，以免破坏正常发酵。</w:t>
      </w:r>
    </w:p>
    <w:p w14:paraId="2A57C6D5">
      <w:pPr>
        <w:keepLines w:val="0"/>
        <w:pageBreakBefore w:val="0"/>
        <w:widowControl/>
        <w:kinsoku/>
        <w:wordWrap/>
        <w:overflowPunct/>
        <w:topLinePunct w:val="0"/>
        <w:autoSpaceDE/>
        <w:autoSpaceDN/>
        <w:bidi w:val="0"/>
        <w:adjustRightInd/>
        <w:snapToGrid/>
        <w:spacing w:before="0" w:beforeLines="0" w:after="0" w:afterLines="0" w:line="440" w:lineRule="exact"/>
        <w:ind w:firstLine="0" w:firstLineChars="0"/>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C.5  粪污管理</w:t>
      </w:r>
    </w:p>
    <w:p w14:paraId="03BA34D9">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C.5.1  大出料或维修发酵池时，15</w:t>
      </w:r>
      <w:r>
        <w:rPr>
          <w:rFonts w:hint="eastAsia" w:cs="Times New Roman"/>
          <w:sz w:val="24"/>
          <w:szCs w:val="24"/>
          <w:lang w:val="en-US" w:eastAsia="zh-CN"/>
        </w:rPr>
        <w:t>天</w:t>
      </w:r>
      <w:r>
        <w:rPr>
          <w:rFonts w:hint="default" w:ascii="Times New Roman" w:hAnsi="Times New Roman" w:cs="Times New Roman"/>
          <w:sz w:val="24"/>
          <w:szCs w:val="24"/>
        </w:rPr>
        <w:t>内应禁止新鲜原料入池。</w:t>
      </w:r>
    </w:p>
    <w:p w14:paraId="1FAB0D03">
      <w:pPr>
        <w:keepLines w:val="0"/>
        <w:pageBreakBefore w:val="0"/>
        <w:kinsoku/>
        <w:wordWrap/>
        <w:overflowPunct/>
        <w:topLinePunct w:val="0"/>
        <w:autoSpaceDE/>
        <w:autoSpaceDN/>
        <w:bidi w:val="0"/>
        <w:adjustRightInd/>
        <w:spacing w:before="0" w:beforeLines="0" w:after="0" w:afterLines="0" w:line="440" w:lineRule="exact"/>
        <w:ind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C.5.2  发酵池池底污泥留用1/3作接种物外，还应参照GB7959的规定。</w:t>
      </w:r>
    </w:p>
    <w:p w14:paraId="7308DD84">
      <w:pPr>
        <w:widowControl/>
        <w:ind w:firstLine="0" w:firstLineChars="0"/>
        <w:jc w:val="left"/>
        <w:rPr>
          <w:rFonts w:hint="default" w:ascii="Times New Roman" w:hAnsi="Times New Roman" w:cs="Times New Roman"/>
          <w:color w:val="FF0000"/>
        </w:rPr>
      </w:pPr>
    </w:p>
    <w:sectPr>
      <w:footerReference r:id="rId11" w:type="default"/>
      <w:pgSz w:w="11907" w:h="16839"/>
      <w:pgMar w:top="1418" w:right="1134" w:bottom="1134" w:left="1418" w:header="1418" w:footer="851" w:gutter="0"/>
      <w:pgBorders>
        <w:top w:val="none" w:sz="0" w:space="0"/>
        <w:left w:val="none" w:sz="0" w:space="0"/>
        <w:bottom w:val="none" w:sz="0" w:space="0"/>
        <w:right w:val="none" w:sz="0" w:space="0"/>
      </w:pgBorders>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37E0A">
    <w:pPr>
      <w:pStyle w:val="46"/>
      <w:rPr>
        <w:rStyle w:val="20"/>
      </w:rPr>
    </w:pPr>
    <w:r>
      <w:fldChar w:fldCharType="begin"/>
    </w:r>
    <w:r>
      <w:rPr>
        <w:rStyle w:val="20"/>
      </w:rPr>
      <w:instrText xml:space="preserve">PAGE  </w:instrText>
    </w:r>
    <w:r>
      <w:fldChar w:fldCharType="separate"/>
    </w:r>
    <w:r>
      <w:rPr>
        <w:rStyle w:val="20"/>
      </w:rPr>
      <w:t>1</w:t>
    </w:r>
    <w:r>
      <w:fldChar w:fldCharType="end"/>
    </w:r>
  </w:p>
  <w:p w14:paraId="1F04EB10">
    <w:pPr>
      <w:spacing w:before="120" w:after="120"/>
    </w:pPr>
  </w:p>
  <w:p w14:paraId="51EDC1A9">
    <w:pPr>
      <w:spacing w:before="120" w:after="120"/>
    </w:pPr>
  </w:p>
  <w:p w14:paraId="7910BD7B">
    <w:pPr>
      <w:spacing w:before="120" w:after="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15C50">
    <w:pPr>
      <w:pStyle w:val="11"/>
      <w:framePr w:wrap="around" w:vAnchor="text" w:hAnchor="page" w:x="1501" w:y="189"/>
      <w:spacing w:before="120" w:after="120"/>
      <w:ind w:firstLine="360"/>
      <w:rPr>
        <w:rStyle w:val="20"/>
      </w:rPr>
    </w:pPr>
    <w:r>
      <w:fldChar w:fldCharType="begin"/>
    </w:r>
    <w:r>
      <w:rPr>
        <w:rStyle w:val="20"/>
      </w:rPr>
      <w:instrText xml:space="preserve">PAGE  </w:instrText>
    </w:r>
    <w:r>
      <w:fldChar w:fldCharType="separate"/>
    </w:r>
    <w:r>
      <w:rPr>
        <w:rStyle w:val="20"/>
      </w:rPr>
      <w:t>6</w:t>
    </w:r>
    <w:r>
      <w:fldChar w:fldCharType="end"/>
    </w:r>
  </w:p>
  <w:p w14:paraId="7F694D3D">
    <w:pPr>
      <w:pStyle w:val="11"/>
      <w:spacing w:before="120" w:after="120"/>
      <w:ind w:firstLine="360"/>
    </w:pPr>
  </w:p>
  <w:p w14:paraId="76CE9A62">
    <w:pPr>
      <w:spacing w:before="120" w:after="120"/>
      <w:ind w:left="0" w:leftChars="0" w:firstLine="0" w:firstLineChars="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73C40D">
    <w:pPr>
      <w:pStyle w:val="11"/>
      <w:spacing w:before="120" w:after="120"/>
      <w:ind w:firstLine="360"/>
      <w:rPr>
        <w:rStyle w:val="20"/>
      </w:rPr>
    </w:pPr>
    <w:r>
      <w:rPr>
        <w:rStyle w:val="20"/>
      </w:rPr>
      <w:t>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08C50">
    <w:pPr>
      <w:pStyle w:val="46"/>
      <w:rPr>
        <w:rStyle w:val="20"/>
      </w:rPr>
    </w:pPr>
    <w:r>
      <w:fldChar w:fldCharType="begin"/>
    </w:r>
    <w:r>
      <w:rPr>
        <w:rStyle w:val="20"/>
      </w:rPr>
      <w:instrText xml:space="preserve">PAGE  </w:instrText>
    </w:r>
    <w:r>
      <w:fldChar w:fldCharType="separate"/>
    </w:r>
    <w:r>
      <w:rPr>
        <w:rStyle w:val="20"/>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ind w:firstLine="420"/>
      </w:pPr>
      <w:r>
        <w:separator/>
      </w:r>
    </w:p>
  </w:footnote>
  <w:footnote w:type="continuationSeparator" w:id="1">
    <w:p>
      <w:pPr>
        <w:spacing w:before="0" w:after="0"/>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61A64">
    <w:pPr>
      <w:pStyle w:val="45"/>
    </w:pPr>
    <w:r>
      <w:t>DB1307/T085—2004</w:t>
    </w:r>
  </w:p>
  <w:p w14:paraId="6E2CA29E">
    <w:pPr>
      <w:spacing w:before="120" w:after="120"/>
    </w:pPr>
  </w:p>
  <w:p w14:paraId="228EDD11">
    <w:pPr>
      <w:spacing w:before="120" w:after="120"/>
    </w:pPr>
  </w:p>
  <w:p w14:paraId="7C9EC84C">
    <w:pPr>
      <w:spacing w:before="120" w:after="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E4B41">
    <w:pPr>
      <w:pStyle w:val="12"/>
      <w:pBdr>
        <w:bottom w:val="none" w:color="auto" w:sz="0" w:space="1"/>
      </w:pBdr>
      <w:spacing w:before="120" w:after="120"/>
      <w:jc w:val="left"/>
    </w:pPr>
    <w:r>
      <w:rPr>
        <w:rFonts w:ascii="黑体" w:hAnsi="黑体" w:eastAsia="黑体"/>
        <w:sz w:val="21"/>
      </w:rPr>
      <w:t>DB</w:t>
    </w:r>
    <w:r>
      <w:rPr>
        <w:rFonts w:hint="eastAsia" w:ascii="黑体" w:hAnsi="黑体" w:eastAsia="黑体"/>
        <w:sz w:val="21"/>
      </w:rPr>
      <w:t>13</w:t>
    </w:r>
    <w:r>
      <w:rPr>
        <w:rFonts w:ascii="黑体" w:hAnsi="黑体" w:eastAsia="黑体"/>
        <w:sz w:val="21"/>
      </w:rPr>
      <w:t>/T</w:t>
    </w:r>
    <w:r>
      <w:rPr>
        <w:rFonts w:hint="eastAsia" w:ascii="黑体" w:hAnsi="黑体" w:eastAsia="黑体"/>
        <w:sz w:val="21"/>
      </w:rPr>
      <w:t>20xx</w:t>
    </w:r>
    <w:r>
      <w:rPr>
        <w:rFonts w:ascii="黑体" w:hAnsi="黑体" w:eastAsia="黑体"/>
        <w:sz w:val="21"/>
      </w:rPr>
      <w:t>—</w:t>
    </w:r>
    <w:r>
      <w:rPr>
        <w:rFonts w:hint="eastAsia" w:ascii="黑体" w:hAnsi="黑体" w:eastAsia="黑体"/>
        <w:sz w:val="21"/>
      </w:rPr>
      <w:t>202x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96694F">
    <w:pPr>
      <w:pStyle w:val="38"/>
    </w:pPr>
    <w:r>
      <w:rPr>
        <w:rFonts w:ascii="黑体" w:hAnsi="黑体" w:eastAsia="黑体"/>
        <w:sz w:val="21"/>
      </w:rPr>
      <w:t>DB</w:t>
    </w:r>
    <w:r>
      <w:rPr>
        <w:rFonts w:hint="eastAsia" w:ascii="黑体" w:hAnsi="黑体" w:eastAsia="黑体"/>
        <w:sz w:val="21"/>
      </w:rPr>
      <w:t>13</w:t>
    </w:r>
    <w:r>
      <w:rPr>
        <w:rFonts w:ascii="黑体" w:hAnsi="黑体" w:eastAsia="黑体"/>
        <w:sz w:val="21"/>
      </w:rPr>
      <w:t>/T</w:t>
    </w:r>
    <w:r>
      <w:rPr>
        <w:rFonts w:hint="eastAsia" w:ascii="黑体" w:hAnsi="黑体" w:eastAsia="黑体"/>
        <w:sz w:val="21"/>
      </w:rPr>
      <w:t>20xx</w:t>
    </w:r>
    <w:r>
      <w:rPr>
        <w:rFonts w:ascii="黑体" w:hAnsi="黑体" w:eastAsia="黑体"/>
        <w:sz w:val="21"/>
      </w:rPr>
      <w:t>—</w:t>
    </w:r>
    <w:r>
      <w:rPr>
        <w:rFonts w:hint="eastAsia" w:ascii="黑体" w:hAnsi="黑体" w:eastAsia="黑体"/>
        <w:sz w:val="21"/>
      </w:rPr>
      <w:t>20</w:t>
    </w:r>
    <w:r>
      <w:rPr>
        <w:rFonts w:ascii="黑体" w:hAnsi="黑体" w:eastAsia="黑体"/>
        <w:sz w:val="21"/>
      </w:rPr>
      <w:t>2</w:t>
    </w:r>
    <w:r>
      <w:rPr>
        <w:rFonts w:hint="eastAsia" w:ascii="黑体" w:hAnsi="黑体" w:eastAsia="黑体"/>
        <w:sz w:val="21"/>
      </w:rPr>
      <w:t>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360" w:firstLine="0"/>
      </w:pPr>
      <w:rPr>
        <w:rFonts w:hint="eastAsia" w:ascii="黑体" w:hAnsi="Times New Roman" w:eastAsia="黑体"/>
        <w:b w:val="0"/>
        <w:i w:val="0"/>
        <w:sz w:val="21"/>
      </w:rPr>
    </w:lvl>
    <w:lvl w:ilvl="2" w:tentative="0">
      <w:start w:val="1"/>
      <w:numFmt w:val="decimal"/>
      <w:pStyle w:val="31"/>
      <w:suff w:val="nothing"/>
      <w:lvlText w:val="%1%2.%3　"/>
      <w:lvlJc w:val="left"/>
      <w:pPr>
        <w:ind w:left="900" w:firstLine="0"/>
      </w:pPr>
      <w:rPr>
        <w:rFonts w:hint="eastAsia" w:ascii="黑体" w:hAnsi="Times New Roman" w:eastAsia="黑体"/>
        <w:b w:val="0"/>
        <w:i w:val="0"/>
        <w:sz w:val="21"/>
      </w:rPr>
    </w:lvl>
    <w:lvl w:ilvl="3" w:tentative="0">
      <w:start w:val="1"/>
      <w:numFmt w:val="decimal"/>
      <w:pStyle w:val="30"/>
      <w:suff w:val="nothing"/>
      <w:lvlText w:val="%1%2.%3.%4　"/>
      <w:lvlJc w:val="left"/>
      <w:pPr>
        <w:ind w:left="0" w:firstLine="0"/>
      </w:pPr>
      <w:rPr>
        <w:rFonts w:hint="eastAsia" w:ascii="黑体" w:hAnsi="Times New Roman" w:eastAsia="黑体"/>
        <w:b w:val="0"/>
        <w:i w:val="0"/>
        <w:sz w:val="21"/>
      </w:rPr>
    </w:lvl>
    <w:lvl w:ilvl="4" w:tentative="0">
      <w:start w:val="1"/>
      <w:numFmt w:val="decimal"/>
      <w:pStyle w:val="29"/>
      <w:suff w:val="nothing"/>
      <w:lvlText w:val="%1%2.%3.%4.%5　"/>
      <w:lvlJc w:val="left"/>
      <w:pPr>
        <w:ind w:left="0" w:firstLine="0"/>
      </w:pPr>
      <w:rPr>
        <w:rFonts w:hint="eastAsia" w:ascii="黑体" w:hAnsi="Times New Roman" w:eastAsia="黑体"/>
        <w:b w:val="0"/>
        <w:i w:val="0"/>
        <w:sz w:val="21"/>
      </w:rPr>
    </w:lvl>
    <w:lvl w:ilvl="5" w:tentative="0">
      <w:start w:val="1"/>
      <w:numFmt w:val="decimal"/>
      <w:pStyle w:val="28"/>
      <w:suff w:val="nothing"/>
      <w:lvlText w:val="%1%2.%3.%4.%5.%6　"/>
      <w:lvlJc w:val="left"/>
      <w:pPr>
        <w:ind w:left="0" w:firstLine="0"/>
      </w:pPr>
      <w:rPr>
        <w:rFonts w:hint="eastAsia" w:ascii="黑体" w:hAnsi="Times New Roman" w:eastAsia="黑体"/>
        <w:b w:val="0"/>
        <w:i w:val="0"/>
        <w:sz w:val="21"/>
      </w:rPr>
    </w:lvl>
    <w:lvl w:ilvl="6" w:tentative="0">
      <w:start w:val="1"/>
      <w:numFmt w:val="decimal"/>
      <w:pStyle w:val="2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1OWRjMmI3ZDIxODFlMGRhMzc2ODA0ODBlOTkxZTMifQ=="/>
  </w:docVars>
  <w:rsids>
    <w:rsidRoot w:val="00334FF0"/>
    <w:rsid w:val="00002744"/>
    <w:rsid w:val="00003721"/>
    <w:rsid w:val="00014565"/>
    <w:rsid w:val="00015ADF"/>
    <w:rsid w:val="00017414"/>
    <w:rsid w:val="00020941"/>
    <w:rsid w:val="0002330F"/>
    <w:rsid w:val="00024DB4"/>
    <w:rsid w:val="000265A0"/>
    <w:rsid w:val="000313F2"/>
    <w:rsid w:val="00033147"/>
    <w:rsid w:val="00035A41"/>
    <w:rsid w:val="00042C67"/>
    <w:rsid w:val="000444FA"/>
    <w:rsid w:val="00047D19"/>
    <w:rsid w:val="00050533"/>
    <w:rsid w:val="00053AA8"/>
    <w:rsid w:val="00053B4D"/>
    <w:rsid w:val="000577FB"/>
    <w:rsid w:val="00075DEC"/>
    <w:rsid w:val="000818C2"/>
    <w:rsid w:val="00081C63"/>
    <w:rsid w:val="00085232"/>
    <w:rsid w:val="00085A72"/>
    <w:rsid w:val="000A0E6B"/>
    <w:rsid w:val="000A5DC7"/>
    <w:rsid w:val="000B0799"/>
    <w:rsid w:val="000B6256"/>
    <w:rsid w:val="000C3D4E"/>
    <w:rsid w:val="000D1F2B"/>
    <w:rsid w:val="000D3ADF"/>
    <w:rsid w:val="000E0348"/>
    <w:rsid w:val="000E07FE"/>
    <w:rsid w:val="000E0BCE"/>
    <w:rsid w:val="000E2C73"/>
    <w:rsid w:val="000E59EE"/>
    <w:rsid w:val="000E6FA1"/>
    <w:rsid w:val="000F3F6E"/>
    <w:rsid w:val="00100FD2"/>
    <w:rsid w:val="0010197B"/>
    <w:rsid w:val="001034C6"/>
    <w:rsid w:val="001039D9"/>
    <w:rsid w:val="00104890"/>
    <w:rsid w:val="00106DD3"/>
    <w:rsid w:val="001151CB"/>
    <w:rsid w:val="001212B0"/>
    <w:rsid w:val="001216EA"/>
    <w:rsid w:val="0012686B"/>
    <w:rsid w:val="00130B67"/>
    <w:rsid w:val="00133735"/>
    <w:rsid w:val="001348D2"/>
    <w:rsid w:val="0013642F"/>
    <w:rsid w:val="00136B62"/>
    <w:rsid w:val="00142A43"/>
    <w:rsid w:val="00143AB7"/>
    <w:rsid w:val="00146DD2"/>
    <w:rsid w:val="00154355"/>
    <w:rsid w:val="001556E5"/>
    <w:rsid w:val="00160756"/>
    <w:rsid w:val="00163631"/>
    <w:rsid w:val="00177082"/>
    <w:rsid w:val="00177637"/>
    <w:rsid w:val="00183BE9"/>
    <w:rsid w:val="001843FA"/>
    <w:rsid w:val="0018631A"/>
    <w:rsid w:val="001902B4"/>
    <w:rsid w:val="00191382"/>
    <w:rsid w:val="001A4CBC"/>
    <w:rsid w:val="001A6782"/>
    <w:rsid w:val="001B2631"/>
    <w:rsid w:val="001B454E"/>
    <w:rsid w:val="001C0496"/>
    <w:rsid w:val="001C1A39"/>
    <w:rsid w:val="001C2FB7"/>
    <w:rsid w:val="001D0199"/>
    <w:rsid w:val="001D57FC"/>
    <w:rsid w:val="001D6322"/>
    <w:rsid w:val="001E2A09"/>
    <w:rsid w:val="001E3302"/>
    <w:rsid w:val="001E4052"/>
    <w:rsid w:val="001E559D"/>
    <w:rsid w:val="001F06B3"/>
    <w:rsid w:val="001F12D9"/>
    <w:rsid w:val="001F7E34"/>
    <w:rsid w:val="001F7F7E"/>
    <w:rsid w:val="00201DA1"/>
    <w:rsid w:val="002027DD"/>
    <w:rsid w:val="00204298"/>
    <w:rsid w:val="0020553A"/>
    <w:rsid w:val="002133C8"/>
    <w:rsid w:val="00214816"/>
    <w:rsid w:val="00215719"/>
    <w:rsid w:val="00230BB6"/>
    <w:rsid w:val="00240387"/>
    <w:rsid w:val="00242902"/>
    <w:rsid w:val="00244C2E"/>
    <w:rsid w:val="0025118D"/>
    <w:rsid w:val="00256421"/>
    <w:rsid w:val="00257E89"/>
    <w:rsid w:val="0026740C"/>
    <w:rsid w:val="00270778"/>
    <w:rsid w:val="00273ABC"/>
    <w:rsid w:val="002756A1"/>
    <w:rsid w:val="00276E68"/>
    <w:rsid w:val="002821AE"/>
    <w:rsid w:val="0028641D"/>
    <w:rsid w:val="00293E15"/>
    <w:rsid w:val="00295E0B"/>
    <w:rsid w:val="002A3317"/>
    <w:rsid w:val="002A57A7"/>
    <w:rsid w:val="002A6BED"/>
    <w:rsid w:val="002B3038"/>
    <w:rsid w:val="002B53D3"/>
    <w:rsid w:val="002B5ED8"/>
    <w:rsid w:val="002D04C7"/>
    <w:rsid w:val="002D078E"/>
    <w:rsid w:val="002D4984"/>
    <w:rsid w:val="002D5A98"/>
    <w:rsid w:val="002D6393"/>
    <w:rsid w:val="002E34C2"/>
    <w:rsid w:val="002E36CA"/>
    <w:rsid w:val="002E416A"/>
    <w:rsid w:val="002E4FD2"/>
    <w:rsid w:val="002F0838"/>
    <w:rsid w:val="002F0A7F"/>
    <w:rsid w:val="002F4043"/>
    <w:rsid w:val="003001DC"/>
    <w:rsid w:val="00300472"/>
    <w:rsid w:val="00302C21"/>
    <w:rsid w:val="00310CD3"/>
    <w:rsid w:val="00315FAE"/>
    <w:rsid w:val="00324AC3"/>
    <w:rsid w:val="00331272"/>
    <w:rsid w:val="003326CD"/>
    <w:rsid w:val="00334FF0"/>
    <w:rsid w:val="00341984"/>
    <w:rsid w:val="00343BBF"/>
    <w:rsid w:val="003453C5"/>
    <w:rsid w:val="003476A4"/>
    <w:rsid w:val="00347735"/>
    <w:rsid w:val="00355BD2"/>
    <w:rsid w:val="00355F6D"/>
    <w:rsid w:val="003610E4"/>
    <w:rsid w:val="00372570"/>
    <w:rsid w:val="00375066"/>
    <w:rsid w:val="0037574E"/>
    <w:rsid w:val="003758FA"/>
    <w:rsid w:val="00375DDA"/>
    <w:rsid w:val="00376842"/>
    <w:rsid w:val="0038169B"/>
    <w:rsid w:val="00382BEC"/>
    <w:rsid w:val="00383DA0"/>
    <w:rsid w:val="003855C4"/>
    <w:rsid w:val="003916BB"/>
    <w:rsid w:val="00393BEB"/>
    <w:rsid w:val="003964C7"/>
    <w:rsid w:val="003A7952"/>
    <w:rsid w:val="003B284B"/>
    <w:rsid w:val="003B3087"/>
    <w:rsid w:val="003B4D91"/>
    <w:rsid w:val="003B611D"/>
    <w:rsid w:val="003C66D6"/>
    <w:rsid w:val="003C6AEF"/>
    <w:rsid w:val="003D0041"/>
    <w:rsid w:val="003D7632"/>
    <w:rsid w:val="003D7D0E"/>
    <w:rsid w:val="003E01C3"/>
    <w:rsid w:val="003E0BBA"/>
    <w:rsid w:val="003E12E5"/>
    <w:rsid w:val="003E700B"/>
    <w:rsid w:val="003F1832"/>
    <w:rsid w:val="00402B33"/>
    <w:rsid w:val="00406ECA"/>
    <w:rsid w:val="0041522A"/>
    <w:rsid w:val="00420B2C"/>
    <w:rsid w:val="00427246"/>
    <w:rsid w:val="004320AF"/>
    <w:rsid w:val="004324CD"/>
    <w:rsid w:val="00434632"/>
    <w:rsid w:val="00436A55"/>
    <w:rsid w:val="00440DDA"/>
    <w:rsid w:val="00444B34"/>
    <w:rsid w:val="00446F0C"/>
    <w:rsid w:val="00450914"/>
    <w:rsid w:val="00450FD2"/>
    <w:rsid w:val="00453F40"/>
    <w:rsid w:val="004639BA"/>
    <w:rsid w:val="00464183"/>
    <w:rsid w:val="00467730"/>
    <w:rsid w:val="004718CB"/>
    <w:rsid w:val="00472B8D"/>
    <w:rsid w:val="00473B5A"/>
    <w:rsid w:val="0047447B"/>
    <w:rsid w:val="00476572"/>
    <w:rsid w:val="0048014F"/>
    <w:rsid w:val="004808D8"/>
    <w:rsid w:val="004908DE"/>
    <w:rsid w:val="004A42F2"/>
    <w:rsid w:val="004A5685"/>
    <w:rsid w:val="004B0D69"/>
    <w:rsid w:val="004B2C76"/>
    <w:rsid w:val="004B5301"/>
    <w:rsid w:val="004C4359"/>
    <w:rsid w:val="004C6D39"/>
    <w:rsid w:val="004D204D"/>
    <w:rsid w:val="004D62D9"/>
    <w:rsid w:val="004D63D3"/>
    <w:rsid w:val="004E351A"/>
    <w:rsid w:val="004F2540"/>
    <w:rsid w:val="004F46D7"/>
    <w:rsid w:val="004F52C0"/>
    <w:rsid w:val="004F7D30"/>
    <w:rsid w:val="005053FE"/>
    <w:rsid w:val="0050778E"/>
    <w:rsid w:val="0051299D"/>
    <w:rsid w:val="00513E39"/>
    <w:rsid w:val="00516F88"/>
    <w:rsid w:val="0052570F"/>
    <w:rsid w:val="005311BE"/>
    <w:rsid w:val="005349F5"/>
    <w:rsid w:val="00542282"/>
    <w:rsid w:val="005457C0"/>
    <w:rsid w:val="00546E74"/>
    <w:rsid w:val="00546F08"/>
    <w:rsid w:val="005567F2"/>
    <w:rsid w:val="005715B8"/>
    <w:rsid w:val="005754AC"/>
    <w:rsid w:val="005758D0"/>
    <w:rsid w:val="005819CF"/>
    <w:rsid w:val="00582FBA"/>
    <w:rsid w:val="00583AB6"/>
    <w:rsid w:val="00584BCD"/>
    <w:rsid w:val="00585F25"/>
    <w:rsid w:val="00587E50"/>
    <w:rsid w:val="00593C21"/>
    <w:rsid w:val="005955CD"/>
    <w:rsid w:val="005A317C"/>
    <w:rsid w:val="005A3913"/>
    <w:rsid w:val="005A7336"/>
    <w:rsid w:val="005B2DDA"/>
    <w:rsid w:val="005C2461"/>
    <w:rsid w:val="005C6E91"/>
    <w:rsid w:val="005C7594"/>
    <w:rsid w:val="005C7D35"/>
    <w:rsid w:val="005F195C"/>
    <w:rsid w:val="005F1BAD"/>
    <w:rsid w:val="005F203D"/>
    <w:rsid w:val="005F2328"/>
    <w:rsid w:val="006010D0"/>
    <w:rsid w:val="006026C7"/>
    <w:rsid w:val="006049A3"/>
    <w:rsid w:val="006123C5"/>
    <w:rsid w:val="00612436"/>
    <w:rsid w:val="006126A7"/>
    <w:rsid w:val="00617E16"/>
    <w:rsid w:val="006216DC"/>
    <w:rsid w:val="0062263A"/>
    <w:rsid w:val="00624649"/>
    <w:rsid w:val="00632524"/>
    <w:rsid w:val="00633AD1"/>
    <w:rsid w:val="00640952"/>
    <w:rsid w:val="00642A49"/>
    <w:rsid w:val="0064619A"/>
    <w:rsid w:val="00647F6A"/>
    <w:rsid w:val="006524CD"/>
    <w:rsid w:val="00654779"/>
    <w:rsid w:val="00654F40"/>
    <w:rsid w:val="00655668"/>
    <w:rsid w:val="00655B3E"/>
    <w:rsid w:val="00655C9C"/>
    <w:rsid w:val="00656C38"/>
    <w:rsid w:val="006649E1"/>
    <w:rsid w:val="00665C56"/>
    <w:rsid w:val="006676F6"/>
    <w:rsid w:val="00670AF9"/>
    <w:rsid w:val="00674C10"/>
    <w:rsid w:val="006761FB"/>
    <w:rsid w:val="00681DF9"/>
    <w:rsid w:val="00691E20"/>
    <w:rsid w:val="00693EB6"/>
    <w:rsid w:val="00693EC2"/>
    <w:rsid w:val="006952FE"/>
    <w:rsid w:val="00697866"/>
    <w:rsid w:val="006A65DC"/>
    <w:rsid w:val="006B14BF"/>
    <w:rsid w:val="006B2649"/>
    <w:rsid w:val="006B5048"/>
    <w:rsid w:val="006C060A"/>
    <w:rsid w:val="006C08BB"/>
    <w:rsid w:val="006C5DA6"/>
    <w:rsid w:val="006C6DB5"/>
    <w:rsid w:val="006D65A5"/>
    <w:rsid w:val="006E0A1D"/>
    <w:rsid w:val="006E2EA7"/>
    <w:rsid w:val="006E5332"/>
    <w:rsid w:val="006F2531"/>
    <w:rsid w:val="006F2933"/>
    <w:rsid w:val="006F3A71"/>
    <w:rsid w:val="006F4E2F"/>
    <w:rsid w:val="00707DD3"/>
    <w:rsid w:val="007114FC"/>
    <w:rsid w:val="0071174B"/>
    <w:rsid w:val="00713CA6"/>
    <w:rsid w:val="007170FB"/>
    <w:rsid w:val="007200B4"/>
    <w:rsid w:val="00723389"/>
    <w:rsid w:val="0072493F"/>
    <w:rsid w:val="00724C23"/>
    <w:rsid w:val="00725C60"/>
    <w:rsid w:val="007277CE"/>
    <w:rsid w:val="00731462"/>
    <w:rsid w:val="00735AA3"/>
    <w:rsid w:val="0074598D"/>
    <w:rsid w:val="0074742D"/>
    <w:rsid w:val="007532FC"/>
    <w:rsid w:val="00763B43"/>
    <w:rsid w:val="0076710E"/>
    <w:rsid w:val="00767AD0"/>
    <w:rsid w:val="00774EE1"/>
    <w:rsid w:val="00776574"/>
    <w:rsid w:val="00777DBC"/>
    <w:rsid w:val="00786740"/>
    <w:rsid w:val="00790AC1"/>
    <w:rsid w:val="00795D9A"/>
    <w:rsid w:val="0079699D"/>
    <w:rsid w:val="00797ADC"/>
    <w:rsid w:val="007A5798"/>
    <w:rsid w:val="007B147A"/>
    <w:rsid w:val="007B2762"/>
    <w:rsid w:val="007C0078"/>
    <w:rsid w:val="007C2854"/>
    <w:rsid w:val="007C7DF5"/>
    <w:rsid w:val="007D46A3"/>
    <w:rsid w:val="007D59CA"/>
    <w:rsid w:val="007E2D86"/>
    <w:rsid w:val="007E57B1"/>
    <w:rsid w:val="007E60C2"/>
    <w:rsid w:val="007E79E2"/>
    <w:rsid w:val="007E7DE1"/>
    <w:rsid w:val="007F42CD"/>
    <w:rsid w:val="008031C9"/>
    <w:rsid w:val="00803BA0"/>
    <w:rsid w:val="00806802"/>
    <w:rsid w:val="008122B1"/>
    <w:rsid w:val="0081566D"/>
    <w:rsid w:val="008224C9"/>
    <w:rsid w:val="00825039"/>
    <w:rsid w:val="00832E8C"/>
    <w:rsid w:val="008331FD"/>
    <w:rsid w:val="0084383F"/>
    <w:rsid w:val="008504F2"/>
    <w:rsid w:val="00850E2A"/>
    <w:rsid w:val="00852BB9"/>
    <w:rsid w:val="00852FAE"/>
    <w:rsid w:val="00857811"/>
    <w:rsid w:val="00861286"/>
    <w:rsid w:val="008633A3"/>
    <w:rsid w:val="0086517F"/>
    <w:rsid w:val="00866452"/>
    <w:rsid w:val="00866E1A"/>
    <w:rsid w:val="00866F59"/>
    <w:rsid w:val="00874AFF"/>
    <w:rsid w:val="008902FD"/>
    <w:rsid w:val="00891CB3"/>
    <w:rsid w:val="008956B2"/>
    <w:rsid w:val="008A72B5"/>
    <w:rsid w:val="008A7664"/>
    <w:rsid w:val="008B4201"/>
    <w:rsid w:val="008B55C4"/>
    <w:rsid w:val="008B7232"/>
    <w:rsid w:val="008C085C"/>
    <w:rsid w:val="008C1BF4"/>
    <w:rsid w:val="008D16BC"/>
    <w:rsid w:val="008D31DD"/>
    <w:rsid w:val="008E4C5F"/>
    <w:rsid w:val="008F3F1C"/>
    <w:rsid w:val="008F6F83"/>
    <w:rsid w:val="008F6FFB"/>
    <w:rsid w:val="008F752F"/>
    <w:rsid w:val="00900BA1"/>
    <w:rsid w:val="009023A4"/>
    <w:rsid w:val="00902C32"/>
    <w:rsid w:val="00905A9B"/>
    <w:rsid w:val="00906BE4"/>
    <w:rsid w:val="0091057E"/>
    <w:rsid w:val="009115A0"/>
    <w:rsid w:val="00913E21"/>
    <w:rsid w:val="009178DE"/>
    <w:rsid w:val="00921005"/>
    <w:rsid w:val="00921CDB"/>
    <w:rsid w:val="0092637A"/>
    <w:rsid w:val="009269D6"/>
    <w:rsid w:val="00931A9E"/>
    <w:rsid w:val="00943BC9"/>
    <w:rsid w:val="00947B34"/>
    <w:rsid w:val="00953CB9"/>
    <w:rsid w:val="009551B0"/>
    <w:rsid w:val="0095620C"/>
    <w:rsid w:val="00960319"/>
    <w:rsid w:val="00960863"/>
    <w:rsid w:val="00965810"/>
    <w:rsid w:val="009661A3"/>
    <w:rsid w:val="0097027A"/>
    <w:rsid w:val="0097341C"/>
    <w:rsid w:val="00977A68"/>
    <w:rsid w:val="00990902"/>
    <w:rsid w:val="00994773"/>
    <w:rsid w:val="009A67D2"/>
    <w:rsid w:val="009B3A5A"/>
    <w:rsid w:val="009B4E6F"/>
    <w:rsid w:val="009B5BFA"/>
    <w:rsid w:val="009B7569"/>
    <w:rsid w:val="009C0451"/>
    <w:rsid w:val="009C55B0"/>
    <w:rsid w:val="009C56D5"/>
    <w:rsid w:val="009C5BB1"/>
    <w:rsid w:val="009C647D"/>
    <w:rsid w:val="009C6C15"/>
    <w:rsid w:val="009D0A02"/>
    <w:rsid w:val="009D4F10"/>
    <w:rsid w:val="009D7077"/>
    <w:rsid w:val="009D7CCD"/>
    <w:rsid w:val="009E1D60"/>
    <w:rsid w:val="009E6047"/>
    <w:rsid w:val="009F3E61"/>
    <w:rsid w:val="009F4611"/>
    <w:rsid w:val="009F4954"/>
    <w:rsid w:val="00A0197B"/>
    <w:rsid w:val="00A01C5E"/>
    <w:rsid w:val="00A0393D"/>
    <w:rsid w:val="00A10669"/>
    <w:rsid w:val="00A11D1A"/>
    <w:rsid w:val="00A120D9"/>
    <w:rsid w:val="00A121A4"/>
    <w:rsid w:val="00A23C7E"/>
    <w:rsid w:val="00A23E81"/>
    <w:rsid w:val="00A24261"/>
    <w:rsid w:val="00A33A05"/>
    <w:rsid w:val="00A52205"/>
    <w:rsid w:val="00A52F36"/>
    <w:rsid w:val="00A60189"/>
    <w:rsid w:val="00A6576D"/>
    <w:rsid w:val="00A7016D"/>
    <w:rsid w:val="00A75BBF"/>
    <w:rsid w:val="00A770C0"/>
    <w:rsid w:val="00A80FF4"/>
    <w:rsid w:val="00A81EC2"/>
    <w:rsid w:val="00A868B9"/>
    <w:rsid w:val="00A90E4B"/>
    <w:rsid w:val="00A94DBE"/>
    <w:rsid w:val="00A977A3"/>
    <w:rsid w:val="00AA1137"/>
    <w:rsid w:val="00AA6F41"/>
    <w:rsid w:val="00AB2581"/>
    <w:rsid w:val="00AB6BC3"/>
    <w:rsid w:val="00AB7FDB"/>
    <w:rsid w:val="00AD01A5"/>
    <w:rsid w:val="00AD6045"/>
    <w:rsid w:val="00AE078A"/>
    <w:rsid w:val="00AE443C"/>
    <w:rsid w:val="00AE4E03"/>
    <w:rsid w:val="00AE4ECF"/>
    <w:rsid w:val="00AE6DDC"/>
    <w:rsid w:val="00AE7327"/>
    <w:rsid w:val="00AF0CA5"/>
    <w:rsid w:val="00AF779F"/>
    <w:rsid w:val="00AF7A91"/>
    <w:rsid w:val="00B02D4B"/>
    <w:rsid w:val="00B0478C"/>
    <w:rsid w:val="00B063E3"/>
    <w:rsid w:val="00B10485"/>
    <w:rsid w:val="00B307C7"/>
    <w:rsid w:val="00B30C79"/>
    <w:rsid w:val="00B41093"/>
    <w:rsid w:val="00B46456"/>
    <w:rsid w:val="00B47FAB"/>
    <w:rsid w:val="00B52BCC"/>
    <w:rsid w:val="00B54B85"/>
    <w:rsid w:val="00B606D2"/>
    <w:rsid w:val="00B63AC1"/>
    <w:rsid w:val="00B66B2F"/>
    <w:rsid w:val="00B671B7"/>
    <w:rsid w:val="00B67FA4"/>
    <w:rsid w:val="00B71EE5"/>
    <w:rsid w:val="00B75291"/>
    <w:rsid w:val="00B76A9F"/>
    <w:rsid w:val="00B8613F"/>
    <w:rsid w:val="00B862C0"/>
    <w:rsid w:val="00B906FB"/>
    <w:rsid w:val="00B918AD"/>
    <w:rsid w:val="00B946B3"/>
    <w:rsid w:val="00BA3642"/>
    <w:rsid w:val="00BA66C4"/>
    <w:rsid w:val="00BA7D86"/>
    <w:rsid w:val="00BB4B0B"/>
    <w:rsid w:val="00BB5C4B"/>
    <w:rsid w:val="00BC2C60"/>
    <w:rsid w:val="00BC36FC"/>
    <w:rsid w:val="00BD30EF"/>
    <w:rsid w:val="00BD77A5"/>
    <w:rsid w:val="00BE4C88"/>
    <w:rsid w:val="00BE7422"/>
    <w:rsid w:val="00BF2AC9"/>
    <w:rsid w:val="00BF3790"/>
    <w:rsid w:val="00C0443C"/>
    <w:rsid w:val="00C07090"/>
    <w:rsid w:val="00C1482B"/>
    <w:rsid w:val="00C17AAD"/>
    <w:rsid w:val="00C20E06"/>
    <w:rsid w:val="00C217DC"/>
    <w:rsid w:val="00C2794B"/>
    <w:rsid w:val="00C305A9"/>
    <w:rsid w:val="00C30B27"/>
    <w:rsid w:val="00C3494B"/>
    <w:rsid w:val="00C36DB5"/>
    <w:rsid w:val="00C41FA5"/>
    <w:rsid w:val="00C50935"/>
    <w:rsid w:val="00C51870"/>
    <w:rsid w:val="00C52638"/>
    <w:rsid w:val="00C5311A"/>
    <w:rsid w:val="00C54694"/>
    <w:rsid w:val="00C62612"/>
    <w:rsid w:val="00C62884"/>
    <w:rsid w:val="00C63465"/>
    <w:rsid w:val="00C65802"/>
    <w:rsid w:val="00C701FF"/>
    <w:rsid w:val="00C711D9"/>
    <w:rsid w:val="00C736CD"/>
    <w:rsid w:val="00C74B54"/>
    <w:rsid w:val="00C75516"/>
    <w:rsid w:val="00C75A3A"/>
    <w:rsid w:val="00C941E8"/>
    <w:rsid w:val="00C96A10"/>
    <w:rsid w:val="00CA1E08"/>
    <w:rsid w:val="00CA29B9"/>
    <w:rsid w:val="00CB0BED"/>
    <w:rsid w:val="00CB35D6"/>
    <w:rsid w:val="00CB3FF0"/>
    <w:rsid w:val="00CC36CC"/>
    <w:rsid w:val="00CC4982"/>
    <w:rsid w:val="00CC7D51"/>
    <w:rsid w:val="00CD2965"/>
    <w:rsid w:val="00CD488F"/>
    <w:rsid w:val="00CD57FF"/>
    <w:rsid w:val="00CD5856"/>
    <w:rsid w:val="00CD662E"/>
    <w:rsid w:val="00CE558D"/>
    <w:rsid w:val="00CE7F62"/>
    <w:rsid w:val="00CF252B"/>
    <w:rsid w:val="00CF6B43"/>
    <w:rsid w:val="00D07CA9"/>
    <w:rsid w:val="00D16D56"/>
    <w:rsid w:val="00D204E9"/>
    <w:rsid w:val="00D20FF6"/>
    <w:rsid w:val="00D235FA"/>
    <w:rsid w:val="00D26168"/>
    <w:rsid w:val="00D27CA1"/>
    <w:rsid w:val="00D5582D"/>
    <w:rsid w:val="00D55D25"/>
    <w:rsid w:val="00D57BD4"/>
    <w:rsid w:val="00D60857"/>
    <w:rsid w:val="00D6123E"/>
    <w:rsid w:val="00D62406"/>
    <w:rsid w:val="00D64EF0"/>
    <w:rsid w:val="00D658AC"/>
    <w:rsid w:val="00D661DA"/>
    <w:rsid w:val="00D7177D"/>
    <w:rsid w:val="00D71BC4"/>
    <w:rsid w:val="00D74292"/>
    <w:rsid w:val="00D74F9C"/>
    <w:rsid w:val="00D819AB"/>
    <w:rsid w:val="00D82E03"/>
    <w:rsid w:val="00D8393A"/>
    <w:rsid w:val="00D94EAA"/>
    <w:rsid w:val="00D953D1"/>
    <w:rsid w:val="00D96377"/>
    <w:rsid w:val="00D9677D"/>
    <w:rsid w:val="00D97DE8"/>
    <w:rsid w:val="00DA274E"/>
    <w:rsid w:val="00DA4F1F"/>
    <w:rsid w:val="00DA568C"/>
    <w:rsid w:val="00DB22EB"/>
    <w:rsid w:val="00DB2DFC"/>
    <w:rsid w:val="00DC0221"/>
    <w:rsid w:val="00DC1462"/>
    <w:rsid w:val="00DC2182"/>
    <w:rsid w:val="00DC32A7"/>
    <w:rsid w:val="00DC4E99"/>
    <w:rsid w:val="00DC5E3A"/>
    <w:rsid w:val="00DC6574"/>
    <w:rsid w:val="00DD0E6C"/>
    <w:rsid w:val="00DD6963"/>
    <w:rsid w:val="00DE2462"/>
    <w:rsid w:val="00DE6F11"/>
    <w:rsid w:val="00DF7CC0"/>
    <w:rsid w:val="00E00933"/>
    <w:rsid w:val="00E03295"/>
    <w:rsid w:val="00E03986"/>
    <w:rsid w:val="00E0718A"/>
    <w:rsid w:val="00E167D4"/>
    <w:rsid w:val="00E211B6"/>
    <w:rsid w:val="00E347C0"/>
    <w:rsid w:val="00E361A7"/>
    <w:rsid w:val="00E4070A"/>
    <w:rsid w:val="00E410E2"/>
    <w:rsid w:val="00E422B8"/>
    <w:rsid w:val="00E4287C"/>
    <w:rsid w:val="00E4390A"/>
    <w:rsid w:val="00E50AA4"/>
    <w:rsid w:val="00E55100"/>
    <w:rsid w:val="00E55618"/>
    <w:rsid w:val="00E55D42"/>
    <w:rsid w:val="00E62E12"/>
    <w:rsid w:val="00E64B24"/>
    <w:rsid w:val="00E65D56"/>
    <w:rsid w:val="00E72B23"/>
    <w:rsid w:val="00E73F04"/>
    <w:rsid w:val="00E8166E"/>
    <w:rsid w:val="00E82710"/>
    <w:rsid w:val="00E8286B"/>
    <w:rsid w:val="00E84830"/>
    <w:rsid w:val="00E87CCD"/>
    <w:rsid w:val="00E93E69"/>
    <w:rsid w:val="00E9786C"/>
    <w:rsid w:val="00E97A73"/>
    <w:rsid w:val="00EA29D5"/>
    <w:rsid w:val="00EA401D"/>
    <w:rsid w:val="00EA6C5C"/>
    <w:rsid w:val="00EA6D25"/>
    <w:rsid w:val="00EA73AD"/>
    <w:rsid w:val="00EA781B"/>
    <w:rsid w:val="00EB289F"/>
    <w:rsid w:val="00EB5607"/>
    <w:rsid w:val="00EC0512"/>
    <w:rsid w:val="00EC11D4"/>
    <w:rsid w:val="00EC4F30"/>
    <w:rsid w:val="00EC786A"/>
    <w:rsid w:val="00ED2E9C"/>
    <w:rsid w:val="00ED3274"/>
    <w:rsid w:val="00ED78F1"/>
    <w:rsid w:val="00EE328F"/>
    <w:rsid w:val="00EF57EC"/>
    <w:rsid w:val="00EF7768"/>
    <w:rsid w:val="00F0101D"/>
    <w:rsid w:val="00F0227C"/>
    <w:rsid w:val="00F05971"/>
    <w:rsid w:val="00F05E34"/>
    <w:rsid w:val="00F0681F"/>
    <w:rsid w:val="00F06D02"/>
    <w:rsid w:val="00F10156"/>
    <w:rsid w:val="00F12231"/>
    <w:rsid w:val="00F16FD5"/>
    <w:rsid w:val="00F20E88"/>
    <w:rsid w:val="00F21BC1"/>
    <w:rsid w:val="00F300D1"/>
    <w:rsid w:val="00F30556"/>
    <w:rsid w:val="00F30D57"/>
    <w:rsid w:val="00F30FB6"/>
    <w:rsid w:val="00F3339D"/>
    <w:rsid w:val="00F37F65"/>
    <w:rsid w:val="00F40CD0"/>
    <w:rsid w:val="00F40DF7"/>
    <w:rsid w:val="00F41243"/>
    <w:rsid w:val="00F422CC"/>
    <w:rsid w:val="00F438F6"/>
    <w:rsid w:val="00F50723"/>
    <w:rsid w:val="00F51D22"/>
    <w:rsid w:val="00F57BDE"/>
    <w:rsid w:val="00F64091"/>
    <w:rsid w:val="00F65E2A"/>
    <w:rsid w:val="00F711CE"/>
    <w:rsid w:val="00F813D8"/>
    <w:rsid w:val="00F83E5F"/>
    <w:rsid w:val="00F874A3"/>
    <w:rsid w:val="00F92453"/>
    <w:rsid w:val="00F946ED"/>
    <w:rsid w:val="00F95574"/>
    <w:rsid w:val="00FA0954"/>
    <w:rsid w:val="00FA3B5C"/>
    <w:rsid w:val="00FA4105"/>
    <w:rsid w:val="00FA6208"/>
    <w:rsid w:val="00FB5B6F"/>
    <w:rsid w:val="00FD3B8C"/>
    <w:rsid w:val="00FD42B8"/>
    <w:rsid w:val="00FF1E87"/>
    <w:rsid w:val="00FF55A7"/>
    <w:rsid w:val="00FF5ADB"/>
    <w:rsid w:val="00FF6C1B"/>
    <w:rsid w:val="010F7FF3"/>
    <w:rsid w:val="028B16A0"/>
    <w:rsid w:val="02C41814"/>
    <w:rsid w:val="03415FD1"/>
    <w:rsid w:val="03C74BB5"/>
    <w:rsid w:val="05B36228"/>
    <w:rsid w:val="05D67350"/>
    <w:rsid w:val="062F7BCE"/>
    <w:rsid w:val="065827F4"/>
    <w:rsid w:val="07746E01"/>
    <w:rsid w:val="080E65B6"/>
    <w:rsid w:val="08930C87"/>
    <w:rsid w:val="0A51057A"/>
    <w:rsid w:val="0B4E1485"/>
    <w:rsid w:val="0B8D04E6"/>
    <w:rsid w:val="0CF10823"/>
    <w:rsid w:val="0E0E7F9D"/>
    <w:rsid w:val="0E750311"/>
    <w:rsid w:val="0EF066B6"/>
    <w:rsid w:val="0F44355D"/>
    <w:rsid w:val="0F8924EA"/>
    <w:rsid w:val="151804C6"/>
    <w:rsid w:val="15D53161"/>
    <w:rsid w:val="179D4606"/>
    <w:rsid w:val="17B9616B"/>
    <w:rsid w:val="18586106"/>
    <w:rsid w:val="194E6965"/>
    <w:rsid w:val="19771D42"/>
    <w:rsid w:val="1995007C"/>
    <w:rsid w:val="19BD4AAB"/>
    <w:rsid w:val="1BB53830"/>
    <w:rsid w:val="1E6818BF"/>
    <w:rsid w:val="1F1F35FA"/>
    <w:rsid w:val="200F54C2"/>
    <w:rsid w:val="20321F11"/>
    <w:rsid w:val="212D20A3"/>
    <w:rsid w:val="22A500AF"/>
    <w:rsid w:val="23414D26"/>
    <w:rsid w:val="239201FD"/>
    <w:rsid w:val="248E7567"/>
    <w:rsid w:val="267A7D84"/>
    <w:rsid w:val="270619B6"/>
    <w:rsid w:val="275013BD"/>
    <w:rsid w:val="28245882"/>
    <w:rsid w:val="282C4737"/>
    <w:rsid w:val="287D38DE"/>
    <w:rsid w:val="29037B8D"/>
    <w:rsid w:val="29622B06"/>
    <w:rsid w:val="29746395"/>
    <w:rsid w:val="2A893A72"/>
    <w:rsid w:val="2B716E27"/>
    <w:rsid w:val="2B820691"/>
    <w:rsid w:val="2D1116B1"/>
    <w:rsid w:val="2D35174A"/>
    <w:rsid w:val="2DCD29CD"/>
    <w:rsid w:val="2E5549E7"/>
    <w:rsid w:val="2E6E59DF"/>
    <w:rsid w:val="2E9279E9"/>
    <w:rsid w:val="2EBF4557"/>
    <w:rsid w:val="2F0A5D19"/>
    <w:rsid w:val="2F5A5668"/>
    <w:rsid w:val="31CD1D25"/>
    <w:rsid w:val="333C2C23"/>
    <w:rsid w:val="338F5449"/>
    <w:rsid w:val="345A799D"/>
    <w:rsid w:val="3687647F"/>
    <w:rsid w:val="36C340AE"/>
    <w:rsid w:val="37B56DE5"/>
    <w:rsid w:val="38345A13"/>
    <w:rsid w:val="38743CBC"/>
    <w:rsid w:val="3885236D"/>
    <w:rsid w:val="38A4560C"/>
    <w:rsid w:val="38FA6ECE"/>
    <w:rsid w:val="39F602DF"/>
    <w:rsid w:val="3ABE0999"/>
    <w:rsid w:val="3AEC66D3"/>
    <w:rsid w:val="3CB700D5"/>
    <w:rsid w:val="3EB62135"/>
    <w:rsid w:val="43995947"/>
    <w:rsid w:val="46801DB3"/>
    <w:rsid w:val="4935302D"/>
    <w:rsid w:val="4A374115"/>
    <w:rsid w:val="4A6E0EB3"/>
    <w:rsid w:val="4AF84C20"/>
    <w:rsid w:val="4BFD3BC5"/>
    <w:rsid w:val="4C606C71"/>
    <w:rsid w:val="4C96649F"/>
    <w:rsid w:val="4CF66452"/>
    <w:rsid w:val="4D4F2105"/>
    <w:rsid w:val="4D827111"/>
    <w:rsid w:val="4E070170"/>
    <w:rsid w:val="50002336"/>
    <w:rsid w:val="50691BC4"/>
    <w:rsid w:val="51E02172"/>
    <w:rsid w:val="52002DFF"/>
    <w:rsid w:val="52BE5EE1"/>
    <w:rsid w:val="54413059"/>
    <w:rsid w:val="54417D21"/>
    <w:rsid w:val="550D5F76"/>
    <w:rsid w:val="555D2250"/>
    <w:rsid w:val="55B22B5B"/>
    <w:rsid w:val="565C2507"/>
    <w:rsid w:val="57A8352A"/>
    <w:rsid w:val="584C7CBE"/>
    <w:rsid w:val="585A18BA"/>
    <w:rsid w:val="58B52D34"/>
    <w:rsid w:val="59EF3692"/>
    <w:rsid w:val="5A5E0F5C"/>
    <w:rsid w:val="5AD00162"/>
    <w:rsid w:val="5C686CAF"/>
    <w:rsid w:val="5C9E2A28"/>
    <w:rsid w:val="5CB81C69"/>
    <w:rsid w:val="5DDF54F3"/>
    <w:rsid w:val="5F2D0EDA"/>
    <w:rsid w:val="60031C46"/>
    <w:rsid w:val="60206525"/>
    <w:rsid w:val="60C7214E"/>
    <w:rsid w:val="610A3600"/>
    <w:rsid w:val="63D20C05"/>
    <w:rsid w:val="63E91CFA"/>
    <w:rsid w:val="63EB3F95"/>
    <w:rsid w:val="67DA14DE"/>
    <w:rsid w:val="6A300631"/>
    <w:rsid w:val="6A845E88"/>
    <w:rsid w:val="6C203932"/>
    <w:rsid w:val="6C3969E6"/>
    <w:rsid w:val="6C5119AE"/>
    <w:rsid w:val="6D7B5405"/>
    <w:rsid w:val="73AD3F4B"/>
    <w:rsid w:val="7401366E"/>
    <w:rsid w:val="761924FD"/>
    <w:rsid w:val="7AAE0972"/>
    <w:rsid w:val="7AF05914"/>
    <w:rsid w:val="7B560306"/>
    <w:rsid w:val="7C1A7CA3"/>
    <w:rsid w:val="7C8651BA"/>
    <w:rsid w:val="7D2B1E9D"/>
    <w:rsid w:val="7DBD615A"/>
    <w:rsid w:val="7E2571F2"/>
    <w:rsid w:val="7EBD61DC"/>
    <w:rsid w:val="7ED24865"/>
    <w:rsid w:val="7F7D2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99"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napToGrid w:val="0"/>
      <w:spacing w:before="156" w:beforeLines="50" w:after="156" w:afterLines="50"/>
      <w:ind w:firstLine="420" w:firstLineChars="20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ind w:left="106"/>
      <w:jc w:val="left"/>
      <w:outlineLvl w:val="0"/>
    </w:pPr>
    <w:rPr>
      <w:rFonts w:ascii="方正小标宋简体" w:hAnsi="方正小标宋简体" w:eastAsia="方正小标宋简体"/>
      <w:kern w:val="0"/>
      <w:sz w:val="44"/>
      <w:szCs w:val="44"/>
      <w:lang w:eastAsia="en-US"/>
    </w:rPr>
  </w:style>
  <w:style w:type="paragraph" w:styleId="3">
    <w:name w:val="heading 2"/>
    <w:basedOn w:val="1"/>
    <w:next w:val="1"/>
    <w:link w:val="5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autoRedefine/>
    <w:qFormat/>
    <w:uiPriority w:val="0"/>
    <w:rPr>
      <w:rFonts w:ascii="Arial" w:hAnsi="Arial" w:eastAsia="黑体"/>
      <w:sz w:val="20"/>
    </w:rPr>
  </w:style>
  <w:style w:type="paragraph" w:styleId="6">
    <w:name w:val="annotation text"/>
    <w:basedOn w:val="1"/>
    <w:link w:val="53"/>
    <w:semiHidden/>
    <w:unhideWhenUsed/>
    <w:qFormat/>
    <w:uiPriority w:val="0"/>
    <w:pPr>
      <w:jc w:val="left"/>
    </w:pPr>
  </w:style>
  <w:style w:type="paragraph" w:styleId="7">
    <w:name w:val="Body Text"/>
    <w:basedOn w:val="1"/>
    <w:next w:val="1"/>
    <w:unhideWhenUsed/>
    <w:qFormat/>
    <w:uiPriority w:val="99"/>
    <w:pPr>
      <w:spacing w:after="120" w:afterLines="0"/>
    </w:pPr>
    <w:rPr>
      <w:rFonts w:ascii="Calibri" w:hAnsi="Calibri" w:eastAsia="仿宋_GB2312"/>
      <w:sz w:val="32"/>
      <w:szCs w:val="24"/>
    </w:rPr>
  </w:style>
  <w:style w:type="paragraph" w:styleId="8">
    <w:name w:val="Plain Text"/>
    <w:basedOn w:val="1"/>
    <w:autoRedefine/>
    <w:qFormat/>
    <w:uiPriority w:val="0"/>
    <w:rPr>
      <w:rFonts w:ascii="宋体" w:hAnsi="Courier New" w:cs="Courier New"/>
    </w:rPr>
  </w:style>
  <w:style w:type="paragraph" w:styleId="9">
    <w:name w:val="Date"/>
    <w:basedOn w:val="1"/>
    <w:next w:val="1"/>
    <w:autoRedefine/>
    <w:qFormat/>
    <w:uiPriority w:val="0"/>
    <w:pPr>
      <w:ind w:left="100" w:leftChars="2500"/>
    </w:pPr>
  </w:style>
  <w:style w:type="paragraph" w:styleId="10">
    <w:name w:val="Balloon Text"/>
    <w:basedOn w:val="1"/>
    <w:link w:val="23"/>
    <w:autoRedefine/>
    <w:qFormat/>
    <w:uiPriority w:val="0"/>
    <w:rPr>
      <w:sz w:val="18"/>
      <w:szCs w:val="18"/>
    </w:rPr>
  </w:style>
  <w:style w:type="paragraph" w:styleId="11">
    <w:name w:val="footer"/>
    <w:basedOn w:val="1"/>
    <w:autoRedefine/>
    <w:qFormat/>
    <w:uiPriority w:val="0"/>
    <w:pPr>
      <w:tabs>
        <w:tab w:val="center" w:pos="4153"/>
        <w:tab w:val="right" w:pos="8306"/>
      </w:tabs>
      <w:ind w:right="210" w:rightChars="100"/>
      <w:jc w:val="right"/>
    </w:pPr>
    <w:rPr>
      <w:sz w:val="18"/>
      <w:szCs w:val="18"/>
    </w:rPr>
  </w:style>
  <w:style w:type="paragraph" w:styleId="12">
    <w:name w:val="header"/>
    <w:basedOn w:val="1"/>
    <w:autoRedefine/>
    <w:qFormat/>
    <w:uiPriority w:val="0"/>
    <w:pPr>
      <w:pBdr>
        <w:bottom w:val="single" w:color="auto" w:sz="6" w:space="1"/>
      </w:pBdr>
      <w:tabs>
        <w:tab w:val="center" w:pos="4153"/>
        <w:tab w:val="right" w:pos="8306"/>
      </w:tabs>
      <w:jc w:val="center"/>
    </w:pPr>
    <w:rPr>
      <w:sz w:val="18"/>
      <w:szCs w:val="18"/>
    </w:rPr>
  </w:style>
  <w:style w:type="paragraph" w:styleId="13">
    <w:name w:val="Normal (Web)"/>
    <w:basedOn w:val="1"/>
    <w:semiHidden/>
    <w:unhideWhenUsed/>
    <w:qFormat/>
    <w:uiPriority w:val="0"/>
    <w:pPr>
      <w:spacing w:before="0" w:beforeAutospacing="1" w:after="0" w:afterAutospacing="1"/>
      <w:jc w:val="left"/>
    </w:pPr>
    <w:rPr>
      <w:kern w:val="0"/>
      <w:sz w:val="24"/>
    </w:rPr>
  </w:style>
  <w:style w:type="paragraph" w:styleId="14">
    <w:name w:val="annotation subject"/>
    <w:basedOn w:val="6"/>
    <w:next w:val="6"/>
    <w:link w:val="54"/>
    <w:autoRedefine/>
    <w:semiHidden/>
    <w:unhideWhenUsed/>
    <w:qFormat/>
    <w:uiPriority w:val="0"/>
    <w:rPr>
      <w:b/>
      <w:bCs/>
    </w:rPr>
  </w:style>
  <w:style w:type="paragraph" w:styleId="15">
    <w:name w:val="Body Text First Indent"/>
    <w:basedOn w:val="7"/>
    <w:next w:val="1"/>
    <w:qFormat/>
    <w:uiPriority w:val="0"/>
    <w:pPr>
      <w:tabs>
        <w:tab w:val="left" w:pos="562"/>
        <w:tab w:val="left" w:pos="3372"/>
        <w:tab w:val="left" w:pos="3653"/>
      </w:tabs>
      <w:ind w:firstLine="100" w:firstLineChars="100"/>
    </w:pPr>
    <w:rPr>
      <w:rFonts w:eastAsia="Calibri"/>
      <w:sz w:val="21"/>
    </w:rPr>
  </w:style>
  <w:style w:type="table" w:styleId="17">
    <w:name w:val="Table Grid"/>
    <w:basedOn w:val="1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page number"/>
    <w:autoRedefine/>
    <w:qFormat/>
    <w:uiPriority w:val="0"/>
    <w:rPr>
      <w:rFonts w:ascii="Times New Roman" w:hAnsi="Times New Roman" w:eastAsia="宋体"/>
      <w:sz w:val="18"/>
    </w:rPr>
  </w:style>
  <w:style w:type="character" w:styleId="21">
    <w:name w:val="Hyperlink"/>
    <w:basedOn w:val="18"/>
    <w:semiHidden/>
    <w:unhideWhenUsed/>
    <w:qFormat/>
    <w:uiPriority w:val="0"/>
    <w:rPr>
      <w:color w:val="0000FF"/>
      <w:u w:val="single"/>
    </w:rPr>
  </w:style>
  <w:style w:type="character" w:styleId="22">
    <w:name w:val="annotation reference"/>
    <w:basedOn w:val="18"/>
    <w:autoRedefine/>
    <w:semiHidden/>
    <w:unhideWhenUsed/>
    <w:qFormat/>
    <w:uiPriority w:val="0"/>
    <w:rPr>
      <w:sz w:val="21"/>
      <w:szCs w:val="21"/>
    </w:rPr>
  </w:style>
  <w:style w:type="character" w:customStyle="1" w:styleId="23">
    <w:name w:val="批注框文本 Char"/>
    <w:link w:val="10"/>
    <w:autoRedefine/>
    <w:qFormat/>
    <w:uiPriority w:val="0"/>
    <w:rPr>
      <w:kern w:val="2"/>
      <w:sz w:val="18"/>
      <w:szCs w:val="18"/>
    </w:rPr>
  </w:style>
  <w:style w:type="character" w:customStyle="1" w:styleId="24">
    <w:name w:val="发布"/>
    <w:autoRedefine/>
    <w:qFormat/>
    <w:uiPriority w:val="0"/>
    <w:rPr>
      <w:rFonts w:ascii="黑体" w:eastAsia="黑体"/>
      <w:spacing w:val="22"/>
      <w:w w:val="100"/>
      <w:position w:val="3"/>
      <w:sz w:val="28"/>
    </w:rPr>
  </w:style>
  <w:style w:type="character" w:customStyle="1" w:styleId="25">
    <w:name w:val="段 Char"/>
    <w:link w:val="26"/>
    <w:autoRedefine/>
    <w:qFormat/>
    <w:uiPriority w:val="0"/>
    <w:rPr>
      <w:rFonts w:ascii="宋体"/>
      <w:sz w:val="21"/>
      <w:lang w:val="en-US" w:eastAsia="zh-CN" w:bidi="ar-SA"/>
    </w:rPr>
  </w:style>
  <w:style w:type="paragraph" w:customStyle="1" w:styleId="26">
    <w:name w:val="段"/>
    <w:link w:val="25"/>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7">
    <w:name w:val="五级条标题"/>
    <w:basedOn w:val="28"/>
    <w:next w:val="26"/>
    <w:autoRedefine/>
    <w:qFormat/>
    <w:uiPriority w:val="0"/>
    <w:pPr>
      <w:numPr>
        <w:ilvl w:val="6"/>
      </w:numPr>
      <w:outlineLvl w:val="6"/>
    </w:pPr>
  </w:style>
  <w:style w:type="paragraph" w:customStyle="1" w:styleId="28">
    <w:name w:val="四级条标题"/>
    <w:basedOn w:val="29"/>
    <w:next w:val="26"/>
    <w:autoRedefine/>
    <w:qFormat/>
    <w:uiPriority w:val="0"/>
    <w:pPr>
      <w:numPr>
        <w:ilvl w:val="5"/>
      </w:numPr>
      <w:outlineLvl w:val="5"/>
    </w:pPr>
  </w:style>
  <w:style w:type="paragraph" w:customStyle="1" w:styleId="29">
    <w:name w:val="三级条标题"/>
    <w:basedOn w:val="30"/>
    <w:next w:val="26"/>
    <w:autoRedefine/>
    <w:qFormat/>
    <w:uiPriority w:val="0"/>
    <w:pPr>
      <w:numPr>
        <w:ilvl w:val="4"/>
      </w:numPr>
      <w:outlineLvl w:val="4"/>
    </w:pPr>
  </w:style>
  <w:style w:type="paragraph" w:customStyle="1" w:styleId="30">
    <w:name w:val="二级条标题"/>
    <w:basedOn w:val="31"/>
    <w:next w:val="26"/>
    <w:autoRedefine/>
    <w:qFormat/>
    <w:uiPriority w:val="0"/>
    <w:pPr>
      <w:numPr>
        <w:ilvl w:val="3"/>
      </w:numPr>
      <w:outlineLvl w:val="3"/>
    </w:pPr>
  </w:style>
  <w:style w:type="paragraph" w:customStyle="1" w:styleId="31">
    <w:name w:val="一级条标题"/>
    <w:next w:val="26"/>
    <w:autoRedefine/>
    <w:qFormat/>
    <w:uiPriority w:val="0"/>
    <w:pPr>
      <w:numPr>
        <w:ilvl w:val="2"/>
        <w:numId w:val="1"/>
      </w:numPr>
      <w:outlineLvl w:val="2"/>
    </w:pPr>
    <w:rPr>
      <w:rFonts w:ascii="Times New Roman" w:hAnsi="Times New Roman" w:eastAsia="黑体" w:cs="Times New Roman"/>
      <w:sz w:val="21"/>
      <w:lang w:val="en-US" w:eastAsia="zh-CN" w:bidi="ar-SA"/>
    </w:rPr>
  </w:style>
  <w:style w:type="paragraph" w:customStyle="1" w:styleId="32">
    <w:name w:val="目次、标准名称标题"/>
    <w:basedOn w:val="33"/>
    <w:next w:val="26"/>
    <w:autoRedefine/>
    <w:qFormat/>
    <w:uiPriority w:val="0"/>
    <w:pPr>
      <w:spacing w:line="460" w:lineRule="exact"/>
    </w:pPr>
  </w:style>
  <w:style w:type="paragraph" w:customStyle="1" w:styleId="33">
    <w:name w:val="前言、引言标题"/>
    <w:next w:val="1"/>
    <w:autoRedefine/>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4">
    <w:name w:val="其他发布部门"/>
    <w:basedOn w:val="1"/>
    <w:autoRedefine/>
    <w:qFormat/>
    <w:uiPriority w:val="0"/>
    <w:pPr>
      <w:widowControl/>
      <w:spacing w:line="0" w:lineRule="atLeast"/>
      <w:jc w:val="center"/>
    </w:pPr>
    <w:rPr>
      <w:rFonts w:ascii="黑体" w:eastAsia="黑体"/>
      <w:spacing w:val="20"/>
      <w:w w:val="135"/>
      <w:kern w:val="0"/>
      <w:sz w:val="36"/>
      <w:szCs w:val="20"/>
    </w:rPr>
  </w:style>
  <w:style w:type="paragraph" w:customStyle="1" w:styleId="35">
    <w:name w:val="p0"/>
    <w:basedOn w:val="1"/>
    <w:autoRedefine/>
    <w:qFormat/>
    <w:uiPriority w:val="0"/>
    <w:pPr>
      <w:widowControl/>
    </w:pPr>
    <w:rPr>
      <w:kern w:val="0"/>
    </w:rPr>
  </w:style>
  <w:style w:type="paragraph" w:customStyle="1" w:styleId="36">
    <w:name w:val="修订1"/>
    <w:autoRedefine/>
    <w:semiHidden/>
    <w:qFormat/>
    <w:uiPriority w:val="99"/>
    <w:rPr>
      <w:rFonts w:ascii="Times New Roman" w:hAnsi="Times New Roman" w:eastAsia="宋体" w:cs="Times New Roman"/>
      <w:kern w:val="2"/>
      <w:sz w:val="21"/>
      <w:szCs w:val="24"/>
      <w:lang w:val="en-US" w:eastAsia="zh-CN" w:bidi="ar-SA"/>
    </w:rPr>
  </w:style>
  <w:style w:type="paragraph" w:customStyle="1" w:styleId="37">
    <w:name w:val="文献分类号"/>
    <w:autoRedefine/>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38">
    <w:name w:val="封面标准号1"/>
    <w:autoRedefine/>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9">
    <w:name w:val="发布日期"/>
    <w:autoRedefine/>
    <w:qFormat/>
    <w:uiPriority w:val="0"/>
    <w:rPr>
      <w:rFonts w:ascii="Times New Roman" w:hAnsi="Times New Roman" w:eastAsia="黑体" w:cs="Times New Roman"/>
      <w:sz w:val="28"/>
      <w:lang w:val="en-US" w:eastAsia="zh-CN" w:bidi="ar-SA"/>
    </w:rPr>
  </w:style>
  <w:style w:type="paragraph" w:customStyle="1" w:styleId="40">
    <w:name w:val="标准书眉一"/>
    <w:autoRedefine/>
    <w:qFormat/>
    <w:uiPriority w:val="0"/>
    <w:pPr>
      <w:jc w:val="both"/>
    </w:pPr>
    <w:rPr>
      <w:rFonts w:ascii="Times New Roman" w:hAnsi="Times New Roman" w:eastAsia="宋体" w:cs="Times New Roman"/>
      <w:lang w:val="en-US" w:eastAsia="zh-CN" w:bidi="ar-SA"/>
    </w:rPr>
  </w:style>
  <w:style w:type="paragraph" w:customStyle="1" w:styleId="41">
    <w:name w:val="封面标准名称"/>
    <w:autoRedefine/>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2">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43">
    <w:name w:val="封面正文"/>
    <w:autoRedefine/>
    <w:qFormat/>
    <w:uiPriority w:val="0"/>
    <w:pPr>
      <w:jc w:val="both"/>
    </w:pPr>
    <w:rPr>
      <w:rFonts w:ascii="Times New Roman" w:hAnsi="Times New Roman" w:eastAsia="宋体" w:cs="Times New Roman"/>
      <w:lang w:val="en-US" w:eastAsia="zh-CN" w:bidi="ar-SA"/>
    </w:rPr>
  </w:style>
  <w:style w:type="paragraph" w:customStyle="1" w:styleId="44">
    <w:name w:val="章标题"/>
    <w:next w:val="26"/>
    <w:autoRedefine/>
    <w:qFormat/>
    <w:uiPriority w:val="0"/>
    <w:pPr>
      <w:spacing w:line="380" w:lineRule="exact"/>
      <w:jc w:val="both"/>
      <w:outlineLvl w:val="1"/>
    </w:pPr>
    <w:rPr>
      <w:rFonts w:ascii="黑体" w:hAnsi="Times New Roman" w:eastAsia="黑体" w:cs="Times New Roman"/>
      <w:bCs/>
      <w:sz w:val="21"/>
      <w:lang w:val="en-US" w:eastAsia="zh-CN" w:bidi="ar-SA"/>
    </w:rPr>
  </w:style>
  <w:style w:type="paragraph" w:customStyle="1" w:styleId="45">
    <w:name w:val="标准书眉_奇数页"/>
    <w:next w:val="1"/>
    <w:autoRedefine/>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46">
    <w:name w:val="标准书脚_奇数页"/>
    <w:autoRedefine/>
    <w:qFormat/>
    <w:uiPriority w:val="0"/>
    <w:pPr>
      <w:spacing w:before="120"/>
      <w:jc w:val="right"/>
    </w:pPr>
    <w:rPr>
      <w:rFonts w:ascii="Times New Roman" w:hAnsi="Times New Roman" w:eastAsia="宋体" w:cs="Times New Roman"/>
      <w:sz w:val="18"/>
      <w:lang w:val="en-US" w:eastAsia="zh-CN" w:bidi="ar-SA"/>
    </w:rPr>
  </w:style>
  <w:style w:type="paragraph" w:customStyle="1" w:styleId="47">
    <w:name w:val="标准标志"/>
    <w:next w:val="1"/>
    <w:autoRedefine/>
    <w:qFormat/>
    <w:uiPriority w:val="0"/>
    <w:pPr>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48">
    <w:name w:val="实施日期"/>
    <w:basedOn w:val="39"/>
    <w:autoRedefine/>
    <w:qFormat/>
    <w:uiPriority w:val="0"/>
    <w:pPr>
      <w:jc w:val="right"/>
    </w:pPr>
  </w:style>
  <w:style w:type="paragraph" w:customStyle="1" w:styleId="49">
    <w:name w:val="封面一致性程度标识"/>
    <w:autoRedefine/>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50">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51">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character" w:customStyle="1" w:styleId="52">
    <w:name w:val="标题 2 Char"/>
    <w:basedOn w:val="18"/>
    <w:link w:val="3"/>
    <w:autoRedefine/>
    <w:qFormat/>
    <w:uiPriority w:val="0"/>
    <w:rPr>
      <w:rFonts w:ascii="Arial" w:hAnsi="Arial" w:eastAsia="黑体"/>
      <w:b/>
      <w:bCs/>
      <w:kern w:val="2"/>
      <w:sz w:val="32"/>
      <w:szCs w:val="32"/>
    </w:rPr>
  </w:style>
  <w:style w:type="character" w:customStyle="1" w:styleId="53">
    <w:name w:val="批注文字 Char"/>
    <w:basedOn w:val="18"/>
    <w:link w:val="6"/>
    <w:autoRedefine/>
    <w:semiHidden/>
    <w:qFormat/>
    <w:uiPriority w:val="0"/>
    <w:rPr>
      <w:kern w:val="2"/>
      <w:sz w:val="21"/>
      <w:szCs w:val="24"/>
    </w:rPr>
  </w:style>
  <w:style w:type="character" w:customStyle="1" w:styleId="54">
    <w:name w:val="批注主题 Char"/>
    <w:basedOn w:val="53"/>
    <w:link w:val="14"/>
    <w:autoRedefine/>
    <w:semiHidden/>
    <w:qFormat/>
    <w:uiPriority w:val="0"/>
    <w:rPr>
      <w:b/>
      <w:bCs/>
      <w:kern w:val="2"/>
      <w:sz w:val="21"/>
      <w:szCs w:val="24"/>
    </w:rPr>
  </w:style>
  <w:style w:type="character" w:customStyle="1" w:styleId="55">
    <w:name w:val="15"/>
    <w:basedOn w:val="18"/>
    <w:autoRedefine/>
    <w:qFormat/>
    <w:uiPriority w:val="0"/>
    <w:rPr>
      <w:rFonts w:hint="default" w:ascii="Times New Roman" w:hAnsi="Times New Roman" w:eastAsia="宋体" w:cs="Times New Roman"/>
      <w:sz w:val="18"/>
      <w:szCs w:val="18"/>
    </w:rPr>
  </w:style>
  <w:style w:type="character" w:styleId="56">
    <w:name w:val="Placeholder Text"/>
    <w:basedOn w:val="18"/>
    <w:autoRedefine/>
    <w:unhideWhenUsed/>
    <w:qFormat/>
    <w:uiPriority w:val="99"/>
    <w:rPr>
      <w:color w:val="666666"/>
    </w:rPr>
  </w:style>
  <w:style w:type="paragraph" w:styleId="57">
    <w:name w:val="List Paragraph"/>
    <w:basedOn w:val="1"/>
    <w:autoRedefine/>
    <w:unhideWhenUsed/>
    <w:qFormat/>
    <w:uiPriority w:val="99"/>
  </w:style>
  <w:style w:type="paragraph" w:customStyle="1" w:styleId="58">
    <w:name w:val="修订2"/>
    <w:autoRedefine/>
    <w:hidden/>
    <w:semiHidden/>
    <w:qFormat/>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5.jpe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16</Pages>
  <Words>4499</Words>
  <Characters>5453</Characters>
  <Lines>1</Lines>
  <Paragraphs>1</Paragraphs>
  <TotalTime>4</TotalTime>
  <ScaleCrop>false</ScaleCrop>
  <LinksUpToDate>false</LinksUpToDate>
  <CharactersWithSpaces>5972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2023-12-06T09:43:00Z</dcterms:created>
  <dc:creator>YlmF</dc:creator>
  <cp:lastModifiedBy>Administrator</cp:lastModifiedBy>
  <cp:lastPrinted>2024-02-16T06:18:00Z</cp:lastPrinted>
  <dcterms:modified xsi:type="dcterms:W3CDTF">2024-12-23T02:56:07Z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6597C96A57ED4CD48BCDA33D9F9E0198_13</vt:lpwstr>
  </property>
  <property fmtid="{D5CDD505-2E9C-101B-9397-08002B2CF9AE}" pid="4" name="MTWinEqns">
    <vt:bool>true</vt:bool>
  </property>
</Properties>
</file>