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762CF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4292A7BD">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433EB6D6">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14:paraId="15E96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755435A">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0BAF2305">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6F21255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6407" w:type="dxa"/>
          </w:tcPr>
          <w:p w14:paraId="3E0573CD">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7F1BC45D">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7151CA05">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0F2A1742">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2B6FC465">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6B984D2B">
      <w:pPr>
        <w:pStyle w:val="50"/>
        <w:framePr w:w="9639" w:h="6976" w:hRule="exact" w:hSpace="0" w:vSpace="0" w:wrap="around" w:hAnchor="page" w:y="6408"/>
        <w:jc w:val="center"/>
        <w:rPr>
          <w:rFonts w:ascii="黑体" w:hAnsi="黑体" w:eastAsia="黑体"/>
          <w:b w:val="0"/>
          <w:bCs w:val="0"/>
          <w:w w:val="100"/>
        </w:rPr>
      </w:pPr>
    </w:p>
    <w:p w14:paraId="0D2008B6">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玻璃幕内置节能网设计技术规范</w:t>
      </w:r>
      <w:r>
        <w:fldChar w:fldCharType="end"/>
      </w:r>
      <w:bookmarkEnd w:id="9"/>
    </w:p>
    <w:p w14:paraId="29EB0949">
      <w:pPr>
        <w:framePr w:w="9639" w:h="6974" w:hRule="exact" w:wrap="around" w:vAnchor="page" w:hAnchor="page" w:x="1419" w:y="6408" w:anchorLock="1"/>
        <w:ind w:left="-1418"/>
      </w:pPr>
    </w:p>
    <w:p w14:paraId="7122A0AB">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     </w:t>
      </w:r>
      <w:r>
        <w:rPr>
          <w:rFonts w:ascii="黑体" w:hAnsi="黑体" w:eastAsia="黑体"/>
          <w:szCs w:val="28"/>
        </w:rPr>
        <w:fldChar w:fldCharType="end"/>
      </w:r>
      <w:bookmarkEnd w:id="10"/>
    </w:p>
    <w:p w14:paraId="0DFCF9EB">
      <w:pPr>
        <w:framePr w:w="9639" w:h="6974" w:hRule="exact" w:wrap="around" w:vAnchor="page" w:hAnchor="page" w:x="1419" w:y="6408" w:anchorLock="1"/>
        <w:spacing w:line="760" w:lineRule="exact"/>
        <w:ind w:left="-1418"/>
      </w:pPr>
    </w:p>
    <w:p w14:paraId="1C17635A">
      <w:pPr>
        <w:pStyle w:val="125"/>
        <w:framePr w:w="9639" w:h="6974" w:hRule="exact" w:wrap="around" w:vAnchor="page" w:hAnchor="page" w:x="1419" w:y="6408" w:anchorLock="1"/>
        <w:textAlignment w:val="bottom"/>
        <w:rPr>
          <w:rFonts w:eastAsia="黑体"/>
          <w:szCs w:val="28"/>
        </w:rPr>
      </w:pPr>
    </w:p>
    <w:p w14:paraId="0C14A055">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658FA45B">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795B2623">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5AFCE8AD">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58C3816E">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6B3290FC">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40DB9353">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139B9E11">
      <w:pPr>
        <w:pStyle w:val="91"/>
        <w:spacing w:after="468"/>
      </w:pPr>
      <w:bookmarkStart w:id="21" w:name="BookMark1"/>
      <w:bookmarkStart w:id="22" w:name="_Toc184829550"/>
      <w:bookmarkStart w:id="23" w:name="_Toc185440610"/>
      <w:bookmarkStart w:id="24" w:name="_Toc185268157"/>
      <w:bookmarkStart w:id="25" w:name="_Toc184829606"/>
      <w:r>
        <w:rPr>
          <w:rFonts w:hint="eastAsia"/>
          <w:spacing w:val="320"/>
        </w:rPr>
        <w:t>目</w:t>
      </w:r>
      <w:r>
        <w:rPr>
          <w:rFonts w:hint="eastAsia"/>
        </w:rPr>
        <w:t>次</w:t>
      </w:r>
    </w:p>
    <w:p w14:paraId="0A4F966A">
      <w:pPr>
        <w:pStyle w:val="19"/>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"_Toc185529145" </w:instrText>
      </w:r>
      <w:r>
        <w:fldChar w:fldCharType="separate"/>
      </w:r>
      <w:r>
        <w:rPr>
          <w:rStyle w:val="32"/>
          <w:rFonts w:hint="eastAsia"/>
        </w:rPr>
        <w:t>前言</w:t>
      </w:r>
      <w:r>
        <w:tab/>
      </w:r>
      <w:r>
        <w:fldChar w:fldCharType="begin"/>
      </w:r>
      <w:r>
        <w:instrText xml:space="preserve"> PAGEREF _Toc185529145 \h </w:instrText>
      </w:r>
      <w:r>
        <w:fldChar w:fldCharType="separate"/>
      </w:r>
      <w:r>
        <w:t>II</w:t>
      </w:r>
      <w:r>
        <w:fldChar w:fldCharType="end"/>
      </w:r>
      <w:r>
        <w:fldChar w:fldCharType="end"/>
      </w:r>
    </w:p>
    <w:p w14:paraId="317183DD">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"_Toc185529146" </w:instrText>
      </w:r>
      <w:r>
        <w:fldChar w:fldCharType="separate"/>
      </w:r>
      <w:r>
        <w:rPr>
          <w:rStyle w:val="32"/>
        </w:rPr>
        <w:t xml:space="preserve">1 </w:t>
      </w:r>
      <w:r>
        <w:rPr>
          <w:rStyle w:val="32"/>
          <w:rFonts w:hint="eastAsia"/>
        </w:rPr>
        <w:t xml:space="preserve"> 范围</w:t>
      </w:r>
      <w:r>
        <w:tab/>
      </w:r>
      <w:r>
        <w:fldChar w:fldCharType="begin"/>
      </w:r>
      <w:r>
        <w:instrText xml:space="preserve"> PAGEREF _Toc185529146 \h </w:instrText>
      </w:r>
      <w:r>
        <w:fldChar w:fldCharType="separate"/>
      </w:r>
      <w:r>
        <w:t>1</w:t>
      </w:r>
      <w:r>
        <w:fldChar w:fldCharType="end"/>
      </w:r>
      <w:r>
        <w:fldChar w:fldCharType="end"/>
      </w:r>
    </w:p>
    <w:p w14:paraId="54457676">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"_Toc185529147"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_Toc185529147 \h </w:instrText>
      </w:r>
      <w:r>
        <w:fldChar w:fldCharType="separate"/>
      </w:r>
      <w:r>
        <w:t>1</w:t>
      </w:r>
      <w:r>
        <w:fldChar w:fldCharType="end"/>
      </w:r>
      <w:r>
        <w:fldChar w:fldCharType="end"/>
      </w:r>
    </w:p>
    <w:p w14:paraId="6A58A9FC">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"_Toc185529148"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_Toc185529148 \h </w:instrText>
      </w:r>
      <w:r>
        <w:fldChar w:fldCharType="separate"/>
      </w:r>
      <w:r>
        <w:t>1</w:t>
      </w:r>
      <w:r>
        <w:fldChar w:fldCharType="end"/>
      </w:r>
      <w:r>
        <w:fldChar w:fldCharType="end"/>
      </w:r>
    </w:p>
    <w:p w14:paraId="6732CB51">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"_Toc185529149" </w:instrText>
      </w:r>
      <w:r>
        <w:fldChar w:fldCharType="separate"/>
      </w:r>
      <w:r>
        <w:rPr>
          <w:rStyle w:val="32"/>
        </w:rPr>
        <w:t xml:space="preserve">4 </w:t>
      </w:r>
      <w:r>
        <w:rPr>
          <w:rStyle w:val="32"/>
          <w:rFonts w:hint="eastAsia"/>
        </w:rPr>
        <w:t xml:space="preserve"> 设计原则</w:t>
      </w:r>
      <w:r>
        <w:tab/>
      </w:r>
      <w:r>
        <w:fldChar w:fldCharType="begin"/>
      </w:r>
      <w:r>
        <w:instrText xml:space="preserve"> PAGEREF _Toc185529149 \h </w:instrText>
      </w:r>
      <w:r>
        <w:fldChar w:fldCharType="separate"/>
      </w:r>
      <w:r>
        <w:t>2</w:t>
      </w:r>
      <w:r>
        <w:fldChar w:fldCharType="end"/>
      </w:r>
      <w:r>
        <w:fldChar w:fldCharType="end"/>
      </w:r>
    </w:p>
    <w:p w14:paraId="2A205C84">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"_Toc185529150" </w:instrText>
      </w:r>
      <w:r>
        <w:fldChar w:fldCharType="separate"/>
      </w:r>
      <w:r>
        <w:rPr>
          <w:rStyle w:val="32"/>
        </w:rPr>
        <w:t xml:space="preserve">5 </w:t>
      </w:r>
      <w:r>
        <w:rPr>
          <w:rStyle w:val="32"/>
          <w:rFonts w:hint="eastAsia"/>
        </w:rPr>
        <w:t xml:space="preserve"> 选材要求</w:t>
      </w:r>
      <w:r>
        <w:tab/>
      </w:r>
      <w:r>
        <w:fldChar w:fldCharType="begin"/>
      </w:r>
      <w:r>
        <w:instrText xml:space="preserve"> PAGEREF _Toc185529150 \h </w:instrText>
      </w:r>
      <w:r>
        <w:fldChar w:fldCharType="separate"/>
      </w:r>
      <w:r>
        <w:t>2</w:t>
      </w:r>
      <w:r>
        <w:fldChar w:fldCharType="end"/>
      </w:r>
      <w:r>
        <w:fldChar w:fldCharType="end"/>
      </w:r>
    </w:p>
    <w:p w14:paraId="41CEDD3B">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"_Toc185529151" </w:instrText>
      </w:r>
      <w:r>
        <w:fldChar w:fldCharType="separate"/>
      </w:r>
      <w:r>
        <w:rPr>
          <w:rStyle w:val="32"/>
        </w:rPr>
        <w:t xml:space="preserve">6 </w:t>
      </w:r>
      <w:r>
        <w:rPr>
          <w:rStyle w:val="32"/>
          <w:rFonts w:hint="eastAsia"/>
        </w:rPr>
        <w:t xml:space="preserve"> 主要工艺过程设计</w:t>
      </w:r>
      <w:r>
        <w:tab/>
      </w:r>
      <w:r>
        <w:fldChar w:fldCharType="begin"/>
      </w:r>
      <w:r>
        <w:instrText xml:space="preserve"> PAGEREF _Toc185529151 \h </w:instrText>
      </w:r>
      <w:r>
        <w:fldChar w:fldCharType="separate"/>
      </w:r>
      <w:r>
        <w:t>2</w:t>
      </w:r>
      <w:r>
        <w:fldChar w:fldCharType="end"/>
      </w:r>
      <w:r>
        <w:fldChar w:fldCharType="end"/>
      </w:r>
    </w:p>
    <w:p w14:paraId="35344405">
      <w:pPr>
        <w:pStyle w:val="24"/>
        <w:rPr>
          <w:rFonts w:asciiTheme="minorHAnsi" w:hAnsiTheme="minorHAnsi" w:eastAsiaTheme="minorEastAsia" w:cstheme="minorBidi"/>
          <w:szCs w:val="22"/>
        </w:rPr>
      </w:pPr>
      <w:r>
        <w:fldChar w:fldCharType="begin"/>
      </w:r>
      <w:r>
        <w:instrText xml:space="preserve"> HYPERLINK \l "_Toc185529152" </w:instrText>
      </w:r>
      <w:r>
        <w:fldChar w:fldCharType="separate"/>
      </w:r>
      <w:r>
        <w:rPr>
          <w:rStyle w:val="32"/>
          <w14:scene3d>
            <w14:lightRig w14:rig="threePt" w14:dir="t">
              <w14:rot w14:lat="0" w14:lon="0" w14:rev="0"/>
            </w14:lightRig>
          </w14:scene3d>
        </w:rPr>
        <w:t xml:space="preserve">6.1 </w:t>
      </w:r>
      <w:r>
        <w:rPr>
          <w:rStyle w:val="32"/>
          <w:rFonts w:hint="eastAsia"/>
        </w:rPr>
        <w:t xml:space="preserve"> 主要工艺流程</w:t>
      </w:r>
      <w:r>
        <w:tab/>
      </w:r>
      <w:r>
        <w:fldChar w:fldCharType="begin"/>
      </w:r>
      <w:r>
        <w:instrText xml:space="preserve"> PAGEREF _Toc185529152 \h </w:instrText>
      </w:r>
      <w:r>
        <w:fldChar w:fldCharType="separate"/>
      </w:r>
      <w:r>
        <w:t>2</w:t>
      </w:r>
      <w:r>
        <w:fldChar w:fldCharType="end"/>
      </w:r>
      <w:r>
        <w:fldChar w:fldCharType="end"/>
      </w:r>
    </w:p>
    <w:p w14:paraId="5108491E">
      <w:pPr>
        <w:pStyle w:val="24"/>
        <w:rPr>
          <w:rFonts w:asciiTheme="minorHAnsi" w:hAnsiTheme="minorHAnsi" w:eastAsiaTheme="minorEastAsia" w:cstheme="minorBidi"/>
          <w:szCs w:val="22"/>
        </w:rPr>
      </w:pPr>
      <w:r>
        <w:fldChar w:fldCharType="begin"/>
      </w:r>
      <w:r>
        <w:instrText xml:space="preserve"> HYPERLINK \l "_Toc185529153" </w:instrText>
      </w:r>
      <w:r>
        <w:fldChar w:fldCharType="separate"/>
      </w:r>
      <w:r>
        <w:rPr>
          <w:rStyle w:val="32"/>
          <w14:scene3d>
            <w14:lightRig w14:rig="threePt" w14:dir="t">
              <w14:rot w14:lat="0" w14:lon="0" w14:rev="0"/>
            </w14:lightRig>
          </w14:scene3d>
        </w:rPr>
        <w:t xml:space="preserve">6.2 </w:t>
      </w:r>
      <w:r>
        <w:rPr>
          <w:rStyle w:val="32"/>
          <w:rFonts w:hint="eastAsia"/>
        </w:rPr>
        <w:t xml:space="preserve"> 冲拉</w:t>
      </w:r>
      <w:r>
        <w:tab/>
      </w:r>
      <w:r>
        <w:fldChar w:fldCharType="begin"/>
      </w:r>
      <w:r>
        <w:instrText xml:space="preserve"> PAGEREF _Toc185529153 \h </w:instrText>
      </w:r>
      <w:r>
        <w:fldChar w:fldCharType="separate"/>
      </w:r>
      <w:r>
        <w:t>3</w:t>
      </w:r>
      <w:r>
        <w:fldChar w:fldCharType="end"/>
      </w:r>
      <w:r>
        <w:fldChar w:fldCharType="end"/>
      </w:r>
    </w:p>
    <w:p w14:paraId="1586F5F8">
      <w:pPr>
        <w:pStyle w:val="24"/>
        <w:rPr>
          <w:rFonts w:asciiTheme="minorHAnsi" w:hAnsiTheme="minorHAnsi" w:eastAsiaTheme="minorEastAsia" w:cstheme="minorBidi"/>
          <w:szCs w:val="22"/>
        </w:rPr>
      </w:pPr>
      <w:r>
        <w:fldChar w:fldCharType="begin"/>
      </w:r>
      <w:r>
        <w:instrText xml:space="preserve"> HYPERLINK \l "_Toc185529154" </w:instrText>
      </w:r>
      <w:r>
        <w:fldChar w:fldCharType="separate"/>
      </w:r>
      <w:r>
        <w:rPr>
          <w:rStyle w:val="32"/>
          <w14:scene3d>
            <w14:lightRig w14:rig="threePt" w14:dir="t">
              <w14:rot w14:lat="0" w14:lon="0" w14:rev="0"/>
            </w14:lightRig>
          </w14:scene3d>
        </w:rPr>
        <w:t xml:space="preserve">6.3 </w:t>
      </w:r>
      <w:r>
        <w:rPr>
          <w:rStyle w:val="32"/>
          <w:rFonts w:hint="eastAsia"/>
        </w:rPr>
        <w:t xml:space="preserve"> 整平</w:t>
      </w:r>
      <w:r>
        <w:tab/>
      </w:r>
      <w:r>
        <w:fldChar w:fldCharType="begin"/>
      </w:r>
      <w:r>
        <w:instrText xml:space="preserve"> PAGEREF _Toc185529154 \h </w:instrText>
      </w:r>
      <w:r>
        <w:fldChar w:fldCharType="separate"/>
      </w:r>
      <w:r>
        <w:t>3</w:t>
      </w:r>
      <w:r>
        <w:fldChar w:fldCharType="end"/>
      </w:r>
      <w:r>
        <w:fldChar w:fldCharType="end"/>
      </w:r>
    </w:p>
    <w:p w14:paraId="6CC0F85F">
      <w:pPr>
        <w:pStyle w:val="24"/>
        <w:rPr>
          <w:rFonts w:asciiTheme="minorHAnsi" w:hAnsiTheme="minorHAnsi" w:eastAsiaTheme="minorEastAsia" w:cstheme="minorBidi"/>
          <w:szCs w:val="22"/>
        </w:rPr>
      </w:pPr>
      <w:r>
        <w:fldChar w:fldCharType="begin"/>
      </w:r>
      <w:r>
        <w:instrText xml:space="preserve"> HYPERLINK \l "_Toc185529155" </w:instrText>
      </w:r>
      <w:r>
        <w:fldChar w:fldCharType="separate"/>
      </w:r>
      <w:r>
        <w:rPr>
          <w:rStyle w:val="32"/>
          <w14:scene3d>
            <w14:lightRig w14:rig="threePt" w14:dir="t">
              <w14:rot w14:lat="0" w14:lon="0" w14:rev="0"/>
            </w14:lightRig>
          </w14:scene3d>
        </w:rPr>
        <w:t xml:space="preserve">6.4 </w:t>
      </w:r>
      <w:r>
        <w:rPr>
          <w:rStyle w:val="32"/>
          <w:rFonts w:hint="eastAsia"/>
        </w:rPr>
        <w:t xml:space="preserve"> 切割（裁网）</w:t>
      </w:r>
      <w:r>
        <w:tab/>
      </w:r>
      <w:r>
        <w:fldChar w:fldCharType="begin"/>
      </w:r>
      <w:r>
        <w:instrText xml:space="preserve"> PAGEREF _Toc185529155 \h </w:instrText>
      </w:r>
      <w:r>
        <w:fldChar w:fldCharType="separate"/>
      </w:r>
      <w:r>
        <w:t>3</w:t>
      </w:r>
      <w:r>
        <w:fldChar w:fldCharType="end"/>
      </w:r>
      <w:r>
        <w:fldChar w:fldCharType="end"/>
      </w:r>
    </w:p>
    <w:p w14:paraId="53ACB76F">
      <w:pPr>
        <w:pStyle w:val="24"/>
        <w:rPr>
          <w:rFonts w:asciiTheme="minorHAnsi" w:hAnsiTheme="minorHAnsi" w:eastAsiaTheme="minorEastAsia" w:cstheme="minorBidi"/>
          <w:szCs w:val="22"/>
        </w:rPr>
      </w:pPr>
      <w:r>
        <w:fldChar w:fldCharType="begin"/>
      </w:r>
      <w:r>
        <w:instrText xml:space="preserve"> HYPERLINK \l "_Toc185529156" </w:instrText>
      </w:r>
      <w:r>
        <w:fldChar w:fldCharType="separate"/>
      </w:r>
      <w:r>
        <w:rPr>
          <w:rStyle w:val="32"/>
          <w14:scene3d>
            <w14:lightRig w14:rig="threePt" w14:dir="t">
              <w14:rot w14:lat="0" w14:lon="0" w14:rev="0"/>
            </w14:lightRig>
          </w14:scene3d>
        </w:rPr>
        <w:t xml:space="preserve">6.5 </w:t>
      </w:r>
      <w:r>
        <w:rPr>
          <w:rStyle w:val="32"/>
          <w:rFonts w:hint="eastAsia"/>
        </w:rPr>
        <w:t xml:space="preserve"> 打磨</w:t>
      </w:r>
      <w:r>
        <w:tab/>
      </w:r>
      <w:r>
        <w:fldChar w:fldCharType="begin"/>
      </w:r>
      <w:r>
        <w:instrText xml:space="preserve"> PAGEREF _Toc185529156 \h </w:instrText>
      </w:r>
      <w:r>
        <w:fldChar w:fldCharType="separate"/>
      </w:r>
      <w:r>
        <w:t>3</w:t>
      </w:r>
      <w:r>
        <w:fldChar w:fldCharType="end"/>
      </w:r>
      <w:r>
        <w:fldChar w:fldCharType="end"/>
      </w:r>
    </w:p>
    <w:p w14:paraId="1B8479A9">
      <w:pPr>
        <w:pStyle w:val="24"/>
        <w:rPr>
          <w:rFonts w:asciiTheme="minorHAnsi" w:hAnsiTheme="minorHAnsi" w:eastAsiaTheme="minorEastAsia" w:cstheme="minorBidi"/>
          <w:szCs w:val="22"/>
        </w:rPr>
      </w:pPr>
      <w:r>
        <w:fldChar w:fldCharType="begin"/>
      </w:r>
      <w:r>
        <w:instrText xml:space="preserve"> HYPERLINK \l "_Toc185529157" </w:instrText>
      </w:r>
      <w:r>
        <w:fldChar w:fldCharType="separate"/>
      </w:r>
      <w:r>
        <w:rPr>
          <w:rStyle w:val="32"/>
          <w14:scene3d>
            <w14:lightRig w14:rig="threePt" w14:dir="t">
              <w14:rot w14:lat="0" w14:lon="0" w14:rev="0"/>
            </w14:lightRig>
          </w14:scene3d>
        </w:rPr>
        <w:t xml:space="preserve">6.6 </w:t>
      </w:r>
      <w:r>
        <w:rPr>
          <w:rStyle w:val="32"/>
          <w:rFonts w:hint="eastAsia"/>
        </w:rPr>
        <w:t xml:space="preserve"> 去膜</w:t>
      </w:r>
      <w:r>
        <w:tab/>
      </w:r>
      <w:r>
        <w:fldChar w:fldCharType="begin"/>
      </w:r>
      <w:r>
        <w:instrText xml:space="preserve"> PAGEREF _Toc185529157 \h </w:instrText>
      </w:r>
      <w:r>
        <w:fldChar w:fldCharType="separate"/>
      </w:r>
      <w:r>
        <w:t>3</w:t>
      </w:r>
      <w:r>
        <w:fldChar w:fldCharType="end"/>
      </w:r>
      <w:r>
        <w:fldChar w:fldCharType="end"/>
      </w:r>
    </w:p>
    <w:p w14:paraId="5654F42D">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"_Toc185529158" </w:instrText>
      </w:r>
      <w:r>
        <w:fldChar w:fldCharType="separate"/>
      </w:r>
      <w:r>
        <w:rPr>
          <w:rStyle w:val="32"/>
        </w:rPr>
        <w:t xml:space="preserve">7 </w:t>
      </w:r>
      <w:r>
        <w:rPr>
          <w:rStyle w:val="32"/>
          <w:rFonts w:hint="eastAsia"/>
        </w:rPr>
        <w:t xml:space="preserve"> </w:t>
      </w:r>
      <w:r>
        <w:rPr>
          <w:rStyle w:val="32"/>
          <w:rFonts w:hint="eastAsia"/>
          <w:lang w:eastAsia="zh-CN"/>
        </w:rPr>
        <w:t>技术</w:t>
      </w:r>
      <w:r>
        <w:rPr>
          <w:rStyle w:val="32"/>
          <w:rFonts w:hint="eastAsia"/>
        </w:rPr>
        <w:t>要求与</w:t>
      </w:r>
      <w:r>
        <w:rPr>
          <w:rStyle w:val="32"/>
          <w:rFonts w:hint="eastAsia"/>
          <w:lang w:eastAsia="zh-CN"/>
        </w:rPr>
        <w:t>质量</w:t>
      </w:r>
      <w:r>
        <w:rPr>
          <w:rStyle w:val="32"/>
          <w:rFonts w:hint="eastAsia"/>
        </w:rPr>
        <w:t>管控</w:t>
      </w:r>
      <w:r>
        <w:tab/>
      </w:r>
      <w:r>
        <w:fldChar w:fldCharType="begin"/>
      </w:r>
      <w:r>
        <w:instrText xml:space="preserve"> PAGEREF _Toc185529158 \h </w:instrText>
      </w:r>
      <w:r>
        <w:fldChar w:fldCharType="separate"/>
      </w:r>
      <w:r>
        <w:t>3</w:t>
      </w:r>
      <w:r>
        <w:fldChar w:fldCharType="end"/>
      </w:r>
      <w:r>
        <w:fldChar w:fldCharType="end"/>
      </w:r>
    </w:p>
    <w:p w14:paraId="086964AC">
      <w:pPr>
        <w:pStyle w:val="24"/>
        <w:rPr>
          <w:rFonts w:asciiTheme="minorHAnsi" w:hAnsiTheme="minorHAnsi" w:eastAsiaTheme="minorEastAsia" w:cstheme="minorBidi"/>
          <w:szCs w:val="22"/>
        </w:rPr>
      </w:pPr>
      <w:r>
        <w:fldChar w:fldCharType="begin"/>
      </w:r>
      <w:r>
        <w:instrText xml:space="preserve"> HYPERLINK \l "_Toc185529159" </w:instrText>
      </w:r>
      <w:r>
        <w:fldChar w:fldCharType="separate"/>
      </w:r>
      <w:r>
        <w:rPr>
          <w:rStyle w:val="32"/>
          <w14:scene3d>
            <w14:lightRig w14:rig="threePt" w14:dir="t">
              <w14:rot w14:lat="0" w14:lon="0" w14:rev="0"/>
            </w14:lightRig>
          </w14:scene3d>
        </w:rPr>
        <w:t xml:space="preserve">7.1 </w:t>
      </w:r>
      <w:r>
        <w:rPr>
          <w:rStyle w:val="32"/>
          <w:rFonts w:hint="eastAsia"/>
        </w:rPr>
        <w:t xml:space="preserve"> 型式尺寸</w:t>
      </w:r>
      <w:r>
        <w:tab/>
      </w:r>
      <w:r>
        <w:fldChar w:fldCharType="begin"/>
      </w:r>
      <w:r>
        <w:instrText xml:space="preserve"> PAGEREF _Toc185529159 \h </w:instrText>
      </w:r>
      <w:r>
        <w:fldChar w:fldCharType="separate"/>
      </w:r>
      <w:r>
        <w:t>3</w:t>
      </w:r>
      <w:r>
        <w:fldChar w:fldCharType="end"/>
      </w:r>
      <w:r>
        <w:fldChar w:fldCharType="end"/>
      </w:r>
    </w:p>
    <w:p w14:paraId="649FD8F8">
      <w:pPr>
        <w:pStyle w:val="24"/>
      </w:pPr>
      <w:r>
        <w:fldChar w:fldCharType="begin"/>
      </w:r>
      <w:r>
        <w:instrText xml:space="preserve"> HYPERLINK \l "_Toc185529160" </w:instrText>
      </w:r>
      <w:r>
        <w:fldChar w:fldCharType="separate"/>
      </w:r>
      <w:r>
        <w:rPr>
          <w:rStyle w:val="32"/>
          <w14:scene3d>
            <w14:lightRig w14:rig="threePt" w14:dir="t">
              <w14:rot w14:lat="0" w14:lon="0" w14:rev="0"/>
            </w14:lightRig>
          </w14:scene3d>
        </w:rPr>
        <w:t xml:space="preserve">7.2 </w:t>
      </w:r>
      <w:r>
        <w:rPr>
          <w:rStyle w:val="32"/>
          <w:rFonts w:hint="eastAsia"/>
        </w:rPr>
        <w:t xml:space="preserve"> 外观质量</w:t>
      </w:r>
      <w:r>
        <w:tab/>
      </w:r>
      <w:r>
        <w:fldChar w:fldCharType="begin"/>
      </w:r>
      <w:r>
        <w:instrText xml:space="preserve"> PAGEREF _Toc185529160 \h </w:instrText>
      </w:r>
      <w:r>
        <w:fldChar w:fldCharType="separate"/>
      </w:r>
      <w:r>
        <w:t>3</w:t>
      </w:r>
      <w:r>
        <w:fldChar w:fldCharType="end"/>
      </w:r>
      <w:r>
        <w:fldChar w:fldCharType="end"/>
      </w:r>
    </w:p>
    <w:p w14:paraId="70200A25">
      <w:pPr>
        <w:pStyle w:val="24"/>
        <w:rPr>
          <w:rFonts w:asciiTheme="minorHAnsi" w:hAnsiTheme="minorHAnsi" w:eastAsiaTheme="minorEastAsia" w:cstheme="minorBidi"/>
          <w:szCs w:val="22"/>
        </w:rPr>
      </w:pPr>
      <w:r>
        <w:fldChar w:fldCharType="begin"/>
      </w:r>
      <w:r>
        <w:instrText xml:space="preserve"> HYPERLINK \l "_Toc185529160" </w:instrText>
      </w:r>
      <w:r>
        <w:fldChar w:fldCharType="separate"/>
      </w:r>
      <w:r>
        <w:rPr>
          <w:rStyle w:val="32"/>
          <w14:scene3d>
            <w14:lightRig w14:rig="threePt" w14:dir="t">
              <w14:rot w14:lat="0" w14:lon="0" w14:rev="0"/>
            </w14:lightRig>
          </w14:scene3d>
        </w:rPr>
        <w:t>7.</w:t>
      </w:r>
      <w:r>
        <w:rPr>
          <w:rStyle w:val="32"/>
          <w:rFonts w:hint="eastAsia"/>
          <w:lang w:val="en-US" w:eastAsia="zh-CN"/>
          <w14:scene3d>
            <w14:lightRig w14:rig="threePt" w14:dir="t">
              <w14:rot w14:lat="0" w14:lon="0" w14:rev="0"/>
            </w14:lightRig>
          </w14:scene3d>
        </w:rPr>
        <w:t>3</w:t>
      </w:r>
      <w:r>
        <w:rPr>
          <w:rStyle w:val="32"/>
          <w14:scene3d>
            <w14:lightRig w14:rig="threePt" w14:dir="t">
              <w14:rot w14:lat="0" w14:lon="0" w14:rev="0"/>
            </w14:lightRig>
          </w14:scene3d>
        </w:rPr>
        <w:t xml:space="preserve"> </w:t>
      </w:r>
      <w:r>
        <w:rPr>
          <w:rStyle w:val="32"/>
          <w:rFonts w:hint="eastAsia"/>
        </w:rPr>
        <w:t xml:space="preserve"> </w:t>
      </w:r>
      <w:r>
        <w:rPr>
          <w:rStyle w:val="32"/>
          <w:rFonts w:hint="eastAsia"/>
          <w:lang w:eastAsia="zh-CN"/>
        </w:rPr>
        <w:t>光热性能</w:t>
      </w:r>
      <w:r>
        <w:tab/>
      </w:r>
      <w:r>
        <w:rPr>
          <w:rFonts w:hint="eastAsia"/>
          <w:lang w:val="en-US" w:eastAsia="zh-CN"/>
        </w:rPr>
        <w:t>4</w:t>
      </w:r>
      <w:r>
        <w:fldChar w:fldCharType="end"/>
      </w:r>
    </w:p>
    <w:p w14:paraId="6813A770">
      <w:pPr>
        <w:pStyle w:val="24"/>
        <w:rPr>
          <w:rFonts w:asciiTheme="minorHAnsi" w:hAnsiTheme="minorHAnsi" w:eastAsiaTheme="minorEastAsia" w:cstheme="minorBidi"/>
          <w:szCs w:val="22"/>
        </w:rPr>
      </w:pPr>
      <w:r>
        <w:fldChar w:fldCharType="begin"/>
      </w:r>
      <w:r>
        <w:instrText xml:space="preserve"> HYPERLINK \l "_Toc185529161" </w:instrText>
      </w:r>
      <w:r>
        <w:fldChar w:fldCharType="separate"/>
      </w:r>
      <w:r>
        <w:rPr>
          <w:rStyle w:val="32"/>
          <w14:scene3d>
            <w14:lightRig w14:rig="threePt" w14:dir="t">
              <w14:rot w14:lat="0" w14:lon="0" w14:rev="0"/>
            </w14:lightRig>
          </w14:scene3d>
        </w:rPr>
        <w:t>7.</w:t>
      </w:r>
      <w:r>
        <w:rPr>
          <w:rStyle w:val="32"/>
          <w:rFonts w:hint="eastAsia"/>
          <w:lang w:val="en-US" w:eastAsia="zh-CN"/>
          <w14:scene3d>
            <w14:lightRig w14:rig="threePt" w14:dir="t">
              <w14:rot w14:lat="0" w14:lon="0" w14:rev="0"/>
            </w14:lightRig>
          </w14:scene3d>
        </w:rPr>
        <w:t>4</w:t>
      </w:r>
      <w:r>
        <w:rPr>
          <w:rStyle w:val="32"/>
          <w14:scene3d>
            <w14:lightRig w14:rig="threePt" w14:dir="t">
              <w14:rot w14:lat="0" w14:lon="0" w14:rev="0"/>
            </w14:lightRig>
          </w14:scene3d>
        </w:rPr>
        <w:t xml:space="preserve"> </w:t>
      </w:r>
      <w:r>
        <w:rPr>
          <w:rStyle w:val="32"/>
          <w:rFonts w:hint="eastAsia"/>
        </w:rPr>
        <w:t xml:space="preserve"> 质量管控</w:t>
      </w:r>
      <w:r>
        <w:tab/>
      </w:r>
      <w:r>
        <w:fldChar w:fldCharType="begin"/>
      </w:r>
      <w:r>
        <w:instrText xml:space="preserve"> PAGEREF _Toc185529161 \h </w:instrText>
      </w:r>
      <w:r>
        <w:fldChar w:fldCharType="separate"/>
      </w:r>
      <w:r>
        <w:t>4</w:t>
      </w:r>
      <w:r>
        <w:fldChar w:fldCharType="end"/>
      </w:r>
      <w:r>
        <w:fldChar w:fldCharType="end"/>
      </w:r>
    </w:p>
    <w:p w14:paraId="06E2D3BB">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"_Toc185529163" </w:instrText>
      </w:r>
      <w:r>
        <w:fldChar w:fldCharType="separate"/>
      </w:r>
      <w:r>
        <w:rPr>
          <w:rFonts w:hint="eastAsia"/>
          <w:lang w:val="en-US" w:eastAsia="zh-CN"/>
        </w:rPr>
        <w:t>8</w:t>
      </w:r>
      <w:r>
        <w:rPr>
          <w:rStyle w:val="32"/>
        </w:rPr>
        <w:t xml:space="preserve"> </w:t>
      </w:r>
      <w:r>
        <w:rPr>
          <w:rStyle w:val="32"/>
          <w:rFonts w:hint="eastAsia"/>
        </w:rPr>
        <w:t xml:space="preserve"> 粉尘防爆安全设计要求</w:t>
      </w:r>
      <w:r>
        <w:tab/>
      </w:r>
      <w:r>
        <w:fldChar w:fldCharType="begin"/>
      </w:r>
      <w:r>
        <w:instrText xml:space="preserve"> PAGEREF _Toc185529163 \h </w:instrText>
      </w:r>
      <w:r>
        <w:fldChar w:fldCharType="separate"/>
      </w:r>
      <w:r>
        <w:t>4</w:t>
      </w:r>
      <w:r>
        <w:fldChar w:fldCharType="end"/>
      </w:r>
      <w:r>
        <w:fldChar w:fldCharType="end"/>
      </w:r>
    </w:p>
    <w:p w14:paraId="3E34A5F1">
      <w:pPr>
        <w:pStyle w:val="19"/>
        <w:tabs>
          <w:tab w:val="right" w:leader="dot" w:pos="9344"/>
        </w:tabs>
        <w:rPr>
          <w:rFonts w:asciiTheme="minorHAnsi" w:hAnsiTheme="minorHAnsi" w:eastAsiaTheme="minorEastAsia" w:cstheme="minorBidi"/>
          <w:szCs w:val="22"/>
        </w:rPr>
      </w:pPr>
      <w:r>
        <w:fldChar w:fldCharType="begin"/>
      </w:r>
      <w:r>
        <w:instrText xml:space="preserve"> HYPERLINK \l "_Toc185529164" </w:instrText>
      </w:r>
      <w:r>
        <w:fldChar w:fldCharType="separate"/>
      </w:r>
      <w:r>
        <w:rPr>
          <w:rFonts w:hint="eastAsia"/>
          <w:lang w:val="en-US" w:eastAsia="zh-CN"/>
        </w:rPr>
        <w:t>9</w:t>
      </w:r>
      <w:r>
        <w:rPr>
          <w:rStyle w:val="32"/>
        </w:rPr>
        <w:t xml:space="preserve"> </w:t>
      </w:r>
      <w:r>
        <w:rPr>
          <w:rStyle w:val="32"/>
          <w:rFonts w:hint="eastAsia"/>
        </w:rPr>
        <w:t xml:space="preserve"> 供需衔接及包装、标志、运输、贮存要求</w:t>
      </w:r>
      <w:r>
        <w:tab/>
      </w:r>
      <w:r>
        <w:fldChar w:fldCharType="begin"/>
      </w:r>
      <w:r>
        <w:instrText xml:space="preserve"> PAGEREF _Toc185529164 \h </w:instrText>
      </w:r>
      <w:r>
        <w:fldChar w:fldCharType="separate"/>
      </w:r>
      <w:r>
        <w:t>4</w:t>
      </w:r>
      <w:r>
        <w:fldChar w:fldCharType="end"/>
      </w:r>
      <w:r>
        <w:fldChar w:fldCharType="end"/>
      </w:r>
    </w:p>
    <w:p w14:paraId="39B3B523">
      <w:pPr>
        <w:pStyle w:val="91"/>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269BE5B4">
      <w:pPr>
        <w:pStyle w:val="89"/>
        <w:spacing w:before="900" w:after="468"/>
      </w:pPr>
      <w:bookmarkStart w:id="26" w:name="_Toc185529145"/>
      <w:bookmarkStart w:id="27" w:name="BookMark2"/>
      <w:r>
        <w:rPr>
          <w:spacing w:val="320"/>
        </w:rPr>
        <w:t>前</w:t>
      </w:r>
      <w:r>
        <w:t>言</w:t>
      </w:r>
      <w:bookmarkEnd w:id="22"/>
      <w:bookmarkEnd w:id="23"/>
      <w:bookmarkEnd w:id="24"/>
      <w:bookmarkEnd w:id="25"/>
      <w:bookmarkEnd w:id="26"/>
    </w:p>
    <w:p w14:paraId="495D7B55">
      <w:pPr>
        <w:pStyle w:val="56"/>
        <w:ind w:firstLine="420"/>
      </w:pPr>
      <w:r>
        <w:rPr>
          <w:rFonts w:hint="eastAsia"/>
        </w:rPr>
        <w:t>本文件按照GB/T 1.1—2020《标准化工作导则  第1部分：标准化文件的结构和起草规则》的规定起草。</w:t>
      </w:r>
    </w:p>
    <w:p w14:paraId="68E7610C">
      <w:pPr>
        <w:pStyle w:val="56"/>
        <w:ind w:firstLine="420"/>
      </w:pPr>
      <w:r>
        <w:rPr>
          <w:rFonts w:hint="eastAsia"/>
        </w:rPr>
        <w:t>请注意本文件的某些内容可能涉及专利。本文件的发布机构不承担识别专利的责任。</w:t>
      </w:r>
    </w:p>
    <w:p w14:paraId="7B13E0D9">
      <w:pPr>
        <w:pStyle w:val="56"/>
        <w:ind w:firstLine="420"/>
      </w:pPr>
      <w:r>
        <w:rPr>
          <w:rFonts w:hint="eastAsia"/>
        </w:rPr>
        <w:t>本文件由衡水市市场监督管理局提出。</w:t>
      </w:r>
    </w:p>
    <w:p w14:paraId="0AA951EB">
      <w:pPr>
        <w:pStyle w:val="56"/>
        <w:ind w:firstLine="420"/>
      </w:pPr>
      <w:r>
        <w:rPr>
          <w:rFonts w:hint="eastAsia"/>
        </w:rPr>
        <w:t>本文件起草单位：安平县汇金网业有限公司、河北阿尔斯建筑装饰工程有限公司。</w:t>
      </w:r>
    </w:p>
    <w:p w14:paraId="1D464F4F">
      <w:pPr>
        <w:pStyle w:val="56"/>
        <w:ind w:firstLine="420"/>
      </w:pPr>
      <w:r>
        <w:rPr>
          <w:rFonts w:hint="eastAsia"/>
        </w:rPr>
        <w:t>本文件主要起草人：薛东辉、</w:t>
      </w:r>
      <w:r>
        <w:rPr>
          <w:rFonts w:hint="eastAsia"/>
          <w:lang w:eastAsia="zh-CN"/>
        </w:rPr>
        <w:t>孔晨、王嵩、王森</w:t>
      </w:r>
      <w:r>
        <w:rPr>
          <w:rFonts w:hint="eastAsia"/>
        </w:rPr>
        <w:t>。</w:t>
      </w:r>
    </w:p>
    <w:p w14:paraId="46B36547">
      <w:pPr>
        <w:pStyle w:val="56"/>
        <w:ind w:firstLine="420"/>
      </w:pPr>
    </w:p>
    <w:p w14:paraId="67838FBA">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7"/>
    <w:p w14:paraId="7988E784">
      <w:pPr>
        <w:spacing w:line="20" w:lineRule="exact"/>
        <w:jc w:val="center"/>
        <w:rPr>
          <w:rFonts w:ascii="黑体" w:hAnsi="黑体" w:eastAsia="黑体"/>
          <w:sz w:val="32"/>
          <w:szCs w:val="32"/>
        </w:rPr>
      </w:pPr>
      <w:bookmarkStart w:id="28" w:name="BookMark4"/>
    </w:p>
    <w:p w14:paraId="2BCE7720">
      <w:pPr>
        <w:spacing w:line="20" w:lineRule="exact"/>
        <w:jc w:val="center"/>
        <w:rPr>
          <w:rFonts w:ascii="黑体" w:hAnsi="黑体" w:eastAsia="黑体"/>
          <w:sz w:val="32"/>
          <w:szCs w:val="32"/>
        </w:rPr>
      </w:pPr>
    </w:p>
    <w:sdt>
      <w:sdtPr>
        <w:tag w:val="NEW_STAND_NAME"/>
        <w:id w:val="595910757"/>
        <w:lock w:val="sdtLocked"/>
        <w:placeholder>
          <w:docPart w:val="B4E2A0BA6C4E401FB6B22506689D1B66"/>
        </w:placeholder>
      </w:sdtPr>
      <w:sdtContent>
        <w:p w14:paraId="3BB27118">
          <w:pPr>
            <w:pStyle w:val="177"/>
            <w:spacing w:before="3" w:beforeLines="1" w:after="686" w:afterLines="220"/>
          </w:pPr>
          <w:bookmarkStart w:id="29" w:name="NEW_STAND_NAME"/>
          <w:r>
            <w:rPr>
              <w:rFonts w:hint="eastAsia"/>
            </w:rPr>
            <w:t>玻璃幕内置节能网设计技术规范</w:t>
          </w:r>
        </w:p>
      </w:sdtContent>
    </w:sdt>
    <w:bookmarkEnd w:id="29"/>
    <w:p w14:paraId="204F4F23">
      <w:pPr>
        <w:pStyle w:val="104"/>
        <w:spacing w:before="312" w:after="312"/>
      </w:pPr>
      <w:bookmarkStart w:id="30" w:name="_Toc185268158"/>
      <w:bookmarkStart w:id="31" w:name="_Toc17233325"/>
      <w:bookmarkStart w:id="32" w:name="_Toc184829607"/>
      <w:bookmarkStart w:id="33" w:name="_Toc26648465"/>
      <w:bookmarkStart w:id="34" w:name="_Toc97191423"/>
      <w:bookmarkStart w:id="35" w:name="_Toc17233333"/>
      <w:bookmarkStart w:id="36" w:name="_Toc26986530"/>
      <w:bookmarkStart w:id="37" w:name="_Toc185440611"/>
      <w:bookmarkStart w:id="38" w:name="_Toc24884218"/>
      <w:bookmarkStart w:id="39" w:name="_Toc185529146"/>
      <w:bookmarkStart w:id="40" w:name="_Toc24884211"/>
      <w:bookmarkStart w:id="41" w:name="_Toc26718930"/>
      <w:bookmarkStart w:id="42" w:name="_Toc184829551"/>
      <w:bookmarkStart w:id="43" w:name="_Toc26986771"/>
      <w:r>
        <w:rPr>
          <w:rFonts w:hint="eastAsia"/>
        </w:rPr>
        <w:t>范围</w:t>
      </w:r>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6AAAAE8">
      <w:pPr>
        <w:pStyle w:val="56"/>
        <w:ind w:firstLine="420"/>
      </w:pPr>
      <w:bookmarkStart w:id="44" w:name="_Toc26648466"/>
      <w:bookmarkStart w:id="45" w:name="_Toc17233334"/>
      <w:bookmarkStart w:id="46" w:name="_Toc24884219"/>
      <w:bookmarkStart w:id="47" w:name="_Toc24884212"/>
      <w:bookmarkStart w:id="48" w:name="_Toc17233326"/>
      <w:r>
        <w:rPr>
          <w:rFonts w:hint="eastAsia"/>
        </w:rPr>
        <w:t>本文件规定了玻璃幕内置节能网的术语和定义，设计原则，选材要求，主要工艺过程设计，</w:t>
      </w:r>
      <w:r>
        <w:rPr>
          <w:rFonts w:hint="eastAsia"/>
          <w:lang w:eastAsia="zh-CN"/>
        </w:rPr>
        <w:t>技术</w:t>
      </w:r>
      <w:r>
        <w:rPr>
          <w:rFonts w:hint="eastAsia"/>
        </w:rPr>
        <w:t>要求与质量管控，粉尘防爆安全设计要求，供需衔接及标志、包装、运输、贮存要求。</w:t>
      </w:r>
    </w:p>
    <w:p w14:paraId="17B1B786">
      <w:pPr>
        <w:pStyle w:val="56"/>
        <w:ind w:firstLine="420"/>
      </w:pPr>
      <w:r>
        <w:rPr>
          <w:rFonts w:hint="eastAsia"/>
        </w:rPr>
        <w:t>本文件适用于由铝合金薄板制作的、安装在北纬36°0～42°40、建筑采光顶中空玻璃内的拉伸网的设计。</w:t>
      </w:r>
    </w:p>
    <w:p w14:paraId="7350B810">
      <w:pPr>
        <w:pStyle w:val="104"/>
        <w:spacing w:before="312" w:after="312"/>
      </w:pPr>
      <w:bookmarkStart w:id="49" w:name="_Toc26986531"/>
      <w:bookmarkStart w:id="50" w:name="_Toc184829608"/>
      <w:bookmarkStart w:id="51" w:name="_Toc185440612"/>
      <w:bookmarkStart w:id="52" w:name="_Toc97191424"/>
      <w:bookmarkStart w:id="53" w:name="_Toc185529147"/>
      <w:bookmarkStart w:id="54" w:name="_Toc26986772"/>
      <w:bookmarkStart w:id="55" w:name="_Toc26718931"/>
      <w:bookmarkStart w:id="56" w:name="_Toc185268159"/>
      <w:bookmarkStart w:id="57" w:name="_Toc184829552"/>
      <w:r>
        <w:rPr>
          <w:rFonts w:hint="eastAsia"/>
        </w:rPr>
        <w:t>规范性引用文件</w:t>
      </w:r>
      <w:bookmarkEnd w:id="44"/>
      <w:bookmarkEnd w:id="45"/>
      <w:bookmarkEnd w:id="46"/>
      <w:bookmarkEnd w:id="47"/>
      <w:bookmarkEnd w:id="48"/>
      <w:bookmarkEnd w:id="49"/>
      <w:bookmarkEnd w:id="50"/>
      <w:bookmarkEnd w:id="51"/>
      <w:bookmarkEnd w:id="52"/>
      <w:bookmarkEnd w:id="53"/>
      <w:bookmarkEnd w:id="54"/>
      <w:bookmarkEnd w:id="55"/>
      <w:bookmarkEnd w:id="56"/>
      <w:bookmarkEnd w:id="57"/>
    </w:p>
    <w:sdt>
      <w:sdtPr>
        <w:rPr>
          <w:rFonts w:hint="eastAsia"/>
        </w:rPr>
        <w:id w:val="715848253"/>
        <w:placeholder>
          <w:docPart w:val="8D0C7A3A1C2E4AC68328D2289B57F66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42EDD5DD">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0ABB334">
      <w:pPr>
        <w:pStyle w:val="56"/>
        <w:ind w:firstLine="420"/>
      </w:pPr>
      <w:r>
        <w:rPr>
          <w:rFonts w:hint="eastAsia"/>
        </w:rPr>
        <w:t>GB/T 3190  变形铝及铝合金牌号化学成分</w:t>
      </w:r>
    </w:p>
    <w:p w14:paraId="46F13711">
      <w:pPr>
        <w:pStyle w:val="56"/>
        <w:ind w:firstLine="420"/>
      </w:pPr>
      <w:r>
        <w:rPr>
          <w:rFonts w:hint="eastAsia"/>
        </w:rPr>
        <w:t>GB/T 3199  铝及铝合金加工产品 包装、标志、运输、贮存</w:t>
      </w:r>
    </w:p>
    <w:p w14:paraId="543EB5C9">
      <w:pPr>
        <w:pStyle w:val="56"/>
        <w:ind w:firstLine="420"/>
      </w:pPr>
      <w:r>
        <w:rPr>
          <w:rFonts w:hint="eastAsia"/>
        </w:rPr>
        <w:t>GB/T 3880.2  一般工业用铝及铝合金板、带材 第2部分：力学性能</w:t>
      </w:r>
    </w:p>
    <w:p w14:paraId="12897C79">
      <w:pPr>
        <w:pStyle w:val="56"/>
        <w:ind w:firstLine="420"/>
      </w:pPr>
      <w:r>
        <w:rPr>
          <w:rFonts w:hint="eastAsia"/>
        </w:rPr>
        <w:t>GB/T 3880.3  一般工业用铝及铝合金板、带材 第2部分：尺寸偏差</w:t>
      </w:r>
    </w:p>
    <w:p w14:paraId="10B6691E">
      <w:pPr>
        <w:pStyle w:val="56"/>
        <w:ind w:firstLine="420"/>
      </w:pPr>
      <w:r>
        <w:rPr>
          <w:rFonts w:hint="eastAsia"/>
        </w:rPr>
        <w:t>GB/T 29590-2013  企业现场管理准则</w:t>
      </w:r>
    </w:p>
    <w:p w14:paraId="7E72F698">
      <w:pPr>
        <w:pStyle w:val="56"/>
        <w:ind w:firstLine="420"/>
      </w:pPr>
      <w:r>
        <w:rPr>
          <w:rFonts w:hint="eastAsia"/>
        </w:rPr>
        <w:t>GB/T 33217-2016  冲压件毛刺高度</w:t>
      </w:r>
    </w:p>
    <w:p w14:paraId="5719C702">
      <w:pPr>
        <w:pStyle w:val="56"/>
        <w:ind w:firstLine="420"/>
      </w:pPr>
      <w:r>
        <w:rPr>
          <w:rFonts w:hint="eastAsia"/>
        </w:rPr>
        <w:t>GB/T 40871  塑料薄膜热覆合钢板及钢带</w:t>
      </w:r>
    </w:p>
    <w:p w14:paraId="6DFB551F">
      <w:pPr>
        <w:pStyle w:val="104"/>
        <w:spacing w:before="312" w:after="312"/>
      </w:pPr>
      <w:bookmarkStart w:id="58" w:name="_Toc184829609"/>
      <w:bookmarkStart w:id="59" w:name="_Toc184829553"/>
      <w:bookmarkStart w:id="60" w:name="_Toc185268160"/>
      <w:bookmarkStart w:id="61" w:name="_Toc185529148"/>
      <w:bookmarkStart w:id="62" w:name="_Toc97191425"/>
      <w:bookmarkStart w:id="63" w:name="_Toc185440613"/>
      <w:r>
        <w:rPr>
          <w:rFonts w:hint="eastAsia"/>
          <w:szCs w:val="21"/>
        </w:rPr>
        <w:t>术语和定义</w:t>
      </w:r>
      <w:bookmarkEnd w:id="58"/>
      <w:bookmarkEnd w:id="59"/>
      <w:bookmarkEnd w:id="60"/>
      <w:bookmarkEnd w:id="61"/>
      <w:bookmarkEnd w:id="62"/>
      <w:bookmarkEnd w:id="63"/>
    </w:p>
    <w:p w14:paraId="2BB7CE3B">
      <w:pPr>
        <w:pStyle w:val="56"/>
        <w:ind w:firstLine="420"/>
      </w:pPr>
      <w:bookmarkStart w:id="64" w:name="_Toc26986532"/>
      <w:bookmarkEnd w:id="64"/>
      <w:sdt>
        <w:sdtPr>
          <w:id w:val="-1909835108"/>
          <w:placeholder>
            <w:docPart w:val="3CF3966238DC4A03A3EC2C3C7D930A3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r>
            <w:t>下列术语和定义适用于本文件。</w:t>
          </w:r>
        </w:sdtContent>
      </w:sdt>
    </w:p>
    <w:p w14:paraId="299465F8">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玻璃幕内置节能网</w:t>
      </w:r>
    </w:p>
    <w:p w14:paraId="1FD50B15">
      <w:pPr>
        <w:pStyle w:val="56"/>
        <w:ind w:firstLine="420"/>
      </w:pPr>
      <w:r>
        <w:rPr>
          <w:rFonts w:hint="eastAsia"/>
        </w:rPr>
        <w:t>安装在建筑物采光顶中空玻璃内，用于遮挡或调节太阳辐射以达到节能等效果的铝合金薄板拉伸网。如图1所示。</w:t>
      </w:r>
    </w:p>
    <w:p w14:paraId="6DF2FD2C">
      <w:pPr>
        <w:pStyle w:val="56"/>
        <w:ind w:firstLine="420"/>
        <w:jc w:val="center"/>
      </w:pPr>
      <w:r>
        <w:drawing>
          <wp:inline distT="0" distB="0" distL="0" distR="0">
            <wp:extent cx="4953000" cy="1864995"/>
            <wp:effectExtent l="0" t="0" r="0" b="1905"/>
            <wp:docPr id="6" name="图片 6" descr="F:\冯子原入职资料（衡水）\8c0404eb2320a5299ad288ae53bfdc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冯子原入职资料（衡水）\8c0404eb2320a5299ad288ae53bfdc7.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953419" cy="1865328"/>
                    </a:xfrm>
                    <a:prstGeom prst="rect">
                      <a:avLst/>
                    </a:prstGeom>
                    <a:noFill/>
                    <a:ln>
                      <a:noFill/>
                    </a:ln>
                  </pic:spPr>
                </pic:pic>
              </a:graphicData>
            </a:graphic>
          </wp:inline>
        </w:drawing>
      </w:r>
    </w:p>
    <w:p w14:paraId="4AA84661">
      <w:pPr>
        <w:pStyle w:val="56"/>
        <w:ind w:firstLine="420"/>
        <w:jc w:val="center"/>
      </w:pPr>
      <w:r>
        <w:drawing>
          <wp:inline distT="0" distB="0" distL="0" distR="0">
            <wp:extent cx="4968240" cy="1564640"/>
            <wp:effectExtent l="0" t="0" r="3810" b="0"/>
            <wp:docPr id="4" name="图片 4" descr="C:\Users\Administrator\Desktop\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小.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4998775" cy="1574089"/>
                    </a:xfrm>
                    <a:prstGeom prst="rect">
                      <a:avLst/>
                    </a:prstGeom>
                    <a:noFill/>
                    <a:ln>
                      <a:noFill/>
                    </a:ln>
                  </pic:spPr>
                </pic:pic>
              </a:graphicData>
            </a:graphic>
          </wp:inline>
        </w:drawing>
      </w:r>
    </w:p>
    <w:p w14:paraId="6301E2E2">
      <w:pPr>
        <w:pStyle w:val="56"/>
        <w:ind w:firstLine="420"/>
      </w:pPr>
    </w:p>
    <w:p w14:paraId="4825DBFC">
      <w:pPr>
        <w:pStyle w:val="179"/>
      </w:pPr>
      <w:r>
        <w:rPr>
          <w:rFonts w:hint="eastAsia"/>
        </w:rPr>
        <w:t>TB</w:t>
      </w:r>
      <w:r>
        <w:t>—</w:t>
      </w:r>
      <w:r>
        <w:rPr>
          <w:rFonts w:hint="eastAsia"/>
        </w:rPr>
        <w:t>长节距；</w:t>
      </w:r>
    </w:p>
    <w:p w14:paraId="3D0F3D35">
      <w:pPr>
        <w:pStyle w:val="56"/>
        <w:ind w:firstLine="420"/>
      </w:pPr>
      <w:r>
        <w:rPr>
          <w:rFonts w:hint="eastAsia"/>
        </w:rPr>
        <w:t xml:space="preserve">   TL</w:t>
      </w:r>
      <w:r>
        <w:t>—</w:t>
      </w:r>
      <w:r>
        <w:rPr>
          <w:rFonts w:hint="eastAsia"/>
        </w:rPr>
        <w:t>短节距；</w:t>
      </w:r>
    </w:p>
    <w:p w14:paraId="354156C8">
      <w:pPr>
        <w:pStyle w:val="56"/>
        <w:ind w:firstLine="420"/>
      </w:pPr>
      <w:r>
        <w:rPr>
          <w:rFonts w:hint="eastAsia"/>
        </w:rPr>
        <w:t xml:space="preserve">   b</w:t>
      </w:r>
      <w:r>
        <w:t>—</w:t>
      </w:r>
      <w:r>
        <w:rPr>
          <w:rFonts w:hint="eastAsia"/>
        </w:rPr>
        <w:t>梗宽；</w:t>
      </w:r>
    </w:p>
    <w:p w14:paraId="1C8CDA73">
      <w:pPr>
        <w:pStyle w:val="56"/>
        <w:ind w:firstLine="420"/>
      </w:pPr>
      <w:r>
        <w:rPr>
          <w:rFonts w:hint="eastAsia"/>
        </w:rPr>
        <w:t xml:space="preserve">   d</w:t>
      </w:r>
      <w:r>
        <w:t>—</w:t>
      </w:r>
      <w:r>
        <w:rPr>
          <w:rFonts w:hint="eastAsia"/>
        </w:rPr>
        <w:t>板厚；</w:t>
      </w:r>
    </w:p>
    <w:p w14:paraId="2163BE20">
      <w:pPr>
        <w:pStyle w:val="56"/>
        <w:ind w:firstLine="420"/>
      </w:pPr>
      <w:r>
        <w:rPr>
          <w:rFonts w:hint="eastAsia"/>
        </w:rPr>
        <w:t xml:space="preserve">   p</w:t>
      </w:r>
      <w:r>
        <w:t>—</w:t>
      </w:r>
      <w:r>
        <w:rPr>
          <w:rFonts w:hint="eastAsia"/>
        </w:rPr>
        <w:t>平尖。</w:t>
      </w:r>
    </w:p>
    <w:p w14:paraId="23272AB3">
      <w:pPr>
        <w:pStyle w:val="56"/>
        <w:ind w:firstLine="420"/>
      </w:pPr>
    </w:p>
    <w:p w14:paraId="6122EB17">
      <w:pPr>
        <w:pStyle w:val="114"/>
        <w:spacing w:before="156" w:after="156"/>
      </w:pPr>
      <w:r>
        <w:rPr>
          <w:rFonts w:hint="eastAsia"/>
        </w:rPr>
        <w:t>玻璃幕内置节能网示意图</w:t>
      </w:r>
    </w:p>
    <w:p w14:paraId="25F197BB">
      <w:pPr>
        <w:pStyle w:val="104"/>
        <w:spacing w:before="312" w:after="312"/>
      </w:pPr>
      <w:bookmarkStart w:id="65" w:name="_Toc184829554"/>
      <w:bookmarkStart w:id="66" w:name="_Toc185440614"/>
      <w:bookmarkStart w:id="67" w:name="_Toc185268161"/>
      <w:bookmarkStart w:id="68" w:name="_Toc184829610"/>
      <w:bookmarkStart w:id="69" w:name="_Toc185529149"/>
      <w:r>
        <w:rPr>
          <w:rFonts w:hint="eastAsia"/>
        </w:rPr>
        <w:t>设计原则</w:t>
      </w:r>
      <w:bookmarkEnd w:id="65"/>
      <w:bookmarkEnd w:id="66"/>
      <w:bookmarkEnd w:id="67"/>
      <w:bookmarkEnd w:id="68"/>
      <w:bookmarkEnd w:id="69"/>
    </w:p>
    <w:p w14:paraId="3F1CE61D">
      <w:pPr>
        <w:pStyle w:val="162"/>
      </w:pPr>
      <w:r>
        <w:rPr>
          <w:rFonts w:hint="eastAsia"/>
        </w:rPr>
        <w:t>玻璃幕内置节能网选材、工艺、质控、指标等均应满足设计要求，并符合相关标准。应加强过程管理和资料留存，做到可溯可查。必要时，需方代表可驻厂监督。</w:t>
      </w:r>
    </w:p>
    <w:p w14:paraId="664C66E6">
      <w:pPr>
        <w:pStyle w:val="162"/>
      </w:pPr>
      <w:r>
        <w:rPr>
          <w:rFonts w:hint="eastAsia"/>
        </w:rPr>
        <w:t>为确保玻璃幕内置节能网质量稳定可靠，在材料选型确认后，应一次备足所需材料。</w:t>
      </w:r>
    </w:p>
    <w:p w14:paraId="68E4B273">
      <w:pPr>
        <w:pStyle w:val="162"/>
      </w:pPr>
      <w:r>
        <w:rPr>
          <w:rFonts w:hint="eastAsia"/>
        </w:rPr>
        <w:t>玻璃幕内置节能网在满足采光、隔热和保温等功能要求的同时，不应对周围环境产生有害反射光的影响及其他的潜在危害，或通过产品集成达到相关标准要求。</w:t>
      </w:r>
    </w:p>
    <w:p w14:paraId="7D466A4C">
      <w:pPr>
        <w:pStyle w:val="162"/>
      </w:pPr>
      <w:r>
        <w:rPr>
          <w:rFonts w:hint="eastAsia"/>
        </w:rPr>
        <w:t>在不影响产品性能的前提下，应本着资源节约的原则实现产品轻量化。</w:t>
      </w:r>
    </w:p>
    <w:p w14:paraId="6188F9F2">
      <w:pPr>
        <w:pStyle w:val="162"/>
      </w:pPr>
      <w:r>
        <w:rPr>
          <w:rFonts w:hint="eastAsia"/>
        </w:rPr>
        <w:t>节能网生产企业应严格执行粉尘防爆安全相关标准，杜绝事故隐患。</w:t>
      </w:r>
    </w:p>
    <w:p w14:paraId="42D5551B">
      <w:pPr>
        <w:pStyle w:val="162"/>
      </w:pPr>
      <w:r>
        <w:rPr>
          <w:rFonts w:hint="eastAsia"/>
        </w:rPr>
        <w:t>玻璃幕内置节能网的设计使用寿命应不低于与之配套的采光玻璃的使用寿命，预期20年以上。</w:t>
      </w:r>
    </w:p>
    <w:p w14:paraId="4C7912E2">
      <w:pPr>
        <w:pStyle w:val="104"/>
        <w:spacing w:before="312" w:after="312"/>
      </w:pPr>
      <w:bookmarkStart w:id="70" w:name="_Toc184829555"/>
      <w:bookmarkStart w:id="71" w:name="_Toc185440615"/>
      <w:bookmarkStart w:id="72" w:name="_Toc185529150"/>
      <w:bookmarkStart w:id="73" w:name="_Toc184829611"/>
      <w:bookmarkStart w:id="74" w:name="_Toc185268162"/>
      <w:r>
        <w:rPr>
          <w:rFonts w:hint="eastAsia"/>
        </w:rPr>
        <w:t>选材要求</w:t>
      </w:r>
      <w:bookmarkEnd w:id="70"/>
      <w:bookmarkEnd w:id="71"/>
      <w:bookmarkEnd w:id="72"/>
      <w:bookmarkEnd w:id="73"/>
      <w:bookmarkEnd w:id="74"/>
    </w:p>
    <w:p w14:paraId="15078897">
      <w:pPr>
        <w:pStyle w:val="162"/>
      </w:pPr>
      <w:r>
        <w:rPr>
          <w:rFonts w:hint="eastAsia"/>
        </w:rPr>
        <w:t>应选用牌号为3003，供货状态为H24的双面覆膜铝合金薄板。板材的化学成分应符合GB/T3190的有关规定，力学性能应符合GB/T3880.2的有关规定。</w:t>
      </w:r>
    </w:p>
    <w:p w14:paraId="574B0250">
      <w:pPr>
        <w:pStyle w:val="162"/>
      </w:pPr>
      <w:r>
        <w:rPr>
          <w:rFonts w:hint="eastAsia"/>
        </w:rPr>
        <w:t>铝合金薄板覆膜应为聚乙烯材料，厚度为0.02mm，其允许偏差、外观质量、缩进量、完整性、耐划伤性、抗冲击性、耐蚀性等技术要求应符合GB/T 40871的有关规定。</w:t>
      </w:r>
    </w:p>
    <w:p w14:paraId="1A2020B5">
      <w:pPr>
        <w:pStyle w:val="162"/>
      </w:pPr>
      <w:r>
        <w:rPr>
          <w:rFonts w:hint="eastAsia"/>
        </w:rPr>
        <w:t>铝合金薄板的长度为4000mm、宽度为 1800mm、厚度为1.00mm，其允许偏差及不平度、侧边弯曲度、对角线、中凸度、粗糙度、错位、塔形等外观质量应符合GB/T3880.3的有关规定。</w:t>
      </w:r>
    </w:p>
    <w:p w14:paraId="61237619">
      <w:pPr>
        <w:pStyle w:val="162"/>
      </w:pPr>
      <w:r>
        <w:rPr>
          <w:rFonts w:hint="eastAsia"/>
        </w:rPr>
        <w:t>铝合金薄板的疲劳性能、断裂韧度、残余应力、压缩性能、冲击韧性等技术指标，需方有要求时，由供需双方确定，并在合同（或订货单）中注明。</w:t>
      </w:r>
    </w:p>
    <w:p w14:paraId="1CF14EF2">
      <w:pPr>
        <w:pStyle w:val="104"/>
        <w:spacing w:before="312" w:after="312"/>
      </w:pPr>
      <w:bookmarkStart w:id="75" w:name="_Toc184829612"/>
      <w:bookmarkStart w:id="76" w:name="_Toc184829556"/>
      <w:bookmarkStart w:id="77" w:name="_Toc185440616"/>
      <w:bookmarkStart w:id="78" w:name="_Toc185268163"/>
      <w:bookmarkStart w:id="79" w:name="_Toc185529151"/>
      <w:r>
        <w:rPr>
          <w:rFonts w:hint="eastAsia"/>
        </w:rPr>
        <w:t>主要工艺过程设计</w:t>
      </w:r>
      <w:bookmarkEnd w:id="75"/>
      <w:bookmarkEnd w:id="76"/>
      <w:bookmarkEnd w:id="77"/>
      <w:bookmarkEnd w:id="78"/>
      <w:bookmarkEnd w:id="79"/>
    </w:p>
    <w:p w14:paraId="65D16BEF">
      <w:pPr>
        <w:pStyle w:val="105"/>
        <w:spacing w:before="156" w:after="156"/>
      </w:pPr>
      <w:bookmarkStart w:id="80" w:name="_Toc184829557"/>
      <w:bookmarkStart w:id="81" w:name="_Toc185268164"/>
      <w:bookmarkStart w:id="82" w:name="_Toc184829613"/>
      <w:bookmarkStart w:id="83" w:name="_Toc185440617"/>
      <w:bookmarkStart w:id="84" w:name="_Toc185529152"/>
      <w:r>
        <w:rPr>
          <w:rFonts w:hint="eastAsia"/>
        </w:rPr>
        <w:t>主要工艺流程</w:t>
      </w:r>
      <w:bookmarkEnd w:id="80"/>
      <w:bookmarkEnd w:id="81"/>
      <w:bookmarkEnd w:id="82"/>
      <w:bookmarkEnd w:id="83"/>
      <w:bookmarkEnd w:id="84"/>
    </w:p>
    <w:p w14:paraId="08AD58FF">
      <w:pPr>
        <w:pStyle w:val="56"/>
        <w:ind w:firstLine="420"/>
      </w:pPr>
      <w:r>
        <w:rPr>
          <w:rFonts w:hint="eastAsia"/>
        </w:rPr>
        <w:t>节能网主要工艺应按图2所示的流程进行生产。</w:t>
      </w:r>
    </w:p>
    <w:p w14:paraId="29ACFB03">
      <w:pPr>
        <w:pStyle w:val="56"/>
        <w:ind w:firstLine="420"/>
        <w:jc w:val="left"/>
      </w:pPr>
      <w:r>
        <w:rPr>
          <w:rFonts w:hint="eastAsia"/>
        </w:rPr>
        <w:drawing>
          <wp:inline distT="0" distB="0" distL="114300" distR="114300">
            <wp:extent cx="5750560" cy="720090"/>
            <wp:effectExtent l="0" t="0" r="2540" b="3810"/>
            <wp:docPr id="8" name="图片 8" descr="784f461b6b5f1f3592019f86d4584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784f461b6b5f1f3592019f86d4584e4"/>
                    <pic:cNvPicPr>
                      <a:picLocks noChangeAspect="1"/>
                    </pic:cNvPicPr>
                  </pic:nvPicPr>
                  <pic:blipFill>
                    <a:blip r:embed="rId18"/>
                    <a:stretch>
                      <a:fillRect/>
                    </a:stretch>
                  </pic:blipFill>
                  <pic:spPr>
                    <a:xfrm>
                      <a:off x="0" y="0"/>
                      <a:ext cx="5750560" cy="720090"/>
                    </a:xfrm>
                    <a:prstGeom prst="rect">
                      <a:avLst/>
                    </a:prstGeom>
                  </pic:spPr>
                </pic:pic>
              </a:graphicData>
            </a:graphic>
          </wp:inline>
        </w:drawing>
      </w:r>
    </w:p>
    <w:p w14:paraId="118A55E8">
      <w:pPr>
        <w:pStyle w:val="114"/>
        <w:spacing w:before="156" w:after="156"/>
      </w:pPr>
      <w:r>
        <w:rPr>
          <w:rFonts w:hint="eastAsia"/>
        </w:rPr>
        <w:t>节能网主要工艺流程图</w:t>
      </w:r>
    </w:p>
    <w:p w14:paraId="4E354CEC">
      <w:pPr>
        <w:pStyle w:val="56"/>
        <w:ind w:firstLine="420"/>
      </w:pPr>
    </w:p>
    <w:p w14:paraId="0025A48F">
      <w:pPr>
        <w:pStyle w:val="105"/>
        <w:spacing w:before="156" w:after="156"/>
      </w:pPr>
      <w:bookmarkStart w:id="85" w:name="_Toc185440618"/>
      <w:bookmarkStart w:id="86" w:name="_Toc184829614"/>
      <w:bookmarkStart w:id="87" w:name="_Toc184829558"/>
      <w:bookmarkStart w:id="88" w:name="_Toc185268165"/>
      <w:bookmarkStart w:id="89" w:name="_Toc185529153"/>
      <w:r>
        <w:rPr>
          <w:rFonts w:hint="eastAsia"/>
        </w:rPr>
        <w:t>冲拉</w:t>
      </w:r>
      <w:bookmarkEnd w:id="85"/>
      <w:bookmarkEnd w:id="86"/>
      <w:bookmarkEnd w:id="87"/>
      <w:bookmarkEnd w:id="88"/>
      <w:bookmarkEnd w:id="89"/>
    </w:p>
    <w:p w14:paraId="7BEAEDAD">
      <w:pPr>
        <w:pStyle w:val="56"/>
        <w:ind w:firstLine="420"/>
      </w:pPr>
      <w:r>
        <w:rPr>
          <w:rFonts w:hint="eastAsia"/>
        </w:rPr>
        <w:t>采用满足精度要求的刀具（模具）进行冲压、剪切、拉伸。</w:t>
      </w:r>
    </w:p>
    <w:p w14:paraId="0242E67A">
      <w:pPr>
        <w:pStyle w:val="105"/>
        <w:spacing w:before="156" w:after="156"/>
      </w:pPr>
      <w:bookmarkStart w:id="90" w:name="_Toc185440619"/>
      <w:bookmarkStart w:id="91" w:name="_Toc185268166"/>
      <w:bookmarkStart w:id="92" w:name="_Toc184829559"/>
      <w:bookmarkStart w:id="93" w:name="_Toc184829615"/>
      <w:bookmarkStart w:id="94" w:name="_Toc185529154"/>
      <w:r>
        <w:rPr>
          <w:rFonts w:hint="eastAsia"/>
        </w:rPr>
        <w:t>整平</w:t>
      </w:r>
      <w:bookmarkEnd w:id="90"/>
      <w:bookmarkEnd w:id="91"/>
      <w:bookmarkEnd w:id="92"/>
      <w:bookmarkEnd w:id="93"/>
      <w:bookmarkEnd w:id="94"/>
    </w:p>
    <w:p w14:paraId="5C22F84D">
      <w:pPr>
        <w:pStyle w:val="56"/>
        <w:ind w:firstLine="420"/>
      </w:pPr>
      <w:r>
        <w:rPr>
          <w:rFonts w:hint="eastAsia"/>
        </w:rPr>
        <w:t>采用整平机对网面进行轧平，整平机工作面宽度应大于网面宽度，网面及网孔不应出现影响使用性能的变形。</w:t>
      </w:r>
    </w:p>
    <w:p w14:paraId="227A1E10">
      <w:pPr>
        <w:pStyle w:val="105"/>
        <w:spacing w:before="156" w:after="156"/>
      </w:pPr>
      <w:bookmarkStart w:id="95" w:name="_Toc185440620"/>
      <w:bookmarkStart w:id="96" w:name="_Toc184829616"/>
      <w:bookmarkStart w:id="97" w:name="_Toc184829560"/>
      <w:bookmarkStart w:id="98" w:name="_Toc185268167"/>
      <w:bookmarkStart w:id="99" w:name="_Toc185529155"/>
      <w:r>
        <w:rPr>
          <w:rFonts w:hint="eastAsia"/>
        </w:rPr>
        <w:t>切割（裁网）</w:t>
      </w:r>
      <w:bookmarkEnd w:id="95"/>
      <w:bookmarkEnd w:id="96"/>
      <w:bookmarkEnd w:id="97"/>
      <w:bookmarkEnd w:id="98"/>
      <w:bookmarkEnd w:id="99"/>
    </w:p>
    <w:p w14:paraId="7C8667E5">
      <w:pPr>
        <w:pStyle w:val="56"/>
        <w:ind w:firstLine="420"/>
      </w:pPr>
      <w:r>
        <w:rPr>
          <w:rFonts w:hint="eastAsia"/>
        </w:rPr>
        <w:t>切割（裁网）优先选用激光切割，避免损坏网的丝梗，特殊要求除外。</w:t>
      </w:r>
    </w:p>
    <w:p w14:paraId="2CCCB5E9">
      <w:pPr>
        <w:pStyle w:val="105"/>
        <w:spacing w:before="156" w:after="156"/>
      </w:pPr>
      <w:bookmarkStart w:id="100" w:name="_Toc184829561"/>
      <w:bookmarkStart w:id="101" w:name="_Toc185268168"/>
      <w:bookmarkStart w:id="102" w:name="_Toc184829617"/>
      <w:bookmarkStart w:id="103" w:name="_Toc185440621"/>
      <w:bookmarkStart w:id="104" w:name="_Toc185529156"/>
      <w:r>
        <w:rPr>
          <w:rFonts w:hint="eastAsia"/>
        </w:rPr>
        <w:t>打磨</w:t>
      </w:r>
      <w:bookmarkEnd w:id="100"/>
      <w:bookmarkEnd w:id="101"/>
      <w:bookmarkEnd w:id="102"/>
      <w:bookmarkEnd w:id="103"/>
      <w:bookmarkEnd w:id="104"/>
    </w:p>
    <w:p w14:paraId="4D000192">
      <w:pPr>
        <w:pStyle w:val="56"/>
        <w:ind w:firstLine="420"/>
      </w:pPr>
      <w:r>
        <w:rPr>
          <w:rFonts w:hint="eastAsia"/>
        </w:rPr>
        <w:t>采用角磨机对网片边缘进行打磨，去除毛刺。</w:t>
      </w:r>
    </w:p>
    <w:p w14:paraId="20DD8D80">
      <w:pPr>
        <w:pStyle w:val="105"/>
        <w:spacing w:before="156" w:after="156"/>
      </w:pPr>
      <w:bookmarkStart w:id="105" w:name="_Toc184829562"/>
      <w:bookmarkStart w:id="106" w:name="_Toc185268169"/>
      <w:bookmarkStart w:id="107" w:name="_Toc185529157"/>
      <w:bookmarkStart w:id="108" w:name="_Toc184829618"/>
      <w:bookmarkStart w:id="109" w:name="_Toc185440622"/>
      <w:r>
        <w:rPr>
          <w:rFonts w:hint="eastAsia"/>
        </w:rPr>
        <w:t>去膜</w:t>
      </w:r>
      <w:bookmarkEnd w:id="105"/>
      <w:bookmarkEnd w:id="106"/>
      <w:bookmarkEnd w:id="107"/>
      <w:bookmarkEnd w:id="108"/>
      <w:bookmarkEnd w:id="109"/>
    </w:p>
    <w:p w14:paraId="1AA2C212">
      <w:pPr>
        <w:pStyle w:val="56"/>
        <w:ind w:firstLine="420"/>
      </w:pPr>
      <w:r>
        <w:rPr>
          <w:rFonts w:hint="eastAsia"/>
        </w:rPr>
        <w:t>在洁净的环境下去膜，全程需戴手套。</w:t>
      </w:r>
    </w:p>
    <w:p w14:paraId="1A124487">
      <w:pPr>
        <w:pStyle w:val="104"/>
        <w:spacing w:before="312" w:after="312"/>
      </w:pPr>
      <w:bookmarkStart w:id="110" w:name="_Toc185268170"/>
      <w:bookmarkStart w:id="111" w:name="_Toc185529158"/>
      <w:bookmarkStart w:id="112" w:name="_Toc185440623"/>
      <w:bookmarkStart w:id="113" w:name="_Toc184829563"/>
      <w:bookmarkStart w:id="114" w:name="_Toc184829619"/>
      <w:r>
        <w:rPr>
          <w:rFonts w:hint="eastAsia"/>
          <w:lang w:eastAsia="zh-CN"/>
        </w:rPr>
        <w:t>技术</w:t>
      </w:r>
      <w:r>
        <w:rPr>
          <w:rFonts w:hint="eastAsia"/>
        </w:rPr>
        <w:t>要求与质量管控</w:t>
      </w:r>
      <w:bookmarkEnd w:id="110"/>
      <w:bookmarkEnd w:id="111"/>
      <w:bookmarkEnd w:id="112"/>
    </w:p>
    <w:p w14:paraId="75C8BA74">
      <w:pPr>
        <w:pStyle w:val="105"/>
        <w:spacing w:before="156" w:after="156"/>
      </w:pPr>
      <w:bookmarkStart w:id="115" w:name="_Toc185268171"/>
      <w:bookmarkStart w:id="116" w:name="_Toc185440624"/>
      <w:bookmarkStart w:id="117" w:name="_Toc185529159"/>
      <w:r>
        <w:rPr>
          <w:rFonts w:hint="eastAsia"/>
        </w:rPr>
        <w:t>型式尺寸</w:t>
      </w:r>
      <w:bookmarkEnd w:id="113"/>
      <w:bookmarkEnd w:id="114"/>
      <w:bookmarkEnd w:id="115"/>
      <w:bookmarkEnd w:id="116"/>
      <w:bookmarkEnd w:id="117"/>
    </w:p>
    <w:p w14:paraId="3ED6BCF1">
      <w:pPr>
        <w:pStyle w:val="56"/>
        <w:ind w:firstLine="420"/>
      </w:pPr>
      <w:r>
        <w:rPr>
          <w:rFonts w:hint="eastAsia"/>
        </w:rPr>
        <w:t>节能网的型式尺寸应符合表1的规定。</w:t>
      </w:r>
    </w:p>
    <w:p w14:paraId="00BB578D">
      <w:pPr>
        <w:pStyle w:val="112"/>
        <w:spacing w:before="156" w:after="156"/>
      </w:pPr>
      <w:r>
        <w:rPr>
          <w:rFonts w:hint="eastAsia"/>
        </w:rPr>
        <w:t>节能网的型式尺寸</w:t>
      </w:r>
    </w:p>
    <w:p w14:paraId="264B3FFA">
      <w:pPr>
        <w:pStyle w:val="56"/>
        <w:ind w:firstLine="7980" w:firstLineChars="3800"/>
      </w:pPr>
      <w:r>
        <w:rPr>
          <w:rFonts w:hint="eastAsia"/>
        </w:rPr>
        <w:t>单位为毫米</w:t>
      </w:r>
    </w:p>
    <w:tbl>
      <w:tblPr>
        <w:tblStyle w:val="27"/>
        <w:tblW w:w="90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035"/>
        <w:gridCol w:w="961"/>
        <w:gridCol w:w="839"/>
        <w:gridCol w:w="887"/>
        <w:gridCol w:w="981"/>
        <w:gridCol w:w="900"/>
        <w:gridCol w:w="978"/>
        <w:gridCol w:w="824"/>
        <w:gridCol w:w="818"/>
        <w:gridCol w:w="785"/>
      </w:tblGrid>
      <w:tr w14:paraId="210262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2835" w:type="dxa"/>
            <w:gridSpan w:val="3"/>
            <w:tcBorders>
              <w:top w:val="single" w:color="auto" w:sz="8" w:space="0"/>
              <w:bottom w:val="single" w:color="auto" w:sz="8" w:space="0"/>
            </w:tcBorders>
            <w:shd w:val="clear" w:color="auto" w:fill="auto"/>
            <w:vAlign w:val="center"/>
          </w:tcPr>
          <w:p w14:paraId="54D70B90">
            <w:pPr>
              <w:pStyle w:val="178"/>
            </w:pPr>
            <w:r>
              <w:rPr>
                <w:rFonts w:hint="eastAsia"/>
              </w:rPr>
              <w:t>网孔尺寸</w:t>
            </w:r>
          </w:p>
        </w:tc>
        <w:tc>
          <w:tcPr>
            <w:tcW w:w="1868" w:type="dxa"/>
            <w:gridSpan w:val="2"/>
            <w:vMerge w:val="restart"/>
            <w:tcBorders>
              <w:top w:val="single" w:color="auto" w:sz="8" w:space="0"/>
            </w:tcBorders>
            <w:vAlign w:val="center"/>
          </w:tcPr>
          <w:p w14:paraId="71837940">
            <w:pPr>
              <w:pStyle w:val="178"/>
            </w:pPr>
            <w:r>
              <w:rPr>
                <w:rFonts w:hint="eastAsia"/>
              </w:rPr>
              <w:t>梗宽</w:t>
            </w:r>
          </w:p>
          <w:p w14:paraId="0D873C1F">
            <w:pPr>
              <w:pStyle w:val="178"/>
            </w:pPr>
            <w:r>
              <w:rPr>
                <w:rFonts w:hint="eastAsia"/>
              </w:rPr>
              <w:t>b</w:t>
            </w:r>
          </w:p>
        </w:tc>
        <w:tc>
          <w:tcPr>
            <w:tcW w:w="1878" w:type="dxa"/>
            <w:gridSpan w:val="2"/>
            <w:vMerge w:val="restart"/>
            <w:tcBorders>
              <w:top w:val="single" w:color="auto" w:sz="8" w:space="0"/>
            </w:tcBorders>
            <w:vAlign w:val="center"/>
          </w:tcPr>
          <w:p w14:paraId="5D7F0EA3">
            <w:pPr>
              <w:pStyle w:val="178"/>
            </w:pPr>
            <w:r>
              <w:rPr>
                <w:rFonts w:hint="eastAsia"/>
              </w:rPr>
              <w:t>平尖</w:t>
            </w:r>
          </w:p>
          <w:p w14:paraId="2F353F04">
            <w:pPr>
              <w:pStyle w:val="178"/>
            </w:pPr>
            <w:r>
              <w:rPr>
                <w:rFonts w:hint="eastAsia"/>
              </w:rPr>
              <w:t>p</w:t>
            </w:r>
          </w:p>
        </w:tc>
        <w:tc>
          <w:tcPr>
            <w:tcW w:w="1642" w:type="dxa"/>
            <w:gridSpan w:val="2"/>
            <w:vMerge w:val="restart"/>
            <w:tcBorders>
              <w:top w:val="single" w:color="auto" w:sz="8" w:space="0"/>
            </w:tcBorders>
            <w:vAlign w:val="center"/>
          </w:tcPr>
          <w:p w14:paraId="13AEBA02">
            <w:pPr>
              <w:pStyle w:val="178"/>
            </w:pPr>
            <w:r>
              <w:rPr>
                <w:rFonts w:hint="eastAsia"/>
              </w:rPr>
              <w:t>网厚</w:t>
            </w:r>
          </w:p>
          <w:p w14:paraId="5D20FAA1">
            <w:pPr>
              <w:pStyle w:val="178"/>
            </w:pPr>
            <w:r>
              <w:rPr>
                <w:rFonts w:hint="eastAsia"/>
              </w:rPr>
              <w:t>h</w:t>
            </w:r>
          </w:p>
        </w:tc>
        <w:tc>
          <w:tcPr>
            <w:tcW w:w="785" w:type="dxa"/>
            <w:vMerge w:val="restart"/>
            <w:tcBorders>
              <w:top w:val="single" w:color="auto" w:sz="8" w:space="0"/>
            </w:tcBorders>
            <w:shd w:val="clear" w:color="auto" w:fill="auto"/>
            <w:vAlign w:val="center"/>
          </w:tcPr>
          <w:p w14:paraId="5EC75FD1">
            <w:pPr>
              <w:pStyle w:val="178"/>
              <w:rPr>
                <w:rFonts w:hint="eastAsia"/>
                <w:lang w:eastAsia="zh-CN"/>
              </w:rPr>
            </w:pPr>
            <w:r>
              <w:rPr>
                <w:rFonts w:hint="eastAsia"/>
                <w:lang w:eastAsia="zh-CN"/>
              </w:rPr>
              <w:t>单位</w:t>
            </w:r>
          </w:p>
          <w:p w14:paraId="08D65B34">
            <w:pPr>
              <w:pStyle w:val="178"/>
            </w:pPr>
            <w:r>
              <w:rPr>
                <w:rFonts w:hint="eastAsia"/>
              </w:rPr>
              <w:t>理论重量</w:t>
            </w:r>
          </w:p>
          <w:p w14:paraId="3652796C">
            <w:pPr>
              <w:pStyle w:val="178"/>
            </w:pPr>
            <w:r>
              <w:t>Kg</w:t>
            </w:r>
            <w:r>
              <w:rPr>
                <w:rFonts w:hint="eastAsia"/>
              </w:rPr>
              <w:t>/</w:t>
            </w:r>
            <w:r>
              <w:t>m</w:t>
            </w:r>
            <w:r>
              <w:rPr>
                <w:rFonts w:hint="eastAsia"/>
                <w:vertAlign w:val="superscript"/>
              </w:rPr>
              <w:t>2</w:t>
            </w:r>
          </w:p>
        </w:tc>
      </w:tr>
      <w:tr w14:paraId="4DACFD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96" w:type="dxa"/>
            <w:gridSpan w:val="2"/>
            <w:tcBorders>
              <w:top w:val="single" w:color="auto" w:sz="8" w:space="0"/>
            </w:tcBorders>
            <w:shd w:val="clear" w:color="auto" w:fill="auto"/>
            <w:vAlign w:val="center"/>
          </w:tcPr>
          <w:p w14:paraId="7BA48D53">
            <w:pPr>
              <w:pStyle w:val="178"/>
            </w:pPr>
            <w:r>
              <w:rPr>
                <w:rFonts w:hint="eastAsia"/>
              </w:rPr>
              <w:t>绝对值</w:t>
            </w:r>
          </w:p>
        </w:tc>
        <w:tc>
          <w:tcPr>
            <w:tcW w:w="839" w:type="dxa"/>
            <w:vMerge w:val="restart"/>
            <w:tcBorders>
              <w:top w:val="single" w:color="auto" w:sz="8" w:space="0"/>
            </w:tcBorders>
            <w:shd w:val="clear" w:color="auto" w:fill="auto"/>
            <w:vAlign w:val="center"/>
          </w:tcPr>
          <w:p w14:paraId="14CBBB55">
            <w:pPr>
              <w:pStyle w:val="178"/>
            </w:pPr>
            <w:r>
              <w:rPr>
                <w:rFonts w:hint="eastAsia"/>
              </w:rPr>
              <w:t>允许偏差</w:t>
            </w:r>
          </w:p>
        </w:tc>
        <w:tc>
          <w:tcPr>
            <w:tcW w:w="1868" w:type="dxa"/>
            <w:gridSpan w:val="2"/>
            <w:vMerge w:val="continue"/>
            <w:vAlign w:val="center"/>
          </w:tcPr>
          <w:p w14:paraId="613DE811">
            <w:pPr>
              <w:pStyle w:val="178"/>
            </w:pPr>
          </w:p>
        </w:tc>
        <w:tc>
          <w:tcPr>
            <w:tcW w:w="1878" w:type="dxa"/>
            <w:gridSpan w:val="2"/>
            <w:vMerge w:val="continue"/>
            <w:vAlign w:val="center"/>
          </w:tcPr>
          <w:p w14:paraId="3270C955">
            <w:pPr>
              <w:pStyle w:val="178"/>
            </w:pPr>
          </w:p>
        </w:tc>
        <w:tc>
          <w:tcPr>
            <w:tcW w:w="1642" w:type="dxa"/>
            <w:gridSpan w:val="2"/>
            <w:vMerge w:val="continue"/>
          </w:tcPr>
          <w:p w14:paraId="5EA33BBF">
            <w:pPr>
              <w:pStyle w:val="178"/>
            </w:pPr>
          </w:p>
        </w:tc>
        <w:tc>
          <w:tcPr>
            <w:tcW w:w="785" w:type="dxa"/>
            <w:vMerge w:val="continue"/>
            <w:shd w:val="clear" w:color="auto" w:fill="auto"/>
            <w:vAlign w:val="center"/>
          </w:tcPr>
          <w:p w14:paraId="34810677">
            <w:pPr>
              <w:pStyle w:val="178"/>
            </w:pPr>
          </w:p>
        </w:tc>
      </w:tr>
      <w:tr w14:paraId="3EFF1A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035" w:type="dxa"/>
            <w:vMerge w:val="restart"/>
            <w:shd w:val="clear" w:color="auto" w:fill="auto"/>
            <w:vAlign w:val="center"/>
          </w:tcPr>
          <w:p w14:paraId="1A9A80A6">
            <w:pPr>
              <w:pStyle w:val="178"/>
            </w:pPr>
            <w:r>
              <w:rPr>
                <w:rFonts w:hint="eastAsia"/>
              </w:rPr>
              <w:t>长节距TB</w:t>
            </w:r>
          </w:p>
        </w:tc>
        <w:tc>
          <w:tcPr>
            <w:tcW w:w="961" w:type="dxa"/>
            <w:vMerge w:val="restart"/>
            <w:shd w:val="clear" w:color="auto" w:fill="auto"/>
            <w:vAlign w:val="center"/>
          </w:tcPr>
          <w:p w14:paraId="20E8F45C">
            <w:pPr>
              <w:pStyle w:val="178"/>
            </w:pPr>
            <w:r>
              <w:rPr>
                <w:rFonts w:hint="eastAsia"/>
              </w:rPr>
              <w:t>短节距TL</w:t>
            </w:r>
          </w:p>
        </w:tc>
        <w:tc>
          <w:tcPr>
            <w:tcW w:w="839" w:type="dxa"/>
            <w:vMerge w:val="continue"/>
            <w:shd w:val="clear" w:color="auto" w:fill="auto"/>
            <w:vAlign w:val="center"/>
          </w:tcPr>
          <w:p w14:paraId="07347B09">
            <w:pPr>
              <w:pStyle w:val="178"/>
            </w:pPr>
          </w:p>
        </w:tc>
        <w:tc>
          <w:tcPr>
            <w:tcW w:w="1868" w:type="dxa"/>
            <w:gridSpan w:val="2"/>
            <w:vMerge w:val="continue"/>
          </w:tcPr>
          <w:p w14:paraId="091A7BAE">
            <w:pPr>
              <w:pStyle w:val="178"/>
            </w:pPr>
          </w:p>
        </w:tc>
        <w:tc>
          <w:tcPr>
            <w:tcW w:w="1878" w:type="dxa"/>
            <w:gridSpan w:val="2"/>
            <w:vMerge w:val="continue"/>
          </w:tcPr>
          <w:p w14:paraId="127A9853">
            <w:pPr>
              <w:pStyle w:val="178"/>
            </w:pPr>
          </w:p>
        </w:tc>
        <w:tc>
          <w:tcPr>
            <w:tcW w:w="1642" w:type="dxa"/>
            <w:gridSpan w:val="2"/>
            <w:vMerge w:val="continue"/>
          </w:tcPr>
          <w:p w14:paraId="6F7D6797">
            <w:pPr>
              <w:pStyle w:val="178"/>
            </w:pPr>
          </w:p>
        </w:tc>
        <w:tc>
          <w:tcPr>
            <w:tcW w:w="785" w:type="dxa"/>
            <w:vMerge w:val="continue"/>
            <w:shd w:val="clear" w:color="auto" w:fill="auto"/>
            <w:vAlign w:val="center"/>
          </w:tcPr>
          <w:p w14:paraId="69C4533F">
            <w:pPr>
              <w:pStyle w:val="178"/>
            </w:pPr>
          </w:p>
        </w:tc>
      </w:tr>
      <w:tr w14:paraId="3F9497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035" w:type="dxa"/>
            <w:vMerge w:val="continue"/>
            <w:shd w:val="clear" w:color="auto" w:fill="auto"/>
            <w:vAlign w:val="center"/>
          </w:tcPr>
          <w:p w14:paraId="141077A2">
            <w:pPr>
              <w:pStyle w:val="178"/>
            </w:pPr>
          </w:p>
        </w:tc>
        <w:tc>
          <w:tcPr>
            <w:tcW w:w="961" w:type="dxa"/>
            <w:vMerge w:val="continue"/>
            <w:shd w:val="clear" w:color="auto" w:fill="auto"/>
            <w:vAlign w:val="center"/>
          </w:tcPr>
          <w:p w14:paraId="2F485916">
            <w:pPr>
              <w:pStyle w:val="178"/>
            </w:pPr>
          </w:p>
        </w:tc>
        <w:tc>
          <w:tcPr>
            <w:tcW w:w="839" w:type="dxa"/>
            <w:vMerge w:val="continue"/>
            <w:shd w:val="clear" w:color="auto" w:fill="auto"/>
            <w:vAlign w:val="center"/>
          </w:tcPr>
          <w:p w14:paraId="4DF5ADC5">
            <w:pPr>
              <w:pStyle w:val="178"/>
            </w:pPr>
          </w:p>
        </w:tc>
        <w:tc>
          <w:tcPr>
            <w:tcW w:w="887" w:type="dxa"/>
            <w:shd w:val="clear" w:color="auto" w:fill="auto"/>
          </w:tcPr>
          <w:p w14:paraId="0B54BEB6">
            <w:pPr>
              <w:pStyle w:val="178"/>
            </w:pPr>
            <w:r>
              <w:rPr>
                <w:rFonts w:hint="eastAsia"/>
              </w:rPr>
              <w:t>绝对值</w:t>
            </w:r>
          </w:p>
        </w:tc>
        <w:tc>
          <w:tcPr>
            <w:tcW w:w="981" w:type="dxa"/>
            <w:shd w:val="clear" w:color="auto" w:fill="auto"/>
            <w:vAlign w:val="center"/>
          </w:tcPr>
          <w:p w14:paraId="39644516">
            <w:pPr>
              <w:pStyle w:val="178"/>
            </w:pPr>
            <w:r>
              <w:rPr>
                <w:rFonts w:hint="eastAsia"/>
              </w:rPr>
              <w:t>允许偏差</w:t>
            </w:r>
          </w:p>
        </w:tc>
        <w:tc>
          <w:tcPr>
            <w:tcW w:w="900" w:type="dxa"/>
            <w:shd w:val="clear" w:color="auto" w:fill="auto"/>
            <w:vAlign w:val="center"/>
          </w:tcPr>
          <w:p w14:paraId="34C8012D">
            <w:pPr>
              <w:pStyle w:val="178"/>
            </w:pPr>
            <w:r>
              <w:rPr>
                <w:rFonts w:hint="eastAsia"/>
              </w:rPr>
              <w:t>绝对值</w:t>
            </w:r>
          </w:p>
        </w:tc>
        <w:tc>
          <w:tcPr>
            <w:tcW w:w="978" w:type="dxa"/>
            <w:shd w:val="clear" w:color="auto" w:fill="auto"/>
            <w:vAlign w:val="center"/>
          </w:tcPr>
          <w:p w14:paraId="0C828F4D">
            <w:pPr>
              <w:pStyle w:val="178"/>
            </w:pPr>
            <w:r>
              <w:rPr>
                <w:rFonts w:hint="eastAsia"/>
              </w:rPr>
              <w:t>允许偏差</w:t>
            </w:r>
          </w:p>
        </w:tc>
        <w:tc>
          <w:tcPr>
            <w:tcW w:w="824" w:type="dxa"/>
          </w:tcPr>
          <w:p w14:paraId="3633A70E">
            <w:pPr>
              <w:pStyle w:val="178"/>
            </w:pPr>
            <w:r>
              <w:rPr>
                <w:rFonts w:hint="eastAsia"/>
              </w:rPr>
              <w:t>绝对值</w:t>
            </w:r>
          </w:p>
        </w:tc>
        <w:tc>
          <w:tcPr>
            <w:tcW w:w="818" w:type="dxa"/>
          </w:tcPr>
          <w:p w14:paraId="4A6DA797">
            <w:pPr>
              <w:pStyle w:val="178"/>
            </w:pPr>
            <w:r>
              <w:rPr>
                <w:rFonts w:hint="eastAsia"/>
              </w:rPr>
              <w:t>允许偏差</w:t>
            </w:r>
          </w:p>
        </w:tc>
        <w:tc>
          <w:tcPr>
            <w:tcW w:w="785" w:type="dxa"/>
            <w:vMerge w:val="continue"/>
            <w:shd w:val="clear" w:color="auto" w:fill="auto"/>
            <w:vAlign w:val="center"/>
          </w:tcPr>
          <w:p w14:paraId="64EA677D">
            <w:pPr>
              <w:pStyle w:val="178"/>
            </w:pPr>
          </w:p>
        </w:tc>
      </w:tr>
      <w:tr w14:paraId="4FB035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035" w:type="dxa"/>
            <w:shd w:val="clear" w:color="auto" w:fill="auto"/>
            <w:vAlign w:val="center"/>
          </w:tcPr>
          <w:p w14:paraId="428D4B51">
            <w:pPr>
              <w:pStyle w:val="178"/>
            </w:pPr>
            <w:r>
              <w:rPr>
                <w:rFonts w:hint="eastAsia"/>
              </w:rPr>
              <w:t>190.00</w:t>
            </w:r>
          </w:p>
        </w:tc>
        <w:tc>
          <w:tcPr>
            <w:tcW w:w="961" w:type="dxa"/>
            <w:shd w:val="clear" w:color="auto" w:fill="auto"/>
            <w:vAlign w:val="center"/>
          </w:tcPr>
          <w:p w14:paraId="54002368">
            <w:pPr>
              <w:pStyle w:val="178"/>
            </w:pPr>
            <w:r>
              <w:rPr>
                <w:rFonts w:hint="eastAsia"/>
              </w:rPr>
              <w:t>9.00</w:t>
            </w:r>
          </w:p>
        </w:tc>
        <w:tc>
          <w:tcPr>
            <w:tcW w:w="839" w:type="dxa"/>
            <w:shd w:val="clear" w:color="auto" w:fill="auto"/>
            <w:vAlign w:val="center"/>
          </w:tcPr>
          <w:p w14:paraId="0F29BA74">
            <w:pPr>
              <w:pStyle w:val="178"/>
            </w:pPr>
            <w:r>
              <w:rPr>
                <w:rFonts w:hint="eastAsia"/>
              </w:rPr>
              <w:t>±0.50</w:t>
            </w:r>
          </w:p>
        </w:tc>
        <w:tc>
          <w:tcPr>
            <w:tcW w:w="887" w:type="dxa"/>
            <w:shd w:val="clear" w:color="auto" w:fill="auto"/>
          </w:tcPr>
          <w:p w14:paraId="5F63BCC9">
            <w:pPr>
              <w:pStyle w:val="178"/>
            </w:pPr>
            <w:r>
              <w:rPr>
                <w:rFonts w:hint="eastAsia"/>
              </w:rPr>
              <w:t>2.40</w:t>
            </w:r>
          </w:p>
        </w:tc>
        <w:tc>
          <w:tcPr>
            <w:tcW w:w="981" w:type="dxa"/>
            <w:shd w:val="clear" w:color="auto" w:fill="auto"/>
            <w:vAlign w:val="center"/>
          </w:tcPr>
          <w:p w14:paraId="3CF6AE1F">
            <w:pPr>
              <w:pStyle w:val="178"/>
            </w:pPr>
            <w:r>
              <w:rPr>
                <w:rFonts w:hint="eastAsia"/>
              </w:rPr>
              <w:t>±0.05</w:t>
            </w:r>
          </w:p>
        </w:tc>
        <w:tc>
          <w:tcPr>
            <w:tcW w:w="900" w:type="dxa"/>
          </w:tcPr>
          <w:p w14:paraId="59625F37">
            <w:pPr>
              <w:pStyle w:val="178"/>
            </w:pPr>
            <w:r>
              <w:rPr>
                <w:rFonts w:hint="eastAsia"/>
              </w:rPr>
              <w:t>75.00</w:t>
            </w:r>
          </w:p>
        </w:tc>
        <w:tc>
          <w:tcPr>
            <w:tcW w:w="978" w:type="dxa"/>
          </w:tcPr>
          <w:p w14:paraId="1F05671B">
            <w:pPr>
              <w:pStyle w:val="178"/>
            </w:pPr>
            <w:r>
              <w:rPr>
                <w:rFonts w:hint="eastAsia"/>
              </w:rPr>
              <w:t>±0.10</w:t>
            </w:r>
          </w:p>
        </w:tc>
        <w:tc>
          <w:tcPr>
            <w:tcW w:w="824" w:type="dxa"/>
          </w:tcPr>
          <w:p w14:paraId="6ECD720C">
            <w:pPr>
              <w:pStyle w:val="178"/>
            </w:pPr>
            <w:r>
              <w:rPr>
                <w:rFonts w:hint="eastAsia"/>
              </w:rPr>
              <w:t>4.00</w:t>
            </w:r>
          </w:p>
        </w:tc>
        <w:tc>
          <w:tcPr>
            <w:tcW w:w="818" w:type="dxa"/>
          </w:tcPr>
          <w:p w14:paraId="75053B19">
            <w:pPr>
              <w:pStyle w:val="178"/>
            </w:pPr>
            <w:r>
              <w:rPr>
                <w:rFonts w:hint="eastAsia"/>
              </w:rPr>
              <w:t>±0.10</w:t>
            </w:r>
          </w:p>
        </w:tc>
        <w:tc>
          <w:tcPr>
            <w:tcW w:w="785" w:type="dxa"/>
            <w:shd w:val="clear" w:color="auto" w:fill="auto"/>
            <w:vAlign w:val="center"/>
          </w:tcPr>
          <w:p w14:paraId="0CBFBFA9">
            <w:pPr>
              <w:pStyle w:val="178"/>
            </w:pPr>
            <w:r>
              <w:rPr>
                <w:rFonts w:hint="eastAsia"/>
              </w:rPr>
              <w:t>1.45</w:t>
            </w:r>
          </w:p>
        </w:tc>
      </w:tr>
    </w:tbl>
    <w:p w14:paraId="57CBC63F">
      <w:pPr>
        <w:pStyle w:val="56"/>
        <w:ind w:firstLine="0" w:firstLineChars="0"/>
      </w:pPr>
    </w:p>
    <w:p w14:paraId="71066495">
      <w:pPr>
        <w:pStyle w:val="105"/>
        <w:spacing w:before="156" w:after="156"/>
      </w:pPr>
      <w:bookmarkStart w:id="118" w:name="_Toc185440625"/>
      <w:bookmarkStart w:id="119" w:name="_Toc184829565"/>
      <w:bookmarkStart w:id="120" w:name="_Toc185268172"/>
      <w:bookmarkStart w:id="121" w:name="_Toc184829621"/>
      <w:bookmarkStart w:id="122" w:name="_Toc185529160"/>
      <w:r>
        <w:rPr>
          <w:rFonts w:hint="eastAsia"/>
        </w:rPr>
        <w:t>外观质量</w:t>
      </w:r>
      <w:bookmarkEnd w:id="118"/>
      <w:bookmarkEnd w:id="119"/>
      <w:bookmarkEnd w:id="120"/>
      <w:bookmarkEnd w:id="121"/>
      <w:bookmarkEnd w:id="122"/>
    </w:p>
    <w:p w14:paraId="183241B5">
      <w:pPr>
        <w:pStyle w:val="165"/>
        <w:rPr>
          <w:rFonts w:ascii="黑体" w:eastAsia="黑体"/>
        </w:rPr>
      </w:pPr>
      <w:r>
        <w:rPr>
          <w:rFonts w:hint="eastAsia"/>
        </w:rPr>
        <w:t>网面应清洁无油污，网孔应均匀，无多冲、漏冲、黏连、磨损、划伤、裂纹、断梗及严重变形现象。</w:t>
      </w:r>
    </w:p>
    <w:p w14:paraId="16880C94">
      <w:pPr>
        <w:pStyle w:val="165"/>
      </w:pPr>
      <w:r>
        <w:rPr>
          <w:rFonts w:hint="eastAsia"/>
        </w:rPr>
        <w:t>裁剪后的网片边长的允许偏差为±0.5mm/</w:t>
      </w:r>
      <w:r>
        <w:t>m</w:t>
      </w:r>
      <w:r>
        <w:rPr>
          <w:rFonts w:hint="eastAsia"/>
        </w:rPr>
        <w:t>。</w:t>
      </w:r>
    </w:p>
    <w:p w14:paraId="7D24B8B6">
      <w:pPr>
        <w:pStyle w:val="165"/>
      </w:pPr>
      <w:r>
        <w:rPr>
          <w:rFonts w:hint="eastAsia"/>
        </w:rPr>
        <w:t>网面不平度h</w:t>
      </w:r>
      <w:r>
        <w:rPr>
          <w:rFonts w:hint="eastAsia"/>
          <w:sz w:val="28"/>
          <w:szCs w:val="28"/>
          <w:vertAlign w:val="subscript"/>
        </w:rPr>
        <w:t>1</w:t>
      </w:r>
      <w:r>
        <w:rPr>
          <w:rFonts w:hint="eastAsia"/>
        </w:rPr>
        <w:t>应控制在0.5mm以内，见图3所示。</w:t>
      </w:r>
    </w:p>
    <w:p w14:paraId="0E995E80">
      <w:pPr>
        <w:pStyle w:val="56"/>
        <w:ind w:firstLine="420"/>
        <w:jc w:val="center"/>
      </w:pPr>
      <w:r>
        <w:rPr>
          <w:rFonts w:hint="eastAsia"/>
        </w:rPr>
        <w:drawing>
          <wp:inline distT="0" distB="0" distL="114300" distR="114300">
            <wp:extent cx="3591560" cy="624205"/>
            <wp:effectExtent l="0" t="0" r="8890" b="4445"/>
            <wp:docPr id="1" name="图片 1" descr="8c576c70422252390ec874de40b9c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c576c70422252390ec874de40b9ced"/>
                    <pic:cNvPicPr>
                      <a:picLocks noChangeAspect="1"/>
                    </pic:cNvPicPr>
                  </pic:nvPicPr>
                  <pic:blipFill>
                    <a:blip r:embed="rId19"/>
                    <a:stretch>
                      <a:fillRect/>
                    </a:stretch>
                  </pic:blipFill>
                  <pic:spPr>
                    <a:xfrm>
                      <a:off x="0" y="0"/>
                      <a:ext cx="3591560" cy="624205"/>
                    </a:xfrm>
                    <a:prstGeom prst="rect">
                      <a:avLst/>
                    </a:prstGeom>
                  </pic:spPr>
                </pic:pic>
              </a:graphicData>
            </a:graphic>
          </wp:inline>
        </w:drawing>
      </w:r>
    </w:p>
    <w:p w14:paraId="70B317CE">
      <w:pPr>
        <w:pStyle w:val="114"/>
        <w:spacing w:before="156" w:after="156"/>
      </w:pPr>
      <w:r>
        <w:rPr>
          <w:rFonts w:hint="eastAsia"/>
        </w:rPr>
        <w:t>不平度示意图</w:t>
      </w:r>
    </w:p>
    <w:p w14:paraId="0CE46890">
      <w:pPr>
        <w:pStyle w:val="56"/>
        <w:ind w:firstLine="420"/>
      </w:pPr>
    </w:p>
    <w:p w14:paraId="649B2F03">
      <w:pPr>
        <w:pStyle w:val="165"/>
      </w:pPr>
      <w:r>
        <w:rPr>
          <w:rFonts w:hint="eastAsia"/>
        </w:rPr>
        <w:t>毛刺高度应符合GB/T 33217-2016中第3章表1中g级的规定，控制在0.23mm以内。</w:t>
      </w:r>
    </w:p>
    <w:p w14:paraId="44DE7EA2">
      <w:pPr>
        <w:pStyle w:val="165"/>
      </w:pPr>
      <w:r>
        <w:rPr>
          <w:rFonts w:hint="eastAsia"/>
        </w:rPr>
        <w:t>网片弯曲90°时，丝梗应无折断现象。</w:t>
      </w:r>
    </w:p>
    <w:p w14:paraId="0C543C2F">
      <w:pPr>
        <w:pStyle w:val="105"/>
        <w:spacing w:before="156" w:after="156"/>
      </w:pPr>
      <w:bookmarkStart w:id="123" w:name="_Toc184829566"/>
      <w:bookmarkStart w:id="124" w:name="_Toc185440626"/>
      <w:bookmarkStart w:id="125" w:name="_Toc184829622"/>
      <w:bookmarkStart w:id="126" w:name="_Toc185268173"/>
      <w:bookmarkStart w:id="127" w:name="_Toc185529161"/>
      <w:r>
        <w:rPr>
          <w:rFonts w:hint="eastAsia"/>
          <w:lang w:eastAsia="zh-CN"/>
        </w:rPr>
        <w:t>光热性能</w:t>
      </w:r>
    </w:p>
    <w:p w14:paraId="1CDC319A">
      <w:pPr>
        <w:pStyle w:val="56"/>
        <w:ind w:firstLine="420"/>
      </w:pPr>
      <w:r>
        <w:rPr>
          <w:rFonts w:hint="eastAsia"/>
        </w:rPr>
        <w:t>节能网的太阳能透射比、可见光透射比、遮阳系数应符合表2的要求。</w:t>
      </w:r>
    </w:p>
    <w:p w14:paraId="15923E58">
      <w:pPr>
        <w:pStyle w:val="112"/>
        <w:spacing w:before="156" w:after="156"/>
      </w:pPr>
      <w:r>
        <w:rPr>
          <w:rFonts w:hint="eastAsia"/>
        </w:rPr>
        <w:t>玻璃幕内置节能网的光热性能</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066"/>
        <w:gridCol w:w="2066"/>
        <w:gridCol w:w="1742"/>
        <w:gridCol w:w="1850"/>
      </w:tblGrid>
      <w:tr w14:paraId="5422AB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4" w:hRule="atLeast"/>
          <w:tblHeader/>
          <w:jc w:val="center"/>
        </w:trPr>
        <w:tc>
          <w:tcPr>
            <w:tcW w:w="2066" w:type="dxa"/>
            <w:tcBorders>
              <w:top w:val="single" w:color="auto" w:sz="8" w:space="0"/>
            </w:tcBorders>
          </w:tcPr>
          <w:p w14:paraId="6A36A040">
            <w:pPr>
              <w:pStyle w:val="178"/>
            </w:pPr>
            <w:r>
              <w:rPr>
                <w:rFonts w:hint="eastAsia"/>
              </w:rPr>
              <w:t>项目名称</w:t>
            </w:r>
          </w:p>
        </w:tc>
        <w:tc>
          <w:tcPr>
            <w:tcW w:w="2066" w:type="dxa"/>
            <w:tcBorders>
              <w:top w:val="single" w:color="auto" w:sz="8" w:space="0"/>
            </w:tcBorders>
            <w:shd w:val="clear" w:color="auto" w:fill="auto"/>
            <w:vAlign w:val="center"/>
          </w:tcPr>
          <w:p w14:paraId="1F33225C">
            <w:pPr>
              <w:pStyle w:val="178"/>
            </w:pPr>
            <w:r>
              <w:rPr>
                <w:rFonts w:hint="eastAsia"/>
              </w:rPr>
              <w:t>太阳能总透射比</w:t>
            </w:r>
          </w:p>
        </w:tc>
        <w:tc>
          <w:tcPr>
            <w:tcW w:w="1742" w:type="dxa"/>
            <w:tcBorders>
              <w:top w:val="single" w:color="auto" w:sz="8" w:space="0"/>
            </w:tcBorders>
            <w:shd w:val="clear" w:color="auto" w:fill="auto"/>
            <w:vAlign w:val="center"/>
          </w:tcPr>
          <w:p w14:paraId="0EA84C37">
            <w:pPr>
              <w:pStyle w:val="178"/>
            </w:pPr>
            <w:r>
              <w:rPr>
                <w:rFonts w:hint="eastAsia"/>
              </w:rPr>
              <w:t>可见光透射比</w:t>
            </w:r>
          </w:p>
        </w:tc>
        <w:tc>
          <w:tcPr>
            <w:tcW w:w="1850" w:type="dxa"/>
            <w:tcBorders>
              <w:top w:val="single" w:color="auto" w:sz="8" w:space="0"/>
            </w:tcBorders>
            <w:shd w:val="clear" w:color="auto" w:fill="auto"/>
            <w:vAlign w:val="center"/>
          </w:tcPr>
          <w:p w14:paraId="42C21DAC">
            <w:pPr>
              <w:pStyle w:val="178"/>
            </w:pPr>
            <w:r>
              <w:rPr>
                <w:rFonts w:hint="eastAsia"/>
              </w:rPr>
              <w:t>遮阳系数</w:t>
            </w:r>
          </w:p>
        </w:tc>
      </w:tr>
      <w:tr w14:paraId="5ED7B5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066" w:type="dxa"/>
          </w:tcPr>
          <w:p w14:paraId="2822F109">
            <w:pPr>
              <w:pStyle w:val="178"/>
            </w:pPr>
            <w:r>
              <w:rPr>
                <w:rFonts w:hint="eastAsia"/>
              </w:rPr>
              <w:t>数值</w:t>
            </w:r>
          </w:p>
        </w:tc>
        <w:tc>
          <w:tcPr>
            <w:tcW w:w="2066" w:type="dxa"/>
            <w:shd w:val="clear" w:color="auto" w:fill="auto"/>
            <w:vAlign w:val="center"/>
          </w:tcPr>
          <w:p w14:paraId="44296C3C">
            <w:pPr>
              <w:pStyle w:val="178"/>
              <w:rPr>
                <w:rFonts w:hint="default" w:eastAsia="宋体"/>
                <w:lang w:val="en-US" w:eastAsia="zh-CN"/>
              </w:rPr>
            </w:pPr>
            <w:r>
              <w:rPr>
                <w:rFonts w:hint="eastAsia"/>
                <w:lang w:val="en-US" w:eastAsia="zh-CN"/>
              </w:rPr>
              <w:t>32.1%</w:t>
            </w:r>
          </w:p>
        </w:tc>
        <w:tc>
          <w:tcPr>
            <w:tcW w:w="1742" w:type="dxa"/>
            <w:shd w:val="clear" w:color="auto" w:fill="auto"/>
            <w:vAlign w:val="center"/>
          </w:tcPr>
          <w:p w14:paraId="3310FC99">
            <w:pPr>
              <w:pStyle w:val="178"/>
              <w:rPr>
                <w:rFonts w:hint="default" w:eastAsia="宋体"/>
                <w:lang w:val="en-US" w:eastAsia="zh-CN"/>
              </w:rPr>
            </w:pPr>
            <w:r>
              <w:rPr>
                <w:rFonts w:hint="eastAsia"/>
                <w:lang w:val="en-US" w:eastAsia="zh-CN"/>
              </w:rPr>
              <w:t>68%</w:t>
            </w:r>
          </w:p>
        </w:tc>
        <w:tc>
          <w:tcPr>
            <w:tcW w:w="1850" w:type="dxa"/>
            <w:shd w:val="clear" w:color="auto" w:fill="auto"/>
            <w:vAlign w:val="center"/>
          </w:tcPr>
          <w:p w14:paraId="5522A1C0">
            <w:pPr>
              <w:pStyle w:val="178"/>
              <w:rPr>
                <w:rFonts w:hint="default" w:eastAsia="宋体"/>
                <w:lang w:val="en-US" w:eastAsia="zh-CN"/>
              </w:rPr>
            </w:pPr>
            <w:r>
              <w:rPr>
                <w:rFonts w:hint="eastAsia"/>
                <w:lang w:val="en-US" w:eastAsia="zh-CN"/>
              </w:rPr>
              <w:t>0.39</w:t>
            </w:r>
          </w:p>
        </w:tc>
      </w:tr>
    </w:tbl>
    <w:p w14:paraId="7AD71FCB">
      <w:pPr>
        <w:pStyle w:val="56"/>
      </w:pPr>
    </w:p>
    <w:p w14:paraId="76EA12B0">
      <w:pPr>
        <w:pStyle w:val="105"/>
        <w:spacing w:before="156" w:after="156"/>
      </w:pPr>
      <w:r>
        <w:rPr>
          <w:rFonts w:hint="eastAsia"/>
        </w:rPr>
        <w:t>质量管控</w:t>
      </w:r>
      <w:bookmarkEnd w:id="123"/>
      <w:bookmarkEnd w:id="124"/>
      <w:bookmarkEnd w:id="125"/>
      <w:bookmarkEnd w:id="126"/>
      <w:bookmarkEnd w:id="127"/>
    </w:p>
    <w:p w14:paraId="50E0A0B6">
      <w:pPr>
        <w:pStyle w:val="165"/>
        <w:numPr>
          <w:ilvl w:val="3"/>
          <w:numId w:val="32"/>
        </w:numPr>
      </w:pPr>
      <w:r>
        <w:rPr>
          <w:rFonts w:hint="eastAsia"/>
        </w:rPr>
        <w:t>节能网质量是确保中空玻璃幕组件全生命周期安全稳定发挥作用的重要条件，而设备状况、现场管理、刀（模）具精度、后整理等均影响着节能网的质量。因此，加强节能网质量管控是至关重要的。</w:t>
      </w:r>
    </w:p>
    <w:p w14:paraId="1FDE3453">
      <w:pPr>
        <w:pStyle w:val="165"/>
        <w:numPr>
          <w:ilvl w:val="3"/>
          <w:numId w:val="32"/>
        </w:numPr>
      </w:pPr>
      <w:r>
        <w:rPr>
          <w:rFonts w:hint="eastAsia"/>
        </w:rPr>
        <w:t>应按照GB/T 29590-2013中附录A给出的建议，结合企业实际，制定切实可行的现场管理方案，并落到实处。</w:t>
      </w:r>
    </w:p>
    <w:p w14:paraId="31E44180">
      <w:pPr>
        <w:pStyle w:val="165"/>
        <w:numPr>
          <w:ilvl w:val="3"/>
          <w:numId w:val="32"/>
        </w:numPr>
      </w:pPr>
      <w:r>
        <w:rPr>
          <w:rFonts w:hint="eastAsia"/>
        </w:rPr>
        <w:t>应根据设备运行状况严格实行易损部件直至整机淘汰制度。关键部件如刀（模）具应根据产量及时更换，确保设备处于良好运行状态。</w:t>
      </w:r>
    </w:p>
    <w:p w14:paraId="4F20BF6C">
      <w:pPr>
        <w:pStyle w:val="165"/>
        <w:numPr>
          <w:ilvl w:val="3"/>
          <w:numId w:val="32"/>
        </w:numPr>
      </w:pPr>
      <w:r>
        <w:rPr>
          <w:rFonts w:hint="eastAsia"/>
        </w:rPr>
        <w:t>应选用180目的砂片对网面及边缘进行打磨，确保符合设计要求。</w:t>
      </w:r>
    </w:p>
    <w:p w14:paraId="7F08ADF2">
      <w:pPr>
        <w:pStyle w:val="104"/>
        <w:spacing w:before="312" w:after="312"/>
      </w:pPr>
      <w:bookmarkStart w:id="128" w:name="_Toc185440628"/>
      <w:bookmarkStart w:id="129" w:name="_Toc185529163"/>
      <w:bookmarkStart w:id="130" w:name="_Toc184829626"/>
      <w:bookmarkStart w:id="131" w:name="_Toc184829570"/>
      <w:bookmarkStart w:id="132" w:name="_Toc185268175"/>
      <w:r>
        <w:t>粉尘防爆安全设计要求</w:t>
      </w:r>
      <w:bookmarkEnd w:id="128"/>
      <w:bookmarkEnd w:id="129"/>
      <w:r>
        <w:t xml:space="preserve"> </w:t>
      </w:r>
    </w:p>
    <w:p w14:paraId="6AFFE1C9">
      <w:pPr>
        <w:pStyle w:val="56"/>
        <w:ind w:firstLine="420"/>
      </w:pPr>
      <w:r>
        <w:rPr>
          <w:rFonts w:hint="eastAsia"/>
          <w:lang w:eastAsia="zh-CN"/>
        </w:rPr>
        <w:t>针对</w:t>
      </w:r>
      <w:bookmarkStart w:id="136" w:name="_GoBack"/>
      <w:bookmarkEnd w:id="136"/>
      <w:r>
        <w:t>节能网机械加工</w:t>
      </w:r>
      <w:r>
        <w:rPr>
          <w:rFonts w:hint="eastAsia"/>
        </w:rPr>
        <w:t>过</w:t>
      </w:r>
      <w:r>
        <w:t>程中存在采用电动工具进行打磨这一工艺方法，故此，企业批量生产之前，应委托专业</w:t>
      </w:r>
      <w:r>
        <w:rPr>
          <w:rFonts w:hint="eastAsia"/>
        </w:rPr>
        <w:t>机构按照相关标准，</w:t>
      </w:r>
      <w:r>
        <w:t>结合生产工艺、爆炸性粉尘环境出现的频繁程度和持续时间，制定企业粉尘防爆安全管理方案。方案包括但不限于：总体要求、风险管控与隐患排查治理、安全设备设施管理、安全教育培训、人员行为规范、粉尘</w:t>
      </w:r>
      <w:r>
        <w:rPr>
          <w:rFonts w:hint="eastAsia"/>
        </w:rPr>
        <w:t>清</w:t>
      </w:r>
      <w:r>
        <w:t>理、检修过程管理、应急管理等。企业内部应</w:t>
      </w:r>
      <w:r>
        <w:rPr>
          <w:rFonts w:hint="eastAsia"/>
        </w:rPr>
        <w:t>加强配合，</w:t>
      </w:r>
      <w:r>
        <w:t>抓好</w:t>
      </w:r>
      <w:r>
        <w:rPr>
          <w:rFonts w:hint="eastAsia"/>
        </w:rPr>
        <w:t>方案</w:t>
      </w:r>
      <w:r>
        <w:t>落实，只有当</w:t>
      </w:r>
      <w:r>
        <w:rPr>
          <w:rFonts w:hint="eastAsia"/>
        </w:rPr>
        <w:t>具备</w:t>
      </w:r>
      <w:r>
        <w:t xml:space="preserve">安全生产条件后，企业方可批量生产。 </w:t>
      </w:r>
    </w:p>
    <w:p w14:paraId="4506393F">
      <w:pPr>
        <w:pStyle w:val="104"/>
        <w:numPr>
          <w:ilvl w:val="1"/>
          <w:numId w:val="32"/>
        </w:numPr>
        <w:spacing w:before="312" w:after="312"/>
      </w:pPr>
      <w:bookmarkStart w:id="133" w:name="_Toc185529164"/>
      <w:bookmarkStart w:id="134" w:name="_Toc185440629"/>
      <w:r>
        <w:rPr>
          <w:rFonts w:hint="eastAsia"/>
        </w:rPr>
        <w:t>供需衔接及包装、标志、运输</w:t>
      </w:r>
      <w:bookmarkEnd w:id="130"/>
      <w:bookmarkEnd w:id="131"/>
      <w:r>
        <w:rPr>
          <w:rFonts w:hint="eastAsia"/>
        </w:rPr>
        <w:t>、贮存要求</w:t>
      </w:r>
      <w:bookmarkEnd w:id="132"/>
      <w:bookmarkEnd w:id="133"/>
      <w:bookmarkEnd w:id="134"/>
    </w:p>
    <w:p w14:paraId="6A6F4E62">
      <w:pPr>
        <w:pStyle w:val="162"/>
      </w:pPr>
      <w:r>
        <w:rPr>
          <w:rFonts w:hint="eastAsia"/>
        </w:rPr>
        <w:t>节能网每片之间外型尺寸均有差异，为便于供需双方高效衔接，裁片前需方应给出网片的排版图纸。图纸信息应包括：项目名称，使用区域，发货批次，网片规格、编号及标注位置代号等。</w:t>
      </w:r>
    </w:p>
    <w:p w14:paraId="544280BB">
      <w:pPr>
        <w:pStyle w:val="162"/>
      </w:pPr>
      <w:r>
        <w:rPr>
          <w:rFonts w:hint="eastAsia"/>
        </w:rPr>
        <w:t>节能网应采用立式木托盘包装，网片之间用气垫膜隔开，四周由气垫膜和防潮纸包裹，柔性打包带固定。宜采用汽车运输，不提倡与其他货物混装。</w:t>
      </w:r>
    </w:p>
    <w:p w14:paraId="4F91A706">
      <w:pPr>
        <w:pStyle w:val="162"/>
      </w:pPr>
      <w:r>
        <w:rPr>
          <w:rFonts w:hint="eastAsia"/>
        </w:rPr>
        <w:t>除符合上述要求之外，节能网的包装、标志、运输、贮存还应符合GB/T 3199的有关规定。</w:t>
      </w:r>
    </w:p>
    <w:p w14:paraId="704F8BD4">
      <w:pPr>
        <w:pStyle w:val="56"/>
        <w:ind w:firstLine="420"/>
      </w:pPr>
    </w:p>
    <w:bookmarkEnd w:id="28"/>
    <w:p w14:paraId="60252749">
      <w:pPr>
        <w:pStyle w:val="56"/>
        <w:ind w:firstLine="0" w:firstLineChars="0"/>
        <w:jc w:val="center"/>
      </w:pPr>
      <w:bookmarkStart w:id="135" w:name="BookMark8"/>
      <w:r>
        <w:drawing>
          <wp:inline distT="0" distB="0" distL="0" distR="0">
            <wp:extent cx="1485900" cy="317500"/>
            <wp:effectExtent l="0" t="0" r="0" b="635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20"/>
                    <a:stretch>
                      <a:fillRect/>
                    </a:stretch>
                  </pic:blipFill>
                  <pic:spPr>
                    <a:xfrm>
                      <a:off x="0" y="0"/>
                      <a:ext cx="1485900" cy="317500"/>
                    </a:xfrm>
                    <a:prstGeom prst="rect">
                      <a:avLst/>
                    </a:prstGeom>
                  </pic:spPr>
                </pic:pic>
              </a:graphicData>
            </a:graphic>
          </wp:inline>
        </w:drawing>
      </w:r>
      <w:bookmarkEnd w:id="135"/>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0000000000000000000"/>
    <w:charset w:val="86"/>
    <w:family w:val="auto"/>
    <w:pitch w:val="default"/>
    <w:sig w:usb0="00000000" w:usb1="00000000" w:usb2="00000016" w:usb3="00000000" w:csb0="0004000F" w:csb1="00000000"/>
  </w:font>
  <w:font w:name="等线 Light">
    <w:altName w:val="宋体"/>
    <w:panose1 w:val="00000000000000000000"/>
    <w:charset w:val="86"/>
    <w:family w:val="auto"/>
    <w:pitch w:val="default"/>
    <w:sig w:usb0="00000000" w:usb1="00000000" w:usb2="00000016" w:usb3="00000000" w:csb0="0004000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2BB4F">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F8F5A">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9E774">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3E9BA">
    <w:pPr>
      <w:pStyle w:val="52"/>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B60C9">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DDCAE">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D9E5A">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FAA4E5">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1AFFF">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dit="forms" w:enforcement="1" w:cryptProviderType="rsaAES" w:cryptAlgorithmClass="hash" w:cryptAlgorithmType="typeAny" w:cryptAlgorithmSid="14" w:cryptSpinCount="100000" w:hash="RdWoYYiGDrywrkpyCEFOR9Zh3oQyB1h96KjMtqINWnOQuuEiHaZ97UndLvMHb1LwTM4e/A3pETY8ByZsNYcmGw==" w:salt="+1RE4Kp/eTG2YN0HcnZSL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mZjE1MjI4ODQwMTgzNWZlOWU4MDk3OTI0MDU2N2YifQ=="/>
  </w:docVars>
  <w:rsids>
    <w:rsidRoot w:val="002E69E5"/>
    <w:rsid w:val="0000040A"/>
    <w:rsid w:val="00000A94"/>
    <w:rsid w:val="00001972"/>
    <w:rsid w:val="00001D9A"/>
    <w:rsid w:val="00005950"/>
    <w:rsid w:val="00007B3A"/>
    <w:rsid w:val="000107E0"/>
    <w:rsid w:val="00011FDE"/>
    <w:rsid w:val="00012FFD"/>
    <w:rsid w:val="00014162"/>
    <w:rsid w:val="00014340"/>
    <w:rsid w:val="00015532"/>
    <w:rsid w:val="00015EF5"/>
    <w:rsid w:val="00016A9C"/>
    <w:rsid w:val="000206E3"/>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1B08"/>
    <w:rsid w:val="0005265A"/>
    <w:rsid w:val="00052A34"/>
    <w:rsid w:val="000539DD"/>
    <w:rsid w:val="00053BD3"/>
    <w:rsid w:val="000556ED"/>
    <w:rsid w:val="00055FE2"/>
    <w:rsid w:val="0005616F"/>
    <w:rsid w:val="00057B57"/>
    <w:rsid w:val="00060C2E"/>
    <w:rsid w:val="00061033"/>
    <w:rsid w:val="000619E9"/>
    <w:rsid w:val="000622D4"/>
    <w:rsid w:val="000631D4"/>
    <w:rsid w:val="0006357D"/>
    <w:rsid w:val="00067F1E"/>
    <w:rsid w:val="00071CC0"/>
    <w:rsid w:val="00073C8C"/>
    <w:rsid w:val="00077B64"/>
    <w:rsid w:val="00080A1C"/>
    <w:rsid w:val="00082317"/>
    <w:rsid w:val="00083CD5"/>
    <w:rsid w:val="00083D2C"/>
    <w:rsid w:val="00086AA1"/>
    <w:rsid w:val="00087A77"/>
    <w:rsid w:val="00090CA6"/>
    <w:rsid w:val="00092B8A"/>
    <w:rsid w:val="00092FB0"/>
    <w:rsid w:val="000934C5"/>
    <w:rsid w:val="00093D25"/>
    <w:rsid w:val="00093DAB"/>
    <w:rsid w:val="00094D73"/>
    <w:rsid w:val="00096D63"/>
    <w:rsid w:val="000A0B60"/>
    <w:rsid w:val="000A0EB8"/>
    <w:rsid w:val="000A12C3"/>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5855"/>
    <w:rsid w:val="000C6362"/>
    <w:rsid w:val="000C6F18"/>
    <w:rsid w:val="000C7666"/>
    <w:rsid w:val="000D0A9C"/>
    <w:rsid w:val="000D1795"/>
    <w:rsid w:val="000D329A"/>
    <w:rsid w:val="000D4B9C"/>
    <w:rsid w:val="000D4EB6"/>
    <w:rsid w:val="000D753B"/>
    <w:rsid w:val="000E4C9E"/>
    <w:rsid w:val="000E6FD7"/>
    <w:rsid w:val="000F04C7"/>
    <w:rsid w:val="000F06E1"/>
    <w:rsid w:val="000F0E3C"/>
    <w:rsid w:val="000F19D5"/>
    <w:rsid w:val="000F250F"/>
    <w:rsid w:val="000F4AEA"/>
    <w:rsid w:val="000F633F"/>
    <w:rsid w:val="000F67E9"/>
    <w:rsid w:val="00101EED"/>
    <w:rsid w:val="00104926"/>
    <w:rsid w:val="00113B1E"/>
    <w:rsid w:val="0011711C"/>
    <w:rsid w:val="0012059C"/>
    <w:rsid w:val="00121196"/>
    <w:rsid w:val="00124E4F"/>
    <w:rsid w:val="001260B7"/>
    <w:rsid w:val="001265CB"/>
    <w:rsid w:val="001321C6"/>
    <w:rsid w:val="001325C4"/>
    <w:rsid w:val="00133010"/>
    <w:rsid w:val="001338EE"/>
    <w:rsid w:val="00133AAE"/>
    <w:rsid w:val="00135323"/>
    <w:rsid w:val="001356C4"/>
    <w:rsid w:val="00137103"/>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1642"/>
    <w:rsid w:val="001852C9"/>
    <w:rsid w:val="00190087"/>
    <w:rsid w:val="001905EC"/>
    <w:rsid w:val="001913C4"/>
    <w:rsid w:val="0019348F"/>
    <w:rsid w:val="00193A07"/>
    <w:rsid w:val="00194C95"/>
    <w:rsid w:val="00195C34"/>
    <w:rsid w:val="00196EF5"/>
    <w:rsid w:val="001A0559"/>
    <w:rsid w:val="001A1A53"/>
    <w:rsid w:val="001A234A"/>
    <w:rsid w:val="001A4CF3"/>
    <w:rsid w:val="001A71CC"/>
    <w:rsid w:val="001B06E8"/>
    <w:rsid w:val="001B71D0"/>
    <w:rsid w:val="001B71EE"/>
    <w:rsid w:val="001B7239"/>
    <w:rsid w:val="001C04A8"/>
    <w:rsid w:val="001C2C03"/>
    <w:rsid w:val="001C2C9D"/>
    <w:rsid w:val="001C42F7"/>
    <w:rsid w:val="001C49E5"/>
    <w:rsid w:val="001C5802"/>
    <w:rsid w:val="001C680C"/>
    <w:rsid w:val="001C7FEA"/>
    <w:rsid w:val="001D0499"/>
    <w:rsid w:val="001D0BBE"/>
    <w:rsid w:val="001D0ED4"/>
    <w:rsid w:val="001D2112"/>
    <w:rsid w:val="001D212F"/>
    <w:rsid w:val="001D29D7"/>
    <w:rsid w:val="001D2DE7"/>
    <w:rsid w:val="001D411C"/>
    <w:rsid w:val="001D789C"/>
    <w:rsid w:val="001E1B6A"/>
    <w:rsid w:val="001E2484"/>
    <w:rsid w:val="001E3CC4"/>
    <w:rsid w:val="001E4882"/>
    <w:rsid w:val="001E6857"/>
    <w:rsid w:val="001E73AB"/>
    <w:rsid w:val="001F092D"/>
    <w:rsid w:val="001F143A"/>
    <w:rsid w:val="001F1605"/>
    <w:rsid w:val="001F1F6C"/>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0ED5"/>
    <w:rsid w:val="002142EA"/>
    <w:rsid w:val="002204BB"/>
    <w:rsid w:val="00221B79"/>
    <w:rsid w:val="00221C6B"/>
    <w:rsid w:val="0022535D"/>
    <w:rsid w:val="002253A1"/>
    <w:rsid w:val="00225CF8"/>
    <w:rsid w:val="0022794E"/>
    <w:rsid w:val="00233D64"/>
    <w:rsid w:val="0023482A"/>
    <w:rsid w:val="002359CB"/>
    <w:rsid w:val="00235F93"/>
    <w:rsid w:val="00243540"/>
    <w:rsid w:val="0024497B"/>
    <w:rsid w:val="0024515B"/>
    <w:rsid w:val="00246021"/>
    <w:rsid w:val="0024666E"/>
    <w:rsid w:val="00247E3B"/>
    <w:rsid w:val="00247F52"/>
    <w:rsid w:val="00250B25"/>
    <w:rsid w:val="00250BBE"/>
    <w:rsid w:val="002515C2"/>
    <w:rsid w:val="0025194F"/>
    <w:rsid w:val="00254F1E"/>
    <w:rsid w:val="0026148A"/>
    <w:rsid w:val="00262696"/>
    <w:rsid w:val="00262A37"/>
    <w:rsid w:val="00263D25"/>
    <w:rsid w:val="002643C3"/>
    <w:rsid w:val="00264A0C"/>
    <w:rsid w:val="00266EEB"/>
    <w:rsid w:val="00267EF4"/>
    <w:rsid w:val="00270CB8"/>
    <w:rsid w:val="00272B08"/>
    <w:rsid w:val="00272D27"/>
    <w:rsid w:val="0027380C"/>
    <w:rsid w:val="002771AC"/>
    <w:rsid w:val="00281BB8"/>
    <w:rsid w:val="00281E9E"/>
    <w:rsid w:val="00282405"/>
    <w:rsid w:val="00285170"/>
    <w:rsid w:val="00285361"/>
    <w:rsid w:val="00287207"/>
    <w:rsid w:val="00287585"/>
    <w:rsid w:val="00292D60"/>
    <w:rsid w:val="0029318C"/>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24E3"/>
    <w:rsid w:val="002C3F07"/>
    <w:rsid w:val="002C5278"/>
    <w:rsid w:val="002C7EBB"/>
    <w:rsid w:val="002D06C1"/>
    <w:rsid w:val="002D1443"/>
    <w:rsid w:val="002D42B5"/>
    <w:rsid w:val="002D4F1A"/>
    <w:rsid w:val="002D6EC6"/>
    <w:rsid w:val="002D79AC"/>
    <w:rsid w:val="002E039D"/>
    <w:rsid w:val="002E1533"/>
    <w:rsid w:val="002E4D5A"/>
    <w:rsid w:val="002E6326"/>
    <w:rsid w:val="002E69E5"/>
    <w:rsid w:val="002F2AB5"/>
    <w:rsid w:val="002F30E0"/>
    <w:rsid w:val="002F35E4"/>
    <w:rsid w:val="002F3730"/>
    <w:rsid w:val="002F38E1"/>
    <w:rsid w:val="002F7AF6"/>
    <w:rsid w:val="00300E63"/>
    <w:rsid w:val="00302F5F"/>
    <w:rsid w:val="0030441D"/>
    <w:rsid w:val="00306063"/>
    <w:rsid w:val="00313B85"/>
    <w:rsid w:val="003152BB"/>
    <w:rsid w:val="00317988"/>
    <w:rsid w:val="003221B4"/>
    <w:rsid w:val="0032258D"/>
    <w:rsid w:val="00322E62"/>
    <w:rsid w:val="00324D13"/>
    <w:rsid w:val="00324D2A"/>
    <w:rsid w:val="00324EDD"/>
    <w:rsid w:val="00325578"/>
    <w:rsid w:val="003331E4"/>
    <w:rsid w:val="003333CA"/>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72C"/>
    <w:rsid w:val="003938D9"/>
    <w:rsid w:val="00394376"/>
    <w:rsid w:val="003943FF"/>
    <w:rsid w:val="00395700"/>
    <w:rsid w:val="003974EB"/>
    <w:rsid w:val="00397CC5"/>
    <w:rsid w:val="003A1582"/>
    <w:rsid w:val="003A4077"/>
    <w:rsid w:val="003A4741"/>
    <w:rsid w:val="003A72BF"/>
    <w:rsid w:val="003B09AD"/>
    <w:rsid w:val="003B1F18"/>
    <w:rsid w:val="003B5BF0"/>
    <w:rsid w:val="003B60BF"/>
    <w:rsid w:val="003B6449"/>
    <w:rsid w:val="003B680C"/>
    <w:rsid w:val="003B6BE3"/>
    <w:rsid w:val="003C010C"/>
    <w:rsid w:val="003C0A50"/>
    <w:rsid w:val="003C0A6C"/>
    <w:rsid w:val="003C14F8"/>
    <w:rsid w:val="003C5A43"/>
    <w:rsid w:val="003C5DDB"/>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3F7568"/>
    <w:rsid w:val="00400E72"/>
    <w:rsid w:val="00401400"/>
    <w:rsid w:val="00404869"/>
    <w:rsid w:val="00405884"/>
    <w:rsid w:val="00407D39"/>
    <w:rsid w:val="0041477A"/>
    <w:rsid w:val="004167A3"/>
    <w:rsid w:val="00432DAA"/>
    <w:rsid w:val="00434305"/>
    <w:rsid w:val="00435DF7"/>
    <w:rsid w:val="0044083F"/>
    <w:rsid w:val="004408F7"/>
    <w:rsid w:val="00440D61"/>
    <w:rsid w:val="00441AE7"/>
    <w:rsid w:val="00445574"/>
    <w:rsid w:val="004467FB"/>
    <w:rsid w:val="00450338"/>
    <w:rsid w:val="00452D6B"/>
    <w:rsid w:val="00454484"/>
    <w:rsid w:val="0045517B"/>
    <w:rsid w:val="00463B77"/>
    <w:rsid w:val="00463C7B"/>
    <w:rsid w:val="004644A6"/>
    <w:rsid w:val="004659BD"/>
    <w:rsid w:val="00470775"/>
    <w:rsid w:val="004746B1"/>
    <w:rsid w:val="0047583F"/>
    <w:rsid w:val="00475A6D"/>
    <w:rsid w:val="00475DE8"/>
    <w:rsid w:val="004809E0"/>
    <w:rsid w:val="00481C44"/>
    <w:rsid w:val="0048378B"/>
    <w:rsid w:val="00484936"/>
    <w:rsid w:val="00485C89"/>
    <w:rsid w:val="00486BE3"/>
    <w:rsid w:val="004905E4"/>
    <w:rsid w:val="00490A89"/>
    <w:rsid w:val="00490AB4"/>
    <w:rsid w:val="00492F02"/>
    <w:rsid w:val="004939AE"/>
    <w:rsid w:val="004A0B0F"/>
    <w:rsid w:val="004A12DF"/>
    <w:rsid w:val="004A17E6"/>
    <w:rsid w:val="004A1BA8"/>
    <w:rsid w:val="004A4256"/>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536"/>
    <w:rsid w:val="004E1C0A"/>
    <w:rsid w:val="004E2B06"/>
    <w:rsid w:val="004E30C5"/>
    <w:rsid w:val="004E41C3"/>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07D82"/>
    <w:rsid w:val="00510A7B"/>
    <w:rsid w:val="0051117F"/>
    <w:rsid w:val="00512F6E"/>
    <w:rsid w:val="00513038"/>
    <w:rsid w:val="00514174"/>
    <w:rsid w:val="00516088"/>
    <w:rsid w:val="00516B0B"/>
    <w:rsid w:val="00516BAA"/>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AD0"/>
    <w:rsid w:val="00551F6F"/>
    <w:rsid w:val="00555044"/>
    <w:rsid w:val="00561475"/>
    <w:rsid w:val="0056487B"/>
    <w:rsid w:val="00564FB9"/>
    <w:rsid w:val="005660C4"/>
    <w:rsid w:val="00566436"/>
    <w:rsid w:val="00566D1F"/>
    <w:rsid w:val="00567745"/>
    <w:rsid w:val="0057352B"/>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C7CEE"/>
    <w:rsid w:val="005D0C75"/>
    <w:rsid w:val="005D4171"/>
    <w:rsid w:val="005D6A95"/>
    <w:rsid w:val="005D6B2C"/>
    <w:rsid w:val="005D6D9C"/>
    <w:rsid w:val="005E2335"/>
    <w:rsid w:val="005E34CA"/>
    <w:rsid w:val="005E3C18"/>
    <w:rsid w:val="005E6413"/>
    <w:rsid w:val="005E6812"/>
    <w:rsid w:val="005E7881"/>
    <w:rsid w:val="005E78E0"/>
    <w:rsid w:val="005F0D9C"/>
    <w:rsid w:val="005F284E"/>
    <w:rsid w:val="005F4712"/>
    <w:rsid w:val="006015CE"/>
    <w:rsid w:val="00603674"/>
    <w:rsid w:val="00604784"/>
    <w:rsid w:val="00606419"/>
    <w:rsid w:val="00607D29"/>
    <w:rsid w:val="00607DFB"/>
    <w:rsid w:val="00612952"/>
    <w:rsid w:val="00614CC1"/>
    <w:rsid w:val="00615A9D"/>
    <w:rsid w:val="00617387"/>
    <w:rsid w:val="006205D6"/>
    <w:rsid w:val="00620661"/>
    <w:rsid w:val="006252D8"/>
    <w:rsid w:val="006259BC"/>
    <w:rsid w:val="0062636B"/>
    <w:rsid w:val="00632182"/>
    <w:rsid w:val="00632AE0"/>
    <w:rsid w:val="00633C17"/>
    <w:rsid w:val="00634D9E"/>
    <w:rsid w:val="00636E3E"/>
    <w:rsid w:val="006379F7"/>
    <w:rsid w:val="00637E4D"/>
    <w:rsid w:val="00640620"/>
    <w:rsid w:val="00640D34"/>
    <w:rsid w:val="00641A1F"/>
    <w:rsid w:val="00643F30"/>
    <w:rsid w:val="00645904"/>
    <w:rsid w:val="0064601D"/>
    <w:rsid w:val="00651ACB"/>
    <w:rsid w:val="00651C47"/>
    <w:rsid w:val="00652AB2"/>
    <w:rsid w:val="00653FED"/>
    <w:rsid w:val="00654EC0"/>
    <w:rsid w:val="0065525B"/>
    <w:rsid w:val="00655D4F"/>
    <w:rsid w:val="00656D29"/>
    <w:rsid w:val="006640E5"/>
    <w:rsid w:val="006646F1"/>
    <w:rsid w:val="00664929"/>
    <w:rsid w:val="00664F62"/>
    <w:rsid w:val="006655E1"/>
    <w:rsid w:val="00667AA7"/>
    <w:rsid w:val="00672060"/>
    <w:rsid w:val="00672BFD"/>
    <w:rsid w:val="006770F4"/>
    <w:rsid w:val="00677A84"/>
    <w:rsid w:val="0068026D"/>
    <w:rsid w:val="00680A27"/>
    <w:rsid w:val="00681270"/>
    <w:rsid w:val="006816A4"/>
    <w:rsid w:val="006819B8"/>
    <w:rsid w:val="006840A6"/>
    <w:rsid w:val="0068415C"/>
    <w:rsid w:val="006850CD"/>
    <w:rsid w:val="00685701"/>
    <w:rsid w:val="00685AAB"/>
    <w:rsid w:val="00695D22"/>
    <w:rsid w:val="00696FF5"/>
    <w:rsid w:val="006A07AA"/>
    <w:rsid w:val="006A25E5"/>
    <w:rsid w:val="006A2B46"/>
    <w:rsid w:val="006A336D"/>
    <w:rsid w:val="006A37B9"/>
    <w:rsid w:val="006B2672"/>
    <w:rsid w:val="006B54BF"/>
    <w:rsid w:val="006B5F44"/>
    <w:rsid w:val="006B5F90"/>
    <w:rsid w:val="006B62E4"/>
    <w:rsid w:val="006B6E12"/>
    <w:rsid w:val="006C1BBA"/>
    <w:rsid w:val="006C2079"/>
    <w:rsid w:val="006C3251"/>
    <w:rsid w:val="006C5A62"/>
    <w:rsid w:val="006C5D68"/>
    <w:rsid w:val="006C6003"/>
    <w:rsid w:val="006C6976"/>
    <w:rsid w:val="006C6DD0"/>
    <w:rsid w:val="006D04EA"/>
    <w:rsid w:val="006D0AB7"/>
    <w:rsid w:val="006D16C4"/>
    <w:rsid w:val="006D3430"/>
    <w:rsid w:val="006D3E96"/>
    <w:rsid w:val="006D4515"/>
    <w:rsid w:val="006D4BB1"/>
    <w:rsid w:val="006D6593"/>
    <w:rsid w:val="006E23EA"/>
    <w:rsid w:val="006E42A5"/>
    <w:rsid w:val="006F03A8"/>
    <w:rsid w:val="006F10E3"/>
    <w:rsid w:val="006F2ACA"/>
    <w:rsid w:val="006F2ADC"/>
    <w:rsid w:val="006F2BFE"/>
    <w:rsid w:val="006F31E9"/>
    <w:rsid w:val="006F6284"/>
    <w:rsid w:val="007002C5"/>
    <w:rsid w:val="00704387"/>
    <w:rsid w:val="00707669"/>
    <w:rsid w:val="00711678"/>
    <w:rsid w:val="00711CBA"/>
    <w:rsid w:val="00711FB5"/>
    <w:rsid w:val="00712A01"/>
    <w:rsid w:val="00714F58"/>
    <w:rsid w:val="00722FBF"/>
    <w:rsid w:val="00722FC2"/>
    <w:rsid w:val="00724879"/>
    <w:rsid w:val="00724E1B"/>
    <w:rsid w:val="00725949"/>
    <w:rsid w:val="00726D8C"/>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0F97"/>
    <w:rsid w:val="00773C1F"/>
    <w:rsid w:val="00774DA4"/>
    <w:rsid w:val="00776599"/>
    <w:rsid w:val="00777448"/>
    <w:rsid w:val="0078114B"/>
    <w:rsid w:val="00781DD2"/>
    <w:rsid w:val="00783ECF"/>
    <w:rsid w:val="0078413A"/>
    <w:rsid w:val="00784C33"/>
    <w:rsid w:val="007959E8"/>
    <w:rsid w:val="00795E9C"/>
    <w:rsid w:val="00796E7B"/>
    <w:rsid w:val="007A0521"/>
    <w:rsid w:val="007A2E12"/>
    <w:rsid w:val="007A3475"/>
    <w:rsid w:val="007A3B13"/>
    <w:rsid w:val="007A41C8"/>
    <w:rsid w:val="007A54CE"/>
    <w:rsid w:val="007A6FD9"/>
    <w:rsid w:val="007A7FFA"/>
    <w:rsid w:val="007B04EB"/>
    <w:rsid w:val="007B0D4F"/>
    <w:rsid w:val="007B5A3D"/>
    <w:rsid w:val="007B5B95"/>
    <w:rsid w:val="007B68EA"/>
    <w:rsid w:val="007B7453"/>
    <w:rsid w:val="007C00F4"/>
    <w:rsid w:val="007C1E8B"/>
    <w:rsid w:val="007C2D89"/>
    <w:rsid w:val="007C4593"/>
    <w:rsid w:val="007C4E5B"/>
    <w:rsid w:val="007C5309"/>
    <w:rsid w:val="007C6069"/>
    <w:rsid w:val="007D06C4"/>
    <w:rsid w:val="007D1352"/>
    <w:rsid w:val="007D2508"/>
    <w:rsid w:val="007D346A"/>
    <w:rsid w:val="007D6518"/>
    <w:rsid w:val="007D76BD"/>
    <w:rsid w:val="007E0BF1"/>
    <w:rsid w:val="007F0ED8"/>
    <w:rsid w:val="007F0F63"/>
    <w:rsid w:val="007F75CE"/>
    <w:rsid w:val="00800F89"/>
    <w:rsid w:val="008013A4"/>
    <w:rsid w:val="008027CE"/>
    <w:rsid w:val="00802F42"/>
    <w:rsid w:val="00804383"/>
    <w:rsid w:val="00804BB7"/>
    <w:rsid w:val="00804D41"/>
    <w:rsid w:val="00810257"/>
    <w:rsid w:val="008104F5"/>
    <w:rsid w:val="00811072"/>
    <w:rsid w:val="00811369"/>
    <w:rsid w:val="00812CE4"/>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10FB"/>
    <w:rsid w:val="00842A47"/>
    <w:rsid w:val="00843359"/>
    <w:rsid w:val="00843C13"/>
    <w:rsid w:val="008454F8"/>
    <w:rsid w:val="00845A9B"/>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86D63"/>
    <w:rsid w:val="0089049D"/>
    <w:rsid w:val="008928C9"/>
    <w:rsid w:val="008930CB"/>
    <w:rsid w:val="008938DC"/>
    <w:rsid w:val="00893FD1"/>
    <w:rsid w:val="00894836"/>
    <w:rsid w:val="00895172"/>
    <w:rsid w:val="00895680"/>
    <w:rsid w:val="00896B54"/>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A3C"/>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207"/>
    <w:rsid w:val="009305B5"/>
    <w:rsid w:val="0093445F"/>
    <w:rsid w:val="00940565"/>
    <w:rsid w:val="00940967"/>
    <w:rsid w:val="009427EF"/>
    <w:rsid w:val="009429D5"/>
    <w:rsid w:val="00942BF1"/>
    <w:rsid w:val="00945180"/>
    <w:rsid w:val="00945428"/>
    <w:rsid w:val="0094607B"/>
    <w:rsid w:val="009472B4"/>
    <w:rsid w:val="00953604"/>
    <w:rsid w:val="0095496B"/>
    <w:rsid w:val="009610DC"/>
    <w:rsid w:val="00961490"/>
    <w:rsid w:val="0096381A"/>
    <w:rsid w:val="00965E04"/>
    <w:rsid w:val="009674AD"/>
    <w:rsid w:val="00970246"/>
    <w:rsid w:val="00970CDC"/>
    <w:rsid w:val="00970F7A"/>
    <w:rsid w:val="00971D7D"/>
    <w:rsid w:val="009766E7"/>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0C77"/>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1E26"/>
    <w:rsid w:val="00A129D0"/>
    <w:rsid w:val="00A12C33"/>
    <w:rsid w:val="00A134FC"/>
    <w:rsid w:val="00A138BA"/>
    <w:rsid w:val="00A14C8E"/>
    <w:rsid w:val="00A153D9"/>
    <w:rsid w:val="00A15F09"/>
    <w:rsid w:val="00A169B6"/>
    <w:rsid w:val="00A2271D"/>
    <w:rsid w:val="00A237D5"/>
    <w:rsid w:val="00A30EFC"/>
    <w:rsid w:val="00A31984"/>
    <w:rsid w:val="00A32D73"/>
    <w:rsid w:val="00A3367B"/>
    <w:rsid w:val="00A3597D"/>
    <w:rsid w:val="00A367DF"/>
    <w:rsid w:val="00A36DD1"/>
    <w:rsid w:val="00A4006C"/>
    <w:rsid w:val="00A40091"/>
    <w:rsid w:val="00A4030F"/>
    <w:rsid w:val="00A41C79"/>
    <w:rsid w:val="00A41CB5"/>
    <w:rsid w:val="00A42CDF"/>
    <w:rsid w:val="00A43BF6"/>
    <w:rsid w:val="00A4452E"/>
    <w:rsid w:val="00A4472C"/>
    <w:rsid w:val="00A44E69"/>
    <w:rsid w:val="00A4661E"/>
    <w:rsid w:val="00A55BD6"/>
    <w:rsid w:val="00A55D50"/>
    <w:rsid w:val="00A56C70"/>
    <w:rsid w:val="00A57142"/>
    <w:rsid w:val="00A61844"/>
    <w:rsid w:val="00A648CD"/>
    <w:rsid w:val="00A6537A"/>
    <w:rsid w:val="00A67866"/>
    <w:rsid w:val="00A70B07"/>
    <w:rsid w:val="00A723F8"/>
    <w:rsid w:val="00A77CCB"/>
    <w:rsid w:val="00A82068"/>
    <w:rsid w:val="00A83D8D"/>
    <w:rsid w:val="00A8446B"/>
    <w:rsid w:val="00A8473F"/>
    <w:rsid w:val="00A862D6"/>
    <w:rsid w:val="00A8715E"/>
    <w:rsid w:val="00A9295B"/>
    <w:rsid w:val="00A93B09"/>
    <w:rsid w:val="00A94247"/>
    <w:rsid w:val="00A952D7"/>
    <w:rsid w:val="00A963F7"/>
    <w:rsid w:val="00A96AD8"/>
    <w:rsid w:val="00A977A4"/>
    <w:rsid w:val="00AA052C"/>
    <w:rsid w:val="00AA1E45"/>
    <w:rsid w:val="00AA248D"/>
    <w:rsid w:val="00AA4286"/>
    <w:rsid w:val="00AA456B"/>
    <w:rsid w:val="00AA57F5"/>
    <w:rsid w:val="00AA672E"/>
    <w:rsid w:val="00AA6EC9"/>
    <w:rsid w:val="00AB41D5"/>
    <w:rsid w:val="00AB5C1B"/>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1505"/>
    <w:rsid w:val="00AE37E5"/>
    <w:rsid w:val="00AE5EB4"/>
    <w:rsid w:val="00AF0C18"/>
    <w:rsid w:val="00AF1923"/>
    <w:rsid w:val="00AF47C5"/>
    <w:rsid w:val="00AF5398"/>
    <w:rsid w:val="00B049AF"/>
    <w:rsid w:val="00B065C5"/>
    <w:rsid w:val="00B07242"/>
    <w:rsid w:val="00B10534"/>
    <w:rsid w:val="00B113DB"/>
    <w:rsid w:val="00B11D8A"/>
    <w:rsid w:val="00B12598"/>
    <w:rsid w:val="00B12981"/>
    <w:rsid w:val="00B147DD"/>
    <w:rsid w:val="00B156FD"/>
    <w:rsid w:val="00B17A1C"/>
    <w:rsid w:val="00B21F61"/>
    <w:rsid w:val="00B2229A"/>
    <w:rsid w:val="00B261F1"/>
    <w:rsid w:val="00B265BC"/>
    <w:rsid w:val="00B31FB1"/>
    <w:rsid w:val="00B33952"/>
    <w:rsid w:val="00B33C5E"/>
    <w:rsid w:val="00B342F4"/>
    <w:rsid w:val="00B34369"/>
    <w:rsid w:val="00B3496B"/>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42F1"/>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08A2"/>
    <w:rsid w:val="00BA263B"/>
    <w:rsid w:val="00BA42B2"/>
    <w:rsid w:val="00BA58D4"/>
    <w:rsid w:val="00BA5B9E"/>
    <w:rsid w:val="00BA7C9A"/>
    <w:rsid w:val="00BB1001"/>
    <w:rsid w:val="00BB203B"/>
    <w:rsid w:val="00BB5F8F"/>
    <w:rsid w:val="00BB657A"/>
    <w:rsid w:val="00BC1A4E"/>
    <w:rsid w:val="00BC4790"/>
    <w:rsid w:val="00BC5DC7"/>
    <w:rsid w:val="00BC6B8B"/>
    <w:rsid w:val="00BC73D8"/>
    <w:rsid w:val="00BD08F0"/>
    <w:rsid w:val="00BD52D7"/>
    <w:rsid w:val="00BD5AD2"/>
    <w:rsid w:val="00BE00E9"/>
    <w:rsid w:val="00BE1122"/>
    <w:rsid w:val="00BE22F3"/>
    <w:rsid w:val="00BE5B52"/>
    <w:rsid w:val="00BE7B8D"/>
    <w:rsid w:val="00BF0993"/>
    <w:rsid w:val="00BF10A9"/>
    <w:rsid w:val="00BF1703"/>
    <w:rsid w:val="00BF231C"/>
    <w:rsid w:val="00BF51E5"/>
    <w:rsid w:val="00BF74A6"/>
    <w:rsid w:val="00C0122B"/>
    <w:rsid w:val="00C013AD"/>
    <w:rsid w:val="00C04904"/>
    <w:rsid w:val="00C056B3"/>
    <w:rsid w:val="00C05F73"/>
    <w:rsid w:val="00C103E5"/>
    <w:rsid w:val="00C10D2D"/>
    <w:rsid w:val="00C12447"/>
    <w:rsid w:val="00C13319"/>
    <w:rsid w:val="00C13EE9"/>
    <w:rsid w:val="00C21540"/>
    <w:rsid w:val="00C21906"/>
    <w:rsid w:val="00C21BFA"/>
    <w:rsid w:val="00C22148"/>
    <w:rsid w:val="00C24C8D"/>
    <w:rsid w:val="00C25FE2"/>
    <w:rsid w:val="00C26B53"/>
    <w:rsid w:val="00C279B2"/>
    <w:rsid w:val="00C33E50"/>
    <w:rsid w:val="00C34C20"/>
    <w:rsid w:val="00C35A3E"/>
    <w:rsid w:val="00C3665B"/>
    <w:rsid w:val="00C42130"/>
    <w:rsid w:val="00C423A4"/>
    <w:rsid w:val="00C43BA5"/>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0C89"/>
    <w:rsid w:val="00C92D03"/>
    <w:rsid w:val="00C9319C"/>
    <w:rsid w:val="00C9435D"/>
    <w:rsid w:val="00C94DF2"/>
    <w:rsid w:val="00C96741"/>
    <w:rsid w:val="00C97C3E"/>
    <w:rsid w:val="00CA2D1B"/>
    <w:rsid w:val="00CA375D"/>
    <w:rsid w:val="00CA662A"/>
    <w:rsid w:val="00CA7AFD"/>
    <w:rsid w:val="00CA7C3C"/>
    <w:rsid w:val="00CB0189"/>
    <w:rsid w:val="00CB0BA2"/>
    <w:rsid w:val="00CB1A42"/>
    <w:rsid w:val="00CB1B0C"/>
    <w:rsid w:val="00CB2500"/>
    <w:rsid w:val="00CB2C0B"/>
    <w:rsid w:val="00CB517D"/>
    <w:rsid w:val="00CB53B4"/>
    <w:rsid w:val="00CB7EAE"/>
    <w:rsid w:val="00CC038D"/>
    <w:rsid w:val="00CC08DB"/>
    <w:rsid w:val="00CC39FF"/>
    <w:rsid w:val="00CC3C2F"/>
    <w:rsid w:val="00CC4938"/>
    <w:rsid w:val="00CC4AC8"/>
    <w:rsid w:val="00CC5233"/>
    <w:rsid w:val="00CC5DE6"/>
    <w:rsid w:val="00CC6E4E"/>
    <w:rsid w:val="00CC6FE8"/>
    <w:rsid w:val="00CC7202"/>
    <w:rsid w:val="00CC7D72"/>
    <w:rsid w:val="00CD2808"/>
    <w:rsid w:val="00CD28BF"/>
    <w:rsid w:val="00CD3C3B"/>
    <w:rsid w:val="00CD4092"/>
    <w:rsid w:val="00CD4A20"/>
    <w:rsid w:val="00CD50A1"/>
    <w:rsid w:val="00CD519E"/>
    <w:rsid w:val="00CD561D"/>
    <w:rsid w:val="00CD7788"/>
    <w:rsid w:val="00CE0012"/>
    <w:rsid w:val="00CE0C4F"/>
    <w:rsid w:val="00CE30EA"/>
    <w:rsid w:val="00CF048A"/>
    <w:rsid w:val="00CF155A"/>
    <w:rsid w:val="00CF2947"/>
    <w:rsid w:val="00CF686F"/>
    <w:rsid w:val="00CF6E60"/>
    <w:rsid w:val="00CF7BCA"/>
    <w:rsid w:val="00D008FD"/>
    <w:rsid w:val="00D01D43"/>
    <w:rsid w:val="00D0321C"/>
    <w:rsid w:val="00D035EC"/>
    <w:rsid w:val="00D06AB1"/>
    <w:rsid w:val="00D072ED"/>
    <w:rsid w:val="00D07A16"/>
    <w:rsid w:val="00D1067E"/>
    <w:rsid w:val="00D10F50"/>
    <w:rsid w:val="00D111B3"/>
    <w:rsid w:val="00D11272"/>
    <w:rsid w:val="00D126F5"/>
    <w:rsid w:val="00D14842"/>
    <w:rsid w:val="00D1489E"/>
    <w:rsid w:val="00D14DBE"/>
    <w:rsid w:val="00D20737"/>
    <w:rsid w:val="00D21E81"/>
    <w:rsid w:val="00D223DE"/>
    <w:rsid w:val="00D25E37"/>
    <w:rsid w:val="00D2661A"/>
    <w:rsid w:val="00D27582"/>
    <w:rsid w:val="00D27EC4"/>
    <w:rsid w:val="00D31D91"/>
    <w:rsid w:val="00D32719"/>
    <w:rsid w:val="00D33084"/>
    <w:rsid w:val="00D33333"/>
    <w:rsid w:val="00D33457"/>
    <w:rsid w:val="00D34537"/>
    <w:rsid w:val="00D346E7"/>
    <w:rsid w:val="00D352A2"/>
    <w:rsid w:val="00D3660F"/>
    <w:rsid w:val="00D4162B"/>
    <w:rsid w:val="00D4514F"/>
    <w:rsid w:val="00D451E2"/>
    <w:rsid w:val="00D45E89"/>
    <w:rsid w:val="00D45E8D"/>
    <w:rsid w:val="00D466AE"/>
    <w:rsid w:val="00D46762"/>
    <w:rsid w:val="00D4734F"/>
    <w:rsid w:val="00D51BF3"/>
    <w:rsid w:val="00D66846"/>
    <w:rsid w:val="00D675FB"/>
    <w:rsid w:val="00D71F25"/>
    <w:rsid w:val="00D72A9C"/>
    <w:rsid w:val="00D77031"/>
    <w:rsid w:val="00D77719"/>
    <w:rsid w:val="00D83F7A"/>
    <w:rsid w:val="00D84941"/>
    <w:rsid w:val="00D84FA1"/>
    <w:rsid w:val="00D851F0"/>
    <w:rsid w:val="00D86DB7"/>
    <w:rsid w:val="00D926D0"/>
    <w:rsid w:val="00D93030"/>
    <w:rsid w:val="00D950E1"/>
    <w:rsid w:val="00D952A6"/>
    <w:rsid w:val="00D97F99"/>
    <w:rsid w:val="00DA19BB"/>
    <w:rsid w:val="00DA1E08"/>
    <w:rsid w:val="00DA24F8"/>
    <w:rsid w:val="00DA26EC"/>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D7782"/>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3EC9"/>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4E3"/>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6DCF"/>
    <w:rsid w:val="00EA735B"/>
    <w:rsid w:val="00EB17DE"/>
    <w:rsid w:val="00EB1E69"/>
    <w:rsid w:val="00EB2086"/>
    <w:rsid w:val="00EB5EDF"/>
    <w:rsid w:val="00EB60FE"/>
    <w:rsid w:val="00EB613B"/>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51F1"/>
    <w:rsid w:val="00F06D37"/>
    <w:rsid w:val="00F0706F"/>
    <w:rsid w:val="00F07B9D"/>
    <w:rsid w:val="00F11586"/>
    <w:rsid w:val="00F1183B"/>
    <w:rsid w:val="00F11C9F"/>
    <w:rsid w:val="00F12263"/>
    <w:rsid w:val="00F1409D"/>
    <w:rsid w:val="00F14214"/>
    <w:rsid w:val="00F157A9"/>
    <w:rsid w:val="00F25BB6"/>
    <w:rsid w:val="00F26B7E"/>
    <w:rsid w:val="00F27A3B"/>
    <w:rsid w:val="00F33817"/>
    <w:rsid w:val="00F353F7"/>
    <w:rsid w:val="00F420D5"/>
    <w:rsid w:val="00F451EA"/>
    <w:rsid w:val="00F45447"/>
    <w:rsid w:val="00F456C6"/>
    <w:rsid w:val="00F4577B"/>
    <w:rsid w:val="00F46496"/>
    <w:rsid w:val="00F474D0"/>
    <w:rsid w:val="00F47903"/>
    <w:rsid w:val="00F50179"/>
    <w:rsid w:val="00F515EE"/>
    <w:rsid w:val="00F56511"/>
    <w:rsid w:val="00F6194E"/>
    <w:rsid w:val="00F623AC"/>
    <w:rsid w:val="00F6412A"/>
    <w:rsid w:val="00F65893"/>
    <w:rsid w:val="00F66A4A"/>
    <w:rsid w:val="00F71E22"/>
    <w:rsid w:val="00F72142"/>
    <w:rsid w:val="00F72AE7"/>
    <w:rsid w:val="00F77B9E"/>
    <w:rsid w:val="00F81141"/>
    <w:rsid w:val="00F833BA"/>
    <w:rsid w:val="00F84FD0"/>
    <w:rsid w:val="00F85323"/>
    <w:rsid w:val="00F859A8"/>
    <w:rsid w:val="00F86D87"/>
    <w:rsid w:val="00F87CE2"/>
    <w:rsid w:val="00F9108B"/>
    <w:rsid w:val="00F91349"/>
    <w:rsid w:val="00F91DEF"/>
    <w:rsid w:val="00F93A8A"/>
    <w:rsid w:val="00F95248"/>
    <w:rsid w:val="00F956A9"/>
    <w:rsid w:val="00F963ED"/>
    <w:rsid w:val="00F966CF"/>
    <w:rsid w:val="00F96CAE"/>
    <w:rsid w:val="00F97C99"/>
    <w:rsid w:val="00FA4DAC"/>
    <w:rsid w:val="00FA662D"/>
    <w:rsid w:val="00FA73B1"/>
    <w:rsid w:val="00FB0CB9"/>
    <w:rsid w:val="00FB1365"/>
    <w:rsid w:val="00FB231D"/>
    <w:rsid w:val="00FB45F1"/>
    <w:rsid w:val="00FB4A72"/>
    <w:rsid w:val="00FB50D4"/>
    <w:rsid w:val="00FB54E8"/>
    <w:rsid w:val="00FB7054"/>
    <w:rsid w:val="00FC17B7"/>
    <w:rsid w:val="00FC2CB7"/>
    <w:rsid w:val="00FC4090"/>
    <w:rsid w:val="00FC55B4"/>
    <w:rsid w:val="00FD00E6"/>
    <w:rsid w:val="00FD0139"/>
    <w:rsid w:val="00FD09A1"/>
    <w:rsid w:val="00FD2A7C"/>
    <w:rsid w:val="00FD59EB"/>
    <w:rsid w:val="00FD7299"/>
    <w:rsid w:val="00FE1FBE"/>
    <w:rsid w:val="00FE3901"/>
    <w:rsid w:val="00FE39D3"/>
    <w:rsid w:val="00FE4BCE"/>
    <w:rsid w:val="00FE54AE"/>
    <w:rsid w:val="00FE576A"/>
    <w:rsid w:val="00FE6269"/>
    <w:rsid w:val="00FE7E79"/>
    <w:rsid w:val="00FF3E7D"/>
    <w:rsid w:val="00FF5B99"/>
    <w:rsid w:val="00FF730C"/>
    <w:rsid w:val="00FF73F4"/>
    <w:rsid w:val="00FF7CE4"/>
    <w:rsid w:val="00FF7E39"/>
    <w:rsid w:val="01A12605"/>
    <w:rsid w:val="02315D47"/>
    <w:rsid w:val="04EE5CCC"/>
    <w:rsid w:val="05247E3B"/>
    <w:rsid w:val="0A682522"/>
    <w:rsid w:val="0C2A3F33"/>
    <w:rsid w:val="0E344BF5"/>
    <w:rsid w:val="0F1669F0"/>
    <w:rsid w:val="0FF07241"/>
    <w:rsid w:val="10DE353E"/>
    <w:rsid w:val="11651569"/>
    <w:rsid w:val="12616E85"/>
    <w:rsid w:val="12FB3F33"/>
    <w:rsid w:val="14E153AA"/>
    <w:rsid w:val="19583DD8"/>
    <w:rsid w:val="195922D1"/>
    <w:rsid w:val="19BF26AD"/>
    <w:rsid w:val="1BF43C15"/>
    <w:rsid w:val="1D3A1AFC"/>
    <w:rsid w:val="1F2111C5"/>
    <w:rsid w:val="1F5570C1"/>
    <w:rsid w:val="20DD55C0"/>
    <w:rsid w:val="234A0563"/>
    <w:rsid w:val="25034EC9"/>
    <w:rsid w:val="272F1FA5"/>
    <w:rsid w:val="28F25980"/>
    <w:rsid w:val="2A0F214B"/>
    <w:rsid w:val="2A2964AE"/>
    <w:rsid w:val="2B04161A"/>
    <w:rsid w:val="2B681F2A"/>
    <w:rsid w:val="2D031F0A"/>
    <w:rsid w:val="2D7C630A"/>
    <w:rsid w:val="2FC96952"/>
    <w:rsid w:val="2FDC432A"/>
    <w:rsid w:val="315D10A4"/>
    <w:rsid w:val="392E47B3"/>
    <w:rsid w:val="3A777A93"/>
    <w:rsid w:val="3AAD5BAB"/>
    <w:rsid w:val="3BF82E56"/>
    <w:rsid w:val="3CEC364C"/>
    <w:rsid w:val="3FB55C6F"/>
    <w:rsid w:val="42084F38"/>
    <w:rsid w:val="447B63D2"/>
    <w:rsid w:val="44817E8C"/>
    <w:rsid w:val="47EA7AF7"/>
    <w:rsid w:val="4B92472D"/>
    <w:rsid w:val="4C9B5863"/>
    <w:rsid w:val="4CA30183"/>
    <w:rsid w:val="4DDA060D"/>
    <w:rsid w:val="53165C44"/>
    <w:rsid w:val="55627866"/>
    <w:rsid w:val="56A96DCF"/>
    <w:rsid w:val="59154BEF"/>
    <w:rsid w:val="5AAB580B"/>
    <w:rsid w:val="5DBC0447"/>
    <w:rsid w:val="5EA32348"/>
    <w:rsid w:val="5FB07420"/>
    <w:rsid w:val="60114363"/>
    <w:rsid w:val="674C3ED2"/>
    <w:rsid w:val="67CC0B6F"/>
    <w:rsid w:val="67E534E3"/>
    <w:rsid w:val="687A4A6F"/>
    <w:rsid w:val="68F177A5"/>
    <w:rsid w:val="6D1E02F1"/>
    <w:rsid w:val="6DA700B4"/>
    <w:rsid w:val="6E1F2476"/>
    <w:rsid w:val="702A6D7B"/>
    <w:rsid w:val="71865B23"/>
    <w:rsid w:val="74B875D6"/>
    <w:rsid w:val="752913AF"/>
    <w:rsid w:val="78C733B9"/>
    <w:rsid w:val="78F671A8"/>
    <w:rsid w:val="7A6510DB"/>
    <w:rsid w:val="7ABC0273"/>
    <w:rsid w:val="7B1D1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2 Char"/>
    <w:link w:val="3"/>
    <w:qFormat/>
    <w:uiPriority w:val="0"/>
    <w:rPr>
      <w:rFonts w:ascii="Arial" w:hAnsi="Arial" w:eastAsia="黑体"/>
      <w:b/>
      <w:bCs/>
      <w:kern w:val="2"/>
      <w:sz w:val="32"/>
      <w:szCs w:val="32"/>
    </w:rPr>
  </w:style>
  <w:style w:type="character" w:customStyle="1" w:styleId="35">
    <w:name w:val="标题 1 Char"/>
    <w:link w:val="2"/>
    <w:qFormat/>
    <w:uiPriority w:val="0"/>
    <w:rPr>
      <w:b/>
      <w:bCs/>
      <w:kern w:val="44"/>
      <w:sz w:val="44"/>
      <w:szCs w:val="44"/>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glossaryDocument" Target="glossary/document.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4E2A0BA6C4E401FB6B22506689D1B66"/>
        <w:style w:val=""/>
        <w:category>
          <w:name w:val="常规"/>
          <w:gallery w:val="placeholder"/>
        </w:category>
        <w:types>
          <w:type w:val="bbPlcHdr"/>
        </w:types>
        <w:behaviors>
          <w:behavior w:val="content"/>
        </w:behaviors>
        <w:description w:val=""/>
        <w:guid w:val="{B26EB74D-D6DE-4851-B5AA-D85056B858AB}"/>
      </w:docPartPr>
      <w:docPartBody>
        <w:p w14:paraId="37CADBCF">
          <w:pPr>
            <w:pStyle w:val="5"/>
          </w:pPr>
          <w:r>
            <w:rPr>
              <w:rStyle w:val="4"/>
              <w:rFonts w:hint="eastAsia"/>
            </w:rPr>
            <w:t>单击或点击此处输入文字。</w:t>
          </w:r>
        </w:p>
      </w:docPartBody>
    </w:docPart>
    <w:docPart>
      <w:docPartPr>
        <w:name w:val="8D0C7A3A1C2E4AC68328D2289B57F66D"/>
        <w:style w:val=""/>
        <w:category>
          <w:name w:val="常规"/>
          <w:gallery w:val="placeholder"/>
        </w:category>
        <w:types>
          <w:type w:val="bbPlcHdr"/>
        </w:types>
        <w:behaviors>
          <w:behavior w:val="content"/>
        </w:behaviors>
        <w:description w:val=""/>
        <w:guid w:val="{78411A1C-E2A9-49BF-B4A2-B31FF156732B}"/>
      </w:docPartPr>
      <w:docPartBody>
        <w:p w14:paraId="27511808">
          <w:pPr>
            <w:pStyle w:val="6"/>
          </w:pPr>
          <w:r>
            <w:rPr>
              <w:rStyle w:val="4"/>
              <w:rFonts w:hint="eastAsia"/>
            </w:rPr>
            <w:t>选择一项。</w:t>
          </w:r>
        </w:p>
      </w:docPartBody>
    </w:docPart>
    <w:docPart>
      <w:docPartPr>
        <w:name w:val="3CF3966238DC4A03A3EC2C3C7D930A30"/>
        <w:style w:val=""/>
        <w:category>
          <w:name w:val="常规"/>
          <w:gallery w:val="placeholder"/>
        </w:category>
        <w:types>
          <w:type w:val="bbPlcHdr"/>
        </w:types>
        <w:behaviors>
          <w:behavior w:val="content"/>
        </w:behaviors>
        <w:description w:val=""/>
        <w:guid w:val="{B5BAB3A5-3567-4C3D-B623-BC5E573E240D}"/>
      </w:docPartPr>
      <w:docPartBody>
        <w:p w14:paraId="13EFF73B">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E40"/>
    <w:rsid w:val="0003278C"/>
    <w:rsid w:val="00062BA4"/>
    <w:rsid w:val="0007593E"/>
    <w:rsid w:val="00106871"/>
    <w:rsid w:val="00137D54"/>
    <w:rsid w:val="00155018"/>
    <w:rsid w:val="00220CC7"/>
    <w:rsid w:val="00265E15"/>
    <w:rsid w:val="002947AC"/>
    <w:rsid w:val="00313740"/>
    <w:rsid w:val="003D3953"/>
    <w:rsid w:val="00411B22"/>
    <w:rsid w:val="00456FBA"/>
    <w:rsid w:val="004C49EF"/>
    <w:rsid w:val="0055000E"/>
    <w:rsid w:val="00580B71"/>
    <w:rsid w:val="005C1B18"/>
    <w:rsid w:val="005C4C2E"/>
    <w:rsid w:val="005D76B0"/>
    <w:rsid w:val="00651162"/>
    <w:rsid w:val="00743D7F"/>
    <w:rsid w:val="00796639"/>
    <w:rsid w:val="007D0D5C"/>
    <w:rsid w:val="00801261"/>
    <w:rsid w:val="00816D3F"/>
    <w:rsid w:val="00867CE6"/>
    <w:rsid w:val="009124CE"/>
    <w:rsid w:val="00936D11"/>
    <w:rsid w:val="00941BD5"/>
    <w:rsid w:val="00972765"/>
    <w:rsid w:val="009909BB"/>
    <w:rsid w:val="00A13D9C"/>
    <w:rsid w:val="00A47C34"/>
    <w:rsid w:val="00A51B53"/>
    <w:rsid w:val="00A5217F"/>
    <w:rsid w:val="00B87B3B"/>
    <w:rsid w:val="00BE2E77"/>
    <w:rsid w:val="00C01294"/>
    <w:rsid w:val="00D45859"/>
    <w:rsid w:val="00E36889"/>
    <w:rsid w:val="00E82E20"/>
    <w:rsid w:val="00EB7F7C"/>
    <w:rsid w:val="00F04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B4E2A0BA6C4E401FB6B22506689D1B6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8D0C7A3A1C2E4AC68328D2289B57F6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3CF3966238DC4A03A3EC2C3C7D930A3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51B17F-9D24-4EE2-B45A-99161EBFFA3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2550</Words>
  <Characters>2843</Characters>
  <Lines>33</Lines>
  <Paragraphs>9</Paragraphs>
  <TotalTime>4</TotalTime>
  <ScaleCrop>false</ScaleCrop>
  <LinksUpToDate>false</LinksUpToDate>
  <CharactersWithSpaces>2963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2024-12-18T12:12:00Z</dcterms:created>
  <dc:creator>Administrator</dc:creator>
  <dc:description>&lt;config cover="true" show_menu="true" version="1.0.0" doctype="SDKXY"&gt;_x000d_
&lt;/config&gt;</dc:description>
  <cp:lastModifiedBy>冯世敬</cp:lastModifiedBy>
  <cp:lastPrinted>2024-12-19T11:59:00Z</cp:lastPrinted>
  <dcterms:modified xsi:type="dcterms:W3CDTF">2024-12-20T07:32:20Z</dcterms:modified>
  <dc:title>地方标准</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2052-12.1.0.18608</vt:lpwstr>
  </property>
  <property fmtid="{D5CDD505-2E9C-101B-9397-08002B2CF9AE}" pid="15" name="ICV">
    <vt:lpwstr>A2B555DD08AC4BCEB0890DE485A33906_12</vt:lpwstr>
  </property>
</Properties>
</file>