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52B6C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805D3A6">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515FC712">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97. 220. 20 </w:t>
            </w:r>
            <w:r>
              <w:rPr>
                <w:rFonts w:ascii="黑体" w:hAnsi="黑体" w:eastAsia="黑体"/>
                <w:sz w:val="21"/>
                <w:szCs w:val="21"/>
              </w:rPr>
              <w:fldChar w:fldCharType="end"/>
            </w:r>
            <w:bookmarkEnd w:id="0"/>
          </w:p>
        </w:tc>
      </w:tr>
      <w:tr w14:paraId="5A2A0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213DD03">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1C934F12">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55</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7A53851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1753207C">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28B0A675">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3DCDA684">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2569</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14:paraId="47EA5174">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751DF60D">
      <w:pPr>
        <w:spacing w:line="240" w:lineRule="auto"/>
        <w:rPr>
          <w:rFonts w:ascii="黑体" w:hAnsi="黑体" w:eastAsia="黑体"/>
          <w:kern w:val="0"/>
          <w:sz w:val="10"/>
          <w:szCs w:val="10"/>
        </w:rPr>
      </w:pPr>
      <w:r>
        <w:rPr>
          <w:rFonts w:ascii="黑体" w:hAnsi="黑体" w:eastAsia="黑体"/>
          <w:kern w:val="0"/>
          <w:sz w:val="10"/>
          <w:szCs w:val="10"/>
        </w:rPr>
        <w:pict>
          <v:line id="直接连接符 73" o:spid="_x0000_s1026" o:spt="20" style="position:absolute;left:0pt;margin-left:70.9pt;margin-top:212.65pt;height:0pt;width:481.9pt;mso-position-horizontal-relative:page;mso-position-vertical-relative:page;z-index:251659264;mso-width-relative:page;mso-height-relative:page;"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4NJ&#10;ltgAAAAMAQAADwAAAAAAAAABACAAAAAiAAAAZHJzL2Rvd25yZXYueG1sUEsBAhQAFAAAAAgAh07i&#10;QGYQhibpAQAAuQMAAA4AAAAAAAAAAQAgAAAAJwEAAGRycy9lMm9Eb2MueG1sUEsFBgAAAAAGAAYA&#10;WQEAAIIFAAAAAA==&#10;">
            <v:path arrowok="t"/>
            <v:fill focussize="0,0"/>
            <v:stroke/>
            <v:imagedata o:title=""/>
            <o:lock v:ext="edit"/>
          </v:line>
        </w:pict>
      </w:r>
    </w:p>
    <w:p w14:paraId="17B67AA4">
      <w:pPr>
        <w:pStyle w:val="50"/>
        <w:framePr w:w="9639" w:h="6976" w:hRule="exact" w:hSpace="0" w:vSpace="0" w:wrap="around" w:hAnchor="page" w:y="6408"/>
        <w:jc w:val="center"/>
        <w:rPr>
          <w:rFonts w:ascii="黑体" w:hAnsi="黑体" w:eastAsia="黑体"/>
          <w:b w:val="0"/>
          <w:bCs w:val="0"/>
          <w:w w:val="100"/>
        </w:rPr>
      </w:pPr>
    </w:p>
    <w:p w14:paraId="3863EA6B">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滑雪场所安全管理规范</w:t>
      </w:r>
      <w:r>
        <w:fldChar w:fldCharType="end"/>
      </w:r>
      <w:bookmarkEnd w:id="9"/>
    </w:p>
    <w:p w14:paraId="7BDC5552">
      <w:pPr>
        <w:framePr w:w="9639" w:h="6974" w:hRule="exact" w:wrap="around" w:vAnchor="page" w:hAnchor="page" w:x="1419" w:y="6408" w:anchorLock="1"/>
        <w:ind w:left="-1418"/>
      </w:pPr>
    </w:p>
    <w:p w14:paraId="5843999D">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Security management regulation for ski resort</w:t>
      </w:r>
      <w:r>
        <w:rPr>
          <w:rFonts w:eastAsia="黑体"/>
          <w:szCs w:val="28"/>
        </w:rPr>
        <w:fldChar w:fldCharType="end"/>
      </w:r>
      <w:bookmarkEnd w:id="10"/>
    </w:p>
    <w:p w14:paraId="06EAE33E">
      <w:pPr>
        <w:framePr w:w="9639" w:h="6974" w:hRule="exact" w:wrap="around" w:vAnchor="page" w:hAnchor="page" w:x="1419" w:y="6408" w:anchorLock="1"/>
        <w:spacing w:line="760" w:lineRule="exact"/>
        <w:ind w:left="-1418"/>
      </w:pPr>
    </w:p>
    <w:p w14:paraId="687959F9">
      <w:pPr>
        <w:pStyle w:val="125"/>
        <w:framePr w:w="9639" w:h="6974" w:hRule="exact" w:wrap="around" w:vAnchor="page" w:hAnchor="page" w:x="1419" w:y="6408" w:anchorLock="1"/>
        <w:textAlignment w:val="bottom"/>
        <w:rPr>
          <w:rFonts w:eastAsia="黑体"/>
          <w:szCs w:val="28"/>
        </w:rPr>
      </w:pPr>
    </w:p>
    <w:p w14:paraId="676C5815">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4"/>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156BC865">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107BD64D">
      <w:pPr>
        <w:pStyle w:val="125"/>
        <w:framePr w:w="9639" w:h="6974" w:hRule="exact" w:wrap="around" w:vAnchor="page" w:hAnchor="page" w:x="1419" w:y="6408" w:anchorLock="1"/>
        <w:spacing w:beforeLines="300"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63023898">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202X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6E348B77">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202X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62B9DFC4">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342496B7">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w:pict>
          <v:line id="直接连接符 5" o:spid="_x0000_s1028" o:spt="20" style="position:absolute;left:0pt;margin-left:70.85pt;margin-top:728.6pt;height:0pt;width:481.9pt;mso-position-horizontal-relative:page;mso-position-vertical-relative:page;z-index:251660288;mso-width-relative:page;mso-height-relative:page;"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szHPvX&#10;AAAADgEAAA8AAAAAAAAAAQAgAAAAIgAAAGRycy9kb3ducmV2LnhtbFBLAQIUABQAAAAIAIdO4kDN&#10;6QEs6AEAALgDAAAOAAAAAAAAAAEAIAAAACYBAABkcnMvZTJvRG9jLnhtbFBLBQYAAAAABgAGAFkB&#10;AACABQAAAAA=&#10;">
            <v:path arrowok="t"/>
            <v:fill focussize="0,0"/>
            <v:stroke/>
            <v:imagedata o:title=""/>
            <o:lock v:ext="edit"/>
            <w10:anchorlock/>
          </v:line>
        </w:pict>
      </w:r>
    </w:p>
    <w:p w14:paraId="4ABD6F5E">
      <w:pPr>
        <w:pStyle w:val="91"/>
        <w:spacing w:after="468"/>
      </w:pPr>
      <w:bookmarkStart w:id="21" w:name="BookMark1"/>
      <w:bookmarkStart w:id="22" w:name="_Toc132198746"/>
      <w:r>
        <w:rPr>
          <w:rFonts w:hint="eastAsia"/>
          <w:spacing w:val="320"/>
        </w:rPr>
        <w:t>目</w:t>
      </w:r>
      <w:r>
        <w:rPr>
          <w:rFonts w:hint="eastAsia"/>
        </w:rPr>
        <w:t>次</w:t>
      </w:r>
    </w:p>
    <w:p w14:paraId="784E6D3E">
      <w:pPr>
        <w:pStyle w:val="19"/>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"_Toc132198789" </w:instrText>
      </w:r>
      <w:r>
        <w:fldChar w:fldCharType="separate"/>
      </w:r>
      <w:r>
        <w:rPr>
          <w:rStyle w:val="32"/>
        </w:rPr>
        <w:t>前言</w:t>
      </w:r>
      <w:r>
        <w:tab/>
      </w:r>
      <w:r>
        <w:fldChar w:fldCharType="begin"/>
      </w:r>
      <w:r>
        <w:instrText xml:space="preserve"> PAGEREF _Toc132198789 \h </w:instrText>
      </w:r>
      <w:r>
        <w:fldChar w:fldCharType="separate"/>
      </w:r>
      <w:r>
        <w:t>II</w:t>
      </w:r>
      <w:r>
        <w:fldChar w:fldCharType="end"/>
      </w:r>
      <w:r>
        <w:fldChar w:fldCharType="end"/>
      </w:r>
    </w:p>
    <w:p w14:paraId="3FEFF71C">
      <w:pPr>
        <w:pStyle w:val="19"/>
        <w:tabs>
          <w:tab w:val="right" w:leader="dot" w:pos="9344"/>
        </w:tabs>
        <w:rPr>
          <w:rFonts w:asciiTheme="minorHAnsi" w:hAnsiTheme="minorHAnsi" w:eastAsiaTheme="minorEastAsia" w:cstheme="minorBidi"/>
          <w:szCs w:val="22"/>
        </w:rPr>
      </w:pPr>
      <w:r>
        <w:fldChar w:fldCharType="begin"/>
      </w:r>
      <w:r>
        <w:instrText xml:space="preserve"> HYPERLINK \l "_Toc132198790" </w:instrText>
      </w:r>
      <w:r>
        <w:fldChar w:fldCharType="separate"/>
      </w:r>
      <w:r>
        <w:rPr>
          <w:rStyle w:val="32"/>
        </w:rPr>
        <w:t>1  范围</w:t>
      </w:r>
      <w:r>
        <w:tab/>
      </w:r>
      <w:r>
        <w:fldChar w:fldCharType="begin"/>
      </w:r>
      <w:r>
        <w:instrText xml:space="preserve"> PAGEREF _Toc132198790 \h </w:instrText>
      </w:r>
      <w:r>
        <w:fldChar w:fldCharType="separate"/>
      </w:r>
      <w:r>
        <w:t>1</w:t>
      </w:r>
      <w:r>
        <w:fldChar w:fldCharType="end"/>
      </w:r>
      <w:r>
        <w:fldChar w:fldCharType="end"/>
      </w:r>
    </w:p>
    <w:p w14:paraId="004D9EAE">
      <w:pPr>
        <w:pStyle w:val="19"/>
        <w:tabs>
          <w:tab w:val="right" w:leader="dot" w:pos="9344"/>
        </w:tabs>
        <w:rPr>
          <w:rFonts w:asciiTheme="minorHAnsi" w:hAnsiTheme="minorHAnsi" w:eastAsiaTheme="minorEastAsia" w:cstheme="minorBidi"/>
          <w:szCs w:val="22"/>
        </w:rPr>
      </w:pPr>
      <w:r>
        <w:fldChar w:fldCharType="begin"/>
      </w:r>
      <w:r>
        <w:instrText xml:space="preserve"> HYPERLINK \l "_Toc132198791" </w:instrText>
      </w:r>
      <w:r>
        <w:fldChar w:fldCharType="separate"/>
      </w:r>
      <w:r>
        <w:rPr>
          <w:rStyle w:val="32"/>
        </w:rPr>
        <w:t xml:space="preserve">2 </w:t>
      </w:r>
      <w:r>
        <w:rPr>
          <w:rStyle w:val="32"/>
          <w:rFonts w:ascii="Times New Roman"/>
        </w:rPr>
        <w:t xml:space="preserve"> 规范性引用文件</w:t>
      </w:r>
      <w:r>
        <w:tab/>
      </w:r>
      <w:r>
        <w:fldChar w:fldCharType="begin"/>
      </w:r>
      <w:r>
        <w:instrText xml:space="preserve"> PAGEREF _Toc132198791 \h </w:instrText>
      </w:r>
      <w:r>
        <w:fldChar w:fldCharType="separate"/>
      </w:r>
      <w:r>
        <w:t>1</w:t>
      </w:r>
      <w:r>
        <w:fldChar w:fldCharType="end"/>
      </w:r>
      <w:r>
        <w:fldChar w:fldCharType="end"/>
      </w:r>
    </w:p>
    <w:p w14:paraId="4AD61ACD">
      <w:pPr>
        <w:pStyle w:val="19"/>
        <w:tabs>
          <w:tab w:val="right" w:leader="dot" w:pos="9344"/>
        </w:tabs>
        <w:rPr>
          <w:rFonts w:asciiTheme="minorHAnsi" w:hAnsiTheme="minorHAnsi" w:eastAsiaTheme="minorEastAsia" w:cstheme="minorBidi"/>
          <w:szCs w:val="22"/>
        </w:rPr>
      </w:pPr>
      <w:r>
        <w:fldChar w:fldCharType="begin"/>
      </w:r>
      <w:r>
        <w:instrText xml:space="preserve"> HYPERLINK \l "_Toc132198792" </w:instrText>
      </w:r>
      <w:r>
        <w:fldChar w:fldCharType="separate"/>
      </w:r>
      <w:r>
        <w:rPr>
          <w:rStyle w:val="32"/>
        </w:rPr>
        <w:t xml:space="preserve">3 </w:t>
      </w:r>
      <w:r>
        <w:rPr>
          <w:rStyle w:val="32"/>
          <w:rFonts w:ascii="Times New Roman"/>
        </w:rPr>
        <w:t xml:space="preserve"> 术语和定义</w:t>
      </w:r>
      <w:r>
        <w:tab/>
      </w:r>
      <w:r>
        <w:fldChar w:fldCharType="begin"/>
      </w:r>
      <w:r>
        <w:instrText xml:space="preserve"> PAGEREF _Toc132198792 \h </w:instrText>
      </w:r>
      <w:r>
        <w:fldChar w:fldCharType="separate"/>
      </w:r>
      <w:r>
        <w:t>1</w:t>
      </w:r>
      <w:r>
        <w:fldChar w:fldCharType="end"/>
      </w:r>
      <w:r>
        <w:fldChar w:fldCharType="end"/>
      </w:r>
    </w:p>
    <w:p w14:paraId="0055701B">
      <w:pPr>
        <w:pStyle w:val="19"/>
        <w:tabs>
          <w:tab w:val="right" w:leader="dot" w:pos="9344"/>
        </w:tabs>
        <w:rPr>
          <w:rFonts w:asciiTheme="minorHAnsi" w:hAnsiTheme="minorHAnsi" w:eastAsiaTheme="minorEastAsia" w:cstheme="minorBidi"/>
          <w:szCs w:val="22"/>
        </w:rPr>
      </w:pPr>
      <w:r>
        <w:fldChar w:fldCharType="begin"/>
      </w:r>
      <w:r>
        <w:instrText xml:space="preserve"> HYPERLINK \l "_Toc132198793" </w:instrText>
      </w:r>
      <w:r>
        <w:fldChar w:fldCharType="separate"/>
      </w:r>
      <w:r>
        <w:rPr>
          <w:rStyle w:val="32"/>
        </w:rPr>
        <w:t xml:space="preserve">4 </w:t>
      </w:r>
      <w:r>
        <w:rPr>
          <w:rStyle w:val="32"/>
          <w:rFonts w:ascii="Times New Roman"/>
        </w:rPr>
        <w:t xml:space="preserve"> 场地、设施设备</w:t>
      </w:r>
      <w:r>
        <w:tab/>
      </w:r>
      <w:r>
        <w:fldChar w:fldCharType="begin"/>
      </w:r>
      <w:r>
        <w:instrText xml:space="preserve"> PAGEREF _Toc132198793 \h </w:instrText>
      </w:r>
      <w:r>
        <w:fldChar w:fldCharType="separate"/>
      </w:r>
      <w:r>
        <w:t>1</w:t>
      </w:r>
      <w:r>
        <w:fldChar w:fldCharType="end"/>
      </w:r>
      <w:r>
        <w:fldChar w:fldCharType="end"/>
      </w:r>
    </w:p>
    <w:p w14:paraId="4869CC28">
      <w:pPr>
        <w:pStyle w:val="19"/>
        <w:tabs>
          <w:tab w:val="right" w:leader="dot" w:pos="9344"/>
        </w:tabs>
        <w:rPr>
          <w:rFonts w:asciiTheme="minorHAnsi" w:hAnsiTheme="minorHAnsi" w:eastAsiaTheme="minorEastAsia" w:cstheme="minorBidi"/>
          <w:szCs w:val="22"/>
        </w:rPr>
      </w:pPr>
      <w:r>
        <w:fldChar w:fldCharType="begin"/>
      </w:r>
      <w:r>
        <w:instrText xml:space="preserve"> HYPERLINK \l "_Toc132198794" </w:instrText>
      </w:r>
      <w:r>
        <w:fldChar w:fldCharType="separate"/>
      </w:r>
      <w:r>
        <w:rPr>
          <w:rStyle w:val="32"/>
        </w:rPr>
        <w:t xml:space="preserve">5 </w:t>
      </w:r>
      <w:r>
        <w:rPr>
          <w:rStyle w:val="32"/>
          <w:rFonts w:ascii="Times New Roman"/>
        </w:rPr>
        <w:t xml:space="preserve"> 制度管理</w:t>
      </w:r>
      <w:r>
        <w:tab/>
      </w:r>
      <w:r>
        <w:fldChar w:fldCharType="begin"/>
      </w:r>
      <w:r>
        <w:instrText xml:space="preserve"> PAGEREF _Toc132198794 \h </w:instrText>
      </w:r>
      <w:r>
        <w:fldChar w:fldCharType="separate"/>
      </w:r>
      <w:r>
        <w:t>3</w:t>
      </w:r>
      <w:r>
        <w:fldChar w:fldCharType="end"/>
      </w:r>
      <w:r>
        <w:fldChar w:fldCharType="end"/>
      </w:r>
    </w:p>
    <w:p w14:paraId="341A18D9">
      <w:pPr>
        <w:pStyle w:val="19"/>
        <w:tabs>
          <w:tab w:val="right" w:leader="dot" w:pos="9344"/>
        </w:tabs>
        <w:rPr>
          <w:rFonts w:asciiTheme="minorHAnsi" w:hAnsiTheme="minorHAnsi" w:eastAsiaTheme="minorEastAsia" w:cstheme="minorBidi"/>
          <w:szCs w:val="22"/>
        </w:rPr>
      </w:pPr>
      <w:r>
        <w:fldChar w:fldCharType="begin"/>
      </w:r>
      <w:r>
        <w:instrText xml:space="preserve"> HYPERLINK \l "_Toc132198795" </w:instrText>
      </w:r>
      <w:r>
        <w:fldChar w:fldCharType="separate"/>
      </w:r>
      <w:r>
        <w:rPr>
          <w:rStyle w:val="32"/>
        </w:rPr>
        <w:t>6  运营管理</w:t>
      </w:r>
      <w:r>
        <w:tab/>
      </w:r>
      <w:r>
        <w:fldChar w:fldCharType="begin"/>
      </w:r>
      <w:r>
        <w:instrText xml:space="preserve"> PAGEREF _Toc132198795 \h </w:instrText>
      </w:r>
      <w:r>
        <w:fldChar w:fldCharType="separate"/>
      </w:r>
      <w:r>
        <w:t>3</w:t>
      </w:r>
      <w:r>
        <w:fldChar w:fldCharType="end"/>
      </w:r>
      <w:r>
        <w:fldChar w:fldCharType="end"/>
      </w:r>
    </w:p>
    <w:p w14:paraId="7C71CFC4">
      <w:pPr>
        <w:pStyle w:val="19"/>
        <w:tabs>
          <w:tab w:val="right" w:leader="dot" w:pos="9344"/>
        </w:tabs>
        <w:rPr>
          <w:rFonts w:asciiTheme="minorHAnsi" w:hAnsiTheme="minorHAnsi" w:eastAsiaTheme="minorEastAsia" w:cstheme="minorBidi"/>
          <w:szCs w:val="22"/>
        </w:rPr>
      </w:pPr>
      <w:r>
        <w:fldChar w:fldCharType="begin"/>
      </w:r>
      <w:r>
        <w:instrText xml:space="preserve"> HYPERLINK \l "_Toc132198796" </w:instrText>
      </w:r>
      <w:r>
        <w:fldChar w:fldCharType="separate"/>
      </w:r>
      <w:r>
        <w:rPr>
          <w:rStyle w:val="32"/>
        </w:rPr>
        <w:t>7  人员管理</w:t>
      </w:r>
      <w:r>
        <w:tab/>
      </w:r>
      <w:r>
        <w:fldChar w:fldCharType="begin"/>
      </w:r>
      <w:r>
        <w:instrText xml:space="preserve"> PAGEREF _Toc132198796 \h </w:instrText>
      </w:r>
      <w:r>
        <w:fldChar w:fldCharType="separate"/>
      </w:r>
      <w:r>
        <w:t>4</w:t>
      </w:r>
      <w:r>
        <w:fldChar w:fldCharType="end"/>
      </w:r>
      <w:r>
        <w:fldChar w:fldCharType="end"/>
      </w:r>
    </w:p>
    <w:p w14:paraId="5D3FC891">
      <w:pPr>
        <w:pStyle w:val="19"/>
        <w:tabs>
          <w:tab w:val="right" w:leader="dot" w:pos="9344"/>
        </w:tabs>
        <w:rPr>
          <w:rFonts w:asciiTheme="minorHAnsi" w:hAnsiTheme="minorHAnsi" w:eastAsiaTheme="minorEastAsia" w:cstheme="minorBidi"/>
          <w:szCs w:val="22"/>
        </w:rPr>
      </w:pPr>
      <w:r>
        <w:fldChar w:fldCharType="begin"/>
      </w:r>
      <w:r>
        <w:instrText xml:space="preserve"> HYPERLINK \l "_Toc132198797" </w:instrText>
      </w:r>
      <w:r>
        <w:fldChar w:fldCharType="separate"/>
      </w:r>
      <w:r>
        <w:rPr>
          <w:rStyle w:val="32"/>
        </w:rPr>
        <w:t>8  应急管理</w:t>
      </w:r>
      <w:r>
        <w:tab/>
      </w:r>
      <w:r>
        <w:fldChar w:fldCharType="begin"/>
      </w:r>
      <w:r>
        <w:instrText xml:space="preserve"> PAGEREF _Toc132198797 \h </w:instrText>
      </w:r>
      <w:r>
        <w:fldChar w:fldCharType="separate"/>
      </w:r>
      <w:r>
        <w:t>4</w:t>
      </w:r>
      <w:r>
        <w:fldChar w:fldCharType="end"/>
      </w:r>
      <w:r>
        <w:fldChar w:fldCharType="end"/>
      </w:r>
    </w:p>
    <w:p w14:paraId="5D842396">
      <w:pPr>
        <w:pStyle w:val="91"/>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50ED9218">
      <w:pPr>
        <w:pStyle w:val="89"/>
        <w:spacing w:after="468"/>
      </w:pPr>
      <w:bookmarkStart w:id="23" w:name="_Toc132198789"/>
      <w:bookmarkStart w:id="24" w:name="BookMark2"/>
      <w:r>
        <w:rPr>
          <w:spacing w:val="320"/>
        </w:rPr>
        <w:t>前</w:t>
      </w:r>
      <w:r>
        <w:t>言</w:t>
      </w:r>
      <w:bookmarkEnd w:id="22"/>
      <w:bookmarkEnd w:id="23"/>
    </w:p>
    <w:p w14:paraId="5A89F3E9">
      <w:pPr>
        <w:pStyle w:val="56"/>
        <w:ind w:firstLine="420"/>
      </w:pPr>
      <w:r>
        <w:rPr>
          <w:rFonts w:hint="eastAsia"/>
        </w:rPr>
        <w:t>本文件按照GB/T 1.1—2020《标准化工作导则  第1部分：标准化文件的结构和起草规则》的规定起草。</w:t>
      </w:r>
    </w:p>
    <w:p w14:paraId="398948DB">
      <w:pPr>
        <w:pStyle w:val="56"/>
        <w:ind w:firstLine="420"/>
      </w:pPr>
    </w:p>
    <w:p w14:paraId="64147981">
      <w:pPr>
        <w:pStyle w:val="56"/>
        <w:ind w:firstLine="420"/>
      </w:pPr>
      <w:r>
        <w:rPr>
          <w:rFonts w:hint="eastAsia"/>
        </w:rPr>
        <w:t>本文件由河北省体育局提出并归口。</w:t>
      </w:r>
    </w:p>
    <w:p w14:paraId="7005EE38">
      <w:pPr>
        <w:pStyle w:val="56"/>
        <w:ind w:firstLine="420"/>
      </w:pPr>
      <w:r>
        <w:rPr>
          <w:rFonts w:hint="eastAsia"/>
        </w:rPr>
        <w:t>本文件起草单位：河北省体育局、河北省体育科学研究所、国家体育用品质量监督检验中心、江苏中正检测股份有限公司</w:t>
      </w:r>
    </w:p>
    <w:p w14:paraId="481D0167">
      <w:pPr>
        <w:pStyle w:val="56"/>
        <w:ind w:firstLine="420"/>
      </w:pPr>
      <w:r>
        <w:rPr>
          <w:rFonts w:hint="eastAsia"/>
        </w:rPr>
        <w:t>本文件主要起草人：郭立军、赵宁宁、刘洋、王玉江、钱俊</w:t>
      </w:r>
    </w:p>
    <w:p w14:paraId="39398801">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4"/>
    <w:p w14:paraId="727DE5B6">
      <w:pPr>
        <w:spacing w:line="20" w:lineRule="exact"/>
        <w:jc w:val="center"/>
        <w:rPr>
          <w:rFonts w:ascii="黑体" w:hAnsi="黑体" w:eastAsia="黑体"/>
          <w:sz w:val="32"/>
          <w:szCs w:val="32"/>
        </w:rPr>
      </w:pPr>
      <w:bookmarkStart w:id="25" w:name="BookMark4"/>
    </w:p>
    <w:p w14:paraId="082AC5D6">
      <w:pPr>
        <w:spacing w:line="20" w:lineRule="exact"/>
        <w:jc w:val="center"/>
        <w:rPr>
          <w:rFonts w:ascii="黑体" w:hAnsi="黑体" w:eastAsia="黑体"/>
          <w:sz w:val="32"/>
          <w:szCs w:val="32"/>
        </w:rPr>
      </w:pPr>
    </w:p>
    <w:sdt>
      <w:sdtPr>
        <w:tag w:val="NEW_STAND_NAME"/>
        <w:id w:val="595910757"/>
        <w:lock w:val="sdtLocked"/>
        <w:placeholder>
          <w:docPart w:val="3DC95F717C164CFC9B58774DC0E11221"/>
        </w:placeholder>
      </w:sdtPr>
      <w:sdtContent>
        <w:p w14:paraId="7D5E7F9A">
          <w:pPr>
            <w:pStyle w:val="177"/>
            <w:spacing w:beforeLines="1" w:afterLines="220"/>
          </w:pPr>
          <w:bookmarkStart w:id="26" w:name="NEW_STAND_NAME"/>
          <w:r>
            <w:rPr>
              <w:rFonts w:hint="eastAsia"/>
            </w:rPr>
            <w:t>滑雪场所安全管理规范</w:t>
          </w:r>
        </w:p>
      </w:sdtContent>
    </w:sdt>
    <w:bookmarkEnd w:id="26"/>
    <w:p w14:paraId="2FBC6103">
      <w:pPr>
        <w:pStyle w:val="104"/>
        <w:spacing w:before="312" w:after="312"/>
      </w:pPr>
      <w:bookmarkStart w:id="27" w:name="_Toc26648465"/>
      <w:bookmarkStart w:id="28" w:name="_Toc24884211"/>
      <w:bookmarkStart w:id="29" w:name="_Toc97191423"/>
      <w:bookmarkStart w:id="30" w:name="_Toc26986530"/>
      <w:bookmarkStart w:id="31" w:name="_Toc24884218"/>
      <w:bookmarkStart w:id="32" w:name="_Toc26718930"/>
      <w:bookmarkStart w:id="33" w:name="_Toc26986771"/>
      <w:bookmarkStart w:id="34" w:name="_Toc17233333"/>
      <w:bookmarkStart w:id="35" w:name="_Toc132198790"/>
      <w:bookmarkStart w:id="36" w:name="_Toc132198747"/>
      <w:bookmarkStart w:id="37" w:name="_Toc17233325"/>
      <w:r>
        <w:rPr>
          <w:rFonts w:hint="eastAsia"/>
        </w:rPr>
        <w:t>范围</w:t>
      </w:r>
      <w:bookmarkEnd w:id="27"/>
      <w:bookmarkEnd w:id="28"/>
      <w:bookmarkEnd w:id="29"/>
      <w:bookmarkEnd w:id="30"/>
      <w:bookmarkEnd w:id="31"/>
      <w:bookmarkEnd w:id="32"/>
      <w:bookmarkEnd w:id="33"/>
      <w:bookmarkEnd w:id="34"/>
      <w:bookmarkEnd w:id="35"/>
      <w:bookmarkEnd w:id="36"/>
      <w:bookmarkEnd w:id="37"/>
    </w:p>
    <w:p w14:paraId="416A1314">
      <w:pPr>
        <w:pStyle w:val="56"/>
        <w:ind w:firstLine="420"/>
        <w:rPr>
          <w:rFonts w:ascii="Times New Roman"/>
        </w:rPr>
      </w:pPr>
      <w:bookmarkStart w:id="38" w:name="_Toc17233326"/>
      <w:bookmarkStart w:id="39" w:name="_Toc24884212"/>
      <w:bookmarkStart w:id="40" w:name="_Toc24884219"/>
      <w:bookmarkStart w:id="41" w:name="_Toc26648466"/>
      <w:bookmarkStart w:id="42" w:name="_Toc17233334"/>
      <w:r>
        <w:rPr>
          <w:rFonts w:hint="eastAsia"/>
        </w:rPr>
        <w:t>本文件</w:t>
      </w:r>
      <w:r>
        <w:rPr>
          <w:rFonts w:ascii="Times New Roman"/>
        </w:rPr>
        <w:t>规定了滑雪场所的场地、 设备设施、 制度管理、 运营管理、 人员管理和应急管理等要求。</w:t>
      </w:r>
    </w:p>
    <w:p w14:paraId="096F06FE">
      <w:pPr>
        <w:pStyle w:val="56"/>
        <w:ind w:firstLine="420"/>
        <w:rPr>
          <w:rFonts w:ascii="Times New Roman"/>
        </w:rPr>
      </w:pPr>
      <w:r>
        <w:rPr>
          <w:rFonts w:ascii="Times New Roman"/>
        </w:rPr>
        <w:t>本文件适用于向社会开放的并经相关许可部门批准后建立的各类滑雪场所的安全管理。</w:t>
      </w:r>
    </w:p>
    <w:p w14:paraId="1717706D">
      <w:pPr>
        <w:pStyle w:val="104"/>
        <w:spacing w:before="312" w:after="312"/>
        <w:rPr>
          <w:rFonts w:ascii="Times New Roman"/>
        </w:rPr>
      </w:pPr>
      <w:bookmarkStart w:id="43" w:name="_Toc132198791"/>
      <w:bookmarkStart w:id="44" w:name="_Toc132198748"/>
      <w:bookmarkStart w:id="45" w:name="_Toc26986531"/>
      <w:bookmarkStart w:id="46" w:name="_Toc97191424"/>
      <w:bookmarkStart w:id="47" w:name="_Toc26718931"/>
      <w:bookmarkStart w:id="48" w:name="_Toc26986772"/>
      <w:r>
        <w:rPr>
          <w:rFonts w:ascii="Times New Roman"/>
        </w:rPr>
        <w:t>规范性引用文件</w:t>
      </w:r>
      <w:bookmarkEnd w:id="38"/>
      <w:bookmarkEnd w:id="39"/>
      <w:bookmarkEnd w:id="40"/>
      <w:bookmarkEnd w:id="41"/>
      <w:bookmarkEnd w:id="42"/>
      <w:bookmarkEnd w:id="43"/>
      <w:bookmarkEnd w:id="44"/>
      <w:bookmarkEnd w:id="45"/>
      <w:bookmarkEnd w:id="46"/>
      <w:bookmarkEnd w:id="47"/>
      <w:bookmarkEnd w:id="48"/>
    </w:p>
    <w:sdt>
      <w:sdtPr>
        <w:rPr>
          <w:rFonts w:ascii="Times New Roman"/>
        </w:rPr>
        <w:id w:val="715848253"/>
        <w:placeholder>
          <w:docPart w:val="D2089E07A8E54C8B96FB4D68B7CF263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ascii="Times New Roman"/>
        </w:rPr>
      </w:sdtEndPr>
      <w:sdtContent>
        <w:p w14:paraId="50B549BA">
          <w:pPr>
            <w:pStyle w:val="56"/>
            <w:ind w:firstLine="420"/>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FBED8D6">
      <w:pPr>
        <w:pStyle w:val="56"/>
        <w:ind w:firstLine="420"/>
        <w:rPr>
          <w:rFonts w:ascii="Times New Roman"/>
        </w:rPr>
      </w:pPr>
      <w:r>
        <w:rPr>
          <w:rFonts w:ascii="Times New Roman"/>
        </w:rPr>
        <w:t>GB/T 31170 雪具的维护与保养</w:t>
      </w:r>
    </w:p>
    <w:p w14:paraId="22C08593">
      <w:pPr>
        <w:pStyle w:val="56"/>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GB 50140 建筑灭火器配置设计规范</w:t>
      </w:r>
    </w:p>
    <w:p w14:paraId="271AE93B">
      <w:pPr>
        <w:pStyle w:val="56"/>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GB 55037 建筑防火通用规范</w:t>
      </w:r>
    </w:p>
    <w:p w14:paraId="2C0A0A39">
      <w:pPr>
        <w:pStyle w:val="56"/>
        <w:ind w:firstLine="42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GB/T 43701-2024 滑雪场地 滑雪道安全防护规范</w:t>
      </w:r>
    </w:p>
    <w:p w14:paraId="0C432769">
      <w:pPr>
        <w:pStyle w:val="56"/>
        <w:ind w:firstLine="42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GB/4 43702-2024 滑雪场地 防护垫的安全要求和试验方法</w:t>
      </w:r>
    </w:p>
    <w:p w14:paraId="04310D7A">
      <w:pPr>
        <w:pStyle w:val="56"/>
        <w:ind w:firstLine="42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GB/T 43703-2024</w:t>
      </w:r>
      <w:r>
        <w:rPr>
          <w:rFonts w:ascii="Times New Roman"/>
          <w:color w:val="000000" w:themeColor="text1"/>
          <w14:textFill>
            <w14:solidFill>
              <w14:schemeClr w14:val="tx1"/>
            </w14:solidFill>
          </w14:textFill>
        </w:rPr>
        <w:t xml:space="preserve"> </w:t>
      </w:r>
      <w:r>
        <w:rPr>
          <w:rFonts w:hint="eastAsia" w:ascii="Times New Roman"/>
          <w:color w:val="000000" w:themeColor="text1"/>
          <w14:textFill>
            <w14:solidFill>
              <w14:schemeClr w14:val="tx1"/>
            </w14:solidFill>
          </w14:textFill>
        </w:rPr>
        <w:t>滑雪场地 安全网的安全要求和试验方法</w:t>
      </w:r>
    </w:p>
    <w:p w14:paraId="63379C9B">
      <w:pPr>
        <w:pStyle w:val="104"/>
        <w:spacing w:before="312" w:after="312"/>
        <w:rPr>
          <w:rFonts w:ascii="Times New Roman"/>
        </w:rPr>
      </w:pPr>
      <w:bookmarkStart w:id="49" w:name="_Toc132198749"/>
      <w:bookmarkStart w:id="50" w:name="_Toc97191425"/>
      <w:bookmarkStart w:id="51" w:name="_Toc132198792"/>
      <w:r>
        <w:rPr>
          <w:rFonts w:ascii="Times New Roman"/>
          <w:szCs w:val="21"/>
        </w:rPr>
        <w:t>术语和定义</w:t>
      </w:r>
      <w:bookmarkEnd w:id="49"/>
      <w:bookmarkEnd w:id="50"/>
      <w:bookmarkEnd w:id="51"/>
    </w:p>
    <w:sdt>
      <w:sdtPr>
        <w:rPr>
          <w:rFonts w:ascii="Times New Roman"/>
        </w:rPr>
        <w:id w:val="-1909835108"/>
        <w:placeholder>
          <w:docPart w:val="4827B8BD821A42B6A5F1AB665AF45121"/>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ascii="Times New Roman"/>
        </w:rPr>
      </w:sdtEndPr>
      <w:sdtContent>
        <w:p w14:paraId="630EAE67">
          <w:pPr>
            <w:pStyle w:val="56"/>
            <w:ind w:firstLine="420"/>
            <w:rPr>
              <w:rFonts w:ascii="Times New Roman"/>
            </w:rPr>
          </w:pPr>
          <w:bookmarkStart w:id="52" w:name="_Toc26986532"/>
          <w:bookmarkEnd w:id="52"/>
          <w:r>
            <w:rPr>
              <w:rFonts w:ascii="Times New Roman"/>
            </w:rPr>
            <w:t>下列术语和定义适用于本文件。</w:t>
          </w:r>
        </w:p>
      </w:sdtContent>
    </w:sdt>
    <w:p w14:paraId="09147CBC">
      <w:pPr>
        <w:pStyle w:val="105"/>
        <w:spacing w:before="156" w:after="156"/>
        <w:rPr>
          <w:rFonts w:ascii="Times New Roman"/>
        </w:rPr>
      </w:pPr>
      <w:bookmarkStart w:id="53" w:name="_Toc132198750"/>
      <w:r>
        <w:rPr>
          <w:rFonts w:ascii="Times New Roman"/>
        </w:rPr>
        <w:t>滑雪魔毯 moving carpet</w:t>
      </w:r>
      <w:bookmarkEnd w:id="53"/>
    </w:p>
    <w:p w14:paraId="2A318160">
      <w:pPr>
        <w:pStyle w:val="56"/>
        <w:ind w:firstLine="420"/>
        <w:rPr>
          <w:rFonts w:ascii="Times New Roman"/>
        </w:rPr>
      </w:pPr>
      <w:r>
        <w:rPr>
          <w:rFonts w:ascii="Times New Roman"/>
        </w:rPr>
        <w:t>以传送带方式运送滑雪者的运输工具。</w:t>
      </w:r>
    </w:p>
    <w:p w14:paraId="2EA56BA5">
      <w:pPr>
        <w:pStyle w:val="104"/>
        <w:spacing w:before="312" w:after="312"/>
        <w:rPr>
          <w:rFonts w:ascii="Times New Roman"/>
        </w:rPr>
      </w:pPr>
      <w:bookmarkStart w:id="54" w:name="_Toc132198793"/>
      <w:bookmarkStart w:id="55" w:name="_Toc132198751"/>
      <w:r>
        <w:rPr>
          <w:rFonts w:ascii="Times New Roman"/>
        </w:rPr>
        <w:t>场地、 设施设备</w:t>
      </w:r>
      <w:bookmarkEnd w:id="54"/>
      <w:bookmarkEnd w:id="55"/>
    </w:p>
    <w:p w14:paraId="0FCFFFCA">
      <w:pPr>
        <w:pStyle w:val="105"/>
        <w:spacing w:before="156" w:after="156"/>
        <w:rPr>
          <w:rFonts w:ascii="Times New Roman"/>
        </w:rPr>
      </w:pPr>
      <w:bookmarkStart w:id="56" w:name="_Toc132198752"/>
      <w:r>
        <w:rPr>
          <w:rFonts w:ascii="Times New Roman"/>
        </w:rPr>
        <w:t>场地</w:t>
      </w:r>
      <w:bookmarkEnd w:id="56"/>
    </w:p>
    <w:p w14:paraId="269260D7">
      <w:pPr>
        <w:pStyle w:val="65"/>
        <w:spacing w:before="156" w:after="156"/>
        <w:rPr>
          <w:rFonts w:ascii="Times New Roman"/>
        </w:rPr>
      </w:pPr>
      <w:r>
        <w:rPr>
          <w:rFonts w:ascii="Times New Roman"/>
        </w:rPr>
        <w:t>滑雪道</w:t>
      </w:r>
    </w:p>
    <w:p w14:paraId="6F4119E4">
      <w:pPr>
        <w:pStyle w:val="94"/>
        <w:spacing w:before="156" w:after="156"/>
        <w:rPr>
          <w:rFonts w:ascii="Times New Roman" w:eastAsia="宋体"/>
        </w:rPr>
      </w:pPr>
      <w:r>
        <w:rPr>
          <w:rFonts w:ascii="Times New Roman" w:eastAsia="宋体"/>
        </w:rPr>
        <w:t>初级滑雪道：坡面与滚落线应一致；雪道变向处的角度应大于135°；宽度应大于30m；坡度应小于10°。</w:t>
      </w:r>
    </w:p>
    <w:p w14:paraId="09565F4D">
      <w:pPr>
        <w:pStyle w:val="94"/>
        <w:spacing w:before="156" w:after="156"/>
        <w:rPr>
          <w:rFonts w:ascii="Times New Roman" w:eastAsia="宋体"/>
        </w:rPr>
      </w:pPr>
      <w:r>
        <w:rPr>
          <w:rFonts w:ascii="Times New Roman" w:eastAsia="宋体"/>
        </w:rPr>
        <w:t>中级滑雪道： 坡面与滚落线应基本一致；雪道变向处的角度应大于150°；宽度应大于35m；坡度应为9°～20°。</w:t>
      </w:r>
    </w:p>
    <w:p w14:paraId="1F472E03">
      <w:pPr>
        <w:pStyle w:val="94"/>
        <w:spacing w:before="156" w:after="156"/>
        <w:rPr>
          <w:rFonts w:ascii="Times New Roman" w:eastAsia="宋体"/>
        </w:rPr>
      </w:pPr>
      <w:r>
        <w:rPr>
          <w:rFonts w:ascii="Times New Roman" w:eastAsia="宋体"/>
        </w:rPr>
        <w:t>高级滑雪道：坡面与滚落线应基本一致；雪道变向处的角度应大于160°；宽度应大于40m；坡度应为16°～30°。</w:t>
      </w:r>
    </w:p>
    <w:p w14:paraId="012F6EB8">
      <w:pPr>
        <w:pStyle w:val="65"/>
        <w:spacing w:before="156" w:after="156"/>
        <w:rPr>
          <w:rFonts w:ascii="Times New Roman"/>
        </w:rPr>
      </w:pPr>
      <w:r>
        <w:rPr>
          <w:rFonts w:ascii="Times New Roman" w:eastAsia="宋体"/>
        </w:rPr>
        <w:t>每条滑雪道终点停止区应地势平缓。室外滑雪场终点停止区面积应不小于1000m</w:t>
      </w:r>
      <w:r>
        <w:rPr>
          <w:rFonts w:ascii="Times New Roman" w:eastAsia="宋体"/>
          <w:vertAlign w:val="superscript"/>
        </w:rPr>
        <w:t>2</w:t>
      </w:r>
      <w:r>
        <w:rPr>
          <w:rFonts w:ascii="Times New Roman" w:eastAsia="宋体"/>
        </w:rPr>
        <w:t>,室内滑雪场终点停止区面积应不小于500m</w:t>
      </w:r>
      <w:r>
        <w:rPr>
          <w:rFonts w:ascii="Times New Roman" w:eastAsia="宋体"/>
          <w:vertAlign w:val="superscript"/>
        </w:rPr>
        <w:t>2</w:t>
      </w:r>
      <w:r>
        <w:rPr>
          <w:rFonts w:ascii="Times New Roman" w:eastAsia="宋体"/>
        </w:rPr>
        <w:t>。终点停止区末端应加装安全防护设施</w:t>
      </w:r>
      <w:r>
        <w:rPr>
          <w:rFonts w:ascii="Times New Roman"/>
        </w:rPr>
        <w:t>。</w:t>
      </w:r>
    </w:p>
    <w:p w14:paraId="01554090">
      <w:pPr>
        <w:pStyle w:val="65"/>
        <w:spacing w:before="156" w:after="156"/>
        <w:rPr>
          <w:rFonts w:ascii="Times New Roman" w:eastAsia="宋体"/>
          <w:color w:val="000000" w:themeColor="text1"/>
          <w14:textFill>
            <w14:solidFill>
              <w14:schemeClr w14:val="tx1"/>
            </w14:solidFill>
          </w14:textFill>
        </w:rPr>
      </w:pPr>
      <w:r>
        <w:rPr>
          <w:rFonts w:ascii="Times New Roman" w:eastAsia="宋体"/>
        </w:rPr>
        <w:t>雪层压实之后的厚度应大于30cm</w:t>
      </w:r>
      <w:r>
        <w:rPr>
          <w:rFonts w:ascii="Times New Roman" w:eastAsia="宋体"/>
          <w:color w:val="000000" w:themeColor="text1"/>
          <w14:textFill>
            <w14:solidFill>
              <w14:schemeClr w14:val="tx1"/>
            </w14:solidFill>
          </w14:textFill>
        </w:rPr>
        <w:t>，雪面上不得有裸露的土石、树桩、电缆</w:t>
      </w:r>
      <w:r>
        <w:rPr>
          <w:rFonts w:hint="eastAsia" w:ascii="Times New Roman" w:eastAsia="宋体"/>
          <w:color w:val="000000" w:themeColor="text1"/>
          <w14:textFill>
            <w14:solidFill>
              <w14:schemeClr w14:val="tx1"/>
            </w14:solidFill>
          </w14:textFill>
        </w:rPr>
        <w:t>、杂草</w:t>
      </w:r>
      <w:r>
        <w:rPr>
          <w:rFonts w:ascii="Times New Roman" w:eastAsia="宋体"/>
          <w:color w:val="000000" w:themeColor="text1"/>
          <w14:textFill>
            <w14:solidFill>
              <w14:schemeClr w14:val="tx1"/>
            </w14:solidFill>
          </w14:textFill>
        </w:rPr>
        <w:t>等</w:t>
      </w:r>
      <w:r>
        <w:rPr>
          <w:rFonts w:hint="eastAsia" w:ascii="Times New Roman" w:eastAsia="宋体"/>
          <w:color w:val="000000" w:themeColor="text1"/>
          <w14:textFill>
            <w14:solidFill>
              <w14:schemeClr w14:val="tx1"/>
            </w14:solidFill>
          </w14:textFill>
        </w:rPr>
        <w:t>不属于雪道建设范围内的</w:t>
      </w:r>
      <w:r>
        <w:rPr>
          <w:rFonts w:ascii="Times New Roman" w:eastAsia="宋体"/>
          <w:color w:val="000000" w:themeColor="text1"/>
          <w14:textFill>
            <w14:solidFill>
              <w14:schemeClr w14:val="tx1"/>
            </w14:solidFill>
          </w14:textFill>
        </w:rPr>
        <w:t>杂物，雪层表面不得形成大块冰</w:t>
      </w:r>
      <w:r>
        <w:rPr>
          <w:rFonts w:hint="eastAsia" w:ascii="Times New Roman" w:eastAsia="宋体"/>
          <w:color w:val="000000" w:themeColor="text1"/>
          <w14:textFill>
            <w14:solidFill>
              <w14:schemeClr w14:val="tx1"/>
            </w14:solidFill>
          </w14:textFill>
        </w:rPr>
        <w:t>状</w:t>
      </w:r>
      <w:r>
        <w:rPr>
          <w:rFonts w:ascii="Times New Roman" w:eastAsia="宋体"/>
          <w:color w:val="000000" w:themeColor="text1"/>
          <w14:textFill>
            <w14:solidFill>
              <w14:schemeClr w14:val="tx1"/>
            </w14:solidFill>
          </w14:textFill>
        </w:rPr>
        <w:t>。</w:t>
      </w:r>
    </w:p>
    <w:p w14:paraId="4B91212F">
      <w:pPr>
        <w:pStyle w:val="6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提供夜场服务的滑雪道的灯光照度应不低于200lx，运营区域应配备照明和应急照明设施。</w:t>
      </w:r>
    </w:p>
    <w:p w14:paraId="5D16AA9A">
      <w:pPr>
        <w:pStyle w:val="105"/>
        <w:spacing w:before="156" w:after="156"/>
        <w:rPr>
          <w:rFonts w:ascii="Times New Roman"/>
          <w:color w:val="000000" w:themeColor="text1"/>
          <w14:textFill>
            <w14:solidFill>
              <w14:schemeClr w14:val="tx1"/>
            </w14:solidFill>
          </w14:textFill>
        </w:rPr>
      </w:pPr>
      <w:bookmarkStart w:id="57" w:name="_Toc132198753"/>
      <w:r>
        <w:rPr>
          <w:rFonts w:ascii="Times New Roman"/>
          <w:color w:val="000000" w:themeColor="text1"/>
          <w14:textFill>
            <w14:solidFill>
              <w14:schemeClr w14:val="tx1"/>
            </w14:solidFill>
          </w14:textFill>
        </w:rPr>
        <w:t>设施设备</w:t>
      </w:r>
      <w:bookmarkEnd w:id="57"/>
    </w:p>
    <w:p w14:paraId="74614994">
      <w:pPr>
        <w:pStyle w:val="65"/>
        <w:spacing w:before="156" w:after="156"/>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标识及告示</w:t>
      </w:r>
    </w:p>
    <w:p w14:paraId="24FCA077">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滑雪场所内指示用标识应符合 GB/T 10001.1的要求。</w:t>
      </w:r>
    </w:p>
    <w:p w14:paraId="3388C14B">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应在醒目位置设置向导示意图，标明场区范围、滑雪道及难度等级、客运设施、器材租赁区域、急救室等服务设施位置。</w:t>
      </w:r>
    </w:p>
    <w:p w14:paraId="6C41EBC5">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滑雪道及索道的起点应有醒目的等级及雪道长度标识。滑雪道应每隔固定距离设置里程标识。</w:t>
      </w:r>
    </w:p>
    <w:p w14:paraId="44055DFF">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应在接待处或入口处等醒目位置公示“滑雪人员须知”“滑雪人员行为与安全守则”。</w:t>
      </w:r>
    </w:p>
    <w:p w14:paraId="1E35EDDD">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应在雪具租赁处公示“雪板固定器调节表”。</w:t>
      </w:r>
    </w:p>
    <w:p w14:paraId="1488E3F7">
      <w:pPr>
        <w:pStyle w:val="65"/>
        <w:spacing w:before="156" w:after="156"/>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 xml:space="preserve"> 安全防护设施</w:t>
      </w:r>
    </w:p>
    <w:p w14:paraId="7FC6A606">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安全防护网应符合</w:t>
      </w:r>
      <w:r>
        <w:rPr>
          <w:rFonts w:hint="eastAsia" w:ascii="Times New Roman" w:eastAsia="宋体"/>
          <w:color w:val="000000" w:themeColor="text1"/>
          <w14:textFill>
            <w14:solidFill>
              <w14:schemeClr w14:val="tx1"/>
            </w14:solidFill>
          </w14:textFill>
        </w:rPr>
        <w:t>GB/T 43703-2024</w:t>
      </w:r>
      <w:r>
        <w:rPr>
          <w:rFonts w:ascii="Times New Roman" w:eastAsia="宋体"/>
          <w:color w:val="000000" w:themeColor="text1"/>
          <w14:textFill>
            <w14:solidFill>
              <w14:schemeClr w14:val="tx1"/>
            </w14:solidFill>
          </w14:textFill>
        </w:rPr>
        <w:t>的规定。</w:t>
      </w:r>
    </w:p>
    <w:p w14:paraId="1DF1949F">
      <w:pPr>
        <w:pStyle w:val="94"/>
        <w:spacing w:before="156" w:after="156"/>
        <w:rPr>
          <w:rFonts w:ascii="Times New Roman" w:eastAsia="宋体"/>
          <w:highlight w:val="none"/>
        </w:rPr>
      </w:pPr>
      <w:r>
        <w:rPr>
          <w:rFonts w:hint="eastAsia" w:ascii="Times New Roman" w:eastAsia="宋体"/>
          <w:highlight w:val="none"/>
        </w:rPr>
        <w:t>滑雪道安全防护应符合GB/T 43701-2024</w:t>
      </w:r>
      <w:r>
        <w:rPr>
          <w:rFonts w:ascii="Times New Roman" w:eastAsia="宋体"/>
          <w:highlight w:val="none"/>
        </w:rPr>
        <w:t>的规定。</w:t>
      </w:r>
    </w:p>
    <w:p w14:paraId="454268B0">
      <w:pPr>
        <w:pStyle w:val="65"/>
        <w:spacing w:before="156" w:after="156"/>
        <w:rPr>
          <w:rFonts w:ascii="Times New Roman"/>
        </w:rPr>
      </w:pPr>
      <w:r>
        <w:rPr>
          <w:rFonts w:ascii="Times New Roman"/>
        </w:rPr>
        <w:t>客运设施设备应符合下列要求：</w:t>
      </w:r>
    </w:p>
    <w:p w14:paraId="0F3D4720">
      <w:pPr>
        <w:pStyle w:val="56"/>
        <w:ind w:firstLine="420"/>
        <w:rPr>
          <w:rFonts w:ascii="Times New Roman"/>
        </w:rPr>
      </w:pPr>
      <w:r>
        <w:rPr>
          <w:rFonts w:ascii="Times New Roman"/>
        </w:rPr>
        <w:t>a) 索道的使用和管理应符合《特种设备安全监察条例》和有关法律、法规的要求；</w:t>
      </w:r>
    </w:p>
    <w:p w14:paraId="4329D173">
      <w:pPr>
        <w:pStyle w:val="56"/>
        <w:ind w:firstLine="420"/>
        <w:rPr>
          <w:rFonts w:ascii="Times New Roman"/>
        </w:rPr>
      </w:pPr>
      <w:r>
        <w:rPr>
          <w:rFonts w:ascii="Times New Roman"/>
        </w:rPr>
        <w:t>b) 索道运行上、下站区域应有足够的空间；</w:t>
      </w:r>
    </w:p>
    <w:p w14:paraId="39A3023B">
      <w:pPr>
        <w:pStyle w:val="56"/>
        <w:ind w:firstLine="420"/>
        <w:rPr>
          <w:rFonts w:ascii="Times New Roman"/>
        </w:rPr>
      </w:pPr>
      <w:r>
        <w:rPr>
          <w:rFonts w:ascii="Times New Roman"/>
        </w:rPr>
        <w:t>c) 索道和魔毯运行上、下站处应公示以下技术参数：</w:t>
      </w:r>
    </w:p>
    <w:p w14:paraId="7D9959BA">
      <w:pPr>
        <w:pStyle w:val="56"/>
        <w:ind w:firstLine="840" w:firstLineChars="400"/>
        <w:rPr>
          <w:rFonts w:ascii="Times New Roman"/>
        </w:rPr>
      </w:pPr>
      <w:r>
        <w:rPr>
          <w:rFonts w:ascii="Times New Roman"/>
        </w:rPr>
        <w:t>1) 长度；</w:t>
      </w:r>
    </w:p>
    <w:p w14:paraId="5DEDC4B5">
      <w:pPr>
        <w:pStyle w:val="56"/>
        <w:ind w:firstLine="840" w:firstLineChars="400"/>
        <w:rPr>
          <w:rFonts w:ascii="Times New Roman"/>
        </w:rPr>
      </w:pPr>
      <w:r>
        <w:rPr>
          <w:rFonts w:ascii="Times New Roman"/>
        </w:rPr>
        <w:t>2) 运行上、下站的海拔高度差；</w:t>
      </w:r>
    </w:p>
    <w:p w14:paraId="0EF6489A">
      <w:pPr>
        <w:pStyle w:val="56"/>
        <w:ind w:firstLine="840" w:firstLineChars="400"/>
        <w:rPr>
          <w:rFonts w:ascii="Times New Roman"/>
        </w:rPr>
      </w:pPr>
      <w:r>
        <w:rPr>
          <w:rFonts w:ascii="Times New Roman"/>
        </w:rPr>
        <w:t>3) 索道运营时间。</w:t>
      </w:r>
    </w:p>
    <w:p w14:paraId="2B255D9C">
      <w:pPr>
        <w:pStyle w:val="56"/>
        <w:ind w:firstLine="420"/>
        <w:rPr>
          <w:rFonts w:ascii="Times New Roman"/>
        </w:rPr>
      </w:pPr>
      <w:r>
        <w:rPr>
          <w:rFonts w:ascii="Times New Roman"/>
        </w:rPr>
        <w:t>d) 魔毯和索道设施的进出站口应配备专人值守；</w:t>
      </w:r>
    </w:p>
    <w:p w14:paraId="6B2BAC93">
      <w:pPr>
        <w:pStyle w:val="56"/>
        <w:ind w:firstLine="420"/>
        <w:rPr>
          <w:rFonts w:ascii="Times New Roman"/>
        </w:rPr>
      </w:pPr>
      <w:r>
        <w:rPr>
          <w:rFonts w:ascii="Times New Roman"/>
        </w:rPr>
        <w:t>e) 应在索道及魔毯上、下客处设立乘用安全提示或标识。</w:t>
      </w:r>
    </w:p>
    <w:p w14:paraId="14CB92E2">
      <w:pPr>
        <w:pStyle w:val="65"/>
        <w:spacing w:before="156" w:after="156"/>
        <w:rPr>
          <w:rFonts w:ascii="Times New Roman"/>
        </w:rPr>
      </w:pPr>
      <w:r>
        <w:rPr>
          <w:rFonts w:ascii="Times New Roman"/>
        </w:rPr>
        <w:t xml:space="preserve"> 滑雪设施器材和装备</w:t>
      </w:r>
    </w:p>
    <w:p w14:paraId="718A77D0">
      <w:pPr>
        <w:pStyle w:val="94"/>
        <w:spacing w:before="156" w:after="156"/>
        <w:rPr>
          <w:rFonts w:ascii="Times New Roman" w:eastAsia="宋体"/>
        </w:rPr>
      </w:pPr>
      <w:r>
        <w:rPr>
          <w:rFonts w:ascii="Times New Roman" w:eastAsia="宋体"/>
        </w:rPr>
        <w:t>滑雪场所提供的设施、器材和装备应取得产品质量检验合格证明。</w:t>
      </w:r>
    </w:p>
    <w:p w14:paraId="4ED1541A">
      <w:pPr>
        <w:pStyle w:val="94"/>
        <w:spacing w:before="156" w:after="156"/>
        <w:rPr>
          <w:rFonts w:ascii="Times New Roman" w:eastAsia="宋体"/>
        </w:rPr>
      </w:pPr>
      <w:r>
        <w:rPr>
          <w:rFonts w:ascii="Times New Roman" w:eastAsia="宋体"/>
        </w:rPr>
        <w:t>滑雪器材和防护装备的维护与保养应符合GB/T31170的相关要求。</w:t>
      </w:r>
    </w:p>
    <w:p w14:paraId="1D0BA7CB">
      <w:pPr>
        <w:pStyle w:val="94"/>
        <w:spacing w:before="156" w:after="156"/>
        <w:rPr>
          <w:rFonts w:ascii="Times New Roman" w:eastAsia="宋体"/>
        </w:rPr>
      </w:pPr>
      <w:r>
        <w:rPr>
          <w:rFonts w:ascii="Times New Roman" w:eastAsia="宋体"/>
        </w:rPr>
        <w:t xml:space="preserve"> 对使用不当、容易造成器材损坏或可能危及人身财产安全的器材、设施等应做出真实的说明和明确的警示，并说明正确使用的方法。</w:t>
      </w:r>
    </w:p>
    <w:p w14:paraId="7035A8D2">
      <w:pPr>
        <w:pStyle w:val="94"/>
        <w:spacing w:before="156" w:after="156"/>
        <w:rPr>
          <w:rFonts w:ascii="Times New Roman" w:eastAsia="宋体"/>
        </w:rPr>
      </w:pPr>
      <w:r>
        <w:rPr>
          <w:rFonts w:ascii="Times New Roman" w:eastAsia="宋体"/>
        </w:rPr>
        <w:t>滑雪场所应配备滑雪器材维护、修理的专用设备。</w:t>
      </w:r>
    </w:p>
    <w:p w14:paraId="4FA3E19D">
      <w:pPr>
        <w:pStyle w:val="65"/>
        <w:spacing w:before="156" w:after="156"/>
        <w:rPr>
          <w:rFonts w:ascii="Times New Roman"/>
          <w:color w:val="000000" w:themeColor="text1"/>
          <w14:textFill>
            <w14:solidFill>
              <w14:schemeClr w14:val="tx1"/>
            </w14:solidFill>
          </w14:textFill>
        </w:rPr>
      </w:pPr>
      <w:r>
        <w:rPr>
          <w:rFonts w:ascii="Times New Roman"/>
        </w:rPr>
        <w:t xml:space="preserve"> 消防安全</w:t>
      </w:r>
    </w:p>
    <w:p w14:paraId="63565B9B">
      <w:pPr>
        <w:pStyle w:val="94"/>
        <w:spacing w:before="156" w:after="156"/>
        <w:rPr>
          <w:rFonts w:ascii="Times New Roman" w:eastAsia="宋体"/>
        </w:rPr>
      </w:pPr>
      <w:r>
        <w:rPr>
          <w:rFonts w:ascii="Times New Roman" w:eastAsia="宋体"/>
          <w:color w:val="000000" w:themeColor="text1"/>
          <w14:textFill>
            <w14:solidFill>
              <w14:schemeClr w14:val="tx1"/>
            </w14:solidFill>
          </w14:textFill>
        </w:rPr>
        <w:t xml:space="preserve"> 滑雪场所的建设、施工和内部装修应符合GB 55037和其他有</w:t>
      </w:r>
      <w:r>
        <w:rPr>
          <w:rFonts w:ascii="Times New Roman" w:eastAsia="宋体"/>
        </w:rPr>
        <w:t>关防火管理的规定。</w:t>
      </w:r>
    </w:p>
    <w:p w14:paraId="189896F1">
      <w:pPr>
        <w:pStyle w:val="94"/>
        <w:spacing w:before="156" w:after="156"/>
        <w:rPr>
          <w:rFonts w:ascii="Times New Roman" w:eastAsia="宋体"/>
        </w:rPr>
      </w:pPr>
      <w:r>
        <w:rPr>
          <w:rFonts w:ascii="Times New Roman" w:eastAsia="宋体"/>
        </w:rPr>
        <w:t>滑雪场所应当按照GB50140配置灭火器材。</w:t>
      </w:r>
    </w:p>
    <w:p w14:paraId="1C4791E2">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滑雪场所配置的消防设施和器材、设置的安全消防标志应当定期进行检验、维护。</w:t>
      </w:r>
    </w:p>
    <w:p w14:paraId="070D5A3E">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滑雪场所在开放期间不应进行电、气焊等明火作业。设备维修等特殊情况确需要动火作业的应由单位的安全管理负责人员批准，采取防范措施，制定相应作业计划，确认相应的动火作业人员、开具动火作业票、组织相关人员学习、识别动火期间隐患及熟悉动火作业流程、动火作业期间安全管理人员须全过程监护（如若临时有事须关闭作业）、配备相匹配的灭火器材、做好相应能量隔离措施。</w:t>
      </w:r>
      <w:r>
        <w:rPr>
          <w:rFonts w:hint="eastAsia" w:ascii="Times New Roman" w:eastAsia="宋体"/>
          <w:color w:val="000000" w:themeColor="text1"/>
          <w14:textFill>
            <w14:solidFill>
              <w14:schemeClr w14:val="tx1"/>
            </w14:solidFill>
          </w14:textFill>
        </w:rPr>
        <w:t>滑雪道进行造雪压雪等维护作业期间，应关闭该雪道。</w:t>
      </w:r>
    </w:p>
    <w:p w14:paraId="72B759A7">
      <w:pPr>
        <w:pStyle w:val="94"/>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滑雪场所在经营区域，禁止吸烟和明火照明。</w:t>
      </w:r>
    </w:p>
    <w:p w14:paraId="5E313687">
      <w:pPr>
        <w:pStyle w:val="104"/>
        <w:spacing w:before="312" w:after="312"/>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 xml:space="preserve"> </w:t>
      </w:r>
      <w:bookmarkStart w:id="58" w:name="_Toc132198754"/>
      <w:bookmarkStart w:id="59" w:name="_Toc132198794"/>
      <w:r>
        <w:rPr>
          <w:rFonts w:ascii="Times New Roman"/>
          <w:color w:val="000000" w:themeColor="text1"/>
          <w14:textFill>
            <w14:solidFill>
              <w14:schemeClr w14:val="tx1"/>
            </w14:solidFill>
          </w14:textFill>
        </w:rPr>
        <w:t>制度管理</w:t>
      </w:r>
      <w:bookmarkEnd w:id="58"/>
      <w:bookmarkEnd w:id="59"/>
    </w:p>
    <w:p w14:paraId="6E63DF3D">
      <w:pPr>
        <w:pStyle w:val="105"/>
        <w:spacing w:before="156" w:after="156"/>
        <w:rPr>
          <w:rFonts w:ascii="Times New Roman" w:eastAsia="宋体"/>
          <w:color w:val="000000" w:themeColor="text1"/>
          <w14:textFill>
            <w14:solidFill>
              <w14:schemeClr w14:val="tx1"/>
            </w14:solidFill>
          </w14:textFill>
        </w:rPr>
      </w:pPr>
      <w:bookmarkStart w:id="60" w:name="_Toc132198755"/>
      <w:r>
        <w:rPr>
          <w:rFonts w:ascii="Times New Roman" w:eastAsia="宋体"/>
          <w:color w:val="000000" w:themeColor="text1"/>
          <w14:textFill>
            <w14:solidFill>
              <w14:schemeClr w14:val="tx1"/>
            </w14:solidFill>
          </w14:textFill>
        </w:rPr>
        <w:t>滑雪场所应设置安全生产管理机构，配备满足需要的专职安全生产管理人员。</w:t>
      </w:r>
    </w:p>
    <w:p w14:paraId="5E870374">
      <w:pPr>
        <w:pStyle w:val="105"/>
        <w:spacing w:before="156" w:after="156"/>
        <w:rPr>
          <w:rFonts w:ascii="Times New Roman" w:eastAsia="宋体"/>
          <w:color w:val="000000" w:themeColor="text1"/>
          <w14:textFill>
            <w14:solidFill>
              <w14:schemeClr w14:val="tx1"/>
            </w14:solidFill>
          </w14:textFill>
        </w:rPr>
      </w:pPr>
      <w:r>
        <w:rPr>
          <w:rFonts w:hint="eastAsia" w:ascii="Times New Roman" w:eastAsia="宋体"/>
          <w:color w:val="000000" w:themeColor="text1"/>
          <w14:textFill>
            <w14:solidFill>
              <w14:schemeClr w14:val="tx1"/>
            </w14:solidFill>
          </w14:textFill>
        </w:rPr>
        <w:t>滑雪场所应</w:t>
      </w:r>
      <w:r>
        <w:rPr>
          <w:rFonts w:ascii="Times New Roman" w:eastAsia="宋体"/>
          <w:color w:val="000000" w:themeColor="text1"/>
          <w14:textFill>
            <w14:solidFill>
              <w14:schemeClr w14:val="tx1"/>
            </w14:solidFill>
          </w14:textFill>
        </w:rPr>
        <w:t>按活动人员每100人至少配置1名专（兼）治安保卫人员（不足100人按100人计算）。</w:t>
      </w:r>
      <w:bookmarkEnd w:id="60"/>
    </w:p>
    <w:p w14:paraId="33907618">
      <w:pPr>
        <w:pStyle w:val="105"/>
        <w:spacing w:before="156" w:after="156"/>
        <w:rPr>
          <w:rFonts w:ascii="Times New Roman" w:eastAsia="宋体"/>
          <w:color w:val="000000" w:themeColor="text1"/>
          <w14:textFill>
            <w14:solidFill>
              <w14:schemeClr w14:val="tx1"/>
            </w14:solidFill>
          </w14:textFill>
        </w:rPr>
      </w:pPr>
      <w:bookmarkStart w:id="61" w:name="_Toc132198756"/>
      <w:r>
        <w:rPr>
          <w:rFonts w:ascii="Times New Roman" w:eastAsia="宋体"/>
          <w:color w:val="000000" w:themeColor="text1"/>
          <w14:textFill>
            <w14:solidFill>
              <w14:schemeClr w14:val="tx1"/>
            </w14:solidFill>
          </w14:textFill>
        </w:rPr>
        <w:t>滑雪场所治安保卫机构职责如下：</w:t>
      </w:r>
      <w:bookmarkEnd w:id="61"/>
    </w:p>
    <w:p w14:paraId="42FF243C">
      <w:pPr>
        <w:pStyle w:val="56"/>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a) 制定和完善本单位的各项治安保卫工作制度，落实治安防范措施；</w:t>
      </w:r>
    </w:p>
    <w:p w14:paraId="1B39C09E">
      <w:pPr>
        <w:pStyle w:val="56"/>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b) 按照地方人民政府的有关规定，确定要害部位，严格落实各项安全保卫措施；</w:t>
      </w:r>
    </w:p>
    <w:p w14:paraId="2D18FBCD">
      <w:pPr>
        <w:pStyle w:val="56"/>
        <w:ind w:firstLine="42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c) 加强重点防范部位和贵重物品、危险物品的安全管理；</w:t>
      </w:r>
    </w:p>
    <w:p w14:paraId="517BAC5C">
      <w:pPr>
        <w:pStyle w:val="56"/>
        <w:ind w:firstLine="420"/>
        <w:rPr>
          <w:rFonts w:ascii="Times New Roman"/>
        </w:rPr>
      </w:pPr>
      <w:r>
        <w:rPr>
          <w:rFonts w:ascii="Times New Roman"/>
        </w:rPr>
        <w:t>d) 组织安全检查， 及时发现和消除治安隐患。对公安机关指出的治安隐患和提出的改进建议，在规定的期限内解决，并将结果报告公安机关。</w:t>
      </w:r>
    </w:p>
    <w:p w14:paraId="779EA37F">
      <w:pPr>
        <w:pStyle w:val="105"/>
        <w:spacing w:before="156" w:after="156"/>
        <w:rPr>
          <w:rFonts w:ascii="Times New Roman" w:eastAsia="宋体"/>
          <w:color w:val="000000" w:themeColor="text1"/>
          <w14:textFill>
            <w14:solidFill>
              <w14:schemeClr w14:val="tx1"/>
            </w14:solidFill>
          </w14:textFill>
        </w:rPr>
      </w:pPr>
      <w:bookmarkStart w:id="62" w:name="_Toc132198757"/>
      <w:r>
        <w:rPr>
          <w:rFonts w:ascii="Times New Roman" w:eastAsia="宋体"/>
          <w:color w:val="000000" w:themeColor="text1"/>
          <w14:textFill>
            <w14:solidFill>
              <w14:schemeClr w14:val="tx1"/>
            </w14:solidFill>
          </w14:textFill>
        </w:rPr>
        <w:t>滑雪场所应建立安全运营岗位责任制度、安全管理与救护制度以及设备设施维护制度、卫生环境管理等制度。</w:t>
      </w:r>
      <w:bookmarkEnd w:id="62"/>
    </w:p>
    <w:p w14:paraId="69B68F2F">
      <w:pPr>
        <w:pStyle w:val="105"/>
        <w:spacing w:before="156" w:after="156"/>
        <w:rPr>
          <w:rFonts w:ascii="Times New Roman" w:eastAsia="宋体"/>
          <w:color w:val="000000" w:themeColor="text1"/>
          <w14:textFill>
            <w14:solidFill>
              <w14:schemeClr w14:val="tx1"/>
            </w14:solidFill>
          </w14:textFill>
        </w:rPr>
      </w:pPr>
      <w:bookmarkStart w:id="63" w:name="_Toc132198758"/>
      <w:r>
        <w:rPr>
          <w:rFonts w:ascii="Times New Roman" w:eastAsia="宋体"/>
          <w:color w:val="000000" w:themeColor="text1"/>
          <w14:textFill>
            <w14:solidFill>
              <w14:schemeClr w14:val="tx1"/>
            </w14:solidFill>
          </w14:textFill>
        </w:rPr>
        <w:t>滑雪场所应设专人负责落实本单位的公共卫生管理制度。</w:t>
      </w:r>
      <w:bookmarkEnd w:id="63"/>
    </w:p>
    <w:p w14:paraId="089C3590">
      <w:pPr>
        <w:pStyle w:val="105"/>
        <w:spacing w:before="156" w:after="156"/>
        <w:rPr>
          <w:rFonts w:ascii="Times New Roman" w:eastAsia="宋体"/>
          <w:color w:val="000000" w:themeColor="text1"/>
          <w14:textFill>
            <w14:solidFill>
              <w14:schemeClr w14:val="tx1"/>
            </w14:solidFill>
          </w14:textFill>
        </w:rPr>
      </w:pPr>
      <w:bookmarkStart w:id="64" w:name="_Toc132198759"/>
      <w:r>
        <w:rPr>
          <w:rFonts w:hint="eastAsia" w:ascii="Times New Roman" w:eastAsia="宋体"/>
          <w:color w:val="000000" w:themeColor="text1"/>
          <w14:textFill>
            <w14:solidFill>
              <w14:schemeClr w14:val="tx1"/>
            </w14:solidFill>
          </w14:textFill>
        </w:rPr>
        <w:t>滑雪场所应根据雪场面积配备有相应比例的雪场巡逻人员。滑雪面积在9万㎡以下应按人均面积不大于30000㎡配备相关人员，9万㎡以上，每增加40000㎡，额外增加1名人员，超过面积不足40000㎡，按照40000㎡执行</w:t>
      </w:r>
      <w:r>
        <w:rPr>
          <w:rFonts w:ascii="Times New Roman" w:eastAsia="宋体"/>
          <w:color w:val="000000" w:themeColor="text1"/>
          <w14:textFill>
            <w14:solidFill>
              <w14:schemeClr w14:val="tx1"/>
            </w14:solidFill>
          </w14:textFill>
        </w:rPr>
        <w:t>。</w:t>
      </w:r>
      <w:bookmarkEnd w:id="64"/>
    </w:p>
    <w:p w14:paraId="51178040">
      <w:pPr>
        <w:pStyle w:val="105"/>
        <w:spacing w:before="156" w:after="156"/>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 xml:space="preserve"> </w:t>
      </w:r>
      <w:bookmarkStart w:id="65" w:name="_Toc132198760"/>
      <w:r>
        <w:rPr>
          <w:rFonts w:hint="eastAsia" w:ascii="宋体" w:hAnsi="宋体" w:eastAsia="宋体"/>
          <w:color w:val="000000" w:themeColor="text1"/>
          <w14:textFill>
            <w14:solidFill>
              <w14:schemeClr w14:val="tx1"/>
            </w14:solidFill>
          </w14:textFill>
        </w:rPr>
        <w:t>滑雪场所应制定安全巡查制度，并做好巡查记录。</w:t>
      </w:r>
      <w:bookmarkEnd w:id="65"/>
    </w:p>
    <w:p w14:paraId="49832257">
      <w:pPr>
        <w:pStyle w:val="105"/>
        <w:spacing w:before="156" w:after="156"/>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 xml:space="preserve"> </w:t>
      </w:r>
      <w:bookmarkStart w:id="66" w:name="_Toc132198761"/>
      <w:r>
        <w:rPr>
          <w:rFonts w:hint="eastAsia" w:ascii="宋体" w:hAnsi="宋体" w:eastAsia="宋体"/>
          <w:color w:val="000000" w:themeColor="text1"/>
          <w14:textFill>
            <w14:solidFill>
              <w14:schemeClr w14:val="tx1"/>
            </w14:solidFill>
          </w14:textFill>
        </w:rPr>
        <w:t>滑雪场所应有意外事故处理制度，并悬挂在明显位置。</w:t>
      </w:r>
      <w:bookmarkEnd w:id="66"/>
    </w:p>
    <w:p w14:paraId="34407CE7">
      <w:pPr>
        <w:pStyle w:val="104"/>
        <w:spacing w:before="312" w:after="312"/>
        <w:rPr>
          <w:color w:val="000000" w:themeColor="text1"/>
          <w14:textFill>
            <w14:solidFill>
              <w14:schemeClr w14:val="tx1"/>
            </w14:solidFill>
          </w14:textFill>
        </w:rPr>
      </w:pPr>
      <w:r>
        <w:rPr>
          <w:color w:val="000000" w:themeColor="text1"/>
          <w14:textFill>
            <w14:solidFill>
              <w14:schemeClr w14:val="tx1"/>
            </w14:solidFill>
          </w14:textFill>
        </w:rPr>
        <w:t xml:space="preserve"> </w:t>
      </w:r>
      <w:bookmarkStart w:id="67" w:name="_Toc132198795"/>
      <w:bookmarkStart w:id="68" w:name="_Toc132198762"/>
      <w:r>
        <w:rPr>
          <w:rFonts w:hint="eastAsia"/>
          <w:color w:val="000000" w:themeColor="text1"/>
          <w14:textFill>
            <w14:solidFill>
              <w14:schemeClr w14:val="tx1"/>
            </w14:solidFill>
          </w14:textFill>
        </w:rPr>
        <w:t>运营管理</w:t>
      </w:r>
      <w:bookmarkEnd w:id="67"/>
      <w:bookmarkEnd w:id="68"/>
    </w:p>
    <w:p w14:paraId="58F59C9E">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 xml:space="preserve"> </w:t>
      </w:r>
      <w:bookmarkStart w:id="69" w:name="_Toc132198763"/>
      <w:r>
        <w:rPr>
          <w:rFonts w:hint="eastAsia" w:ascii="Times New Roman" w:eastAsia="宋体"/>
          <w:color w:val="000000" w:themeColor="text1"/>
          <w14:textFill>
            <w14:solidFill>
              <w14:schemeClr w14:val="tx1"/>
            </w14:solidFill>
          </w14:textFill>
        </w:rPr>
        <w:t>滑雪场所的开放必须符合国家强制性标准《体育场所开放条件与技术要求 第6部分：滑雪场所》中滑雪场所的开放条件，同时应经体育、公安、应急、市场监管、消防、特种设备等行政部门审核合格，并依法领取相关许可证及营业执照后方可开展经营活动。</w:t>
      </w:r>
      <w:bookmarkEnd w:id="69"/>
    </w:p>
    <w:p w14:paraId="389F7566">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 xml:space="preserve"> </w:t>
      </w:r>
      <w:bookmarkStart w:id="70" w:name="_Toc132198764"/>
      <w:r>
        <w:rPr>
          <w:rFonts w:ascii="Times New Roman" w:eastAsia="宋体"/>
          <w:color w:val="000000" w:themeColor="text1"/>
          <w14:textFill>
            <w14:solidFill>
              <w14:schemeClr w14:val="tx1"/>
            </w14:solidFill>
          </w14:textFill>
        </w:rPr>
        <w:t>滑雪场所开放时间应有</w:t>
      </w:r>
      <w:r>
        <w:rPr>
          <w:rFonts w:hint="eastAsia" w:ascii="Times New Roman" w:eastAsia="宋体"/>
          <w:color w:val="000000" w:themeColor="text1"/>
          <w14:textFill>
            <w14:solidFill>
              <w14:schemeClr w14:val="tx1"/>
            </w14:solidFill>
          </w14:textFill>
        </w:rPr>
        <w:t>安全巡查人员</w:t>
      </w:r>
      <w:r>
        <w:rPr>
          <w:rFonts w:ascii="Times New Roman" w:eastAsia="宋体"/>
          <w:color w:val="000000" w:themeColor="text1"/>
          <w14:textFill>
            <w14:solidFill>
              <w14:schemeClr w14:val="tx1"/>
            </w14:solidFill>
          </w14:textFill>
        </w:rPr>
        <w:t>、医务人员、保卫人员现场值班。</w:t>
      </w:r>
      <w:bookmarkEnd w:id="70"/>
    </w:p>
    <w:p w14:paraId="582510D3">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 xml:space="preserve"> </w:t>
      </w:r>
      <w:bookmarkStart w:id="71" w:name="_Toc132198765"/>
      <w:r>
        <w:rPr>
          <w:rFonts w:ascii="Times New Roman" w:eastAsia="宋体"/>
          <w:color w:val="000000" w:themeColor="text1"/>
          <w14:textFill>
            <w14:solidFill>
              <w14:schemeClr w14:val="tx1"/>
            </w14:solidFill>
          </w14:textFill>
        </w:rPr>
        <w:t>夜场滑雪仅限在初、中级滑雪道上进行。</w:t>
      </w:r>
      <w:bookmarkEnd w:id="71"/>
    </w:p>
    <w:p w14:paraId="1D921ADB">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FF0000"/>
        </w:rPr>
        <w:t xml:space="preserve"> </w:t>
      </w:r>
      <w:bookmarkStart w:id="72" w:name="_Toc132198766"/>
      <w:r>
        <w:rPr>
          <w:rFonts w:ascii="Times New Roman" w:eastAsia="宋体"/>
          <w:color w:val="000000" w:themeColor="text1"/>
          <w14:textFill>
            <w14:solidFill>
              <w14:schemeClr w14:val="tx1"/>
            </w14:solidFill>
          </w14:textFill>
        </w:rPr>
        <w:t>高山滑雪与单板滑雪的滑雪道的滑行人数密度应采取相应措施进行总量控制。</w:t>
      </w:r>
      <w:r>
        <w:rPr>
          <w:rFonts w:hint="eastAsia" w:ascii="Times New Roman" w:eastAsia="宋体"/>
          <w:color w:val="000000" w:themeColor="text1"/>
          <w14:textFill>
            <w14:solidFill>
              <w14:schemeClr w14:val="tx1"/>
            </w14:solidFill>
          </w14:textFill>
        </w:rPr>
        <w:t>滑雪场所的活动人数不得超过核定人数，人均活动面积：初级道不小于50平方米/人；中级道70平方米/人；高级道80平方米/人，达到核定人数应采取限制措施。</w:t>
      </w:r>
      <w:bookmarkEnd w:id="72"/>
    </w:p>
    <w:p w14:paraId="7191BFA4">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 xml:space="preserve"> </w:t>
      </w:r>
      <w:bookmarkStart w:id="73" w:name="_Toc132198767"/>
      <w:r>
        <w:rPr>
          <w:rFonts w:ascii="Times New Roman" w:eastAsia="宋体"/>
          <w:color w:val="000000" w:themeColor="text1"/>
          <w14:textFill>
            <w14:solidFill>
              <w14:schemeClr w14:val="tx1"/>
            </w14:solidFill>
          </w14:textFill>
        </w:rPr>
        <w:t>应在停止雪道的运营或采取安全隔离措施后进行造雪、压雪作业。</w:t>
      </w:r>
      <w:bookmarkEnd w:id="73"/>
    </w:p>
    <w:p w14:paraId="200333DC">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 xml:space="preserve"> </w:t>
      </w:r>
      <w:r>
        <w:rPr>
          <w:rFonts w:hint="eastAsia" w:ascii="Times New Roman" w:eastAsia="宋体"/>
          <w:color w:val="000000" w:themeColor="text1"/>
          <w14:textFill>
            <w14:solidFill>
              <w14:schemeClr w14:val="tx1"/>
            </w14:solidFill>
          </w14:textFill>
        </w:rPr>
        <w:t>滑雪场应公示当天天气情况，至少包含温度、湿度、风速、风向、紫外线指数、能见度、空气质量、降水概率、降水量、降雪量等，因天气原因或遭遇突发事件对滑雪造成危险时，应立即对游客发出预警并及时封闭部分或全部雪道。</w:t>
      </w:r>
    </w:p>
    <w:p w14:paraId="3A57BDBE">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 xml:space="preserve"> </w:t>
      </w:r>
      <w:bookmarkStart w:id="74" w:name="_Toc132198769"/>
      <w:r>
        <w:rPr>
          <w:rFonts w:ascii="Times New Roman" w:eastAsia="宋体"/>
          <w:color w:val="000000" w:themeColor="text1"/>
          <w14:textFill>
            <w14:solidFill>
              <w14:schemeClr w14:val="tx1"/>
            </w14:solidFill>
          </w14:textFill>
        </w:rPr>
        <w:t>滑雪场所应有保证每位滑雪人员佩戴头盔进行滑雪活动的管理措施。</w:t>
      </w:r>
      <w:bookmarkEnd w:id="74"/>
    </w:p>
    <w:p w14:paraId="5ACE5742">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 xml:space="preserve"> </w:t>
      </w:r>
      <w:bookmarkStart w:id="75" w:name="_Toc132198770"/>
      <w:r>
        <w:rPr>
          <w:rFonts w:ascii="Times New Roman" w:eastAsia="宋体"/>
          <w:color w:val="000000" w:themeColor="text1"/>
          <w14:textFill>
            <w14:solidFill>
              <w14:schemeClr w14:val="tx1"/>
            </w14:solidFill>
          </w14:textFill>
        </w:rPr>
        <w:t>滑雪场所不应向滑雪人员在滑雪期间出售含酒精的饮料，并劝阻酗酒者进行滑雪活动。</w:t>
      </w:r>
      <w:bookmarkEnd w:id="75"/>
    </w:p>
    <w:p w14:paraId="4A1AA627">
      <w:pPr>
        <w:pStyle w:val="105"/>
        <w:spacing w:before="156" w:after="156"/>
        <w:rPr>
          <w:rFonts w:ascii="Times New Roman" w:eastAsia="宋体"/>
          <w:color w:val="000000" w:themeColor="text1"/>
          <w14:textFill>
            <w14:solidFill>
              <w14:schemeClr w14:val="tx1"/>
            </w14:solidFill>
          </w14:textFill>
        </w:rPr>
      </w:pPr>
      <w:r>
        <w:rPr>
          <w:rFonts w:ascii="Times New Roman" w:eastAsia="宋体"/>
          <w:color w:val="000000" w:themeColor="text1"/>
          <w14:textFill>
            <w14:solidFill>
              <w14:schemeClr w14:val="tx1"/>
            </w14:solidFill>
          </w14:textFill>
        </w:rPr>
        <w:t xml:space="preserve"> </w:t>
      </w:r>
      <w:bookmarkStart w:id="76" w:name="_Toc132198771"/>
      <w:r>
        <w:rPr>
          <w:rFonts w:ascii="Times New Roman" w:eastAsia="宋体"/>
          <w:color w:val="000000" w:themeColor="text1"/>
          <w14:textFill>
            <w14:solidFill>
              <w14:schemeClr w14:val="tx1"/>
            </w14:solidFill>
          </w14:textFill>
        </w:rPr>
        <w:t>滑雪场所宜投保公共责任险和安全生产责任险，并鼓励滑雪者投保人身意外伤害保险。</w:t>
      </w:r>
      <w:bookmarkEnd w:id="76"/>
    </w:p>
    <w:p w14:paraId="7FD0FCC3">
      <w:pPr>
        <w:pStyle w:val="105"/>
        <w:spacing w:before="156" w:after="156"/>
        <w:rPr>
          <w:rFonts w:ascii="宋体" w:hAnsi="宋体" w:eastAsia="宋体"/>
          <w:color w:val="000000" w:themeColor="text1"/>
          <w14:textFill>
            <w14:solidFill>
              <w14:schemeClr w14:val="tx1"/>
            </w14:solidFill>
          </w14:textFill>
        </w:rPr>
      </w:pPr>
      <w:bookmarkStart w:id="77" w:name="_Toc132198772"/>
      <w:r>
        <w:rPr>
          <w:rFonts w:ascii="宋体" w:hAnsi="宋体" w:eastAsia="宋体"/>
          <w:color w:val="000000" w:themeColor="text1"/>
          <w14:textFill>
            <w14:solidFill>
              <w14:schemeClr w14:val="tx1"/>
            </w14:solidFill>
          </w14:textFill>
        </w:rPr>
        <w:t>滑雪场所的更衣室（柜）、淋浴室等公共场所要保持良好的空气质量和采光照明，应遵守其他有关公共卫生安全的法律法规和卫生标准。</w:t>
      </w:r>
      <w:bookmarkEnd w:id="77"/>
    </w:p>
    <w:p w14:paraId="5E09C621">
      <w:pPr>
        <w:pStyle w:val="105"/>
        <w:spacing w:before="156" w:after="156"/>
        <w:rPr>
          <w:rFonts w:ascii="宋体" w:hAnsi="宋体" w:eastAsia="宋体"/>
          <w:color w:val="000000" w:themeColor="text1"/>
          <w14:textFill>
            <w14:solidFill>
              <w14:schemeClr w14:val="tx1"/>
            </w14:solidFill>
          </w14:textFill>
        </w:rPr>
      </w:pPr>
      <w:bookmarkStart w:id="78" w:name="_Toc132198773"/>
      <w:r>
        <w:rPr>
          <w:rFonts w:hint="eastAsia" w:ascii="宋体" w:hAnsi="宋体" w:eastAsia="宋体"/>
          <w:color w:val="000000" w:themeColor="text1"/>
          <w14:textFill>
            <w14:solidFill>
              <w14:schemeClr w14:val="tx1"/>
            </w14:solidFill>
          </w14:textFill>
        </w:rPr>
        <w:t>滑雪器材等公共用品用具应定期进行消毒，保持清洁。</w:t>
      </w:r>
      <w:bookmarkEnd w:id="78"/>
    </w:p>
    <w:p w14:paraId="1E2A69AC">
      <w:pPr>
        <w:pStyle w:val="105"/>
        <w:spacing w:before="156" w:after="156"/>
        <w:rPr>
          <w:rFonts w:ascii="宋体" w:hAnsi="宋体" w:eastAsia="宋体"/>
          <w:color w:val="000000" w:themeColor="text1"/>
          <w14:textFill>
            <w14:solidFill>
              <w14:schemeClr w14:val="tx1"/>
            </w14:solidFill>
          </w14:textFill>
        </w:rPr>
      </w:pPr>
      <w:bookmarkStart w:id="79" w:name="_Toc132198774"/>
      <w:r>
        <w:rPr>
          <w:rFonts w:hint="eastAsia" w:ascii="宋体" w:hAnsi="宋体" w:eastAsia="宋体"/>
          <w:color w:val="000000" w:themeColor="text1"/>
          <w14:textFill>
            <w14:solidFill>
              <w14:schemeClr w14:val="tx1"/>
            </w14:solidFill>
          </w14:textFill>
        </w:rPr>
        <w:t>应按相关部门管理要求，确保场所达到相应卫生要求，控制室内人员密度、加强通风换气。</w:t>
      </w:r>
      <w:bookmarkEnd w:id="79"/>
    </w:p>
    <w:p w14:paraId="2EF34288">
      <w:pPr>
        <w:pStyle w:val="65"/>
        <w:spacing w:before="156" w:after="156"/>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 xml:space="preserve"> 滑雪场所雪具店应划分设置雪具租赁、衣物存储及更衣等区域；按照相应比例设置衣物存储区（柜），存储柜（箱）应不少于雪场雪具的50%。</w:t>
      </w:r>
    </w:p>
    <w:p w14:paraId="357F0DF4">
      <w:pPr>
        <w:pStyle w:val="65"/>
        <w:spacing w:before="156" w:after="156"/>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 xml:space="preserve"> 滑雪场所的公共区域地面应有防滑措施。</w:t>
      </w:r>
    </w:p>
    <w:p w14:paraId="563F58F3">
      <w:pPr>
        <w:pStyle w:val="65"/>
        <w:spacing w:before="156" w:after="156"/>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 xml:space="preserve"> 监控摄像系统应覆盖运营区域。</w:t>
      </w:r>
    </w:p>
    <w:p w14:paraId="0B6A41AD">
      <w:pPr>
        <w:pStyle w:val="65"/>
        <w:spacing w:before="156" w:after="156"/>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 xml:space="preserve"> 应设有覆盖整个滑雪场所的广播系统，应支持中英文播放。</w:t>
      </w:r>
    </w:p>
    <w:p w14:paraId="496EA3A3">
      <w:pPr>
        <w:pStyle w:val="104"/>
        <w:spacing w:before="312" w:after="312"/>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bookmarkStart w:id="80" w:name="_Toc132198796"/>
      <w:bookmarkStart w:id="81" w:name="_Toc132198775"/>
      <w:r>
        <w:rPr>
          <w:rFonts w:hint="eastAsia"/>
          <w:color w:val="000000" w:themeColor="text1"/>
          <w14:textFill>
            <w14:solidFill>
              <w14:schemeClr w14:val="tx1"/>
            </w14:solidFill>
          </w14:textFill>
        </w:rPr>
        <w:t>人员管理</w:t>
      </w:r>
      <w:bookmarkEnd w:id="80"/>
      <w:bookmarkEnd w:id="81"/>
    </w:p>
    <w:p w14:paraId="54BF2FFC">
      <w:pPr>
        <w:pStyle w:val="105"/>
        <w:spacing w:before="156" w:after="156"/>
        <w:rPr>
          <w:rFonts w:ascii="宋体" w:hAnsi="宋体" w:eastAsia="宋体"/>
          <w:color w:val="000000" w:themeColor="text1"/>
          <w14:textFill>
            <w14:solidFill>
              <w14:schemeClr w14:val="tx1"/>
            </w14:solidFill>
          </w14:textFill>
        </w:rPr>
      </w:pPr>
      <w:bookmarkStart w:id="82" w:name="_Toc132198776"/>
      <w:r>
        <w:rPr>
          <w:rFonts w:hint="eastAsia" w:ascii="宋体" w:hAnsi="宋体" w:eastAsia="宋体"/>
          <w:color w:val="000000" w:themeColor="text1"/>
          <w14:textFill>
            <w14:solidFill>
              <w14:schemeClr w14:val="tx1"/>
            </w14:solidFill>
          </w14:textFill>
        </w:rPr>
        <w:t>滑雪场所经营负责人、安全管理人员应经安全生产培训合格。滑雪场所应当对从业人员进行安全教育和培训，并按国家有关规定建立健全教育培训档案。室内活动场所应至少每半年进行一次全员消防安全培训。</w:t>
      </w:r>
      <w:bookmarkEnd w:id="82"/>
    </w:p>
    <w:p w14:paraId="48FDAD6B">
      <w:pPr>
        <w:pStyle w:val="105"/>
        <w:spacing w:before="156" w:after="156"/>
        <w:rPr>
          <w:rFonts w:ascii="宋体" w:hAnsi="宋体" w:eastAsia="宋体"/>
          <w:color w:val="000000" w:themeColor="text1"/>
          <w14:textFill>
            <w14:solidFill>
              <w14:schemeClr w14:val="tx1"/>
            </w14:solidFill>
          </w14:textFill>
        </w:rPr>
      </w:pPr>
      <w:bookmarkStart w:id="83" w:name="_Toc132198777"/>
      <w:r>
        <w:rPr>
          <w:rFonts w:hint="eastAsia" w:ascii="宋体" w:hAnsi="宋体" w:eastAsia="宋体"/>
          <w:color w:val="000000" w:themeColor="text1"/>
          <w14:textFill>
            <w14:solidFill>
              <w14:schemeClr w14:val="tx1"/>
            </w14:solidFill>
          </w14:textFill>
        </w:rPr>
        <w:t>特种作业人员应按照国家有关规定，经专门安全作业培训，取得特种作业操作资格证书。</w:t>
      </w:r>
      <w:bookmarkEnd w:id="83"/>
    </w:p>
    <w:p w14:paraId="5E14B074">
      <w:pPr>
        <w:pStyle w:val="105"/>
        <w:spacing w:before="156" w:after="156"/>
        <w:rPr>
          <w:rFonts w:ascii="宋体" w:hAnsi="宋体" w:eastAsia="宋体"/>
          <w:color w:val="000000" w:themeColor="text1"/>
          <w14:textFill>
            <w14:solidFill>
              <w14:schemeClr w14:val="tx1"/>
            </w14:solidFill>
          </w14:textFill>
        </w:rPr>
      </w:pPr>
      <w:bookmarkStart w:id="84" w:name="_Toc132198778"/>
      <w:r>
        <w:rPr>
          <w:rFonts w:hint="eastAsia" w:ascii="宋体" w:hAnsi="宋体" w:eastAsia="宋体"/>
          <w:color w:val="000000" w:themeColor="text1"/>
          <w14:textFill>
            <w14:solidFill>
              <w14:schemeClr w14:val="tx1"/>
            </w14:solidFill>
          </w14:textFill>
        </w:rPr>
        <w:t>滑雪场所应有不少于5名的社会体育指导员（滑雪）。</w:t>
      </w:r>
      <w:bookmarkEnd w:id="84"/>
    </w:p>
    <w:p w14:paraId="585B0D99">
      <w:pPr>
        <w:pStyle w:val="105"/>
        <w:spacing w:before="156" w:after="156"/>
        <w:rPr>
          <w:rFonts w:ascii="宋体" w:hAnsi="宋体" w:eastAsia="宋体"/>
        </w:rPr>
      </w:pPr>
      <w:bookmarkStart w:id="85" w:name="_Toc132198779"/>
      <w:r>
        <w:rPr>
          <w:rFonts w:hint="eastAsia" w:ascii="宋体" w:hAnsi="宋体" w:eastAsia="宋体"/>
        </w:rPr>
        <w:t>社会体育指导员（滑雪）应依法持证上岗。</w:t>
      </w:r>
      <w:bookmarkEnd w:id="85"/>
    </w:p>
    <w:p w14:paraId="0D21C4AC">
      <w:pPr>
        <w:pStyle w:val="105"/>
        <w:spacing w:before="156" w:after="156"/>
        <w:rPr>
          <w:rFonts w:ascii="宋体" w:hAnsi="宋体" w:eastAsia="宋体"/>
        </w:rPr>
      </w:pPr>
      <w:bookmarkStart w:id="86" w:name="_Toc132198780"/>
      <w:r>
        <w:rPr>
          <w:rFonts w:hint="eastAsia" w:ascii="宋体" w:hAnsi="宋体" w:eastAsia="宋体"/>
        </w:rPr>
        <w:t>应在醒目位置公示社会体育指导员（滑雪）的姓名、照片、职业资格证书编号等信息。</w:t>
      </w:r>
      <w:bookmarkEnd w:id="86"/>
    </w:p>
    <w:p w14:paraId="288F6D24">
      <w:pPr>
        <w:pStyle w:val="105"/>
        <w:spacing w:before="156" w:after="156"/>
        <w:rPr>
          <w:rFonts w:ascii="宋体" w:hAnsi="宋体" w:eastAsia="宋体"/>
        </w:rPr>
      </w:pPr>
      <w:bookmarkStart w:id="87" w:name="_Toc132198781"/>
      <w:r>
        <w:rPr>
          <w:rFonts w:hint="eastAsia" w:ascii="宋体" w:hAnsi="宋体" w:eastAsia="宋体"/>
        </w:rPr>
        <w:t>社会体育指导员（滑雪）和滑雪巡逻员上岗时应佩戴醒目、易识别的统一标识。</w:t>
      </w:r>
      <w:bookmarkEnd w:id="87"/>
    </w:p>
    <w:p w14:paraId="4DA98FF7">
      <w:pPr>
        <w:pStyle w:val="105"/>
        <w:spacing w:before="156" w:after="156"/>
        <w:rPr>
          <w:rFonts w:ascii="宋体" w:hAnsi="宋体" w:eastAsia="宋体"/>
        </w:rPr>
      </w:pPr>
      <w:bookmarkStart w:id="88" w:name="_Toc132198782"/>
      <w:r>
        <w:rPr>
          <w:rFonts w:hint="eastAsia" w:ascii="宋体" w:hAnsi="宋体" w:eastAsia="宋体"/>
        </w:rPr>
        <w:t>应在救助室内醒目位置公示急救操作规程，医生人员的姓名、照片、资质证书等信息。</w:t>
      </w:r>
      <w:bookmarkEnd w:id="88"/>
    </w:p>
    <w:p w14:paraId="41E1AC05">
      <w:pPr>
        <w:pStyle w:val="104"/>
        <w:spacing w:before="312" w:after="312"/>
      </w:pPr>
      <w:r>
        <w:t xml:space="preserve"> </w:t>
      </w:r>
      <w:bookmarkStart w:id="89" w:name="_Toc132198783"/>
      <w:bookmarkStart w:id="90" w:name="_Toc132198797"/>
      <w:r>
        <w:rPr>
          <w:rFonts w:hint="eastAsia"/>
        </w:rPr>
        <w:t>应急管理</w:t>
      </w:r>
      <w:bookmarkEnd w:id="89"/>
      <w:bookmarkEnd w:id="90"/>
    </w:p>
    <w:p w14:paraId="589ADA82">
      <w:pPr>
        <w:pStyle w:val="105"/>
        <w:spacing w:before="156" w:after="156"/>
        <w:rPr>
          <w:rFonts w:ascii="宋体" w:hAnsi="宋体" w:eastAsia="宋体"/>
        </w:rPr>
      </w:pPr>
      <w:r>
        <w:rPr>
          <w:rFonts w:hint="eastAsia" w:ascii="宋体" w:hAnsi="宋体" w:eastAsia="宋体"/>
        </w:rPr>
        <w:t xml:space="preserve"> </w:t>
      </w:r>
      <w:bookmarkStart w:id="91" w:name="_Toc132198784"/>
      <w:r>
        <w:rPr>
          <w:rFonts w:hint="eastAsia" w:ascii="宋体" w:hAnsi="宋体" w:eastAsia="宋体"/>
        </w:rPr>
        <w:t>滑雪场所应制定应急预案，并于每个滑雪季进行应急演练。</w:t>
      </w:r>
      <w:bookmarkEnd w:id="91"/>
    </w:p>
    <w:p w14:paraId="3A94E957">
      <w:pPr>
        <w:pStyle w:val="105"/>
        <w:spacing w:before="156" w:after="156"/>
        <w:rPr>
          <w:rFonts w:ascii="宋体" w:hAnsi="宋体" w:eastAsia="宋体"/>
        </w:rPr>
      </w:pPr>
      <w:r>
        <w:rPr>
          <w:rFonts w:ascii="宋体" w:hAnsi="宋体" w:eastAsia="宋体"/>
        </w:rPr>
        <w:t xml:space="preserve"> </w:t>
      </w:r>
      <w:bookmarkStart w:id="92" w:name="_Toc132198785"/>
      <w:r>
        <w:rPr>
          <w:rFonts w:hint="eastAsia" w:ascii="宋体" w:hAnsi="宋体" w:eastAsia="宋体"/>
        </w:rPr>
        <w:t>在发生突发事件时：</w:t>
      </w:r>
      <w:bookmarkEnd w:id="92"/>
    </w:p>
    <w:p w14:paraId="2CDD5287">
      <w:pPr>
        <w:pStyle w:val="56"/>
        <w:ind w:firstLine="420"/>
        <w:rPr>
          <w:rFonts w:ascii="Times New Roman"/>
          <w:color w:val="000000" w:themeColor="text1"/>
          <w14:textFill>
            <w14:solidFill>
              <w14:schemeClr w14:val="tx1"/>
            </w14:solidFill>
          </w14:textFill>
        </w:rPr>
      </w:pPr>
      <w:r>
        <w:rPr>
          <w:rFonts w:hint="eastAsia" w:ascii="Times New Roman"/>
        </w:rPr>
        <w:t>a) 安</w:t>
      </w:r>
      <w:bookmarkStart w:id="96" w:name="_GoBack"/>
      <w:r>
        <w:rPr>
          <w:rFonts w:hint="eastAsia" w:ascii="Times New Roman"/>
          <w:color w:val="000000" w:themeColor="text1"/>
          <w14:textFill>
            <w14:solidFill>
              <w14:schemeClr w14:val="tx1"/>
            </w14:solidFill>
          </w14:textFill>
        </w:rPr>
        <w:t>全工作责任人接到事故报告应迅速启动突发事件工作预案，采取有效措施组织抢救，防止事故扩大，减少人员伤亡和财产损失；</w:t>
      </w:r>
    </w:p>
    <w:p w14:paraId="516DB565">
      <w:pPr>
        <w:pStyle w:val="56"/>
        <w:ind w:firstLine="42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b) 事故发生后,事故现场有关人员应当立即向本单位负责人报告；单位负责人接到报告后,应当于1小时内向事故发生地县级以上人民政府安全生产监督管理部门和负有安全生产监督管理职责的有关部门报告。不得瞒报、谎报或者不报:；</w:t>
      </w:r>
    </w:p>
    <w:p w14:paraId="7B459BE8">
      <w:pPr>
        <w:pStyle w:val="56"/>
        <w:ind w:firstLine="42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c</w:t>
      </w:r>
      <w:r>
        <w:rPr>
          <w:rFonts w:ascii="Times New Roman"/>
          <w:color w:val="000000" w:themeColor="text1"/>
          <w14:textFill>
            <w14:solidFill>
              <w14:schemeClr w14:val="tx1"/>
            </w14:solidFill>
          </w14:textFill>
        </w:rPr>
        <w:t xml:space="preserve">) </w:t>
      </w:r>
      <w:r>
        <w:rPr>
          <w:rFonts w:hint="eastAsia" w:ascii="Times New Roman"/>
          <w:color w:val="000000" w:themeColor="text1"/>
          <w14:textFill>
            <w14:solidFill>
              <w14:schemeClr w14:val="tx1"/>
            </w14:solidFill>
          </w14:textFill>
        </w:rPr>
        <w:t>生产经营单位应当保护事故现场；需要移动现场物品时，应作出标记和书面记录，妥善保管有关证物。生产经营单位不应故意破坏事故现场，毁灭有关证据。</w:t>
      </w:r>
    </w:p>
    <w:p w14:paraId="0A5BECEB">
      <w:pPr>
        <w:pStyle w:val="105"/>
        <w:spacing w:before="156" w:after="156"/>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 xml:space="preserve"> </w:t>
      </w:r>
      <w:bookmarkStart w:id="93" w:name="_Toc132198786"/>
      <w:r>
        <w:rPr>
          <w:rFonts w:hint="eastAsia" w:ascii="宋体" w:hAnsi="宋体" w:eastAsia="宋体"/>
          <w:color w:val="000000" w:themeColor="text1"/>
          <w14:textFill>
            <w14:solidFill>
              <w14:schemeClr w14:val="tx1"/>
            </w14:solidFill>
          </w14:textFill>
        </w:rPr>
        <w:t>滑雪场所应设有医疗急救室和救护运输设备，建立医疗急救机制；至少配有一名专业医务人员，各种急救药品和救护器材要摆放在便于取用的明显位置。</w:t>
      </w:r>
      <w:bookmarkEnd w:id="93"/>
    </w:p>
    <w:p w14:paraId="487A3A6D">
      <w:pPr>
        <w:pStyle w:val="105"/>
        <w:spacing w:before="156" w:after="156"/>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 xml:space="preserve"> </w:t>
      </w:r>
      <w:bookmarkStart w:id="94" w:name="_Toc132198787"/>
      <w:r>
        <w:rPr>
          <w:rFonts w:hint="eastAsia" w:ascii="宋体" w:hAnsi="宋体" w:eastAsia="宋体"/>
          <w:color w:val="000000" w:themeColor="text1"/>
          <w14:textFill>
            <w14:solidFill>
              <w14:schemeClr w14:val="tx1"/>
            </w14:solidFill>
          </w14:textFill>
        </w:rPr>
        <w:t>滑雪场所应有救助室并有专人值守，救助室应具有明显标识。</w:t>
      </w:r>
      <w:bookmarkEnd w:id="94"/>
    </w:p>
    <w:p w14:paraId="561F4BF2">
      <w:pPr>
        <w:pStyle w:val="105"/>
        <w:spacing w:before="156" w:after="156"/>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 xml:space="preserve"> </w:t>
      </w:r>
      <w:bookmarkStart w:id="95" w:name="_Toc132198788"/>
      <w:r>
        <w:rPr>
          <w:rFonts w:hint="eastAsia" w:ascii="宋体" w:hAnsi="宋体" w:eastAsia="宋体"/>
          <w:color w:val="000000" w:themeColor="text1"/>
          <w14:textFill>
            <w14:solidFill>
              <w14:schemeClr w14:val="tx1"/>
            </w14:solidFill>
          </w14:textFill>
        </w:rPr>
        <w:t>应配备雪地救援担架、雪地摩托、急救箱等专用急救设备，有高级道的雪场宜配备船型救生舱。</w:t>
      </w:r>
      <w:bookmarkEnd w:id="95"/>
      <w:bookmarkEnd w:id="96"/>
    </w:p>
    <w:bookmarkEnd w:id="25"/>
    <w:p w14:paraId="65AD518D">
      <w:pPr>
        <w:rPr>
          <w:rFonts w:ascii="Arial" w:hAnsi="Arial" w:cs="Arial"/>
        </w:rPr>
      </w:pPr>
      <w:r>
        <w:rPr>
          <w:rFonts w:ascii="Arial" w:hAnsi="Arial" w:cs="Arial"/>
        </w:rPr>
        <w:pict>
          <v:line id="直接连接符 1" o:spid="_x0000_s1027" o:spt="20" style="position:absolute;left:0pt;flip:y;margin-left:1.5pt;margin-top:15.1pt;height:0pt;width:451pt;z-index:251661312;mso-width-relative:page;mso-height-relative:page;" coordsize="21600,21600" o:gfxdata="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xD2vD0wAAAAcBAAAPAAAAAAAAAAEAIAAAACIAAABkcnMvZG93bnJl&#10;di54bWxQSwECFAAUAAAACACHTuJAIzupGQICAAAHBAAADgAAAAAAAAABACAAAAAiAQAAZHJzL2Uy&#10;b0RvYy54bWxQSwUGAAAAAAYABgBZAQAAlgUAAAAA&#10;">
            <v:path arrowok="t"/>
            <v:fill focussize="0,0"/>
            <v:stroke weight="1pt" joinstyle="miter"/>
            <v:imagedata o:title=""/>
            <o:lock v:ext="edit"/>
          </v:line>
        </w:pict>
      </w:r>
    </w:p>
    <w:p w14:paraId="2E6E118E">
      <w:pPr>
        <w:rPr>
          <w:rFonts w:ascii="Arial" w:hAnsi="Arial" w:cs="Arial"/>
        </w:rPr>
      </w:pPr>
    </w:p>
    <w:p w14:paraId="29F07B5F">
      <w:pPr>
        <w:pStyle w:val="56"/>
        <w:ind w:firstLine="420"/>
        <w:rPr>
          <w:rFonts w:ascii="Times New Roman"/>
        </w:rPr>
      </w:pPr>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1255F2">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18CAB">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DEB6F">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E829F">
    <w:pPr>
      <w:pStyle w:val="52"/>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9E922">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AE5A5">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51320">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97D75">
    <w:pPr>
      <w:pStyle w:val="61"/>
    </w:pPr>
    <w:r>
      <w:fldChar w:fldCharType="begin"/>
    </w:r>
    <w:r>
      <w:instrText xml:space="preserve"> STYLEREF  标准文件_文件编号  \* MERGEFORMAT </w:instrText>
    </w:r>
    <w:r>
      <w:fldChar w:fldCharType="separate"/>
    </w:r>
    <w:r>
      <w:t>DB 13/T 2569—202X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D203D">
    <w:pPr>
      <w:pStyle w:val="18"/>
      <w:jc w:val="right"/>
      <w:rPr>
        <w:lang w:val="fr-FR"/>
      </w:rPr>
    </w:pPr>
    <w:r>
      <w:fldChar w:fldCharType="begin"/>
    </w:r>
    <w:r>
      <w:instrText xml:space="preserve"> STYLEREF  标准文件_文件编号  \* MERGEFORMAT </w:instrText>
    </w:r>
    <w:r>
      <w:fldChar w:fldCharType="separate"/>
    </w:r>
    <w:r>
      <w:t>DB 13/T 2569—202X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567"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1276"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ILtd9nopfx427kmnOF97PEt/EDC/6De9hVOU5BswRgqVKZ/yJsyfsVNpGCeJNPdjXds+Xz+/AYRG&#10;6ysKL9xd1Q=====" w:salt="lYLxlY/nKX/jk2YMN67uGA=="/>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0NWFkMDVjZTU5YmEyMTNhMjFkNjA2Mjg1NmNhOGUifQ=="/>
  </w:docVars>
  <w:rsids>
    <w:rsidRoot w:val="00B73885"/>
    <w:rsid w:val="0000040A"/>
    <w:rsid w:val="00000A94"/>
    <w:rsid w:val="00001972"/>
    <w:rsid w:val="00001D9A"/>
    <w:rsid w:val="00004B9C"/>
    <w:rsid w:val="00007B3A"/>
    <w:rsid w:val="000107E0"/>
    <w:rsid w:val="00011FDE"/>
    <w:rsid w:val="00012FFD"/>
    <w:rsid w:val="00014162"/>
    <w:rsid w:val="00014340"/>
    <w:rsid w:val="0001544C"/>
    <w:rsid w:val="00016A9C"/>
    <w:rsid w:val="00022184"/>
    <w:rsid w:val="00022762"/>
    <w:rsid w:val="000238E0"/>
    <w:rsid w:val="000240EC"/>
    <w:rsid w:val="000249DB"/>
    <w:rsid w:val="0002595E"/>
    <w:rsid w:val="000303C3"/>
    <w:rsid w:val="00031888"/>
    <w:rsid w:val="000331D3"/>
    <w:rsid w:val="00033830"/>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135"/>
    <w:rsid w:val="00113B1E"/>
    <w:rsid w:val="0011711C"/>
    <w:rsid w:val="0012059C"/>
    <w:rsid w:val="0012420E"/>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13BD"/>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07C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15405"/>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1F56"/>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444"/>
    <w:rsid w:val="002A4CEA"/>
    <w:rsid w:val="002A5977"/>
    <w:rsid w:val="002A5A13"/>
    <w:rsid w:val="002A757F"/>
    <w:rsid w:val="002A7F44"/>
    <w:rsid w:val="002B0C40"/>
    <w:rsid w:val="002B1966"/>
    <w:rsid w:val="002B32E6"/>
    <w:rsid w:val="002B4508"/>
    <w:rsid w:val="002B5779"/>
    <w:rsid w:val="002B7332"/>
    <w:rsid w:val="002B7F51"/>
    <w:rsid w:val="002C09E7"/>
    <w:rsid w:val="002C1E06"/>
    <w:rsid w:val="002C1E1C"/>
    <w:rsid w:val="002C3F07"/>
    <w:rsid w:val="002C5278"/>
    <w:rsid w:val="002C7D80"/>
    <w:rsid w:val="002C7EBB"/>
    <w:rsid w:val="002D06C1"/>
    <w:rsid w:val="002D0EBD"/>
    <w:rsid w:val="002D2040"/>
    <w:rsid w:val="002D42B5"/>
    <w:rsid w:val="002D4F1A"/>
    <w:rsid w:val="002D53FE"/>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5520A"/>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6373"/>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5BF"/>
    <w:rsid w:val="0041477A"/>
    <w:rsid w:val="004167A3"/>
    <w:rsid w:val="004219DA"/>
    <w:rsid w:val="004223F3"/>
    <w:rsid w:val="00432DAA"/>
    <w:rsid w:val="00434305"/>
    <w:rsid w:val="00435DF7"/>
    <w:rsid w:val="0044083F"/>
    <w:rsid w:val="00441AE7"/>
    <w:rsid w:val="00445574"/>
    <w:rsid w:val="004467FB"/>
    <w:rsid w:val="00452D6B"/>
    <w:rsid w:val="00454484"/>
    <w:rsid w:val="0045517B"/>
    <w:rsid w:val="004600B6"/>
    <w:rsid w:val="00462962"/>
    <w:rsid w:val="00463B77"/>
    <w:rsid w:val="00463C7B"/>
    <w:rsid w:val="004644A6"/>
    <w:rsid w:val="004659BD"/>
    <w:rsid w:val="00470775"/>
    <w:rsid w:val="004746B1"/>
    <w:rsid w:val="0047583F"/>
    <w:rsid w:val="00475DE8"/>
    <w:rsid w:val="00481C44"/>
    <w:rsid w:val="00484936"/>
    <w:rsid w:val="00485C89"/>
    <w:rsid w:val="00486BE3"/>
    <w:rsid w:val="004901D8"/>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216F"/>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076"/>
    <w:rsid w:val="005836A8"/>
    <w:rsid w:val="0058409C"/>
    <w:rsid w:val="00584262"/>
    <w:rsid w:val="00586630"/>
    <w:rsid w:val="00587ADD"/>
    <w:rsid w:val="00591E27"/>
    <w:rsid w:val="00596160"/>
    <w:rsid w:val="005966E2"/>
    <w:rsid w:val="00597007"/>
    <w:rsid w:val="0059789D"/>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6C3A"/>
    <w:rsid w:val="005E7881"/>
    <w:rsid w:val="005E78E0"/>
    <w:rsid w:val="005F0D9C"/>
    <w:rsid w:val="005F284E"/>
    <w:rsid w:val="005F4712"/>
    <w:rsid w:val="006015CE"/>
    <w:rsid w:val="006039F3"/>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45C55"/>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77F66"/>
    <w:rsid w:val="0068026D"/>
    <w:rsid w:val="00680A27"/>
    <w:rsid w:val="006816A4"/>
    <w:rsid w:val="006819B8"/>
    <w:rsid w:val="006840A6"/>
    <w:rsid w:val="006850CD"/>
    <w:rsid w:val="00685AAB"/>
    <w:rsid w:val="00695D22"/>
    <w:rsid w:val="006A06F9"/>
    <w:rsid w:val="006A07AA"/>
    <w:rsid w:val="006A25E5"/>
    <w:rsid w:val="006A2B46"/>
    <w:rsid w:val="006A2C9C"/>
    <w:rsid w:val="006A336D"/>
    <w:rsid w:val="006A37B9"/>
    <w:rsid w:val="006A6C82"/>
    <w:rsid w:val="006B2672"/>
    <w:rsid w:val="006B54BF"/>
    <w:rsid w:val="006B5F44"/>
    <w:rsid w:val="006B5F90"/>
    <w:rsid w:val="006B62E4"/>
    <w:rsid w:val="006C041F"/>
    <w:rsid w:val="006C1BBA"/>
    <w:rsid w:val="006C2079"/>
    <w:rsid w:val="006C5A62"/>
    <w:rsid w:val="006C5D68"/>
    <w:rsid w:val="006C6976"/>
    <w:rsid w:val="006C6DD0"/>
    <w:rsid w:val="006D04EA"/>
    <w:rsid w:val="006D0AB7"/>
    <w:rsid w:val="006D16C4"/>
    <w:rsid w:val="006D3E96"/>
    <w:rsid w:val="006D4515"/>
    <w:rsid w:val="006D4BB1"/>
    <w:rsid w:val="006D6593"/>
    <w:rsid w:val="006D7E66"/>
    <w:rsid w:val="006E23EA"/>
    <w:rsid w:val="006E6645"/>
    <w:rsid w:val="006F03A8"/>
    <w:rsid w:val="006F2ACA"/>
    <w:rsid w:val="006F2ADC"/>
    <w:rsid w:val="006F2BFE"/>
    <w:rsid w:val="006F31E9"/>
    <w:rsid w:val="006F6284"/>
    <w:rsid w:val="007002C5"/>
    <w:rsid w:val="00704387"/>
    <w:rsid w:val="00707669"/>
    <w:rsid w:val="00711CBA"/>
    <w:rsid w:val="00711FB5"/>
    <w:rsid w:val="00712A01"/>
    <w:rsid w:val="00714F58"/>
    <w:rsid w:val="00721E5F"/>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2BBF"/>
    <w:rsid w:val="00765C43"/>
    <w:rsid w:val="00765EFB"/>
    <w:rsid w:val="007671CA"/>
    <w:rsid w:val="00767C61"/>
    <w:rsid w:val="0077008A"/>
    <w:rsid w:val="00771399"/>
    <w:rsid w:val="00773C1F"/>
    <w:rsid w:val="00774DA4"/>
    <w:rsid w:val="00775AD6"/>
    <w:rsid w:val="00776599"/>
    <w:rsid w:val="0078114B"/>
    <w:rsid w:val="00781DD2"/>
    <w:rsid w:val="00783ECF"/>
    <w:rsid w:val="0078413A"/>
    <w:rsid w:val="00790F48"/>
    <w:rsid w:val="007959E8"/>
    <w:rsid w:val="00795E9C"/>
    <w:rsid w:val="007A0521"/>
    <w:rsid w:val="007A2E12"/>
    <w:rsid w:val="007A3475"/>
    <w:rsid w:val="007A41C8"/>
    <w:rsid w:val="007A54CE"/>
    <w:rsid w:val="007A6FD9"/>
    <w:rsid w:val="007A7FFA"/>
    <w:rsid w:val="007B04EB"/>
    <w:rsid w:val="007B0D4F"/>
    <w:rsid w:val="007B56E3"/>
    <w:rsid w:val="007B5A3D"/>
    <w:rsid w:val="007B5B95"/>
    <w:rsid w:val="007B68EA"/>
    <w:rsid w:val="007B7453"/>
    <w:rsid w:val="007C1E8B"/>
    <w:rsid w:val="007C2D89"/>
    <w:rsid w:val="007C4593"/>
    <w:rsid w:val="007C5309"/>
    <w:rsid w:val="007C6069"/>
    <w:rsid w:val="007D06C4"/>
    <w:rsid w:val="007D0847"/>
    <w:rsid w:val="007D1352"/>
    <w:rsid w:val="007D2508"/>
    <w:rsid w:val="007D346A"/>
    <w:rsid w:val="007D6518"/>
    <w:rsid w:val="007D76BD"/>
    <w:rsid w:val="007E0817"/>
    <w:rsid w:val="007E0BF1"/>
    <w:rsid w:val="007F0ED8"/>
    <w:rsid w:val="007F0F63"/>
    <w:rsid w:val="007F75CE"/>
    <w:rsid w:val="008013A4"/>
    <w:rsid w:val="008027CE"/>
    <w:rsid w:val="00802F42"/>
    <w:rsid w:val="00804383"/>
    <w:rsid w:val="00804BB7"/>
    <w:rsid w:val="00804D41"/>
    <w:rsid w:val="008055DA"/>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2E4A"/>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68F7"/>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072E0"/>
    <w:rsid w:val="00910BE1"/>
    <w:rsid w:val="00911BE5"/>
    <w:rsid w:val="00913CA9"/>
    <w:rsid w:val="009145AE"/>
    <w:rsid w:val="009146CE"/>
    <w:rsid w:val="00914CA7"/>
    <w:rsid w:val="00914F45"/>
    <w:rsid w:val="00915C3E"/>
    <w:rsid w:val="009161A8"/>
    <w:rsid w:val="00920317"/>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0C8"/>
    <w:rsid w:val="009B09E0"/>
    <w:rsid w:val="009B0BC5"/>
    <w:rsid w:val="009B1247"/>
    <w:rsid w:val="009B46F9"/>
    <w:rsid w:val="009B6029"/>
    <w:rsid w:val="009B6971"/>
    <w:rsid w:val="009C029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E6DAE"/>
    <w:rsid w:val="009F03B3"/>
    <w:rsid w:val="00A0096C"/>
    <w:rsid w:val="00A01757"/>
    <w:rsid w:val="00A028C0"/>
    <w:rsid w:val="00A02BAE"/>
    <w:rsid w:val="00A06A6B"/>
    <w:rsid w:val="00A07E47"/>
    <w:rsid w:val="00A129D0"/>
    <w:rsid w:val="00A12C33"/>
    <w:rsid w:val="00A138BA"/>
    <w:rsid w:val="00A14C8E"/>
    <w:rsid w:val="00A15353"/>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0241"/>
    <w:rsid w:val="00A55BD6"/>
    <w:rsid w:val="00A55D50"/>
    <w:rsid w:val="00A57142"/>
    <w:rsid w:val="00A5789A"/>
    <w:rsid w:val="00A57B3F"/>
    <w:rsid w:val="00A648CD"/>
    <w:rsid w:val="00A6537A"/>
    <w:rsid w:val="00A67866"/>
    <w:rsid w:val="00A70B07"/>
    <w:rsid w:val="00A723F8"/>
    <w:rsid w:val="00A77CCB"/>
    <w:rsid w:val="00A83D8D"/>
    <w:rsid w:val="00A8446B"/>
    <w:rsid w:val="00A8473F"/>
    <w:rsid w:val="00A862D6"/>
    <w:rsid w:val="00A8715E"/>
    <w:rsid w:val="00A90473"/>
    <w:rsid w:val="00A9295B"/>
    <w:rsid w:val="00A93B09"/>
    <w:rsid w:val="00A94247"/>
    <w:rsid w:val="00A952D7"/>
    <w:rsid w:val="00A963F7"/>
    <w:rsid w:val="00A96947"/>
    <w:rsid w:val="00A96AD8"/>
    <w:rsid w:val="00AA052C"/>
    <w:rsid w:val="00AA1E45"/>
    <w:rsid w:val="00AA4286"/>
    <w:rsid w:val="00AA456B"/>
    <w:rsid w:val="00AA57F5"/>
    <w:rsid w:val="00AA672E"/>
    <w:rsid w:val="00AA6EC9"/>
    <w:rsid w:val="00AB38C6"/>
    <w:rsid w:val="00AB41D5"/>
    <w:rsid w:val="00AB6309"/>
    <w:rsid w:val="00AB6C5F"/>
    <w:rsid w:val="00AB7129"/>
    <w:rsid w:val="00AC1901"/>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4924"/>
    <w:rsid w:val="00AE5EB4"/>
    <w:rsid w:val="00AF0C18"/>
    <w:rsid w:val="00AF47C5"/>
    <w:rsid w:val="00AF5398"/>
    <w:rsid w:val="00AF6E33"/>
    <w:rsid w:val="00B049AF"/>
    <w:rsid w:val="00B07242"/>
    <w:rsid w:val="00B103A3"/>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23F6"/>
    <w:rsid w:val="00B4346D"/>
    <w:rsid w:val="00B440F4"/>
    <w:rsid w:val="00B447A5"/>
    <w:rsid w:val="00B4654C"/>
    <w:rsid w:val="00B46AF0"/>
    <w:rsid w:val="00B47293"/>
    <w:rsid w:val="00B50E50"/>
    <w:rsid w:val="00B52120"/>
    <w:rsid w:val="00B54ABC"/>
    <w:rsid w:val="00B54DDE"/>
    <w:rsid w:val="00B55481"/>
    <w:rsid w:val="00B56FBE"/>
    <w:rsid w:val="00B60ACF"/>
    <w:rsid w:val="00B62B58"/>
    <w:rsid w:val="00B65149"/>
    <w:rsid w:val="00B66567"/>
    <w:rsid w:val="00B66F52"/>
    <w:rsid w:val="00B66FE5"/>
    <w:rsid w:val="00B72880"/>
    <w:rsid w:val="00B73885"/>
    <w:rsid w:val="00B758BF"/>
    <w:rsid w:val="00B77EC8"/>
    <w:rsid w:val="00B827A6"/>
    <w:rsid w:val="00B831CE"/>
    <w:rsid w:val="00B84212"/>
    <w:rsid w:val="00B86677"/>
    <w:rsid w:val="00B87131"/>
    <w:rsid w:val="00B939B1"/>
    <w:rsid w:val="00B96D40"/>
    <w:rsid w:val="00B97386"/>
    <w:rsid w:val="00BA263B"/>
    <w:rsid w:val="00BA42B2"/>
    <w:rsid w:val="00BA58D4"/>
    <w:rsid w:val="00BA5B9E"/>
    <w:rsid w:val="00BA7C9A"/>
    <w:rsid w:val="00BB203B"/>
    <w:rsid w:val="00BB3BF7"/>
    <w:rsid w:val="00BB51F0"/>
    <w:rsid w:val="00BB5F8F"/>
    <w:rsid w:val="00BB657A"/>
    <w:rsid w:val="00BC1A4E"/>
    <w:rsid w:val="00BC4790"/>
    <w:rsid w:val="00BC5DC7"/>
    <w:rsid w:val="00BC6B8B"/>
    <w:rsid w:val="00BC73D8"/>
    <w:rsid w:val="00BD22BB"/>
    <w:rsid w:val="00BD52D7"/>
    <w:rsid w:val="00BD5384"/>
    <w:rsid w:val="00BD5AD2"/>
    <w:rsid w:val="00BE0B5A"/>
    <w:rsid w:val="00BE22F3"/>
    <w:rsid w:val="00BE5B52"/>
    <w:rsid w:val="00BE7B8D"/>
    <w:rsid w:val="00BF0993"/>
    <w:rsid w:val="00BF0B3D"/>
    <w:rsid w:val="00BF10A9"/>
    <w:rsid w:val="00BF1703"/>
    <w:rsid w:val="00BF231C"/>
    <w:rsid w:val="00BF51E5"/>
    <w:rsid w:val="00BF5E8D"/>
    <w:rsid w:val="00BF74A6"/>
    <w:rsid w:val="00C013AD"/>
    <w:rsid w:val="00C0166C"/>
    <w:rsid w:val="00C04904"/>
    <w:rsid w:val="00C056B3"/>
    <w:rsid w:val="00C103E5"/>
    <w:rsid w:val="00C122C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0A9"/>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2D49"/>
    <w:rsid w:val="00C9319C"/>
    <w:rsid w:val="00C9435D"/>
    <w:rsid w:val="00C94DF2"/>
    <w:rsid w:val="00C96741"/>
    <w:rsid w:val="00CA2D1B"/>
    <w:rsid w:val="00CA375D"/>
    <w:rsid w:val="00CA662A"/>
    <w:rsid w:val="00CA795A"/>
    <w:rsid w:val="00CA7AFD"/>
    <w:rsid w:val="00CA7C3C"/>
    <w:rsid w:val="00CB0189"/>
    <w:rsid w:val="00CB0BA2"/>
    <w:rsid w:val="00CB1A42"/>
    <w:rsid w:val="00CB1B0C"/>
    <w:rsid w:val="00CB2C0B"/>
    <w:rsid w:val="00CB3649"/>
    <w:rsid w:val="00CB517D"/>
    <w:rsid w:val="00CB6156"/>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4226"/>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0A78"/>
    <w:rsid w:val="00DD25C6"/>
    <w:rsid w:val="00DD4FE5"/>
    <w:rsid w:val="00DD54B0"/>
    <w:rsid w:val="00DD57EE"/>
    <w:rsid w:val="00DD6BCC"/>
    <w:rsid w:val="00DD6E82"/>
    <w:rsid w:val="00DE0903"/>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06E00"/>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45610"/>
    <w:rsid w:val="00E502C1"/>
    <w:rsid w:val="00E502DD"/>
    <w:rsid w:val="00E50D3A"/>
    <w:rsid w:val="00E51387"/>
    <w:rsid w:val="00E51E68"/>
    <w:rsid w:val="00E52EFD"/>
    <w:rsid w:val="00E5408A"/>
    <w:rsid w:val="00E56800"/>
    <w:rsid w:val="00E60C63"/>
    <w:rsid w:val="00E62FF9"/>
    <w:rsid w:val="00E635D6"/>
    <w:rsid w:val="00E639BC"/>
    <w:rsid w:val="00E65D01"/>
    <w:rsid w:val="00E664CC"/>
    <w:rsid w:val="00E67DBC"/>
    <w:rsid w:val="00E70388"/>
    <w:rsid w:val="00E70F92"/>
    <w:rsid w:val="00E74C54"/>
    <w:rsid w:val="00E77A03"/>
    <w:rsid w:val="00E80621"/>
    <w:rsid w:val="00E822E8"/>
    <w:rsid w:val="00E82554"/>
    <w:rsid w:val="00E82606"/>
    <w:rsid w:val="00E82704"/>
    <w:rsid w:val="00E846C8"/>
    <w:rsid w:val="00E84957"/>
    <w:rsid w:val="00E84A55"/>
    <w:rsid w:val="00E85BFF"/>
    <w:rsid w:val="00E90391"/>
    <w:rsid w:val="00E906C2"/>
    <w:rsid w:val="00E9311F"/>
    <w:rsid w:val="00E934D1"/>
    <w:rsid w:val="00E94AF0"/>
    <w:rsid w:val="00E95D13"/>
    <w:rsid w:val="00E95DD3"/>
    <w:rsid w:val="00E969D5"/>
    <w:rsid w:val="00E97CF1"/>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1AD2"/>
    <w:rsid w:val="00F420D5"/>
    <w:rsid w:val="00F451EA"/>
    <w:rsid w:val="00F45447"/>
    <w:rsid w:val="00F456C6"/>
    <w:rsid w:val="00F4577B"/>
    <w:rsid w:val="00F46496"/>
    <w:rsid w:val="00F474D0"/>
    <w:rsid w:val="00F50179"/>
    <w:rsid w:val="00F515EE"/>
    <w:rsid w:val="00F56511"/>
    <w:rsid w:val="00F6194E"/>
    <w:rsid w:val="00F623AC"/>
    <w:rsid w:val="00F6412A"/>
    <w:rsid w:val="00F65046"/>
    <w:rsid w:val="00F65893"/>
    <w:rsid w:val="00F66A4A"/>
    <w:rsid w:val="00F71E22"/>
    <w:rsid w:val="00F72142"/>
    <w:rsid w:val="00F72AE7"/>
    <w:rsid w:val="00F81141"/>
    <w:rsid w:val="00F833BA"/>
    <w:rsid w:val="00F84FD0"/>
    <w:rsid w:val="00F859A8"/>
    <w:rsid w:val="00F86D87"/>
    <w:rsid w:val="00F90EA5"/>
    <w:rsid w:val="00F9108B"/>
    <w:rsid w:val="00F91349"/>
    <w:rsid w:val="00F93A8A"/>
    <w:rsid w:val="00F95248"/>
    <w:rsid w:val="00F956A9"/>
    <w:rsid w:val="00F963ED"/>
    <w:rsid w:val="00F966CF"/>
    <w:rsid w:val="00F96CAE"/>
    <w:rsid w:val="00F97C99"/>
    <w:rsid w:val="00FA2B73"/>
    <w:rsid w:val="00FA4DAC"/>
    <w:rsid w:val="00FA662D"/>
    <w:rsid w:val="00FA73B1"/>
    <w:rsid w:val="00FB0CB9"/>
    <w:rsid w:val="00FB231D"/>
    <w:rsid w:val="00FB45F1"/>
    <w:rsid w:val="00FB4A72"/>
    <w:rsid w:val="00FB4FBB"/>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491FB2"/>
    <w:rsid w:val="01C165E5"/>
    <w:rsid w:val="1639283D"/>
    <w:rsid w:val="359D4003"/>
    <w:rsid w:val="54276C15"/>
    <w:rsid w:val="595E7A07"/>
    <w:rsid w:val="5E1E5AE2"/>
    <w:rsid w:val="727A1DA7"/>
    <w:rsid w:val="75327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b/>
      <w:bCs/>
      <w:kern w:val="44"/>
      <w:sz w:val="44"/>
      <w:szCs w:val="44"/>
    </w:rPr>
  </w:style>
  <w:style w:type="character" w:customStyle="1" w:styleId="35">
    <w:name w:val="标题 2 Char"/>
    <w:link w:val="3"/>
    <w:qFormat/>
    <w:uiPriority w:val="0"/>
    <w:rPr>
      <w:rFonts w:ascii="Arial" w:hAnsi="Arial" w:eastAsia="黑体"/>
      <w:b/>
      <w:bCs/>
      <w:kern w:val="2"/>
      <w:sz w:val="32"/>
      <w:szCs w:val="32"/>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ind w:left="0"/>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Lines="50" w:afterLines="50"/>
      <w:ind w:left="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Lines="0" w:afterLines="0"/>
      <w:outlineLvl w:val="9"/>
    </w:pPr>
    <w:rPr>
      <w:rFonts w:ascii="宋体" w:eastAsia="宋体"/>
    </w:rPr>
  </w:style>
  <w:style w:type="paragraph" w:customStyle="1" w:styleId="163">
    <w:name w:val="标准文件_五级无标题"/>
    <w:basedOn w:val="103"/>
    <w:qFormat/>
    <w:uiPriority w:val="0"/>
    <w:pPr>
      <w:spacing w:beforeLines="0" w:afterLines="0"/>
      <w:outlineLvl w:val="9"/>
    </w:pPr>
    <w:rPr>
      <w:rFonts w:ascii="宋体" w:eastAsia="宋体"/>
    </w:rPr>
  </w:style>
  <w:style w:type="paragraph" w:customStyle="1" w:styleId="164">
    <w:name w:val="标准文件_三级无标题"/>
    <w:basedOn w:val="94"/>
    <w:qFormat/>
    <w:uiPriority w:val="0"/>
    <w:pPr>
      <w:spacing w:beforeLines="0" w:afterLines="0"/>
      <w:outlineLvl w:val="9"/>
    </w:pPr>
    <w:rPr>
      <w:rFonts w:ascii="宋体" w:eastAsia="宋体"/>
    </w:rPr>
  </w:style>
  <w:style w:type="paragraph" w:customStyle="1" w:styleId="165">
    <w:name w:val="标准文件_二级无标题"/>
    <w:basedOn w:val="65"/>
    <w:qFormat/>
    <w:uiPriority w:val="0"/>
    <w:pPr>
      <w:spacing w:beforeLines="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Lines="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Lines="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Lines="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Lines="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Lines="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Lines="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Lines="0" w:afterLines="0" w:line="276" w:lineRule="auto"/>
      <w:outlineLvl w:val="9"/>
    </w:pPr>
    <w:rPr>
      <w:rFonts w:ascii="宋体" w:eastAsia="宋体"/>
    </w:rPr>
  </w:style>
  <w:style w:type="paragraph" w:customStyle="1" w:styleId="212">
    <w:name w:val="标准文件_附录二级无标题"/>
    <w:basedOn w:val="79"/>
    <w:qFormat/>
    <w:uiPriority w:val="0"/>
    <w:pPr>
      <w:spacing w:beforeLines="0" w:afterLines="0" w:line="276" w:lineRule="auto"/>
      <w:outlineLvl w:val="9"/>
    </w:pPr>
    <w:rPr>
      <w:rFonts w:ascii="宋体" w:eastAsia="宋体"/>
    </w:rPr>
  </w:style>
  <w:style w:type="paragraph" w:customStyle="1" w:styleId="213">
    <w:name w:val="标准文件_附录三级无标题"/>
    <w:basedOn w:val="81"/>
    <w:qFormat/>
    <w:uiPriority w:val="0"/>
    <w:pPr>
      <w:spacing w:beforeLines="0" w:afterLines="0" w:line="276" w:lineRule="auto"/>
      <w:outlineLvl w:val="9"/>
    </w:pPr>
    <w:rPr>
      <w:rFonts w:ascii="宋体" w:eastAsia="宋体"/>
    </w:rPr>
  </w:style>
  <w:style w:type="paragraph" w:customStyle="1" w:styleId="214">
    <w:name w:val="标准文件_附录四级无标题"/>
    <w:basedOn w:val="82"/>
    <w:qFormat/>
    <w:uiPriority w:val="0"/>
    <w:pPr>
      <w:spacing w:beforeLines="0" w:afterLines="0" w:line="276" w:lineRule="auto"/>
      <w:outlineLvl w:val="9"/>
    </w:pPr>
    <w:rPr>
      <w:rFonts w:ascii="宋体" w:eastAsia="宋体"/>
    </w:rPr>
  </w:style>
  <w:style w:type="paragraph" w:customStyle="1" w:styleId="215">
    <w:name w:val="标准文件_附录五级无标题"/>
    <w:basedOn w:val="84"/>
    <w:qFormat/>
    <w:uiPriority w:val="0"/>
    <w:pPr>
      <w:spacing w:beforeLines="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Lines="0" w:afterLines="0" w:line="276" w:lineRule="auto"/>
    </w:pPr>
    <w:rPr>
      <w:rFonts w:ascii="宋体" w:eastAsia="宋体"/>
    </w:rPr>
  </w:style>
  <w:style w:type="paragraph" w:customStyle="1" w:styleId="217">
    <w:name w:val="标准文件_引言二级无标题"/>
    <w:basedOn w:val="201"/>
    <w:next w:val="56"/>
    <w:qFormat/>
    <w:uiPriority w:val="0"/>
    <w:pPr>
      <w:spacing w:beforeLines="0" w:afterLines="0" w:line="276" w:lineRule="auto"/>
    </w:pPr>
    <w:rPr>
      <w:rFonts w:ascii="宋体" w:eastAsia="宋体"/>
    </w:rPr>
  </w:style>
  <w:style w:type="paragraph" w:customStyle="1" w:styleId="218">
    <w:name w:val="标准文件_引言三级无标题"/>
    <w:basedOn w:val="202"/>
    <w:qFormat/>
    <w:uiPriority w:val="0"/>
    <w:pPr>
      <w:spacing w:beforeLines="0" w:afterLines="0" w:line="276" w:lineRule="auto"/>
    </w:pPr>
    <w:rPr>
      <w:rFonts w:ascii="宋体" w:eastAsia="宋体"/>
    </w:rPr>
  </w:style>
  <w:style w:type="paragraph" w:customStyle="1" w:styleId="219">
    <w:name w:val="标准文件_引言四级无标题"/>
    <w:basedOn w:val="203"/>
    <w:next w:val="56"/>
    <w:qFormat/>
    <w:uiPriority w:val="0"/>
    <w:pPr>
      <w:spacing w:beforeLines="0" w:afterLines="0" w:line="276" w:lineRule="auto"/>
    </w:pPr>
    <w:rPr>
      <w:rFonts w:ascii="宋体" w:eastAsia="宋体"/>
    </w:rPr>
  </w:style>
  <w:style w:type="paragraph" w:customStyle="1" w:styleId="220">
    <w:name w:val="标准文件_引言五级无标题"/>
    <w:basedOn w:val="204"/>
    <w:next w:val="56"/>
    <w:qFormat/>
    <w:uiPriority w:val="0"/>
    <w:pPr>
      <w:spacing w:beforeLines="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DC95F717C164CFC9B58774DC0E11221"/>
        <w:style w:val=""/>
        <w:category>
          <w:name w:val="常规"/>
          <w:gallery w:val="placeholder"/>
        </w:category>
        <w:types>
          <w:type w:val="bbPlcHdr"/>
        </w:types>
        <w:behaviors>
          <w:behavior w:val="content"/>
        </w:behaviors>
        <w:description w:val=""/>
        <w:guid w:val="{93A34553-677B-4BF8-B741-134275B318B8}"/>
      </w:docPartPr>
      <w:docPartBody>
        <w:p w14:paraId="17AA8CC9">
          <w:pPr>
            <w:pStyle w:val="5"/>
          </w:pPr>
          <w:r>
            <w:rPr>
              <w:rStyle w:val="4"/>
              <w:rFonts w:hint="eastAsia"/>
            </w:rPr>
            <w:t>单击或点击此处输入文字。</w:t>
          </w:r>
        </w:p>
      </w:docPartBody>
    </w:docPart>
    <w:docPart>
      <w:docPartPr>
        <w:name w:val="D2089E07A8E54C8B96FB4D68B7CF2638"/>
        <w:style w:val=""/>
        <w:category>
          <w:name w:val="常规"/>
          <w:gallery w:val="placeholder"/>
        </w:category>
        <w:types>
          <w:type w:val="bbPlcHdr"/>
        </w:types>
        <w:behaviors>
          <w:behavior w:val="content"/>
        </w:behaviors>
        <w:description w:val=""/>
        <w:guid w:val="{983C55C7-4604-4FFF-9335-EC96C1518263}"/>
      </w:docPartPr>
      <w:docPartBody>
        <w:p w14:paraId="2E6750DC">
          <w:pPr>
            <w:pStyle w:val="6"/>
          </w:pPr>
          <w:r>
            <w:rPr>
              <w:rStyle w:val="4"/>
              <w:rFonts w:hint="eastAsia"/>
            </w:rPr>
            <w:t>选择一项。</w:t>
          </w:r>
        </w:p>
      </w:docPartBody>
    </w:docPart>
    <w:docPart>
      <w:docPartPr>
        <w:name w:val="4827B8BD821A42B6A5F1AB665AF45121"/>
        <w:style w:val=""/>
        <w:category>
          <w:name w:val="常规"/>
          <w:gallery w:val="placeholder"/>
        </w:category>
        <w:types>
          <w:type w:val="bbPlcHdr"/>
        </w:types>
        <w:behaviors>
          <w:behavior w:val="content"/>
        </w:behaviors>
        <w:description w:val=""/>
        <w:guid w:val="{0C544151-B728-4F74-8563-BAFA155BA0E5}"/>
      </w:docPartPr>
      <w:docPartBody>
        <w:p w14:paraId="2F2E3408">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A3C6E"/>
    <w:rsid w:val="00142799"/>
    <w:rsid w:val="001A7BD4"/>
    <w:rsid w:val="00210AA6"/>
    <w:rsid w:val="003D61EB"/>
    <w:rsid w:val="00460A7D"/>
    <w:rsid w:val="004C2AB2"/>
    <w:rsid w:val="005A3C6E"/>
    <w:rsid w:val="005B41D9"/>
    <w:rsid w:val="00975F4E"/>
    <w:rsid w:val="00B23EAC"/>
    <w:rsid w:val="00BF55E3"/>
    <w:rsid w:val="00F63CE4"/>
    <w:rsid w:val="00FE5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3DC95F717C164CFC9B58774DC0E1122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D2089E07A8E54C8B96FB4D68B7CF263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4827B8BD821A42B6A5F1AB665AF45121"/>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3629</Words>
  <Characters>3912</Characters>
  <Lines>35</Lines>
  <Paragraphs>10</Paragraphs>
  <TotalTime>7</TotalTime>
  <ScaleCrop>false</ScaleCrop>
  <LinksUpToDate>false</LinksUpToDate>
  <CharactersWithSpaces>4037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2024-12-03T07:53:00Z</dcterms:created>
  <dc:creator>Zhongzheng Technical Department</dc:creator>
  <dc:description>&lt;config cover="true" show_menu="true" version="1.0.0" doctype="SDKXY"&gt;_x000d_
&lt;/config&gt;</dc:description>
  <cp:lastModifiedBy>安哥拉长毛兔</cp:lastModifiedBy>
  <cp:lastPrinted>2024-12-05T07:28:00Z</cp:lastPrinted>
  <dcterms:modified xsi:type="dcterms:W3CDTF">2024-12-05T08:36:09Z</dcterms:modified>
  <dc:title>地方标准</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2052-12.1.0.19302</vt:lpwstr>
  </property>
  <property fmtid="{D5CDD505-2E9C-101B-9397-08002B2CF9AE}" pid="15" name="ICV">
    <vt:lpwstr>B3D723323E61425D8C05D2319C7D42FD_13</vt:lpwstr>
  </property>
</Properties>
</file>