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7B3201">
      <w:pPr>
        <w:ind w:firstLine="1440"/>
        <w:jc w:val="distribute"/>
        <w:rPr>
          <w:rFonts w:ascii="黑体" w:hAnsi="黑体" w:eastAsia="黑体"/>
          <w:sz w:val="72"/>
          <w:szCs w:val="72"/>
        </w:rPr>
      </w:pPr>
      <w:r>
        <w:rPr>
          <w:rFonts w:hint="eastAsia" w:ascii="黑体" w:hAnsi="黑体" w:eastAsia="黑体"/>
          <w:sz w:val="72"/>
          <w:szCs w:val="72"/>
        </w:rPr>
        <w:t>河</w:t>
      </w:r>
      <w:r>
        <w:rPr>
          <w:rFonts w:ascii="黑体" w:hAnsi="黑体" w:eastAsia="黑体"/>
          <w:sz w:val="72"/>
          <w:szCs w:val="72"/>
        </w:rPr>
        <w:t>北省地方标准</w:t>
      </w:r>
    </w:p>
    <w:p w14:paraId="43307F8F">
      <w:pPr>
        <w:ind w:firstLine="560"/>
        <w:jc w:val="center"/>
        <w:rPr>
          <w:rFonts w:ascii="黑体" w:hAnsi="黑体" w:eastAsia="黑体"/>
          <w:sz w:val="28"/>
          <w:szCs w:val="28"/>
        </w:rPr>
      </w:pPr>
    </w:p>
    <w:p w14:paraId="481B6B83">
      <w:pPr>
        <w:ind w:firstLine="560"/>
        <w:jc w:val="center"/>
        <w:rPr>
          <w:rFonts w:ascii="黑体" w:hAnsi="黑体" w:eastAsia="黑体"/>
          <w:sz w:val="28"/>
          <w:szCs w:val="28"/>
        </w:rPr>
      </w:pPr>
    </w:p>
    <w:p w14:paraId="40BE580B">
      <w:pPr>
        <w:ind w:firstLine="560"/>
        <w:jc w:val="center"/>
        <w:rPr>
          <w:rFonts w:ascii="黑体" w:hAnsi="黑体" w:eastAsia="黑体"/>
          <w:sz w:val="28"/>
          <w:szCs w:val="28"/>
        </w:rPr>
      </w:pPr>
      <w:r>
        <w:rPr>
          <w:rFonts w:hint="eastAsia" w:ascii="黑体" w:hAnsi="黑体" w:eastAsia="黑体"/>
          <w:sz w:val="28"/>
          <w:szCs w:val="28"/>
        </w:rPr>
        <w:t>—————————————————————————————————</w:t>
      </w:r>
    </w:p>
    <w:p w14:paraId="0D976FB7">
      <w:pPr>
        <w:ind w:firstLine="560"/>
        <w:jc w:val="center"/>
        <w:rPr>
          <w:rFonts w:ascii="黑体" w:hAnsi="黑体" w:eastAsia="黑体"/>
          <w:sz w:val="28"/>
          <w:szCs w:val="28"/>
        </w:rPr>
      </w:pPr>
    </w:p>
    <w:p w14:paraId="2D424079">
      <w:pPr>
        <w:ind w:firstLine="560"/>
        <w:jc w:val="center"/>
        <w:rPr>
          <w:rFonts w:ascii="黑体" w:hAnsi="黑体" w:eastAsia="黑体"/>
          <w:sz w:val="28"/>
          <w:szCs w:val="28"/>
        </w:rPr>
      </w:pPr>
    </w:p>
    <w:p w14:paraId="33B6F405">
      <w:pPr>
        <w:ind w:firstLine="560"/>
        <w:jc w:val="center"/>
        <w:rPr>
          <w:rFonts w:ascii="黑体" w:hAnsi="黑体" w:eastAsia="黑体"/>
          <w:sz w:val="28"/>
          <w:szCs w:val="28"/>
        </w:rPr>
      </w:pPr>
    </w:p>
    <w:p w14:paraId="2F2D6CF4">
      <w:pPr>
        <w:jc w:val="center"/>
        <w:rPr>
          <w:rFonts w:ascii="黑体" w:hAnsi="黑体" w:eastAsia="黑体"/>
          <w:sz w:val="52"/>
          <w:szCs w:val="52"/>
        </w:rPr>
      </w:pPr>
      <w:r>
        <w:rPr>
          <w:rFonts w:hint="eastAsia" w:ascii="黑体" w:hAnsi="黑体" w:eastAsia="黑体"/>
          <w:sz w:val="52"/>
          <w:szCs w:val="52"/>
        </w:rPr>
        <w:t>造纸机械用铸铁烘缸定期检验要求</w:t>
      </w:r>
    </w:p>
    <w:p w14:paraId="56789B28">
      <w:pPr>
        <w:widowControl/>
        <w:jc w:val="left"/>
      </w:pPr>
      <w:r>
        <w:br w:type="page"/>
      </w:r>
    </w:p>
    <w:p w14:paraId="411BE152">
      <w:pPr>
        <w:ind w:firstLine="640"/>
        <w:jc w:val="center"/>
        <w:rPr>
          <w:rFonts w:ascii="黑体" w:hAnsi="黑体" w:eastAsia="黑体"/>
          <w:sz w:val="32"/>
          <w:szCs w:val="32"/>
        </w:rPr>
      </w:pPr>
      <w:r>
        <w:rPr>
          <w:rFonts w:hint="eastAsia" w:ascii="黑体" w:hAnsi="黑体" w:eastAsia="黑体"/>
          <w:sz w:val="32"/>
          <w:szCs w:val="32"/>
        </w:rPr>
        <w:t xml:space="preserve">前  </w:t>
      </w:r>
      <w:r>
        <w:rPr>
          <w:rFonts w:ascii="黑体" w:hAnsi="黑体" w:eastAsia="黑体"/>
          <w:sz w:val="32"/>
          <w:szCs w:val="32"/>
        </w:rPr>
        <w:t>言</w:t>
      </w:r>
    </w:p>
    <w:p w14:paraId="4C251364">
      <w:pPr>
        <w:ind w:firstLine="420" w:firstLineChars="200"/>
        <w:rPr>
          <w:rFonts w:ascii="宋体" w:hAnsi="宋体" w:eastAsia="宋体"/>
        </w:rPr>
      </w:pPr>
    </w:p>
    <w:p w14:paraId="7BE02607">
      <w:pPr>
        <w:ind w:firstLine="420" w:firstLineChars="200"/>
        <w:rPr>
          <w:rFonts w:ascii="宋体" w:hAnsi="宋体" w:eastAsia="宋体"/>
        </w:rPr>
      </w:pPr>
    </w:p>
    <w:p w14:paraId="1E128C99">
      <w:pPr>
        <w:ind w:firstLine="420" w:firstLineChars="200"/>
        <w:rPr>
          <w:rFonts w:ascii="宋体" w:hAnsi="宋体" w:eastAsia="宋体"/>
        </w:rPr>
      </w:pPr>
      <w:r>
        <w:rPr>
          <w:rFonts w:hint="eastAsia" w:ascii="宋体" w:hAnsi="宋体" w:eastAsia="宋体"/>
        </w:rPr>
        <w:t>本标准按照</w:t>
      </w:r>
      <w:r>
        <w:rPr>
          <w:rFonts w:ascii="宋体" w:hAnsi="宋体" w:eastAsia="宋体"/>
        </w:rPr>
        <w:t>GB/T 1.1-2020</w:t>
      </w:r>
      <w:r>
        <w:rPr>
          <w:rFonts w:hint="eastAsia" w:ascii="宋体" w:hAnsi="宋体" w:eastAsia="宋体"/>
        </w:rPr>
        <w:t>《标准化工作导则—第</w:t>
      </w:r>
      <w:r>
        <w:rPr>
          <w:rFonts w:ascii="宋体" w:hAnsi="宋体" w:eastAsia="宋体"/>
        </w:rPr>
        <w:t>1部分：标准化文件的结构和起草规则</w:t>
      </w:r>
      <w:r>
        <w:rPr>
          <w:rFonts w:hint="eastAsia" w:ascii="宋体" w:hAnsi="宋体" w:eastAsia="宋体"/>
        </w:rPr>
        <w:t>》</w:t>
      </w:r>
      <w:r>
        <w:rPr>
          <w:rFonts w:ascii="宋体" w:hAnsi="宋体" w:eastAsia="宋体"/>
        </w:rPr>
        <w:t>给出的规则起草。</w:t>
      </w:r>
    </w:p>
    <w:p w14:paraId="23A9BF88">
      <w:pPr>
        <w:ind w:firstLine="420" w:firstLineChars="200"/>
        <w:rPr>
          <w:rFonts w:ascii="宋体" w:hAnsi="宋体" w:eastAsia="宋体"/>
        </w:rPr>
      </w:pPr>
      <w:r>
        <w:rPr>
          <w:rFonts w:ascii="宋体" w:hAnsi="宋体" w:eastAsia="宋体"/>
        </w:rPr>
        <w:t>本标准</w:t>
      </w:r>
      <w:r>
        <w:rPr>
          <w:rFonts w:hint="eastAsia" w:ascii="宋体" w:hAnsi="宋体" w:eastAsia="宋体"/>
        </w:rPr>
        <w:t>代替 DB34/T</w:t>
      </w:r>
      <w:r>
        <w:rPr>
          <w:rFonts w:ascii="宋体" w:hAnsi="宋体" w:eastAsia="宋体"/>
        </w:rPr>
        <w:t xml:space="preserve"> 2910-2018 </w:t>
      </w:r>
      <w:r>
        <w:rPr>
          <w:rFonts w:hint="eastAsia" w:ascii="宋体" w:hAnsi="宋体" w:eastAsia="宋体"/>
        </w:rPr>
        <w:t>《造纸机械用铸铁烘缸定期检验要求》</w:t>
      </w:r>
    </w:p>
    <w:p w14:paraId="7F168979">
      <w:pPr>
        <w:ind w:firstLine="420" w:firstLineChars="200"/>
        <w:rPr>
          <w:rFonts w:ascii="宋体" w:hAnsi="宋体" w:eastAsia="宋体"/>
        </w:rPr>
      </w:pPr>
      <w:r>
        <w:rPr>
          <w:rFonts w:ascii="宋体" w:hAnsi="宋体" w:eastAsia="宋体"/>
        </w:rPr>
        <w:t>本标准</w:t>
      </w:r>
      <w:r>
        <w:rPr>
          <w:rFonts w:hint="eastAsia" w:ascii="宋体" w:hAnsi="宋体" w:eastAsia="宋体"/>
        </w:rPr>
        <w:t>与DB34/T</w:t>
      </w:r>
      <w:r>
        <w:rPr>
          <w:rFonts w:ascii="宋体" w:hAnsi="宋体" w:eastAsia="宋体"/>
        </w:rPr>
        <w:t xml:space="preserve"> 2910-2018 </w:t>
      </w:r>
      <w:r>
        <w:rPr>
          <w:rFonts w:hint="eastAsia" w:ascii="宋体" w:hAnsi="宋体" w:eastAsia="宋体"/>
        </w:rPr>
        <w:t>相比，主要技术修改如下：</w:t>
      </w:r>
    </w:p>
    <w:p w14:paraId="35BC47AA">
      <w:pPr>
        <w:ind w:firstLine="420" w:firstLineChars="200"/>
        <w:rPr>
          <w:rFonts w:ascii="Arial" w:hAnsi="Arial" w:cs="Arial"/>
          <w:color w:val="333333"/>
          <w:szCs w:val="21"/>
          <w:shd w:val="clear" w:color="auto" w:fill="FFFFFF"/>
        </w:rPr>
      </w:pPr>
      <w:r>
        <w:rPr>
          <w:rFonts w:ascii="Arial" w:hAnsi="Arial" w:cs="Arial"/>
          <w:color w:val="333333"/>
          <w:szCs w:val="21"/>
          <w:shd w:val="clear" w:color="auto" w:fill="FFFFFF"/>
        </w:rPr>
        <w:t>——</w:t>
      </w:r>
      <w:r>
        <w:rPr>
          <w:rFonts w:hint="eastAsia" w:ascii="Arial" w:hAnsi="Arial" w:cs="Arial"/>
          <w:color w:val="333333"/>
          <w:szCs w:val="21"/>
          <w:shd w:val="clear" w:color="auto" w:fill="FFFFFF"/>
        </w:rPr>
        <w:t>修改了标准的适用范围</w:t>
      </w:r>
    </w:p>
    <w:p w14:paraId="466A7DFD">
      <w:pPr>
        <w:ind w:firstLine="420" w:firstLineChars="200"/>
        <w:rPr>
          <w:rFonts w:ascii="Arial" w:hAnsi="Arial" w:cs="Arial"/>
          <w:color w:val="333333"/>
          <w:szCs w:val="21"/>
          <w:shd w:val="clear" w:color="auto" w:fill="FFFFFF"/>
        </w:rPr>
      </w:pPr>
      <w:r>
        <w:rPr>
          <w:rFonts w:ascii="Arial" w:hAnsi="Arial" w:cs="Arial"/>
          <w:color w:val="333333"/>
          <w:szCs w:val="21"/>
          <w:shd w:val="clear" w:color="auto" w:fill="FFFFFF"/>
        </w:rPr>
        <w:t>——</w:t>
      </w:r>
      <w:r>
        <w:rPr>
          <w:rFonts w:hint="eastAsia" w:ascii="Arial" w:hAnsi="Arial" w:cs="Arial"/>
          <w:color w:val="333333"/>
          <w:szCs w:val="21"/>
          <w:shd w:val="clear" w:color="auto" w:fill="FFFFFF"/>
        </w:rPr>
        <w:t>修改了部分规范性引用文件</w:t>
      </w:r>
    </w:p>
    <w:p w14:paraId="0EE0CCBC">
      <w:pPr>
        <w:ind w:firstLine="420" w:firstLineChars="200"/>
        <w:rPr>
          <w:rFonts w:ascii="Arial" w:hAnsi="Arial" w:cs="Arial"/>
          <w:color w:val="333333"/>
          <w:szCs w:val="21"/>
          <w:shd w:val="clear" w:color="auto" w:fill="FFFFFF"/>
        </w:rPr>
      </w:pPr>
      <w:r>
        <w:rPr>
          <w:rFonts w:ascii="Arial" w:hAnsi="Arial" w:cs="Arial"/>
          <w:color w:val="333333"/>
          <w:szCs w:val="21"/>
          <w:shd w:val="clear" w:color="auto" w:fill="FFFFFF"/>
        </w:rPr>
        <w:t>——</w:t>
      </w:r>
      <w:r>
        <w:rPr>
          <w:rFonts w:hint="eastAsia" w:ascii="Arial" w:hAnsi="Arial" w:cs="Arial"/>
          <w:color w:val="333333"/>
          <w:szCs w:val="21"/>
          <w:shd w:val="clear" w:color="auto" w:fill="FFFFFF"/>
        </w:rPr>
        <w:t>修改了相关术语和定义</w:t>
      </w:r>
    </w:p>
    <w:p w14:paraId="0ED74E5D">
      <w:pPr>
        <w:ind w:firstLine="420" w:firstLineChars="200"/>
        <w:rPr>
          <w:rFonts w:ascii="Arial" w:hAnsi="Arial" w:cs="Arial"/>
          <w:color w:val="333333"/>
          <w:szCs w:val="21"/>
          <w:shd w:val="clear" w:color="auto" w:fill="FFFFFF"/>
        </w:rPr>
      </w:pPr>
      <w:r>
        <w:rPr>
          <w:rFonts w:ascii="Arial" w:hAnsi="Arial" w:cs="Arial"/>
          <w:color w:val="333333"/>
          <w:szCs w:val="21"/>
          <w:shd w:val="clear" w:color="auto" w:fill="FFFFFF"/>
        </w:rPr>
        <w:t>——</w:t>
      </w:r>
      <w:r>
        <w:rPr>
          <w:rFonts w:hint="eastAsia" w:ascii="Arial" w:hAnsi="Arial" w:cs="Arial"/>
          <w:color w:val="333333"/>
          <w:szCs w:val="21"/>
          <w:shd w:val="clear" w:color="auto" w:fill="FFFFFF"/>
        </w:rPr>
        <w:t>修改了“材料”条款</w:t>
      </w:r>
    </w:p>
    <w:p w14:paraId="3AEA36F9">
      <w:pPr>
        <w:ind w:firstLine="420" w:firstLineChars="200"/>
        <w:rPr>
          <w:rFonts w:ascii="Arial" w:hAnsi="Arial" w:cs="Arial"/>
          <w:color w:val="333333"/>
          <w:szCs w:val="21"/>
          <w:shd w:val="clear" w:color="auto" w:fill="FFFFFF"/>
        </w:rPr>
      </w:pPr>
      <w:r>
        <w:rPr>
          <w:rFonts w:ascii="Arial" w:hAnsi="Arial" w:cs="Arial"/>
          <w:color w:val="333333"/>
          <w:szCs w:val="21"/>
          <w:shd w:val="clear" w:color="auto" w:fill="FFFFFF"/>
        </w:rPr>
        <w:t>——</w:t>
      </w:r>
      <w:r>
        <w:rPr>
          <w:rFonts w:hint="eastAsia" w:ascii="Arial" w:hAnsi="Arial" w:cs="Arial"/>
          <w:color w:val="333333"/>
          <w:szCs w:val="21"/>
          <w:shd w:val="clear" w:color="auto" w:fill="FFFFFF"/>
        </w:rPr>
        <w:t>修改了“壁厚测厚”条款</w:t>
      </w:r>
    </w:p>
    <w:p w14:paraId="0F9AFD31">
      <w:pPr>
        <w:ind w:firstLine="420" w:firstLineChars="200"/>
        <w:rPr>
          <w:rFonts w:ascii="Arial" w:hAnsi="Arial" w:cs="Arial"/>
          <w:color w:val="333333"/>
          <w:szCs w:val="21"/>
          <w:shd w:val="clear" w:color="auto" w:fill="FFFFFF"/>
        </w:rPr>
      </w:pPr>
      <w:r>
        <w:rPr>
          <w:rFonts w:ascii="Arial" w:hAnsi="Arial" w:cs="Arial"/>
          <w:color w:val="333333"/>
          <w:szCs w:val="21"/>
          <w:shd w:val="clear" w:color="auto" w:fill="FFFFFF"/>
        </w:rPr>
        <w:t>——</w:t>
      </w:r>
      <w:r>
        <w:rPr>
          <w:rFonts w:hint="eastAsia" w:ascii="Arial" w:hAnsi="Arial" w:cs="Arial"/>
          <w:color w:val="333333"/>
          <w:szCs w:val="21"/>
          <w:shd w:val="clear" w:color="auto" w:fill="FFFFFF"/>
        </w:rPr>
        <w:t>修改了“安全状况等级评定”条款</w:t>
      </w:r>
    </w:p>
    <w:p w14:paraId="36579C8D">
      <w:pPr>
        <w:ind w:firstLine="420" w:firstLineChars="200"/>
        <w:rPr>
          <w:rFonts w:ascii="Arial" w:hAnsi="Arial" w:cs="Arial"/>
          <w:color w:val="333333"/>
          <w:szCs w:val="21"/>
          <w:shd w:val="clear" w:color="auto" w:fill="FFFFFF"/>
        </w:rPr>
      </w:pPr>
      <w:r>
        <w:rPr>
          <w:rFonts w:ascii="Arial" w:hAnsi="Arial" w:cs="Arial"/>
          <w:color w:val="333333"/>
          <w:szCs w:val="21"/>
          <w:shd w:val="clear" w:color="auto" w:fill="FFFFFF"/>
        </w:rPr>
        <w:t>——</w:t>
      </w:r>
      <w:r>
        <w:rPr>
          <w:rFonts w:hint="eastAsia" w:ascii="Arial" w:hAnsi="Arial" w:cs="Arial"/>
          <w:color w:val="333333"/>
          <w:szCs w:val="21"/>
          <w:shd w:val="clear" w:color="auto" w:fill="FFFFFF"/>
        </w:rPr>
        <w:t>删除了“安全附件及仪表”条款</w:t>
      </w:r>
    </w:p>
    <w:p w14:paraId="286A983A">
      <w:pPr>
        <w:ind w:firstLine="420" w:firstLineChars="200"/>
        <w:rPr>
          <w:rFonts w:ascii="Arial" w:hAnsi="Arial" w:cs="Arial"/>
          <w:color w:val="333333"/>
          <w:szCs w:val="21"/>
          <w:shd w:val="clear" w:color="auto" w:fill="FFFFFF"/>
        </w:rPr>
      </w:pPr>
      <w:r>
        <w:rPr>
          <w:rFonts w:ascii="Arial" w:hAnsi="Arial" w:cs="Arial"/>
          <w:color w:val="333333"/>
          <w:szCs w:val="21"/>
          <w:shd w:val="clear" w:color="auto" w:fill="FFFFFF"/>
        </w:rPr>
        <w:t>——</w:t>
      </w:r>
      <w:r>
        <w:rPr>
          <w:rFonts w:hint="eastAsia" w:ascii="Arial" w:hAnsi="Arial" w:cs="Arial"/>
          <w:color w:val="333333"/>
          <w:szCs w:val="21"/>
          <w:shd w:val="clear" w:color="auto" w:fill="FFFFFF"/>
        </w:rPr>
        <w:t>增加了“探伤仪与探头”条款</w:t>
      </w:r>
    </w:p>
    <w:p w14:paraId="04EC913F">
      <w:pPr>
        <w:ind w:firstLine="420" w:firstLineChars="200"/>
        <w:rPr>
          <w:rFonts w:ascii="Arial" w:hAnsi="Arial" w:cs="Arial"/>
          <w:color w:val="333333"/>
          <w:szCs w:val="21"/>
          <w:shd w:val="clear" w:color="auto" w:fill="FFFFFF"/>
        </w:rPr>
      </w:pPr>
      <w:r>
        <w:rPr>
          <w:rFonts w:ascii="Arial" w:hAnsi="Arial" w:cs="Arial"/>
          <w:color w:val="333333"/>
          <w:szCs w:val="21"/>
          <w:shd w:val="clear" w:color="auto" w:fill="FFFFFF"/>
        </w:rPr>
        <w:t>——</w:t>
      </w:r>
      <w:r>
        <w:rPr>
          <w:rFonts w:hint="eastAsia" w:ascii="Arial" w:hAnsi="Arial" w:cs="Arial"/>
          <w:color w:val="333333"/>
          <w:szCs w:val="21"/>
          <w:shd w:val="clear" w:color="auto" w:fill="FFFFFF"/>
        </w:rPr>
        <w:t>增加了“其他检测”条款</w:t>
      </w:r>
    </w:p>
    <w:p w14:paraId="0AAE464C">
      <w:pPr>
        <w:ind w:firstLine="420" w:firstLineChars="200"/>
        <w:rPr>
          <w:rFonts w:ascii="宋体" w:hAnsi="宋体" w:eastAsia="宋体"/>
        </w:rPr>
      </w:pPr>
      <w:r>
        <w:rPr>
          <w:rFonts w:ascii="Arial" w:hAnsi="Arial" w:cs="Arial"/>
          <w:color w:val="333333"/>
          <w:szCs w:val="21"/>
          <w:shd w:val="clear" w:color="auto" w:fill="FFFFFF"/>
        </w:rPr>
        <w:t>——</w:t>
      </w:r>
      <w:r>
        <w:rPr>
          <w:rFonts w:hint="eastAsia" w:ascii="Arial" w:hAnsi="Arial" w:cs="Arial"/>
          <w:color w:val="333333"/>
          <w:szCs w:val="21"/>
          <w:shd w:val="clear" w:color="auto" w:fill="FFFFFF"/>
        </w:rPr>
        <w:t>增加了“检验结论及检验报告”条款</w:t>
      </w:r>
    </w:p>
    <w:p w14:paraId="2249F411">
      <w:pPr>
        <w:ind w:firstLine="420" w:firstLineChars="200"/>
        <w:rPr>
          <w:rFonts w:ascii="宋体" w:hAnsi="宋体" w:eastAsia="宋体"/>
        </w:rPr>
      </w:pPr>
      <w:r>
        <w:rPr>
          <w:rFonts w:ascii="宋体" w:hAnsi="宋体" w:eastAsia="宋体"/>
        </w:rPr>
        <w:t>本标准由</w:t>
      </w:r>
      <w:r>
        <w:rPr>
          <w:rFonts w:hint="eastAsia" w:ascii="宋体" w:hAnsi="宋体" w:eastAsia="宋体"/>
          <w:lang w:val="en-US" w:eastAsia="zh-CN"/>
        </w:rPr>
        <w:t>河北省</w:t>
      </w:r>
      <w:r>
        <w:rPr>
          <w:rFonts w:hint="eastAsia" w:ascii="宋体" w:hAnsi="宋体" w:eastAsia="宋体"/>
        </w:rPr>
        <w:t>市场监督管理</w:t>
      </w:r>
      <w:r>
        <w:rPr>
          <w:rFonts w:ascii="宋体" w:hAnsi="宋体" w:eastAsia="宋体"/>
        </w:rPr>
        <w:t>局提出。</w:t>
      </w:r>
    </w:p>
    <w:p w14:paraId="680D84B5">
      <w:pPr>
        <w:ind w:firstLine="420" w:firstLineChars="200"/>
        <w:rPr>
          <w:rFonts w:ascii="宋体" w:hAnsi="宋体" w:eastAsia="宋体"/>
        </w:rPr>
      </w:pPr>
      <w:r>
        <w:rPr>
          <w:rFonts w:hint="eastAsia" w:ascii="宋体" w:hAnsi="宋体" w:eastAsia="宋体"/>
        </w:rPr>
        <w:t>本标准起草单位：河北省特种设备监督检验研究院。</w:t>
      </w:r>
    </w:p>
    <w:p w14:paraId="6F75D474">
      <w:pPr>
        <w:ind w:firstLine="420" w:firstLineChars="200"/>
        <w:rPr>
          <w:rFonts w:ascii="宋体" w:hAnsi="宋体" w:eastAsia="宋体"/>
        </w:rPr>
      </w:pPr>
      <w:r>
        <w:rPr>
          <w:rFonts w:hint="eastAsia" w:ascii="宋体" w:hAnsi="宋体" w:eastAsia="宋体"/>
        </w:rPr>
        <w:t>本标准主要起草人：</w:t>
      </w:r>
      <w:r>
        <w:rPr>
          <w:rFonts w:hint="eastAsia" w:ascii="宋体" w:hAnsi="宋体" w:eastAsia="宋体"/>
          <w:lang w:val="en-US" w:eastAsia="zh-CN"/>
        </w:rPr>
        <w:t>蔡振华、张慧娟、蔡照钰、</w:t>
      </w:r>
      <w:bookmarkStart w:id="9" w:name="_GoBack"/>
      <w:bookmarkEnd w:id="9"/>
      <w:r>
        <w:rPr>
          <w:rFonts w:hint="eastAsia" w:ascii="宋体" w:hAnsi="宋体" w:eastAsia="宋体"/>
          <w:lang w:val="en-US" w:eastAsia="zh-CN"/>
        </w:rPr>
        <w:t>马德超、孙悦、耿会坡、高向明、李国相、于振海。</w:t>
      </w:r>
    </w:p>
    <w:p w14:paraId="4F2C7187">
      <w:pPr>
        <w:ind w:firstLine="420" w:firstLineChars="200"/>
        <w:rPr>
          <w:rFonts w:ascii="宋体" w:hAnsi="宋体" w:eastAsia="宋体"/>
        </w:rPr>
      </w:pPr>
      <w:r>
        <w:rPr>
          <w:rFonts w:hint="eastAsia" w:ascii="宋体" w:hAnsi="宋体" w:eastAsia="宋体"/>
        </w:rPr>
        <w:t>本标准2018年首次发布，本次为第一次修订。</w:t>
      </w:r>
    </w:p>
    <w:p w14:paraId="7BFC234B">
      <w:pPr>
        <w:widowControl/>
        <w:jc w:val="left"/>
        <w:rPr>
          <w:rFonts w:ascii="宋体" w:hAnsi="宋体" w:eastAsia="宋体"/>
        </w:rPr>
      </w:pPr>
      <w:r>
        <w:rPr>
          <w:rFonts w:ascii="宋体" w:hAnsi="宋体" w:eastAsia="宋体"/>
        </w:rPr>
        <w:br w:type="page"/>
      </w:r>
    </w:p>
    <w:p w14:paraId="13CEF854">
      <w:pPr>
        <w:jc w:val="center"/>
        <w:rPr>
          <w:rFonts w:hint="eastAsia" w:ascii="宋体" w:hAnsi="宋体" w:eastAsia="宋体" w:cs="宋体"/>
          <w:sz w:val="28"/>
          <w:szCs w:val="28"/>
        </w:rPr>
      </w:pPr>
      <w:r>
        <w:rPr>
          <w:rFonts w:hint="eastAsia" w:ascii="宋体" w:hAnsi="宋体" w:eastAsia="宋体" w:cs="宋体"/>
          <w:sz w:val="28"/>
          <w:szCs w:val="28"/>
        </w:rPr>
        <w:t>目</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录</w:t>
      </w:r>
    </w:p>
    <w:p w14:paraId="7C7BBA18">
      <w:pPr>
        <w:pStyle w:val="7"/>
        <w:keepNext w:val="0"/>
        <w:keepLines w:val="0"/>
        <w:pageBreakBefore w:val="0"/>
        <w:widowControl/>
        <w:tabs>
          <w:tab w:val="right" w:leader="dot" w:pos="9354"/>
        </w:tabs>
        <w:kinsoku w:val="0"/>
        <w:wordWrap/>
        <w:overflowPunct/>
        <w:topLinePunct w:val="0"/>
        <w:autoSpaceDE w:val="0"/>
        <w:autoSpaceDN w:val="0"/>
        <w:bidi w:val="0"/>
        <w:adjustRightInd w:val="0"/>
        <w:snapToGrid w:val="0"/>
        <w:spacing w:line="480" w:lineRule="auto"/>
        <w:textAlignment w:val="baseline"/>
        <w:rPr>
          <w:rFonts w:hint="eastAsia" w:ascii="宋体" w:hAnsi="宋体" w:eastAsia="宋体" w:cs="宋体"/>
          <w:sz w:val="24"/>
          <w:szCs w:val="24"/>
        </w:rPr>
      </w:pPr>
      <w:r>
        <w:rPr>
          <w:rFonts w:hint="eastAsia" w:ascii="宋体" w:hAnsi="宋体" w:eastAsia="宋体" w:cs="宋体"/>
          <w:spacing w:val="-10"/>
          <w:sz w:val="24"/>
          <w:szCs w:val="24"/>
          <w:lang w:eastAsia="zh-CN"/>
        </w:rPr>
        <w:fldChar w:fldCharType="begin"/>
      </w:r>
      <w:r>
        <w:rPr>
          <w:rFonts w:hint="eastAsia" w:ascii="宋体" w:hAnsi="宋体" w:eastAsia="宋体" w:cs="宋体"/>
          <w:spacing w:val="-10"/>
          <w:sz w:val="24"/>
          <w:szCs w:val="24"/>
          <w:lang w:eastAsia="zh-CN"/>
        </w:rPr>
        <w:instrText xml:space="preserve">TOC \o "1-3" \h \u </w:instrText>
      </w:r>
      <w:r>
        <w:rPr>
          <w:rFonts w:hint="eastAsia" w:ascii="宋体" w:hAnsi="宋体" w:eastAsia="宋体" w:cs="宋体"/>
          <w:spacing w:val="-10"/>
          <w:sz w:val="24"/>
          <w:szCs w:val="24"/>
          <w:lang w:eastAsia="zh-CN"/>
        </w:rPr>
        <w:fldChar w:fldCharType="separate"/>
      </w:r>
      <w:r>
        <w:rPr>
          <w:rFonts w:hint="eastAsia" w:ascii="宋体" w:hAnsi="宋体" w:eastAsia="宋体" w:cs="宋体"/>
          <w:spacing w:val="-10"/>
          <w:sz w:val="24"/>
          <w:szCs w:val="24"/>
          <w:lang w:eastAsia="zh-CN"/>
        </w:rPr>
        <w:fldChar w:fldCharType="begin"/>
      </w:r>
      <w:r>
        <w:rPr>
          <w:rFonts w:hint="eastAsia" w:ascii="宋体" w:hAnsi="宋体" w:eastAsia="宋体" w:cs="宋体"/>
          <w:spacing w:val="-10"/>
          <w:sz w:val="24"/>
          <w:szCs w:val="24"/>
          <w:lang w:eastAsia="zh-CN"/>
        </w:rPr>
        <w:instrText xml:space="preserve"> HYPERLINK \l _Toc16450 </w:instrText>
      </w:r>
      <w:r>
        <w:rPr>
          <w:rFonts w:hint="eastAsia" w:ascii="宋体" w:hAnsi="宋体" w:eastAsia="宋体" w:cs="宋体"/>
          <w:spacing w:val="-10"/>
          <w:sz w:val="24"/>
          <w:szCs w:val="24"/>
          <w:lang w:eastAsia="zh-CN"/>
        </w:rPr>
        <w:fldChar w:fldCharType="separate"/>
      </w:r>
      <w:r>
        <w:rPr>
          <w:rFonts w:hint="eastAsia" w:ascii="宋体" w:hAnsi="宋体" w:eastAsia="宋体" w:cs="宋体"/>
          <w:sz w:val="24"/>
          <w:szCs w:val="24"/>
        </w:rPr>
        <w:t>1 范围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_Toc16450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pacing w:val="-10"/>
          <w:sz w:val="24"/>
          <w:szCs w:val="24"/>
          <w:lang w:eastAsia="zh-CN"/>
        </w:rPr>
        <w:fldChar w:fldCharType="end"/>
      </w:r>
    </w:p>
    <w:p w14:paraId="2FCD0FB5">
      <w:pPr>
        <w:pStyle w:val="7"/>
        <w:keepNext w:val="0"/>
        <w:keepLines w:val="0"/>
        <w:pageBreakBefore w:val="0"/>
        <w:widowControl/>
        <w:tabs>
          <w:tab w:val="right" w:leader="dot" w:pos="9354"/>
        </w:tabs>
        <w:kinsoku w:val="0"/>
        <w:wordWrap/>
        <w:overflowPunct/>
        <w:topLinePunct w:val="0"/>
        <w:autoSpaceDE w:val="0"/>
        <w:autoSpaceDN w:val="0"/>
        <w:bidi w:val="0"/>
        <w:adjustRightInd w:val="0"/>
        <w:snapToGrid w:val="0"/>
        <w:spacing w:line="480" w:lineRule="auto"/>
        <w:textAlignment w:val="baseline"/>
        <w:rPr>
          <w:rFonts w:hint="eastAsia" w:ascii="宋体" w:hAnsi="宋体" w:eastAsia="宋体" w:cs="宋体"/>
          <w:sz w:val="24"/>
          <w:szCs w:val="24"/>
        </w:rPr>
      </w:pPr>
      <w:r>
        <w:rPr>
          <w:rFonts w:hint="eastAsia" w:ascii="宋体" w:hAnsi="宋体" w:eastAsia="宋体" w:cs="宋体"/>
          <w:spacing w:val="-10"/>
          <w:sz w:val="24"/>
          <w:szCs w:val="24"/>
        </w:rPr>
        <w:fldChar w:fldCharType="begin"/>
      </w:r>
      <w:r>
        <w:rPr>
          <w:rFonts w:hint="eastAsia" w:ascii="宋体" w:hAnsi="宋体" w:eastAsia="宋体" w:cs="宋体"/>
          <w:spacing w:val="-10"/>
          <w:sz w:val="24"/>
          <w:szCs w:val="24"/>
        </w:rPr>
        <w:instrText xml:space="preserve"> HYPERLINK \l _Toc20446 </w:instrText>
      </w:r>
      <w:r>
        <w:rPr>
          <w:rFonts w:hint="eastAsia" w:ascii="宋体" w:hAnsi="宋体" w:eastAsia="宋体" w:cs="宋体"/>
          <w:spacing w:val="-10"/>
          <w:sz w:val="24"/>
          <w:szCs w:val="24"/>
        </w:rPr>
        <w:fldChar w:fldCharType="separate"/>
      </w:r>
      <w:r>
        <w:rPr>
          <w:rFonts w:hint="eastAsia" w:ascii="宋体" w:hAnsi="宋体" w:eastAsia="宋体" w:cs="宋体"/>
          <w:sz w:val="24"/>
          <w:szCs w:val="24"/>
        </w:rPr>
        <w:t>2 规范性引用文件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_Toc20446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pacing w:val="-10"/>
          <w:sz w:val="24"/>
          <w:szCs w:val="24"/>
        </w:rPr>
        <w:fldChar w:fldCharType="end"/>
      </w:r>
    </w:p>
    <w:p w14:paraId="465B44B5">
      <w:pPr>
        <w:pStyle w:val="7"/>
        <w:keepNext w:val="0"/>
        <w:keepLines w:val="0"/>
        <w:pageBreakBefore w:val="0"/>
        <w:widowControl/>
        <w:tabs>
          <w:tab w:val="right" w:leader="dot" w:pos="9354"/>
        </w:tabs>
        <w:kinsoku w:val="0"/>
        <w:wordWrap/>
        <w:overflowPunct/>
        <w:topLinePunct w:val="0"/>
        <w:autoSpaceDE w:val="0"/>
        <w:autoSpaceDN w:val="0"/>
        <w:bidi w:val="0"/>
        <w:adjustRightInd w:val="0"/>
        <w:snapToGrid w:val="0"/>
        <w:spacing w:line="480" w:lineRule="auto"/>
        <w:textAlignment w:val="baseline"/>
        <w:rPr>
          <w:rFonts w:hint="eastAsia" w:ascii="宋体" w:hAnsi="宋体" w:eastAsia="宋体" w:cs="宋体"/>
          <w:sz w:val="24"/>
          <w:szCs w:val="24"/>
        </w:rPr>
      </w:pPr>
      <w:r>
        <w:rPr>
          <w:rFonts w:hint="eastAsia" w:ascii="宋体" w:hAnsi="宋体" w:eastAsia="宋体" w:cs="宋体"/>
          <w:spacing w:val="-10"/>
          <w:sz w:val="24"/>
          <w:szCs w:val="24"/>
        </w:rPr>
        <w:fldChar w:fldCharType="begin"/>
      </w:r>
      <w:r>
        <w:rPr>
          <w:rFonts w:hint="eastAsia" w:ascii="宋体" w:hAnsi="宋体" w:eastAsia="宋体" w:cs="宋体"/>
          <w:spacing w:val="-10"/>
          <w:sz w:val="24"/>
          <w:szCs w:val="24"/>
        </w:rPr>
        <w:instrText xml:space="preserve"> HYPERLINK \l _Toc4677 </w:instrText>
      </w:r>
      <w:r>
        <w:rPr>
          <w:rFonts w:hint="eastAsia" w:ascii="宋体" w:hAnsi="宋体" w:eastAsia="宋体" w:cs="宋体"/>
          <w:spacing w:val="-10"/>
          <w:sz w:val="24"/>
          <w:szCs w:val="24"/>
        </w:rPr>
        <w:fldChar w:fldCharType="separate"/>
      </w:r>
      <w:r>
        <w:rPr>
          <w:rFonts w:hint="eastAsia" w:ascii="宋体" w:hAnsi="宋体" w:eastAsia="宋体" w:cs="宋体"/>
          <w:sz w:val="24"/>
          <w:szCs w:val="24"/>
        </w:rPr>
        <w:t>3 术语和定义</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_Toc4677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pacing w:val="-10"/>
          <w:sz w:val="24"/>
          <w:szCs w:val="24"/>
        </w:rPr>
        <w:fldChar w:fldCharType="end"/>
      </w:r>
    </w:p>
    <w:p w14:paraId="112D251C">
      <w:pPr>
        <w:pStyle w:val="7"/>
        <w:keepNext w:val="0"/>
        <w:keepLines w:val="0"/>
        <w:pageBreakBefore w:val="0"/>
        <w:widowControl/>
        <w:tabs>
          <w:tab w:val="right" w:leader="dot" w:pos="9354"/>
        </w:tabs>
        <w:kinsoku w:val="0"/>
        <w:wordWrap/>
        <w:overflowPunct/>
        <w:topLinePunct w:val="0"/>
        <w:autoSpaceDE w:val="0"/>
        <w:autoSpaceDN w:val="0"/>
        <w:bidi w:val="0"/>
        <w:adjustRightInd w:val="0"/>
        <w:snapToGrid w:val="0"/>
        <w:spacing w:line="480" w:lineRule="auto"/>
        <w:textAlignment w:val="baseline"/>
        <w:rPr>
          <w:rFonts w:hint="eastAsia" w:ascii="宋体" w:hAnsi="宋体" w:eastAsia="宋体" w:cs="宋体"/>
          <w:sz w:val="24"/>
          <w:szCs w:val="24"/>
        </w:rPr>
      </w:pPr>
      <w:r>
        <w:rPr>
          <w:rFonts w:hint="eastAsia" w:ascii="宋体" w:hAnsi="宋体" w:eastAsia="宋体" w:cs="宋体"/>
          <w:spacing w:val="-10"/>
          <w:sz w:val="24"/>
          <w:szCs w:val="24"/>
        </w:rPr>
        <w:fldChar w:fldCharType="begin"/>
      </w:r>
      <w:r>
        <w:rPr>
          <w:rFonts w:hint="eastAsia" w:ascii="宋体" w:hAnsi="宋体" w:eastAsia="宋体" w:cs="宋体"/>
          <w:spacing w:val="-10"/>
          <w:sz w:val="24"/>
          <w:szCs w:val="24"/>
        </w:rPr>
        <w:instrText xml:space="preserve"> HYPERLINK \l _Toc3723 </w:instrText>
      </w:r>
      <w:r>
        <w:rPr>
          <w:rFonts w:hint="eastAsia" w:ascii="宋体" w:hAnsi="宋体" w:eastAsia="宋体" w:cs="宋体"/>
          <w:spacing w:val="-10"/>
          <w:sz w:val="24"/>
          <w:szCs w:val="24"/>
        </w:rPr>
        <w:fldChar w:fldCharType="separate"/>
      </w:r>
      <w:r>
        <w:rPr>
          <w:rFonts w:hint="eastAsia" w:ascii="宋体" w:hAnsi="宋体" w:eastAsia="宋体" w:cs="宋体"/>
          <w:sz w:val="24"/>
          <w:szCs w:val="24"/>
        </w:rPr>
        <w:t>4 通用要求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_Toc3723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pacing w:val="-10"/>
          <w:sz w:val="24"/>
          <w:szCs w:val="24"/>
        </w:rPr>
        <w:fldChar w:fldCharType="end"/>
      </w:r>
    </w:p>
    <w:p w14:paraId="1C66C5B5">
      <w:pPr>
        <w:pStyle w:val="7"/>
        <w:keepNext w:val="0"/>
        <w:keepLines w:val="0"/>
        <w:pageBreakBefore w:val="0"/>
        <w:widowControl/>
        <w:tabs>
          <w:tab w:val="right" w:leader="dot" w:pos="9354"/>
        </w:tabs>
        <w:kinsoku w:val="0"/>
        <w:wordWrap/>
        <w:overflowPunct/>
        <w:topLinePunct w:val="0"/>
        <w:autoSpaceDE w:val="0"/>
        <w:autoSpaceDN w:val="0"/>
        <w:bidi w:val="0"/>
        <w:adjustRightInd w:val="0"/>
        <w:snapToGrid w:val="0"/>
        <w:spacing w:line="480" w:lineRule="auto"/>
        <w:textAlignment w:val="baseline"/>
        <w:rPr>
          <w:rFonts w:hint="eastAsia" w:ascii="宋体" w:hAnsi="宋体" w:eastAsia="宋体" w:cs="宋体"/>
          <w:sz w:val="24"/>
          <w:szCs w:val="24"/>
        </w:rPr>
      </w:pPr>
      <w:r>
        <w:rPr>
          <w:rFonts w:hint="eastAsia" w:ascii="宋体" w:hAnsi="宋体" w:eastAsia="宋体" w:cs="宋体"/>
          <w:spacing w:val="-10"/>
          <w:sz w:val="24"/>
          <w:szCs w:val="24"/>
        </w:rPr>
        <w:fldChar w:fldCharType="begin"/>
      </w:r>
      <w:r>
        <w:rPr>
          <w:rFonts w:hint="eastAsia" w:ascii="宋体" w:hAnsi="宋体" w:eastAsia="宋体" w:cs="宋体"/>
          <w:spacing w:val="-10"/>
          <w:sz w:val="24"/>
          <w:szCs w:val="24"/>
        </w:rPr>
        <w:instrText xml:space="preserve"> HYPERLINK \l _Toc18872 </w:instrText>
      </w:r>
      <w:r>
        <w:rPr>
          <w:rFonts w:hint="eastAsia" w:ascii="宋体" w:hAnsi="宋体" w:eastAsia="宋体" w:cs="宋体"/>
          <w:spacing w:val="-10"/>
          <w:sz w:val="24"/>
          <w:szCs w:val="24"/>
        </w:rPr>
        <w:fldChar w:fldCharType="separate"/>
      </w:r>
      <w:r>
        <w:rPr>
          <w:rFonts w:hint="eastAsia" w:ascii="宋体" w:hAnsi="宋体" w:eastAsia="宋体" w:cs="宋体"/>
          <w:sz w:val="24"/>
          <w:szCs w:val="24"/>
        </w:rPr>
        <w:t>5 定期检验前的准备工作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_Toc18872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pacing w:val="-10"/>
          <w:sz w:val="24"/>
          <w:szCs w:val="24"/>
        </w:rPr>
        <w:fldChar w:fldCharType="end"/>
      </w:r>
    </w:p>
    <w:p w14:paraId="39AE407B">
      <w:pPr>
        <w:pStyle w:val="7"/>
        <w:keepNext w:val="0"/>
        <w:keepLines w:val="0"/>
        <w:pageBreakBefore w:val="0"/>
        <w:widowControl/>
        <w:tabs>
          <w:tab w:val="right" w:leader="dot" w:pos="9354"/>
        </w:tabs>
        <w:kinsoku w:val="0"/>
        <w:wordWrap/>
        <w:overflowPunct/>
        <w:topLinePunct w:val="0"/>
        <w:autoSpaceDE w:val="0"/>
        <w:autoSpaceDN w:val="0"/>
        <w:bidi w:val="0"/>
        <w:adjustRightInd w:val="0"/>
        <w:snapToGrid w:val="0"/>
        <w:spacing w:line="480" w:lineRule="auto"/>
        <w:textAlignment w:val="baseline"/>
        <w:rPr>
          <w:rFonts w:hint="eastAsia" w:ascii="宋体" w:hAnsi="宋体" w:eastAsia="宋体" w:cs="宋体"/>
          <w:sz w:val="24"/>
          <w:szCs w:val="24"/>
        </w:rPr>
      </w:pPr>
      <w:r>
        <w:rPr>
          <w:rFonts w:hint="eastAsia" w:ascii="宋体" w:hAnsi="宋体" w:eastAsia="宋体" w:cs="宋体"/>
          <w:spacing w:val="-10"/>
          <w:sz w:val="24"/>
          <w:szCs w:val="24"/>
        </w:rPr>
        <w:fldChar w:fldCharType="begin"/>
      </w:r>
      <w:r>
        <w:rPr>
          <w:rFonts w:hint="eastAsia" w:ascii="宋体" w:hAnsi="宋体" w:eastAsia="宋体" w:cs="宋体"/>
          <w:spacing w:val="-10"/>
          <w:sz w:val="24"/>
          <w:szCs w:val="24"/>
        </w:rPr>
        <w:instrText xml:space="preserve"> HYPERLINK \l _Toc22763 </w:instrText>
      </w:r>
      <w:r>
        <w:rPr>
          <w:rFonts w:hint="eastAsia" w:ascii="宋体" w:hAnsi="宋体" w:eastAsia="宋体" w:cs="宋体"/>
          <w:spacing w:val="-10"/>
          <w:sz w:val="24"/>
          <w:szCs w:val="24"/>
        </w:rPr>
        <w:fldChar w:fldCharType="separate"/>
      </w:r>
      <w:r>
        <w:rPr>
          <w:rFonts w:hint="eastAsia" w:ascii="宋体" w:hAnsi="宋体" w:eastAsia="宋体" w:cs="宋体"/>
          <w:sz w:val="24"/>
          <w:szCs w:val="24"/>
        </w:rPr>
        <w:t>6 定期检验</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_Toc22763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pacing w:val="-10"/>
          <w:sz w:val="24"/>
          <w:szCs w:val="24"/>
        </w:rPr>
        <w:fldChar w:fldCharType="end"/>
      </w:r>
    </w:p>
    <w:p w14:paraId="3DC73FFC">
      <w:pPr>
        <w:pStyle w:val="7"/>
        <w:keepNext w:val="0"/>
        <w:keepLines w:val="0"/>
        <w:pageBreakBefore w:val="0"/>
        <w:widowControl/>
        <w:tabs>
          <w:tab w:val="right" w:leader="dot" w:pos="9354"/>
        </w:tabs>
        <w:kinsoku w:val="0"/>
        <w:wordWrap/>
        <w:overflowPunct/>
        <w:topLinePunct w:val="0"/>
        <w:autoSpaceDE w:val="0"/>
        <w:autoSpaceDN w:val="0"/>
        <w:bidi w:val="0"/>
        <w:adjustRightInd w:val="0"/>
        <w:snapToGrid w:val="0"/>
        <w:spacing w:line="480" w:lineRule="auto"/>
        <w:textAlignment w:val="baseline"/>
        <w:rPr>
          <w:rFonts w:hint="eastAsia" w:ascii="宋体" w:hAnsi="宋体" w:eastAsia="宋体" w:cs="宋体"/>
          <w:sz w:val="24"/>
          <w:szCs w:val="24"/>
        </w:rPr>
      </w:pPr>
      <w:r>
        <w:rPr>
          <w:rFonts w:hint="eastAsia" w:ascii="宋体" w:hAnsi="宋体" w:eastAsia="宋体" w:cs="宋体"/>
          <w:spacing w:val="-10"/>
          <w:sz w:val="24"/>
          <w:szCs w:val="24"/>
        </w:rPr>
        <w:fldChar w:fldCharType="begin"/>
      </w:r>
      <w:r>
        <w:rPr>
          <w:rFonts w:hint="eastAsia" w:ascii="宋体" w:hAnsi="宋体" w:eastAsia="宋体" w:cs="宋体"/>
          <w:spacing w:val="-10"/>
          <w:sz w:val="24"/>
          <w:szCs w:val="24"/>
        </w:rPr>
        <w:instrText xml:space="preserve"> HYPERLINK \l _Toc14096 </w:instrText>
      </w:r>
      <w:r>
        <w:rPr>
          <w:rFonts w:hint="eastAsia" w:ascii="宋体" w:hAnsi="宋体" w:eastAsia="宋体" w:cs="宋体"/>
          <w:spacing w:val="-10"/>
          <w:sz w:val="24"/>
          <w:szCs w:val="24"/>
        </w:rPr>
        <w:fldChar w:fldCharType="separate"/>
      </w:r>
      <w:r>
        <w:rPr>
          <w:rFonts w:hint="eastAsia" w:ascii="宋体" w:hAnsi="宋体" w:eastAsia="宋体" w:cs="宋体"/>
          <w:sz w:val="24"/>
          <w:szCs w:val="24"/>
        </w:rPr>
        <w:t>7 安全状况等级评定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_Toc14096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pacing w:val="-10"/>
          <w:sz w:val="24"/>
          <w:szCs w:val="24"/>
        </w:rPr>
        <w:fldChar w:fldCharType="end"/>
      </w:r>
    </w:p>
    <w:p w14:paraId="367D8D99">
      <w:pPr>
        <w:pStyle w:val="7"/>
        <w:keepNext w:val="0"/>
        <w:keepLines w:val="0"/>
        <w:pageBreakBefore w:val="0"/>
        <w:widowControl/>
        <w:tabs>
          <w:tab w:val="right" w:leader="dot" w:pos="9354"/>
        </w:tabs>
        <w:kinsoku w:val="0"/>
        <w:wordWrap/>
        <w:overflowPunct/>
        <w:topLinePunct w:val="0"/>
        <w:autoSpaceDE w:val="0"/>
        <w:autoSpaceDN w:val="0"/>
        <w:bidi w:val="0"/>
        <w:adjustRightInd w:val="0"/>
        <w:snapToGrid w:val="0"/>
        <w:spacing w:line="480" w:lineRule="auto"/>
        <w:textAlignment w:val="baseline"/>
        <w:rPr>
          <w:rFonts w:hint="eastAsia" w:ascii="宋体" w:hAnsi="宋体" w:eastAsia="宋体" w:cs="宋体"/>
          <w:sz w:val="24"/>
          <w:szCs w:val="24"/>
        </w:rPr>
      </w:pPr>
      <w:r>
        <w:rPr>
          <w:rFonts w:hint="eastAsia" w:ascii="宋体" w:hAnsi="宋体" w:eastAsia="宋体" w:cs="宋体"/>
          <w:spacing w:val="-10"/>
          <w:sz w:val="24"/>
          <w:szCs w:val="24"/>
        </w:rPr>
        <w:fldChar w:fldCharType="begin"/>
      </w:r>
      <w:r>
        <w:rPr>
          <w:rFonts w:hint="eastAsia" w:ascii="宋体" w:hAnsi="宋体" w:eastAsia="宋体" w:cs="宋体"/>
          <w:spacing w:val="-10"/>
          <w:sz w:val="24"/>
          <w:szCs w:val="24"/>
        </w:rPr>
        <w:instrText xml:space="preserve"> HYPERLINK \l _Toc20369 </w:instrText>
      </w:r>
      <w:r>
        <w:rPr>
          <w:rFonts w:hint="eastAsia" w:ascii="宋体" w:hAnsi="宋体" w:eastAsia="宋体" w:cs="宋体"/>
          <w:spacing w:val="-10"/>
          <w:sz w:val="24"/>
          <w:szCs w:val="24"/>
        </w:rPr>
        <w:fldChar w:fldCharType="separate"/>
      </w:r>
      <w:r>
        <w:rPr>
          <w:rFonts w:hint="eastAsia" w:ascii="宋体" w:hAnsi="宋体" w:eastAsia="宋体" w:cs="宋体"/>
          <w:sz w:val="24"/>
          <w:szCs w:val="24"/>
        </w:rPr>
        <w:t>8 检验结论及检验报告</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_Toc20369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pacing w:val="-10"/>
          <w:sz w:val="24"/>
          <w:szCs w:val="24"/>
        </w:rPr>
        <w:fldChar w:fldCharType="end"/>
      </w:r>
    </w:p>
    <w:p w14:paraId="3AC7D257">
      <w:pPr>
        <w:pStyle w:val="7"/>
        <w:keepNext w:val="0"/>
        <w:keepLines w:val="0"/>
        <w:pageBreakBefore w:val="0"/>
        <w:widowControl/>
        <w:tabs>
          <w:tab w:val="right" w:leader="dot" w:pos="9354"/>
        </w:tabs>
        <w:kinsoku w:val="0"/>
        <w:wordWrap/>
        <w:overflowPunct/>
        <w:topLinePunct w:val="0"/>
        <w:autoSpaceDE w:val="0"/>
        <w:autoSpaceDN w:val="0"/>
        <w:bidi w:val="0"/>
        <w:adjustRightInd w:val="0"/>
        <w:snapToGrid w:val="0"/>
        <w:spacing w:line="480" w:lineRule="auto"/>
        <w:textAlignment w:val="baseline"/>
        <w:rPr>
          <w:rFonts w:hint="eastAsia" w:ascii="宋体" w:hAnsi="宋体" w:eastAsia="宋体" w:cs="宋体"/>
          <w:sz w:val="24"/>
          <w:szCs w:val="24"/>
        </w:rPr>
      </w:pPr>
      <w:r>
        <w:rPr>
          <w:rFonts w:hint="eastAsia" w:ascii="宋体" w:hAnsi="宋体" w:eastAsia="宋体" w:cs="宋体"/>
          <w:spacing w:val="-10"/>
          <w:sz w:val="24"/>
          <w:szCs w:val="24"/>
        </w:rPr>
        <w:fldChar w:fldCharType="begin"/>
      </w:r>
      <w:r>
        <w:rPr>
          <w:rFonts w:hint="eastAsia" w:ascii="宋体" w:hAnsi="宋体" w:eastAsia="宋体" w:cs="宋体"/>
          <w:spacing w:val="-10"/>
          <w:sz w:val="24"/>
          <w:szCs w:val="24"/>
        </w:rPr>
        <w:instrText xml:space="preserve"> HYPERLINK \l _Toc10926 </w:instrText>
      </w:r>
      <w:r>
        <w:rPr>
          <w:rFonts w:hint="eastAsia" w:ascii="宋体" w:hAnsi="宋体" w:eastAsia="宋体" w:cs="宋体"/>
          <w:spacing w:val="-10"/>
          <w:sz w:val="24"/>
          <w:szCs w:val="24"/>
        </w:rPr>
        <w:fldChar w:fldCharType="separate"/>
      </w:r>
      <w:r>
        <w:rPr>
          <w:rFonts w:hint="eastAsia" w:ascii="宋体" w:hAnsi="宋体" w:eastAsia="宋体" w:cs="宋体"/>
          <w:sz w:val="24"/>
          <w:szCs w:val="24"/>
        </w:rPr>
        <w:t>附 录 A</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_Toc10926 \h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spacing w:val="-10"/>
          <w:sz w:val="24"/>
          <w:szCs w:val="24"/>
        </w:rPr>
        <w:fldChar w:fldCharType="end"/>
      </w:r>
    </w:p>
    <w:p w14:paraId="22B0CC49">
      <w:pPr>
        <w:pStyle w:val="7"/>
        <w:keepNext w:val="0"/>
        <w:keepLines w:val="0"/>
        <w:pageBreakBefore w:val="0"/>
        <w:widowControl/>
        <w:tabs>
          <w:tab w:val="right" w:leader="dot" w:pos="8989"/>
        </w:tabs>
        <w:kinsoku w:val="0"/>
        <w:wordWrap/>
        <w:overflowPunct/>
        <w:topLinePunct w:val="0"/>
        <w:autoSpaceDE w:val="0"/>
        <w:autoSpaceDN w:val="0"/>
        <w:bidi w:val="0"/>
        <w:adjustRightInd w:val="0"/>
        <w:snapToGrid w:val="0"/>
        <w:spacing w:line="480" w:lineRule="auto"/>
        <w:textAlignment w:val="baseline"/>
        <w:rPr>
          <w:lang w:eastAsia="zh-CN"/>
        </w:rPr>
      </w:pPr>
      <w:r>
        <w:rPr>
          <w:rFonts w:hint="eastAsia" w:ascii="宋体" w:hAnsi="宋体" w:eastAsia="宋体" w:cs="宋体"/>
          <w:spacing w:val="-10"/>
          <w:sz w:val="24"/>
          <w:szCs w:val="24"/>
        </w:rPr>
        <w:fldChar w:fldCharType="end"/>
      </w:r>
    </w:p>
    <w:p w14:paraId="4F4294A4"/>
    <w:p w14:paraId="6F263405">
      <w:pPr>
        <w:widowControl/>
        <w:jc w:val="left"/>
      </w:pPr>
      <w:r>
        <w:br w:type="page"/>
      </w:r>
    </w:p>
    <w:p w14:paraId="02783CBF">
      <w:pPr>
        <w:ind w:firstLine="640"/>
        <w:jc w:val="center"/>
        <w:rPr>
          <w:rFonts w:ascii="黑体" w:hAnsi="黑体" w:eastAsia="黑体"/>
          <w:sz w:val="32"/>
          <w:szCs w:val="32"/>
        </w:rPr>
      </w:pPr>
      <w:r>
        <w:rPr>
          <w:rFonts w:hint="eastAsia" w:ascii="黑体" w:hAnsi="黑体" w:eastAsia="黑体"/>
          <w:sz w:val="32"/>
          <w:szCs w:val="32"/>
        </w:rPr>
        <w:t>造纸机械用铸铁烘缸定期检验</w:t>
      </w:r>
    </w:p>
    <w:p w14:paraId="256579C9">
      <w:pPr>
        <w:spacing w:afterAutospacing="0"/>
        <w:rPr>
          <w:rFonts w:ascii="黑体" w:hAnsi="黑体" w:eastAsia="黑体"/>
        </w:rPr>
      </w:pPr>
    </w:p>
    <w:p w14:paraId="198F19BC">
      <w:pPr>
        <w:pStyle w:val="2"/>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240" w:lineRule="auto"/>
        <w:textAlignment w:val="auto"/>
        <w:rPr>
          <w:rFonts w:hint="eastAsia" w:ascii="宋体" w:hAnsi="宋体" w:eastAsia="宋体" w:cs="宋体"/>
          <w:sz w:val="24"/>
          <w:szCs w:val="24"/>
        </w:rPr>
      </w:pPr>
      <w:bookmarkStart w:id="0" w:name="_Toc16450"/>
      <w:r>
        <w:rPr>
          <w:rFonts w:hint="eastAsia" w:ascii="宋体" w:hAnsi="宋体" w:eastAsia="宋体" w:cs="宋体"/>
          <w:sz w:val="24"/>
          <w:szCs w:val="24"/>
        </w:rPr>
        <w:t>1 范围</w:t>
      </w:r>
      <w:bookmarkEnd w:id="0"/>
    </w:p>
    <w:p w14:paraId="1C108C0B">
      <w:pPr>
        <w:spacing w:beforeAutospacing="0"/>
        <w:ind w:firstLine="420" w:firstLineChars="200"/>
        <w:rPr>
          <w:rFonts w:ascii="宋体" w:hAnsi="宋体" w:eastAsia="宋体"/>
        </w:rPr>
      </w:pPr>
    </w:p>
    <w:p w14:paraId="210780FA">
      <w:pPr>
        <w:ind w:firstLine="420" w:firstLineChars="200"/>
        <w:rPr>
          <w:rFonts w:ascii="宋体" w:hAnsi="宋体" w:eastAsia="宋体"/>
        </w:rPr>
      </w:pPr>
      <w:r>
        <w:rPr>
          <w:rFonts w:hint="eastAsia" w:ascii="宋体" w:hAnsi="宋体" w:eastAsia="宋体"/>
        </w:rPr>
        <w:t>本标准规定了在用造纸机械用铸铁烘缸定期检验的基本要求，包括通用要求、准备工作、检验、评定及报告。本标准适用于《特种设备目录》范围内造纸机械用铸铁烘缸定期检验。不适用烘缸缸体外径大于4600mm、厚度大于80mm的烘缸定期检验。</w:t>
      </w:r>
    </w:p>
    <w:p w14:paraId="6A97329E">
      <w:pPr>
        <w:rPr>
          <w:rFonts w:ascii="黑体" w:hAnsi="黑体" w:eastAsia="黑体"/>
        </w:rPr>
      </w:pPr>
    </w:p>
    <w:p w14:paraId="510A5A2D">
      <w:pPr>
        <w:pStyle w:val="2"/>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240" w:lineRule="auto"/>
        <w:textAlignment w:val="auto"/>
        <w:rPr>
          <w:rFonts w:hint="eastAsia" w:ascii="宋体" w:hAnsi="宋体" w:eastAsia="宋体" w:cs="宋体"/>
          <w:b/>
          <w:sz w:val="24"/>
          <w:szCs w:val="24"/>
        </w:rPr>
      </w:pPr>
      <w:bookmarkStart w:id="1" w:name="_Toc20446"/>
      <w:r>
        <w:rPr>
          <w:rFonts w:hint="eastAsia" w:ascii="宋体" w:hAnsi="宋体" w:eastAsia="宋体" w:cs="宋体"/>
          <w:b/>
          <w:sz w:val="24"/>
          <w:szCs w:val="24"/>
        </w:rPr>
        <w:t>2 规范性引用文件</w:t>
      </w:r>
      <w:bookmarkEnd w:id="1"/>
    </w:p>
    <w:p w14:paraId="0AC90172">
      <w:pPr>
        <w:rPr>
          <w:rFonts w:ascii="宋体" w:hAnsi="宋体" w:eastAsia="宋体"/>
        </w:rPr>
      </w:pPr>
    </w:p>
    <w:p w14:paraId="43F41F7D">
      <w:pPr>
        <w:ind w:firstLine="420" w:firstLineChars="200"/>
        <w:rPr>
          <w:rFonts w:ascii="宋体" w:hAnsi="宋体" w:eastAsia="宋体"/>
        </w:rPr>
      </w:pPr>
      <w:r>
        <w:rPr>
          <w:rFonts w:hint="eastAsia" w:ascii="宋体" w:hAnsi="宋体" w:eastAsia="宋体"/>
        </w:rPr>
        <w:t>下列文件对于本文件的应用是必不可少的。凡是注日期的引用文件，仅注日期的版本适用于本文件。凡是不注日期的引用文件，其最新版本（包括所有的修改单）适用于本文件。</w:t>
      </w:r>
    </w:p>
    <w:p w14:paraId="3B14E7AE">
      <w:pPr>
        <w:ind w:firstLine="420" w:firstLineChars="200"/>
        <w:rPr>
          <w:rFonts w:ascii="宋体" w:hAnsi="宋体" w:eastAsia="宋体"/>
        </w:rPr>
      </w:pPr>
      <w:r>
        <w:rPr>
          <w:rFonts w:ascii="宋体" w:hAnsi="宋体" w:eastAsia="宋体"/>
        </w:rPr>
        <w:t>NB/T 47013.1-2015 承压设备无损检测 第1部分：通用要求</w:t>
      </w:r>
    </w:p>
    <w:p w14:paraId="1F748973">
      <w:pPr>
        <w:ind w:firstLine="420" w:firstLineChars="200"/>
        <w:rPr>
          <w:rFonts w:ascii="宋体" w:hAnsi="宋体" w:eastAsia="宋体"/>
        </w:rPr>
      </w:pPr>
      <w:r>
        <w:rPr>
          <w:rFonts w:ascii="宋体" w:hAnsi="宋体" w:eastAsia="宋体"/>
        </w:rPr>
        <w:t>NB/T 47013.3-20</w:t>
      </w:r>
      <w:r>
        <w:rPr>
          <w:rFonts w:hint="eastAsia" w:ascii="宋体" w:hAnsi="宋体" w:eastAsia="宋体"/>
          <w:lang w:val="en-US" w:eastAsia="zh-CN"/>
        </w:rPr>
        <w:t>23</w:t>
      </w:r>
      <w:r>
        <w:rPr>
          <w:rFonts w:ascii="宋体" w:hAnsi="宋体" w:eastAsia="宋体"/>
        </w:rPr>
        <w:t xml:space="preserve"> 承压设备无损检测 第3部分：</w:t>
      </w:r>
      <w:r>
        <w:rPr>
          <w:rFonts w:hint="eastAsia" w:ascii="宋体" w:hAnsi="宋体" w:eastAsia="宋体"/>
        </w:rPr>
        <w:t>超声</w:t>
      </w:r>
      <w:r>
        <w:rPr>
          <w:rFonts w:ascii="宋体" w:hAnsi="宋体" w:eastAsia="宋体"/>
        </w:rPr>
        <w:t>检测</w:t>
      </w:r>
    </w:p>
    <w:p w14:paraId="3BD03BBA">
      <w:pPr>
        <w:ind w:firstLine="420" w:firstLineChars="200"/>
        <w:rPr>
          <w:rFonts w:ascii="宋体" w:hAnsi="宋体" w:eastAsia="宋体"/>
        </w:rPr>
      </w:pPr>
      <w:r>
        <w:rPr>
          <w:rFonts w:ascii="宋体" w:hAnsi="宋体" w:eastAsia="宋体"/>
        </w:rPr>
        <w:t>NB/T 47013.4-2015 承压设备无损检测 第4部分：磁粉检测</w:t>
      </w:r>
    </w:p>
    <w:p w14:paraId="0E2BFA5F">
      <w:pPr>
        <w:ind w:firstLine="420" w:firstLineChars="200"/>
        <w:rPr>
          <w:rFonts w:ascii="宋体" w:hAnsi="宋体" w:eastAsia="宋体"/>
        </w:rPr>
      </w:pPr>
      <w:r>
        <w:rPr>
          <w:rFonts w:ascii="宋体" w:hAnsi="宋体" w:eastAsia="宋体"/>
        </w:rPr>
        <w:t>QB/T 2551-2021 造纸机械用铸铁烘缸</w:t>
      </w:r>
    </w:p>
    <w:p w14:paraId="0A13BCE7">
      <w:pPr>
        <w:ind w:firstLine="420" w:firstLineChars="200"/>
        <w:rPr>
          <w:rFonts w:ascii="宋体" w:hAnsi="宋体" w:eastAsia="宋体"/>
        </w:rPr>
      </w:pPr>
      <w:r>
        <w:rPr>
          <w:rFonts w:ascii="宋体" w:hAnsi="宋体" w:eastAsia="宋体"/>
        </w:rPr>
        <w:t>TSG 21-2016 固定式压力容器安全技术监察规程</w:t>
      </w:r>
    </w:p>
    <w:p w14:paraId="6112B6F5">
      <w:pPr>
        <w:ind w:firstLine="420" w:firstLineChars="200"/>
        <w:rPr>
          <w:rFonts w:ascii="宋体" w:hAnsi="宋体" w:eastAsia="宋体"/>
        </w:rPr>
      </w:pPr>
      <w:r>
        <w:rPr>
          <w:rFonts w:hint="eastAsia" w:ascii="宋体" w:hAnsi="宋体" w:eastAsia="宋体"/>
        </w:rPr>
        <w:t>GB/</w:t>
      </w:r>
      <w:r>
        <w:rPr>
          <w:rFonts w:ascii="宋体" w:hAnsi="宋体" w:eastAsia="宋体"/>
        </w:rPr>
        <w:t xml:space="preserve"> </w:t>
      </w:r>
      <w:r>
        <w:rPr>
          <w:rFonts w:hint="eastAsia" w:ascii="宋体" w:hAnsi="宋体" w:eastAsia="宋体"/>
        </w:rPr>
        <w:t>T30579</w:t>
      </w:r>
      <w:r>
        <w:rPr>
          <w:rFonts w:ascii="宋体" w:hAnsi="宋体" w:eastAsia="宋体"/>
        </w:rPr>
        <w:t>-2022</w:t>
      </w:r>
      <w:r>
        <w:rPr>
          <w:rFonts w:hint="eastAsia" w:ascii="宋体" w:hAnsi="宋体" w:eastAsia="宋体"/>
        </w:rPr>
        <w:t>承压设备损伤模式识别</w:t>
      </w:r>
    </w:p>
    <w:p w14:paraId="079CE6A3">
      <w:pPr>
        <w:rPr>
          <w:rFonts w:ascii="黑体" w:hAnsi="黑体" w:eastAsia="黑体"/>
        </w:rPr>
      </w:pPr>
    </w:p>
    <w:p w14:paraId="763FAC79">
      <w:pPr>
        <w:pStyle w:val="2"/>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240" w:lineRule="auto"/>
        <w:textAlignment w:val="auto"/>
        <w:rPr>
          <w:rFonts w:hint="eastAsia" w:ascii="宋体" w:hAnsi="宋体" w:eastAsia="宋体" w:cs="宋体"/>
          <w:b/>
          <w:sz w:val="24"/>
          <w:szCs w:val="24"/>
        </w:rPr>
      </w:pPr>
      <w:bookmarkStart w:id="2" w:name="_Toc4677"/>
      <w:r>
        <w:rPr>
          <w:rFonts w:hint="eastAsia" w:ascii="宋体" w:hAnsi="宋体" w:eastAsia="宋体" w:cs="宋体"/>
          <w:b/>
          <w:sz w:val="24"/>
          <w:szCs w:val="24"/>
        </w:rPr>
        <w:t>3 术语和定义</w:t>
      </w:r>
      <w:bookmarkEnd w:id="2"/>
    </w:p>
    <w:p w14:paraId="271492EC">
      <w:pPr>
        <w:ind w:firstLine="420" w:firstLineChars="200"/>
        <w:rPr>
          <w:rFonts w:ascii="宋体" w:hAnsi="宋体" w:eastAsia="宋体"/>
        </w:rPr>
      </w:pPr>
    </w:p>
    <w:p w14:paraId="64AC4B35">
      <w:pPr>
        <w:ind w:firstLine="420" w:firstLineChars="200"/>
        <w:rPr>
          <w:rFonts w:ascii="宋体" w:hAnsi="宋体" w:eastAsia="宋体"/>
        </w:rPr>
      </w:pPr>
      <w:r>
        <w:rPr>
          <w:rFonts w:hint="eastAsia" w:ascii="宋体" w:hAnsi="宋体" w:eastAsia="宋体"/>
        </w:rPr>
        <w:t>QB/T255</w:t>
      </w:r>
      <w:r>
        <w:rPr>
          <w:rFonts w:ascii="宋体" w:hAnsi="宋体" w:eastAsia="宋体"/>
        </w:rPr>
        <w:t xml:space="preserve">1-2021 </w:t>
      </w:r>
      <w:r>
        <w:rPr>
          <w:rFonts w:hint="eastAsia" w:ascii="宋体" w:hAnsi="宋体" w:eastAsia="宋体"/>
        </w:rPr>
        <w:t>界定的术语和定义适用于本文件。</w:t>
      </w:r>
    </w:p>
    <w:p w14:paraId="36678EE4">
      <w:pPr>
        <w:ind w:firstLine="420" w:firstLineChars="200"/>
        <w:rPr>
          <w:rFonts w:ascii="宋体" w:hAnsi="宋体" w:eastAsia="宋体"/>
        </w:rPr>
      </w:pPr>
    </w:p>
    <w:p w14:paraId="11023937">
      <w:pPr>
        <w:ind w:firstLine="420" w:firstLineChars="200"/>
        <w:rPr>
          <w:rFonts w:ascii="宋体" w:hAnsi="宋体" w:eastAsia="宋体"/>
        </w:rPr>
      </w:pPr>
      <w:r>
        <w:rPr>
          <w:rFonts w:hint="eastAsia" w:ascii="宋体" w:hAnsi="宋体" w:eastAsia="宋体"/>
        </w:rPr>
        <w:t>定期检验是指特种设备检验机构（</w:t>
      </w:r>
      <w:r>
        <w:rPr>
          <w:rFonts w:ascii="宋体" w:hAnsi="宋体" w:eastAsia="宋体"/>
        </w:rPr>
        <w:t>以下简称检验机构</w:t>
      </w:r>
      <w:r>
        <w:rPr>
          <w:rFonts w:hint="eastAsia" w:ascii="宋体" w:hAnsi="宋体" w:eastAsia="宋体"/>
        </w:rPr>
        <w:t>）</w:t>
      </w:r>
      <w:r>
        <w:rPr>
          <w:rFonts w:ascii="宋体" w:hAnsi="宋体" w:eastAsia="宋体"/>
        </w:rPr>
        <w:t>按照一定的时间周期</w:t>
      </w:r>
      <w:r>
        <w:rPr>
          <w:rFonts w:hint="eastAsia" w:ascii="宋体" w:hAnsi="宋体" w:eastAsia="宋体"/>
        </w:rPr>
        <w:t>，</w:t>
      </w:r>
      <w:r>
        <w:rPr>
          <w:rFonts w:ascii="宋体" w:hAnsi="宋体" w:eastAsia="宋体"/>
        </w:rPr>
        <w:t>在压力容器停机时</w:t>
      </w:r>
      <w:r>
        <w:rPr>
          <w:rFonts w:hint="eastAsia" w:ascii="宋体" w:hAnsi="宋体" w:eastAsia="宋体"/>
        </w:rPr>
        <w:t>，</w:t>
      </w:r>
      <w:r>
        <w:rPr>
          <w:rFonts w:ascii="宋体" w:hAnsi="宋体" w:eastAsia="宋体"/>
        </w:rPr>
        <w:t>应按照TSG 21-2016 的规定对在用压力容器的安全状况所进行的符合性验证活动。</w:t>
      </w:r>
    </w:p>
    <w:p w14:paraId="4C0744B2">
      <w:pPr>
        <w:rPr>
          <w:rFonts w:ascii="黑体" w:hAnsi="黑体" w:eastAsia="黑体"/>
        </w:rPr>
      </w:pPr>
    </w:p>
    <w:p w14:paraId="591BD000">
      <w:pPr>
        <w:pStyle w:val="2"/>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240" w:lineRule="auto"/>
        <w:textAlignment w:val="auto"/>
        <w:rPr>
          <w:rFonts w:hint="eastAsia" w:ascii="宋体" w:hAnsi="宋体" w:eastAsia="宋体" w:cs="宋体"/>
          <w:b/>
          <w:sz w:val="24"/>
          <w:szCs w:val="24"/>
        </w:rPr>
      </w:pPr>
      <w:bookmarkStart w:id="3" w:name="_Toc3723"/>
      <w:r>
        <w:rPr>
          <w:rFonts w:hint="eastAsia" w:ascii="宋体" w:hAnsi="宋体" w:eastAsia="宋体" w:cs="宋体"/>
          <w:b/>
          <w:sz w:val="24"/>
          <w:szCs w:val="24"/>
        </w:rPr>
        <w:t>4 通用要求</w:t>
      </w:r>
      <w:bookmarkEnd w:id="3"/>
    </w:p>
    <w:p w14:paraId="1B60BA51">
      <w:pPr>
        <w:rPr>
          <w:rFonts w:ascii="黑体" w:hAnsi="黑体" w:eastAsia="黑体"/>
        </w:rPr>
      </w:pPr>
    </w:p>
    <w:p w14:paraId="1C32669B">
      <w:pPr>
        <w:rPr>
          <w:rFonts w:ascii="黑体" w:hAnsi="黑体" w:eastAsia="黑体"/>
        </w:rPr>
      </w:pPr>
      <w:r>
        <w:rPr>
          <w:rFonts w:ascii="黑体" w:hAnsi="黑体" w:eastAsia="黑体"/>
        </w:rPr>
        <w:t>4.1 机构及人员</w:t>
      </w:r>
    </w:p>
    <w:p w14:paraId="7BCAD786">
      <w:pPr>
        <w:ind w:firstLine="420" w:firstLineChars="200"/>
      </w:pPr>
    </w:p>
    <w:p w14:paraId="5C84CDF7">
      <w:pPr>
        <w:ind w:firstLine="420" w:firstLineChars="200"/>
        <w:rPr>
          <w:rFonts w:ascii="宋体" w:hAnsi="宋体" w:eastAsia="宋体"/>
        </w:rPr>
      </w:pPr>
      <w:r>
        <w:rPr>
          <w:rFonts w:hint="eastAsia" w:ascii="宋体" w:hAnsi="宋体" w:eastAsia="宋体"/>
        </w:rPr>
        <w:t>检验机构应按照核准的检验范围从事造纸机械用铸铁烘缸定期检验工作；检验和检测人员</w:t>
      </w:r>
      <w:r>
        <w:rPr>
          <w:rFonts w:ascii="宋体" w:hAnsi="宋体" w:eastAsia="宋体"/>
        </w:rPr>
        <w:t>(以下简称检验人员)应取得相应的特种设备检验检测人员证书。</w:t>
      </w:r>
      <w:r>
        <w:rPr>
          <w:rFonts w:hint="eastAsia" w:ascii="宋体" w:hAnsi="宋体" w:eastAsia="宋体"/>
        </w:rPr>
        <w:t>检验机构应当对定期检验报告的真实性、准确性、有效性负责。</w:t>
      </w:r>
    </w:p>
    <w:p w14:paraId="5D498723">
      <w:pPr>
        <w:rPr>
          <w:rFonts w:ascii="黑体" w:hAnsi="黑体" w:eastAsia="黑体"/>
        </w:rPr>
      </w:pPr>
    </w:p>
    <w:p w14:paraId="7832111A">
      <w:pPr>
        <w:rPr>
          <w:rFonts w:ascii="黑体" w:hAnsi="黑体" w:eastAsia="黑体"/>
        </w:rPr>
      </w:pPr>
      <w:r>
        <w:rPr>
          <w:rFonts w:ascii="黑体" w:hAnsi="黑体" w:eastAsia="黑体"/>
        </w:rPr>
        <w:t>4.2 程序</w:t>
      </w:r>
    </w:p>
    <w:p w14:paraId="3F1609BA">
      <w:pPr>
        <w:ind w:firstLine="420" w:firstLineChars="200"/>
      </w:pPr>
    </w:p>
    <w:p w14:paraId="4B9DDD93">
      <w:pPr>
        <w:ind w:firstLine="420" w:firstLineChars="200"/>
        <w:rPr>
          <w:rFonts w:ascii="宋体" w:hAnsi="宋体" w:eastAsia="宋体"/>
        </w:rPr>
      </w:pPr>
      <w:r>
        <w:rPr>
          <w:rFonts w:hint="eastAsia" w:ascii="宋体" w:hAnsi="宋体" w:eastAsia="宋体"/>
        </w:rPr>
        <w:t>定期检验程序包括检验前的准备、检验实施、缺陷及问题的处理、检验结果汇总、安全状况等级评定及报告出具等。</w:t>
      </w:r>
    </w:p>
    <w:p w14:paraId="4F387A93">
      <w:pPr>
        <w:rPr>
          <w:rFonts w:ascii="宋体" w:hAnsi="宋体" w:eastAsia="宋体"/>
        </w:rPr>
      </w:pPr>
    </w:p>
    <w:p w14:paraId="396CFE7F">
      <w:pPr>
        <w:rPr>
          <w:rFonts w:ascii="黑体" w:hAnsi="黑体" w:eastAsia="黑体"/>
        </w:rPr>
      </w:pPr>
      <w:r>
        <w:rPr>
          <w:rFonts w:ascii="黑体" w:hAnsi="黑体" w:eastAsia="黑体"/>
        </w:rPr>
        <w:t>4.3</w:t>
      </w:r>
      <w:r>
        <w:rPr>
          <w:rFonts w:ascii="黑体" w:hAnsi="黑体" w:eastAsia="黑体"/>
        </w:rPr>
        <w:tab/>
      </w:r>
      <w:r>
        <w:rPr>
          <w:rFonts w:hint="eastAsia" w:ascii="黑体" w:hAnsi="黑体" w:eastAsia="黑体"/>
        </w:rPr>
        <w:t>检验</w:t>
      </w:r>
      <w:r>
        <w:rPr>
          <w:rFonts w:ascii="黑体" w:hAnsi="黑体" w:eastAsia="黑体"/>
        </w:rPr>
        <w:t>周期</w:t>
      </w:r>
    </w:p>
    <w:p w14:paraId="4DE22B31">
      <w:pPr>
        <w:rPr>
          <w:rFonts w:ascii="黑体" w:hAnsi="黑体" w:eastAsia="黑体"/>
        </w:rPr>
      </w:pPr>
    </w:p>
    <w:p w14:paraId="2477DE65">
      <w:pPr>
        <w:rPr>
          <w:rFonts w:ascii="黑体" w:hAnsi="黑体" w:eastAsia="黑体"/>
        </w:rPr>
      </w:pPr>
      <w:r>
        <w:rPr>
          <w:rFonts w:ascii="黑体" w:hAnsi="黑体" w:eastAsia="黑体"/>
        </w:rPr>
        <w:t>4.3.1 一般规定</w:t>
      </w:r>
    </w:p>
    <w:p w14:paraId="07FB7807">
      <w:pPr>
        <w:ind w:firstLine="420" w:firstLineChars="200"/>
        <w:rPr>
          <w:rFonts w:ascii="宋体" w:hAnsi="宋体" w:eastAsia="宋体"/>
        </w:rPr>
      </w:pPr>
    </w:p>
    <w:p w14:paraId="6AA17BC6">
      <w:pPr>
        <w:ind w:firstLine="420" w:firstLineChars="200"/>
        <w:rPr>
          <w:rFonts w:ascii="宋体" w:hAnsi="宋体" w:eastAsia="宋体"/>
        </w:rPr>
      </w:pPr>
      <w:r>
        <w:rPr>
          <w:rFonts w:ascii="宋体" w:hAnsi="宋体" w:eastAsia="宋体"/>
        </w:rPr>
        <w:t>一般于投用后3年内进行首次定期检验。以后的定期检验周期由检验机构根据烘缸的安全状况等级，按照以下要求确定：</w:t>
      </w:r>
    </w:p>
    <w:p w14:paraId="24C5F0AE">
      <w:pPr>
        <w:ind w:firstLine="420" w:firstLineChars="200"/>
        <w:rPr>
          <w:rFonts w:ascii="宋体" w:hAnsi="宋体" w:eastAsia="宋体"/>
        </w:rPr>
      </w:pPr>
      <w:r>
        <w:rPr>
          <w:rFonts w:ascii="宋体" w:hAnsi="宋体" w:eastAsia="宋体"/>
        </w:rPr>
        <w:t>a) 安全状况等级为 1、2 级的，一般每 6 年检验一次；</w:t>
      </w:r>
    </w:p>
    <w:p w14:paraId="7C49A74F">
      <w:pPr>
        <w:ind w:firstLine="420" w:firstLineChars="200"/>
        <w:rPr>
          <w:rFonts w:ascii="宋体" w:hAnsi="宋体" w:eastAsia="宋体"/>
        </w:rPr>
      </w:pPr>
      <w:r>
        <w:rPr>
          <w:rFonts w:ascii="宋体" w:hAnsi="宋体" w:eastAsia="宋体"/>
        </w:rPr>
        <w:t>b) 安全状况等级为 3 级的，一般每 3 年至 6 年检验一次；</w:t>
      </w:r>
    </w:p>
    <w:p w14:paraId="1F8D09FE">
      <w:pPr>
        <w:ind w:firstLine="420" w:firstLineChars="200"/>
        <w:rPr>
          <w:rFonts w:ascii="宋体" w:hAnsi="宋体" w:eastAsia="宋体"/>
        </w:rPr>
      </w:pPr>
      <w:r>
        <w:rPr>
          <w:rFonts w:ascii="宋体" w:hAnsi="宋体" w:eastAsia="宋体"/>
        </w:rPr>
        <w:t>c) 安全状况等级为 4 级的，监控使用，其检验周期由检验机构确定，累计监控使用时间不得超过 3 年，在监控使用期间，使用单位应采取有效的监控措施；</w:t>
      </w:r>
    </w:p>
    <w:p w14:paraId="5A7C4D57">
      <w:pPr>
        <w:ind w:firstLine="420" w:firstLineChars="200"/>
        <w:rPr>
          <w:rFonts w:ascii="宋体" w:hAnsi="宋体" w:eastAsia="宋体"/>
        </w:rPr>
      </w:pPr>
      <w:r>
        <w:rPr>
          <w:rFonts w:ascii="宋体" w:hAnsi="宋体" w:eastAsia="宋体"/>
        </w:rPr>
        <w:t>d) 安全状况等级为 5 级的，应对缺陷进行处理，否则不得继续使用。</w:t>
      </w:r>
    </w:p>
    <w:p w14:paraId="56D336DC">
      <w:pPr>
        <w:rPr>
          <w:rFonts w:ascii="宋体" w:hAnsi="宋体" w:eastAsia="宋体"/>
        </w:rPr>
      </w:pPr>
    </w:p>
    <w:p w14:paraId="7A6A9C6F">
      <w:pPr>
        <w:rPr>
          <w:rFonts w:ascii="黑体" w:hAnsi="黑体" w:eastAsia="黑体"/>
        </w:rPr>
      </w:pPr>
      <w:r>
        <w:rPr>
          <w:rFonts w:ascii="黑体" w:hAnsi="黑体" w:eastAsia="黑体"/>
        </w:rPr>
        <w:t>4.3.2 特殊规定</w:t>
      </w:r>
    </w:p>
    <w:p w14:paraId="1A6F32F7">
      <w:pPr>
        <w:rPr>
          <w:rFonts w:ascii="宋体" w:hAnsi="宋体" w:eastAsia="宋体"/>
        </w:rPr>
      </w:pPr>
    </w:p>
    <w:p w14:paraId="737CAEC9">
      <w:pPr>
        <w:ind w:firstLine="420" w:firstLineChars="200"/>
        <w:rPr>
          <w:rFonts w:ascii="宋体" w:hAnsi="宋体" w:eastAsia="宋体"/>
        </w:rPr>
      </w:pPr>
      <w:r>
        <w:rPr>
          <w:rFonts w:hint="eastAsia" w:ascii="宋体" w:hAnsi="宋体" w:eastAsia="宋体"/>
        </w:rPr>
        <w:t>在有下列情况之一时，定期检验周期应适当缩短：</w:t>
      </w:r>
    </w:p>
    <w:p w14:paraId="376A5A56">
      <w:pPr>
        <w:pStyle w:val="3"/>
        <w:ind w:left="20" w:firstLine="420" w:firstLineChars="200"/>
      </w:pPr>
      <w:r>
        <w:rPr>
          <w:rFonts w:hint="eastAsia"/>
        </w:rPr>
        <w:t>a)</w:t>
      </w:r>
      <w:r>
        <w:t xml:space="preserve"> 产生较严重的机械损伤</w:t>
      </w:r>
      <w:r>
        <w:rPr>
          <w:rFonts w:hint="eastAsia"/>
        </w:rPr>
        <w:t>的</w:t>
      </w:r>
      <w:r>
        <w:t>；</w:t>
      </w:r>
    </w:p>
    <w:p w14:paraId="0D4E24E0">
      <w:pPr>
        <w:pStyle w:val="3"/>
        <w:ind w:left="20" w:firstLine="420" w:firstLineChars="200"/>
      </w:pPr>
      <w:r>
        <w:rPr>
          <w:rFonts w:hint="eastAsia"/>
        </w:rPr>
        <w:t>b)</w:t>
      </w:r>
      <w:r>
        <w:t xml:space="preserve"> 外表面发现裂纹</w:t>
      </w:r>
      <w:r>
        <w:rPr>
          <w:rFonts w:hint="eastAsia"/>
        </w:rPr>
        <w:t>的</w:t>
      </w:r>
      <w:r>
        <w:t>；</w:t>
      </w:r>
    </w:p>
    <w:p w14:paraId="2BF68E0C">
      <w:pPr>
        <w:pStyle w:val="3"/>
        <w:ind w:left="20" w:firstLine="420" w:firstLineChars="200"/>
      </w:pPr>
      <w:r>
        <w:rPr>
          <w:rFonts w:hint="eastAsia"/>
        </w:rPr>
        <w:t>c</w:t>
      </w:r>
      <w:r>
        <w:t>) 缸面硬度值不符合要求值</w:t>
      </w:r>
      <w:r>
        <w:rPr>
          <w:rFonts w:hint="eastAsia"/>
        </w:rPr>
        <w:t>的</w:t>
      </w:r>
      <w:r>
        <w:t>；</w:t>
      </w:r>
    </w:p>
    <w:p w14:paraId="6C197791">
      <w:pPr>
        <w:pStyle w:val="3"/>
        <w:ind w:left="20" w:firstLine="420" w:firstLineChars="200"/>
      </w:pPr>
      <w:r>
        <w:rPr>
          <w:rFonts w:hint="eastAsia"/>
        </w:rPr>
        <w:t>d)</w:t>
      </w:r>
      <w:r>
        <w:t xml:space="preserve"> 使用单位没有按照规定进行年度检查</w:t>
      </w:r>
      <w:r>
        <w:rPr>
          <w:rFonts w:hint="eastAsia"/>
        </w:rPr>
        <w:t>的</w:t>
      </w:r>
      <w:r>
        <w:t xml:space="preserve">； </w:t>
      </w:r>
    </w:p>
    <w:p w14:paraId="6800CEE0">
      <w:pPr>
        <w:pStyle w:val="3"/>
        <w:ind w:left="20" w:firstLine="420" w:firstLineChars="200"/>
      </w:pPr>
      <w:r>
        <w:t>e) 检验人员认为有必要</w:t>
      </w:r>
      <w:r>
        <w:rPr>
          <w:rFonts w:hint="eastAsia"/>
        </w:rPr>
        <w:t>的</w:t>
      </w:r>
      <w:r>
        <w:t>。</w:t>
      </w:r>
    </w:p>
    <w:p w14:paraId="0813E8F9">
      <w:pPr>
        <w:rPr>
          <w:rFonts w:ascii="黑体" w:hAnsi="黑体" w:eastAsia="黑体"/>
        </w:rPr>
      </w:pPr>
    </w:p>
    <w:p w14:paraId="36548D3F">
      <w:pPr>
        <w:pStyle w:val="2"/>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240" w:lineRule="auto"/>
        <w:textAlignment w:val="auto"/>
        <w:rPr>
          <w:rFonts w:hint="eastAsia" w:ascii="宋体" w:hAnsi="宋体" w:eastAsia="宋体" w:cs="宋体"/>
          <w:b/>
          <w:sz w:val="24"/>
          <w:szCs w:val="24"/>
        </w:rPr>
      </w:pPr>
      <w:bookmarkStart w:id="4" w:name="_Toc18872"/>
      <w:r>
        <w:rPr>
          <w:rFonts w:hint="eastAsia" w:ascii="宋体" w:hAnsi="宋体" w:eastAsia="宋体" w:cs="宋体"/>
          <w:b/>
          <w:sz w:val="24"/>
          <w:szCs w:val="24"/>
        </w:rPr>
        <w:t>5 定期检验前的准备工作</w:t>
      </w:r>
      <w:bookmarkEnd w:id="4"/>
    </w:p>
    <w:p w14:paraId="30F2BD70">
      <w:pPr>
        <w:rPr>
          <w:rFonts w:ascii="黑体" w:hAnsi="黑体" w:eastAsia="黑体"/>
        </w:rPr>
      </w:pPr>
    </w:p>
    <w:p w14:paraId="181234F7">
      <w:pPr>
        <w:rPr>
          <w:rFonts w:ascii="黑体" w:hAnsi="黑体" w:eastAsia="黑体"/>
        </w:rPr>
      </w:pPr>
      <w:r>
        <w:rPr>
          <w:rFonts w:ascii="黑体" w:hAnsi="黑体" w:eastAsia="黑体"/>
        </w:rPr>
        <w:t>5.1</w:t>
      </w:r>
      <w:r>
        <w:rPr>
          <w:rFonts w:ascii="黑体" w:hAnsi="黑体" w:eastAsia="黑体"/>
        </w:rPr>
        <w:tab/>
      </w:r>
      <w:r>
        <w:rPr>
          <w:rFonts w:hint="eastAsia" w:ascii="黑体" w:hAnsi="黑体" w:eastAsia="黑体"/>
        </w:rPr>
        <w:t>检验</w:t>
      </w:r>
      <w:r>
        <w:rPr>
          <w:rFonts w:ascii="黑体" w:hAnsi="黑体" w:eastAsia="黑体"/>
        </w:rPr>
        <w:t>方案</w:t>
      </w:r>
    </w:p>
    <w:p w14:paraId="1417960B">
      <w:pPr>
        <w:rPr>
          <w:rFonts w:ascii="宋体" w:hAnsi="宋体" w:eastAsia="宋体"/>
        </w:rPr>
      </w:pPr>
    </w:p>
    <w:p w14:paraId="17ECBCE7">
      <w:pPr>
        <w:ind w:firstLine="420" w:firstLineChars="200"/>
        <w:rPr>
          <w:rFonts w:ascii="宋体" w:hAnsi="宋体" w:eastAsia="宋体"/>
        </w:rPr>
      </w:pPr>
      <w:r>
        <w:rPr>
          <w:rFonts w:hint="eastAsia" w:ascii="宋体" w:hAnsi="宋体" w:eastAsia="宋体"/>
        </w:rPr>
        <w:t>方案应按照</w:t>
      </w:r>
      <w:r>
        <w:rPr>
          <w:rFonts w:ascii="宋体" w:hAnsi="宋体" w:eastAsia="宋体"/>
        </w:rPr>
        <w:t>TSG 21-2016 中8.2.1的规定执行。</w:t>
      </w:r>
    </w:p>
    <w:p w14:paraId="2FB4F850">
      <w:pPr>
        <w:rPr>
          <w:rFonts w:ascii="黑体" w:hAnsi="黑体" w:eastAsia="黑体"/>
        </w:rPr>
      </w:pPr>
    </w:p>
    <w:p w14:paraId="421040C6">
      <w:pPr>
        <w:rPr>
          <w:rFonts w:ascii="黑体" w:hAnsi="黑体" w:eastAsia="黑体"/>
        </w:rPr>
      </w:pPr>
      <w:r>
        <w:rPr>
          <w:rFonts w:ascii="黑体" w:hAnsi="黑体" w:eastAsia="黑体"/>
        </w:rPr>
        <w:t>5.2</w:t>
      </w:r>
      <w:r>
        <w:rPr>
          <w:rFonts w:ascii="黑体" w:hAnsi="黑体" w:eastAsia="黑体"/>
        </w:rPr>
        <w:tab/>
      </w:r>
      <w:r>
        <w:rPr>
          <w:rFonts w:ascii="黑体" w:hAnsi="黑体" w:eastAsia="黑体"/>
        </w:rPr>
        <w:t>资料审查</w:t>
      </w:r>
    </w:p>
    <w:p w14:paraId="1DACE17A">
      <w:pPr>
        <w:rPr>
          <w:rFonts w:ascii="黑体" w:hAnsi="黑体" w:eastAsia="黑体"/>
        </w:rPr>
      </w:pPr>
    </w:p>
    <w:p w14:paraId="482662B8">
      <w:pPr>
        <w:rPr>
          <w:rFonts w:ascii="黑体" w:hAnsi="黑体" w:eastAsia="黑体"/>
        </w:rPr>
      </w:pPr>
      <w:r>
        <w:rPr>
          <w:rFonts w:ascii="黑体" w:hAnsi="黑体" w:eastAsia="黑体"/>
        </w:rPr>
        <w:t>5.2.1 基本资料</w:t>
      </w:r>
    </w:p>
    <w:p w14:paraId="5E5ABDAA">
      <w:pPr>
        <w:rPr>
          <w:rFonts w:ascii="宋体" w:hAnsi="宋体" w:eastAsia="宋体"/>
        </w:rPr>
      </w:pPr>
    </w:p>
    <w:p w14:paraId="5A818F72">
      <w:pPr>
        <w:ind w:firstLine="420" w:firstLineChars="200"/>
        <w:rPr>
          <w:rFonts w:ascii="宋体" w:hAnsi="宋体" w:eastAsia="宋体"/>
        </w:rPr>
      </w:pPr>
      <w:r>
        <w:rPr>
          <w:rFonts w:hint="eastAsia" w:ascii="宋体" w:hAnsi="宋体" w:eastAsia="宋体"/>
        </w:rPr>
        <w:t>基本资料审查应按照</w:t>
      </w:r>
      <w:r>
        <w:rPr>
          <w:rFonts w:ascii="宋体" w:hAnsi="宋体" w:eastAsia="宋体"/>
        </w:rPr>
        <w:t>TSG 21-2016 中8.2.2的规定执行。</w:t>
      </w:r>
    </w:p>
    <w:p w14:paraId="23119D59">
      <w:pPr>
        <w:rPr>
          <w:rFonts w:ascii="黑体" w:hAnsi="黑体" w:eastAsia="黑体"/>
        </w:rPr>
      </w:pPr>
    </w:p>
    <w:p w14:paraId="555E925C">
      <w:pPr>
        <w:rPr>
          <w:rFonts w:ascii="黑体" w:hAnsi="黑体" w:eastAsia="黑体"/>
        </w:rPr>
      </w:pPr>
      <w:r>
        <w:rPr>
          <w:rFonts w:ascii="黑体" w:hAnsi="黑体" w:eastAsia="黑体"/>
        </w:rPr>
        <w:t>5.2.2 重点内容</w:t>
      </w:r>
    </w:p>
    <w:p w14:paraId="634C328E">
      <w:pPr>
        <w:rPr>
          <w:rFonts w:ascii="黑体" w:hAnsi="黑体" w:eastAsia="黑体"/>
        </w:rPr>
      </w:pPr>
    </w:p>
    <w:p w14:paraId="60E5CB3B">
      <w:pPr>
        <w:pStyle w:val="10"/>
        <w:numPr>
          <w:ilvl w:val="0"/>
          <w:numId w:val="0"/>
        </w:numPr>
        <w:ind w:leftChars="0"/>
        <w:rPr>
          <w:rFonts w:ascii="黑体" w:hAnsi="黑体" w:eastAsia="黑体"/>
        </w:rPr>
      </w:pPr>
      <w:r>
        <w:rPr>
          <w:rFonts w:hint="eastAsia" w:ascii="黑体" w:hAnsi="黑体" w:eastAsia="黑体"/>
          <w:lang w:val="en-US" w:eastAsia="zh-CN"/>
        </w:rPr>
        <w:t xml:space="preserve">5.2.2.1 </w:t>
      </w:r>
      <w:r>
        <w:rPr>
          <w:rFonts w:ascii="黑体" w:hAnsi="黑体" w:eastAsia="黑体"/>
        </w:rPr>
        <w:t>材料</w:t>
      </w:r>
    </w:p>
    <w:p w14:paraId="693CCB47">
      <w:pPr>
        <w:ind w:firstLine="420" w:firstLineChars="200"/>
        <w:rPr>
          <w:rFonts w:ascii="宋体" w:hAnsi="宋体" w:eastAsia="宋体"/>
        </w:rPr>
      </w:pPr>
    </w:p>
    <w:p w14:paraId="64692EF0">
      <w:pPr>
        <w:ind w:firstLine="420" w:firstLineChars="200"/>
        <w:rPr>
          <w:rFonts w:ascii="宋体" w:hAnsi="宋体" w:eastAsia="宋体"/>
        </w:rPr>
      </w:pPr>
      <w:r>
        <w:rPr>
          <w:rFonts w:hint="eastAsia" w:ascii="宋体" w:hAnsi="宋体" w:eastAsia="宋体"/>
        </w:rPr>
        <w:t>审查过程中应重点审查烘缸的材质证明书，烘缸材料应符合以下要求：</w:t>
      </w:r>
    </w:p>
    <w:p w14:paraId="39F4BBC3">
      <w:pPr>
        <w:ind w:firstLine="420" w:firstLineChars="200"/>
        <w:rPr>
          <w:rFonts w:ascii="宋体" w:hAnsi="宋体" w:eastAsia="宋体"/>
        </w:rPr>
      </w:pPr>
      <w:r>
        <w:rPr>
          <w:rFonts w:hint="eastAsia" w:ascii="宋体" w:hAnsi="宋体" w:eastAsia="宋体"/>
        </w:rPr>
        <w:t xml:space="preserve">a) </w:t>
      </w:r>
      <w:r>
        <w:rPr>
          <w:rFonts w:ascii="宋体" w:hAnsi="宋体" w:eastAsia="宋体"/>
        </w:rPr>
        <w:t>灰铸铁，牌号为 HT200、HT250、HT300</w:t>
      </w:r>
      <w:r>
        <w:rPr>
          <w:rFonts w:hint="eastAsia" w:ascii="宋体" w:hAnsi="宋体" w:eastAsia="宋体"/>
        </w:rPr>
        <w:t>、 HT350</w:t>
      </w:r>
      <w:r>
        <w:rPr>
          <w:rFonts w:ascii="宋体" w:hAnsi="宋体" w:eastAsia="宋体"/>
        </w:rPr>
        <w:t>；</w:t>
      </w:r>
    </w:p>
    <w:p w14:paraId="7BCF4DED">
      <w:pPr>
        <w:ind w:firstLine="400" w:firstLineChars="200"/>
        <w:rPr>
          <w:rFonts w:ascii="宋体" w:hAnsi="宋体" w:eastAsia="宋体"/>
          <w:sz w:val="15"/>
        </w:rPr>
      </w:pPr>
      <w:r>
        <w:rPr>
          <w:rFonts w:ascii="宋体" w:hAnsi="宋体" w:eastAsia="宋体"/>
          <w:sz w:val="20"/>
        </w:rPr>
        <w:t xml:space="preserve">b) </w:t>
      </w:r>
      <w:r>
        <w:rPr>
          <w:rFonts w:ascii="宋体" w:hAnsi="宋体" w:eastAsia="宋体"/>
          <w:spacing w:val="-9"/>
        </w:rPr>
        <w:t xml:space="preserve">球墨铸铁，牌号为 </w:t>
      </w:r>
      <w:r>
        <w:rPr>
          <w:rFonts w:hint="eastAsia" w:ascii="宋体" w:hAnsi="宋体" w:eastAsia="宋体"/>
          <w:spacing w:val="-9"/>
        </w:rPr>
        <w:t>QT350-22R</w:t>
      </w:r>
      <w:r>
        <w:rPr>
          <w:rFonts w:ascii="宋体" w:hAnsi="宋体" w:eastAsia="宋体"/>
        </w:rPr>
        <w:t>、</w:t>
      </w:r>
      <w:r>
        <w:rPr>
          <w:rFonts w:hint="eastAsia" w:ascii="宋体" w:hAnsi="宋体" w:eastAsia="宋体"/>
        </w:rPr>
        <w:t>QT350-22L</w:t>
      </w:r>
      <w:r>
        <w:rPr>
          <w:rFonts w:ascii="宋体" w:hAnsi="宋体" w:eastAsia="宋体"/>
        </w:rPr>
        <w:t>、QT400-18</w:t>
      </w:r>
      <w:r>
        <w:rPr>
          <w:rFonts w:hint="eastAsia" w:ascii="宋体" w:hAnsi="宋体" w:eastAsia="宋体"/>
        </w:rPr>
        <w:t>R、 QT400-18L</w:t>
      </w:r>
      <w:r>
        <w:rPr>
          <w:rFonts w:ascii="宋体" w:hAnsi="宋体" w:eastAsia="宋体"/>
        </w:rPr>
        <w:t>。</w:t>
      </w:r>
    </w:p>
    <w:p w14:paraId="7862EFD0">
      <w:pPr>
        <w:tabs>
          <w:tab w:val="left" w:pos="945"/>
          <w:tab w:val="left" w:pos="946"/>
        </w:tabs>
        <w:autoSpaceDE w:val="0"/>
        <w:autoSpaceDN w:val="0"/>
        <w:ind w:firstLine="408"/>
        <w:rPr>
          <w:rFonts w:ascii="黑体" w:hAnsi="黑体" w:eastAsia="黑体"/>
          <w:spacing w:val="-3"/>
        </w:rPr>
      </w:pPr>
    </w:p>
    <w:p w14:paraId="1919A3EE">
      <w:pPr>
        <w:tabs>
          <w:tab w:val="left" w:pos="945"/>
          <w:tab w:val="left" w:pos="946"/>
        </w:tabs>
        <w:autoSpaceDE w:val="0"/>
        <w:autoSpaceDN w:val="0"/>
        <w:rPr>
          <w:rFonts w:ascii="黑体" w:hAnsi="黑体" w:eastAsia="黑体"/>
          <w:spacing w:val="-3"/>
        </w:rPr>
      </w:pPr>
      <w:r>
        <w:rPr>
          <w:rFonts w:hint="eastAsia" w:ascii="黑体" w:hAnsi="黑体" w:eastAsia="黑体"/>
          <w:spacing w:val="-3"/>
        </w:rPr>
        <w:t>5.2.2.2</w:t>
      </w:r>
      <w:r>
        <w:rPr>
          <w:rFonts w:ascii="黑体" w:hAnsi="黑体" w:eastAsia="黑体"/>
          <w:spacing w:val="-3"/>
        </w:rPr>
        <w:t xml:space="preserve"> </w:t>
      </w:r>
      <w:r>
        <w:rPr>
          <w:rFonts w:hint="eastAsia" w:ascii="黑体" w:hAnsi="黑体" w:eastAsia="黑体"/>
          <w:spacing w:val="-3"/>
        </w:rPr>
        <w:t>烘缸设计压力、温度、材质限制条件</w:t>
      </w:r>
    </w:p>
    <w:p w14:paraId="2010FFBD">
      <w:pPr>
        <w:tabs>
          <w:tab w:val="left" w:pos="945"/>
          <w:tab w:val="left" w:pos="946"/>
        </w:tabs>
        <w:autoSpaceDE w:val="0"/>
        <w:autoSpaceDN w:val="0"/>
        <w:ind w:firstLine="388"/>
        <w:rPr>
          <w:rFonts w:ascii="宋体" w:hAnsi="宋体" w:eastAsia="宋体"/>
          <w:spacing w:val="-8"/>
        </w:rPr>
      </w:pPr>
    </w:p>
    <w:p w14:paraId="324C5874">
      <w:pPr>
        <w:tabs>
          <w:tab w:val="left" w:pos="945"/>
          <w:tab w:val="left" w:pos="946"/>
        </w:tabs>
        <w:autoSpaceDE w:val="0"/>
        <w:autoSpaceDN w:val="0"/>
        <w:ind w:firstLine="388" w:firstLineChars="200"/>
        <w:rPr>
          <w:rFonts w:ascii="宋体" w:hAnsi="宋体" w:eastAsia="宋体"/>
          <w:spacing w:val="-5"/>
        </w:rPr>
      </w:pPr>
      <w:r>
        <w:rPr>
          <w:rFonts w:ascii="宋体" w:hAnsi="宋体" w:eastAsia="宋体"/>
          <w:spacing w:val="-8"/>
        </w:rPr>
        <w:t>人孔盖材质的机械性能不低于端盖材质的机械性能，端盖材质的机械性能不低于缸体的机械性能。</w:t>
      </w:r>
      <w:r>
        <w:rPr>
          <w:rFonts w:ascii="宋体" w:hAnsi="宋体" w:eastAsia="宋体"/>
          <w:spacing w:val="-5"/>
        </w:rPr>
        <w:t>烘缸设计压力、材质限制条件如下：</w:t>
      </w:r>
    </w:p>
    <w:p w14:paraId="10B06513">
      <w:pPr>
        <w:tabs>
          <w:tab w:val="left" w:pos="945"/>
          <w:tab w:val="left" w:pos="946"/>
        </w:tabs>
        <w:autoSpaceDE w:val="0"/>
        <w:autoSpaceDN w:val="0"/>
        <w:ind w:firstLine="420" w:firstLineChars="200"/>
        <w:rPr>
          <w:rFonts w:ascii="宋体" w:hAnsi="宋体" w:eastAsia="宋体"/>
        </w:rPr>
      </w:pPr>
      <w:r>
        <w:rPr>
          <w:rFonts w:hint="eastAsia" w:ascii="宋体" w:hAnsi="宋体" w:eastAsia="宋体"/>
        </w:rPr>
        <w:t>a)</w:t>
      </w:r>
      <w:r>
        <w:rPr>
          <w:rFonts w:ascii="宋体" w:hAnsi="宋体" w:eastAsia="宋体"/>
        </w:rPr>
        <w:t xml:space="preserve"> </w:t>
      </w:r>
      <w:r>
        <w:rPr>
          <w:rFonts w:hint="eastAsia" w:ascii="宋体" w:hAnsi="宋体" w:eastAsia="宋体"/>
        </w:rPr>
        <w:t>材料牌号</w:t>
      </w:r>
      <w:r>
        <w:rPr>
          <w:rFonts w:ascii="宋体" w:hAnsi="宋体" w:eastAsia="宋体"/>
          <w:spacing w:val="-17"/>
        </w:rPr>
        <w:t xml:space="preserve"> </w:t>
      </w:r>
      <w:r>
        <w:rPr>
          <w:rFonts w:ascii="宋体" w:hAnsi="宋体" w:eastAsia="宋体"/>
        </w:rPr>
        <w:t>HT200</w:t>
      </w:r>
      <w:r>
        <w:rPr>
          <w:rFonts w:hint="eastAsia" w:ascii="宋体" w:hAnsi="宋体" w:eastAsia="宋体"/>
        </w:rPr>
        <w:t xml:space="preserve">，设计压力范围为 </w:t>
      </w:r>
      <w:r>
        <w:rPr>
          <w:rFonts w:ascii="宋体" w:hAnsi="宋体" w:eastAsia="宋体"/>
        </w:rPr>
        <w:t>0</w:t>
      </w:r>
      <w:r>
        <w:rPr>
          <w:rFonts w:hint="eastAsia" w:ascii="宋体" w:hAnsi="宋体" w:eastAsia="宋体"/>
        </w:rPr>
        <w:t>～0.3MPa，设计温度范围为 10℃～200℃</w:t>
      </w:r>
      <w:r>
        <w:rPr>
          <w:rFonts w:ascii="宋体" w:hAnsi="宋体" w:eastAsia="宋体"/>
        </w:rPr>
        <w:t>；</w:t>
      </w:r>
    </w:p>
    <w:p w14:paraId="373A131C">
      <w:pPr>
        <w:tabs>
          <w:tab w:val="left" w:pos="945"/>
          <w:tab w:val="left" w:pos="946"/>
        </w:tabs>
        <w:autoSpaceDE w:val="0"/>
        <w:autoSpaceDN w:val="0"/>
        <w:ind w:firstLine="420" w:firstLineChars="200"/>
        <w:rPr>
          <w:rFonts w:ascii="宋体" w:hAnsi="宋体" w:eastAsia="宋体"/>
        </w:rPr>
      </w:pPr>
      <w:r>
        <w:rPr>
          <w:rFonts w:hint="eastAsia" w:ascii="宋体" w:hAnsi="宋体" w:eastAsia="宋体"/>
        </w:rPr>
        <w:t>b) 材料牌号</w:t>
      </w:r>
      <w:r>
        <w:rPr>
          <w:rFonts w:ascii="宋体" w:hAnsi="宋体" w:eastAsia="宋体"/>
          <w:spacing w:val="-17"/>
        </w:rPr>
        <w:t xml:space="preserve"> </w:t>
      </w:r>
      <w:r>
        <w:rPr>
          <w:rFonts w:ascii="宋体" w:hAnsi="宋体" w:eastAsia="宋体"/>
        </w:rPr>
        <w:t>HT250</w:t>
      </w:r>
      <w:r>
        <w:rPr>
          <w:rFonts w:hint="eastAsia" w:ascii="宋体" w:hAnsi="宋体" w:eastAsia="宋体"/>
        </w:rPr>
        <w:t xml:space="preserve">，设计压力范围为 </w:t>
      </w:r>
      <w:r>
        <w:rPr>
          <w:rFonts w:ascii="宋体" w:hAnsi="宋体" w:eastAsia="宋体"/>
        </w:rPr>
        <w:t>0</w:t>
      </w:r>
      <w:r>
        <w:rPr>
          <w:rFonts w:hint="eastAsia" w:ascii="宋体" w:hAnsi="宋体" w:eastAsia="宋体"/>
        </w:rPr>
        <w:t>～0.</w:t>
      </w:r>
      <w:r>
        <w:rPr>
          <w:rFonts w:ascii="宋体" w:hAnsi="宋体" w:eastAsia="宋体"/>
        </w:rPr>
        <w:t>5</w:t>
      </w:r>
      <w:r>
        <w:rPr>
          <w:rFonts w:hint="eastAsia" w:ascii="宋体" w:hAnsi="宋体" w:eastAsia="宋体"/>
        </w:rPr>
        <w:t>MPa，设计温度范围为 10℃～200℃</w:t>
      </w:r>
      <w:r>
        <w:rPr>
          <w:rFonts w:ascii="宋体" w:hAnsi="宋体" w:eastAsia="宋体"/>
        </w:rPr>
        <w:t xml:space="preserve">； </w:t>
      </w:r>
    </w:p>
    <w:p w14:paraId="1F94023C">
      <w:pPr>
        <w:tabs>
          <w:tab w:val="left" w:pos="945"/>
          <w:tab w:val="left" w:pos="946"/>
        </w:tabs>
        <w:autoSpaceDE w:val="0"/>
        <w:autoSpaceDN w:val="0"/>
        <w:ind w:firstLine="420" w:firstLineChars="200"/>
        <w:rPr>
          <w:rFonts w:ascii="宋体" w:hAnsi="宋体" w:eastAsia="宋体"/>
        </w:rPr>
      </w:pPr>
      <w:r>
        <w:rPr>
          <w:rFonts w:hint="eastAsia" w:ascii="宋体" w:hAnsi="宋体" w:eastAsia="宋体"/>
        </w:rPr>
        <w:t>c) 材料牌号</w:t>
      </w:r>
      <w:r>
        <w:rPr>
          <w:rFonts w:ascii="宋体" w:hAnsi="宋体" w:eastAsia="宋体"/>
          <w:spacing w:val="-17"/>
        </w:rPr>
        <w:t xml:space="preserve"> </w:t>
      </w:r>
      <w:r>
        <w:rPr>
          <w:rFonts w:ascii="宋体" w:hAnsi="宋体" w:eastAsia="宋体"/>
        </w:rPr>
        <w:t>HT300</w:t>
      </w:r>
      <w:r>
        <w:rPr>
          <w:rFonts w:hint="eastAsia" w:ascii="宋体" w:hAnsi="宋体" w:eastAsia="宋体"/>
        </w:rPr>
        <w:t xml:space="preserve">，设计压力范围为 </w:t>
      </w:r>
      <w:r>
        <w:rPr>
          <w:rFonts w:ascii="宋体" w:hAnsi="宋体" w:eastAsia="宋体"/>
        </w:rPr>
        <w:t>0</w:t>
      </w:r>
      <w:r>
        <w:rPr>
          <w:rFonts w:hint="eastAsia" w:ascii="宋体" w:hAnsi="宋体" w:eastAsia="宋体"/>
        </w:rPr>
        <w:t>～0.</w:t>
      </w:r>
      <w:r>
        <w:rPr>
          <w:rFonts w:ascii="宋体" w:hAnsi="宋体" w:eastAsia="宋体"/>
        </w:rPr>
        <w:t>8</w:t>
      </w:r>
      <w:r>
        <w:rPr>
          <w:rFonts w:hint="eastAsia" w:ascii="宋体" w:hAnsi="宋体" w:eastAsia="宋体"/>
        </w:rPr>
        <w:t>MPa，设计温度范围为 10℃～200℃</w:t>
      </w:r>
      <w:r>
        <w:rPr>
          <w:rFonts w:ascii="宋体" w:hAnsi="宋体" w:eastAsia="宋体"/>
        </w:rPr>
        <w:t xml:space="preserve">； </w:t>
      </w:r>
    </w:p>
    <w:p w14:paraId="6B8CFE5F">
      <w:pPr>
        <w:tabs>
          <w:tab w:val="left" w:pos="945"/>
          <w:tab w:val="left" w:pos="946"/>
        </w:tabs>
        <w:autoSpaceDE w:val="0"/>
        <w:autoSpaceDN w:val="0"/>
        <w:ind w:firstLine="420" w:firstLineChars="200"/>
        <w:rPr>
          <w:rFonts w:ascii="宋体" w:hAnsi="宋体" w:eastAsia="宋体"/>
        </w:rPr>
      </w:pPr>
      <w:r>
        <w:rPr>
          <w:rFonts w:hint="eastAsia" w:ascii="宋体" w:hAnsi="宋体" w:eastAsia="宋体"/>
        </w:rPr>
        <w:t>d) 材料牌号</w:t>
      </w:r>
      <w:r>
        <w:rPr>
          <w:rFonts w:ascii="宋体" w:hAnsi="宋体" w:eastAsia="宋体"/>
          <w:spacing w:val="-17"/>
        </w:rPr>
        <w:t xml:space="preserve"> </w:t>
      </w:r>
      <w:r>
        <w:rPr>
          <w:rFonts w:ascii="宋体" w:hAnsi="宋体" w:eastAsia="宋体"/>
        </w:rPr>
        <w:t>HT350</w:t>
      </w:r>
      <w:r>
        <w:rPr>
          <w:rFonts w:hint="eastAsia" w:ascii="宋体" w:hAnsi="宋体" w:eastAsia="宋体"/>
        </w:rPr>
        <w:t xml:space="preserve">，设计压力范围为 </w:t>
      </w:r>
      <w:r>
        <w:rPr>
          <w:rFonts w:ascii="宋体" w:hAnsi="宋体" w:eastAsia="宋体"/>
        </w:rPr>
        <w:t>0</w:t>
      </w:r>
      <w:r>
        <w:rPr>
          <w:rFonts w:hint="eastAsia" w:ascii="宋体" w:hAnsi="宋体" w:eastAsia="宋体"/>
        </w:rPr>
        <w:t>～0.</w:t>
      </w:r>
      <w:r>
        <w:rPr>
          <w:rFonts w:ascii="宋体" w:hAnsi="宋体" w:eastAsia="宋体"/>
        </w:rPr>
        <w:t>8</w:t>
      </w:r>
      <w:r>
        <w:rPr>
          <w:rFonts w:hint="eastAsia" w:ascii="宋体" w:hAnsi="宋体" w:eastAsia="宋体"/>
        </w:rPr>
        <w:t>MPa，设计温度范围为 10℃～200℃</w:t>
      </w:r>
      <w:r>
        <w:rPr>
          <w:rFonts w:ascii="宋体" w:hAnsi="宋体" w:eastAsia="宋体"/>
        </w:rPr>
        <w:t xml:space="preserve">； </w:t>
      </w:r>
    </w:p>
    <w:p w14:paraId="2EC63E10">
      <w:pPr>
        <w:tabs>
          <w:tab w:val="left" w:pos="945"/>
          <w:tab w:val="left" w:pos="946"/>
        </w:tabs>
        <w:autoSpaceDE w:val="0"/>
        <w:autoSpaceDN w:val="0"/>
        <w:ind w:firstLine="420" w:firstLineChars="200"/>
        <w:rPr>
          <w:rFonts w:ascii="宋体" w:hAnsi="宋体" w:eastAsia="宋体"/>
        </w:rPr>
      </w:pPr>
      <w:r>
        <w:rPr>
          <w:rFonts w:ascii="宋体" w:hAnsi="宋体" w:eastAsia="宋体"/>
        </w:rPr>
        <w:t xml:space="preserve">e) </w:t>
      </w:r>
      <w:r>
        <w:rPr>
          <w:rFonts w:hint="eastAsia" w:ascii="宋体" w:hAnsi="宋体" w:eastAsia="宋体"/>
        </w:rPr>
        <w:t>材料牌号</w:t>
      </w:r>
      <w:r>
        <w:rPr>
          <w:rFonts w:ascii="宋体" w:hAnsi="宋体" w:eastAsia="宋体"/>
          <w:spacing w:val="-17"/>
        </w:rPr>
        <w:t xml:space="preserve"> </w:t>
      </w:r>
      <w:r>
        <w:rPr>
          <w:rFonts w:ascii="宋体" w:hAnsi="宋体" w:eastAsia="宋体"/>
        </w:rPr>
        <w:t>QT 350-22R</w:t>
      </w:r>
      <w:r>
        <w:rPr>
          <w:rFonts w:hint="eastAsia" w:ascii="宋体" w:hAnsi="宋体" w:eastAsia="宋体"/>
        </w:rPr>
        <w:t xml:space="preserve">，设计压力范围为 </w:t>
      </w:r>
      <w:r>
        <w:rPr>
          <w:rFonts w:ascii="宋体" w:hAnsi="宋体" w:eastAsia="宋体"/>
        </w:rPr>
        <w:t>0</w:t>
      </w:r>
      <w:r>
        <w:rPr>
          <w:rFonts w:hint="eastAsia" w:ascii="宋体" w:hAnsi="宋体" w:eastAsia="宋体"/>
        </w:rPr>
        <w:t>～0.3MPa，设计温度范围为 0℃～2</w:t>
      </w:r>
      <w:r>
        <w:rPr>
          <w:rFonts w:ascii="宋体" w:hAnsi="宋体" w:eastAsia="宋体"/>
        </w:rPr>
        <w:t>5</w:t>
      </w:r>
      <w:r>
        <w:rPr>
          <w:rFonts w:hint="eastAsia" w:ascii="宋体" w:hAnsi="宋体" w:eastAsia="宋体"/>
        </w:rPr>
        <w:t>0℃</w:t>
      </w:r>
      <w:r>
        <w:rPr>
          <w:rFonts w:ascii="宋体" w:hAnsi="宋体" w:eastAsia="宋体"/>
        </w:rPr>
        <w:t>；</w:t>
      </w:r>
    </w:p>
    <w:p w14:paraId="2A036AEF">
      <w:pPr>
        <w:tabs>
          <w:tab w:val="left" w:pos="945"/>
          <w:tab w:val="left" w:pos="946"/>
        </w:tabs>
        <w:autoSpaceDE w:val="0"/>
        <w:autoSpaceDN w:val="0"/>
        <w:ind w:firstLine="420" w:firstLineChars="200"/>
        <w:rPr>
          <w:rFonts w:hint="eastAsia" w:ascii="宋体" w:hAnsi="宋体" w:eastAsia="宋体"/>
        </w:rPr>
      </w:pPr>
      <w:r>
        <w:rPr>
          <w:rFonts w:hint="eastAsia" w:ascii="宋体" w:hAnsi="宋体" w:eastAsia="宋体"/>
        </w:rPr>
        <w:t>f) 材料牌号 QT 350-22L，设计压力范围为 0～0.3MPa，设计温度范围为 0℃～250℃；</w:t>
      </w:r>
    </w:p>
    <w:p w14:paraId="7927FC30">
      <w:pPr>
        <w:tabs>
          <w:tab w:val="left" w:pos="945"/>
          <w:tab w:val="left" w:pos="946"/>
        </w:tabs>
        <w:autoSpaceDE w:val="0"/>
        <w:autoSpaceDN w:val="0"/>
        <w:ind w:firstLine="420" w:firstLineChars="200"/>
        <w:rPr>
          <w:rFonts w:hint="eastAsia" w:ascii="宋体" w:hAnsi="宋体" w:eastAsia="宋体"/>
        </w:rPr>
      </w:pPr>
      <w:r>
        <w:rPr>
          <w:rFonts w:hint="eastAsia" w:ascii="宋体" w:hAnsi="宋体" w:eastAsia="宋体"/>
        </w:rPr>
        <w:t>g) 材料牌号 QT 400-18R，设计压力范围为 0～1.1MPa，设计温度范围为 0℃～250℃；</w:t>
      </w:r>
    </w:p>
    <w:p w14:paraId="48516375">
      <w:pPr>
        <w:tabs>
          <w:tab w:val="left" w:pos="945"/>
          <w:tab w:val="left" w:pos="946"/>
        </w:tabs>
        <w:autoSpaceDE w:val="0"/>
        <w:autoSpaceDN w:val="0"/>
        <w:ind w:firstLine="420" w:firstLineChars="200"/>
        <w:rPr>
          <w:rFonts w:hint="eastAsia" w:ascii="宋体" w:hAnsi="宋体" w:eastAsia="宋体"/>
        </w:rPr>
      </w:pPr>
      <w:r>
        <w:rPr>
          <w:rFonts w:hint="eastAsia" w:ascii="宋体" w:hAnsi="宋体" w:eastAsia="宋体"/>
        </w:rPr>
        <w:t>h) 材料牌号 QT 400-18L，设计压力范围为 0～1.1MPa，设计温度范围为 0℃～250℃。</w:t>
      </w:r>
    </w:p>
    <w:p w14:paraId="6D2E9E70">
      <w:pPr>
        <w:tabs>
          <w:tab w:val="left" w:pos="945"/>
          <w:tab w:val="left" w:pos="946"/>
        </w:tabs>
        <w:autoSpaceDE w:val="0"/>
        <w:autoSpaceDN w:val="0"/>
        <w:ind w:firstLine="420" w:firstLineChars="200"/>
        <w:rPr>
          <w:rFonts w:hint="eastAsia" w:ascii="宋体" w:hAnsi="宋体" w:eastAsia="宋体"/>
        </w:rPr>
      </w:pPr>
    </w:p>
    <w:p w14:paraId="0622E668">
      <w:pPr>
        <w:tabs>
          <w:tab w:val="left" w:pos="945"/>
          <w:tab w:val="left" w:pos="946"/>
        </w:tabs>
        <w:autoSpaceDE w:val="0"/>
        <w:autoSpaceDN w:val="0"/>
        <w:rPr>
          <w:rFonts w:ascii="黑体" w:hAnsi="黑体" w:eastAsia="黑体"/>
          <w:spacing w:val="-1"/>
        </w:rPr>
      </w:pPr>
      <w:r>
        <w:rPr>
          <w:rFonts w:hint="eastAsia" w:ascii="黑体" w:hAnsi="黑体" w:eastAsia="黑体"/>
          <w:spacing w:val="-1"/>
        </w:rPr>
        <w:t>5.2.2.3其它要求</w:t>
      </w:r>
    </w:p>
    <w:p w14:paraId="6F0837AF">
      <w:pPr>
        <w:tabs>
          <w:tab w:val="left" w:pos="945"/>
          <w:tab w:val="left" w:pos="946"/>
        </w:tabs>
        <w:autoSpaceDE w:val="0"/>
        <w:autoSpaceDN w:val="0"/>
        <w:ind w:firstLine="420" w:firstLineChars="200"/>
        <w:rPr>
          <w:rFonts w:ascii="宋体" w:hAnsi="宋体" w:eastAsia="宋体"/>
        </w:rPr>
      </w:pPr>
    </w:p>
    <w:p w14:paraId="7A868761">
      <w:pPr>
        <w:tabs>
          <w:tab w:val="left" w:pos="945"/>
          <w:tab w:val="left" w:pos="946"/>
        </w:tabs>
        <w:autoSpaceDE w:val="0"/>
        <w:autoSpaceDN w:val="0"/>
        <w:ind w:firstLine="420" w:firstLineChars="200"/>
        <w:rPr>
          <w:rFonts w:ascii="宋体" w:hAnsi="宋体" w:eastAsia="宋体"/>
        </w:rPr>
      </w:pPr>
      <w:r>
        <w:rPr>
          <w:rFonts w:ascii="宋体" w:hAnsi="宋体" w:eastAsia="宋体"/>
        </w:rPr>
        <w:t>设计图中的技术要求，使用说明中的安装要求及注意事项。</w:t>
      </w:r>
    </w:p>
    <w:p w14:paraId="432DEA70">
      <w:pPr>
        <w:tabs>
          <w:tab w:val="left" w:pos="945"/>
          <w:tab w:val="left" w:pos="946"/>
        </w:tabs>
        <w:autoSpaceDE w:val="0"/>
        <w:autoSpaceDN w:val="0"/>
        <w:rPr>
          <w:rFonts w:ascii="黑体" w:hAnsi="黑体" w:eastAsia="黑体"/>
        </w:rPr>
      </w:pPr>
    </w:p>
    <w:p w14:paraId="19DFB30E">
      <w:pPr>
        <w:tabs>
          <w:tab w:val="left" w:pos="945"/>
          <w:tab w:val="left" w:pos="946"/>
        </w:tabs>
        <w:autoSpaceDE w:val="0"/>
        <w:autoSpaceDN w:val="0"/>
        <w:rPr>
          <w:rFonts w:ascii="黑体" w:hAnsi="黑体" w:eastAsia="黑体"/>
          <w:spacing w:val="-1"/>
        </w:rPr>
      </w:pPr>
      <w:r>
        <w:rPr>
          <w:rFonts w:hint="eastAsia" w:ascii="黑体" w:hAnsi="黑体" w:eastAsia="黑体"/>
        </w:rPr>
        <w:t>5.3</w:t>
      </w:r>
      <w:r>
        <w:rPr>
          <w:rFonts w:hint="eastAsia" w:ascii="黑体" w:hAnsi="黑体" w:eastAsia="黑体"/>
          <w:spacing w:val="-1"/>
        </w:rPr>
        <w:t>现场条件</w:t>
      </w:r>
    </w:p>
    <w:p w14:paraId="4F9E92C7">
      <w:pPr>
        <w:tabs>
          <w:tab w:val="left" w:pos="945"/>
          <w:tab w:val="left" w:pos="946"/>
        </w:tabs>
        <w:autoSpaceDE w:val="0"/>
        <w:autoSpaceDN w:val="0"/>
        <w:ind w:firstLine="420" w:firstLineChars="200"/>
        <w:rPr>
          <w:rFonts w:ascii="宋体" w:hAnsi="宋体" w:eastAsia="宋体"/>
        </w:rPr>
      </w:pPr>
    </w:p>
    <w:p w14:paraId="154FC96E">
      <w:pPr>
        <w:tabs>
          <w:tab w:val="left" w:pos="945"/>
          <w:tab w:val="left" w:pos="946"/>
        </w:tabs>
        <w:autoSpaceDE w:val="0"/>
        <w:autoSpaceDN w:val="0"/>
        <w:ind w:firstLine="420" w:firstLineChars="200"/>
        <w:rPr>
          <w:rFonts w:ascii="宋体" w:hAnsi="宋体" w:eastAsia="宋体"/>
        </w:rPr>
      </w:pPr>
      <w:r>
        <w:rPr>
          <w:rFonts w:ascii="宋体" w:hAnsi="宋体" w:eastAsia="宋体"/>
        </w:rPr>
        <w:t>按</w:t>
      </w:r>
      <w:r>
        <w:rPr>
          <w:rFonts w:hint="eastAsia" w:ascii="宋体" w:hAnsi="宋体" w:eastAsia="宋体"/>
        </w:rPr>
        <w:t xml:space="preserve"> </w:t>
      </w:r>
      <w:r>
        <w:rPr>
          <w:rFonts w:ascii="宋体" w:hAnsi="宋体" w:eastAsia="宋体"/>
        </w:rPr>
        <w:t>TSG 21-2016 中</w:t>
      </w:r>
      <w:r>
        <w:rPr>
          <w:rFonts w:hint="eastAsia" w:ascii="宋体" w:hAnsi="宋体" w:eastAsia="宋体"/>
        </w:rPr>
        <w:t xml:space="preserve"> </w:t>
      </w:r>
      <w:r>
        <w:rPr>
          <w:rFonts w:ascii="宋体" w:hAnsi="宋体" w:eastAsia="宋体"/>
        </w:rPr>
        <w:t>8.2.3.1 的规定执行。应锁住烘缸，固定牢靠。</w:t>
      </w:r>
    </w:p>
    <w:p w14:paraId="67ABA9D2">
      <w:pPr>
        <w:tabs>
          <w:tab w:val="left" w:pos="945"/>
          <w:tab w:val="left" w:pos="946"/>
        </w:tabs>
        <w:autoSpaceDE w:val="0"/>
        <w:autoSpaceDN w:val="0"/>
        <w:rPr>
          <w:rFonts w:ascii="黑体" w:hAnsi="黑体" w:eastAsia="黑体"/>
        </w:rPr>
      </w:pPr>
    </w:p>
    <w:p w14:paraId="0FFC357E">
      <w:pPr>
        <w:tabs>
          <w:tab w:val="left" w:pos="945"/>
          <w:tab w:val="left" w:pos="946"/>
        </w:tabs>
        <w:autoSpaceDE w:val="0"/>
        <w:autoSpaceDN w:val="0"/>
        <w:rPr>
          <w:rFonts w:ascii="黑体" w:hAnsi="黑体" w:eastAsia="黑体"/>
          <w:spacing w:val="-3"/>
        </w:rPr>
      </w:pPr>
      <w:r>
        <w:rPr>
          <w:rFonts w:hint="eastAsia" w:ascii="黑体" w:hAnsi="黑体" w:eastAsia="黑体"/>
        </w:rPr>
        <w:t>5.4</w:t>
      </w:r>
      <w:r>
        <w:rPr>
          <w:rFonts w:ascii="黑体" w:hAnsi="黑体" w:eastAsia="黑体"/>
        </w:rPr>
        <w:t xml:space="preserve"> </w:t>
      </w:r>
      <w:r>
        <w:rPr>
          <w:rFonts w:hint="eastAsia" w:ascii="黑体" w:hAnsi="黑体" w:eastAsia="黑体"/>
          <w:spacing w:val="-3"/>
        </w:rPr>
        <w:t>仪器设备的检定校准</w:t>
      </w:r>
    </w:p>
    <w:p w14:paraId="2651513D">
      <w:pPr>
        <w:tabs>
          <w:tab w:val="left" w:pos="945"/>
          <w:tab w:val="left" w:pos="946"/>
        </w:tabs>
        <w:autoSpaceDE w:val="0"/>
        <w:autoSpaceDN w:val="0"/>
        <w:ind w:firstLine="420" w:firstLineChars="200"/>
        <w:rPr>
          <w:rFonts w:ascii="宋体" w:hAnsi="宋体" w:eastAsia="宋体"/>
        </w:rPr>
      </w:pPr>
    </w:p>
    <w:p w14:paraId="7A45115C">
      <w:pPr>
        <w:tabs>
          <w:tab w:val="left" w:pos="945"/>
          <w:tab w:val="left" w:pos="946"/>
        </w:tabs>
        <w:autoSpaceDE w:val="0"/>
        <w:autoSpaceDN w:val="0"/>
        <w:ind w:firstLine="420" w:firstLineChars="200"/>
        <w:rPr>
          <w:rFonts w:ascii="宋体" w:hAnsi="宋体" w:eastAsia="宋体"/>
        </w:rPr>
      </w:pPr>
      <w:r>
        <w:rPr>
          <w:rFonts w:ascii="宋体" w:hAnsi="宋体" w:eastAsia="宋体"/>
        </w:rPr>
        <w:t>仪器设备的检定校准按</w:t>
      </w:r>
      <w:r>
        <w:rPr>
          <w:rFonts w:hint="eastAsia" w:ascii="宋体" w:hAnsi="宋体" w:eastAsia="宋体"/>
        </w:rPr>
        <w:t xml:space="preserve"> </w:t>
      </w:r>
      <w:r>
        <w:rPr>
          <w:rFonts w:ascii="宋体" w:hAnsi="宋体" w:eastAsia="宋体"/>
        </w:rPr>
        <w:t>TSG 21-2016 中</w:t>
      </w:r>
      <w:r>
        <w:rPr>
          <w:rFonts w:hint="eastAsia" w:ascii="宋体" w:hAnsi="宋体" w:eastAsia="宋体"/>
        </w:rPr>
        <w:t xml:space="preserve"> </w:t>
      </w:r>
      <w:r>
        <w:rPr>
          <w:rFonts w:ascii="宋体" w:hAnsi="宋体" w:eastAsia="宋体"/>
        </w:rPr>
        <w:t>8.2.5 的规定执行。</w:t>
      </w:r>
    </w:p>
    <w:p w14:paraId="762476E0">
      <w:pPr>
        <w:tabs>
          <w:tab w:val="left" w:pos="945"/>
          <w:tab w:val="left" w:pos="946"/>
        </w:tabs>
        <w:autoSpaceDE w:val="0"/>
        <w:autoSpaceDN w:val="0"/>
        <w:rPr>
          <w:rFonts w:ascii="黑体" w:hAnsi="黑体" w:eastAsia="黑体"/>
        </w:rPr>
      </w:pPr>
    </w:p>
    <w:p w14:paraId="0D99F848">
      <w:pPr>
        <w:tabs>
          <w:tab w:val="left" w:pos="945"/>
          <w:tab w:val="left" w:pos="946"/>
        </w:tabs>
        <w:autoSpaceDE w:val="0"/>
        <w:autoSpaceDN w:val="0"/>
        <w:rPr>
          <w:rFonts w:ascii="黑体" w:hAnsi="黑体" w:eastAsia="黑体"/>
          <w:spacing w:val="-1"/>
        </w:rPr>
      </w:pPr>
      <w:r>
        <w:rPr>
          <w:rFonts w:hint="eastAsia" w:ascii="黑体" w:hAnsi="黑体" w:eastAsia="黑体"/>
        </w:rPr>
        <w:t>5.5</w:t>
      </w:r>
      <w:r>
        <w:rPr>
          <w:rFonts w:ascii="黑体" w:hAnsi="黑体" w:eastAsia="黑体"/>
        </w:rPr>
        <w:t xml:space="preserve"> </w:t>
      </w:r>
      <w:r>
        <w:rPr>
          <w:rFonts w:hint="eastAsia" w:ascii="黑体" w:hAnsi="黑体" w:eastAsia="黑体"/>
        </w:rPr>
        <w:t>检验工作</w:t>
      </w:r>
      <w:r>
        <w:rPr>
          <w:rFonts w:hint="eastAsia" w:ascii="黑体" w:hAnsi="黑体" w:eastAsia="黑体"/>
          <w:spacing w:val="-1"/>
        </w:rPr>
        <w:t>安全要求</w:t>
      </w:r>
    </w:p>
    <w:p w14:paraId="0EC7B854">
      <w:pPr>
        <w:tabs>
          <w:tab w:val="left" w:pos="945"/>
          <w:tab w:val="left" w:pos="946"/>
        </w:tabs>
        <w:autoSpaceDE w:val="0"/>
        <w:autoSpaceDN w:val="0"/>
        <w:ind w:firstLine="420" w:firstLineChars="200"/>
        <w:rPr>
          <w:rFonts w:ascii="宋体" w:hAnsi="宋体" w:eastAsia="宋体"/>
        </w:rPr>
      </w:pPr>
    </w:p>
    <w:p w14:paraId="6241D8A5">
      <w:pPr>
        <w:tabs>
          <w:tab w:val="left" w:pos="945"/>
          <w:tab w:val="left" w:pos="946"/>
        </w:tabs>
        <w:autoSpaceDE w:val="0"/>
        <w:autoSpaceDN w:val="0"/>
        <w:ind w:firstLine="420" w:firstLineChars="200"/>
        <w:rPr>
          <w:rFonts w:ascii="宋体" w:hAnsi="宋体" w:eastAsia="宋体"/>
        </w:rPr>
      </w:pPr>
      <w:r>
        <w:rPr>
          <w:rFonts w:ascii="宋体" w:hAnsi="宋体" w:eastAsia="宋体"/>
        </w:rPr>
        <w:t>安全要求按</w:t>
      </w:r>
      <w:r>
        <w:rPr>
          <w:rFonts w:hint="eastAsia" w:ascii="宋体" w:hAnsi="宋体" w:eastAsia="宋体"/>
        </w:rPr>
        <w:t xml:space="preserve"> </w:t>
      </w:r>
      <w:r>
        <w:rPr>
          <w:rFonts w:ascii="宋体" w:hAnsi="宋体" w:eastAsia="宋体"/>
        </w:rPr>
        <w:t>TSG 21-2016 中</w:t>
      </w:r>
      <w:r>
        <w:rPr>
          <w:rFonts w:hint="eastAsia" w:ascii="宋体" w:hAnsi="宋体" w:eastAsia="宋体"/>
        </w:rPr>
        <w:t xml:space="preserve"> </w:t>
      </w:r>
      <w:r>
        <w:rPr>
          <w:rFonts w:ascii="宋体" w:hAnsi="宋体" w:eastAsia="宋体"/>
        </w:rPr>
        <w:t>8.2.6 的规定执行。</w:t>
      </w:r>
    </w:p>
    <w:p w14:paraId="2BB3B076">
      <w:pPr>
        <w:autoSpaceDE w:val="0"/>
        <w:autoSpaceDN w:val="0"/>
        <w:rPr>
          <w:rFonts w:ascii="黑体" w:hAnsi="黑体" w:eastAsia="黑体"/>
        </w:rPr>
      </w:pPr>
    </w:p>
    <w:p w14:paraId="3317ED14">
      <w:pPr>
        <w:pStyle w:val="2"/>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240" w:lineRule="auto"/>
        <w:textAlignment w:val="auto"/>
        <w:rPr>
          <w:rFonts w:hint="eastAsia" w:ascii="宋体" w:hAnsi="宋体" w:eastAsia="宋体" w:cs="宋体"/>
          <w:b/>
          <w:sz w:val="24"/>
          <w:szCs w:val="24"/>
        </w:rPr>
      </w:pPr>
      <w:bookmarkStart w:id="5" w:name="_Toc22763"/>
      <w:r>
        <w:rPr>
          <w:rFonts w:hint="eastAsia" w:ascii="宋体" w:hAnsi="宋体" w:eastAsia="宋体" w:cs="宋体"/>
          <w:b/>
          <w:sz w:val="24"/>
          <w:szCs w:val="24"/>
        </w:rPr>
        <w:t>6 定期检验</w:t>
      </w:r>
      <w:bookmarkEnd w:id="5"/>
    </w:p>
    <w:p w14:paraId="57F6DD6B">
      <w:pPr>
        <w:autoSpaceDE w:val="0"/>
        <w:autoSpaceDN w:val="0"/>
        <w:rPr>
          <w:rFonts w:ascii="黑体" w:hAnsi="黑体" w:eastAsia="黑体"/>
        </w:rPr>
      </w:pPr>
    </w:p>
    <w:p w14:paraId="73C514C9">
      <w:pPr>
        <w:autoSpaceDE w:val="0"/>
        <w:autoSpaceDN w:val="0"/>
        <w:rPr>
          <w:rFonts w:ascii="黑体" w:hAnsi="黑体" w:eastAsia="黑体"/>
        </w:rPr>
      </w:pPr>
      <w:r>
        <w:rPr>
          <w:rFonts w:ascii="黑体" w:hAnsi="黑体" w:eastAsia="黑体"/>
        </w:rPr>
        <w:t xml:space="preserve">6.1 </w:t>
      </w:r>
      <w:r>
        <w:rPr>
          <w:rFonts w:hint="eastAsia" w:ascii="黑体" w:hAnsi="黑体" w:eastAsia="黑体"/>
        </w:rPr>
        <w:t>定期</w:t>
      </w:r>
      <w:r>
        <w:rPr>
          <w:rFonts w:ascii="黑体" w:hAnsi="黑体" w:eastAsia="黑体"/>
        </w:rPr>
        <w:t>检验项目</w:t>
      </w:r>
    </w:p>
    <w:p w14:paraId="35D8A1CC">
      <w:pPr>
        <w:tabs>
          <w:tab w:val="left" w:pos="945"/>
          <w:tab w:val="left" w:pos="946"/>
        </w:tabs>
        <w:autoSpaceDE w:val="0"/>
        <w:autoSpaceDN w:val="0"/>
        <w:ind w:firstLine="420" w:firstLineChars="200"/>
        <w:rPr>
          <w:rFonts w:ascii="宋体" w:hAnsi="宋体" w:eastAsia="宋体"/>
        </w:rPr>
      </w:pPr>
    </w:p>
    <w:p w14:paraId="4148DAD1">
      <w:pPr>
        <w:tabs>
          <w:tab w:val="left" w:pos="945"/>
          <w:tab w:val="left" w:pos="946"/>
        </w:tabs>
        <w:autoSpaceDE w:val="0"/>
        <w:autoSpaceDN w:val="0"/>
        <w:ind w:firstLine="420" w:firstLineChars="200"/>
        <w:rPr>
          <w:rFonts w:ascii="宋体" w:hAnsi="宋体" w:eastAsia="宋体"/>
        </w:rPr>
      </w:pPr>
      <w:r>
        <w:rPr>
          <w:rFonts w:hint="eastAsia" w:ascii="宋体" w:hAnsi="宋体" w:eastAsia="宋体"/>
        </w:rPr>
        <w:t>定期检验的项目以宏观检验、壁厚测定、表面缺陷检测、硬度测定为主，必要时增加材料分析、强度校核、耐压试验等项目。</w:t>
      </w:r>
    </w:p>
    <w:p w14:paraId="5B142EF8">
      <w:pPr>
        <w:tabs>
          <w:tab w:val="left" w:pos="945"/>
          <w:tab w:val="left" w:pos="946"/>
        </w:tabs>
        <w:autoSpaceDE w:val="0"/>
        <w:autoSpaceDN w:val="0"/>
        <w:rPr>
          <w:rFonts w:ascii="黑体" w:hAnsi="黑体" w:eastAsia="黑体"/>
        </w:rPr>
      </w:pPr>
    </w:p>
    <w:p w14:paraId="0B2979BC">
      <w:pPr>
        <w:tabs>
          <w:tab w:val="left" w:pos="945"/>
          <w:tab w:val="left" w:pos="946"/>
        </w:tabs>
        <w:autoSpaceDE w:val="0"/>
        <w:autoSpaceDN w:val="0"/>
        <w:rPr>
          <w:rFonts w:ascii="黑体" w:hAnsi="黑体" w:eastAsia="黑体"/>
        </w:rPr>
      </w:pPr>
      <w:r>
        <w:rPr>
          <w:rFonts w:ascii="黑体" w:hAnsi="黑体" w:eastAsia="黑体"/>
        </w:rPr>
        <w:t>6.2 宏观检验</w:t>
      </w:r>
    </w:p>
    <w:p w14:paraId="5A185D33">
      <w:pPr>
        <w:tabs>
          <w:tab w:val="left" w:pos="945"/>
          <w:tab w:val="left" w:pos="946"/>
        </w:tabs>
        <w:autoSpaceDE w:val="0"/>
        <w:autoSpaceDN w:val="0"/>
        <w:rPr>
          <w:rFonts w:ascii="黑体" w:hAnsi="黑体" w:eastAsia="黑体"/>
        </w:rPr>
      </w:pPr>
    </w:p>
    <w:p w14:paraId="667AC4FD">
      <w:pPr>
        <w:tabs>
          <w:tab w:val="left" w:pos="945"/>
          <w:tab w:val="left" w:pos="946"/>
        </w:tabs>
        <w:autoSpaceDE w:val="0"/>
        <w:autoSpaceDN w:val="0"/>
        <w:rPr>
          <w:rFonts w:ascii="黑体" w:hAnsi="黑体" w:eastAsia="黑体"/>
        </w:rPr>
      </w:pPr>
      <w:r>
        <w:rPr>
          <w:rFonts w:ascii="黑体" w:hAnsi="黑体" w:eastAsia="黑体"/>
        </w:rPr>
        <w:t>6.2.1 结构</w:t>
      </w:r>
      <w:r>
        <w:rPr>
          <w:rFonts w:hint="eastAsia" w:ascii="黑体" w:hAnsi="黑体" w:eastAsia="黑体"/>
        </w:rPr>
        <w:t>检验</w:t>
      </w:r>
    </w:p>
    <w:p w14:paraId="12F8A5F4">
      <w:pPr>
        <w:tabs>
          <w:tab w:val="left" w:pos="945"/>
          <w:tab w:val="left" w:pos="946"/>
        </w:tabs>
        <w:autoSpaceDE w:val="0"/>
        <w:autoSpaceDN w:val="0"/>
        <w:ind w:firstLine="420" w:firstLineChars="200"/>
        <w:rPr>
          <w:rFonts w:ascii="宋体" w:hAnsi="宋体" w:eastAsia="宋体"/>
        </w:rPr>
      </w:pPr>
    </w:p>
    <w:p w14:paraId="3D5977D8">
      <w:pPr>
        <w:tabs>
          <w:tab w:val="left" w:pos="945"/>
          <w:tab w:val="left" w:pos="946"/>
        </w:tabs>
        <w:autoSpaceDE w:val="0"/>
        <w:autoSpaceDN w:val="0"/>
        <w:ind w:firstLine="420" w:firstLineChars="200"/>
        <w:rPr>
          <w:rFonts w:ascii="宋体" w:hAnsi="宋体" w:eastAsia="宋体"/>
        </w:rPr>
      </w:pPr>
      <w:r>
        <w:rPr>
          <w:rFonts w:hint="eastAsia" w:ascii="宋体" w:hAnsi="宋体" w:eastAsia="宋体"/>
        </w:rPr>
        <w:t xml:space="preserve">缸盖型式，缸盖与缸体的连接，开孔位置等应符合 </w:t>
      </w:r>
      <w:r>
        <w:rPr>
          <w:rFonts w:ascii="宋体" w:hAnsi="宋体" w:eastAsia="宋体"/>
        </w:rPr>
        <w:t>QB/T 2551-2021 的要求。</w:t>
      </w:r>
    </w:p>
    <w:p w14:paraId="5F108387">
      <w:pPr>
        <w:tabs>
          <w:tab w:val="left" w:pos="945"/>
          <w:tab w:val="left" w:pos="946"/>
        </w:tabs>
        <w:autoSpaceDE w:val="0"/>
        <w:autoSpaceDN w:val="0"/>
        <w:rPr>
          <w:rFonts w:ascii="黑体" w:hAnsi="黑体" w:eastAsia="黑体"/>
        </w:rPr>
      </w:pPr>
    </w:p>
    <w:p w14:paraId="476CF0FD">
      <w:pPr>
        <w:autoSpaceDE w:val="0"/>
        <w:autoSpaceDN w:val="0"/>
        <w:rPr>
          <w:rFonts w:ascii="黑体" w:hAnsi="黑体" w:eastAsia="黑体"/>
        </w:rPr>
      </w:pPr>
      <w:r>
        <w:rPr>
          <w:rFonts w:ascii="黑体" w:hAnsi="黑体" w:eastAsia="黑体"/>
        </w:rPr>
        <w:t>6.2.2 几何尺寸</w:t>
      </w:r>
    </w:p>
    <w:p w14:paraId="5CDF8545">
      <w:pPr>
        <w:tabs>
          <w:tab w:val="left" w:pos="945"/>
          <w:tab w:val="left" w:pos="946"/>
        </w:tabs>
        <w:autoSpaceDE w:val="0"/>
        <w:autoSpaceDN w:val="0"/>
        <w:rPr>
          <w:rFonts w:ascii="黑体" w:hAnsi="黑体" w:eastAsia="黑体"/>
        </w:rPr>
      </w:pPr>
    </w:p>
    <w:p w14:paraId="5508DE59">
      <w:pPr>
        <w:autoSpaceDE w:val="0"/>
        <w:autoSpaceDN w:val="0"/>
        <w:rPr>
          <w:rFonts w:ascii="黑体" w:hAnsi="黑体" w:eastAsia="黑体"/>
        </w:rPr>
      </w:pPr>
      <w:r>
        <w:rPr>
          <w:rFonts w:ascii="黑体" w:hAnsi="黑体" w:eastAsia="黑体"/>
        </w:rPr>
        <w:t>6.2.2.1 缸体锥颈过渡结构</w:t>
      </w:r>
    </w:p>
    <w:p w14:paraId="4B155D3C">
      <w:pPr>
        <w:tabs>
          <w:tab w:val="left" w:pos="945"/>
          <w:tab w:val="left" w:pos="946"/>
        </w:tabs>
        <w:autoSpaceDE w:val="0"/>
        <w:autoSpaceDN w:val="0"/>
        <w:rPr>
          <w:rFonts w:hint="eastAsia" w:ascii="宋体" w:hAnsi="宋体" w:eastAsia="宋体"/>
        </w:rPr>
      </w:pPr>
    </w:p>
    <w:p w14:paraId="30C5A16E">
      <w:pPr>
        <w:tabs>
          <w:tab w:val="left" w:pos="945"/>
          <w:tab w:val="left" w:pos="946"/>
        </w:tabs>
        <w:autoSpaceDE w:val="0"/>
        <w:autoSpaceDN w:val="0"/>
        <w:ind w:firstLine="420" w:firstLineChars="200"/>
        <w:rPr>
          <w:rFonts w:ascii="宋体" w:hAnsi="宋体" w:eastAsia="宋体"/>
        </w:rPr>
      </w:pPr>
      <w:r>
        <w:rPr>
          <w:rFonts w:hint="eastAsia" w:ascii="宋体" w:hAnsi="宋体" w:eastAsia="宋体"/>
        </w:rPr>
        <w:t xml:space="preserve">锥颈与缸壁夹角应不小于 </w:t>
      </w:r>
      <w:r>
        <w:rPr>
          <w:rFonts w:ascii="宋体" w:hAnsi="宋体" w:eastAsia="宋体"/>
        </w:rPr>
        <w:t>8°、锥颈长度应不小于</w:t>
      </w:r>
      <w:r>
        <w:rPr>
          <w:rFonts w:hint="eastAsia" w:ascii="宋体" w:hAnsi="宋体" w:eastAsia="宋体"/>
        </w:rPr>
        <w:t xml:space="preserve"> </w:t>
      </w:r>
      <w:r>
        <w:rPr>
          <w:rFonts w:ascii="宋体" w:hAnsi="宋体" w:eastAsia="宋体"/>
        </w:rPr>
        <w:t>80 mm、 锥颈与缸体及法兰应光滑过渡。</w:t>
      </w:r>
    </w:p>
    <w:p w14:paraId="5111B1A2">
      <w:pPr>
        <w:tabs>
          <w:tab w:val="left" w:pos="945"/>
          <w:tab w:val="left" w:pos="946"/>
        </w:tabs>
        <w:autoSpaceDE w:val="0"/>
        <w:autoSpaceDN w:val="0"/>
        <w:rPr>
          <w:rFonts w:ascii="黑体" w:hAnsi="黑体" w:eastAsia="黑体"/>
        </w:rPr>
      </w:pPr>
    </w:p>
    <w:p w14:paraId="022CD50F">
      <w:pPr>
        <w:tabs>
          <w:tab w:val="left" w:pos="945"/>
          <w:tab w:val="left" w:pos="946"/>
        </w:tabs>
        <w:autoSpaceDE w:val="0"/>
        <w:autoSpaceDN w:val="0"/>
        <w:rPr>
          <w:rFonts w:ascii="黑体" w:hAnsi="黑体" w:eastAsia="黑体"/>
        </w:rPr>
      </w:pPr>
      <w:r>
        <w:rPr>
          <w:rFonts w:ascii="黑体" w:hAnsi="黑体" w:eastAsia="黑体"/>
        </w:rPr>
        <w:t>6.2.2.2 缸体圆弧过渡结构</w:t>
      </w:r>
    </w:p>
    <w:p w14:paraId="10E656C0">
      <w:pPr>
        <w:tabs>
          <w:tab w:val="left" w:pos="945"/>
          <w:tab w:val="left" w:pos="946"/>
        </w:tabs>
        <w:autoSpaceDE w:val="0"/>
        <w:autoSpaceDN w:val="0"/>
        <w:ind w:firstLine="420" w:firstLineChars="200"/>
        <w:rPr>
          <w:rFonts w:ascii="宋体" w:hAnsi="宋体" w:eastAsia="宋体"/>
        </w:rPr>
      </w:pPr>
    </w:p>
    <w:p w14:paraId="16DC33DD">
      <w:pPr>
        <w:tabs>
          <w:tab w:val="left" w:pos="945"/>
          <w:tab w:val="left" w:pos="946"/>
        </w:tabs>
        <w:autoSpaceDE w:val="0"/>
        <w:autoSpaceDN w:val="0"/>
        <w:ind w:firstLine="420" w:firstLineChars="200"/>
        <w:rPr>
          <w:rFonts w:ascii="宋体" w:hAnsi="宋体" w:eastAsia="宋体"/>
        </w:rPr>
      </w:pPr>
      <w:r>
        <w:rPr>
          <w:rFonts w:hint="eastAsia" w:ascii="宋体" w:hAnsi="宋体" w:eastAsia="宋体"/>
        </w:rPr>
        <w:t xml:space="preserve">圆弧半径应不小于 </w:t>
      </w:r>
      <w:r>
        <w:rPr>
          <w:rFonts w:ascii="宋体" w:hAnsi="宋体" w:eastAsia="宋体"/>
        </w:rPr>
        <w:t>30 mm，并与缸体和法兰光滑过渡。</w:t>
      </w:r>
    </w:p>
    <w:p w14:paraId="1D9595FB">
      <w:pPr>
        <w:tabs>
          <w:tab w:val="left" w:pos="945"/>
          <w:tab w:val="left" w:pos="946"/>
        </w:tabs>
        <w:autoSpaceDE w:val="0"/>
        <w:autoSpaceDN w:val="0"/>
        <w:rPr>
          <w:rFonts w:ascii="黑体" w:hAnsi="黑体" w:eastAsia="黑体"/>
        </w:rPr>
      </w:pPr>
    </w:p>
    <w:p w14:paraId="15BBDDB1">
      <w:pPr>
        <w:tabs>
          <w:tab w:val="left" w:pos="945"/>
          <w:tab w:val="left" w:pos="946"/>
        </w:tabs>
        <w:autoSpaceDE w:val="0"/>
        <w:autoSpaceDN w:val="0"/>
        <w:rPr>
          <w:rFonts w:ascii="黑体" w:hAnsi="黑体" w:eastAsia="黑体"/>
        </w:rPr>
      </w:pPr>
      <w:r>
        <w:rPr>
          <w:rFonts w:ascii="黑体" w:hAnsi="黑体" w:eastAsia="黑体"/>
        </w:rPr>
        <w:t>6.2.3 外观</w:t>
      </w:r>
    </w:p>
    <w:p w14:paraId="730828C5">
      <w:pPr>
        <w:tabs>
          <w:tab w:val="left" w:pos="945"/>
          <w:tab w:val="left" w:pos="946"/>
        </w:tabs>
        <w:autoSpaceDE w:val="0"/>
        <w:autoSpaceDN w:val="0"/>
        <w:rPr>
          <w:rFonts w:ascii="黑体" w:hAnsi="黑体" w:eastAsia="黑体"/>
        </w:rPr>
      </w:pPr>
    </w:p>
    <w:p w14:paraId="44AB5331">
      <w:pPr>
        <w:tabs>
          <w:tab w:val="left" w:pos="945"/>
          <w:tab w:val="left" w:pos="946"/>
        </w:tabs>
        <w:autoSpaceDE w:val="0"/>
        <w:autoSpaceDN w:val="0"/>
        <w:rPr>
          <w:rFonts w:ascii="黑体" w:hAnsi="黑体" w:eastAsia="黑体"/>
        </w:rPr>
      </w:pPr>
      <w:r>
        <w:rPr>
          <w:rFonts w:ascii="黑体" w:hAnsi="黑体" w:eastAsia="黑体"/>
        </w:rPr>
        <w:t>6.2.3.1 一般要求</w:t>
      </w:r>
    </w:p>
    <w:p w14:paraId="4DF8E1FE">
      <w:pPr>
        <w:ind w:firstLine="420" w:firstLineChars="200"/>
        <w:rPr>
          <w:rFonts w:ascii="宋体" w:hAnsi="宋体" w:eastAsia="宋体"/>
        </w:rPr>
      </w:pPr>
    </w:p>
    <w:p w14:paraId="0B7FE33C">
      <w:pPr>
        <w:ind w:firstLine="420" w:firstLineChars="200"/>
        <w:rPr>
          <w:rFonts w:ascii="宋体" w:hAnsi="宋体" w:eastAsia="宋体"/>
        </w:rPr>
      </w:pPr>
      <w:r>
        <w:rPr>
          <w:rFonts w:ascii="宋体" w:hAnsi="宋体" w:eastAsia="宋体"/>
        </w:rPr>
        <w:t>包括但不限于以下内容：</w:t>
      </w:r>
    </w:p>
    <w:p w14:paraId="055485E9">
      <w:pPr>
        <w:tabs>
          <w:tab w:val="left" w:pos="1633"/>
          <w:tab w:val="left" w:pos="1634"/>
        </w:tabs>
        <w:autoSpaceDE w:val="0"/>
        <w:autoSpaceDN w:val="0"/>
        <w:spacing w:before="44"/>
        <w:ind w:firstLine="412" w:firstLineChars="200"/>
        <w:rPr>
          <w:rFonts w:ascii="宋体" w:hAnsi="宋体" w:eastAsia="宋体"/>
        </w:rPr>
      </w:pPr>
      <w:r>
        <w:rPr>
          <w:rFonts w:hint="eastAsia" w:ascii="宋体" w:hAnsi="宋体" w:eastAsia="宋体"/>
          <w:spacing w:val="-2"/>
        </w:rPr>
        <w:t>a)</w:t>
      </w:r>
      <w:r>
        <w:rPr>
          <w:rFonts w:ascii="宋体" w:hAnsi="宋体" w:eastAsia="宋体"/>
          <w:spacing w:val="-2"/>
        </w:rPr>
        <w:t>铭牌和标志；</w:t>
      </w:r>
    </w:p>
    <w:p w14:paraId="6BC25B01">
      <w:pPr>
        <w:tabs>
          <w:tab w:val="left" w:pos="1633"/>
          <w:tab w:val="left" w:pos="1634"/>
        </w:tabs>
        <w:autoSpaceDE w:val="0"/>
        <w:autoSpaceDN w:val="0"/>
        <w:spacing w:before="43"/>
        <w:ind w:firstLine="408" w:firstLineChars="200"/>
        <w:rPr>
          <w:rFonts w:ascii="宋体" w:hAnsi="宋体" w:eastAsia="宋体"/>
          <w:spacing w:val="-3"/>
        </w:rPr>
      </w:pPr>
      <w:r>
        <w:rPr>
          <w:rFonts w:hint="eastAsia" w:ascii="宋体" w:hAnsi="宋体" w:eastAsia="宋体"/>
          <w:spacing w:val="-3"/>
        </w:rPr>
        <w:t>b)</w:t>
      </w:r>
      <w:r>
        <w:rPr>
          <w:rFonts w:ascii="宋体" w:hAnsi="宋体" w:eastAsia="宋体"/>
          <w:spacing w:val="-3"/>
        </w:rPr>
        <w:t>主要受压元件内外表面的腐蚀、裂纹、泄漏、变形、机械接触损伤。重点检查缸体圆弧过渡区、缸体锥颈；</w:t>
      </w:r>
    </w:p>
    <w:p w14:paraId="4B7B0D44">
      <w:pPr>
        <w:tabs>
          <w:tab w:val="left" w:pos="1633"/>
          <w:tab w:val="left" w:pos="1634"/>
        </w:tabs>
        <w:autoSpaceDE w:val="0"/>
        <w:autoSpaceDN w:val="0"/>
        <w:spacing w:before="43"/>
        <w:ind w:firstLine="408" w:firstLineChars="200"/>
        <w:rPr>
          <w:rFonts w:ascii="宋体" w:hAnsi="宋体" w:eastAsia="宋体"/>
          <w:spacing w:val="-3"/>
        </w:rPr>
      </w:pPr>
      <w:r>
        <w:rPr>
          <w:rFonts w:ascii="宋体" w:hAnsi="宋体" w:eastAsia="宋体"/>
          <w:spacing w:val="-3"/>
        </w:rPr>
        <w:t>c)支承、支座或者基础的下沉、倾斜；</w:t>
      </w:r>
    </w:p>
    <w:p w14:paraId="23CD2110">
      <w:pPr>
        <w:tabs>
          <w:tab w:val="left" w:pos="1633"/>
          <w:tab w:val="left" w:pos="1634"/>
        </w:tabs>
        <w:autoSpaceDE w:val="0"/>
        <w:autoSpaceDN w:val="0"/>
        <w:spacing w:before="43"/>
        <w:ind w:firstLine="408" w:firstLineChars="200"/>
        <w:rPr>
          <w:rFonts w:ascii="宋体" w:hAnsi="宋体" w:eastAsia="宋体"/>
          <w:spacing w:val="-3"/>
        </w:rPr>
      </w:pPr>
      <w:r>
        <w:rPr>
          <w:rFonts w:ascii="宋体" w:hAnsi="宋体" w:eastAsia="宋体"/>
          <w:spacing w:val="-3"/>
        </w:rPr>
        <w:t>d)排水装置和沉积物；</w:t>
      </w:r>
    </w:p>
    <w:p w14:paraId="3D331D31">
      <w:pPr>
        <w:tabs>
          <w:tab w:val="left" w:pos="1633"/>
          <w:tab w:val="left" w:pos="1634"/>
        </w:tabs>
        <w:autoSpaceDE w:val="0"/>
        <w:autoSpaceDN w:val="0"/>
        <w:spacing w:before="43"/>
        <w:ind w:firstLine="408" w:firstLineChars="200"/>
        <w:rPr>
          <w:rFonts w:ascii="宋体" w:hAnsi="宋体" w:eastAsia="宋体"/>
          <w:spacing w:val="-3"/>
        </w:rPr>
      </w:pPr>
      <w:r>
        <w:rPr>
          <w:rFonts w:hint="eastAsia" w:ascii="宋体" w:hAnsi="宋体" w:eastAsia="宋体"/>
          <w:spacing w:val="-3"/>
        </w:rPr>
        <w:t>e)</w:t>
      </w:r>
      <w:r>
        <w:rPr>
          <w:rFonts w:ascii="宋体" w:hAnsi="宋体" w:eastAsia="宋体"/>
          <w:spacing w:val="-3"/>
        </w:rPr>
        <w:t>缸面补孔、虹吸管、螺栓；</w:t>
      </w:r>
    </w:p>
    <w:p w14:paraId="08920CB6">
      <w:pPr>
        <w:tabs>
          <w:tab w:val="left" w:pos="1633"/>
          <w:tab w:val="left" w:pos="1634"/>
        </w:tabs>
        <w:autoSpaceDE w:val="0"/>
        <w:autoSpaceDN w:val="0"/>
        <w:spacing w:before="43"/>
        <w:ind w:firstLine="408" w:firstLineChars="200"/>
        <w:rPr>
          <w:rFonts w:ascii="宋体" w:hAnsi="宋体" w:eastAsia="宋体"/>
          <w:spacing w:val="-3"/>
        </w:rPr>
      </w:pPr>
      <w:r>
        <w:rPr>
          <w:rFonts w:ascii="宋体" w:hAnsi="宋体" w:eastAsia="宋体"/>
          <w:spacing w:val="-3"/>
        </w:rPr>
        <w:t>f)是否存在焊补、焊接情况。</w:t>
      </w:r>
    </w:p>
    <w:p w14:paraId="7A7E5AF7">
      <w:pPr>
        <w:tabs>
          <w:tab w:val="left" w:pos="1633"/>
          <w:tab w:val="left" w:pos="1634"/>
        </w:tabs>
        <w:autoSpaceDE w:val="0"/>
        <w:autoSpaceDN w:val="0"/>
        <w:spacing w:before="43"/>
        <w:ind w:right="84" w:firstLine="416"/>
        <w:rPr>
          <w:rFonts w:ascii="黑体" w:hAnsi="黑体" w:eastAsia="黑体"/>
          <w:spacing w:val="-1"/>
        </w:rPr>
      </w:pPr>
    </w:p>
    <w:p w14:paraId="3DA46DC3">
      <w:pPr>
        <w:tabs>
          <w:tab w:val="left" w:pos="1633"/>
          <w:tab w:val="left" w:pos="1634"/>
        </w:tabs>
        <w:autoSpaceDE w:val="0"/>
        <w:autoSpaceDN w:val="0"/>
        <w:spacing w:before="43"/>
        <w:ind w:right="84"/>
        <w:rPr>
          <w:rFonts w:ascii="黑体" w:hAnsi="黑体" w:eastAsia="黑体"/>
          <w:spacing w:val="-1"/>
        </w:rPr>
      </w:pPr>
      <w:r>
        <w:rPr>
          <w:rFonts w:ascii="黑体" w:hAnsi="黑体" w:eastAsia="黑体"/>
          <w:spacing w:val="-1"/>
        </w:rPr>
        <w:t xml:space="preserve">6.2.3.2 </w:t>
      </w:r>
      <w:r>
        <w:rPr>
          <w:rFonts w:hint="eastAsia" w:ascii="黑体" w:hAnsi="黑体" w:eastAsia="黑体"/>
          <w:spacing w:val="-1"/>
        </w:rPr>
        <w:t>其他要求</w:t>
      </w:r>
    </w:p>
    <w:p w14:paraId="35B83068">
      <w:pPr>
        <w:tabs>
          <w:tab w:val="left" w:pos="1633"/>
          <w:tab w:val="left" w:pos="1634"/>
        </w:tabs>
        <w:autoSpaceDE w:val="0"/>
        <w:autoSpaceDN w:val="0"/>
        <w:spacing w:before="43"/>
        <w:ind w:right="84" w:firstLine="408"/>
        <w:rPr>
          <w:rFonts w:ascii="宋体" w:hAnsi="宋体" w:eastAsia="宋体"/>
          <w:spacing w:val="-3"/>
        </w:rPr>
      </w:pPr>
    </w:p>
    <w:p w14:paraId="30BAA842">
      <w:pPr>
        <w:tabs>
          <w:tab w:val="left" w:pos="1633"/>
          <w:tab w:val="left" w:pos="1634"/>
        </w:tabs>
        <w:autoSpaceDE w:val="0"/>
        <w:autoSpaceDN w:val="0"/>
        <w:spacing w:before="43"/>
        <w:ind w:right="84" w:firstLine="408"/>
        <w:rPr>
          <w:rFonts w:ascii="宋体" w:hAnsi="宋体" w:eastAsia="宋体"/>
          <w:spacing w:val="-3"/>
        </w:rPr>
      </w:pPr>
      <w:r>
        <w:rPr>
          <w:rFonts w:ascii="宋体" w:hAnsi="宋体" w:eastAsia="宋体"/>
          <w:spacing w:val="-3"/>
        </w:rPr>
        <w:t>6.2.3.2.1 烘缸不得焊补，不得焊接修理。</w:t>
      </w:r>
    </w:p>
    <w:p w14:paraId="19377344">
      <w:pPr>
        <w:tabs>
          <w:tab w:val="left" w:pos="1633"/>
          <w:tab w:val="left" w:pos="1634"/>
        </w:tabs>
        <w:autoSpaceDE w:val="0"/>
        <w:autoSpaceDN w:val="0"/>
        <w:spacing w:before="43"/>
        <w:ind w:right="84" w:firstLine="408"/>
        <w:rPr>
          <w:rFonts w:ascii="宋体" w:hAnsi="宋体" w:eastAsia="宋体"/>
          <w:spacing w:val="-3"/>
        </w:rPr>
      </w:pPr>
      <w:r>
        <w:rPr>
          <w:rFonts w:ascii="宋体" w:hAnsi="宋体" w:eastAsia="宋体"/>
          <w:spacing w:val="-3"/>
        </w:rPr>
        <w:t>6.2.3.2.2 烘缸上的虹吸管不得有卡死、漏气、不通等现象。</w:t>
      </w:r>
    </w:p>
    <w:p w14:paraId="6F848CCF">
      <w:pPr>
        <w:tabs>
          <w:tab w:val="left" w:pos="1633"/>
          <w:tab w:val="left" w:pos="1634"/>
        </w:tabs>
        <w:autoSpaceDE w:val="0"/>
        <w:autoSpaceDN w:val="0"/>
        <w:spacing w:before="43"/>
        <w:ind w:right="84" w:firstLine="408"/>
        <w:rPr>
          <w:rFonts w:ascii="宋体" w:hAnsi="宋体" w:eastAsia="宋体"/>
          <w:spacing w:val="-3"/>
        </w:rPr>
      </w:pPr>
      <w:r>
        <w:rPr>
          <w:rFonts w:ascii="宋体" w:hAnsi="宋体" w:eastAsia="宋体"/>
          <w:spacing w:val="-3"/>
        </w:rPr>
        <w:t>6.2.3.2.3 烘缸上的螺栓应全部安装到位，不得缺少，更换的螺栓应符合设计图样要求。</w:t>
      </w:r>
    </w:p>
    <w:p w14:paraId="70FDA4C3">
      <w:pPr>
        <w:tabs>
          <w:tab w:val="left" w:pos="1633"/>
          <w:tab w:val="left" w:pos="1634"/>
        </w:tabs>
        <w:autoSpaceDE w:val="0"/>
        <w:autoSpaceDN w:val="0"/>
        <w:spacing w:before="43"/>
        <w:ind w:right="84" w:firstLine="416"/>
        <w:rPr>
          <w:rFonts w:ascii="黑体" w:hAnsi="黑体" w:eastAsia="黑体"/>
          <w:spacing w:val="-1"/>
        </w:rPr>
      </w:pPr>
    </w:p>
    <w:p w14:paraId="006F7460">
      <w:pPr>
        <w:tabs>
          <w:tab w:val="left" w:pos="1633"/>
          <w:tab w:val="left" w:pos="1634"/>
        </w:tabs>
        <w:autoSpaceDE w:val="0"/>
        <w:autoSpaceDN w:val="0"/>
        <w:spacing w:before="43"/>
        <w:ind w:right="84"/>
        <w:rPr>
          <w:rFonts w:ascii="黑体" w:hAnsi="黑体" w:eastAsia="黑体"/>
          <w:spacing w:val="-1"/>
        </w:rPr>
      </w:pPr>
      <w:r>
        <w:rPr>
          <w:rFonts w:ascii="黑体" w:hAnsi="黑体" w:eastAsia="黑体"/>
          <w:spacing w:val="-1"/>
        </w:rPr>
        <w:t xml:space="preserve">6.2.4 </w:t>
      </w:r>
      <w:r>
        <w:rPr>
          <w:rFonts w:hint="eastAsia" w:ascii="黑体" w:hAnsi="黑体" w:eastAsia="黑体"/>
          <w:spacing w:val="-1"/>
        </w:rPr>
        <w:t>检验时间</w:t>
      </w:r>
    </w:p>
    <w:p w14:paraId="600F7781">
      <w:pPr>
        <w:tabs>
          <w:tab w:val="left" w:pos="1633"/>
          <w:tab w:val="left" w:pos="1634"/>
        </w:tabs>
        <w:autoSpaceDE w:val="0"/>
        <w:autoSpaceDN w:val="0"/>
        <w:spacing w:before="43"/>
        <w:ind w:right="84" w:firstLine="420" w:firstLineChars="200"/>
        <w:rPr>
          <w:rFonts w:ascii="宋体" w:hAnsi="宋体" w:eastAsia="宋体"/>
        </w:rPr>
      </w:pPr>
    </w:p>
    <w:p w14:paraId="2AC1EF4E">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结构和几何尺寸检验项目应在首次全面检验时进行。</w:t>
      </w:r>
    </w:p>
    <w:p w14:paraId="246464C9">
      <w:pPr>
        <w:tabs>
          <w:tab w:val="left" w:pos="1633"/>
          <w:tab w:val="left" w:pos="1634"/>
        </w:tabs>
        <w:autoSpaceDE w:val="0"/>
        <w:autoSpaceDN w:val="0"/>
        <w:spacing w:before="43"/>
        <w:ind w:right="84"/>
        <w:rPr>
          <w:rFonts w:ascii="宋体" w:hAnsi="宋体" w:eastAsia="宋体"/>
        </w:rPr>
      </w:pPr>
    </w:p>
    <w:p w14:paraId="40B64378">
      <w:pPr>
        <w:tabs>
          <w:tab w:val="left" w:pos="1633"/>
          <w:tab w:val="left" w:pos="1634"/>
        </w:tabs>
        <w:autoSpaceDE w:val="0"/>
        <w:autoSpaceDN w:val="0"/>
        <w:spacing w:before="43"/>
        <w:ind w:right="84"/>
        <w:rPr>
          <w:rFonts w:ascii="黑体" w:hAnsi="黑体" w:eastAsia="黑体"/>
        </w:rPr>
      </w:pPr>
      <w:r>
        <w:rPr>
          <w:rFonts w:hint="eastAsia" w:ascii="黑体" w:hAnsi="黑体" w:eastAsia="黑体"/>
        </w:rPr>
        <w:t>6.3</w:t>
      </w:r>
      <w:r>
        <w:rPr>
          <w:rFonts w:ascii="黑体" w:hAnsi="黑体" w:eastAsia="黑体"/>
        </w:rPr>
        <w:t xml:space="preserve"> </w:t>
      </w:r>
      <w:r>
        <w:rPr>
          <w:rFonts w:hint="eastAsia" w:ascii="黑体" w:hAnsi="黑体" w:eastAsia="黑体"/>
        </w:rPr>
        <w:t>壁厚测定</w:t>
      </w:r>
    </w:p>
    <w:p w14:paraId="61205685">
      <w:pPr>
        <w:tabs>
          <w:tab w:val="left" w:pos="1633"/>
          <w:tab w:val="left" w:pos="1634"/>
        </w:tabs>
        <w:autoSpaceDE w:val="0"/>
        <w:autoSpaceDN w:val="0"/>
        <w:spacing w:before="43"/>
        <w:ind w:right="84" w:firstLine="416"/>
        <w:rPr>
          <w:rFonts w:ascii="黑体" w:hAnsi="黑体" w:eastAsia="黑体"/>
          <w:spacing w:val="-1"/>
        </w:rPr>
      </w:pPr>
    </w:p>
    <w:p w14:paraId="3D31511B">
      <w:pPr>
        <w:tabs>
          <w:tab w:val="left" w:pos="1633"/>
          <w:tab w:val="left" w:pos="1634"/>
        </w:tabs>
        <w:autoSpaceDE w:val="0"/>
        <w:autoSpaceDN w:val="0"/>
        <w:spacing w:before="43"/>
        <w:ind w:right="84"/>
        <w:rPr>
          <w:rFonts w:ascii="黑体" w:hAnsi="黑体" w:eastAsia="黑体"/>
          <w:spacing w:val="-1"/>
        </w:rPr>
      </w:pPr>
      <w:r>
        <w:rPr>
          <w:rFonts w:hint="eastAsia" w:ascii="黑体" w:hAnsi="黑体" w:eastAsia="黑体"/>
          <w:spacing w:val="-1"/>
        </w:rPr>
        <w:t>6.3.1</w:t>
      </w:r>
      <w:r>
        <w:rPr>
          <w:rFonts w:ascii="黑体" w:hAnsi="黑体" w:eastAsia="黑体"/>
          <w:spacing w:val="-1"/>
        </w:rPr>
        <w:t xml:space="preserve"> </w:t>
      </w:r>
      <w:r>
        <w:rPr>
          <w:rFonts w:hint="eastAsia" w:ascii="黑体" w:hAnsi="黑体" w:eastAsia="黑体"/>
          <w:spacing w:val="-1"/>
        </w:rPr>
        <w:t>一般要求</w:t>
      </w:r>
    </w:p>
    <w:p w14:paraId="48027F7B">
      <w:pPr>
        <w:tabs>
          <w:tab w:val="left" w:pos="1633"/>
          <w:tab w:val="left" w:pos="1634"/>
        </w:tabs>
        <w:autoSpaceDE w:val="0"/>
        <w:autoSpaceDN w:val="0"/>
        <w:spacing w:before="43"/>
        <w:ind w:right="84" w:firstLine="408"/>
        <w:rPr>
          <w:rFonts w:ascii="宋体" w:hAnsi="宋体" w:eastAsia="宋体"/>
          <w:spacing w:val="-3"/>
        </w:rPr>
      </w:pPr>
    </w:p>
    <w:p w14:paraId="377853A3">
      <w:pPr>
        <w:tabs>
          <w:tab w:val="left" w:pos="1633"/>
          <w:tab w:val="left" w:pos="1634"/>
        </w:tabs>
        <w:autoSpaceDE w:val="0"/>
        <w:autoSpaceDN w:val="0"/>
        <w:spacing w:before="43"/>
        <w:ind w:right="84"/>
        <w:rPr>
          <w:rFonts w:ascii="宋体" w:hAnsi="宋体" w:eastAsia="宋体"/>
          <w:spacing w:val="-3"/>
        </w:rPr>
      </w:pPr>
      <w:r>
        <w:rPr>
          <w:rFonts w:hint="eastAsia" w:ascii="宋体" w:hAnsi="宋体" w:eastAsia="宋体"/>
          <w:spacing w:val="-3"/>
        </w:rPr>
        <w:t>6.3.1.1</w:t>
      </w:r>
      <w:r>
        <w:rPr>
          <w:rFonts w:ascii="宋体" w:hAnsi="宋体" w:eastAsia="宋体"/>
          <w:spacing w:val="-3"/>
        </w:rPr>
        <w:t xml:space="preserve"> </w:t>
      </w:r>
      <w:r>
        <w:rPr>
          <w:rFonts w:hint="eastAsia" w:ascii="宋体" w:hAnsi="宋体" w:eastAsia="宋体"/>
          <w:spacing w:val="-3"/>
          <w:lang w:val="en-US" w:eastAsia="zh-CN"/>
        </w:rPr>
        <w:t xml:space="preserve"> </w:t>
      </w:r>
      <w:r>
        <w:rPr>
          <w:rFonts w:ascii="宋体" w:hAnsi="宋体" w:eastAsia="宋体"/>
          <w:spacing w:val="-3"/>
        </w:rPr>
        <w:t>壁厚测定以缸体测厚为主，必要时增加端盖法兰、端盖等部位测厚。</w:t>
      </w:r>
    </w:p>
    <w:p w14:paraId="3FC4BD0C">
      <w:pPr>
        <w:tabs>
          <w:tab w:val="left" w:pos="1633"/>
          <w:tab w:val="left" w:pos="1634"/>
        </w:tabs>
        <w:autoSpaceDE w:val="0"/>
        <w:autoSpaceDN w:val="0"/>
        <w:spacing w:before="43"/>
        <w:ind w:right="84"/>
        <w:rPr>
          <w:rFonts w:ascii="宋体" w:hAnsi="宋体" w:eastAsia="宋体"/>
        </w:rPr>
      </w:pPr>
      <w:r>
        <w:rPr>
          <w:rFonts w:hint="eastAsia" w:ascii="宋体" w:hAnsi="宋体" w:eastAsia="宋体"/>
        </w:rPr>
        <w:t>6.3.1.2</w:t>
      </w:r>
      <w:r>
        <w:rPr>
          <w:rFonts w:ascii="宋体" w:hAnsi="宋体" w:eastAsia="宋体"/>
        </w:rPr>
        <w:t xml:space="preserve"> </w:t>
      </w:r>
      <w:r>
        <w:rPr>
          <w:rFonts w:hint="eastAsia" w:ascii="宋体" w:hAnsi="宋体" w:eastAsia="宋体"/>
          <w:lang w:val="en-US" w:eastAsia="zh-CN"/>
        </w:rPr>
        <w:t xml:space="preserve"> </w:t>
      </w:r>
      <w:r>
        <w:rPr>
          <w:rFonts w:ascii="宋体" w:hAnsi="宋体" w:eastAsia="宋体"/>
        </w:rPr>
        <w:t>测定位置应有代表性，有足够的测厚</w:t>
      </w:r>
      <w:r>
        <w:rPr>
          <w:rFonts w:hint="eastAsia" w:ascii="宋体" w:hAnsi="宋体" w:eastAsia="宋体"/>
        </w:rPr>
        <w:t>点</w:t>
      </w:r>
      <w:r>
        <w:rPr>
          <w:rFonts w:ascii="宋体" w:hAnsi="宋体" w:eastAsia="宋体"/>
        </w:rPr>
        <w:t>数。测定后标图记录，对异常测厚部位</w:t>
      </w:r>
      <w:r>
        <w:rPr>
          <w:rFonts w:hint="eastAsia" w:ascii="宋体" w:hAnsi="宋体" w:eastAsia="宋体"/>
        </w:rPr>
        <w:t>增加测厚点并</w:t>
      </w:r>
      <w:r>
        <w:rPr>
          <w:rFonts w:ascii="宋体" w:hAnsi="宋体" w:eastAsia="宋体"/>
        </w:rPr>
        <w:t>做详细标记。</w:t>
      </w:r>
    </w:p>
    <w:p w14:paraId="3CCF37F6">
      <w:pPr>
        <w:tabs>
          <w:tab w:val="left" w:pos="1633"/>
          <w:tab w:val="left" w:pos="1634"/>
        </w:tabs>
        <w:autoSpaceDE w:val="0"/>
        <w:autoSpaceDN w:val="0"/>
        <w:spacing w:before="43"/>
        <w:ind w:right="84"/>
        <w:rPr>
          <w:rFonts w:ascii="宋体" w:hAnsi="宋体" w:eastAsia="宋体"/>
        </w:rPr>
      </w:pPr>
      <w:r>
        <w:rPr>
          <w:rFonts w:ascii="宋体" w:hAnsi="宋体" w:eastAsia="宋体"/>
        </w:rPr>
        <w:t xml:space="preserve">6.3.1.2 </w:t>
      </w:r>
      <w:r>
        <w:rPr>
          <w:rFonts w:hint="eastAsia" w:ascii="宋体" w:hAnsi="宋体" w:eastAsia="宋体"/>
          <w:lang w:val="en-US" w:eastAsia="zh-CN"/>
        </w:rPr>
        <w:t xml:space="preserve"> </w:t>
      </w:r>
      <w:r>
        <w:rPr>
          <w:rFonts w:ascii="宋体" w:hAnsi="宋体" w:eastAsia="宋体"/>
        </w:rPr>
        <w:t>宜采用超声检测仪测厚，测量前用与烘缸材质相同、厚度相近的铸铁试块校准灵敏度。</w:t>
      </w:r>
    </w:p>
    <w:p w14:paraId="50BABFFC">
      <w:pPr>
        <w:tabs>
          <w:tab w:val="left" w:pos="1633"/>
          <w:tab w:val="left" w:pos="1634"/>
        </w:tabs>
        <w:autoSpaceDE w:val="0"/>
        <w:autoSpaceDN w:val="0"/>
        <w:spacing w:before="43"/>
        <w:ind w:right="84"/>
        <w:rPr>
          <w:rFonts w:ascii="宋体" w:hAnsi="宋体" w:eastAsia="宋体"/>
        </w:rPr>
      </w:pPr>
    </w:p>
    <w:p w14:paraId="0B6568AE">
      <w:pPr>
        <w:tabs>
          <w:tab w:val="left" w:pos="1633"/>
          <w:tab w:val="left" w:pos="1634"/>
        </w:tabs>
        <w:autoSpaceDE w:val="0"/>
        <w:autoSpaceDN w:val="0"/>
        <w:spacing w:before="43"/>
        <w:ind w:right="84"/>
        <w:rPr>
          <w:rFonts w:ascii="黑体" w:hAnsi="黑体" w:eastAsia="黑体"/>
        </w:rPr>
      </w:pPr>
      <w:r>
        <w:rPr>
          <w:rFonts w:hint="eastAsia" w:ascii="黑体" w:hAnsi="黑体" w:eastAsia="黑体"/>
        </w:rPr>
        <w:t>6.3.2</w:t>
      </w:r>
      <w:r>
        <w:rPr>
          <w:rFonts w:ascii="黑体" w:hAnsi="黑体" w:eastAsia="黑体"/>
        </w:rPr>
        <w:t xml:space="preserve"> 缸体</w:t>
      </w:r>
    </w:p>
    <w:p w14:paraId="08542069">
      <w:pPr>
        <w:tabs>
          <w:tab w:val="left" w:pos="1633"/>
          <w:tab w:val="left" w:pos="1634"/>
        </w:tabs>
        <w:autoSpaceDE w:val="0"/>
        <w:autoSpaceDN w:val="0"/>
        <w:spacing w:before="43"/>
        <w:ind w:right="84"/>
        <w:rPr>
          <w:rFonts w:ascii="宋体" w:hAnsi="宋体" w:eastAsia="宋体"/>
        </w:rPr>
      </w:pPr>
    </w:p>
    <w:p w14:paraId="03137BD2">
      <w:pPr>
        <w:tabs>
          <w:tab w:val="left" w:pos="1633"/>
          <w:tab w:val="left" w:pos="1634"/>
        </w:tabs>
        <w:autoSpaceDE w:val="0"/>
        <w:autoSpaceDN w:val="0"/>
        <w:spacing w:before="43"/>
        <w:ind w:right="84"/>
        <w:rPr>
          <w:rFonts w:ascii="宋体" w:hAnsi="宋体" w:eastAsia="宋体"/>
        </w:rPr>
      </w:pPr>
      <w:r>
        <w:rPr>
          <w:rFonts w:ascii="宋体" w:hAnsi="宋体" w:eastAsia="宋体"/>
        </w:rPr>
        <w:t>6.3.2.1</w:t>
      </w:r>
      <w:r>
        <w:rPr>
          <w:rFonts w:hint="eastAsia" w:ascii="宋体" w:hAnsi="宋体" w:eastAsia="宋体"/>
          <w:lang w:val="en-US" w:eastAsia="zh-CN"/>
        </w:rPr>
        <w:t xml:space="preserve"> </w:t>
      </w:r>
      <w:r>
        <w:rPr>
          <w:rFonts w:ascii="宋体" w:hAnsi="宋体" w:eastAsia="宋体"/>
        </w:rPr>
        <w:t>壁厚测定时按实测烘缸轴长，至少取三个横截面，每截面沿周长至少均布 4 个测厚部位，每只烘筒至少测 12 个测厚部位；测厚部位应避开锥颈、圆弧及缸体法兰。</w:t>
      </w:r>
    </w:p>
    <w:p w14:paraId="62AA4A6C">
      <w:pPr>
        <w:tabs>
          <w:tab w:val="left" w:pos="1633"/>
          <w:tab w:val="left" w:pos="1634"/>
        </w:tabs>
        <w:autoSpaceDE w:val="0"/>
        <w:autoSpaceDN w:val="0"/>
        <w:spacing w:before="43"/>
        <w:ind w:right="84"/>
        <w:rPr>
          <w:rFonts w:ascii="宋体" w:hAnsi="宋体" w:eastAsia="宋体"/>
        </w:rPr>
      </w:pPr>
      <w:r>
        <w:rPr>
          <w:rFonts w:hint="eastAsia" w:ascii="宋体" w:hAnsi="宋体" w:eastAsia="宋体"/>
        </w:rPr>
        <w:t>6.3.2.2</w:t>
      </w:r>
      <w:r>
        <w:rPr>
          <w:rFonts w:ascii="宋体" w:hAnsi="宋体" w:eastAsia="宋体"/>
        </w:rPr>
        <w:t xml:space="preserve"> 参见附录 A 查找计算厚度。</w:t>
      </w:r>
    </w:p>
    <w:p w14:paraId="07AADD8E">
      <w:pPr>
        <w:tabs>
          <w:tab w:val="left" w:pos="1633"/>
          <w:tab w:val="left" w:pos="1634"/>
        </w:tabs>
        <w:autoSpaceDE w:val="0"/>
        <w:autoSpaceDN w:val="0"/>
        <w:spacing w:before="43"/>
        <w:ind w:right="84"/>
        <w:rPr>
          <w:rFonts w:ascii="宋体" w:hAnsi="宋体" w:eastAsia="宋体"/>
        </w:rPr>
      </w:pPr>
    </w:p>
    <w:p w14:paraId="6BD76304">
      <w:pPr>
        <w:tabs>
          <w:tab w:val="left" w:pos="1633"/>
          <w:tab w:val="left" w:pos="1634"/>
        </w:tabs>
        <w:autoSpaceDE w:val="0"/>
        <w:autoSpaceDN w:val="0"/>
        <w:spacing w:before="43"/>
        <w:ind w:right="84"/>
        <w:rPr>
          <w:rFonts w:ascii="黑体" w:hAnsi="黑体" w:eastAsia="黑体"/>
        </w:rPr>
      </w:pPr>
      <w:r>
        <w:rPr>
          <w:rFonts w:hint="eastAsia" w:ascii="黑体" w:hAnsi="黑体" w:eastAsia="黑体"/>
        </w:rPr>
        <w:t>6.3.3</w:t>
      </w:r>
      <w:r>
        <w:rPr>
          <w:rFonts w:ascii="黑体" w:hAnsi="黑体" w:eastAsia="黑体"/>
        </w:rPr>
        <w:t xml:space="preserve"> 端盖法兰</w:t>
      </w:r>
    </w:p>
    <w:p w14:paraId="3E8583BC">
      <w:pPr>
        <w:tabs>
          <w:tab w:val="left" w:pos="1633"/>
          <w:tab w:val="left" w:pos="1634"/>
        </w:tabs>
        <w:autoSpaceDE w:val="0"/>
        <w:autoSpaceDN w:val="0"/>
        <w:spacing w:before="43"/>
        <w:ind w:right="84"/>
        <w:rPr>
          <w:rFonts w:ascii="宋体" w:hAnsi="宋体" w:eastAsia="宋体"/>
        </w:rPr>
      </w:pPr>
    </w:p>
    <w:p w14:paraId="0FFFBA78">
      <w:pPr>
        <w:tabs>
          <w:tab w:val="left" w:pos="1633"/>
          <w:tab w:val="left" w:pos="1634"/>
        </w:tabs>
        <w:autoSpaceDE w:val="0"/>
        <w:autoSpaceDN w:val="0"/>
        <w:spacing w:before="43"/>
        <w:ind w:right="84"/>
        <w:rPr>
          <w:rFonts w:ascii="宋体" w:hAnsi="宋体" w:eastAsia="宋体"/>
        </w:rPr>
      </w:pPr>
      <w:r>
        <w:rPr>
          <w:rFonts w:hint="eastAsia" w:ascii="宋体" w:hAnsi="宋体" w:eastAsia="宋体"/>
        </w:rPr>
        <w:t>6.3.3.1</w:t>
      </w:r>
      <w:r>
        <w:rPr>
          <w:rFonts w:ascii="宋体" w:hAnsi="宋体" w:eastAsia="宋体"/>
        </w:rPr>
        <w:t xml:space="preserve"> 端盖法兰厚度</w:t>
      </w:r>
    </w:p>
    <w:p w14:paraId="37CB59D2">
      <w:pPr>
        <w:tabs>
          <w:tab w:val="left" w:pos="1633"/>
          <w:tab w:val="left" w:pos="1634"/>
        </w:tabs>
        <w:autoSpaceDE w:val="0"/>
        <w:autoSpaceDN w:val="0"/>
        <w:spacing w:before="43"/>
        <w:ind w:right="84" w:firstLine="420" w:firstLineChars="200"/>
        <w:rPr>
          <w:rFonts w:ascii="宋体" w:hAnsi="宋体" w:eastAsia="宋体"/>
        </w:rPr>
      </w:pPr>
    </w:p>
    <w:p w14:paraId="13580189">
      <w:pPr>
        <w:tabs>
          <w:tab w:val="left" w:pos="1633"/>
          <w:tab w:val="left" w:pos="1634"/>
        </w:tabs>
        <w:autoSpaceDE w:val="0"/>
        <w:autoSpaceDN w:val="0"/>
        <w:spacing w:before="43"/>
        <w:ind w:right="84" w:firstLine="420" w:firstLineChars="200"/>
        <w:rPr>
          <w:rFonts w:ascii="宋体" w:hAnsi="宋体" w:eastAsia="宋体"/>
        </w:rPr>
      </w:pPr>
      <w:r>
        <w:rPr>
          <w:rFonts w:hint="eastAsia" w:ascii="宋体" w:hAnsi="宋体" w:eastAsia="宋体"/>
        </w:rPr>
        <w:t>端盖法兰壁厚应不小于表</w:t>
      </w:r>
      <w:r>
        <w:rPr>
          <w:rFonts w:ascii="宋体" w:hAnsi="宋体" w:eastAsia="宋体"/>
        </w:rPr>
        <w:t>1、表2 规定的最小法兰厚度值。</w:t>
      </w:r>
    </w:p>
    <w:p w14:paraId="7C9C7C85">
      <w:pPr>
        <w:tabs>
          <w:tab w:val="left" w:pos="1633"/>
          <w:tab w:val="left" w:pos="1634"/>
        </w:tabs>
        <w:autoSpaceDE w:val="0"/>
        <w:autoSpaceDN w:val="0"/>
        <w:spacing w:before="43"/>
        <w:ind w:right="84"/>
        <w:jc w:val="right"/>
        <w:rPr>
          <w:rFonts w:ascii="黑体" w:hAnsi="黑体" w:eastAsia="黑体"/>
        </w:rPr>
      </w:pPr>
    </w:p>
    <w:p w14:paraId="732B54E8">
      <w:pPr>
        <w:tabs>
          <w:tab w:val="left" w:pos="1633"/>
          <w:tab w:val="left" w:pos="1634"/>
        </w:tabs>
        <w:autoSpaceDE w:val="0"/>
        <w:autoSpaceDN w:val="0"/>
        <w:spacing w:before="43"/>
        <w:ind w:right="84"/>
        <w:jc w:val="right"/>
        <w:rPr>
          <w:rFonts w:ascii="宋体" w:hAnsi="宋体" w:eastAsia="宋体"/>
        </w:rPr>
      </w:pPr>
      <w:r>
        <w:rPr>
          <w:rFonts w:hint="eastAsia" w:ascii="黑体" w:hAnsi="黑体" w:eastAsia="黑体"/>
        </w:rPr>
        <w:t>表</w:t>
      </w:r>
      <w:r>
        <w:rPr>
          <w:rFonts w:ascii="黑体" w:hAnsi="黑体" w:eastAsia="黑体"/>
        </w:rPr>
        <w:t xml:space="preserve"> 1 工作压力≤0.5MPa 时烘缸端盖的最小法兰厚度</w:t>
      </w:r>
      <w:r>
        <w:rPr>
          <w:rFonts w:ascii="宋体" w:hAnsi="宋体" w:eastAsia="宋体"/>
        </w:rPr>
        <w:tab/>
      </w:r>
      <w:r>
        <w:rPr>
          <w:rFonts w:ascii="宋体" w:hAnsi="宋体" w:eastAsia="宋体"/>
        </w:rPr>
        <w:t xml:space="preserve">        </w:t>
      </w:r>
      <w:r>
        <w:rPr>
          <w:rFonts w:ascii="宋体" w:hAnsi="宋体" w:eastAsia="宋体"/>
          <w:sz w:val="15"/>
          <w:szCs w:val="15"/>
        </w:rPr>
        <w:t>单位为毫米</w:t>
      </w:r>
    </w:p>
    <w:tbl>
      <w:tblPr>
        <w:tblStyle w:val="12"/>
        <w:tblW w:w="9567"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871"/>
        <w:gridCol w:w="871"/>
        <w:gridCol w:w="872"/>
        <w:gridCol w:w="871"/>
        <w:gridCol w:w="871"/>
        <w:gridCol w:w="1021"/>
        <w:gridCol w:w="718"/>
        <w:gridCol w:w="983"/>
        <w:gridCol w:w="758"/>
        <w:gridCol w:w="870"/>
        <w:gridCol w:w="861"/>
      </w:tblGrid>
      <w:tr w14:paraId="6F870E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871" w:type="dxa"/>
            <w:tcBorders>
              <w:right w:val="single" w:color="000000" w:sz="4" w:space="0"/>
            </w:tcBorders>
            <w:vAlign w:val="center"/>
          </w:tcPr>
          <w:p w14:paraId="08DAFABA">
            <w:pPr>
              <w:pStyle w:val="13"/>
              <w:spacing w:before="37"/>
              <w:ind w:left="366" w:firstLine="300"/>
              <w:jc w:val="left"/>
              <w:rPr>
                <w:sz w:val="15"/>
                <w:szCs w:val="15"/>
                <w:lang w:eastAsia="en-US"/>
              </w:rPr>
            </w:pPr>
            <w:r>
              <w:rPr>
                <w:position w:val="1"/>
                <w:sz w:val="15"/>
                <w:szCs w:val="15"/>
                <w:lang w:eastAsia="en-US"/>
              </w:rPr>
              <w:t>D</w:t>
            </w:r>
            <w:r>
              <w:rPr>
                <w:sz w:val="15"/>
                <w:szCs w:val="15"/>
                <w:lang w:eastAsia="en-US"/>
              </w:rPr>
              <w:t>o</w:t>
            </w:r>
          </w:p>
        </w:tc>
        <w:tc>
          <w:tcPr>
            <w:tcW w:w="871" w:type="dxa"/>
            <w:tcBorders>
              <w:left w:val="single" w:color="000000" w:sz="4" w:space="0"/>
              <w:right w:val="single" w:color="000000" w:sz="4" w:space="0"/>
            </w:tcBorders>
            <w:vAlign w:val="center"/>
          </w:tcPr>
          <w:p w14:paraId="121D2F11">
            <w:pPr>
              <w:pStyle w:val="13"/>
              <w:ind w:left="304" w:firstLine="300"/>
              <w:jc w:val="left"/>
              <w:rPr>
                <w:sz w:val="15"/>
                <w:szCs w:val="15"/>
                <w:lang w:eastAsia="en-US"/>
              </w:rPr>
            </w:pPr>
            <w:r>
              <w:rPr>
                <w:sz w:val="15"/>
                <w:szCs w:val="15"/>
                <w:lang w:eastAsia="en-US"/>
              </w:rPr>
              <w:t>800</w:t>
            </w:r>
          </w:p>
        </w:tc>
        <w:tc>
          <w:tcPr>
            <w:tcW w:w="872" w:type="dxa"/>
            <w:tcBorders>
              <w:left w:val="single" w:color="000000" w:sz="4" w:space="0"/>
              <w:right w:val="single" w:color="000000" w:sz="4" w:space="0"/>
            </w:tcBorders>
            <w:vAlign w:val="center"/>
          </w:tcPr>
          <w:p w14:paraId="69CF5DAD">
            <w:pPr>
              <w:pStyle w:val="13"/>
              <w:ind w:left="0" w:firstLine="300" w:firstLineChars="200"/>
              <w:jc w:val="left"/>
              <w:rPr>
                <w:sz w:val="15"/>
                <w:szCs w:val="15"/>
                <w:lang w:eastAsia="en-US"/>
              </w:rPr>
            </w:pPr>
            <w:r>
              <w:rPr>
                <w:sz w:val="15"/>
                <w:szCs w:val="15"/>
                <w:lang w:eastAsia="en-US"/>
              </w:rPr>
              <w:t>1000</w:t>
            </w:r>
          </w:p>
        </w:tc>
        <w:tc>
          <w:tcPr>
            <w:tcW w:w="871" w:type="dxa"/>
            <w:tcBorders>
              <w:left w:val="single" w:color="000000" w:sz="4" w:space="0"/>
              <w:right w:val="single" w:color="000000" w:sz="4" w:space="0"/>
            </w:tcBorders>
            <w:vAlign w:val="center"/>
          </w:tcPr>
          <w:p w14:paraId="2B8D00EE">
            <w:pPr>
              <w:pStyle w:val="13"/>
              <w:ind w:left="259" w:firstLine="300"/>
              <w:jc w:val="left"/>
              <w:rPr>
                <w:sz w:val="15"/>
                <w:szCs w:val="15"/>
                <w:lang w:eastAsia="en-US"/>
              </w:rPr>
            </w:pPr>
            <w:r>
              <w:rPr>
                <w:sz w:val="15"/>
                <w:szCs w:val="15"/>
                <w:lang w:eastAsia="en-US"/>
              </w:rPr>
              <w:t>1250</w:t>
            </w:r>
          </w:p>
        </w:tc>
        <w:tc>
          <w:tcPr>
            <w:tcW w:w="871" w:type="dxa"/>
            <w:tcBorders>
              <w:left w:val="single" w:color="000000" w:sz="4" w:space="0"/>
              <w:right w:val="single" w:color="000000" w:sz="4" w:space="0"/>
            </w:tcBorders>
            <w:vAlign w:val="center"/>
          </w:tcPr>
          <w:p w14:paraId="388603DE">
            <w:pPr>
              <w:pStyle w:val="13"/>
              <w:ind w:left="360" w:firstLine="300"/>
              <w:jc w:val="left"/>
              <w:rPr>
                <w:sz w:val="15"/>
                <w:szCs w:val="15"/>
                <w:lang w:eastAsia="en-US"/>
              </w:rPr>
            </w:pPr>
            <w:r>
              <w:rPr>
                <w:sz w:val="15"/>
                <w:szCs w:val="15"/>
                <w:lang w:eastAsia="en-US"/>
              </w:rPr>
              <w:t>1 500</w:t>
            </w:r>
          </w:p>
        </w:tc>
        <w:tc>
          <w:tcPr>
            <w:tcW w:w="1021" w:type="dxa"/>
            <w:tcBorders>
              <w:left w:val="single" w:color="000000" w:sz="4" w:space="0"/>
              <w:right w:val="single" w:color="000000" w:sz="4" w:space="0"/>
            </w:tcBorders>
            <w:vAlign w:val="center"/>
          </w:tcPr>
          <w:p w14:paraId="183FF491">
            <w:pPr>
              <w:pStyle w:val="13"/>
              <w:ind w:left="0" w:firstLine="150" w:firstLineChars="100"/>
              <w:jc w:val="left"/>
              <w:rPr>
                <w:sz w:val="15"/>
                <w:szCs w:val="15"/>
                <w:lang w:eastAsia="en-US"/>
              </w:rPr>
            </w:pPr>
            <w:r>
              <w:rPr>
                <w:sz w:val="15"/>
                <w:szCs w:val="15"/>
                <w:lang w:eastAsia="en-US"/>
              </w:rPr>
              <w:t>1 800/1 830</w:t>
            </w:r>
          </w:p>
        </w:tc>
        <w:tc>
          <w:tcPr>
            <w:tcW w:w="718" w:type="dxa"/>
            <w:tcBorders>
              <w:left w:val="single" w:color="000000" w:sz="4" w:space="0"/>
              <w:right w:val="single" w:color="000000" w:sz="4" w:space="0"/>
            </w:tcBorders>
            <w:vAlign w:val="center"/>
          </w:tcPr>
          <w:p w14:paraId="5A19E5C8">
            <w:pPr>
              <w:pStyle w:val="13"/>
              <w:ind w:left="257" w:firstLine="300"/>
              <w:jc w:val="left"/>
              <w:rPr>
                <w:sz w:val="15"/>
                <w:szCs w:val="15"/>
                <w:lang w:eastAsia="en-US"/>
              </w:rPr>
            </w:pPr>
            <w:r>
              <w:rPr>
                <w:sz w:val="15"/>
                <w:szCs w:val="15"/>
                <w:lang w:eastAsia="en-US"/>
              </w:rPr>
              <w:t>2000</w:t>
            </w:r>
          </w:p>
        </w:tc>
        <w:tc>
          <w:tcPr>
            <w:tcW w:w="983" w:type="dxa"/>
            <w:tcBorders>
              <w:left w:val="single" w:color="000000" w:sz="4" w:space="0"/>
              <w:right w:val="single" w:color="000000" w:sz="4" w:space="0"/>
            </w:tcBorders>
            <w:vAlign w:val="center"/>
          </w:tcPr>
          <w:p w14:paraId="46DD14DF">
            <w:pPr>
              <w:pStyle w:val="13"/>
              <w:ind w:left="260" w:firstLine="150" w:firstLineChars="100"/>
              <w:jc w:val="left"/>
              <w:rPr>
                <w:sz w:val="15"/>
                <w:szCs w:val="15"/>
                <w:lang w:eastAsia="en-US"/>
              </w:rPr>
            </w:pPr>
            <w:r>
              <w:rPr>
                <w:sz w:val="15"/>
                <w:szCs w:val="15"/>
                <w:lang w:eastAsia="en-US"/>
              </w:rPr>
              <w:t>2500</w:t>
            </w:r>
          </w:p>
        </w:tc>
        <w:tc>
          <w:tcPr>
            <w:tcW w:w="758" w:type="dxa"/>
            <w:tcBorders>
              <w:left w:val="single" w:color="000000" w:sz="4" w:space="0"/>
              <w:right w:val="single" w:color="000000" w:sz="4" w:space="0"/>
            </w:tcBorders>
            <w:vAlign w:val="center"/>
          </w:tcPr>
          <w:p w14:paraId="037C7B50">
            <w:pPr>
              <w:pStyle w:val="13"/>
              <w:ind w:left="0" w:right="217" w:firstLine="300"/>
              <w:rPr>
                <w:sz w:val="15"/>
                <w:szCs w:val="15"/>
                <w:lang w:eastAsia="en-US"/>
              </w:rPr>
            </w:pPr>
            <w:r>
              <w:rPr>
                <w:sz w:val="15"/>
                <w:szCs w:val="15"/>
                <w:lang w:eastAsia="en-US"/>
              </w:rPr>
              <w:t xml:space="preserve">  3000</w:t>
            </w:r>
          </w:p>
        </w:tc>
        <w:tc>
          <w:tcPr>
            <w:tcW w:w="870" w:type="dxa"/>
            <w:tcBorders>
              <w:left w:val="single" w:color="000000" w:sz="4" w:space="0"/>
              <w:right w:val="single" w:color="000000" w:sz="4" w:space="0"/>
            </w:tcBorders>
            <w:vAlign w:val="center"/>
          </w:tcPr>
          <w:p w14:paraId="06D5775F">
            <w:pPr>
              <w:pStyle w:val="13"/>
              <w:ind w:left="242" w:right="216" w:firstLine="300"/>
              <w:rPr>
                <w:sz w:val="15"/>
                <w:szCs w:val="15"/>
                <w:lang w:eastAsia="en-US"/>
              </w:rPr>
            </w:pPr>
            <w:r>
              <w:rPr>
                <w:sz w:val="15"/>
                <w:szCs w:val="15"/>
                <w:lang w:eastAsia="en-US"/>
              </w:rPr>
              <w:t>3660</w:t>
            </w:r>
          </w:p>
        </w:tc>
        <w:tc>
          <w:tcPr>
            <w:tcW w:w="861" w:type="dxa"/>
            <w:tcBorders>
              <w:left w:val="single" w:color="000000" w:sz="4" w:space="0"/>
            </w:tcBorders>
            <w:vAlign w:val="center"/>
          </w:tcPr>
          <w:p w14:paraId="2ED7DEED">
            <w:pPr>
              <w:pStyle w:val="13"/>
              <w:ind w:left="239" w:right="206" w:firstLine="300"/>
              <w:rPr>
                <w:sz w:val="15"/>
                <w:szCs w:val="15"/>
                <w:lang w:eastAsia="en-US"/>
              </w:rPr>
            </w:pPr>
            <w:r>
              <w:rPr>
                <w:sz w:val="15"/>
                <w:szCs w:val="15"/>
                <w:lang w:eastAsia="en-US"/>
              </w:rPr>
              <w:t>3800</w:t>
            </w:r>
          </w:p>
        </w:tc>
      </w:tr>
      <w:tr w14:paraId="5AA3E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jc w:val="center"/>
        </w:trPr>
        <w:tc>
          <w:tcPr>
            <w:tcW w:w="871" w:type="dxa"/>
            <w:tcBorders>
              <w:right w:val="single" w:color="000000" w:sz="4" w:space="0"/>
            </w:tcBorders>
            <w:vAlign w:val="center"/>
          </w:tcPr>
          <w:p w14:paraId="06FC6E44">
            <w:pPr>
              <w:pStyle w:val="13"/>
              <w:spacing w:before="51"/>
              <w:ind w:left="299" w:firstLine="300"/>
              <w:jc w:val="left"/>
              <w:rPr>
                <w:sz w:val="15"/>
                <w:szCs w:val="15"/>
                <w:lang w:eastAsia="en-US"/>
              </w:rPr>
            </w:pPr>
            <w:r>
              <w:rPr>
                <w:position w:val="1"/>
                <w:sz w:val="15"/>
                <w:szCs w:val="15"/>
                <w:lang w:eastAsia="en-US"/>
              </w:rPr>
              <w:t xml:space="preserve">δ </w:t>
            </w:r>
            <w:r>
              <w:rPr>
                <w:sz w:val="15"/>
                <w:szCs w:val="15"/>
                <w:lang w:eastAsia="en-US"/>
              </w:rPr>
              <w:t>f1</w:t>
            </w:r>
          </w:p>
        </w:tc>
        <w:tc>
          <w:tcPr>
            <w:tcW w:w="2614" w:type="dxa"/>
            <w:gridSpan w:val="3"/>
            <w:tcBorders>
              <w:left w:val="single" w:color="000000" w:sz="4" w:space="0"/>
              <w:right w:val="single" w:color="000000" w:sz="4" w:space="0"/>
            </w:tcBorders>
            <w:vAlign w:val="center"/>
          </w:tcPr>
          <w:p w14:paraId="61A5ADB2">
            <w:pPr>
              <w:pStyle w:val="13"/>
              <w:spacing w:before="40"/>
              <w:ind w:left="1202" w:right="1181" w:firstLine="300"/>
              <w:rPr>
                <w:sz w:val="15"/>
                <w:szCs w:val="15"/>
                <w:lang w:eastAsia="en-US"/>
              </w:rPr>
            </w:pPr>
            <w:r>
              <w:rPr>
                <w:sz w:val="15"/>
                <w:szCs w:val="15"/>
                <w:lang w:eastAsia="en-US"/>
              </w:rPr>
              <w:t>30</w:t>
            </w:r>
          </w:p>
        </w:tc>
        <w:tc>
          <w:tcPr>
            <w:tcW w:w="1892" w:type="dxa"/>
            <w:gridSpan w:val="2"/>
            <w:tcBorders>
              <w:left w:val="single" w:color="000000" w:sz="4" w:space="0"/>
              <w:right w:val="single" w:color="000000" w:sz="4" w:space="0"/>
            </w:tcBorders>
            <w:vAlign w:val="center"/>
          </w:tcPr>
          <w:p w14:paraId="1C7E5224">
            <w:pPr>
              <w:pStyle w:val="13"/>
              <w:spacing w:before="40"/>
              <w:ind w:left="763" w:right="748" w:firstLine="300"/>
              <w:rPr>
                <w:sz w:val="15"/>
                <w:szCs w:val="15"/>
                <w:lang w:eastAsia="en-US"/>
              </w:rPr>
            </w:pPr>
            <w:r>
              <w:rPr>
                <w:sz w:val="15"/>
                <w:szCs w:val="15"/>
                <w:lang w:eastAsia="en-US"/>
              </w:rPr>
              <w:t>35</w:t>
            </w:r>
          </w:p>
        </w:tc>
        <w:tc>
          <w:tcPr>
            <w:tcW w:w="1701" w:type="dxa"/>
            <w:gridSpan w:val="2"/>
            <w:tcBorders>
              <w:left w:val="single" w:color="000000" w:sz="4" w:space="0"/>
              <w:right w:val="single" w:color="000000" w:sz="4" w:space="0"/>
            </w:tcBorders>
            <w:vAlign w:val="center"/>
          </w:tcPr>
          <w:p w14:paraId="09359199">
            <w:pPr>
              <w:pStyle w:val="13"/>
              <w:spacing w:before="40"/>
              <w:ind w:left="764" w:right="744" w:firstLine="300"/>
              <w:rPr>
                <w:sz w:val="15"/>
                <w:szCs w:val="15"/>
                <w:lang w:eastAsia="en-US"/>
              </w:rPr>
            </w:pPr>
            <w:r>
              <w:rPr>
                <w:sz w:val="15"/>
                <w:szCs w:val="15"/>
                <w:lang w:eastAsia="en-US"/>
              </w:rPr>
              <w:t>45</w:t>
            </w:r>
          </w:p>
        </w:tc>
        <w:tc>
          <w:tcPr>
            <w:tcW w:w="758" w:type="dxa"/>
            <w:tcBorders>
              <w:left w:val="single" w:color="000000" w:sz="4" w:space="0"/>
              <w:right w:val="single" w:color="000000" w:sz="4" w:space="0"/>
            </w:tcBorders>
            <w:vAlign w:val="center"/>
          </w:tcPr>
          <w:p w14:paraId="233D0C1F">
            <w:pPr>
              <w:pStyle w:val="13"/>
              <w:spacing w:before="40"/>
              <w:ind w:left="242" w:right="214" w:firstLine="300"/>
              <w:rPr>
                <w:sz w:val="15"/>
                <w:szCs w:val="15"/>
                <w:lang w:eastAsia="en-US"/>
              </w:rPr>
            </w:pPr>
            <w:r>
              <w:rPr>
                <w:sz w:val="15"/>
                <w:szCs w:val="15"/>
                <w:lang w:eastAsia="en-US"/>
              </w:rPr>
              <w:t>55</w:t>
            </w:r>
          </w:p>
        </w:tc>
        <w:tc>
          <w:tcPr>
            <w:tcW w:w="870" w:type="dxa"/>
            <w:tcBorders>
              <w:left w:val="single" w:color="000000" w:sz="4" w:space="0"/>
              <w:right w:val="single" w:color="000000" w:sz="4" w:space="0"/>
            </w:tcBorders>
            <w:vAlign w:val="center"/>
          </w:tcPr>
          <w:p w14:paraId="22C43A8B">
            <w:pPr>
              <w:pStyle w:val="13"/>
              <w:spacing w:before="40"/>
              <w:ind w:left="242" w:right="212" w:firstLine="300"/>
              <w:rPr>
                <w:sz w:val="15"/>
                <w:szCs w:val="15"/>
                <w:lang w:eastAsia="en-US"/>
              </w:rPr>
            </w:pPr>
            <w:r>
              <w:rPr>
                <w:sz w:val="15"/>
                <w:szCs w:val="15"/>
                <w:lang w:eastAsia="en-US"/>
              </w:rPr>
              <w:t>60</w:t>
            </w:r>
          </w:p>
        </w:tc>
        <w:tc>
          <w:tcPr>
            <w:tcW w:w="861" w:type="dxa"/>
            <w:tcBorders>
              <w:left w:val="single" w:color="000000" w:sz="4" w:space="0"/>
            </w:tcBorders>
            <w:vAlign w:val="center"/>
          </w:tcPr>
          <w:p w14:paraId="1C6FCBCB">
            <w:pPr>
              <w:pStyle w:val="13"/>
              <w:spacing w:before="40"/>
              <w:ind w:left="239" w:right="201" w:firstLine="300"/>
              <w:rPr>
                <w:sz w:val="15"/>
                <w:szCs w:val="15"/>
                <w:lang w:eastAsia="en-US"/>
              </w:rPr>
            </w:pPr>
            <w:r>
              <w:rPr>
                <w:sz w:val="15"/>
                <w:szCs w:val="15"/>
                <w:lang w:eastAsia="en-US"/>
              </w:rPr>
              <w:t>68</w:t>
            </w:r>
          </w:p>
        </w:tc>
      </w:tr>
      <w:tr w14:paraId="0B0C5E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jc w:val="center"/>
        </w:trPr>
        <w:tc>
          <w:tcPr>
            <w:tcW w:w="9567" w:type="dxa"/>
            <w:gridSpan w:val="11"/>
            <w:vAlign w:val="center"/>
          </w:tcPr>
          <w:p w14:paraId="26D831FA">
            <w:pPr>
              <w:pStyle w:val="13"/>
              <w:spacing w:before="37"/>
              <w:ind w:left="470" w:firstLine="300"/>
              <w:jc w:val="left"/>
              <w:rPr>
                <w:sz w:val="15"/>
                <w:szCs w:val="15"/>
                <w:lang w:eastAsia="en-US"/>
              </w:rPr>
            </w:pPr>
            <w:r>
              <w:rPr>
                <w:rFonts w:hint="eastAsia"/>
                <w:position w:val="1"/>
                <w:sz w:val="15"/>
                <w:szCs w:val="15"/>
                <w:lang w:eastAsia="en-US"/>
              </w:rPr>
              <w:t>注1：</w:t>
            </w:r>
            <w:r>
              <w:rPr>
                <w:position w:val="1"/>
                <w:sz w:val="15"/>
                <w:szCs w:val="15"/>
                <w:lang w:eastAsia="en-US"/>
              </w:rPr>
              <w:t>D</w:t>
            </w:r>
            <w:r>
              <w:rPr>
                <w:sz w:val="15"/>
                <w:szCs w:val="15"/>
                <w:lang w:eastAsia="en-US"/>
              </w:rPr>
              <w:t>o</w:t>
            </w:r>
            <w:r>
              <w:rPr>
                <w:position w:val="1"/>
                <w:sz w:val="15"/>
                <w:szCs w:val="15"/>
                <w:lang w:eastAsia="en-US"/>
              </w:rPr>
              <w:t>—烘缸缸体外直径。</w:t>
            </w:r>
          </w:p>
          <w:p w14:paraId="4EA41C91">
            <w:pPr>
              <w:pStyle w:val="13"/>
              <w:spacing w:before="82"/>
              <w:ind w:left="470" w:firstLine="300"/>
              <w:jc w:val="left"/>
              <w:rPr>
                <w:sz w:val="15"/>
                <w:szCs w:val="15"/>
                <w:lang w:eastAsia="en-US"/>
              </w:rPr>
            </w:pPr>
            <w:r>
              <w:rPr>
                <w:rFonts w:hint="eastAsia"/>
                <w:position w:val="1"/>
                <w:sz w:val="15"/>
                <w:szCs w:val="15"/>
                <w:lang w:eastAsia="en-US"/>
              </w:rPr>
              <w:t>注2：</w:t>
            </w:r>
            <w:r>
              <w:rPr>
                <w:position w:val="1"/>
                <w:sz w:val="15"/>
                <w:szCs w:val="15"/>
                <w:lang w:eastAsia="en-US"/>
              </w:rPr>
              <w:t>δ</w:t>
            </w:r>
            <w:r>
              <w:rPr>
                <w:spacing w:val="30"/>
                <w:position w:val="1"/>
                <w:sz w:val="15"/>
                <w:szCs w:val="15"/>
                <w:lang w:eastAsia="en-US"/>
              </w:rPr>
              <w:t xml:space="preserve"> </w:t>
            </w:r>
            <w:r>
              <w:rPr>
                <w:sz w:val="15"/>
                <w:szCs w:val="15"/>
                <w:lang w:eastAsia="en-US"/>
              </w:rPr>
              <w:t>f1</w:t>
            </w:r>
            <w:r>
              <w:rPr>
                <w:position w:val="1"/>
                <w:sz w:val="15"/>
                <w:szCs w:val="15"/>
                <w:lang w:eastAsia="en-US"/>
              </w:rPr>
              <w:t>—端盖法兰厚度。</w:t>
            </w:r>
          </w:p>
        </w:tc>
      </w:tr>
    </w:tbl>
    <w:p w14:paraId="7C53D7E4">
      <w:pPr>
        <w:ind w:firstLine="316"/>
        <w:jc w:val="right"/>
        <w:rPr>
          <w:rFonts w:ascii="黑体" w:hAnsi="黑体" w:eastAsia="黑体"/>
          <w:spacing w:val="-26"/>
        </w:rPr>
      </w:pPr>
    </w:p>
    <w:p w14:paraId="620006A5">
      <w:pPr>
        <w:ind w:firstLine="316"/>
        <w:jc w:val="right"/>
        <w:rPr>
          <w:rFonts w:ascii="宋体" w:hAnsi="宋体" w:eastAsia="宋体"/>
        </w:rPr>
      </w:pPr>
      <w:r>
        <w:rPr>
          <w:rFonts w:hint="eastAsia" w:ascii="黑体" w:hAnsi="黑体" w:eastAsia="黑体"/>
          <w:spacing w:val="-26"/>
        </w:rPr>
        <w:t xml:space="preserve">表 </w:t>
      </w:r>
      <w:r>
        <w:rPr>
          <w:rFonts w:hint="eastAsia" w:ascii="黑体" w:hAnsi="黑体" w:eastAsia="黑体"/>
        </w:rPr>
        <w:t>2</w:t>
      </w:r>
      <w:r>
        <w:rPr>
          <w:rFonts w:hint="eastAsia" w:ascii="黑体" w:hAnsi="黑体" w:eastAsia="黑体"/>
          <w:spacing w:val="-1"/>
        </w:rPr>
        <w:t xml:space="preserve"> 工作压力</w:t>
      </w:r>
      <w:r>
        <w:rPr>
          <w:rFonts w:hint="eastAsia" w:ascii="黑体" w:hAnsi="黑体" w:eastAsia="黑体"/>
        </w:rPr>
        <w:t>＞0.5MPa</w:t>
      </w:r>
      <w:r>
        <w:rPr>
          <w:rFonts w:hint="eastAsia" w:ascii="黑体" w:hAnsi="黑体" w:eastAsia="黑体"/>
          <w:spacing w:val="-9"/>
        </w:rPr>
        <w:t xml:space="preserve"> 时烘缸端盖的最小法兰厚度</w:t>
      </w:r>
      <w:r>
        <w:rPr>
          <w:rFonts w:hint="eastAsia" w:ascii="宋体" w:hAnsi="宋体" w:eastAsia="宋体"/>
          <w:spacing w:val="-9"/>
        </w:rPr>
        <w:t xml:space="preserve">  </w:t>
      </w:r>
      <w:r>
        <w:rPr>
          <w:rFonts w:ascii="宋体" w:hAnsi="宋体" w:eastAsia="宋体"/>
          <w:spacing w:val="-9"/>
        </w:rPr>
        <w:t xml:space="preserve">              </w:t>
      </w:r>
      <w:r>
        <w:rPr>
          <w:rFonts w:ascii="宋体" w:hAnsi="宋体" w:eastAsia="宋体"/>
          <w:sz w:val="15"/>
          <w:szCs w:val="15"/>
        </w:rPr>
        <w:t>单位为毫米</w:t>
      </w:r>
    </w:p>
    <w:tbl>
      <w:tblPr>
        <w:tblStyle w:val="12"/>
        <w:tblW w:w="9567"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871"/>
        <w:gridCol w:w="871"/>
        <w:gridCol w:w="872"/>
        <w:gridCol w:w="871"/>
        <w:gridCol w:w="871"/>
        <w:gridCol w:w="1021"/>
        <w:gridCol w:w="718"/>
        <w:gridCol w:w="871"/>
        <w:gridCol w:w="870"/>
        <w:gridCol w:w="870"/>
        <w:gridCol w:w="861"/>
      </w:tblGrid>
      <w:tr w14:paraId="561AF7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jc w:val="center"/>
        </w:trPr>
        <w:tc>
          <w:tcPr>
            <w:tcW w:w="871" w:type="dxa"/>
            <w:tcBorders>
              <w:right w:val="single" w:color="000000" w:sz="4" w:space="0"/>
            </w:tcBorders>
            <w:vAlign w:val="center"/>
          </w:tcPr>
          <w:p w14:paraId="08F8EF43">
            <w:pPr>
              <w:pStyle w:val="13"/>
              <w:spacing w:before="40"/>
              <w:ind w:left="366" w:firstLine="300"/>
              <w:jc w:val="left"/>
              <w:rPr>
                <w:sz w:val="15"/>
                <w:szCs w:val="15"/>
                <w:lang w:eastAsia="en-US"/>
              </w:rPr>
            </w:pPr>
            <w:r>
              <w:rPr>
                <w:position w:val="1"/>
                <w:sz w:val="15"/>
                <w:szCs w:val="15"/>
                <w:lang w:eastAsia="en-US"/>
              </w:rPr>
              <w:t>D</w:t>
            </w:r>
            <w:r>
              <w:rPr>
                <w:sz w:val="15"/>
                <w:szCs w:val="15"/>
                <w:lang w:eastAsia="en-US"/>
              </w:rPr>
              <w:t>o</w:t>
            </w:r>
          </w:p>
        </w:tc>
        <w:tc>
          <w:tcPr>
            <w:tcW w:w="871" w:type="dxa"/>
            <w:tcBorders>
              <w:left w:val="single" w:color="000000" w:sz="4" w:space="0"/>
              <w:right w:val="single" w:color="000000" w:sz="4" w:space="0"/>
            </w:tcBorders>
            <w:vAlign w:val="center"/>
          </w:tcPr>
          <w:p w14:paraId="7B51D269">
            <w:pPr>
              <w:pStyle w:val="13"/>
              <w:spacing w:before="40"/>
              <w:ind w:left="304" w:firstLine="300"/>
              <w:jc w:val="left"/>
              <w:rPr>
                <w:sz w:val="15"/>
                <w:szCs w:val="15"/>
                <w:lang w:eastAsia="en-US"/>
              </w:rPr>
            </w:pPr>
            <w:r>
              <w:rPr>
                <w:sz w:val="15"/>
                <w:szCs w:val="15"/>
                <w:lang w:eastAsia="en-US"/>
              </w:rPr>
              <w:t>800</w:t>
            </w:r>
          </w:p>
        </w:tc>
        <w:tc>
          <w:tcPr>
            <w:tcW w:w="872" w:type="dxa"/>
            <w:tcBorders>
              <w:left w:val="single" w:color="000000" w:sz="4" w:space="0"/>
              <w:right w:val="single" w:color="000000" w:sz="4" w:space="0"/>
            </w:tcBorders>
            <w:vAlign w:val="center"/>
          </w:tcPr>
          <w:p w14:paraId="044F07D9">
            <w:pPr>
              <w:pStyle w:val="13"/>
              <w:spacing w:before="40"/>
              <w:ind w:left="259" w:firstLine="300"/>
              <w:jc w:val="left"/>
              <w:rPr>
                <w:sz w:val="15"/>
                <w:szCs w:val="15"/>
                <w:lang w:eastAsia="en-US"/>
              </w:rPr>
            </w:pPr>
            <w:r>
              <w:rPr>
                <w:sz w:val="15"/>
                <w:szCs w:val="15"/>
                <w:lang w:eastAsia="en-US"/>
              </w:rPr>
              <w:t>1000</w:t>
            </w:r>
          </w:p>
        </w:tc>
        <w:tc>
          <w:tcPr>
            <w:tcW w:w="871" w:type="dxa"/>
            <w:tcBorders>
              <w:left w:val="single" w:color="000000" w:sz="4" w:space="0"/>
              <w:right w:val="single" w:color="000000" w:sz="4" w:space="0"/>
            </w:tcBorders>
            <w:vAlign w:val="center"/>
          </w:tcPr>
          <w:p w14:paraId="50472E65">
            <w:pPr>
              <w:pStyle w:val="13"/>
              <w:spacing w:before="40"/>
              <w:ind w:left="239" w:right="221" w:firstLine="300"/>
              <w:rPr>
                <w:sz w:val="15"/>
                <w:szCs w:val="15"/>
                <w:lang w:eastAsia="en-US"/>
              </w:rPr>
            </w:pPr>
            <w:r>
              <w:rPr>
                <w:sz w:val="15"/>
                <w:szCs w:val="15"/>
                <w:lang w:eastAsia="en-US"/>
              </w:rPr>
              <w:t>1250</w:t>
            </w:r>
          </w:p>
        </w:tc>
        <w:tc>
          <w:tcPr>
            <w:tcW w:w="871" w:type="dxa"/>
            <w:tcBorders>
              <w:left w:val="single" w:color="000000" w:sz="4" w:space="0"/>
              <w:right w:val="single" w:color="000000" w:sz="4" w:space="0"/>
            </w:tcBorders>
            <w:vAlign w:val="center"/>
          </w:tcPr>
          <w:p w14:paraId="350EC3DF">
            <w:pPr>
              <w:pStyle w:val="13"/>
              <w:spacing w:before="40"/>
              <w:ind w:left="256" w:firstLine="300"/>
              <w:jc w:val="left"/>
              <w:rPr>
                <w:sz w:val="15"/>
                <w:szCs w:val="15"/>
                <w:lang w:eastAsia="en-US"/>
              </w:rPr>
            </w:pPr>
            <w:r>
              <w:rPr>
                <w:sz w:val="15"/>
                <w:szCs w:val="15"/>
                <w:lang w:eastAsia="en-US"/>
              </w:rPr>
              <w:t>1500</w:t>
            </w:r>
          </w:p>
        </w:tc>
        <w:tc>
          <w:tcPr>
            <w:tcW w:w="1021" w:type="dxa"/>
            <w:tcBorders>
              <w:left w:val="single" w:color="000000" w:sz="4" w:space="0"/>
              <w:right w:val="single" w:color="000000" w:sz="4" w:space="0"/>
            </w:tcBorders>
            <w:vAlign w:val="center"/>
          </w:tcPr>
          <w:p w14:paraId="5EDE461E">
            <w:pPr>
              <w:pStyle w:val="13"/>
              <w:spacing w:before="40"/>
              <w:ind w:left="0" w:firstLine="150" w:firstLineChars="100"/>
              <w:jc w:val="left"/>
              <w:rPr>
                <w:sz w:val="15"/>
                <w:szCs w:val="15"/>
                <w:lang w:eastAsia="en-US"/>
              </w:rPr>
            </w:pPr>
            <w:r>
              <w:rPr>
                <w:sz w:val="15"/>
                <w:szCs w:val="15"/>
                <w:lang w:eastAsia="en-US"/>
              </w:rPr>
              <w:t>1800/1830</w:t>
            </w:r>
          </w:p>
        </w:tc>
        <w:tc>
          <w:tcPr>
            <w:tcW w:w="718" w:type="dxa"/>
            <w:tcBorders>
              <w:left w:val="single" w:color="000000" w:sz="4" w:space="0"/>
              <w:right w:val="single" w:color="000000" w:sz="4" w:space="0"/>
            </w:tcBorders>
            <w:vAlign w:val="center"/>
          </w:tcPr>
          <w:p w14:paraId="136D2F1E">
            <w:pPr>
              <w:pStyle w:val="13"/>
              <w:spacing w:before="40"/>
              <w:ind w:left="0" w:firstLine="150" w:firstLineChars="100"/>
              <w:jc w:val="left"/>
              <w:rPr>
                <w:sz w:val="15"/>
                <w:szCs w:val="15"/>
                <w:lang w:eastAsia="en-US"/>
              </w:rPr>
            </w:pPr>
            <w:r>
              <w:rPr>
                <w:sz w:val="15"/>
                <w:szCs w:val="15"/>
                <w:lang w:eastAsia="en-US"/>
              </w:rPr>
              <w:t>2000</w:t>
            </w:r>
          </w:p>
        </w:tc>
        <w:tc>
          <w:tcPr>
            <w:tcW w:w="871" w:type="dxa"/>
            <w:tcBorders>
              <w:left w:val="single" w:color="000000" w:sz="4" w:space="0"/>
              <w:right w:val="single" w:color="000000" w:sz="4" w:space="0"/>
            </w:tcBorders>
            <w:vAlign w:val="center"/>
          </w:tcPr>
          <w:p w14:paraId="3334C64D">
            <w:pPr>
              <w:pStyle w:val="13"/>
              <w:spacing w:before="40"/>
              <w:ind w:left="260" w:firstLine="300"/>
              <w:jc w:val="left"/>
              <w:rPr>
                <w:sz w:val="15"/>
                <w:szCs w:val="15"/>
                <w:lang w:eastAsia="en-US"/>
              </w:rPr>
            </w:pPr>
            <w:r>
              <w:rPr>
                <w:sz w:val="15"/>
                <w:szCs w:val="15"/>
                <w:lang w:eastAsia="en-US"/>
              </w:rPr>
              <w:t>2500</w:t>
            </w:r>
          </w:p>
        </w:tc>
        <w:tc>
          <w:tcPr>
            <w:tcW w:w="870" w:type="dxa"/>
            <w:tcBorders>
              <w:left w:val="single" w:color="000000" w:sz="4" w:space="0"/>
              <w:right w:val="single" w:color="000000" w:sz="4" w:space="0"/>
            </w:tcBorders>
            <w:vAlign w:val="center"/>
          </w:tcPr>
          <w:p w14:paraId="4F79D4F1">
            <w:pPr>
              <w:pStyle w:val="13"/>
              <w:spacing w:before="40"/>
              <w:ind w:left="241" w:right="217" w:firstLine="300"/>
              <w:rPr>
                <w:sz w:val="15"/>
                <w:szCs w:val="15"/>
                <w:lang w:eastAsia="en-US"/>
              </w:rPr>
            </w:pPr>
            <w:r>
              <w:rPr>
                <w:sz w:val="15"/>
                <w:szCs w:val="15"/>
                <w:lang w:eastAsia="en-US"/>
              </w:rPr>
              <w:t>3000</w:t>
            </w:r>
          </w:p>
        </w:tc>
        <w:tc>
          <w:tcPr>
            <w:tcW w:w="870" w:type="dxa"/>
            <w:tcBorders>
              <w:left w:val="single" w:color="000000" w:sz="4" w:space="0"/>
              <w:right w:val="single" w:color="000000" w:sz="4" w:space="0"/>
            </w:tcBorders>
            <w:vAlign w:val="center"/>
          </w:tcPr>
          <w:p w14:paraId="20F852CF">
            <w:pPr>
              <w:pStyle w:val="13"/>
              <w:spacing w:before="40"/>
              <w:ind w:left="242" w:right="216" w:firstLine="300"/>
              <w:rPr>
                <w:sz w:val="15"/>
                <w:szCs w:val="15"/>
                <w:lang w:eastAsia="en-US"/>
              </w:rPr>
            </w:pPr>
            <w:r>
              <w:rPr>
                <w:sz w:val="15"/>
                <w:szCs w:val="15"/>
                <w:lang w:eastAsia="en-US"/>
              </w:rPr>
              <w:t>3660</w:t>
            </w:r>
          </w:p>
        </w:tc>
        <w:tc>
          <w:tcPr>
            <w:tcW w:w="861" w:type="dxa"/>
            <w:tcBorders>
              <w:left w:val="single" w:color="000000" w:sz="4" w:space="0"/>
            </w:tcBorders>
            <w:vAlign w:val="center"/>
          </w:tcPr>
          <w:p w14:paraId="2097DC82">
            <w:pPr>
              <w:pStyle w:val="13"/>
              <w:spacing w:before="40"/>
              <w:ind w:left="239" w:right="206" w:firstLine="300"/>
              <w:rPr>
                <w:sz w:val="15"/>
                <w:szCs w:val="15"/>
                <w:lang w:eastAsia="en-US"/>
              </w:rPr>
            </w:pPr>
            <w:r>
              <w:rPr>
                <w:sz w:val="15"/>
                <w:szCs w:val="15"/>
                <w:lang w:eastAsia="en-US"/>
              </w:rPr>
              <w:t>3800</w:t>
            </w:r>
          </w:p>
        </w:tc>
      </w:tr>
      <w:tr w14:paraId="67813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871" w:type="dxa"/>
            <w:tcBorders>
              <w:right w:val="single" w:color="000000" w:sz="4" w:space="0"/>
            </w:tcBorders>
            <w:vAlign w:val="center"/>
          </w:tcPr>
          <w:p w14:paraId="07EE861D">
            <w:pPr>
              <w:pStyle w:val="13"/>
              <w:spacing w:before="48"/>
              <w:ind w:left="299" w:firstLine="300"/>
              <w:jc w:val="left"/>
              <w:rPr>
                <w:sz w:val="15"/>
                <w:szCs w:val="15"/>
                <w:lang w:eastAsia="en-US"/>
              </w:rPr>
            </w:pPr>
            <w:r>
              <w:rPr>
                <w:position w:val="1"/>
                <w:sz w:val="15"/>
                <w:szCs w:val="15"/>
                <w:lang w:eastAsia="en-US"/>
              </w:rPr>
              <w:t xml:space="preserve">δ </w:t>
            </w:r>
            <w:r>
              <w:rPr>
                <w:sz w:val="15"/>
                <w:szCs w:val="15"/>
                <w:lang w:eastAsia="en-US"/>
              </w:rPr>
              <w:t>f1</w:t>
            </w:r>
          </w:p>
        </w:tc>
        <w:tc>
          <w:tcPr>
            <w:tcW w:w="1743" w:type="dxa"/>
            <w:gridSpan w:val="2"/>
            <w:tcBorders>
              <w:left w:val="single" w:color="000000" w:sz="4" w:space="0"/>
              <w:right w:val="single" w:color="000000" w:sz="4" w:space="0"/>
            </w:tcBorders>
            <w:vAlign w:val="center"/>
          </w:tcPr>
          <w:p w14:paraId="3BFC9D40">
            <w:pPr>
              <w:pStyle w:val="13"/>
              <w:ind w:left="765" w:right="747" w:firstLine="300"/>
              <w:rPr>
                <w:sz w:val="15"/>
                <w:szCs w:val="15"/>
                <w:lang w:eastAsia="en-US"/>
              </w:rPr>
            </w:pPr>
            <w:r>
              <w:rPr>
                <w:sz w:val="15"/>
                <w:szCs w:val="15"/>
                <w:lang w:eastAsia="en-US"/>
              </w:rPr>
              <w:t>30</w:t>
            </w:r>
          </w:p>
        </w:tc>
        <w:tc>
          <w:tcPr>
            <w:tcW w:w="871" w:type="dxa"/>
            <w:tcBorders>
              <w:left w:val="single" w:color="000000" w:sz="4" w:space="0"/>
              <w:right w:val="single" w:color="000000" w:sz="4" w:space="0"/>
            </w:tcBorders>
            <w:vAlign w:val="center"/>
          </w:tcPr>
          <w:p w14:paraId="35EFFCBC">
            <w:pPr>
              <w:pStyle w:val="13"/>
              <w:ind w:left="239" w:right="217" w:firstLine="300"/>
              <w:rPr>
                <w:sz w:val="15"/>
                <w:szCs w:val="15"/>
                <w:lang w:eastAsia="en-US"/>
              </w:rPr>
            </w:pPr>
            <w:r>
              <w:rPr>
                <w:sz w:val="15"/>
                <w:szCs w:val="15"/>
                <w:lang w:eastAsia="en-US"/>
              </w:rPr>
              <w:t>35</w:t>
            </w:r>
          </w:p>
        </w:tc>
        <w:tc>
          <w:tcPr>
            <w:tcW w:w="1892" w:type="dxa"/>
            <w:gridSpan w:val="2"/>
            <w:tcBorders>
              <w:left w:val="single" w:color="000000" w:sz="4" w:space="0"/>
              <w:right w:val="single" w:color="000000" w:sz="4" w:space="0"/>
            </w:tcBorders>
            <w:vAlign w:val="center"/>
          </w:tcPr>
          <w:p w14:paraId="613737D7">
            <w:pPr>
              <w:pStyle w:val="13"/>
              <w:ind w:left="763" w:right="748" w:firstLine="300"/>
              <w:rPr>
                <w:sz w:val="15"/>
                <w:szCs w:val="15"/>
                <w:lang w:eastAsia="en-US"/>
              </w:rPr>
            </w:pPr>
            <w:r>
              <w:rPr>
                <w:sz w:val="15"/>
                <w:szCs w:val="15"/>
                <w:lang w:eastAsia="en-US"/>
              </w:rPr>
              <w:t>40</w:t>
            </w:r>
          </w:p>
        </w:tc>
        <w:tc>
          <w:tcPr>
            <w:tcW w:w="1589" w:type="dxa"/>
            <w:gridSpan w:val="2"/>
            <w:tcBorders>
              <w:left w:val="single" w:color="000000" w:sz="4" w:space="0"/>
              <w:right w:val="single" w:color="000000" w:sz="4" w:space="0"/>
            </w:tcBorders>
            <w:vAlign w:val="center"/>
          </w:tcPr>
          <w:p w14:paraId="1A52F94B">
            <w:pPr>
              <w:pStyle w:val="13"/>
              <w:ind w:right="744" w:firstLine="300"/>
              <w:rPr>
                <w:sz w:val="15"/>
                <w:szCs w:val="15"/>
                <w:lang w:eastAsia="en-US"/>
              </w:rPr>
            </w:pPr>
            <w:r>
              <w:rPr>
                <w:sz w:val="15"/>
                <w:szCs w:val="15"/>
                <w:lang w:eastAsia="en-US"/>
              </w:rPr>
              <w:t xml:space="preserve"> 50</w:t>
            </w:r>
          </w:p>
        </w:tc>
        <w:tc>
          <w:tcPr>
            <w:tcW w:w="870" w:type="dxa"/>
            <w:tcBorders>
              <w:left w:val="single" w:color="000000" w:sz="4" w:space="0"/>
              <w:right w:val="single" w:color="000000" w:sz="4" w:space="0"/>
            </w:tcBorders>
            <w:vAlign w:val="center"/>
          </w:tcPr>
          <w:p w14:paraId="5DB235C2">
            <w:pPr>
              <w:pStyle w:val="13"/>
              <w:ind w:left="242" w:right="214" w:firstLine="300"/>
              <w:rPr>
                <w:sz w:val="15"/>
                <w:szCs w:val="15"/>
                <w:lang w:eastAsia="en-US"/>
              </w:rPr>
            </w:pPr>
            <w:r>
              <w:rPr>
                <w:sz w:val="15"/>
                <w:szCs w:val="15"/>
                <w:lang w:eastAsia="en-US"/>
              </w:rPr>
              <w:t>60</w:t>
            </w:r>
          </w:p>
        </w:tc>
        <w:tc>
          <w:tcPr>
            <w:tcW w:w="870" w:type="dxa"/>
            <w:tcBorders>
              <w:left w:val="single" w:color="000000" w:sz="4" w:space="0"/>
              <w:right w:val="single" w:color="000000" w:sz="4" w:space="0"/>
            </w:tcBorders>
            <w:vAlign w:val="center"/>
          </w:tcPr>
          <w:p w14:paraId="4854AB44">
            <w:pPr>
              <w:pStyle w:val="13"/>
              <w:ind w:left="242" w:right="212" w:firstLine="300"/>
              <w:rPr>
                <w:sz w:val="15"/>
                <w:szCs w:val="15"/>
                <w:lang w:eastAsia="en-US"/>
              </w:rPr>
            </w:pPr>
            <w:r>
              <w:rPr>
                <w:sz w:val="15"/>
                <w:szCs w:val="15"/>
                <w:lang w:eastAsia="en-US"/>
              </w:rPr>
              <w:t>70</w:t>
            </w:r>
          </w:p>
        </w:tc>
        <w:tc>
          <w:tcPr>
            <w:tcW w:w="861" w:type="dxa"/>
            <w:tcBorders>
              <w:left w:val="single" w:color="000000" w:sz="4" w:space="0"/>
            </w:tcBorders>
            <w:vAlign w:val="center"/>
          </w:tcPr>
          <w:p w14:paraId="59622C41">
            <w:pPr>
              <w:pStyle w:val="13"/>
              <w:ind w:left="239" w:right="201" w:firstLine="300"/>
              <w:rPr>
                <w:sz w:val="15"/>
                <w:szCs w:val="15"/>
                <w:lang w:eastAsia="en-US"/>
              </w:rPr>
            </w:pPr>
            <w:r>
              <w:rPr>
                <w:sz w:val="15"/>
                <w:szCs w:val="15"/>
                <w:lang w:eastAsia="en-US"/>
              </w:rPr>
              <w:t>76</w:t>
            </w:r>
          </w:p>
        </w:tc>
      </w:tr>
      <w:tr w14:paraId="750519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5" w:hRule="atLeast"/>
          <w:jc w:val="center"/>
        </w:trPr>
        <w:tc>
          <w:tcPr>
            <w:tcW w:w="9567" w:type="dxa"/>
            <w:gridSpan w:val="11"/>
            <w:vAlign w:val="center"/>
          </w:tcPr>
          <w:p w14:paraId="506E884B">
            <w:pPr>
              <w:pStyle w:val="13"/>
              <w:spacing w:before="37"/>
              <w:ind w:left="470" w:firstLine="300"/>
              <w:jc w:val="left"/>
              <w:rPr>
                <w:sz w:val="15"/>
                <w:szCs w:val="15"/>
                <w:lang w:eastAsia="en-US"/>
              </w:rPr>
            </w:pPr>
            <w:r>
              <w:rPr>
                <w:rFonts w:hint="eastAsia"/>
                <w:position w:val="1"/>
                <w:sz w:val="15"/>
                <w:szCs w:val="15"/>
                <w:lang w:eastAsia="en-US"/>
              </w:rPr>
              <w:t>注1：</w:t>
            </w:r>
            <w:r>
              <w:rPr>
                <w:position w:val="1"/>
                <w:sz w:val="15"/>
                <w:szCs w:val="15"/>
                <w:lang w:eastAsia="en-US"/>
              </w:rPr>
              <w:t>D</w:t>
            </w:r>
            <w:r>
              <w:rPr>
                <w:sz w:val="15"/>
                <w:szCs w:val="15"/>
                <w:lang w:eastAsia="en-US"/>
              </w:rPr>
              <w:t>o</w:t>
            </w:r>
            <w:r>
              <w:rPr>
                <w:position w:val="1"/>
                <w:sz w:val="15"/>
                <w:szCs w:val="15"/>
                <w:lang w:eastAsia="en-US"/>
              </w:rPr>
              <w:t>—烘缸缸体外直径。</w:t>
            </w:r>
          </w:p>
          <w:p w14:paraId="5E02CCBB">
            <w:pPr>
              <w:pStyle w:val="13"/>
              <w:spacing w:before="82"/>
              <w:ind w:left="470" w:firstLine="300"/>
              <w:jc w:val="left"/>
              <w:rPr>
                <w:sz w:val="15"/>
                <w:szCs w:val="15"/>
                <w:lang w:eastAsia="en-US"/>
              </w:rPr>
            </w:pPr>
            <w:r>
              <w:rPr>
                <w:rFonts w:hint="eastAsia"/>
                <w:position w:val="1"/>
                <w:sz w:val="15"/>
                <w:szCs w:val="15"/>
                <w:lang w:eastAsia="en-US"/>
              </w:rPr>
              <w:t>注2：</w:t>
            </w:r>
            <w:r>
              <w:rPr>
                <w:position w:val="1"/>
                <w:sz w:val="15"/>
                <w:szCs w:val="15"/>
                <w:lang w:eastAsia="en-US"/>
              </w:rPr>
              <w:t>δ</w:t>
            </w:r>
            <w:r>
              <w:rPr>
                <w:spacing w:val="30"/>
                <w:position w:val="1"/>
                <w:sz w:val="15"/>
                <w:szCs w:val="15"/>
                <w:lang w:eastAsia="en-US"/>
              </w:rPr>
              <w:t xml:space="preserve"> </w:t>
            </w:r>
            <w:r>
              <w:rPr>
                <w:sz w:val="15"/>
                <w:szCs w:val="15"/>
                <w:lang w:eastAsia="en-US"/>
              </w:rPr>
              <w:t>f1</w:t>
            </w:r>
            <w:r>
              <w:rPr>
                <w:position w:val="1"/>
                <w:sz w:val="15"/>
                <w:szCs w:val="15"/>
                <w:lang w:eastAsia="en-US"/>
              </w:rPr>
              <w:t>—端盖法兰厚度。</w:t>
            </w:r>
          </w:p>
        </w:tc>
      </w:tr>
    </w:tbl>
    <w:p w14:paraId="5DD598A5">
      <w:pPr>
        <w:autoSpaceDE w:val="0"/>
        <w:autoSpaceDN w:val="0"/>
        <w:spacing w:before="43"/>
        <w:ind w:right="84"/>
        <w:rPr>
          <w:rFonts w:ascii="宋体" w:hAnsi="宋体" w:eastAsia="宋体"/>
        </w:rPr>
      </w:pPr>
    </w:p>
    <w:p w14:paraId="7D61206D">
      <w:pPr>
        <w:autoSpaceDE w:val="0"/>
        <w:autoSpaceDN w:val="0"/>
        <w:spacing w:before="43"/>
        <w:ind w:right="84"/>
        <w:rPr>
          <w:rFonts w:ascii="黑体" w:hAnsi="黑体" w:eastAsia="黑体"/>
        </w:rPr>
      </w:pPr>
      <w:r>
        <w:rPr>
          <w:rFonts w:ascii="黑体" w:hAnsi="黑体" w:eastAsia="黑体"/>
        </w:rPr>
        <w:t>6.3.4 端盖</w:t>
      </w:r>
    </w:p>
    <w:p w14:paraId="02095277">
      <w:pPr>
        <w:tabs>
          <w:tab w:val="left" w:pos="1633"/>
          <w:tab w:val="left" w:pos="1634"/>
        </w:tabs>
        <w:autoSpaceDE w:val="0"/>
        <w:autoSpaceDN w:val="0"/>
        <w:spacing w:before="43"/>
        <w:ind w:right="84" w:firstLine="420" w:firstLineChars="200"/>
        <w:rPr>
          <w:rFonts w:ascii="宋体" w:hAnsi="宋体" w:eastAsia="宋体"/>
        </w:rPr>
      </w:pPr>
    </w:p>
    <w:p w14:paraId="041A6092">
      <w:pPr>
        <w:tabs>
          <w:tab w:val="left" w:pos="1633"/>
          <w:tab w:val="left" w:pos="1634"/>
        </w:tabs>
        <w:autoSpaceDE w:val="0"/>
        <w:autoSpaceDN w:val="0"/>
        <w:spacing w:before="43"/>
        <w:ind w:right="84" w:firstLine="420" w:firstLineChars="200"/>
        <w:rPr>
          <w:rFonts w:ascii="宋体" w:hAnsi="宋体" w:eastAsia="宋体"/>
        </w:rPr>
      </w:pPr>
      <w:r>
        <w:rPr>
          <w:rFonts w:hint="eastAsia" w:ascii="宋体" w:hAnsi="宋体" w:eastAsia="宋体"/>
        </w:rPr>
        <w:t>端盖其它部位厚度应不小于端盖法兰的厚度。</w:t>
      </w:r>
    </w:p>
    <w:p w14:paraId="0E28D31D">
      <w:pPr>
        <w:tabs>
          <w:tab w:val="left" w:pos="1633"/>
          <w:tab w:val="left" w:pos="1634"/>
        </w:tabs>
        <w:autoSpaceDE w:val="0"/>
        <w:autoSpaceDN w:val="0"/>
        <w:spacing w:before="43"/>
        <w:ind w:right="84"/>
        <w:rPr>
          <w:rFonts w:ascii="黑体" w:hAnsi="黑体" w:eastAsia="黑体"/>
        </w:rPr>
      </w:pPr>
    </w:p>
    <w:p w14:paraId="7B40E123">
      <w:pPr>
        <w:tabs>
          <w:tab w:val="left" w:pos="1633"/>
          <w:tab w:val="left" w:pos="1634"/>
        </w:tabs>
        <w:autoSpaceDE w:val="0"/>
        <w:autoSpaceDN w:val="0"/>
        <w:spacing w:before="43"/>
        <w:ind w:right="84"/>
        <w:rPr>
          <w:rFonts w:ascii="黑体" w:hAnsi="黑体" w:eastAsia="黑体"/>
        </w:rPr>
      </w:pPr>
      <w:r>
        <w:rPr>
          <w:rFonts w:ascii="黑体" w:hAnsi="黑体" w:eastAsia="黑体"/>
        </w:rPr>
        <w:t>6.3.5</w:t>
      </w:r>
      <w:r>
        <w:rPr>
          <w:rFonts w:hint="eastAsia" w:ascii="黑体" w:hAnsi="黑体" w:eastAsia="黑体"/>
        </w:rPr>
        <w:t>探伤仪及探头</w:t>
      </w:r>
    </w:p>
    <w:p w14:paraId="2E9C4543">
      <w:pPr>
        <w:tabs>
          <w:tab w:val="left" w:pos="1633"/>
          <w:tab w:val="left" w:pos="1634"/>
        </w:tabs>
        <w:autoSpaceDE w:val="0"/>
        <w:autoSpaceDN w:val="0"/>
        <w:spacing w:before="43"/>
        <w:ind w:right="84" w:firstLine="420" w:firstLineChars="200"/>
        <w:rPr>
          <w:rFonts w:ascii="宋体" w:hAnsi="宋体" w:eastAsia="宋体"/>
        </w:rPr>
      </w:pPr>
    </w:p>
    <w:p w14:paraId="16D9A28D">
      <w:pPr>
        <w:tabs>
          <w:tab w:val="left" w:pos="1633"/>
          <w:tab w:val="left" w:pos="1634"/>
        </w:tabs>
        <w:autoSpaceDE w:val="0"/>
        <w:autoSpaceDN w:val="0"/>
        <w:spacing w:before="43"/>
        <w:ind w:right="84"/>
        <w:rPr>
          <w:rFonts w:ascii="宋体" w:hAnsi="宋体" w:eastAsia="宋体"/>
        </w:rPr>
      </w:pPr>
      <w:r>
        <w:rPr>
          <w:rFonts w:hint="eastAsia" w:ascii="宋体" w:hAnsi="宋体" w:eastAsia="宋体"/>
        </w:rPr>
        <w:t>6.3.5.1</w:t>
      </w:r>
      <w:r>
        <w:rPr>
          <w:rFonts w:hint="eastAsia" w:ascii="宋体" w:hAnsi="宋体" w:eastAsia="宋体"/>
          <w:lang w:val="en-US" w:eastAsia="zh-CN"/>
        </w:rPr>
        <w:t xml:space="preserve"> </w:t>
      </w:r>
      <w:r>
        <w:rPr>
          <w:rFonts w:hint="eastAsia" w:ascii="宋体" w:hAnsi="宋体" w:eastAsia="宋体"/>
        </w:rPr>
        <w:t>仪器选择A型脉冲反射式超声探伤仪，仪器和探头的组合频率与探头的标称频率偏差不大于±8%。</w:t>
      </w:r>
    </w:p>
    <w:p w14:paraId="0C7D5606">
      <w:pPr>
        <w:tabs>
          <w:tab w:val="left" w:pos="1633"/>
          <w:tab w:val="left" w:pos="1634"/>
        </w:tabs>
        <w:autoSpaceDE w:val="0"/>
        <w:autoSpaceDN w:val="0"/>
        <w:spacing w:before="43"/>
        <w:ind w:right="84"/>
        <w:rPr>
          <w:rFonts w:hint="eastAsia" w:ascii="仿宋_GB2312" w:hAnsi="仿宋_GB2312" w:eastAsia="仿宋_GB2312" w:cs="仿宋_GB2312"/>
          <w:bCs/>
          <w:color w:val="auto"/>
          <w:szCs w:val="21"/>
          <w:lang w:eastAsia="zh-CN"/>
        </w:rPr>
      </w:pPr>
      <w:r>
        <w:rPr>
          <w:rFonts w:hint="eastAsia" w:ascii="宋体" w:hAnsi="宋体" w:eastAsia="宋体"/>
        </w:rPr>
        <w:t>6.3.5.2</w:t>
      </w:r>
      <w:r>
        <w:rPr>
          <w:rFonts w:hint="eastAsia" w:ascii="宋体" w:hAnsi="宋体" w:eastAsia="宋体"/>
          <w:lang w:val="en-US" w:eastAsia="zh-CN"/>
        </w:rPr>
        <w:t xml:space="preserve"> </w:t>
      </w:r>
      <w:r>
        <w:rPr>
          <w:rFonts w:hint="eastAsia" w:ascii="宋体" w:hAnsi="宋体" w:eastAsia="宋体"/>
          <w:color w:val="auto"/>
          <w:lang w:val="en-US" w:eastAsia="zh-CN"/>
        </w:rPr>
        <w:t>探头一般应选</w:t>
      </w:r>
      <w:r>
        <w:rPr>
          <w:rFonts w:hint="eastAsia" w:ascii="宋体" w:hAnsi="宋体" w:eastAsia="宋体"/>
          <w:color w:val="auto"/>
        </w:rPr>
        <w:t>用</w:t>
      </w:r>
      <w:r>
        <w:rPr>
          <w:rFonts w:hint="eastAsia" w:ascii="宋体" w:hAnsi="宋体" w:eastAsia="宋体"/>
          <w:color w:val="auto"/>
          <w:lang w:val="en-US" w:eastAsia="zh-CN"/>
        </w:rPr>
        <w:t>1.25P20Z、</w:t>
      </w:r>
      <w:r>
        <w:rPr>
          <w:rFonts w:hint="eastAsia" w:ascii="宋体" w:hAnsi="宋体" w:eastAsia="宋体"/>
          <w:color w:val="auto"/>
        </w:rPr>
        <w:t>2.5P20Z 、</w:t>
      </w:r>
      <w:r>
        <w:rPr>
          <w:rFonts w:hint="eastAsia" w:ascii="仿宋_GB2312" w:hAnsi="仿宋_GB2312" w:eastAsia="仿宋_GB2312" w:cs="仿宋_GB2312"/>
          <w:bCs/>
          <w:color w:val="auto"/>
          <w:szCs w:val="21"/>
        </w:rPr>
        <w:t>2.5P20FG10</w:t>
      </w:r>
      <w:r>
        <w:rPr>
          <w:rFonts w:hint="eastAsia" w:ascii="仿宋_GB2312" w:hAnsi="仿宋_GB2312" w:eastAsia="仿宋_GB2312" w:cs="仿宋_GB2312"/>
          <w:bCs/>
          <w:color w:val="auto"/>
          <w:szCs w:val="21"/>
          <w:lang w:eastAsia="zh-CN"/>
        </w:rPr>
        <w:t>。</w:t>
      </w:r>
    </w:p>
    <w:p w14:paraId="7D86811C">
      <w:pPr>
        <w:tabs>
          <w:tab w:val="left" w:pos="1633"/>
          <w:tab w:val="left" w:pos="1634"/>
        </w:tabs>
        <w:autoSpaceDE w:val="0"/>
        <w:autoSpaceDN w:val="0"/>
        <w:spacing w:before="43"/>
        <w:ind w:right="84"/>
        <w:rPr>
          <w:rFonts w:ascii="黑体" w:hAnsi="黑体" w:eastAsia="黑体"/>
        </w:rPr>
      </w:pPr>
      <w:r>
        <w:rPr>
          <w:rFonts w:ascii="黑体" w:hAnsi="黑体" w:eastAsia="黑体"/>
        </w:rPr>
        <w:t>6.3.</w:t>
      </w:r>
      <w:r>
        <w:rPr>
          <w:rFonts w:hint="eastAsia" w:ascii="黑体" w:hAnsi="黑体" w:eastAsia="黑体"/>
        </w:rPr>
        <w:t>6</w:t>
      </w:r>
      <w:r>
        <w:rPr>
          <w:rFonts w:ascii="黑体" w:hAnsi="黑体" w:eastAsia="黑体"/>
        </w:rPr>
        <w:t xml:space="preserve"> 增加测厚部位</w:t>
      </w:r>
    </w:p>
    <w:p w14:paraId="2EB9988E">
      <w:pPr>
        <w:tabs>
          <w:tab w:val="left" w:pos="1633"/>
          <w:tab w:val="left" w:pos="1634"/>
        </w:tabs>
        <w:autoSpaceDE w:val="0"/>
        <w:autoSpaceDN w:val="0"/>
        <w:spacing w:before="43"/>
        <w:ind w:right="84" w:firstLine="420" w:firstLineChars="200"/>
        <w:rPr>
          <w:rFonts w:ascii="宋体" w:hAnsi="宋体" w:eastAsia="宋体"/>
        </w:rPr>
      </w:pPr>
    </w:p>
    <w:p w14:paraId="6ADC8040">
      <w:pPr>
        <w:tabs>
          <w:tab w:val="left" w:pos="1633"/>
          <w:tab w:val="left" w:pos="1634"/>
        </w:tabs>
        <w:autoSpaceDE w:val="0"/>
        <w:autoSpaceDN w:val="0"/>
        <w:spacing w:before="43"/>
        <w:ind w:right="84" w:firstLine="420" w:firstLineChars="200"/>
        <w:rPr>
          <w:rFonts w:ascii="宋体" w:hAnsi="宋体" w:eastAsia="宋体"/>
        </w:rPr>
      </w:pPr>
      <w:r>
        <w:rPr>
          <w:rFonts w:hint="eastAsia" w:ascii="宋体" w:hAnsi="宋体" w:eastAsia="宋体"/>
        </w:rPr>
        <w:t>有下列情况之一时，应增加测厚部位：</w:t>
      </w:r>
    </w:p>
    <w:p w14:paraId="3941CBA4">
      <w:pPr>
        <w:tabs>
          <w:tab w:val="left" w:pos="1633"/>
        </w:tabs>
        <w:autoSpaceDE w:val="0"/>
        <w:autoSpaceDN w:val="0"/>
        <w:spacing w:before="43"/>
        <w:ind w:right="84" w:firstLine="420" w:firstLineChars="200"/>
        <w:rPr>
          <w:rFonts w:ascii="宋体" w:hAnsi="宋体" w:eastAsia="宋体"/>
        </w:rPr>
      </w:pPr>
      <w:r>
        <w:rPr>
          <w:rFonts w:ascii="宋体" w:hAnsi="宋体" w:eastAsia="宋体"/>
        </w:rPr>
        <w:t>a) 出厂资料不全；</w:t>
      </w:r>
    </w:p>
    <w:p w14:paraId="2DFAACD5">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b) 缸体经过大面积打磨修理后；</w:t>
      </w:r>
    </w:p>
    <w:p w14:paraId="048DBBC7">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c) 对腐蚀、磨损、宏观检验有怀疑；</w:t>
      </w:r>
    </w:p>
    <w:p w14:paraId="35DBF644">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d) 使用单位或者检验人员认为有必要</w:t>
      </w:r>
      <w:r>
        <w:rPr>
          <w:rFonts w:hint="eastAsia" w:ascii="宋体" w:hAnsi="宋体" w:eastAsia="宋体"/>
          <w:lang w:val="en-US" w:eastAsia="zh-CN"/>
        </w:rPr>
        <w:t>时</w:t>
      </w:r>
      <w:r>
        <w:rPr>
          <w:rFonts w:ascii="宋体" w:hAnsi="宋体" w:eastAsia="宋体"/>
        </w:rPr>
        <w:t>。</w:t>
      </w:r>
    </w:p>
    <w:p w14:paraId="3E543DBA">
      <w:pPr>
        <w:tabs>
          <w:tab w:val="left" w:pos="1633"/>
          <w:tab w:val="left" w:pos="1634"/>
        </w:tabs>
        <w:autoSpaceDE w:val="0"/>
        <w:autoSpaceDN w:val="0"/>
        <w:spacing w:before="43"/>
        <w:ind w:right="84"/>
        <w:rPr>
          <w:rFonts w:ascii="宋体" w:hAnsi="宋体" w:eastAsia="宋体"/>
        </w:rPr>
      </w:pPr>
    </w:p>
    <w:p w14:paraId="627666C7">
      <w:pPr>
        <w:tabs>
          <w:tab w:val="left" w:pos="1633"/>
          <w:tab w:val="left" w:pos="1634"/>
        </w:tabs>
        <w:autoSpaceDE w:val="0"/>
        <w:autoSpaceDN w:val="0"/>
        <w:spacing w:before="43"/>
        <w:ind w:right="84"/>
        <w:rPr>
          <w:rFonts w:ascii="黑体" w:hAnsi="黑体" w:eastAsia="黑体"/>
        </w:rPr>
      </w:pPr>
      <w:r>
        <w:rPr>
          <w:rFonts w:ascii="黑体" w:hAnsi="黑体" w:eastAsia="黑体"/>
        </w:rPr>
        <w:t>6.4 表面缺陷检测</w:t>
      </w:r>
    </w:p>
    <w:p w14:paraId="2892AEF9">
      <w:pPr>
        <w:tabs>
          <w:tab w:val="left" w:pos="1633"/>
          <w:tab w:val="left" w:pos="1634"/>
        </w:tabs>
        <w:autoSpaceDE w:val="0"/>
        <w:autoSpaceDN w:val="0"/>
        <w:spacing w:before="43"/>
        <w:ind w:right="84"/>
        <w:rPr>
          <w:rFonts w:ascii="黑体" w:hAnsi="黑体" w:eastAsia="黑体"/>
        </w:rPr>
      </w:pPr>
    </w:p>
    <w:p w14:paraId="74C74F03">
      <w:pPr>
        <w:tabs>
          <w:tab w:val="left" w:pos="1633"/>
          <w:tab w:val="left" w:pos="1634"/>
        </w:tabs>
        <w:autoSpaceDE w:val="0"/>
        <w:autoSpaceDN w:val="0"/>
        <w:spacing w:before="43"/>
        <w:ind w:right="84"/>
        <w:rPr>
          <w:rFonts w:ascii="黑体" w:hAnsi="黑体" w:eastAsia="黑体"/>
        </w:rPr>
      </w:pPr>
      <w:r>
        <w:rPr>
          <w:rFonts w:ascii="黑体" w:hAnsi="黑体" w:eastAsia="黑体"/>
        </w:rPr>
        <w:t>6.4.1表面缺陷检测与评定</w:t>
      </w:r>
    </w:p>
    <w:p w14:paraId="35A9056A">
      <w:pPr>
        <w:tabs>
          <w:tab w:val="left" w:pos="1633"/>
          <w:tab w:val="left" w:pos="1634"/>
        </w:tabs>
        <w:autoSpaceDE w:val="0"/>
        <w:autoSpaceDN w:val="0"/>
        <w:spacing w:before="43"/>
        <w:ind w:right="84"/>
        <w:rPr>
          <w:rFonts w:ascii="宋体" w:hAnsi="宋体" w:eastAsia="宋体"/>
        </w:rPr>
      </w:pPr>
    </w:p>
    <w:p w14:paraId="3B1F9CBF">
      <w:pPr>
        <w:tabs>
          <w:tab w:val="left" w:pos="1633"/>
          <w:tab w:val="left" w:pos="1634"/>
        </w:tabs>
        <w:autoSpaceDE w:val="0"/>
        <w:autoSpaceDN w:val="0"/>
        <w:spacing w:before="43"/>
        <w:ind w:right="84" w:firstLine="420" w:firstLineChars="200"/>
        <w:rPr>
          <w:rFonts w:ascii="宋体" w:hAnsi="宋体" w:eastAsia="宋体"/>
        </w:rPr>
      </w:pPr>
      <w:r>
        <w:rPr>
          <w:rFonts w:hint="eastAsia" w:ascii="宋体" w:hAnsi="宋体" w:eastAsia="宋体"/>
        </w:rPr>
        <w:t xml:space="preserve">应按照 </w:t>
      </w:r>
      <w:r>
        <w:rPr>
          <w:rFonts w:ascii="宋体" w:hAnsi="宋体" w:eastAsia="宋体"/>
        </w:rPr>
        <w:t>NB/T 47013.1 和</w:t>
      </w:r>
      <w:r>
        <w:rPr>
          <w:rFonts w:hint="eastAsia" w:ascii="宋体" w:hAnsi="宋体" w:eastAsia="宋体"/>
        </w:rPr>
        <w:t xml:space="preserve"> </w:t>
      </w:r>
      <w:r>
        <w:rPr>
          <w:rFonts w:ascii="宋体" w:hAnsi="宋体" w:eastAsia="宋体"/>
        </w:rPr>
        <w:t>NB/T 47013.4 的规定进行。</w:t>
      </w:r>
    </w:p>
    <w:p w14:paraId="4656F039">
      <w:pPr>
        <w:tabs>
          <w:tab w:val="left" w:pos="1633"/>
          <w:tab w:val="left" w:pos="1634"/>
        </w:tabs>
        <w:autoSpaceDE w:val="0"/>
        <w:autoSpaceDN w:val="0"/>
        <w:spacing w:before="43"/>
        <w:ind w:right="84"/>
        <w:rPr>
          <w:rFonts w:ascii="黑体" w:hAnsi="黑体" w:eastAsia="黑体"/>
        </w:rPr>
      </w:pPr>
      <w:r>
        <w:rPr>
          <w:rFonts w:ascii="黑体" w:hAnsi="黑体" w:eastAsia="黑体"/>
        </w:rPr>
        <w:t>6.4.2 重点部位</w:t>
      </w:r>
    </w:p>
    <w:p w14:paraId="5BE668DE">
      <w:pPr>
        <w:tabs>
          <w:tab w:val="left" w:pos="1633"/>
          <w:tab w:val="left" w:pos="1634"/>
        </w:tabs>
        <w:autoSpaceDE w:val="0"/>
        <w:autoSpaceDN w:val="0"/>
        <w:spacing w:before="43"/>
        <w:ind w:right="84" w:firstLine="420" w:firstLineChars="200"/>
        <w:rPr>
          <w:rFonts w:ascii="宋体" w:hAnsi="宋体" w:eastAsia="宋体"/>
        </w:rPr>
      </w:pPr>
    </w:p>
    <w:p w14:paraId="1131594D">
      <w:pPr>
        <w:tabs>
          <w:tab w:val="left" w:pos="1633"/>
          <w:tab w:val="left" w:pos="1634"/>
        </w:tabs>
        <w:autoSpaceDE w:val="0"/>
        <w:autoSpaceDN w:val="0"/>
        <w:spacing w:before="43"/>
        <w:ind w:right="84" w:firstLine="420" w:firstLineChars="200"/>
        <w:rPr>
          <w:rFonts w:ascii="宋体" w:hAnsi="宋体" w:eastAsia="宋体"/>
        </w:rPr>
      </w:pPr>
      <w:r>
        <w:rPr>
          <w:rFonts w:hint="eastAsia" w:ascii="宋体" w:hAnsi="宋体" w:eastAsia="宋体"/>
        </w:rPr>
        <w:t>表面缺陷检测的重点部位如下：</w:t>
      </w:r>
    </w:p>
    <w:p w14:paraId="6D431180">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a) 端盖法兰、端盖等应力集中的部位；</w:t>
      </w:r>
    </w:p>
    <w:p w14:paraId="2AA434AC">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b) 宏观检验发现裂纹的部位；</w:t>
      </w:r>
    </w:p>
    <w:p w14:paraId="66D8A44C">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c) 检测中发现裂纹时，应扩大表面无损检测的比例、区域；</w:t>
      </w:r>
    </w:p>
    <w:p w14:paraId="6E5A6B70">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d) 使用过程中碰撞过的部位；</w:t>
      </w:r>
    </w:p>
    <w:p w14:paraId="6C773803">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e) 检验人员认为必要的部位。</w:t>
      </w:r>
    </w:p>
    <w:p w14:paraId="5C7AE6E3">
      <w:pPr>
        <w:tabs>
          <w:tab w:val="left" w:pos="1633"/>
          <w:tab w:val="left" w:pos="1634"/>
        </w:tabs>
        <w:autoSpaceDE w:val="0"/>
        <w:autoSpaceDN w:val="0"/>
        <w:spacing w:before="43"/>
        <w:ind w:right="84"/>
        <w:rPr>
          <w:rFonts w:ascii="黑体" w:hAnsi="黑体" w:eastAsia="黑体"/>
        </w:rPr>
      </w:pPr>
    </w:p>
    <w:p w14:paraId="6945FBA4">
      <w:pPr>
        <w:tabs>
          <w:tab w:val="left" w:pos="1633"/>
          <w:tab w:val="left" w:pos="1634"/>
        </w:tabs>
        <w:autoSpaceDE w:val="0"/>
        <w:autoSpaceDN w:val="0"/>
        <w:spacing w:before="43"/>
        <w:ind w:right="84"/>
        <w:rPr>
          <w:rFonts w:ascii="黑体" w:hAnsi="黑体" w:eastAsia="黑体"/>
        </w:rPr>
      </w:pPr>
      <w:r>
        <w:rPr>
          <w:rFonts w:ascii="黑体" w:hAnsi="黑体" w:eastAsia="黑体"/>
        </w:rPr>
        <w:t>6.5 硬度测定</w:t>
      </w:r>
    </w:p>
    <w:p w14:paraId="01508C91">
      <w:pPr>
        <w:tabs>
          <w:tab w:val="left" w:pos="1633"/>
          <w:tab w:val="left" w:pos="1634"/>
        </w:tabs>
        <w:autoSpaceDE w:val="0"/>
        <w:autoSpaceDN w:val="0"/>
        <w:spacing w:before="43"/>
        <w:ind w:right="84"/>
        <w:rPr>
          <w:rFonts w:ascii="黑体" w:hAnsi="黑体" w:eastAsia="黑体"/>
        </w:rPr>
      </w:pPr>
    </w:p>
    <w:p w14:paraId="0E5395EB">
      <w:pPr>
        <w:tabs>
          <w:tab w:val="left" w:pos="1633"/>
          <w:tab w:val="left" w:pos="1634"/>
        </w:tabs>
        <w:autoSpaceDE w:val="0"/>
        <w:autoSpaceDN w:val="0"/>
        <w:spacing w:before="43"/>
        <w:ind w:right="84"/>
        <w:rPr>
          <w:rFonts w:ascii="黑体" w:hAnsi="黑体" w:eastAsia="黑体"/>
        </w:rPr>
      </w:pPr>
      <w:r>
        <w:rPr>
          <w:rFonts w:ascii="黑体" w:hAnsi="黑体" w:eastAsia="黑体"/>
        </w:rPr>
        <w:t>6.5.1 硬度计</w:t>
      </w:r>
    </w:p>
    <w:p w14:paraId="3CA32AD3">
      <w:pPr>
        <w:tabs>
          <w:tab w:val="left" w:pos="1633"/>
          <w:tab w:val="left" w:pos="1634"/>
        </w:tabs>
        <w:autoSpaceDE w:val="0"/>
        <w:autoSpaceDN w:val="0"/>
        <w:spacing w:before="43"/>
        <w:ind w:right="84" w:firstLine="420" w:firstLineChars="200"/>
        <w:rPr>
          <w:rFonts w:ascii="宋体" w:hAnsi="宋体" w:eastAsia="宋体"/>
        </w:rPr>
      </w:pPr>
    </w:p>
    <w:p w14:paraId="019D83E2">
      <w:pPr>
        <w:tabs>
          <w:tab w:val="left" w:pos="1633"/>
          <w:tab w:val="left" w:pos="1634"/>
        </w:tabs>
        <w:autoSpaceDE w:val="0"/>
        <w:autoSpaceDN w:val="0"/>
        <w:spacing w:before="43"/>
        <w:ind w:right="84" w:firstLine="420" w:firstLineChars="200"/>
        <w:rPr>
          <w:rFonts w:ascii="宋体" w:hAnsi="宋体" w:eastAsia="宋体"/>
        </w:rPr>
      </w:pPr>
      <w:r>
        <w:rPr>
          <w:rFonts w:hint="eastAsia" w:ascii="宋体" w:hAnsi="宋体" w:eastAsia="宋体"/>
        </w:rPr>
        <w:t>宜采用压头面积大的捶击式或回弹式硬度计。</w:t>
      </w:r>
    </w:p>
    <w:p w14:paraId="31E0627E">
      <w:pPr>
        <w:tabs>
          <w:tab w:val="left" w:pos="1633"/>
          <w:tab w:val="left" w:pos="1634"/>
        </w:tabs>
        <w:autoSpaceDE w:val="0"/>
        <w:autoSpaceDN w:val="0"/>
        <w:spacing w:before="43"/>
        <w:ind w:right="84"/>
        <w:rPr>
          <w:rFonts w:ascii="黑体" w:hAnsi="黑体" w:eastAsia="黑体"/>
        </w:rPr>
      </w:pPr>
    </w:p>
    <w:p w14:paraId="4E0EBC47">
      <w:pPr>
        <w:tabs>
          <w:tab w:val="left" w:pos="1633"/>
          <w:tab w:val="left" w:pos="1634"/>
        </w:tabs>
        <w:autoSpaceDE w:val="0"/>
        <w:autoSpaceDN w:val="0"/>
        <w:spacing w:before="43"/>
        <w:ind w:right="84"/>
        <w:rPr>
          <w:rFonts w:ascii="黑体" w:hAnsi="黑体" w:eastAsia="黑体"/>
        </w:rPr>
      </w:pPr>
      <w:r>
        <w:rPr>
          <w:rFonts w:ascii="黑体" w:hAnsi="黑体" w:eastAsia="黑体"/>
        </w:rPr>
        <w:t>6.5.2 测试方法</w:t>
      </w:r>
    </w:p>
    <w:p w14:paraId="16A5819C">
      <w:pPr>
        <w:tabs>
          <w:tab w:val="left" w:pos="1633"/>
          <w:tab w:val="left" w:pos="1634"/>
        </w:tabs>
        <w:autoSpaceDE w:val="0"/>
        <w:autoSpaceDN w:val="0"/>
        <w:spacing w:before="43"/>
        <w:ind w:right="84" w:firstLine="420" w:firstLineChars="200"/>
        <w:rPr>
          <w:rFonts w:ascii="宋体" w:hAnsi="宋体" w:eastAsia="宋体"/>
        </w:rPr>
      </w:pPr>
    </w:p>
    <w:p w14:paraId="65EFE59C">
      <w:pPr>
        <w:tabs>
          <w:tab w:val="left" w:pos="1633"/>
          <w:tab w:val="left" w:pos="1634"/>
        </w:tabs>
        <w:autoSpaceDE w:val="0"/>
        <w:autoSpaceDN w:val="0"/>
        <w:spacing w:before="43"/>
        <w:ind w:right="84" w:firstLine="420" w:firstLineChars="200"/>
        <w:rPr>
          <w:rFonts w:ascii="宋体" w:hAnsi="宋体" w:eastAsia="宋体"/>
        </w:rPr>
      </w:pPr>
      <w:r>
        <w:rPr>
          <w:rFonts w:hint="eastAsia" w:ascii="宋体" w:hAnsi="宋体" w:eastAsia="宋体"/>
        </w:rPr>
        <w:t>测试点在离缸体两端</w:t>
      </w:r>
      <w:r>
        <w:rPr>
          <w:rFonts w:ascii="宋体" w:hAnsi="宋体" w:eastAsia="宋体"/>
        </w:rPr>
        <w:t>80 mm～100 mm范围内，每端各测四点，所测四点的硬度算术平均值为缸面硬度值。</w:t>
      </w:r>
    </w:p>
    <w:p w14:paraId="754BAE5D">
      <w:pPr>
        <w:tabs>
          <w:tab w:val="left" w:pos="1633"/>
          <w:tab w:val="left" w:pos="1634"/>
        </w:tabs>
        <w:autoSpaceDE w:val="0"/>
        <w:autoSpaceDN w:val="0"/>
        <w:spacing w:before="43"/>
        <w:ind w:right="84"/>
        <w:rPr>
          <w:rFonts w:ascii="黑体" w:hAnsi="黑体" w:eastAsia="黑体"/>
        </w:rPr>
      </w:pPr>
    </w:p>
    <w:p w14:paraId="673DCBAB">
      <w:pPr>
        <w:tabs>
          <w:tab w:val="left" w:pos="1633"/>
          <w:tab w:val="left" w:pos="1634"/>
        </w:tabs>
        <w:autoSpaceDE w:val="0"/>
        <w:autoSpaceDN w:val="0"/>
        <w:spacing w:before="43"/>
        <w:ind w:right="84"/>
        <w:rPr>
          <w:rFonts w:ascii="黑体" w:hAnsi="黑体" w:eastAsia="黑体"/>
        </w:rPr>
      </w:pPr>
      <w:r>
        <w:rPr>
          <w:rFonts w:ascii="黑体" w:hAnsi="黑体" w:eastAsia="黑体"/>
        </w:rPr>
        <w:t>6.5.3 要求</w:t>
      </w:r>
    </w:p>
    <w:p w14:paraId="310ADB80">
      <w:pPr>
        <w:tabs>
          <w:tab w:val="left" w:pos="1633"/>
          <w:tab w:val="left" w:pos="1634"/>
        </w:tabs>
        <w:autoSpaceDE w:val="0"/>
        <w:autoSpaceDN w:val="0"/>
        <w:spacing w:before="43"/>
        <w:ind w:right="84"/>
        <w:rPr>
          <w:rFonts w:ascii="宋体" w:hAnsi="宋体" w:eastAsia="宋体"/>
        </w:rPr>
      </w:pPr>
    </w:p>
    <w:p w14:paraId="7CEF364A">
      <w:pPr>
        <w:tabs>
          <w:tab w:val="left" w:pos="1633"/>
          <w:tab w:val="left" w:pos="1634"/>
        </w:tabs>
        <w:autoSpaceDE w:val="0"/>
        <w:autoSpaceDN w:val="0"/>
        <w:spacing w:before="43"/>
        <w:ind w:right="84"/>
        <w:rPr>
          <w:rFonts w:ascii="宋体" w:hAnsi="宋体" w:eastAsia="宋体"/>
        </w:rPr>
      </w:pPr>
      <w:r>
        <w:rPr>
          <w:rFonts w:ascii="宋体" w:hAnsi="宋体" w:eastAsia="宋体"/>
        </w:rPr>
        <w:t>6.5.3.1 缸体外径不大于 2000 mm 时，缸面硬度应≥HB170，</w:t>
      </w:r>
      <w:r>
        <w:rPr>
          <w:rFonts w:hint="eastAsia" w:ascii="宋体" w:hAnsi="宋体" w:eastAsia="宋体"/>
        </w:rPr>
        <w:t>且</w:t>
      </w:r>
      <w:r>
        <w:rPr>
          <w:rFonts w:ascii="宋体" w:hAnsi="宋体" w:eastAsia="宋体"/>
        </w:rPr>
        <w:t>≤HB220。</w:t>
      </w:r>
    </w:p>
    <w:p w14:paraId="69B75D90">
      <w:pPr>
        <w:tabs>
          <w:tab w:val="left" w:pos="1633"/>
          <w:tab w:val="left" w:pos="1634"/>
        </w:tabs>
        <w:autoSpaceDE w:val="0"/>
        <w:autoSpaceDN w:val="0"/>
        <w:spacing w:before="43"/>
        <w:ind w:right="84"/>
        <w:rPr>
          <w:rFonts w:ascii="宋体" w:hAnsi="宋体" w:eastAsia="宋体"/>
        </w:rPr>
      </w:pPr>
      <w:r>
        <w:rPr>
          <w:rFonts w:ascii="宋体" w:hAnsi="宋体" w:eastAsia="宋体"/>
        </w:rPr>
        <w:t>6.5.3.2 缸体外径大于 2000 mm 时，缸面硬度应≥HB190，</w:t>
      </w:r>
      <w:r>
        <w:rPr>
          <w:rFonts w:hint="eastAsia" w:ascii="宋体" w:hAnsi="宋体" w:eastAsia="宋体"/>
        </w:rPr>
        <w:t>且</w:t>
      </w:r>
      <w:r>
        <w:rPr>
          <w:rFonts w:ascii="宋体" w:hAnsi="宋体" w:eastAsia="宋体"/>
        </w:rPr>
        <w:t>≤HB240。</w:t>
      </w:r>
    </w:p>
    <w:p w14:paraId="6F526AE9">
      <w:pPr>
        <w:tabs>
          <w:tab w:val="left" w:pos="1633"/>
          <w:tab w:val="left" w:pos="1634"/>
        </w:tabs>
        <w:autoSpaceDE w:val="0"/>
        <w:autoSpaceDN w:val="0"/>
        <w:spacing w:before="43"/>
        <w:ind w:right="84"/>
        <w:rPr>
          <w:rFonts w:ascii="宋体" w:hAnsi="宋体" w:eastAsia="宋体"/>
        </w:rPr>
      </w:pPr>
      <w:r>
        <w:rPr>
          <w:rFonts w:ascii="宋体" w:hAnsi="宋体" w:eastAsia="宋体"/>
        </w:rPr>
        <w:t xml:space="preserve">6.5.3.3 </w:t>
      </w:r>
      <w:r>
        <w:rPr>
          <w:rFonts w:hint="eastAsia" w:ascii="宋体" w:hAnsi="宋体" w:eastAsia="宋体"/>
        </w:rPr>
        <w:t>对于材料有特殊要求（如添加</w:t>
      </w:r>
      <w:r>
        <w:rPr>
          <w:rFonts w:ascii="宋体" w:hAnsi="宋体" w:eastAsia="宋体"/>
        </w:rPr>
        <w:t>合金</w:t>
      </w:r>
      <w:r>
        <w:rPr>
          <w:rFonts w:hint="eastAsia" w:ascii="宋体" w:hAnsi="宋体" w:eastAsia="宋体"/>
        </w:rPr>
        <w:t>元素）</w:t>
      </w:r>
      <w:r>
        <w:rPr>
          <w:rFonts w:ascii="宋体" w:hAnsi="宋体" w:eastAsia="宋体"/>
        </w:rPr>
        <w:t>的</w:t>
      </w:r>
      <w:r>
        <w:rPr>
          <w:rFonts w:hint="eastAsia" w:ascii="宋体" w:hAnsi="宋体" w:eastAsia="宋体"/>
        </w:rPr>
        <w:t>铸铁</w:t>
      </w:r>
      <w:r>
        <w:rPr>
          <w:rFonts w:ascii="宋体" w:hAnsi="宋体" w:eastAsia="宋体"/>
        </w:rPr>
        <w:t>缸体，缸面硬度应</w:t>
      </w:r>
      <w:r>
        <w:rPr>
          <w:rFonts w:hint="eastAsia" w:ascii="宋体" w:hAnsi="宋体" w:eastAsia="宋体"/>
        </w:rPr>
        <w:t>≤</w:t>
      </w:r>
      <w:r>
        <w:rPr>
          <w:rFonts w:ascii="宋体" w:hAnsi="宋体" w:eastAsia="宋体"/>
        </w:rPr>
        <w:t xml:space="preserve"> HB260。</w:t>
      </w:r>
    </w:p>
    <w:p w14:paraId="0A2F80E3">
      <w:pPr>
        <w:tabs>
          <w:tab w:val="left" w:pos="1633"/>
        </w:tabs>
        <w:autoSpaceDE w:val="0"/>
        <w:autoSpaceDN w:val="0"/>
        <w:spacing w:before="43"/>
        <w:ind w:right="84"/>
        <w:rPr>
          <w:rFonts w:ascii="宋体" w:hAnsi="宋体" w:eastAsia="宋体"/>
        </w:rPr>
      </w:pPr>
      <w:r>
        <w:rPr>
          <w:rFonts w:ascii="宋体" w:hAnsi="宋体" w:eastAsia="宋体"/>
        </w:rPr>
        <w:t>6.5.3.4 缸面两端硬度差应不大于 HB24。</w:t>
      </w:r>
    </w:p>
    <w:p w14:paraId="45993768">
      <w:pPr>
        <w:tabs>
          <w:tab w:val="left" w:pos="1633"/>
          <w:tab w:val="left" w:pos="1634"/>
        </w:tabs>
        <w:autoSpaceDE w:val="0"/>
        <w:autoSpaceDN w:val="0"/>
        <w:spacing w:before="43"/>
        <w:ind w:right="84"/>
        <w:rPr>
          <w:rFonts w:ascii="黑体" w:hAnsi="黑体" w:eastAsia="黑体"/>
        </w:rPr>
      </w:pPr>
    </w:p>
    <w:p w14:paraId="2237F7DB">
      <w:pPr>
        <w:tabs>
          <w:tab w:val="left" w:pos="1633"/>
          <w:tab w:val="left" w:pos="1634"/>
        </w:tabs>
        <w:autoSpaceDE w:val="0"/>
        <w:autoSpaceDN w:val="0"/>
        <w:spacing w:before="43"/>
        <w:ind w:right="84"/>
        <w:rPr>
          <w:rFonts w:ascii="黑体" w:hAnsi="黑体" w:eastAsia="黑体"/>
        </w:rPr>
      </w:pPr>
      <w:r>
        <w:rPr>
          <w:rFonts w:ascii="黑体" w:hAnsi="黑体" w:eastAsia="黑体"/>
        </w:rPr>
        <w:t>6.5.4 重复测试</w:t>
      </w:r>
    </w:p>
    <w:p w14:paraId="2BBDAB17">
      <w:pPr>
        <w:tabs>
          <w:tab w:val="left" w:pos="1633"/>
          <w:tab w:val="left" w:pos="1634"/>
        </w:tabs>
        <w:autoSpaceDE w:val="0"/>
        <w:autoSpaceDN w:val="0"/>
        <w:spacing w:before="43"/>
        <w:ind w:right="84" w:firstLine="420" w:firstLineChars="200"/>
        <w:rPr>
          <w:rFonts w:ascii="宋体" w:hAnsi="宋体" w:eastAsia="宋体"/>
        </w:rPr>
      </w:pPr>
    </w:p>
    <w:p w14:paraId="2E363176">
      <w:pPr>
        <w:tabs>
          <w:tab w:val="left" w:pos="1633"/>
          <w:tab w:val="left" w:pos="1634"/>
        </w:tabs>
        <w:autoSpaceDE w:val="0"/>
        <w:autoSpaceDN w:val="0"/>
        <w:spacing w:before="43"/>
        <w:ind w:right="84" w:firstLine="420" w:firstLineChars="200"/>
        <w:rPr>
          <w:rFonts w:ascii="宋体" w:hAnsi="宋体" w:eastAsia="宋体"/>
        </w:rPr>
      </w:pPr>
      <w:r>
        <w:rPr>
          <w:rFonts w:hint="eastAsia" w:ascii="宋体" w:hAnsi="宋体" w:eastAsia="宋体"/>
        </w:rPr>
        <w:t>缸体硬度值不符合要求时，应重复测试。</w:t>
      </w:r>
    </w:p>
    <w:p w14:paraId="22520180">
      <w:pPr>
        <w:tabs>
          <w:tab w:val="left" w:pos="1633"/>
          <w:tab w:val="left" w:pos="1634"/>
        </w:tabs>
        <w:autoSpaceDE w:val="0"/>
        <w:autoSpaceDN w:val="0"/>
        <w:spacing w:before="43"/>
        <w:ind w:right="84"/>
        <w:rPr>
          <w:rFonts w:ascii="宋体" w:hAnsi="宋体" w:eastAsia="宋体"/>
        </w:rPr>
      </w:pPr>
    </w:p>
    <w:p w14:paraId="0FBC78EA">
      <w:pPr>
        <w:tabs>
          <w:tab w:val="left" w:pos="1633"/>
          <w:tab w:val="left" w:pos="1634"/>
        </w:tabs>
        <w:autoSpaceDE w:val="0"/>
        <w:autoSpaceDN w:val="0"/>
        <w:spacing w:before="43"/>
        <w:ind w:right="84"/>
        <w:rPr>
          <w:rFonts w:ascii="黑体" w:hAnsi="黑体" w:eastAsia="黑体"/>
        </w:rPr>
      </w:pPr>
      <w:r>
        <w:rPr>
          <w:rFonts w:hint="eastAsia" w:ascii="黑体" w:hAnsi="黑体" w:eastAsia="黑体"/>
        </w:rPr>
        <w:t>6.6</w:t>
      </w:r>
      <w:r>
        <w:rPr>
          <w:rFonts w:ascii="黑体" w:hAnsi="黑体" w:eastAsia="黑体"/>
        </w:rPr>
        <w:t xml:space="preserve"> </w:t>
      </w:r>
      <w:r>
        <w:rPr>
          <w:rFonts w:hint="eastAsia" w:ascii="黑体" w:hAnsi="黑体" w:eastAsia="黑体"/>
        </w:rPr>
        <w:t>其他检测</w:t>
      </w:r>
    </w:p>
    <w:p w14:paraId="618759D1">
      <w:pPr>
        <w:tabs>
          <w:tab w:val="left" w:pos="1633"/>
          <w:tab w:val="left" w:pos="1634"/>
        </w:tabs>
        <w:autoSpaceDE w:val="0"/>
        <w:autoSpaceDN w:val="0"/>
        <w:spacing w:before="43"/>
        <w:ind w:right="84" w:firstLine="420" w:firstLineChars="200"/>
        <w:rPr>
          <w:rFonts w:ascii="宋体" w:hAnsi="宋体" w:eastAsia="宋体"/>
        </w:rPr>
      </w:pPr>
    </w:p>
    <w:p w14:paraId="2A66ADBC">
      <w:pPr>
        <w:tabs>
          <w:tab w:val="left" w:pos="1633"/>
          <w:tab w:val="left" w:pos="1634"/>
        </w:tabs>
        <w:autoSpaceDE w:val="0"/>
        <w:autoSpaceDN w:val="0"/>
        <w:spacing w:before="43"/>
        <w:ind w:right="84" w:firstLine="420" w:firstLineChars="200"/>
        <w:rPr>
          <w:rFonts w:ascii="宋体" w:hAnsi="宋体" w:eastAsia="宋体"/>
        </w:rPr>
      </w:pPr>
      <w:r>
        <w:rPr>
          <w:rFonts w:hint="eastAsia" w:ascii="宋体" w:hAnsi="宋体" w:eastAsia="宋体"/>
        </w:rPr>
        <w:t>检验人员有怀疑时，可采用声学方法和超声波衰减方法检测。</w:t>
      </w:r>
    </w:p>
    <w:p w14:paraId="64657623">
      <w:pPr>
        <w:tabs>
          <w:tab w:val="left" w:pos="1633"/>
          <w:tab w:val="left" w:pos="1634"/>
        </w:tabs>
        <w:autoSpaceDE w:val="0"/>
        <w:autoSpaceDN w:val="0"/>
        <w:spacing w:before="43"/>
        <w:ind w:right="84"/>
        <w:rPr>
          <w:rFonts w:ascii="宋体" w:hAnsi="宋体" w:eastAsia="宋体"/>
        </w:rPr>
      </w:pPr>
    </w:p>
    <w:p w14:paraId="6DAC1387">
      <w:pPr>
        <w:tabs>
          <w:tab w:val="left" w:pos="1633"/>
          <w:tab w:val="left" w:pos="1634"/>
        </w:tabs>
        <w:autoSpaceDE w:val="0"/>
        <w:autoSpaceDN w:val="0"/>
        <w:spacing w:before="43"/>
        <w:ind w:right="84"/>
        <w:rPr>
          <w:rFonts w:ascii="黑体" w:hAnsi="黑体" w:eastAsia="黑体"/>
        </w:rPr>
      </w:pPr>
      <w:r>
        <w:rPr>
          <w:rFonts w:ascii="黑体" w:hAnsi="黑体" w:eastAsia="黑体"/>
        </w:rPr>
        <w:t>6.7 强度校核</w:t>
      </w:r>
    </w:p>
    <w:p w14:paraId="318D66B1">
      <w:pPr>
        <w:tabs>
          <w:tab w:val="left" w:pos="1633"/>
          <w:tab w:val="left" w:pos="1634"/>
        </w:tabs>
        <w:autoSpaceDE w:val="0"/>
        <w:autoSpaceDN w:val="0"/>
        <w:spacing w:before="43"/>
        <w:ind w:right="84"/>
        <w:rPr>
          <w:rFonts w:ascii="宋体" w:hAnsi="宋体" w:eastAsia="宋体"/>
        </w:rPr>
      </w:pPr>
    </w:p>
    <w:p w14:paraId="76EBCA06">
      <w:pPr>
        <w:tabs>
          <w:tab w:val="left" w:pos="1633"/>
          <w:tab w:val="left" w:pos="1634"/>
        </w:tabs>
        <w:autoSpaceDE w:val="0"/>
        <w:autoSpaceDN w:val="0"/>
        <w:spacing w:before="43"/>
        <w:ind w:right="84"/>
        <w:rPr>
          <w:rFonts w:ascii="宋体" w:hAnsi="宋体" w:eastAsia="宋体"/>
        </w:rPr>
      </w:pPr>
      <w:r>
        <w:rPr>
          <w:rFonts w:ascii="宋体" w:hAnsi="宋体" w:eastAsia="宋体"/>
        </w:rPr>
        <w:t>6.6.1 按 TSG 21-2016 中 8.3.11 的规定执行。</w:t>
      </w:r>
    </w:p>
    <w:p w14:paraId="327755D3">
      <w:pPr>
        <w:tabs>
          <w:tab w:val="left" w:pos="1633"/>
          <w:tab w:val="left" w:pos="1634"/>
        </w:tabs>
        <w:autoSpaceDE w:val="0"/>
        <w:autoSpaceDN w:val="0"/>
        <w:spacing w:before="43"/>
        <w:ind w:right="84" w:firstLine="420" w:firstLineChars="200"/>
        <w:rPr>
          <w:rFonts w:ascii="宋体" w:hAnsi="宋体" w:eastAsia="宋体"/>
        </w:rPr>
      </w:pPr>
    </w:p>
    <w:p w14:paraId="2D04B995">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材料牌号不明，按照 HT200 进行强度校核，使用压力不得大于 0.3 MPa。</w:t>
      </w:r>
    </w:p>
    <w:p w14:paraId="2ECA55E2">
      <w:pPr>
        <w:tabs>
          <w:tab w:val="left" w:pos="1633"/>
          <w:tab w:val="left" w:pos="1634"/>
        </w:tabs>
        <w:autoSpaceDE w:val="0"/>
        <w:autoSpaceDN w:val="0"/>
        <w:spacing w:before="43"/>
        <w:ind w:right="84"/>
        <w:rPr>
          <w:rFonts w:ascii="宋体" w:hAnsi="宋体" w:eastAsia="宋体"/>
        </w:rPr>
      </w:pPr>
    </w:p>
    <w:p w14:paraId="2A3C5055">
      <w:pPr>
        <w:tabs>
          <w:tab w:val="left" w:pos="1633"/>
          <w:tab w:val="left" w:pos="1634"/>
        </w:tabs>
        <w:autoSpaceDE w:val="0"/>
        <w:autoSpaceDN w:val="0"/>
        <w:spacing w:before="43"/>
        <w:ind w:right="84"/>
        <w:rPr>
          <w:rFonts w:ascii="宋体" w:hAnsi="宋体" w:eastAsia="宋体"/>
        </w:rPr>
      </w:pPr>
      <w:r>
        <w:rPr>
          <w:rFonts w:ascii="宋体" w:hAnsi="宋体" w:eastAsia="宋体"/>
        </w:rPr>
        <w:t>6.6.2 缸体按 QB/T 2551-2021 设计的可参见附录A 校核, 剩余壁厚不小于附录中的计算厚度，强度校核即为合格。</w:t>
      </w:r>
    </w:p>
    <w:p w14:paraId="06650CDF">
      <w:pPr>
        <w:tabs>
          <w:tab w:val="left" w:pos="1633"/>
          <w:tab w:val="left" w:pos="1634"/>
        </w:tabs>
        <w:autoSpaceDE w:val="0"/>
        <w:autoSpaceDN w:val="0"/>
        <w:spacing w:before="43"/>
        <w:ind w:right="84"/>
        <w:rPr>
          <w:rFonts w:ascii="黑体" w:hAnsi="黑体" w:eastAsia="黑体"/>
        </w:rPr>
      </w:pPr>
    </w:p>
    <w:p w14:paraId="558968D2">
      <w:pPr>
        <w:tabs>
          <w:tab w:val="left" w:pos="1633"/>
          <w:tab w:val="left" w:pos="1634"/>
        </w:tabs>
        <w:autoSpaceDE w:val="0"/>
        <w:autoSpaceDN w:val="0"/>
        <w:spacing w:before="43"/>
        <w:ind w:right="84"/>
        <w:rPr>
          <w:rFonts w:ascii="黑体" w:hAnsi="黑体" w:eastAsia="黑体"/>
        </w:rPr>
      </w:pPr>
      <w:r>
        <w:rPr>
          <w:rFonts w:ascii="黑体" w:hAnsi="黑体" w:eastAsia="黑体"/>
        </w:rPr>
        <w:t>6.8 耐压试验</w:t>
      </w:r>
    </w:p>
    <w:p w14:paraId="77DBBBF1">
      <w:pPr>
        <w:tabs>
          <w:tab w:val="left" w:pos="1633"/>
          <w:tab w:val="left" w:pos="1634"/>
        </w:tabs>
        <w:autoSpaceDE w:val="0"/>
        <w:autoSpaceDN w:val="0"/>
        <w:spacing w:before="43"/>
        <w:ind w:right="84"/>
        <w:rPr>
          <w:rFonts w:ascii="宋体" w:hAnsi="宋体" w:eastAsia="宋体"/>
        </w:rPr>
      </w:pPr>
    </w:p>
    <w:p w14:paraId="01B2B0CF">
      <w:pPr>
        <w:tabs>
          <w:tab w:val="left" w:pos="1633"/>
          <w:tab w:val="left" w:pos="1634"/>
        </w:tabs>
        <w:autoSpaceDE w:val="0"/>
        <w:autoSpaceDN w:val="0"/>
        <w:spacing w:before="43"/>
        <w:ind w:right="84"/>
        <w:rPr>
          <w:rFonts w:ascii="宋体" w:hAnsi="宋体" w:eastAsia="宋体"/>
        </w:rPr>
      </w:pPr>
      <w:r>
        <w:rPr>
          <w:rFonts w:ascii="宋体" w:hAnsi="宋体" w:eastAsia="宋体"/>
        </w:rPr>
        <w:t>6.8.1 定期检验过程中发现裂纹的、硬度测试不符合要求的、壁厚减薄严重的、使用年限超过设计使用年限的、无设计年限但使用超过 20 年的以及使用单位或者检验机构对烘缸的安全状况有怀疑的，应进行耐压试验。</w:t>
      </w:r>
    </w:p>
    <w:p w14:paraId="725A7BF6">
      <w:pPr>
        <w:tabs>
          <w:tab w:val="left" w:pos="1633"/>
          <w:tab w:val="left" w:pos="1634"/>
        </w:tabs>
        <w:autoSpaceDE w:val="0"/>
        <w:autoSpaceDN w:val="0"/>
        <w:spacing w:before="43"/>
        <w:ind w:right="84"/>
        <w:rPr>
          <w:rFonts w:ascii="宋体" w:hAnsi="宋体" w:eastAsia="宋体"/>
        </w:rPr>
      </w:pPr>
      <w:r>
        <w:rPr>
          <w:rFonts w:ascii="宋体" w:hAnsi="宋体" w:eastAsia="宋体"/>
        </w:rPr>
        <w:t>6.8.2 耐压试验按照 TSG 21-2016 中 8.3.13 的规定执行。</w:t>
      </w:r>
    </w:p>
    <w:p w14:paraId="284C3DDD">
      <w:pPr>
        <w:tabs>
          <w:tab w:val="left" w:pos="1633"/>
          <w:tab w:val="left" w:pos="1634"/>
        </w:tabs>
        <w:autoSpaceDE w:val="0"/>
        <w:autoSpaceDN w:val="0"/>
        <w:spacing w:before="43"/>
        <w:ind w:right="84"/>
        <w:rPr>
          <w:rFonts w:ascii="宋体" w:hAnsi="宋体" w:eastAsia="宋体"/>
        </w:rPr>
      </w:pPr>
      <w:r>
        <w:rPr>
          <w:rFonts w:ascii="宋体" w:hAnsi="宋体" w:eastAsia="宋体"/>
        </w:rPr>
        <w:t>6.8.3 应选用液（水）压试验，不得采用气压、气液组合耐压试验方法。</w:t>
      </w:r>
    </w:p>
    <w:p w14:paraId="20EA0810">
      <w:pPr>
        <w:tabs>
          <w:tab w:val="left" w:pos="1633"/>
          <w:tab w:val="left" w:pos="1634"/>
        </w:tabs>
        <w:autoSpaceDE w:val="0"/>
        <w:autoSpaceDN w:val="0"/>
        <w:spacing w:before="43"/>
        <w:ind w:right="84"/>
        <w:rPr>
          <w:rFonts w:ascii="宋体" w:hAnsi="宋体" w:eastAsia="宋体"/>
        </w:rPr>
      </w:pPr>
      <w:r>
        <w:rPr>
          <w:rFonts w:ascii="宋体" w:hAnsi="宋体" w:eastAsia="宋体"/>
        </w:rPr>
        <w:t>6.8.4 采取有效措施保证烘缸的承重能力，不得损坏烘缸及支承。</w:t>
      </w:r>
    </w:p>
    <w:p w14:paraId="7190A696">
      <w:pPr>
        <w:tabs>
          <w:tab w:val="left" w:pos="1633"/>
          <w:tab w:val="left" w:pos="1634"/>
        </w:tabs>
        <w:autoSpaceDE w:val="0"/>
        <w:autoSpaceDN w:val="0"/>
        <w:spacing w:before="43"/>
        <w:ind w:right="84"/>
        <w:rPr>
          <w:rFonts w:ascii="黑体" w:hAnsi="黑体" w:eastAsia="黑体"/>
        </w:rPr>
      </w:pPr>
    </w:p>
    <w:p w14:paraId="7C700AA5">
      <w:pPr>
        <w:pStyle w:val="2"/>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240" w:lineRule="auto"/>
        <w:textAlignment w:val="auto"/>
        <w:rPr>
          <w:rFonts w:hint="eastAsia" w:ascii="宋体" w:hAnsi="宋体" w:eastAsia="宋体" w:cs="宋体"/>
          <w:b/>
          <w:sz w:val="24"/>
          <w:szCs w:val="24"/>
        </w:rPr>
      </w:pPr>
      <w:bookmarkStart w:id="6" w:name="_Toc14096"/>
      <w:r>
        <w:rPr>
          <w:rFonts w:hint="eastAsia" w:ascii="宋体" w:hAnsi="宋体" w:eastAsia="宋体" w:cs="宋体"/>
          <w:b/>
          <w:sz w:val="24"/>
          <w:szCs w:val="24"/>
        </w:rPr>
        <w:t>7 安全状况等级评定</w:t>
      </w:r>
      <w:bookmarkEnd w:id="6"/>
    </w:p>
    <w:p w14:paraId="44364018">
      <w:pPr>
        <w:tabs>
          <w:tab w:val="left" w:pos="1633"/>
          <w:tab w:val="left" w:pos="1634"/>
        </w:tabs>
        <w:autoSpaceDE w:val="0"/>
        <w:autoSpaceDN w:val="0"/>
        <w:spacing w:before="43"/>
        <w:ind w:right="84"/>
        <w:rPr>
          <w:rFonts w:ascii="宋体" w:hAnsi="宋体" w:eastAsia="宋体"/>
        </w:rPr>
      </w:pPr>
    </w:p>
    <w:p w14:paraId="413163BF">
      <w:pPr>
        <w:tabs>
          <w:tab w:val="left" w:pos="1633"/>
          <w:tab w:val="left" w:pos="1634"/>
        </w:tabs>
        <w:autoSpaceDE w:val="0"/>
        <w:autoSpaceDN w:val="0"/>
        <w:spacing w:before="43"/>
        <w:ind w:right="84"/>
        <w:rPr>
          <w:rFonts w:ascii="宋体" w:hAnsi="宋体" w:eastAsia="宋体"/>
        </w:rPr>
      </w:pPr>
      <w:r>
        <w:rPr>
          <w:rFonts w:ascii="宋体" w:hAnsi="宋体" w:eastAsia="宋体"/>
        </w:rPr>
        <w:t>7.1.1 安全状况等级评定应按照 TSG 21-2016 中 8.5 的规定执行。</w:t>
      </w:r>
    </w:p>
    <w:p w14:paraId="73E66EEF">
      <w:pPr>
        <w:tabs>
          <w:tab w:val="left" w:pos="1633"/>
          <w:tab w:val="left" w:pos="1634"/>
        </w:tabs>
        <w:autoSpaceDE w:val="0"/>
        <w:autoSpaceDN w:val="0"/>
        <w:spacing w:before="43"/>
        <w:ind w:right="84"/>
        <w:rPr>
          <w:rFonts w:ascii="宋体" w:hAnsi="宋体" w:eastAsia="宋体"/>
        </w:rPr>
      </w:pPr>
      <w:r>
        <w:rPr>
          <w:rFonts w:ascii="宋体" w:hAnsi="宋体" w:eastAsia="宋体"/>
        </w:rPr>
        <w:t>7.1.2 硬度重复测试不符合要求的，按以下原则处理：</w:t>
      </w:r>
    </w:p>
    <w:p w14:paraId="4844A69B">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a) 使用年限超过设计使用年限的或无设计年限但使用超过 20 年的，安全状况等级定为 5 级；</w:t>
      </w:r>
    </w:p>
    <w:p w14:paraId="618C23FC">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b) 使用年限未超过设计使用年限的或无设计年限但使用未超过 20 年的，根据硬度超出允许范围，安全状况等级可定为 4 级或 5 级；耐压试验合格，能够确认在规定的操作条件下安全使用的，安全状况等级可定为 3 级。</w:t>
      </w:r>
    </w:p>
    <w:p w14:paraId="3CAEF0C7">
      <w:pPr>
        <w:tabs>
          <w:tab w:val="left" w:pos="1633"/>
          <w:tab w:val="left" w:pos="1634"/>
        </w:tabs>
        <w:autoSpaceDE w:val="0"/>
        <w:autoSpaceDN w:val="0"/>
        <w:spacing w:before="43"/>
        <w:ind w:right="84"/>
        <w:rPr>
          <w:rFonts w:ascii="宋体" w:hAnsi="宋体" w:eastAsia="宋体"/>
        </w:rPr>
      </w:pPr>
    </w:p>
    <w:p w14:paraId="3C0A4E90">
      <w:pPr>
        <w:tabs>
          <w:tab w:val="left" w:pos="1633"/>
          <w:tab w:val="left" w:pos="1634"/>
        </w:tabs>
        <w:autoSpaceDE w:val="0"/>
        <w:autoSpaceDN w:val="0"/>
        <w:spacing w:before="43"/>
        <w:ind w:right="84"/>
        <w:rPr>
          <w:rFonts w:ascii="宋体" w:hAnsi="宋体" w:eastAsia="宋体"/>
        </w:rPr>
      </w:pPr>
      <w:r>
        <w:rPr>
          <w:rFonts w:ascii="宋体" w:hAnsi="宋体" w:eastAsia="宋体"/>
        </w:rPr>
        <w:t>7.1.3 烘缸外观检验不符合本标准 6.2.3.2 要求的，安全状况等级定为 5 级。</w:t>
      </w:r>
    </w:p>
    <w:p w14:paraId="32BD3C44">
      <w:pPr>
        <w:tabs>
          <w:tab w:val="left" w:pos="1633"/>
          <w:tab w:val="left" w:pos="1634"/>
        </w:tabs>
        <w:autoSpaceDE w:val="0"/>
        <w:autoSpaceDN w:val="0"/>
        <w:spacing w:before="43"/>
        <w:ind w:right="84"/>
        <w:rPr>
          <w:rFonts w:ascii="黑体" w:hAnsi="黑体" w:eastAsia="黑体"/>
        </w:rPr>
      </w:pPr>
    </w:p>
    <w:p w14:paraId="247F86C1">
      <w:pPr>
        <w:pStyle w:val="2"/>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240" w:lineRule="auto"/>
        <w:textAlignment w:val="auto"/>
        <w:rPr>
          <w:rFonts w:hint="eastAsia" w:ascii="宋体" w:hAnsi="宋体" w:eastAsia="宋体" w:cs="宋体"/>
          <w:b/>
          <w:sz w:val="24"/>
          <w:szCs w:val="24"/>
        </w:rPr>
      </w:pPr>
      <w:bookmarkStart w:id="7" w:name="_Toc20369"/>
      <w:r>
        <w:rPr>
          <w:rFonts w:hint="eastAsia" w:ascii="宋体" w:hAnsi="宋体" w:eastAsia="宋体" w:cs="宋体"/>
          <w:b/>
          <w:sz w:val="24"/>
          <w:szCs w:val="24"/>
        </w:rPr>
        <w:t>8 检验结论及检验报告</w:t>
      </w:r>
      <w:bookmarkEnd w:id="7"/>
    </w:p>
    <w:p w14:paraId="247256E1">
      <w:pPr>
        <w:tabs>
          <w:tab w:val="left" w:pos="1633"/>
          <w:tab w:val="left" w:pos="1634"/>
        </w:tabs>
        <w:autoSpaceDE w:val="0"/>
        <w:autoSpaceDN w:val="0"/>
        <w:spacing w:before="43"/>
        <w:ind w:right="84"/>
        <w:rPr>
          <w:rFonts w:ascii="黑体" w:hAnsi="黑体" w:eastAsia="黑体"/>
        </w:rPr>
      </w:pPr>
    </w:p>
    <w:p w14:paraId="095A1CC0">
      <w:pPr>
        <w:tabs>
          <w:tab w:val="left" w:pos="1633"/>
          <w:tab w:val="left" w:pos="1634"/>
        </w:tabs>
        <w:autoSpaceDE w:val="0"/>
        <w:autoSpaceDN w:val="0"/>
        <w:spacing w:before="43"/>
        <w:ind w:right="84"/>
        <w:rPr>
          <w:rFonts w:ascii="黑体" w:hAnsi="黑体" w:eastAsia="黑体"/>
        </w:rPr>
      </w:pPr>
      <w:r>
        <w:rPr>
          <w:rFonts w:hint="eastAsia" w:ascii="黑体" w:hAnsi="黑体" w:eastAsia="黑体"/>
        </w:rPr>
        <w:t>8.1</w:t>
      </w:r>
      <w:r>
        <w:rPr>
          <w:rFonts w:ascii="黑体" w:hAnsi="黑体" w:eastAsia="黑体"/>
        </w:rPr>
        <w:t xml:space="preserve"> </w:t>
      </w:r>
      <w:r>
        <w:rPr>
          <w:rFonts w:hint="eastAsia" w:ascii="黑体" w:hAnsi="黑体" w:eastAsia="黑体"/>
        </w:rPr>
        <w:t>检验结论</w:t>
      </w:r>
    </w:p>
    <w:p w14:paraId="59BD1099">
      <w:pPr>
        <w:tabs>
          <w:tab w:val="left" w:pos="1633"/>
          <w:tab w:val="left" w:pos="1634"/>
        </w:tabs>
        <w:autoSpaceDE w:val="0"/>
        <w:autoSpaceDN w:val="0"/>
        <w:spacing w:before="43"/>
        <w:ind w:right="84"/>
        <w:rPr>
          <w:rFonts w:ascii="宋体" w:hAnsi="宋体" w:eastAsia="宋体"/>
        </w:rPr>
      </w:pPr>
    </w:p>
    <w:p w14:paraId="2FA46624">
      <w:pPr>
        <w:tabs>
          <w:tab w:val="left" w:pos="1633"/>
          <w:tab w:val="left" w:pos="1634"/>
        </w:tabs>
        <w:autoSpaceDE w:val="0"/>
        <w:autoSpaceDN w:val="0"/>
        <w:spacing w:before="43"/>
        <w:ind w:right="84" w:firstLine="420" w:firstLineChars="200"/>
        <w:rPr>
          <w:rFonts w:ascii="宋体" w:hAnsi="宋体" w:eastAsia="宋体"/>
        </w:rPr>
      </w:pPr>
      <w:r>
        <w:rPr>
          <w:rFonts w:hint="eastAsia" w:ascii="宋体" w:hAnsi="宋体" w:eastAsia="宋体"/>
        </w:rPr>
        <w:t xml:space="preserve">综合评定安全状况等级为 </w:t>
      </w:r>
      <w:r>
        <w:rPr>
          <w:rFonts w:ascii="宋体" w:hAnsi="宋体" w:eastAsia="宋体"/>
        </w:rPr>
        <w:t>1 级至</w:t>
      </w:r>
      <w:r>
        <w:rPr>
          <w:rFonts w:hint="eastAsia" w:ascii="宋体" w:hAnsi="宋体" w:eastAsia="宋体"/>
        </w:rPr>
        <w:t xml:space="preserve"> </w:t>
      </w:r>
      <w:r>
        <w:rPr>
          <w:rFonts w:ascii="宋体" w:hAnsi="宋体" w:eastAsia="宋体"/>
        </w:rPr>
        <w:t>3 级的，检验结论为符合要求，可以继续使用</w:t>
      </w:r>
      <w:r>
        <w:rPr>
          <w:rFonts w:hint="eastAsia" w:ascii="宋体" w:hAnsi="宋体" w:eastAsia="宋体"/>
        </w:rPr>
        <w:t>；</w:t>
      </w:r>
      <w:r>
        <w:rPr>
          <w:rFonts w:ascii="宋体" w:hAnsi="宋体" w:eastAsia="宋体"/>
        </w:rPr>
        <w:t>安全状况等级为</w:t>
      </w:r>
      <w:r>
        <w:rPr>
          <w:rFonts w:hint="eastAsia" w:ascii="宋体" w:hAnsi="宋体" w:eastAsia="宋体"/>
        </w:rPr>
        <w:t xml:space="preserve"> </w:t>
      </w:r>
      <w:r>
        <w:rPr>
          <w:rFonts w:ascii="宋体" w:hAnsi="宋体" w:eastAsia="宋体"/>
        </w:rPr>
        <w:t>4 级的，检验结论为基本符合要求，有条件的监控使用</w:t>
      </w:r>
      <w:r>
        <w:rPr>
          <w:rFonts w:hint="eastAsia" w:ascii="宋体" w:hAnsi="宋体" w:eastAsia="宋体"/>
        </w:rPr>
        <w:t>；</w:t>
      </w:r>
      <w:r>
        <w:rPr>
          <w:rFonts w:ascii="宋体" w:hAnsi="宋体" w:eastAsia="宋体"/>
        </w:rPr>
        <w:t>安全状况等级为</w:t>
      </w:r>
      <w:r>
        <w:rPr>
          <w:rFonts w:hint="eastAsia" w:ascii="宋体" w:hAnsi="宋体" w:eastAsia="宋体"/>
        </w:rPr>
        <w:t xml:space="preserve"> </w:t>
      </w:r>
      <w:r>
        <w:rPr>
          <w:rFonts w:ascii="宋体" w:hAnsi="宋体" w:eastAsia="宋体"/>
        </w:rPr>
        <w:t>5 级的，检验结论为不符合要求，不得继续使用。</w:t>
      </w:r>
    </w:p>
    <w:p w14:paraId="7180A326">
      <w:pPr>
        <w:tabs>
          <w:tab w:val="left" w:pos="1633"/>
          <w:tab w:val="left" w:pos="1634"/>
        </w:tabs>
        <w:autoSpaceDE w:val="0"/>
        <w:autoSpaceDN w:val="0"/>
        <w:spacing w:before="43"/>
        <w:ind w:right="84"/>
        <w:rPr>
          <w:rFonts w:ascii="黑体" w:hAnsi="黑体" w:eastAsia="黑体"/>
        </w:rPr>
      </w:pPr>
    </w:p>
    <w:p w14:paraId="1883D2D6">
      <w:pPr>
        <w:tabs>
          <w:tab w:val="left" w:pos="1633"/>
          <w:tab w:val="left" w:pos="1634"/>
        </w:tabs>
        <w:autoSpaceDE w:val="0"/>
        <w:autoSpaceDN w:val="0"/>
        <w:spacing w:before="43"/>
        <w:ind w:right="84"/>
        <w:rPr>
          <w:rFonts w:ascii="黑体" w:hAnsi="黑体" w:eastAsia="黑体"/>
        </w:rPr>
      </w:pPr>
      <w:r>
        <w:rPr>
          <w:rFonts w:hint="eastAsia" w:ascii="黑体" w:hAnsi="黑体" w:eastAsia="黑体"/>
        </w:rPr>
        <w:t>8.2</w:t>
      </w:r>
      <w:r>
        <w:rPr>
          <w:rFonts w:ascii="黑体" w:hAnsi="黑体" w:eastAsia="黑体"/>
        </w:rPr>
        <w:t xml:space="preserve"> </w:t>
      </w:r>
      <w:r>
        <w:rPr>
          <w:rFonts w:hint="eastAsia" w:ascii="黑体" w:hAnsi="黑体" w:eastAsia="黑体"/>
        </w:rPr>
        <w:t>检验报告</w:t>
      </w:r>
    </w:p>
    <w:p w14:paraId="39C2D0A4">
      <w:pPr>
        <w:tabs>
          <w:tab w:val="left" w:pos="1633"/>
          <w:tab w:val="left" w:pos="1634"/>
        </w:tabs>
        <w:autoSpaceDE w:val="0"/>
        <w:autoSpaceDN w:val="0"/>
        <w:spacing w:before="43"/>
        <w:ind w:right="84"/>
        <w:rPr>
          <w:rFonts w:ascii="宋体" w:hAnsi="宋体" w:eastAsia="宋体"/>
        </w:rPr>
      </w:pPr>
    </w:p>
    <w:p w14:paraId="055C2D37">
      <w:pPr>
        <w:tabs>
          <w:tab w:val="left" w:pos="1633"/>
          <w:tab w:val="left" w:pos="1634"/>
        </w:tabs>
        <w:autoSpaceDE w:val="0"/>
        <w:autoSpaceDN w:val="0"/>
        <w:spacing w:before="43"/>
        <w:ind w:right="84" w:firstLine="420" w:firstLineChars="200"/>
        <w:rPr>
          <w:rFonts w:ascii="宋体" w:hAnsi="宋体" w:eastAsia="宋体"/>
        </w:rPr>
      </w:pPr>
      <w:r>
        <w:rPr>
          <w:rFonts w:hint="eastAsia" w:ascii="宋体" w:hAnsi="宋体" w:eastAsia="宋体"/>
        </w:rPr>
        <w:t>检验机构应当保证检验工作质量，检验时必须有记录，检验后出具报告，报告的格式应当符合 TSG</w:t>
      </w:r>
      <w:r>
        <w:rPr>
          <w:rFonts w:ascii="宋体" w:hAnsi="宋体" w:eastAsia="宋体"/>
        </w:rPr>
        <w:t xml:space="preserve"> </w:t>
      </w:r>
      <w:r>
        <w:rPr>
          <w:rFonts w:hint="eastAsia" w:ascii="宋体" w:hAnsi="宋体" w:eastAsia="宋体"/>
        </w:rPr>
        <w:t>21</w:t>
      </w:r>
      <w:r>
        <w:rPr>
          <w:rFonts w:ascii="宋体" w:hAnsi="宋体" w:eastAsia="宋体"/>
        </w:rPr>
        <w:t xml:space="preserve">-2016 </w:t>
      </w:r>
      <w:r>
        <w:rPr>
          <w:rFonts w:hint="eastAsia" w:ascii="宋体" w:hAnsi="宋体" w:eastAsia="宋体"/>
        </w:rPr>
        <w:t>附件</w:t>
      </w:r>
      <w:r>
        <w:rPr>
          <w:rFonts w:ascii="宋体" w:hAnsi="宋体" w:eastAsia="宋体"/>
        </w:rPr>
        <w:t>J的要求(单项检验报告的格式由检验机构在其质量管理体系文件中规定)。检验记录应当详尽、真实、准确，检验记录记载的信息量不得少</w:t>
      </w:r>
      <w:r>
        <w:rPr>
          <w:rFonts w:hint="eastAsia" w:ascii="宋体" w:hAnsi="宋体" w:eastAsia="宋体"/>
        </w:rPr>
        <w:t xml:space="preserve">于检验报告的信息量。检验机构应当妥善保管检验记录和报告，保存期至少 </w:t>
      </w:r>
      <w:r>
        <w:rPr>
          <w:rFonts w:ascii="宋体" w:hAnsi="宋体" w:eastAsia="宋体"/>
        </w:rPr>
        <w:t>6 年并且不少于该台压力容器的下次检验周期。</w:t>
      </w:r>
    </w:p>
    <w:p w14:paraId="18586B67">
      <w:pPr>
        <w:tabs>
          <w:tab w:val="left" w:pos="1633"/>
          <w:tab w:val="left" w:pos="1634"/>
        </w:tabs>
        <w:autoSpaceDE w:val="0"/>
        <w:autoSpaceDN w:val="0"/>
        <w:spacing w:before="43"/>
        <w:ind w:right="84"/>
        <w:rPr>
          <w:rFonts w:ascii="宋体" w:hAnsi="宋体" w:eastAsia="宋体"/>
        </w:rPr>
      </w:pPr>
      <w:r>
        <w:rPr>
          <w:rFonts w:hint="eastAsia" w:ascii="宋体" w:hAnsi="宋体" w:eastAsia="宋体"/>
        </w:rPr>
        <w:t>检验报告的出具应当符合以下要求：</w:t>
      </w:r>
    </w:p>
    <w:p w14:paraId="0FC7A2E5">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(1) 检验工作结束后，检验机构一般在</w:t>
      </w:r>
      <w:r>
        <w:rPr>
          <w:rFonts w:hint="eastAsia" w:ascii="宋体" w:hAnsi="宋体" w:eastAsia="宋体"/>
        </w:rPr>
        <w:t xml:space="preserve"> </w:t>
      </w:r>
      <w:r>
        <w:rPr>
          <w:rFonts w:ascii="宋体" w:hAnsi="宋体" w:eastAsia="宋体"/>
        </w:rPr>
        <w:t>30 个工作日内出具报告，交付使用单位</w:t>
      </w:r>
      <w:r>
        <w:rPr>
          <w:rFonts w:hint="eastAsia" w:ascii="宋体" w:hAnsi="宋体" w:eastAsia="宋体"/>
        </w:rPr>
        <w:t>存入造纸机械用铸铁烘缸</w:t>
      </w:r>
      <w:r>
        <w:rPr>
          <w:rFonts w:ascii="宋体" w:hAnsi="宋体" w:eastAsia="宋体"/>
        </w:rPr>
        <w:t>技术档案</w:t>
      </w:r>
      <w:r>
        <w:rPr>
          <w:rFonts w:hint="eastAsia" w:ascii="宋体" w:hAnsi="宋体" w:eastAsia="宋体"/>
        </w:rPr>
        <w:t>；</w:t>
      </w:r>
    </w:p>
    <w:p w14:paraId="4C093067">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(2)</w:t>
      </w:r>
      <w:r>
        <w:rPr>
          <w:rFonts w:hint="eastAsia" w:ascii="宋体" w:hAnsi="宋体" w:eastAsia="宋体"/>
        </w:rPr>
        <w:t xml:space="preserve"> 造纸机械用铸铁烘缸</w:t>
      </w:r>
      <w:r>
        <w:rPr>
          <w:rFonts w:ascii="宋体" w:hAnsi="宋体" w:eastAsia="宋体"/>
        </w:rPr>
        <w:t>定期检验结论报告应当有编制、审核、批准三级人员签字，批准人员为检验机构的技术负责人或者其授权签字人</w:t>
      </w:r>
      <w:r>
        <w:rPr>
          <w:rFonts w:hint="eastAsia" w:ascii="宋体" w:hAnsi="宋体" w:eastAsia="宋体"/>
        </w:rPr>
        <w:t>；</w:t>
      </w:r>
    </w:p>
    <w:p w14:paraId="5053CD54">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(3) 因设备使用需要，检验人员可以在报告出具前，先出具《特种设备定期检验意见通知书(1)》，将检验初步结论书面通知使用单位，检验人员对检验意见的正确性负责</w:t>
      </w:r>
      <w:r>
        <w:rPr>
          <w:rFonts w:hint="eastAsia" w:ascii="宋体" w:hAnsi="宋体" w:eastAsia="宋体"/>
        </w:rPr>
        <w:t>；</w:t>
      </w:r>
    </w:p>
    <w:p w14:paraId="29D9901F">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(4) 检验发现设备存在需要处理的缺陷，由使用单位负责进行处理，检验机构可以利用《特种设备定期检验意见通知书(2)》将缺陷情况通知使用单位处理完成并且经过检验机构确认后，再出具检验报告</w:t>
      </w:r>
      <w:r>
        <w:rPr>
          <w:rFonts w:hint="eastAsia" w:ascii="宋体" w:hAnsi="宋体" w:eastAsia="宋体"/>
        </w:rPr>
        <w:t>；</w:t>
      </w:r>
      <w:r>
        <w:rPr>
          <w:rFonts w:ascii="宋体" w:hAnsi="宋体" w:eastAsia="宋体"/>
        </w:rPr>
        <w:t>使用单位在约定的时间内未能完成缺陷处理工作的，检验机构可以按照实际检验情况先行出具检验报告，处理完成并且经过检验机构确认后再次出具报告(替换原检验报告);经检验发现严重事故隐患，检验机构应当使用《特种设备检验意见通知书(2)》将情况及时告知使用登记机关。</w:t>
      </w:r>
    </w:p>
    <w:p w14:paraId="26EF5416">
      <w:pPr>
        <w:tabs>
          <w:tab w:val="left" w:pos="1633"/>
          <w:tab w:val="left" w:pos="1634"/>
        </w:tabs>
        <w:autoSpaceDE w:val="0"/>
        <w:autoSpaceDN w:val="0"/>
        <w:spacing w:before="43"/>
        <w:ind w:right="84"/>
        <w:rPr>
          <w:rFonts w:ascii="宋体" w:hAnsi="宋体" w:eastAsia="宋体"/>
        </w:rPr>
      </w:pPr>
    </w:p>
    <w:p w14:paraId="6A99C847">
      <w:pPr>
        <w:tabs>
          <w:tab w:val="left" w:pos="1633"/>
          <w:tab w:val="left" w:pos="1634"/>
        </w:tabs>
        <w:autoSpaceDE w:val="0"/>
        <w:autoSpaceDN w:val="0"/>
        <w:spacing w:before="43"/>
        <w:ind w:right="84"/>
        <w:rPr>
          <w:rFonts w:ascii="黑体" w:hAnsi="黑体" w:eastAsia="黑体"/>
        </w:rPr>
      </w:pPr>
      <w:r>
        <w:rPr>
          <w:rFonts w:ascii="黑体" w:hAnsi="黑体" w:eastAsia="黑体"/>
        </w:rPr>
        <w:t>8.3 检验信息管理</w:t>
      </w:r>
    </w:p>
    <w:p w14:paraId="7F3A2FDB">
      <w:pPr>
        <w:tabs>
          <w:tab w:val="left" w:pos="1633"/>
          <w:tab w:val="left" w:pos="1634"/>
        </w:tabs>
        <w:autoSpaceDE w:val="0"/>
        <w:autoSpaceDN w:val="0"/>
        <w:spacing w:before="43"/>
        <w:ind w:right="84" w:firstLine="420" w:firstLineChars="200"/>
        <w:rPr>
          <w:rFonts w:ascii="宋体" w:hAnsi="宋体" w:eastAsia="宋体"/>
        </w:rPr>
      </w:pPr>
    </w:p>
    <w:p w14:paraId="293DB83A">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8.3.1 使用单位、检验机构应当严格执行</w:t>
      </w:r>
      <w:r>
        <w:rPr>
          <w:rFonts w:hint="eastAsia" w:ascii="宋体" w:hAnsi="宋体" w:eastAsia="宋体"/>
        </w:rPr>
        <w:t>本标准</w:t>
      </w:r>
      <w:r>
        <w:rPr>
          <w:rFonts w:ascii="宋体" w:hAnsi="宋体" w:eastAsia="宋体"/>
        </w:rPr>
        <w:t>的规定，做好压力容器的定期检验工作，并且按照特种设备信息化工作规定，及时将所要求的检验更新数据上传至特种设备使用登记和检验信息系统;</w:t>
      </w:r>
    </w:p>
    <w:p w14:paraId="3B22CA0E">
      <w:pPr>
        <w:tabs>
          <w:tab w:val="left" w:pos="1633"/>
          <w:tab w:val="left" w:pos="1634"/>
        </w:tabs>
        <w:autoSpaceDE w:val="0"/>
        <w:autoSpaceDN w:val="0"/>
        <w:spacing w:before="43"/>
        <w:ind w:right="84" w:firstLine="420" w:firstLineChars="200"/>
        <w:rPr>
          <w:rFonts w:ascii="宋体" w:hAnsi="宋体" w:eastAsia="宋体"/>
        </w:rPr>
      </w:pPr>
      <w:r>
        <w:rPr>
          <w:rFonts w:ascii="宋体" w:hAnsi="宋体" w:eastAsia="宋体"/>
        </w:rPr>
        <w:t>8.3.2 检验机构应当按照规定将检验结果汇总上报使用登记机关。</w:t>
      </w:r>
    </w:p>
    <w:p w14:paraId="5CE81930">
      <w:pPr>
        <w:tabs>
          <w:tab w:val="left" w:pos="1633"/>
          <w:tab w:val="left" w:pos="1634"/>
        </w:tabs>
        <w:autoSpaceDE w:val="0"/>
        <w:autoSpaceDN w:val="0"/>
        <w:spacing w:before="43"/>
        <w:ind w:right="84"/>
        <w:rPr>
          <w:rFonts w:ascii="宋体" w:hAnsi="宋体" w:eastAsia="宋体"/>
        </w:rPr>
      </w:pPr>
    </w:p>
    <w:p w14:paraId="4C7FB75D">
      <w:pPr>
        <w:tabs>
          <w:tab w:val="left" w:pos="1633"/>
          <w:tab w:val="left" w:pos="1634"/>
        </w:tabs>
        <w:autoSpaceDE w:val="0"/>
        <w:autoSpaceDN w:val="0"/>
        <w:spacing w:before="43"/>
        <w:ind w:right="84"/>
        <w:rPr>
          <w:rFonts w:ascii="黑体" w:hAnsi="黑体" w:eastAsia="黑体"/>
        </w:rPr>
      </w:pPr>
      <w:r>
        <w:rPr>
          <w:rFonts w:ascii="黑体" w:hAnsi="黑体" w:eastAsia="黑体"/>
        </w:rPr>
        <w:t>8.4 检验案例</w:t>
      </w:r>
    </w:p>
    <w:p w14:paraId="086544B7">
      <w:pPr>
        <w:tabs>
          <w:tab w:val="left" w:pos="1633"/>
          <w:tab w:val="left" w:pos="1634"/>
        </w:tabs>
        <w:autoSpaceDE w:val="0"/>
        <w:autoSpaceDN w:val="0"/>
        <w:spacing w:before="43"/>
        <w:ind w:right="84" w:firstLine="420" w:firstLineChars="200"/>
        <w:rPr>
          <w:rFonts w:ascii="宋体" w:hAnsi="宋体" w:eastAsia="宋体"/>
        </w:rPr>
      </w:pPr>
    </w:p>
    <w:p w14:paraId="1A4CF08D">
      <w:pPr>
        <w:tabs>
          <w:tab w:val="left" w:pos="1633"/>
          <w:tab w:val="left" w:pos="1634"/>
        </w:tabs>
        <w:autoSpaceDE w:val="0"/>
        <w:autoSpaceDN w:val="0"/>
        <w:spacing w:before="43"/>
        <w:ind w:right="84" w:firstLine="420" w:firstLineChars="200"/>
        <w:rPr>
          <w:rFonts w:ascii="宋体" w:hAnsi="宋体" w:eastAsia="宋体"/>
        </w:rPr>
      </w:pPr>
      <w:r>
        <w:rPr>
          <w:rFonts w:hint="eastAsia" w:ascii="宋体" w:hAnsi="宋体" w:eastAsia="宋体"/>
        </w:rPr>
        <w:t>凡在定期检验过程中，发现造纸机械用铸铁烘缸存在影响安全的缺陷或者损坏，需要重大修理或者不允许使用的，检验机构按照有关规定逐台填写检验案例，并且及时上报、归档。</w:t>
      </w:r>
    </w:p>
    <w:p w14:paraId="70A0EA94">
      <w:pPr>
        <w:tabs>
          <w:tab w:val="left" w:pos="1633"/>
          <w:tab w:val="left" w:pos="1634"/>
        </w:tabs>
        <w:autoSpaceDE w:val="0"/>
        <w:autoSpaceDN w:val="0"/>
        <w:spacing w:before="43"/>
        <w:ind w:right="84"/>
        <w:rPr>
          <w:rFonts w:ascii="黑体" w:hAnsi="黑体" w:eastAsia="黑体"/>
        </w:rPr>
      </w:pPr>
    </w:p>
    <w:p w14:paraId="01AB0EE9">
      <w:pPr>
        <w:tabs>
          <w:tab w:val="left" w:pos="1633"/>
          <w:tab w:val="left" w:pos="1634"/>
        </w:tabs>
        <w:autoSpaceDE w:val="0"/>
        <w:autoSpaceDN w:val="0"/>
        <w:spacing w:before="43"/>
        <w:ind w:right="84"/>
        <w:rPr>
          <w:rFonts w:ascii="黑体" w:hAnsi="黑体" w:eastAsia="黑体"/>
        </w:rPr>
      </w:pPr>
      <w:r>
        <w:rPr>
          <w:rFonts w:ascii="黑体" w:hAnsi="黑体" w:eastAsia="黑体"/>
        </w:rPr>
        <w:t>8.5 检验标志</w:t>
      </w:r>
    </w:p>
    <w:p w14:paraId="579F2802">
      <w:pPr>
        <w:tabs>
          <w:tab w:val="left" w:pos="1633"/>
          <w:tab w:val="left" w:pos="1634"/>
        </w:tabs>
        <w:autoSpaceDE w:val="0"/>
        <w:autoSpaceDN w:val="0"/>
        <w:spacing w:before="43"/>
        <w:ind w:right="84" w:firstLine="420" w:firstLineChars="200"/>
        <w:rPr>
          <w:rFonts w:ascii="宋体" w:hAnsi="宋体" w:eastAsia="宋体"/>
        </w:rPr>
      </w:pPr>
    </w:p>
    <w:p w14:paraId="431F9A57">
      <w:pPr>
        <w:tabs>
          <w:tab w:val="left" w:pos="1633"/>
          <w:tab w:val="left" w:pos="1634"/>
        </w:tabs>
        <w:autoSpaceDE w:val="0"/>
        <w:autoSpaceDN w:val="0"/>
        <w:spacing w:before="43"/>
        <w:ind w:right="84" w:firstLine="420" w:firstLineChars="200"/>
        <w:rPr>
          <w:rFonts w:hint="eastAsia" w:ascii="宋体" w:hAnsi="宋体" w:eastAsia="宋体"/>
          <w:lang w:eastAsia="zh-CN"/>
        </w:rPr>
      </w:pPr>
      <w:r>
        <w:rPr>
          <w:rFonts w:hint="eastAsia" w:ascii="宋体" w:hAnsi="宋体" w:eastAsia="宋体"/>
        </w:rPr>
        <w:t>检验结论意见为符合要求或者基本符合要求时，检验机构应当按规定出具检验标志</w:t>
      </w:r>
      <w:r>
        <w:rPr>
          <w:rFonts w:hint="eastAsia" w:ascii="宋体" w:hAnsi="宋体" w:eastAsia="宋体"/>
          <w:lang w:eastAsia="zh-CN"/>
        </w:rPr>
        <w:t>。</w:t>
      </w:r>
    </w:p>
    <w:p w14:paraId="77665E14">
      <w:pPr>
        <w:widowControl/>
        <w:jc w:val="left"/>
        <w:rPr>
          <w:rFonts w:ascii="宋体" w:hAnsi="宋体" w:eastAsia="宋体"/>
        </w:rPr>
      </w:pPr>
      <w:r>
        <w:rPr>
          <w:rFonts w:ascii="宋体" w:hAnsi="宋体" w:eastAsia="宋体"/>
        </w:rPr>
        <w:br w:type="page"/>
      </w:r>
    </w:p>
    <w:p w14:paraId="56B8381F">
      <w:pPr>
        <w:pStyle w:val="2"/>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240" w:lineRule="auto"/>
        <w:jc w:val="center"/>
        <w:textAlignment w:val="auto"/>
        <w:rPr>
          <w:rFonts w:hint="eastAsia" w:ascii="宋体" w:hAnsi="宋体" w:eastAsia="宋体" w:cs="宋体"/>
          <w:b/>
          <w:sz w:val="24"/>
          <w:szCs w:val="24"/>
        </w:rPr>
      </w:pPr>
      <w:bookmarkStart w:id="8" w:name="_Toc10926"/>
      <w:r>
        <w:rPr>
          <w:rFonts w:hint="eastAsia" w:ascii="宋体" w:hAnsi="宋体" w:eastAsia="宋体" w:cs="宋体"/>
          <w:b/>
          <w:sz w:val="24"/>
          <w:szCs w:val="24"/>
        </w:rPr>
        <w:t>附 录 A</w:t>
      </w:r>
      <w:bookmarkEnd w:id="8"/>
    </w:p>
    <w:p w14:paraId="2C8EB153">
      <w:pPr>
        <w:tabs>
          <w:tab w:val="left" w:pos="1633"/>
          <w:tab w:val="left" w:pos="1634"/>
        </w:tabs>
        <w:autoSpaceDE w:val="0"/>
        <w:autoSpaceDN w:val="0"/>
        <w:spacing w:before="43"/>
        <w:ind w:right="84"/>
        <w:jc w:val="center"/>
        <w:rPr>
          <w:rFonts w:ascii="黑体" w:hAnsi="黑体" w:eastAsia="黑体"/>
        </w:rPr>
      </w:pPr>
      <w:r>
        <w:rPr>
          <w:rFonts w:hint="eastAsia" w:ascii="黑体" w:hAnsi="黑体" w:eastAsia="黑体"/>
        </w:rPr>
        <w:t>（资料性附录）</w:t>
      </w:r>
    </w:p>
    <w:p w14:paraId="1162CBD7">
      <w:pPr>
        <w:tabs>
          <w:tab w:val="left" w:pos="1633"/>
          <w:tab w:val="left" w:pos="1634"/>
        </w:tabs>
        <w:autoSpaceDE w:val="0"/>
        <w:autoSpaceDN w:val="0"/>
        <w:spacing w:before="43"/>
        <w:ind w:right="84"/>
        <w:jc w:val="center"/>
        <w:rPr>
          <w:rFonts w:ascii="黑体" w:hAnsi="黑体" w:eastAsia="黑体"/>
        </w:rPr>
      </w:pPr>
      <w:r>
        <w:rPr>
          <w:rFonts w:hint="eastAsia" w:ascii="黑体" w:hAnsi="黑体" w:eastAsia="黑体"/>
        </w:rPr>
        <w:t>不同直径规格缸体的计算厚度值</w:t>
      </w:r>
    </w:p>
    <w:p w14:paraId="14C4E208">
      <w:pPr>
        <w:tabs>
          <w:tab w:val="left" w:pos="1633"/>
          <w:tab w:val="left" w:pos="1634"/>
        </w:tabs>
        <w:autoSpaceDE w:val="0"/>
        <w:autoSpaceDN w:val="0"/>
        <w:spacing w:before="43"/>
        <w:ind w:right="84" w:firstLine="420" w:firstLineChars="200"/>
        <w:rPr>
          <w:rFonts w:ascii="黑体" w:hAnsi="黑体" w:eastAsia="黑体"/>
        </w:rPr>
      </w:pPr>
    </w:p>
    <w:p w14:paraId="2E263EC4">
      <w:pPr>
        <w:tabs>
          <w:tab w:val="left" w:pos="1633"/>
          <w:tab w:val="left" w:pos="1634"/>
        </w:tabs>
        <w:autoSpaceDE w:val="0"/>
        <w:autoSpaceDN w:val="0"/>
        <w:spacing w:before="43"/>
        <w:ind w:right="84" w:firstLine="420" w:firstLineChars="200"/>
        <w:rPr>
          <w:rFonts w:ascii="宋体" w:hAnsi="宋体" w:eastAsia="宋体"/>
        </w:rPr>
      </w:pPr>
      <w:r>
        <w:rPr>
          <w:rFonts w:hint="eastAsia" w:ascii="宋体" w:hAnsi="宋体" w:eastAsia="宋体"/>
        </w:rPr>
        <w:t>不同直径规格缸体的计算厚度见表</w:t>
      </w:r>
      <w:r>
        <w:rPr>
          <w:rFonts w:ascii="宋体" w:hAnsi="宋体" w:eastAsia="宋体"/>
        </w:rPr>
        <w:t>A.1。</w:t>
      </w:r>
    </w:p>
    <w:p w14:paraId="6E957943">
      <w:pPr>
        <w:tabs>
          <w:tab w:val="left" w:pos="1633"/>
          <w:tab w:val="left" w:pos="1634"/>
        </w:tabs>
        <w:autoSpaceDE w:val="0"/>
        <w:autoSpaceDN w:val="0"/>
        <w:spacing w:before="43"/>
        <w:ind w:right="84"/>
        <w:jc w:val="center"/>
        <w:rPr>
          <w:rFonts w:ascii="黑体" w:hAnsi="黑体" w:eastAsia="黑体"/>
        </w:rPr>
      </w:pPr>
    </w:p>
    <w:p w14:paraId="60CA7518">
      <w:pPr>
        <w:tabs>
          <w:tab w:val="left" w:pos="1633"/>
          <w:tab w:val="left" w:pos="1634"/>
        </w:tabs>
        <w:autoSpaceDE w:val="0"/>
        <w:autoSpaceDN w:val="0"/>
        <w:spacing w:before="43"/>
        <w:ind w:right="84"/>
        <w:jc w:val="center"/>
        <w:rPr>
          <w:rFonts w:ascii="黑体" w:hAnsi="黑体" w:eastAsia="黑体"/>
        </w:rPr>
      </w:pPr>
      <w:r>
        <w:rPr>
          <w:rFonts w:hint="eastAsia" w:ascii="黑体" w:hAnsi="黑体" w:eastAsia="黑体"/>
        </w:rPr>
        <w:t>表</w:t>
      </w:r>
      <w:r>
        <w:rPr>
          <w:rFonts w:ascii="黑体" w:hAnsi="黑体" w:eastAsia="黑体"/>
        </w:rPr>
        <w:t>A.1 不同直径规格缸体的计算厚度</w:t>
      </w:r>
    </w:p>
    <w:tbl>
      <w:tblPr>
        <w:tblStyle w:val="12"/>
        <w:tblW w:w="9575"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393"/>
        <w:gridCol w:w="2394"/>
        <w:gridCol w:w="2394"/>
        <w:gridCol w:w="2394"/>
      </w:tblGrid>
      <w:tr w14:paraId="4D842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tcBorders>
              <w:bottom w:val="single" w:color="000000" w:sz="4" w:space="0"/>
              <w:right w:val="single" w:color="000000" w:sz="4" w:space="0"/>
            </w:tcBorders>
            <w:vAlign w:val="center"/>
          </w:tcPr>
          <w:p w14:paraId="29F56DE8">
            <w:pPr>
              <w:pStyle w:val="13"/>
              <w:spacing w:before="37"/>
              <w:ind w:left="429" w:firstLine="300"/>
              <w:jc w:val="left"/>
              <w:rPr>
                <w:sz w:val="15"/>
                <w:szCs w:val="15"/>
                <w:lang w:eastAsia="en-US"/>
              </w:rPr>
            </w:pPr>
            <w:r>
              <w:rPr>
                <w:position w:val="1"/>
                <w:sz w:val="15"/>
                <w:szCs w:val="15"/>
                <w:lang w:eastAsia="en-US"/>
              </w:rPr>
              <w:t>烘缸缸体外径 D</w:t>
            </w:r>
            <w:r>
              <w:rPr>
                <w:sz w:val="15"/>
                <w:szCs w:val="15"/>
                <w:lang w:eastAsia="en-US"/>
              </w:rPr>
              <w:t>o</w:t>
            </w:r>
            <w:r>
              <w:rPr>
                <w:position w:val="1"/>
                <w:sz w:val="15"/>
                <w:szCs w:val="15"/>
                <w:lang w:eastAsia="en-US"/>
              </w:rPr>
              <w:t>/mm</w:t>
            </w:r>
          </w:p>
        </w:tc>
        <w:tc>
          <w:tcPr>
            <w:tcW w:w="2394" w:type="dxa"/>
            <w:tcBorders>
              <w:left w:val="single" w:color="000000" w:sz="4" w:space="0"/>
              <w:bottom w:val="single" w:color="000000" w:sz="4" w:space="0"/>
              <w:right w:val="single" w:color="000000" w:sz="4" w:space="0"/>
            </w:tcBorders>
            <w:vAlign w:val="center"/>
          </w:tcPr>
          <w:p w14:paraId="7E428E87">
            <w:pPr>
              <w:pStyle w:val="13"/>
              <w:ind w:right="533" w:firstLine="300"/>
              <w:rPr>
                <w:sz w:val="15"/>
                <w:szCs w:val="15"/>
                <w:lang w:eastAsia="en-US"/>
              </w:rPr>
            </w:pPr>
            <w:r>
              <w:rPr>
                <w:sz w:val="15"/>
                <w:szCs w:val="15"/>
                <w:lang w:eastAsia="en-US"/>
              </w:rPr>
              <w:t>设计压力 P/MPa</w:t>
            </w:r>
          </w:p>
        </w:tc>
        <w:tc>
          <w:tcPr>
            <w:tcW w:w="2394" w:type="dxa"/>
            <w:tcBorders>
              <w:left w:val="single" w:color="000000" w:sz="4" w:space="0"/>
              <w:bottom w:val="single" w:color="000000" w:sz="4" w:space="0"/>
              <w:right w:val="single" w:color="000000" w:sz="4" w:space="0"/>
            </w:tcBorders>
            <w:vAlign w:val="center"/>
          </w:tcPr>
          <w:p w14:paraId="29DAFCA5">
            <w:pPr>
              <w:pStyle w:val="13"/>
              <w:ind w:left="1019" w:firstLine="300"/>
              <w:jc w:val="left"/>
              <w:rPr>
                <w:sz w:val="15"/>
                <w:szCs w:val="15"/>
                <w:lang w:eastAsia="en-US"/>
              </w:rPr>
            </w:pPr>
            <w:r>
              <w:rPr>
                <w:sz w:val="15"/>
                <w:szCs w:val="15"/>
                <w:lang w:eastAsia="en-US"/>
              </w:rPr>
              <w:t>材料</w:t>
            </w:r>
          </w:p>
        </w:tc>
        <w:tc>
          <w:tcPr>
            <w:tcW w:w="2394" w:type="dxa"/>
            <w:tcBorders>
              <w:left w:val="single" w:color="000000" w:sz="4" w:space="0"/>
              <w:bottom w:val="single" w:color="000000" w:sz="4" w:space="0"/>
            </w:tcBorders>
            <w:vAlign w:val="center"/>
          </w:tcPr>
          <w:p w14:paraId="5EB06938">
            <w:pPr>
              <w:pStyle w:val="13"/>
              <w:spacing w:before="37"/>
              <w:ind w:left="586" w:right="566" w:firstLine="300"/>
              <w:rPr>
                <w:sz w:val="15"/>
                <w:szCs w:val="15"/>
                <w:lang w:eastAsia="en-US"/>
              </w:rPr>
            </w:pPr>
            <w:r>
              <w:rPr>
                <w:position w:val="1"/>
                <w:sz w:val="15"/>
                <w:szCs w:val="15"/>
                <w:lang w:eastAsia="en-US"/>
              </w:rPr>
              <w:t xml:space="preserve">计算厚度δ </w:t>
            </w:r>
            <w:r>
              <w:rPr>
                <w:sz w:val="15"/>
                <w:szCs w:val="15"/>
                <w:lang w:eastAsia="en-US"/>
              </w:rPr>
              <w:t>c</w:t>
            </w:r>
            <w:r>
              <w:rPr>
                <w:position w:val="1"/>
                <w:sz w:val="15"/>
                <w:szCs w:val="15"/>
                <w:lang w:eastAsia="en-US"/>
              </w:rPr>
              <w:t>/mm</w:t>
            </w:r>
          </w:p>
        </w:tc>
      </w:tr>
      <w:tr w14:paraId="6823B2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restart"/>
            <w:tcBorders>
              <w:top w:val="single" w:color="000000" w:sz="4" w:space="0"/>
              <w:bottom w:val="single" w:color="000000" w:sz="4" w:space="0"/>
              <w:right w:val="single" w:color="000000" w:sz="4" w:space="0"/>
            </w:tcBorders>
            <w:vAlign w:val="center"/>
          </w:tcPr>
          <w:p w14:paraId="3F1A0419">
            <w:pPr>
              <w:pStyle w:val="13"/>
              <w:spacing w:before="0"/>
              <w:ind w:left="995" w:right="978" w:firstLine="300"/>
              <w:rPr>
                <w:sz w:val="15"/>
                <w:szCs w:val="15"/>
                <w:lang w:eastAsia="en-US"/>
              </w:rPr>
            </w:pPr>
            <w:r>
              <w:rPr>
                <w:sz w:val="15"/>
                <w:szCs w:val="15"/>
                <w:lang w:eastAsia="en-US"/>
              </w:rPr>
              <w:t>800</w:t>
            </w:r>
          </w:p>
        </w:tc>
        <w:tc>
          <w:tcPr>
            <w:tcW w:w="2394" w:type="dxa"/>
            <w:tcBorders>
              <w:top w:val="single" w:color="000000" w:sz="4" w:space="0"/>
              <w:left w:val="single" w:color="000000" w:sz="4" w:space="0"/>
              <w:bottom w:val="single" w:color="000000" w:sz="4" w:space="0"/>
              <w:right w:val="single" w:color="000000" w:sz="4" w:space="0"/>
            </w:tcBorders>
            <w:vAlign w:val="center"/>
          </w:tcPr>
          <w:p w14:paraId="6C44E7B2">
            <w:pPr>
              <w:pStyle w:val="13"/>
              <w:ind w:right="529" w:firstLine="300"/>
              <w:rPr>
                <w:sz w:val="15"/>
                <w:szCs w:val="15"/>
                <w:lang w:eastAsia="en-US"/>
              </w:rPr>
            </w:pPr>
            <w:r>
              <w:rPr>
                <w:sz w:val="15"/>
                <w:szCs w:val="15"/>
                <w:lang w:eastAsia="en-US"/>
              </w:rPr>
              <w:t>0.3</w:t>
            </w:r>
          </w:p>
        </w:tc>
        <w:tc>
          <w:tcPr>
            <w:tcW w:w="2394" w:type="dxa"/>
            <w:tcBorders>
              <w:top w:val="single" w:color="000000" w:sz="4" w:space="0"/>
              <w:left w:val="single" w:color="000000" w:sz="4" w:space="0"/>
              <w:bottom w:val="single" w:color="000000" w:sz="4" w:space="0"/>
              <w:right w:val="single" w:color="000000" w:sz="4" w:space="0"/>
            </w:tcBorders>
            <w:vAlign w:val="center"/>
          </w:tcPr>
          <w:p w14:paraId="2A7DB949">
            <w:pPr>
              <w:pStyle w:val="13"/>
              <w:ind w:left="974" w:firstLine="300"/>
              <w:jc w:val="left"/>
              <w:rPr>
                <w:sz w:val="15"/>
                <w:szCs w:val="15"/>
                <w:lang w:eastAsia="en-US"/>
              </w:rPr>
            </w:pPr>
            <w:r>
              <w:rPr>
                <w:sz w:val="15"/>
                <w:szCs w:val="15"/>
                <w:lang w:eastAsia="en-US"/>
              </w:rPr>
              <w:t>HT200</w:t>
            </w:r>
          </w:p>
        </w:tc>
        <w:tc>
          <w:tcPr>
            <w:tcW w:w="2394" w:type="dxa"/>
            <w:tcBorders>
              <w:top w:val="single" w:color="000000" w:sz="4" w:space="0"/>
              <w:left w:val="single" w:color="000000" w:sz="4" w:space="0"/>
              <w:bottom w:val="single" w:color="000000" w:sz="4" w:space="0"/>
            </w:tcBorders>
            <w:vAlign w:val="center"/>
          </w:tcPr>
          <w:p w14:paraId="0417B390">
            <w:pPr>
              <w:pStyle w:val="13"/>
              <w:ind w:left="586" w:right="562" w:firstLine="300"/>
              <w:rPr>
                <w:sz w:val="15"/>
                <w:szCs w:val="15"/>
                <w:lang w:eastAsia="en-US"/>
              </w:rPr>
            </w:pPr>
            <w:r>
              <w:rPr>
                <w:sz w:val="15"/>
                <w:szCs w:val="15"/>
                <w:lang w:eastAsia="en-US"/>
              </w:rPr>
              <w:t>7.2</w:t>
            </w:r>
          </w:p>
        </w:tc>
      </w:tr>
      <w:tr w14:paraId="615731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jc w:val="center"/>
        </w:trPr>
        <w:tc>
          <w:tcPr>
            <w:tcW w:w="2393" w:type="dxa"/>
            <w:vMerge w:val="continue"/>
            <w:tcBorders>
              <w:top w:val="nil"/>
              <w:bottom w:val="single" w:color="000000" w:sz="4" w:space="0"/>
              <w:right w:val="single" w:color="000000" w:sz="4" w:space="0"/>
            </w:tcBorders>
            <w:vAlign w:val="center"/>
          </w:tcPr>
          <w:p w14:paraId="1987614D">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3924911C">
            <w:pPr>
              <w:pStyle w:val="13"/>
              <w:spacing w:before="40"/>
              <w:ind w:right="529" w:firstLine="300"/>
              <w:rPr>
                <w:sz w:val="15"/>
                <w:szCs w:val="15"/>
                <w:lang w:eastAsia="en-US"/>
              </w:rPr>
            </w:pPr>
            <w:r>
              <w:rPr>
                <w:sz w:val="15"/>
                <w:szCs w:val="15"/>
                <w:lang w:eastAsia="en-US"/>
              </w:rPr>
              <w:t>0.5</w:t>
            </w:r>
          </w:p>
        </w:tc>
        <w:tc>
          <w:tcPr>
            <w:tcW w:w="2394" w:type="dxa"/>
            <w:tcBorders>
              <w:top w:val="single" w:color="000000" w:sz="4" w:space="0"/>
              <w:left w:val="single" w:color="000000" w:sz="4" w:space="0"/>
              <w:bottom w:val="single" w:color="000000" w:sz="4" w:space="0"/>
              <w:right w:val="single" w:color="000000" w:sz="4" w:space="0"/>
            </w:tcBorders>
            <w:vAlign w:val="center"/>
          </w:tcPr>
          <w:p w14:paraId="1CE90D38">
            <w:pPr>
              <w:pStyle w:val="13"/>
              <w:spacing w:before="40"/>
              <w:ind w:left="974" w:firstLine="300"/>
              <w:jc w:val="left"/>
              <w:rPr>
                <w:sz w:val="15"/>
                <w:szCs w:val="15"/>
                <w:lang w:eastAsia="en-US"/>
              </w:rPr>
            </w:pPr>
            <w:r>
              <w:rPr>
                <w:sz w:val="15"/>
                <w:szCs w:val="15"/>
                <w:lang w:eastAsia="en-US"/>
              </w:rPr>
              <w:t>HT250</w:t>
            </w:r>
          </w:p>
        </w:tc>
        <w:tc>
          <w:tcPr>
            <w:tcW w:w="2394" w:type="dxa"/>
            <w:tcBorders>
              <w:top w:val="single" w:color="000000" w:sz="4" w:space="0"/>
              <w:left w:val="single" w:color="000000" w:sz="4" w:space="0"/>
              <w:bottom w:val="single" w:color="000000" w:sz="4" w:space="0"/>
            </w:tcBorders>
            <w:vAlign w:val="center"/>
          </w:tcPr>
          <w:p w14:paraId="4DD21A70">
            <w:pPr>
              <w:pStyle w:val="13"/>
              <w:spacing w:before="40"/>
              <w:ind w:left="586" w:right="562" w:firstLine="300"/>
              <w:rPr>
                <w:sz w:val="15"/>
                <w:szCs w:val="15"/>
                <w:lang w:eastAsia="en-US"/>
              </w:rPr>
            </w:pPr>
            <w:r>
              <w:rPr>
                <w:sz w:val="15"/>
                <w:szCs w:val="15"/>
                <w:lang w:eastAsia="en-US"/>
              </w:rPr>
              <w:t>9.6</w:t>
            </w:r>
          </w:p>
        </w:tc>
      </w:tr>
      <w:tr w14:paraId="70C09A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2393" w:type="dxa"/>
            <w:vMerge w:val="restart"/>
            <w:tcBorders>
              <w:top w:val="single" w:color="000000" w:sz="4" w:space="0"/>
              <w:bottom w:val="single" w:color="000000" w:sz="4" w:space="0"/>
              <w:right w:val="single" w:color="000000" w:sz="4" w:space="0"/>
            </w:tcBorders>
            <w:vAlign w:val="center"/>
          </w:tcPr>
          <w:p w14:paraId="168A219A">
            <w:pPr>
              <w:pStyle w:val="13"/>
              <w:spacing w:before="0"/>
              <w:ind w:left="995" w:right="982" w:firstLine="300"/>
              <w:rPr>
                <w:sz w:val="15"/>
                <w:szCs w:val="15"/>
                <w:lang w:eastAsia="en-US"/>
              </w:rPr>
            </w:pPr>
            <w:r>
              <w:rPr>
                <w:sz w:val="15"/>
                <w:szCs w:val="15"/>
                <w:lang w:eastAsia="en-US"/>
              </w:rPr>
              <w:t>1000</w:t>
            </w:r>
          </w:p>
        </w:tc>
        <w:tc>
          <w:tcPr>
            <w:tcW w:w="2394" w:type="dxa"/>
            <w:tcBorders>
              <w:top w:val="single" w:color="000000" w:sz="4" w:space="0"/>
              <w:left w:val="single" w:color="000000" w:sz="4" w:space="0"/>
              <w:bottom w:val="single" w:color="000000" w:sz="4" w:space="0"/>
              <w:right w:val="single" w:color="000000" w:sz="4" w:space="0"/>
            </w:tcBorders>
            <w:vAlign w:val="center"/>
          </w:tcPr>
          <w:p w14:paraId="2B2A0D3A">
            <w:pPr>
              <w:pStyle w:val="13"/>
              <w:ind w:right="529" w:firstLine="300"/>
              <w:rPr>
                <w:sz w:val="15"/>
                <w:szCs w:val="15"/>
                <w:lang w:eastAsia="en-US"/>
              </w:rPr>
            </w:pPr>
            <w:r>
              <w:rPr>
                <w:sz w:val="15"/>
                <w:szCs w:val="15"/>
                <w:lang w:eastAsia="en-US"/>
              </w:rPr>
              <w:t>0.3</w:t>
            </w:r>
          </w:p>
        </w:tc>
        <w:tc>
          <w:tcPr>
            <w:tcW w:w="2394" w:type="dxa"/>
            <w:tcBorders>
              <w:top w:val="single" w:color="000000" w:sz="4" w:space="0"/>
              <w:left w:val="single" w:color="000000" w:sz="4" w:space="0"/>
              <w:bottom w:val="single" w:color="000000" w:sz="4" w:space="0"/>
              <w:right w:val="single" w:color="000000" w:sz="4" w:space="0"/>
            </w:tcBorders>
            <w:vAlign w:val="center"/>
          </w:tcPr>
          <w:p w14:paraId="7DFE9DDD">
            <w:pPr>
              <w:pStyle w:val="13"/>
              <w:ind w:left="974" w:firstLine="300"/>
              <w:jc w:val="left"/>
              <w:rPr>
                <w:sz w:val="15"/>
                <w:szCs w:val="15"/>
                <w:lang w:eastAsia="en-US"/>
              </w:rPr>
            </w:pPr>
            <w:r>
              <w:rPr>
                <w:sz w:val="15"/>
                <w:szCs w:val="15"/>
                <w:lang w:eastAsia="en-US"/>
              </w:rPr>
              <w:t>HT200</w:t>
            </w:r>
          </w:p>
        </w:tc>
        <w:tc>
          <w:tcPr>
            <w:tcW w:w="2394" w:type="dxa"/>
            <w:tcBorders>
              <w:top w:val="single" w:color="000000" w:sz="4" w:space="0"/>
              <w:left w:val="single" w:color="000000" w:sz="4" w:space="0"/>
              <w:bottom w:val="single" w:color="000000" w:sz="4" w:space="0"/>
            </w:tcBorders>
            <w:vAlign w:val="center"/>
          </w:tcPr>
          <w:p w14:paraId="2753C2D8">
            <w:pPr>
              <w:pStyle w:val="13"/>
              <w:ind w:left="586" w:right="562" w:firstLine="300"/>
              <w:rPr>
                <w:sz w:val="15"/>
                <w:szCs w:val="15"/>
                <w:lang w:eastAsia="en-US"/>
              </w:rPr>
            </w:pPr>
            <w:r>
              <w:rPr>
                <w:sz w:val="15"/>
                <w:szCs w:val="15"/>
                <w:lang w:eastAsia="en-US"/>
              </w:rPr>
              <w:t>9.0</w:t>
            </w:r>
          </w:p>
        </w:tc>
      </w:tr>
      <w:tr w14:paraId="6B96E8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continue"/>
            <w:tcBorders>
              <w:top w:val="nil"/>
              <w:bottom w:val="single" w:color="000000" w:sz="4" w:space="0"/>
              <w:right w:val="single" w:color="000000" w:sz="4" w:space="0"/>
            </w:tcBorders>
            <w:vAlign w:val="center"/>
          </w:tcPr>
          <w:p w14:paraId="3B5BEC99">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466DCC27">
            <w:pPr>
              <w:pStyle w:val="13"/>
              <w:ind w:right="529" w:firstLine="300"/>
              <w:rPr>
                <w:sz w:val="15"/>
                <w:szCs w:val="15"/>
                <w:lang w:eastAsia="en-US"/>
              </w:rPr>
            </w:pPr>
            <w:r>
              <w:rPr>
                <w:sz w:val="15"/>
                <w:szCs w:val="15"/>
                <w:lang w:eastAsia="en-US"/>
              </w:rPr>
              <w:t>0.5</w:t>
            </w:r>
          </w:p>
        </w:tc>
        <w:tc>
          <w:tcPr>
            <w:tcW w:w="2394" w:type="dxa"/>
            <w:tcBorders>
              <w:top w:val="single" w:color="000000" w:sz="4" w:space="0"/>
              <w:left w:val="single" w:color="000000" w:sz="4" w:space="0"/>
              <w:bottom w:val="single" w:color="000000" w:sz="4" w:space="0"/>
              <w:right w:val="single" w:color="000000" w:sz="4" w:space="0"/>
            </w:tcBorders>
            <w:vAlign w:val="center"/>
          </w:tcPr>
          <w:p w14:paraId="6EF9A1A9">
            <w:pPr>
              <w:pStyle w:val="13"/>
              <w:ind w:left="974" w:firstLine="300"/>
              <w:jc w:val="left"/>
              <w:rPr>
                <w:sz w:val="15"/>
                <w:szCs w:val="15"/>
                <w:lang w:eastAsia="en-US"/>
              </w:rPr>
            </w:pPr>
            <w:r>
              <w:rPr>
                <w:sz w:val="15"/>
                <w:szCs w:val="15"/>
                <w:lang w:eastAsia="en-US"/>
              </w:rPr>
              <w:t>HT250</w:t>
            </w:r>
          </w:p>
        </w:tc>
        <w:tc>
          <w:tcPr>
            <w:tcW w:w="2394" w:type="dxa"/>
            <w:tcBorders>
              <w:top w:val="single" w:color="000000" w:sz="4" w:space="0"/>
              <w:left w:val="single" w:color="000000" w:sz="4" w:space="0"/>
              <w:bottom w:val="single" w:color="000000" w:sz="4" w:space="0"/>
            </w:tcBorders>
            <w:vAlign w:val="center"/>
          </w:tcPr>
          <w:p w14:paraId="0D0C98D0">
            <w:pPr>
              <w:pStyle w:val="13"/>
              <w:ind w:left="586" w:right="566" w:firstLine="300"/>
              <w:rPr>
                <w:sz w:val="15"/>
                <w:szCs w:val="15"/>
                <w:lang w:eastAsia="en-US"/>
              </w:rPr>
            </w:pPr>
            <w:r>
              <w:rPr>
                <w:sz w:val="15"/>
                <w:szCs w:val="15"/>
                <w:lang w:eastAsia="en-US"/>
              </w:rPr>
              <w:t>12.0</w:t>
            </w:r>
          </w:p>
        </w:tc>
      </w:tr>
      <w:tr w14:paraId="5010FE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restart"/>
            <w:tcBorders>
              <w:top w:val="single" w:color="000000" w:sz="4" w:space="0"/>
              <w:bottom w:val="single" w:color="000000" w:sz="4" w:space="0"/>
              <w:right w:val="single" w:color="000000" w:sz="4" w:space="0"/>
            </w:tcBorders>
            <w:vAlign w:val="center"/>
          </w:tcPr>
          <w:p w14:paraId="684B1197">
            <w:pPr>
              <w:pStyle w:val="13"/>
              <w:spacing w:before="1"/>
              <w:ind w:left="995" w:right="982" w:firstLine="300"/>
              <w:rPr>
                <w:sz w:val="15"/>
                <w:szCs w:val="15"/>
                <w:lang w:eastAsia="en-US"/>
              </w:rPr>
            </w:pPr>
            <w:r>
              <w:rPr>
                <w:sz w:val="15"/>
                <w:szCs w:val="15"/>
                <w:lang w:eastAsia="en-US"/>
              </w:rPr>
              <w:t>1250</w:t>
            </w:r>
          </w:p>
        </w:tc>
        <w:tc>
          <w:tcPr>
            <w:tcW w:w="2394" w:type="dxa"/>
            <w:tcBorders>
              <w:top w:val="single" w:color="000000" w:sz="4" w:space="0"/>
              <w:left w:val="single" w:color="000000" w:sz="4" w:space="0"/>
              <w:bottom w:val="single" w:color="000000" w:sz="4" w:space="0"/>
              <w:right w:val="single" w:color="000000" w:sz="4" w:space="0"/>
            </w:tcBorders>
            <w:vAlign w:val="center"/>
          </w:tcPr>
          <w:p w14:paraId="12C4273F">
            <w:pPr>
              <w:pStyle w:val="13"/>
              <w:ind w:right="529" w:firstLine="300"/>
              <w:rPr>
                <w:sz w:val="15"/>
                <w:szCs w:val="15"/>
                <w:lang w:eastAsia="en-US"/>
              </w:rPr>
            </w:pPr>
            <w:r>
              <w:rPr>
                <w:sz w:val="15"/>
                <w:szCs w:val="15"/>
                <w:lang w:eastAsia="en-US"/>
              </w:rPr>
              <w:t>0.3</w:t>
            </w:r>
          </w:p>
        </w:tc>
        <w:tc>
          <w:tcPr>
            <w:tcW w:w="2394" w:type="dxa"/>
            <w:tcBorders>
              <w:top w:val="single" w:color="000000" w:sz="4" w:space="0"/>
              <w:left w:val="single" w:color="000000" w:sz="4" w:space="0"/>
              <w:bottom w:val="single" w:color="000000" w:sz="4" w:space="0"/>
              <w:right w:val="single" w:color="000000" w:sz="4" w:space="0"/>
            </w:tcBorders>
            <w:vAlign w:val="center"/>
          </w:tcPr>
          <w:p w14:paraId="282867F4">
            <w:pPr>
              <w:pStyle w:val="13"/>
              <w:ind w:left="974" w:firstLine="300"/>
              <w:jc w:val="left"/>
              <w:rPr>
                <w:sz w:val="15"/>
                <w:szCs w:val="15"/>
                <w:lang w:eastAsia="en-US"/>
              </w:rPr>
            </w:pPr>
            <w:r>
              <w:rPr>
                <w:sz w:val="15"/>
                <w:szCs w:val="15"/>
                <w:lang w:eastAsia="en-US"/>
              </w:rPr>
              <w:t>HT200</w:t>
            </w:r>
          </w:p>
        </w:tc>
        <w:tc>
          <w:tcPr>
            <w:tcW w:w="2394" w:type="dxa"/>
            <w:tcBorders>
              <w:top w:val="single" w:color="000000" w:sz="4" w:space="0"/>
              <w:left w:val="single" w:color="000000" w:sz="4" w:space="0"/>
              <w:bottom w:val="single" w:color="000000" w:sz="4" w:space="0"/>
            </w:tcBorders>
            <w:vAlign w:val="center"/>
          </w:tcPr>
          <w:p w14:paraId="702F40DC">
            <w:pPr>
              <w:pStyle w:val="13"/>
              <w:ind w:left="586" w:right="566" w:firstLine="300"/>
              <w:rPr>
                <w:sz w:val="15"/>
                <w:szCs w:val="15"/>
                <w:lang w:eastAsia="en-US"/>
              </w:rPr>
            </w:pPr>
            <w:r>
              <w:rPr>
                <w:sz w:val="15"/>
                <w:szCs w:val="15"/>
                <w:lang w:eastAsia="en-US"/>
              </w:rPr>
              <w:t>11.3</w:t>
            </w:r>
          </w:p>
        </w:tc>
      </w:tr>
      <w:tr w14:paraId="17172D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continue"/>
            <w:tcBorders>
              <w:top w:val="nil"/>
              <w:bottom w:val="single" w:color="000000" w:sz="4" w:space="0"/>
              <w:right w:val="single" w:color="000000" w:sz="4" w:space="0"/>
            </w:tcBorders>
            <w:vAlign w:val="center"/>
          </w:tcPr>
          <w:p w14:paraId="5889612F">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173E9F10">
            <w:pPr>
              <w:pStyle w:val="13"/>
              <w:ind w:right="529" w:firstLine="300"/>
              <w:rPr>
                <w:sz w:val="15"/>
                <w:szCs w:val="15"/>
                <w:lang w:eastAsia="en-US"/>
              </w:rPr>
            </w:pPr>
            <w:r>
              <w:rPr>
                <w:sz w:val="15"/>
                <w:szCs w:val="15"/>
                <w:lang w:eastAsia="en-US"/>
              </w:rPr>
              <w:t>0.5</w:t>
            </w:r>
          </w:p>
        </w:tc>
        <w:tc>
          <w:tcPr>
            <w:tcW w:w="2394" w:type="dxa"/>
            <w:tcBorders>
              <w:top w:val="single" w:color="000000" w:sz="4" w:space="0"/>
              <w:left w:val="single" w:color="000000" w:sz="4" w:space="0"/>
              <w:bottom w:val="single" w:color="000000" w:sz="4" w:space="0"/>
              <w:right w:val="single" w:color="000000" w:sz="4" w:space="0"/>
            </w:tcBorders>
            <w:vAlign w:val="center"/>
          </w:tcPr>
          <w:p w14:paraId="2F561DAE">
            <w:pPr>
              <w:pStyle w:val="13"/>
              <w:ind w:left="974" w:firstLine="300"/>
              <w:jc w:val="left"/>
              <w:rPr>
                <w:sz w:val="15"/>
                <w:szCs w:val="15"/>
                <w:lang w:eastAsia="en-US"/>
              </w:rPr>
            </w:pPr>
            <w:r>
              <w:rPr>
                <w:sz w:val="15"/>
                <w:szCs w:val="15"/>
                <w:lang w:eastAsia="en-US"/>
              </w:rPr>
              <w:t>HT250</w:t>
            </w:r>
          </w:p>
        </w:tc>
        <w:tc>
          <w:tcPr>
            <w:tcW w:w="2394" w:type="dxa"/>
            <w:tcBorders>
              <w:top w:val="single" w:color="000000" w:sz="4" w:space="0"/>
              <w:left w:val="single" w:color="000000" w:sz="4" w:space="0"/>
              <w:bottom w:val="single" w:color="000000" w:sz="4" w:space="0"/>
            </w:tcBorders>
            <w:vAlign w:val="center"/>
          </w:tcPr>
          <w:p w14:paraId="31519F25">
            <w:pPr>
              <w:pStyle w:val="13"/>
              <w:ind w:left="586" w:right="566" w:firstLine="300"/>
              <w:rPr>
                <w:sz w:val="15"/>
                <w:szCs w:val="15"/>
                <w:lang w:eastAsia="en-US"/>
              </w:rPr>
            </w:pPr>
            <w:r>
              <w:rPr>
                <w:sz w:val="15"/>
                <w:szCs w:val="15"/>
                <w:lang w:eastAsia="en-US"/>
              </w:rPr>
              <w:t>15.0</w:t>
            </w:r>
          </w:p>
        </w:tc>
      </w:tr>
      <w:tr w14:paraId="0DA965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restart"/>
            <w:tcBorders>
              <w:top w:val="single" w:color="000000" w:sz="4" w:space="0"/>
              <w:bottom w:val="single" w:color="000000" w:sz="4" w:space="0"/>
              <w:right w:val="single" w:color="000000" w:sz="4" w:space="0"/>
            </w:tcBorders>
            <w:vAlign w:val="center"/>
          </w:tcPr>
          <w:p w14:paraId="40301CA6">
            <w:pPr>
              <w:pStyle w:val="13"/>
              <w:spacing w:before="131"/>
              <w:ind w:left="995" w:right="982" w:firstLine="300"/>
              <w:rPr>
                <w:sz w:val="15"/>
                <w:szCs w:val="15"/>
                <w:lang w:eastAsia="en-US"/>
              </w:rPr>
            </w:pPr>
            <w:r>
              <w:rPr>
                <w:sz w:val="15"/>
                <w:szCs w:val="15"/>
                <w:lang w:eastAsia="en-US"/>
              </w:rPr>
              <w:t>1500</w:t>
            </w:r>
          </w:p>
        </w:tc>
        <w:tc>
          <w:tcPr>
            <w:tcW w:w="2394" w:type="dxa"/>
            <w:tcBorders>
              <w:top w:val="single" w:color="000000" w:sz="4" w:space="0"/>
              <w:left w:val="single" w:color="000000" w:sz="4" w:space="0"/>
              <w:bottom w:val="single" w:color="000000" w:sz="4" w:space="0"/>
              <w:right w:val="single" w:color="000000" w:sz="4" w:space="0"/>
            </w:tcBorders>
            <w:vAlign w:val="center"/>
          </w:tcPr>
          <w:p w14:paraId="384CE892">
            <w:pPr>
              <w:pStyle w:val="13"/>
              <w:ind w:right="529" w:firstLine="300"/>
              <w:rPr>
                <w:sz w:val="15"/>
                <w:szCs w:val="15"/>
                <w:lang w:eastAsia="en-US"/>
              </w:rPr>
            </w:pPr>
            <w:r>
              <w:rPr>
                <w:sz w:val="15"/>
                <w:szCs w:val="15"/>
                <w:lang w:eastAsia="en-US"/>
              </w:rPr>
              <w:t>0.3</w:t>
            </w:r>
          </w:p>
        </w:tc>
        <w:tc>
          <w:tcPr>
            <w:tcW w:w="2394" w:type="dxa"/>
            <w:tcBorders>
              <w:top w:val="single" w:color="000000" w:sz="4" w:space="0"/>
              <w:left w:val="single" w:color="000000" w:sz="4" w:space="0"/>
              <w:bottom w:val="single" w:color="000000" w:sz="4" w:space="0"/>
              <w:right w:val="single" w:color="000000" w:sz="4" w:space="0"/>
            </w:tcBorders>
            <w:vAlign w:val="center"/>
          </w:tcPr>
          <w:p w14:paraId="05AE3FC8">
            <w:pPr>
              <w:pStyle w:val="13"/>
              <w:ind w:left="974" w:firstLine="300"/>
              <w:jc w:val="left"/>
              <w:rPr>
                <w:sz w:val="15"/>
                <w:szCs w:val="15"/>
                <w:lang w:eastAsia="en-US"/>
              </w:rPr>
            </w:pPr>
            <w:r>
              <w:rPr>
                <w:sz w:val="15"/>
                <w:szCs w:val="15"/>
                <w:lang w:eastAsia="en-US"/>
              </w:rPr>
              <w:t>HT200</w:t>
            </w:r>
          </w:p>
        </w:tc>
        <w:tc>
          <w:tcPr>
            <w:tcW w:w="2394" w:type="dxa"/>
            <w:tcBorders>
              <w:top w:val="single" w:color="000000" w:sz="4" w:space="0"/>
              <w:left w:val="single" w:color="000000" w:sz="4" w:space="0"/>
              <w:bottom w:val="single" w:color="000000" w:sz="4" w:space="0"/>
            </w:tcBorders>
            <w:vAlign w:val="center"/>
          </w:tcPr>
          <w:p w14:paraId="3FF889D8">
            <w:pPr>
              <w:pStyle w:val="13"/>
              <w:ind w:left="586" w:right="566" w:firstLine="300"/>
              <w:rPr>
                <w:sz w:val="15"/>
                <w:szCs w:val="15"/>
                <w:lang w:eastAsia="en-US"/>
              </w:rPr>
            </w:pPr>
            <w:r>
              <w:rPr>
                <w:sz w:val="15"/>
                <w:szCs w:val="15"/>
                <w:lang w:eastAsia="en-US"/>
              </w:rPr>
              <w:t>13.5</w:t>
            </w:r>
          </w:p>
        </w:tc>
      </w:tr>
      <w:tr w14:paraId="7ED300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jc w:val="center"/>
        </w:trPr>
        <w:tc>
          <w:tcPr>
            <w:tcW w:w="2393" w:type="dxa"/>
            <w:vMerge w:val="continue"/>
            <w:tcBorders>
              <w:top w:val="nil"/>
              <w:bottom w:val="single" w:color="000000" w:sz="4" w:space="0"/>
              <w:right w:val="single" w:color="000000" w:sz="4" w:space="0"/>
            </w:tcBorders>
            <w:vAlign w:val="center"/>
          </w:tcPr>
          <w:p w14:paraId="003A52EB">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37555A55">
            <w:pPr>
              <w:pStyle w:val="13"/>
              <w:spacing w:before="40"/>
              <w:ind w:right="529" w:firstLine="300"/>
              <w:rPr>
                <w:sz w:val="15"/>
                <w:szCs w:val="15"/>
                <w:lang w:eastAsia="en-US"/>
              </w:rPr>
            </w:pPr>
            <w:r>
              <w:rPr>
                <w:sz w:val="15"/>
                <w:szCs w:val="15"/>
                <w:lang w:eastAsia="en-US"/>
              </w:rPr>
              <w:t>0.5</w:t>
            </w:r>
          </w:p>
        </w:tc>
        <w:tc>
          <w:tcPr>
            <w:tcW w:w="2394" w:type="dxa"/>
            <w:tcBorders>
              <w:top w:val="single" w:color="000000" w:sz="4" w:space="0"/>
              <w:left w:val="single" w:color="000000" w:sz="4" w:space="0"/>
              <w:bottom w:val="single" w:color="000000" w:sz="4" w:space="0"/>
              <w:right w:val="single" w:color="000000" w:sz="4" w:space="0"/>
            </w:tcBorders>
            <w:vAlign w:val="center"/>
          </w:tcPr>
          <w:p w14:paraId="00831748">
            <w:pPr>
              <w:pStyle w:val="13"/>
              <w:spacing w:before="40"/>
              <w:ind w:left="974" w:firstLine="300"/>
              <w:jc w:val="left"/>
              <w:rPr>
                <w:sz w:val="15"/>
                <w:szCs w:val="15"/>
                <w:lang w:eastAsia="en-US"/>
              </w:rPr>
            </w:pPr>
            <w:r>
              <w:rPr>
                <w:sz w:val="15"/>
                <w:szCs w:val="15"/>
                <w:lang w:eastAsia="en-US"/>
              </w:rPr>
              <w:t>HT250</w:t>
            </w:r>
          </w:p>
        </w:tc>
        <w:tc>
          <w:tcPr>
            <w:tcW w:w="2394" w:type="dxa"/>
            <w:tcBorders>
              <w:top w:val="single" w:color="000000" w:sz="4" w:space="0"/>
              <w:left w:val="single" w:color="000000" w:sz="4" w:space="0"/>
              <w:bottom w:val="single" w:color="000000" w:sz="4" w:space="0"/>
            </w:tcBorders>
            <w:vAlign w:val="center"/>
          </w:tcPr>
          <w:p w14:paraId="368D75AF">
            <w:pPr>
              <w:pStyle w:val="13"/>
              <w:spacing w:before="40"/>
              <w:ind w:left="586" w:right="566" w:firstLine="300"/>
              <w:rPr>
                <w:sz w:val="15"/>
                <w:szCs w:val="15"/>
                <w:lang w:eastAsia="en-US"/>
              </w:rPr>
            </w:pPr>
            <w:r>
              <w:rPr>
                <w:sz w:val="15"/>
                <w:szCs w:val="15"/>
                <w:lang w:eastAsia="en-US"/>
              </w:rPr>
              <w:t>18.0</w:t>
            </w:r>
          </w:p>
        </w:tc>
      </w:tr>
      <w:tr w14:paraId="5510CE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continue"/>
            <w:tcBorders>
              <w:top w:val="nil"/>
              <w:bottom w:val="single" w:color="000000" w:sz="4" w:space="0"/>
              <w:right w:val="single" w:color="000000" w:sz="4" w:space="0"/>
            </w:tcBorders>
            <w:vAlign w:val="center"/>
          </w:tcPr>
          <w:p w14:paraId="5BF9BEDC">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305B769C">
            <w:pPr>
              <w:pStyle w:val="13"/>
              <w:ind w:right="529" w:firstLine="300"/>
              <w:rPr>
                <w:sz w:val="15"/>
                <w:szCs w:val="15"/>
                <w:lang w:eastAsia="en-US"/>
              </w:rPr>
            </w:pPr>
            <w:r>
              <w:rPr>
                <w:sz w:val="15"/>
                <w:szCs w:val="15"/>
                <w:lang w:eastAsia="en-US"/>
              </w:rPr>
              <w:t>0.8</w:t>
            </w:r>
          </w:p>
        </w:tc>
        <w:tc>
          <w:tcPr>
            <w:tcW w:w="2394" w:type="dxa"/>
            <w:tcBorders>
              <w:top w:val="single" w:color="000000" w:sz="4" w:space="0"/>
              <w:left w:val="single" w:color="000000" w:sz="4" w:space="0"/>
              <w:bottom w:val="single" w:color="000000" w:sz="4" w:space="0"/>
              <w:right w:val="single" w:color="000000" w:sz="4" w:space="0"/>
            </w:tcBorders>
            <w:vAlign w:val="center"/>
          </w:tcPr>
          <w:p w14:paraId="47155422">
            <w:pPr>
              <w:pStyle w:val="13"/>
              <w:ind w:left="974" w:firstLine="300"/>
              <w:jc w:val="left"/>
              <w:rPr>
                <w:sz w:val="15"/>
                <w:szCs w:val="15"/>
                <w:lang w:eastAsia="en-US"/>
              </w:rPr>
            </w:pPr>
            <w:r>
              <w:rPr>
                <w:sz w:val="15"/>
                <w:szCs w:val="15"/>
                <w:lang w:eastAsia="en-US"/>
              </w:rPr>
              <w:t>HT300</w:t>
            </w:r>
          </w:p>
        </w:tc>
        <w:tc>
          <w:tcPr>
            <w:tcW w:w="2394" w:type="dxa"/>
            <w:tcBorders>
              <w:top w:val="single" w:color="000000" w:sz="4" w:space="0"/>
              <w:left w:val="single" w:color="000000" w:sz="4" w:space="0"/>
              <w:bottom w:val="single" w:color="000000" w:sz="4" w:space="0"/>
            </w:tcBorders>
            <w:vAlign w:val="center"/>
          </w:tcPr>
          <w:p w14:paraId="47AF6A77">
            <w:pPr>
              <w:pStyle w:val="13"/>
              <w:ind w:left="586" w:right="566" w:firstLine="300"/>
              <w:rPr>
                <w:sz w:val="15"/>
                <w:szCs w:val="15"/>
                <w:lang w:eastAsia="en-US"/>
              </w:rPr>
            </w:pPr>
            <w:r>
              <w:rPr>
                <w:sz w:val="15"/>
                <w:szCs w:val="15"/>
                <w:lang w:eastAsia="en-US"/>
              </w:rPr>
              <w:t>24.0</w:t>
            </w:r>
          </w:p>
        </w:tc>
      </w:tr>
      <w:tr w14:paraId="45D1C0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restart"/>
            <w:tcBorders>
              <w:top w:val="single" w:color="000000" w:sz="4" w:space="0"/>
              <w:bottom w:val="single" w:color="000000" w:sz="4" w:space="0"/>
              <w:right w:val="single" w:color="000000" w:sz="4" w:space="0"/>
            </w:tcBorders>
            <w:vAlign w:val="center"/>
          </w:tcPr>
          <w:p w14:paraId="02CEE361">
            <w:pPr>
              <w:pStyle w:val="13"/>
              <w:spacing w:before="129"/>
              <w:ind w:left="995" w:right="982" w:firstLine="300"/>
              <w:rPr>
                <w:sz w:val="15"/>
                <w:szCs w:val="15"/>
                <w:lang w:eastAsia="en-US"/>
              </w:rPr>
            </w:pPr>
            <w:r>
              <w:rPr>
                <w:sz w:val="15"/>
                <w:szCs w:val="15"/>
                <w:lang w:eastAsia="en-US"/>
              </w:rPr>
              <w:t>1800</w:t>
            </w:r>
          </w:p>
        </w:tc>
        <w:tc>
          <w:tcPr>
            <w:tcW w:w="2394" w:type="dxa"/>
            <w:tcBorders>
              <w:top w:val="single" w:color="000000" w:sz="4" w:space="0"/>
              <w:left w:val="single" w:color="000000" w:sz="4" w:space="0"/>
              <w:bottom w:val="single" w:color="000000" w:sz="4" w:space="0"/>
              <w:right w:val="single" w:color="000000" w:sz="4" w:space="0"/>
            </w:tcBorders>
            <w:vAlign w:val="center"/>
          </w:tcPr>
          <w:p w14:paraId="3D952C00">
            <w:pPr>
              <w:pStyle w:val="13"/>
              <w:ind w:right="529" w:firstLine="300"/>
              <w:rPr>
                <w:sz w:val="15"/>
                <w:szCs w:val="15"/>
                <w:lang w:eastAsia="en-US"/>
              </w:rPr>
            </w:pPr>
            <w:r>
              <w:rPr>
                <w:sz w:val="15"/>
                <w:szCs w:val="15"/>
                <w:lang w:eastAsia="en-US"/>
              </w:rPr>
              <w:t>0.3</w:t>
            </w:r>
          </w:p>
        </w:tc>
        <w:tc>
          <w:tcPr>
            <w:tcW w:w="2394" w:type="dxa"/>
            <w:tcBorders>
              <w:top w:val="single" w:color="000000" w:sz="4" w:space="0"/>
              <w:left w:val="single" w:color="000000" w:sz="4" w:space="0"/>
              <w:bottom w:val="single" w:color="000000" w:sz="4" w:space="0"/>
              <w:right w:val="single" w:color="000000" w:sz="4" w:space="0"/>
            </w:tcBorders>
            <w:vAlign w:val="center"/>
          </w:tcPr>
          <w:p w14:paraId="48F7C0C8">
            <w:pPr>
              <w:pStyle w:val="13"/>
              <w:ind w:left="974" w:firstLine="300"/>
              <w:jc w:val="left"/>
              <w:rPr>
                <w:sz w:val="15"/>
                <w:szCs w:val="15"/>
                <w:lang w:eastAsia="en-US"/>
              </w:rPr>
            </w:pPr>
            <w:r>
              <w:rPr>
                <w:sz w:val="15"/>
                <w:szCs w:val="15"/>
                <w:lang w:eastAsia="en-US"/>
              </w:rPr>
              <w:t>HT200</w:t>
            </w:r>
          </w:p>
        </w:tc>
        <w:tc>
          <w:tcPr>
            <w:tcW w:w="2394" w:type="dxa"/>
            <w:tcBorders>
              <w:top w:val="single" w:color="000000" w:sz="4" w:space="0"/>
              <w:left w:val="single" w:color="000000" w:sz="4" w:space="0"/>
              <w:bottom w:val="single" w:color="000000" w:sz="4" w:space="0"/>
            </w:tcBorders>
            <w:vAlign w:val="center"/>
          </w:tcPr>
          <w:p w14:paraId="4BAE7346">
            <w:pPr>
              <w:pStyle w:val="13"/>
              <w:ind w:left="586" w:right="566" w:firstLine="300"/>
              <w:rPr>
                <w:sz w:val="15"/>
                <w:szCs w:val="15"/>
                <w:lang w:eastAsia="en-US"/>
              </w:rPr>
            </w:pPr>
            <w:r>
              <w:rPr>
                <w:sz w:val="15"/>
                <w:szCs w:val="15"/>
                <w:lang w:eastAsia="en-US"/>
              </w:rPr>
              <w:t>16.2</w:t>
            </w:r>
          </w:p>
        </w:tc>
      </w:tr>
      <w:tr w14:paraId="120304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continue"/>
            <w:tcBorders>
              <w:top w:val="nil"/>
              <w:bottom w:val="single" w:color="000000" w:sz="4" w:space="0"/>
              <w:right w:val="single" w:color="000000" w:sz="4" w:space="0"/>
            </w:tcBorders>
            <w:vAlign w:val="center"/>
          </w:tcPr>
          <w:p w14:paraId="609B20C5">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509157E6">
            <w:pPr>
              <w:pStyle w:val="13"/>
              <w:ind w:right="529" w:firstLine="300"/>
              <w:rPr>
                <w:sz w:val="15"/>
                <w:szCs w:val="15"/>
                <w:lang w:eastAsia="en-US"/>
              </w:rPr>
            </w:pPr>
            <w:r>
              <w:rPr>
                <w:sz w:val="15"/>
                <w:szCs w:val="15"/>
                <w:lang w:eastAsia="en-US"/>
              </w:rPr>
              <w:t>0.5</w:t>
            </w:r>
          </w:p>
        </w:tc>
        <w:tc>
          <w:tcPr>
            <w:tcW w:w="2394" w:type="dxa"/>
            <w:tcBorders>
              <w:top w:val="single" w:color="000000" w:sz="4" w:space="0"/>
              <w:left w:val="single" w:color="000000" w:sz="4" w:space="0"/>
              <w:bottom w:val="single" w:color="000000" w:sz="4" w:space="0"/>
              <w:right w:val="single" w:color="000000" w:sz="4" w:space="0"/>
            </w:tcBorders>
            <w:vAlign w:val="center"/>
          </w:tcPr>
          <w:p w14:paraId="1CDC054C">
            <w:pPr>
              <w:pStyle w:val="13"/>
              <w:ind w:left="974" w:firstLine="300"/>
              <w:jc w:val="left"/>
              <w:rPr>
                <w:sz w:val="15"/>
                <w:szCs w:val="15"/>
                <w:lang w:eastAsia="en-US"/>
              </w:rPr>
            </w:pPr>
            <w:r>
              <w:rPr>
                <w:sz w:val="15"/>
                <w:szCs w:val="15"/>
                <w:lang w:eastAsia="en-US"/>
              </w:rPr>
              <w:t>HT250</w:t>
            </w:r>
          </w:p>
        </w:tc>
        <w:tc>
          <w:tcPr>
            <w:tcW w:w="2394" w:type="dxa"/>
            <w:tcBorders>
              <w:top w:val="single" w:color="000000" w:sz="4" w:space="0"/>
              <w:left w:val="single" w:color="000000" w:sz="4" w:space="0"/>
              <w:bottom w:val="single" w:color="000000" w:sz="4" w:space="0"/>
            </w:tcBorders>
            <w:vAlign w:val="center"/>
          </w:tcPr>
          <w:p w14:paraId="019C5B51">
            <w:pPr>
              <w:pStyle w:val="13"/>
              <w:ind w:left="586" w:right="566" w:firstLine="300"/>
              <w:rPr>
                <w:sz w:val="15"/>
                <w:szCs w:val="15"/>
                <w:lang w:eastAsia="en-US"/>
              </w:rPr>
            </w:pPr>
            <w:r>
              <w:rPr>
                <w:sz w:val="15"/>
                <w:szCs w:val="15"/>
                <w:lang w:eastAsia="en-US"/>
              </w:rPr>
              <w:t>21.6</w:t>
            </w:r>
          </w:p>
        </w:tc>
      </w:tr>
      <w:tr w14:paraId="68B3E4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continue"/>
            <w:tcBorders>
              <w:top w:val="nil"/>
              <w:bottom w:val="single" w:color="000000" w:sz="4" w:space="0"/>
              <w:right w:val="single" w:color="000000" w:sz="4" w:space="0"/>
            </w:tcBorders>
            <w:vAlign w:val="center"/>
          </w:tcPr>
          <w:p w14:paraId="5767D8A6">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550DD075">
            <w:pPr>
              <w:pStyle w:val="13"/>
              <w:ind w:right="529" w:firstLine="300"/>
              <w:rPr>
                <w:sz w:val="15"/>
                <w:szCs w:val="15"/>
                <w:lang w:eastAsia="en-US"/>
              </w:rPr>
            </w:pPr>
            <w:r>
              <w:rPr>
                <w:sz w:val="15"/>
                <w:szCs w:val="15"/>
                <w:lang w:eastAsia="en-US"/>
              </w:rPr>
              <w:t>0.8</w:t>
            </w:r>
          </w:p>
        </w:tc>
        <w:tc>
          <w:tcPr>
            <w:tcW w:w="2394" w:type="dxa"/>
            <w:tcBorders>
              <w:top w:val="single" w:color="000000" w:sz="4" w:space="0"/>
              <w:left w:val="single" w:color="000000" w:sz="4" w:space="0"/>
              <w:bottom w:val="single" w:color="000000" w:sz="4" w:space="0"/>
              <w:right w:val="single" w:color="000000" w:sz="4" w:space="0"/>
            </w:tcBorders>
            <w:vAlign w:val="center"/>
          </w:tcPr>
          <w:p w14:paraId="732FEC4E">
            <w:pPr>
              <w:pStyle w:val="13"/>
              <w:ind w:left="974" w:firstLine="300"/>
              <w:jc w:val="left"/>
              <w:rPr>
                <w:sz w:val="15"/>
                <w:szCs w:val="15"/>
                <w:lang w:eastAsia="en-US"/>
              </w:rPr>
            </w:pPr>
            <w:r>
              <w:rPr>
                <w:sz w:val="15"/>
                <w:szCs w:val="15"/>
                <w:lang w:eastAsia="en-US"/>
              </w:rPr>
              <w:t>HT300</w:t>
            </w:r>
          </w:p>
        </w:tc>
        <w:tc>
          <w:tcPr>
            <w:tcW w:w="2394" w:type="dxa"/>
            <w:tcBorders>
              <w:top w:val="single" w:color="000000" w:sz="4" w:space="0"/>
              <w:left w:val="single" w:color="000000" w:sz="4" w:space="0"/>
              <w:bottom w:val="single" w:color="000000" w:sz="4" w:space="0"/>
            </w:tcBorders>
            <w:vAlign w:val="center"/>
          </w:tcPr>
          <w:p w14:paraId="2E7510DA">
            <w:pPr>
              <w:pStyle w:val="13"/>
              <w:ind w:left="586" w:right="566" w:firstLine="300"/>
              <w:rPr>
                <w:sz w:val="15"/>
                <w:szCs w:val="15"/>
                <w:lang w:eastAsia="en-US"/>
              </w:rPr>
            </w:pPr>
            <w:r>
              <w:rPr>
                <w:sz w:val="15"/>
                <w:szCs w:val="15"/>
                <w:lang w:eastAsia="en-US"/>
              </w:rPr>
              <w:t>28.8</w:t>
            </w:r>
          </w:p>
        </w:tc>
      </w:tr>
      <w:tr w14:paraId="57D04B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restart"/>
            <w:tcBorders>
              <w:top w:val="single" w:color="000000" w:sz="4" w:space="0"/>
              <w:bottom w:val="single" w:color="000000" w:sz="4" w:space="0"/>
              <w:right w:val="single" w:color="000000" w:sz="4" w:space="0"/>
            </w:tcBorders>
            <w:vAlign w:val="center"/>
          </w:tcPr>
          <w:p w14:paraId="77413FF2">
            <w:pPr>
              <w:pStyle w:val="13"/>
              <w:spacing w:before="131"/>
              <w:ind w:left="995" w:right="982" w:firstLine="300"/>
              <w:rPr>
                <w:sz w:val="15"/>
                <w:szCs w:val="15"/>
                <w:lang w:eastAsia="en-US"/>
              </w:rPr>
            </w:pPr>
            <w:r>
              <w:rPr>
                <w:sz w:val="15"/>
                <w:szCs w:val="15"/>
                <w:lang w:eastAsia="en-US"/>
              </w:rPr>
              <w:t>2000</w:t>
            </w:r>
          </w:p>
        </w:tc>
        <w:tc>
          <w:tcPr>
            <w:tcW w:w="2394" w:type="dxa"/>
            <w:tcBorders>
              <w:top w:val="single" w:color="000000" w:sz="4" w:space="0"/>
              <w:left w:val="single" w:color="000000" w:sz="4" w:space="0"/>
              <w:bottom w:val="single" w:color="000000" w:sz="4" w:space="0"/>
              <w:right w:val="single" w:color="000000" w:sz="4" w:space="0"/>
            </w:tcBorders>
            <w:vAlign w:val="center"/>
          </w:tcPr>
          <w:p w14:paraId="7B80185F">
            <w:pPr>
              <w:pStyle w:val="13"/>
              <w:ind w:right="529" w:firstLine="300"/>
              <w:rPr>
                <w:sz w:val="15"/>
                <w:szCs w:val="15"/>
                <w:lang w:eastAsia="en-US"/>
              </w:rPr>
            </w:pPr>
            <w:r>
              <w:rPr>
                <w:sz w:val="15"/>
                <w:szCs w:val="15"/>
                <w:lang w:eastAsia="en-US"/>
              </w:rPr>
              <w:t>0.3</w:t>
            </w:r>
          </w:p>
        </w:tc>
        <w:tc>
          <w:tcPr>
            <w:tcW w:w="2394" w:type="dxa"/>
            <w:tcBorders>
              <w:top w:val="single" w:color="000000" w:sz="4" w:space="0"/>
              <w:left w:val="single" w:color="000000" w:sz="4" w:space="0"/>
              <w:bottom w:val="single" w:color="000000" w:sz="4" w:space="0"/>
              <w:right w:val="single" w:color="000000" w:sz="4" w:space="0"/>
            </w:tcBorders>
            <w:vAlign w:val="center"/>
          </w:tcPr>
          <w:p w14:paraId="6A8D191A">
            <w:pPr>
              <w:pStyle w:val="13"/>
              <w:ind w:left="974" w:firstLine="300"/>
              <w:jc w:val="left"/>
              <w:rPr>
                <w:sz w:val="15"/>
                <w:szCs w:val="15"/>
                <w:lang w:eastAsia="en-US"/>
              </w:rPr>
            </w:pPr>
            <w:r>
              <w:rPr>
                <w:sz w:val="15"/>
                <w:szCs w:val="15"/>
                <w:lang w:eastAsia="en-US"/>
              </w:rPr>
              <w:t>HT200</w:t>
            </w:r>
          </w:p>
        </w:tc>
        <w:tc>
          <w:tcPr>
            <w:tcW w:w="2394" w:type="dxa"/>
            <w:tcBorders>
              <w:top w:val="single" w:color="000000" w:sz="4" w:space="0"/>
              <w:left w:val="single" w:color="000000" w:sz="4" w:space="0"/>
              <w:bottom w:val="single" w:color="000000" w:sz="4" w:space="0"/>
            </w:tcBorders>
            <w:vAlign w:val="center"/>
          </w:tcPr>
          <w:p w14:paraId="05655F56">
            <w:pPr>
              <w:pStyle w:val="13"/>
              <w:ind w:left="586" w:right="566" w:firstLine="300"/>
              <w:rPr>
                <w:sz w:val="15"/>
                <w:szCs w:val="15"/>
                <w:lang w:eastAsia="en-US"/>
              </w:rPr>
            </w:pPr>
            <w:r>
              <w:rPr>
                <w:sz w:val="15"/>
                <w:szCs w:val="15"/>
                <w:lang w:eastAsia="en-US"/>
              </w:rPr>
              <w:t>18.0</w:t>
            </w:r>
          </w:p>
        </w:tc>
      </w:tr>
      <w:tr w14:paraId="7CA0FC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jc w:val="center"/>
        </w:trPr>
        <w:tc>
          <w:tcPr>
            <w:tcW w:w="2393" w:type="dxa"/>
            <w:vMerge w:val="continue"/>
            <w:tcBorders>
              <w:top w:val="nil"/>
              <w:bottom w:val="single" w:color="000000" w:sz="4" w:space="0"/>
              <w:right w:val="single" w:color="000000" w:sz="4" w:space="0"/>
            </w:tcBorders>
            <w:vAlign w:val="center"/>
          </w:tcPr>
          <w:p w14:paraId="7B15B797">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5E639CB3">
            <w:pPr>
              <w:pStyle w:val="13"/>
              <w:spacing w:before="40"/>
              <w:ind w:right="529" w:firstLine="300"/>
              <w:rPr>
                <w:sz w:val="15"/>
                <w:szCs w:val="15"/>
                <w:lang w:eastAsia="en-US"/>
              </w:rPr>
            </w:pPr>
            <w:r>
              <w:rPr>
                <w:sz w:val="15"/>
                <w:szCs w:val="15"/>
                <w:lang w:eastAsia="en-US"/>
              </w:rPr>
              <w:t>0.5</w:t>
            </w:r>
          </w:p>
        </w:tc>
        <w:tc>
          <w:tcPr>
            <w:tcW w:w="2394" w:type="dxa"/>
            <w:tcBorders>
              <w:top w:val="single" w:color="000000" w:sz="4" w:space="0"/>
              <w:left w:val="single" w:color="000000" w:sz="4" w:space="0"/>
              <w:bottom w:val="single" w:color="000000" w:sz="4" w:space="0"/>
              <w:right w:val="single" w:color="000000" w:sz="4" w:space="0"/>
            </w:tcBorders>
            <w:vAlign w:val="center"/>
          </w:tcPr>
          <w:p w14:paraId="40849BF2">
            <w:pPr>
              <w:pStyle w:val="13"/>
              <w:spacing w:before="40"/>
              <w:ind w:left="974" w:firstLine="300"/>
              <w:jc w:val="left"/>
              <w:rPr>
                <w:sz w:val="15"/>
                <w:szCs w:val="15"/>
                <w:lang w:eastAsia="en-US"/>
              </w:rPr>
            </w:pPr>
            <w:r>
              <w:rPr>
                <w:sz w:val="15"/>
                <w:szCs w:val="15"/>
                <w:lang w:eastAsia="en-US"/>
              </w:rPr>
              <w:t>HT250</w:t>
            </w:r>
          </w:p>
        </w:tc>
        <w:tc>
          <w:tcPr>
            <w:tcW w:w="2394" w:type="dxa"/>
            <w:tcBorders>
              <w:top w:val="single" w:color="000000" w:sz="4" w:space="0"/>
              <w:left w:val="single" w:color="000000" w:sz="4" w:space="0"/>
              <w:bottom w:val="single" w:color="000000" w:sz="4" w:space="0"/>
            </w:tcBorders>
            <w:vAlign w:val="center"/>
          </w:tcPr>
          <w:p w14:paraId="39E39AEE">
            <w:pPr>
              <w:pStyle w:val="13"/>
              <w:spacing w:before="40"/>
              <w:ind w:left="586" w:right="566" w:firstLine="300"/>
              <w:rPr>
                <w:sz w:val="15"/>
                <w:szCs w:val="15"/>
                <w:lang w:eastAsia="en-US"/>
              </w:rPr>
            </w:pPr>
            <w:r>
              <w:rPr>
                <w:sz w:val="15"/>
                <w:szCs w:val="15"/>
                <w:lang w:eastAsia="en-US"/>
              </w:rPr>
              <w:t>24.0</w:t>
            </w:r>
          </w:p>
        </w:tc>
      </w:tr>
      <w:tr w14:paraId="15D5F0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continue"/>
            <w:tcBorders>
              <w:top w:val="nil"/>
              <w:bottom w:val="single" w:color="000000" w:sz="4" w:space="0"/>
              <w:right w:val="single" w:color="000000" w:sz="4" w:space="0"/>
            </w:tcBorders>
            <w:vAlign w:val="center"/>
          </w:tcPr>
          <w:p w14:paraId="3ADBADAE">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73520D8B">
            <w:pPr>
              <w:pStyle w:val="13"/>
              <w:ind w:right="529" w:firstLine="300"/>
              <w:rPr>
                <w:sz w:val="15"/>
                <w:szCs w:val="15"/>
                <w:lang w:eastAsia="en-US"/>
              </w:rPr>
            </w:pPr>
            <w:r>
              <w:rPr>
                <w:sz w:val="15"/>
                <w:szCs w:val="15"/>
                <w:lang w:eastAsia="en-US"/>
              </w:rPr>
              <w:t>0.8</w:t>
            </w:r>
          </w:p>
        </w:tc>
        <w:tc>
          <w:tcPr>
            <w:tcW w:w="2394" w:type="dxa"/>
            <w:tcBorders>
              <w:top w:val="single" w:color="000000" w:sz="4" w:space="0"/>
              <w:left w:val="single" w:color="000000" w:sz="4" w:space="0"/>
              <w:bottom w:val="single" w:color="000000" w:sz="4" w:space="0"/>
              <w:right w:val="single" w:color="000000" w:sz="4" w:space="0"/>
            </w:tcBorders>
            <w:vAlign w:val="center"/>
          </w:tcPr>
          <w:p w14:paraId="61490E90">
            <w:pPr>
              <w:pStyle w:val="13"/>
              <w:ind w:left="974" w:firstLine="300"/>
              <w:jc w:val="left"/>
              <w:rPr>
                <w:sz w:val="15"/>
                <w:szCs w:val="15"/>
                <w:lang w:eastAsia="en-US"/>
              </w:rPr>
            </w:pPr>
            <w:r>
              <w:rPr>
                <w:sz w:val="15"/>
                <w:szCs w:val="15"/>
                <w:lang w:eastAsia="en-US"/>
              </w:rPr>
              <w:t>HT300</w:t>
            </w:r>
          </w:p>
        </w:tc>
        <w:tc>
          <w:tcPr>
            <w:tcW w:w="2394" w:type="dxa"/>
            <w:tcBorders>
              <w:top w:val="single" w:color="000000" w:sz="4" w:space="0"/>
              <w:left w:val="single" w:color="000000" w:sz="4" w:space="0"/>
              <w:bottom w:val="single" w:color="000000" w:sz="4" w:space="0"/>
            </w:tcBorders>
            <w:vAlign w:val="center"/>
          </w:tcPr>
          <w:p w14:paraId="4D765EF7">
            <w:pPr>
              <w:pStyle w:val="13"/>
              <w:ind w:left="586" w:right="566" w:firstLine="300"/>
              <w:rPr>
                <w:sz w:val="15"/>
                <w:szCs w:val="15"/>
                <w:lang w:eastAsia="en-US"/>
              </w:rPr>
            </w:pPr>
            <w:r>
              <w:rPr>
                <w:sz w:val="15"/>
                <w:szCs w:val="15"/>
                <w:lang w:eastAsia="en-US"/>
              </w:rPr>
              <w:t>32.0</w:t>
            </w:r>
          </w:p>
        </w:tc>
      </w:tr>
      <w:tr w14:paraId="033081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restart"/>
            <w:tcBorders>
              <w:top w:val="single" w:color="000000" w:sz="4" w:space="0"/>
              <w:bottom w:val="single" w:color="000000" w:sz="4" w:space="0"/>
              <w:right w:val="single" w:color="000000" w:sz="4" w:space="0"/>
            </w:tcBorders>
            <w:vAlign w:val="center"/>
          </w:tcPr>
          <w:p w14:paraId="627F9C72">
            <w:pPr>
              <w:pStyle w:val="13"/>
              <w:spacing w:before="129"/>
              <w:ind w:left="995" w:right="982" w:firstLine="300"/>
              <w:rPr>
                <w:sz w:val="15"/>
                <w:szCs w:val="15"/>
                <w:lang w:eastAsia="en-US"/>
              </w:rPr>
            </w:pPr>
            <w:r>
              <w:rPr>
                <w:sz w:val="15"/>
                <w:szCs w:val="15"/>
                <w:lang w:eastAsia="en-US"/>
              </w:rPr>
              <w:t>2500</w:t>
            </w:r>
          </w:p>
        </w:tc>
        <w:tc>
          <w:tcPr>
            <w:tcW w:w="2394" w:type="dxa"/>
            <w:tcBorders>
              <w:top w:val="single" w:color="000000" w:sz="4" w:space="0"/>
              <w:left w:val="single" w:color="000000" w:sz="4" w:space="0"/>
              <w:bottom w:val="single" w:color="000000" w:sz="4" w:space="0"/>
              <w:right w:val="single" w:color="000000" w:sz="4" w:space="0"/>
            </w:tcBorders>
            <w:vAlign w:val="center"/>
          </w:tcPr>
          <w:p w14:paraId="3A1551CA">
            <w:pPr>
              <w:pStyle w:val="13"/>
              <w:ind w:right="529" w:firstLine="300"/>
              <w:rPr>
                <w:sz w:val="15"/>
                <w:szCs w:val="15"/>
                <w:lang w:eastAsia="en-US"/>
              </w:rPr>
            </w:pPr>
            <w:r>
              <w:rPr>
                <w:sz w:val="15"/>
                <w:szCs w:val="15"/>
                <w:lang w:eastAsia="en-US"/>
              </w:rPr>
              <w:t>0.3</w:t>
            </w:r>
          </w:p>
        </w:tc>
        <w:tc>
          <w:tcPr>
            <w:tcW w:w="2394" w:type="dxa"/>
            <w:tcBorders>
              <w:top w:val="single" w:color="000000" w:sz="4" w:space="0"/>
              <w:left w:val="single" w:color="000000" w:sz="4" w:space="0"/>
              <w:bottom w:val="single" w:color="000000" w:sz="4" w:space="0"/>
              <w:right w:val="single" w:color="000000" w:sz="4" w:space="0"/>
            </w:tcBorders>
            <w:vAlign w:val="center"/>
          </w:tcPr>
          <w:p w14:paraId="6D9E076B">
            <w:pPr>
              <w:pStyle w:val="13"/>
              <w:ind w:left="974" w:firstLine="300"/>
              <w:jc w:val="left"/>
              <w:rPr>
                <w:sz w:val="15"/>
                <w:szCs w:val="15"/>
                <w:lang w:eastAsia="en-US"/>
              </w:rPr>
            </w:pPr>
            <w:r>
              <w:rPr>
                <w:sz w:val="15"/>
                <w:szCs w:val="15"/>
                <w:lang w:eastAsia="en-US"/>
              </w:rPr>
              <w:t>HT250</w:t>
            </w:r>
          </w:p>
        </w:tc>
        <w:tc>
          <w:tcPr>
            <w:tcW w:w="2394" w:type="dxa"/>
            <w:tcBorders>
              <w:top w:val="single" w:color="000000" w:sz="4" w:space="0"/>
              <w:left w:val="single" w:color="000000" w:sz="4" w:space="0"/>
              <w:bottom w:val="single" w:color="000000" w:sz="4" w:space="0"/>
            </w:tcBorders>
            <w:vAlign w:val="center"/>
          </w:tcPr>
          <w:p w14:paraId="028EBD67">
            <w:pPr>
              <w:pStyle w:val="13"/>
              <w:ind w:left="586" w:right="566" w:firstLine="300"/>
              <w:rPr>
                <w:sz w:val="15"/>
                <w:szCs w:val="15"/>
                <w:lang w:eastAsia="en-US"/>
              </w:rPr>
            </w:pPr>
            <w:r>
              <w:rPr>
                <w:sz w:val="15"/>
                <w:szCs w:val="15"/>
                <w:lang w:eastAsia="en-US"/>
              </w:rPr>
              <w:t>18.0</w:t>
            </w:r>
          </w:p>
        </w:tc>
      </w:tr>
      <w:tr w14:paraId="150C2B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continue"/>
            <w:tcBorders>
              <w:top w:val="nil"/>
              <w:bottom w:val="single" w:color="000000" w:sz="4" w:space="0"/>
              <w:right w:val="single" w:color="000000" w:sz="4" w:space="0"/>
            </w:tcBorders>
            <w:vAlign w:val="center"/>
          </w:tcPr>
          <w:p w14:paraId="6C65F16E">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3AE1F0D8">
            <w:pPr>
              <w:pStyle w:val="13"/>
              <w:ind w:right="529" w:firstLine="300"/>
              <w:rPr>
                <w:sz w:val="15"/>
                <w:szCs w:val="15"/>
                <w:lang w:eastAsia="en-US"/>
              </w:rPr>
            </w:pPr>
            <w:r>
              <w:rPr>
                <w:sz w:val="15"/>
                <w:szCs w:val="15"/>
                <w:lang w:eastAsia="en-US"/>
              </w:rPr>
              <w:t>0.5</w:t>
            </w:r>
          </w:p>
        </w:tc>
        <w:tc>
          <w:tcPr>
            <w:tcW w:w="2394" w:type="dxa"/>
            <w:tcBorders>
              <w:top w:val="single" w:color="000000" w:sz="4" w:space="0"/>
              <w:left w:val="single" w:color="000000" w:sz="4" w:space="0"/>
              <w:bottom w:val="single" w:color="000000" w:sz="4" w:space="0"/>
              <w:right w:val="single" w:color="000000" w:sz="4" w:space="0"/>
            </w:tcBorders>
            <w:vAlign w:val="center"/>
          </w:tcPr>
          <w:p w14:paraId="2DDB78DC">
            <w:pPr>
              <w:pStyle w:val="13"/>
              <w:ind w:left="974" w:firstLine="300"/>
              <w:jc w:val="left"/>
              <w:rPr>
                <w:sz w:val="15"/>
                <w:szCs w:val="15"/>
                <w:lang w:eastAsia="en-US"/>
              </w:rPr>
            </w:pPr>
            <w:r>
              <w:rPr>
                <w:sz w:val="15"/>
                <w:szCs w:val="15"/>
                <w:lang w:eastAsia="en-US"/>
              </w:rPr>
              <w:t>HT250</w:t>
            </w:r>
          </w:p>
        </w:tc>
        <w:tc>
          <w:tcPr>
            <w:tcW w:w="2394" w:type="dxa"/>
            <w:tcBorders>
              <w:top w:val="single" w:color="000000" w:sz="4" w:space="0"/>
              <w:left w:val="single" w:color="000000" w:sz="4" w:space="0"/>
              <w:bottom w:val="single" w:color="000000" w:sz="4" w:space="0"/>
            </w:tcBorders>
            <w:vAlign w:val="center"/>
          </w:tcPr>
          <w:p w14:paraId="1A6AD0C2">
            <w:pPr>
              <w:pStyle w:val="13"/>
              <w:ind w:left="586" w:right="566" w:firstLine="300"/>
              <w:rPr>
                <w:sz w:val="15"/>
                <w:szCs w:val="15"/>
                <w:lang w:eastAsia="en-US"/>
              </w:rPr>
            </w:pPr>
            <w:r>
              <w:rPr>
                <w:sz w:val="15"/>
                <w:szCs w:val="15"/>
                <w:lang w:eastAsia="en-US"/>
              </w:rPr>
              <w:t>30.0</w:t>
            </w:r>
          </w:p>
        </w:tc>
      </w:tr>
      <w:tr w14:paraId="0AC91F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continue"/>
            <w:tcBorders>
              <w:top w:val="nil"/>
              <w:bottom w:val="single" w:color="000000" w:sz="4" w:space="0"/>
              <w:right w:val="single" w:color="000000" w:sz="4" w:space="0"/>
            </w:tcBorders>
            <w:vAlign w:val="center"/>
          </w:tcPr>
          <w:p w14:paraId="2C2173FC">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0EC0FC51">
            <w:pPr>
              <w:pStyle w:val="13"/>
              <w:ind w:right="529" w:firstLine="300"/>
              <w:rPr>
                <w:sz w:val="15"/>
                <w:szCs w:val="15"/>
                <w:lang w:eastAsia="en-US"/>
              </w:rPr>
            </w:pPr>
            <w:r>
              <w:rPr>
                <w:sz w:val="15"/>
                <w:szCs w:val="15"/>
                <w:lang w:eastAsia="en-US"/>
              </w:rPr>
              <w:t>0.8</w:t>
            </w:r>
          </w:p>
        </w:tc>
        <w:tc>
          <w:tcPr>
            <w:tcW w:w="2394" w:type="dxa"/>
            <w:tcBorders>
              <w:top w:val="single" w:color="000000" w:sz="4" w:space="0"/>
              <w:left w:val="single" w:color="000000" w:sz="4" w:space="0"/>
              <w:bottom w:val="single" w:color="000000" w:sz="4" w:space="0"/>
              <w:right w:val="single" w:color="000000" w:sz="4" w:space="0"/>
            </w:tcBorders>
            <w:vAlign w:val="center"/>
          </w:tcPr>
          <w:p w14:paraId="5169AF18">
            <w:pPr>
              <w:pStyle w:val="13"/>
              <w:ind w:left="974" w:firstLine="300"/>
              <w:jc w:val="left"/>
              <w:rPr>
                <w:sz w:val="15"/>
                <w:szCs w:val="15"/>
                <w:lang w:eastAsia="en-US"/>
              </w:rPr>
            </w:pPr>
            <w:r>
              <w:rPr>
                <w:sz w:val="15"/>
                <w:szCs w:val="15"/>
                <w:lang w:eastAsia="en-US"/>
              </w:rPr>
              <w:t>HT300</w:t>
            </w:r>
          </w:p>
        </w:tc>
        <w:tc>
          <w:tcPr>
            <w:tcW w:w="2394" w:type="dxa"/>
            <w:tcBorders>
              <w:top w:val="single" w:color="000000" w:sz="4" w:space="0"/>
              <w:left w:val="single" w:color="000000" w:sz="4" w:space="0"/>
              <w:bottom w:val="single" w:color="000000" w:sz="4" w:space="0"/>
            </w:tcBorders>
            <w:vAlign w:val="center"/>
          </w:tcPr>
          <w:p w14:paraId="30521326">
            <w:pPr>
              <w:pStyle w:val="13"/>
              <w:ind w:left="586" w:right="566" w:firstLine="300"/>
              <w:rPr>
                <w:sz w:val="15"/>
                <w:szCs w:val="15"/>
                <w:lang w:eastAsia="en-US"/>
              </w:rPr>
            </w:pPr>
            <w:r>
              <w:rPr>
                <w:sz w:val="15"/>
                <w:szCs w:val="15"/>
                <w:lang w:eastAsia="en-US"/>
              </w:rPr>
              <w:t>40.0</w:t>
            </w:r>
          </w:p>
        </w:tc>
      </w:tr>
      <w:tr w14:paraId="2EA294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restart"/>
            <w:tcBorders>
              <w:top w:val="single" w:color="000000" w:sz="4" w:space="0"/>
              <w:bottom w:val="single" w:color="000000" w:sz="4" w:space="0"/>
              <w:right w:val="single" w:color="000000" w:sz="4" w:space="0"/>
            </w:tcBorders>
            <w:vAlign w:val="center"/>
          </w:tcPr>
          <w:p w14:paraId="47D9A1CB">
            <w:pPr>
              <w:pStyle w:val="13"/>
              <w:spacing w:before="131"/>
              <w:ind w:left="995" w:right="982" w:firstLine="300"/>
              <w:rPr>
                <w:sz w:val="15"/>
                <w:szCs w:val="15"/>
                <w:lang w:eastAsia="en-US"/>
              </w:rPr>
            </w:pPr>
            <w:r>
              <w:rPr>
                <w:sz w:val="15"/>
                <w:szCs w:val="15"/>
                <w:lang w:eastAsia="en-US"/>
              </w:rPr>
              <w:t>3000</w:t>
            </w:r>
          </w:p>
        </w:tc>
        <w:tc>
          <w:tcPr>
            <w:tcW w:w="2394" w:type="dxa"/>
            <w:tcBorders>
              <w:top w:val="single" w:color="000000" w:sz="4" w:space="0"/>
              <w:left w:val="single" w:color="000000" w:sz="4" w:space="0"/>
              <w:bottom w:val="single" w:color="000000" w:sz="4" w:space="0"/>
              <w:right w:val="single" w:color="000000" w:sz="4" w:space="0"/>
            </w:tcBorders>
            <w:vAlign w:val="center"/>
          </w:tcPr>
          <w:p w14:paraId="43CE3434">
            <w:pPr>
              <w:pStyle w:val="13"/>
              <w:ind w:right="529" w:firstLine="300"/>
              <w:rPr>
                <w:sz w:val="15"/>
                <w:szCs w:val="15"/>
                <w:lang w:eastAsia="en-US"/>
              </w:rPr>
            </w:pPr>
            <w:r>
              <w:rPr>
                <w:sz w:val="15"/>
                <w:szCs w:val="15"/>
                <w:lang w:eastAsia="en-US"/>
              </w:rPr>
              <w:t>0.3</w:t>
            </w:r>
          </w:p>
        </w:tc>
        <w:tc>
          <w:tcPr>
            <w:tcW w:w="2394" w:type="dxa"/>
            <w:tcBorders>
              <w:top w:val="single" w:color="000000" w:sz="4" w:space="0"/>
              <w:left w:val="single" w:color="000000" w:sz="4" w:space="0"/>
              <w:bottom w:val="single" w:color="000000" w:sz="4" w:space="0"/>
              <w:right w:val="single" w:color="000000" w:sz="4" w:space="0"/>
            </w:tcBorders>
            <w:vAlign w:val="center"/>
          </w:tcPr>
          <w:p w14:paraId="49E4816E">
            <w:pPr>
              <w:pStyle w:val="13"/>
              <w:ind w:left="974" w:firstLine="300"/>
              <w:jc w:val="left"/>
              <w:rPr>
                <w:sz w:val="15"/>
                <w:szCs w:val="15"/>
                <w:lang w:eastAsia="en-US"/>
              </w:rPr>
            </w:pPr>
            <w:r>
              <w:rPr>
                <w:sz w:val="15"/>
                <w:szCs w:val="15"/>
                <w:lang w:eastAsia="en-US"/>
              </w:rPr>
              <w:t>HT250</w:t>
            </w:r>
          </w:p>
        </w:tc>
        <w:tc>
          <w:tcPr>
            <w:tcW w:w="2394" w:type="dxa"/>
            <w:tcBorders>
              <w:top w:val="single" w:color="000000" w:sz="4" w:space="0"/>
              <w:left w:val="single" w:color="000000" w:sz="4" w:space="0"/>
              <w:bottom w:val="single" w:color="000000" w:sz="4" w:space="0"/>
            </w:tcBorders>
            <w:vAlign w:val="center"/>
          </w:tcPr>
          <w:p w14:paraId="56E99F41">
            <w:pPr>
              <w:pStyle w:val="13"/>
              <w:ind w:left="586" w:right="566" w:firstLine="300"/>
              <w:rPr>
                <w:sz w:val="15"/>
                <w:szCs w:val="15"/>
                <w:lang w:eastAsia="en-US"/>
              </w:rPr>
            </w:pPr>
            <w:r>
              <w:rPr>
                <w:sz w:val="15"/>
                <w:szCs w:val="15"/>
                <w:lang w:eastAsia="en-US"/>
              </w:rPr>
              <w:t>21.6</w:t>
            </w:r>
          </w:p>
        </w:tc>
      </w:tr>
      <w:tr w14:paraId="760FD9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jc w:val="center"/>
        </w:trPr>
        <w:tc>
          <w:tcPr>
            <w:tcW w:w="2393" w:type="dxa"/>
            <w:vMerge w:val="continue"/>
            <w:tcBorders>
              <w:top w:val="nil"/>
              <w:bottom w:val="single" w:color="000000" w:sz="4" w:space="0"/>
              <w:right w:val="single" w:color="000000" w:sz="4" w:space="0"/>
            </w:tcBorders>
            <w:vAlign w:val="center"/>
          </w:tcPr>
          <w:p w14:paraId="0684836C">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33C8A4DB">
            <w:pPr>
              <w:pStyle w:val="13"/>
              <w:spacing w:before="40"/>
              <w:ind w:right="529" w:firstLine="300"/>
              <w:rPr>
                <w:sz w:val="15"/>
                <w:szCs w:val="15"/>
                <w:lang w:eastAsia="en-US"/>
              </w:rPr>
            </w:pPr>
            <w:r>
              <w:rPr>
                <w:sz w:val="15"/>
                <w:szCs w:val="15"/>
                <w:lang w:eastAsia="en-US"/>
              </w:rPr>
              <w:t>0.5</w:t>
            </w:r>
          </w:p>
        </w:tc>
        <w:tc>
          <w:tcPr>
            <w:tcW w:w="2394" w:type="dxa"/>
            <w:tcBorders>
              <w:top w:val="single" w:color="000000" w:sz="4" w:space="0"/>
              <w:left w:val="single" w:color="000000" w:sz="4" w:space="0"/>
              <w:bottom w:val="single" w:color="000000" w:sz="4" w:space="0"/>
              <w:right w:val="single" w:color="000000" w:sz="4" w:space="0"/>
            </w:tcBorders>
            <w:vAlign w:val="center"/>
          </w:tcPr>
          <w:p w14:paraId="0AFF8A25">
            <w:pPr>
              <w:pStyle w:val="13"/>
              <w:spacing w:before="40"/>
              <w:ind w:left="974" w:firstLine="300"/>
              <w:jc w:val="left"/>
              <w:rPr>
                <w:sz w:val="15"/>
                <w:szCs w:val="15"/>
                <w:lang w:eastAsia="en-US"/>
              </w:rPr>
            </w:pPr>
            <w:r>
              <w:rPr>
                <w:sz w:val="15"/>
                <w:szCs w:val="15"/>
                <w:lang w:eastAsia="en-US"/>
              </w:rPr>
              <w:t>HT250</w:t>
            </w:r>
          </w:p>
        </w:tc>
        <w:tc>
          <w:tcPr>
            <w:tcW w:w="2394" w:type="dxa"/>
            <w:tcBorders>
              <w:top w:val="single" w:color="000000" w:sz="4" w:space="0"/>
              <w:left w:val="single" w:color="000000" w:sz="4" w:space="0"/>
              <w:bottom w:val="single" w:color="000000" w:sz="4" w:space="0"/>
            </w:tcBorders>
            <w:vAlign w:val="center"/>
          </w:tcPr>
          <w:p w14:paraId="22872422">
            <w:pPr>
              <w:pStyle w:val="13"/>
              <w:spacing w:before="40"/>
              <w:ind w:left="586" w:right="566" w:firstLine="300"/>
              <w:rPr>
                <w:sz w:val="15"/>
                <w:szCs w:val="15"/>
                <w:lang w:eastAsia="en-US"/>
              </w:rPr>
            </w:pPr>
            <w:r>
              <w:rPr>
                <w:sz w:val="15"/>
                <w:szCs w:val="15"/>
                <w:lang w:eastAsia="en-US"/>
              </w:rPr>
              <w:t>36.0</w:t>
            </w:r>
          </w:p>
        </w:tc>
      </w:tr>
      <w:tr w14:paraId="62D357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continue"/>
            <w:tcBorders>
              <w:top w:val="nil"/>
              <w:bottom w:val="single" w:color="000000" w:sz="4" w:space="0"/>
              <w:right w:val="single" w:color="000000" w:sz="4" w:space="0"/>
            </w:tcBorders>
            <w:vAlign w:val="center"/>
          </w:tcPr>
          <w:p w14:paraId="242D6786">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68B283A3">
            <w:pPr>
              <w:pStyle w:val="13"/>
              <w:ind w:right="529" w:firstLine="300"/>
              <w:rPr>
                <w:sz w:val="15"/>
                <w:szCs w:val="15"/>
                <w:lang w:eastAsia="en-US"/>
              </w:rPr>
            </w:pPr>
            <w:r>
              <w:rPr>
                <w:sz w:val="15"/>
                <w:szCs w:val="15"/>
                <w:lang w:eastAsia="en-US"/>
              </w:rPr>
              <w:t>0.8</w:t>
            </w:r>
          </w:p>
        </w:tc>
        <w:tc>
          <w:tcPr>
            <w:tcW w:w="2394" w:type="dxa"/>
            <w:tcBorders>
              <w:top w:val="single" w:color="000000" w:sz="4" w:space="0"/>
              <w:left w:val="single" w:color="000000" w:sz="4" w:space="0"/>
              <w:bottom w:val="single" w:color="000000" w:sz="4" w:space="0"/>
              <w:right w:val="single" w:color="000000" w:sz="4" w:space="0"/>
            </w:tcBorders>
            <w:vAlign w:val="center"/>
          </w:tcPr>
          <w:p w14:paraId="612C4B45">
            <w:pPr>
              <w:pStyle w:val="13"/>
              <w:ind w:left="974" w:firstLine="300"/>
              <w:jc w:val="left"/>
              <w:rPr>
                <w:sz w:val="15"/>
                <w:szCs w:val="15"/>
                <w:lang w:eastAsia="en-US"/>
              </w:rPr>
            </w:pPr>
            <w:r>
              <w:rPr>
                <w:sz w:val="15"/>
                <w:szCs w:val="15"/>
                <w:lang w:eastAsia="en-US"/>
              </w:rPr>
              <w:t>HT300</w:t>
            </w:r>
          </w:p>
        </w:tc>
        <w:tc>
          <w:tcPr>
            <w:tcW w:w="2394" w:type="dxa"/>
            <w:tcBorders>
              <w:top w:val="single" w:color="000000" w:sz="4" w:space="0"/>
              <w:left w:val="single" w:color="000000" w:sz="4" w:space="0"/>
              <w:bottom w:val="single" w:color="000000" w:sz="4" w:space="0"/>
            </w:tcBorders>
            <w:vAlign w:val="center"/>
          </w:tcPr>
          <w:p w14:paraId="7F2DEBBB">
            <w:pPr>
              <w:pStyle w:val="13"/>
              <w:ind w:left="586" w:right="566" w:firstLine="300"/>
              <w:rPr>
                <w:sz w:val="15"/>
                <w:szCs w:val="15"/>
                <w:lang w:eastAsia="en-US"/>
              </w:rPr>
            </w:pPr>
            <w:r>
              <w:rPr>
                <w:sz w:val="15"/>
                <w:szCs w:val="15"/>
                <w:lang w:eastAsia="en-US"/>
              </w:rPr>
              <w:t>48.0</w:t>
            </w:r>
          </w:p>
        </w:tc>
      </w:tr>
      <w:tr w14:paraId="30A29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restart"/>
            <w:tcBorders>
              <w:top w:val="single" w:color="000000" w:sz="4" w:space="0"/>
              <w:bottom w:val="single" w:color="000000" w:sz="4" w:space="0"/>
              <w:right w:val="single" w:color="000000" w:sz="4" w:space="0"/>
            </w:tcBorders>
            <w:vAlign w:val="center"/>
          </w:tcPr>
          <w:p w14:paraId="20FC6125">
            <w:pPr>
              <w:pStyle w:val="13"/>
              <w:spacing w:before="129"/>
              <w:ind w:left="995" w:right="982" w:firstLine="300"/>
              <w:rPr>
                <w:sz w:val="15"/>
                <w:szCs w:val="15"/>
                <w:lang w:eastAsia="en-US"/>
              </w:rPr>
            </w:pPr>
            <w:r>
              <w:rPr>
                <w:sz w:val="15"/>
                <w:szCs w:val="15"/>
                <w:lang w:eastAsia="en-US"/>
              </w:rPr>
              <w:t>3660</w:t>
            </w:r>
          </w:p>
        </w:tc>
        <w:tc>
          <w:tcPr>
            <w:tcW w:w="2394" w:type="dxa"/>
            <w:tcBorders>
              <w:top w:val="single" w:color="000000" w:sz="4" w:space="0"/>
              <w:left w:val="single" w:color="000000" w:sz="4" w:space="0"/>
              <w:bottom w:val="single" w:color="000000" w:sz="4" w:space="0"/>
              <w:right w:val="single" w:color="000000" w:sz="4" w:space="0"/>
            </w:tcBorders>
            <w:vAlign w:val="center"/>
          </w:tcPr>
          <w:p w14:paraId="7742FD09">
            <w:pPr>
              <w:pStyle w:val="13"/>
              <w:ind w:right="529" w:firstLine="300"/>
              <w:rPr>
                <w:sz w:val="15"/>
                <w:szCs w:val="15"/>
                <w:lang w:eastAsia="en-US"/>
              </w:rPr>
            </w:pPr>
            <w:r>
              <w:rPr>
                <w:sz w:val="15"/>
                <w:szCs w:val="15"/>
                <w:lang w:eastAsia="en-US"/>
              </w:rPr>
              <w:t>0.3</w:t>
            </w:r>
          </w:p>
        </w:tc>
        <w:tc>
          <w:tcPr>
            <w:tcW w:w="2394" w:type="dxa"/>
            <w:tcBorders>
              <w:top w:val="single" w:color="000000" w:sz="4" w:space="0"/>
              <w:left w:val="single" w:color="000000" w:sz="4" w:space="0"/>
              <w:bottom w:val="single" w:color="000000" w:sz="4" w:space="0"/>
              <w:right w:val="single" w:color="000000" w:sz="4" w:space="0"/>
            </w:tcBorders>
            <w:vAlign w:val="center"/>
          </w:tcPr>
          <w:p w14:paraId="1EE6EB38">
            <w:pPr>
              <w:pStyle w:val="13"/>
              <w:ind w:left="974" w:firstLine="300"/>
              <w:jc w:val="left"/>
              <w:rPr>
                <w:sz w:val="15"/>
                <w:szCs w:val="15"/>
                <w:lang w:eastAsia="en-US"/>
              </w:rPr>
            </w:pPr>
            <w:r>
              <w:rPr>
                <w:sz w:val="15"/>
                <w:szCs w:val="15"/>
                <w:lang w:eastAsia="en-US"/>
              </w:rPr>
              <w:t>HT250</w:t>
            </w:r>
          </w:p>
        </w:tc>
        <w:tc>
          <w:tcPr>
            <w:tcW w:w="2394" w:type="dxa"/>
            <w:tcBorders>
              <w:top w:val="single" w:color="000000" w:sz="4" w:space="0"/>
              <w:left w:val="single" w:color="000000" w:sz="4" w:space="0"/>
              <w:bottom w:val="single" w:color="000000" w:sz="4" w:space="0"/>
            </w:tcBorders>
            <w:vAlign w:val="center"/>
          </w:tcPr>
          <w:p w14:paraId="3E5D2209">
            <w:pPr>
              <w:pStyle w:val="13"/>
              <w:ind w:left="586" w:right="566" w:firstLine="300"/>
              <w:rPr>
                <w:sz w:val="15"/>
                <w:szCs w:val="15"/>
                <w:lang w:eastAsia="en-US"/>
              </w:rPr>
            </w:pPr>
            <w:r>
              <w:rPr>
                <w:sz w:val="15"/>
                <w:szCs w:val="15"/>
                <w:lang w:eastAsia="en-US"/>
              </w:rPr>
              <w:t>26.4</w:t>
            </w:r>
          </w:p>
        </w:tc>
      </w:tr>
      <w:tr w14:paraId="695E3E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continue"/>
            <w:tcBorders>
              <w:top w:val="nil"/>
              <w:bottom w:val="single" w:color="000000" w:sz="4" w:space="0"/>
              <w:right w:val="single" w:color="000000" w:sz="4" w:space="0"/>
            </w:tcBorders>
            <w:vAlign w:val="center"/>
          </w:tcPr>
          <w:p w14:paraId="579BF0AC">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16AA4BA1">
            <w:pPr>
              <w:pStyle w:val="13"/>
              <w:ind w:right="529" w:firstLine="300"/>
              <w:rPr>
                <w:sz w:val="15"/>
                <w:szCs w:val="15"/>
                <w:lang w:eastAsia="en-US"/>
              </w:rPr>
            </w:pPr>
            <w:r>
              <w:rPr>
                <w:sz w:val="15"/>
                <w:szCs w:val="15"/>
                <w:lang w:eastAsia="en-US"/>
              </w:rPr>
              <w:t>0.5</w:t>
            </w:r>
          </w:p>
        </w:tc>
        <w:tc>
          <w:tcPr>
            <w:tcW w:w="2394" w:type="dxa"/>
            <w:tcBorders>
              <w:top w:val="single" w:color="000000" w:sz="4" w:space="0"/>
              <w:left w:val="single" w:color="000000" w:sz="4" w:space="0"/>
              <w:bottom w:val="single" w:color="000000" w:sz="4" w:space="0"/>
              <w:right w:val="single" w:color="000000" w:sz="4" w:space="0"/>
            </w:tcBorders>
            <w:vAlign w:val="center"/>
          </w:tcPr>
          <w:p w14:paraId="02BFA75D">
            <w:pPr>
              <w:pStyle w:val="13"/>
              <w:ind w:left="974" w:firstLine="300"/>
              <w:jc w:val="left"/>
              <w:rPr>
                <w:sz w:val="15"/>
                <w:szCs w:val="15"/>
                <w:lang w:eastAsia="en-US"/>
              </w:rPr>
            </w:pPr>
            <w:r>
              <w:rPr>
                <w:sz w:val="15"/>
                <w:szCs w:val="15"/>
                <w:lang w:eastAsia="en-US"/>
              </w:rPr>
              <w:t>HT300</w:t>
            </w:r>
          </w:p>
        </w:tc>
        <w:tc>
          <w:tcPr>
            <w:tcW w:w="2394" w:type="dxa"/>
            <w:tcBorders>
              <w:top w:val="single" w:color="000000" w:sz="4" w:space="0"/>
              <w:left w:val="single" w:color="000000" w:sz="4" w:space="0"/>
              <w:bottom w:val="single" w:color="000000" w:sz="4" w:space="0"/>
            </w:tcBorders>
            <w:vAlign w:val="center"/>
          </w:tcPr>
          <w:p w14:paraId="6A08D9C6">
            <w:pPr>
              <w:pStyle w:val="13"/>
              <w:ind w:left="586" w:right="566" w:firstLine="300"/>
              <w:rPr>
                <w:sz w:val="15"/>
                <w:szCs w:val="15"/>
                <w:lang w:eastAsia="en-US"/>
              </w:rPr>
            </w:pPr>
            <w:r>
              <w:rPr>
                <w:sz w:val="15"/>
                <w:szCs w:val="15"/>
                <w:lang w:eastAsia="en-US"/>
              </w:rPr>
              <w:t>36.6</w:t>
            </w:r>
          </w:p>
        </w:tc>
      </w:tr>
      <w:tr w14:paraId="0EEBFB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continue"/>
            <w:tcBorders>
              <w:top w:val="nil"/>
              <w:bottom w:val="single" w:color="000000" w:sz="4" w:space="0"/>
              <w:right w:val="single" w:color="000000" w:sz="4" w:space="0"/>
            </w:tcBorders>
            <w:vAlign w:val="center"/>
          </w:tcPr>
          <w:p w14:paraId="3972D456">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117757B3">
            <w:pPr>
              <w:pStyle w:val="13"/>
              <w:ind w:right="529" w:firstLine="300"/>
              <w:rPr>
                <w:sz w:val="15"/>
                <w:szCs w:val="15"/>
                <w:lang w:eastAsia="en-US"/>
              </w:rPr>
            </w:pPr>
            <w:r>
              <w:rPr>
                <w:sz w:val="15"/>
                <w:szCs w:val="15"/>
                <w:lang w:eastAsia="en-US"/>
              </w:rPr>
              <w:t>0.8</w:t>
            </w:r>
          </w:p>
        </w:tc>
        <w:tc>
          <w:tcPr>
            <w:tcW w:w="2394" w:type="dxa"/>
            <w:tcBorders>
              <w:top w:val="single" w:color="000000" w:sz="4" w:space="0"/>
              <w:left w:val="single" w:color="000000" w:sz="4" w:space="0"/>
              <w:bottom w:val="single" w:color="000000" w:sz="4" w:space="0"/>
              <w:right w:val="single" w:color="000000" w:sz="4" w:space="0"/>
            </w:tcBorders>
            <w:vAlign w:val="center"/>
          </w:tcPr>
          <w:p w14:paraId="3BE7ED18">
            <w:pPr>
              <w:pStyle w:val="13"/>
              <w:ind w:left="974" w:firstLine="300"/>
              <w:jc w:val="left"/>
              <w:rPr>
                <w:sz w:val="15"/>
                <w:szCs w:val="15"/>
                <w:lang w:eastAsia="en-US"/>
              </w:rPr>
            </w:pPr>
            <w:r>
              <w:rPr>
                <w:sz w:val="15"/>
                <w:szCs w:val="15"/>
                <w:lang w:eastAsia="en-US"/>
              </w:rPr>
              <w:t>HT300</w:t>
            </w:r>
          </w:p>
        </w:tc>
        <w:tc>
          <w:tcPr>
            <w:tcW w:w="2394" w:type="dxa"/>
            <w:tcBorders>
              <w:top w:val="single" w:color="000000" w:sz="4" w:space="0"/>
              <w:left w:val="single" w:color="000000" w:sz="4" w:space="0"/>
              <w:bottom w:val="single" w:color="000000" w:sz="4" w:space="0"/>
            </w:tcBorders>
            <w:vAlign w:val="center"/>
          </w:tcPr>
          <w:p w14:paraId="0A65D0C5">
            <w:pPr>
              <w:pStyle w:val="13"/>
              <w:ind w:left="586" w:right="566" w:firstLine="300"/>
              <w:rPr>
                <w:sz w:val="15"/>
                <w:szCs w:val="15"/>
                <w:lang w:eastAsia="en-US"/>
              </w:rPr>
            </w:pPr>
            <w:r>
              <w:rPr>
                <w:sz w:val="15"/>
                <w:szCs w:val="15"/>
                <w:lang w:eastAsia="en-US"/>
              </w:rPr>
              <w:t>58.6</w:t>
            </w:r>
          </w:p>
        </w:tc>
      </w:tr>
      <w:tr w14:paraId="4BDAE7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2393" w:type="dxa"/>
            <w:vMerge w:val="restart"/>
            <w:tcBorders>
              <w:top w:val="single" w:color="000000" w:sz="4" w:space="0"/>
              <w:bottom w:val="single" w:color="000000" w:sz="4" w:space="0"/>
              <w:right w:val="single" w:color="000000" w:sz="4" w:space="0"/>
            </w:tcBorders>
            <w:vAlign w:val="center"/>
          </w:tcPr>
          <w:p w14:paraId="7E732801">
            <w:pPr>
              <w:pStyle w:val="13"/>
              <w:spacing w:before="132"/>
              <w:ind w:left="995" w:right="982" w:firstLine="300"/>
              <w:rPr>
                <w:sz w:val="15"/>
                <w:szCs w:val="15"/>
                <w:lang w:eastAsia="en-US"/>
              </w:rPr>
            </w:pPr>
            <w:r>
              <w:rPr>
                <w:sz w:val="15"/>
                <w:szCs w:val="15"/>
                <w:lang w:eastAsia="en-US"/>
              </w:rPr>
              <w:t>3800</w:t>
            </w:r>
          </w:p>
        </w:tc>
        <w:tc>
          <w:tcPr>
            <w:tcW w:w="2394" w:type="dxa"/>
            <w:tcBorders>
              <w:top w:val="single" w:color="000000" w:sz="4" w:space="0"/>
              <w:left w:val="single" w:color="000000" w:sz="4" w:space="0"/>
              <w:bottom w:val="single" w:color="000000" w:sz="4" w:space="0"/>
              <w:right w:val="single" w:color="000000" w:sz="4" w:space="0"/>
            </w:tcBorders>
            <w:vAlign w:val="center"/>
          </w:tcPr>
          <w:p w14:paraId="5DA8A7BD">
            <w:pPr>
              <w:pStyle w:val="13"/>
              <w:ind w:right="529" w:firstLine="300"/>
              <w:rPr>
                <w:sz w:val="15"/>
                <w:szCs w:val="15"/>
                <w:lang w:eastAsia="en-US"/>
              </w:rPr>
            </w:pPr>
            <w:r>
              <w:rPr>
                <w:sz w:val="15"/>
                <w:szCs w:val="15"/>
                <w:lang w:eastAsia="en-US"/>
              </w:rPr>
              <w:t>0.3</w:t>
            </w:r>
          </w:p>
        </w:tc>
        <w:tc>
          <w:tcPr>
            <w:tcW w:w="2394" w:type="dxa"/>
            <w:tcBorders>
              <w:top w:val="single" w:color="000000" w:sz="4" w:space="0"/>
              <w:left w:val="single" w:color="000000" w:sz="4" w:space="0"/>
              <w:bottom w:val="single" w:color="000000" w:sz="4" w:space="0"/>
              <w:right w:val="single" w:color="000000" w:sz="4" w:space="0"/>
            </w:tcBorders>
            <w:vAlign w:val="center"/>
          </w:tcPr>
          <w:p w14:paraId="58AC811F">
            <w:pPr>
              <w:pStyle w:val="13"/>
              <w:ind w:left="974" w:firstLine="300"/>
              <w:jc w:val="left"/>
              <w:rPr>
                <w:sz w:val="15"/>
                <w:szCs w:val="15"/>
                <w:lang w:eastAsia="en-US"/>
              </w:rPr>
            </w:pPr>
            <w:r>
              <w:rPr>
                <w:sz w:val="15"/>
                <w:szCs w:val="15"/>
                <w:lang w:eastAsia="en-US"/>
              </w:rPr>
              <w:t>HT250</w:t>
            </w:r>
          </w:p>
        </w:tc>
        <w:tc>
          <w:tcPr>
            <w:tcW w:w="2394" w:type="dxa"/>
            <w:tcBorders>
              <w:top w:val="single" w:color="000000" w:sz="4" w:space="0"/>
              <w:left w:val="single" w:color="000000" w:sz="4" w:space="0"/>
              <w:bottom w:val="single" w:color="000000" w:sz="4" w:space="0"/>
            </w:tcBorders>
            <w:vAlign w:val="center"/>
          </w:tcPr>
          <w:p w14:paraId="50ED723A">
            <w:pPr>
              <w:pStyle w:val="13"/>
              <w:ind w:left="586" w:right="566" w:firstLine="300"/>
              <w:rPr>
                <w:sz w:val="15"/>
                <w:szCs w:val="15"/>
                <w:lang w:eastAsia="en-US"/>
              </w:rPr>
            </w:pPr>
            <w:r>
              <w:rPr>
                <w:sz w:val="15"/>
                <w:szCs w:val="15"/>
                <w:lang w:eastAsia="en-US"/>
              </w:rPr>
              <w:t>27.4</w:t>
            </w:r>
          </w:p>
        </w:tc>
      </w:tr>
      <w:tr w14:paraId="6DBF04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jc w:val="center"/>
        </w:trPr>
        <w:tc>
          <w:tcPr>
            <w:tcW w:w="2393" w:type="dxa"/>
            <w:vMerge w:val="continue"/>
            <w:tcBorders>
              <w:top w:val="nil"/>
              <w:bottom w:val="single" w:color="000000" w:sz="4" w:space="0"/>
              <w:right w:val="single" w:color="000000" w:sz="4" w:space="0"/>
            </w:tcBorders>
            <w:vAlign w:val="center"/>
          </w:tcPr>
          <w:p w14:paraId="1E8A8C1D">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24B9B5FF">
            <w:pPr>
              <w:pStyle w:val="13"/>
              <w:spacing w:before="40"/>
              <w:ind w:right="529" w:firstLine="300"/>
              <w:rPr>
                <w:sz w:val="15"/>
                <w:szCs w:val="15"/>
                <w:lang w:eastAsia="en-US"/>
              </w:rPr>
            </w:pPr>
            <w:r>
              <w:rPr>
                <w:sz w:val="15"/>
                <w:szCs w:val="15"/>
                <w:lang w:eastAsia="en-US"/>
              </w:rPr>
              <w:t>0.5</w:t>
            </w:r>
          </w:p>
        </w:tc>
        <w:tc>
          <w:tcPr>
            <w:tcW w:w="2394" w:type="dxa"/>
            <w:tcBorders>
              <w:top w:val="single" w:color="000000" w:sz="4" w:space="0"/>
              <w:left w:val="single" w:color="000000" w:sz="4" w:space="0"/>
              <w:bottom w:val="single" w:color="000000" w:sz="4" w:space="0"/>
              <w:right w:val="single" w:color="000000" w:sz="4" w:space="0"/>
            </w:tcBorders>
            <w:vAlign w:val="center"/>
          </w:tcPr>
          <w:p w14:paraId="50DC4B5E">
            <w:pPr>
              <w:pStyle w:val="13"/>
              <w:spacing w:before="40"/>
              <w:ind w:left="974" w:firstLine="300"/>
              <w:jc w:val="left"/>
              <w:rPr>
                <w:sz w:val="15"/>
                <w:szCs w:val="15"/>
                <w:lang w:eastAsia="en-US"/>
              </w:rPr>
            </w:pPr>
            <w:r>
              <w:rPr>
                <w:sz w:val="15"/>
                <w:szCs w:val="15"/>
                <w:lang w:eastAsia="en-US"/>
              </w:rPr>
              <w:t>HT300</w:t>
            </w:r>
          </w:p>
        </w:tc>
        <w:tc>
          <w:tcPr>
            <w:tcW w:w="2394" w:type="dxa"/>
            <w:tcBorders>
              <w:top w:val="single" w:color="000000" w:sz="4" w:space="0"/>
              <w:left w:val="single" w:color="000000" w:sz="4" w:space="0"/>
              <w:bottom w:val="single" w:color="000000" w:sz="4" w:space="0"/>
            </w:tcBorders>
            <w:vAlign w:val="center"/>
          </w:tcPr>
          <w:p w14:paraId="06804F35">
            <w:pPr>
              <w:pStyle w:val="13"/>
              <w:spacing w:before="40"/>
              <w:ind w:left="586" w:right="566" w:firstLine="300"/>
              <w:rPr>
                <w:sz w:val="15"/>
                <w:szCs w:val="15"/>
                <w:lang w:eastAsia="en-US"/>
              </w:rPr>
            </w:pPr>
            <w:r>
              <w:rPr>
                <w:sz w:val="15"/>
                <w:szCs w:val="15"/>
                <w:lang w:eastAsia="en-US"/>
              </w:rPr>
              <w:t>38.0</w:t>
            </w:r>
          </w:p>
        </w:tc>
      </w:tr>
      <w:tr w14:paraId="303A3C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393" w:type="dxa"/>
            <w:vMerge w:val="continue"/>
            <w:tcBorders>
              <w:top w:val="nil"/>
              <w:bottom w:val="single" w:color="000000" w:sz="4" w:space="0"/>
              <w:right w:val="single" w:color="000000" w:sz="4" w:space="0"/>
            </w:tcBorders>
            <w:vAlign w:val="center"/>
          </w:tcPr>
          <w:p w14:paraId="09CE68F6">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5010201D">
            <w:pPr>
              <w:pStyle w:val="13"/>
              <w:ind w:right="529" w:firstLine="300"/>
              <w:rPr>
                <w:sz w:val="15"/>
                <w:szCs w:val="15"/>
                <w:lang w:eastAsia="en-US"/>
              </w:rPr>
            </w:pPr>
            <w:r>
              <w:rPr>
                <w:sz w:val="15"/>
                <w:szCs w:val="15"/>
                <w:lang w:eastAsia="en-US"/>
              </w:rPr>
              <w:t>0.8</w:t>
            </w:r>
          </w:p>
        </w:tc>
        <w:tc>
          <w:tcPr>
            <w:tcW w:w="2394" w:type="dxa"/>
            <w:tcBorders>
              <w:top w:val="single" w:color="000000" w:sz="4" w:space="0"/>
              <w:left w:val="single" w:color="000000" w:sz="4" w:space="0"/>
              <w:bottom w:val="single" w:color="000000" w:sz="4" w:space="0"/>
              <w:right w:val="single" w:color="000000" w:sz="4" w:space="0"/>
            </w:tcBorders>
            <w:vAlign w:val="center"/>
          </w:tcPr>
          <w:p w14:paraId="5F680327">
            <w:pPr>
              <w:pStyle w:val="13"/>
              <w:ind w:left="974" w:firstLine="300"/>
              <w:jc w:val="left"/>
              <w:rPr>
                <w:sz w:val="15"/>
                <w:szCs w:val="15"/>
                <w:lang w:eastAsia="en-US"/>
              </w:rPr>
            </w:pPr>
            <w:r>
              <w:rPr>
                <w:sz w:val="15"/>
                <w:szCs w:val="15"/>
                <w:lang w:eastAsia="en-US"/>
              </w:rPr>
              <w:t>HT300</w:t>
            </w:r>
          </w:p>
        </w:tc>
        <w:tc>
          <w:tcPr>
            <w:tcW w:w="2394" w:type="dxa"/>
            <w:tcBorders>
              <w:top w:val="single" w:color="000000" w:sz="4" w:space="0"/>
              <w:left w:val="single" w:color="000000" w:sz="4" w:space="0"/>
              <w:bottom w:val="single" w:color="000000" w:sz="4" w:space="0"/>
            </w:tcBorders>
            <w:vAlign w:val="center"/>
          </w:tcPr>
          <w:p w14:paraId="2B172FDF">
            <w:pPr>
              <w:pStyle w:val="13"/>
              <w:ind w:left="586" w:right="566" w:firstLine="300"/>
              <w:rPr>
                <w:sz w:val="15"/>
                <w:szCs w:val="15"/>
                <w:lang w:eastAsia="en-US"/>
              </w:rPr>
            </w:pPr>
            <w:r>
              <w:rPr>
                <w:sz w:val="15"/>
                <w:szCs w:val="15"/>
                <w:lang w:eastAsia="en-US"/>
              </w:rPr>
              <w:t>60.4</w:t>
            </w:r>
          </w:p>
        </w:tc>
      </w:tr>
      <w:tr w14:paraId="3923D3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6" w:hRule="atLeast"/>
          <w:jc w:val="center"/>
        </w:trPr>
        <w:tc>
          <w:tcPr>
            <w:tcW w:w="2393" w:type="dxa"/>
            <w:vMerge w:val="restart"/>
            <w:tcBorders>
              <w:top w:val="single" w:color="000000" w:sz="4" w:space="0"/>
              <w:right w:val="single" w:color="000000" w:sz="4" w:space="0"/>
            </w:tcBorders>
            <w:vAlign w:val="center"/>
          </w:tcPr>
          <w:p w14:paraId="33B6A88D">
            <w:pPr>
              <w:pStyle w:val="13"/>
              <w:spacing w:before="129"/>
              <w:ind w:left="995" w:right="982" w:firstLine="300"/>
              <w:rPr>
                <w:sz w:val="15"/>
                <w:szCs w:val="15"/>
                <w:lang w:eastAsia="en-US"/>
              </w:rPr>
            </w:pPr>
            <w:r>
              <w:rPr>
                <w:sz w:val="15"/>
                <w:szCs w:val="15"/>
                <w:lang w:eastAsia="en-US"/>
              </w:rPr>
              <w:t>4600</w:t>
            </w:r>
          </w:p>
        </w:tc>
        <w:tc>
          <w:tcPr>
            <w:tcW w:w="2394" w:type="dxa"/>
            <w:tcBorders>
              <w:top w:val="single" w:color="000000" w:sz="4" w:space="0"/>
              <w:left w:val="single" w:color="000000" w:sz="4" w:space="0"/>
              <w:bottom w:val="single" w:color="000000" w:sz="4" w:space="0"/>
              <w:right w:val="single" w:color="000000" w:sz="4" w:space="0"/>
            </w:tcBorders>
            <w:vAlign w:val="center"/>
          </w:tcPr>
          <w:p w14:paraId="5540A68E">
            <w:pPr>
              <w:pStyle w:val="13"/>
              <w:ind w:right="529" w:firstLine="300"/>
              <w:rPr>
                <w:sz w:val="15"/>
                <w:szCs w:val="15"/>
                <w:lang w:eastAsia="en-US"/>
              </w:rPr>
            </w:pPr>
            <w:r>
              <w:rPr>
                <w:sz w:val="15"/>
                <w:szCs w:val="15"/>
                <w:lang w:eastAsia="en-US"/>
              </w:rPr>
              <w:t>0.3</w:t>
            </w:r>
          </w:p>
        </w:tc>
        <w:tc>
          <w:tcPr>
            <w:tcW w:w="2394" w:type="dxa"/>
            <w:tcBorders>
              <w:top w:val="single" w:color="000000" w:sz="4" w:space="0"/>
              <w:left w:val="single" w:color="000000" w:sz="4" w:space="0"/>
              <w:bottom w:val="single" w:color="000000" w:sz="4" w:space="0"/>
              <w:right w:val="single" w:color="000000" w:sz="4" w:space="0"/>
            </w:tcBorders>
            <w:vAlign w:val="center"/>
          </w:tcPr>
          <w:p w14:paraId="2C8532F7">
            <w:pPr>
              <w:pStyle w:val="13"/>
              <w:ind w:left="974" w:firstLine="300"/>
              <w:jc w:val="left"/>
              <w:rPr>
                <w:sz w:val="15"/>
                <w:szCs w:val="15"/>
                <w:lang w:eastAsia="en-US"/>
              </w:rPr>
            </w:pPr>
            <w:r>
              <w:rPr>
                <w:sz w:val="15"/>
                <w:szCs w:val="15"/>
                <w:lang w:eastAsia="en-US"/>
              </w:rPr>
              <w:t>HT250</w:t>
            </w:r>
          </w:p>
        </w:tc>
        <w:tc>
          <w:tcPr>
            <w:tcW w:w="2394" w:type="dxa"/>
            <w:tcBorders>
              <w:top w:val="single" w:color="000000" w:sz="4" w:space="0"/>
              <w:left w:val="single" w:color="000000" w:sz="4" w:space="0"/>
              <w:bottom w:val="single" w:color="000000" w:sz="4" w:space="0"/>
            </w:tcBorders>
            <w:vAlign w:val="center"/>
          </w:tcPr>
          <w:p w14:paraId="7C4D5C40">
            <w:pPr>
              <w:pStyle w:val="13"/>
              <w:ind w:left="586" w:right="566" w:firstLine="300"/>
              <w:rPr>
                <w:sz w:val="15"/>
                <w:szCs w:val="15"/>
                <w:lang w:eastAsia="en-US"/>
              </w:rPr>
            </w:pPr>
            <w:r>
              <w:rPr>
                <w:sz w:val="15"/>
                <w:szCs w:val="15"/>
                <w:lang w:eastAsia="en-US"/>
              </w:rPr>
              <w:t>33.2</w:t>
            </w:r>
          </w:p>
        </w:tc>
      </w:tr>
      <w:tr w14:paraId="06C010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1" w:hRule="atLeast"/>
          <w:jc w:val="center"/>
        </w:trPr>
        <w:tc>
          <w:tcPr>
            <w:tcW w:w="2393" w:type="dxa"/>
            <w:vMerge w:val="continue"/>
            <w:tcBorders>
              <w:top w:val="nil"/>
              <w:right w:val="single" w:color="000000" w:sz="4" w:space="0"/>
            </w:tcBorders>
            <w:vAlign w:val="center"/>
          </w:tcPr>
          <w:p w14:paraId="7B86C674">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bottom w:val="single" w:color="000000" w:sz="4" w:space="0"/>
              <w:right w:val="single" w:color="000000" w:sz="4" w:space="0"/>
            </w:tcBorders>
            <w:vAlign w:val="center"/>
          </w:tcPr>
          <w:p w14:paraId="5C397882">
            <w:pPr>
              <w:pStyle w:val="13"/>
              <w:spacing w:before="33"/>
              <w:ind w:right="529" w:firstLine="300"/>
              <w:rPr>
                <w:sz w:val="15"/>
                <w:szCs w:val="15"/>
                <w:lang w:eastAsia="en-US"/>
              </w:rPr>
            </w:pPr>
            <w:r>
              <w:rPr>
                <w:sz w:val="15"/>
                <w:szCs w:val="15"/>
                <w:lang w:eastAsia="en-US"/>
              </w:rPr>
              <w:t>0.5</w:t>
            </w:r>
          </w:p>
        </w:tc>
        <w:tc>
          <w:tcPr>
            <w:tcW w:w="2394" w:type="dxa"/>
            <w:tcBorders>
              <w:top w:val="single" w:color="000000" w:sz="4" w:space="0"/>
              <w:left w:val="single" w:color="000000" w:sz="4" w:space="0"/>
              <w:bottom w:val="single" w:color="000000" w:sz="4" w:space="0"/>
              <w:right w:val="single" w:color="000000" w:sz="4" w:space="0"/>
            </w:tcBorders>
            <w:vAlign w:val="center"/>
          </w:tcPr>
          <w:p w14:paraId="12929179">
            <w:pPr>
              <w:pStyle w:val="13"/>
              <w:spacing w:before="33"/>
              <w:ind w:left="974" w:firstLine="300"/>
              <w:jc w:val="left"/>
              <w:rPr>
                <w:sz w:val="15"/>
                <w:szCs w:val="15"/>
                <w:lang w:eastAsia="en-US"/>
              </w:rPr>
            </w:pPr>
            <w:r>
              <w:rPr>
                <w:sz w:val="15"/>
                <w:szCs w:val="15"/>
                <w:lang w:eastAsia="en-US"/>
              </w:rPr>
              <w:t>HT300</w:t>
            </w:r>
          </w:p>
        </w:tc>
        <w:tc>
          <w:tcPr>
            <w:tcW w:w="2394" w:type="dxa"/>
            <w:tcBorders>
              <w:top w:val="single" w:color="000000" w:sz="4" w:space="0"/>
              <w:left w:val="single" w:color="000000" w:sz="4" w:space="0"/>
              <w:bottom w:val="single" w:color="000000" w:sz="4" w:space="0"/>
            </w:tcBorders>
            <w:vAlign w:val="center"/>
          </w:tcPr>
          <w:p w14:paraId="593C6E24">
            <w:pPr>
              <w:pStyle w:val="13"/>
              <w:spacing w:before="33"/>
              <w:ind w:left="586" w:right="566" w:firstLine="300"/>
              <w:rPr>
                <w:sz w:val="15"/>
                <w:szCs w:val="15"/>
                <w:lang w:eastAsia="en-US"/>
              </w:rPr>
            </w:pPr>
            <w:r>
              <w:rPr>
                <w:sz w:val="15"/>
                <w:szCs w:val="15"/>
                <w:lang w:eastAsia="en-US"/>
              </w:rPr>
              <w:t>46.0</w:t>
            </w:r>
          </w:p>
        </w:tc>
      </w:tr>
      <w:tr w14:paraId="4BA247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jc w:val="center"/>
        </w:trPr>
        <w:tc>
          <w:tcPr>
            <w:tcW w:w="2393" w:type="dxa"/>
            <w:vMerge w:val="continue"/>
            <w:tcBorders>
              <w:top w:val="nil"/>
              <w:right w:val="single" w:color="000000" w:sz="4" w:space="0"/>
            </w:tcBorders>
            <w:vAlign w:val="center"/>
          </w:tcPr>
          <w:p w14:paraId="10D1C56B">
            <w:pPr>
              <w:autoSpaceDE w:val="0"/>
              <w:autoSpaceDN w:val="0"/>
              <w:ind w:firstLine="300"/>
              <w:rPr>
                <w:rFonts w:ascii="宋体" w:hAnsi="宋体" w:eastAsia="宋体"/>
                <w:kern w:val="0"/>
                <w:sz w:val="15"/>
                <w:szCs w:val="15"/>
                <w:lang w:eastAsia="en-US"/>
              </w:rPr>
            </w:pPr>
          </w:p>
        </w:tc>
        <w:tc>
          <w:tcPr>
            <w:tcW w:w="2394" w:type="dxa"/>
            <w:tcBorders>
              <w:top w:val="single" w:color="000000" w:sz="4" w:space="0"/>
              <w:left w:val="single" w:color="000000" w:sz="4" w:space="0"/>
              <w:right w:val="single" w:color="000000" w:sz="4" w:space="0"/>
            </w:tcBorders>
            <w:vAlign w:val="center"/>
          </w:tcPr>
          <w:p w14:paraId="22D35480">
            <w:pPr>
              <w:pStyle w:val="13"/>
              <w:spacing w:before="33"/>
              <w:ind w:right="529" w:firstLine="300"/>
              <w:rPr>
                <w:sz w:val="15"/>
                <w:szCs w:val="15"/>
                <w:lang w:eastAsia="en-US"/>
              </w:rPr>
            </w:pPr>
            <w:r>
              <w:rPr>
                <w:sz w:val="15"/>
                <w:szCs w:val="15"/>
                <w:lang w:eastAsia="en-US"/>
              </w:rPr>
              <w:t>0.8</w:t>
            </w:r>
          </w:p>
        </w:tc>
        <w:tc>
          <w:tcPr>
            <w:tcW w:w="2394" w:type="dxa"/>
            <w:tcBorders>
              <w:top w:val="single" w:color="000000" w:sz="4" w:space="0"/>
              <w:left w:val="single" w:color="000000" w:sz="4" w:space="0"/>
              <w:right w:val="single" w:color="000000" w:sz="4" w:space="0"/>
            </w:tcBorders>
            <w:vAlign w:val="center"/>
          </w:tcPr>
          <w:p w14:paraId="5BD97345">
            <w:pPr>
              <w:pStyle w:val="13"/>
              <w:spacing w:before="33"/>
              <w:ind w:left="974" w:firstLine="300"/>
              <w:jc w:val="left"/>
              <w:rPr>
                <w:sz w:val="15"/>
                <w:szCs w:val="15"/>
                <w:lang w:eastAsia="en-US"/>
              </w:rPr>
            </w:pPr>
            <w:r>
              <w:rPr>
                <w:sz w:val="15"/>
                <w:szCs w:val="15"/>
                <w:lang w:eastAsia="en-US"/>
              </w:rPr>
              <w:t>HT300</w:t>
            </w:r>
          </w:p>
        </w:tc>
        <w:tc>
          <w:tcPr>
            <w:tcW w:w="2394" w:type="dxa"/>
            <w:tcBorders>
              <w:top w:val="single" w:color="000000" w:sz="4" w:space="0"/>
              <w:left w:val="single" w:color="000000" w:sz="4" w:space="0"/>
            </w:tcBorders>
            <w:vAlign w:val="center"/>
          </w:tcPr>
          <w:p w14:paraId="7E0E59EB">
            <w:pPr>
              <w:pStyle w:val="13"/>
              <w:spacing w:before="33"/>
              <w:ind w:left="586" w:right="566" w:firstLine="300"/>
              <w:rPr>
                <w:sz w:val="15"/>
                <w:szCs w:val="15"/>
                <w:lang w:eastAsia="en-US"/>
              </w:rPr>
            </w:pPr>
            <w:r>
              <w:rPr>
                <w:sz w:val="15"/>
                <w:szCs w:val="15"/>
                <w:lang w:eastAsia="en-US"/>
              </w:rPr>
              <w:t>73.6</w:t>
            </w:r>
          </w:p>
        </w:tc>
      </w:tr>
    </w:tbl>
    <w:p w14:paraId="50289090">
      <w:pPr>
        <w:tabs>
          <w:tab w:val="left" w:pos="1633"/>
          <w:tab w:val="left" w:pos="1634"/>
        </w:tabs>
        <w:autoSpaceDE w:val="0"/>
        <w:autoSpaceDN w:val="0"/>
        <w:spacing w:before="43"/>
        <w:ind w:right="84"/>
        <w:rPr>
          <w:rFonts w:ascii="宋体" w:hAnsi="宋体" w:eastAsia="宋体"/>
        </w:rPr>
      </w:pPr>
    </w:p>
    <w:sectPr>
      <w:headerReference r:id="rId3" w:type="default"/>
      <w:pgSz w:w="11906" w:h="16838"/>
      <w:pgMar w:top="1418"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D97F3E">
    <w:pPr>
      <w:pStyle w:val="6"/>
      <w:ind w:firstLine="360"/>
      <w:jc w:val="right"/>
    </w:pPr>
    <w:r>
      <w:rPr>
        <w:rFonts w:hint="eastAsia"/>
      </w:rPr>
      <w:t>DB13/T</w:t>
    </w:r>
    <w:r>
      <w:t xml:space="preserve"> 2910-2024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mirrorMargin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ViMmI0MzgxOTZlNTVjNWMyZGIzOWNlNTdiODNkMjkifQ=="/>
  </w:docVars>
  <w:rsids>
    <w:rsidRoot w:val="00FE6864"/>
    <w:rsid w:val="001349E1"/>
    <w:rsid w:val="00141056"/>
    <w:rsid w:val="001A69B0"/>
    <w:rsid w:val="00206DE1"/>
    <w:rsid w:val="002848CF"/>
    <w:rsid w:val="002D776B"/>
    <w:rsid w:val="00336F0D"/>
    <w:rsid w:val="00366B74"/>
    <w:rsid w:val="003A3FD0"/>
    <w:rsid w:val="003A6DBC"/>
    <w:rsid w:val="003C50FA"/>
    <w:rsid w:val="003F2F81"/>
    <w:rsid w:val="004138B7"/>
    <w:rsid w:val="00485262"/>
    <w:rsid w:val="004966AB"/>
    <w:rsid w:val="004E6738"/>
    <w:rsid w:val="00501F63"/>
    <w:rsid w:val="00592E63"/>
    <w:rsid w:val="005E479B"/>
    <w:rsid w:val="006040FA"/>
    <w:rsid w:val="006745A4"/>
    <w:rsid w:val="00674BB7"/>
    <w:rsid w:val="00681D61"/>
    <w:rsid w:val="00796322"/>
    <w:rsid w:val="007C1B29"/>
    <w:rsid w:val="007D1B87"/>
    <w:rsid w:val="00826436"/>
    <w:rsid w:val="00895857"/>
    <w:rsid w:val="0090156A"/>
    <w:rsid w:val="0092130A"/>
    <w:rsid w:val="00A027BD"/>
    <w:rsid w:val="00A23D7D"/>
    <w:rsid w:val="00AE31D4"/>
    <w:rsid w:val="00B1757E"/>
    <w:rsid w:val="00C40EDE"/>
    <w:rsid w:val="00C44DB7"/>
    <w:rsid w:val="00D16973"/>
    <w:rsid w:val="00D16D12"/>
    <w:rsid w:val="00D619E4"/>
    <w:rsid w:val="00D827D9"/>
    <w:rsid w:val="00D90026"/>
    <w:rsid w:val="00D953AF"/>
    <w:rsid w:val="00E3590B"/>
    <w:rsid w:val="00E61FD8"/>
    <w:rsid w:val="00F2381B"/>
    <w:rsid w:val="00FE6864"/>
    <w:rsid w:val="122D26EC"/>
    <w:rsid w:val="5D527F72"/>
    <w:rsid w:val="6E6B0E53"/>
    <w:rsid w:val="76837080"/>
    <w:rsid w:val="78441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1"/>
    <w:autoRedefine/>
    <w:qFormat/>
    <w:uiPriority w:val="1"/>
    <w:pPr>
      <w:autoSpaceDE w:val="0"/>
      <w:autoSpaceDN w:val="0"/>
      <w:jc w:val="left"/>
    </w:pPr>
    <w:rPr>
      <w:rFonts w:ascii="宋体" w:hAnsi="宋体" w:eastAsia="宋体" w:cs="宋体"/>
      <w:kern w:val="0"/>
      <w:szCs w:val="21"/>
      <w:lang w:val="zh-CN" w:bidi="zh-CN"/>
    </w:rPr>
  </w:style>
  <w:style w:type="paragraph" w:styleId="4">
    <w:name w:val="Balloon Text"/>
    <w:basedOn w:val="1"/>
    <w:link w:val="16"/>
    <w:semiHidden/>
    <w:unhideWhenUsed/>
    <w:qFormat/>
    <w:uiPriority w:val="99"/>
    <w:rPr>
      <w:sz w:val="18"/>
      <w:szCs w:val="18"/>
    </w:rPr>
  </w:style>
  <w:style w:type="paragraph" w:styleId="5">
    <w:name w:val="footer"/>
    <w:basedOn w:val="1"/>
    <w:link w:val="15"/>
    <w:autoRedefine/>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autoRedefine/>
    <w:qFormat/>
    <w:uiPriority w:val="0"/>
    <w:pPr>
      <w:widowControl/>
      <w:kinsoku w:val="0"/>
      <w:autoSpaceDE w:val="0"/>
      <w:autoSpaceDN w:val="0"/>
      <w:adjustRightInd w:val="0"/>
      <w:snapToGrid w:val="0"/>
      <w:jc w:val="left"/>
      <w:textAlignment w:val="baseline"/>
    </w:pPr>
    <w:rPr>
      <w:rFonts w:ascii="Arial" w:hAnsi="Arial" w:eastAsia="Arial" w:cs="Arial"/>
      <w:snapToGrid w:val="0"/>
      <w:color w:val="000000"/>
      <w:kern w:val="0"/>
      <w:szCs w:val="21"/>
      <w:lang w:eastAsia="en-US"/>
    </w:rPr>
  </w:style>
  <w:style w:type="paragraph" w:styleId="10">
    <w:name w:val="List Paragraph"/>
    <w:basedOn w:val="1"/>
    <w:qFormat/>
    <w:uiPriority w:val="34"/>
    <w:pPr>
      <w:ind w:firstLine="420" w:firstLineChars="200"/>
    </w:pPr>
  </w:style>
  <w:style w:type="character" w:customStyle="1" w:styleId="11">
    <w:name w:val="正文文本 字符"/>
    <w:basedOn w:val="9"/>
    <w:link w:val="3"/>
    <w:qFormat/>
    <w:uiPriority w:val="1"/>
    <w:rPr>
      <w:rFonts w:ascii="宋体" w:hAnsi="宋体" w:eastAsia="宋体" w:cs="宋体"/>
      <w:kern w:val="0"/>
      <w:szCs w:val="21"/>
      <w:lang w:val="zh-CN" w:bidi="zh-CN"/>
    </w:rPr>
  </w:style>
  <w:style w:type="table" w:customStyle="1" w:styleId="12">
    <w:name w:val="Table Normal"/>
    <w:autoRedefine/>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13">
    <w:name w:val="Table Paragraph"/>
    <w:basedOn w:val="1"/>
    <w:qFormat/>
    <w:uiPriority w:val="1"/>
    <w:pPr>
      <w:autoSpaceDE w:val="0"/>
      <w:autoSpaceDN w:val="0"/>
      <w:spacing w:before="38"/>
      <w:ind w:left="551"/>
      <w:jc w:val="center"/>
    </w:pPr>
    <w:rPr>
      <w:rFonts w:ascii="宋体" w:hAnsi="宋体" w:eastAsia="宋体" w:cs="宋体"/>
      <w:kern w:val="0"/>
      <w:sz w:val="22"/>
      <w:lang w:val="zh-CN" w:bidi="zh-CN"/>
    </w:rPr>
  </w:style>
  <w:style w:type="character" w:customStyle="1" w:styleId="14">
    <w:name w:val="页眉 字符"/>
    <w:basedOn w:val="9"/>
    <w:link w:val="6"/>
    <w:qFormat/>
    <w:uiPriority w:val="99"/>
    <w:rPr>
      <w:sz w:val="18"/>
      <w:szCs w:val="18"/>
    </w:rPr>
  </w:style>
  <w:style w:type="character" w:customStyle="1" w:styleId="15">
    <w:name w:val="页脚 字符"/>
    <w:basedOn w:val="9"/>
    <w:link w:val="5"/>
    <w:autoRedefine/>
    <w:qFormat/>
    <w:uiPriority w:val="99"/>
    <w:rPr>
      <w:sz w:val="18"/>
      <w:szCs w:val="18"/>
    </w:rPr>
  </w:style>
  <w:style w:type="character" w:customStyle="1" w:styleId="16">
    <w:name w:val="批注框文本 字符"/>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微软公司</Company>
  <Pages>13</Pages>
  <Words>4819</Words>
  <Characters>6117</Characters>
  <Lines>53</Lines>
  <Paragraphs>14</Paragraphs>
  <TotalTime>23</TotalTime>
  <ScaleCrop>false</ScaleCrop>
  <LinksUpToDate>false</LinksUpToDate>
  <CharactersWithSpaces>6486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2024-10-22T03:02:00Z</dcterms:created>
  <dc:creator>Administrator</dc:creator>
  <cp:lastModifiedBy>相国</cp:lastModifiedBy>
  <cp:lastPrinted>2024-10-31T08:14:00Z</cp:lastPrinted>
  <dcterms:modified xsi:type="dcterms:W3CDTF">2024-11-01T04:55:05Z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9958FB0F99404DEABB1ABB1478BF414F_12</vt:lpwstr>
  </property>
</Properties>
</file>