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0789C8B">
      <w:pPr>
        <w:rPr>
          <w:rFonts w:hint="eastAsia" w:ascii="黑体" w:hAnsi="黑体" w:eastAsia="黑体"/>
        </w:rPr>
      </w:pPr>
      <w:r>
        <w:rPr>
          <w:rFonts w:hint="eastAsia" w:ascii="黑体" w:hAnsi="黑体" w:eastAsia="黑体"/>
        </w:rPr>
        <w:t>ICS 点击此处添加ICS号</w:t>
      </w:r>
    </w:p>
    <w:p w14:paraId="0E1A6BCC">
      <w:pPr>
        <w:rPr>
          <w:rFonts w:hint="eastAsia" w:ascii="黑体" w:hAnsi="黑体" w:eastAsia="黑体"/>
        </w:rPr>
      </w:pPr>
      <w:r>
        <w:rPr>
          <w:rFonts w:hint="eastAsia" w:ascii="黑体" w:hAnsi="黑体" w:eastAsia="黑体"/>
        </w:rPr>
        <w:t>点击此处添加中国标准文献分类号</w:t>
      </w:r>
    </w:p>
    <w:p w14:paraId="26A628C8">
      <w:pPr>
        <w:wordWrap w:val="0"/>
        <w:jc w:val="right"/>
        <w:rPr>
          <w:rFonts w:ascii="Times New Roman" w:hAnsi="Times New Roman" w:eastAsia="宋体" w:cs="Times New Roman"/>
          <w:b/>
          <w:bCs/>
          <w:sz w:val="144"/>
          <w:szCs w:val="160"/>
        </w:rPr>
      </w:pPr>
      <w:r>
        <w:rPr>
          <w:rFonts w:ascii="Times New Roman" w:hAnsi="Times New Roman" w:eastAsia="宋体" w:cs="Times New Roman"/>
          <w:b/>
          <w:bCs/>
          <w:w w:val="120"/>
          <w:sz w:val="96"/>
          <w:szCs w:val="144"/>
        </w:rPr>
        <w:t>DB</w:t>
      </w:r>
      <w:r>
        <w:rPr>
          <w:rFonts w:ascii="Times New Roman" w:hAnsi="Times New Roman" w:eastAsia="宋体" w:cs="Times New Roman"/>
          <w:b/>
          <w:bCs/>
          <w:sz w:val="144"/>
          <w:szCs w:val="160"/>
        </w:rPr>
        <w:t xml:space="preserve"> </w:t>
      </w:r>
    </w:p>
    <w:p w14:paraId="4F7758EC">
      <w:pPr>
        <w:wordWrap w:val="0"/>
        <w:spacing w:after="156" w:afterLines="50" w:line="480" w:lineRule="auto"/>
        <w:jc w:val="right"/>
        <w:rPr>
          <w:rFonts w:hint="eastAsia" w:ascii="黑体" w:hAnsi="黑体" w:eastAsia="黑体" w:cs="Times New Roman"/>
          <w:b/>
          <w:bCs/>
          <w:sz w:val="44"/>
          <w:szCs w:val="44"/>
        </w:rPr>
      </w:pPr>
      <w:r>
        <w:rPr>
          <w:rFonts w:hint="eastAsia" w:ascii="黑体" w:hAnsi="黑体" w:eastAsia="黑体" w:cs="Times New Roman"/>
          <w:b/>
          <w:bCs/>
          <w:sz w:val="44"/>
          <w:szCs w:val="44"/>
        </w:rPr>
        <w:t xml:space="preserve">  地  方  标  准</w:t>
      </w:r>
    </w:p>
    <w:p w14:paraId="309B2E87">
      <w:pPr>
        <w:jc w:val="right"/>
        <w:rPr>
          <w:rFonts w:ascii="Times New Roman" w:hAnsi="Times New Roman" w:eastAsia="黑体" w:cs="Times New Roman"/>
          <w:b/>
          <w:bCs/>
          <w:sz w:val="24"/>
          <w:szCs w:val="24"/>
        </w:rPr>
      </w:pPr>
      <w:r>
        <w:rPr>
          <w:rFonts w:ascii="Times New Roman" w:hAnsi="Times New Roman" w:eastAsia="黑体" w:cs="Times New Roman"/>
          <w:b/>
          <w:bCs/>
          <w:sz w:val="24"/>
          <w:szCs w:val="24"/>
        </w:rPr>
        <mc:AlternateContent>
          <mc:Choice Requires="wps">
            <w:drawing>
              <wp:anchor distT="0" distB="0" distL="114300" distR="114300" simplePos="0" relativeHeight="251659264" behindDoc="0" locked="0" layoutInCell="1" allowOverlap="1">
                <wp:simplePos x="0" y="0"/>
                <wp:positionH relativeFrom="margin">
                  <wp:posOffset>0</wp:posOffset>
                </wp:positionH>
                <wp:positionV relativeFrom="paragraph">
                  <wp:posOffset>332740</wp:posOffset>
                </wp:positionV>
                <wp:extent cx="5939155" cy="12065"/>
                <wp:effectExtent l="0" t="4445" r="4445" b="12065"/>
                <wp:wrapNone/>
                <wp:docPr id="1370454978" name="直接连接符 1"/>
                <wp:cNvGraphicFramePr/>
                <a:graphic xmlns:a="http://schemas.openxmlformats.org/drawingml/2006/main">
                  <a:graphicData uri="http://schemas.microsoft.com/office/word/2010/wordprocessingShape">
                    <wps:wsp>
                      <wps:cNvCnPr/>
                      <wps:spPr>
                        <a:xfrm flipV="1">
                          <a:off x="0" y="0"/>
                          <a:ext cx="5939155" cy="1206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直接连接符 1" o:spid="_x0000_s1026" o:spt="20" style="position:absolute;left:0pt;flip:y;margin-left:0pt;margin-top:26.2pt;height:0.95pt;width:467.65pt;mso-position-horizontal-relative:margin;z-index:251659264;mso-width-relative:page;mso-height-relative:page;" filled="f" stroked="t" coordsize="21600,21600" o:gfxdata="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CvyUxT1QAAAAYBAAAPAAAAAAAAAAEAIAAAACIAAABkcnMvZG93bnJldi54bWxQSwEC&#10;FAAUAAAACACHTuJAG9AYLfcBAADIAwAADgAAAAAAAAABACAAAAAkAQAAZHJzL2Uyb0RvYy54bWxQ&#10;SwUGAAAAAAYABgBZAQAAjQUAAAAA&#10;">
                <v:fill on="f" focussize="0,0"/>
                <v:stroke weight="0.5pt" color="#000000 [3200]" miterlimit="8" joinstyle="miter"/>
                <v:imagedata o:title=""/>
                <o:lock v:ext="edit" aspectratio="f"/>
              </v:line>
            </w:pict>
          </mc:Fallback>
        </mc:AlternateContent>
      </w:r>
      <w:r>
        <w:rPr>
          <w:rFonts w:ascii="Times New Roman" w:hAnsi="Times New Roman" w:eastAsia="黑体" w:cs="Times New Roman"/>
          <w:b/>
          <w:bCs/>
          <w:sz w:val="24"/>
          <w:szCs w:val="24"/>
        </w:rPr>
        <w:t xml:space="preserve">DB </w:t>
      </w:r>
      <w:r>
        <w:rPr>
          <w:rFonts w:hint="eastAsia" w:ascii="Times New Roman" w:hAnsi="Times New Roman" w:eastAsia="黑体" w:cs="Times New Roman"/>
          <w:b/>
          <w:bCs/>
          <w:sz w:val="24"/>
          <w:szCs w:val="24"/>
        </w:rPr>
        <w:t>13</w:t>
      </w:r>
      <w:r>
        <w:rPr>
          <w:rFonts w:ascii="Times New Roman" w:hAnsi="Times New Roman" w:eastAsia="黑体" w:cs="Times New Roman"/>
          <w:b/>
          <w:bCs/>
          <w:sz w:val="24"/>
          <w:szCs w:val="24"/>
        </w:rPr>
        <w:t xml:space="preserve">/ </w:t>
      </w:r>
      <w:r>
        <w:rPr>
          <w:rFonts w:hint="eastAsia" w:ascii="Times New Roman" w:hAnsi="Times New Roman" w:eastAsia="黑体" w:cs="Times New Roman"/>
          <w:b/>
          <w:bCs/>
          <w:sz w:val="24"/>
          <w:szCs w:val="24"/>
        </w:rPr>
        <w:t xml:space="preserve">T </w:t>
      </w:r>
      <w:r>
        <w:rPr>
          <w:rFonts w:ascii="Times New Roman" w:hAnsi="Times New Roman" w:eastAsia="黑体" w:cs="Times New Roman"/>
          <w:b/>
          <w:bCs/>
          <w:sz w:val="24"/>
          <w:szCs w:val="24"/>
        </w:rPr>
        <w:t>XXXX-</w:t>
      </w:r>
      <w:r>
        <w:rPr>
          <w:rFonts w:hint="eastAsia" w:ascii="Times New Roman" w:hAnsi="Times New Roman" w:eastAsia="黑体" w:cs="Times New Roman"/>
          <w:b/>
          <w:bCs/>
          <w:sz w:val="24"/>
          <w:szCs w:val="24"/>
        </w:rPr>
        <w:t>2024</w:t>
      </w:r>
    </w:p>
    <w:p w14:paraId="4C54ADE2">
      <w:pPr>
        <w:jc w:val="right"/>
        <w:rPr>
          <w:rFonts w:hint="eastAsia" w:ascii="黑体" w:hAnsi="黑体" w:eastAsia="黑体" w:cs="Times New Roman"/>
          <w:b/>
          <w:bCs/>
          <w:sz w:val="24"/>
          <w:szCs w:val="24"/>
        </w:rPr>
      </w:pPr>
    </w:p>
    <w:p w14:paraId="679FA3D2">
      <w:pPr>
        <w:jc w:val="right"/>
        <w:rPr>
          <w:rFonts w:hint="eastAsia" w:ascii="黑体" w:hAnsi="黑体" w:eastAsia="黑体" w:cs="Times New Roman"/>
          <w:b/>
          <w:bCs/>
          <w:sz w:val="24"/>
          <w:szCs w:val="24"/>
        </w:rPr>
      </w:pPr>
    </w:p>
    <w:p w14:paraId="725C9EA1">
      <w:pPr>
        <w:jc w:val="right"/>
        <w:rPr>
          <w:rFonts w:hint="eastAsia" w:ascii="黑体" w:hAnsi="黑体" w:eastAsia="黑体" w:cs="Times New Roman"/>
          <w:b/>
          <w:bCs/>
          <w:sz w:val="24"/>
          <w:szCs w:val="24"/>
        </w:rPr>
      </w:pPr>
    </w:p>
    <w:p w14:paraId="07494B7C">
      <w:pPr>
        <w:rPr>
          <w:rFonts w:hint="eastAsia" w:ascii="黑体" w:hAnsi="黑体" w:eastAsia="黑体" w:cs="Times New Roman"/>
          <w:b/>
          <w:bCs/>
          <w:sz w:val="48"/>
          <w:szCs w:val="48"/>
        </w:rPr>
      </w:pPr>
    </w:p>
    <w:p w14:paraId="21E17B50">
      <w:pPr>
        <w:jc w:val="center"/>
        <w:rPr>
          <w:rFonts w:hint="eastAsia" w:ascii="黑体" w:hAnsi="黑体" w:eastAsia="黑体" w:cs="Times New Roman"/>
          <w:b/>
          <w:bCs/>
          <w:sz w:val="48"/>
          <w:szCs w:val="48"/>
        </w:rPr>
      </w:pPr>
    </w:p>
    <w:p w14:paraId="6244666E">
      <w:pPr>
        <w:jc w:val="center"/>
        <w:rPr>
          <w:rFonts w:hint="eastAsia" w:ascii="黑体" w:hAnsi="黑体" w:eastAsia="黑体" w:cs="Times New Roman"/>
          <w:b/>
          <w:bCs/>
          <w:sz w:val="52"/>
          <w:szCs w:val="52"/>
        </w:rPr>
      </w:pPr>
      <w:r>
        <w:rPr>
          <w:rFonts w:hint="eastAsia" w:ascii="黑体" w:hAnsi="黑体" w:eastAsia="黑体" w:cs="Times New Roman"/>
          <w:b/>
          <w:bCs/>
          <w:sz w:val="52"/>
          <w:szCs w:val="52"/>
        </w:rPr>
        <w:t>基于虚拟现实技术的</w:t>
      </w:r>
    </w:p>
    <w:p w14:paraId="751A76E7">
      <w:pPr>
        <w:jc w:val="center"/>
        <w:rPr>
          <w:rFonts w:hint="eastAsia" w:ascii="黑体" w:hAnsi="黑体" w:eastAsia="黑体" w:cs="Times New Roman"/>
          <w:b/>
          <w:bCs/>
          <w:sz w:val="44"/>
          <w:szCs w:val="44"/>
        </w:rPr>
      </w:pPr>
      <w:r>
        <w:rPr>
          <w:rFonts w:hint="eastAsia" w:ascii="黑体" w:hAnsi="黑体" w:eastAsia="黑体" w:cs="Times New Roman"/>
          <w:b/>
          <w:bCs/>
          <w:sz w:val="52"/>
          <w:szCs w:val="52"/>
        </w:rPr>
        <w:t>文化遗产数字体验空间建设技术要求</w:t>
      </w:r>
    </w:p>
    <w:p w14:paraId="1350802B">
      <w:pPr>
        <w:jc w:val="center"/>
        <w:rPr>
          <w:rFonts w:hint="eastAsia" w:ascii="黑体" w:hAnsi="黑体" w:eastAsia="黑体" w:cs="Times New Roman"/>
          <w:b/>
          <w:bCs/>
          <w:sz w:val="24"/>
          <w:szCs w:val="24"/>
        </w:rPr>
      </w:pPr>
    </w:p>
    <w:p w14:paraId="79A4350B">
      <w:pPr>
        <w:jc w:val="center"/>
        <w:rPr>
          <w:rFonts w:ascii="Times New Roman" w:hAnsi="Times New Roman" w:eastAsia="黑体" w:cs="Times New Roman"/>
          <w:b/>
          <w:bCs/>
          <w:sz w:val="28"/>
          <w:szCs w:val="28"/>
        </w:rPr>
      </w:pPr>
      <w:r>
        <w:rPr>
          <w:rFonts w:ascii="Times New Roman" w:hAnsi="Times New Roman" w:eastAsia="黑体" w:cs="Times New Roman"/>
          <w:b/>
          <w:bCs/>
          <w:sz w:val="28"/>
          <w:szCs w:val="28"/>
        </w:rPr>
        <w:t>Technical requirements for the construction of cultural heritage digital experience space based on virtual reality technology</w:t>
      </w:r>
    </w:p>
    <w:p w14:paraId="2B93DB23">
      <w:pPr>
        <w:jc w:val="center"/>
        <w:rPr>
          <w:rFonts w:ascii="Times New Roman" w:hAnsi="Times New Roman" w:cs="Times New Roman"/>
          <w:sz w:val="24"/>
          <w:szCs w:val="24"/>
        </w:rPr>
      </w:pPr>
    </w:p>
    <w:p w14:paraId="624A962B">
      <w:pPr>
        <w:jc w:val="center"/>
        <w:rPr>
          <w:rFonts w:hint="eastAsia" w:ascii="宋体" w:hAnsi="宋体" w:eastAsia="宋体" w:cs="Times New Roman"/>
          <w:sz w:val="24"/>
          <w:szCs w:val="24"/>
        </w:rPr>
      </w:pPr>
      <w:r>
        <w:rPr>
          <w:rFonts w:hint="eastAsia" w:ascii="宋体" w:hAnsi="宋体" w:eastAsia="宋体" w:cs="Times New Roman"/>
          <w:sz w:val="24"/>
          <w:szCs w:val="24"/>
        </w:rPr>
        <w:t>(征求意见稿)</w:t>
      </w:r>
    </w:p>
    <w:p w14:paraId="626FE242">
      <w:pPr>
        <w:jc w:val="center"/>
        <w:rPr>
          <w:rFonts w:hint="eastAsia" w:ascii="宋体" w:hAnsi="宋体" w:eastAsia="宋体" w:cs="Times New Roman"/>
          <w:sz w:val="24"/>
          <w:szCs w:val="24"/>
        </w:rPr>
      </w:pPr>
    </w:p>
    <w:p w14:paraId="7947FABB">
      <w:pPr>
        <w:jc w:val="center"/>
        <w:rPr>
          <w:rFonts w:hint="eastAsia" w:ascii="宋体" w:hAnsi="宋体" w:eastAsia="宋体" w:cs="Times New Roman"/>
          <w:sz w:val="24"/>
          <w:szCs w:val="24"/>
        </w:rPr>
      </w:pPr>
    </w:p>
    <w:p w14:paraId="596AC255">
      <w:pPr>
        <w:jc w:val="center"/>
        <w:rPr>
          <w:rFonts w:hint="eastAsia" w:ascii="宋体" w:hAnsi="宋体" w:eastAsia="宋体" w:cs="Times New Roman"/>
          <w:sz w:val="24"/>
          <w:szCs w:val="24"/>
        </w:rPr>
      </w:pPr>
    </w:p>
    <w:p w14:paraId="2C51F314">
      <w:pPr>
        <w:jc w:val="center"/>
        <w:rPr>
          <w:rFonts w:hint="eastAsia" w:ascii="宋体" w:hAnsi="宋体" w:eastAsia="宋体" w:cs="Times New Roman"/>
          <w:sz w:val="24"/>
          <w:szCs w:val="24"/>
        </w:rPr>
      </w:pPr>
    </w:p>
    <w:p w14:paraId="60F5FDF1">
      <w:pPr>
        <w:jc w:val="center"/>
        <w:rPr>
          <w:rFonts w:hint="eastAsia" w:ascii="宋体" w:hAnsi="宋体" w:eastAsia="宋体" w:cs="Times New Roman"/>
          <w:sz w:val="24"/>
          <w:szCs w:val="24"/>
        </w:rPr>
      </w:pPr>
    </w:p>
    <w:p w14:paraId="4034513C">
      <w:pPr>
        <w:jc w:val="center"/>
        <w:rPr>
          <w:rFonts w:hint="eastAsia" w:ascii="宋体" w:hAnsi="宋体" w:eastAsia="宋体" w:cs="Times New Roman"/>
          <w:sz w:val="24"/>
          <w:szCs w:val="24"/>
        </w:rPr>
      </w:pPr>
    </w:p>
    <w:p w14:paraId="7295C7A2">
      <w:pPr>
        <w:rPr>
          <w:rFonts w:hint="eastAsia" w:ascii="宋体" w:hAnsi="宋体" w:eastAsia="宋体" w:cs="Times New Roman"/>
          <w:sz w:val="24"/>
          <w:szCs w:val="24"/>
        </w:rPr>
      </w:pPr>
    </w:p>
    <w:p w14:paraId="77188769">
      <w:pPr>
        <w:jc w:val="center"/>
        <w:rPr>
          <w:rFonts w:hint="eastAsia" w:ascii="宋体" w:hAnsi="宋体" w:eastAsia="宋体" w:cs="Times New Roman"/>
          <w:sz w:val="24"/>
          <w:szCs w:val="24"/>
        </w:rPr>
      </w:pPr>
    </w:p>
    <w:p w14:paraId="030FC733">
      <w:pPr>
        <w:rPr>
          <w:rFonts w:hint="eastAsia" w:ascii="宋体" w:hAnsi="宋体" w:eastAsia="宋体" w:cs="Times New Roman"/>
          <w:sz w:val="24"/>
          <w:szCs w:val="24"/>
        </w:rPr>
      </w:pPr>
    </w:p>
    <w:p w14:paraId="0F59B357">
      <w:pPr>
        <w:jc w:val="center"/>
        <w:rPr>
          <w:rFonts w:hint="eastAsia" w:ascii="黑体" w:hAnsi="黑体" w:eastAsia="黑体" w:cs="Times New Roman"/>
          <w:sz w:val="28"/>
          <w:szCs w:val="28"/>
        </w:rPr>
      </w:pPr>
      <w:r>
        <w:rPr>
          <w:rFonts w:hint="eastAsia" w:ascii="黑体" w:hAnsi="黑体" w:eastAsia="黑体" w:cs="Times New Roman"/>
          <w:sz w:val="28"/>
          <w:szCs w:val="28"/>
        </w:rPr>
        <w:t>2024-XX-XX发布                               2024-XX-XX实施</w:t>
      </w:r>
    </w:p>
    <w:p w14:paraId="7F41D2D7">
      <w:pPr>
        <w:jc w:val="center"/>
        <w:rPr>
          <w:rFonts w:hint="eastAsia" w:ascii="黑体" w:hAnsi="黑体" w:eastAsia="黑体" w:cs="Times New Roman"/>
          <w:w w:val="150"/>
          <w:sz w:val="24"/>
          <w:szCs w:val="24"/>
        </w:rPr>
      </w:pPr>
      <w:r>
        <w:rPr>
          <w:rFonts w:hint="eastAsia" w:ascii="黑体" w:hAnsi="黑体" w:eastAsia="黑体" w:cs="Times New Roman"/>
          <w:b/>
          <w:bCs/>
          <w:sz w:val="24"/>
          <w:szCs w:val="24"/>
        </w:rPr>
        <mc:AlternateContent>
          <mc:Choice Requires="wps">
            <w:drawing>
              <wp:anchor distT="0" distB="0" distL="114300" distR="114300" simplePos="0" relativeHeight="251660288" behindDoc="0" locked="0" layoutInCell="1" allowOverlap="1">
                <wp:simplePos x="0" y="0"/>
                <wp:positionH relativeFrom="margin">
                  <wp:posOffset>128270</wp:posOffset>
                </wp:positionH>
                <wp:positionV relativeFrom="paragraph">
                  <wp:posOffset>41910</wp:posOffset>
                </wp:positionV>
                <wp:extent cx="5810885" cy="7620"/>
                <wp:effectExtent l="0" t="0" r="0" b="0"/>
                <wp:wrapNone/>
                <wp:docPr id="676456441" name="直接连接符 1"/>
                <wp:cNvGraphicFramePr/>
                <a:graphic xmlns:a="http://schemas.openxmlformats.org/drawingml/2006/main">
                  <a:graphicData uri="http://schemas.microsoft.com/office/word/2010/wordprocessingShape">
                    <wps:wsp>
                      <wps:cNvCnPr/>
                      <wps:spPr>
                        <a:xfrm flipV="1">
                          <a:off x="0" y="0"/>
                          <a:ext cx="5810885" cy="762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直接连接符 1" o:spid="_x0000_s1026" o:spt="20" style="position:absolute;left:0pt;flip:y;margin-left:10.1pt;margin-top:3.3pt;height:0.6pt;width:457.55pt;mso-position-horizontal-relative:margin;z-index:251660288;mso-width-relative:page;mso-height-relative:page;" filled="f" stroked="t" coordsize="21600,21600" o:gfxdata="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DCStqh1AAAAAYBAAAPAAAAAAAAAAEAIAAAACIAAABkcnMvZG93bnJldi54bWxQSwECFAAU&#10;AAAACACHTuJAh/vcoPUBAADGAwAADgAAAAAAAAABACAAAAAjAQAAZHJzL2Uyb0RvYy54bWxQSwUG&#10;AAAAAAYABgBZAQAAigUAAAAA&#10;">
                <v:fill on="f" focussize="0,0"/>
                <v:stroke weight="0.5pt" color="#000000 [3200]" miterlimit="8" joinstyle="miter"/>
                <v:imagedata o:title=""/>
                <o:lock v:ext="edit" aspectratio="f"/>
              </v:line>
            </w:pict>
          </mc:Fallback>
        </mc:AlternateContent>
      </w:r>
    </w:p>
    <w:p w14:paraId="1B4288D4">
      <w:pPr>
        <w:jc w:val="center"/>
        <w:rPr>
          <w:rFonts w:hint="eastAsia" w:ascii="黑体" w:hAnsi="黑体" w:eastAsia="黑体" w:cs="Times New Roman"/>
          <w:sz w:val="24"/>
          <w:szCs w:val="24"/>
        </w:rPr>
      </w:pPr>
      <w:r>
        <w:rPr>
          <w:rFonts w:hint="eastAsia" w:ascii="黑体" w:hAnsi="黑体" w:eastAsia="黑体" w:cs="Times New Roman"/>
          <w:w w:val="150"/>
          <w:sz w:val="24"/>
          <w:szCs w:val="24"/>
        </w:rPr>
        <w:t>河北省市场监督管理局</w:t>
      </w:r>
      <w:r>
        <w:rPr>
          <w:rFonts w:hint="eastAsia" w:ascii="黑体" w:hAnsi="黑体" w:eastAsia="黑体" w:cs="Times New Roman"/>
          <w:sz w:val="24"/>
          <w:szCs w:val="24"/>
        </w:rPr>
        <w:t xml:space="preserve">     </w:t>
      </w:r>
      <w:r>
        <w:rPr>
          <w:rFonts w:hint="eastAsia" w:ascii="黑体" w:hAnsi="黑体" w:eastAsia="黑体" w:cs="Times New Roman"/>
          <w:sz w:val="28"/>
          <w:szCs w:val="28"/>
        </w:rPr>
        <w:t>发 布</w:t>
      </w:r>
    </w:p>
    <w:p w14:paraId="5F456949">
      <w:pPr>
        <w:jc w:val="center"/>
        <w:rPr>
          <w:rFonts w:hint="eastAsia"/>
          <w:sz w:val="32"/>
          <w:szCs w:val="32"/>
        </w:rPr>
        <w:sectPr>
          <w:footerReference r:id="rId4" w:type="first"/>
          <w:footerReference r:id="rId3" w:type="default"/>
          <w:pgSz w:w="11906" w:h="16838"/>
          <w:pgMar w:top="567" w:right="1361" w:bottom="567" w:left="1361" w:header="1418" w:footer="1134" w:gutter="0"/>
          <w:pgNumType w:fmt="upperRoman" w:start="1"/>
          <w:cols w:space="425" w:num="1"/>
          <w:docGrid w:type="lines" w:linePitch="312" w:charSpace="0"/>
        </w:sectPr>
      </w:pPr>
    </w:p>
    <w:p w14:paraId="1525EC22">
      <w:pPr>
        <w:jc w:val="center"/>
        <w:rPr>
          <w:rFonts w:hint="eastAsia" w:ascii="黑体" w:hAnsi="黑体" w:eastAsia="黑体"/>
          <w:sz w:val="32"/>
          <w:szCs w:val="32"/>
        </w:rPr>
      </w:pPr>
      <w:r>
        <w:rPr>
          <w:rFonts w:hint="eastAsia" w:ascii="黑体" w:hAnsi="黑体" w:eastAsia="黑体"/>
          <w:sz w:val="32"/>
          <w:szCs w:val="32"/>
        </w:rPr>
        <w:t>目</w:t>
      </w:r>
      <w:bookmarkStart w:id="0" w:name="BKML"/>
      <w:r>
        <w:rPr>
          <w:rFonts w:hint="eastAsia" w:ascii="黑体" w:hAnsi="黑体" w:eastAsia="黑体"/>
          <w:sz w:val="32"/>
          <w:szCs w:val="32"/>
        </w:rPr>
        <w:t>  </w:t>
      </w:r>
      <w:r>
        <w:rPr>
          <w:rFonts w:hint="eastAsia" w:ascii="黑体" w:hAnsi="黑体" w:eastAsia="黑体" w:cs="黑体"/>
          <w:sz w:val="32"/>
          <w:szCs w:val="32"/>
        </w:rPr>
        <w:t>次</w:t>
      </w:r>
      <w:bookmarkEnd w:id="0"/>
    </w:p>
    <w:p w14:paraId="6EF00FD0">
      <w:pPr>
        <w:pStyle w:val="5"/>
        <w:spacing w:before="78" w:after="78" w:line="360" w:lineRule="auto"/>
        <w:rPr>
          <w:rFonts w:hint="eastAsia" w:hAnsi="宋体" w:eastAsia="宋体"/>
          <w:szCs w:val="22"/>
        </w:rPr>
      </w:pPr>
      <w:r>
        <w:rPr>
          <w:rFonts w:hint="eastAsia" w:hAnsi="宋体" w:eastAsia="宋体" w:cs="宋体"/>
        </w:rPr>
        <w:fldChar w:fldCharType="begin"/>
      </w:r>
      <w:r>
        <w:rPr>
          <w:rFonts w:hint="eastAsia" w:hAnsi="宋体" w:eastAsia="宋体" w:cs="宋体"/>
        </w:rPr>
        <w:instrText xml:space="preserve">TOC \o "1-3" \h \u </w:instrText>
      </w:r>
      <w:r>
        <w:rPr>
          <w:rFonts w:hint="eastAsia" w:hAnsi="宋体" w:eastAsia="宋体" w:cs="宋体"/>
        </w:rPr>
        <w:fldChar w:fldCharType="separate"/>
      </w:r>
      <w:r>
        <w:fldChar w:fldCharType="begin"/>
      </w:r>
      <w:r>
        <w:instrText xml:space="preserve"> HYPERLINK \l "_Toc181776888" </w:instrText>
      </w:r>
      <w:r>
        <w:fldChar w:fldCharType="separate"/>
      </w:r>
      <w:r>
        <w:rPr>
          <w:rStyle w:val="9"/>
          <w:rFonts w:hint="eastAsia" w:hAnsi="宋体" w:eastAsia="宋体" w:cs="黑体"/>
        </w:rPr>
        <w:t>前</w:t>
      </w:r>
      <w:r>
        <w:rPr>
          <w:rStyle w:val="9"/>
          <w:rFonts w:hAnsi="宋体" w:eastAsia="宋体" w:cs="MS Mincho"/>
        </w:rPr>
        <w:t>  </w:t>
      </w:r>
      <w:r>
        <w:rPr>
          <w:rStyle w:val="9"/>
          <w:rFonts w:hint="eastAsia" w:hAnsi="宋体" w:eastAsia="宋体" w:cs="黑体"/>
        </w:rPr>
        <w:t>言</w:t>
      </w:r>
      <w:r>
        <w:rPr>
          <w:rFonts w:hint="eastAsia" w:hAnsi="宋体" w:eastAsia="宋体"/>
        </w:rPr>
        <w:tab/>
      </w:r>
      <w:r>
        <w:rPr>
          <w:rFonts w:hint="eastAsia" w:hAnsi="宋体" w:eastAsia="宋体"/>
        </w:rPr>
        <w:fldChar w:fldCharType="begin"/>
      </w:r>
      <w:r>
        <w:rPr>
          <w:rFonts w:hint="eastAsia" w:hAnsi="宋体" w:eastAsia="宋体"/>
        </w:rPr>
        <w:instrText xml:space="preserve"> </w:instrText>
      </w:r>
      <w:r>
        <w:rPr>
          <w:rFonts w:hAnsi="宋体" w:eastAsia="宋体"/>
        </w:rPr>
        <w:instrText xml:space="preserve">PAGEREF _Toc181776888 \h</w:instrText>
      </w:r>
      <w:r>
        <w:rPr>
          <w:rFonts w:hint="eastAsia" w:hAnsi="宋体" w:eastAsia="宋体"/>
        </w:rPr>
        <w:instrText xml:space="preserve"> </w:instrText>
      </w:r>
      <w:r>
        <w:rPr>
          <w:rFonts w:hint="eastAsia" w:hAnsi="宋体" w:eastAsia="宋体"/>
        </w:rPr>
        <w:fldChar w:fldCharType="separate"/>
      </w:r>
      <w:r>
        <w:rPr>
          <w:rFonts w:hint="eastAsia" w:hAnsi="宋体" w:eastAsia="宋体"/>
        </w:rPr>
        <w:t>I</w:t>
      </w:r>
      <w:r>
        <w:rPr>
          <w:rFonts w:hint="eastAsia" w:hAnsi="宋体" w:eastAsia="宋体"/>
        </w:rPr>
        <w:fldChar w:fldCharType="end"/>
      </w:r>
      <w:r>
        <w:rPr>
          <w:rFonts w:hint="eastAsia" w:hAnsi="宋体" w:eastAsia="宋体"/>
        </w:rPr>
        <w:fldChar w:fldCharType="end"/>
      </w:r>
    </w:p>
    <w:p w14:paraId="0A9B934E">
      <w:pPr>
        <w:pStyle w:val="6"/>
        <w:spacing w:line="360" w:lineRule="auto"/>
        <w:rPr>
          <w:rFonts w:hint="eastAsia" w:hAnsi="宋体" w:eastAsia="宋体"/>
          <w:szCs w:val="22"/>
        </w:rPr>
      </w:pPr>
      <w:r>
        <w:fldChar w:fldCharType="begin"/>
      </w:r>
      <w:r>
        <w:instrText xml:space="preserve"> HYPERLINK \l "_Toc181776889" </w:instrText>
      </w:r>
      <w:r>
        <w:fldChar w:fldCharType="separate"/>
      </w:r>
      <w:r>
        <w:rPr>
          <w:rStyle w:val="9"/>
          <w:rFonts w:hint="eastAsia" w:hAnsi="宋体" w:eastAsia="宋体" w:cs="黑体"/>
        </w:rPr>
        <w:t>1 范围</w:t>
      </w:r>
      <w:r>
        <w:rPr>
          <w:rFonts w:hint="eastAsia" w:hAnsi="宋体" w:eastAsia="宋体"/>
        </w:rPr>
        <w:tab/>
      </w:r>
      <w:r>
        <w:rPr>
          <w:rFonts w:hint="eastAsia" w:hAnsi="宋体" w:eastAsia="宋体"/>
        </w:rPr>
        <w:fldChar w:fldCharType="begin"/>
      </w:r>
      <w:r>
        <w:rPr>
          <w:rFonts w:hint="eastAsia" w:hAnsi="宋体" w:eastAsia="宋体"/>
        </w:rPr>
        <w:instrText xml:space="preserve"> </w:instrText>
      </w:r>
      <w:r>
        <w:rPr>
          <w:rFonts w:hAnsi="宋体" w:eastAsia="宋体"/>
        </w:rPr>
        <w:instrText xml:space="preserve">PAGEREF _Toc181776889 \h</w:instrText>
      </w:r>
      <w:r>
        <w:rPr>
          <w:rFonts w:hint="eastAsia" w:hAnsi="宋体" w:eastAsia="宋体"/>
        </w:rPr>
        <w:instrText xml:space="preserve"> </w:instrText>
      </w:r>
      <w:r>
        <w:rPr>
          <w:rFonts w:hint="eastAsia" w:hAnsi="宋体" w:eastAsia="宋体"/>
        </w:rPr>
        <w:fldChar w:fldCharType="separate"/>
      </w:r>
      <w:r>
        <w:rPr>
          <w:rFonts w:hint="eastAsia" w:hAnsi="宋体" w:eastAsia="宋体"/>
        </w:rPr>
        <w:t>1</w:t>
      </w:r>
      <w:r>
        <w:rPr>
          <w:rFonts w:hint="eastAsia" w:hAnsi="宋体" w:eastAsia="宋体"/>
        </w:rPr>
        <w:fldChar w:fldCharType="end"/>
      </w:r>
      <w:r>
        <w:rPr>
          <w:rFonts w:hint="eastAsia" w:hAnsi="宋体" w:eastAsia="宋体"/>
        </w:rPr>
        <w:fldChar w:fldCharType="end"/>
      </w:r>
    </w:p>
    <w:p w14:paraId="0D6ECAD1">
      <w:pPr>
        <w:pStyle w:val="6"/>
        <w:spacing w:line="360" w:lineRule="auto"/>
        <w:rPr>
          <w:rFonts w:hint="eastAsia" w:hAnsi="宋体" w:eastAsia="宋体"/>
          <w:szCs w:val="22"/>
        </w:rPr>
      </w:pPr>
      <w:r>
        <w:fldChar w:fldCharType="begin"/>
      </w:r>
      <w:r>
        <w:instrText xml:space="preserve"> HYPERLINK \l "_Toc181776890" </w:instrText>
      </w:r>
      <w:r>
        <w:fldChar w:fldCharType="separate"/>
      </w:r>
      <w:r>
        <w:rPr>
          <w:rStyle w:val="9"/>
          <w:rFonts w:hint="eastAsia" w:hAnsi="宋体" w:eastAsia="宋体" w:cs="黑体"/>
        </w:rPr>
        <w:t>2 规范性引用文件</w:t>
      </w:r>
      <w:r>
        <w:rPr>
          <w:rFonts w:hint="eastAsia" w:hAnsi="宋体" w:eastAsia="宋体"/>
        </w:rPr>
        <w:tab/>
      </w:r>
      <w:r>
        <w:rPr>
          <w:rFonts w:hint="eastAsia" w:hAnsi="宋体" w:eastAsia="宋体"/>
        </w:rPr>
        <w:fldChar w:fldCharType="begin"/>
      </w:r>
      <w:r>
        <w:rPr>
          <w:rFonts w:hint="eastAsia" w:hAnsi="宋体" w:eastAsia="宋体"/>
        </w:rPr>
        <w:instrText xml:space="preserve"> </w:instrText>
      </w:r>
      <w:r>
        <w:rPr>
          <w:rFonts w:hAnsi="宋体" w:eastAsia="宋体"/>
        </w:rPr>
        <w:instrText xml:space="preserve">PAGEREF _Toc181776890 \h</w:instrText>
      </w:r>
      <w:r>
        <w:rPr>
          <w:rFonts w:hint="eastAsia" w:hAnsi="宋体" w:eastAsia="宋体"/>
        </w:rPr>
        <w:instrText xml:space="preserve"> </w:instrText>
      </w:r>
      <w:r>
        <w:rPr>
          <w:rFonts w:hint="eastAsia" w:hAnsi="宋体" w:eastAsia="宋体"/>
        </w:rPr>
        <w:fldChar w:fldCharType="separate"/>
      </w:r>
      <w:r>
        <w:rPr>
          <w:rFonts w:hint="eastAsia" w:hAnsi="宋体" w:eastAsia="宋体"/>
        </w:rPr>
        <w:t>1</w:t>
      </w:r>
      <w:r>
        <w:rPr>
          <w:rFonts w:hint="eastAsia" w:hAnsi="宋体" w:eastAsia="宋体"/>
        </w:rPr>
        <w:fldChar w:fldCharType="end"/>
      </w:r>
      <w:r>
        <w:rPr>
          <w:rFonts w:hint="eastAsia" w:hAnsi="宋体" w:eastAsia="宋体"/>
        </w:rPr>
        <w:fldChar w:fldCharType="end"/>
      </w:r>
    </w:p>
    <w:p w14:paraId="6E675F3B">
      <w:pPr>
        <w:pStyle w:val="6"/>
        <w:spacing w:line="360" w:lineRule="auto"/>
        <w:rPr>
          <w:rFonts w:hint="eastAsia" w:hAnsi="宋体" w:eastAsia="宋体"/>
          <w:szCs w:val="22"/>
        </w:rPr>
      </w:pPr>
      <w:r>
        <w:fldChar w:fldCharType="begin"/>
      </w:r>
      <w:r>
        <w:instrText xml:space="preserve"> HYPERLINK \l "_Toc181776891" </w:instrText>
      </w:r>
      <w:r>
        <w:fldChar w:fldCharType="separate"/>
      </w:r>
      <w:r>
        <w:rPr>
          <w:rStyle w:val="9"/>
          <w:rFonts w:hint="eastAsia" w:hAnsi="宋体" w:eastAsia="宋体" w:cs="黑体"/>
        </w:rPr>
        <w:t>3 术语和定义</w:t>
      </w:r>
      <w:r>
        <w:rPr>
          <w:rFonts w:hint="eastAsia" w:hAnsi="宋体" w:eastAsia="宋体"/>
        </w:rPr>
        <w:tab/>
      </w:r>
      <w:r>
        <w:rPr>
          <w:rFonts w:hint="eastAsia" w:hAnsi="宋体" w:eastAsia="宋体"/>
        </w:rPr>
        <w:fldChar w:fldCharType="begin"/>
      </w:r>
      <w:r>
        <w:rPr>
          <w:rFonts w:hint="eastAsia" w:hAnsi="宋体" w:eastAsia="宋体"/>
        </w:rPr>
        <w:instrText xml:space="preserve"> </w:instrText>
      </w:r>
      <w:r>
        <w:rPr>
          <w:rFonts w:hAnsi="宋体" w:eastAsia="宋体"/>
        </w:rPr>
        <w:instrText xml:space="preserve">PAGEREF _Toc181776891 \h</w:instrText>
      </w:r>
      <w:r>
        <w:rPr>
          <w:rFonts w:hint="eastAsia" w:hAnsi="宋体" w:eastAsia="宋体"/>
        </w:rPr>
        <w:instrText xml:space="preserve"> </w:instrText>
      </w:r>
      <w:r>
        <w:rPr>
          <w:rFonts w:hint="eastAsia" w:hAnsi="宋体" w:eastAsia="宋体"/>
        </w:rPr>
        <w:fldChar w:fldCharType="separate"/>
      </w:r>
      <w:r>
        <w:rPr>
          <w:rFonts w:hint="eastAsia" w:hAnsi="宋体" w:eastAsia="宋体"/>
        </w:rPr>
        <w:t>1</w:t>
      </w:r>
      <w:r>
        <w:rPr>
          <w:rFonts w:hint="eastAsia" w:hAnsi="宋体" w:eastAsia="宋体"/>
        </w:rPr>
        <w:fldChar w:fldCharType="end"/>
      </w:r>
      <w:r>
        <w:rPr>
          <w:rFonts w:hint="eastAsia" w:hAnsi="宋体" w:eastAsia="宋体"/>
        </w:rPr>
        <w:fldChar w:fldCharType="end"/>
      </w:r>
    </w:p>
    <w:p w14:paraId="4BD2B46A">
      <w:pPr>
        <w:pStyle w:val="6"/>
        <w:spacing w:line="360" w:lineRule="auto"/>
        <w:rPr>
          <w:rFonts w:hint="eastAsia" w:hAnsi="宋体" w:eastAsia="宋体"/>
          <w:szCs w:val="22"/>
        </w:rPr>
      </w:pPr>
      <w:r>
        <w:fldChar w:fldCharType="begin"/>
      </w:r>
      <w:r>
        <w:instrText xml:space="preserve"> HYPERLINK \l "_Toc181776917" </w:instrText>
      </w:r>
      <w:r>
        <w:fldChar w:fldCharType="separate"/>
      </w:r>
      <w:r>
        <w:rPr>
          <w:rStyle w:val="9"/>
          <w:rFonts w:hint="eastAsia" w:hAnsi="宋体" w:eastAsia="宋体" w:cs="黑体"/>
        </w:rPr>
        <w:t>4 缩略语</w:t>
      </w:r>
      <w:r>
        <w:rPr>
          <w:rFonts w:hint="eastAsia" w:hAnsi="宋体" w:eastAsia="宋体"/>
        </w:rPr>
        <w:tab/>
      </w:r>
      <w:r>
        <w:rPr>
          <w:rFonts w:hint="eastAsia" w:hAnsi="宋体" w:eastAsia="宋体"/>
        </w:rPr>
        <w:fldChar w:fldCharType="begin"/>
      </w:r>
      <w:r>
        <w:rPr>
          <w:rFonts w:hint="eastAsia" w:hAnsi="宋体" w:eastAsia="宋体"/>
        </w:rPr>
        <w:instrText xml:space="preserve"> </w:instrText>
      </w:r>
      <w:r>
        <w:rPr>
          <w:rFonts w:hAnsi="宋体" w:eastAsia="宋体"/>
        </w:rPr>
        <w:instrText xml:space="preserve">PAGEREF _Toc181776917 \h</w:instrText>
      </w:r>
      <w:r>
        <w:rPr>
          <w:rFonts w:hint="eastAsia" w:hAnsi="宋体" w:eastAsia="宋体"/>
        </w:rPr>
        <w:instrText xml:space="preserve"> </w:instrText>
      </w:r>
      <w:r>
        <w:rPr>
          <w:rFonts w:hint="eastAsia" w:hAnsi="宋体" w:eastAsia="宋体"/>
        </w:rPr>
        <w:fldChar w:fldCharType="separate"/>
      </w:r>
      <w:r>
        <w:rPr>
          <w:rFonts w:hint="eastAsia" w:hAnsi="宋体" w:eastAsia="宋体"/>
        </w:rPr>
        <w:t>3</w:t>
      </w:r>
      <w:r>
        <w:rPr>
          <w:rFonts w:hint="eastAsia" w:hAnsi="宋体" w:eastAsia="宋体"/>
        </w:rPr>
        <w:fldChar w:fldCharType="end"/>
      </w:r>
      <w:r>
        <w:rPr>
          <w:rFonts w:hint="eastAsia" w:hAnsi="宋体" w:eastAsia="宋体"/>
        </w:rPr>
        <w:fldChar w:fldCharType="end"/>
      </w:r>
    </w:p>
    <w:p w14:paraId="6D602B0F">
      <w:pPr>
        <w:pStyle w:val="6"/>
        <w:spacing w:line="360" w:lineRule="auto"/>
        <w:rPr>
          <w:rFonts w:hint="eastAsia" w:hAnsi="宋体" w:eastAsia="宋体"/>
          <w:szCs w:val="22"/>
        </w:rPr>
      </w:pPr>
      <w:r>
        <w:fldChar w:fldCharType="begin"/>
      </w:r>
      <w:r>
        <w:instrText xml:space="preserve"> HYPERLINK \l "_Toc181776918" </w:instrText>
      </w:r>
      <w:r>
        <w:fldChar w:fldCharType="separate"/>
      </w:r>
      <w:r>
        <w:rPr>
          <w:rStyle w:val="9"/>
          <w:rFonts w:hint="eastAsia" w:hAnsi="宋体" w:eastAsia="宋体" w:cs="黑体"/>
        </w:rPr>
        <w:t>5 体验空间基本要求</w:t>
      </w:r>
      <w:r>
        <w:rPr>
          <w:rFonts w:hint="eastAsia" w:hAnsi="宋体" w:eastAsia="宋体"/>
        </w:rPr>
        <w:tab/>
      </w:r>
      <w:r>
        <w:rPr>
          <w:rFonts w:hint="eastAsia" w:hAnsi="宋体" w:eastAsia="宋体"/>
        </w:rPr>
        <w:fldChar w:fldCharType="begin"/>
      </w:r>
      <w:r>
        <w:rPr>
          <w:rFonts w:hint="eastAsia" w:hAnsi="宋体" w:eastAsia="宋体"/>
        </w:rPr>
        <w:instrText xml:space="preserve"> </w:instrText>
      </w:r>
      <w:r>
        <w:rPr>
          <w:rFonts w:hAnsi="宋体" w:eastAsia="宋体"/>
        </w:rPr>
        <w:instrText xml:space="preserve">PAGEREF _Toc181776918 \h</w:instrText>
      </w:r>
      <w:r>
        <w:rPr>
          <w:rFonts w:hint="eastAsia" w:hAnsi="宋体" w:eastAsia="宋体"/>
        </w:rPr>
        <w:instrText xml:space="preserve"> </w:instrText>
      </w:r>
      <w:r>
        <w:rPr>
          <w:rFonts w:hint="eastAsia" w:hAnsi="宋体" w:eastAsia="宋体"/>
        </w:rPr>
        <w:fldChar w:fldCharType="separate"/>
      </w:r>
      <w:r>
        <w:rPr>
          <w:rFonts w:hint="eastAsia" w:hAnsi="宋体" w:eastAsia="宋体"/>
        </w:rPr>
        <w:t>4</w:t>
      </w:r>
      <w:r>
        <w:rPr>
          <w:rFonts w:hint="eastAsia" w:hAnsi="宋体" w:eastAsia="宋体"/>
        </w:rPr>
        <w:fldChar w:fldCharType="end"/>
      </w:r>
      <w:r>
        <w:rPr>
          <w:rFonts w:hint="eastAsia" w:hAnsi="宋体" w:eastAsia="宋体"/>
        </w:rPr>
        <w:fldChar w:fldCharType="end"/>
      </w:r>
    </w:p>
    <w:p w14:paraId="1D60D583">
      <w:pPr>
        <w:pStyle w:val="2"/>
        <w:spacing w:line="360" w:lineRule="auto"/>
        <w:ind w:firstLine="210"/>
        <w:rPr>
          <w:rFonts w:hint="eastAsia" w:hAnsi="宋体" w:eastAsia="宋体"/>
          <w:szCs w:val="22"/>
        </w:rPr>
      </w:pPr>
      <w:r>
        <w:fldChar w:fldCharType="begin"/>
      </w:r>
      <w:r>
        <w:instrText xml:space="preserve"> HYPERLINK \l "_Toc181776919" </w:instrText>
      </w:r>
      <w:r>
        <w:fldChar w:fldCharType="separate"/>
      </w:r>
      <w:r>
        <w:rPr>
          <w:rStyle w:val="9"/>
          <w:rFonts w:hint="eastAsia" w:hAnsi="宋体" w:eastAsia="宋体"/>
        </w:rPr>
        <w:t>5.1</w:t>
      </w:r>
      <w:r>
        <w:rPr>
          <w:rStyle w:val="9"/>
          <w:rFonts w:hint="eastAsia" w:hAnsi="宋体" w:eastAsia="宋体" w:cs="黑体"/>
        </w:rPr>
        <w:t xml:space="preserve"> 体验场地要求</w:t>
      </w:r>
      <w:r>
        <w:rPr>
          <w:rFonts w:hint="eastAsia" w:hAnsi="宋体" w:eastAsia="宋体"/>
        </w:rPr>
        <w:tab/>
      </w:r>
      <w:r>
        <w:rPr>
          <w:rFonts w:hint="eastAsia" w:hAnsi="宋体" w:eastAsia="宋体"/>
        </w:rPr>
        <w:fldChar w:fldCharType="begin"/>
      </w:r>
      <w:r>
        <w:rPr>
          <w:rFonts w:hint="eastAsia" w:hAnsi="宋体" w:eastAsia="宋体"/>
        </w:rPr>
        <w:instrText xml:space="preserve"> </w:instrText>
      </w:r>
      <w:r>
        <w:rPr>
          <w:rFonts w:hAnsi="宋体" w:eastAsia="宋体"/>
        </w:rPr>
        <w:instrText xml:space="preserve">PAGEREF _Toc181776919 \h</w:instrText>
      </w:r>
      <w:r>
        <w:rPr>
          <w:rFonts w:hint="eastAsia" w:hAnsi="宋体" w:eastAsia="宋体"/>
        </w:rPr>
        <w:instrText xml:space="preserve"> </w:instrText>
      </w:r>
      <w:r>
        <w:rPr>
          <w:rFonts w:hint="eastAsia" w:hAnsi="宋体" w:eastAsia="宋体"/>
        </w:rPr>
        <w:fldChar w:fldCharType="separate"/>
      </w:r>
      <w:r>
        <w:rPr>
          <w:rFonts w:hint="eastAsia" w:hAnsi="宋体" w:eastAsia="宋体"/>
        </w:rPr>
        <w:t>4</w:t>
      </w:r>
      <w:r>
        <w:rPr>
          <w:rFonts w:hint="eastAsia" w:hAnsi="宋体" w:eastAsia="宋体"/>
        </w:rPr>
        <w:fldChar w:fldCharType="end"/>
      </w:r>
      <w:r>
        <w:rPr>
          <w:rFonts w:hint="eastAsia" w:hAnsi="宋体" w:eastAsia="宋体"/>
        </w:rPr>
        <w:fldChar w:fldCharType="end"/>
      </w:r>
    </w:p>
    <w:p w14:paraId="26EBCE32">
      <w:pPr>
        <w:pStyle w:val="2"/>
        <w:spacing w:line="360" w:lineRule="auto"/>
        <w:ind w:firstLine="210"/>
        <w:rPr>
          <w:rFonts w:hint="eastAsia" w:hAnsi="宋体" w:eastAsia="宋体"/>
          <w:szCs w:val="22"/>
        </w:rPr>
      </w:pPr>
      <w:r>
        <w:fldChar w:fldCharType="begin"/>
      </w:r>
      <w:r>
        <w:instrText xml:space="preserve"> HYPERLINK \l "_Toc181776920" </w:instrText>
      </w:r>
      <w:r>
        <w:fldChar w:fldCharType="separate"/>
      </w:r>
      <w:r>
        <w:rPr>
          <w:rStyle w:val="9"/>
          <w:rFonts w:hint="eastAsia" w:hAnsi="宋体" w:eastAsia="宋体"/>
        </w:rPr>
        <w:t>5.2</w:t>
      </w:r>
      <w:r>
        <w:rPr>
          <w:rStyle w:val="9"/>
          <w:rFonts w:hint="eastAsia" w:hAnsi="宋体" w:eastAsia="宋体" w:cs="黑体"/>
        </w:rPr>
        <w:t xml:space="preserve"> 服务设施要求</w:t>
      </w:r>
      <w:r>
        <w:rPr>
          <w:rFonts w:hint="eastAsia" w:hAnsi="宋体" w:eastAsia="宋体"/>
        </w:rPr>
        <w:tab/>
      </w:r>
      <w:r>
        <w:rPr>
          <w:rFonts w:hint="eastAsia" w:hAnsi="宋体" w:eastAsia="宋体"/>
        </w:rPr>
        <w:fldChar w:fldCharType="begin"/>
      </w:r>
      <w:r>
        <w:rPr>
          <w:rFonts w:hint="eastAsia" w:hAnsi="宋体" w:eastAsia="宋体"/>
        </w:rPr>
        <w:instrText xml:space="preserve"> </w:instrText>
      </w:r>
      <w:r>
        <w:rPr>
          <w:rFonts w:hAnsi="宋体" w:eastAsia="宋体"/>
        </w:rPr>
        <w:instrText xml:space="preserve">PAGEREF _Toc181776920 \h</w:instrText>
      </w:r>
      <w:r>
        <w:rPr>
          <w:rFonts w:hint="eastAsia" w:hAnsi="宋体" w:eastAsia="宋体"/>
        </w:rPr>
        <w:instrText xml:space="preserve"> </w:instrText>
      </w:r>
      <w:r>
        <w:rPr>
          <w:rFonts w:hint="eastAsia" w:hAnsi="宋体" w:eastAsia="宋体"/>
        </w:rPr>
        <w:fldChar w:fldCharType="separate"/>
      </w:r>
      <w:r>
        <w:rPr>
          <w:rFonts w:hint="eastAsia" w:hAnsi="宋体" w:eastAsia="宋体"/>
        </w:rPr>
        <w:t>4</w:t>
      </w:r>
      <w:r>
        <w:rPr>
          <w:rFonts w:hint="eastAsia" w:hAnsi="宋体" w:eastAsia="宋体"/>
        </w:rPr>
        <w:fldChar w:fldCharType="end"/>
      </w:r>
      <w:r>
        <w:rPr>
          <w:rFonts w:hint="eastAsia" w:hAnsi="宋体" w:eastAsia="宋体"/>
        </w:rPr>
        <w:fldChar w:fldCharType="end"/>
      </w:r>
    </w:p>
    <w:p w14:paraId="3F521234">
      <w:pPr>
        <w:pStyle w:val="2"/>
        <w:spacing w:line="360" w:lineRule="auto"/>
        <w:ind w:firstLine="210"/>
        <w:rPr>
          <w:rFonts w:hint="eastAsia" w:hAnsi="宋体" w:eastAsia="宋体"/>
          <w:szCs w:val="22"/>
        </w:rPr>
      </w:pPr>
      <w:r>
        <w:fldChar w:fldCharType="begin"/>
      </w:r>
      <w:r>
        <w:instrText xml:space="preserve"> HYPERLINK \l "_Toc181776921" </w:instrText>
      </w:r>
      <w:r>
        <w:fldChar w:fldCharType="separate"/>
      </w:r>
      <w:r>
        <w:rPr>
          <w:rStyle w:val="9"/>
          <w:rFonts w:hint="eastAsia" w:hAnsi="宋体" w:eastAsia="宋体"/>
        </w:rPr>
        <w:t>5.3</w:t>
      </w:r>
      <w:r>
        <w:rPr>
          <w:rStyle w:val="9"/>
          <w:rFonts w:hint="eastAsia" w:hAnsi="宋体" w:eastAsia="宋体" w:cs="黑体"/>
        </w:rPr>
        <w:t xml:space="preserve"> 服务人员要求</w:t>
      </w:r>
      <w:r>
        <w:rPr>
          <w:rFonts w:hint="eastAsia" w:hAnsi="宋体" w:eastAsia="宋体"/>
        </w:rPr>
        <w:tab/>
      </w:r>
      <w:r>
        <w:rPr>
          <w:rFonts w:hint="eastAsia" w:hAnsi="宋体" w:eastAsia="宋体"/>
        </w:rPr>
        <w:fldChar w:fldCharType="begin"/>
      </w:r>
      <w:r>
        <w:rPr>
          <w:rFonts w:hint="eastAsia" w:hAnsi="宋体" w:eastAsia="宋体"/>
        </w:rPr>
        <w:instrText xml:space="preserve"> </w:instrText>
      </w:r>
      <w:r>
        <w:rPr>
          <w:rFonts w:hAnsi="宋体" w:eastAsia="宋体"/>
        </w:rPr>
        <w:instrText xml:space="preserve">PAGEREF _Toc181776921 \h</w:instrText>
      </w:r>
      <w:r>
        <w:rPr>
          <w:rFonts w:hint="eastAsia" w:hAnsi="宋体" w:eastAsia="宋体"/>
        </w:rPr>
        <w:instrText xml:space="preserve"> </w:instrText>
      </w:r>
      <w:r>
        <w:rPr>
          <w:rFonts w:hint="eastAsia" w:hAnsi="宋体" w:eastAsia="宋体"/>
        </w:rPr>
        <w:fldChar w:fldCharType="separate"/>
      </w:r>
      <w:r>
        <w:rPr>
          <w:rFonts w:hint="eastAsia" w:hAnsi="宋体" w:eastAsia="宋体"/>
        </w:rPr>
        <w:t>4</w:t>
      </w:r>
      <w:r>
        <w:rPr>
          <w:rFonts w:hint="eastAsia" w:hAnsi="宋体" w:eastAsia="宋体"/>
        </w:rPr>
        <w:fldChar w:fldCharType="end"/>
      </w:r>
      <w:r>
        <w:rPr>
          <w:rFonts w:hint="eastAsia" w:hAnsi="宋体" w:eastAsia="宋体"/>
        </w:rPr>
        <w:fldChar w:fldCharType="end"/>
      </w:r>
    </w:p>
    <w:p w14:paraId="4A913E04">
      <w:pPr>
        <w:pStyle w:val="2"/>
        <w:spacing w:line="360" w:lineRule="auto"/>
        <w:ind w:firstLine="210"/>
        <w:rPr>
          <w:rFonts w:hint="eastAsia" w:hAnsi="宋体" w:eastAsia="宋体"/>
          <w:szCs w:val="22"/>
        </w:rPr>
      </w:pPr>
      <w:r>
        <w:fldChar w:fldCharType="begin"/>
      </w:r>
      <w:r>
        <w:instrText xml:space="preserve"> HYPERLINK \l "_Toc181776922" </w:instrText>
      </w:r>
      <w:r>
        <w:fldChar w:fldCharType="separate"/>
      </w:r>
      <w:r>
        <w:rPr>
          <w:rStyle w:val="9"/>
          <w:rFonts w:hint="eastAsia" w:hAnsi="宋体" w:eastAsia="宋体"/>
        </w:rPr>
        <w:t>5.4</w:t>
      </w:r>
      <w:r>
        <w:rPr>
          <w:rStyle w:val="9"/>
          <w:rFonts w:hint="eastAsia" w:hAnsi="宋体" w:eastAsia="宋体" w:cs="黑体"/>
        </w:rPr>
        <w:t xml:space="preserve"> 其他服务要求</w:t>
      </w:r>
      <w:r>
        <w:rPr>
          <w:rFonts w:hint="eastAsia" w:hAnsi="宋体" w:eastAsia="宋体"/>
        </w:rPr>
        <w:tab/>
      </w:r>
      <w:r>
        <w:rPr>
          <w:rFonts w:hint="eastAsia" w:hAnsi="宋体" w:eastAsia="宋体"/>
        </w:rPr>
        <w:fldChar w:fldCharType="begin"/>
      </w:r>
      <w:r>
        <w:rPr>
          <w:rFonts w:hint="eastAsia" w:hAnsi="宋体" w:eastAsia="宋体"/>
        </w:rPr>
        <w:instrText xml:space="preserve"> </w:instrText>
      </w:r>
      <w:r>
        <w:rPr>
          <w:rFonts w:hAnsi="宋体" w:eastAsia="宋体"/>
        </w:rPr>
        <w:instrText xml:space="preserve">PAGEREF _Toc181776922 \h</w:instrText>
      </w:r>
      <w:r>
        <w:rPr>
          <w:rFonts w:hint="eastAsia" w:hAnsi="宋体" w:eastAsia="宋体"/>
        </w:rPr>
        <w:instrText xml:space="preserve"> </w:instrText>
      </w:r>
      <w:r>
        <w:rPr>
          <w:rFonts w:hint="eastAsia" w:hAnsi="宋体" w:eastAsia="宋体"/>
        </w:rPr>
        <w:fldChar w:fldCharType="separate"/>
      </w:r>
      <w:r>
        <w:rPr>
          <w:rFonts w:hint="eastAsia" w:hAnsi="宋体" w:eastAsia="宋体"/>
        </w:rPr>
        <w:t>4</w:t>
      </w:r>
      <w:r>
        <w:rPr>
          <w:rFonts w:hint="eastAsia" w:hAnsi="宋体" w:eastAsia="宋体"/>
        </w:rPr>
        <w:fldChar w:fldCharType="end"/>
      </w:r>
      <w:r>
        <w:rPr>
          <w:rFonts w:hint="eastAsia" w:hAnsi="宋体" w:eastAsia="宋体"/>
        </w:rPr>
        <w:fldChar w:fldCharType="end"/>
      </w:r>
    </w:p>
    <w:p w14:paraId="4104F339">
      <w:pPr>
        <w:pStyle w:val="6"/>
        <w:spacing w:line="360" w:lineRule="auto"/>
        <w:rPr>
          <w:rFonts w:hint="eastAsia" w:hAnsi="宋体" w:eastAsia="宋体"/>
          <w:szCs w:val="22"/>
        </w:rPr>
      </w:pPr>
      <w:r>
        <w:fldChar w:fldCharType="begin"/>
      </w:r>
      <w:r>
        <w:instrText xml:space="preserve"> HYPERLINK \l "_Toc181776923" </w:instrText>
      </w:r>
      <w:r>
        <w:fldChar w:fldCharType="separate"/>
      </w:r>
      <w:r>
        <w:rPr>
          <w:rStyle w:val="9"/>
          <w:rFonts w:hint="eastAsia" w:hAnsi="宋体" w:eastAsia="宋体" w:cs="黑体"/>
        </w:rPr>
        <w:t>6 关键设备技术要求</w:t>
      </w:r>
      <w:r>
        <w:rPr>
          <w:rFonts w:hint="eastAsia" w:hAnsi="宋体" w:eastAsia="宋体"/>
        </w:rPr>
        <w:tab/>
      </w:r>
      <w:r>
        <w:rPr>
          <w:rFonts w:hint="eastAsia" w:hAnsi="宋体" w:eastAsia="宋体"/>
        </w:rPr>
        <w:fldChar w:fldCharType="begin"/>
      </w:r>
      <w:r>
        <w:rPr>
          <w:rFonts w:hint="eastAsia" w:hAnsi="宋体" w:eastAsia="宋体"/>
        </w:rPr>
        <w:instrText xml:space="preserve"> </w:instrText>
      </w:r>
      <w:r>
        <w:rPr>
          <w:rFonts w:hAnsi="宋体" w:eastAsia="宋体"/>
        </w:rPr>
        <w:instrText xml:space="preserve">PAGEREF _Toc181776923 \h</w:instrText>
      </w:r>
      <w:r>
        <w:rPr>
          <w:rFonts w:hint="eastAsia" w:hAnsi="宋体" w:eastAsia="宋体"/>
        </w:rPr>
        <w:instrText xml:space="preserve"> </w:instrText>
      </w:r>
      <w:r>
        <w:rPr>
          <w:rFonts w:hint="eastAsia" w:hAnsi="宋体" w:eastAsia="宋体"/>
        </w:rPr>
        <w:fldChar w:fldCharType="separate"/>
      </w:r>
      <w:r>
        <w:rPr>
          <w:rFonts w:hint="eastAsia" w:hAnsi="宋体" w:eastAsia="宋体"/>
        </w:rPr>
        <w:t>5</w:t>
      </w:r>
      <w:r>
        <w:rPr>
          <w:rFonts w:hint="eastAsia" w:hAnsi="宋体" w:eastAsia="宋体"/>
        </w:rPr>
        <w:fldChar w:fldCharType="end"/>
      </w:r>
      <w:r>
        <w:rPr>
          <w:rFonts w:hint="eastAsia" w:hAnsi="宋体" w:eastAsia="宋体"/>
        </w:rPr>
        <w:fldChar w:fldCharType="end"/>
      </w:r>
    </w:p>
    <w:p w14:paraId="75F3AE64">
      <w:pPr>
        <w:pStyle w:val="2"/>
        <w:spacing w:line="360" w:lineRule="auto"/>
        <w:ind w:firstLine="210"/>
        <w:rPr>
          <w:rFonts w:hint="eastAsia" w:hAnsi="宋体" w:eastAsia="宋体"/>
          <w:szCs w:val="22"/>
        </w:rPr>
      </w:pPr>
      <w:r>
        <w:fldChar w:fldCharType="begin"/>
      </w:r>
      <w:r>
        <w:instrText xml:space="preserve"> HYPERLINK \l "_Toc181776924" </w:instrText>
      </w:r>
      <w:r>
        <w:fldChar w:fldCharType="separate"/>
      </w:r>
      <w:r>
        <w:rPr>
          <w:rStyle w:val="9"/>
          <w:rFonts w:hint="eastAsia" w:hAnsi="宋体" w:eastAsia="宋体"/>
        </w:rPr>
        <w:t>6.1</w:t>
      </w:r>
      <w:r>
        <w:rPr>
          <w:rStyle w:val="9"/>
          <w:rFonts w:hint="eastAsia" w:hAnsi="宋体" w:eastAsia="宋体" w:cs="黑体"/>
        </w:rPr>
        <w:t xml:space="preserve"> 头戴式显示设备性能要求</w:t>
      </w:r>
      <w:r>
        <w:rPr>
          <w:rFonts w:hint="eastAsia" w:hAnsi="宋体" w:eastAsia="宋体"/>
        </w:rPr>
        <w:tab/>
      </w:r>
      <w:r>
        <w:rPr>
          <w:rFonts w:hint="eastAsia" w:hAnsi="宋体" w:eastAsia="宋体"/>
        </w:rPr>
        <w:fldChar w:fldCharType="begin"/>
      </w:r>
      <w:r>
        <w:rPr>
          <w:rFonts w:hint="eastAsia" w:hAnsi="宋体" w:eastAsia="宋体"/>
        </w:rPr>
        <w:instrText xml:space="preserve"> </w:instrText>
      </w:r>
      <w:r>
        <w:rPr>
          <w:rFonts w:hAnsi="宋体" w:eastAsia="宋体"/>
        </w:rPr>
        <w:instrText xml:space="preserve">PAGEREF _Toc181776924 \h</w:instrText>
      </w:r>
      <w:r>
        <w:rPr>
          <w:rFonts w:hint="eastAsia" w:hAnsi="宋体" w:eastAsia="宋体"/>
        </w:rPr>
        <w:instrText xml:space="preserve"> </w:instrText>
      </w:r>
      <w:r>
        <w:rPr>
          <w:rFonts w:hint="eastAsia" w:hAnsi="宋体" w:eastAsia="宋体"/>
        </w:rPr>
        <w:fldChar w:fldCharType="separate"/>
      </w:r>
      <w:r>
        <w:rPr>
          <w:rFonts w:hint="eastAsia" w:hAnsi="宋体" w:eastAsia="宋体"/>
        </w:rPr>
        <w:t>5</w:t>
      </w:r>
      <w:r>
        <w:rPr>
          <w:rFonts w:hint="eastAsia" w:hAnsi="宋体" w:eastAsia="宋体"/>
        </w:rPr>
        <w:fldChar w:fldCharType="end"/>
      </w:r>
      <w:r>
        <w:rPr>
          <w:rFonts w:hint="eastAsia" w:hAnsi="宋体" w:eastAsia="宋体"/>
        </w:rPr>
        <w:fldChar w:fldCharType="end"/>
      </w:r>
    </w:p>
    <w:p w14:paraId="2076269E">
      <w:pPr>
        <w:pStyle w:val="2"/>
        <w:spacing w:line="360" w:lineRule="auto"/>
        <w:ind w:firstLine="210"/>
        <w:rPr>
          <w:rFonts w:hint="eastAsia" w:hAnsi="宋体" w:eastAsia="宋体"/>
          <w:szCs w:val="22"/>
        </w:rPr>
      </w:pPr>
      <w:r>
        <w:fldChar w:fldCharType="begin"/>
      </w:r>
      <w:r>
        <w:instrText xml:space="preserve"> HYPERLINK \l "_Toc181776925" </w:instrText>
      </w:r>
      <w:r>
        <w:fldChar w:fldCharType="separate"/>
      </w:r>
      <w:r>
        <w:rPr>
          <w:rStyle w:val="9"/>
          <w:rFonts w:hint="eastAsia" w:hAnsi="宋体" w:eastAsia="宋体"/>
        </w:rPr>
        <w:t>6.2</w:t>
      </w:r>
      <w:r>
        <w:rPr>
          <w:rStyle w:val="9"/>
          <w:rFonts w:hint="eastAsia" w:hAnsi="宋体" w:eastAsia="宋体" w:cs="黑体"/>
        </w:rPr>
        <w:t xml:space="preserve"> 环幕投影显示设备性能要求</w:t>
      </w:r>
      <w:r>
        <w:rPr>
          <w:rFonts w:hint="eastAsia" w:hAnsi="宋体" w:eastAsia="宋体"/>
        </w:rPr>
        <w:tab/>
      </w:r>
      <w:r>
        <w:rPr>
          <w:rFonts w:hint="eastAsia" w:hAnsi="宋体" w:eastAsia="宋体"/>
        </w:rPr>
        <w:fldChar w:fldCharType="begin"/>
      </w:r>
      <w:r>
        <w:rPr>
          <w:rFonts w:hint="eastAsia" w:hAnsi="宋体" w:eastAsia="宋体"/>
        </w:rPr>
        <w:instrText xml:space="preserve"> </w:instrText>
      </w:r>
      <w:r>
        <w:rPr>
          <w:rFonts w:hAnsi="宋体" w:eastAsia="宋体"/>
        </w:rPr>
        <w:instrText xml:space="preserve">PAGEREF _Toc181776925 \h</w:instrText>
      </w:r>
      <w:r>
        <w:rPr>
          <w:rFonts w:hint="eastAsia" w:hAnsi="宋体" w:eastAsia="宋体"/>
        </w:rPr>
        <w:instrText xml:space="preserve"> </w:instrText>
      </w:r>
      <w:r>
        <w:rPr>
          <w:rFonts w:hint="eastAsia" w:hAnsi="宋体" w:eastAsia="宋体"/>
        </w:rPr>
        <w:fldChar w:fldCharType="separate"/>
      </w:r>
      <w:r>
        <w:rPr>
          <w:rFonts w:hint="eastAsia" w:hAnsi="宋体" w:eastAsia="宋体"/>
        </w:rPr>
        <w:t>6</w:t>
      </w:r>
      <w:r>
        <w:rPr>
          <w:rFonts w:hint="eastAsia" w:hAnsi="宋体" w:eastAsia="宋体"/>
        </w:rPr>
        <w:fldChar w:fldCharType="end"/>
      </w:r>
      <w:r>
        <w:rPr>
          <w:rFonts w:hint="eastAsia" w:hAnsi="宋体" w:eastAsia="宋体"/>
        </w:rPr>
        <w:fldChar w:fldCharType="end"/>
      </w:r>
    </w:p>
    <w:p w14:paraId="6FB451A3">
      <w:pPr>
        <w:pStyle w:val="2"/>
        <w:spacing w:line="360" w:lineRule="auto"/>
        <w:ind w:firstLine="210"/>
        <w:rPr>
          <w:rFonts w:hint="eastAsia" w:hAnsi="宋体" w:eastAsia="宋体"/>
          <w:szCs w:val="22"/>
        </w:rPr>
      </w:pPr>
      <w:r>
        <w:fldChar w:fldCharType="begin"/>
      </w:r>
      <w:r>
        <w:instrText xml:space="preserve"> HYPERLINK \l "_Toc181776926" </w:instrText>
      </w:r>
      <w:r>
        <w:fldChar w:fldCharType="separate"/>
      </w:r>
      <w:r>
        <w:rPr>
          <w:rStyle w:val="9"/>
          <w:rFonts w:hint="eastAsia" w:hAnsi="宋体" w:eastAsia="宋体"/>
        </w:rPr>
        <w:t>6.3</w:t>
      </w:r>
      <w:r>
        <w:rPr>
          <w:rStyle w:val="9"/>
          <w:rFonts w:hint="eastAsia" w:hAnsi="宋体" w:eastAsia="宋体" w:cs="黑体"/>
        </w:rPr>
        <w:t xml:space="preserve"> 全息成像显示设备性能要求</w:t>
      </w:r>
      <w:r>
        <w:rPr>
          <w:rFonts w:hint="eastAsia" w:hAnsi="宋体" w:eastAsia="宋体"/>
        </w:rPr>
        <w:tab/>
      </w:r>
      <w:r>
        <w:rPr>
          <w:rFonts w:hint="eastAsia" w:hAnsi="宋体" w:eastAsia="宋体"/>
        </w:rPr>
        <w:fldChar w:fldCharType="begin"/>
      </w:r>
      <w:r>
        <w:rPr>
          <w:rFonts w:hint="eastAsia" w:hAnsi="宋体" w:eastAsia="宋体"/>
        </w:rPr>
        <w:instrText xml:space="preserve"> </w:instrText>
      </w:r>
      <w:r>
        <w:rPr>
          <w:rFonts w:hAnsi="宋体" w:eastAsia="宋体"/>
        </w:rPr>
        <w:instrText xml:space="preserve">PAGEREF _Toc181776926 \h</w:instrText>
      </w:r>
      <w:r>
        <w:rPr>
          <w:rFonts w:hint="eastAsia" w:hAnsi="宋体" w:eastAsia="宋体"/>
        </w:rPr>
        <w:instrText xml:space="preserve"> </w:instrText>
      </w:r>
      <w:r>
        <w:rPr>
          <w:rFonts w:hint="eastAsia" w:hAnsi="宋体" w:eastAsia="宋体"/>
        </w:rPr>
        <w:fldChar w:fldCharType="separate"/>
      </w:r>
      <w:r>
        <w:rPr>
          <w:rFonts w:hint="eastAsia" w:hAnsi="宋体" w:eastAsia="宋体"/>
        </w:rPr>
        <w:t>6</w:t>
      </w:r>
      <w:r>
        <w:rPr>
          <w:rFonts w:hint="eastAsia" w:hAnsi="宋体" w:eastAsia="宋体"/>
        </w:rPr>
        <w:fldChar w:fldCharType="end"/>
      </w:r>
      <w:r>
        <w:rPr>
          <w:rFonts w:hint="eastAsia" w:hAnsi="宋体" w:eastAsia="宋体"/>
        </w:rPr>
        <w:fldChar w:fldCharType="end"/>
      </w:r>
    </w:p>
    <w:p w14:paraId="73ACDD09">
      <w:pPr>
        <w:pStyle w:val="6"/>
        <w:spacing w:line="360" w:lineRule="auto"/>
        <w:rPr>
          <w:rFonts w:hint="eastAsia" w:hAnsi="宋体" w:eastAsia="宋体"/>
          <w:szCs w:val="22"/>
        </w:rPr>
      </w:pPr>
      <w:r>
        <w:fldChar w:fldCharType="begin"/>
      </w:r>
      <w:r>
        <w:instrText xml:space="preserve"> HYPERLINK \l "_Toc181776927" </w:instrText>
      </w:r>
      <w:r>
        <w:fldChar w:fldCharType="separate"/>
      </w:r>
      <w:r>
        <w:rPr>
          <w:rStyle w:val="9"/>
          <w:rFonts w:hint="eastAsia" w:hAnsi="宋体" w:eastAsia="宋体" w:cs="黑体"/>
        </w:rPr>
        <w:t>7 互动交互应用要求</w:t>
      </w:r>
      <w:r>
        <w:rPr>
          <w:rFonts w:hint="eastAsia" w:hAnsi="宋体" w:eastAsia="宋体"/>
        </w:rPr>
        <w:tab/>
      </w:r>
      <w:r>
        <w:rPr>
          <w:rFonts w:hint="eastAsia" w:hAnsi="宋体" w:eastAsia="宋体"/>
        </w:rPr>
        <w:fldChar w:fldCharType="begin"/>
      </w:r>
      <w:r>
        <w:rPr>
          <w:rFonts w:hint="eastAsia" w:hAnsi="宋体" w:eastAsia="宋体"/>
        </w:rPr>
        <w:instrText xml:space="preserve"> </w:instrText>
      </w:r>
      <w:r>
        <w:rPr>
          <w:rFonts w:hAnsi="宋体" w:eastAsia="宋体"/>
        </w:rPr>
        <w:instrText xml:space="preserve">PAGEREF _Toc181776927 \h</w:instrText>
      </w:r>
      <w:r>
        <w:rPr>
          <w:rFonts w:hint="eastAsia" w:hAnsi="宋体" w:eastAsia="宋体"/>
        </w:rPr>
        <w:instrText xml:space="preserve"> </w:instrText>
      </w:r>
      <w:r>
        <w:rPr>
          <w:rFonts w:hint="eastAsia" w:hAnsi="宋体" w:eastAsia="宋体"/>
        </w:rPr>
        <w:fldChar w:fldCharType="separate"/>
      </w:r>
      <w:r>
        <w:rPr>
          <w:rFonts w:hint="eastAsia" w:hAnsi="宋体" w:eastAsia="宋体"/>
        </w:rPr>
        <w:t>7</w:t>
      </w:r>
      <w:r>
        <w:rPr>
          <w:rFonts w:hint="eastAsia" w:hAnsi="宋体" w:eastAsia="宋体"/>
        </w:rPr>
        <w:fldChar w:fldCharType="end"/>
      </w:r>
      <w:r>
        <w:rPr>
          <w:rFonts w:hint="eastAsia" w:hAnsi="宋体" w:eastAsia="宋体"/>
        </w:rPr>
        <w:fldChar w:fldCharType="end"/>
      </w:r>
    </w:p>
    <w:p w14:paraId="49A8A82B">
      <w:pPr>
        <w:pStyle w:val="2"/>
        <w:spacing w:line="360" w:lineRule="auto"/>
        <w:ind w:firstLine="210"/>
        <w:rPr>
          <w:rFonts w:hint="eastAsia" w:hAnsi="宋体" w:eastAsia="宋体"/>
          <w:szCs w:val="22"/>
        </w:rPr>
      </w:pPr>
      <w:r>
        <w:fldChar w:fldCharType="begin"/>
      </w:r>
      <w:r>
        <w:instrText xml:space="preserve"> HYPERLINK \l "_Toc181776928" </w:instrText>
      </w:r>
      <w:r>
        <w:fldChar w:fldCharType="separate"/>
      </w:r>
      <w:r>
        <w:rPr>
          <w:rStyle w:val="9"/>
          <w:rFonts w:hint="eastAsia" w:hAnsi="宋体" w:eastAsia="宋体"/>
        </w:rPr>
        <w:t>7.1</w:t>
      </w:r>
      <w:r>
        <w:rPr>
          <w:rStyle w:val="9"/>
          <w:rFonts w:hint="eastAsia" w:hAnsi="宋体" w:eastAsia="宋体" w:cs="黑体"/>
        </w:rPr>
        <w:t xml:space="preserve"> 功能性</w:t>
      </w:r>
      <w:r>
        <w:rPr>
          <w:rFonts w:hint="eastAsia" w:hAnsi="宋体" w:eastAsia="宋体"/>
        </w:rPr>
        <w:tab/>
      </w:r>
      <w:r>
        <w:rPr>
          <w:rFonts w:hint="eastAsia" w:hAnsi="宋体" w:eastAsia="宋体"/>
        </w:rPr>
        <w:fldChar w:fldCharType="begin"/>
      </w:r>
      <w:r>
        <w:rPr>
          <w:rFonts w:hint="eastAsia" w:hAnsi="宋体" w:eastAsia="宋体"/>
        </w:rPr>
        <w:instrText xml:space="preserve"> </w:instrText>
      </w:r>
      <w:r>
        <w:rPr>
          <w:rFonts w:hAnsi="宋体" w:eastAsia="宋体"/>
        </w:rPr>
        <w:instrText xml:space="preserve">PAGEREF _Toc181776928 \h</w:instrText>
      </w:r>
      <w:r>
        <w:rPr>
          <w:rFonts w:hint="eastAsia" w:hAnsi="宋体" w:eastAsia="宋体"/>
        </w:rPr>
        <w:instrText xml:space="preserve"> </w:instrText>
      </w:r>
      <w:r>
        <w:rPr>
          <w:rFonts w:hint="eastAsia" w:hAnsi="宋体" w:eastAsia="宋体"/>
        </w:rPr>
        <w:fldChar w:fldCharType="separate"/>
      </w:r>
      <w:r>
        <w:rPr>
          <w:rFonts w:hint="eastAsia" w:hAnsi="宋体" w:eastAsia="宋体"/>
        </w:rPr>
        <w:t>7</w:t>
      </w:r>
      <w:r>
        <w:rPr>
          <w:rFonts w:hint="eastAsia" w:hAnsi="宋体" w:eastAsia="宋体"/>
        </w:rPr>
        <w:fldChar w:fldCharType="end"/>
      </w:r>
      <w:r>
        <w:rPr>
          <w:rFonts w:hint="eastAsia" w:hAnsi="宋体" w:eastAsia="宋体"/>
        </w:rPr>
        <w:fldChar w:fldCharType="end"/>
      </w:r>
    </w:p>
    <w:p w14:paraId="664843DF">
      <w:pPr>
        <w:pStyle w:val="2"/>
        <w:spacing w:line="360" w:lineRule="auto"/>
        <w:ind w:firstLine="210"/>
        <w:rPr>
          <w:rFonts w:hint="eastAsia" w:hAnsi="宋体" w:eastAsia="宋体"/>
          <w:szCs w:val="22"/>
        </w:rPr>
      </w:pPr>
      <w:r>
        <w:fldChar w:fldCharType="begin"/>
      </w:r>
      <w:r>
        <w:instrText xml:space="preserve"> HYPERLINK \l "_Toc181776929" </w:instrText>
      </w:r>
      <w:r>
        <w:fldChar w:fldCharType="separate"/>
      </w:r>
      <w:r>
        <w:rPr>
          <w:rStyle w:val="9"/>
          <w:rFonts w:hint="eastAsia" w:hAnsi="宋体" w:eastAsia="宋体"/>
        </w:rPr>
        <w:t>7.2</w:t>
      </w:r>
      <w:r>
        <w:rPr>
          <w:rStyle w:val="9"/>
          <w:rFonts w:hint="eastAsia" w:hAnsi="宋体" w:eastAsia="宋体" w:cs="黑体"/>
        </w:rPr>
        <w:t xml:space="preserve"> 易用性</w:t>
      </w:r>
      <w:r>
        <w:rPr>
          <w:rFonts w:hint="eastAsia" w:hAnsi="宋体" w:eastAsia="宋体"/>
        </w:rPr>
        <w:tab/>
      </w:r>
      <w:r>
        <w:rPr>
          <w:rFonts w:hint="eastAsia" w:hAnsi="宋体" w:eastAsia="宋体"/>
        </w:rPr>
        <w:fldChar w:fldCharType="begin"/>
      </w:r>
      <w:r>
        <w:rPr>
          <w:rFonts w:hint="eastAsia" w:hAnsi="宋体" w:eastAsia="宋体"/>
        </w:rPr>
        <w:instrText xml:space="preserve"> </w:instrText>
      </w:r>
      <w:r>
        <w:rPr>
          <w:rFonts w:hAnsi="宋体" w:eastAsia="宋体"/>
        </w:rPr>
        <w:instrText xml:space="preserve">PAGEREF _Toc181776929 \h</w:instrText>
      </w:r>
      <w:r>
        <w:rPr>
          <w:rFonts w:hint="eastAsia" w:hAnsi="宋体" w:eastAsia="宋体"/>
        </w:rPr>
        <w:instrText xml:space="preserve"> </w:instrText>
      </w:r>
      <w:r>
        <w:rPr>
          <w:rFonts w:hint="eastAsia" w:hAnsi="宋体" w:eastAsia="宋体"/>
        </w:rPr>
        <w:fldChar w:fldCharType="separate"/>
      </w:r>
      <w:r>
        <w:rPr>
          <w:rFonts w:hint="eastAsia" w:hAnsi="宋体" w:eastAsia="宋体"/>
        </w:rPr>
        <w:t>7</w:t>
      </w:r>
      <w:r>
        <w:rPr>
          <w:rFonts w:hint="eastAsia" w:hAnsi="宋体" w:eastAsia="宋体"/>
        </w:rPr>
        <w:fldChar w:fldCharType="end"/>
      </w:r>
      <w:r>
        <w:rPr>
          <w:rFonts w:hint="eastAsia" w:hAnsi="宋体" w:eastAsia="宋体"/>
        </w:rPr>
        <w:fldChar w:fldCharType="end"/>
      </w:r>
    </w:p>
    <w:p w14:paraId="7D60C26F">
      <w:pPr>
        <w:pStyle w:val="2"/>
        <w:spacing w:line="360" w:lineRule="auto"/>
        <w:ind w:firstLine="210"/>
        <w:rPr>
          <w:rFonts w:hint="eastAsia" w:hAnsi="宋体" w:eastAsia="宋体"/>
          <w:szCs w:val="22"/>
        </w:rPr>
      </w:pPr>
      <w:r>
        <w:fldChar w:fldCharType="begin"/>
      </w:r>
      <w:r>
        <w:instrText xml:space="preserve"> HYPERLINK \l "_Toc181776930" </w:instrText>
      </w:r>
      <w:r>
        <w:fldChar w:fldCharType="separate"/>
      </w:r>
      <w:r>
        <w:rPr>
          <w:rStyle w:val="9"/>
          <w:rFonts w:hint="eastAsia" w:hAnsi="宋体" w:eastAsia="宋体"/>
        </w:rPr>
        <w:t>7.3</w:t>
      </w:r>
      <w:r>
        <w:rPr>
          <w:rStyle w:val="9"/>
          <w:rFonts w:hint="eastAsia" w:hAnsi="宋体" w:eastAsia="宋体" w:cs="黑体"/>
        </w:rPr>
        <w:t xml:space="preserve"> 可靠性</w:t>
      </w:r>
      <w:r>
        <w:rPr>
          <w:rFonts w:hint="eastAsia" w:hAnsi="宋体" w:eastAsia="宋体"/>
        </w:rPr>
        <w:tab/>
      </w:r>
      <w:r>
        <w:rPr>
          <w:rFonts w:hint="eastAsia" w:hAnsi="宋体" w:eastAsia="宋体"/>
        </w:rPr>
        <w:fldChar w:fldCharType="begin"/>
      </w:r>
      <w:r>
        <w:rPr>
          <w:rFonts w:hint="eastAsia" w:hAnsi="宋体" w:eastAsia="宋体"/>
        </w:rPr>
        <w:instrText xml:space="preserve"> </w:instrText>
      </w:r>
      <w:r>
        <w:rPr>
          <w:rFonts w:hAnsi="宋体" w:eastAsia="宋体"/>
        </w:rPr>
        <w:instrText xml:space="preserve">PAGEREF _Toc181776930 \h</w:instrText>
      </w:r>
      <w:r>
        <w:rPr>
          <w:rFonts w:hint="eastAsia" w:hAnsi="宋体" w:eastAsia="宋体"/>
        </w:rPr>
        <w:instrText xml:space="preserve"> </w:instrText>
      </w:r>
      <w:r>
        <w:rPr>
          <w:rFonts w:hint="eastAsia" w:hAnsi="宋体" w:eastAsia="宋体"/>
        </w:rPr>
        <w:fldChar w:fldCharType="separate"/>
      </w:r>
      <w:r>
        <w:rPr>
          <w:rFonts w:hint="eastAsia" w:hAnsi="宋体" w:eastAsia="宋体"/>
        </w:rPr>
        <w:t>8</w:t>
      </w:r>
      <w:r>
        <w:rPr>
          <w:rFonts w:hint="eastAsia" w:hAnsi="宋体" w:eastAsia="宋体"/>
        </w:rPr>
        <w:fldChar w:fldCharType="end"/>
      </w:r>
      <w:r>
        <w:rPr>
          <w:rFonts w:hint="eastAsia" w:hAnsi="宋体" w:eastAsia="宋体"/>
        </w:rPr>
        <w:fldChar w:fldCharType="end"/>
      </w:r>
    </w:p>
    <w:p w14:paraId="04102945">
      <w:pPr>
        <w:pStyle w:val="2"/>
        <w:spacing w:line="360" w:lineRule="auto"/>
        <w:ind w:firstLine="210"/>
        <w:rPr>
          <w:rFonts w:hint="eastAsia" w:hAnsi="宋体" w:eastAsia="宋体"/>
          <w:szCs w:val="22"/>
        </w:rPr>
      </w:pPr>
      <w:r>
        <w:fldChar w:fldCharType="begin"/>
      </w:r>
      <w:r>
        <w:instrText xml:space="preserve"> HYPERLINK \l "_Toc181776931" </w:instrText>
      </w:r>
      <w:r>
        <w:fldChar w:fldCharType="separate"/>
      </w:r>
      <w:r>
        <w:rPr>
          <w:rStyle w:val="9"/>
          <w:rFonts w:hint="eastAsia" w:hAnsi="宋体" w:eastAsia="宋体"/>
        </w:rPr>
        <w:t>7.4</w:t>
      </w:r>
      <w:r>
        <w:rPr>
          <w:rStyle w:val="9"/>
          <w:rFonts w:hint="eastAsia" w:hAnsi="宋体" w:eastAsia="宋体" w:cs="黑体"/>
        </w:rPr>
        <w:t xml:space="preserve"> 运行效率</w:t>
      </w:r>
      <w:r>
        <w:rPr>
          <w:rFonts w:hint="eastAsia" w:hAnsi="宋体" w:eastAsia="宋体"/>
        </w:rPr>
        <w:tab/>
      </w:r>
      <w:r>
        <w:rPr>
          <w:rFonts w:hint="eastAsia" w:hAnsi="宋体" w:eastAsia="宋体"/>
        </w:rPr>
        <w:fldChar w:fldCharType="begin"/>
      </w:r>
      <w:r>
        <w:rPr>
          <w:rFonts w:hint="eastAsia" w:hAnsi="宋体" w:eastAsia="宋体"/>
        </w:rPr>
        <w:instrText xml:space="preserve"> </w:instrText>
      </w:r>
      <w:r>
        <w:rPr>
          <w:rFonts w:hAnsi="宋体" w:eastAsia="宋体"/>
        </w:rPr>
        <w:instrText xml:space="preserve">PAGEREF _Toc181776931 \h</w:instrText>
      </w:r>
      <w:r>
        <w:rPr>
          <w:rFonts w:hint="eastAsia" w:hAnsi="宋体" w:eastAsia="宋体"/>
        </w:rPr>
        <w:instrText xml:space="preserve"> </w:instrText>
      </w:r>
      <w:r>
        <w:rPr>
          <w:rFonts w:hint="eastAsia" w:hAnsi="宋体" w:eastAsia="宋体"/>
        </w:rPr>
        <w:fldChar w:fldCharType="separate"/>
      </w:r>
      <w:r>
        <w:rPr>
          <w:rFonts w:hint="eastAsia" w:hAnsi="宋体" w:eastAsia="宋体"/>
        </w:rPr>
        <w:t>8</w:t>
      </w:r>
      <w:r>
        <w:rPr>
          <w:rFonts w:hint="eastAsia" w:hAnsi="宋体" w:eastAsia="宋体"/>
        </w:rPr>
        <w:fldChar w:fldCharType="end"/>
      </w:r>
      <w:r>
        <w:rPr>
          <w:rFonts w:hint="eastAsia" w:hAnsi="宋体" w:eastAsia="宋体"/>
        </w:rPr>
        <w:fldChar w:fldCharType="end"/>
      </w:r>
    </w:p>
    <w:p w14:paraId="7B0BE2CD">
      <w:pPr>
        <w:pStyle w:val="6"/>
        <w:spacing w:line="360" w:lineRule="auto"/>
        <w:rPr>
          <w:rFonts w:hint="eastAsia" w:hAnsi="宋体" w:eastAsia="宋体"/>
          <w:szCs w:val="22"/>
        </w:rPr>
      </w:pPr>
      <w:r>
        <w:fldChar w:fldCharType="begin"/>
      </w:r>
      <w:r>
        <w:instrText xml:space="preserve"> HYPERLINK \l "_Toc181776932" </w:instrText>
      </w:r>
      <w:r>
        <w:fldChar w:fldCharType="separate"/>
      </w:r>
      <w:r>
        <w:rPr>
          <w:rStyle w:val="9"/>
          <w:rFonts w:hint="eastAsia" w:hAnsi="宋体" w:eastAsia="宋体" w:cs="黑体"/>
        </w:rPr>
        <w:t>8 消防与安全要求</w:t>
      </w:r>
      <w:r>
        <w:rPr>
          <w:rFonts w:hint="eastAsia" w:hAnsi="宋体" w:eastAsia="宋体"/>
        </w:rPr>
        <w:tab/>
      </w:r>
      <w:r>
        <w:rPr>
          <w:rFonts w:hint="eastAsia" w:hAnsi="宋体" w:eastAsia="宋体"/>
        </w:rPr>
        <w:fldChar w:fldCharType="begin"/>
      </w:r>
      <w:r>
        <w:rPr>
          <w:rFonts w:hint="eastAsia" w:hAnsi="宋体" w:eastAsia="宋体"/>
        </w:rPr>
        <w:instrText xml:space="preserve"> </w:instrText>
      </w:r>
      <w:r>
        <w:rPr>
          <w:rFonts w:hAnsi="宋体" w:eastAsia="宋体"/>
        </w:rPr>
        <w:instrText xml:space="preserve">PAGEREF _Toc181776932 \h</w:instrText>
      </w:r>
      <w:r>
        <w:rPr>
          <w:rFonts w:hint="eastAsia" w:hAnsi="宋体" w:eastAsia="宋体"/>
        </w:rPr>
        <w:instrText xml:space="preserve"> </w:instrText>
      </w:r>
      <w:r>
        <w:rPr>
          <w:rFonts w:hint="eastAsia" w:hAnsi="宋体" w:eastAsia="宋体"/>
        </w:rPr>
        <w:fldChar w:fldCharType="separate"/>
      </w:r>
      <w:r>
        <w:rPr>
          <w:rFonts w:hint="eastAsia" w:hAnsi="宋体" w:eastAsia="宋体"/>
        </w:rPr>
        <w:t>9</w:t>
      </w:r>
      <w:r>
        <w:rPr>
          <w:rFonts w:hint="eastAsia" w:hAnsi="宋体" w:eastAsia="宋体"/>
        </w:rPr>
        <w:fldChar w:fldCharType="end"/>
      </w:r>
      <w:r>
        <w:rPr>
          <w:rFonts w:hint="eastAsia" w:hAnsi="宋体" w:eastAsia="宋体"/>
        </w:rPr>
        <w:fldChar w:fldCharType="end"/>
      </w:r>
    </w:p>
    <w:p w14:paraId="1208CF28">
      <w:pPr>
        <w:pStyle w:val="2"/>
        <w:spacing w:line="360" w:lineRule="auto"/>
        <w:ind w:firstLine="210"/>
        <w:rPr>
          <w:rFonts w:hint="eastAsia" w:hAnsi="宋体" w:eastAsia="宋体"/>
          <w:szCs w:val="22"/>
        </w:rPr>
      </w:pPr>
      <w:r>
        <w:fldChar w:fldCharType="begin"/>
      </w:r>
      <w:r>
        <w:instrText xml:space="preserve"> HYPERLINK \l "_Toc181776933" </w:instrText>
      </w:r>
      <w:r>
        <w:fldChar w:fldCharType="separate"/>
      </w:r>
      <w:r>
        <w:rPr>
          <w:rStyle w:val="9"/>
          <w:rFonts w:hint="eastAsia" w:hAnsi="宋体" w:eastAsia="宋体"/>
        </w:rPr>
        <w:t>8.1</w:t>
      </w:r>
      <w:r>
        <w:rPr>
          <w:rStyle w:val="9"/>
          <w:rFonts w:hint="eastAsia" w:hAnsi="宋体" w:eastAsia="宋体" w:cs="黑体"/>
        </w:rPr>
        <w:t xml:space="preserve"> 安全制度</w:t>
      </w:r>
      <w:r>
        <w:rPr>
          <w:rFonts w:hint="eastAsia" w:hAnsi="宋体" w:eastAsia="宋体"/>
        </w:rPr>
        <w:tab/>
      </w:r>
      <w:r>
        <w:rPr>
          <w:rFonts w:hint="eastAsia" w:hAnsi="宋体" w:eastAsia="宋体"/>
        </w:rPr>
        <w:fldChar w:fldCharType="begin"/>
      </w:r>
      <w:r>
        <w:rPr>
          <w:rFonts w:hint="eastAsia" w:hAnsi="宋体" w:eastAsia="宋体"/>
        </w:rPr>
        <w:instrText xml:space="preserve"> </w:instrText>
      </w:r>
      <w:r>
        <w:rPr>
          <w:rFonts w:hAnsi="宋体" w:eastAsia="宋体"/>
        </w:rPr>
        <w:instrText xml:space="preserve">PAGEREF _Toc181776933 \h</w:instrText>
      </w:r>
      <w:r>
        <w:rPr>
          <w:rFonts w:hint="eastAsia" w:hAnsi="宋体" w:eastAsia="宋体"/>
        </w:rPr>
        <w:instrText xml:space="preserve"> </w:instrText>
      </w:r>
      <w:r>
        <w:rPr>
          <w:rFonts w:hint="eastAsia" w:hAnsi="宋体" w:eastAsia="宋体"/>
        </w:rPr>
        <w:fldChar w:fldCharType="separate"/>
      </w:r>
      <w:r>
        <w:rPr>
          <w:rFonts w:hint="eastAsia" w:hAnsi="宋体" w:eastAsia="宋体"/>
        </w:rPr>
        <w:t>9</w:t>
      </w:r>
      <w:r>
        <w:rPr>
          <w:rFonts w:hint="eastAsia" w:hAnsi="宋体" w:eastAsia="宋体"/>
        </w:rPr>
        <w:fldChar w:fldCharType="end"/>
      </w:r>
      <w:r>
        <w:rPr>
          <w:rFonts w:hint="eastAsia" w:hAnsi="宋体" w:eastAsia="宋体"/>
        </w:rPr>
        <w:fldChar w:fldCharType="end"/>
      </w:r>
    </w:p>
    <w:p w14:paraId="76FFEE98">
      <w:pPr>
        <w:pStyle w:val="2"/>
        <w:spacing w:line="360" w:lineRule="auto"/>
        <w:ind w:firstLine="210"/>
        <w:rPr>
          <w:rFonts w:hint="eastAsia" w:hAnsi="宋体" w:eastAsia="宋体"/>
          <w:szCs w:val="22"/>
        </w:rPr>
      </w:pPr>
      <w:r>
        <w:fldChar w:fldCharType="begin"/>
      </w:r>
      <w:r>
        <w:instrText xml:space="preserve"> HYPERLINK \l "_Toc181776934" </w:instrText>
      </w:r>
      <w:r>
        <w:fldChar w:fldCharType="separate"/>
      </w:r>
      <w:r>
        <w:rPr>
          <w:rStyle w:val="9"/>
          <w:rFonts w:hint="eastAsia" w:hAnsi="宋体" w:eastAsia="宋体"/>
        </w:rPr>
        <w:t>8.2</w:t>
      </w:r>
      <w:r>
        <w:rPr>
          <w:rStyle w:val="9"/>
          <w:rFonts w:hint="eastAsia" w:hAnsi="宋体" w:eastAsia="宋体" w:cs="黑体"/>
        </w:rPr>
        <w:t xml:space="preserve"> 安全措施</w:t>
      </w:r>
      <w:r>
        <w:rPr>
          <w:rFonts w:hint="eastAsia" w:hAnsi="宋体" w:eastAsia="宋体"/>
        </w:rPr>
        <w:tab/>
      </w:r>
      <w:r>
        <w:rPr>
          <w:rFonts w:hint="eastAsia" w:hAnsi="宋体" w:eastAsia="宋体"/>
        </w:rPr>
        <w:fldChar w:fldCharType="begin"/>
      </w:r>
      <w:r>
        <w:rPr>
          <w:rFonts w:hint="eastAsia" w:hAnsi="宋体" w:eastAsia="宋体"/>
        </w:rPr>
        <w:instrText xml:space="preserve"> </w:instrText>
      </w:r>
      <w:r>
        <w:rPr>
          <w:rFonts w:hAnsi="宋体" w:eastAsia="宋体"/>
        </w:rPr>
        <w:instrText xml:space="preserve">PAGEREF _Toc181776934 \h</w:instrText>
      </w:r>
      <w:r>
        <w:rPr>
          <w:rFonts w:hint="eastAsia" w:hAnsi="宋体" w:eastAsia="宋体"/>
        </w:rPr>
        <w:instrText xml:space="preserve"> </w:instrText>
      </w:r>
      <w:r>
        <w:rPr>
          <w:rFonts w:hint="eastAsia" w:hAnsi="宋体" w:eastAsia="宋体"/>
        </w:rPr>
        <w:fldChar w:fldCharType="separate"/>
      </w:r>
      <w:r>
        <w:rPr>
          <w:rFonts w:hint="eastAsia" w:hAnsi="宋体" w:eastAsia="宋体"/>
        </w:rPr>
        <w:t>9</w:t>
      </w:r>
      <w:r>
        <w:rPr>
          <w:rFonts w:hint="eastAsia" w:hAnsi="宋体" w:eastAsia="宋体"/>
        </w:rPr>
        <w:fldChar w:fldCharType="end"/>
      </w:r>
      <w:r>
        <w:rPr>
          <w:rFonts w:hint="eastAsia" w:hAnsi="宋体" w:eastAsia="宋体"/>
        </w:rPr>
        <w:fldChar w:fldCharType="end"/>
      </w:r>
    </w:p>
    <w:p w14:paraId="53713ED8">
      <w:pPr>
        <w:pStyle w:val="2"/>
        <w:spacing w:line="360" w:lineRule="auto"/>
        <w:ind w:firstLine="210"/>
        <w:rPr>
          <w:rFonts w:hint="eastAsia" w:hAnsi="宋体" w:eastAsia="宋体"/>
          <w:szCs w:val="22"/>
        </w:rPr>
      </w:pPr>
      <w:r>
        <w:fldChar w:fldCharType="begin"/>
      </w:r>
      <w:r>
        <w:instrText xml:space="preserve"> HYPERLINK \l "_Toc181776935" </w:instrText>
      </w:r>
      <w:r>
        <w:fldChar w:fldCharType="separate"/>
      </w:r>
      <w:r>
        <w:rPr>
          <w:rStyle w:val="9"/>
          <w:rFonts w:hint="eastAsia" w:hAnsi="宋体" w:eastAsia="宋体"/>
        </w:rPr>
        <w:t>8.3</w:t>
      </w:r>
      <w:r>
        <w:rPr>
          <w:rStyle w:val="9"/>
          <w:rFonts w:hint="eastAsia" w:hAnsi="宋体" w:eastAsia="宋体" w:cs="黑体"/>
        </w:rPr>
        <w:t xml:space="preserve"> 消防管理</w:t>
      </w:r>
      <w:r>
        <w:rPr>
          <w:rFonts w:hint="eastAsia" w:hAnsi="宋体" w:eastAsia="宋体"/>
        </w:rPr>
        <w:tab/>
      </w:r>
      <w:r>
        <w:rPr>
          <w:rFonts w:hint="eastAsia" w:hAnsi="宋体" w:eastAsia="宋体"/>
        </w:rPr>
        <w:fldChar w:fldCharType="begin"/>
      </w:r>
      <w:r>
        <w:rPr>
          <w:rFonts w:hint="eastAsia" w:hAnsi="宋体" w:eastAsia="宋体"/>
        </w:rPr>
        <w:instrText xml:space="preserve"> </w:instrText>
      </w:r>
      <w:r>
        <w:rPr>
          <w:rFonts w:hAnsi="宋体" w:eastAsia="宋体"/>
        </w:rPr>
        <w:instrText xml:space="preserve">PAGEREF _Toc181776935 \h</w:instrText>
      </w:r>
      <w:r>
        <w:rPr>
          <w:rFonts w:hint="eastAsia" w:hAnsi="宋体" w:eastAsia="宋体"/>
        </w:rPr>
        <w:instrText xml:space="preserve"> </w:instrText>
      </w:r>
      <w:r>
        <w:rPr>
          <w:rFonts w:hint="eastAsia" w:hAnsi="宋体" w:eastAsia="宋体"/>
        </w:rPr>
        <w:fldChar w:fldCharType="separate"/>
      </w:r>
      <w:r>
        <w:rPr>
          <w:rFonts w:hint="eastAsia" w:hAnsi="宋体" w:eastAsia="宋体"/>
        </w:rPr>
        <w:t>9</w:t>
      </w:r>
      <w:r>
        <w:rPr>
          <w:rFonts w:hint="eastAsia" w:hAnsi="宋体" w:eastAsia="宋体"/>
        </w:rPr>
        <w:fldChar w:fldCharType="end"/>
      </w:r>
      <w:r>
        <w:rPr>
          <w:rFonts w:hint="eastAsia" w:hAnsi="宋体" w:eastAsia="宋体"/>
        </w:rPr>
        <w:fldChar w:fldCharType="end"/>
      </w:r>
    </w:p>
    <w:p w14:paraId="3A84C799">
      <w:pPr>
        <w:pStyle w:val="2"/>
        <w:spacing w:line="360" w:lineRule="auto"/>
        <w:ind w:firstLine="210"/>
        <w:rPr>
          <w:rFonts w:hint="eastAsia" w:hAnsi="宋体" w:eastAsia="宋体"/>
          <w:szCs w:val="22"/>
        </w:rPr>
      </w:pPr>
      <w:r>
        <w:fldChar w:fldCharType="begin"/>
      </w:r>
      <w:r>
        <w:instrText xml:space="preserve"> HYPERLINK \l "_Toc181776936" </w:instrText>
      </w:r>
      <w:r>
        <w:fldChar w:fldCharType="separate"/>
      </w:r>
      <w:r>
        <w:rPr>
          <w:rStyle w:val="9"/>
          <w:rFonts w:hint="eastAsia" w:hAnsi="宋体" w:eastAsia="宋体"/>
        </w:rPr>
        <w:t>8.4</w:t>
      </w:r>
      <w:r>
        <w:rPr>
          <w:rStyle w:val="9"/>
          <w:rFonts w:hint="eastAsia" w:hAnsi="宋体" w:eastAsia="宋体" w:cs="黑体"/>
        </w:rPr>
        <w:t xml:space="preserve"> 信息与网络安全</w:t>
      </w:r>
      <w:r>
        <w:rPr>
          <w:rFonts w:hint="eastAsia" w:hAnsi="宋体" w:eastAsia="宋体"/>
        </w:rPr>
        <w:tab/>
      </w:r>
      <w:r>
        <w:rPr>
          <w:rFonts w:hint="eastAsia" w:hAnsi="宋体" w:eastAsia="宋体"/>
        </w:rPr>
        <w:fldChar w:fldCharType="begin"/>
      </w:r>
      <w:r>
        <w:rPr>
          <w:rFonts w:hint="eastAsia" w:hAnsi="宋体" w:eastAsia="宋体"/>
        </w:rPr>
        <w:instrText xml:space="preserve"> </w:instrText>
      </w:r>
      <w:r>
        <w:rPr>
          <w:rFonts w:hAnsi="宋体" w:eastAsia="宋体"/>
        </w:rPr>
        <w:instrText xml:space="preserve">PAGEREF _Toc181776936 \h</w:instrText>
      </w:r>
      <w:r>
        <w:rPr>
          <w:rFonts w:hint="eastAsia" w:hAnsi="宋体" w:eastAsia="宋体"/>
        </w:rPr>
        <w:instrText xml:space="preserve"> </w:instrText>
      </w:r>
      <w:r>
        <w:rPr>
          <w:rFonts w:hint="eastAsia" w:hAnsi="宋体" w:eastAsia="宋体"/>
        </w:rPr>
        <w:fldChar w:fldCharType="separate"/>
      </w:r>
      <w:r>
        <w:rPr>
          <w:rFonts w:hint="eastAsia" w:hAnsi="宋体" w:eastAsia="宋体"/>
        </w:rPr>
        <w:t>9</w:t>
      </w:r>
      <w:r>
        <w:rPr>
          <w:rFonts w:hint="eastAsia" w:hAnsi="宋体" w:eastAsia="宋体"/>
        </w:rPr>
        <w:fldChar w:fldCharType="end"/>
      </w:r>
      <w:r>
        <w:rPr>
          <w:rFonts w:hint="eastAsia" w:hAnsi="宋体" w:eastAsia="宋体"/>
        </w:rPr>
        <w:fldChar w:fldCharType="end"/>
      </w:r>
    </w:p>
    <w:p w14:paraId="12EA1E56">
      <w:pPr>
        <w:pStyle w:val="5"/>
        <w:spacing w:before="78" w:after="78" w:line="360" w:lineRule="auto"/>
        <w:rPr>
          <w:rFonts w:hint="eastAsia" w:hAnsi="宋体" w:eastAsia="宋体"/>
          <w:szCs w:val="22"/>
        </w:rPr>
      </w:pPr>
      <w:r>
        <w:fldChar w:fldCharType="begin"/>
      </w:r>
      <w:r>
        <w:instrText xml:space="preserve"> HYPERLINK \l "_Toc181776937" </w:instrText>
      </w:r>
      <w:r>
        <w:fldChar w:fldCharType="separate"/>
      </w:r>
      <w:r>
        <w:rPr>
          <w:rStyle w:val="9"/>
          <w:rFonts w:hint="eastAsia" w:hAnsi="宋体" w:eastAsia="宋体" w:cs="黑体"/>
        </w:rPr>
        <w:t>参考文献</w:t>
      </w:r>
      <w:r>
        <w:rPr>
          <w:rFonts w:hint="eastAsia" w:hAnsi="宋体" w:eastAsia="宋体"/>
        </w:rPr>
        <w:tab/>
      </w:r>
      <w:r>
        <w:rPr>
          <w:rFonts w:hint="eastAsia" w:hAnsi="宋体" w:eastAsia="宋体"/>
        </w:rPr>
        <w:fldChar w:fldCharType="begin"/>
      </w:r>
      <w:r>
        <w:rPr>
          <w:rFonts w:hint="eastAsia" w:hAnsi="宋体" w:eastAsia="宋体"/>
        </w:rPr>
        <w:instrText xml:space="preserve"> </w:instrText>
      </w:r>
      <w:r>
        <w:rPr>
          <w:rFonts w:hAnsi="宋体" w:eastAsia="宋体"/>
        </w:rPr>
        <w:instrText xml:space="preserve">PAGEREF _Toc181776937 \h</w:instrText>
      </w:r>
      <w:r>
        <w:rPr>
          <w:rFonts w:hint="eastAsia" w:hAnsi="宋体" w:eastAsia="宋体"/>
        </w:rPr>
        <w:instrText xml:space="preserve"> </w:instrText>
      </w:r>
      <w:r>
        <w:rPr>
          <w:rFonts w:hint="eastAsia" w:hAnsi="宋体" w:eastAsia="宋体"/>
        </w:rPr>
        <w:fldChar w:fldCharType="separate"/>
      </w:r>
      <w:r>
        <w:rPr>
          <w:rFonts w:hint="eastAsia" w:hAnsi="宋体" w:eastAsia="宋体"/>
        </w:rPr>
        <w:t>10</w:t>
      </w:r>
      <w:r>
        <w:rPr>
          <w:rFonts w:hint="eastAsia" w:hAnsi="宋体" w:eastAsia="宋体"/>
        </w:rPr>
        <w:fldChar w:fldCharType="end"/>
      </w:r>
      <w:r>
        <w:rPr>
          <w:rFonts w:hint="eastAsia" w:hAnsi="宋体" w:eastAsia="宋体"/>
        </w:rPr>
        <w:fldChar w:fldCharType="end"/>
      </w:r>
    </w:p>
    <w:p w14:paraId="05CE21F0">
      <w:pPr>
        <w:pStyle w:val="5"/>
        <w:tabs>
          <w:tab w:val="right" w:leader="dot" w:pos="9354"/>
          <w:tab w:val="clear" w:pos="9241"/>
        </w:tabs>
        <w:adjustRightInd w:val="0"/>
        <w:snapToGrid w:val="0"/>
        <w:spacing w:before="78" w:after="78" w:line="360" w:lineRule="auto"/>
        <w:rPr>
          <w:rFonts w:hint="eastAsia" w:hAnsi="宋体" w:eastAsia="宋体" w:cs="宋体"/>
        </w:rPr>
      </w:pPr>
      <w:r>
        <w:rPr>
          <w:rFonts w:hint="eastAsia" w:hAnsi="宋体" w:eastAsia="宋体" w:cs="宋体"/>
        </w:rPr>
        <w:fldChar w:fldCharType="end"/>
      </w:r>
    </w:p>
    <w:p w14:paraId="542BE3FD">
      <w:pPr>
        <w:rPr>
          <w:rFonts w:hint="eastAsia"/>
        </w:rPr>
      </w:pPr>
    </w:p>
    <w:p w14:paraId="189B2049">
      <w:pPr>
        <w:pStyle w:val="15"/>
        <w:keepNext w:val="0"/>
        <w:adjustRightInd w:val="0"/>
        <w:snapToGrid w:val="0"/>
        <w:spacing w:line="400" w:lineRule="exact"/>
        <w:rPr>
          <w:rFonts w:cs="黑体"/>
        </w:rPr>
        <w:sectPr>
          <w:headerReference r:id="rId5" w:type="default"/>
          <w:footerReference r:id="rId6" w:type="default"/>
          <w:pgSz w:w="11906" w:h="16838"/>
          <w:pgMar w:top="567" w:right="1361" w:bottom="567" w:left="1361" w:header="1418" w:footer="1134" w:gutter="0"/>
          <w:pgNumType w:fmt="upperRoman" w:start="1"/>
          <w:cols w:space="425" w:num="1"/>
          <w:docGrid w:type="lines" w:linePitch="312" w:charSpace="0"/>
        </w:sectPr>
      </w:pPr>
    </w:p>
    <w:p w14:paraId="119B328E">
      <w:pPr>
        <w:pStyle w:val="15"/>
        <w:keepNext w:val="0"/>
        <w:rPr>
          <w:rFonts w:cs="黑体"/>
        </w:rPr>
      </w:pPr>
      <w:bookmarkStart w:id="1" w:name="_Toc181776888"/>
      <w:r>
        <w:rPr>
          <w:rFonts w:cs="黑体"/>
        </w:rPr>
        <w:t>前</w:t>
      </w:r>
      <w:r>
        <w:rPr>
          <w:rFonts w:hint="default" w:ascii="MS Mincho" w:hAnsi="MS Mincho" w:eastAsia="MS Mincho" w:cs="MS Mincho"/>
        </w:rPr>
        <w:t>  </w:t>
      </w:r>
      <w:r>
        <w:rPr>
          <w:rFonts w:cs="黑体"/>
        </w:rPr>
        <w:t>言</w:t>
      </w:r>
      <w:bookmarkEnd w:id="1"/>
    </w:p>
    <w:p w14:paraId="09EF1C13">
      <w:pPr>
        <w:pStyle w:val="13"/>
        <w:rPr>
          <w:rFonts w:cs="宋体"/>
        </w:rPr>
      </w:pPr>
      <w:r>
        <w:rPr>
          <w:rFonts w:cs="宋体"/>
        </w:rPr>
        <w:t>本文件按照GB/T 1.1—2020《标准化工作导则 第1部分：标准化文件的结构和起草规则》的规定起草。</w:t>
      </w:r>
    </w:p>
    <w:p w14:paraId="3514B801">
      <w:pPr>
        <w:pStyle w:val="13"/>
        <w:rPr>
          <w:rFonts w:cs="宋体"/>
        </w:rPr>
      </w:pPr>
      <w:r>
        <w:rPr>
          <w:rFonts w:cs="宋体"/>
        </w:rPr>
        <w:t>请注意本文件的某些内容可能涉及专利。本文件的发布机构不承担识别专利的责任。</w:t>
      </w:r>
    </w:p>
    <w:p w14:paraId="76E3D38E">
      <w:pPr>
        <w:pStyle w:val="13"/>
        <w:rPr>
          <w:rFonts w:cs="宋体"/>
        </w:rPr>
      </w:pPr>
      <w:r>
        <w:rPr>
          <w:rFonts w:cs="宋体"/>
        </w:rPr>
        <w:t>本文件由河北省文化和旅游厅提出并归口。</w:t>
      </w:r>
    </w:p>
    <w:p w14:paraId="1D37DC95">
      <w:pPr>
        <w:pStyle w:val="13"/>
        <w:rPr>
          <w:rFonts w:cs="宋体"/>
          <w:bCs/>
        </w:rPr>
      </w:pPr>
      <w:r>
        <w:rPr>
          <w:rFonts w:cs="宋体"/>
        </w:rPr>
        <w:t>本文件起草单位：河北省文化和旅游创新发展中心、河北省作家协会、</w:t>
      </w:r>
      <w:r>
        <w:rPr>
          <w:rFonts w:cs="宋体"/>
          <w:bCs/>
        </w:rPr>
        <w:t>中国电信股份有限公司河北分公司、中电信数智科技有限公司河北分公司、浙江省公众信息产业有限公司（中国电信集团文宣产业研究院）、燕山大学、河北燕大燕软信息系统有限公司</w:t>
      </w:r>
      <w:r>
        <w:rPr>
          <w:rFonts w:cs="宋体"/>
        </w:rPr>
        <w:t>。</w:t>
      </w:r>
    </w:p>
    <w:p w14:paraId="5EDDD1D4">
      <w:pPr>
        <w:pStyle w:val="13"/>
        <w:rPr>
          <w:rFonts w:cs="宋体"/>
        </w:rPr>
      </w:pPr>
      <w:r>
        <w:rPr>
          <w:rFonts w:cs="宋体"/>
        </w:rPr>
        <w:t>本文件主要起草人：李勇、崔路巍、赵春伟、裴旭、王洋、王洋、田开拓、</w:t>
      </w:r>
      <w:r>
        <w:rPr>
          <w:rFonts w:hint="eastAsia" w:cs="宋体"/>
          <w:lang w:val="en-US" w:eastAsia="zh-CN"/>
        </w:rPr>
        <w:t>张天丽、</w:t>
      </w:r>
      <w:bookmarkStart w:id="92" w:name="_GoBack"/>
      <w:bookmarkEnd w:id="92"/>
      <w:r>
        <w:rPr>
          <w:rFonts w:cs="宋体"/>
        </w:rPr>
        <w:t>宋智猛、张悦怡、卢忠意、陈仁洪、吴迪枫、刘文远、陈子军、高鑫、杨大朋、杨晓娟。</w:t>
      </w:r>
    </w:p>
    <w:p w14:paraId="2C2235B0">
      <w:pPr>
        <w:rPr>
          <w:rFonts w:hint="eastAsia"/>
        </w:rPr>
      </w:pPr>
    </w:p>
    <w:p w14:paraId="2B8DD36A">
      <w:pPr>
        <w:rPr>
          <w:rFonts w:hint="eastAsia"/>
        </w:rPr>
      </w:pPr>
    </w:p>
    <w:p w14:paraId="09276674">
      <w:pPr>
        <w:rPr>
          <w:rFonts w:hint="eastAsia"/>
        </w:rPr>
      </w:pPr>
    </w:p>
    <w:p w14:paraId="4B03065D">
      <w:pPr>
        <w:rPr>
          <w:rFonts w:hint="eastAsia"/>
        </w:rPr>
      </w:pPr>
    </w:p>
    <w:p w14:paraId="360F26D6">
      <w:pPr>
        <w:rPr>
          <w:rFonts w:hint="eastAsia"/>
        </w:rPr>
      </w:pPr>
    </w:p>
    <w:p w14:paraId="208B77D4">
      <w:pPr>
        <w:rPr>
          <w:rFonts w:hint="eastAsia"/>
        </w:rPr>
      </w:pPr>
    </w:p>
    <w:p w14:paraId="575225BA">
      <w:pPr>
        <w:rPr>
          <w:rFonts w:hint="eastAsia"/>
        </w:rPr>
      </w:pPr>
    </w:p>
    <w:p w14:paraId="534D99E7">
      <w:pPr>
        <w:rPr>
          <w:rFonts w:hint="eastAsia"/>
        </w:rPr>
      </w:pPr>
    </w:p>
    <w:p w14:paraId="6210A7D5">
      <w:pPr>
        <w:rPr>
          <w:rFonts w:hint="eastAsia"/>
        </w:rPr>
      </w:pPr>
    </w:p>
    <w:p w14:paraId="0783F183">
      <w:pPr>
        <w:rPr>
          <w:rFonts w:hint="eastAsia"/>
        </w:rPr>
      </w:pPr>
    </w:p>
    <w:p w14:paraId="63195F04">
      <w:pPr>
        <w:rPr>
          <w:rFonts w:hint="eastAsia"/>
        </w:rPr>
      </w:pPr>
    </w:p>
    <w:p w14:paraId="5B37D49A">
      <w:pPr>
        <w:rPr>
          <w:rFonts w:hint="eastAsia"/>
        </w:rPr>
      </w:pPr>
    </w:p>
    <w:p w14:paraId="534E892F">
      <w:pPr>
        <w:jc w:val="right"/>
        <w:rPr>
          <w:rFonts w:hint="eastAsia"/>
        </w:rPr>
      </w:pPr>
    </w:p>
    <w:p w14:paraId="7B0EC0F8">
      <w:pPr>
        <w:rPr>
          <w:rFonts w:hint="eastAsia"/>
        </w:rPr>
      </w:pPr>
    </w:p>
    <w:p w14:paraId="465ED2AA">
      <w:pPr>
        <w:rPr>
          <w:rFonts w:hint="eastAsia"/>
        </w:rPr>
        <w:sectPr>
          <w:footerReference r:id="rId7" w:type="default"/>
          <w:pgSz w:w="11906" w:h="16838"/>
          <w:pgMar w:top="567" w:right="1134" w:bottom="1134" w:left="1418" w:header="1418" w:footer="1134" w:gutter="0"/>
          <w:pgNumType w:fmt="upperRoman" w:start="1"/>
          <w:cols w:space="425" w:num="1"/>
          <w:docGrid w:type="lines" w:linePitch="312" w:charSpace="0"/>
        </w:sectPr>
      </w:pPr>
    </w:p>
    <w:p w14:paraId="7FE9A80A">
      <w:pPr>
        <w:jc w:val="center"/>
        <w:rPr>
          <w:rFonts w:hint="eastAsia" w:ascii="黑体" w:hAnsi="黑体" w:eastAsia="黑体" w:cs="宋体"/>
          <w:sz w:val="32"/>
          <w:szCs w:val="32"/>
        </w:rPr>
      </w:pPr>
      <w:r>
        <w:rPr>
          <w:rFonts w:hint="eastAsia" w:ascii="黑体" w:hAnsi="黑体" w:eastAsia="黑体" w:cs="宋体"/>
          <w:sz w:val="32"/>
          <w:szCs w:val="32"/>
          <w:lang w:bidi="ar"/>
        </w:rPr>
        <w:t>基于虚拟现实技术的文化遗产数字体验空间建设技术要求</w:t>
      </w:r>
    </w:p>
    <w:p w14:paraId="41E09447">
      <w:pPr>
        <w:pStyle w:val="17"/>
        <w:numPr>
          <w:ilvl w:val="0"/>
          <w:numId w:val="1"/>
        </w:numPr>
        <w:rPr>
          <w:rFonts w:cs="黑体"/>
        </w:rPr>
      </w:pPr>
      <w:bookmarkStart w:id="2" w:name="_Toc181776889"/>
      <w:r>
        <w:rPr>
          <w:rFonts w:cs="黑体"/>
        </w:rPr>
        <w:t>范围</w:t>
      </w:r>
      <w:bookmarkEnd w:id="2"/>
    </w:p>
    <w:p w14:paraId="5FA52FF3">
      <w:pPr>
        <w:ind w:firstLine="420" w:firstLineChars="200"/>
        <w:rPr>
          <w:rFonts w:ascii="Times New Roman" w:hAnsi="Times New Roman" w:cs="Times New Roman"/>
          <w:szCs w:val="21"/>
        </w:rPr>
      </w:pPr>
      <w:r>
        <w:rPr>
          <w:rFonts w:hint="eastAsia" w:ascii="宋体" w:hAnsi="宋体" w:eastAsia="宋体" w:cs="宋体"/>
          <w:szCs w:val="21"/>
          <w:lang w:bidi="ar"/>
        </w:rPr>
        <w:t>本文件规定了依托虚拟现实技术对文化遗产数字空间建设的体验场地、服务设施、服务人员、关键技术设备、服务体验、信息及网络安全等通用建设技术要求。</w:t>
      </w:r>
    </w:p>
    <w:p w14:paraId="5F2D540B">
      <w:pPr>
        <w:pStyle w:val="13"/>
        <w:rPr>
          <w:rFonts w:cs="宋体"/>
        </w:rPr>
      </w:pPr>
      <w:r>
        <w:rPr>
          <w:rFonts w:cs="宋体"/>
        </w:rPr>
        <w:t>本文件适用于基于虚拟现实技术的文化遗产数字体验空间建设。</w:t>
      </w:r>
    </w:p>
    <w:p w14:paraId="68FE10DF">
      <w:pPr>
        <w:pStyle w:val="17"/>
        <w:numPr>
          <w:ilvl w:val="0"/>
          <w:numId w:val="1"/>
        </w:numPr>
        <w:rPr>
          <w:rFonts w:cs="黑体"/>
        </w:rPr>
      </w:pPr>
      <w:bookmarkStart w:id="3" w:name="_Toc181776890"/>
      <w:r>
        <w:rPr>
          <w:rFonts w:cs="黑体"/>
        </w:rPr>
        <w:t>规范性引用文件</w:t>
      </w:r>
      <w:bookmarkEnd w:id="3"/>
    </w:p>
    <w:p w14:paraId="75DA23E9">
      <w:pPr>
        <w:ind w:firstLine="420" w:firstLineChars="200"/>
        <w:rPr>
          <w:rFonts w:ascii="Times New Roman" w:hAnsi="Times New Roman" w:cs="Times New Roman"/>
          <w:szCs w:val="21"/>
        </w:rPr>
      </w:pPr>
      <w:r>
        <w:rPr>
          <w:rFonts w:hint="eastAsia" w:ascii="宋体" w:hAnsi="宋体" w:eastAsia="宋体" w:cs="宋体"/>
          <w:szCs w:val="21"/>
          <w:lang w:bidi="ar"/>
        </w:rPr>
        <w:t>下列文件中的内容通过文中的规范性引用而构成本文件必不可少的条款。其中，注日期的引用文件，仅该日期对应的版本适用于本文件；不注日期的引用文件，其最新版本（包括所有的修改单）适用于本文件。</w:t>
      </w:r>
    </w:p>
    <w:p w14:paraId="4CA086DF">
      <w:pPr>
        <w:ind w:firstLine="420" w:firstLineChars="200"/>
        <w:rPr>
          <w:rFonts w:hint="eastAsia" w:ascii="宋体" w:hAnsi="宋体" w:eastAsia="宋体" w:cs="宋体"/>
          <w:szCs w:val="21"/>
          <w:lang w:bidi="ar"/>
        </w:rPr>
      </w:pPr>
      <w:r>
        <w:rPr>
          <w:rFonts w:hint="eastAsia" w:ascii="Times New Roman" w:hAnsi="Times New Roman" w:eastAsia="宋体" w:cs="Times New Roman"/>
          <w:szCs w:val="21"/>
          <w:lang w:bidi="ar"/>
        </w:rPr>
        <w:t>GY/T 395-2023 沉浸式终端通用技术要求</w:t>
      </w:r>
      <w:r>
        <w:rPr>
          <w:rFonts w:hint="eastAsia" w:ascii="宋体" w:hAnsi="宋体" w:eastAsia="宋体" w:cs="宋体"/>
          <w:szCs w:val="21"/>
          <w:lang w:bidi="ar"/>
        </w:rPr>
        <w:t xml:space="preserve">  </w:t>
      </w:r>
    </w:p>
    <w:p w14:paraId="45630223">
      <w:pPr>
        <w:ind w:firstLine="420" w:firstLineChars="200"/>
        <w:rPr>
          <w:rFonts w:hint="eastAsia" w:ascii="宋体" w:hAnsi="宋体" w:eastAsia="宋体" w:cs="宋体"/>
          <w:szCs w:val="21"/>
        </w:rPr>
      </w:pPr>
      <w:r>
        <w:rPr>
          <w:rFonts w:hint="eastAsia" w:ascii="Times New Roman" w:hAnsi="Times New Roman" w:eastAsia="宋体" w:cs="Times New Roman"/>
          <w:szCs w:val="21"/>
          <w:lang w:bidi="ar"/>
        </w:rPr>
        <w:t xml:space="preserve">T/GXAS 562-2023 </w:t>
      </w:r>
      <w:r>
        <w:rPr>
          <w:rFonts w:hint="eastAsia" w:ascii="宋体" w:hAnsi="宋体" w:eastAsia="宋体" w:cs="宋体"/>
          <w:szCs w:val="21"/>
        </w:rPr>
        <w:t>智慧旅游沉浸式场景体验服务规范</w:t>
      </w:r>
    </w:p>
    <w:p w14:paraId="0255CC7D">
      <w:pPr>
        <w:ind w:firstLine="420" w:firstLineChars="200"/>
        <w:rPr>
          <w:rFonts w:hint="eastAsia" w:ascii="宋体" w:hAnsi="宋体" w:eastAsia="宋体" w:cs="宋体"/>
          <w:szCs w:val="21"/>
        </w:rPr>
      </w:pPr>
      <w:bookmarkStart w:id="4" w:name="_Hlk179449648"/>
      <w:r>
        <w:rPr>
          <w:rFonts w:ascii="Times New Roman" w:hAnsi="Times New Roman" w:eastAsia="宋体" w:cs="Times New Roman"/>
          <w:szCs w:val="21"/>
          <w:lang w:bidi="ar"/>
        </w:rPr>
        <w:t>GB/T 38259-2019</w:t>
      </w:r>
      <w:r>
        <w:rPr>
          <w:rFonts w:hint="eastAsia" w:ascii="Times New Roman" w:hAnsi="Times New Roman" w:eastAsia="宋体" w:cs="Times New Roman"/>
          <w:szCs w:val="21"/>
          <w:lang w:bidi="ar"/>
        </w:rPr>
        <w:t xml:space="preserve"> </w:t>
      </w:r>
      <w:r>
        <w:rPr>
          <w:rFonts w:hint="eastAsia" w:ascii="宋体" w:hAnsi="宋体" w:eastAsia="宋体" w:cs="宋体"/>
          <w:szCs w:val="21"/>
          <w:lang w:bidi="ar"/>
        </w:rPr>
        <w:t>信息技术虚拟现实头戴式显示设备通用规范</w:t>
      </w:r>
    </w:p>
    <w:p w14:paraId="30928DBC">
      <w:pPr>
        <w:ind w:firstLine="420" w:firstLineChars="200"/>
        <w:rPr>
          <w:rFonts w:hint="eastAsia" w:ascii="宋体" w:hAnsi="宋体" w:eastAsia="宋体" w:cs="宋体"/>
          <w:szCs w:val="21"/>
        </w:rPr>
      </w:pPr>
      <w:r>
        <w:rPr>
          <w:rFonts w:ascii="Times New Roman" w:hAnsi="Times New Roman" w:eastAsia="宋体" w:cs="Times New Roman"/>
          <w:szCs w:val="21"/>
          <w:lang w:bidi="ar"/>
        </w:rPr>
        <w:t>GB/T 38258-2019</w:t>
      </w:r>
      <w:r>
        <w:rPr>
          <w:rFonts w:hint="eastAsia" w:ascii="Times New Roman" w:hAnsi="Times New Roman" w:eastAsia="宋体" w:cs="Times New Roman"/>
          <w:szCs w:val="21"/>
          <w:lang w:bidi="ar"/>
        </w:rPr>
        <w:t xml:space="preserve"> 信息技术</w:t>
      </w:r>
      <w:r>
        <w:rPr>
          <w:rFonts w:hint="eastAsia" w:ascii="宋体" w:hAnsi="宋体" w:eastAsia="宋体" w:cs="宋体"/>
          <w:szCs w:val="21"/>
          <w:lang w:bidi="ar"/>
        </w:rPr>
        <w:t>虚拟现实应用软件基本要求和测试方法</w:t>
      </w:r>
    </w:p>
    <w:bookmarkEnd w:id="4"/>
    <w:p w14:paraId="0154333B">
      <w:pPr>
        <w:ind w:firstLine="420" w:firstLineChars="200"/>
        <w:rPr>
          <w:rFonts w:hint="eastAsia" w:ascii="宋体" w:hAnsi="宋体" w:eastAsia="宋体" w:cs="宋体"/>
          <w:szCs w:val="21"/>
        </w:rPr>
      </w:pPr>
      <w:r>
        <w:rPr>
          <w:rFonts w:ascii="Times New Roman" w:hAnsi="Times New Roman" w:eastAsia="宋体" w:cs="Times New Roman"/>
          <w:szCs w:val="21"/>
          <w:lang w:bidi="ar"/>
        </w:rPr>
        <w:t>GB 10810.3-2006</w:t>
      </w:r>
      <w:r>
        <w:rPr>
          <w:rFonts w:hint="eastAsia" w:ascii="宋体" w:hAnsi="宋体" w:eastAsia="宋体" w:cs="宋体"/>
          <w:szCs w:val="21"/>
          <w:lang w:bidi="ar"/>
        </w:rPr>
        <w:tab/>
      </w:r>
      <w:r>
        <w:rPr>
          <w:rFonts w:hint="eastAsia" w:ascii="宋体" w:hAnsi="宋体" w:eastAsia="宋体" w:cs="宋体"/>
          <w:szCs w:val="21"/>
          <w:lang w:bidi="ar"/>
        </w:rPr>
        <w:t>眼镜镜片及相关眼镜产品透射比规范及测量方法</w:t>
      </w:r>
    </w:p>
    <w:p w14:paraId="163DFEF5">
      <w:pPr>
        <w:ind w:firstLine="420" w:firstLineChars="200"/>
        <w:rPr>
          <w:rFonts w:hint="eastAsia" w:ascii="宋体" w:hAnsi="宋体" w:eastAsia="宋体" w:cs="宋体"/>
          <w:szCs w:val="21"/>
        </w:rPr>
      </w:pPr>
      <w:r>
        <w:rPr>
          <w:rFonts w:ascii="Times New Roman" w:hAnsi="Times New Roman" w:eastAsia="宋体" w:cs="Times New Roman"/>
          <w:szCs w:val="21"/>
          <w:lang w:bidi="ar"/>
        </w:rPr>
        <w:t xml:space="preserve">GB 4943.1-2022 </w:t>
      </w:r>
      <w:r>
        <w:rPr>
          <w:rFonts w:hint="eastAsia" w:ascii="宋体" w:hAnsi="宋体" w:eastAsia="宋体" w:cs="宋体"/>
          <w:szCs w:val="21"/>
          <w:lang w:bidi="ar"/>
        </w:rPr>
        <w:t>音视频、信息技术和通信技术设备 第</w:t>
      </w:r>
      <w:r>
        <w:rPr>
          <w:rFonts w:ascii="Times New Roman" w:hAnsi="Times New Roman" w:eastAsia="宋体" w:cs="Times New Roman"/>
          <w:szCs w:val="21"/>
          <w:lang w:bidi="ar"/>
        </w:rPr>
        <w:t>1</w:t>
      </w:r>
      <w:r>
        <w:rPr>
          <w:rFonts w:hint="eastAsia" w:ascii="宋体" w:hAnsi="宋体" w:eastAsia="宋体" w:cs="宋体"/>
          <w:szCs w:val="21"/>
          <w:lang w:bidi="ar"/>
        </w:rPr>
        <w:t>部分</w:t>
      </w:r>
      <w:r>
        <w:rPr>
          <w:rFonts w:ascii="Times New Roman" w:hAnsi="Times New Roman" w:eastAsia="宋体" w:cs="Times New Roman"/>
          <w:szCs w:val="21"/>
          <w:lang w:bidi="ar"/>
        </w:rPr>
        <w:t>:</w:t>
      </w:r>
      <w:r>
        <w:rPr>
          <w:rFonts w:hint="eastAsia" w:ascii="宋体" w:hAnsi="宋体" w:eastAsia="宋体" w:cs="宋体"/>
          <w:szCs w:val="21"/>
          <w:lang w:bidi="ar"/>
        </w:rPr>
        <w:t>安全要求</w:t>
      </w:r>
    </w:p>
    <w:p w14:paraId="636AAA09">
      <w:pPr>
        <w:ind w:firstLine="420" w:firstLineChars="200"/>
        <w:rPr>
          <w:rFonts w:hint="eastAsia" w:ascii="宋体" w:hAnsi="宋体" w:eastAsia="宋体" w:cs="宋体"/>
          <w:szCs w:val="21"/>
        </w:rPr>
      </w:pPr>
      <w:r>
        <w:rPr>
          <w:rFonts w:ascii="Times New Roman" w:hAnsi="Times New Roman" w:cs="Times New Roman"/>
          <w:szCs w:val="21"/>
          <w:lang w:bidi="ar"/>
        </w:rPr>
        <w:t>GB/T 13962-2009</w:t>
      </w:r>
      <w:r>
        <w:rPr>
          <w:rFonts w:hint="eastAsia" w:ascii="宋体" w:hAnsi="宋体" w:eastAsia="宋体" w:cs="宋体"/>
          <w:szCs w:val="21"/>
          <w:lang w:bidi="ar"/>
        </w:rPr>
        <w:t xml:space="preserve"> 光学仪器术语</w:t>
      </w:r>
    </w:p>
    <w:p w14:paraId="0E0A06FB">
      <w:pPr>
        <w:ind w:firstLine="420" w:firstLineChars="200"/>
        <w:rPr>
          <w:rFonts w:hint="eastAsia" w:ascii="宋体" w:hAnsi="宋体" w:eastAsia="宋体" w:cs="宋体"/>
          <w:szCs w:val="21"/>
          <w:lang w:bidi="ar"/>
        </w:rPr>
      </w:pPr>
      <w:r>
        <w:rPr>
          <w:rFonts w:ascii="Times New Roman" w:hAnsi="Times New Roman" w:eastAsia="宋体" w:cs="Times New Roman"/>
          <w:szCs w:val="21"/>
          <w:lang w:bidi="ar"/>
        </w:rPr>
        <w:t>GB/T 26572-2011</w:t>
      </w:r>
      <w:r>
        <w:rPr>
          <w:rFonts w:hint="eastAsia" w:ascii="宋体" w:hAnsi="宋体" w:eastAsia="宋体" w:cs="宋体"/>
          <w:szCs w:val="21"/>
          <w:lang w:bidi="ar"/>
        </w:rPr>
        <w:t>电子电气产品中限用物质的限量要求</w:t>
      </w:r>
    </w:p>
    <w:p w14:paraId="31BA95F7">
      <w:pPr>
        <w:ind w:firstLine="420" w:firstLineChars="200"/>
        <w:rPr>
          <w:rFonts w:hint="eastAsia" w:ascii="宋体" w:hAnsi="宋体" w:eastAsia="宋体" w:cs="宋体"/>
          <w:szCs w:val="21"/>
        </w:rPr>
      </w:pPr>
      <w:r>
        <w:rPr>
          <w:rFonts w:ascii="Times New Roman" w:hAnsi="Times New Roman" w:eastAsia="宋体" w:cs="Times New Roman"/>
          <w:szCs w:val="21"/>
          <w:lang w:bidi="ar"/>
        </w:rPr>
        <w:t xml:space="preserve">GB 50016-2014 </w:t>
      </w:r>
      <w:r>
        <w:rPr>
          <w:rFonts w:hint="eastAsia" w:ascii="宋体" w:hAnsi="宋体" w:eastAsia="宋体" w:cs="宋体"/>
          <w:szCs w:val="21"/>
          <w:lang w:bidi="ar"/>
        </w:rPr>
        <w:t>建筑设计防火规范</w:t>
      </w:r>
      <w:r>
        <w:rPr>
          <w:rFonts w:hint="eastAsia" w:ascii="宋体" w:hAnsi="宋体" w:eastAsia="宋体" w:cs="宋体"/>
          <w:sz w:val="24"/>
          <w:szCs w:val="24"/>
          <w:lang w:bidi="ar"/>
        </w:rPr>
        <w:br w:type="textWrapping"/>
      </w:r>
      <w:r>
        <w:rPr>
          <w:rFonts w:hint="eastAsia" w:ascii="宋体" w:hAnsi="宋体" w:eastAsia="宋体" w:cs="宋体"/>
          <w:sz w:val="24"/>
          <w:szCs w:val="24"/>
          <w:lang w:bidi="ar"/>
        </w:rPr>
        <w:tab/>
      </w:r>
      <w:r>
        <w:rPr>
          <w:rFonts w:ascii="Times New Roman" w:hAnsi="Times New Roman" w:eastAsia="宋体" w:cs="Times New Roman"/>
          <w:szCs w:val="21"/>
          <w:lang w:bidi="ar"/>
        </w:rPr>
        <w:t>GB</w:t>
      </w:r>
      <w:r>
        <w:rPr>
          <w:rFonts w:hint="eastAsia" w:ascii="Times New Roman" w:hAnsi="Times New Roman" w:eastAsia="宋体" w:cs="Times New Roman"/>
          <w:szCs w:val="21"/>
          <w:lang w:bidi="ar"/>
        </w:rPr>
        <w:t xml:space="preserve"> </w:t>
      </w:r>
      <w:r>
        <w:rPr>
          <w:rFonts w:ascii="Times New Roman" w:hAnsi="Times New Roman" w:eastAsia="宋体" w:cs="Times New Roman"/>
          <w:szCs w:val="21"/>
          <w:lang w:bidi="ar"/>
        </w:rPr>
        <w:t xml:space="preserve">50325-2020 </w:t>
      </w:r>
      <w:r>
        <w:rPr>
          <w:rFonts w:hint="eastAsia" w:ascii="宋体" w:hAnsi="宋体" w:eastAsia="宋体" w:cs="宋体"/>
          <w:szCs w:val="21"/>
          <w:lang w:bidi="ar"/>
        </w:rPr>
        <w:t>民用建筑工程室内环境污染控制规范</w:t>
      </w:r>
    </w:p>
    <w:p w14:paraId="5E17E2D8">
      <w:pPr>
        <w:ind w:firstLine="420" w:firstLineChars="200"/>
        <w:rPr>
          <w:rFonts w:hint="eastAsia" w:ascii="宋体" w:hAnsi="宋体" w:eastAsia="宋体" w:cs="宋体"/>
          <w:szCs w:val="21"/>
        </w:rPr>
      </w:pPr>
      <w:r>
        <w:rPr>
          <w:rFonts w:ascii="Times New Roman" w:hAnsi="Times New Roman" w:eastAsia="宋体" w:cs="Times New Roman"/>
          <w:szCs w:val="21"/>
          <w:lang w:bidi="ar"/>
        </w:rPr>
        <w:t>GB</w:t>
      </w:r>
      <w:r>
        <w:rPr>
          <w:rFonts w:hint="eastAsia" w:ascii="Times New Roman" w:hAnsi="Times New Roman" w:eastAsia="宋体" w:cs="Times New Roman"/>
          <w:szCs w:val="21"/>
          <w:lang w:bidi="ar"/>
        </w:rPr>
        <w:t xml:space="preserve"> </w:t>
      </w:r>
      <w:r>
        <w:rPr>
          <w:rFonts w:ascii="Times New Roman" w:hAnsi="Times New Roman" w:eastAsia="宋体" w:cs="Times New Roman"/>
          <w:szCs w:val="21"/>
          <w:lang w:bidi="ar"/>
        </w:rPr>
        <w:t xml:space="preserve">50763-2012 </w:t>
      </w:r>
      <w:r>
        <w:rPr>
          <w:rFonts w:hint="eastAsia" w:ascii="宋体" w:hAnsi="宋体" w:eastAsia="宋体" w:cs="宋体"/>
          <w:szCs w:val="21"/>
          <w:lang w:bidi="ar"/>
        </w:rPr>
        <w:t>无障碍设计规范</w:t>
      </w:r>
    </w:p>
    <w:p w14:paraId="5566688F">
      <w:pPr>
        <w:ind w:firstLine="420" w:firstLineChars="200"/>
        <w:rPr>
          <w:rFonts w:hint="eastAsia" w:ascii="宋体" w:hAnsi="宋体" w:eastAsia="宋体" w:cs="宋体"/>
          <w:szCs w:val="21"/>
        </w:rPr>
      </w:pPr>
      <w:r>
        <w:rPr>
          <w:rFonts w:ascii="Times New Roman" w:hAnsi="Times New Roman" w:eastAsia="宋体" w:cs="Times New Roman"/>
          <w:szCs w:val="21"/>
          <w:lang w:bidi="ar"/>
        </w:rPr>
        <w:t xml:space="preserve">GB 50189-2015 </w:t>
      </w:r>
      <w:r>
        <w:rPr>
          <w:rFonts w:hint="eastAsia" w:ascii="宋体" w:hAnsi="宋体" w:eastAsia="宋体" w:cs="宋体"/>
          <w:szCs w:val="21"/>
          <w:lang w:bidi="ar"/>
        </w:rPr>
        <w:t>公共建筑节能设计标准</w:t>
      </w:r>
    </w:p>
    <w:p w14:paraId="54C62BF6">
      <w:pPr>
        <w:ind w:firstLine="420" w:firstLineChars="200"/>
        <w:rPr>
          <w:rFonts w:hint="eastAsia" w:ascii="宋体" w:hAnsi="宋体" w:eastAsia="宋体" w:cs="宋体"/>
          <w:szCs w:val="21"/>
        </w:rPr>
      </w:pPr>
      <w:r>
        <w:rPr>
          <w:rFonts w:ascii="Times New Roman" w:hAnsi="Times New Roman" w:eastAsia="宋体" w:cs="Times New Roman"/>
          <w:szCs w:val="21"/>
          <w:lang w:bidi="ar"/>
        </w:rPr>
        <w:t>GB/T 40248-2021</w:t>
      </w:r>
      <w:r>
        <w:rPr>
          <w:rFonts w:hint="eastAsia" w:ascii="宋体" w:hAnsi="宋体" w:eastAsia="宋体" w:cs="宋体"/>
          <w:szCs w:val="21"/>
          <w:lang w:bidi="ar"/>
        </w:rPr>
        <w:t>人员密集场所消防安全管理</w:t>
      </w:r>
    </w:p>
    <w:p w14:paraId="5191596D">
      <w:pPr>
        <w:ind w:firstLine="420" w:firstLineChars="200"/>
        <w:rPr>
          <w:rFonts w:hint="eastAsia" w:ascii="宋体" w:hAnsi="宋体" w:eastAsia="宋体" w:cs="宋体"/>
          <w:szCs w:val="21"/>
        </w:rPr>
      </w:pPr>
      <w:r>
        <w:rPr>
          <w:rFonts w:ascii="Times New Roman" w:hAnsi="Times New Roman" w:eastAsia="宋体" w:cs="Times New Roman"/>
          <w:szCs w:val="21"/>
          <w:lang w:bidi="ar"/>
        </w:rPr>
        <w:t xml:space="preserve">GB/T 2312-1980 </w:t>
      </w:r>
      <w:r>
        <w:rPr>
          <w:rFonts w:hint="eastAsia" w:ascii="宋体" w:hAnsi="宋体" w:eastAsia="宋体" w:cs="宋体"/>
          <w:szCs w:val="21"/>
          <w:lang w:bidi="ar"/>
        </w:rPr>
        <w:t>信息交换用汉字编码字符集基本集</w:t>
      </w:r>
    </w:p>
    <w:p w14:paraId="50209B5D">
      <w:pPr>
        <w:ind w:firstLine="420" w:firstLineChars="200"/>
        <w:rPr>
          <w:rFonts w:hint="eastAsia" w:ascii="宋体" w:hAnsi="宋体" w:eastAsia="宋体" w:cs="宋体"/>
          <w:szCs w:val="21"/>
        </w:rPr>
      </w:pPr>
      <w:r>
        <w:rPr>
          <w:rFonts w:ascii="Times New Roman" w:hAnsi="Times New Roman" w:eastAsia="宋体" w:cs="Times New Roman"/>
          <w:szCs w:val="21"/>
          <w:lang w:bidi="ar"/>
        </w:rPr>
        <w:t xml:space="preserve">GB/T 13000-2010 </w:t>
      </w:r>
      <w:r>
        <w:rPr>
          <w:rFonts w:hint="eastAsia" w:ascii="宋体" w:hAnsi="宋体" w:eastAsia="宋体" w:cs="宋体"/>
          <w:szCs w:val="21"/>
          <w:lang w:bidi="ar"/>
        </w:rPr>
        <w:t>信息技术 通用多八位编码字符集（</w:t>
      </w:r>
      <w:r>
        <w:rPr>
          <w:rFonts w:ascii="Times New Roman" w:hAnsi="Times New Roman" w:eastAsia="宋体" w:cs="Times New Roman"/>
          <w:szCs w:val="21"/>
          <w:lang w:bidi="ar"/>
        </w:rPr>
        <w:t>UCS</w:t>
      </w:r>
      <w:r>
        <w:rPr>
          <w:rFonts w:hint="eastAsia" w:ascii="宋体" w:hAnsi="宋体" w:eastAsia="宋体" w:cs="宋体"/>
          <w:szCs w:val="21"/>
          <w:lang w:bidi="ar"/>
        </w:rPr>
        <w:t>）</w:t>
      </w:r>
    </w:p>
    <w:p w14:paraId="0DF526CA">
      <w:pPr>
        <w:ind w:firstLine="420" w:firstLineChars="200"/>
        <w:rPr>
          <w:rFonts w:hint="eastAsia" w:ascii="宋体" w:hAnsi="宋体" w:eastAsia="宋体" w:cs="宋体"/>
          <w:szCs w:val="21"/>
        </w:rPr>
      </w:pPr>
      <w:r>
        <w:rPr>
          <w:rFonts w:ascii="Times New Roman" w:hAnsi="Times New Roman" w:eastAsia="宋体" w:cs="Times New Roman"/>
          <w:szCs w:val="21"/>
          <w:lang w:bidi="ar"/>
        </w:rPr>
        <w:t xml:space="preserve">B/T 18883-2022 </w:t>
      </w:r>
      <w:r>
        <w:rPr>
          <w:rFonts w:hint="eastAsia" w:ascii="宋体" w:hAnsi="宋体" w:eastAsia="宋体" w:cs="宋体"/>
          <w:szCs w:val="21"/>
          <w:lang w:bidi="ar"/>
        </w:rPr>
        <w:t>室内空气质量标准</w:t>
      </w:r>
    </w:p>
    <w:p w14:paraId="10DDCB5C">
      <w:pPr>
        <w:ind w:firstLine="420" w:firstLineChars="200"/>
        <w:rPr>
          <w:rFonts w:hint="eastAsia" w:ascii="宋体" w:hAnsi="宋体" w:eastAsia="宋体" w:cs="宋体"/>
          <w:szCs w:val="21"/>
          <w:lang w:bidi="ar"/>
        </w:rPr>
      </w:pPr>
      <w:r>
        <w:rPr>
          <w:rFonts w:ascii="Times New Roman" w:hAnsi="Times New Roman" w:eastAsia="宋体" w:cs="Times New Roman"/>
          <w:szCs w:val="21"/>
          <w:lang w:bidi="ar"/>
        </w:rPr>
        <w:t>GB 51348</w:t>
      </w:r>
      <w:r>
        <w:rPr>
          <w:rFonts w:hint="eastAsia" w:ascii="宋体" w:hAnsi="宋体" w:eastAsia="宋体" w:cs="宋体"/>
          <w:szCs w:val="21"/>
          <w:lang w:bidi="ar"/>
        </w:rPr>
        <w:t>—</w:t>
      </w:r>
      <w:r>
        <w:rPr>
          <w:rFonts w:ascii="Times New Roman" w:hAnsi="Times New Roman" w:eastAsia="宋体" w:cs="Times New Roman"/>
          <w:szCs w:val="21"/>
          <w:lang w:bidi="ar"/>
        </w:rPr>
        <w:t>2019</w:t>
      </w:r>
      <w:r>
        <w:rPr>
          <w:rFonts w:hint="eastAsia" w:ascii="宋体" w:hAnsi="宋体" w:eastAsia="宋体" w:cs="宋体"/>
          <w:szCs w:val="21"/>
          <w:lang w:bidi="ar"/>
        </w:rPr>
        <w:t>民用建筑电气设计标准</w:t>
      </w:r>
    </w:p>
    <w:p w14:paraId="03B111BF">
      <w:pPr>
        <w:ind w:firstLine="420" w:firstLineChars="200"/>
        <w:rPr>
          <w:rFonts w:hint="eastAsia" w:ascii="宋体" w:hAnsi="宋体" w:eastAsia="宋体" w:cs="宋体"/>
          <w:szCs w:val="21"/>
        </w:rPr>
      </w:pPr>
      <w:r>
        <w:rPr>
          <w:rFonts w:hint="eastAsia" w:ascii="Times New Roman" w:hAnsi="Times New Roman" w:eastAsia="宋体" w:cs="Times New Roman"/>
          <w:szCs w:val="21"/>
          <w:lang w:bidi="ar"/>
        </w:rPr>
        <w:t xml:space="preserve">GB3096 </w:t>
      </w:r>
      <w:r>
        <w:rPr>
          <w:rFonts w:hint="eastAsia" w:ascii="宋体" w:hAnsi="宋体" w:eastAsia="宋体" w:cs="宋体"/>
          <w:szCs w:val="21"/>
          <w:lang w:bidi="ar"/>
        </w:rPr>
        <w:t>声环境质量标准</w:t>
      </w:r>
    </w:p>
    <w:p w14:paraId="27CF2FD6">
      <w:pPr>
        <w:pStyle w:val="17"/>
        <w:numPr>
          <w:ilvl w:val="0"/>
          <w:numId w:val="1"/>
        </w:numPr>
        <w:rPr>
          <w:rFonts w:cs="黑体"/>
        </w:rPr>
      </w:pPr>
      <w:bookmarkStart w:id="5" w:name="_Toc181776891"/>
      <w:r>
        <w:rPr>
          <w:rFonts w:cs="黑体"/>
        </w:rPr>
        <w:t>术语和定义</w:t>
      </w:r>
      <w:bookmarkEnd w:id="5"/>
    </w:p>
    <w:p w14:paraId="526AED0C">
      <w:pPr>
        <w:pStyle w:val="13"/>
        <w:rPr>
          <w:rFonts w:cs="宋体"/>
        </w:rPr>
      </w:pPr>
      <w:r>
        <w:rPr>
          <w:rFonts w:cs="宋体"/>
        </w:rPr>
        <w:t>下列术语和定义适用于本文件。</w:t>
      </w:r>
    </w:p>
    <w:p w14:paraId="6B14CA10">
      <w:pPr>
        <w:pStyle w:val="12"/>
        <w:numPr>
          <w:ilvl w:val="1"/>
          <w:numId w:val="1"/>
        </w:numPr>
        <w:rPr>
          <w:rFonts w:cs="黑体"/>
        </w:rPr>
      </w:pPr>
      <w:bookmarkStart w:id="6" w:name="_Toc181776892"/>
      <w:bookmarkEnd w:id="6"/>
      <w:bookmarkStart w:id="7" w:name="_Toc179461762"/>
      <w:bookmarkEnd w:id="7"/>
      <w:bookmarkStart w:id="8" w:name="_Toc23432"/>
    </w:p>
    <w:p w14:paraId="1798A673">
      <w:pPr>
        <w:pStyle w:val="13"/>
        <w:rPr>
          <w:rFonts w:ascii="黑体" w:hAnsi="黑体" w:eastAsia="黑体" w:cs="宋体"/>
        </w:rPr>
      </w:pPr>
      <w:r>
        <w:rPr>
          <w:rFonts w:ascii="黑体" w:hAnsi="黑体" w:eastAsia="黑体" w:cs="宋体"/>
        </w:rPr>
        <w:t xml:space="preserve">数字体验空间 </w:t>
      </w:r>
      <w:r>
        <w:rPr>
          <w:rFonts w:ascii="Times New Roman" w:hAnsi="Times New Roman" w:eastAsia="黑体"/>
        </w:rPr>
        <w:t>digital experience space</w:t>
      </w:r>
      <w:bookmarkEnd w:id="8"/>
    </w:p>
    <w:p w14:paraId="56364D23">
      <w:pPr>
        <w:pStyle w:val="13"/>
        <w:rPr>
          <w:rFonts w:cs="宋体"/>
        </w:rPr>
      </w:pPr>
      <w:r>
        <w:rPr>
          <w:rFonts w:cs="宋体"/>
        </w:rPr>
        <w:t>将空间、声音、图像汇集为一个以身体直接感知的场景，使人产生强烈包围感、临场感的场所。</w:t>
      </w:r>
    </w:p>
    <w:p w14:paraId="7C3A1CDD">
      <w:pPr>
        <w:pStyle w:val="12"/>
        <w:numPr>
          <w:ilvl w:val="1"/>
          <w:numId w:val="1"/>
        </w:numPr>
        <w:rPr>
          <w:rFonts w:cs="黑体"/>
        </w:rPr>
      </w:pPr>
      <w:bookmarkStart w:id="9" w:name="_Toc179461763"/>
      <w:bookmarkEnd w:id="9"/>
      <w:bookmarkStart w:id="10" w:name="_Toc181776893"/>
      <w:bookmarkEnd w:id="10"/>
      <w:bookmarkStart w:id="11" w:name="_Toc31849"/>
    </w:p>
    <w:p w14:paraId="63431251">
      <w:pPr>
        <w:pStyle w:val="13"/>
        <w:rPr>
          <w:rFonts w:hint="default" w:ascii="Times New Roman" w:hAnsi="Times New Roman" w:eastAsia="黑体"/>
        </w:rPr>
      </w:pPr>
      <w:r>
        <w:rPr>
          <w:rFonts w:ascii="黑体" w:hAnsi="黑体" w:eastAsia="黑体" w:cs="宋体"/>
        </w:rPr>
        <w:t xml:space="preserve">虚拟现实 </w:t>
      </w:r>
      <w:r>
        <w:rPr>
          <w:rFonts w:ascii="Times New Roman" w:hAnsi="Times New Roman" w:eastAsia="黑体"/>
        </w:rPr>
        <w:t>virtual reality</w:t>
      </w:r>
      <w:bookmarkEnd w:id="11"/>
    </w:p>
    <w:p w14:paraId="3A2E7B2C">
      <w:pPr>
        <w:jc w:val="right"/>
        <w:rPr>
          <w:rFonts w:hint="eastAsia"/>
        </w:rPr>
      </w:pPr>
    </w:p>
    <w:p w14:paraId="28DCA0EF">
      <w:pPr>
        <w:pStyle w:val="13"/>
        <w:rPr>
          <w:rFonts w:cs="宋体"/>
        </w:rPr>
      </w:pPr>
      <w:r>
        <w:rPr>
          <w:rFonts w:cs="宋体"/>
        </w:rPr>
        <w:t>虚拟现实技术是指：采用以计算机为核心的现代高科技手段生成的逼真的视觉、听觉、触觉、嗅觉、味觉等多感官一体化的数字化人工环境，用户借助一些输入、输出设备，采用自然的方式与虚拟世界的对象进行交互，相互影响，从而产生亲临真实环境的感觉和体验。</w:t>
      </w:r>
    </w:p>
    <w:p w14:paraId="3316B1DD">
      <w:pPr>
        <w:pStyle w:val="12"/>
        <w:numPr>
          <w:ilvl w:val="1"/>
          <w:numId w:val="1"/>
        </w:numPr>
        <w:rPr>
          <w:rFonts w:cs="黑体"/>
        </w:rPr>
      </w:pPr>
      <w:bookmarkStart w:id="12" w:name="_Toc179461764"/>
      <w:bookmarkEnd w:id="12"/>
      <w:bookmarkStart w:id="13" w:name="_Toc181776894"/>
      <w:bookmarkEnd w:id="13"/>
      <w:bookmarkStart w:id="14" w:name="_Toc18490"/>
    </w:p>
    <w:p w14:paraId="08B2383D">
      <w:pPr>
        <w:pStyle w:val="13"/>
        <w:rPr>
          <w:rFonts w:ascii="黑体" w:hAnsi="黑体" w:eastAsia="黑体" w:cs="宋体"/>
        </w:rPr>
      </w:pPr>
      <w:r>
        <w:rPr>
          <w:rFonts w:ascii="黑体" w:hAnsi="黑体" w:eastAsia="黑体" w:cs="宋体"/>
        </w:rPr>
        <w:t xml:space="preserve">头戴式显示设备 </w:t>
      </w:r>
      <w:r>
        <w:rPr>
          <w:rFonts w:ascii="Times New Roman" w:hAnsi="Times New Roman" w:eastAsia="黑体"/>
        </w:rPr>
        <w:t>head mounted display</w:t>
      </w:r>
      <w:bookmarkEnd w:id="14"/>
    </w:p>
    <w:p w14:paraId="3824448B">
      <w:pPr>
        <w:pStyle w:val="13"/>
        <w:rPr>
          <w:rFonts w:cs="宋体"/>
        </w:rPr>
      </w:pPr>
      <w:r>
        <w:rPr>
          <w:rFonts w:cs="宋体"/>
        </w:rPr>
        <w:t>一种用于计算机系统的显示设备，该设备被佩戴在用户的头部，通过位于用户眼睛前方的目视光学系统放大微型显示屏上的图像，从而提供沉浸式或穿透式的显示效果。</w:t>
      </w:r>
    </w:p>
    <w:p w14:paraId="4C347FB9">
      <w:pPr>
        <w:pStyle w:val="12"/>
        <w:numPr>
          <w:ilvl w:val="1"/>
          <w:numId w:val="1"/>
        </w:numPr>
        <w:rPr>
          <w:rFonts w:cs="黑体"/>
        </w:rPr>
      </w:pPr>
      <w:bookmarkStart w:id="15" w:name="_Toc181776896"/>
      <w:bookmarkEnd w:id="15"/>
      <w:bookmarkStart w:id="16" w:name="_Toc179461765"/>
      <w:bookmarkEnd w:id="16"/>
      <w:bookmarkStart w:id="17" w:name="_Toc179461766"/>
      <w:bookmarkEnd w:id="17"/>
      <w:bookmarkStart w:id="18" w:name="_Toc181776895"/>
      <w:bookmarkEnd w:id="18"/>
      <w:bookmarkStart w:id="19" w:name="_Toc9332"/>
    </w:p>
    <w:p w14:paraId="1514ADCF">
      <w:pPr>
        <w:pStyle w:val="13"/>
        <w:rPr>
          <w:rFonts w:ascii="黑体" w:hAnsi="黑体" w:eastAsia="黑体" w:cs="宋体"/>
        </w:rPr>
      </w:pPr>
      <w:r>
        <w:rPr>
          <w:rFonts w:ascii="黑体" w:hAnsi="黑体" w:eastAsia="黑体" w:cs="宋体"/>
        </w:rPr>
        <w:t xml:space="preserve">视场角 </w:t>
      </w:r>
      <w:r>
        <w:rPr>
          <w:rFonts w:ascii="Times New Roman" w:hAnsi="Times New Roman" w:eastAsia="黑体"/>
        </w:rPr>
        <w:t>field of view</w:t>
      </w:r>
      <w:bookmarkEnd w:id="19"/>
      <w:r>
        <w:rPr>
          <w:rFonts w:ascii="Times New Roman" w:hAnsi="Times New Roman" w:eastAsia="黑体"/>
        </w:rPr>
        <w:t xml:space="preserve"> </w:t>
      </w:r>
    </w:p>
    <w:p w14:paraId="555C8A42">
      <w:pPr>
        <w:pStyle w:val="13"/>
        <w:rPr>
          <w:rFonts w:cs="宋体"/>
        </w:rPr>
      </w:pPr>
      <w:r>
        <w:rPr>
          <w:rFonts w:cs="宋体"/>
        </w:rPr>
        <w:t>显示器所形成像中，人眼可观察到部分的边缘与观察点(人眼瞳孔中心)连线的夹角，包括水平视场角、垂直视场角、对角线视场角，未加特殊说明时指左右两个边缘与单个观察点的夹角，即水平视场角。</w:t>
      </w:r>
    </w:p>
    <w:p w14:paraId="5A30D852">
      <w:pPr>
        <w:pStyle w:val="12"/>
        <w:numPr>
          <w:ilvl w:val="1"/>
          <w:numId w:val="1"/>
        </w:numPr>
        <w:rPr>
          <w:rFonts w:cs="黑体"/>
        </w:rPr>
      </w:pPr>
      <w:bookmarkStart w:id="20" w:name="_Toc179461767"/>
      <w:bookmarkEnd w:id="20"/>
      <w:bookmarkStart w:id="21" w:name="_Toc181776897"/>
      <w:bookmarkEnd w:id="21"/>
      <w:bookmarkStart w:id="22" w:name="_Toc12844"/>
    </w:p>
    <w:p w14:paraId="1EE7B388">
      <w:pPr>
        <w:pStyle w:val="13"/>
        <w:rPr>
          <w:rFonts w:ascii="黑体" w:hAnsi="黑体" w:eastAsia="黑体" w:cs="宋体"/>
        </w:rPr>
      </w:pPr>
      <w:r>
        <w:rPr>
          <w:rFonts w:ascii="黑体" w:hAnsi="黑体" w:eastAsia="黑体" w:cs="宋体"/>
        </w:rPr>
        <w:t xml:space="preserve">瞳距 </w:t>
      </w:r>
      <w:r>
        <w:rPr>
          <w:rFonts w:ascii="Times New Roman" w:hAnsi="Times New Roman" w:eastAsia="黑体"/>
        </w:rPr>
        <w:t>interpupillary distance</w:t>
      </w:r>
      <w:bookmarkEnd w:id="22"/>
      <w:r>
        <w:rPr>
          <w:rFonts w:ascii="Times New Roman" w:hAnsi="Times New Roman" w:eastAsia="黑体"/>
        </w:rPr>
        <w:t xml:space="preserve"> </w:t>
      </w:r>
    </w:p>
    <w:p w14:paraId="39DF37E8">
      <w:pPr>
        <w:pStyle w:val="13"/>
        <w:rPr>
          <w:rFonts w:cs="宋体"/>
        </w:rPr>
      </w:pPr>
      <w:r>
        <w:rPr>
          <w:rFonts w:cs="宋体"/>
        </w:rPr>
        <w:t>当视线平行时，人眼两瞳孔中心间的距离。</w:t>
      </w:r>
    </w:p>
    <w:p w14:paraId="43708E68">
      <w:pPr>
        <w:pStyle w:val="12"/>
        <w:numPr>
          <w:ilvl w:val="1"/>
          <w:numId w:val="1"/>
        </w:numPr>
        <w:rPr>
          <w:rFonts w:cs="黑体"/>
        </w:rPr>
      </w:pPr>
      <w:bookmarkStart w:id="23" w:name="_Toc179461768"/>
      <w:bookmarkEnd w:id="23"/>
      <w:bookmarkStart w:id="24" w:name="_Toc181776898"/>
      <w:bookmarkEnd w:id="24"/>
      <w:bookmarkStart w:id="25" w:name="_Toc15509"/>
    </w:p>
    <w:p w14:paraId="5013FE6D">
      <w:pPr>
        <w:pStyle w:val="13"/>
        <w:rPr>
          <w:rFonts w:ascii="黑体" w:hAnsi="黑体" w:eastAsia="黑体" w:cs="宋体"/>
        </w:rPr>
      </w:pPr>
      <w:r>
        <w:rPr>
          <w:rFonts w:ascii="黑体" w:hAnsi="黑体" w:eastAsia="黑体" w:cs="宋体"/>
        </w:rPr>
        <w:t xml:space="preserve">出瞳距离 </w:t>
      </w:r>
      <w:r>
        <w:rPr>
          <w:rFonts w:hint="default" w:ascii="Times New Roman" w:hAnsi="Times New Roman" w:eastAsia="黑体"/>
        </w:rPr>
        <w:t>exit pupil distance</w:t>
      </w:r>
      <w:bookmarkEnd w:id="25"/>
      <w:r>
        <w:rPr>
          <w:rFonts w:hint="default" w:ascii="Times New Roman" w:hAnsi="Times New Roman" w:eastAsia="黑体"/>
        </w:rPr>
        <w:t xml:space="preserve"> </w:t>
      </w:r>
    </w:p>
    <w:p w14:paraId="2A1482DA">
      <w:pPr>
        <w:pStyle w:val="13"/>
        <w:rPr>
          <w:rFonts w:cs="宋体"/>
        </w:rPr>
      </w:pPr>
      <w:r>
        <w:rPr>
          <w:rFonts w:cs="宋体"/>
        </w:rPr>
        <w:t>自光学系统最后一面顶点到出瞳平面与光轴交点的距离，也是能看清整个视场时人眼与镜片之间的距离。</w:t>
      </w:r>
    </w:p>
    <w:p w14:paraId="6FECA435">
      <w:pPr>
        <w:pStyle w:val="12"/>
        <w:numPr>
          <w:ilvl w:val="1"/>
          <w:numId w:val="1"/>
        </w:numPr>
        <w:rPr>
          <w:rFonts w:cs="黑体"/>
        </w:rPr>
      </w:pPr>
      <w:bookmarkStart w:id="26" w:name="_Toc181776899"/>
      <w:bookmarkEnd w:id="26"/>
      <w:bookmarkStart w:id="27" w:name="_Toc179461769"/>
      <w:bookmarkEnd w:id="27"/>
      <w:bookmarkStart w:id="28" w:name="_Toc25112"/>
    </w:p>
    <w:p w14:paraId="64647C3D">
      <w:pPr>
        <w:pStyle w:val="13"/>
        <w:rPr>
          <w:rFonts w:ascii="黑体" w:hAnsi="黑体" w:eastAsia="黑体" w:cs="宋体"/>
        </w:rPr>
      </w:pPr>
      <w:r>
        <w:rPr>
          <w:rFonts w:ascii="黑体" w:hAnsi="黑体" w:eastAsia="黑体" w:cs="宋体"/>
        </w:rPr>
        <w:t xml:space="preserve">显示分辨率 </w:t>
      </w:r>
      <w:r>
        <w:rPr>
          <w:rFonts w:ascii="Times New Roman" w:hAnsi="Times New Roman" w:eastAsia="黑体"/>
        </w:rPr>
        <w:t>resolution</w:t>
      </w:r>
      <w:bookmarkEnd w:id="28"/>
    </w:p>
    <w:p w14:paraId="7DFF1B14">
      <w:pPr>
        <w:pStyle w:val="13"/>
        <w:rPr>
          <w:rFonts w:cs="宋体"/>
        </w:rPr>
      </w:pPr>
      <w:r>
        <w:rPr>
          <w:rFonts w:cs="宋体"/>
        </w:rPr>
        <w:t>描述显示屏幕上显示多少信息的量，以水平和垂直像素的数量来衡量。</w:t>
      </w:r>
    </w:p>
    <w:p w14:paraId="1E5E1C9D">
      <w:pPr>
        <w:pStyle w:val="12"/>
        <w:numPr>
          <w:ilvl w:val="1"/>
          <w:numId w:val="1"/>
        </w:numPr>
        <w:rPr>
          <w:rFonts w:cs="黑体"/>
        </w:rPr>
      </w:pPr>
      <w:bookmarkStart w:id="29" w:name="_Toc179461770"/>
      <w:bookmarkEnd w:id="29"/>
      <w:bookmarkStart w:id="30" w:name="_Toc181776900"/>
      <w:bookmarkEnd w:id="30"/>
      <w:bookmarkStart w:id="31" w:name="_Toc179461771"/>
      <w:bookmarkEnd w:id="31"/>
      <w:bookmarkStart w:id="32" w:name="_Toc181776901"/>
      <w:bookmarkEnd w:id="32"/>
      <w:bookmarkStart w:id="33" w:name="_Toc31923"/>
    </w:p>
    <w:p w14:paraId="1B7C6E15">
      <w:pPr>
        <w:pStyle w:val="13"/>
        <w:rPr>
          <w:rFonts w:ascii="黑体" w:hAnsi="黑体" w:eastAsia="黑体" w:cs="宋体"/>
        </w:rPr>
      </w:pPr>
      <w:r>
        <w:rPr>
          <w:rFonts w:ascii="黑体" w:hAnsi="黑体" w:eastAsia="黑体" w:cs="宋体"/>
        </w:rPr>
        <w:t xml:space="preserve">延迟 </w:t>
      </w:r>
      <w:r>
        <w:rPr>
          <w:rFonts w:ascii="Times New Roman" w:hAnsi="Times New Roman" w:eastAsia="黑体"/>
        </w:rPr>
        <w:t>motion to photon latency</w:t>
      </w:r>
      <w:bookmarkEnd w:id="33"/>
    </w:p>
    <w:p w14:paraId="0F97D434">
      <w:pPr>
        <w:pStyle w:val="13"/>
        <w:rPr>
          <w:rFonts w:cs="宋体"/>
        </w:rPr>
      </w:pPr>
      <w:r>
        <w:rPr>
          <w:rFonts w:cs="宋体"/>
        </w:rPr>
        <w:t>从用户运动开始，一直到对应的图像变化并通过头戴式显示设备映射到人眼上面全部的时间。</w:t>
      </w:r>
    </w:p>
    <w:p w14:paraId="4AF76E64">
      <w:pPr>
        <w:pStyle w:val="12"/>
        <w:numPr>
          <w:ilvl w:val="1"/>
          <w:numId w:val="1"/>
        </w:numPr>
        <w:rPr>
          <w:rFonts w:cs="黑体"/>
        </w:rPr>
      </w:pPr>
      <w:bookmarkStart w:id="34" w:name="_Toc179461772"/>
      <w:bookmarkEnd w:id="34"/>
      <w:bookmarkStart w:id="35" w:name="_Toc181776902"/>
      <w:bookmarkEnd w:id="35"/>
      <w:bookmarkStart w:id="36" w:name="_Toc181776903"/>
      <w:bookmarkEnd w:id="36"/>
      <w:bookmarkStart w:id="37" w:name="_Toc181776904"/>
      <w:bookmarkEnd w:id="37"/>
      <w:bookmarkStart w:id="38" w:name="_Toc179461774"/>
      <w:bookmarkEnd w:id="38"/>
      <w:bookmarkStart w:id="39" w:name="_Toc179461773"/>
      <w:bookmarkEnd w:id="39"/>
      <w:bookmarkStart w:id="40" w:name="_Toc17662"/>
    </w:p>
    <w:p w14:paraId="1152D6A9">
      <w:pPr>
        <w:pStyle w:val="13"/>
        <w:rPr>
          <w:rFonts w:ascii="黑体" w:hAnsi="黑体" w:eastAsia="黑体" w:cs="宋体"/>
        </w:rPr>
      </w:pPr>
      <w:r>
        <w:rPr>
          <w:rFonts w:ascii="黑体" w:hAnsi="黑体" w:eastAsia="黑体" w:cs="宋体"/>
        </w:rPr>
        <w:t xml:space="preserve">图像色散 </w:t>
      </w:r>
      <w:r>
        <w:rPr>
          <w:rFonts w:ascii="Times New Roman" w:hAnsi="Times New Roman" w:eastAsia="黑体"/>
        </w:rPr>
        <w:t>chromatic aberration</w:t>
      </w:r>
      <w:bookmarkEnd w:id="40"/>
    </w:p>
    <w:p w14:paraId="3201CD30">
      <w:pPr>
        <w:pStyle w:val="13"/>
        <w:rPr>
          <w:rFonts w:cs="宋体"/>
        </w:rPr>
      </w:pPr>
      <w:r>
        <w:rPr>
          <w:rFonts w:cs="宋体"/>
        </w:rPr>
        <w:t>通过头戴式显示设备光学系统观察图像元产生的图像时，产生的不同颜色分离及色彩失真的情况。</w:t>
      </w:r>
    </w:p>
    <w:p w14:paraId="0A298255">
      <w:pPr>
        <w:pStyle w:val="12"/>
        <w:numPr>
          <w:ilvl w:val="1"/>
          <w:numId w:val="1"/>
        </w:numPr>
        <w:rPr>
          <w:rFonts w:cs="黑体"/>
        </w:rPr>
      </w:pPr>
      <w:bookmarkStart w:id="41" w:name="_Toc181776905"/>
      <w:bookmarkEnd w:id="41"/>
      <w:bookmarkStart w:id="42" w:name="_Toc179461775"/>
      <w:bookmarkEnd w:id="42"/>
      <w:bookmarkStart w:id="43" w:name="_Toc16692"/>
    </w:p>
    <w:p w14:paraId="7579ACD3">
      <w:pPr>
        <w:pStyle w:val="13"/>
        <w:rPr>
          <w:rFonts w:ascii="黑体" w:hAnsi="黑体" w:eastAsia="黑体" w:cs="宋体"/>
        </w:rPr>
      </w:pPr>
      <w:r>
        <w:rPr>
          <w:rFonts w:ascii="黑体" w:hAnsi="黑体" w:eastAsia="黑体" w:cs="宋体"/>
        </w:rPr>
        <w:t xml:space="preserve">亮度 </w:t>
      </w:r>
      <w:r>
        <w:rPr>
          <w:rFonts w:ascii="Times New Roman" w:hAnsi="Times New Roman" w:eastAsia="黑体"/>
        </w:rPr>
        <w:t>brightness</w:t>
      </w:r>
      <w:bookmarkEnd w:id="43"/>
    </w:p>
    <w:p w14:paraId="57E81276">
      <w:pPr>
        <w:pStyle w:val="13"/>
        <w:rPr>
          <w:rFonts w:cs="宋体"/>
        </w:rPr>
      </w:pPr>
      <w:r>
        <w:rPr>
          <w:rFonts w:cs="宋体"/>
        </w:rPr>
        <w:t>发光表面在指定方向的发光强度与垂直于指定方向的发光面的面积之比，指头戴式显示设备整体的亮度，是在头戴式显示设备目镜外侧设计出瞳位置测量的亮度，显示设备中“白电平最亮”时，输出为最大亮度，显示设备中“黑电平最暗”时，输出为最小亮度。</w:t>
      </w:r>
    </w:p>
    <w:p w14:paraId="35742F1C">
      <w:pPr>
        <w:pStyle w:val="12"/>
        <w:numPr>
          <w:ilvl w:val="1"/>
          <w:numId w:val="1"/>
        </w:numPr>
        <w:rPr>
          <w:rFonts w:cs="黑体"/>
        </w:rPr>
      </w:pPr>
      <w:bookmarkStart w:id="44" w:name="_Toc179461777"/>
      <w:bookmarkEnd w:id="44"/>
      <w:bookmarkStart w:id="45" w:name="_Toc181776907"/>
      <w:bookmarkEnd w:id="45"/>
      <w:bookmarkStart w:id="46" w:name="_Toc179461776"/>
      <w:bookmarkEnd w:id="46"/>
      <w:bookmarkStart w:id="47" w:name="_Toc181776906"/>
      <w:bookmarkEnd w:id="47"/>
      <w:bookmarkStart w:id="48" w:name="_Toc26224"/>
    </w:p>
    <w:p w14:paraId="45400B61">
      <w:pPr>
        <w:pStyle w:val="13"/>
        <w:rPr>
          <w:rFonts w:ascii="黑体" w:hAnsi="黑体" w:eastAsia="黑体" w:cs="宋体"/>
        </w:rPr>
      </w:pPr>
      <w:r>
        <w:rPr>
          <w:rFonts w:ascii="黑体" w:hAnsi="黑体" w:eastAsia="黑体" w:cs="宋体"/>
        </w:rPr>
        <w:t xml:space="preserve">视度 </w:t>
      </w:r>
      <w:r>
        <w:rPr>
          <w:rFonts w:ascii="Times New Roman" w:hAnsi="Times New Roman" w:eastAsia="黑体"/>
        </w:rPr>
        <w:t>diopter</w:t>
      </w:r>
      <w:bookmarkEnd w:id="48"/>
    </w:p>
    <w:p w14:paraId="450169A5">
      <w:pPr>
        <w:pStyle w:val="13"/>
        <w:rPr>
          <w:rFonts w:cs="宋体"/>
        </w:rPr>
      </w:pPr>
      <w:r>
        <w:rPr>
          <w:rFonts w:cs="宋体"/>
        </w:rPr>
        <w:t>虚像与出瞳轴向距离的倒数。</w:t>
      </w:r>
    </w:p>
    <w:p w14:paraId="4EE0654B">
      <w:pPr>
        <w:pStyle w:val="12"/>
        <w:numPr>
          <w:ilvl w:val="1"/>
          <w:numId w:val="1"/>
        </w:numPr>
        <w:rPr>
          <w:rFonts w:cs="黑体"/>
        </w:rPr>
      </w:pPr>
      <w:bookmarkStart w:id="49" w:name="_Toc181776908"/>
      <w:bookmarkEnd w:id="49"/>
      <w:bookmarkStart w:id="50" w:name="_Toc181776909"/>
      <w:bookmarkEnd w:id="50"/>
      <w:bookmarkStart w:id="51" w:name="_Toc179461779"/>
      <w:bookmarkEnd w:id="51"/>
      <w:bookmarkStart w:id="52" w:name="_Toc179461778"/>
      <w:bookmarkEnd w:id="52"/>
      <w:bookmarkStart w:id="53" w:name="_Toc23425"/>
    </w:p>
    <w:p w14:paraId="119AD713">
      <w:pPr>
        <w:pStyle w:val="13"/>
        <w:rPr>
          <w:rFonts w:ascii="黑体" w:hAnsi="黑体" w:eastAsia="黑体" w:cs="宋体"/>
        </w:rPr>
      </w:pPr>
      <w:r>
        <w:rPr>
          <w:rFonts w:ascii="黑体" w:hAnsi="黑体" w:eastAsia="黑体" w:cs="宋体"/>
        </w:rPr>
        <w:t>虚拟现实应用软件</w:t>
      </w:r>
      <w:r>
        <w:rPr>
          <w:rFonts w:ascii="Times New Roman" w:hAnsi="Times New Roman" w:eastAsia="黑体"/>
        </w:rPr>
        <w:t xml:space="preserve"> virtual reality application software</w:t>
      </w:r>
      <w:bookmarkEnd w:id="53"/>
    </w:p>
    <w:p w14:paraId="7C39ABCC">
      <w:pPr>
        <w:pStyle w:val="13"/>
        <w:rPr>
          <w:rFonts w:cs="宋体"/>
        </w:rPr>
      </w:pPr>
      <w:r>
        <w:rPr>
          <w:rFonts w:cs="宋体"/>
        </w:rPr>
        <w:t>面向虚拟现实设备与平台开发及应用的程序集合。</w:t>
      </w:r>
    </w:p>
    <w:p w14:paraId="4B809E48">
      <w:pPr>
        <w:pStyle w:val="12"/>
        <w:numPr>
          <w:ilvl w:val="1"/>
          <w:numId w:val="1"/>
        </w:numPr>
        <w:rPr>
          <w:rFonts w:cs="黑体"/>
        </w:rPr>
      </w:pPr>
      <w:bookmarkStart w:id="54" w:name="_Toc179461780"/>
      <w:bookmarkEnd w:id="54"/>
      <w:bookmarkStart w:id="55" w:name="_Toc181776910"/>
      <w:bookmarkEnd w:id="55"/>
      <w:bookmarkStart w:id="56" w:name="_Toc18231"/>
    </w:p>
    <w:p w14:paraId="2044FCA9">
      <w:pPr>
        <w:pStyle w:val="13"/>
        <w:rPr>
          <w:rFonts w:ascii="黑体" w:hAnsi="黑体" w:eastAsia="黑体" w:cs="宋体"/>
        </w:rPr>
      </w:pPr>
      <w:r>
        <w:rPr>
          <w:rFonts w:ascii="黑体" w:hAnsi="黑体" w:eastAsia="黑体" w:cs="宋体"/>
        </w:rPr>
        <w:t xml:space="preserve">平均响应时间 </w:t>
      </w:r>
      <w:r>
        <w:rPr>
          <w:rFonts w:ascii="Times New Roman" w:hAnsi="Times New Roman" w:eastAsia="黑体"/>
        </w:rPr>
        <w:t>average response time</w:t>
      </w:r>
      <w:bookmarkEnd w:id="56"/>
    </w:p>
    <w:p w14:paraId="119DA455">
      <w:pPr>
        <w:pStyle w:val="13"/>
        <w:rPr>
          <w:rFonts w:cs="宋体"/>
        </w:rPr>
      </w:pPr>
      <w:r>
        <w:rPr>
          <w:rFonts w:cs="宋体"/>
        </w:rPr>
        <w:t>虚拟现实应用软件对请求作出响应的平均时间。</w:t>
      </w:r>
    </w:p>
    <w:p w14:paraId="67B6088C">
      <w:pPr>
        <w:pStyle w:val="12"/>
        <w:numPr>
          <w:ilvl w:val="1"/>
          <w:numId w:val="1"/>
        </w:numPr>
        <w:rPr>
          <w:rFonts w:cs="黑体"/>
        </w:rPr>
      </w:pPr>
      <w:bookmarkStart w:id="57" w:name="_Toc181776911"/>
      <w:bookmarkEnd w:id="57"/>
      <w:bookmarkStart w:id="58" w:name="_Toc179461781"/>
      <w:bookmarkEnd w:id="58"/>
      <w:bookmarkStart w:id="59" w:name="_Toc25877"/>
    </w:p>
    <w:p w14:paraId="4D72E17D">
      <w:pPr>
        <w:pStyle w:val="13"/>
        <w:rPr>
          <w:rFonts w:ascii="黑体" w:hAnsi="黑体" w:eastAsia="黑体" w:cs="宋体"/>
        </w:rPr>
      </w:pPr>
      <w:r>
        <w:rPr>
          <w:rFonts w:ascii="黑体" w:hAnsi="黑体" w:eastAsia="黑体" w:cs="宋体"/>
        </w:rPr>
        <w:t xml:space="preserve">最大响应时间 </w:t>
      </w:r>
      <w:r>
        <w:rPr>
          <w:rFonts w:ascii="Times New Roman" w:hAnsi="Times New Roman" w:eastAsia="黑体"/>
        </w:rPr>
        <w:t>maximum response time</w:t>
      </w:r>
      <w:bookmarkEnd w:id="59"/>
    </w:p>
    <w:p w14:paraId="4B415133">
      <w:pPr>
        <w:pStyle w:val="13"/>
        <w:rPr>
          <w:rFonts w:cs="宋体"/>
        </w:rPr>
      </w:pPr>
      <w:r>
        <w:rPr>
          <w:rFonts w:cs="宋体"/>
        </w:rPr>
        <w:t>虚拟现实应用软件对请求作出响应的最长时间</w:t>
      </w:r>
    </w:p>
    <w:p w14:paraId="23D4F4BC">
      <w:pPr>
        <w:pStyle w:val="12"/>
        <w:numPr>
          <w:ilvl w:val="1"/>
          <w:numId w:val="1"/>
        </w:numPr>
        <w:rPr>
          <w:rFonts w:cs="黑体"/>
        </w:rPr>
      </w:pPr>
      <w:bookmarkStart w:id="60" w:name="_Toc179461782"/>
      <w:bookmarkEnd w:id="60"/>
      <w:bookmarkStart w:id="61" w:name="_Toc181776912"/>
      <w:bookmarkEnd w:id="61"/>
      <w:bookmarkStart w:id="62" w:name="_Toc12069"/>
    </w:p>
    <w:p w14:paraId="3BBD96A8">
      <w:pPr>
        <w:pStyle w:val="13"/>
        <w:rPr>
          <w:rFonts w:ascii="黑体" w:hAnsi="黑体" w:eastAsia="黑体" w:cs="宋体"/>
        </w:rPr>
      </w:pPr>
      <w:r>
        <w:rPr>
          <w:rFonts w:ascii="黑体" w:hAnsi="黑体" w:eastAsia="黑体" w:cs="宋体"/>
        </w:rPr>
        <w:t xml:space="preserve">平均渲染帧率 </w:t>
      </w:r>
      <w:r>
        <w:rPr>
          <w:rFonts w:ascii="Times New Roman" w:hAnsi="Times New Roman" w:eastAsia="黑体"/>
        </w:rPr>
        <w:t>average rendering frame rate</w:t>
      </w:r>
      <w:bookmarkEnd w:id="62"/>
    </w:p>
    <w:p w14:paraId="73497402">
      <w:pPr>
        <w:pStyle w:val="13"/>
        <w:rPr>
          <w:rFonts w:cs="宋体"/>
        </w:rPr>
      </w:pPr>
      <w:r>
        <w:rPr>
          <w:rFonts w:cs="宋体"/>
        </w:rPr>
        <w:t>虚拟现实应用软件在运行期间调用GPU进行渲染时平均每秒渲染帧数</w:t>
      </w:r>
    </w:p>
    <w:p w14:paraId="63F46DC8">
      <w:pPr>
        <w:pStyle w:val="12"/>
        <w:numPr>
          <w:ilvl w:val="1"/>
          <w:numId w:val="1"/>
        </w:numPr>
        <w:rPr>
          <w:rFonts w:cs="黑体"/>
        </w:rPr>
      </w:pPr>
      <w:bookmarkStart w:id="63" w:name="_Toc181776913"/>
      <w:bookmarkEnd w:id="63"/>
      <w:bookmarkStart w:id="64" w:name="_Toc179461783"/>
      <w:bookmarkEnd w:id="64"/>
      <w:bookmarkStart w:id="65" w:name="_Toc20966"/>
    </w:p>
    <w:p w14:paraId="332471A4">
      <w:pPr>
        <w:pStyle w:val="13"/>
        <w:rPr>
          <w:rFonts w:ascii="黑体" w:hAnsi="黑体" w:eastAsia="黑体" w:cs="宋体"/>
        </w:rPr>
      </w:pPr>
      <w:r>
        <w:rPr>
          <w:rFonts w:ascii="黑体" w:hAnsi="黑体" w:eastAsia="黑体" w:cs="宋体"/>
        </w:rPr>
        <w:t xml:space="preserve">资源冗余数量比 </w:t>
      </w:r>
      <w:r>
        <w:rPr>
          <w:rFonts w:ascii="Times New Roman" w:hAnsi="Times New Roman" w:eastAsia="黑体"/>
        </w:rPr>
        <w:t>resource redundancy quantity rati0</w:t>
      </w:r>
      <w:bookmarkEnd w:id="65"/>
    </w:p>
    <w:p w14:paraId="18286E35">
      <w:pPr>
        <w:pStyle w:val="13"/>
        <w:rPr>
          <w:rFonts w:cs="宋体"/>
        </w:rPr>
      </w:pPr>
      <w:r>
        <w:rPr>
          <w:rFonts w:cs="宋体"/>
        </w:rPr>
        <w:t>虚拟现实应用软件资源包里所包含重复资源数占总资源数的百分比。</w:t>
      </w:r>
    </w:p>
    <w:p w14:paraId="6218A19F">
      <w:pPr>
        <w:pStyle w:val="12"/>
        <w:numPr>
          <w:ilvl w:val="1"/>
          <w:numId w:val="1"/>
        </w:numPr>
        <w:rPr>
          <w:rFonts w:cs="黑体"/>
        </w:rPr>
      </w:pPr>
      <w:bookmarkStart w:id="66" w:name="_Toc181776914"/>
      <w:bookmarkEnd w:id="66"/>
      <w:bookmarkStart w:id="67" w:name="_Toc179461784"/>
      <w:bookmarkEnd w:id="67"/>
      <w:bookmarkStart w:id="68" w:name="_Toc25343"/>
    </w:p>
    <w:p w14:paraId="65FD3DB5">
      <w:pPr>
        <w:pStyle w:val="13"/>
        <w:rPr>
          <w:rFonts w:ascii="黑体" w:hAnsi="黑体" w:eastAsia="黑体" w:cs="宋体"/>
        </w:rPr>
      </w:pPr>
      <w:r>
        <w:rPr>
          <w:rFonts w:ascii="黑体" w:hAnsi="黑体" w:eastAsia="黑体" w:cs="宋体"/>
        </w:rPr>
        <w:t xml:space="preserve">资源冗余空间比 </w:t>
      </w:r>
      <w:r>
        <w:rPr>
          <w:rFonts w:ascii="Times New Roman" w:hAnsi="Times New Roman" w:eastAsia="黑体"/>
        </w:rPr>
        <w:t>resource redundancy space ratio</w:t>
      </w:r>
      <w:bookmarkEnd w:id="68"/>
    </w:p>
    <w:p w14:paraId="3F3526A4">
      <w:pPr>
        <w:pStyle w:val="13"/>
        <w:rPr>
          <w:rFonts w:cs="宋体"/>
        </w:rPr>
      </w:pPr>
      <w:r>
        <w:rPr>
          <w:rFonts w:cs="宋体"/>
        </w:rPr>
        <w:t>虚拟现实应用软件数据库所包含重复资源字节数占总资源字节数的百分比。</w:t>
      </w:r>
    </w:p>
    <w:p w14:paraId="59A751E8">
      <w:pPr>
        <w:pStyle w:val="12"/>
        <w:numPr>
          <w:ilvl w:val="1"/>
          <w:numId w:val="1"/>
        </w:numPr>
        <w:rPr>
          <w:rFonts w:cs="黑体"/>
        </w:rPr>
      </w:pPr>
      <w:bookmarkStart w:id="69" w:name="_Toc181776915"/>
      <w:bookmarkEnd w:id="69"/>
    </w:p>
    <w:p w14:paraId="2A746A01">
      <w:pPr>
        <w:pStyle w:val="13"/>
        <w:rPr>
          <w:rFonts w:ascii="黑体" w:hAnsi="黑体" w:eastAsia="黑体" w:cs="宋体"/>
        </w:rPr>
      </w:pPr>
      <w:r>
        <w:rPr>
          <w:rFonts w:ascii="黑体" w:hAnsi="黑体" w:eastAsia="黑体" w:cs="宋体"/>
        </w:rPr>
        <w:t xml:space="preserve">环幕投影显示设备 </w:t>
      </w:r>
      <w:r>
        <w:rPr>
          <w:rFonts w:ascii="Times New Roman" w:hAnsi="Times New Roman" w:eastAsia="黑体"/>
        </w:rPr>
        <w:t>ring screen projection display device</w:t>
      </w:r>
    </w:p>
    <w:p w14:paraId="660F8653">
      <w:pPr>
        <w:pStyle w:val="13"/>
        <w:rPr>
          <w:rFonts w:cs="宋体"/>
        </w:rPr>
      </w:pPr>
      <w:r>
        <w:rPr>
          <w:rFonts w:cs="宋体"/>
        </w:rPr>
        <w:t>通过多台投影机的协同工作，实现高分辨率的环形屏幕显示。</w:t>
      </w:r>
    </w:p>
    <w:p w14:paraId="02CA369B">
      <w:pPr>
        <w:pStyle w:val="12"/>
        <w:numPr>
          <w:ilvl w:val="1"/>
          <w:numId w:val="1"/>
        </w:numPr>
        <w:rPr>
          <w:rFonts w:cs="宋体"/>
        </w:rPr>
      </w:pPr>
      <w:bookmarkStart w:id="70" w:name="_Toc181776916"/>
      <w:bookmarkEnd w:id="70"/>
    </w:p>
    <w:p w14:paraId="45666E0A">
      <w:pPr>
        <w:pStyle w:val="13"/>
        <w:rPr>
          <w:rFonts w:ascii="黑体" w:hAnsi="黑体" w:eastAsia="黑体" w:cs="宋体"/>
        </w:rPr>
      </w:pPr>
      <w:r>
        <w:rPr>
          <w:rFonts w:ascii="黑体" w:hAnsi="黑体" w:eastAsia="黑体" w:cs="宋体"/>
        </w:rPr>
        <w:t xml:space="preserve">全息成像显示设备 </w:t>
      </w:r>
      <w:r>
        <w:rPr>
          <w:rFonts w:ascii="Times New Roman" w:hAnsi="Times New Roman" w:eastAsia="黑体"/>
        </w:rPr>
        <w:t>holographic imaging display device</w:t>
      </w:r>
    </w:p>
    <w:p w14:paraId="4A0D5DB4">
      <w:pPr>
        <w:pStyle w:val="13"/>
        <w:rPr>
          <w:rFonts w:cs="宋体"/>
        </w:rPr>
      </w:pPr>
      <w:r>
        <w:rPr>
          <w:rFonts w:cs="宋体"/>
        </w:rPr>
        <w:t>利用全息技术进行三维图像显示的设备。</w:t>
      </w:r>
    </w:p>
    <w:p w14:paraId="75182BE7">
      <w:pPr>
        <w:pStyle w:val="17"/>
        <w:numPr>
          <w:ilvl w:val="0"/>
          <w:numId w:val="1"/>
        </w:numPr>
        <w:rPr>
          <w:rFonts w:cs="黑体"/>
        </w:rPr>
      </w:pPr>
      <w:bookmarkStart w:id="71" w:name="_Toc181776917"/>
      <w:r>
        <w:rPr>
          <w:rFonts w:cs="黑体"/>
        </w:rPr>
        <w:t>缩略语</w:t>
      </w:r>
      <w:bookmarkEnd w:id="71"/>
    </w:p>
    <w:p w14:paraId="3B594450">
      <w:pPr>
        <w:ind w:firstLine="420" w:firstLineChars="200"/>
        <w:rPr>
          <w:rFonts w:ascii="Times New Roman" w:hAnsi="Times New Roman" w:cs="Times New Roman"/>
          <w:color w:val="000000"/>
          <w:szCs w:val="21"/>
        </w:rPr>
      </w:pPr>
      <w:r>
        <w:rPr>
          <w:rFonts w:hint="eastAsia" w:ascii="宋体" w:hAnsi="宋体" w:eastAsia="宋体" w:cs="宋体"/>
          <w:color w:val="000000"/>
          <w:szCs w:val="21"/>
          <w:lang w:bidi="ar"/>
        </w:rPr>
        <w:t>下列缩略语适用于本文件。</w:t>
      </w:r>
    </w:p>
    <w:p w14:paraId="6A9E9397">
      <w:pPr>
        <w:ind w:firstLine="420" w:firstLineChars="200"/>
        <w:rPr>
          <w:rFonts w:hint="eastAsia" w:ascii="宋体" w:hAnsi="宋体" w:eastAsia="宋体" w:cs="宋体"/>
          <w:szCs w:val="21"/>
        </w:rPr>
      </w:pPr>
      <w:r>
        <w:rPr>
          <w:rFonts w:ascii="Times New Roman" w:hAnsi="Times New Roman" w:eastAsia="宋体" w:cs="Times New Roman"/>
          <w:szCs w:val="21"/>
          <w:lang w:bidi="ar"/>
        </w:rPr>
        <w:t>VR</w:t>
      </w:r>
      <w:r>
        <w:rPr>
          <w:rFonts w:hint="eastAsia" w:ascii="宋体" w:hAnsi="宋体" w:eastAsia="宋体" w:cs="宋体"/>
          <w:szCs w:val="21"/>
          <w:lang w:bidi="ar"/>
        </w:rPr>
        <w:t>：虚拟现实（</w:t>
      </w:r>
      <w:r>
        <w:rPr>
          <w:rFonts w:ascii="Times New Roman" w:hAnsi="Times New Roman" w:eastAsia="宋体" w:cs="Times New Roman"/>
          <w:szCs w:val="21"/>
          <w:lang w:bidi="ar"/>
        </w:rPr>
        <w:t>virtual reality</w:t>
      </w:r>
      <w:r>
        <w:rPr>
          <w:rFonts w:hint="eastAsia" w:ascii="宋体" w:hAnsi="宋体" w:eastAsia="宋体" w:cs="宋体"/>
          <w:szCs w:val="21"/>
          <w:lang w:bidi="ar"/>
        </w:rPr>
        <w:t>）</w:t>
      </w:r>
    </w:p>
    <w:p w14:paraId="60910296">
      <w:pPr>
        <w:ind w:firstLine="420" w:firstLineChars="200"/>
        <w:rPr>
          <w:rFonts w:hint="eastAsia" w:ascii="宋体" w:hAnsi="宋体" w:eastAsia="宋体" w:cs="宋体"/>
          <w:szCs w:val="21"/>
        </w:rPr>
      </w:pPr>
      <w:r>
        <w:rPr>
          <w:rFonts w:ascii="Times New Roman" w:hAnsi="Times New Roman" w:eastAsia="宋体" w:cs="Times New Roman"/>
          <w:szCs w:val="21"/>
          <w:lang w:bidi="ar"/>
        </w:rPr>
        <w:t>HMD</w:t>
      </w:r>
      <w:r>
        <w:rPr>
          <w:rFonts w:hint="eastAsia" w:ascii="宋体" w:hAnsi="宋体" w:eastAsia="宋体" w:cs="宋体"/>
          <w:szCs w:val="21"/>
          <w:lang w:bidi="ar"/>
        </w:rPr>
        <w:t>：头戴式显示设备（</w:t>
      </w:r>
      <w:r>
        <w:rPr>
          <w:rFonts w:ascii="Times New Roman" w:hAnsi="Times New Roman" w:eastAsia="宋体" w:cs="Times New Roman"/>
          <w:szCs w:val="21"/>
          <w:lang w:bidi="ar"/>
        </w:rPr>
        <w:t>he</w:t>
      </w:r>
      <w:r>
        <w:rPr>
          <w:rFonts w:hint="eastAsia" w:ascii="Times New Roman" w:hAnsi="Times New Roman" w:eastAsia="宋体" w:cs="Times New Roman"/>
          <w:szCs w:val="21"/>
          <w:lang w:bidi="ar"/>
        </w:rPr>
        <w:t>a</w:t>
      </w:r>
      <w:r>
        <w:rPr>
          <w:rFonts w:ascii="Times New Roman" w:hAnsi="Times New Roman" w:eastAsia="宋体" w:cs="Times New Roman"/>
          <w:szCs w:val="21"/>
          <w:lang w:bidi="ar"/>
        </w:rPr>
        <w:t>d mounted display</w:t>
      </w:r>
      <w:r>
        <w:rPr>
          <w:rFonts w:hint="eastAsia" w:ascii="宋体" w:hAnsi="宋体" w:eastAsia="宋体" w:cs="宋体"/>
          <w:szCs w:val="21"/>
          <w:lang w:bidi="ar"/>
        </w:rPr>
        <w:t>）</w:t>
      </w:r>
    </w:p>
    <w:p w14:paraId="361D2290">
      <w:pPr>
        <w:ind w:firstLine="420" w:firstLineChars="200"/>
        <w:rPr>
          <w:rFonts w:hint="eastAsia" w:ascii="宋体" w:hAnsi="宋体" w:eastAsia="宋体" w:cs="宋体"/>
          <w:szCs w:val="21"/>
        </w:rPr>
      </w:pPr>
      <w:r>
        <w:rPr>
          <w:rFonts w:ascii="Times New Roman" w:hAnsi="Times New Roman" w:eastAsia="宋体" w:cs="Times New Roman"/>
          <w:szCs w:val="21"/>
          <w:lang w:bidi="ar"/>
        </w:rPr>
        <w:t>FOV</w:t>
      </w:r>
      <w:r>
        <w:rPr>
          <w:rFonts w:hint="eastAsia" w:ascii="宋体" w:hAnsi="宋体" w:eastAsia="宋体" w:cs="宋体"/>
          <w:szCs w:val="21"/>
          <w:lang w:bidi="ar"/>
        </w:rPr>
        <w:t>：视场角（</w:t>
      </w:r>
      <w:r>
        <w:rPr>
          <w:rFonts w:ascii="Times New Roman" w:hAnsi="Times New Roman" w:eastAsia="宋体" w:cs="Times New Roman"/>
          <w:szCs w:val="21"/>
          <w:lang w:bidi="ar"/>
        </w:rPr>
        <w:t>field of view</w:t>
      </w:r>
      <w:r>
        <w:rPr>
          <w:rFonts w:hint="eastAsia" w:ascii="宋体" w:hAnsi="宋体" w:eastAsia="宋体" w:cs="宋体"/>
          <w:szCs w:val="21"/>
          <w:lang w:bidi="ar"/>
        </w:rPr>
        <w:t>）</w:t>
      </w:r>
    </w:p>
    <w:p w14:paraId="16C3C1A3">
      <w:pPr>
        <w:ind w:firstLine="420" w:firstLineChars="200"/>
        <w:rPr>
          <w:rFonts w:hint="eastAsia" w:ascii="宋体" w:hAnsi="宋体" w:eastAsia="宋体" w:cs="宋体"/>
          <w:szCs w:val="21"/>
        </w:rPr>
      </w:pPr>
      <w:r>
        <w:rPr>
          <w:rFonts w:ascii="Times New Roman" w:hAnsi="Times New Roman" w:eastAsia="宋体" w:cs="Times New Roman"/>
          <w:szCs w:val="21"/>
          <w:lang w:bidi="ar"/>
        </w:rPr>
        <w:t>IPD</w:t>
      </w:r>
      <w:r>
        <w:rPr>
          <w:rFonts w:hint="eastAsia" w:ascii="宋体" w:hAnsi="宋体" w:eastAsia="宋体" w:cs="宋体"/>
          <w:szCs w:val="21"/>
          <w:lang w:bidi="ar"/>
        </w:rPr>
        <w:t>：瞳距（</w:t>
      </w:r>
      <w:r>
        <w:rPr>
          <w:rFonts w:ascii="Times New Roman" w:hAnsi="Times New Roman" w:eastAsia="宋体" w:cs="Times New Roman"/>
          <w:szCs w:val="21"/>
          <w:lang w:bidi="ar"/>
        </w:rPr>
        <w:t>interpupillary distance</w:t>
      </w:r>
      <w:r>
        <w:rPr>
          <w:rFonts w:hint="eastAsia" w:ascii="宋体" w:hAnsi="宋体" w:eastAsia="宋体" w:cs="宋体"/>
          <w:szCs w:val="21"/>
          <w:lang w:bidi="ar"/>
        </w:rPr>
        <w:t>）</w:t>
      </w:r>
    </w:p>
    <w:p w14:paraId="6EE83D17">
      <w:pPr>
        <w:ind w:firstLine="420" w:firstLineChars="200"/>
        <w:rPr>
          <w:rFonts w:hint="eastAsia" w:ascii="宋体" w:hAnsi="宋体" w:eastAsia="宋体" w:cs="宋体"/>
          <w:szCs w:val="21"/>
        </w:rPr>
      </w:pPr>
      <w:r>
        <w:rPr>
          <w:rFonts w:ascii="Times New Roman" w:hAnsi="Times New Roman" w:eastAsia="宋体" w:cs="Times New Roman"/>
          <w:szCs w:val="21"/>
          <w:lang w:bidi="ar"/>
        </w:rPr>
        <w:t>PPD</w:t>
      </w:r>
      <w:r>
        <w:rPr>
          <w:rFonts w:hint="eastAsia" w:ascii="宋体" w:hAnsi="宋体" w:eastAsia="宋体" w:cs="宋体"/>
          <w:szCs w:val="21"/>
          <w:lang w:bidi="ar"/>
        </w:rPr>
        <w:t>：像素每度（</w:t>
      </w:r>
      <w:r>
        <w:rPr>
          <w:rFonts w:ascii="Times New Roman" w:hAnsi="Times New Roman" w:eastAsia="宋体" w:cs="Times New Roman"/>
          <w:szCs w:val="21"/>
          <w:lang w:bidi="ar"/>
        </w:rPr>
        <w:t>pixel per degree</w:t>
      </w:r>
      <w:r>
        <w:rPr>
          <w:rFonts w:hint="eastAsia" w:ascii="宋体" w:hAnsi="宋体" w:eastAsia="宋体" w:cs="宋体"/>
          <w:szCs w:val="21"/>
          <w:lang w:bidi="ar"/>
        </w:rPr>
        <w:t>）</w:t>
      </w:r>
    </w:p>
    <w:p w14:paraId="69945ADE">
      <w:pPr>
        <w:ind w:firstLine="420" w:firstLineChars="200"/>
        <w:rPr>
          <w:rFonts w:hint="eastAsia" w:ascii="宋体" w:hAnsi="宋体" w:eastAsia="宋体" w:cs="宋体"/>
          <w:szCs w:val="21"/>
        </w:rPr>
      </w:pPr>
      <w:r>
        <w:rPr>
          <w:rFonts w:ascii="Times New Roman" w:hAnsi="Times New Roman" w:eastAsia="宋体" w:cs="Times New Roman"/>
          <w:szCs w:val="21"/>
          <w:lang w:bidi="ar"/>
        </w:rPr>
        <w:t>EPR</w:t>
      </w:r>
      <w:r>
        <w:rPr>
          <w:rFonts w:hint="eastAsia" w:ascii="宋体" w:hAnsi="宋体" w:eastAsia="宋体" w:cs="宋体"/>
          <w:szCs w:val="21"/>
          <w:lang w:bidi="ar"/>
        </w:rPr>
        <w:t>：有效像素比（</w:t>
      </w:r>
      <w:r>
        <w:rPr>
          <w:rFonts w:ascii="Times New Roman" w:hAnsi="Times New Roman" w:eastAsia="宋体" w:cs="Times New Roman"/>
          <w:szCs w:val="21"/>
          <w:lang w:bidi="ar"/>
        </w:rPr>
        <w:t>effective pixel ratio</w:t>
      </w:r>
      <w:r>
        <w:rPr>
          <w:rFonts w:hint="eastAsia" w:ascii="宋体" w:hAnsi="宋体" w:eastAsia="宋体" w:cs="宋体"/>
          <w:szCs w:val="21"/>
          <w:lang w:bidi="ar"/>
        </w:rPr>
        <w:t>）</w:t>
      </w:r>
    </w:p>
    <w:p w14:paraId="7B6EF62C">
      <w:pPr>
        <w:ind w:firstLine="420" w:firstLineChars="200"/>
        <w:rPr>
          <w:rFonts w:hint="eastAsia" w:ascii="宋体" w:hAnsi="宋体" w:eastAsia="宋体" w:cs="宋体"/>
          <w:szCs w:val="21"/>
        </w:rPr>
      </w:pPr>
      <w:r>
        <w:rPr>
          <w:rFonts w:ascii="Times New Roman" w:hAnsi="Times New Roman" w:eastAsia="宋体" w:cs="Times New Roman"/>
          <w:szCs w:val="21"/>
          <w:lang w:bidi="ar"/>
        </w:rPr>
        <w:t>DOF</w:t>
      </w:r>
      <w:r>
        <w:rPr>
          <w:rFonts w:hint="eastAsia" w:ascii="宋体" w:hAnsi="宋体" w:eastAsia="宋体" w:cs="宋体"/>
          <w:szCs w:val="21"/>
          <w:lang w:bidi="ar"/>
        </w:rPr>
        <w:t>：自由度（</w:t>
      </w:r>
      <w:r>
        <w:rPr>
          <w:rFonts w:ascii="Times New Roman" w:hAnsi="Times New Roman" w:eastAsia="宋体" w:cs="Times New Roman"/>
          <w:szCs w:val="21"/>
          <w:lang w:bidi="ar"/>
        </w:rPr>
        <w:t>degree of freedom</w:t>
      </w:r>
      <w:r>
        <w:rPr>
          <w:rFonts w:hint="eastAsia" w:ascii="宋体" w:hAnsi="宋体" w:eastAsia="宋体" w:cs="宋体"/>
          <w:szCs w:val="21"/>
          <w:lang w:bidi="ar"/>
        </w:rPr>
        <w:t>）</w:t>
      </w:r>
    </w:p>
    <w:p w14:paraId="6AE6FC07">
      <w:pPr>
        <w:ind w:firstLine="420" w:firstLineChars="200"/>
        <w:rPr>
          <w:rFonts w:hint="eastAsia" w:ascii="宋体" w:hAnsi="宋体" w:eastAsia="宋体" w:cs="宋体"/>
          <w:szCs w:val="21"/>
        </w:rPr>
      </w:pPr>
      <w:r>
        <w:rPr>
          <w:rFonts w:ascii="Times New Roman" w:hAnsi="Times New Roman" w:eastAsia="宋体" w:cs="Times New Roman"/>
          <w:szCs w:val="21"/>
          <w:lang w:bidi="ar"/>
        </w:rPr>
        <w:t>D</w:t>
      </w:r>
      <w:r>
        <w:rPr>
          <w:rFonts w:hint="eastAsia" w:ascii="宋体" w:hAnsi="宋体" w:eastAsia="宋体" w:cs="宋体"/>
          <w:szCs w:val="21"/>
          <w:lang w:bidi="ar"/>
        </w:rPr>
        <w:t>：屈光度（</w:t>
      </w:r>
      <w:r>
        <w:rPr>
          <w:rFonts w:ascii="Times New Roman" w:hAnsi="Times New Roman" w:eastAsia="宋体" w:cs="Times New Roman"/>
          <w:szCs w:val="21"/>
          <w:lang w:bidi="ar"/>
        </w:rPr>
        <w:t>diopter</w:t>
      </w:r>
      <w:r>
        <w:rPr>
          <w:rFonts w:hint="eastAsia" w:ascii="宋体" w:hAnsi="宋体" w:eastAsia="宋体" w:cs="宋体"/>
          <w:szCs w:val="21"/>
          <w:lang w:bidi="ar"/>
        </w:rPr>
        <w:t>）</w:t>
      </w:r>
    </w:p>
    <w:p w14:paraId="3A5F9719">
      <w:pPr>
        <w:ind w:firstLine="420" w:firstLineChars="200"/>
        <w:rPr>
          <w:rFonts w:hint="eastAsia" w:ascii="宋体" w:hAnsi="宋体" w:eastAsia="宋体" w:cs="宋体"/>
          <w:szCs w:val="21"/>
        </w:rPr>
      </w:pPr>
      <w:r>
        <w:rPr>
          <w:rFonts w:ascii="Times New Roman" w:hAnsi="Times New Roman" w:eastAsia="宋体" w:cs="Times New Roman"/>
          <w:szCs w:val="21"/>
          <w:lang w:bidi="ar"/>
        </w:rPr>
        <w:t>PPI</w:t>
      </w:r>
      <w:r>
        <w:rPr>
          <w:rFonts w:hint="eastAsia" w:ascii="宋体" w:hAnsi="宋体" w:eastAsia="宋体" w:cs="宋体"/>
          <w:szCs w:val="21"/>
          <w:lang w:bidi="ar"/>
        </w:rPr>
        <w:t>：像素每英寸</w:t>
      </w:r>
    </w:p>
    <w:p w14:paraId="00346BFC">
      <w:pPr>
        <w:ind w:firstLine="420" w:firstLineChars="200"/>
        <w:rPr>
          <w:rFonts w:hint="eastAsia" w:ascii="宋体" w:hAnsi="宋体" w:eastAsia="宋体" w:cs="宋体"/>
          <w:szCs w:val="21"/>
        </w:rPr>
      </w:pPr>
      <w:r>
        <w:rPr>
          <w:rFonts w:ascii="Times New Roman" w:hAnsi="Times New Roman" w:eastAsia="宋体" w:cs="Times New Roman"/>
          <w:szCs w:val="21"/>
          <w:lang w:bidi="ar"/>
        </w:rPr>
        <w:t>CPU</w:t>
      </w:r>
      <w:r>
        <w:rPr>
          <w:rFonts w:hint="eastAsia" w:ascii="宋体" w:hAnsi="宋体" w:eastAsia="宋体" w:cs="宋体"/>
          <w:szCs w:val="21"/>
          <w:lang w:bidi="ar"/>
        </w:rPr>
        <w:t>：中央处理器</w:t>
      </w:r>
      <w:r>
        <w:rPr>
          <w:rFonts w:ascii="Times New Roman" w:hAnsi="Times New Roman" w:eastAsia="宋体" w:cs="Times New Roman"/>
          <w:szCs w:val="21"/>
          <w:lang w:bidi="ar"/>
        </w:rPr>
        <w:t>(Central Processing Unit)</w:t>
      </w:r>
    </w:p>
    <w:p w14:paraId="761F441D">
      <w:pPr>
        <w:ind w:firstLine="420" w:firstLineChars="200"/>
        <w:rPr>
          <w:rFonts w:hint="eastAsia" w:ascii="宋体" w:hAnsi="宋体" w:eastAsia="宋体" w:cs="宋体"/>
          <w:szCs w:val="21"/>
        </w:rPr>
      </w:pPr>
      <w:r>
        <w:rPr>
          <w:rFonts w:ascii="Times New Roman" w:hAnsi="Times New Roman" w:eastAsia="宋体" w:cs="Times New Roman"/>
          <w:szCs w:val="21"/>
          <w:lang w:bidi="ar"/>
        </w:rPr>
        <w:t>GPU</w:t>
      </w:r>
      <w:r>
        <w:rPr>
          <w:rFonts w:hint="eastAsia" w:ascii="宋体" w:hAnsi="宋体" w:eastAsia="宋体" w:cs="宋体"/>
          <w:szCs w:val="21"/>
          <w:lang w:bidi="ar"/>
        </w:rPr>
        <w:t>：图形处理器</w:t>
      </w:r>
      <w:r>
        <w:rPr>
          <w:rFonts w:ascii="Times New Roman" w:hAnsi="Times New Roman" w:eastAsia="宋体" w:cs="Times New Roman"/>
          <w:szCs w:val="21"/>
          <w:lang w:bidi="ar"/>
        </w:rPr>
        <w:t>(Graphic Processing Unit)</w:t>
      </w:r>
    </w:p>
    <w:p w14:paraId="2884F4C3">
      <w:pPr>
        <w:pStyle w:val="13"/>
        <w:rPr>
          <w:rFonts w:cs="宋体"/>
        </w:rPr>
      </w:pPr>
      <w:r>
        <w:rPr>
          <w:rFonts w:hint="default" w:ascii="Times New Roman" w:hAnsi="Times New Roman"/>
        </w:rPr>
        <w:t>MD5</w:t>
      </w:r>
      <w:r>
        <w:rPr>
          <w:rFonts w:cs="宋体"/>
        </w:rPr>
        <w:t>：信息摘要算法</w:t>
      </w:r>
      <w:r>
        <w:rPr>
          <w:rFonts w:ascii="Times New Roman" w:hAnsi="Times New Roman"/>
          <w:kern w:val="2"/>
          <w:lang w:bidi="ar"/>
        </w:rPr>
        <w:t>5(Message-Digest Algorithm 5)</w:t>
      </w:r>
    </w:p>
    <w:p w14:paraId="0FAEB82E">
      <w:pPr>
        <w:pStyle w:val="17"/>
        <w:numPr>
          <w:ilvl w:val="0"/>
          <w:numId w:val="1"/>
        </w:numPr>
        <w:rPr>
          <w:rFonts w:cs="黑体"/>
        </w:rPr>
      </w:pPr>
      <w:bookmarkStart w:id="72" w:name="_Toc181776918"/>
      <w:r>
        <w:rPr>
          <w:rFonts w:cs="黑体"/>
        </w:rPr>
        <w:t>体验空间基本要求</w:t>
      </w:r>
      <w:bookmarkEnd w:id="72"/>
    </w:p>
    <w:p w14:paraId="3CDC804C">
      <w:pPr>
        <w:pStyle w:val="12"/>
        <w:numPr>
          <w:ilvl w:val="1"/>
          <w:numId w:val="1"/>
        </w:numPr>
        <w:rPr>
          <w:rFonts w:cs="黑体"/>
        </w:rPr>
      </w:pPr>
      <w:bookmarkStart w:id="73" w:name="_Toc181776919"/>
      <w:r>
        <w:rPr>
          <w:rFonts w:cs="黑体"/>
        </w:rPr>
        <w:t>体验场地要求</w:t>
      </w:r>
      <w:bookmarkEnd w:id="73"/>
    </w:p>
    <w:p w14:paraId="7232B74D">
      <w:pPr>
        <w:pStyle w:val="18"/>
        <w:numPr>
          <w:ilvl w:val="0"/>
          <w:numId w:val="2"/>
        </w:numPr>
        <w:spacing w:beforeAutospacing="1" w:afterAutospacing="1"/>
        <w:rPr>
          <w:rFonts w:cs="宋体"/>
        </w:rPr>
      </w:pPr>
      <w:r>
        <w:rPr>
          <w:rFonts w:cs="宋体"/>
        </w:rPr>
        <w:t>体验空间应拥有足够的面积满足设备布置和游客自由活动的需要。体验空间层高不宜低于</w:t>
      </w:r>
      <w:r>
        <w:rPr>
          <w:rFonts w:hint="default" w:ascii="Times New Roman" w:hAnsi="Times New Roman"/>
        </w:rPr>
        <w:t>3 m</w:t>
      </w:r>
      <w:r>
        <w:rPr>
          <w:rFonts w:cs="宋体"/>
        </w:rPr>
        <w:t>，长度不宜低于</w:t>
      </w:r>
      <w:r>
        <w:rPr>
          <w:rFonts w:hint="default" w:ascii="Times New Roman" w:hAnsi="Times New Roman"/>
        </w:rPr>
        <w:t>9 m</w:t>
      </w:r>
      <w:r>
        <w:rPr>
          <w:rFonts w:cs="宋体"/>
        </w:rPr>
        <w:t>，满足体验内容的系统性和观众参与的需要。</w:t>
      </w:r>
    </w:p>
    <w:p w14:paraId="1EAF010E">
      <w:pPr>
        <w:pStyle w:val="18"/>
        <w:numPr>
          <w:ilvl w:val="0"/>
          <w:numId w:val="2"/>
        </w:numPr>
        <w:spacing w:beforeAutospacing="1" w:afterAutospacing="1"/>
        <w:rPr>
          <w:rFonts w:cs="宋体"/>
        </w:rPr>
      </w:pPr>
      <w:r>
        <w:rPr>
          <w:rFonts w:cs="宋体"/>
        </w:rPr>
        <w:t>为了提供更真实的沉浸式数字体验，场地的声音环境应尽量减少外界干扰。优先选择位于相对安静的地方，可采用隔音设备来降低噪音。</w:t>
      </w:r>
    </w:p>
    <w:p w14:paraId="3AC84822">
      <w:pPr>
        <w:pStyle w:val="18"/>
        <w:numPr>
          <w:ilvl w:val="0"/>
          <w:numId w:val="2"/>
        </w:numPr>
        <w:spacing w:beforeAutospacing="1" w:afterAutospacing="1"/>
        <w:rPr>
          <w:rFonts w:cs="宋体"/>
        </w:rPr>
      </w:pPr>
      <w:r>
        <w:rPr>
          <w:rFonts w:cs="宋体"/>
        </w:rPr>
        <w:t>体验空间内的视觉环境应根据区域的功能、视觉的要求和环境的气氛进行设计，人工照明照度适当、节能、便于更换和维护。</w:t>
      </w:r>
    </w:p>
    <w:p w14:paraId="30841638">
      <w:pPr>
        <w:pStyle w:val="18"/>
        <w:numPr>
          <w:ilvl w:val="0"/>
          <w:numId w:val="2"/>
        </w:numPr>
        <w:spacing w:beforeAutospacing="1" w:afterAutospacing="1"/>
        <w:rPr>
          <w:rFonts w:cs="宋体"/>
        </w:rPr>
      </w:pPr>
      <w:r>
        <w:rPr>
          <w:rFonts w:cs="宋体"/>
        </w:rPr>
        <w:t>避免观众流线组织的重复、交叉、缺漏，应满足观众通行、体验、休息、摄影、摄像等需要。</w:t>
      </w:r>
    </w:p>
    <w:p w14:paraId="56554253">
      <w:pPr>
        <w:pStyle w:val="18"/>
        <w:numPr>
          <w:ilvl w:val="0"/>
          <w:numId w:val="2"/>
        </w:numPr>
        <w:spacing w:beforeAutospacing="1" w:afterAutospacing="1"/>
        <w:rPr>
          <w:rFonts w:cs="宋体"/>
        </w:rPr>
      </w:pPr>
      <w:r>
        <w:rPr>
          <w:rFonts w:cs="宋体"/>
        </w:rPr>
        <w:t>保持场地空气流通，必要时应根据建筑面积大小配备通风设备。</w:t>
      </w:r>
    </w:p>
    <w:p w14:paraId="1FDE5E25">
      <w:pPr>
        <w:pStyle w:val="18"/>
        <w:numPr>
          <w:ilvl w:val="0"/>
          <w:numId w:val="2"/>
        </w:numPr>
        <w:spacing w:beforeAutospacing="1" w:afterAutospacing="1"/>
        <w:rPr>
          <w:rFonts w:cs="宋体"/>
        </w:rPr>
      </w:pPr>
      <w:r>
        <w:rPr>
          <w:rFonts w:cs="宋体"/>
        </w:rPr>
        <w:t>应设置合适的防护措施，如地板或墙面覆盖软质材料/安全网等，确保参观者在体验过程中的安全。</w:t>
      </w:r>
    </w:p>
    <w:p w14:paraId="30CE6BD0">
      <w:pPr>
        <w:pStyle w:val="18"/>
        <w:numPr>
          <w:ilvl w:val="0"/>
          <w:numId w:val="2"/>
        </w:numPr>
        <w:spacing w:beforeAutospacing="1" w:afterAutospacing="1"/>
        <w:rPr>
          <w:rFonts w:cs="宋体"/>
        </w:rPr>
      </w:pPr>
      <w:r>
        <w:rPr>
          <w:rFonts w:cs="宋体"/>
        </w:rPr>
        <w:t>应设置独立的安全出口，高层建筑应设置独立的安全出口和疏散楼梯。</w:t>
      </w:r>
    </w:p>
    <w:p w14:paraId="7A0AD124">
      <w:pPr>
        <w:pStyle w:val="18"/>
        <w:numPr>
          <w:ilvl w:val="0"/>
          <w:numId w:val="2"/>
        </w:numPr>
        <w:spacing w:beforeAutospacing="1" w:afterAutospacing="1"/>
        <w:rPr>
          <w:rFonts w:cs="宋体"/>
        </w:rPr>
      </w:pPr>
      <w:r>
        <w:rPr>
          <w:rFonts w:cs="宋体"/>
        </w:rPr>
        <w:t>体验空间及疏散通道应设置能引导疏散方向的灯光疏散指示标志，安全出口处应设置消防安全出口灯光标志。</w:t>
      </w:r>
    </w:p>
    <w:p w14:paraId="0C065654">
      <w:pPr>
        <w:pStyle w:val="18"/>
        <w:numPr>
          <w:ilvl w:val="0"/>
          <w:numId w:val="2"/>
        </w:numPr>
        <w:spacing w:beforeAutospacing="1" w:afterAutospacing="1"/>
        <w:rPr>
          <w:rFonts w:cs="宋体"/>
        </w:rPr>
      </w:pPr>
      <w:r>
        <w:rPr>
          <w:rFonts w:cs="宋体"/>
        </w:rPr>
        <w:t>体验空间内的重要设备及部位用电负荷应按不低于二级负荷要求供电，体验设备宜使用电化教育设施的电气线路和插座。观众可触摸、操作的体验设备电气部件应采用安全低电压供电。</w:t>
      </w:r>
    </w:p>
    <w:p w14:paraId="6A2A9EEB">
      <w:pPr>
        <w:pStyle w:val="18"/>
        <w:numPr>
          <w:ilvl w:val="0"/>
          <w:numId w:val="2"/>
        </w:numPr>
        <w:spacing w:beforeAutospacing="1" w:afterAutospacing="1"/>
        <w:rPr>
          <w:rFonts w:cs="宋体"/>
        </w:rPr>
      </w:pPr>
      <w:r>
        <w:rPr>
          <w:rFonts w:cs="宋体"/>
        </w:rPr>
        <w:t>空间建筑内防火设计应符合GB 50016-2014国家规范文件的规定。</w:t>
      </w:r>
    </w:p>
    <w:p w14:paraId="001F8560">
      <w:pPr>
        <w:pStyle w:val="18"/>
        <w:numPr>
          <w:ilvl w:val="0"/>
          <w:numId w:val="2"/>
        </w:numPr>
        <w:spacing w:beforeAutospacing="1" w:afterAutospacing="1"/>
        <w:rPr>
          <w:rFonts w:cs="宋体"/>
        </w:rPr>
      </w:pPr>
      <w:r>
        <w:rPr>
          <w:rFonts w:cs="宋体"/>
        </w:rPr>
        <w:t xml:space="preserve">无障碍设计应符合 </w:t>
      </w:r>
      <w:r>
        <w:rPr>
          <w:rFonts w:hint="default" w:ascii="Times New Roman" w:hAnsi="Times New Roman"/>
        </w:rPr>
        <w:t>GB50763-2021</w:t>
      </w:r>
      <w:r>
        <w:rPr>
          <w:rFonts w:cs="宋体"/>
        </w:rPr>
        <w:t>国家规范文件的规定。</w:t>
      </w:r>
    </w:p>
    <w:p w14:paraId="544C6BD8">
      <w:pPr>
        <w:pStyle w:val="18"/>
        <w:numPr>
          <w:ilvl w:val="0"/>
          <w:numId w:val="2"/>
        </w:numPr>
        <w:spacing w:beforeAutospacing="1" w:afterAutospacing="1"/>
        <w:rPr>
          <w:rFonts w:cs="宋体"/>
          <w:b/>
          <w:bCs/>
        </w:rPr>
      </w:pPr>
      <w:r>
        <w:rPr>
          <w:rFonts w:cs="宋体"/>
        </w:rPr>
        <w:t>节能设计应符合</w:t>
      </w:r>
      <w:r>
        <w:rPr>
          <w:rFonts w:hint="default" w:ascii="Times New Roman" w:hAnsi="Times New Roman"/>
        </w:rPr>
        <w:t xml:space="preserve"> GB50189-2015</w:t>
      </w:r>
      <w:r>
        <w:rPr>
          <w:rFonts w:cs="宋体"/>
        </w:rPr>
        <w:t>国家规范文件的规定。</w:t>
      </w:r>
    </w:p>
    <w:p w14:paraId="45C2D7CF">
      <w:pPr>
        <w:pStyle w:val="18"/>
        <w:numPr>
          <w:ilvl w:val="0"/>
          <w:numId w:val="2"/>
        </w:numPr>
        <w:spacing w:beforeAutospacing="1" w:afterAutospacing="1"/>
        <w:rPr>
          <w:rFonts w:cs="宋体"/>
          <w:b/>
          <w:bCs/>
        </w:rPr>
      </w:pPr>
      <w:r>
        <w:rPr>
          <w:rFonts w:cs="宋体"/>
        </w:rPr>
        <w:t>体验场景内各类噪声对环境的影响，应符合GB3096的规定。</w:t>
      </w:r>
    </w:p>
    <w:p w14:paraId="12D2319D">
      <w:pPr>
        <w:pStyle w:val="18"/>
        <w:numPr>
          <w:ilvl w:val="0"/>
          <w:numId w:val="2"/>
        </w:numPr>
        <w:spacing w:beforeAutospacing="1" w:afterAutospacing="1"/>
        <w:rPr>
          <w:rFonts w:cs="宋体"/>
        </w:rPr>
      </w:pPr>
      <w:r>
        <w:rPr>
          <w:rFonts w:cs="宋体"/>
        </w:rPr>
        <w:t>沉浸式场景体验空间的卫生要求应符合</w:t>
      </w:r>
      <w:r>
        <w:rPr>
          <w:rFonts w:hint="default" w:ascii="Times New Roman" w:hAnsi="Times New Roman"/>
        </w:rPr>
        <w:t>GB 37487-2019</w:t>
      </w:r>
      <w:r>
        <w:rPr>
          <w:rFonts w:cs="宋体"/>
        </w:rPr>
        <w:t>国家规范文件的规定。</w:t>
      </w:r>
    </w:p>
    <w:p w14:paraId="24C6045E">
      <w:pPr>
        <w:pStyle w:val="12"/>
        <w:numPr>
          <w:ilvl w:val="1"/>
          <w:numId w:val="1"/>
        </w:numPr>
        <w:rPr>
          <w:rFonts w:cs="黑体"/>
        </w:rPr>
      </w:pPr>
      <w:bookmarkStart w:id="74" w:name="_Toc181776920"/>
      <w:r>
        <w:rPr>
          <w:rFonts w:cs="黑体"/>
        </w:rPr>
        <w:t>服务设施要求</w:t>
      </w:r>
      <w:bookmarkEnd w:id="74"/>
    </w:p>
    <w:p w14:paraId="5BA243B1">
      <w:pPr>
        <w:pStyle w:val="14"/>
        <w:numPr>
          <w:ilvl w:val="2"/>
          <w:numId w:val="1"/>
        </w:numPr>
        <w:spacing w:before="0" w:beforeLines="0" w:after="0" w:afterLines="0"/>
        <w:ind w:left="0"/>
        <w:rPr>
          <w:rFonts w:hint="default" w:ascii="宋体" w:hAnsi="Times New Roman" w:eastAsia="宋体"/>
        </w:rPr>
      </w:pPr>
      <w:r>
        <w:rPr>
          <w:rFonts w:ascii="宋体" w:eastAsia="宋体" w:cs="宋体"/>
        </w:rPr>
        <w:t>应有网络支撑设施，实现移动通讯信号全覆盖。</w:t>
      </w:r>
    </w:p>
    <w:p w14:paraId="7B0BCA51">
      <w:pPr>
        <w:pStyle w:val="14"/>
        <w:numPr>
          <w:ilvl w:val="2"/>
          <w:numId w:val="1"/>
        </w:numPr>
        <w:spacing w:before="0" w:beforeLines="0" w:after="0" w:afterLines="0"/>
        <w:ind w:left="0"/>
        <w:rPr>
          <w:rFonts w:hint="default" w:ascii="宋体" w:hAnsi="Times New Roman" w:eastAsia="宋体"/>
        </w:rPr>
      </w:pPr>
      <w:r>
        <w:rPr>
          <w:rFonts w:ascii="宋体" w:eastAsia="宋体" w:cs="宋体"/>
        </w:rPr>
        <w:t>应具备覆盖沉浸式数字体验空间的广播通知系统。</w:t>
      </w:r>
    </w:p>
    <w:p w14:paraId="0E5D90A5">
      <w:pPr>
        <w:pStyle w:val="14"/>
        <w:numPr>
          <w:ilvl w:val="2"/>
          <w:numId w:val="1"/>
        </w:numPr>
        <w:spacing w:before="0" w:beforeLines="0" w:after="0" w:afterLines="0"/>
        <w:ind w:left="0"/>
        <w:rPr>
          <w:rFonts w:hint="default" w:ascii="宋体" w:hAnsi="Times New Roman" w:eastAsia="宋体"/>
        </w:rPr>
      </w:pPr>
      <w:r>
        <w:rPr>
          <w:rFonts w:ascii="宋体" w:eastAsia="宋体" w:cs="宋体"/>
        </w:rPr>
        <w:t>应有与沉浸式数字体验空间服务类型配套的服务区域和服务设施设备。建筑风格与内外环境营造应体现主题特色。服务环境、设施的整体布局应合理、美观，服务流程应清晰顺畅。设施设备应安全、整洁、卫生、有效。对外交通便捷，可进入性强。</w:t>
      </w:r>
    </w:p>
    <w:p w14:paraId="3682D04D">
      <w:pPr>
        <w:pStyle w:val="12"/>
        <w:numPr>
          <w:ilvl w:val="1"/>
          <w:numId w:val="1"/>
        </w:numPr>
        <w:rPr>
          <w:rFonts w:cs="黑体"/>
        </w:rPr>
      </w:pPr>
      <w:bookmarkStart w:id="75" w:name="_Toc181776921"/>
      <w:r>
        <w:rPr>
          <w:rFonts w:cs="黑体"/>
        </w:rPr>
        <w:t>服务人员要求</w:t>
      </w:r>
      <w:bookmarkEnd w:id="75"/>
    </w:p>
    <w:p w14:paraId="537DE2F4">
      <w:pPr>
        <w:pStyle w:val="14"/>
        <w:numPr>
          <w:ilvl w:val="2"/>
          <w:numId w:val="1"/>
        </w:numPr>
        <w:spacing w:before="0" w:beforeLines="0" w:after="0" w:afterLines="0"/>
        <w:ind w:left="0"/>
        <w:rPr>
          <w:rFonts w:hint="default" w:ascii="宋体" w:hAnsi="Times New Roman" w:eastAsia="宋体"/>
        </w:rPr>
      </w:pPr>
      <w:r>
        <w:rPr>
          <w:rFonts w:ascii="宋体" w:eastAsia="宋体" w:cs="宋体"/>
        </w:rPr>
        <w:t>应配备沉浸式数字体验空间服务的技术服务团队，建设、维护沉浸式数字体验空间基础设施。</w:t>
      </w:r>
    </w:p>
    <w:p w14:paraId="1F788156">
      <w:pPr>
        <w:pStyle w:val="14"/>
        <w:numPr>
          <w:ilvl w:val="2"/>
          <w:numId w:val="1"/>
        </w:numPr>
        <w:spacing w:before="0" w:beforeLines="0" w:after="0" w:afterLines="0"/>
        <w:ind w:left="0"/>
        <w:rPr>
          <w:rFonts w:hint="default" w:ascii="宋体" w:hAnsi="Times New Roman" w:eastAsia="宋体"/>
        </w:rPr>
      </w:pPr>
      <w:r>
        <w:rPr>
          <w:rFonts w:ascii="宋体" w:eastAsia="宋体" w:cs="宋体"/>
        </w:rPr>
        <w:t>应配备现场服务人员，服务人员应熟悉自身工作职责，言谈举止得体大方。掌握基本安全知识，应经过消防、卫生、治安等基本技能培训，应熟悉安全设施设备位置和使用方法,观察游客动态，引导游客安全娱乐，应熟悉应急预案，对出现的安全隐患或安全问题，及时采取相应的措施。</w:t>
      </w:r>
    </w:p>
    <w:p w14:paraId="6D0679C9">
      <w:pPr>
        <w:pStyle w:val="12"/>
        <w:numPr>
          <w:ilvl w:val="1"/>
          <w:numId w:val="1"/>
        </w:numPr>
        <w:rPr>
          <w:rFonts w:cs="黑体"/>
        </w:rPr>
      </w:pPr>
      <w:bookmarkStart w:id="76" w:name="_Toc181776922"/>
      <w:r>
        <w:rPr>
          <w:rFonts w:cs="黑体"/>
        </w:rPr>
        <w:t>其他服务要求</w:t>
      </w:r>
      <w:bookmarkEnd w:id="76"/>
    </w:p>
    <w:p w14:paraId="2C7B010B">
      <w:pPr>
        <w:pStyle w:val="14"/>
        <w:numPr>
          <w:ilvl w:val="2"/>
          <w:numId w:val="1"/>
        </w:numPr>
        <w:spacing w:before="0" w:beforeLines="0" w:after="0" w:afterLines="0"/>
        <w:ind w:left="0"/>
        <w:rPr>
          <w:rFonts w:hint="default" w:ascii="宋体" w:hAnsi="Times New Roman" w:eastAsia="宋体"/>
        </w:rPr>
      </w:pPr>
      <w:r>
        <w:rPr>
          <w:rFonts w:ascii="宋体" w:eastAsia="宋体" w:cs="宋体"/>
        </w:rPr>
        <w:t>遵循诚信、优质服务原则，在醒目位置公开服务质量监督电话、设置意见箱。</w:t>
      </w:r>
    </w:p>
    <w:p w14:paraId="05E3C191">
      <w:pPr>
        <w:pStyle w:val="14"/>
        <w:numPr>
          <w:ilvl w:val="2"/>
          <w:numId w:val="1"/>
        </w:numPr>
        <w:spacing w:before="0" w:beforeLines="0" w:after="0" w:afterLines="0"/>
        <w:ind w:left="0"/>
        <w:rPr>
          <w:rFonts w:hint="default" w:ascii="宋体" w:hAnsi="Times New Roman" w:eastAsia="宋体"/>
        </w:rPr>
      </w:pPr>
      <w:r>
        <w:rPr>
          <w:rFonts w:ascii="宋体" w:eastAsia="宋体" w:cs="宋体"/>
        </w:rPr>
        <w:t>设立质量投诉受理机构，健全制度，明确职责，并将游客投诉途径及解决问题的方法在醒目位置予以公告。</w:t>
      </w:r>
    </w:p>
    <w:p w14:paraId="0D857E7E">
      <w:pPr>
        <w:pStyle w:val="14"/>
        <w:numPr>
          <w:ilvl w:val="2"/>
          <w:numId w:val="1"/>
        </w:numPr>
        <w:spacing w:before="0" w:beforeLines="0" w:after="0" w:afterLines="0"/>
        <w:ind w:left="0"/>
        <w:rPr>
          <w:rFonts w:hint="default" w:ascii="宋体" w:hAnsi="Times New Roman" w:eastAsia="宋体"/>
        </w:rPr>
      </w:pPr>
      <w:r>
        <w:rPr>
          <w:rFonts w:ascii="宋体" w:eastAsia="宋体" w:cs="宋体"/>
        </w:rPr>
        <w:t>投诉处理应符合</w:t>
      </w:r>
      <w:r>
        <w:rPr>
          <w:rFonts w:hint="default" w:ascii="Times New Roman" w:hAnsi="Times New Roman" w:eastAsia="宋体"/>
        </w:rPr>
        <w:t>LB/T 063-2017</w:t>
      </w:r>
      <w:r>
        <w:rPr>
          <w:rFonts w:ascii="宋体" w:eastAsia="宋体" w:cs="宋体"/>
        </w:rPr>
        <w:t>国家规范文件的要求。</w:t>
      </w:r>
    </w:p>
    <w:p w14:paraId="55525EB2">
      <w:pPr>
        <w:pStyle w:val="14"/>
        <w:numPr>
          <w:ilvl w:val="2"/>
          <w:numId w:val="1"/>
        </w:numPr>
        <w:spacing w:before="0" w:beforeLines="0" w:after="0" w:afterLines="0"/>
        <w:ind w:left="0"/>
        <w:rPr>
          <w:rFonts w:hint="default" w:ascii="宋体" w:hAnsi="Times New Roman" w:eastAsia="宋体"/>
        </w:rPr>
      </w:pPr>
      <w:r>
        <w:rPr>
          <w:rFonts w:ascii="宋体" w:eastAsia="宋体" w:cs="宋体"/>
        </w:rPr>
        <w:t>制定服务质量考评机制，根据考核评价结果，制定改进措施，提升服务质量。</w:t>
      </w:r>
    </w:p>
    <w:p w14:paraId="5407B1F9">
      <w:pPr>
        <w:pStyle w:val="17"/>
        <w:numPr>
          <w:ilvl w:val="0"/>
          <w:numId w:val="1"/>
        </w:numPr>
        <w:rPr>
          <w:rFonts w:cs="黑体"/>
        </w:rPr>
      </w:pPr>
      <w:bookmarkStart w:id="77" w:name="_Toc181776923"/>
      <w:r>
        <w:rPr>
          <w:rFonts w:cs="黑体"/>
        </w:rPr>
        <w:t>关键设备技术要求</w:t>
      </w:r>
      <w:bookmarkEnd w:id="77"/>
    </w:p>
    <w:p w14:paraId="46437918">
      <w:pPr>
        <w:pStyle w:val="12"/>
        <w:numPr>
          <w:ilvl w:val="1"/>
          <w:numId w:val="1"/>
        </w:numPr>
        <w:rPr>
          <w:rFonts w:cs="黑体"/>
        </w:rPr>
      </w:pPr>
      <w:bookmarkStart w:id="78" w:name="_Toc181776924"/>
      <w:r>
        <w:rPr>
          <w:rFonts w:cs="黑体"/>
        </w:rPr>
        <w:t>头戴式显示设备性能要求</w:t>
      </w:r>
      <w:bookmarkEnd w:id="78"/>
    </w:p>
    <w:p w14:paraId="25896D2E">
      <w:pPr>
        <w:pStyle w:val="14"/>
        <w:numPr>
          <w:ilvl w:val="2"/>
          <w:numId w:val="1"/>
        </w:numPr>
        <w:spacing w:before="156" w:after="156"/>
        <w:ind w:left="0"/>
        <w:rPr>
          <w:rFonts w:cs="黑体"/>
        </w:rPr>
      </w:pPr>
      <w:r>
        <w:rPr>
          <w:rFonts w:cs="黑体"/>
        </w:rPr>
        <w:t>基本性能</w:t>
      </w:r>
    </w:p>
    <w:p w14:paraId="242E40EC">
      <w:pPr>
        <w:pStyle w:val="14"/>
        <w:numPr>
          <w:ilvl w:val="0"/>
          <w:numId w:val="3"/>
        </w:numPr>
        <w:spacing w:before="0" w:beforeLines="0" w:after="0" w:afterLines="0"/>
        <w:ind w:left="862" w:hanging="442"/>
        <w:rPr>
          <w:rFonts w:ascii="宋体" w:eastAsia="宋体" w:cs="宋体"/>
        </w:rPr>
      </w:pPr>
      <w:r>
        <w:rPr>
          <w:rFonts w:ascii="宋体" w:eastAsia="宋体" w:cs="宋体"/>
        </w:rPr>
        <w:t>显示分辨率不低于</w:t>
      </w:r>
      <w:r>
        <w:rPr>
          <w:rFonts w:hint="default" w:ascii="Times New Roman" w:hAnsi="Times New Roman" w:eastAsia="宋体"/>
        </w:rPr>
        <w:t>1200</w:t>
      </w:r>
      <w:r>
        <w:rPr>
          <w:rFonts w:ascii="宋体" w:eastAsia="宋体" w:cs="宋体"/>
        </w:rPr>
        <w:t>（像素）</w:t>
      </w:r>
      <w:r>
        <w:rPr>
          <w:rFonts w:hint="default" w:ascii="Times New Roman" w:hAnsi="Times New Roman" w:eastAsia="宋体"/>
        </w:rPr>
        <w:t>×1080</w:t>
      </w:r>
      <w:r>
        <w:rPr>
          <w:rFonts w:ascii="宋体" w:eastAsia="宋体" w:cs="宋体"/>
        </w:rPr>
        <w:t>（像素）。</w:t>
      </w:r>
    </w:p>
    <w:p w14:paraId="1D7D74F4">
      <w:pPr>
        <w:pStyle w:val="14"/>
        <w:numPr>
          <w:ilvl w:val="0"/>
          <w:numId w:val="3"/>
        </w:numPr>
        <w:spacing w:before="0" w:beforeLines="0" w:after="0" w:afterLines="0"/>
        <w:ind w:left="862" w:hanging="442"/>
        <w:rPr>
          <w:rFonts w:ascii="宋体" w:eastAsia="宋体" w:cs="宋体"/>
        </w:rPr>
      </w:pPr>
      <w:r>
        <w:rPr>
          <w:rFonts w:ascii="宋体" w:eastAsia="宋体" w:cs="宋体"/>
        </w:rPr>
        <w:t>显示刷新率不低于</w:t>
      </w:r>
      <w:r>
        <w:rPr>
          <w:rFonts w:hint="default" w:ascii="Times New Roman" w:hAnsi="Times New Roman" w:eastAsia="宋体"/>
        </w:rPr>
        <w:t>60 Hz</w:t>
      </w:r>
      <w:r>
        <w:rPr>
          <w:rFonts w:ascii="宋体" w:eastAsia="宋体" w:cs="宋体"/>
        </w:rPr>
        <w:t>。</w:t>
      </w:r>
    </w:p>
    <w:p w14:paraId="70FC7899">
      <w:pPr>
        <w:pStyle w:val="14"/>
        <w:numPr>
          <w:ilvl w:val="0"/>
          <w:numId w:val="3"/>
        </w:numPr>
        <w:spacing w:before="0" w:beforeLines="0" w:after="0" w:afterLines="0"/>
        <w:ind w:left="862" w:hanging="442"/>
        <w:rPr>
          <w:rFonts w:ascii="宋体" w:eastAsia="宋体" w:cs="宋体"/>
        </w:rPr>
      </w:pPr>
      <w:r>
        <w:rPr>
          <w:rFonts w:ascii="宋体" w:eastAsia="宋体" w:cs="宋体"/>
        </w:rPr>
        <w:t>设备视场角不低于</w:t>
      </w:r>
      <w:r>
        <w:rPr>
          <w:rFonts w:hint="default" w:ascii="Times New Roman" w:hAnsi="Times New Roman" w:eastAsia="宋体"/>
        </w:rPr>
        <w:t>60°</w:t>
      </w:r>
      <w:r>
        <w:rPr>
          <w:rFonts w:ascii="宋体" w:eastAsia="宋体" w:cs="宋体"/>
        </w:rPr>
        <w:t>。</w:t>
      </w:r>
    </w:p>
    <w:p w14:paraId="20AB7C1F">
      <w:pPr>
        <w:pStyle w:val="14"/>
        <w:numPr>
          <w:ilvl w:val="0"/>
          <w:numId w:val="3"/>
        </w:numPr>
        <w:spacing w:before="0" w:beforeLines="0" w:after="0" w:afterLines="0"/>
        <w:ind w:left="862" w:hanging="442"/>
        <w:rPr>
          <w:rFonts w:ascii="宋体" w:eastAsia="宋体" w:cs="宋体"/>
        </w:rPr>
      </w:pPr>
      <w:r>
        <w:rPr>
          <w:rFonts w:ascii="宋体" w:eastAsia="宋体" w:cs="宋体"/>
        </w:rPr>
        <w:t>设备有效像素比不低于</w:t>
      </w:r>
      <w:r>
        <w:rPr>
          <w:rFonts w:hint="default" w:ascii="Times New Roman" w:hAnsi="Times New Roman" w:eastAsia="宋体"/>
        </w:rPr>
        <w:t>65%</w:t>
      </w:r>
      <w:r>
        <w:rPr>
          <w:rFonts w:ascii="宋体" w:eastAsia="宋体" w:cs="宋体"/>
        </w:rPr>
        <w:t>。</w:t>
      </w:r>
    </w:p>
    <w:p w14:paraId="6DC57286">
      <w:pPr>
        <w:pStyle w:val="14"/>
        <w:numPr>
          <w:ilvl w:val="0"/>
          <w:numId w:val="3"/>
        </w:numPr>
        <w:spacing w:before="0" w:beforeLines="0" w:after="0" w:afterLines="0"/>
        <w:ind w:left="862" w:hanging="442"/>
        <w:rPr>
          <w:rFonts w:ascii="宋体" w:eastAsia="宋体" w:cs="宋体"/>
        </w:rPr>
      </w:pPr>
      <w:r>
        <w:rPr>
          <w:rFonts w:ascii="宋体" w:eastAsia="宋体" w:cs="宋体"/>
        </w:rPr>
        <w:t>对比度：采用</w:t>
      </w:r>
      <w:r>
        <w:rPr>
          <w:rFonts w:hint="default" w:ascii="Times New Roman" w:hAnsi="Times New Roman" w:eastAsia="宋体"/>
        </w:rPr>
        <w:t>LCD</w:t>
      </w:r>
      <w:r>
        <w:rPr>
          <w:rFonts w:ascii="宋体" w:eastAsia="宋体" w:cs="宋体"/>
        </w:rPr>
        <w:t>的设备亮度对比度不低于</w:t>
      </w:r>
      <w:r>
        <w:rPr>
          <w:rFonts w:hint="default" w:ascii="Times New Roman" w:hAnsi="Times New Roman" w:eastAsia="宋体"/>
        </w:rPr>
        <w:t>300：1</w:t>
      </w:r>
      <w:r>
        <w:rPr>
          <w:rFonts w:ascii="宋体" w:eastAsia="宋体" w:cs="宋体"/>
        </w:rPr>
        <w:t>，采用</w:t>
      </w:r>
      <w:r>
        <w:rPr>
          <w:rFonts w:hint="default" w:ascii="Times New Roman" w:hAnsi="Times New Roman" w:eastAsia="宋体"/>
        </w:rPr>
        <w:t>OLED</w:t>
      </w:r>
      <w:r>
        <w:rPr>
          <w:rFonts w:ascii="宋体" w:eastAsia="宋体" w:cs="宋体"/>
        </w:rPr>
        <w:t>的设备亮度对比度不低于</w:t>
      </w:r>
      <w:r>
        <w:rPr>
          <w:rFonts w:hint="default" w:ascii="Times New Roman" w:hAnsi="Times New Roman" w:eastAsia="宋体"/>
        </w:rPr>
        <w:t>1000：1</w:t>
      </w:r>
      <w:r>
        <w:rPr>
          <w:rFonts w:ascii="宋体" w:eastAsia="宋体" w:cs="宋体"/>
        </w:rPr>
        <w:t>。</w:t>
      </w:r>
    </w:p>
    <w:p w14:paraId="4AC76089">
      <w:pPr>
        <w:pStyle w:val="14"/>
        <w:numPr>
          <w:ilvl w:val="0"/>
          <w:numId w:val="3"/>
        </w:numPr>
        <w:spacing w:before="0" w:beforeLines="0" w:after="0" w:afterLines="0"/>
        <w:ind w:left="862" w:hanging="442"/>
        <w:rPr>
          <w:rFonts w:ascii="宋体" w:eastAsia="宋体" w:cs="宋体"/>
        </w:rPr>
      </w:pPr>
      <w:r>
        <w:rPr>
          <w:rFonts w:ascii="宋体" w:eastAsia="宋体" w:cs="宋体"/>
        </w:rPr>
        <w:t>亮度：设备的亮度不低于</w:t>
      </w:r>
      <w:r>
        <w:rPr>
          <w:rFonts w:hint="default" w:ascii="Times New Roman" w:hAnsi="Times New Roman" w:eastAsia="宋体"/>
        </w:rPr>
        <w:t xml:space="preserve">265 nits </w:t>
      </w:r>
      <w:r>
        <w:rPr>
          <w:rFonts w:ascii="宋体" w:eastAsia="宋体" w:cs="宋体"/>
        </w:rPr>
        <w:t>。</w:t>
      </w:r>
    </w:p>
    <w:p w14:paraId="5DCF4A4C">
      <w:pPr>
        <w:pStyle w:val="14"/>
        <w:numPr>
          <w:ilvl w:val="2"/>
          <w:numId w:val="1"/>
        </w:numPr>
        <w:spacing w:before="156" w:after="156"/>
        <w:ind w:left="0"/>
        <w:rPr>
          <w:rFonts w:cs="黑体"/>
        </w:rPr>
      </w:pPr>
      <w:r>
        <w:rPr>
          <w:rFonts w:cs="黑体"/>
        </w:rPr>
        <w:t>其他性能</w:t>
      </w:r>
    </w:p>
    <w:p w14:paraId="74624057">
      <w:pPr>
        <w:pStyle w:val="14"/>
        <w:numPr>
          <w:ilvl w:val="0"/>
          <w:numId w:val="4"/>
        </w:numPr>
        <w:spacing w:before="0" w:beforeLines="0" w:after="0" w:afterLines="0"/>
        <w:rPr>
          <w:rFonts w:ascii="宋体" w:eastAsia="宋体" w:cs="宋体"/>
        </w:rPr>
      </w:pPr>
      <w:r>
        <w:rPr>
          <w:rFonts w:ascii="宋体" w:eastAsia="宋体" w:cs="宋体"/>
        </w:rPr>
        <w:t>瞳距范围：如果设备瞳距可调，最大瞳距应</w:t>
      </w:r>
      <w:r>
        <w:rPr>
          <w:rFonts w:hint="default" w:ascii="Times New Roman" w:hAnsi="Times New Roman" w:eastAsia="宋体"/>
        </w:rPr>
        <w:t>≤75mm</w:t>
      </w:r>
      <w:r>
        <w:rPr>
          <w:rFonts w:ascii="宋体" w:eastAsia="宋体" w:cs="宋体"/>
        </w:rPr>
        <w:t>，并且最小瞳距</w:t>
      </w:r>
      <w:r>
        <w:rPr>
          <w:rFonts w:hint="default" w:ascii="Times New Roman" w:hAnsi="Times New Roman" w:eastAsia="宋体"/>
        </w:rPr>
        <w:t>≥50mm</w:t>
      </w:r>
      <w:r>
        <w:rPr>
          <w:rFonts w:ascii="宋体" w:eastAsia="宋体" w:cs="宋体"/>
        </w:rPr>
        <w:t>；如果设备瞳距不可调，瞳距值应在</w:t>
      </w:r>
      <w:r>
        <w:rPr>
          <w:rFonts w:hint="default" w:ascii="Times New Roman" w:hAnsi="Times New Roman" w:eastAsia="宋体"/>
        </w:rPr>
        <w:t>50 mm~75 mm</w:t>
      </w:r>
      <w:r>
        <w:rPr>
          <w:rFonts w:ascii="宋体" w:eastAsia="宋体" w:cs="宋体"/>
        </w:rPr>
        <w:t>之间；虚瞳距离应</w:t>
      </w:r>
      <w:r>
        <w:rPr>
          <w:rFonts w:hint="default" w:ascii="Times New Roman" w:hAnsi="Times New Roman" w:eastAsia="宋体"/>
        </w:rPr>
        <w:t>≥0.3m</w:t>
      </w:r>
      <w:r>
        <w:rPr>
          <w:rFonts w:ascii="宋体" w:eastAsia="宋体" w:cs="宋体"/>
        </w:rPr>
        <w:t>。</w:t>
      </w:r>
    </w:p>
    <w:p w14:paraId="784B37AC">
      <w:pPr>
        <w:pStyle w:val="14"/>
        <w:numPr>
          <w:ilvl w:val="0"/>
          <w:numId w:val="4"/>
        </w:numPr>
        <w:spacing w:before="0" w:beforeLines="0" w:after="0" w:afterLines="0"/>
        <w:ind w:left="862" w:hanging="442"/>
        <w:rPr>
          <w:rFonts w:ascii="宋体" w:eastAsia="宋体" w:cs="宋体"/>
        </w:rPr>
      </w:pPr>
      <w:r>
        <w:rPr>
          <w:rFonts w:ascii="宋体" w:eastAsia="宋体" w:cs="宋体"/>
        </w:rPr>
        <w:t>出瞳距离应</w:t>
      </w:r>
      <w:r>
        <w:rPr>
          <w:rFonts w:hint="default" w:ascii="Times New Roman" w:hAnsi="Times New Roman" w:eastAsia="宋体"/>
        </w:rPr>
        <w:t>≥10 mm</w:t>
      </w:r>
      <w:r>
        <w:rPr>
          <w:rFonts w:ascii="宋体" w:eastAsia="宋体" w:cs="宋体"/>
        </w:rPr>
        <w:t>，出瞳距离为10mm的位置上出瞳直径应</w:t>
      </w:r>
      <w:r>
        <w:rPr>
          <w:rFonts w:hint="default" w:ascii="Times New Roman" w:hAnsi="Times New Roman" w:eastAsia="宋体"/>
        </w:rPr>
        <w:t>≥4mm</w:t>
      </w:r>
      <w:r>
        <w:rPr>
          <w:rFonts w:ascii="宋体" w:eastAsia="宋体" w:cs="宋体"/>
        </w:rPr>
        <w:t>。</w:t>
      </w:r>
    </w:p>
    <w:p w14:paraId="78A3BB3D">
      <w:pPr>
        <w:pStyle w:val="14"/>
        <w:numPr>
          <w:ilvl w:val="0"/>
          <w:numId w:val="4"/>
        </w:numPr>
        <w:spacing w:before="0" w:beforeLines="0" w:after="0" w:afterLines="0"/>
        <w:ind w:left="862" w:hanging="442"/>
        <w:rPr>
          <w:rFonts w:ascii="宋体" w:eastAsia="宋体" w:cs="宋体"/>
        </w:rPr>
      </w:pPr>
      <w:r>
        <w:rPr>
          <w:rFonts w:ascii="宋体" w:eastAsia="宋体" w:cs="宋体"/>
        </w:rPr>
        <w:t>中心角分辨率：水平与垂直方向中心视场</w:t>
      </w:r>
      <w:r>
        <w:rPr>
          <w:rFonts w:hint="default" w:ascii="Times New Roman" w:hAnsi="Times New Roman" w:eastAsia="宋体"/>
        </w:rPr>
        <w:t>5°</w:t>
      </w:r>
      <w:r>
        <w:rPr>
          <w:rFonts w:ascii="宋体" w:eastAsia="宋体" w:cs="宋体"/>
        </w:rPr>
        <w:t>范围内应</w:t>
      </w:r>
      <w:r>
        <w:rPr>
          <w:rFonts w:hint="default" w:ascii="Times New Roman" w:hAnsi="Times New Roman" w:eastAsia="宋体"/>
        </w:rPr>
        <w:t>≥9PPD</w:t>
      </w:r>
      <w:r>
        <w:rPr>
          <w:rFonts w:ascii="宋体" w:eastAsia="宋体" w:cs="宋体"/>
        </w:rPr>
        <w:t>。</w:t>
      </w:r>
    </w:p>
    <w:p w14:paraId="3C5319CF">
      <w:pPr>
        <w:pStyle w:val="14"/>
        <w:numPr>
          <w:ilvl w:val="0"/>
          <w:numId w:val="4"/>
        </w:numPr>
        <w:spacing w:before="0" w:beforeLines="0" w:after="0" w:afterLines="0"/>
        <w:ind w:left="862" w:hanging="442"/>
        <w:rPr>
          <w:rFonts w:ascii="宋体" w:eastAsia="宋体" w:cs="宋体"/>
        </w:rPr>
      </w:pPr>
      <w:r>
        <w:rPr>
          <w:rFonts w:ascii="宋体" w:eastAsia="宋体" w:cs="宋体"/>
        </w:rPr>
        <w:t>全视场平均角分辨率：水平与垂直方向均应</w:t>
      </w:r>
      <w:r>
        <w:rPr>
          <w:rFonts w:hint="default" w:ascii="Times New Roman" w:hAnsi="Times New Roman" w:eastAsia="宋体"/>
        </w:rPr>
        <w:t>≥8PPD</w:t>
      </w:r>
      <w:r>
        <w:rPr>
          <w:rFonts w:ascii="宋体" w:eastAsia="宋体" w:cs="宋体"/>
        </w:rPr>
        <w:t>。</w:t>
      </w:r>
    </w:p>
    <w:p w14:paraId="5B11DD69">
      <w:pPr>
        <w:pStyle w:val="14"/>
        <w:numPr>
          <w:ilvl w:val="0"/>
          <w:numId w:val="4"/>
        </w:numPr>
        <w:spacing w:before="0" w:beforeLines="0" w:after="0" w:afterLines="0"/>
        <w:ind w:left="862" w:hanging="442"/>
        <w:rPr>
          <w:rFonts w:ascii="宋体" w:eastAsia="宋体" w:cs="宋体"/>
        </w:rPr>
      </w:pPr>
      <w:r>
        <w:rPr>
          <w:rFonts w:ascii="宋体" w:eastAsia="宋体" w:cs="宋体"/>
        </w:rPr>
        <w:t>角度漂移：虚拟现实头戴式显示设备随机转动回到原位，角度漂移应</w:t>
      </w:r>
      <w:r>
        <w:rPr>
          <w:rFonts w:hint="default" w:ascii="Times New Roman" w:hAnsi="Times New Roman" w:eastAsia="宋体"/>
        </w:rPr>
        <w:t>≤18°</w:t>
      </w:r>
      <w:r>
        <w:rPr>
          <w:rFonts w:ascii="宋体" w:eastAsia="宋体" w:cs="宋体"/>
        </w:rPr>
        <w:t>。</w:t>
      </w:r>
    </w:p>
    <w:p w14:paraId="5767DC5C">
      <w:pPr>
        <w:pStyle w:val="14"/>
        <w:numPr>
          <w:ilvl w:val="0"/>
          <w:numId w:val="4"/>
        </w:numPr>
        <w:spacing w:before="0" w:beforeLines="0" w:after="0" w:afterLines="0"/>
        <w:ind w:left="862" w:hanging="442"/>
        <w:rPr>
          <w:rFonts w:ascii="宋体" w:eastAsia="宋体" w:cs="宋体"/>
        </w:rPr>
      </w:pPr>
      <w:r>
        <w:rPr>
          <w:rFonts w:ascii="宋体" w:eastAsia="宋体" w:cs="宋体"/>
        </w:rPr>
        <w:t>系统延迟：系统移动延迟应</w:t>
      </w:r>
      <w:r>
        <w:rPr>
          <w:rFonts w:hint="default" w:ascii="Times New Roman" w:hAnsi="Times New Roman" w:eastAsia="宋体"/>
        </w:rPr>
        <w:t>≤45ms</w:t>
      </w:r>
      <w:r>
        <w:rPr>
          <w:rFonts w:ascii="宋体" w:eastAsia="宋体" w:cs="宋体"/>
        </w:rPr>
        <w:t>；系统转动延迟应</w:t>
      </w:r>
      <w:r>
        <w:rPr>
          <w:rFonts w:hint="default" w:ascii="Times New Roman" w:hAnsi="Times New Roman" w:eastAsia="宋体"/>
        </w:rPr>
        <w:t>≤45ms</w:t>
      </w:r>
      <w:r>
        <w:rPr>
          <w:rFonts w:ascii="Times New Roman" w:hAnsi="Times New Roman" w:eastAsia="宋体"/>
        </w:rPr>
        <w:t>。</w:t>
      </w:r>
    </w:p>
    <w:p w14:paraId="467D9FBF">
      <w:pPr>
        <w:pStyle w:val="14"/>
        <w:numPr>
          <w:ilvl w:val="0"/>
          <w:numId w:val="4"/>
        </w:numPr>
        <w:spacing w:before="0" w:beforeLines="0" w:after="0" w:afterLines="0"/>
        <w:ind w:left="862" w:hanging="442"/>
        <w:rPr>
          <w:rFonts w:ascii="宋体" w:eastAsia="宋体" w:cs="宋体"/>
        </w:rPr>
      </w:pPr>
      <w:r>
        <w:rPr>
          <w:rFonts w:ascii="宋体" w:eastAsia="宋体" w:cs="宋体"/>
        </w:rPr>
        <w:t>角度采样频率：角度传感设备的采样频率应</w:t>
      </w:r>
      <w:r>
        <w:rPr>
          <w:rFonts w:hint="default" w:ascii="Times New Roman" w:hAnsi="Times New Roman" w:eastAsia="宋体"/>
        </w:rPr>
        <w:t>≥60Hz</w:t>
      </w:r>
      <w:r>
        <w:rPr>
          <w:rFonts w:ascii="宋体" w:eastAsia="宋体" w:cs="宋体"/>
        </w:rPr>
        <w:t>。</w:t>
      </w:r>
    </w:p>
    <w:p w14:paraId="5C66328F">
      <w:pPr>
        <w:pStyle w:val="14"/>
        <w:numPr>
          <w:ilvl w:val="0"/>
          <w:numId w:val="4"/>
        </w:numPr>
        <w:spacing w:before="0" w:beforeLines="0" w:after="0" w:afterLines="0"/>
        <w:ind w:left="862" w:hanging="442"/>
        <w:rPr>
          <w:rFonts w:ascii="宋体" w:eastAsia="宋体" w:cs="宋体"/>
        </w:rPr>
      </w:pPr>
      <w:r>
        <w:rPr>
          <w:rFonts w:ascii="宋体" w:eastAsia="宋体" w:cs="宋体"/>
        </w:rPr>
        <w:t>移动跟踪范围：跟踪范围小于</w:t>
      </w:r>
      <w:r>
        <w:rPr>
          <w:rFonts w:hint="default" w:ascii="Times New Roman" w:hAnsi="Times New Roman" w:eastAsia="宋体"/>
        </w:rPr>
        <w:t>3mx3m</w:t>
      </w:r>
      <w:r>
        <w:rPr>
          <w:rFonts w:ascii="宋体" w:eastAsia="宋体" w:cs="宋体"/>
        </w:rPr>
        <w:t>为桌面尺度跟踪，跟踪范围不小于</w:t>
      </w:r>
      <w:r>
        <w:rPr>
          <w:rFonts w:hint="default" w:ascii="Times New Roman" w:hAnsi="Times New Roman" w:eastAsia="宋体"/>
        </w:rPr>
        <w:t>3mx3m</w:t>
      </w:r>
      <w:r>
        <w:rPr>
          <w:rFonts w:ascii="宋体" w:eastAsia="宋体" w:cs="宋体"/>
        </w:rPr>
        <w:t>为房间尺度跟踪(或称为大范围尺度跟踪)。</w:t>
      </w:r>
    </w:p>
    <w:p w14:paraId="57AE7F6D">
      <w:pPr>
        <w:pStyle w:val="14"/>
        <w:numPr>
          <w:ilvl w:val="0"/>
          <w:numId w:val="4"/>
        </w:numPr>
        <w:spacing w:before="0" w:beforeLines="0" w:after="0" w:afterLines="0"/>
        <w:ind w:left="862" w:hanging="442"/>
        <w:rPr>
          <w:rFonts w:ascii="宋体" w:eastAsia="宋体" w:cs="宋体"/>
        </w:rPr>
      </w:pPr>
      <w:r>
        <w:rPr>
          <w:rFonts w:ascii="宋体" w:eastAsia="宋体" w:cs="宋体"/>
        </w:rPr>
        <w:t>转动跟踪误差：虚拟现实头戴式显示设备角度跟踪误差应保证每转动</w:t>
      </w:r>
      <w:r>
        <w:rPr>
          <w:rFonts w:hint="default" w:ascii="Times New Roman" w:hAnsi="Times New Roman" w:eastAsia="宋体"/>
        </w:rPr>
        <w:t>10°</w:t>
      </w:r>
      <w:r>
        <w:rPr>
          <w:rFonts w:ascii="宋体" w:eastAsia="宋体" w:cs="宋体"/>
        </w:rPr>
        <w:t>，误差</w:t>
      </w:r>
      <w:r>
        <w:rPr>
          <w:rFonts w:hint="default" w:ascii="Times New Roman" w:hAnsi="Times New Roman" w:eastAsia="宋体"/>
        </w:rPr>
        <w:t>≤2°</w:t>
      </w:r>
      <w:r>
        <w:rPr>
          <w:rFonts w:ascii="宋体" w:eastAsia="宋体" w:cs="宋体"/>
        </w:rPr>
        <w:t>。</w:t>
      </w:r>
    </w:p>
    <w:p w14:paraId="5C5B4C84">
      <w:pPr>
        <w:pStyle w:val="14"/>
        <w:numPr>
          <w:ilvl w:val="0"/>
          <w:numId w:val="4"/>
        </w:numPr>
        <w:spacing w:before="0" w:beforeLines="0" w:after="0" w:afterLines="0"/>
        <w:ind w:left="862" w:hanging="442"/>
        <w:rPr>
          <w:rFonts w:ascii="宋体" w:eastAsia="宋体" w:cs="宋体"/>
        </w:rPr>
      </w:pPr>
      <w:r>
        <w:rPr>
          <w:rFonts w:ascii="宋体" w:eastAsia="宋体" w:cs="宋体"/>
        </w:rPr>
        <w:t>跟踪模式：对于支持跟踪的虚拟现实头戴式显示设备，至少支持</w:t>
      </w:r>
      <w:r>
        <w:rPr>
          <w:rFonts w:hint="default" w:ascii="Times New Roman" w:hAnsi="Times New Roman" w:eastAsia="宋体"/>
        </w:rPr>
        <w:t>3DOF</w:t>
      </w:r>
      <w:r>
        <w:rPr>
          <w:rFonts w:ascii="宋体" w:eastAsia="宋体" w:cs="宋体"/>
        </w:rPr>
        <w:t>，推荐支持</w:t>
      </w:r>
      <w:r>
        <w:rPr>
          <w:rFonts w:hint="default" w:ascii="Times New Roman" w:hAnsi="Times New Roman" w:eastAsia="宋体"/>
        </w:rPr>
        <w:t>6DOF</w:t>
      </w:r>
      <w:r>
        <w:rPr>
          <w:rFonts w:ascii="宋体" w:eastAsia="宋体" w:cs="宋体"/>
        </w:rPr>
        <w:t>应由产品说明书规定。</w:t>
      </w:r>
    </w:p>
    <w:p w14:paraId="35934E94">
      <w:pPr>
        <w:pStyle w:val="14"/>
        <w:numPr>
          <w:ilvl w:val="0"/>
          <w:numId w:val="4"/>
        </w:numPr>
        <w:spacing w:before="0" w:beforeLines="0" w:after="0" w:afterLines="0"/>
        <w:ind w:left="862" w:hanging="442"/>
        <w:rPr>
          <w:rFonts w:ascii="宋体" w:eastAsia="宋体" w:cs="宋体"/>
        </w:rPr>
      </w:pPr>
      <w:r>
        <w:rPr>
          <w:rFonts w:ascii="宋体" w:eastAsia="宋体" w:cs="宋体"/>
        </w:rPr>
        <w:t>灵敏度：移动灵敏度应</w:t>
      </w:r>
      <w:r>
        <w:rPr>
          <w:rFonts w:hint="default" w:ascii="Times New Roman" w:hAnsi="Times New Roman" w:eastAsia="宋体"/>
        </w:rPr>
        <w:t>≤10 mm</w:t>
      </w:r>
      <w:r>
        <w:rPr>
          <w:rFonts w:ascii="宋体" w:eastAsia="宋体" w:cs="宋体"/>
        </w:rPr>
        <w:t>；转动灵敏度：转动灵敏度应</w:t>
      </w:r>
      <w:r>
        <w:rPr>
          <w:rFonts w:hint="default" w:ascii="Times New Roman" w:hAnsi="Times New Roman" w:eastAsia="宋体"/>
        </w:rPr>
        <w:t>≤5°</w:t>
      </w:r>
      <w:r>
        <w:rPr>
          <w:rFonts w:ascii="宋体" w:eastAsia="宋体" w:cs="宋体"/>
        </w:rPr>
        <w:t>。</w:t>
      </w:r>
    </w:p>
    <w:p w14:paraId="6F3A4972">
      <w:pPr>
        <w:pStyle w:val="14"/>
        <w:numPr>
          <w:ilvl w:val="0"/>
          <w:numId w:val="4"/>
        </w:numPr>
        <w:spacing w:before="0" w:beforeLines="0" w:after="0" w:afterLines="0"/>
        <w:ind w:left="862" w:hanging="442"/>
        <w:rPr>
          <w:rFonts w:ascii="宋体" w:eastAsia="宋体" w:cs="宋体"/>
        </w:rPr>
      </w:pPr>
      <w:r>
        <w:rPr>
          <w:rFonts w:ascii="宋体" w:eastAsia="宋体" w:cs="宋体"/>
        </w:rPr>
        <w:t>畸变：在软件算法校正畸变之后，在</w:t>
      </w:r>
      <w:r>
        <w:rPr>
          <w:rFonts w:hint="default" w:ascii="Times New Roman" w:hAnsi="Times New Roman" w:eastAsia="宋体"/>
        </w:rPr>
        <w:t>0.3</w:t>
      </w:r>
      <w:r>
        <w:rPr>
          <w:rFonts w:ascii="宋体" w:eastAsia="宋体" w:cs="宋体"/>
        </w:rPr>
        <w:t>倍全视场角下，畸变应</w:t>
      </w:r>
      <w:r>
        <w:rPr>
          <w:rFonts w:hint="default" w:ascii="Times New Roman" w:hAnsi="Times New Roman" w:eastAsia="宋体"/>
        </w:rPr>
        <w:t>≤5%</w:t>
      </w:r>
      <w:r>
        <w:rPr>
          <w:rFonts w:ascii="宋体" w:eastAsia="宋体" w:cs="宋体"/>
        </w:rPr>
        <w:t>。其中百分比定义为：偏离的像素数除以同方向上的总像素数。</w:t>
      </w:r>
    </w:p>
    <w:p w14:paraId="2A2097C5">
      <w:pPr>
        <w:pStyle w:val="14"/>
        <w:numPr>
          <w:ilvl w:val="0"/>
          <w:numId w:val="4"/>
        </w:numPr>
        <w:spacing w:before="0" w:beforeLines="0" w:after="0" w:afterLines="0"/>
        <w:ind w:left="862" w:hanging="442"/>
        <w:rPr>
          <w:rFonts w:ascii="宋体" w:eastAsia="宋体" w:cs="宋体"/>
        </w:rPr>
      </w:pPr>
      <w:r>
        <w:rPr>
          <w:rFonts w:ascii="宋体" w:eastAsia="宋体" w:cs="宋体"/>
        </w:rPr>
        <w:t>色散：在</w:t>
      </w:r>
      <w:r>
        <w:rPr>
          <w:rFonts w:hint="default" w:ascii="Times New Roman" w:hAnsi="Times New Roman" w:eastAsia="宋体"/>
        </w:rPr>
        <w:t>0.3</w:t>
      </w:r>
      <w:r>
        <w:rPr>
          <w:rFonts w:ascii="宋体" w:eastAsia="宋体" w:cs="宋体"/>
        </w:rPr>
        <w:t>倍全视场角下，色散应</w:t>
      </w:r>
      <w:r>
        <w:rPr>
          <w:rFonts w:hint="default" w:ascii="Times New Roman" w:hAnsi="Times New Roman" w:eastAsia="宋体"/>
        </w:rPr>
        <w:t>≤3%</w:t>
      </w:r>
      <w:r>
        <w:rPr>
          <w:rFonts w:ascii="宋体" w:eastAsia="宋体" w:cs="宋体"/>
        </w:rPr>
        <w:t>。其中百分比定义为：偏离的像素数除以同方向上的总像素数。</w:t>
      </w:r>
    </w:p>
    <w:p w14:paraId="3F6B360F">
      <w:pPr>
        <w:pStyle w:val="14"/>
        <w:numPr>
          <w:ilvl w:val="0"/>
          <w:numId w:val="4"/>
        </w:numPr>
        <w:spacing w:before="0" w:beforeLines="0" w:after="0" w:afterLines="0"/>
        <w:ind w:left="862" w:hanging="442"/>
        <w:rPr>
          <w:rFonts w:ascii="宋体" w:eastAsia="宋体" w:cs="宋体"/>
        </w:rPr>
      </w:pPr>
      <w:r>
        <w:rPr>
          <w:rFonts w:ascii="宋体" w:eastAsia="宋体" w:cs="宋体"/>
        </w:rPr>
        <w:t>移动跟踪误差：虚拟现实头戴式显示设备移动跟踪误差每移动100mm误差应≤5mm，或由产品说明书规定。</w:t>
      </w:r>
    </w:p>
    <w:p w14:paraId="0F05C0F5">
      <w:pPr>
        <w:pStyle w:val="14"/>
        <w:numPr>
          <w:ilvl w:val="0"/>
          <w:numId w:val="4"/>
        </w:numPr>
        <w:spacing w:before="0" w:beforeLines="0" w:after="0" w:afterLines="0"/>
        <w:ind w:left="862" w:hanging="442"/>
        <w:rPr>
          <w:rFonts w:ascii="宋体" w:eastAsia="宋体" w:cs="宋体"/>
        </w:rPr>
      </w:pPr>
      <w:r>
        <w:rPr>
          <w:rFonts w:ascii="宋体" w:eastAsia="宋体" w:cs="宋体"/>
        </w:rPr>
        <w:t>视度调整方式和范围：调整方式为双目同时调节或双目分别调节，可调范围宜≥6D(视度)。</w:t>
      </w:r>
    </w:p>
    <w:p w14:paraId="6AC832DF">
      <w:pPr>
        <w:pStyle w:val="14"/>
        <w:numPr>
          <w:ilvl w:val="2"/>
          <w:numId w:val="1"/>
        </w:numPr>
        <w:spacing w:before="156" w:after="156"/>
        <w:ind w:left="0"/>
        <w:rPr>
          <w:rFonts w:cs="黑体"/>
        </w:rPr>
      </w:pPr>
      <w:r>
        <w:rPr>
          <w:rFonts w:cs="黑体"/>
        </w:rPr>
        <w:t>环境适应性</w:t>
      </w:r>
    </w:p>
    <w:p w14:paraId="1D5473E0">
      <w:pPr>
        <w:pStyle w:val="13"/>
        <w:rPr>
          <w:rFonts w:cs="宋体"/>
        </w:rPr>
      </w:pPr>
      <w:r>
        <w:rPr>
          <w:rFonts w:cs="宋体"/>
        </w:rPr>
        <w:t>设备应能在以下环境条件下正常工作：</w:t>
      </w:r>
    </w:p>
    <w:p w14:paraId="4BEE0A5A">
      <w:pPr>
        <w:pStyle w:val="13"/>
        <w:rPr>
          <w:rFonts w:cs="宋体"/>
        </w:rPr>
      </w:pPr>
      <w:r>
        <w:rPr>
          <w:rFonts w:cs="宋体"/>
        </w:rPr>
        <w:t>温度：-20℃～+40℃；湿度：5%～90%（非凝结）；海拔：≤3000m；使用15min后设备表面温度：设备表面温度应≤45℃。</w:t>
      </w:r>
    </w:p>
    <w:p w14:paraId="05CD82CE">
      <w:pPr>
        <w:pStyle w:val="14"/>
        <w:numPr>
          <w:ilvl w:val="2"/>
          <w:numId w:val="1"/>
        </w:numPr>
        <w:spacing w:before="156" w:after="156"/>
        <w:ind w:left="0"/>
        <w:rPr>
          <w:rFonts w:cs="黑体"/>
        </w:rPr>
      </w:pPr>
      <w:r>
        <w:rPr>
          <w:rFonts w:cs="黑体"/>
        </w:rPr>
        <w:t>安全性</w:t>
      </w:r>
    </w:p>
    <w:p w14:paraId="381FDE4C">
      <w:pPr>
        <w:pStyle w:val="13"/>
        <w:rPr>
          <w:rFonts w:cs="宋体"/>
        </w:rPr>
      </w:pPr>
      <w:r>
        <w:rPr>
          <w:rFonts w:cs="宋体"/>
        </w:rPr>
        <w:t>显示设备应满足GB 4943.1-2011的规定。</w:t>
      </w:r>
    </w:p>
    <w:p w14:paraId="399FCBB2">
      <w:pPr>
        <w:pStyle w:val="14"/>
        <w:numPr>
          <w:ilvl w:val="2"/>
          <w:numId w:val="1"/>
        </w:numPr>
        <w:spacing w:before="156" w:after="156"/>
        <w:ind w:left="0"/>
        <w:rPr>
          <w:rFonts w:cs="黑体"/>
        </w:rPr>
      </w:pPr>
      <w:r>
        <w:rPr>
          <w:rFonts w:cs="黑体"/>
        </w:rPr>
        <w:t>可靠性</w:t>
      </w:r>
    </w:p>
    <w:p w14:paraId="42564D72">
      <w:pPr>
        <w:pStyle w:val="13"/>
        <w:rPr>
          <w:rFonts w:cs="宋体"/>
        </w:rPr>
      </w:pPr>
      <w:r>
        <w:rPr>
          <w:rFonts w:cs="宋体"/>
        </w:rPr>
        <w:t>设备的平均无故障时间（MTBF）应不低于5000小时。</w:t>
      </w:r>
    </w:p>
    <w:p w14:paraId="03E5E9D5">
      <w:pPr>
        <w:pStyle w:val="12"/>
        <w:numPr>
          <w:ilvl w:val="1"/>
          <w:numId w:val="1"/>
        </w:numPr>
        <w:rPr>
          <w:rFonts w:cs="黑体"/>
        </w:rPr>
      </w:pPr>
      <w:bookmarkStart w:id="79" w:name="_Toc181776925"/>
      <w:r>
        <w:rPr>
          <w:rFonts w:cs="黑体"/>
        </w:rPr>
        <w:t>环幕投影显示设备性能要求</w:t>
      </w:r>
      <w:bookmarkEnd w:id="79"/>
    </w:p>
    <w:p w14:paraId="26483492">
      <w:pPr>
        <w:pStyle w:val="14"/>
        <w:numPr>
          <w:ilvl w:val="2"/>
          <w:numId w:val="1"/>
        </w:numPr>
        <w:spacing w:before="156" w:after="156"/>
        <w:ind w:left="0"/>
        <w:rPr>
          <w:rFonts w:hint="default" w:hAnsi="Times New Roman"/>
        </w:rPr>
      </w:pPr>
      <w:r>
        <w:rPr>
          <w:rFonts w:cs="黑体"/>
        </w:rPr>
        <w:t>基本性能</w:t>
      </w:r>
    </w:p>
    <w:p w14:paraId="3B15949D">
      <w:pPr>
        <w:pStyle w:val="13"/>
        <w:rPr>
          <w:rFonts w:cs="宋体"/>
        </w:rPr>
      </w:pPr>
      <w:r>
        <w:rPr>
          <w:rFonts w:cs="宋体"/>
        </w:rPr>
        <w:t>投影设备应满足以下基本性能：</w:t>
      </w:r>
    </w:p>
    <w:p w14:paraId="45F32121">
      <w:pPr>
        <w:pStyle w:val="14"/>
        <w:numPr>
          <w:ilvl w:val="0"/>
          <w:numId w:val="5"/>
        </w:numPr>
        <w:spacing w:before="0" w:beforeLines="0" w:after="0" w:afterLines="0"/>
        <w:ind w:left="862" w:hanging="442"/>
        <w:rPr>
          <w:rFonts w:ascii="宋体" w:eastAsia="宋体" w:cs="宋体"/>
        </w:rPr>
      </w:pPr>
      <w:r>
        <w:rPr>
          <w:rFonts w:ascii="宋体" w:eastAsia="宋体" w:cs="宋体"/>
        </w:rPr>
        <w:t>分辨率：不低于1920×1080；亮度：不低于4000流明；对比度：不低于3000:1；投影距离：根据实际需求确定；</w:t>
      </w:r>
    </w:p>
    <w:p w14:paraId="1B4ABD84">
      <w:pPr>
        <w:pStyle w:val="14"/>
        <w:numPr>
          <w:ilvl w:val="0"/>
          <w:numId w:val="5"/>
        </w:numPr>
        <w:spacing w:before="0" w:beforeLines="0" w:after="0" w:afterLines="0"/>
        <w:ind w:left="862" w:hanging="442"/>
        <w:rPr>
          <w:rFonts w:ascii="宋体" w:eastAsia="宋体" w:cs="宋体"/>
        </w:rPr>
      </w:pPr>
      <w:r>
        <w:rPr>
          <w:rFonts w:ascii="宋体" w:eastAsia="宋体" w:cs="宋体"/>
        </w:rPr>
        <w:t>屏幕基本性能：材质：采用高质量光学屏幕，具有较好的光学性能；曲率半径：根据实际需求确定；屏幕尺寸：根据实际需求确定；亮度均匀性：不低于85%；色彩一致性：色差ΔE≤3。</w:t>
      </w:r>
    </w:p>
    <w:p w14:paraId="1D553238">
      <w:pPr>
        <w:pStyle w:val="14"/>
        <w:numPr>
          <w:ilvl w:val="2"/>
          <w:numId w:val="1"/>
        </w:numPr>
        <w:spacing w:before="156" w:after="156"/>
        <w:ind w:left="0"/>
        <w:rPr>
          <w:rFonts w:cs="黑体"/>
        </w:rPr>
      </w:pPr>
      <w:r>
        <w:rPr>
          <w:rFonts w:cs="黑体"/>
        </w:rPr>
        <w:t>环境适应性</w:t>
      </w:r>
    </w:p>
    <w:p w14:paraId="687449D6">
      <w:pPr>
        <w:pStyle w:val="13"/>
        <w:rPr>
          <w:rFonts w:cs="宋体"/>
        </w:rPr>
      </w:pPr>
      <w:r>
        <w:rPr>
          <w:rFonts w:cs="宋体"/>
        </w:rPr>
        <w:t>环幕投影显示设备应能在以下环境条件下正常工作：温度：-20℃～+40℃； 湿度：5%～90%（非凝结）；海拔：≤3000m。</w:t>
      </w:r>
    </w:p>
    <w:p w14:paraId="2CDA1A66">
      <w:pPr>
        <w:pStyle w:val="14"/>
        <w:numPr>
          <w:ilvl w:val="2"/>
          <w:numId w:val="1"/>
        </w:numPr>
        <w:spacing w:before="156" w:after="156"/>
        <w:ind w:left="0"/>
        <w:rPr>
          <w:rFonts w:cs="黑体"/>
        </w:rPr>
      </w:pPr>
      <w:r>
        <w:rPr>
          <w:rFonts w:cs="黑体"/>
        </w:rPr>
        <w:t>安全性</w:t>
      </w:r>
    </w:p>
    <w:p w14:paraId="46338DB3">
      <w:pPr>
        <w:pStyle w:val="13"/>
        <w:rPr>
          <w:rFonts w:cs="宋体"/>
        </w:rPr>
      </w:pPr>
      <w:r>
        <w:rPr>
          <w:rFonts w:cs="宋体"/>
        </w:rPr>
        <w:t>环幕投影显示设备应满足GB 4943.1-2011的规定。</w:t>
      </w:r>
    </w:p>
    <w:p w14:paraId="42CFF347">
      <w:pPr>
        <w:pStyle w:val="14"/>
        <w:numPr>
          <w:ilvl w:val="2"/>
          <w:numId w:val="1"/>
        </w:numPr>
        <w:spacing w:before="156" w:after="156"/>
        <w:ind w:left="0"/>
        <w:rPr>
          <w:rFonts w:cs="黑体"/>
        </w:rPr>
      </w:pPr>
      <w:r>
        <w:rPr>
          <w:rFonts w:cs="黑体"/>
        </w:rPr>
        <w:t>可靠性</w:t>
      </w:r>
    </w:p>
    <w:p w14:paraId="3EB4D02C">
      <w:pPr>
        <w:pStyle w:val="13"/>
        <w:rPr>
          <w:rFonts w:cs="宋体"/>
        </w:rPr>
      </w:pPr>
      <w:r>
        <w:rPr>
          <w:rFonts w:cs="宋体"/>
        </w:rPr>
        <w:t>设备的平均无故障时间（MTBF）应不低于5000小时。</w:t>
      </w:r>
    </w:p>
    <w:p w14:paraId="39A2F89C">
      <w:pPr>
        <w:pStyle w:val="12"/>
        <w:numPr>
          <w:ilvl w:val="1"/>
          <w:numId w:val="1"/>
        </w:numPr>
        <w:rPr>
          <w:rFonts w:cs="黑体"/>
        </w:rPr>
      </w:pPr>
      <w:bookmarkStart w:id="80" w:name="_Toc181776926"/>
      <w:r>
        <w:rPr>
          <w:rFonts w:cs="黑体"/>
        </w:rPr>
        <w:t>全息成像显示设备性能要求</w:t>
      </w:r>
      <w:bookmarkEnd w:id="80"/>
    </w:p>
    <w:p w14:paraId="3C283D3B">
      <w:pPr>
        <w:pStyle w:val="14"/>
        <w:numPr>
          <w:ilvl w:val="2"/>
          <w:numId w:val="1"/>
        </w:numPr>
        <w:spacing w:before="156" w:after="156"/>
        <w:ind w:left="0"/>
        <w:rPr>
          <w:rFonts w:cs="黑体"/>
        </w:rPr>
      </w:pPr>
      <w:r>
        <w:rPr>
          <w:rFonts w:cs="黑体"/>
        </w:rPr>
        <w:t>基本性能</w:t>
      </w:r>
    </w:p>
    <w:p w14:paraId="6EC1E1FD">
      <w:pPr>
        <w:pStyle w:val="14"/>
        <w:numPr>
          <w:ilvl w:val="0"/>
          <w:numId w:val="6"/>
        </w:numPr>
        <w:spacing w:before="0" w:beforeLines="0" w:after="0" w:afterLines="0"/>
        <w:rPr>
          <w:rFonts w:ascii="宋体" w:eastAsia="宋体" w:cs="宋体"/>
        </w:rPr>
      </w:pPr>
      <w:r>
        <w:rPr>
          <w:rFonts w:ascii="宋体" w:eastAsia="宋体" w:cs="宋体"/>
        </w:rPr>
        <w:t>分辨率：设备的分辨率应不低于1920×1080像素。</w:t>
      </w:r>
    </w:p>
    <w:p w14:paraId="1F0793C9">
      <w:pPr>
        <w:pStyle w:val="14"/>
        <w:numPr>
          <w:ilvl w:val="0"/>
          <w:numId w:val="6"/>
        </w:numPr>
        <w:spacing w:before="0" w:beforeLines="0" w:after="0" w:afterLines="0"/>
        <w:ind w:left="862" w:hanging="442"/>
        <w:rPr>
          <w:rFonts w:ascii="宋体" w:eastAsia="宋体" w:cs="宋体"/>
        </w:rPr>
      </w:pPr>
      <w:r>
        <w:rPr>
          <w:rFonts w:ascii="宋体" w:eastAsia="宋体" w:cs="宋体"/>
        </w:rPr>
        <w:t>亮度：设备的亮度应不低于500cd/m²。</w:t>
      </w:r>
    </w:p>
    <w:p w14:paraId="00BD36A7">
      <w:pPr>
        <w:pStyle w:val="14"/>
        <w:numPr>
          <w:ilvl w:val="0"/>
          <w:numId w:val="6"/>
        </w:numPr>
        <w:spacing w:before="0" w:beforeLines="0" w:after="0" w:afterLines="0"/>
        <w:ind w:left="862" w:hanging="442"/>
        <w:rPr>
          <w:rFonts w:ascii="宋体" w:eastAsia="宋体" w:cs="宋体"/>
        </w:rPr>
      </w:pPr>
      <w:r>
        <w:rPr>
          <w:rFonts w:ascii="宋体" w:eastAsia="宋体" w:cs="宋体"/>
        </w:rPr>
        <w:t>对比度：设备的对比度应不低于1500:1。</w:t>
      </w:r>
    </w:p>
    <w:p w14:paraId="75E653B8">
      <w:pPr>
        <w:pStyle w:val="14"/>
        <w:numPr>
          <w:ilvl w:val="0"/>
          <w:numId w:val="6"/>
        </w:numPr>
        <w:spacing w:before="0" w:beforeLines="0" w:after="0" w:afterLines="0"/>
        <w:ind w:left="862" w:hanging="442"/>
        <w:rPr>
          <w:rFonts w:ascii="宋体" w:eastAsia="宋体" w:cs="宋体"/>
        </w:rPr>
      </w:pPr>
      <w:r>
        <w:rPr>
          <w:rFonts w:ascii="宋体" w:eastAsia="宋体" w:cs="宋体"/>
        </w:rPr>
        <w:t>视角：水平视角应不低于120°，垂直视角应不低于90°。</w:t>
      </w:r>
    </w:p>
    <w:p w14:paraId="2026BCBF">
      <w:pPr>
        <w:pStyle w:val="14"/>
        <w:numPr>
          <w:ilvl w:val="0"/>
          <w:numId w:val="6"/>
        </w:numPr>
        <w:spacing w:before="0" w:beforeLines="0" w:after="0" w:afterLines="0"/>
        <w:ind w:left="862" w:hanging="442"/>
        <w:rPr>
          <w:rFonts w:ascii="宋体" w:eastAsia="宋体" w:cs="宋体"/>
        </w:rPr>
      </w:pPr>
      <w:r>
        <w:rPr>
          <w:rFonts w:ascii="宋体" w:eastAsia="宋体" w:cs="宋体"/>
        </w:rPr>
        <w:t>显示尺寸：设备的显示尺寸应满足设计要求，且误差不超过±5%。</w:t>
      </w:r>
    </w:p>
    <w:p w14:paraId="0923B6FE">
      <w:pPr>
        <w:pStyle w:val="14"/>
        <w:numPr>
          <w:ilvl w:val="2"/>
          <w:numId w:val="1"/>
        </w:numPr>
        <w:spacing w:before="156" w:after="156"/>
        <w:ind w:left="0"/>
        <w:rPr>
          <w:rFonts w:cs="黑体"/>
        </w:rPr>
      </w:pPr>
      <w:r>
        <w:rPr>
          <w:rFonts w:cs="黑体"/>
        </w:rPr>
        <w:t>显示效果</w:t>
      </w:r>
    </w:p>
    <w:p w14:paraId="3A2FEC51">
      <w:pPr>
        <w:pStyle w:val="14"/>
        <w:numPr>
          <w:ilvl w:val="0"/>
          <w:numId w:val="7"/>
        </w:numPr>
        <w:spacing w:before="0" w:beforeLines="0" w:after="0" w:afterLines="0"/>
        <w:rPr>
          <w:rFonts w:ascii="宋体" w:eastAsia="宋体" w:cs="宋体"/>
        </w:rPr>
      </w:pPr>
      <w:r>
        <w:rPr>
          <w:rFonts w:ascii="宋体" w:eastAsia="宋体" w:cs="宋体"/>
        </w:rPr>
        <w:t>三维效果：设备应能清晰显示三维图像，图像应具有良好的立体感和深度感。</w:t>
      </w:r>
    </w:p>
    <w:p w14:paraId="5B89A22F">
      <w:pPr>
        <w:pStyle w:val="14"/>
        <w:numPr>
          <w:ilvl w:val="0"/>
          <w:numId w:val="7"/>
        </w:numPr>
        <w:spacing w:before="0" w:beforeLines="0" w:after="0" w:afterLines="0"/>
        <w:rPr>
          <w:rFonts w:ascii="宋体" w:eastAsia="宋体" w:cs="宋体"/>
        </w:rPr>
      </w:pPr>
      <w:r>
        <w:rPr>
          <w:rFonts w:ascii="宋体" w:eastAsia="宋体" w:cs="宋体"/>
        </w:rPr>
        <w:t>色彩还原：设备应能准确还原图像色彩，色差ΔE≤3。</w:t>
      </w:r>
    </w:p>
    <w:p w14:paraId="4A1FDF35">
      <w:pPr>
        <w:pStyle w:val="14"/>
        <w:numPr>
          <w:ilvl w:val="0"/>
          <w:numId w:val="7"/>
        </w:numPr>
        <w:spacing w:before="0" w:beforeLines="0" w:after="0" w:afterLines="0"/>
        <w:rPr>
          <w:rFonts w:ascii="宋体" w:eastAsia="宋体" w:cs="宋体"/>
        </w:rPr>
      </w:pPr>
      <w:r>
        <w:rPr>
          <w:rFonts w:ascii="宋体" w:eastAsia="宋体" w:cs="宋体"/>
        </w:rPr>
        <w:t>图像稳定性：设备显示的图像应稳定，无明显闪烁。</w:t>
      </w:r>
    </w:p>
    <w:p w14:paraId="43C2D0F1">
      <w:pPr>
        <w:pStyle w:val="14"/>
        <w:numPr>
          <w:ilvl w:val="2"/>
          <w:numId w:val="1"/>
        </w:numPr>
        <w:spacing w:before="156" w:after="156"/>
        <w:ind w:left="0"/>
        <w:rPr>
          <w:rFonts w:cs="黑体"/>
        </w:rPr>
      </w:pPr>
      <w:r>
        <w:rPr>
          <w:rFonts w:cs="黑体"/>
        </w:rPr>
        <w:t>环境适应性</w:t>
      </w:r>
    </w:p>
    <w:p w14:paraId="23D67B7A">
      <w:pPr>
        <w:pStyle w:val="13"/>
        <w:rPr>
          <w:rFonts w:cs="宋体"/>
        </w:rPr>
      </w:pPr>
      <w:r>
        <w:rPr>
          <w:rFonts w:cs="宋体"/>
        </w:rPr>
        <w:t>设备应能在以下环境条件下正常工作：温度：-20℃～+40℃；湿度：5%～90%（非凝结）；海拔：≤4000m。</w:t>
      </w:r>
    </w:p>
    <w:p w14:paraId="764BCD8F">
      <w:pPr>
        <w:pStyle w:val="14"/>
        <w:numPr>
          <w:ilvl w:val="2"/>
          <w:numId w:val="1"/>
        </w:numPr>
        <w:spacing w:before="156" w:after="156"/>
        <w:ind w:left="0"/>
        <w:rPr>
          <w:rFonts w:cs="黑体"/>
        </w:rPr>
      </w:pPr>
      <w:r>
        <w:rPr>
          <w:rFonts w:cs="黑体"/>
        </w:rPr>
        <w:t>安全性</w:t>
      </w:r>
    </w:p>
    <w:p w14:paraId="5519E9C6">
      <w:pPr>
        <w:pStyle w:val="13"/>
        <w:rPr>
          <w:rFonts w:cs="宋体"/>
        </w:rPr>
      </w:pPr>
      <w:r>
        <w:rPr>
          <w:rFonts w:cs="宋体"/>
        </w:rPr>
        <w:t>设备应符合GB 4943.1-2011的规定。</w:t>
      </w:r>
    </w:p>
    <w:p w14:paraId="6566023D">
      <w:pPr>
        <w:pStyle w:val="14"/>
        <w:numPr>
          <w:ilvl w:val="2"/>
          <w:numId w:val="1"/>
        </w:numPr>
        <w:spacing w:before="156" w:after="156"/>
        <w:ind w:left="0"/>
        <w:rPr>
          <w:rFonts w:cs="黑体"/>
        </w:rPr>
      </w:pPr>
      <w:r>
        <w:rPr>
          <w:rFonts w:cs="黑体"/>
        </w:rPr>
        <w:t>可靠性</w:t>
      </w:r>
    </w:p>
    <w:p w14:paraId="1570C8DC">
      <w:pPr>
        <w:pStyle w:val="13"/>
        <w:rPr>
          <w:rFonts w:cs="宋体"/>
        </w:rPr>
      </w:pPr>
      <w:r>
        <w:rPr>
          <w:rFonts w:cs="宋体"/>
        </w:rPr>
        <w:t>设备的平均无故障时间（MTBF）应不低于5000小时。</w:t>
      </w:r>
    </w:p>
    <w:p w14:paraId="22D66C93">
      <w:pPr>
        <w:pStyle w:val="17"/>
        <w:numPr>
          <w:ilvl w:val="0"/>
          <w:numId w:val="1"/>
        </w:numPr>
        <w:rPr>
          <w:rFonts w:cs="黑体"/>
        </w:rPr>
      </w:pPr>
      <w:bookmarkStart w:id="81" w:name="_Toc181776927"/>
      <w:r>
        <w:rPr>
          <w:rFonts w:cs="黑体"/>
        </w:rPr>
        <w:t>互动交互应用要求</w:t>
      </w:r>
      <w:bookmarkEnd w:id="81"/>
    </w:p>
    <w:p w14:paraId="17101647">
      <w:pPr>
        <w:pStyle w:val="12"/>
        <w:numPr>
          <w:ilvl w:val="1"/>
          <w:numId w:val="1"/>
        </w:numPr>
        <w:rPr>
          <w:rFonts w:cs="黑体"/>
        </w:rPr>
      </w:pPr>
      <w:bookmarkStart w:id="82" w:name="_Toc181776928"/>
      <w:r>
        <w:rPr>
          <w:rFonts w:cs="黑体"/>
        </w:rPr>
        <w:t>功能性</w:t>
      </w:r>
      <w:bookmarkEnd w:id="82"/>
    </w:p>
    <w:p w14:paraId="5F335139">
      <w:pPr>
        <w:pStyle w:val="14"/>
        <w:numPr>
          <w:ilvl w:val="2"/>
          <w:numId w:val="1"/>
        </w:numPr>
        <w:spacing w:before="156" w:after="156"/>
        <w:ind w:left="0"/>
        <w:rPr>
          <w:rFonts w:hint="default" w:hAnsi="Times New Roman"/>
        </w:rPr>
      </w:pPr>
      <w:r>
        <w:rPr>
          <w:rFonts w:cs="黑体"/>
        </w:rPr>
        <w:t>输入能力</w:t>
      </w:r>
    </w:p>
    <w:p w14:paraId="4EBFD0B9">
      <w:pPr>
        <w:pStyle w:val="13"/>
        <w:rPr>
          <w:rFonts w:cs="宋体"/>
        </w:rPr>
      </w:pPr>
      <w:r>
        <w:rPr>
          <w:rFonts w:cs="宋体"/>
        </w:rPr>
        <w:t>互动交互应用应具有说明书描述的通过诸如相机、键盘、鼠标、虚拟键盘、触摸屏、麦克风、手柄、数据手套之类信息的一种或几种输入设备向互动交互应用输入信息的能力。</w:t>
      </w:r>
    </w:p>
    <w:p w14:paraId="2FB71AF5">
      <w:pPr>
        <w:pStyle w:val="14"/>
        <w:numPr>
          <w:ilvl w:val="2"/>
          <w:numId w:val="1"/>
        </w:numPr>
        <w:spacing w:before="156" w:after="156"/>
        <w:ind w:left="0"/>
        <w:rPr>
          <w:rFonts w:hint="default" w:hAnsi="Times New Roman"/>
        </w:rPr>
      </w:pPr>
      <w:r>
        <w:rPr>
          <w:rFonts w:cs="黑体"/>
        </w:rPr>
        <w:t>输出能力</w:t>
      </w:r>
    </w:p>
    <w:p w14:paraId="1E91E300">
      <w:pPr>
        <w:pStyle w:val="13"/>
        <w:rPr>
          <w:rFonts w:cs="宋体"/>
        </w:rPr>
      </w:pPr>
      <w:r>
        <w:rPr>
          <w:rFonts w:cs="宋体"/>
        </w:rPr>
        <w:t>互动交互应用应具有说明书描述的向用户输出视觉、听觉、触觉、味觉以及嗅觉等一种或多种信息的能力。</w:t>
      </w:r>
    </w:p>
    <w:p w14:paraId="5DBE411A">
      <w:pPr>
        <w:pStyle w:val="14"/>
        <w:numPr>
          <w:ilvl w:val="2"/>
          <w:numId w:val="1"/>
        </w:numPr>
        <w:spacing w:before="156" w:after="156"/>
        <w:ind w:left="0"/>
        <w:rPr>
          <w:rFonts w:hint="default" w:hAnsi="Times New Roman"/>
        </w:rPr>
      </w:pPr>
      <w:r>
        <w:rPr>
          <w:rFonts w:cs="黑体"/>
        </w:rPr>
        <w:t>定位能力</w:t>
      </w:r>
    </w:p>
    <w:p w14:paraId="66D474EF">
      <w:pPr>
        <w:pStyle w:val="13"/>
        <w:rPr>
          <w:rFonts w:cs="宋体"/>
        </w:rPr>
      </w:pPr>
      <w:r>
        <w:rPr>
          <w:rFonts w:cs="宋体"/>
        </w:rPr>
        <w:t>互动交互应用应能够确定其承载设备的运动信息,并且能以三自由度或六自由度方式描述此类运动信息。</w:t>
      </w:r>
    </w:p>
    <w:p w14:paraId="7F96E3A4">
      <w:pPr>
        <w:pStyle w:val="12"/>
        <w:numPr>
          <w:ilvl w:val="1"/>
          <w:numId w:val="1"/>
        </w:numPr>
        <w:rPr>
          <w:rFonts w:cs="黑体"/>
        </w:rPr>
      </w:pPr>
      <w:bookmarkStart w:id="83" w:name="_Toc181776929"/>
      <w:r>
        <w:rPr>
          <w:rFonts w:cs="黑体"/>
        </w:rPr>
        <w:t>易用性</w:t>
      </w:r>
      <w:bookmarkEnd w:id="83"/>
    </w:p>
    <w:p w14:paraId="5AA7FD38">
      <w:pPr>
        <w:pStyle w:val="14"/>
        <w:numPr>
          <w:ilvl w:val="2"/>
          <w:numId w:val="1"/>
        </w:numPr>
        <w:spacing w:before="156" w:after="156"/>
        <w:ind w:left="0"/>
        <w:rPr>
          <w:rFonts w:hint="default" w:hAnsi="Times New Roman"/>
        </w:rPr>
      </w:pPr>
      <w:r>
        <w:rPr>
          <w:rFonts w:cs="黑体"/>
        </w:rPr>
        <w:t>界面架构清晰性</w:t>
      </w:r>
    </w:p>
    <w:p w14:paraId="79AA23E2">
      <w:pPr>
        <w:pStyle w:val="13"/>
        <w:rPr>
          <w:rFonts w:cs="宋体"/>
        </w:rPr>
      </w:pPr>
      <w:r>
        <w:rPr>
          <w:rFonts w:cs="宋体"/>
        </w:rPr>
        <w:t>互动交互应用界面架构应能够支持新用户在没有受到培训情况下按界面提示完成常规的交互操作，如软件打开、退出、选择等。</w:t>
      </w:r>
    </w:p>
    <w:p w14:paraId="0F2F8D71">
      <w:pPr>
        <w:pStyle w:val="14"/>
        <w:numPr>
          <w:ilvl w:val="2"/>
          <w:numId w:val="1"/>
        </w:numPr>
        <w:spacing w:before="156" w:after="156"/>
        <w:ind w:left="0"/>
        <w:rPr>
          <w:rFonts w:hint="default" w:hAnsi="Times New Roman"/>
        </w:rPr>
      </w:pPr>
      <w:r>
        <w:rPr>
          <w:rFonts w:cs="黑体"/>
        </w:rPr>
        <w:t>交互操作准确性</w:t>
      </w:r>
    </w:p>
    <w:p w14:paraId="2E51D0BD">
      <w:pPr>
        <w:pStyle w:val="13"/>
        <w:rPr>
          <w:rFonts w:cs="宋体"/>
        </w:rPr>
      </w:pPr>
      <w:r>
        <w:rPr>
          <w:rFonts w:cs="宋体"/>
        </w:rPr>
        <w:t>互动交互应用具有以下支持准确进行交互操作的能力：</w:t>
      </w:r>
    </w:p>
    <w:p w14:paraId="13C1AE57">
      <w:pPr>
        <w:pStyle w:val="14"/>
        <w:numPr>
          <w:ilvl w:val="0"/>
          <w:numId w:val="8"/>
        </w:numPr>
        <w:spacing w:before="0" w:beforeLines="0" w:after="0" w:afterLines="0"/>
        <w:rPr>
          <w:rFonts w:ascii="宋体" w:eastAsia="宋体" w:cs="宋体"/>
        </w:rPr>
      </w:pPr>
      <w:r>
        <w:rPr>
          <w:rFonts w:ascii="宋体" w:eastAsia="宋体" w:cs="宋体"/>
        </w:rPr>
        <w:t>软件应提供清晰的、容易分辨和选择的界面元素；</w:t>
      </w:r>
    </w:p>
    <w:p w14:paraId="084A049E">
      <w:pPr>
        <w:pStyle w:val="14"/>
        <w:numPr>
          <w:ilvl w:val="0"/>
          <w:numId w:val="8"/>
        </w:numPr>
        <w:spacing w:before="0" w:beforeLines="0" w:after="0" w:afterLines="0"/>
        <w:rPr>
          <w:rFonts w:ascii="宋体" w:eastAsia="宋体" w:cs="宋体"/>
        </w:rPr>
      </w:pPr>
      <w:r>
        <w:rPr>
          <w:rFonts w:ascii="宋体" w:eastAsia="宋体" w:cs="宋体"/>
        </w:rPr>
        <w:t>软件应确保同一用户完成同一操作的准确性达到90%以上。</w:t>
      </w:r>
    </w:p>
    <w:p w14:paraId="1A9FE00B">
      <w:pPr>
        <w:pStyle w:val="14"/>
        <w:numPr>
          <w:ilvl w:val="2"/>
          <w:numId w:val="1"/>
        </w:numPr>
        <w:spacing w:before="156" w:after="156"/>
        <w:ind w:left="0"/>
        <w:rPr>
          <w:rFonts w:hint="default" w:hAnsi="Times New Roman"/>
        </w:rPr>
      </w:pPr>
      <w:r>
        <w:rPr>
          <w:rFonts w:cs="黑体"/>
        </w:rPr>
        <w:t>操作引导有效性</w:t>
      </w:r>
    </w:p>
    <w:p w14:paraId="0262B3C8">
      <w:pPr>
        <w:pStyle w:val="13"/>
        <w:rPr>
          <w:rFonts w:cs="宋体"/>
        </w:rPr>
      </w:pPr>
      <w:r>
        <w:rPr>
          <w:rFonts w:cs="宋体"/>
        </w:rPr>
        <w:t>互动交互应用具有以下支持有效引导的能力：</w:t>
      </w:r>
    </w:p>
    <w:p w14:paraId="1F97B276">
      <w:pPr>
        <w:pStyle w:val="14"/>
        <w:numPr>
          <w:ilvl w:val="0"/>
          <w:numId w:val="9"/>
        </w:numPr>
        <w:spacing w:before="0" w:beforeLines="0" w:after="0" w:afterLines="0"/>
        <w:rPr>
          <w:rFonts w:ascii="宋体" w:eastAsia="宋体" w:cs="宋体"/>
        </w:rPr>
      </w:pPr>
      <w:r>
        <w:rPr>
          <w:rFonts w:ascii="宋体" w:eastAsia="宋体" w:cs="宋体"/>
        </w:rPr>
        <w:t>软件界面中应包含用户操作方式引导；</w:t>
      </w:r>
    </w:p>
    <w:p w14:paraId="19A61231">
      <w:pPr>
        <w:pStyle w:val="14"/>
        <w:numPr>
          <w:ilvl w:val="0"/>
          <w:numId w:val="9"/>
        </w:numPr>
        <w:spacing w:before="0" w:beforeLines="0" w:after="0" w:afterLines="0"/>
        <w:rPr>
          <w:rFonts w:ascii="宋体" w:eastAsia="宋体" w:cs="宋体"/>
        </w:rPr>
      </w:pPr>
      <w:r>
        <w:rPr>
          <w:rFonts w:ascii="宋体" w:eastAsia="宋体" w:cs="宋体"/>
        </w:rPr>
        <w:t>软件应保证用户可以通过操作方式引导完成相应的操作；</w:t>
      </w:r>
    </w:p>
    <w:p w14:paraId="1314AA8F">
      <w:pPr>
        <w:pStyle w:val="14"/>
        <w:numPr>
          <w:ilvl w:val="0"/>
          <w:numId w:val="9"/>
        </w:numPr>
        <w:spacing w:before="0" w:beforeLines="0" w:after="0" w:afterLines="0"/>
        <w:rPr>
          <w:rFonts w:ascii="宋体" w:eastAsia="宋体" w:cs="宋体"/>
        </w:rPr>
      </w:pPr>
      <w:r>
        <w:rPr>
          <w:rFonts w:ascii="宋体" w:eastAsia="宋体" w:cs="宋体"/>
        </w:rPr>
        <w:t>用户完成相应操作后,软件应给予用户引导或提示。</w:t>
      </w:r>
    </w:p>
    <w:p w14:paraId="1ADFF1BD">
      <w:pPr>
        <w:pStyle w:val="14"/>
        <w:numPr>
          <w:ilvl w:val="2"/>
          <w:numId w:val="1"/>
        </w:numPr>
        <w:spacing w:before="156" w:after="156"/>
        <w:ind w:left="0"/>
        <w:rPr>
          <w:rFonts w:hint="default" w:hAnsi="Times New Roman"/>
        </w:rPr>
      </w:pPr>
      <w:r>
        <w:rPr>
          <w:rFonts w:cs="黑体"/>
        </w:rPr>
        <w:t>交互操作舒适性</w:t>
      </w:r>
    </w:p>
    <w:p w14:paraId="1C49A592">
      <w:pPr>
        <w:pStyle w:val="13"/>
        <w:rPr>
          <w:rFonts w:cs="宋体"/>
        </w:rPr>
      </w:pPr>
      <w:r>
        <w:rPr>
          <w:rFonts w:cs="宋体"/>
        </w:rPr>
        <w:t>互动交互应用的交互操作应确保用户在其适宜的使用时间内使用时不易产生疲劳、眩晕等。</w:t>
      </w:r>
    </w:p>
    <w:p w14:paraId="50619792">
      <w:pPr>
        <w:pStyle w:val="12"/>
        <w:numPr>
          <w:ilvl w:val="1"/>
          <w:numId w:val="1"/>
        </w:numPr>
        <w:rPr>
          <w:rFonts w:cs="黑体"/>
        </w:rPr>
      </w:pPr>
      <w:bookmarkStart w:id="84" w:name="_Toc181776930"/>
      <w:r>
        <w:rPr>
          <w:rFonts w:cs="黑体"/>
        </w:rPr>
        <w:t>可靠性</w:t>
      </w:r>
      <w:bookmarkEnd w:id="84"/>
    </w:p>
    <w:p w14:paraId="4B00AB75">
      <w:pPr>
        <w:pStyle w:val="14"/>
        <w:numPr>
          <w:ilvl w:val="2"/>
          <w:numId w:val="1"/>
        </w:numPr>
        <w:spacing w:before="156" w:after="156"/>
        <w:ind w:left="0"/>
        <w:rPr>
          <w:rFonts w:hint="default" w:hAnsi="Times New Roman"/>
        </w:rPr>
      </w:pPr>
      <w:r>
        <w:rPr>
          <w:rFonts w:cs="黑体"/>
        </w:rPr>
        <w:t>容错性</w:t>
      </w:r>
    </w:p>
    <w:p w14:paraId="73BE8529">
      <w:pPr>
        <w:pStyle w:val="13"/>
        <w:rPr>
          <w:rFonts w:cs="宋体"/>
        </w:rPr>
      </w:pPr>
      <w:r>
        <w:rPr>
          <w:rFonts w:cs="宋体"/>
        </w:rPr>
        <w:t>互动交互应用容错要求如下：</w:t>
      </w:r>
    </w:p>
    <w:p w14:paraId="6F07780B">
      <w:pPr>
        <w:pStyle w:val="14"/>
        <w:numPr>
          <w:ilvl w:val="0"/>
          <w:numId w:val="10"/>
        </w:numPr>
        <w:spacing w:before="0" w:beforeLines="0" w:after="0" w:afterLines="0"/>
        <w:rPr>
          <w:rFonts w:ascii="宋体" w:eastAsia="宋体" w:cs="宋体"/>
        </w:rPr>
      </w:pPr>
      <w:r>
        <w:rPr>
          <w:rFonts w:ascii="宋体" w:eastAsia="宋体" w:cs="宋体"/>
        </w:rPr>
        <w:t>输入操作错误时，软件应能呈现相应的出错提示信息；</w:t>
      </w:r>
    </w:p>
    <w:p w14:paraId="0C952B78">
      <w:pPr>
        <w:pStyle w:val="14"/>
        <w:numPr>
          <w:ilvl w:val="0"/>
          <w:numId w:val="10"/>
        </w:numPr>
        <w:spacing w:before="0" w:beforeLines="0" w:after="0" w:afterLines="0"/>
        <w:rPr>
          <w:rFonts w:ascii="宋体" w:eastAsia="宋体" w:cs="宋体"/>
        </w:rPr>
      </w:pPr>
      <w:r>
        <w:rPr>
          <w:rFonts w:ascii="宋体" w:eastAsia="宋体" w:cs="宋体"/>
        </w:rPr>
        <w:t>输人操作错误时，软件不应出现非正常退出或崩溃；</w:t>
      </w:r>
    </w:p>
    <w:p w14:paraId="51B15C9B">
      <w:pPr>
        <w:pStyle w:val="14"/>
        <w:numPr>
          <w:ilvl w:val="0"/>
          <w:numId w:val="10"/>
        </w:numPr>
        <w:spacing w:before="0" w:beforeLines="0" w:after="0" w:afterLines="0"/>
        <w:rPr>
          <w:rFonts w:ascii="宋体" w:eastAsia="宋体" w:cs="宋体"/>
        </w:rPr>
      </w:pPr>
      <w:r>
        <w:rPr>
          <w:rFonts w:ascii="宋体" w:eastAsia="宋体" w:cs="宋体"/>
        </w:rPr>
        <w:t>输入操作错误时，不应导致软件其他功能失效。</w:t>
      </w:r>
    </w:p>
    <w:p w14:paraId="1C3A8120">
      <w:pPr>
        <w:pStyle w:val="14"/>
        <w:numPr>
          <w:ilvl w:val="2"/>
          <w:numId w:val="1"/>
        </w:numPr>
        <w:spacing w:before="156" w:after="156"/>
        <w:ind w:left="0"/>
        <w:rPr>
          <w:rFonts w:hint="default" w:hAnsi="Times New Roman"/>
        </w:rPr>
      </w:pPr>
      <w:r>
        <w:rPr>
          <w:rFonts w:cs="黑体"/>
        </w:rPr>
        <w:t>易恢复性</w:t>
      </w:r>
    </w:p>
    <w:p w14:paraId="0B7861CC">
      <w:pPr>
        <w:pStyle w:val="13"/>
        <w:rPr>
          <w:rFonts w:cs="宋体"/>
        </w:rPr>
      </w:pPr>
      <w:r>
        <w:rPr>
          <w:rFonts w:cs="宋体"/>
        </w:rPr>
        <w:t>互动交互应用具有以下能力：</w:t>
      </w:r>
    </w:p>
    <w:p w14:paraId="244C994A">
      <w:pPr>
        <w:pStyle w:val="14"/>
        <w:numPr>
          <w:ilvl w:val="0"/>
          <w:numId w:val="11"/>
        </w:numPr>
        <w:spacing w:before="0" w:beforeLines="0" w:after="0" w:afterLines="0"/>
        <w:rPr>
          <w:rFonts w:ascii="宋体" w:eastAsia="宋体" w:cs="宋体"/>
        </w:rPr>
      </w:pPr>
      <w:r>
        <w:rPr>
          <w:rFonts w:ascii="宋体" w:eastAsia="宋体" w:cs="宋体"/>
        </w:rPr>
        <w:t>系统对应用软件系统的数据应进行可靠备份；</w:t>
      </w:r>
    </w:p>
    <w:p w14:paraId="29A17EFB">
      <w:pPr>
        <w:pStyle w:val="14"/>
        <w:numPr>
          <w:ilvl w:val="0"/>
          <w:numId w:val="11"/>
        </w:numPr>
        <w:spacing w:before="0" w:beforeLines="0" w:after="0" w:afterLines="0"/>
        <w:rPr>
          <w:rFonts w:ascii="宋体" w:eastAsia="宋体" w:cs="宋体"/>
        </w:rPr>
      </w:pPr>
      <w:r>
        <w:rPr>
          <w:rFonts w:ascii="宋体" w:eastAsia="宋体" w:cs="宋体"/>
        </w:rPr>
        <w:t>应用软件系统的重启应能完成软件系统重组和降级使用；</w:t>
      </w:r>
    </w:p>
    <w:p w14:paraId="33912785">
      <w:pPr>
        <w:pStyle w:val="14"/>
        <w:numPr>
          <w:ilvl w:val="0"/>
          <w:numId w:val="11"/>
        </w:numPr>
        <w:spacing w:before="0" w:beforeLines="0" w:after="0" w:afterLines="0"/>
        <w:rPr>
          <w:rFonts w:ascii="宋体" w:eastAsia="宋体" w:cs="宋体"/>
        </w:rPr>
      </w:pPr>
      <w:r>
        <w:rPr>
          <w:rFonts w:ascii="宋体" w:eastAsia="宋体" w:cs="宋体"/>
        </w:rPr>
        <w:t>应用软件应记录故障前后的状态，搜集有用信息。</w:t>
      </w:r>
    </w:p>
    <w:p w14:paraId="62A5E5F7">
      <w:pPr>
        <w:pStyle w:val="14"/>
        <w:numPr>
          <w:ilvl w:val="2"/>
          <w:numId w:val="1"/>
        </w:numPr>
        <w:spacing w:before="156" w:after="156"/>
        <w:ind w:left="0"/>
        <w:rPr>
          <w:rFonts w:hint="default" w:hAnsi="Times New Roman"/>
        </w:rPr>
      </w:pPr>
      <w:r>
        <w:rPr>
          <w:rFonts w:cs="黑体"/>
        </w:rPr>
        <w:t>成熟性</w:t>
      </w:r>
    </w:p>
    <w:p w14:paraId="11742DF8">
      <w:pPr>
        <w:pStyle w:val="13"/>
        <w:rPr>
          <w:rFonts w:cs="宋体"/>
        </w:rPr>
      </w:pPr>
      <w:r>
        <w:rPr>
          <w:rFonts w:cs="宋体"/>
        </w:rPr>
        <w:t>互动交互应用具有以下防止错误后果蔓延的能力：</w:t>
      </w:r>
    </w:p>
    <w:p w14:paraId="31143286">
      <w:pPr>
        <w:pStyle w:val="18"/>
        <w:numPr>
          <w:ilvl w:val="0"/>
          <w:numId w:val="12"/>
        </w:numPr>
        <w:rPr>
          <w:rFonts w:cs="宋体"/>
        </w:rPr>
      </w:pPr>
      <w:r>
        <w:rPr>
          <w:rFonts w:cs="宋体"/>
        </w:rPr>
        <w:t>软件运行期间出现错误后，软件应给出针对该错误的反馈信息；</w:t>
      </w:r>
    </w:p>
    <w:p w14:paraId="6EE317B1">
      <w:pPr>
        <w:pStyle w:val="18"/>
        <w:numPr>
          <w:ilvl w:val="0"/>
          <w:numId w:val="12"/>
        </w:numPr>
        <w:rPr>
          <w:rFonts w:cs="宋体"/>
        </w:rPr>
      </w:pPr>
      <w:r>
        <w:rPr>
          <w:rFonts w:cs="宋体"/>
        </w:rPr>
        <w:t>软件运行期间出现错误后，软件不应出现非正常退出或导致操作系统或其他软件的崩溃；</w:t>
      </w:r>
    </w:p>
    <w:p w14:paraId="1910D96A">
      <w:pPr>
        <w:pStyle w:val="18"/>
        <w:numPr>
          <w:ilvl w:val="0"/>
          <w:numId w:val="12"/>
        </w:numPr>
        <w:rPr>
          <w:rFonts w:cs="宋体"/>
        </w:rPr>
      </w:pPr>
      <w:r>
        <w:rPr>
          <w:rFonts w:cs="宋体"/>
        </w:rPr>
        <w:t>软件运行期间出现错误后,软件其他功能不应出现失效。</w:t>
      </w:r>
    </w:p>
    <w:p w14:paraId="36717194">
      <w:pPr>
        <w:pStyle w:val="19"/>
        <w:widowControl/>
        <w:numPr>
          <w:ilvl w:val="0"/>
          <w:numId w:val="13"/>
        </w:numPr>
        <w:rPr>
          <w:rFonts w:cs="宋体"/>
        </w:rPr>
      </w:pPr>
      <w:r>
        <w:rPr>
          <w:rFonts w:cs="宋体"/>
        </w:rPr>
        <w:t>“错误”"指的是，在软件运行中，按照软件说明进行操作时，软件没有出现说明中指示出现的结果。</w:t>
      </w:r>
    </w:p>
    <w:p w14:paraId="391F0BD7">
      <w:pPr>
        <w:pStyle w:val="12"/>
        <w:numPr>
          <w:ilvl w:val="1"/>
          <w:numId w:val="1"/>
        </w:numPr>
        <w:rPr>
          <w:rFonts w:hint="default" w:hAnsi="Times New Roman"/>
        </w:rPr>
      </w:pPr>
      <w:bookmarkStart w:id="85" w:name="_Toc181776931"/>
      <w:r>
        <w:rPr>
          <w:rFonts w:cs="黑体"/>
        </w:rPr>
        <w:t>运行效率</w:t>
      </w:r>
      <w:bookmarkEnd w:id="85"/>
    </w:p>
    <w:p w14:paraId="7715FF1C">
      <w:pPr>
        <w:pStyle w:val="14"/>
        <w:numPr>
          <w:ilvl w:val="2"/>
          <w:numId w:val="1"/>
        </w:numPr>
        <w:spacing w:before="156" w:after="156"/>
        <w:ind w:left="0"/>
        <w:rPr>
          <w:rFonts w:hint="default" w:hAnsi="Times New Roman"/>
        </w:rPr>
      </w:pPr>
      <w:r>
        <w:rPr>
          <w:rFonts w:cs="黑体"/>
        </w:rPr>
        <w:t>交互响应</w:t>
      </w:r>
    </w:p>
    <w:p w14:paraId="21E8C45E">
      <w:pPr>
        <w:pStyle w:val="20"/>
        <w:spacing w:before="156" w:after="156"/>
        <w:rPr>
          <w:rFonts w:cs="黑体"/>
        </w:rPr>
      </w:pPr>
      <w:r>
        <w:rPr>
          <w:rFonts w:cs="黑体"/>
        </w:rPr>
        <w:t>7.4.1.1 平均响应时间</w:t>
      </w:r>
    </w:p>
    <w:p w14:paraId="79C212E7">
      <w:pPr>
        <w:pStyle w:val="13"/>
        <w:rPr>
          <w:rFonts w:hint="default" w:hAnsi="Times New Roman"/>
        </w:rPr>
      </w:pPr>
      <w:r>
        <w:rPr>
          <w:rFonts w:cs="宋体"/>
        </w:rPr>
        <w:t>在软件说明书适应的设备和平台上，按照软件说明书进行测试，测试互动交互应用界面跳转加载缓冲，平均响应时间不应超过3s。</w:t>
      </w:r>
    </w:p>
    <w:p w14:paraId="255C1012">
      <w:pPr>
        <w:pStyle w:val="20"/>
        <w:spacing w:before="156" w:after="156"/>
        <w:rPr>
          <w:rFonts w:cs="黑体"/>
        </w:rPr>
      </w:pPr>
      <w:r>
        <w:rPr>
          <w:rFonts w:cs="黑体"/>
        </w:rPr>
        <w:t>7.4.1.2 最大响应时间</w:t>
      </w:r>
    </w:p>
    <w:p w14:paraId="57E14899">
      <w:pPr>
        <w:pStyle w:val="13"/>
        <w:rPr>
          <w:rFonts w:cs="宋体"/>
        </w:rPr>
      </w:pPr>
      <w:r>
        <w:rPr>
          <w:rFonts w:cs="宋体"/>
        </w:rPr>
        <w:t>在软件说明书适应的设备和平台上，按照软件说明书进行测试,测试互动交互应用界面跳转加载缓冲，最大响应时间不应超过8s。</w:t>
      </w:r>
    </w:p>
    <w:p w14:paraId="78AAE90D">
      <w:pPr>
        <w:pStyle w:val="20"/>
        <w:spacing w:before="156" w:after="156"/>
        <w:rPr>
          <w:rFonts w:cs="黑体"/>
        </w:rPr>
      </w:pPr>
      <w:r>
        <w:rPr>
          <w:rFonts w:cs="黑体"/>
        </w:rPr>
        <w:t>7.4.1.3 渲染帧率</w:t>
      </w:r>
    </w:p>
    <w:p w14:paraId="4FBB7EE6">
      <w:pPr>
        <w:pStyle w:val="13"/>
        <w:rPr>
          <w:rFonts w:cs="宋体"/>
        </w:rPr>
      </w:pPr>
      <w:r>
        <w:rPr>
          <w:rFonts w:cs="宋体"/>
        </w:rPr>
        <w:t>选择合适的镜头移动速率，在最准确的时刻渲染出准确的一帧，渲染帧率不应低于显示设备的刷新率。</w:t>
      </w:r>
    </w:p>
    <w:p w14:paraId="67001C0A">
      <w:pPr>
        <w:pStyle w:val="14"/>
        <w:numPr>
          <w:ilvl w:val="2"/>
          <w:numId w:val="1"/>
        </w:numPr>
        <w:spacing w:before="156" w:after="156"/>
        <w:ind w:left="0"/>
        <w:rPr>
          <w:rFonts w:hint="default" w:hAnsi="Times New Roman"/>
        </w:rPr>
      </w:pPr>
      <w:r>
        <w:rPr>
          <w:rFonts w:cs="黑体"/>
        </w:rPr>
        <w:t>交互操作反馈</w:t>
      </w:r>
    </w:p>
    <w:p w14:paraId="0A408759">
      <w:pPr>
        <w:pStyle w:val="13"/>
        <w:rPr>
          <w:rFonts w:cs="宋体"/>
        </w:rPr>
      </w:pPr>
      <w:r>
        <w:rPr>
          <w:rFonts w:cs="宋体"/>
        </w:rPr>
        <w:t>互动交互应用具有以下交互操作反馈能力：</w:t>
      </w:r>
    </w:p>
    <w:p w14:paraId="68952165">
      <w:pPr>
        <w:pStyle w:val="18"/>
        <w:numPr>
          <w:ilvl w:val="0"/>
          <w:numId w:val="14"/>
        </w:numPr>
        <w:rPr>
          <w:rFonts w:cs="宋体"/>
        </w:rPr>
      </w:pPr>
      <w:r>
        <w:rPr>
          <w:rFonts w:cs="宋体"/>
        </w:rPr>
        <w:t>用户完成交互操作后,软件应在界面上呈现操作结果，如界面跳转、色彩变化、界面元素变化、动作特效、声音或其他类型的反馈；</w:t>
      </w:r>
    </w:p>
    <w:p w14:paraId="3C2F0525">
      <w:pPr>
        <w:pStyle w:val="18"/>
        <w:numPr>
          <w:ilvl w:val="0"/>
          <w:numId w:val="14"/>
        </w:numPr>
        <w:rPr>
          <w:rFonts w:cs="宋体"/>
        </w:rPr>
      </w:pPr>
      <w:r>
        <w:rPr>
          <w:rFonts w:cs="宋体"/>
        </w:rPr>
        <w:t>从交互操作完成到呈现出操作结果，其间延迟不宜超过5s。</w:t>
      </w:r>
    </w:p>
    <w:p w14:paraId="72E53408">
      <w:pPr>
        <w:pStyle w:val="14"/>
        <w:numPr>
          <w:ilvl w:val="2"/>
          <w:numId w:val="1"/>
        </w:numPr>
        <w:spacing w:before="156" w:after="156"/>
        <w:ind w:left="0"/>
        <w:rPr>
          <w:rFonts w:hint="default" w:hAnsi="Times New Roman"/>
        </w:rPr>
      </w:pPr>
      <w:r>
        <w:rPr>
          <w:rFonts w:cs="黑体"/>
        </w:rPr>
        <w:t>资源利用</w:t>
      </w:r>
    </w:p>
    <w:p w14:paraId="5E09FDB5">
      <w:pPr>
        <w:pStyle w:val="13"/>
        <w:rPr>
          <w:rFonts w:cs="宋体"/>
        </w:rPr>
      </w:pPr>
      <w:r>
        <w:rPr>
          <w:rFonts w:cs="宋体"/>
        </w:rPr>
        <w:t>互动交互应用运行状态资源利用要求：</w:t>
      </w:r>
    </w:p>
    <w:p w14:paraId="4056EAAF">
      <w:pPr>
        <w:pStyle w:val="18"/>
        <w:numPr>
          <w:ilvl w:val="0"/>
          <w:numId w:val="15"/>
        </w:numPr>
        <w:rPr>
          <w:rFonts w:cs="宋体"/>
        </w:rPr>
      </w:pPr>
      <w:r>
        <w:rPr>
          <w:rFonts w:cs="宋体"/>
        </w:rPr>
        <w:t>CPU占用率不应高于85%；</w:t>
      </w:r>
    </w:p>
    <w:p w14:paraId="617624EC">
      <w:pPr>
        <w:pStyle w:val="18"/>
        <w:numPr>
          <w:ilvl w:val="0"/>
          <w:numId w:val="15"/>
        </w:numPr>
        <w:rPr>
          <w:rFonts w:cs="宋体"/>
        </w:rPr>
      </w:pPr>
      <w:r>
        <w:rPr>
          <w:rFonts w:cs="宋体"/>
        </w:rPr>
        <w:t>内存占用率不应高于90%；</w:t>
      </w:r>
    </w:p>
    <w:p w14:paraId="0C735A6A">
      <w:pPr>
        <w:pStyle w:val="18"/>
        <w:numPr>
          <w:ilvl w:val="0"/>
          <w:numId w:val="15"/>
        </w:numPr>
        <w:rPr>
          <w:rFonts w:cs="宋体"/>
        </w:rPr>
      </w:pPr>
      <w:r>
        <w:rPr>
          <w:rFonts w:cs="宋体"/>
        </w:rPr>
        <w:t>硬盘读写时间占比不应高于90%；</w:t>
      </w:r>
    </w:p>
    <w:p w14:paraId="40603E78">
      <w:pPr>
        <w:pStyle w:val="18"/>
        <w:numPr>
          <w:ilvl w:val="0"/>
          <w:numId w:val="15"/>
        </w:numPr>
        <w:rPr>
          <w:rFonts w:cs="宋体"/>
        </w:rPr>
      </w:pPr>
      <w:r>
        <w:rPr>
          <w:rFonts w:cs="宋体"/>
        </w:rPr>
        <w:t>资源冗余数量比不应高于50%；</w:t>
      </w:r>
    </w:p>
    <w:p w14:paraId="474950A5">
      <w:pPr>
        <w:pStyle w:val="18"/>
        <w:numPr>
          <w:ilvl w:val="0"/>
          <w:numId w:val="15"/>
        </w:numPr>
        <w:rPr>
          <w:rFonts w:cs="宋体"/>
        </w:rPr>
      </w:pPr>
      <w:r>
        <w:rPr>
          <w:rFonts w:cs="宋体"/>
        </w:rPr>
        <w:t>资源冗余空间比不应高于50%。</w:t>
      </w:r>
    </w:p>
    <w:p w14:paraId="62A7959E">
      <w:pPr>
        <w:pStyle w:val="17"/>
        <w:numPr>
          <w:ilvl w:val="0"/>
          <w:numId w:val="1"/>
        </w:numPr>
        <w:rPr>
          <w:rFonts w:cs="黑体"/>
        </w:rPr>
      </w:pPr>
      <w:bookmarkStart w:id="86" w:name="_Toc181776932"/>
      <w:r>
        <w:rPr>
          <w:rFonts w:cs="黑体"/>
        </w:rPr>
        <w:t>消防与安全要求</w:t>
      </w:r>
      <w:bookmarkEnd w:id="86"/>
    </w:p>
    <w:p w14:paraId="5223B9C5">
      <w:pPr>
        <w:pStyle w:val="12"/>
        <w:numPr>
          <w:ilvl w:val="1"/>
          <w:numId w:val="1"/>
        </w:numPr>
        <w:rPr>
          <w:rFonts w:cs="黑体"/>
        </w:rPr>
      </w:pPr>
      <w:bookmarkStart w:id="87" w:name="_Toc181776933"/>
      <w:r>
        <w:rPr>
          <w:rFonts w:cs="黑体"/>
        </w:rPr>
        <w:t>安全制度</w:t>
      </w:r>
      <w:bookmarkEnd w:id="87"/>
    </w:p>
    <w:p w14:paraId="3F9A9F92">
      <w:pPr>
        <w:pStyle w:val="14"/>
        <w:numPr>
          <w:ilvl w:val="2"/>
          <w:numId w:val="1"/>
        </w:numPr>
        <w:spacing w:before="0" w:beforeLines="0" w:after="0" w:afterLines="0"/>
        <w:ind w:left="0"/>
        <w:rPr>
          <w:rFonts w:hint="default" w:ascii="宋体" w:hAnsi="Times New Roman" w:eastAsia="宋体"/>
        </w:rPr>
      </w:pPr>
      <w:r>
        <w:rPr>
          <w:rFonts w:ascii="宋体" w:eastAsia="宋体" w:cs="宋体"/>
        </w:rPr>
        <w:t>建立和实施有效的安全巡查制度，明确安全管理职责，并派专人进行安全巡查。</w:t>
      </w:r>
    </w:p>
    <w:p w14:paraId="29E8782F">
      <w:pPr>
        <w:pStyle w:val="14"/>
        <w:numPr>
          <w:ilvl w:val="2"/>
          <w:numId w:val="1"/>
        </w:numPr>
        <w:spacing w:before="0" w:beforeLines="0" w:after="0" w:afterLines="0"/>
        <w:ind w:left="0"/>
        <w:rPr>
          <w:rFonts w:hint="default" w:ascii="宋体" w:hAnsi="Times New Roman" w:eastAsia="宋体"/>
        </w:rPr>
      </w:pPr>
      <w:r>
        <w:rPr>
          <w:rFonts w:ascii="宋体" w:eastAsia="宋体" w:cs="宋体"/>
        </w:rPr>
        <w:t>沉浸式数字体验空间经营者应为安全经营和消防安全的第一责任人。应有地震、火灾、食品卫生、治安事件、设施设备突发故障等各项突发事件应急预案，事故处理档案应记录完整、准确。有年度实施计划，并定期演练，有完整记录。</w:t>
      </w:r>
    </w:p>
    <w:p w14:paraId="56577C3D">
      <w:pPr>
        <w:pStyle w:val="12"/>
        <w:numPr>
          <w:ilvl w:val="1"/>
          <w:numId w:val="1"/>
        </w:numPr>
        <w:rPr>
          <w:rFonts w:cs="黑体"/>
        </w:rPr>
      </w:pPr>
      <w:bookmarkStart w:id="88" w:name="_Toc181776934"/>
      <w:r>
        <w:rPr>
          <w:rFonts w:cs="黑体"/>
        </w:rPr>
        <w:t>安全措施</w:t>
      </w:r>
      <w:bookmarkEnd w:id="88"/>
    </w:p>
    <w:p w14:paraId="75460FD7">
      <w:pPr>
        <w:pStyle w:val="14"/>
        <w:numPr>
          <w:ilvl w:val="2"/>
          <w:numId w:val="1"/>
        </w:numPr>
        <w:spacing w:before="0" w:beforeLines="0" w:after="0" w:afterLines="0"/>
        <w:ind w:left="0"/>
        <w:rPr>
          <w:rFonts w:hint="default" w:ascii="宋体" w:hAnsi="Times New Roman" w:eastAsia="宋体"/>
        </w:rPr>
      </w:pPr>
      <w:r>
        <w:rPr>
          <w:rFonts w:ascii="宋体" w:eastAsia="宋体" w:cs="宋体"/>
        </w:rPr>
        <w:t>在接待高峰期或特殊时段应有健全的安全保障措施，并能有效实施。</w:t>
      </w:r>
    </w:p>
    <w:p w14:paraId="1BDAA996">
      <w:pPr>
        <w:pStyle w:val="14"/>
        <w:numPr>
          <w:ilvl w:val="2"/>
          <w:numId w:val="1"/>
        </w:numPr>
        <w:spacing w:before="0" w:beforeLines="0" w:after="0" w:afterLines="0"/>
        <w:ind w:left="0"/>
        <w:rPr>
          <w:rFonts w:hint="default" w:ascii="宋体" w:hAnsi="Times New Roman" w:eastAsia="宋体"/>
        </w:rPr>
      </w:pPr>
      <w:r>
        <w:rPr>
          <w:rFonts w:ascii="宋体" w:eastAsia="宋体" w:cs="宋体"/>
        </w:rPr>
        <w:t>应建立紧急救援机制，设置紧急救援电话，可及时传达游客发出的求助信号。</w:t>
      </w:r>
    </w:p>
    <w:p w14:paraId="2EA8AA59">
      <w:pPr>
        <w:pStyle w:val="14"/>
        <w:numPr>
          <w:ilvl w:val="2"/>
          <w:numId w:val="1"/>
        </w:numPr>
        <w:spacing w:before="0" w:beforeLines="0" w:after="0" w:afterLines="0"/>
        <w:ind w:left="0"/>
        <w:rPr>
          <w:rFonts w:hint="default" w:ascii="宋体" w:hAnsi="Times New Roman" w:eastAsia="宋体"/>
        </w:rPr>
      </w:pPr>
      <w:r>
        <w:rPr>
          <w:rFonts w:ascii="宋体" w:eastAsia="宋体" w:cs="宋体"/>
        </w:rPr>
        <w:t>应对安全设施进行定期检查、检修和保养。</w:t>
      </w:r>
    </w:p>
    <w:p w14:paraId="179BDD6B">
      <w:pPr>
        <w:pStyle w:val="14"/>
        <w:numPr>
          <w:ilvl w:val="2"/>
          <w:numId w:val="1"/>
        </w:numPr>
        <w:spacing w:before="0" w:beforeLines="0" w:after="0" w:afterLines="0"/>
        <w:ind w:left="0"/>
        <w:rPr>
          <w:rFonts w:hint="default" w:ascii="宋体" w:hAnsi="Times New Roman" w:eastAsia="宋体"/>
        </w:rPr>
      </w:pPr>
      <w:r>
        <w:rPr>
          <w:rFonts w:ascii="宋体" w:eastAsia="宋体" w:cs="宋体"/>
        </w:rPr>
        <w:t>宜配备医务人员，或与医疗机构签订医疗救助协议，配备有必要的医疗救护设施。</w:t>
      </w:r>
    </w:p>
    <w:p w14:paraId="518A177B">
      <w:pPr>
        <w:pStyle w:val="14"/>
        <w:numPr>
          <w:ilvl w:val="2"/>
          <w:numId w:val="1"/>
        </w:numPr>
        <w:spacing w:before="0" w:beforeLines="0" w:after="0" w:afterLines="0"/>
        <w:ind w:left="0"/>
        <w:rPr>
          <w:rFonts w:hint="default" w:hAnsi="Times New Roman"/>
        </w:rPr>
      </w:pPr>
      <w:r>
        <w:rPr>
          <w:rFonts w:ascii="宋体" w:eastAsia="宋体" w:cs="宋体"/>
        </w:rPr>
        <w:t>明确而清晰的介绍沉浸式数字体验空间内体验项目的安全注意事项。</w:t>
      </w:r>
    </w:p>
    <w:p w14:paraId="39B399B5">
      <w:pPr>
        <w:pStyle w:val="14"/>
        <w:numPr>
          <w:ilvl w:val="2"/>
          <w:numId w:val="1"/>
        </w:numPr>
        <w:spacing w:before="0" w:beforeLines="0" w:after="0" w:afterLines="0"/>
        <w:ind w:left="0"/>
        <w:rPr>
          <w:rFonts w:hint="default" w:ascii="宋体" w:hAnsi="Times New Roman" w:eastAsia="宋体"/>
        </w:rPr>
      </w:pPr>
      <w:r>
        <w:rPr>
          <w:rFonts w:ascii="宋体" w:eastAsia="宋体" w:cs="宋体"/>
        </w:rPr>
        <w:t>重点区域应安排驻场安全员负责应对突发安全事件。</w:t>
      </w:r>
    </w:p>
    <w:p w14:paraId="3A1C8E4B">
      <w:pPr>
        <w:pStyle w:val="12"/>
        <w:numPr>
          <w:ilvl w:val="1"/>
          <w:numId w:val="1"/>
        </w:numPr>
        <w:rPr>
          <w:rFonts w:cs="黑体"/>
        </w:rPr>
      </w:pPr>
      <w:bookmarkStart w:id="89" w:name="_Toc181776935"/>
      <w:r>
        <w:rPr>
          <w:rFonts w:cs="黑体"/>
        </w:rPr>
        <w:t>消防管理</w:t>
      </w:r>
      <w:bookmarkEnd w:id="89"/>
    </w:p>
    <w:p w14:paraId="748BAF68">
      <w:pPr>
        <w:pStyle w:val="13"/>
        <w:rPr>
          <w:rFonts w:cs="宋体"/>
        </w:rPr>
      </w:pPr>
      <w:r>
        <w:rPr>
          <w:rFonts w:cs="宋体"/>
        </w:rPr>
        <w:t>体验空间场地的消防安全管理应符合GB/T 40248-2021。</w:t>
      </w:r>
    </w:p>
    <w:p w14:paraId="2DD512A8">
      <w:pPr>
        <w:pStyle w:val="12"/>
        <w:numPr>
          <w:ilvl w:val="1"/>
          <w:numId w:val="1"/>
        </w:numPr>
        <w:rPr>
          <w:rFonts w:cs="黑体"/>
        </w:rPr>
      </w:pPr>
      <w:bookmarkStart w:id="90" w:name="_Toc181776936"/>
      <w:r>
        <w:rPr>
          <w:rFonts w:cs="黑体"/>
        </w:rPr>
        <w:t>信息与网络安全</w:t>
      </w:r>
      <w:bookmarkEnd w:id="90"/>
    </w:p>
    <w:p w14:paraId="623983D5">
      <w:pPr>
        <w:pStyle w:val="13"/>
        <w:rPr>
          <w:rFonts w:cs="宋体"/>
        </w:rPr>
      </w:pPr>
      <w:r>
        <w:rPr>
          <w:rFonts w:cs="宋体"/>
        </w:rPr>
        <w:t>应建立防火墙系统、网络实施入侵检测系统、病毒防范系统。应达到国家网络安全等级保护二级或以上。</w:t>
      </w:r>
    </w:p>
    <w:p w14:paraId="5383632F">
      <w:pPr>
        <w:pStyle w:val="16"/>
        <w:rPr>
          <w:rFonts w:cs="黑体"/>
        </w:rPr>
      </w:pPr>
      <w:bookmarkStart w:id="91" w:name="_Toc181776937"/>
      <w:r>
        <w:rPr>
          <w:rFonts w:cs="黑体"/>
        </w:rPr>
        <w:t>参</w:t>
      </w:r>
      <w:r>
        <w:rPr>
          <w:rFonts w:hint="default" w:ascii="MS Mincho" w:hAnsi="MS Mincho" w:eastAsia="MS Mincho" w:cs="MS Mincho"/>
        </w:rPr>
        <w:t> </w:t>
      </w:r>
      <w:r>
        <w:rPr>
          <w:rFonts w:cs="黑体"/>
        </w:rPr>
        <w:t>考</w:t>
      </w:r>
      <w:r>
        <w:rPr>
          <w:rFonts w:hint="default" w:ascii="MS Mincho" w:hAnsi="MS Mincho" w:eastAsia="MS Mincho" w:cs="MS Mincho"/>
        </w:rPr>
        <w:t> </w:t>
      </w:r>
      <w:r>
        <w:rPr>
          <w:rFonts w:cs="黑体"/>
        </w:rPr>
        <w:t>文</w:t>
      </w:r>
      <w:r>
        <w:rPr>
          <w:rFonts w:hint="default" w:ascii="MS Mincho" w:hAnsi="MS Mincho" w:eastAsia="MS Mincho" w:cs="MS Mincho"/>
        </w:rPr>
        <w:t> </w:t>
      </w:r>
      <w:r>
        <w:rPr>
          <w:rFonts w:cs="黑体"/>
        </w:rPr>
        <w:t>献</w:t>
      </w:r>
      <w:bookmarkEnd w:id="91"/>
    </w:p>
    <w:p w14:paraId="7280F5FC">
      <w:pPr>
        <w:pStyle w:val="21"/>
        <w:spacing w:beforeAutospacing="1" w:afterAutospacing="1"/>
        <w:rPr>
          <w:rFonts w:cs="宋体"/>
        </w:rPr>
      </w:pPr>
      <w:r>
        <w:rPr>
          <w:rFonts w:cs="宋体"/>
        </w:rPr>
        <w:t>全国人民代表大会常务委员会.中华人民共和国著作权法（中华人民共和国主席令第62号）.</w:t>
      </w:r>
    </w:p>
    <w:p w14:paraId="5869C4AC">
      <w:pPr>
        <w:pStyle w:val="21"/>
        <w:spacing w:beforeAutospacing="1" w:afterAutospacing="1"/>
        <w:rPr>
          <w:rFonts w:cs="宋体"/>
        </w:rPr>
      </w:pPr>
      <w:r>
        <w:rPr>
          <w:rFonts w:cs="宋体"/>
        </w:rPr>
        <w:t>全国人民代表大会常务委员会.中华人民共和国文物保护法（中华人民共和国主席令第81号）.</w:t>
      </w:r>
    </w:p>
    <w:p w14:paraId="6CAAEBB3">
      <w:pPr>
        <w:pStyle w:val="21"/>
        <w:spacing w:beforeAutospacing="1" w:afterAutospacing="1"/>
        <w:ind w:left="420"/>
        <w:rPr>
          <w:rFonts w:cs="宋体"/>
        </w:rPr>
      </w:pPr>
    </w:p>
    <w:p w14:paraId="74211D79">
      <w:pPr>
        <w:jc w:val="center"/>
        <w:rPr>
          <w:rFonts w:hint="eastAsia" w:ascii="黑体" w:hAnsi="黑体" w:eastAsia="黑体" w:cs="Times New Roman"/>
          <w:sz w:val="24"/>
          <w:szCs w:val="24"/>
        </w:rPr>
      </w:pPr>
      <w:r>
        <w:rPr>
          <w:sz w:val="24"/>
        </w:rPr>
        <mc:AlternateContent>
          <mc:Choice Requires="wps">
            <w:drawing>
              <wp:anchor distT="0" distB="0" distL="114300" distR="114300" simplePos="0" relativeHeight="251661312" behindDoc="0" locked="0" layoutInCell="1" allowOverlap="1">
                <wp:simplePos x="0" y="0"/>
                <wp:positionH relativeFrom="column">
                  <wp:posOffset>1781175</wp:posOffset>
                </wp:positionH>
                <wp:positionV relativeFrom="paragraph">
                  <wp:posOffset>54610</wp:posOffset>
                </wp:positionV>
                <wp:extent cx="2458720" cy="14605"/>
                <wp:effectExtent l="0" t="4445" r="17780" b="9525"/>
                <wp:wrapNone/>
                <wp:docPr id="9" name="直接连接符 9"/>
                <wp:cNvGraphicFramePr/>
                <a:graphic xmlns:a="http://schemas.openxmlformats.org/drawingml/2006/main">
                  <a:graphicData uri="http://schemas.microsoft.com/office/word/2010/wordprocessingShape">
                    <wps:wsp>
                      <wps:cNvCnPr/>
                      <wps:spPr>
                        <a:xfrm flipV="1">
                          <a:off x="2303780" y="3044825"/>
                          <a:ext cx="2458720" cy="14605"/>
                        </a:xfrm>
                        <a:prstGeom prst="line">
                          <a:avLst/>
                        </a:prstGeom>
                        <a:ln w="6350"/>
                      </wps:spPr>
                      <wps:style>
                        <a:lnRef idx="2">
                          <a:prstClr val="black"/>
                        </a:lnRef>
                        <a:fillRef idx="0">
                          <a:prstClr val="black"/>
                        </a:fillRef>
                        <a:effectRef idx="1">
                          <a:prstClr val="black"/>
                        </a:effectRef>
                        <a:fontRef idx="minor">
                          <a:schemeClr val="tx1"/>
                        </a:fontRef>
                      </wps:style>
                      <wps:bodyPr/>
                    </wps:wsp>
                  </a:graphicData>
                </a:graphic>
              </wp:anchor>
            </w:drawing>
          </mc:Choice>
          <mc:Fallback>
            <w:pict>
              <v:line id="_x0000_s1026" o:spid="_x0000_s1026" o:spt="20" style="position:absolute;left:0pt;flip:y;margin-left:140.25pt;margin-top:4.3pt;height:1.15pt;width:193.6pt;z-index:251661312;mso-width-relative:page;mso-height-relative:page;" filled="f" stroked="t" coordsize="21600,21600" o:gfxdata="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CFR1w/WAAAACAEAAA8AAAAAAAAAAQAgAAAAIgAAAGRycy9kb3ducmV2Lnht&#10;bFBLAQIUABQAAAAIAIdO4kDNFUaK+wEAAMoDAAAOAAAAAAAAAAEAIAAAACUBAABkcnMvZTJvRG9j&#10;LnhtbFBLBQYAAAAABgAGAFkBAACSBQAAAAA=&#10;">
                <v:fill on="f" focussize="0,0"/>
                <v:stroke weight="0.5pt" color="#000000" miterlimit="8" joinstyle="miter"/>
                <v:imagedata o:title=""/>
                <o:lock v:ext="edit" aspectratio="f"/>
              </v:line>
            </w:pict>
          </mc:Fallback>
        </mc:AlternateContent>
      </w:r>
    </w:p>
    <w:sectPr>
      <w:footerReference r:id="rId8" w:type="default"/>
      <w:pgSz w:w="11906" w:h="16838"/>
      <w:pgMar w:top="567" w:right="1134" w:bottom="1134" w:left="1417" w:header="1417" w:footer="1134"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MS Mincho">
    <w:altName w:val="Yu Gothic UI"/>
    <w:panose1 w:val="02020609040205080304"/>
    <w:charset w:val="80"/>
    <w:family w:val="modern"/>
    <w:pitch w:val="default"/>
    <w:sig w:usb0="00000000" w:usb1="00000000" w:usb2="00000010" w:usb3="00000000" w:csb0="0002009F" w:csb1="00000000"/>
  </w:font>
  <w:font w:name="Yu Gothic UI">
    <w:panose1 w:val="020B0500000000000000"/>
    <w:charset w:val="80"/>
    <w:family w:val="auto"/>
    <w:pitch w:val="default"/>
    <w:sig w:usb0="E00002FF" w:usb1="2AC7FDFF" w:usb2="00000016" w:usb3="00000000" w:csb0="2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20159A">
    <w:pPr>
      <w:pStyle w:val="3"/>
      <w:tabs>
        <w:tab w:val="right" w:pos="9354"/>
        <w:tab w:val="clear" w:pos="4153"/>
      </w:tabs>
      <w:rPr>
        <w:rFonts w:hint="eastAsia"/>
      </w:rPr>
    </w:pPr>
    <w:r>
      <w:rPr>
        <w:rFonts w:hint="eastAsia"/>
      </w:rPr>
      <w:t xml:space="preserve">  </w:t>
    </w:r>
    <w:r>
      <w:rPr>
        <w:rFonts w:hint="eastAsia"/>
      </w:rPr>
      <w:tab/>
    </w:r>
    <w:r>
      <w:rPr>
        <w:rFonts w:hint="eastAsia"/>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1A3B0E">
    <w:pPr>
      <w:pStyle w:val="3"/>
      <w:rPr>
        <w:rFonts w:hint="eastAsia"/>
      </w:rPr>
    </w:pPr>
    <w:r>
      <mc:AlternateContent>
        <mc:Choice Requires="wps">
          <w:drawing>
            <wp:anchor distT="0" distB="0" distL="114300" distR="114300" simplePos="0" relativeHeight="251663360" behindDoc="0" locked="0" layoutInCell="1" allowOverlap="1">
              <wp:simplePos x="0" y="0"/>
              <wp:positionH relativeFrom="margin">
                <wp:align>right</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5B67F7B">
                          <w:pPr>
                            <w:pStyle w:val="3"/>
                            <w:rPr>
                              <w:rFonts w:hint="eastAsia"/>
                            </w:rPr>
                          </w:pPr>
                          <w:r>
                            <w:fldChar w:fldCharType="begin"/>
                          </w:r>
                          <w:r>
                            <w:instrText xml:space="preserve"> PAGE  \* MERGEFORMAT </w:instrText>
                          </w:r>
                          <w:r>
                            <w:fldChar w:fldCharType="separate"/>
                          </w:r>
                          <w:r>
                            <w:t>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pGcYwrAgAAVw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CaRnGMKwIAAFcEAAAOAAAAAAAAAAEAIAAAAB8BAABkcnMvZTJvRG9jLnhtbFBLBQYAAAAABgAG&#10;AFkBAAC8BQAAAAA=&#10;">
              <v:fill on="f" focussize="0,0"/>
              <v:stroke on="f" weight="0.5pt"/>
              <v:imagedata o:title=""/>
              <o:lock v:ext="edit" aspectratio="f"/>
              <v:textbox inset="0mm,0mm,0mm,0mm" style="mso-fit-shape-to-text:t;">
                <w:txbxContent>
                  <w:p w14:paraId="35B67F7B">
                    <w:pPr>
                      <w:pStyle w:val="3"/>
                      <w:rPr>
                        <w:rFonts w:hint="eastAsia"/>
                      </w:rPr>
                    </w:pPr>
                    <w:r>
                      <w:fldChar w:fldCharType="begin"/>
                    </w:r>
                    <w:r>
                      <w:instrText xml:space="preserve"> PAGE  \* MERGEFORMAT </w:instrText>
                    </w:r>
                    <w:r>
                      <w:fldChar w:fldCharType="separate"/>
                    </w:r>
                    <w:r>
                      <w:t>I</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DDC96B">
    <w:pPr>
      <w:pStyle w:val="3"/>
      <w:tabs>
        <w:tab w:val="right" w:pos="9354"/>
        <w:tab w:val="clear" w:pos="4153"/>
      </w:tabs>
      <w:rPr>
        <w:rFonts w:hint="eastAsia"/>
      </w:rPr>
    </w:pPr>
    <w:r>
      <w:rPr>
        <w:rFonts w:hint="eastAsia"/>
      </w:rPr>
      <w:t xml:space="preserve">  </w:t>
    </w:r>
    <w:r>
      <w:rPr>
        <w:rFonts w:hint="eastAsia"/>
      </w:rPr>
      <w:tab/>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2BB5F9">
    <w:pPr>
      <w:pStyle w:val="3"/>
      <w:tabs>
        <w:tab w:val="right" w:pos="9354"/>
        <w:tab w:val="clear" w:pos="4153"/>
      </w:tabs>
      <w:rPr>
        <w:rFonts w:hint="eastAsia"/>
      </w:rPr>
    </w:pPr>
    <w:r>
      <mc:AlternateContent>
        <mc:Choice Requires="wps">
          <w:drawing>
            <wp:anchor distT="0" distB="0" distL="114300" distR="114300" simplePos="0" relativeHeight="251662336" behindDoc="0" locked="0" layoutInCell="1" allowOverlap="1">
              <wp:simplePos x="0" y="0"/>
              <wp:positionH relativeFrom="margin">
                <wp:posOffset>5870575</wp:posOffset>
              </wp:positionH>
              <wp:positionV relativeFrom="paragraph">
                <wp:posOffset>-1270</wp:posOffset>
              </wp:positionV>
              <wp:extent cx="237490" cy="1828800"/>
              <wp:effectExtent l="0" t="0" r="10795" b="10160"/>
              <wp:wrapNone/>
              <wp:docPr id="7" name="文本框 7"/>
              <wp:cNvGraphicFramePr/>
              <a:graphic xmlns:a="http://schemas.openxmlformats.org/drawingml/2006/main">
                <a:graphicData uri="http://schemas.microsoft.com/office/word/2010/wordprocessingShape">
                  <wps:wsp>
                    <wps:cNvSpPr txBox="1"/>
                    <wps:spPr>
                      <a:xfrm>
                        <a:off x="0" y="0"/>
                        <a:ext cx="237281"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B8EC7A7">
                          <w:pPr>
                            <w:pStyle w:val="3"/>
                            <w:rPr>
                              <w:rFonts w:hint="eastAsia"/>
                            </w:rPr>
                          </w:pPr>
                          <w:r>
                            <w:fldChar w:fldCharType="begin"/>
                          </w:r>
                          <w:r>
                            <w:instrText xml:space="preserve"> PAGE  \* MERGEFORMAT </w:instrText>
                          </w:r>
                          <w:r>
                            <w:fldChar w:fldCharType="separate"/>
                          </w:r>
                          <w:r>
                            <w:t>I</w:t>
                          </w:r>
                          <w:r>
                            <w:fldChar w:fldCharType="end"/>
                          </w:r>
                        </w:p>
                      </w:txbxContent>
                    </wps:txbx>
                    <wps:bodyPr rot="0" spcFirstLastPara="0" vertOverflow="overflow" horzOverflow="overflow" vert="horz" wrap="squar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left:462.25pt;margin-top:-0.1pt;height:144pt;width:18.7pt;mso-position-horizontal-relative:margin;z-index:251662336;mso-width-relative:page;mso-height-relative:page;" filled="f" stroked="f" coordsize="21600,21600" o:gfxdata="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CrPuHnZAAAACQEAAA8AAAAAAAAAAQAgAAAAIgAAAGRycy9kb3ducmV2Lnht&#10;bFBLAQIUABQAAAAIAIdO4kC4yYCdMQIAAFYEAAAOAAAAAAAAAAEAIAAAACgBAABkcnMvZTJvRG9j&#10;LnhtbFBLBQYAAAAABgAGAFkBAADLBQAAAAA=&#10;">
              <v:fill on="f" focussize="0,0"/>
              <v:stroke on="f" weight="0.5pt"/>
              <v:imagedata o:title=""/>
              <o:lock v:ext="edit" aspectratio="f"/>
              <v:textbox inset="0mm,0mm,0mm,0mm" style="mso-fit-shape-to-text:t;">
                <w:txbxContent>
                  <w:p w14:paraId="2B8EC7A7">
                    <w:pPr>
                      <w:pStyle w:val="3"/>
                      <w:rPr>
                        <w:rFonts w:hint="eastAsia"/>
                      </w:rPr>
                    </w:pPr>
                    <w:r>
                      <w:fldChar w:fldCharType="begin"/>
                    </w:r>
                    <w:r>
                      <w:instrText xml:space="preserve"> PAGE  \* MERGEFORMAT </w:instrText>
                    </w:r>
                    <w:r>
                      <w:fldChar w:fldCharType="separate"/>
                    </w:r>
                    <w:r>
                      <w:t>I</w:t>
                    </w:r>
                    <w:r>
                      <w:fldChar w:fldCharType="end"/>
                    </w:r>
                  </w:p>
                </w:txbxContent>
              </v:textbox>
            </v:shape>
          </w:pict>
        </mc:Fallback>
      </mc:AlternateContent>
    </w:r>
    <w:r>
      <w:rPr>
        <w:rFonts w:hint="eastAsia"/>
      </w:rPr>
      <w:t xml:space="preserve">  </w:t>
    </w:r>
    <w:r>
      <w:rPr>
        <w:rFonts w:hint="eastAsia"/>
      </w:rPr>
      <w:tab/>
    </w:r>
    <w:r>
      <w:rPr>
        <w:rFonts w:hint="eastAsia"/>
      </w:rPr>
      <w:tab/>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99479C">
    <w:pPr>
      <w:pStyle w:val="3"/>
      <w:rPr>
        <w:rFonts w:hint="eastAsia"/>
      </w:rPr>
    </w:pPr>
    <w:r>
      <mc:AlternateContent>
        <mc:Choice Requires="wps">
          <w:drawing>
            <wp:anchor distT="0" distB="0" distL="114300" distR="114300" simplePos="0" relativeHeight="251661312" behindDoc="0" locked="0" layoutInCell="1" allowOverlap="1">
              <wp:simplePos x="0" y="0"/>
              <wp:positionH relativeFrom="margin">
                <wp:posOffset>5871210</wp:posOffset>
              </wp:positionH>
              <wp:positionV relativeFrom="paragraph">
                <wp:posOffset>-1270</wp:posOffset>
              </wp:positionV>
              <wp:extent cx="196850" cy="1828800"/>
              <wp:effectExtent l="0" t="0" r="13335" b="10160"/>
              <wp:wrapNone/>
              <wp:docPr id="4" name="文本框 4"/>
              <wp:cNvGraphicFramePr/>
              <a:graphic xmlns:a="http://schemas.openxmlformats.org/drawingml/2006/main">
                <a:graphicData uri="http://schemas.microsoft.com/office/word/2010/wordprocessingShape">
                  <wps:wsp>
                    <wps:cNvSpPr txBox="1"/>
                    <wps:spPr>
                      <a:xfrm>
                        <a:off x="0" y="0"/>
                        <a:ext cx="196769"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9760AF0">
                          <w:pPr>
                            <w:pStyle w:val="3"/>
                            <w:rPr>
                              <w:rFonts w:hint="eastAsia"/>
                            </w:rPr>
                          </w:pPr>
                          <w:r>
                            <w:fldChar w:fldCharType="begin"/>
                          </w:r>
                          <w:r>
                            <w:instrText xml:space="preserve"> PAGE  \* MERGEFORMAT </w:instrText>
                          </w:r>
                          <w:r>
                            <w:fldChar w:fldCharType="separate"/>
                          </w:r>
                          <w:r>
                            <w:t>I</w:t>
                          </w:r>
                          <w:r>
                            <w:fldChar w:fldCharType="end"/>
                          </w:r>
                        </w:p>
                      </w:txbxContent>
                    </wps:txbx>
                    <wps:bodyPr rot="0" spcFirstLastPara="0" vertOverflow="overflow" horzOverflow="overflow" vert="horz" wrap="squar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left:462.3pt;margin-top:-0.1pt;height:144pt;width:15.5pt;mso-position-horizontal-relative:margin;z-index:251661312;mso-width-relative:page;mso-height-relative:page;" filled="f" stroked="f" coordsize="21600,21600" o:gfxdata="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D+26kd2AAAAAkBAAAPAAAAAAAAAAEAIAAAACIAAABkcnMvZG93bnJldi54&#10;bWxQSwECFAAUAAAACACHTuJAO66sOjMCAABWBAAADgAAAAAAAAABACAAAAAnAQAAZHJzL2Uyb0Rv&#10;Yy54bWxQSwUGAAAAAAYABgBZAQAAzAUAAAAA&#10;">
              <v:fill on="f" focussize="0,0"/>
              <v:stroke on="f" weight="0.5pt"/>
              <v:imagedata o:title=""/>
              <o:lock v:ext="edit" aspectratio="f"/>
              <v:textbox inset="0mm,0mm,0mm,0mm" style="mso-fit-shape-to-text:t;">
                <w:txbxContent>
                  <w:p w14:paraId="29760AF0">
                    <w:pPr>
                      <w:pStyle w:val="3"/>
                      <w:rPr>
                        <w:rFonts w:hint="eastAsia"/>
                      </w:rPr>
                    </w:pPr>
                    <w:r>
                      <w:fldChar w:fldCharType="begin"/>
                    </w:r>
                    <w:r>
                      <w:instrText xml:space="preserve"> PAGE  \* MERGEFORMAT </w:instrText>
                    </w:r>
                    <w:r>
                      <w:fldChar w:fldCharType="separate"/>
                    </w:r>
                    <w:r>
                      <w:t>I</w:t>
                    </w:r>
                    <w:r>
                      <w:fldChar w:fldCharType="end"/>
                    </w:r>
                  </w:p>
                </w:txbxContent>
              </v:textbox>
            </v:shape>
          </w:pict>
        </mc:Fallback>
      </mc:AlternateContent>
    </w:r>
    <w:r>
      <w:rPr>
        <w:rFonts w:hint="eastAsia"/>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3C80F8">
    <w:pPr>
      <w:pStyle w:val="4"/>
      <w:jc w:val="right"/>
      <w:rPr>
        <w:rFonts w:hint="eastAsia" w:cs="Times New Roman"/>
        <w:sz w:val="21"/>
        <w:szCs w:val="21"/>
      </w:rPr>
    </w:pPr>
    <w:r>
      <w:rPr>
        <w:rFonts w:cs="Times New Roman"/>
        <w:sz w:val="21"/>
        <w:szCs w:val="21"/>
      </w:rPr>
      <w:t>DB</w:t>
    </w:r>
    <w:r>
      <w:rPr>
        <w:rFonts w:hint="eastAsia" w:cs="Times New Roman"/>
        <w:sz w:val="21"/>
        <w:szCs w:val="21"/>
      </w:rPr>
      <w:t xml:space="preserve"> 13</w:t>
    </w:r>
    <w:r>
      <w:rPr>
        <w:rFonts w:cs="Times New Roman"/>
        <w:sz w:val="21"/>
        <w:szCs w:val="21"/>
      </w:rPr>
      <w:t xml:space="preserve">/ </w:t>
    </w:r>
    <w:r>
      <w:rPr>
        <w:rFonts w:hint="eastAsia" w:cs="Times New Roman"/>
        <w:sz w:val="21"/>
        <w:szCs w:val="21"/>
      </w:rPr>
      <w:t xml:space="preserve">T </w:t>
    </w:r>
    <w:r>
      <w:rPr>
        <w:rFonts w:cs="Times New Roman"/>
        <w:sz w:val="21"/>
        <w:szCs w:val="21"/>
      </w:rPr>
      <w:t>XXXX——</w:t>
    </w:r>
    <w:r>
      <w:rPr>
        <w:rFonts w:hint="eastAsia" w:cs="Times New Roman"/>
        <w:sz w:val="21"/>
        <w:szCs w:val="21"/>
      </w:rPr>
      <w:t>2024</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9B1F695"/>
    <w:multiLevelType w:val="multilevel"/>
    <w:tmpl w:val="99B1F695"/>
    <w:lvl w:ilvl="0" w:tentative="0">
      <w:start w:val="1"/>
      <w:numFmt w:val="lowerLetter"/>
      <w:lvlText w:val="%1）"/>
      <w:lvlJc w:val="left"/>
      <w:pPr>
        <w:tabs>
          <w:tab w:val="left" w:pos="420"/>
        </w:tabs>
        <w:ind w:left="860" w:hanging="440"/>
      </w:pPr>
      <w:rPr>
        <w:rFonts w:hint="default" w:ascii="Times New Roman" w:hAnsi="Times New Roman" w:cs="Times New Roman"/>
      </w:rPr>
    </w:lvl>
    <w:lvl w:ilvl="1" w:tentative="0">
      <w:start w:val="1"/>
      <w:numFmt w:val="lowerLetter"/>
      <w:lvlText w:val="%2)"/>
      <w:lvlJc w:val="left"/>
      <w:pPr>
        <w:tabs>
          <w:tab w:val="left" w:pos="420"/>
        </w:tabs>
        <w:ind w:left="1300" w:hanging="440"/>
      </w:pPr>
      <w:rPr>
        <w:rFonts w:hint="default" w:ascii="Times New Roman" w:hAnsi="Times New Roman" w:cs="Times New Roman"/>
      </w:rPr>
    </w:lvl>
    <w:lvl w:ilvl="2" w:tentative="0">
      <w:start w:val="1"/>
      <w:numFmt w:val="lowerRoman"/>
      <w:lvlText w:val="%3."/>
      <w:lvlJc w:val="right"/>
      <w:pPr>
        <w:tabs>
          <w:tab w:val="left" w:pos="420"/>
        </w:tabs>
        <w:ind w:left="1740" w:hanging="440"/>
      </w:pPr>
      <w:rPr>
        <w:rFonts w:hint="default" w:ascii="Times New Roman" w:hAnsi="Times New Roman" w:cs="Times New Roman"/>
      </w:rPr>
    </w:lvl>
    <w:lvl w:ilvl="3" w:tentative="0">
      <w:start w:val="1"/>
      <w:numFmt w:val="decimal"/>
      <w:lvlText w:val="%4."/>
      <w:lvlJc w:val="left"/>
      <w:pPr>
        <w:tabs>
          <w:tab w:val="left" w:pos="420"/>
        </w:tabs>
        <w:ind w:left="2180" w:hanging="440"/>
      </w:pPr>
      <w:rPr>
        <w:rFonts w:hint="default" w:ascii="Times New Roman" w:hAnsi="Times New Roman" w:cs="Times New Roman"/>
      </w:rPr>
    </w:lvl>
    <w:lvl w:ilvl="4" w:tentative="0">
      <w:start w:val="1"/>
      <w:numFmt w:val="lowerLetter"/>
      <w:lvlText w:val="%5)"/>
      <w:lvlJc w:val="left"/>
      <w:pPr>
        <w:tabs>
          <w:tab w:val="left" w:pos="420"/>
        </w:tabs>
        <w:ind w:left="2620" w:hanging="440"/>
      </w:pPr>
      <w:rPr>
        <w:rFonts w:hint="default" w:ascii="Times New Roman" w:hAnsi="Times New Roman" w:cs="Times New Roman"/>
      </w:rPr>
    </w:lvl>
    <w:lvl w:ilvl="5" w:tentative="0">
      <w:start w:val="1"/>
      <w:numFmt w:val="lowerRoman"/>
      <w:lvlText w:val="%6."/>
      <w:lvlJc w:val="right"/>
      <w:pPr>
        <w:tabs>
          <w:tab w:val="left" w:pos="420"/>
        </w:tabs>
        <w:ind w:left="3060" w:hanging="440"/>
      </w:pPr>
      <w:rPr>
        <w:rFonts w:hint="default" w:ascii="Times New Roman" w:hAnsi="Times New Roman" w:cs="Times New Roman"/>
      </w:rPr>
    </w:lvl>
    <w:lvl w:ilvl="6" w:tentative="0">
      <w:start w:val="1"/>
      <w:numFmt w:val="decimal"/>
      <w:lvlText w:val="%7."/>
      <w:lvlJc w:val="left"/>
      <w:pPr>
        <w:tabs>
          <w:tab w:val="left" w:pos="420"/>
        </w:tabs>
        <w:ind w:left="3500" w:hanging="440"/>
      </w:pPr>
      <w:rPr>
        <w:rFonts w:hint="default" w:ascii="Times New Roman" w:hAnsi="Times New Roman" w:cs="Times New Roman"/>
      </w:rPr>
    </w:lvl>
    <w:lvl w:ilvl="7" w:tentative="0">
      <w:start w:val="1"/>
      <w:numFmt w:val="lowerLetter"/>
      <w:lvlText w:val="%8)"/>
      <w:lvlJc w:val="left"/>
      <w:pPr>
        <w:tabs>
          <w:tab w:val="left" w:pos="420"/>
        </w:tabs>
        <w:ind w:left="3940" w:hanging="440"/>
      </w:pPr>
      <w:rPr>
        <w:rFonts w:hint="default" w:ascii="Times New Roman" w:hAnsi="Times New Roman" w:cs="Times New Roman"/>
      </w:rPr>
    </w:lvl>
    <w:lvl w:ilvl="8" w:tentative="0">
      <w:start w:val="1"/>
      <w:numFmt w:val="lowerRoman"/>
      <w:lvlText w:val="%9."/>
      <w:lvlJc w:val="right"/>
      <w:pPr>
        <w:tabs>
          <w:tab w:val="left" w:pos="420"/>
        </w:tabs>
        <w:ind w:left="4380" w:hanging="440"/>
      </w:pPr>
      <w:rPr>
        <w:rFonts w:hint="default" w:ascii="Times New Roman" w:hAnsi="Times New Roman" w:cs="Times New Roman"/>
      </w:rPr>
    </w:lvl>
  </w:abstractNum>
  <w:abstractNum w:abstractNumId="1">
    <w:nsid w:val="0AEF2A4A"/>
    <w:multiLevelType w:val="multilevel"/>
    <w:tmpl w:val="0AEF2A4A"/>
    <w:lvl w:ilvl="0" w:tentative="0">
      <w:start w:val="1"/>
      <w:numFmt w:val="lowerLetter"/>
      <w:lvlText w:val="%1）"/>
      <w:lvlJc w:val="left"/>
      <w:pPr>
        <w:tabs>
          <w:tab w:val="left" w:pos="420"/>
        </w:tabs>
        <w:ind w:left="860" w:hanging="440"/>
      </w:pPr>
      <w:rPr>
        <w:rFonts w:hint="default" w:ascii="Times New Roman" w:hAnsi="Times New Roman" w:cs="Times New Roman"/>
      </w:rPr>
    </w:lvl>
    <w:lvl w:ilvl="1" w:tentative="0">
      <w:start w:val="1"/>
      <w:numFmt w:val="lowerLetter"/>
      <w:lvlText w:val="%2)"/>
      <w:lvlJc w:val="left"/>
      <w:pPr>
        <w:tabs>
          <w:tab w:val="left" w:pos="420"/>
        </w:tabs>
        <w:ind w:left="1300" w:hanging="440"/>
      </w:pPr>
      <w:rPr>
        <w:rFonts w:hint="default" w:ascii="Times New Roman" w:hAnsi="Times New Roman" w:cs="Times New Roman"/>
      </w:rPr>
    </w:lvl>
    <w:lvl w:ilvl="2" w:tentative="0">
      <w:start w:val="1"/>
      <w:numFmt w:val="lowerRoman"/>
      <w:lvlText w:val="%3."/>
      <w:lvlJc w:val="right"/>
      <w:pPr>
        <w:tabs>
          <w:tab w:val="left" w:pos="420"/>
        </w:tabs>
        <w:ind w:left="1740" w:hanging="440"/>
      </w:pPr>
      <w:rPr>
        <w:rFonts w:hint="default" w:ascii="Times New Roman" w:hAnsi="Times New Roman" w:cs="Times New Roman"/>
      </w:rPr>
    </w:lvl>
    <w:lvl w:ilvl="3" w:tentative="0">
      <w:start w:val="1"/>
      <w:numFmt w:val="decimal"/>
      <w:lvlText w:val="%4."/>
      <w:lvlJc w:val="left"/>
      <w:pPr>
        <w:tabs>
          <w:tab w:val="left" w:pos="420"/>
        </w:tabs>
        <w:ind w:left="2180" w:hanging="440"/>
      </w:pPr>
      <w:rPr>
        <w:rFonts w:hint="default" w:ascii="Times New Roman" w:hAnsi="Times New Roman" w:cs="Times New Roman"/>
      </w:rPr>
    </w:lvl>
    <w:lvl w:ilvl="4" w:tentative="0">
      <w:start w:val="1"/>
      <w:numFmt w:val="lowerLetter"/>
      <w:lvlText w:val="%5)"/>
      <w:lvlJc w:val="left"/>
      <w:pPr>
        <w:tabs>
          <w:tab w:val="left" w:pos="420"/>
        </w:tabs>
        <w:ind w:left="2620" w:hanging="440"/>
      </w:pPr>
      <w:rPr>
        <w:rFonts w:hint="default" w:ascii="Times New Roman" w:hAnsi="Times New Roman" w:cs="Times New Roman"/>
      </w:rPr>
    </w:lvl>
    <w:lvl w:ilvl="5" w:tentative="0">
      <w:start w:val="1"/>
      <w:numFmt w:val="lowerRoman"/>
      <w:lvlText w:val="%6."/>
      <w:lvlJc w:val="right"/>
      <w:pPr>
        <w:tabs>
          <w:tab w:val="left" w:pos="420"/>
        </w:tabs>
        <w:ind w:left="3060" w:hanging="440"/>
      </w:pPr>
      <w:rPr>
        <w:rFonts w:hint="default" w:ascii="Times New Roman" w:hAnsi="Times New Roman" w:cs="Times New Roman"/>
      </w:rPr>
    </w:lvl>
    <w:lvl w:ilvl="6" w:tentative="0">
      <w:start w:val="1"/>
      <w:numFmt w:val="decimal"/>
      <w:lvlText w:val="%7."/>
      <w:lvlJc w:val="left"/>
      <w:pPr>
        <w:tabs>
          <w:tab w:val="left" w:pos="420"/>
        </w:tabs>
        <w:ind w:left="3500" w:hanging="440"/>
      </w:pPr>
      <w:rPr>
        <w:rFonts w:hint="default" w:ascii="Times New Roman" w:hAnsi="Times New Roman" w:cs="Times New Roman"/>
      </w:rPr>
    </w:lvl>
    <w:lvl w:ilvl="7" w:tentative="0">
      <w:start w:val="1"/>
      <w:numFmt w:val="lowerLetter"/>
      <w:lvlText w:val="%8)"/>
      <w:lvlJc w:val="left"/>
      <w:pPr>
        <w:tabs>
          <w:tab w:val="left" w:pos="420"/>
        </w:tabs>
        <w:ind w:left="3940" w:hanging="440"/>
      </w:pPr>
      <w:rPr>
        <w:rFonts w:hint="default" w:ascii="Times New Roman" w:hAnsi="Times New Roman" w:cs="Times New Roman"/>
      </w:rPr>
    </w:lvl>
    <w:lvl w:ilvl="8" w:tentative="0">
      <w:start w:val="1"/>
      <w:numFmt w:val="lowerRoman"/>
      <w:lvlText w:val="%9."/>
      <w:lvlJc w:val="right"/>
      <w:pPr>
        <w:tabs>
          <w:tab w:val="left" w:pos="420"/>
        </w:tabs>
        <w:ind w:left="4380" w:hanging="440"/>
      </w:pPr>
      <w:rPr>
        <w:rFonts w:hint="default" w:ascii="Times New Roman" w:hAnsi="Times New Roman" w:cs="Times New Roman"/>
      </w:rPr>
    </w:lvl>
  </w:abstractNum>
  <w:abstractNum w:abstractNumId="2">
    <w:nsid w:val="0D2C0649"/>
    <w:multiLevelType w:val="multilevel"/>
    <w:tmpl w:val="0D2C0649"/>
    <w:lvl w:ilvl="0" w:tentative="0">
      <w:start w:val="1"/>
      <w:numFmt w:val="lowerLetter"/>
      <w:lvlText w:val="%1）"/>
      <w:lvlJc w:val="left"/>
      <w:pPr>
        <w:tabs>
          <w:tab w:val="left" w:pos="420"/>
        </w:tabs>
        <w:ind w:left="860" w:hanging="440"/>
      </w:pPr>
      <w:rPr>
        <w:rFonts w:hint="default" w:ascii="Times New Roman" w:hAnsi="Times New Roman" w:cs="Times New Roman"/>
      </w:rPr>
    </w:lvl>
    <w:lvl w:ilvl="1" w:tentative="0">
      <w:start w:val="1"/>
      <w:numFmt w:val="lowerLetter"/>
      <w:lvlText w:val="%2)"/>
      <w:lvlJc w:val="left"/>
      <w:pPr>
        <w:tabs>
          <w:tab w:val="left" w:pos="420"/>
        </w:tabs>
        <w:ind w:left="1300" w:hanging="440"/>
      </w:pPr>
      <w:rPr>
        <w:rFonts w:hint="default" w:ascii="Times New Roman" w:hAnsi="Times New Roman" w:cs="Times New Roman"/>
      </w:rPr>
    </w:lvl>
    <w:lvl w:ilvl="2" w:tentative="0">
      <w:start w:val="1"/>
      <w:numFmt w:val="lowerRoman"/>
      <w:lvlText w:val="%3."/>
      <w:lvlJc w:val="right"/>
      <w:pPr>
        <w:tabs>
          <w:tab w:val="left" w:pos="420"/>
        </w:tabs>
        <w:ind w:left="1740" w:hanging="440"/>
      </w:pPr>
      <w:rPr>
        <w:rFonts w:hint="default" w:ascii="Times New Roman" w:hAnsi="Times New Roman" w:cs="Times New Roman"/>
      </w:rPr>
    </w:lvl>
    <w:lvl w:ilvl="3" w:tentative="0">
      <w:start w:val="1"/>
      <w:numFmt w:val="decimal"/>
      <w:lvlText w:val="%4."/>
      <w:lvlJc w:val="left"/>
      <w:pPr>
        <w:tabs>
          <w:tab w:val="left" w:pos="420"/>
        </w:tabs>
        <w:ind w:left="2180" w:hanging="440"/>
      </w:pPr>
      <w:rPr>
        <w:rFonts w:hint="default" w:ascii="Times New Roman" w:hAnsi="Times New Roman" w:cs="Times New Roman"/>
      </w:rPr>
    </w:lvl>
    <w:lvl w:ilvl="4" w:tentative="0">
      <w:start w:val="1"/>
      <w:numFmt w:val="lowerLetter"/>
      <w:lvlText w:val="%5)"/>
      <w:lvlJc w:val="left"/>
      <w:pPr>
        <w:tabs>
          <w:tab w:val="left" w:pos="420"/>
        </w:tabs>
        <w:ind w:left="2620" w:hanging="440"/>
      </w:pPr>
      <w:rPr>
        <w:rFonts w:hint="default" w:ascii="Times New Roman" w:hAnsi="Times New Roman" w:cs="Times New Roman"/>
      </w:rPr>
    </w:lvl>
    <w:lvl w:ilvl="5" w:tentative="0">
      <w:start w:val="1"/>
      <w:numFmt w:val="lowerRoman"/>
      <w:lvlText w:val="%6."/>
      <w:lvlJc w:val="right"/>
      <w:pPr>
        <w:tabs>
          <w:tab w:val="left" w:pos="420"/>
        </w:tabs>
        <w:ind w:left="3060" w:hanging="440"/>
      </w:pPr>
      <w:rPr>
        <w:rFonts w:hint="default" w:ascii="Times New Roman" w:hAnsi="Times New Roman" w:cs="Times New Roman"/>
      </w:rPr>
    </w:lvl>
    <w:lvl w:ilvl="6" w:tentative="0">
      <w:start w:val="1"/>
      <w:numFmt w:val="decimal"/>
      <w:lvlText w:val="%7."/>
      <w:lvlJc w:val="left"/>
      <w:pPr>
        <w:tabs>
          <w:tab w:val="left" w:pos="420"/>
        </w:tabs>
        <w:ind w:left="3500" w:hanging="440"/>
      </w:pPr>
      <w:rPr>
        <w:rFonts w:hint="default" w:ascii="Times New Roman" w:hAnsi="Times New Roman" w:cs="Times New Roman"/>
      </w:rPr>
    </w:lvl>
    <w:lvl w:ilvl="7" w:tentative="0">
      <w:start w:val="1"/>
      <w:numFmt w:val="lowerLetter"/>
      <w:lvlText w:val="%8)"/>
      <w:lvlJc w:val="left"/>
      <w:pPr>
        <w:tabs>
          <w:tab w:val="left" w:pos="420"/>
        </w:tabs>
        <w:ind w:left="3940" w:hanging="440"/>
      </w:pPr>
      <w:rPr>
        <w:rFonts w:hint="default" w:ascii="Times New Roman" w:hAnsi="Times New Roman" w:cs="Times New Roman"/>
      </w:rPr>
    </w:lvl>
    <w:lvl w:ilvl="8" w:tentative="0">
      <w:start w:val="1"/>
      <w:numFmt w:val="lowerRoman"/>
      <w:lvlText w:val="%9."/>
      <w:lvlJc w:val="right"/>
      <w:pPr>
        <w:tabs>
          <w:tab w:val="left" w:pos="420"/>
        </w:tabs>
        <w:ind w:left="4380" w:hanging="440"/>
      </w:pPr>
      <w:rPr>
        <w:rFonts w:hint="default" w:ascii="Times New Roman" w:hAnsi="Times New Roman" w:cs="Times New Roman"/>
      </w:rPr>
    </w:lvl>
  </w:abstractNum>
  <w:abstractNum w:abstractNumId="3">
    <w:nsid w:val="0DB22A0E"/>
    <w:multiLevelType w:val="multilevel"/>
    <w:tmpl w:val="0DB22A0E"/>
    <w:lvl w:ilvl="0" w:tentative="0">
      <w:start w:val="1"/>
      <w:numFmt w:val="lowerLetter"/>
      <w:lvlText w:val="%1）"/>
      <w:lvlJc w:val="left"/>
      <w:pPr>
        <w:tabs>
          <w:tab w:val="left" w:pos="420"/>
        </w:tabs>
        <w:ind w:left="860" w:hanging="440"/>
      </w:pPr>
      <w:rPr>
        <w:rFonts w:hint="default" w:ascii="Times New Roman" w:hAnsi="Times New Roman" w:cs="Times New Roman"/>
      </w:rPr>
    </w:lvl>
    <w:lvl w:ilvl="1" w:tentative="0">
      <w:start w:val="1"/>
      <w:numFmt w:val="lowerLetter"/>
      <w:lvlText w:val="%2)"/>
      <w:lvlJc w:val="left"/>
      <w:pPr>
        <w:tabs>
          <w:tab w:val="left" w:pos="420"/>
        </w:tabs>
        <w:ind w:left="1300" w:hanging="440"/>
      </w:pPr>
      <w:rPr>
        <w:rFonts w:hint="default" w:ascii="Times New Roman" w:hAnsi="Times New Roman" w:cs="Times New Roman"/>
      </w:rPr>
    </w:lvl>
    <w:lvl w:ilvl="2" w:tentative="0">
      <w:start w:val="1"/>
      <w:numFmt w:val="lowerRoman"/>
      <w:lvlText w:val="%3."/>
      <w:lvlJc w:val="right"/>
      <w:pPr>
        <w:tabs>
          <w:tab w:val="left" w:pos="420"/>
        </w:tabs>
        <w:ind w:left="1740" w:hanging="440"/>
      </w:pPr>
      <w:rPr>
        <w:rFonts w:hint="default" w:ascii="Times New Roman" w:hAnsi="Times New Roman" w:cs="Times New Roman"/>
      </w:rPr>
    </w:lvl>
    <w:lvl w:ilvl="3" w:tentative="0">
      <w:start w:val="1"/>
      <w:numFmt w:val="decimal"/>
      <w:lvlText w:val="%4."/>
      <w:lvlJc w:val="left"/>
      <w:pPr>
        <w:tabs>
          <w:tab w:val="left" w:pos="420"/>
        </w:tabs>
        <w:ind w:left="2180" w:hanging="440"/>
      </w:pPr>
      <w:rPr>
        <w:rFonts w:hint="default" w:ascii="Times New Roman" w:hAnsi="Times New Roman" w:cs="Times New Roman"/>
      </w:rPr>
    </w:lvl>
    <w:lvl w:ilvl="4" w:tentative="0">
      <w:start w:val="1"/>
      <w:numFmt w:val="lowerLetter"/>
      <w:lvlText w:val="%5)"/>
      <w:lvlJc w:val="left"/>
      <w:pPr>
        <w:tabs>
          <w:tab w:val="left" w:pos="420"/>
        </w:tabs>
        <w:ind w:left="2620" w:hanging="440"/>
      </w:pPr>
      <w:rPr>
        <w:rFonts w:hint="default" w:ascii="Times New Roman" w:hAnsi="Times New Roman" w:cs="Times New Roman"/>
      </w:rPr>
    </w:lvl>
    <w:lvl w:ilvl="5" w:tentative="0">
      <w:start w:val="1"/>
      <w:numFmt w:val="lowerRoman"/>
      <w:lvlText w:val="%6."/>
      <w:lvlJc w:val="right"/>
      <w:pPr>
        <w:tabs>
          <w:tab w:val="left" w:pos="420"/>
        </w:tabs>
        <w:ind w:left="3060" w:hanging="440"/>
      </w:pPr>
      <w:rPr>
        <w:rFonts w:hint="default" w:ascii="Times New Roman" w:hAnsi="Times New Roman" w:cs="Times New Roman"/>
      </w:rPr>
    </w:lvl>
    <w:lvl w:ilvl="6" w:tentative="0">
      <w:start w:val="1"/>
      <w:numFmt w:val="decimal"/>
      <w:lvlText w:val="%7."/>
      <w:lvlJc w:val="left"/>
      <w:pPr>
        <w:tabs>
          <w:tab w:val="left" w:pos="420"/>
        </w:tabs>
        <w:ind w:left="3500" w:hanging="440"/>
      </w:pPr>
      <w:rPr>
        <w:rFonts w:hint="default" w:ascii="Times New Roman" w:hAnsi="Times New Roman" w:cs="Times New Roman"/>
      </w:rPr>
    </w:lvl>
    <w:lvl w:ilvl="7" w:tentative="0">
      <w:start w:val="1"/>
      <w:numFmt w:val="lowerLetter"/>
      <w:lvlText w:val="%8)"/>
      <w:lvlJc w:val="left"/>
      <w:pPr>
        <w:tabs>
          <w:tab w:val="left" w:pos="420"/>
        </w:tabs>
        <w:ind w:left="3940" w:hanging="440"/>
      </w:pPr>
      <w:rPr>
        <w:rFonts w:hint="default" w:ascii="Times New Roman" w:hAnsi="Times New Roman" w:cs="Times New Roman"/>
      </w:rPr>
    </w:lvl>
    <w:lvl w:ilvl="8" w:tentative="0">
      <w:start w:val="1"/>
      <w:numFmt w:val="lowerRoman"/>
      <w:lvlText w:val="%9."/>
      <w:lvlJc w:val="right"/>
      <w:pPr>
        <w:tabs>
          <w:tab w:val="left" w:pos="420"/>
        </w:tabs>
        <w:ind w:left="4380" w:hanging="440"/>
      </w:pPr>
      <w:rPr>
        <w:rFonts w:hint="default" w:ascii="Times New Roman" w:hAnsi="Times New Roman" w:cs="Times New Roman"/>
      </w:rPr>
    </w:lvl>
  </w:abstractNum>
  <w:abstractNum w:abstractNumId="4">
    <w:nsid w:val="146D5398"/>
    <w:multiLevelType w:val="multilevel"/>
    <w:tmpl w:val="146D5398"/>
    <w:lvl w:ilvl="0" w:tentative="0">
      <w:start w:val="1"/>
      <w:numFmt w:val="lowerLetter"/>
      <w:lvlText w:val="%1）"/>
      <w:lvlJc w:val="left"/>
      <w:pPr>
        <w:tabs>
          <w:tab w:val="left" w:pos="420"/>
        </w:tabs>
        <w:ind w:left="860" w:hanging="440"/>
      </w:pPr>
      <w:rPr>
        <w:rFonts w:hint="default" w:ascii="Times New Roman" w:hAnsi="Times New Roman" w:cs="Times New Roman"/>
      </w:rPr>
    </w:lvl>
    <w:lvl w:ilvl="1" w:tentative="0">
      <w:start w:val="1"/>
      <w:numFmt w:val="lowerLetter"/>
      <w:lvlText w:val="%2)"/>
      <w:lvlJc w:val="left"/>
      <w:pPr>
        <w:tabs>
          <w:tab w:val="left" w:pos="420"/>
        </w:tabs>
        <w:ind w:left="1300" w:hanging="440"/>
      </w:pPr>
      <w:rPr>
        <w:rFonts w:hint="default" w:ascii="Times New Roman" w:hAnsi="Times New Roman" w:cs="Times New Roman"/>
      </w:rPr>
    </w:lvl>
    <w:lvl w:ilvl="2" w:tentative="0">
      <w:start w:val="1"/>
      <w:numFmt w:val="lowerRoman"/>
      <w:lvlText w:val="%3."/>
      <w:lvlJc w:val="right"/>
      <w:pPr>
        <w:tabs>
          <w:tab w:val="left" w:pos="420"/>
        </w:tabs>
        <w:ind w:left="1740" w:hanging="440"/>
      </w:pPr>
      <w:rPr>
        <w:rFonts w:hint="default" w:ascii="Times New Roman" w:hAnsi="Times New Roman" w:cs="Times New Roman"/>
      </w:rPr>
    </w:lvl>
    <w:lvl w:ilvl="3" w:tentative="0">
      <w:start w:val="1"/>
      <w:numFmt w:val="decimal"/>
      <w:lvlText w:val="%4."/>
      <w:lvlJc w:val="left"/>
      <w:pPr>
        <w:tabs>
          <w:tab w:val="left" w:pos="420"/>
        </w:tabs>
        <w:ind w:left="2180" w:hanging="440"/>
      </w:pPr>
      <w:rPr>
        <w:rFonts w:hint="default" w:ascii="Times New Roman" w:hAnsi="Times New Roman" w:cs="Times New Roman"/>
      </w:rPr>
    </w:lvl>
    <w:lvl w:ilvl="4" w:tentative="0">
      <w:start w:val="1"/>
      <w:numFmt w:val="lowerLetter"/>
      <w:lvlText w:val="%5)"/>
      <w:lvlJc w:val="left"/>
      <w:pPr>
        <w:tabs>
          <w:tab w:val="left" w:pos="420"/>
        </w:tabs>
        <w:ind w:left="2620" w:hanging="440"/>
      </w:pPr>
      <w:rPr>
        <w:rFonts w:hint="default" w:ascii="Times New Roman" w:hAnsi="Times New Roman" w:cs="Times New Roman"/>
      </w:rPr>
    </w:lvl>
    <w:lvl w:ilvl="5" w:tentative="0">
      <w:start w:val="1"/>
      <w:numFmt w:val="lowerRoman"/>
      <w:lvlText w:val="%6."/>
      <w:lvlJc w:val="right"/>
      <w:pPr>
        <w:tabs>
          <w:tab w:val="left" w:pos="420"/>
        </w:tabs>
        <w:ind w:left="3060" w:hanging="440"/>
      </w:pPr>
      <w:rPr>
        <w:rFonts w:hint="default" w:ascii="Times New Roman" w:hAnsi="Times New Roman" w:cs="Times New Roman"/>
      </w:rPr>
    </w:lvl>
    <w:lvl w:ilvl="6" w:tentative="0">
      <w:start w:val="1"/>
      <w:numFmt w:val="decimal"/>
      <w:lvlText w:val="%7."/>
      <w:lvlJc w:val="left"/>
      <w:pPr>
        <w:tabs>
          <w:tab w:val="left" w:pos="420"/>
        </w:tabs>
        <w:ind w:left="3500" w:hanging="440"/>
      </w:pPr>
      <w:rPr>
        <w:rFonts w:hint="default" w:ascii="Times New Roman" w:hAnsi="Times New Roman" w:cs="Times New Roman"/>
      </w:rPr>
    </w:lvl>
    <w:lvl w:ilvl="7" w:tentative="0">
      <w:start w:val="1"/>
      <w:numFmt w:val="lowerLetter"/>
      <w:lvlText w:val="%8)"/>
      <w:lvlJc w:val="left"/>
      <w:pPr>
        <w:tabs>
          <w:tab w:val="left" w:pos="420"/>
        </w:tabs>
        <w:ind w:left="3940" w:hanging="440"/>
      </w:pPr>
      <w:rPr>
        <w:rFonts w:hint="default" w:ascii="Times New Roman" w:hAnsi="Times New Roman" w:cs="Times New Roman"/>
      </w:rPr>
    </w:lvl>
    <w:lvl w:ilvl="8" w:tentative="0">
      <w:start w:val="1"/>
      <w:numFmt w:val="lowerRoman"/>
      <w:lvlText w:val="%9."/>
      <w:lvlJc w:val="right"/>
      <w:pPr>
        <w:tabs>
          <w:tab w:val="left" w:pos="420"/>
        </w:tabs>
        <w:ind w:left="4380" w:hanging="440"/>
      </w:pPr>
      <w:rPr>
        <w:rFonts w:hint="default" w:ascii="Times New Roman" w:hAnsi="Times New Roman" w:cs="Times New Roman"/>
      </w:rPr>
    </w:lvl>
  </w:abstractNum>
  <w:abstractNum w:abstractNumId="5">
    <w:nsid w:val="14D4433A"/>
    <w:multiLevelType w:val="multilevel"/>
    <w:tmpl w:val="14D4433A"/>
    <w:lvl w:ilvl="0" w:tentative="0">
      <w:start w:val="1"/>
      <w:numFmt w:val="lowerLetter"/>
      <w:lvlText w:val="%1)"/>
      <w:lvlJc w:val="left"/>
      <w:pPr>
        <w:tabs>
          <w:tab w:val="left" w:pos="840"/>
        </w:tabs>
        <w:ind w:left="839" w:hanging="419"/>
      </w:pPr>
      <w:rPr>
        <w:rFonts w:hint="eastAsia" w:ascii="宋体" w:hAnsi="宋体" w:eastAsia="宋体" w:cs="宋体"/>
        <w:b w:val="0"/>
        <w:i w:val="0"/>
        <w:sz w:val="21"/>
        <w:szCs w:val="21"/>
      </w:rPr>
    </w:lvl>
    <w:lvl w:ilvl="1" w:tentative="0">
      <w:start w:val="1"/>
      <w:numFmt w:val="decimal"/>
      <w:lvlText w:val="%2)"/>
      <w:lvlJc w:val="left"/>
      <w:pPr>
        <w:tabs>
          <w:tab w:val="left" w:pos="1260"/>
        </w:tabs>
        <w:ind w:left="1259" w:hanging="419"/>
      </w:pPr>
      <w:rPr>
        <w:rFonts w:hint="eastAsia" w:ascii="宋体" w:hAnsi="宋体" w:eastAsia="宋体" w:cs="宋体"/>
      </w:rPr>
    </w:lvl>
    <w:lvl w:ilvl="2" w:tentative="0">
      <w:start w:val="1"/>
      <w:numFmt w:val="decimal"/>
      <w:lvlText w:val="(%3)"/>
      <w:lvlJc w:val="left"/>
      <w:pPr>
        <w:tabs>
          <w:tab w:val="left" w:pos="0"/>
        </w:tabs>
        <w:ind w:left="1679" w:hanging="420"/>
      </w:pPr>
      <w:rPr>
        <w:rFonts w:hint="eastAsia" w:ascii="宋体" w:hAnsi="宋体" w:eastAsia="宋体" w:cs="宋体"/>
        <w:b w:val="0"/>
        <w:i w:val="0"/>
        <w:sz w:val="21"/>
        <w:szCs w:val="21"/>
      </w:rPr>
    </w:lvl>
    <w:lvl w:ilvl="3" w:tentative="0">
      <w:start w:val="1"/>
      <w:numFmt w:val="decimal"/>
      <w:lvlText w:val="%4."/>
      <w:lvlJc w:val="left"/>
      <w:pPr>
        <w:tabs>
          <w:tab w:val="left" w:pos="2100"/>
        </w:tabs>
        <w:ind w:left="2099" w:hanging="419"/>
      </w:pPr>
      <w:rPr>
        <w:rFonts w:hint="eastAsia" w:ascii="宋体" w:hAnsi="宋体" w:eastAsia="宋体" w:cs="宋体"/>
      </w:rPr>
    </w:lvl>
    <w:lvl w:ilvl="4" w:tentative="0">
      <w:start w:val="1"/>
      <w:numFmt w:val="lowerLetter"/>
      <w:lvlText w:val="%5)"/>
      <w:lvlJc w:val="left"/>
      <w:pPr>
        <w:tabs>
          <w:tab w:val="left" w:pos="2520"/>
        </w:tabs>
        <w:ind w:left="2519" w:hanging="419"/>
      </w:pPr>
      <w:rPr>
        <w:rFonts w:hint="eastAsia" w:ascii="宋体" w:hAnsi="宋体" w:eastAsia="宋体" w:cs="宋体"/>
      </w:rPr>
    </w:lvl>
    <w:lvl w:ilvl="5" w:tentative="0">
      <w:start w:val="1"/>
      <w:numFmt w:val="lowerRoman"/>
      <w:lvlText w:val="%6."/>
      <w:lvlJc w:val="right"/>
      <w:pPr>
        <w:tabs>
          <w:tab w:val="left" w:pos="2940"/>
        </w:tabs>
        <w:ind w:left="2939" w:hanging="419"/>
      </w:pPr>
      <w:rPr>
        <w:rFonts w:hint="eastAsia" w:ascii="宋体" w:hAnsi="宋体" w:eastAsia="宋体" w:cs="宋体"/>
      </w:rPr>
    </w:lvl>
    <w:lvl w:ilvl="6" w:tentative="0">
      <w:start w:val="1"/>
      <w:numFmt w:val="decimal"/>
      <w:lvlText w:val="%7."/>
      <w:lvlJc w:val="left"/>
      <w:pPr>
        <w:tabs>
          <w:tab w:val="left" w:pos="3360"/>
        </w:tabs>
        <w:ind w:left="3359" w:hanging="419"/>
      </w:pPr>
      <w:rPr>
        <w:rFonts w:hint="eastAsia" w:ascii="宋体" w:hAnsi="宋体" w:eastAsia="宋体" w:cs="宋体"/>
      </w:rPr>
    </w:lvl>
    <w:lvl w:ilvl="7" w:tentative="0">
      <w:start w:val="1"/>
      <w:numFmt w:val="lowerLetter"/>
      <w:lvlText w:val="%8)"/>
      <w:lvlJc w:val="left"/>
      <w:pPr>
        <w:tabs>
          <w:tab w:val="left" w:pos="3780"/>
        </w:tabs>
        <w:ind w:left="3779" w:hanging="419"/>
      </w:pPr>
      <w:rPr>
        <w:rFonts w:hint="eastAsia" w:ascii="宋体" w:hAnsi="宋体" w:eastAsia="宋体" w:cs="宋体"/>
      </w:rPr>
    </w:lvl>
    <w:lvl w:ilvl="8" w:tentative="0">
      <w:start w:val="1"/>
      <w:numFmt w:val="lowerRoman"/>
      <w:lvlText w:val="%9."/>
      <w:lvlJc w:val="right"/>
      <w:pPr>
        <w:tabs>
          <w:tab w:val="left" w:pos="4200"/>
        </w:tabs>
        <w:ind w:left="4199" w:hanging="419"/>
      </w:pPr>
      <w:rPr>
        <w:rFonts w:hint="eastAsia" w:ascii="宋体" w:hAnsi="宋体" w:eastAsia="宋体" w:cs="宋体"/>
      </w:rPr>
    </w:lvl>
  </w:abstractNum>
  <w:abstractNum w:abstractNumId="6">
    <w:nsid w:val="24B03524"/>
    <w:multiLevelType w:val="multilevel"/>
    <w:tmpl w:val="24B03524"/>
    <w:lvl w:ilvl="0" w:tentative="0">
      <w:start w:val="1"/>
      <w:numFmt w:val="lowerLetter"/>
      <w:lvlText w:val="%1)"/>
      <w:lvlJc w:val="left"/>
      <w:pPr>
        <w:tabs>
          <w:tab w:val="left" w:pos="840"/>
        </w:tabs>
        <w:ind w:left="839" w:hanging="419"/>
      </w:pPr>
      <w:rPr>
        <w:rFonts w:hint="eastAsia" w:ascii="宋体" w:hAnsi="宋体" w:eastAsia="宋体" w:cs="宋体"/>
        <w:b w:val="0"/>
        <w:i w:val="0"/>
        <w:sz w:val="21"/>
        <w:szCs w:val="21"/>
      </w:rPr>
    </w:lvl>
    <w:lvl w:ilvl="1" w:tentative="0">
      <w:start w:val="1"/>
      <w:numFmt w:val="decimal"/>
      <w:lvlText w:val="%2)"/>
      <w:lvlJc w:val="left"/>
      <w:pPr>
        <w:tabs>
          <w:tab w:val="left" w:pos="1260"/>
        </w:tabs>
        <w:ind w:left="1259" w:hanging="419"/>
      </w:pPr>
      <w:rPr>
        <w:rFonts w:hint="eastAsia" w:ascii="宋体" w:hAnsi="宋体" w:eastAsia="宋体" w:cs="宋体"/>
      </w:rPr>
    </w:lvl>
    <w:lvl w:ilvl="2" w:tentative="0">
      <w:start w:val="1"/>
      <w:numFmt w:val="decimal"/>
      <w:lvlText w:val="(%3)"/>
      <w:lvlJc w:val="left"/>
      <w:pPr>
        <w:tabs>
          <w:tab w:val="left" w:pos="0"/>
        </w:tabs>
        <w:ind w:left="1679" w:hanging="420"/>
      </w:pPr>
      <w:rPr>
        <w:rFonts w:hint="eastAsia" w:ascii="宋体" w:hAnsi="宋体" w:eastAsia="宋体" w:cs="宋体"/>
        <w:b w:val="0"/>
        <w:i w:val="0"/>
        <w:sz w:val="21"/>
        <w:szCs w:val="21"/>
      </w:rPr>
    </w:lvl>
    <w:lvl w:ilvl="3" w:tentative="0">
      <w:start w:val="1"/>
      <w:numFmt w:val="decimal"/>
      <w:lvlText w:val="%4."/>
      <w:lvlJc w:val="left"/>
      <w:pPr>
        <w:tabs>
          <w:tab w:val="left" w:pos="2100"/>
        </w:tabs>
        <w:ind w:left="2099" w:hanging="419"/>
      </w:pPr>
      <w:rPr>
        <w:rFonts w:hint="eastAsia" w:ascii="宋体" w:hAnsi="宋体" w:eastAsia="宋体" w:cs="宋体"/>
      </w:rPr>
    </w:lvl>
    <w:lvl w:ilvl="4" w:tentative="0">
      <w:start w:val="1"/>
      <w:numFmt w:val="lowerLetter"/>
      <w:lvlText w:val="%5)"/>
      <w:lvlJc w:val="left"/>
      <w:pPr>
        <w:tabs>
          <w:tab w:val="left" w:pos="2520"/>
        </w:tabs>
        <w:ind w:left="2519" w:hanging="419"/>
      </w:pPr>
      <w:rPr>
        <w:rFonts w:hint="eastAsia" w:ascii="宋体" w:hAnsi="宋体" w:eastAsia="宋体" w:cs="宋体"/>
      </w:rPr>
    </w:lvl>
    <w:lvl w:ilvl="5" w:tentative="0">
      <w:start w:val="1"/>
      <w:numFmt w:val="lowerRoman"/>
      <w:lvlText w:val="%6."/>
      <w:lvlJc w:val="right"/>
      <w:pPr>
        <w:tabs>
          <w:tab w:val="left" w:pos="2940"/>
        </w:tabs>
        <w:ind w:left="2939" w:hanging="419"/>
      </w:pPr>
      <w:rPr>
        <w:rFonts w:hint="eastAsia" w:ascii="宋体" w:hAnsi="宋体" w:eastAsia="宋体" w:cs="宋体"/>
      </w:rPr>
    </w:lvl>
    <w:lvl w:ilvl="6" w:tentative="0">
      <w:start w:val="1"/>
      <w:numFmt w:val="decimal"/>
      <w:lvlText w:val="%7."/>
      <w:lvlJc w:val="left"/>
      <w:pPr>
        <w:tabs>
          <w:tab w:val="left" w:pos="3360"/>
        </w:tabs>
        <w:ind w:left="3359" w:hanging="419"/>
      </w:pPr>
      <w:rPr>
        <w:rFonts w:hint="eastAsia" w:ascii="宋体" w:hAnsi="宋体" w:eastAsia="宋体" w:cs="宋体"/>
      </w:rPr>
    </w:lvl>
    <w:lvl w:ilvl="7" w:tentative="0">
      <w:start w:val="1"/>
      <w:numFmt w:val="lowerLetter"/>
      <w:lvlText w:val="%8)"/>
      <w:lvlJc w:val="left"/>
      <w:pPr>
        <w:tabs>
          <w:tab w:val="left" w:pos="3780"/>
        </w:tabs>
        <w:ind w:left="3779" w:hanging="419"/>
      </w:pPr>
      <w:rPr>
        <w:rFonts w:hint="eastAsia" w:ascii="宋体" w:hAnsi="宋体" w:eastAsia="宋体" w:cs="宋体"/>
      </w:rPr>
    </w:lvl>
    <w:lvl w:ilvl="8" w:tentative="0">
      <w:start w:val="1"/>
      <w:numFmt w:val="lowerRoman"/>
      <w:lvlText w:val="%9."/>
      <w:lvlJc w:val="right"/>
      <w:pPr>
        <w:tabs>
          <w:tab w:val="left" w:pos="4200"/>
        </w:tabs>
        <w:ind w:left="4199" w:hanging="419"/>
      </w:pPr>
      <w:rPr>
        <w:rFonts w:hint="eastAsia" w:ascii="宋体" w:hAnsi="宋体" w:eastAsia="宋体" w:cs="宋体"/>
      </w:rPr>
    </w:lvl>
  </w:abstractNum>
  <w:abstractNum w:abstractNumId="7">
    <w:nsid w:val="29A02AC9"/>
    <w:multiLevelType w:val="multilevel"/>
    <w:tmpl w:val="29A02AC9"/>
    <w:lvl w:ilvl="0" w:tentative="0">
      <w:start w:val="1"/>
      <w:numFmt w:val="lowerLetter"/>
      <w:lvlText w:val="%1)"/>
      <w:lvlJc w:val="left"/>
      <w:pPr>
        <w:tabs>
          <w:tab w:val="left" w:pos="840"/>
        </w:tabs>
        <w:ind w:left="839" w:hanging="419"/>
      </w:pPr>
      <w:rPr>
        <w:rFonts w:hint="eastAsia" w:ascii="宋体" w:hAnsi="宋体" w:eastAsia="宋体" w:cs="宋体"/>
        <w:b w:val="0"/>
        <w:i w:val="0"/>
        <w:sz w:val="21"/>
        <w:szCs w:val="21"/>
      </w:rPr>
    </w:lvl>
    <w:lvl w:ilvl="1" w:tentative="0">
      <w:start w:val="1"/>
      <w:numFmt w:val="decimal"/>
      <w:lvlText w:val="%2)"/>
      <w:lvlJc w:val="left"/>
      <w:pPr>
        <w:tabs>
          <w:tab w:val="left" w:pos="1260"/>
        </w:tabs>
        <w:ind w:left="1259" w:hanging="419"/>
      </w:pPr>
      <w:rPr>
        <w:rFonts w:hint="eastAsia" w:ascii="宋体" w:hAnsi="宋体" w:eastAsia="宋体" w:cs="宋体"/>
      </w:rPr>
    </w:lvl>
    <w:lvl w:ilvl="2" w:tentative="0">
      <w:start w:val="1"/>
      <w:numFmt w:val="decimal"/>
      <w:lvlText w:val="(%3)"/>
      <w:lvlJc w:val="left"/>
      <w:pPr>
        <w:tabs>
          <w:tab w:val="left" w:pos="0"/>
        </w:tabs>
        <w:ind w:left="1679" w:hanging="420"/>
      </w:pPr>
      <w:rPr>
        <w:rFonts w:hint="eastAsia" w:ascii="宋体" w:hAnsi="宋体" w:eastAsia="宋体" w:cs="宋体"/>
        <w:b w:val="0"/>
        <w:i w:val="0"/>
        <w:sz w:val="21"/>
        <w:szCs w:val="21"/>
      </w:rPr>
    </w:lvl>
    <w:lvl w:ilvl="3" w:tentative="0">
      <w:start w:val="1"/>
      <w:numFmt w:val="decimal"/>
      <w:lvlText w:val="%4."/>
      <w:lvlJc w:val="left"/>
      <w:pPr>
        <w:tabs>
          <w:tab w:val="left" w:pos="2100"/>
        </w:tabs>
        <w:ind w:left="2099" w:hanging="419"/>
      </w:pPr>
      <w:rPr>
        <w:rFonts w:hint="eastAsia" w:ascii="宋体" w:hAnsi="宋体" w:eastAsia="宋体" w:cs="宋体"/>
      </w:rPr>
    </w:lvl>
    <w:lvl w:ilvl="4" w:tentative="0">
      <w:start w:val="1"/>
      <w:numFmt w:val="lowerLetter"/>
      <w:lvlText w:val="%5)"/>
      <w:lvlJc w:val="left"/>
      <w:pPr>
        <w:tabs>
          <w:tab w:val="left" w:pos="2520"/>
        </w:tabs>
        <w:ind w:left="2519" w:hanging="419"/>
      </w:pPr>
      <w:rPr>
        <w:rFonts w:hint="eastAsia" w:ascii="宋体" w:hAnsi="宋体" w:eastAsia="宋体" w:cs="宋体"/>
      </w:rPr>
    </w:lvl>
    <w:lvl w:ilvl="5" w:tentative="0">
      <w:start w:val="1"/>
      <w:numFmt w:val="lowerRoman"/>
      <w:lvlText w:val="%6."/>
      <w:lvlJc w:val="right"/>
      <w:pPr>
        <w:tabs>
          <w:tab w:val="left" w:pos="2940"/>
        </w:tabs>
        <w:ind w:left="2939" w:hanging="419"/>
      </w:pPr>
      <w:rPr>
        <w:rFonts w:hint="eastAsia" w:ascii="宋体" w:hAnsi="宋体" w:eastAsia="宋体" w:cs="宋体"/>
      </w:rPr>
    </w:lvl>
    <w:lvl w:ilvl="6" w:tentative="0">
      <w:start w:val="1"/>
      <w:numFmt w:val="decimal"/>
      <w:lvlText w:val="%7."/>
      <w:lvlJc w:val="left"/>
      <w:pPr>
        <w:tabs>
          <w:tab w:val="left" w:pos="3360"/>
        </w:tabs>
        <w:ind w:left="3359" w:hanging="419"/>
      </w:pPr>
      <w:rPr>
        <w:rFonts w:hint="eastAsia" w:ascii="宋体" w:hAnsi="宋体" w:eastAsia="宋体" w:cs="宋体"/>
      </w:rPr>
    </w:lvl>
    <w:lvl w:ilvl="7" w:tentative="0">
      <w:start w:val="1"/>
      <w:numFmt w:val="lowerLetter"/>
      <w:lvlText w:val="%8)"/>
      <w:lvlJc w:val="left"/>
      <w:pPr>
        <w:tabs>
          <w:tab w:val="left" w:pos="3780"/>
        </w:tabs>
        <w:ind w:left="3779" w:hanging="419"/>
      </w:pPr>
      <w:rPr>
        <w:rFonts w:hint="eastAsia" w:ascii="宋体" w:hAnsi="宋体" w:eastAsia="宋体" w:cs="宋体"/>
      </w:rPr>
    </w:lvl>
    <w:lvl w:ilvl="8" w:tentative="0">
      <w:start w:val="1"/>
      <w:numFmt w:val="lowerRoman"/>
      <w:lvlText w:val="%9."/>
      <w:lvlJc w:val="right"/>
      <w:pPr>
        <w:tabs>
          <w:tab w:val="left" w:pos="4200"/>
        </w:tabs>
        <w:ind w:left="4199" w:hanging="419"/>
      </w:pPr>
      <w:rPr>
        <w:rFonts w:hint="eastAsia" w:ascii="宋体" w:hAnsi="宋体" w:eastAsia="宋体" w:cs="宋体"/>
      </w:rPr>
    </w:lvl>
  </w:abstractNum>
  <w:abstractNum w:abstractNumId="8">
    <w:nsid w:val="43775E78"/>
    <w:multiLevelType w:val="multilevel"/>
    <w:tmpl w:val="43775E78"/>
    <w:lvl w:ilvl="0" w:tentative="0">
      <w:start w:val="1"/>
      <w:numFmt w:val="lowerLetter"/>
      <w:lvlText w:val="%1)"/>
      <w:lvlJc w:val="left"/>
      <w:pPr>
        <w:tabs>
          <w:tab w:val="left" w:pos="840"/>
        </w:tabs>
        <w:ind w:left="839" w:hanging="419"/>
      </w:pPr>
      <w:rPr>
        <w:rFonts w:hint="eastAsia" w:ascii="宋体" w:hAnsi="宋体" w:eastAsia="宋体" w:cs="宋体"/>
        <w:b w:val="0"/>
        <w:i w:val="0"/>
        <w:sz w:val="21"/>
        <w:szCs w:val="21"/>
      </w:rPr>
    </w:lvl>
    <w:lvl w:ilvl="1" w:tentative="0">
      <w:start w:val="1"/>
      <w:numFmt w:val="decimal"/>
      <w:lvlText w:val="%2)"/>
      <w:lvlJc w:val="left"/>
      <w:pPr>
        <w:tabs>
          <w:tab w:val="left" w:pos="1260"/>
        </w:tabs>
        <w:ind w:left="1259" w:hanging="419"/>
      </w:pPr>
      <w:rPr>
        <w:rFonts w:hint="eastAsia" w:ascii="宋体" w:hAnsi="宋体" w:eastAsia="宋体" w:cs="宋体"/>
      </w:rPr>
    </w:lvl>
    <w:lvl w:ilvl="2" w:tentative="0">
      <w:start w:val="1"/>
      <w:numFmt w:val="decimal"/>
      <w:lvlText w:val="(%3)"/>
      <w:lvlJc w:val="left"/>
      <w:pPr>
        <w:tabs>
          <w:tab w:val="left" w:pos="0"/>
        </w:tabs>
        <w:ind w:left="1679" w:hanging="420"/>
      </w:pPr>
      <w:rPr>
        <w:rFonts w:hint="eastAsia" w:ascii="宋体" w:hAnsi="宋体" w:eastAsia="宋体" w:cs="宋体"/>
        <w:b w:val="0"/>
        <w:i w:val="0"/>
        <w:sz w:val="21"/>
        <w:szCs w:val="21"/>
      </w:rPr>
    </w:lvl>
    <w:lvl w:ilvl="3" w:tentative="0">
      <w:start w:val="1"/>
      <w:numFmt w:val="decimal"/>
      <w:lvlText w:val="%4."/>
      <w:lvlJc w:val="left"/>
      <w:pPr>
        <w:tabs>
          <w:tab w:val="left" w:pos="2100"/>
        </w:tabs>
        <w:ind w:left="2099" w:hanging="419"/>
      </w:pPr>
      <w:rPr>
        <w:rFonts w:hint="eastAsia" w:ascii="宋体" w:hAnsi="宋体" w:eastAsia="宋体" w:cs="宋体"/>
      </w:rPr>
    </w:lvl>
    <w:lvl w:ilvl="4" w:tentative="0">
      <w:start w:val="1"/>
      <w:numFmt w:val="lowerLetter"/>
      <w:lvlText w:val="%5)"/>
      <w:lvlJc w:val="left"/>
      <w:pPr>
        <w:tabs>
          <w:tab w:val="left" w:pos="2520"/>
        </w:tabs>
        <w:ind w:left="2519" w:hanging="419"/>
      </w:pPr>
      <w:rPr>
        <w:rFonts w:hint="eastAsia" w:ascii="宋体" w:hAnsi="宋体" w:eastAsia="宋体" w:cs="宋体"/>
      </w:rPr>
    </w:lvl>
    <w:lvl w:ilvl="5" w:tentative="0">
      <w:start w:val="1"/>
      <w:numFmt w:val="lowerRoman"/>
      <w:lvlText w:val="%6."/>
      <w:lvlJc w:val="right"/>
      <w:pPr>
        <w:tabs>
          <w:tab w:val="left" w:pos="2940"/>
        </w:tabs>
        <w:ind w:left="2939" w:hanging="419"/>
      </w:pPr>
      <w:rPr>
        <w:rFonts w:hint="eastAsia" w:ascii="宋体" w:hAnsi="宋体" w:eastAsia="宋体" w:cs="宋体"/>
      </w:rPr>
    </w:lvl>
    <w:lvl w:ilvl="6" w:tentative="0">
      <w:start w:val="1"/>
      <w:numFmt w:val="decimal"/>
      <w:lvlText w:val="%7."/>
      <w:lvlJc w:val="left"/>
      <w:pPr>
        <w:tabs>
          <w:tab w:val="left" w:pos="3360"/>
        </w:tabs>
        <w:ind w:left="3359" w:hanging="419"/>
      </w:pPr>
      <w:rPr>
        <w:rFonts w:hint="eastAsia" w:ascii="宋体" w:hAnsi="宋体" w:eastAsia="宋体" w:cs="宋体"/>
      </w:rPr>
    </w:lvl>
    <w:lvl w:ilvl="7" w:tentative="0">
      <w:start w:val="1"/>
      <w:numFmt w:val="lowerLetter"/>
      <w:lvlText w:val="%8)"/>
      <w:lvlJc w:val="left"/>
      <w:pPr>
        <w:tabs>
          <w:tab w:val="left" w:pos="3780"/>
        </w:tabs>
        <w:ind w:left="3779" w:hanging="419"/>
      </w:pPr>
      <w:rPr>
        <w:rFonts w:hint="eastAsia" w:ascii="宋体" w:hAnsi="宋体" w:eastAsia="宋体" w:cs="宋体"/>
      </w:rPr>
    </w:lvl>
    <w:lvl w:ilvl="8" w:tentative="0">
      <w:start w:val="1"/>
      <w:numFmt w:val="lowerRoman"/>
      <w:lvlText w:val="%9."/>
      <w:lvlJc w:val="right"/>
      <w:pPr>
        <w:tabs>
          <w:tab w:val="left" w:pos="4200"/>
        </w:tabs>
        <w:ind w:left="4199" w:hanging="419"/>
      </w:pPr>
      <w:rPr>
        <w:rFonts w:hint="eastAsia" w:ascii="宋体" w:hAnsi="宋体" w:eastAsia="宋体" w:cs="宋体"/>
      </w:rPr>
    </w:lvl>
  </w:abstractNum>
  <w:abstractNum w:abstractNumId="9">
    <w:nsid w:val="48F34CB4"/>
    <w:multiLevelType w:val="multilevel"/>
    <w:tmpl w:val="48F34CB4"/>
    <w:lvl w:ilvl="0" w:tentative="0">
      <w:start w:val="1"/>
      <w:numFmt w:val="lowerLetter"/>
      <w:lvlText w:val="%1）"/>
      <w:lvlJc w:val="left"/>
      <w:pPr>
        <w:tabs>
          <w:tab w:val="left" w:pos="420"/>
        </w:tabs>
        <w:ind w:left="860" w:hanging="440"/>
      </w:pPr>
      <w:rPr>
        <w:rFonts w:hint="default" w:ascii="Times New Roman" w:hAnsi="Times New Roman" w:cs="Times New Roman"/>
      </w:rPr>
    </w:lvl>
    <w:lvl w:ilvl="1" w:tentative="0">
      <w:start w:val="1"/>
      <w:numFmt w:val="lowerLetter"/>
      <w:lvlText w:val="%2)"/>
      <w:lvlJc w:val="left"/>
      <w:pPr>
        <w:tabs>
          <w:tab w:val="left" w:pos="420"/>
        </w:tabs>
        <w:ind w:left="1300" w:hanging="440"/>
      </w:pPr>
      <w:rPr>
        <w:rFonts w:hint="default" w:ascii="Times New Roman" w:hAnsi="Times New Roman" w:cs="Times New Roman"/>
      </w:rPr>
    </w:lvl>
    <w:lvl w:ilvl="2" w:tentative="0">
      <w:start w:val="1"/>
      <w:numFmt w:val="lowerRoman"/>
      <w:lvlText w:val="%3."/>
      <w:lvlJc w:val="right"/>
      <w:pPr>
        <w:tabs>
          <w:tab w:val="left" w:pos="420"/>
        </w:tabs>
        <w:ind w:left="1740" w:hanging="440"/>
      </w:pPr>
      <w:rPr>
        <w:rFonts w:hint="default" w:ascii="Times New Roman" w:hAnsi="Times New Roman" w:cs="Times New Roman"/>
      </w:rPr>
    </w:lvl>
    <w:lvl w:ilvl="3" w:tentative="0">
      <w:start w:val="1"/>
      <w:numFmt w:val="decimal"/>
      <w:lvlText w:val="%4."/>
      <w:lvlJc w:val="left"/>
      <w:pPr>
        <w:tabs>
          <w:tab w:val="left" w:pos="420"/>
        </w:tabs>
        <w:ind w:left="2180" w:hanging="440"/>
      </w:pPr>
      <w:rPr>
        <w:rFonts w:hint="default" w:ascii="Times New Roman" w:hAnsi="Times New Roman" w:cs="Times New Roman"/>
      </w:rPr>
    </w:lvl>
    <w:lvl w:ilvl="4" w:tentative="0">
      <w:start w:val="1"/>
      <w:numFmt w:val="lowerLetter"/>
      <w:lvlText w:val="%5)"/>
      <w:lvlJc w:val="left"/>
      <w:pPr>
        <w:tabs>
          <w:tab w:val="left" w:pos="420"/>
        </w:tabs>
        <w:ind w:left="2620" w:hanging="440"/>
      </w:pPr>
      <w:rPr>
        <w:rFonts w:hint="default" w:ascii="Times New Roman" w:hAnsi="Times New Roman" w:cs="Times New Roman"/>
      </w:rPr>
    </w:lvl>
    <w:lvl w:ilvl="5" w:tentative="0">
      <w:start w:val="1"/>
      <w:numFmt w:val="lowerRoman"/>
      <w:lvlText w:val="%6."/>
      <w:lvlJc w:val="right"/>
      <w:pPr>
        <w:tabs>
          <w:tab w:val="left" w:pos="420"/>
        </w:tabs>
        <w:ind w:left="3060" w:hanging="440"/>
      </w:pPr>
      <w:rPr>
        <w:rFonts w:hint="default" w:ascii="Times New Roman" w:hAnsi="Times New Roman" w:cs="Times New Roman"/>
      </w:rPr>
    </w:lvl>
    <w:lvl w:ilvl="6" w:tentative="0">
      <w:start w:val="1"/>
      <w:numFmt w:val="decimal"/>
      <w:lvlText w:val="%7."/>
      <w:lvlJc w:val="left"/>
      <w:pPr>
        <w:tabs>
          <w:tab w:val="left" w:pos="420"/>
        </w:tabs>
        <w:ind w:left="3500" w:hanging="440"/>
      </w:pPr>
      <w:rPr>
        <w:rFonts w:hint="default" w:ascii="Times New Roman" w:hAnsi="Times New Roman" w:cs="Times New Roman"/>
      </w:rPr>
    </w:lvl>
    <w:lvl w:ilvl="7" w:tentative="0">
      <w:start w:val="1"/>
      <w:numFmt w:val="lowerLetter"/>
      <w:lvlText w:val="%8)"/>
      <w:lvlJc w:val="left"/>
      <w:pPr>
        <w:tabs>
          <w:tab w:val="left" w:pos="420"/>
        </w:tabs>
        <w:ind w:left="3940" w:hanging="440"/>
      </w:pPr>
      <w:rPr>
        <w:rFonts w:hint="default" w:ascii="Times New Roman" w:hAnsi="Times New Roman" w:cs="Times New Roman"/>
      </w:rPr>
    </w:lvl>
    <w:lvl w:ilvl="8" w:tentative="0">
      <w:start w:val="1"/>
      <w:numFmt w:val="lowerRoman"/>
      <w:lvlText w:val="%9."/>
      <w:lvlJc w:val="right"/>
      <w:pPr>
        <w:tabs>
          <w:tab w:val="left" w:pos="420"/>
        </w:tabs>
        <w:ind w:left="4380" w:hanging="440"/>
      </w:pPr>
      <w:rPr>
        <w:rFonts w:hint="default" w:ascii="Times New Roman" w:hAnsi="Times New Roman" w:cs="Times New Roman"/>
      </w:rPr>
    </w:lvl>
  </w:abstractNum>
  <w:abstractNum w:abstractNumId="10">
    <w:nsid w:val="4FAA65A5"/>
    <w:multiLevelType w:val="multilevel"/>
    <w:tmpl w:val="4FAA65A5"/>
    <w:lvl w:ilvl="0" w:tentative="0">
      <w:start w:val="1"/>
      <w:numFmt w:val="lowerLetter"/>
      <w:lvlText w:val="%1）"/>
      <w:lvlJc w:val="left"/>
      <w:pPr>
        <w:tabs>
          <w:tab w:val="left" w:pos="420"/>
        </w:tabs>
        <w:ind w:left="860" w:hanging="440"/>
      </w:pPr>
      <w:rPr>
        <w:rFonts w:hint="default" w:ascii="Times New Roman" w:hAnsi="Times New Roman" w:cs="Times New Roman"/>
      </w:rPr>
    </w:lvl>
    <w:lvl w:ilvl="1" w:tentative="0">
      <w:start w:val="1"/>
      <w:numFmt w:val="lowerLetter"/>
      <w:lvlText w:val="%2)"/>
      <w:lvlJc w:val="left"/>
      <w:pPr>
        <w:tabs>
          <w:tab w:val="left" w:pos="420"/>
        </w:tabs>
        <w:ind w:left="1300" w:hanging="440"/>
      </w:pPr>
      <w:rPr>
        <w:rFonts w:hint="default" w:ascii="Times New Roman" w:hAnsi="Times New Roman" w:cs="Times New Roman"/>
      </w:rPr>
    </w:lvl>
    <w:lvl w:ilvl="2" w:tentative="0">
      <w:start w:val="1"/>
      <w:numFmt w:val="lowerRoman"/>
      <w:lvlText w:val="%3."/>
      <w:lvlJc w:val="right"/>
      <w:pPr>
        <w:tabs>
          <w:tab w:val="left" w:pos="420"/>
        </w:tabs>
        <w:ind w:left="1740" w:hanging="440"/>
      </w:pPr>
      <w:rPr>
        <w:rFonts w:hint="default" w:ascii="Times New Roman" w:hAnsi="Times New Roman" w:cs="Times New Roman"/>
      </w:rPr>
    </w:lvl>
    <w:lvl w:ilvl="3" w:tentative="0">
      <w:start w:val="1"/>
      <w:numFmt w:val="decimal"/>
      <w:lvlText w:val="%4."/>
      <w:lvlJc w:val="left"/>
      <w:pPr>
        <w:tabs>
          <w:tab w:val="left" w:pos="420"/>
        </w:tabs>
        <w:ind w:left="2180" w:hanging="440"/>
      </w:pPr>
      <w:rPr>
        <w:rFonts w:hint="default" w:ascii="Times New Roman" w:hAnsi="Times New Roman" w:cs="Times New Roman"/>
      </w:rPr>
    </w:lvl>
    <w:lvl w:ilvl="4" w:tentative="0">
      <w:start w:val="1"/>
      <w:numFmt w:val="lowerLetter"/>
      <w:lvlText w:val="%5)"/>
      <w:lvlJc w:val="left"/>
      <w:pPr>
        <w:tabs>
          <w:tab w:val="left" w:pos="420"/>
        </w:tabs>
        <w:ind w:left="2620" w:hanging="440"/>
      </w:pPr>
      <w:rPr>
        <w:rFonts w:hint="default" w:ascii="Times New Roman" w:hAnsi="Times New Roman" w:cs="Times New Roman"/>
      </w:rPr>
    </w:lvl>
    <w:lvl w:ilvl="5" w:tentative="0">
      <w:start w:val="1"/>
      <w:numFmt w:val="lowerRoman"/>
      <w:lvlText w:val="%6."/>
      <w:lvlJc w:val="right"/>
      <w:pPr>
        <w:tabs>
          <w:tab w:val="left" w:pos="420"/>
        </w:tabs>
        <w:ind w:left="3060" w:hanging="440"/>
      </w:pPr>
      <w:rPr>
        <w:rFonts w:hint="default" w:ascii="Times New Roman" w:hAnsi="Times New Roman" w:cs="Times New Roman"/>
      </w:rPr>
    </w:lvl>
    <w:lvl w:ilvl="6" w:tentative="0">
      <w:start w:val="1"/>
      <w:numFmt w:val="decimal"/>
      <w:lvlText w:val="%7."/>
      <w:lvlJc w:val="left"/>
      <w:pPr>
        <w:tabs>
          <w:tab w:val="left" w:pos="420"/>
        </w:tabs>
        <w:ind w:left="3500" w:hanging="440"/>
      </w:pPr>
      <w:rPr>
        <w:rFonts w:hint="default" w:ascii="Times New Roman" w:hAnsi="Times New Roman" w:cs="Times New Roman"/>
      </w:rPr>
    </w:lvl>
    <w:lvl w:ilvl="7" w:tentative="0">
      <w:start w:val="1"/>
      <w:numFmt w:val="lowerLetter"/>
      <w:lvlText w:val="%8)"/>
      <w:lvlJc w:val="left"/>
      <w:pPr>
        <w:tabs>
          <w:tab w:val="left" w:pos="420"/>
        </w:tabs>
        <w:ind w:left="3940" w:hanging="440"/>
      </w:pPr>
      <w:rPr>
        <w:rFonts w:hint="default" w:ascii="Times New Roman" w:hAnsi="Times New Roman" w:cs="Times New Roman"/>
      </w:rPr>
    </w:lvl>
    <w:lvl w:ilvl="8" w:tentative="0">
      <w:start w:val="1"/>
      <w:numFmt w:val="lowerRoman"/>
      <w:lvlText w:val="%9."/>
      <w:lvlJc w:val="right"/>
      <w:pPr>
        <w:tabs>
          <w:tab w:val="left" w:pos="420"/>
        </w:tabs>
        <w:ind w:left="4380" w:hanging="440"/>
      </w:pPr>
      <w:rPr>
        <w:rFonts w:hint="default" w:ascii="Times New Roman" w:hAnsi="Times New Roman" w:cs="Times New Roman"/>
      </w:rPr>
    </w:lvl>
  </w:abstractNum>
  <w:abstractNum w:abstractNumId="11">
    <w:nsid w:val="5E52DD0E"/>
    <w:multiLevelType w:val="multilevel"/>
    <w:tmpl w:val="5E52DD0E"/>
    <w:lvl w:ilvl="0" w:tentative="0">
      <w:start w:val="1"/>
      <w:numFmt w:val="none"/>
      <w:suff w:val="nothing"/>
      <w:lvlText w:val="%1注："/>
      <w:lvlJc w:val="left"/>
      <w:pPr>
        <w:ind w:left="726" w:hanging="363"/>
      </w:pPr>
      <w:rPr>
        <w:rFonts w:hint="eastAsia" w:ascii="黑体" w:hAnsi="Times New Roman" w:eastAsia="黑体" w:cs="黑体"/>
        <w:b w:val="0"/>
        <w:i w:val="0"/>
        <w:sz w:val="18"/>
        <w:szCs w:val="18"/>
      </w:rPr>
    </w:lvl>
    <w:lvl w:ilvl="1" w:tentative="0">
      <w:start w:val="1"/>
      <w:numFmt w:val="lowerLetter"/>
      <w:lvlText w:val="%2)"/>
      <w:lvlJc w:val="left"/>
      <w:pPr>
        <w:tabs>
          <w:tab w:val="left" w:pos="1140"/>
        </w:tabs>
        <w:ind w:left="726" w:hanging="363"/>
      </w:pPr>
      <w:rPr>
        <w:rFonts w:hint="eastAsia" w:ascii="宋体" w:hAnsi="宋体" w:eastAsia="宋体" w:cs="宋体"/>
      </w:rPr>
    </w:lvl>
    <w:lvl w:ilvl="2" w:tentative="0">
      <w:start w:val="1"/>
      <w:numFmt w:val="lowerRoman"/>
      <w:lvlText w:val="%3."/>
      <w:lvlJc w:val="right"/>
      <w:pPr>
        <w:tabs>
          <w:tab w:val="left" w:pos="1140"/>
        </w:tabs>
        <w:ind w:left="726" w:hanging="363"/>
      </w:pPr>
      <w:rPr>
        <w:rFonts w:hint="eastAsia" w:ascii="宋体" w:hAnsi="宋体" w:eastAsia="宋体" w:cs="宋体"/>
      </w:rPr>
    </w:lvl>
    <w:lvl w:ilvl="3" w:tentative="0">
      <w:start w:val="1"/>
      <w:numFmt w:val="decimal"/>
      <w:lvlText w:val="%4."/>
      <w:lvlJc w:val="left"/>
      <w:pPr>
        <w:tabs>
          <w:tab w:val="left" w:pos="1140"/>
        </w:tabs>
        <w:ind w:left="726" w:hanging="363"/>
      </w:pPr>
      <w:rPr>
        <w:rFonts w:hint="eastAsia" w:ascii="宋体" w:hAnsi="宋体" w:eastAsia="宋体" w:cs="宋体"/>
      </w:rPr>
    </w:lvl>
    <w:lvl w:ilvl="4" w:tentative="0">
      <w:start w:val="1"/>
      <w:numFmt w:val="lowerLetter"/>
      <w:lvlText w:val="%5)"/>
      <w:lvlJc w:val="left"/>
      <w:pPr>
        <w:tabs>
          <w:tab w:val="left" w:pos="1140"/>
        </w:tabs>
        <w:ind w:left="726" w:hanging="363"/>
      </w:pPr>
      <w:rPr>
        <w:rFonts w:hint="eastAsia" w:ascii="宋体" w:hAnsi="宋体" w:eastAsia="宋体" w:cs="宋体"/>
      </w:rPr>
    </w:lvl>
    <w:lvl w:ilvl="5" w:tentative="0">
      <w:start w:val="1"/>
      <w:numFmt w:val="lowerRoman"/>
      <w:lvlText w:val="%6."/>
      <w:lvlJc w:val="right"/>
      <w:pPr>
        <w:tabs>
          <w:tab w:val="left" w:pos="1140"/>
        </w:tabs>
        <w:ind w:left="726" w:hanging="363"/>
      </w:pPr>
      <w:rPr>
        <w:rFonts w:hint="eastAsia" w:ascii="宋体" w:hAnsi="宋体" w:eastAsia="宋体" w:cs="宋体"/>
      </w:rPr>
    </w:lvl>
    <w:lvl w:ilvl="6" w:tentative="0">
      <w:start w:val="1"/>
      <w:numFmt w:val="decimal"/>
      <w:lvlText w:val="%7."/>
      <w:lvlJc w:val="left"/>
      <w:pPr>
        <w:tabs>
          <w:tab w:val="left" w:pos="1140"/>
        </w:tabs>
        <w:ind w:left="726" w:hanging="363"/>
      </w:pPr>
      <w:rPr>
        <w:rFonts w:hint="eastAsia" w:ascii="宋体" w:hAnsi="宋体" w:eastAsia="宋体" w:cs="宋体"/>
      </w:rPr>
    </w:lvl>
    <w:lvl w:ilvl="7" w:tentative="0">
      <w:start w:val="1"/>
      <w:numFmt w:val="lowerLetter"/>
      <w:lvlText w:val="%8)"/>
      <w:lvlJc w:val="left"/>
      <w:pPr>
        <w:tabs>
          <w:tab w:val="left" w:pos="1140"/>
        </w:tabs>
        <w:ind w:left="726" w:hanging="363"/>
      </w:pPr>
      <w:rPr>
        <w:rFonts w:hint="eastAsia" w:ascii="宋体" w:hAnsi="宋体" w:eastAsia="宋体" w:cs="宋体"/>
      </w:rPr>
    </w:lvl>
    <w:lvl w:ilvl="8" w:tentative="0">
      <w:start w:val="1"/>
      <w:numFmt w:val="lowerRoman"/>
      <w:lvlText w:val="%9."/>
      <w:lvlJc w:val="right"/>
      <w:pPr>
        <w:tabs>
          <w:tab w:val="left" w:pos="1140"/>
        </w:tabs>
        <w:ind w:left="726" w:hanging="363"/>
      </w:pPr>
      <w:rPr>
        <w:rFonts w:hint="eastAsia" w:ascii="宋体" w:hAnsi="宋体" w:eastAsia="宋体" w:cs="宋体"/>
      </w:rPr>
    </w:lvl>
  </w:abstractNum>
  <w:abstractNum w:abstractNumId="12">
    <w:nsid w:val="5FB732AA"/>
    <w:multiLevelType w:val="multilevel"/>
    <w:tmpl w:val="5FB732AA"/>
    <w:lvl w:ilvl="0" w:tentative="0">
      <w:start w:val="1"/>
      <w:numFmt w:val="lowerLetter"/>
      <w:lvlText w:val="%1）"/>
      <w:lvlJc w:val="left"/>
      <w:pPr>
        <w:tabs>
          <w:tab w:val="left" w:pos="420"/>
        </w:tabs>
        <w:ind w:left="860" w:hanging="440"/>
      </w:pPr>
      <w:rPr>
        <w:rFonts w:hint="default" w:ascii="Times New Roman" w:hAnsi="Times New Roman" w:cs="Times New Roman"/>
      </w:rPr>
    </w:lvl>
    <w:lvl w:ilvl="1" w:tentative="0">
      <w:start w:val="1"/>
      <w:numFmt w:val="lowerLetter"/>
      <w:lvlText w:val="%2)"/>
      <w:lvlJc w:val="left"/>
      <w:pPr>
        <w:tabs>
          <w:tab w:val="left" w:pos="420"/>
        </w:tabs>
        <w:ind w:left="1300" w:hanging="440"/>
      </w:pPr>
      <w:rPr>
        <w:rFonts w:hint="default" w:ascii="Times New Roman" w:hAnsi="Times New Roman" w:cs="Times New Roman"/>
      </w:rPr>
    </w:lvl>
    <w:lvl w:ilvl="2" w:tentative="0">
      <w:start w:val="1"/>
      <w:numFmt w:val="lowerRoman"/>
      <w:lvlText w:val="%3."/>
      <w:lvlJc w:val="right"/>
      <w:pPr>
        <w:tabs>
          <w:tab w:val="left" w:pos="420"/>
        </w:tabs>
        <w:ind w:left="1740" w:hanging="440"/>
      </w:pPr>
      <w:rPr>
        <w:rFonts w:hint="default" w:ascii="Times New Roman" w:hAnsi="Times New Roman" w:cs="Times New Roman"/>
      </w:rPr>
    </w:lvl>
    <w:lvl w:ilvl="3" w:tentative="0">
      <w:start w:val="1"/>
      <w:numFmt w:val="decimal"/>
      <w:lvlText w:val="%4."/>
      <w:lvlJc w:val="left"/>
      <w:pPr>
        <w:tabs>
          <w:tab w:val="left" w:pos="420"/>
        </w:tabs>
        <w:ind w:left="2180" w:hanging="440"/>
      </w:pPr>
      <w:rPr>
        <w:rFonts w:hint="default" w:ascii="Times New Roman" w:hAnsi="Times New Roman" w:cs="Times New Roman"/>
      </w:rPr>
    </w:lvl>
    <w:lvl w:ilvl="4" w:tentative="0">
      <w:start w:val="1"/>
      <w:numFmt w:val="lowerLetter"/>
      <w:lvlText w:val="%5)"/>
      <w:lvlJc w:val="left"/>
      <w:pPr>
        <w:tabs>
          <w:tab w:val="left" w:pos="420"/>
        </w:tabs>
        <w:ind w:left="2620" w:hanging="440"/>
      </w:pPr>
      <w:rPr>
        <w:rFonts w:hint="default" w:ascii="Times New Roman" w:hAnsi="Times New Roman" w:cs="Times New Roman"/>
      </w:rPr>
    </w:lvl>
    <w:lvl w:ilvl="5" w:tentative="0">
      <w:start w:val="1"/>
      <w:numFmt w:val="lowerRoman"/>
      <w:lvlText w:val="%6."/>
      <w:lvlJc w:val="right"/>
      <w:pPr>
        <w:tabs>
          <w:tab w:val="left" w:pos="420"/>
        </w:tabs>
        <w:ind w:left="3060" w:hanging="440"/>
      </w:pPr>
      <w:rPr>
        <w:rFonts w:hint="default" w:ascii="Times New Roman" w:hAnsi="Times New Roman" w:cs="Times New Roman"/>
      </w:rPr>
    </w:lvl>
    <w:lvl w:ilvl="6" w:tentative="0">
      <w:start w:val="1"/>
      <w:numFmt w:val="decimal"/>
      <w:lvlText w:val="%7."/>
      <w:lvlJc w:val="left"/>
      <w:pPr>
        <w:tabs>
          <w:tab w:val="left" w:pos="420"/>
        </w:tabs>
        <w:ind w:left="3500" w:hanging="440"/>
      </w:pPr>
      <w:rPr>
        <w:rFonts w:hint="default" w:ascii="Times New Roman" w:hAnsi="Times New Roman" w:cs="Times New Roman"/>
      </w:rPr>
    </w:lvl>
    <w:lvl w:ilvl="7" w:tentative="0">
      <w:start w:val="1"/>
      <w:numFmt w:val="lowerLetter"/>
      <w:lvlText w:val="%8)"/>
      <w:lvlJc w:val="left"/>
      <w:pPr>
        <w:tabs>
          <w:tab w:val="left" w:pos="420"/>
        </w:tabs>
        <w:ind w:left="3940" w:hanging="440"/>
      </w:pPr>
      <w:rPr>
        <w:rFonts w:hint="default" w:ascii="Times New Roman" w:hAnsi="Times New Roman" w:cs="Times New Roman"/>
      </w:rPr>
    </w:lvl>
    <w:lvl w:ilvl="8" w:tentative="0">
      <w:start w:val="1"/>
      <w:numFmt w:val="lowerRoman"/>
      <w:lvlText w:val="%9."/>
      <w:lvlJc w:val="right"/>
      <w:pPr>
        <w:tabs>
          <w:tab w:val="left" w:pos="420"/>
        </w:tabs>
        <w:ind w:left="4380" w:hanging="440"/>
      </w:pPr>
      <w:rPr>
        <w:rFonts w:hint="default" w:ascii="Times New Roman" w:hAnsi="Times New Roman" w:cs="Times New Roman"/>
      </w:rPr>
    </w:lvl>
  </w:abstractNum>
  <w:abstractNum w:abstractNumId="13">
    <w:nsid w:val="68538239"/>
    <w:multiLevelType w:val="multilevel"/>
    <w:tmpl w:val="68538239"/>
    <w:lvl w:ilvl="0" w:tentative="0">
      <w:start w:val="1"/>
      <w:numFmt w:val="decimal"/>
      <w:suff w:val="nothing"/>
      <w:lvlText w:val="%1　"/>
      <w:lvlJc w:val="left"/>
      <w:pPr>
        <w:ind w:left="0" w:firstLine="0"/>
      </w:pPr>
      <w:rPr>
        <w:rFonts w:hint="eastAsia" w:ascii="黑体" w:hAnsi="Times New Roman" w:eastAsia="黑体" w:cs="黑体"/>
        <w:b w:val="0"/>
        <w:i w:val="0"/>
        <w:sz w:val="21"/>
        <w:szCs w:val="21"/>
      </w:rPr>
    </w:lvl>
    <w:lvl w:ilvl="1" w:tentative="0">
      <w:start w:val="1"/>
      <w:numFmt w:val="decimal"/>
      <w:suff w:val="nothing"/>
      <w:lvlText w:val="%1.%2　"/>
      <w:lvlJc w:val="left"/>
      <w:pPr>
        <w:ind w:left="0" w:firstLine="0"/>
      </w:pPr>
      <w:rPr>
        <w:rFonts w:hint="eastAsia" w:ascii="黑体" w:hAnsi="Times New Roman" w:eastAsia="黑体" w:cs="Times New Roman"/>
        <w:b w:val="0"/>
        <w:bCs w:val="0"/>
        <w:i w:val="0"/>
        <w:iCs w:val="0"/>
        <w:caps w:val="0"/>
        <w:spacing w:val="0"/>
        <w:sz w:val="21"/>
        <w:szCs w:val="21"/>
      </w:rPr>
    </w:lvl>
    <w:lvl w:ilvl="2" w:tentative="0">
      <w:start w:val="1"/>
      <w:numFmt w:val="decimal"/>
      <w:suff w:val="nothing"/>
      <w:lvlText w:val="%1.%2.%3　"/>
      <w:lvlJc w:val="left"/>
      <w:pPr>
        <w:ind w:left="1419" w:firstLine="0"/>
      </w:pPr>
      <w:rPr>
        <w:rFonts w:hint="eastAsia" w:ascii="黑体" w:hAnsi="Times New Roman" w:eastAsia="黑体" w:cs="黑体"/>
        <w:b w:val="0"/>
        <w:i w:val="0"/>
        <w:sz w:val="21"/>
        <w:szCs w:val="21"/>
      </w:rPr>
    </w:lvl>
    <w:lvl w:ilvl="3" w:tentative="0">
      <w:start w:val="1"/>
      <w:numFmt w:val="decimal"/>
      <w:suff w:val="nothing"/>
      <w:lvlText w:val="%1.%2.%3.%4　"/>
      <w:lvlJc w:val="left"/>
      <w:pPr>
        <w:ind w:left="0" w:firstLine="0"/>
      </w:pPr>
      <w:rPr>
        <w:rFonts w:hint="eastAsia" w:ascii="黑体" w:hAnsi="Times New Roman" w:eastAsia="黑体" w:cs="黑体"/>
        <w:b w:val="0"/>
        <w:i w:val="0"/>
        <w:sz w:val="21"/>
        <w:szCs w:val="21"/>
      </w:rPr>
    </w:lvl>
    <w:lvl w:ilvl="4" w:tentative="0">
      <w:start w:val="1"/>
      <w:numFmt w:val="decimal"/>
      <w:suff w:val="nothing"/>
      <w:lvlText w:val="%1.%2.%3.%4.%5　"/>
      <w:lvlJc w:val="left"/>
      <w:pPr>
        <w:ind w:left="0" w:firstLine="0"/>
      </w:pPr>
      <w:rPr>
        <w:rFonts w:hint="eastAsia" w:ascii="黑体" w:hAnsi="Times New Roman" w:eastAsia="黑体" w:cs="黑体"/>
        <w:b w:val="0"/>
        <w:i w:val="0"/>
        <w:sz w:val="21"/>
        <w:szCs w:val="21"/>
      </w:rPr>
    </w:lvl>
    <w:lvl w:ilvl="5" w:tentative="0">
      <w:start w:val="1"/>
      <w:numFmt w:val="decimal"/>
      <w:suff w:val="nothing"/>
      <w:lvlText w:val="%1.%2.%3.%4.%5.%6　"/>
      <w:lvlJc w:val="left"/>
      <w:pPr>
        <w:ind w:left="0" w:firstLine="0"/>
      </w:pPr>
      <w:rPr>
        <w:rFonts w:hint="eastAsia" w:ascii="黑体" w:hAnsi="Times New Roman" w:eastAsia="黑体" w:cs="黑体"/>
        <w:b w:val="0"/>
        <w:i w:val="0"/>
        <w:sz w:val="21"/>
        <w:szCs w:val="21"/>
      </w:rPr>
    </w:lvl>
    <w:lvl w:ilvl="6" w:tentative="0">
      <w:start w:val="1"/>
      <w:numFmt w:val="decimal"/>
      <w:suff w:val="nothing"/>
      <w:lvlText w:val="%1%2.%3.%4.%5.%6.%7　"/>
      <w:lvlJc w:val="left"/>
      <w:pPr>
        <w:ind w:left="0" w:firstLine="0"/>
      </w:pPr>
      <w:rPr>
        <w:rFonts w:hint="eastAsia" w:ascii="黑体" w:hAnsi="Times New Roman" w:eastAsia="黑体" w:cs="黑体"/>
        <w:b w:val="0"/>
        <w:i w:val="0"/>
        <w:sz w:val="21"/>
        <w:szCs w:val="21"/>
      </w:rPr>
    </w:lvl>
    <w:lvl w:ilvl="7" w:tentative="0">
      <w:start w:val="1"/>
      <w:numFmt w:val="decimal"/>
      <w:lvlText w:val="%1.%2.%3.%4.%5.%6.%7.%8"/>
      <w:lvlJc w:val="left"/>
      <w:pPr>
        <w:tabs>
          <w:tab w:val="left" w:pos="4351"/>
        </w:tabs>
        <w:ind w:left="3969" w:hanging="1418"/>
      </w:pPr>
      <w:rPr>
        <w:rFonts w:hint="eastAsia" w:ascii="宋体" w:hAnsi="宋体" w:eastAsia="宋体" w:cs="宋体"/>
      </w:rPr>
    </w:lvl>
    <w:lvl w:ilvl="8" w:tentative="0">
      <w:start w:val="1"/>
      <w:numFmt w:val="decimal"/>
      <w:lvlText w:val="%1.%2.%3.%4.%5.%6.%7.%8.%9"/>
      <w:lvlJc w:val="left"/>
      <w:pPr>
        <w:tabs>
          <w:tab w:val="left" w:pos="4777"/>
        </w:tabs>
        <w:ind w:left="4677" w:hanging="1700"/>
      </w:pPr>
      <w:rPr>
        <w:rFonts w:hint="eastAsia" w:ascii="宋体" w:hAnsi="宋体" w:eastAsia="宋体" w:cs="宋体"/>
      </w:rPr>
    </w:lvl>
  </w:abstractNum>
  <w:abstractNum w:abstractNumId="14">
    <w:nsid w:val="6F90493E"/>
    <w:multiLevelType w:val="multilevel"/>
    <w:tmpl w:val="6F90493E"/>
    <w:lvl w:ilvl="0" w:tentative="0">
      <w:start w:val="1"/>
      <w:numFmt w:val="lowerLetter"/>
      <w:lvlText w:val="%1）"/>
      <w:lvlJc w:val="left"/>
      <w:pPr>
        <w:tabs>
          <w:tab w:val="left" w:pos="420"/>
        </w:tabs>
        <w:ind w:left="860" w:hanging="440"/>
      </w:pPr>
      <w:rPr>
        <w:rFonts w:hint="default" w:ascii="Times New Roman" w:hAnsi="Times New Roman" w:cs="Times New Roman"/>
      </w:rPr>
    </w:lvl>
    <w:lvl w:ilvl="1" w:tentative="0">
      <w:start w:val="1"/>
      <w:numFmt w:val="lowerLetter"/>
      <w:lvlText w:val="%2)"/>
      <w:lvlJc w:val="left"/>
      <w:pPr>
        <w:tabs>
          <w:tab w:val="left" w:pos="420"/>
        </w:tabs>
        <w:ind w:left="1300" w:hanging="440"/>
      </w:pPr>
      <w:rPr>
        <w:rFonts w:hint="default" w:ascii="Times New Roman" w:hAnsi="Times New Roman" w:cs="Times New Roman"/>
      </w:rPr>
    </w:lvl>
    <w:lvl w:ilvl="2" w:tentative="0">
      <w:start w:val="1"/>
      <w:numFmt w:val="lowerRoman"/>
      <w:lvlText w:val="%3."/>
      <w:lvlJc w:val="right"/>
      <w:pPr>
        <w:tabs>
          <w:tab w:val="left" w:pos="420"/>
        </w:tabs>
        <w:ind w:left="1740" w:hanging="440"/>
      </w:pPr>
      <w:rPr>
        <w:rFonts w:hint="default" w:ascii="Times New Roman" w:hAnsi="Times New Roman" w:cs="Times New Roman"/>
      </w:rPr>
    </w:lvl>
    <w:lvl w:ilvl="3" w:tentative="0">
      <w:start w:val="1"/>
      <w:numFmt w:val="decimal"/>
      <w:lvlText w:val="%4."/>
      <w:lvlJc w:val="left"/>
      <w:pPr>
        <w:tabs>
          <w:tab w:val="left" w:pos="420"/>
        </w:tabs>
        <w:ind w:left="2180" w:hanging="440"/>
      </w:pPr>
      <w:rPr>
        <w:rFonts w:hint="default" w:ascii="Times New Roman" w:hAnsi="Times New Roman" w:cs="Times New Roman"/>
      </w:rPr>
    </w:lvl>
    <w:lvl w:ilvl="4" w:tentative="0">
      <w:start w:val="1"/>
      <w:numFmt w:val="lowerLetter"/>
      <w:lvlText w:val="%5)"/>
      <w:lvlJc w:val="left"/>
      <w:pPr>
        <w:tabs>
          <w:tab w:val="left" w:pos="420"/>
        </w:tabs>
        <w:ind w:left="2620" w:hanging="440"/>
      </w:pPr>
      <w:rPr>
        <w:rFonts w:hint="default" w:ascii="Times New Roman" w:hAnsi="Times New Roman" w:cs="Times New Roman"/>
      </w:rPr>
    </w:lvl>
    <w:lvl w:ilvl="5" w:tentative="0">
      <w:start w:val="1"/>
      <w:numFmt w:val="lowerRoman"/>
      <w:lvlText w:val="%6."/>
      <w:lvlJc w:val="right"/>
      <w:pPr>
        <w:tabs>
          <w:tab w:val="left" w:pos="420"/>
        </w:tabs>
        <w:ind w:left="3060" w:hanging="440"/>
      </w:pPr>
      <w:rPr>
        <w:rFonts w:hint="default" w:ascii="Times New Roman" w:hAnsi="Times New Roman" w:cs="Times New Roman"/>
      </w:rPr>
    </w:lvl>
    <w:lvl w:ilvl="6" w:tentative="0">
      <w:start w:val="1"/>
      <w:numFmt w:val="decimal"/>
      <w:lvlText w:val="%7."/>
      <w:lvlJc w:val="left"/>
      <w:pPr>
        <w:tabs>
          <w:tab w:val="left" w:pos="420"/>
        </w:tabs>
        <w:ind w:left="3500" w:hanging="440"/>
      </w:pPr>
      <w:rPr>
        <w:rFonts w:hint="default" w:ascii="Times New Roman" w:hAnsi="Times New Roman" w:cs="Times New Roman"/>
      </w:rPr>
    </w:lvl>
    <w:lvl w:ilvl="7" w:tentative="0">
      <w:start w:val="1"/>
      <w:numFmt w:val="lowerLetter"/>
      <w:lvlText w:val="%8)"/>
      <w:lvlJc w:val="left"/>
      <w:pPr>
        <w:tabs>
          <w:tab w:val="left" w:pos="420"/>
        </w:tabs>
        <w:ind w:left="3940" w:hanging="440"/>
      </w:pPr>
      <w:rPr>
        <w:rFonts w:hint="default" w:ascii="Times New Roman" w:hAnsi="Times New Roman" w:cs="Times New Roman"/>
      </w:rPr>
    </w:lvl>
    <w:lvl w:ilvl="8" w:tentative="0">
      <w:start w:val="1"/>
      <w:numFmt w:val="lowerRoman"/>
      <w:lvlText w:val="%9."/>
      <w:lvlJc w:val="right"/>
      <w:pPr>
        <w:tabs>
          <w:tab w:val="left" w:pos="420"/>
        </w:tabs>
        <w:ind w:left="4380" w:hanging="440"/>
      </w:pPr>
      <w:rPr>
        <w:rFonts w:hint="default" w:ascii="Times New Roman" w:hAnsi="Times New Roman" w:cs="Times New Roman"/>
      </w:rPr>
    </w:lvl>
  </w:abstractNum>
  <w:num w:numId="1">
    <w:abstractNumId w:val="13"/>
  </w:num>
  <w:num w:numId="2">
    <w:abstractNumId w:val="7"/>
  </w:num>
  <w:num w:numId="3">
    <w:abstractNumId w:val="0"/>
  </w:num>
  <w:num w:numId="4">
    <w:abstractNumId w:val="10"/>
  </w:num>
  <w:num w:numId="5">
    <w:abstractNumId w:val="4"/>
  </w:num>
  <w:num w:numId="6">
    <w:abstractNumId w:val="12"/>
  </w:num>
  <w:num w:numId="7">
    <w:abstractNumId w:val="3"/>
  </w:num>
  <w:num w:numId="8">
    <w:abstractNumId w:val="1"/>
  </w:num>
  <w:num w:numId="9">
    <w:abstractNumId w:val="2"/>
  </w:num>
  <w:num w:numId="10">
    <w:abstractNumId w:val="9"/>
  </w:num>
  <w:num w:numId="11">
    <w:abstractNumId w:val="14"/>
  </w:num>
  <w:num w:numId="12">
    <w:abstractNumId w:val="6"/>
  </w:num>
  <w:num w:numId="13">
    <w:abstractNumId w:val="11"/>
  </w:num>
  <w:num w:numId="14">
    <w:abstractNumId w:val="8"/>
  </w:num>
  <w:num w:numId="1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jVjNzYzOGQ5ZDU0ZmYwMjFlZjJmMWExYjMwOTcyOTAifQ=="/>
  </w:docVars>
  <w:rsids>
    <w:rsidRoot w:val="00184AF5"/>
    <w:rsid w:val="00005E2B"/>
    <w:rsid w:val="0009353D"/>
    <w:rsid w:val="000B7935"/>
    <w:rsid w:val="000D4511"/>
    <w:rsid w:val="00166D6C"/>
    <w:rsid w:val="00176557"/>
    <w:rsid w:val="001849A3"/>
    <w:rsid w:val="00184AF5"/>
    <w:rsid w:val="001D67C3"/>
    <w:rsid w:val="001F4272"/>
    <w:rsid w:val="00207AB4"/>
    <w:rsid w:val="002122EF"/>
    <w:rsid w:val="00234671"/>
    <w:rsid w:val="00254A60"/>
    <w:rsid w:val="00262720"/>
    <w:rsid w:val="00291288"/>
    <w:rsid w:val="002952DD"/>
    <w:rsid w:val="002A3AF6"/>
    <w:rsid w:val="00322EEC"/>
    <w:rsid w:val="00334354"/>
    <w:rsid w:val="003C362D"/>
    <w:rsid w:val="003F42BB"/>
    <w:rsid w:val="00406787"/>
    <w:rsid w:val="0045272A"/>
    <w:rsid w:val="004761D9"/>
    <w:rsid w:val="004B0242"/>
    <w:rsid w:val="004B6C88"/>
    <w:rsid w:val="0051507B"/>
    <w:rsid w:val="005269A7"/>
    <w:rsid w:val="00540F65"/>
    <w:rsid w:val="00543B7F"/>
    <w:rsid w:val="00604DFF"/>
    <w:rsid w:val="00623833"/>
    <w:rsid w:val="00632B1D"/>
    <w:rsid w:val="00696DDF"/>
    <w:rsid w:val="006B0139"/>
    <w:rsid w:val="006B7082"/>
    <w:rsid w:val="006D388B"/>
    <w:rsid w:val="006E359D"/>
    <w:rsid w:val="00702841"/>
    <w:rsid w:val="00711C11"/>
    <w:rsid w:val="00746136"/>
    <w:rsid w:val="007F5501"/>
    <w:rsid w:val="00823751"/>
    <w:rsid w:val="0084757F"/>
    <w:rsid w:val="00857BEF"/>
    <w:rsid w:val="00873934"/>
    <w:rsid w:val="0088636D"/>
    <w:rsid w:val="00892AFA"/>
    <w:rsid w:val="008D54AF"/>
    <w:rsid w:val="008F0840"/>
    <w:rsid w:val="00920AE4"/>
    <w:rsid w:val="00926D45"/>
    <w:rsid w:val="00961F9A"/>
    <w:rsid w:val="009946E8"/>
    <w:rsid w:val="009E3BE2"/>
    <w:rsid w:val="009F1A19"/>
    <w:rsid w:val="009F7A6E"/>
    <w:rsid w:val="00A15308"/>
    <w:rsid w:val="00A156F5"/>
    <w:rsid w:val="00A630F4"/>
    <w:rsid w:val="00A72AD0"/>
    <w:rsid w:val="00A9479E"/>
    <w:rsid w:val="00AA1476"/>
    <w:rsid w:val="00AA37DA"/>
    <w:rsid w:val="00BD3B76"/>
    <w:rsid w:val="00BD7D1E"/>
    <w:rsid w:val="00C32275"/>
    <w:rsid w:val="00C93EF7"/>
    <w:rsid w:val="00CA7326"/>
    <w:rsid w:val="00CB1A08"/>
    <w:rsid w:val="00CC324F"/>
    <w:rsid w:val="00CD2EC4"/>
    <w:rsid w:val="00D2071E"/>
    <w:rsid w:val="00D36737"/>
    <w:rsid w:val="00D47959"/>
    <w:rsid w:val="00DA10C8"/>
    <w:rsid w:val="00E54120"/>
    <w:rsid w:val="00EB3ABE"/>
    <w:rsid w:val="00EC104C"/>
    <w:rsid w:val="00F46814"/>
    <w:rsid w:val="00F87A47"/>
    <w:rsid w:val="3F8F0FBD"/>
    <w:rsid w:val="563566D3"/>
    <w:rsid w:val="5BD53534"/>
    <w:rsid w:val="65E90F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14:ligatures w14:val="standardContextual"/>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toc 3"/>
    <w:basedOn w:val="1"/>
    <w:next w:val="1"/>
    <w:qFormat/>
    <w:uiPriority w:val="39"/>
    <w:pPr>
      <w:tabs>
        <w:tab w:val="right" w:leader="dot" w:pos="9241"/>
      </w:tabs>
      <w:ind w:firstLine="102" w:firstLineChars="100"/>
      <w:jc w:val="left"/>
    </w:pPr>
    <w:rPr>
      <w:rFonts w:ascii="宋体"/>
      <w:szCs w:val="21"/>
    </w:rPr>
  </w:style>
  <w:style w:type="paragraph" w:styleId="3">
    <w:name w:val="footer"/>
    <w:basedOn w:val="1"/>
    <w:link w:val="11"/>
    <w:unhideWhenUsed/>
    <w:qFormat/>
    <w:uiPriority w:val="99"/>
    <w:pPr>
      <w:tabs>
        <w:tab w:val="center" w:pos="4153"/>
        <w:tab w:val="right" w:pos="8306"/>
      </w:tabs>
      <w:snapToGrid w:val="0"/>
      <w:jc w:val="left"/>
    </w:pPr>
    <w:rPr>
      <w:sz w:val="18"/>
      <w:szCs w:val="18"/>
    </w:rPr>
  </w:style>
  <w:style w:type="paragraph" w:styleId="4">
    <w:name w:val="header"/>
    <w:basedOn w:val="1"/>
    <w:link w:val="10"/>
    <w:unhideWhenUsed/>
    <w:qFormat/>
    <w:uiPriority w:val="99"/>
    <w:pPr>
      <w:tabs>
        <w:tab w:val="center" w:pos="4153"/>
        <w:tab w:val="right" w:pos="8306"/>
      </w:tabs>
      <w:snapToGrid w:val="0"/>
      <w:jc w:val="center"/>
    </w:pPr>
    <w:rPr>
      <w:sz w:val="18"/>
      <w:szCs w:val="18"/>
    </w:rPr>
  </w:style>
  <w:style w:type="paragraph" w:styleId="5">
    <w:name w:val="toc 1"/>
    <w:basedOn w:val="1"/>
    <w:next w:val="1"/>
    <w:qFormat/>
    <w:uiPriority w:val="39"/>
    <w:pPr>
      <w:tabs>
        <w:tab w:val="right" w:leader="dot" w:pos="9241"/>
      </w:tabs>
      <w:spacing w:before="25" w:beforeLines="25" w:after="25" w:afterLines="25"/>
      <w:jc w:val="left"/>
    </w:pPr>
    <w:rPr>
      <w:rFonts w:ascii="宋体"/>
      <w:szCs w:val="21"/>
    </w:rPr>
  </w:style>
  <w:style w:type="paragraph" w:styleId="6">
    <w:name w:val="toc 2"/>
    <w:basedOn w:val="1"/>
    <w:next w:val="1"/>
    <w:qFormat/>
    <w:uiPriority w:val="39"/>
    <w:pPr>
      <w:tabs>
        <w:tab w:val="right" w:leader="dot" w:pos="9241"/>
      </w:tabs>
    </w:pPr>
    <w:rPr>
      <w:rFonts w:ascii="宋体"/>
      <w:szCs w:val="21"/>
    </w:rPr>
  </w:style>
  <w:style w:type="character" w:styleId="9">
    <w:name w:val="Hyperlink"/>
    <w:basedOn w:val="8"/>
    <w:unhideWhenUsed/>
    <w:uiPriority w:val="99"/>
    <w:rPr>
      <w:color w:val="0563C1" w:themeColor="hyperlink"/>
      <w:u w:val="single"/>
      <w14:textFill>
        <w14:solidFill>
          <w14:schemeClr w14:val="hlink"/>
        </w14:solidFill>
      </w14:textFill>
    </w:rPr>
  </w:style>
  <w:style w:type="character" w:customStyle="1" w:styleId="10">
    <w:name w:val="页眉 字符"/>
    <w:basedOn w:val="8"/>
    <w:link w:val="4"/>
    <w:qFormat/>
    <w:uiPriority w:val="99"/>
    <w:rPr>
      <w:sz w:val="18"/>
      <w:szCs w:val="18"/>
    </w:rPr>
  </w:style>
  <w:style w:type="character" w:customStyle="1" w:styleId="11">
    <w:name w:val="页脚 字符"/>
    <w:basedOn w:val="8"/>
    <w:link w:val="3"/>
    <w:qFormat/>
    <w:uiPriority w:val="99"/>
    <w:rPr>
      <w:sz w:val="18"/>
      <w:szCs w:val="18"/>
    </w:rPr>
  </w:style>
  <w:style w:type="paragraph" w:customStyle="1" w:styleId="12">
    <w:name w:val="一级条标题"/>
    <w:basedOn w:val="1"/>
    <w:next w:val="13"/>
    <w:qFormat/>
    <w:uiPriority w:val="0"/>
    <w:pPr>
      <w:widowControl/>
      <w:spacing w:before="156" w:beforeLines="50" w:after="156" w:afterLines="50"/>
      <w:jc w:val="left"/>
      <w:outlineLvl w:val="2"/>
    </w:pPr>
    <w:rPr>
      <w:rFonts w:hint="eastAsia" w:ascii="黑体" w:hAnsi="宋体" w:eastAsia="黑体" w:cs="Times New Roman"/>
      <w:kern w:val="0"/>
      <w:szCs w:val="21"/>
    </w:rPr>
  </w:style>
  <w:style w:type="paragraph" w:customStyle="1" w:styleId="13">
    <w:name w:val="段"/>
    <w:basedOn w:val="1"/>
    <w:uiPriority w:val="0"/>
    <w:pPr>
      <w:widowControl/>
      <w:autoSpaceDE w:val="0"/>
      <w:autoSpaceDN w:val="0"/>
      <w:ind w:firstLine="420" w:firstLineChars="200"/>
    </w:pPr>
    <w:rPr>
      <w:rFonts w:hint="eastAsia" w:ascii="宋体" w:hAnsi="宋体" w:eastAsia="宋体" w:cs="Times New Roman"/>
      <w:kern w:val="0"/>
      <w:szCs w:val="21"/>
    </w:rPr>
  </w:style>
  <w:style w:type="paragraph" w:customStyle="1" w:styleId="14">
    <w:name w:val="二级条标题"/>
    <w:basedOn w:val="12"/>
    <w:next w:val="13"/>
    <w:qFormat/>
    <w:uiPriority w:val="0"/>
    <w:pPr>
      <w:spacing w:before="50" w:after="50"/>
      <w:outlineLvl w:val="3"/>
    </w:pPr>
  </w:style>
  <w:style w:type="paragraph" w:customStyle="1" w:styleId="15">
    <w:name w:val="前言、引言标题"/>
    <w:basedOn w:val="1"/>
    <w:next w:val="13"/>
    <w:qFormat/>
    <w:uiPriority w:val="0"/>
    <w:pPr>
      <w:keepNext/>
      <w:pageBreakBefore/>
      <w:widowControl/>
      <w:shd w:val="clear" w:color="auto" w:fill="FFFFFF"/>
      <w:spacing w:before="640" w:after="560"/>
      <w:jc w:val="center"/>
      <w:outlineLvl w:val="0"/>
    </w:pPr>
    <w:rPr>
      <w:rFonts w:hint="eastAsia" w:ascii="黑体" w:hAnsi="宋体" w:eastAsia="黑体" w:cs="Times New Roman"/>
      <w:kern w:val="0"/>
      <w:sz w:val="32"/>
      <w:szCs w:val="32"/>
    </w:rPr>
  </w:style>
  <w:style w:type="paragraph" w:customStyle="1" w:styleId="16">
    <w:name w:val="参考文献"/>
    <w:basedOn w:val="1"/>
    <w:next w:val="13"/>
    <w:qFormat/>
    <w:uiPriority w:val="0"/>
    <w:pPr>
      <w:keepNext/>
      <w:pageBreakBefore/>
      <w:widowControl/>
      <w:shd w:val="clear" w:color="auto" w:fill="FFFFFF"/>
      <w:spacing w:before="640" w:after="200"/>
      <w:jc w:val="center"/>
      <w:outlineLvl w:val="0"/>
    </w:pPr>
    <w:rPr>
      <w:rFonts w:hint="eastAsia" w:ascii="黑体" w:hAnsi="宋体" w:eastAsia="黑体" w:cs="Times New Roman"/>
      <w:kern w:val="0"/>
      <w:szCs w:val="21"/>
    </w:rPr>
  </w:style>
  <w:style w:type="paragraph" w:customStyle="1" w:styleId="17">
    <w:name w:val="章标题"/>
    <w:basedOn w:val="1"/>
    <w:next w:val="13"/>
    <w:qFormat/>
    <w:uiPriority w:val="0"/>
    <w:pPr>
      <w:widowControl/>
      <w:spacing w:before="312" w:beforeLines="100" w:after="312" w:afterLines="100"/>
      <w:outlineLvl w:val="1"/>
    </w:pPr>
    <w:rPr>
      <w:rFonts w:hint="eastAsia" w:ascii="黑体" w:hAnsi="宋体" w:eastAsia="黑体" w:cs="Times New Roman"/>
      <w:kern w:val="0"/>
      <w:szCs w:val="21"/>
    </w:rPr>
  </w:style>
  <w:style w:type="paragraph" w:customStyle="1" w:styleId="18">
    <w:name w:val="字母编号列项（一级）"/>
    <w:basedOn w:val="1"/>
    <w:qFormat/>
    <w:uiPriority w:val="0"/>
    <w:pPr>
      <w:widowControl/>
      <w:ind w:left="839" w:hanging="419"/>
    </w:pPr>
    <w:rPr>
      <w:rFonts w:hint="eastAsia" w:ascii="宋体" w:hAnsi="宋体" w:eastAsia="宋体" w:cs="Times New Roman"/>
      <w:kern w:val="0"/>
      <w:szCs w:val="21"/>
    </w:rPr>
  </w:style>
  <w:style w:type="paragraph" w:customStyle="1" w:styleId="19">
    <w:name w:val="注：（正文）"/>
    <w:next w:val="13"/>
    <w:qFormat/>
    <w:uiPriority w:val="0"/>
    <w:pPr>
      <w:widowControl w:val="0"/>
      <w:autoSpaceDE w:val="0"/>
      <w:autoSpaceDN w:val="0"/>
      <w:ind w:left="726" w:hanging="363"/>
      <w:jc w:val="both"/>
    </w:pPr>
    <w:rPr>
      <w:rFonts w:hint="eastAsia" w:ascii="宋体" w:hAnsi="宋体" w:eastAsia="宋体" w:cs="Times New Roman"/>
      <w:sz w:val="18"/>
      <w:szCs w:val="18"/>
      <w:lang w:val="en-US" w:eastAsia="zh-CN" w:bidi="ar-SA"/>
    </w:rPr>
  </w:style>
  <w:style w:type="paragraph" w:customStyle="1" w:styleId="20">
    <w:name w:val="三级条标题"/>
    <w:basedOn w:val="14"/>
    <w:next w:val="13"/>
    <w:qFormat/>
    <w:uiPriority w:val="0"/>
    <w:pPr>
      <w:outlineLvl w:val="4"/>
    </w:pPr>
  </w:style>
  <w:style w:type="paragraph" w:customStyle="1" w:styleId="21">
    <w:name w:val="参考文献正文"/>
    <w:basedOn w:val="1"/>
    <w:qFormat/>
    <w:uiPriority w:val="0"/>
    <w:pPr>
      <w:widowControl/>
      <w:autoSpaceDE w:val="0"/>
      <w:autoSpaceDN w:val="0"/>
      <w:ind w:firstLine="420" w:firstLineChars="200"/>
      <w:jc w:val="left"/>
    </w:pPr>
    <w:rPr>
      <w:rFonts w:hint="eastAsia" w:ascii="宋体" w:hAnsi="宋体" w:eastAsia="宋体" w:cs="Times New Roman"/>
      <w:kern w:val="0"/>
      <w:szCs w:val="21"/>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header" Target="header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HP</Company>
  <Pages>13</Pages>
  <Words>6297</Words>
  <Characters>7534</Characters>
  <Lines>68</Lines>
  <Paragraphs>19</Paragraphs>
  <TotalTime>14</TotalTime>
  <ScaleCrop>false</ScaleCrop>
  <LinksUpToDate>false</LinksUpToDate>
  <CharactersWithSpaces>7785</CharactersWithSpaces>
  <Application>WPS Office_12.1.0.18196_F1E327BC-269C-435d-A152-05C5408002CA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2024-11-06T01:32:00Z</dcterms:created>
  <dc:creator>会慧 艾</dc:creator>
  <cp:lastModifiedBy>葫芦娃穿军装</cp:lastModifiedBy>
  <cp:lastPrinted>2024-10-15T01:11:00Z</cp:lastPrinted>
  <dcterms:modified xsi:type="dcterms:W3CDTF">2024-11-07T09:16:28Z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2052-12.1.0.18196</vt:lpwstr>
  </property>
  <property fmtid="{D5CDD505-2E9C-101B-9397-08002B2CF9AE}" pid="3" name="ICV">
    <vt:lpwstr>4C678F72115E4C26A711FC74D86F9474_13</vt:lpwstr>
  </property>
</Properties>
</file>