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8"/>
        <w:framePr w:wrap="around"/>
        <w:rPr>
          <w:rFonts w:ascii="Times New Roman"/>
        </w:rPr>
      </w:pPr>
      <w:bookmarkStart w:id="0" w:name="WXFLH"/>
      <w:r>
        <w:rPr>
          <w:rFonts w:ascii="Times New Roman"/>
        </w:rPr>
        <w:t xml:space="preserve">ICS 03.100.01 </w:t>
      </w:r>
    </w:p>
    <w:p>
      <w:pPr>
        <w:pStyle w:val="128"/>
        <w:framePr w:wrap="around"/>
        <w:rPr>
          <w:rFonts w:ascii="Times New Roman"/>
        </w:rPr>
      </w:pPr>
      <w:r>
        <w:rPr>
          <w:rFonts w:ascii="Times New Roman"/>
        </w:rPr>
        <w:t>A 02</w:t>
      </w:r>
      <w:bookmarkEnd w:id="0"/>
      <w:r>
        <w:rPr>
          <w:rFonts w:ascii="Times New Roman"/>
        </w:rPr>
        <w:t xml:space="preserve"> </w:t>
      </w:r>
    </w:p>
    <w:p>
      <w:pPr>
        <w:pStyle w:val="128"/>
        <w:framePr w:wrap="around"/>
        <w:rPr>
          <w:rFonts w:ascii="Times New Roman"/>
        </w:rPr>
      </w:pPr>
    </w:p>
    <w:p>
      <w:pPr>
        <w:pStyle w:val="114"/>
        <w:framePr w:wrap="around"/>
        <w:rPr>
          <w:sz w:val="21"/>
          <w:szCs w:val="21"/>
        </w:rPr>
      </w:pPr>
      <w:r>
        <w:rPr>
          <w:sz w:val="21"/>
          <w:szCs w:val="21"/>
        </w:rPr>
        <w:t>DB</w:t>
      </w:r>
      <w:bookmarkStart w:id="1" w:name="c3"/>
      <w:r>
        <w:rPr>
          <w:sz w:val="21"/>
          <w:szCs w:val="21"/>
        </w:rPr>
        <w:t>13</w:t>
      </w:r>
      <w:bookmarkEnd w:id="1"/>
    </w:p>
    <w:p>
      <w:pPr>
        <w:pStyle w:val="115"/>
        <w:framePr w:wrap="around"/>
        <w:rPr>
          <w:rFonts w:ascii="Times New Roman" w:hAnsi="Times New Roman"/>
          <w:szCs w:val="48"/>
        </w:rPr>
      </w:pPr>
      <w:bookmarkStart w:id="2" w:name="c4"/>
      <w:r>
        <w:rPr>
          <w:rFonts w:ascii="Times New Roman" w:hAnsi="Times New Roman"/>
          <w:szCs w:val="48"/>
        </w:rPr>
        <w:t>河北省</w:t>
      </w:r>
      <w:bookmarkEnd w:id="2"/>
      <w:r>
        <w:rPr>
          <w:rFonts w:ascii="Times New Roman" w:hAnsi="Times New Roman"/>
          <w:szCs w:val="48"/>
        </w:rPr>
        <w:t>地方标准</w:t>
      </w:r>
    </w:p>
    <w:p>
      <w:pPr>
        <w:pStyle w:val="52"/>
        <w:framePr w:wrap="around"/>
        <w:rPr>
          <w:rFonts w:ascii="Times New Roman"/>
        </w:rPr>
      </w:pPr>
      <w:r>
        <w:rPr>
          <w:rFonts w:ascii="Times New Roman"/>
        </w:rPr>
        <w:t xml:space="preserve">DB </w:t>
      </w:r>
      <w:bookmarkStart w:id="3" w:name="StdNo0"/>
      <w:r>
        <w:rPr>
          <w:rFonts w:ascii="Times New Roman"/>
        </w:rPr>
        <w:fldChar w:fldCharType="begin">
          <w:ffData>
            <w:name w:val="StdNo0"/>
            <w:enabled/>
            <w:calcOnExit w:val="0"/>
            <w:textInput>
              <w:default w:val="XX"/>
              <w:maxLength w:val="2"/>
            </w:textInput>
          </w:ffData>
        </w:fldChar>
      </w:r>
      <w:r>
        <w:rPr>
          <w:rFonts w:ascii="Times New Roman"/>
        </w:rPr>
        <w:instrText xml:space="preserve"> FORMTEXT </w:instrText>
      </w:r>
      <w:r>
        <w:rPr>
          <w:rFonts w:ascii="Times New Roman"/>
        </w:rPr>
        <w:fldChar w:fldCharType="separate"/>
      </w:r>
      <w:r>
        <w:rPr>
          <w:rFonts w:ascii="Times New Roman"/>
        </w:rPr>
        <w:t>XX</w:t>
      </w:r>
      <w:r>
        <w:rPr>
          <w:rFonts w:ascii="Times New Roman"/>
        </w:rPr>
        <w:fldChar w:fldCharType="end"/>
      </w:r>
      <w:bookmarkEnd w:id="3"/>
      <w:r>
        <w:rPr>
          <w:rFonts w:ascii="Times New Roman"/>
        </w:rPr>
        <w:t xml:space="preserve">/T </w:t>
      </w:r>
      <w:r>
        <w:rPr>
          <w:rFonts w:ascii="Times New Roman"/>
        </w:rPr>
        <w:fldChar w:fldCharType="begin">
          <w:ffData>
            <w:name w:val="StdNo1"/>
            <w:enabled/>
            <w:calcOnExit w:val="0"/>
            <w:textInput>
              <w:default w:val="XXXX"/>
            </w:textInput>
          </w:ffData>
        </w:fldChar>
      </w:r>
      <w:bookmarkStart w:id="4" w:name="StdNo1"/>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4"/>
      <w:r>
        <w:rPr>
          <w:rFonts w:ascii="Times New Roman"/>
        </w:rPr>
        <w:t>—</w:t>
      </w:r>
      <w:bookmarkStart w:id="5" w:name="StdNo2"/>
      <w:r>
        <w:rPr>
          <w:rFonts w:ascii="Times New Roman"/>
        </w:rPr>
        <w:fldChar w:fldCharType="begin">
          <w:ffData>
            <w:name w:val="StdNo2"/>
            <w:enabled/>
            <w:calcOnExit w:val="0"/>
            <w:textInput>
              <w:default w:val="XXXX"/>
              <w:maxLength w:val="4"/>
            </w:textInput>
          </w:ffData>
        </w:fldChar>
      </w:r>
      <w:r>
        <w:rPr>
          <w:rFonts w:ascii="Times New Roman"/>
        </w:rPr>
        <w:instrText xml:space="preserve"> FORMTEXT </w:instrText>
      </w:r>
      <w:r>
        <w:rPr>
          <w:rFonts w:ascii="Times New Roman"/>
        </w:rPr>
        <w:fldChar w:fldCharType="separate"/>
      </w:r>
      <w:r>
        <w:rPr>
          <w:rFonts w:ascii="Times New Roman"/>
        </w:rPr>
        <w:t>XXXX</w:t>
      </w:r>
      <w:r>
        <w:rPr>
          <w:rFonts w:ascii="Times New Roman"/>
        </w:rPr>
        <w:fldChar w:fldCharType="end"/>
      </w:r>
      <w:bookmarkEnd w:id="5"/>
    </w:p>
    <w:tbl>
      <w:tblPr>
        <w:tblStyle w:val="37"/>
        <w:tblW w:w="914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140" w:type="dxa"/>
            <w:tcBorders>
              <w:top w:val="nil"/>
              <w:left w:val="nil"/>
              <w:bottom w:val="nil"/>
              <w:right w:val="nil"/>
            </w:tcBorders>
            <w:shd w:val="clear" w:color="auto" w:fill="auto"/>
          </w:tcPr>
          <w:p>
            <w:pPr>
              <w:pStyle w:val="81"/>
              <w:framePr w:wrap="around"/>
              <w:rPr>
                <w:rFonts w:ascii="Times New Roman"/>
                <w:sz w:val="28"/>
                <w:szCs w:val="28"/>
              </w:rPr>
            </w:pPr>
            <w:bookmarkStart w:id="6" w:name="DT"/>
            <w:r>
              <w:rPr>
                <w:rFonts w:ascii="Times New Roman"/>
                <w:sz w:val="28"/>
                <w:szCs w:val="28"/>
              </w:rPr>
              <mc:AlternateContent>
                <mc:Choice Requires="wps">
                  <w:drawing>
                    <wp:anchor distT="0" distB="0" distL="114300" distR="114300" simplePos="0" relativeHeight="251660288" behindDoc="1" locked="0" layoutInCell="1" allowOverlap="1">
                      <wp:simplePos x="0" y="0"/>
                      <wp:positionH relativeFrom="column">
                        <wp:posOffset>4734560</wp:posOffset>
                      </wp:positionH>
                      <wp:positionV relativeFrom="paragraph">
                        <wp:posOffset>34290</wp:posOffset>
                      </wp:positionV>
                      <wp:extent cx="982980" cy="196215"/>
                      <wp:effectExtent l="0" t="0" r="7620" b="0"/>
                      <wp:wrapNone/>
                      <wp:docPr id="71" name="DT"/>
                      <wp:cNvGraphicFramePr/>
                      <a:graphic xmlns:a="http://schemas.openxmlformats.org/drawingml/2006/main">
                        <a:graphicData uri="http://schemas.microsoft.com/office/word/2010/wordprocessingShape">
                          <wps:wsp>
                            <wps:cNvSpPr>
                              <a:spLocks noChangeArrowheads="1"/>
                            </wps:cNvSpPr>
                            <wps:spPr bwMode="auto">
                              <a:xfrm>
                                <a:off x="0" y="0"/>
                                <a:ext cx="982980" cy="196215"/>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DT" o:spid="_x0000_s1026" o:spt="1" style="position:absolute;left:0pt;margin-left:372.8pt;margin-top:2.7pt;height:15.45pt;width:77.4pt;z-index:-251656192;mso-width-relative:page;mso-height-relative:page;" fillcolor="#FFFFFF" filled="t" stroked="f" coordsize="21600,21600" o:gfxdata="UEsDBAoAAAAAAIdO4kAAAAAAAAAAAAAAAAAEAAAAZHJzL1BLAwQUAAAACACHTuJAPUYaFdcAAAAI&#10;AQAADwAAAGRycy9kb3ducmV2LnhtbE2PzU7DMBCE70i8g7VI3Khd8gNN4/SA1BNwoEXiuo23SdTY&#10;DrHThrdnOdHbrGY08225mW0vzjSGzjsNy4UCQa72pnONhs/99uEZRIjoDPbekYYfCrCpbm9KLIy/&#10;uA8672IjuMSFAjW0MQ6FlKFuyWJY+IEce0c/Wox8jo00I1643PbyUalcWuwcL7Q40EtL9Wk3WQ2Y&#10;p+b7/Zi87V+nHFfNrLbZl9L6/m6p1iAizfE/DH/4jA4VMx385EwQvYanNMs5qiFLQbC/UorFQUOS&#10;JyCrUl4/UP0CUEsDBBQAAAAIAIdO4kC6hsmXEQIAACsEAAAOAAAAZHJzL2Uyb0RvYy54bWytU01v&#10;2zAMvQ/YfxB0XxwH6UeMOEWRIMOAbivQ7gfIsmwLs0WNUmJnv36U7KZZd+lhPhiiSD7yPVLru6Fr&#10;2VGh02Byns7mnCkjodSmzvmP5/2nW86cF6YULRiV85Ny/G7z8cO6t5laQANtqZARiHFZb3PeeG+z&#10;JHGyUZ1wM7DKkLMC7IQnE+ukRNETetcmi/n8OukBS4sglXN0uxudfELE9wBCVWmpdiAPnTJ+REXV&#10;Ck+UXKOt45vYbVUp6b9XlVOetTknpj7+qQidi/BPNmuR1Shso+XUgnhPC284dUIbKnqG2gkv2AH1&#10;P1CdlggOKj+T0CUjkagIsUjnb7R5aoRVkQtJ7exZdPf/YOW34yMyXeb8JuXMiI4mvnsOsvTWZeR9&#10;so8YiDn7APKnYwa2jTC1ukeEvlGipGbSEJ/8lRAMR6ms6L9CSaDi4CEqNFTYBUDizoY4iNN5EGrw&#10;TNLl6naxuqURSXKlq+tFehUriOwl2aLznxV0LBxyjjTnCC6OD86HZkT2EhKbh1aXe9220cC62LbI&#10;joJ2Yh+/Cd1dhrUmBBsIaSNiuIksA7FRID8Uw6RVAeWJ+CKMO0YvjA4N4G/OetqvnLtfB4GKs/aL&#10;Ic1W6XIZFjIay6ubBRl46SkuPcJIgsq552w8bv24xAeLum6oUhr5G7gnnSsdNQgzGLua+qYditJM&#10;+x6W9NKOUa9vfPM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UYaFdcAAAAIAQAADwAAAAAAAAAB&#10;ACAAAAAiAAAAZHJzL2Rvd25yZXYueG1sUEsBAhQAFAAAAAgAh07iQLqGyZcRAgAAKwQAAA4AAAAA&#10;AAAAAQAgAAAAJgEAAGRycy9lMm9Eb2MueG1sUEsFBgAAAAAGAAYAWQEAAKkFAAAAAA==&#10;">
                      <v:fill on="t" focussize="0,0"/>
                      <v:stroke on="f"/>
                      <v:imagedata o:title=""/>
                      <o:lock v:ext="edit" aspectratio="f"/>
                      <v:textbox>
                        <w:txbxContent>
                          <w:p>
                            <w:pPr>
                              <w:jc w:val="center"/>
                            </w:pPr>
                          </w:p>
                        </w:txbxContent>
                      </v:textbox>
                    </v:rect>
                  </w:pict>
                </mc:Fallback>
              </mc:AlternateContent>
            </w:r>
            <w:r>
              <w:rPr>
                <w:rFonts w:ascii="Times New Roman"/>
                <w:sz w:val="28"/>
                <w:szCs w:val="28"/>
              </w:rPr>
              <w:fldChar w:fldCharType="begin">
                <w:ffData>
                  <w:name w:val="DT"/>
                  <w:enabled/>
                  <w:calcOnExit w:val="0"/>
                  <w:textInput/>
                </w:ffData>
              </w:fldChar>
            </w:r>
            <w:r>
              <w:rPr>
                <w:rFonts w:ascii="Times New Roman"/>
                <w:sz w:val="28"/>
                <w:szCs w:val="28"/>
              </w:rPr>
              <w:instrText xml:space="preserve"> FORMTEXT </w:instrText>
            </w:r>
            <w:r>
              <w:rPr>
                <w:rFonts w:ascii="Times New Roman"/>
                <w:sz w:val="28"/>
                <w:szCs w:val="28"/>
              </w:rPr>
              <w:fldChar w:fldCharType="separate"/>
            </w:r>
            <w:r>
              <w:rPr>
                <w:rFonts w:ascii="Times New Roman"/>
                <w:sz w:val="28"/>
                <w:szCs w:val="28"/>
              </w:rPr>
              <w:t>     </w:t>
            </w:r>
            <w:r>
              <w:rPr>
                <w:rFonts w:ascii="Times New Roman"/>
                <w:sz w:val="28"/>
                <w:szCs w:val="28"/>
              </w:rPr>
              <w:fldChar w:fldCharType="end"/>
            </w:r>
            <w:bookmarkEnd w:id="6"/>
          </w:p>
        </w:tc>
      </w:tr>
    </w:tbl>
    <w:p>
      <w:pPr>
        <w:pStyle w:val="52"/>
        <w:framePr w:wrap="around"/>
        <w:rPr>
          <w:rFonts w:ascii="Times New Roman"/>
          <w:sz w:val="21"/>
          <w:szCs w:val="21"/>
        </w:rPr>
      </w:pPr>
    </w:p>
    <w:p>
      <w:pPr>
        <w:pStyle w:val="52"/>
        <w:framePr w:wrap="around"/>
        <w:rPr>
          <w:rFonts w:ascii="Times New Roman"/>
          <w:sz w:val="21"/>
          <w:szCs w:val="21"/>
        </w:rPr>
      </w:pPr>
    </w:p>
    <w:p>
      <w:pPr>
        <w:pStyle w:val="83"/>
        <w:framePr w:wrap="around" w:y="6061"/>
        <w:rPr>
          <w:rFonts w:ascii="Times New Roman"/>
          <w:szCs w:val="52"/>
        </w:rPr>
      </w:pPr>
      <w:r>
        <w:rPr>
          <w:rFonts w:hint="eastAsia" w:ascii="Times New Roman"/>
          <w:szCs w:val="52"/>
        </w:rPr>
        <w:t>河湖管理范围划定编制规程</w:t>
      </w:r>
    </w:p>
    <w:p>
      <w:pPr>
        <w:pStyle w:val="84"/>
        <w:framePr w:wrap="around" w:y="6061"/>
        <w:rPr>
          <w:sz w:val="21"/>
          <w:szCs w:val="21"/>
        </w:rPr>
      </w:pPr>
      <w:r>
        <w:rPr>
          <w:sz w:val="21"/>
          <w:szCs w:val="21"/>
        </w:rPr>
        <w:t>Regulations for Delimitation and Compilation</w:t>
      </w:r>
    </w:p>
    <w:p>
      <w:pPr>
        <w:pStyle w:val="85"/>
        <w:framePr w:wrap="around" w:y="6061"/>
        <w:rPr>
          <w:rFonts w:ascii="Times New Roman"/>
          <w:sz w:val="21"/>
          <w:szCs w:val="21"/>
        </w:rPr>
      </w:pPr>
      <w:r>
        <w:rPr>
          <w:rFonts w:ascii="Times New Roman"/>
          <w:sz w:val="21"/>
          <w:szCs w:val="21"/>
        </w:rPr>
        <w:t>of River and Lake Management Areas</w:t>
      </w:r>
    </w:p>
    <w:tbl>
      <w:tblPr>
        <w:tblStyle w:val="37"/>
        <w:tblW w:w="963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3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6"/>
              <w:framePr w:wrap="around" w:y="6061"/>
              <w:rPr>
                <w:rFonts w:ascii="Times New Roman"/>
                <w:szCs w:val="24"/>
              </w:rPr>
            </w:pPr>
            <w:r>
              <w:rPr>
                <w:rFonts w:ascii="Times New Roman"/>
                <w:szCs w:val="24"/>
              </w:rPr>
              <mc:AlternateContent>
                <mc:Choice Requires="wps">
                  <w:drawing>
                    <wp:anchor distT="0" distB="0" distL="114300" distR="114300" simplePos="0" relativeHeight="251662336" behindDoc="1" locked="1" layoutInCell="1" allowOverlap="1">
                      <wp:simplePos x="0" y="0"/>
                      <wp:positionH relativeFrom="column">
                        <wp:posOffset>2200910</wp:posOffset>
                      </wp:positionH>
                      <wp:positionV relativeFrom="paragraph">
                        <wp:posOffset>573405</wp:posOffset>
                      </wp:positionV>
                      <wp:extent cx="1562100" cy="208280"/>
                      <wp:effectExtent l="0" t="0" r="0" b="1270"/>
                      <wp:wrapNone/>
                      <wp:docPr id="70" name="RQ"/>
                      <wp:cNvGraphicFramePr/>
                      <a:graphic xmlns:a="http://schemas.openxmlformats.org/drawingml/2006/main">
                        <a:graphicData uri="http://schemas.microsoft.com/office/word/2010/wordprocessingShape">
                          <wps:wsp>
                            <wps:cNvSpPr>
                              <a:spLocks noChangeArrowheads="1"/>
                            </wps:cNvSpPr>
                            <wps:spPr bwMode="auto">
                              <a:xfrm>
                                <a:off x="0" y="0"/>
                                <a:ext cx="1562100" cy="208280"/>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Q" o:spid="_x0000_s1026" o:spt="1" style="position:absolute;left:0pt;margin-left:173.3pt;margin-top:45.15pt;height:16.4pt;width:123pt;z-index:-251654144;mso-width-relative:page;mso-height-relative:page;" fillcolor="#FFFFFF" filled="t" stroked="f" coordsize="21600,21600" o:gfxdata="UEsDBAoAAAAAAIdO4kAAAAAAAAAAAAAAAAAEAAAAZHJzL1BLAwQUAAAACACHTuJAK2u6Z9cAAAAK&#10;AQAADwAAAGRycy9kb3ducmV2LnhtbE2PwU7DMAyG70i8Q2Qkbixpu1W0NN0BaSfgwDaJq9d4bUWT&#10;lCbdyttjTnC0/en391fbxQ7iQlPovdOQrBQIco03vWs1HA+7h0cQIaIzOHhHGr4pwLa+vamwNP7q&#10;3umyj63gEBdK1NDFOJZShqYji2HlR3J8O/vJYuRxaqWZ8MrhdpCpUrm02Dv+0OFIzx01n/vZasB8&#10;bb7eztnr4WXOsWgXtdt8KK3v7xL1BCLSEv9g+NVndajZ6eRnZ4IYNGTrPGdUQ6EyEAxsipQXJybT&#10;LAFZV/J/hfoHUEsDBBQAAAAIAIdO4kA+sOdyEwIAACwEAAAOAAAAZHJzL2Uyb0RvYy54bWytU8tu&#10;2zAQvBfoPxC813rASVzBchDYcFEgbZOm/QCKoiSiEpdd0pbdr++Sclw3veRQHQQudzmcmV0ubw9D&#10;z/YKnQZT8myWcqaMhFqbtuTfv23fLThzXpha9GBUyY/K8dvV2zfL0RYqhw76WiEjEOOK0Za8894W&#10;SeJkpwbhZmCVoWQDOAhPIbZJjWIk9KFP8jS9TkbA2iJI5RztbqYkPyHiawChabRUG5C7QRk/oaLq&#10;hSdJrtPW8VVk2zRK+i9N45RnfclJqY9/uoTWVfgnq6UoWhS20/JEQbyGwgtNg9CGLj1DbYQXbIf6&#10;H6hBSwQHjZ9JGJJJSHSEVGTpC2+eOmFV1EJWO3s23f0/WPl5/4BM1yW/IUuMGKjjXx+DLaN1BWWf&#10;7AMGYc7eg/zhmIF1J0yr7hBh7JSoiUwW6pO/DoTA0VFWjZ+gJlCx8xAdOjQ4BEDSzg6xEcdzI9TB&#10;M0mb2dV1nqVESFIuTxf5InYqEcXzaYvOf1AwsLAoOVKjI7rY3zsf2IjiuSSyh17XW933McC2WvfI&#10;9oKGYhu/KIBEXpb1JhQbCMcmxLATZQZlk0P+UB1OZlVQH0kwwjRk9MRo0QH+4mykASu5+7kTqDjr&#10;Pxoy7X02n4eJjMH86ianAC8z1WVGGElQJfecTcu1n6Z4Z1G3Hd2URf0G7sjoRkcPQhMmVifeNETR&#10;mtPAhym9jGPVn0e++g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ra7pn1wAAAAoBAAAPAAAAAAAA&#10;AAEAIAAAACIAAABkcnMvZG93bnJldi54bWxQSwECFAAUAAAACACHTuJAPrDnchMCAAAsBAAADgAA&#10;AAAAAAABACAAAAAmAQAAZHJzL2Uyb0RvYy54bWxQSwUGAAAAAAYABgBZAQAAqwUAAAAA&#10;">
                      <v:fill on="t" focussize="0,0"/>
                      <v:stroke on="f"/>
                      <v:imagedata o:title=""/>
                      <o:lock v:ext="edit" aspectratio="f"/>
                      <v:textbox>
                        <w:txbxContent>
                          <w:p>
                            <w:pPr>
                              <w:jc w:val="center"/>
                            </w:pPr>
                          </w:p>
                        </w:txbxContent>
                      </v:textbox>
                      <w10:anchorlock/>
                    </v:rect>
                  </w:pict>
                </mc:Fallback>
              </mc:AlternateContent>
            </w:r>
            <w:r>
              <w:rPr>
                <w:rFonts w:ascii="Times New Roman"/>
                <w:szCs w:val="24"/>
              </w:rPr>
              <mc:AlternateContent>
                <mc:Choice Requires="wps">
                  <w:drawing>
                    <wp:anchor distT="0" distB="0" distL="114300" distR="114300" simplePos="0" relativeHeight="251661312" behindDoc="1" locked="0" layoutInCell="1" allowOverlap="1">
                      <wp:simplePos x="0" y="0"/>
                      <wp:positionH relativeFrom="column">
                        <wp:posOffset>2454910</wp:posOffset>
                      </wp:positionH>
                      <wp:positionV relativeFrom="paragraph">
                        <wp:posOffset>255905</wp:posOffset>
                      </wp:positionV>
                      <wp:extent cx="1041400" cy="249555"/>
                      <wp:effectExtent l="0" t="0" r="6350" b="0"/>
                      <wp:wrapNone/>
                      <wp:docPr id="69" name="LB"/>
                      <wp:cNvGraphicFramePr/>
                      <a:graphic xmlns:a="http://schemas.openxmlformats.org/drawingml/2006/main">
                        <a:graphicData uri="http://schemas.microsoft.com/office/word/2010/wordprocessingShape">
                          <wps:wsp>
                            <wps:cNvSpPr>
                              <a:spLocks noChangeArrowheads="1"/>
                            </wps:cNvSpPr>
                            <wps:spPr bwMode="auto">
                              <a:xfrm>
                                <a:off x="0" y="0"/>
                                <a:ext cx="1041400" cy="249555"/>
                              </a:xfrm>
                              <a:prstGeom prst="rect">
                                <a:avLst/>
                              </a:prstGeom>
                              <a:solidFill>
                                <a:srgbClr val="FFFFFF"/>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LB" o:spid="_x0000_s1026" o:spt="1" style="position:absolute;left:0pt;margin-left:193.3pt;margin-top:20.15pt;height:19.65pt;width:82pt;z-index:-251655168;mso-width-relative:page;mso-height-relative:page;" fillcolor="#FFFFFF" filled="t" stroked="f" coordsize="21600,21600" o:gfxdata="UEsDBAoAAAAAAIdO4kAAAAAAAAAAAAAAAAAEAAAAZHJzL1BLAwQUAAAACACHTuJAyKh6bdcAAAAJ&#10;AQAADwAAAGRycy9kb3ducmV2LnhtbE2PwU7DMAyG70i8Q2QkbiwZXcNWmu6AtBNwYEPi6jVeW9Ek&#10;pUm38vaYExxtf/r9/eV2dr040xi74A0sFwoE+TrYzjcG3g+7uzWImNBb7IMnA98UYVtdX5VY2HDx&#10;b3Tep0ZwiI8FGmhTGgopY92Sw7gIA3m+ncLoMPE4NtKOeOFw18t7pbR02Hn+0OJATy3Vn/vJGUC9&#10;sl+vp+zl8Dxp3DSz2uUfypjbm6V6BJFoTn8w/OqzOlTsdAyTt1H0BrK11owaWKkMBAN5rnhxNPCw&#10;0SCrUv5vUP0AUEsDBBQAAAAIAIdO4kDlIvgOEgIAACwEAAAOAAAAZHJzL2Uyb0RvYy54bWytU8Fu&#10;2zAMvQ/YPwi6L7YDp1uMOkWXIMOAbC3Q7QMUWbaF2aJGKbGzrx8lp1nWXXqYD4Yoko98j9Tt3dh3&#10;7KjQaTAlz2YpZ8pIqLRpSv792/bdB86cF6YSHRhV8pNy/G719s3tYAs1hxa6SiEjEOOKwZa89d4W&#10;SeJkq3rhZmCVIWcN2AtPJjZJhWIg9L5L5ml6kwyAlUWQyjm63UxOfkbE1wBCXWupNiAPvTJ+QkXV&#10;CU+UXKut46vYbV0r6R/q2inPupITUx//VITO+/BPVreiaFDYVstzC+I1Lbzg1AttqOgFaiO8YAfU&#10;/0D1WiI4qP1MQp9MRKIixCJLX2jz1AqrIheS2tmL6O7/wcqvx0dkuir5zZIzI3qa+O5jkGWwriDv&#10;k33EQMzZHcgfjhlYt8I06h4RhlaJiprJQnzyV0IwHKWy/fAFKgIVBw9RobHGPgASdzbGQZwug1Cj&#10;Z5IuszTP8pRmJMk3z5eLxSKWEMVztkXnPynoWTiUHGnQEV0cd86HbkTxHBK7h05XW9110cBmv+6Q&#10;HQUtxTZ+Z3R3HdaZEGwgpE2I4SbSDMwmhfy4H89i7aE6EWGEacnoidGhBfzF2UALVnL38yBQcdZ9&#10;NiTaMsvzsJHRyBfv52TgtWd/7RFGElTJPWfTce2nLT5Y1E1LlbLI38A9CV3rqEEYwtTVuW9aoijN&#10;eeHDll7bMerPI1/9B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oem3XAAAACQEAAA8AAAAAAAAA&#10;AQAgAAAAIgAAAGRycy9kb3ducmV2LnhtbFBLAQIUABQAAAAIAIdO4kDlIvgOEgIAACwEAAAOAAAA&#10;AAAAAAEAIAAAACYBAABkcnMvZTJvRG9jLnhtbFBLBQYAAAAABgAGAFkBAACqBQAAAAA=&#10;">
                      <v:fill on="t" focussize="0,0"/>
                      <v:stroke on="f"/>
                      <v:imagedata o:title=""/>
                      <o:lock v:ext="edit" aspectratio="f"/>
                      <v:textbox>
                        <w:txbxContent>
                          <w:p>
                            <w:pPr>
                              <w:jc w:val="center"/>
                            </w:pPr>
                          </w:p>
                        </w:txbxContent>
                      </v:textbox>
                    </v:rect>
                  </w:pict>
                </mc:Fallback>
              </mc:AlternateContent>
            </w:r>
            <w:r>
              <w:rPr>
                <w:rFonts w:ascii="Times New Roman"/>
                <w:szCs w:val="24"/>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639" w:type="dxa"/>
            <w:tcBorders>
              <w:top w:val="nil"/>
              <w:left w:val="nil"/>
              <w:bottom w:val="nil"/>
              <w:right w:val="nil"/>
            </w:tcBorders>
            <w:shd w:val="clear" w:color="auto" w:fill="auto"/>
          </w:tcPr>
          <w:p>
            <w:pPr>
              <w:pStyle w:val="87"/>
              <w:framePr w:wrap="around" w:y="6061"/>
              <w:rPr>
                <w:rFonts w:ascii="Times New Roman"/>
                <w:szCs w:val="21"/>
              </w:rPr>
            </w:pPr>
          </w:p>
        </w:tc>
      </w:tr>
    </w:tbl>
    <w:p>
      <w:pPr>
        <w:pStyle w:val="136"/>
        <w:framePr w:wrap="around" w:hAnchor="page" w:x="1396" w:y="14191"/>
        <w:rPr>
          <w:szCs w:val="28"/>
        </w:rPr>
      </w:pPr>
      <w:bookmarkStart w:id="7" w:name="FY"/>
      <w:r>
        <w:rPr>
          <w:szCs w:val="28"/>
        </w:rPr>
        <w:fldChar w:fldCharType="begin">
          <w:ffData>
            <w:name w:val="FY"/>
            <w:enabled/>
            <w:calcOnExit w:val="0"/>
            <w:textInput>
              <w:default w:val="XXXX"/>
              <w:maxLength w:val="4"/>
            </w:textInput>
          </w:ffData>
        </w:fldChar>
      </w:r>
      <w:r>
        <w:rPr>
          <w:szCs w:val="28"/>
        </w:rPr>
        <w:instrText xml:space="preserve"> FORMTEXT </w:instrText>
      </w:r>
      <w:r>
        <w:rPr>
          <w:szCs w:val="28"/>
        </w:rPr>
        <w:fldChar w:fldCharType="separate"/>
      </w:r>
      <w:r>
        <w:rPr>
          <w:szCs w:val="28"/>
        </w:rPr>
        <w:t>XXXX</w:t>
      </w:r>
      <w:r>
        <w:rPr>
          <w:szCs w:val="28"/>
        </w:rPr>
        <w:fldChar w:fldCharType="end"/>
      </w:r>
      <w:bookmarkEnd w:id="7"/>
      <w:r>
        <w:rPr>
          <w:szCs w:val="28"/>
        </w:rPr>
        <w:t xml:space="preserve"> - </w:t>
      </w:r>
      <w:r>
        <w:rPr>
          <w:szCs w:val="28"/>
        </w:rPr>
        <w:fldChar w:fldCharType="begin">
          <w:ffData>
            <w:name w:val="FM"/>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r>
        <w:rPr>
          <w:szCs w:val="28"/>
        </w:rPr>
        <w:t xml:space="preserve"> - </w:t>
      </w:r>
      <w:bookmarkStart w:id="8" w:name="FD"/>
      <w:r>
        <w:rPr>
          <w:szCs w:val="28"/>
        </w:rPr>
        <w:fldChar w:fldCharType="begin">
          <w:ffData>
            <w:name w:val="FD"/>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8"/>
      <w:r>
        <w:rPr>
          <w:szCs w:val="28"/>
        </w:rPr>
        <w:t>发布</w:t>
      </w:r>
    </w:p>
    <w:p>
      <w:pPr>
        <w:pStyle w:val="137"/>
        <w:framePr w:wrap="around" w:hAnchor="page" w:x="7066" w:y="14116"/>
        <w:rPr>
          <w:szCs w:val="28"/>
        </w:rPr>
      </w:pPr>
      <w:bookmarkStart w:id="9" w:name="SY"/>
      <w:r>
        <w:rPr>
          <w:szCs w:val="28"/>
        </w:rPr>
        <w:fldChar w:fldCharType="begin">
          <w:ffData>
            <w:name w:val="SY"/>
            <w:enabled/>
            <w:calcOnExit w:val="0"/>
            <w:textInput>
              <w:default w:val="XXXX"/>
              <w:maxLength w:val="4"/>
            </w:textInput>
          </w:ffData>
        </w:fldChar>
      </w:r>
      <w:r>
        <w:rPr>
          <w:szCs w:val="28"/>
        </w:rPr>
        <w:instrText xml:space="preserve"> FORMTEXT </w:instrText>
      </w:r>
      <w:r>
        <w:rPr>
          <w:szCs w:val="28"/>
        </w:rPr>
        <w:fldChar w:fldCharType="separate"/>
      </w:r>
      <w:r>
        <w:rPr>
          <w:szCs w:val="28"/>
        </w:rPr>
        <w:t>XXXX</w:t>
      </w:r>
      <w:r>
        <w:rPr>
          <w:szCs w:val="28"/>
        </w:rPr>
        <w:fldChar w:fldCharType="end"/>
      </w:r>
      <w:bookmarkEnd w:id="9"/>
      <w:r>
        <w:rPr>
          <w:szCs w:val="28"/>
        </w:rPr>
        <w:t xml:space="preserve"> - </w:t>
      </w:r>
      <w:bookmarkStart w:id="10" w:name="SM"/>
      <w:r>
        <w:rPr>
          <w:szCs w:val="28"/>
        </w:rPr>
        <w:fldChar w:fldCharType="begin">
          <w:ffData>
            <w:name w:val="SM"/>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10"/>
      <w:r>
        <w:rPr>
          <w:szCs w:val="28"/>
        </w:rPr>
        <w:t xml:space="preserve"> - </w:t>
      </w:r>
      <w:bookmarkStart w:id="11" w:name="SD"/>
      <w:r>
        <w:rPr>
          <w:szCs w:val="28"/>
        </w:rPr>
        <w:fldChar w:fldCharType="begin">
          <w:ffData>
            <w:name w:val="SD"/>
            <w:enabled/>
            <w:calcOnExit w:val="0"/>
            <w:textInput>
              <w:default w:val="XX"/>
              <w:maxLength w:val="2"/>
            </w:textInput>
          </w:ffData>
        </w:fldChar>
      </w:r>
      <w:r>
        <w:rPr>
          <w:szCs w:val="28"/>
        </w:rPr>
        <w:instrText xml:space="preserve"> FORMTEXT </w:instrText>
      </w:r>
      <w:r>
        <w:rPr>
          <w:szCs w:val="28"/>
        </w:rPr>
        <w:fldChar w:fldCharType="separate"/>
      </w:r>
      <w:r>
        <w:rPr>
          <w:szCs w:val="28"/>
        </w:rPr>
        <w:t>XX</w:t>
      </w:r>
      <w:r>
        <w:rPr>
          <w:szCs w:val="28"/>
        </w:rPr>
        <w:fldChar w:fldCharType="end"/>
      </w:r>
      <w:bookmarkEnd w:id="11"/>
      <w:r>
        <w:rPr>
          <w:szCs w:val="28"/>
        </w:rPr>
        <w:t>实施</w:t>
      </w:r>
    </w:p>
    <w:p>
      <w:pPr>
        <w:pStyle w:val="116"/>
        <w:framePr w:wrap="around"/>
        <w:rPr>
          <w:rFonts w:ascii="Times New Roman"/>
          <w:szCs w:val="28"/>
        </w:rPr>
      </w:pPr>
      <w:bookmarkStart w:id="12" w:name="fm"/>
      <w:r>
        <w:rPr>
          <w:rFonts w:ascii="Times New Roman"/>
          <w:szCs w:val="28"/>
        </w:rPr>
        <w:t>河北省市场监督管理局</w:t>
      </w:r>
      <w:bookmarkEnd w:id="12"/>
      <w:r>
        <w:rPr>
          <w:rFonts w:ascii="Times New Roman"/>
          <w:szCs w:val="28"/>
        </w:rPr>
        <w:t>   </w:t>
      </w:r>
      <w:r>
        <w:rPr>
          <w:rStyle w:val="78"/>
          <w:rFonts w:ascii="Times New Roman"/>
        </w:rPr>
        <w:t>发布</w:t>
      </w:r>
    </w:p>
    <w:p>
      <w:pPr>
        <w:pStyle w:val="26"/>
        <w:sectPr>
          <w:pgSz w:w="11906" w:h="16838"/>
          <w:pgMar w:top="567" w:right="850" w:bottom="1134" w:left="1418" w:header="0" w:footer="0" w:gutter="0"/>
          <w:pgNumType w:start="1"/>
          <w:cols w:space="425" w:num="1"/>
          <w:docGrid w:type="lines" w:linePitch="312" w:charSpace="0"/>
        </w:sectPr>
      </w:pPr>
      <w:r>
        <mc:AlternateContent>
          <mc:Choice Requires="wps">
            <w:drawing>
              <wp:anchor distT="0" distB="0" distL="114300" distR="114300" simplePos="0" relativeHeight="251663360" behindDoc="0" locked="0" layoutInCell="1" allowOverlap="1">
                <wp:simplePos x="0" y="0"/>
                <wp:positionH relativeFrom="column">
                  <wp:posOffset>-1270</wp:posOffset>
                </wp:positionH>
                <wp:positionV relativeFrom="paragraph">
                  <wp:posOffset>9046210</wp:posOffset>
                </wp:positionV>
                <wp:extent cx="6062980" cy="0"/>
                <wp:effectExtent l="0" t="0" r="33020" b="19050"/>
                <wp:wrapNone/>
                <wp:docPr id="42"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1pt;margin-top:712.3pt;height:0pt;width:477.4pt;z-index:251663360;mso-width-relative:page;mso-height-relative:page;" filled="f" stroked="t" coordsize="21600,21600" o:gfxdata="UEsDBAoAAAAAAIdO4kAAAAAAAAAAAAAAAAAEAAAAZHJzL1BLAwQUAAAACACHTuJAzdRQVtYAAAAL&#10;AQAADwAAAGRycy9kb3ducmV2LnhtbE2PT0/DMAzF70h8h8hIXKYtWRkTlKY7AL1xYYC4eo1pKxqn&#10;a7I/8OnxDghu9ntPzz8Xq6Pv1Z7G2AW2MJ8ZUMR1cB03Fl5fqukNqJiQHfaBycIXRViV52cF5i4c&#10;+Jn269QoKeGYo4U2pSHXOtYteYyzMBCL9xFGj0nWsdFuxIOU+15nxiy1x47lQosD3bdUf6533kKs&#10;3mhbfU/qiXm/agJl24enR7T28mJu7kAlOqa/MJzwBR1KYdqEHbuoegvTTIIiL7LFEpQEbq9Pw+ZX&#10;0mWh//9Q/gBQSwMEFAAAAAgAh07iQPt7ba7KAQAAoQMAAA4AAABkcnMvZTJvRG9jLnhtbK1Ty27b&#10;MBC8F+g/ELzXkoXGSATLOdhIL25rIOkH0BQlESW5BJe25L/vkn6kSS85VAeC+5rdmaWWj5M17KgC&#10;anANn89KzpST0GrXN/zXy9OXe84wCtcKA041/KSQP64+f1qOvlYVDGBaFRiBOKxH3/AhRl8XBcpB&#10;WYEz8MpRsINgRSQz9EUbxEjo1hRVWS6KEULrA0iFSN7NOcgviOEjgNB1WqoNyINVLp5RgzIiEiUc&#10;tEe+ytN2nZLxZ9ehisw0nJjGfFITuu/TWayWou6D8IOWlxHER0Z4x8kK7ajpDWojomCHoP+BsloG&#10;QOjiTIItzkSyIsRiXr7T5nkQXmUuJDX6m+j4/2Dlj+MuMN02/GvFmROWNr7VTrH5PGkzeqwpZe12&#10;IbGTk3v2W5C/kTlYD8L1Ks/4cvJUlyuKNyXJQE8d9uN3aClHHCJkoaYu2ARJErAp7+N024eaIpPk&#10;XJSL6uGeViWvsULU10IfMH5TYFm6NNzQ0BlYHLcYaXRKvaakPg6etDF53caxseEPd9VdLkAwuk3B&#10;lIah369NYEeRHkz+kg4E9iYtwMG1Z79xFL7yPCu2h/a0Cymc/LS5DHB5Zelp/G3nrNc/a/U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dRQVtYAAAALAQAADwAAAAAAAAABACAAAAAiAAAAZHJzL2Rv&#10;d25yZXYueG1sUEsBAhQAFAAAAAgAh07iQPt7ba7KAQAAoQMAAA4AAAAAAAAAAQAgAAAAJQEAAGRy&#10;cy9lMm9Eb2MueG1sUEsFBgAAAAAGAAYAWQEAAGEFAAAAAA==&#10;">
                <v:fill on="f" focussize="0,0"/>
                <v:stroke color="#000000" joinstyle="round"/>
                <v:imagedata o:title=""/>
                <o:lock v:ext="edit" aspectratio="f"/>
              </v:lin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2339340</wp:posOffset>
                </wp:positionV>
                <wp:extent cx="6062980" cy="0"/>
                <wp:effectExtent l="0" t="0" r="33020" b="19050"/>
                <wp:wrapNone/>
                <wp:docPr id="67" name="Line 11"/>
                <wp:cNvGraphicFramePr/>
                <a:graphic xmlns:a="http://schemas.openxmlformats.org/drawingml/2006/main">
                  <a:graphicData uri="http://schemas.microsoft.com/office/word/2010/wordprocessingShape">
                    <wps:wsp>
                      <wps:cNvCnPr>
                        <a:cxnSpLocks noChangeShapeType="1"/>
                      </wps:cNvCnPr>
                      <wps:spPr bwMode="auto">
                        <a:xfrm>
                          <a:off x="0" y="0"/>
                          <a:ext cx="6062980" cy="0"/>
                        </a:xfrm>
                        <a:prstGeom prst="line">
                          <a:avLst/>
                        </a:prstGeom>
                        <a:noFill/>
                        <a:ln w="9525">
                          <a:solidFill>
                            <a:srgbClr val="000000"/>
                          </a:solidFill>
                          <a:round/>
                        </a:ln>
                      </wps:spPr>
                      <wps:bodyPr/>
                    </wps:wsp>
                  </a:graphicData>
                </a:graphic>
              </wp:anchor>
            </w:drawing>
          </mc:Choice>
          <mc:Fallback>
            <w:pict>
              <v:line id="Line 11" o:spid="_x0000_s1026" o:spt="20" style="position:absolute;left:0pt;margin-left:-0.05pt;margin-top:184.2pt;height:0pt;width:477.4pt;z-index:251659264;mso-width-relative:page;mso-height-relative:page;" filled="f" stroked="t" coordsize="21600,21600" o:gfxdata="UEsDBAoAAAAAAIdO4kAAAAAAAAAAAAAAAAAEAAAAZHJzL1BLAwQUAAAACACHTuJAoPo3vtcAAAAJ&#10;AQAADwAAAGRycy9kb3ducmV2LnhtbE2PS0/DMBCE70j8B2uReqlaO31RQpweKLlxoS3iuo2XJCJe&#10;p7H7gF+PkZDocXZGM99mq4ttxYl63zjWkIwVCOLSmYYrDbttMVqC8AHZYOuYNHyRh1V+e5NhatyZ&#10;X+m0CZWIJexT1FCH0KVS+rImi37sOuLofbjeYoiyr6Tp8RzLbSsnSi2kxYbjQo0dPdVUfm6OVoMv&#10;3uhQfA/LoXqfVo4mh/XLM2o9uEvUI4hAl/Afhl/8iA55ZNq7IxsvWg2jJAY1TBfLGYjoP8xn9yD2&#10;fxeZZ/L6g/wHUEsDBBQAAAAIAIdO4kDuz3hbygEAAKEDAAAOAAAAZHJzL2Uyb0RvYy54bWytU8tu&#10;2zAQvBfoPxC815INxE0EyznYSC9uayDpB9AUJREluQSXtuS/75KynSa95FAdCO5rdmeWWj2O1rCT&#10;CqjB1Xw+KzlTTkKjXVfzXy9PX+45wyhcIww4VfOzQv64/vxpNfhKLaAH06jACMRhNfia9zH6qihQ&#10;9soKnIFXjoItBCsimaErmiAGQremWJTlshggND6AVIjk3U5BfkEMHwGEttVSbUEerXJxQg3KiEiU&#10;sNce+TpP27ZKxp9tiyoyU3NiGvNJTeh+SGexXomqC8L3Wl5GEB8Z4R0nK7SjpjeorYiCHYP+B8pq&#10;GQChjTMJtpiIZEWIxbx8p81zL7zKXEhq9DfR8f/Byh+nfWC6qfnyK2dOWNr4TjvF5vOkzeCxopSN&#10;24fETo7u2e9A/kbmYNML16k848vZU12uKN6UJAM9dTgM36GhHHGMkIUa22ATJEnAxryP820faoxM&#10;knNZLhcP97QqeY0VoroW+oDxmwLL0qXmhobOwOK0w0ijU+o1JfVx8KSNyes2jg01f7hb3OUCBKOb&#10;FExpGLrDxgR2EunB5C/pQGBv0gIcXTP5jaPwleek2AGa8z6kcPLT5jLA5ZWlp/G3nbNe/6z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KD6N77XAAAACQEAAA8AAAAAAAAAAQAgAAAAIgAAAGRycy9k&#10;b3ducmV2LnhtbFBLAQIUABQAAAAIAIdO4kDuz3hbygEAAKEDAAAOAAAAAAAAAAEAIAAAACYBAABk&#10;cnMvZTJvRG9jLnhtbFBLBQYAAAAABgAGAFkBAABiBQAAAAA=&#10;">
                <v:fill on="f" focussize="0,0"/>
                <v:stroke color="#000000" joinstyle="round"/>
                <v:imagedata o:title=""/>
                <o:lock v:ext="edit" aspectratio="f"/>
              </v:line>
            </w:pict>
          </mc:Fallback>
        </mc:AlternateContent>
      </w:r>
    </w:p>
    <w:p>
      <w:pPr>
        <w:pStyle w:val="55"/>
        <w:rPr>
          <w:rFonts w:ascii="Times New Roman"/>
          <w:szCs w:val="32"/>
        </w:rPr>
      </w:pPr>
      <w:r>
        <w:rPr>
          <w:rFonts w:ascii="Times New Roman"/>
          <w:szCs w:val="32"/>
        </w:rPr>
        <w:t>目  次</w:t>
      </w:r>
    </w:p>
    <w:p>
      <w:pPr>
        <w:pStyle w:val="22"/>
        <w:spacing w:before="78" w:after="78"/>
        <w:rPr>
          <w:rFonts w:asciiTheme="minorHAnsi" w:hAnsiTheme="minorHAnsi" w:eastAsiaTheme="minorEastAsia" w:cstheme="minorBidi"/>
          <w:szCs w:val="22"/>
        </w:rPr>
      </w:pPr>
      <w:r>
        <w:rPr>
          <w:rFonts w:ascii="Times New Roman"/>
        </w:rPr>
        <w:fldChar w:fldCharType="begin"/>
      </w:r>
      <w:r>
        <w:rPr>
          <w:rFonts w:ascii="Times New Roman"/>
        </w:rPr>
        <w:instrText xml:space="preserve"> TOC \h \z \t "一级条标题,2,章标题,1,参考文献、索引标题,1,附录标识,1,附录标题,1,附录章标题,2,前言、引言标题,1" </w:instrText>
      </w:r>
      <w:r>
        <w:rPr>
          <w:rFonts w:ascii="Times New Roman"/>
        </w:rPr>
        <w:fldChar w:fldCharType="separate"/>
      </w:r>
      <w:r>
        <w:fldChar w:fldCharType="begin"/>
      </w:r>
      <w:r>
        <w:instrText xml:space="preserve"> HYPERLINK \l "_Toc181948952" </w:instrText>
      </w:r>
      <w:r>
        <w:fldChar w:fldCharType="separate"/>
      </w:r>
      <w:r>
        <w:rPr>
          <w:rStyle w:val="43"/>
          <w:rFonts w:hint="eastAsia" w:ascii="Times New Roman"/>
          <w:color w:val="auto"/>
        </w:rPr>
        <w:t>前</w:t>
      </w:r>
      <w:r>
        <w:rPr>
          <w:rStyle w:val="43"/>
          <w:rFonts w:ascii="Times New Roman"/>
          <w:color w:val="auto"/>
        </w:rPr>
        <w:t>  </w:t>
      </w:r>
      <w:r>
        <w:rPr>
          <w:rStyle w:val="43"/>
          <w:rFonts w:hint="eastAsia" w:ascii="Times New Roman"/>
          <w:color w:val="auto"/>
        </w:rPr>
        <w:t>言</w:t>
      </w:r>
      <w:r>
        <w:tab/>
      </w:r>
      <w:r>
        <w:fldChar w:fldCharType="begin"/>
      </w:r>
      <w:r>
        <w:instrText xml:space="preserve"> PAGEREF _Toc181948952 \h </w:instrText>
      </w:r>
      <w:r>
        <w:fldChar w:fldCharType="separate"/>
      </w:r>
      <w:r>
        <w:t>II</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"_Toc181948953" </w:instrText>
      </w:r>
      <w:r>
        <w:fldChar w:fldCharType="separate"/>
      </w:r>
      <w:r>
        <w:rPr>
          <w:rStyle w:val="43"/>
          <w:rFonts w:ascii="Times New Roman"/>
          <w:color w:val="auto"/>
        </w:rPr>
        <w:t>1</w:t>
      </w:r>
      <w:r>
        <w:rPr>
          <w:rStyle w:val="43"/>
          <w:rFonts w:hint="eastAsia" w:ascii="Times New Roman"/>
          <w:color w:val="auto"/>
        </w:rPr>
        <w:t xml:space="preserve"> 范围</w:t>
      </w:r>
      <w:r>
        <w:tab/>
      </w:r>
      <w:r>
        <w:fldChar w:fldCharType="begin"/>
      </w:r>
      <w:r>
        <w:instrText xml:space="preserve"> PAGEREF _Toc181948953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"_Toc181948954" </w:instrText>
      </w:r>
      <w:r>
        <w:fldChar w:fldCharType="separate"/>
      </w:r>
      <w:r>
        <w:rPr>
          <w:rStyle w:val="43"/>
          <w:rFonts w:ascii="Times New Roman"/>
          <w:color w:val="auto"/>
        </w:rPr>
        <w:t>2</w:t>
      </w:r>
      <w:r>
        <w:rPr>
          <w:rStyle w:val="43"/>
          <w:rFonts w:hint="eastAsia" w:ascii="Times New Roman"/>
          <w:color w:val="auto"/>
        </w:rPr>
        <w:t xml:space="preserve"> 规范性引用文件</w:t>
      </w:r>
      <w:r>
        <w:tab/>
      </w:r>
      <w:r>
        <w:fldChar w:fldCharType="begin"/>
      </w:r>
      <w:r>
        <w:instrText xml:space="preserve"> PAGEREF _Toc181948954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"_Toc181948955" </w:instrText>
      </w:r>
      <w:r>
        <w:fldChar w:fldCharType="separate"/>
      </w:r>
      <w:r>
        <w:rPr>
          <w:rStyle w:val="43"/>
          <w:rFonts w:ascii="Times New Roman"/>
          <w:color w:val="auto"/>
        </w:rPr>
        <w:t>3</w:t>
      </w:r>
      <w:r>
        <w:rPr>
          <w:rStyle w:val="43"/>
          <w:rFonts w:hint="eastAsia" w:ascii="Times New Roman"/>
          <w:color w:val="auto"/>
        </w:rPr>
        <w:t xml:space="preserve"> 外业调查和资料收集</w:t>
      </w:r>
      <w:r>
        <w:tab/>
      </w:r>
      <w:r>
        <w:fldChar w:fldCharType="begin"/>
      </w:r>
      <w:r>
        <w:instrText xml:space="preserve"> PAGEREF _Toc181948955 \h </w:instrText>
      </w:r>
      <w:r>
        <w:fldChar w:fldCharType="separate"/>
      </w:r>
      <w:r>
        <w:t>1</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"_Toc181948961" </w:instrText>
      </w:r>
      <w:r>
        <w:fldChar w:fldCharType="separate"/>
      </w:r>
      <w:r>
        <w:rPr>
          <w:rStyle w:val="43"/>
          <w:rFonts w:ascii="Times New Roman"/>
          <w:color w:val="auto"/>
        </w:rPr>
        <w:t>4</w:t>
      </w:r>
      <w:r>
        <w:rPr>
          <w:rStyle w:val="43"/>
          <w:rFonts w:hint="eastAsia" w:ascii="Times New Roman"/>
          <w:color w:val="auto"/>
        </w:rPr>
        <w:t xml:space="preserve"> 工程测绘</w:t>
      </w:r>
      <w:r>
        <w:tab/>
      </w:r>
      <w:r>
        <w:fldChar w:fldCharType="begin"/>
      </w:r>
      <w:r>
        <w:instrText xml:space="preserve"> PAGEREF _Toc181948961 \h </w:instrText>
      </w:r>
      <w:r>
        <w:fldChar w:fldCharType="separate"/>
      </w:r>
      <w:r>
        <w:t>1</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"_Toc181948962" </w:instrText>
      </w:r>
      <w:r>
        <w:fldChar w:fldCharType="separate"/>
      </w:r>
      <w:r>
        <w:rPr>
          <w:rStyle w:val="43"/>
          <w:rFonts w:ascii="Times New Roman"/>
          <w:bCs/>
          <w:color w:val="auto"/>
        </w:rPr>
        <w:t>4.1</w:t>
      </w:r>
      <w:r>
        <w:rPr>
          <w:rStyle w:val="43"/>
          <w:rFonts w:hint="eastAsia" w:ascii="Times New Roman"/>
          <w:bCs/>
          <w:color w:val="auto"/>
        </w:rPr>
        <w:t xml:space="preserve"> 测绘内容</w:t>
      </w:r>
      <w:r>
        <w:tab/>
      </w:r>
      <w:r>
        <w:fldChar w:fldCharType="begin"/>
      </w:r>
      <w:r>
        <w:instrText xml:space="preserve"> PAGEREF _Toc181948962 \h </w:instrText>
      </w:r>
      <w:r>
        <w:fldChar w:fldCharType="separate"/>
      </w:r>
      <w:r>
        <w:t>1</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"_Toc181948963" </w:instrText>
      </w:r>
      <w:r>
        <w:fldChar w:fldCharType="separate"/>
      </w:r>
      <w:r>
        <w:rPr>
          <w:rStyle w:val="43"/>
          <w:rFonts w:ascii="Times New Roman"/>
          <w:bCs/>
          <w:color w:val="auto"/>
        </w:rPr>
        <w:t>4.2</w:t>
      </w:r>
      <w:r>
        <w:rPr>
          <w:rStyle w:val="43"/>
          <w:rFonts w:hint="eastAsia" w:ascii="Times New Roman"/>
          <w:bCs/>
          <w:color w:val="auto"/>
        </w:rPr>
        <w:t xml:space="preserve"> 测绘技术要求</w:t>
      </w:r>
      <w:r>
        <w:tab/>
      </w:r>
      <w:r>
        <w:fldChar w:fldCharType="begin"/>
      </w:r>
      <w:r>
        <w:instrText xml:space="preserve"> PAGEREF _Toc181948963 \h </w:instrText>
      </w:r>
      <w:r>
        <w:fldChar w:fldCharType="separate"/>
      </w:r>
      <w:r>
        <w:t>2</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"_Toc181948964" </w:instrText>
      </w:r>
      <w:r>
        <w:fldChar w:fldCharType="separate"/>
      </w:r>
      <w:r>
        <w:rPr>
          <w:rStyle w:val="43"/>
          <w:rFonts w:ascii="Times New Roman"/>
          <w:color w:val="auto"/>
        </w:rPr>
        <w:t>5</w:t>
      </w:r>
      <w:r>
        <w:rPr>
          <w:rStyle w:val="43"/>
          <w:rFonts w:hint="eastAsia" w:ascii="Times New Roman"/>
          <w:color w:val="auto"/>
        </w:rPr>
        <w:t xml:space="preserve"> 划定依据及要求</w:t>
      </w:r>
      <w:r>
        <w:tab/>
      </w:r>
      <w:r>
        <w:fldChar w:fldCharType="begin"/>
      </w:r>
      <w:r>
        <w:instrText xml:space="preserve"> PAGEREF _Toc181948964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"_Toc181948965" </w:instrText>
      </w:r>
      <w:r>
        <w:fldChar w:fldCharType="separate"/>
      </w:r>
      <w:r>
        <w:rPr>
          <w:rStyle w:val="43"/>
          <w:rFonts w:ascii="Times New Roman"/>
          <w:bCs/>
          <w:color w:val="auto"/>
        </w:rPr>
        <w:t>5.1</w:t>
      </w:r>
      <w:r>
        <w:rPr>
          <w:rStyle w:val="43"/>
          <w:rFonts w:hint="eastAsia" w:ascii="Times New Roman"/>
          <w:bCs/>
          <w:color w:val="auto"/>
        </w:rPr>
        <w:t xml:space="preserve"> 划定依据</w:t>
      </w:r>
      <w:r>
        <w:tab/>
      </w:r>
      <w:r>
        <w:fldChar w:fldCharType="begin"/>
      </w:r>
      <w:r>
        <w:instrText xml:space="preserve"> PAGEREF _Toc181948965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"_Toc181948966" </w:instrText>
      </w:r>
      <w:r>
        <w:fldChar w:fldCharType="separate"/>
      </w:r>
      <w:r>
        <w:rPr>
          <w:rStyle w:val="43"/>
          <w:rFonts w:ascii="Times New Roman"/>
          <w:bCs/>
          <w:color w:val="auto"/>
        </w:rPr>
        <w:t>5.2</w:t>
      </w:r>
      <w:r>
        <w:rPr>
          <w:rStyle w:val="43"/>
          <w:rFonts w:hint="eastAsia" w:ascii="Times New Roman"/>
          <w:bCs/>
          <w:color w:val="auto"/>
        </w:rPr>
        <w:t xml:space="preserve"> 划定范围</w:t>
      </w:r>
      <w:r>
        <w:tab/>
      </w:r>
      <w:r>
        <w:fldChar w:fldCharType="begin"/>
      </w:r>
      <w:r>
        <w:instrText xml:space="preserve"> PAGEREF _Toc181948966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"_Toc181948967" </w:instrText>
      </w:r>
      <w:r>
        <w:fldChar w:fldCharType="separate"/>
      </w:r>
      <w:r>
        <w:rPr>
          <w:rStyle w:val="43"/>
          <w:rFonts w:ascii="Times New Roman"/>
          <w:bCs/>
          <w:color w:val="auto"/>
        </w:rPr>
        <w:t>5.3</w:t>
      </w:r>
      <w:r>
        <w:rPr>
          <w:rStyle w:val="43"/>
          <w:rFonts w:hint="eastAsia" w:ascii="Times New Roman"/>
          <w:bCs/>
          <w:color w:val="auto"/>
        </w:rPr>
        <w:t xml:space="preserve"> 防洪标准</w:t>
      </w:r>
      <w:r>
        <w:tab/>
      </w:r>
      <w:r>
        <w:fldChar w:fldCharType="begin"/>
      </w:r>
      <w:r>
        <w:instrText xml:space="preserve"> PAGEREF _Toc181948967 \h </w:instrText>
      </w:r>
      <w:r>
        <w:fldChar w:fldCharType="separate"/>
      </w:r>
      <w:r>
        <w:t>2</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"_Toc181948968" </w:instrText>
      </w:r>
      <w:r>
        <w:fldChar w:fldCharType="separate"/>
      </w:r>
      <w:r>
        <w:rPr>
          <w:rStyle w:val="43"/>
          <w:rFonts w:ascii="Times New Roman"/>
          <w:color w:val="auto"/>
        </w:rPr>
        <w:t>6</w:t>
      </w:r>
      <w:r>
        <w:rPr>
          <w:rStyle w:val="43"/>
          <w:rFonts w:hint="eastAsia" w:ascii="Times New Roman"/>
          <w:color w:val="auto"/>
        </w:rPr>
        <w:t xml:space="preserve"> 设计洪水分析</w:t>
      </w:r>
      <w:r>
        <w:tab/>
      </w:r>
      <w:r>
        <w:fldChar w:fldCharType="begin"/>
      </w:r>
      <w:r>
        <w:instrText xml:space="preserve"> PAGEREF _Toc181948968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"_Toc181948969" </w:instrText>
      </w:r>
      <w:r>
        <w:fldChar w:fldCharType="separate"/>
      </w:r>
      <w:r>
        <w:rPr>
          <w:rStyle w:val="43"/>
          <w:rFonts w:ascii="Times New Roman"/>
          <w:bCs/>
          <w:color w:val="auto"/>
        </w:rPr>
        <w:t>6.1</w:t>
      </w:r>
      <w:r>
        <w:rPr>
          <w:rStyle w:val="43"/>
          <w:rFonts w:hint="eastAsia" w:ascii="Times New Roman"/>
          <w:bCs/>
          <w:color w:val="auto"/>
        </w:rPr>
        <w:t xml:space="preserve"> 计算方法</w:t>
      </w:r>
      <w:r>
        <w:tab/>
      </w:r>
      <w:r>
        <w:fldChar w:fldCharType="begin"/>
      </w:r>
      <w:r>
        <w:instrText xml:space="preserve"> PAGEREF _Toc181948969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"_Toc181948970" </w:instrText>
      </w:r>
      <w:r>
        <w:fldChar w:fldCharType="separate"/>
      </w:r>
      <w:r>
        <w:rPr>
          <w:rStyle w:val="43"/>
          <w:rFonts w:ascii="Times New Roman"/>
          <w:bCs/>
          <w:color w:val="auto"/>
        </w:rPr>
        <w:t>6.2</w:t>
      </w:r>
      <w:r>
        <w:rPr>
          <w:rStyle w:val="43"/>
          <w:rFonts w:hint="eastAsia" w:ascii="Times New Roman"/>
          <w:bCs/>
          <w:color w:val="auto"/>
        </w:rPr>
        <w:t xml:space="preserve"> 设计洪水计算成果</w:t>
      </w:r>
      <w:r>
        <w:tab/>
      </w:r>
      <w:r>
        <w:fldChar w:fldCharType="begin"/>
      </w:r>
      <w:r>
        <w:instrText xml:space="preserve"> PAGEREF _Toc181948970 \h </w:instrText>
      </w:r>
      <w:r>
        <w:fldChar w:fldCharType="separate"/>
      </w:r>
      <w:r>
        <w:t>2</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"_Toc181948971" </w:instrText>
      </w:r>
      <w:r>
        <w:fldChar w:fldCharType="separate"/>
      </w:r>
      <w:r>
        <w:rPr>
          <w:rStyle w:val="43"/>
          <w:rFonts w:ascii="Times New Roman"/>
          <w:bCs/>
          <w:color w:val="auto"/>
        </w:rPr>
        <w:t>6.3</w:t>
      </w:r>
      <w:r>
        <w:rPr>
          <w:rStyle w:val="43"/>
          <w:rFonts w:hint="eastAsia" w:ascii="Times New Roman"/>
          <w:bCs/>
          <w:color w:val="auto"/>
        </w:rPr>
        <w:t xml:space="preserve"> 成果合理性分析及选用</w:t>
      </w:r>
      <w:r>
        <w:tab/>
      </w:r>
      <w:r>
        <w:fldChar w:fldCharType="begin"/>
      </w:r>
      <w:r>
        <w:instrText xml:space="preserve"> PAGEREF _Toc181948971 \h </w:instrText>
      </w:r>
      <w:r>
        <w:fldChar w:fldCharType="separate"/>
      </w:r>
      <w:r>
        <w:t>3</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"_Toc181948972" </w:instrText>
      </w:r>
      <w:r>
        <w:fldChar w:fldCharType="separate"/>
      </w:r>
      <w:r>
        <w:rPr>
          <w:rStyle w:val="43"/>
          <w:rFonts w:ascii="Times New Roman"/>
          <w:color w:val="auto"/>
        </w:rPr>
        <w:t>7</w:t>
      </w:r>
      <w:r>
        <w:rPr>
          <w:rStyle w:val="43"/>
          <w:rFonts w:hint="eastAsia" w:ascii="Times New Roman"/>
          <w:color w:val="auto"/>
        </w:rPr>
        <w:t xml:space="preserve"> 河湖管理范围划定</w:t>
      </w:r>
      <w:r>
        <w:tab/>
      </w:r>
      <w:r>
        <w:fldChar w:fldCharType="begin"/>
      </w:r>
      <w:r>
        <w:instrText xml:space="preserve"> PAGEREF _Toc181948972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"_Toc181948973" </w:instrText>
      </w:r>
      <w:r>
        <w:fldChar w:fldCharType="separate"/>
      </w:r>
      <w:r>
        <w:rPr>
          <w:rStyle w:val="43"/>
          <w:rFonts w:ascii="Times New Roman"/>
          <w:bCs/>
          <w:color w:val="auto"/>
        </w:rPr>
        <w:t>7.1</w:t>
      </w:r>
      <w:r>
        <w:rPr>
          <w:rStyle w:val="43"/>
          <w:rFonts w:hint="eastAsia" w:ascii="Times New Roman"/>
          <w:bCs/>
          <w:color w:val="auto"/>
        </w:rPr>
        <w:t xml:space="preserve"> 河道管理范围划定</w:t>
      </w:r>
      <w:r>
        <w:tab/>
      </w:r>
      <w:r>
        <w:fldChar w:fldCharType="begin"/>
      </w:r>
      <w:r>
        <w:instrText xml:space="preserve"> PAGEREF _Toc181948973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"_Toc181948974" </w:instrText>
      </w:r>
      <w:r>
        <w:fldChar w:fldCharType="separate"/>
      </w:r>
      <w:r>
        <w:rPr>
          <w:rStyle w:val="43"/>
          <w:rFonts w:ascii="Times New Roman"/>
          <w:bCs/>
          <w:color w:val="auto"/>
        </w:rPr>
        <w:t>7.2</w:t>
      </w:r>
      <w:r>
        <w:rPr>
          <w:rStyle w:val="43"/>
          <w:rFonts w:hint="eastAsia" w:ascii="Times New Roman"/>
          <w:bCs/>
          <w:color w:val="auto"/>
        </w:rPr>
        <w:t xml:space="preserve"> 湖泊管理范围划定</w:t>
      </w:r>
      <w:r>
        <w:tab/>
      </w:r>
      <w:r>
        <w:fldChar w:fldCharType="begin"/>
      </w:r>
      <w:r>
        <w:instrText xml:space="preserve"> PAGEREF _Toc181948974 \h </w:instrText>
      </w:r>
      <w:r>
        <w:fldChar w:fldCharType="separate"/>
      </w:r>
      <w:r>
        <w:t>3</w:t>
      </w:r>
      <w:r>
        <w:fldChar w:fldCharType="end"/>
      </w:r>
      <w:r>
        <w:fldChar w:fldCharType="end"/>
      </w:r>
    </w:p>
    <w:p>
      <w:pPr>
        <w:pStyle w:val="31"/>
        <w:ind w:left="210"/>
        <w:rPr>
          <w:rFonts w:asciiTheme="minorHAnsi" w:hAnsiTheme="minorHAnsi" w:eastAsiaTheme="minorEastAsia" w:cstheme="minorBidi"/>
          <w:szCs w:val="22"/>
        </w:rPr>
      </w:pPr>
      <w:r>
        <w:fldChar w:fldCharType="begin"/>
      </w:r>
      <w:r>
        <w:instrText xml:space="preserve"> HYPERLINK \l "_Toc181948975" </w:instrText>
      </w:r>
      <w:r>
        <w:fldChar w:fldCharType="separate"/>
      </w:r>
      <w:r>
        <w:rPr>
          <w:rStyle w:val="43"/>
          <w:rFonts w:ascii="Times New Roman"/>
          <w:bCs/>
          <w:color w:val="auto"/>
        </w:rPr>
        <w:t>7.3</w:t>
      </w:r>
      <w:r>
        <w:rPr>
          <w:rStyle w:val="43"/>
          <w:rFonts w:hint="eastAsia" w:ascii="Times New Roman"/>
          <w:bCs/>
          <w:color w:val="auto"/>
        </w:rPr>
        <w:t xml:space="preserve"> 划定成果</w:t>
      </w:r>
      <w:r>
        <w:tab/>
      </w:r>
      <w:r>
        <w:fldChar w:fldCharType="begin"/>
      </w:r>
      <w:r>
        <w:instrText xml:space="preserve"> PAGEREF _Toc181948975 \h </w:instrText>
      </w:r>
      <w:r>
        <w:fldChar w:fldCharType="separate"/>
      </w:r>
      <w:r>
        <w:t>4</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"_Toc181948976" </w:instrText>
      </w:r>
      <w:r>
        <w:fldChar w:fldCharType="separate"/>
      </w:r>
      <w:r>
        <w:rPr>
          <w:rStyle w:val="43"/>
          <w:rFonts w:hint="eastAsia" w:ascii="Times New Roman"/>
          <w:color w:val="auto"/>
        </w:rPr>
        <w:t>附录</w:t>
      </w:r>
      <w:r>
        <w:rPr>
          <w:rStyle w:val="43"/>
          <w:rFonts w:ascii="Times New Roman"/>
          <w:color w:val="auto"/>
        </w:rPr>
        <w:t xml:space="preserve">A  </w:t>
      </w:r>
      <w:r>
        <w:rPr>
          <w:rStyle w:val="43"/>
          <w:rFonts w:hint="eastAsia" w:ascii="Times New Roman"/>
          <w:color w:val="auto"/>
        </w:rPr>
        <w:t>河湖管理范围划定方案编制目录</w:t>
      </w:r>
      <w:r>
        <w:tab/>
      </w:r>
      <w:r>
        <w:fldChar w:fldCharType="begin"/>
      </w:r>
      <w:r>
        <w:instrText xml:space="preserve"> PAGEREF _Toc181948976 \h </w:instrText>
      </w:r>
      <w:r>
        <w:fldChar w:fldCharType="separate"/>
      </w:r>
      <w:r>
        <w:t>5</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"_Toc181948977" </w:instrText>
      </w:r>
      <w:r>
        <w:fldChar w:fldCharType="separate"/>
      </w:r>
      <w:r>
        <w:rPr>
          <w:rStyle w:val="43"/>
          <w:rFonts w:hint="eastAsia" w:ascii="Times New Roman"/>
          <w:color w:val="auto"/>
        </w:rPr>
        <w:t>附录</w:t>
      </w:r>
      <w:r>
        <w:rPr>
          <w:rStyle w:val="43"/>
          <w:rFonts w:ascii="Times New Roman"/>
          <w:color w:val="auto"/>
        </w:rPr>
        <w:t xml:space="preserve">B  </w:t>
      </w:r>
      <w:r>
        <w:rPr>
          <w:rStyle w:val="43"/>
          <w:rFonts w:hint="eastAsia" w:ascii="Times New Roman"/>
          <w:color w:val="auto"/>
        </w:rPr>
        <w:t>报告中插表</w:t>
      </w:r>
      <w:r>
        <w:tab/>
      </w:r>
      <w:r>
        <w:fldChar w:fldCharType="begin"/>
      </w:r>
      <w:r>
        <w:instrText xml:space="preserve"> PAGEREF _Toc181948977 \h </w:instrText>
      </w:r>
      <w:r>
        <w:fldChar w:fldCharType="separate"/>
      </w:r>
      <w:r>
        <w:t>6</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"_Toc181948978" </w:instrText>
      </w:r>
      <w:r>
        <w:fldChar w:fldCharType="separate"/>
      </w:r>
      <w:r>
        <w:rPr>
          <w:rStyle w:val="43"/>
          <w:rFonts w:hint="eastAsia" w:ascii="Times New Roman"/>
          <w:color w:val="auto"/>
        </w:rPr>
        <w:t>附录</w:t>
      </w:r>
      <w:r>
        <w:rPr>
          <w:rStyle w:val="43"/>
          <w:rFonts w:ascii="Times New Roman"/>
          <w:color w:val="auto"/>
        </w:rPr>
        <w:t xml:space="preserve">C  </w:t>
      </w:r>
      <w:r>
        <w:rPr>
          <w:rStyle w:val="43"/>
          <w:rFonts w:hint="eastAsia" w:ascii="Times New Roman"/>
          <w:color w:val="auto"/>
        </w:rPr>
        <w:t>报告中插图</w:t>
      </w:r>
      <w:r>
        <w:tab/>
      </w:r>
      <w:r>
        <w:fldChar w:fldCharType="begin"/>
      </w:r>
      <w:r>
        <w:instrText xml:space="preserve"> PAGEREF _Toc181948978 \h </w:instrText>
      </w:r>
      <w:r>
        <w:fldChar w:fldCharType="separate"/>
      </w:r>
      <w:r>
        <w:t>10</w:t>
      </w:r>
      <w:r>
        <w:fldChar w:fldCharType="end"/>
      </w:r>
      <w:r>
        <w:fldChar w:fldCharType="end"/>
      </w:r>
    </w:p>
    <w:p>
      <w:pPr>
        <w:pStyle w:val="22"/>
        <w:spacing w:before="78" w:after="78"/>
        <w:rPr>
          <w:rFonts w:asciiTheme="minorHAnsi" w:hAnsiTheme="minorHAnsi" w:eastAsiaTheme="minorEastAsia" w:cstheme="minorBidi"/>
          <w:szCs w:val="22"/>
        </w:rPr>
      </w:pPr>
      <w:r>
        <w:fldChar w:fldCharType="begin"/>
      </w:r>
      <w:r>
        <w:instrText xml:space="preserve"> HYPERLINK \l "_Toc181948979" </w:instrText>
      </w:r>
      <w:r>
        <w:fldChar w:fldCharType="separate"/>
      </w:r>
      <w:r>
        <w:rPr>
          <w:rStyle w:val="43"/>
          <w:rFonts w:hint="eastAsia" w:ascii="Times New Roman"/>
          <w:color w:val="auto"/>
        </w:rPr>
        <w:t>附录</w:t>
      </w:r>
      <w:r>
        <w:rPr>
          <w:rStyle w:val="43"/>
          <w:rFonts w:ascii="Times New Roman"/>
          <w:color w:val="auto"/>
        </w:rPr>
        <w:t xml:space="preserve">D  </w:t>
      </w:r>
      <w:r>
        <w:rPr>
          <w:rStyle w:val="43"/>
          <w:rFonts w:hint="eastAsia" w:ascii="Times New Roman"/>
          <w:color w:val="auto"/>
        </w:rPr>
        <w:t>河湖管理范围划定方案附图册</w:t>
      </w:r>
      <w:r>
        <w:tab/>
      </w:r>
      <w:r>
        <w:fldChar w:fldCharType="begin"/>
      </w:r>
      <w:r>
        <w:instrText xml:space="preserve"> PAGEREF _Toc181948979 \h </w:instrText>
      </w:r>
      <w:r>
        <w:fldChar w:fldCharType="separate"/>
      </w:r>
      <w:r>
        <w:t>10</w:t>
      </w:r>
      <w:r>
        <w:fldChar w:fldCharType="end"/>
      </w:r>
      <w:r>
        <w:fldChar w:fldCharType="end"/>
      </w:r>
    </w:p>
    <w:p>
      <w:pPr>
        <w:tabs>
          <w:tab w:val="left" w:pos="8647"/>
        </w:tabs>
        <w:ind w:firstLine="420" w:firstLineChars="200"/>
        <w:rPr>
          <w:szCs w:val="21"/>
        </w:rPr>
      </w:pPr>
      <w:r>
        <w:rPr>
          <w:szCs w:val="21"/>
        </w:rPr>
        <w:fldChar w:fldCharType="end"/>
      </w:r>
    </w:p>
    <w:p>
      <w:pPr>
        <w:pStyle w:val="117"/>
        <w:rPr>
          <w:rFonts w:ascii="Times New Roman"/>
          <w:sz w:val="21"/>
          <w:szCs w:val="21"/>
        </w:rPr>
      </w:pPr>
      <w:bookmarkStart w:id="13" w:name="_Toc475694823"/>
      <w:bookmarkStart w:id="14" w:name="_Toc181948952"/>
      <w:r>
        <w:rPr>
          <w:rFonts w:ascii="Times New Roman"/>
          <w:sz w:val="21"/>
          <w:szCs w:val="21"/>
        </w:rPr>
        <w:t>前</w:t>
      </w:r>
      <w:bookmarkStart w:id="15" w:name="BKQY"/>
      <w:r>
        <w:rPr>
          <w:rFonts w:ascii="Times New Roman"/>
          <w:sz w:val="21"/>
          <w:szCs w:val="21"/>
        </w:rPr>
        <w:t>  言</w:t>
      </w:r>
      <w:bookmarkEnd w:id="13"/>
      <w:bookmarkEnd w:id="14"/>
      <w:bookmarkEnd w:id="15"/>
    </w:p>
    <w:p>
      <w:pPr>
        <w:ind w:firstLine="420" w:firstLineChars="200"/>
        <w:rPr>
          <w:szCs w:val="21"/>
        </w:rPr>
      </w:pPr>
      <w:r>
        <w:rPr>
          <w:szCs w:val="21"/>
        </w:rPr>
        <w:t>本文件按照GB/T 1.1—2020《标准化工作导则  第1部分：标准化文件的结构和起草规则》的规定起草。</w:t>
      </w:r>
    </w:p>
    <w:p>
      <w:pPr>
        <w:ind w:firstLine="420" w:firstLineChars="200"/>
        <w:rPr>
          <w:szCs w:val="21"/>
        </w:rPr>
      </w:pPr>
      <w:r>
        <w:rPr>
          <w:szCs w:val="21"/>
        </w:rPr>
        <w:t>本文件由河北省水利厅提出并归口。</w:t>
      </w:r>
    </w:p>
    <w:p>
      <w:pPr>
        <w:ind w:firstLine="420" w:firstLineChars="200"/>
        <w:rPr>
          <w:szCs w:val="21"/>
        </w:rPr>
      </w:pPr>
      <w:r>
        <w:rPr>
          <w:szCs w:val="21"/>
        </w:rPr>
        <w:t>本文件起草单位：</w:t>
      </w:r>
      <w:r>
        <w:rPr>
          <w:rFonts w:hint="eastAsia"/>
          <w:szCs w:val="21"/>
        </w:rPr>
        <w:t>河北省水利规划设计研究院有限公司</w:t>
      </w:r>
      <w:r>
        <w:rPr>
          <w:szCs w:val="21"/>
        </w:rPr>
        <w:t>。</w:t>
      </w:r>
    </w:p>
    <w:p>
      <w:pPr>
        <w:ind w:firstLine="420" w:firstLineChars="200"/>
        <w:rPr>
          <w:szCs w:val="21"/>
        </w:rPr>
      </w:pPr>
      <w:r>
        <w:rPr>
          <w:szCs w:val="21"/>
        </w:rPr>
        <w:t>本文件主要起草人：。</w:t>
      </w:r>
    </w:p>
    <w:p>
      <w:pPr>
        <w:ind w:firstLine="420" w:firstLineChars="200"/>
        <w:rPr>
          <w:szCs w:val="21"/>
        </w:rPr>
      </w:pPr>
      <w:r>
        <w:rPr>
          <w:szCs w:val="21"/>
        </w:rPr>
        <w:t>本文件为首次发布。</w:t>
      </w:r>
    </w:p>
    <w:p/>
    <w:p>
      <w:pPr>
        <w:widowControl/>
        <w:jc w:val="left"/>
        <w:rPr>
          <w:szCs w:val="21"/>
        </w:rPr>
      </w:pPr>
      <w:r>
        <w:rPr>
          <w:szCs w:val="21"/>
        </w:rPr>
        <w:br w:type="page"/>
      </w:r>
    </w:p>
    <w:p>
      <w:pPr>
        <w:pStyle w:val="26"/>
        <w:sectPr>
          <w:headerReference r:id="rId3" w:type="default"/>
          <w:footerReference r:id="rId4" w:type="default"/>
          <w:pgSz w:w="11906" w:h="16838"/>
          <w:pgMar w:top="567" w:right="1134" w:bottom="1134" w:left="1418" w:header="1418" w:footer="1134" w:gutter="0"/>
          <w:pgNumType w:fmt="upperRoman" w:start="1"/>
          <w:cols w:space="425" w:num="1"/>
          <w:formProt w:val="0"/>
          <w:docGrid w:type="lines" w:linePitch="312" w:charSpace="0"/>
        </w:sectPr>
      </w:pPr>
    </w:p>
    <w:p>
      <w:pPr>
        <w:pStyle w:val="55"/>
        <w:rPr>
          <w:rFonts w:ascii="Times New Roman"/>
          <w:sz w:val="21"/>
          <w:szCs w:val="21"/>
        </w:rPr>
      </w:pPr>
      <w:r>
        <w:rPr>
          <w:rFonts w:hint="eastAsia" w:ascii="Times New Roman"/>
          <w:sz w:val="21"/>
          <w:szCs w:val="21"/>
        </w:rPr>
        <w:t>河湖管理范围划定</w:t>
      </w:r>
      <w:r>
        <w:rPr>
          <w:rFonts w:hint="eastAsia" w:ascii="Times New Roman"/>
          <w:sz w:val="21"/>
          <w:szCs w:val="21"/>
          <w:lang w:val="en-US" w:eastAsia="zh-CN"/>
        </w:rPr>
        <w:t>编制</w:t>
      </w:r>
      <w:r>
        <w:rPr>
          <w:rFonts w:hint="eastAsia" w:ascii="Times New Roman"/>
          <w:sz w:val="21"/>
          <w:szCs w:val="21"/>
        </w:rPr>
        <w:t>规程</w:t>
      </w:r>
      <w:bookmarkStart w:id="150" w:name="_GoBack"/>
      <w:bookmarkEnd w:id="150"/>
    </w:p>
    <w:p>
      <w:pPr>
        <w:pStyle w:val="50"/>
        <w:numPr>
          <w:ilvl w:val="0"/>
          <w:numId w:val="18"/>
        </w:numPr>
        <w:spacing w:before="312" w:after="312"/>
        <w:rPr>
          <w:rFonts w:ascii="Times New Roman"/>
        </w:rPr>
      </w:pPr>
      <w:bookmarkStart w:id="16" w:name="_Toc181948953"/>
      <w:r>
        <w:rPr>
          <w:rFonts w:ascii="Times New Roman"/>
        </w:rPr>
        <w:t>范围</w:t>
      </w:r>
      <w:bookmarkEnd w:id="16"/>
    </w:p>
    <w:p>
      <w:pPr>
        <w:pStyle w:val="26"/>
      </w:pPr>
      <w:r>
        <w:rPr>
          <w:rFonts w:hint="eastAsia"/>
        </w:rPr>
        <w:t>为规范河湖管理范围划定技术要求，保证管理范围划定成果质量，制定本技术规程。</w:t>
      </w:r>
    </w:p>
    <w:p>
      <w:pPr>
        <w:pStyle w:val="26"/>
      </w:pPr>
      <w:r>
        <w:rPr>
          <w:rFonts w:hint="eastAsia"/>
        </w:rPr>
        <w:t>本规程规定了河道、湖泊管理范围的划定原则、内容、方法及成果要求等。</w:t>
      </w:r>
    </w:p>
    <w:p>
      <w:pPr>
        <w:pStyle w:val="26"/>
      </w:pPr>
      <w:r>
        <w:rPr>
          <w:rFonts w:hint="eastAsia"/>
        </w:rPr>
        <w:t>本规程适用于列入河北省河湖保护名录的河道、湖泊管理范围划定技术工作，其它河湖管理范围划定工作可参照执行。蓄滞洪区、水库、水工建筑物的管理范围划定从其规定</w:t>
      </w:r>
      <w:r>
        <w:t>。</w:t>
      </w:r>
    </w:p>
    <w:p>
      <w:pPr>
        <w:pStyle w:val="26"/>
      </w:pPr>
      <w:r>
        <w:rPr>
          <w:rFonts w:hint="eastAsia"/>
        </w:rPr>
        <w:t>河湖管理范围划定技术工作除应符合本规程规定外，尚应符合国家现行有关标准的规定。</w:t>
      </w:r>
    </w:p>
    <w:p>
      <w:pPr>
        <w:pStyle w:val="50"/>
        <w:numPr>
          <w:ilvl w:val="0"/>
          <w:numId w:val="18"/>
        </w:numPr>
        <w:spacing w:before="312" w:after="312"/>
        <w:rPr>
          <w:rFonts w:ascii="Times New Roman"/>
        </w:rPr>
      </w:pPr>
      <w:bookmarkStart w:id="17" w:name="_Toc181948954"/>
      <w:r>
        <w:rPr>
          <w:rFonts w:ascii="Times New Roman"/>
        </w:rPr>
        <w:t>规范性引用文件</w:t>
      </w:r>
      <w:bookmarkEnd w:id="17"/>
    </w:p>
    <w:p>
      <w:pPr>
        <w:pStyle w:val="26"/>
      </w:pPr>
      <w:r>
        <w:t>下列文件中的内容通过文中的规范性引用而构成本文件必不可少的条款。</w:t>
      </w:r>
    </w:p>
    <w:p>
      <w:pPr>
        <w:pStyle w:val="26"/>
      </w:pPr>
      <w:r>
        <w:rPr>
          <w:rFonts w:hint="eastAsia"/>
        </w:rPr>
        <w:t>GB50201   防洪标准</w:t>
      </w:r>
    </w:p>
    <w:p>
      <w:pPr>
        <w:pStyle w:val="26"/>
      </w:pPr>
      <w:r>
        <w:rPr>
          <w:rFonts w:hint="eastAsia"/>
        </w:rPr>
        <w:t>GB 50286   堤防工程设计规范</w:t>
      </w:r>
    </w:p>
    <w:p>
      <w:pPr>
        <w:pStyle w:val="26"/>
      </w:pPr>
      <w:r>
        <w:rPr>
          <w:rFonts w:hint="eastAsia"/>
        </w:rPr>
        <w:t>GB 50707   河道整治设计规范</w:t>
      </w:r>
    </w:p>
    <w:p>
      <w:pPr>
        <w:pStyle w:val="26"/>
      </w:pPr>
      <w:r>
        <w:rPr>
          <w:rFonts w:hint="eastAsia"/>
        </w:rPr>
        <w:t>SL252      水利水电工程等级划分及洪水标准</w:t>
      </w:r>
    </w:p>
    <w:p>
      <w:pPr>
        <w:pStyle w:val="26"/>
      </w:pPr>
      <w:r>
        <w:rPr>
          <w:rFonts w:hint="eastAsia"/>
        </w:rPr>
        <w:t>SL/T278    水利水电工程水文计算规范</w:t>
      </w:r>
    </w:p>
    <w:p>
      <w:pPr>
        <w:pStyle w:val="26"/>
      </w:pPr>
      <w:r>
        <w:rPr>
          <w:rFonts w:hint="eastAsia"/>
        </w:rPr>
        <w:t>SL/T44     水利水电工程设计洪水计算规范</w:t>
      </w:r>
    </w:p>
    <w:p>
      <w:pPr>
        <w:pStyle w:val="26"/>
      </w:pPr>
      <w:r>
        <w:rPr>
          <w:rFonts w:hint="eastAsia"/>
        </w:rPr>
        <w:t>SL723      治涝标准</w:t>
      </w:r>
    </w:p>
    <w:p>
      <w:pPr>
        <w:pStyle w:val="26"/>
      </w:pPr>
      <w:r>
        <w:rPr>
          <w:rFonts w:hint="eastAsia"/>
        </w:rPr>
        <w:t>SL197      水利水电工程测量规范</w:t>
      </w:r>
    </w:p>
    <w:p>
      <w:pPr>
        <w:pStyle w:val="50"/>
        <w:numPr>
          <w:ilvl w:val="0"/>
          <w:numId w:val="18"/>
        </w:numPr>
        <w:spacing w:before="312" w:after="312"/>
        <w:rPr>
          <w:rFonts w:ascii="Times New Roman"/>
        </w:rPr>
      </w:pPr>
      <w:bookmarkStart w:id="18" w:name="_Toc26821"/>
      <w:bookmarkEnd w:id="18"/>
      <w:bookmarkStart w:id="19" w:name="_Toc11049"/>
      <w:bookmarkEnd w:id="19"/>
      <w:bookmarkStart w:id="20" w:name="_Toc23249"/>
      <w:bookmarkEnd w:id="20"/>
      <w:bookmarkStart w:id="21" w:name="_Toc8463"/>
      <w:bookmarkEnd w:id="21"/>
      <w:bookmarkStart w:id="22" w:name="_Toc30239"/>
      <w:bookmarkEnd w:id="22"/>
      <w:bookmarkStart w:id="23" w:name="_Toc20963"/>
      <w:bookmarkEnd w:id="23"/>
      <w:bookmarkStart w:id="24" w:name="_Toc3362"/>
      <w:bookmarkEnd w:id="24"/>
      <w:bookmarkStart w:id="25" w:name="_Toc23514"/>
      <w:bookmarkEnd w:id="25"/>
      <w:bookmarkStart w:id="26" w:name="_Toc12047"/>
      <w:bookmarkEnd w:id="26"/>
      <w:bookmarkStart w:id="27" w:name="_Toc27871"/>
      <w:bookmarkEnd w:id="27"/>
      <w:bookmarkStart w:id="28" w:name="_Toc2631"/>
      <w:bookmarkEnd w:id="28"/>
      <w:bookmarkStart w:id="29" w:name="_Toc28320"/>
      <w:bookmarkEnd w:id="29"/>
      <w:bookmarkStart w:id="30" w:name="_Toc22162"/>
      <w:bookmarkEnd w:id="30"/>
      <w:bookmarkStart w:id="31" w:name="_Toc32190"/>
      <w:bookmarkEnd w:id="31"/>
      <w:bookmarkStart w:id="32" w:name="_Toc25283"/>
      <w:bookmarkEnd w:id="32"/>
      <w:bookmarkStart w:id="33" w:name="_Toc24368"/>
      <w:bookmarkEnd w:id="33"/>
      <w:bookmarkStart w:id="34" w:name="_Toc6093"/>
      <w:bookmarkEnd w:id="34"/>
      <w:bookmarkStart w:id="35" w:name="_Toc2508"/>
      <w:bookmarkEnd w:id="35"/>
      <w:bookmarkStart w:id="36" w:name="_Toc3426"/>
      <w:bookmarkEnd w:id="36"/>
      <w:bookmarkStart w:id="37" w:name="_Toc17864"/>
      <w:bookmarkEnd w:id="37"/>
      <w:bookmarkStart w:id="38" w:name="_Toc31809"/>
      <w:bookmarkEnd w:id="38"/>
      <w:bookmarkStart w:id="39" w:name="_Toc2578"/>
      <w:bookmarkEnd w:id="39"/>
      <w:bookmarkStart w:id="40" w:name="_Toc2628"/>
      <w:bookmarkEnd w:id="40"/>
      <w:bookmarkStart w:id="41" w:name="_Toc18068"/>
      <w:bookmarkEnd w:id="41"/>
      <w:bookmarkStart w:id="42" w:name="_Toc22427"/>
      <w:bookmarkEnd w:id="42"/>
      <w:bookmarkStart w:id="43" w:name="_Toc26939"/>
      <w:bookmarkEnd w:id="43"/>
      <w:bookmarkStart w:id="44" w:name="_Toc3071"/>
      <w:bookmarkEnd w:id="44"/>
      <w:bookmarkStart w:id="45" w:name="_Toc25946"/>
      <w:bookmarkEnd w:id="45"/>
      <w:bookmarkStart w:id="46" w:name="_Toc14627"/>
      <w:bookmarkEnd w:id="46"/>
      <w:bookmarkStart w:id="47" w:name="_Toc13986"/>
      <w:bookmarkEnd w:id="47"/>
      <w:bookmarkStart w:id="48" w:name="_Toc29015"/>
      <w:bookmarkEnd w:id="48"/>
      <w:bookmarkStart w:id="49" w:name="_Toc22830"/>
      <w:bookmarkEnd w:id="49"/>
      <w:bookmarkStart w:id="50" w:name="_Toc30182"/>
      <w:bookmarkEnd w:id="50"/>
      <w:bookmarkStart w:id="51" w:name="_Toc15541"/>
      <w:bookmarkEnd w:id="51"/>
      <w:bookmarkStart w:id="52" w:name="_Toc10305"/>
      <w:bookmarkEnd w:id="52"/>
      <w:bookmarkStart w:id="53" w:name="_Toc8478"/>
      <w:bookmarkEnd w:id="53"/>
      <w:bookmarkStart w:id="54" w:name="_Toc181948955"/>
      <w:r>
        <w:rPr>
          <w:rFonts w:hint="eastAsia" w:ascii="Times New Roman"/>
        </w:rPr>
        <w:t>外业调查和资料收集</w:t>
      </w:r>
      <w:bookmarkEnd w:id="54"/>
    </w:p>
    <w:p>
      <w:pPr>
        <w:pStyle w:val="47"/>
        <w:numPr>
          <w:ilvl w:val="1"/>
          <w:numId w:val="18"/>
        </w:numPr>
        <w:tabs>
          <w:tab w:val="left" w:pos="7371"/>
        </w:tabs>
        <w:rPr>
          <w:rFonts w:ascii="Times New Roman" w:eastAsia="宋体"/>
          <w:bCs/>
        </w:rPr>
      </w:pPr>
      <w:bookmarkStart w:id="55" w:name="_Toc178510930"/>
      <w:bookmarkStart w:id="56" w:name="_Toc128150732"/>
      <w:bookmarkStart w:id="57" w:name="_Toc128146718"/>
      <w:bookmarkStart w:id="58" w:name="_Toc178335126"/>
      <w:bookmarkStart w:id="59" w:name="_Toc181948956"/>
      <w:r>
        <w:rPr>
          <w:rFonts w:hint="eastAsia" w:ascii="Times New Roman" w:eastAsia="宋体"/>
          <w:bCs/>
        </w:rPr>
        <w:t>现场查勘及调查收集河湖相关基本情况，包括地形地貌、植被、有无堤防及完整程度、滩槽分布等</w:t>
      </w:r>
      <w:bookmarkEnd w:id="55"/>
      <w:bookmarkEnd w:id="56"/>
      <w:bookmarkEnd w:id="57"/>
      <w:bookmarkEnd w:id="58"/>
      <w:r>
        <w:rPr>
          <w:rFonts w:ascii="Times New Roman" w:eastAsia="宋体"/>
          <w:bCs/>
        </w:rPr>
        <w:t>。</w:t>
      </w:r>
      <w:bookmarkEnd w:id="59"/>
    </w:p>
    <w:p>
      <w:pPr>
        <w:pStyle w:val="47"/>
        <w:numPr>
          <w:ilvl w:val="1"/>
          <w:numId w:val="18"/>
        </w:numPr>
        <w:tabs>
          <w:tab w:val="left" w:pos="7371"/>
        </w:tabs>
        <w:rPr>
          <w:rFonts w:ascii="Times New Roman" w:eastAsia="宋体"/>
          <w:bCs/>
        </w:rPr>
      </w:pPr>
      <w:bookmarkStart w:id="60" w:name="_Toc178510934"/>
      <w:bookmarkStart w:id="61" w:name="_Toc178335130"/>
      <w:bookmarkStart w:id="62" w:name="_Toc181948957"/>
      <w:bookmarkStart w:id="63" w:name="_Toc178510931"/>
      <w:bookmarkStart w:id="64" w:name="_Toc128150733"/>
      <w:bookmarkStart w:id="65" w:name="_Toc128146719"/>
      <w:bookmarkStart w:id="66" w:name="_Toc178335127"/>
      <w:r>
        <w:rPr>
          <w:rFonts w:hint="eastAsia" w:ascii="Times New Roman" w:eastAsia="宋体"/>
          <w:bCs/>
        </w:rPr>
        <w:t>收集必要的水文气象、自然地理、社会经济等资料。</w:t>
      </w:r>
      <w:bookmarkEnd w:id="60"/>
      <w:bookmarkEnd w:id="61"/>
      <w:bookmarkEnd w:id="62"/>
    </w:p>
    <w:p>
      <w:pPr>
        <w:pStyle w:val="47"/>
        <w:numPr>
          <w:ilvl w:val="1"/>
          <w:numId w:val="18"/>
        </w:numPr>
        <w:tabs>
          <w:tab w:val="left" w:pos="7371"/>
        </w:tabs>
        <w:rPr>
          <w:rFonts w:ascii="Times New Roman" w:eastAsia="宋体"/>
          <w:bCs/>
        </w:rPr>
      </w:pPr>
      <w:bookmarkStart w:id="67" w:name="_Toc181948958"/>
      <w:r>
        <w:rPr>
          <w:rFonts w:hint="eastAsia" w:ascii="Times New Roman" w:eastAsia="宋体"/>
          <w:bCs/>
        </w:rPr>
        <w:t>调查收集河湖名录及划界情况。</w:t>
      </w:r>
      <w:bookmarkEnd w:id="63"/>
      <w:bookmarkEnd w:id="64"/>
      <w:bookmarkEnd w:id="65"/>
      <w:bookmarkEnd w:id="66"/>
      <w:bookmarkEnd w:id="67"/>
    </w:p>
    <w:p>
      <w:pPr>
        <w:pStyle w:val="47"/>
        <w:numPr>
          <w:ilvl w:val="1"/>
          <w:numId w:val="18"/>
        </w:numPr>
        <w:tabs>
          <w:tab w:val="left" w:pos="7371"/>
        </w:tabs>
        <w:rPr>
          <w:rFonts w:ascii="Times New Roman" w:eastAsia="宋体"/>
          <w:bCs/>
        </w:rPr>
      </w:pPr>
      <w:bookmarkStart w:id="68" w:name="_Toc128150734"/>
      <w:bookmarkStart w:id="69" w:name="_Toc178510932"/>
      <w:bookmarkStart w:id="70" w:name="_Toc178335128"/>
      <w:bookmarkStart w:id="71" w:name="_Toc128146720"/>
      <w:bookmarkStart w:id="72" w:name="_Toc181948959"/>
      <w:r>
        <w:rPr>
          <w:rFonts w:hint="eastAsia" w:ascii="Times New Roman" w:eastAsia="宋体"/>
          <w:bCs/>
        </w:rPr>
        <w:t>调查收集河湖涉及的水库、涵闸、泵站、分洪口门等水利工程，以及主要的跨、穿、临河建筑物、构筑物及其它设施的位置、规模、等级、标准等。</w:t>
      </w:r>
      <w:bookmarkEnd w:id="68"/>
      <w:bookmarkEnd w:id="69"/>
      <w:bookmarkEnd w:id="70"/>
      <w:bookmarkEnd w:id="71"/>
      <w:bookmarkEnd w:id="72"/>
    </w:p>
    <w:p>
      <w:pPr>
        <w:pStyle w:val="47"/>
        <w:numPr>
          <w:ilvl w:val="1"/>
          <w:numId w:val="18"/>
        </w:numPr>
        <w:tabs>
          <w:tab w:val="left" w:pos="7371"/>
        </w:tabs>
        <w:rPr>
          <w:rFonts w:ascii="Times New Roman" w:eastAsia="宋体"/>
          <w:bCs/>
        </w:rPr>
      </w:pPr>
      <w:bookmarkStart w:id="73" w:name="_Toc178510933"/>
      <w:bookmarkStart w:id="74" w:name="_Toc178335129"/>
      <w:bookmarkStart w:id="75" w:name="_Toc181948960"/>
      <w:r>
        <w:rPr>
          <w:rFonts w:hint="eastAsia" w:ascii="Times New Roman" w:eastAsia="宋体"/>
          <w:bCs/>
        </w:rPr>
        <w:t>收集已批复的相关规划及设计成果。</w:t>
      </w:r>
      <w:bookmarkEnd w:id="73"/>
      <w:bookmarkEnd w:id="74"/>
      <w:bookmarkEnd w:id="75"/>
    </w:p>
    <w:p>
      <w:pPr>
        <w:pStyle w:val="50"/>
        <w:numPr>
          <w:ilvl w:val="0"/>
          <w:numId w:val="18"/>
        </w:numPr>
        <w:spacing w:before="312" w:after="312"/>
        <w:rPr>
          <w:rFonts w:ascii="Times New Roman"/>
        </w:rPr>
      </w:pPr>
      <w:bookmarkStart w:id="76" w:name="_Toc181948961"/>
      <w:r>
        <w:rPr>
          <w:rFonts w:hint="eastAsia" w:ascii="Times New Roman"/>
        </w:rPr>
        <w:t>工程测绘</w:t>
      </w:r>
      <w:bookmarkEnd w:id="76"/>
    </w:p>
    <w:p>
      <w:pPr>
        <w:pStyle w:val="47"/>
        <w:numPr>
          <w:ilvl w:val="1"/>
          <w:numId w:val="18"/>
        </w:numPr>
        <w:tabs>
          <w:tab w:val="left" w:pos="7371"/>
        </w:tabs>
        <w:rPr>
          <w:rFonts w:ascii="Times New Roman" w:eastAsia="宋体"/>
          <w:bCs/>
        </w:rPr>
      </w:pPr>
      <w:bookmarkStart w:id="77" w:name="_Toc181948962"/>
      <w:bookmarkStart w:id="78" w:name="_Toc178335133"/>
      <w:bookmarkStart w:id="79" w:name="_Toc178510937"/>
      <w:r>
        <w:rPr>
          <w:rFonts w:hint="eastAsia" w:ascii="Times New Roman" w:eastAsia="宋体"/>
          <w:bCs/>
        </w:rPr>
        <w:t>测绘内容</w:t>
      </w:r>
      <w:bookmarkEnd w:id="77"/>
    </w:p>
    <w:p>
      <w:pPr>
        <w:pStyle w:val="68"/>
        <w:numPr>
          <w:ilvl w:val="2"/>
          <w:numId w:val="18"/>
        </w:numPr>
        <w:ind w:left="0"/>
        <w:rPr>
          <w:rFonts w:ascii="Times New Roman"/>
        </w:rPr>
      </w:pPr>
      <w:r>
        <w:rPr>
          <w:rFonts w:hint="eastAsia" w:ascii="Times New Roman"/>
        </w:rPr>
        <w:t>有堤防的河湖现状或设计外堤脚线。</w:t>
      </w:r>
    </w:p>
    <w:p>
      <w:pPr>
        <w:pStyle w:val="68"/>
        <w:numPr>
          <w:ilvl w:val="2"/>
          <w:numId w:val="18"/>
        </w:numPr>
        <w:ind w:left="0"/>
        <w:rPr>
          <w:rFonts w:ascii="Times New Roman"/>
        </w:rPr>
      </w:pPr>
      <w:bookmarkStart w:id="80" w:name="_Toc178510938"/>
      <w:bookmarkStart w:id="81" w:name="_Toc178335134"/>
      <w:r>
        <w:rPr>
          <w:rFonts w:hint="eastAsia" w:ascii="Times New Roman"/>
        </w:rPr>
        <w:t>无堤防行洪河道或过流能力不满足要求的排涝河道纵横断面</w:t>
      </w:r>
      <w:bookmarkEnd w:id="80"/>
      <w:bookmarkEnd w:id="81"/>
      <w:r>
        <w:rPr>
          <w:rFonts w:hint="eastAsia" w:ascii="Times New Roman"/>
        </w:rPr>
        <w:t>，无堤防过流能力满足要求的平原排涝河道岸边线。</w:t>
      </w:r>
      <w:bookmarkEnd w:id="78"/>
      <w:bookmarkEnd w:id="79"/>
    </w:p>
    <w:p>
      <w:pPr>
        <w:pStyle w:val="68"/>
        <w:numPr>
          <w:ilvl w:val="2"/>
          <w:numId w:val="18"/>
        </w:numPr>
        <w:ind w:left="0"/>
        <w:rPr>
          <w:rFonts w:ascii="Times New Roman"/>
        </w:rPr>
      </w:pPr>
      <w:bookmarkStart w:id="82" w:name="_Toc178510939"/>
      <w:bookmarkStart w:id="83" w:name="_Toc178335135"/>
      <w:r>
        <w:rPr>
          <w:rFonts w:hint="eastAsia" w:ascii="Times New Roman"/>
        </w:rPr>
        <w:t>穿越城市、村镇等重要河段局部地形图。</w:t>
      </w:r>
      <w:bookmarkEnd w:id="82"/>
      <w:bookmarkEnd w:id="83"/>
    </w:p>
    <w:p>
      <w:pPr>
        <w:pStyle w:val="47"/>
        <w:numPr>
          <w:ilvl w:val="1"/>
          <w:numId w:val="18"/>
        </w:numPr>
        <w:tabs>
          <w:tab w:val="left" w:pos="7371"/>
        </w:tabs>
        <w:rPr>
          <w:rFonts w:ascii="Times New Roman" w:eastAsia="宋体"/>
          <w:bCs/>
        </w:rPr>
      </w:pPr>
      <w:bookmarkStart w:id="84" w:name="_Toc181948963"/>
      <w:r>
        <w:rPr>
          <w:rFonts w:hint="eastAsia" w:ascii="Times New Roman" w:eastAsia="宋体"/>
          <w:bCs/>
        </w:rPr>
        <w:t>测绘技术要求</w:t>
      </w:r>
      <w:bookmarkEnd w:id="84"/>
    </w:p>
    <w:p>
      <w:pPr>
        <w:pStyle w:val="68"/>
        <w:numPr>
          <w:ilvl w:val="2"/>
          <w:numId w:val="18"/>
        </w:numPr>
        <w:ind w:left="0"/>
        <w:rPr>
          <w:rFonts w:ascii="Times New Roman"/>
        </w:rPr>
      </w:pPr>
      <w:bookmarkStart w:id="85" w:name="_Toc178335137"/>
      <w:bookmarkStart w:id="86" w:name="_Toc178510941"/>
      <w:r>
        <w:rPr>
          <w:rFonts w:hint="eastAsia" w:ascii="Times New Roman"/>
        </w:rPr>
        <w:t>统一采用2000国家大地坐标系经纬度坐标（保留小数点后6位，精度在1m以内），1985国家高程基准。</w:t>
      </w:r>
      <w:bookmarkEnd w:id="85"/>
      <w:bookmarkEnd w:id="86"/>
    </w:p>
    <w:p>
      <w:pPr>
        <w:pStyle w:val="68"/>
        <w:numPr>
          <w:ilvl w:val="2"/>
          <w:numId w:val="18"/>
        </w:numPr>
        <w:ind w:left="0"/>
        <w:rPr>
          <w:rFonts w:ascii="Times New Roman"/>
        </w:rPr>
      </w:pPr>
      <w:bookmarkStart w:id="87" w:name="_Toc178335138"/>
      <w:bookmarkStart w:id="88" w:name="_Toc178510942"/>
      <w:r>
        <w:rPr>
          <w:rFonts w:hint="eastAsia" w:ascii="Times New Roman"/>
        </w:rPr>
        <w:t>管理范围划定工作底图比例尺不小于1:10000，重要河道局部地形图、宽度较小河道地形图比例尺不小于1:2000。</w:t>
      </w:r>
      <w:bookmarkEnd w:id="87"/>
      <w:bookmarkEnd w:id="88"/>
    </w:p>
    <w:p>
      <w:pPr>
        <w:pStyle w:val="68"/>
        <w:numPr>
          <w:ilvl w:val="2"/>
          <w:numId w:val="18"/>
        </w:numPr>
        <w:ind w:left="0"/>
        <w:rPr>
          <w:rFonts w:ascii="Times New Roman"/>
        </w:rPr>
      </w:pPr>
      <w:r>
        <w:rPr>
          <w:rFonts w:hint="eastAsia" w:ascii="Times New Roman"/>
        </w:rPr>
        <w:t>纵横断面测量比例尺不小于1:1000。</w:t>
      </w:r>
    </w:p>
    <w:p>
      <w:pPr>
        <w:pStyle w:val="68"/>
        <w:numPr>
          <w:ilvl w:val="2"/>
          <w:numId w:val="18"/>
        </w:numPr>
        <w:ind w:left="0"/>
        <w:rPr>
          <w:rFonts w:ascii="Times New Roman"/>
        </w:rPr>
      </w:pPr>
      <w:r>
        <w:rPr>
          <w:rFonts w:hint="eastAsia" w:ascii="Times New Roman"/>
        </w:rPr>
        <w:t>横断面测量间距一般不小于200m，河道断面变化较大的河段应加密测量。</w:t>
      </w:r>
    </w:p>
    <w:p>
      <w:pPr>
        <w:pStyle w:val="50"/>
        <w:numPr>
          <w:ilvl w:val="0"/>
          <w:numId w:val="18"/>
        </w:numPr>
        <w:spacing w:before="312" w:after="312"/>
        <w:rPr>
          <w:rFonts w:ascii="Times New Roman"/>
        </w:rPr>
      </w:pPr>
      <w:bookmarkStart w:id="89" w:name="_Toc181948964"/>
      <w:r>
        <w:rPr>
          <w:rFonts w:hint="eastAsia" w:ascii="Times New Roman"/>
        </w:rPr>
        <w:t>划定依据及要求</w:t>
      </w:r>
      <w:bookmarkEnd w:id="89"/>
    </w:p>
    <w:p>
      <w:pPr>
        <w:pStyle w:val="47"/>
        <w:numPr>
          <w:ilvl w:val="1"/>
          <w:numId w:val="18"/>
        </w:numPr>
        <w:tabs>
          <w:tab w:val="left" w:pos="7371"/>
        </w:tabs>
        <w:rPr>
          <w:rFonts w:ascii="Times New Roman" w:eastAsia="宋体"/>
          <w:bCs/>
        </w:rPr>
      </w:pPr>
      <w:bookmarkStart w:id="90" w:name="_Toc181948965"/>
      <w:r>
        <w:rPr>
          <w:rFonts w:hint="eastAsia" w:ascii="Times New Roman" w:eastAsia="宋体"/>
          <w:bCs/>
        </w:rPr>
        <w:t>划定依据</w:t>
      </w:r>
      <w:bookmarkEnd w:id="90"/>
    </w:p>
    <w:p>
      <w:pPr>
        <w:pStyle w:val="68"/>
        <w:numPr>
          <w:ilvl w:val="2"/>
          <w:numId w:val="18"/>
        </w:numPr>
        <w:ind w:left="0"/>
        <w:rPr>
          <w:rFonts w:ascii="Times New Roman"/>
        </w:rPr>
      </w:pPr>
      <w:r>
        <w:rPr>
          <w:rFonts w:hint="eastAsia" w:ascii="Times New Roman"/>
        </w:rPr>
        <w:t>国家有关法律、法规，包括《中华人民共和国水法》《中华人民共和国防洪法》《中华人民共和国河道管理条例》等。</w:t>
      </w:r>
    </w:p>
    <w:p>
      <w:pPr>
        <w:pStyle w:val="68"/>
        <w:numPr>
          <w:ilvl w:val="2"/>
          <w:numId w:val="18"/>
        </w:numPr>
        <w:ind w:left="0"/>
        <w:rPr>
          <w:rFonts w:ascii="Times New Roman"/>
        </w:rPr>
      </w:pPr>
      <w:r>
        <w:rPr>
          <w:rFonts w:hint="eastAsia" w:ascii="Times New Roman"/>
        </w:rPr>
        <w:t>有关技术规范、规程和标准（见2规范性引用文件）。</w:t>
      </w:r>
    </w:p>
    <w:p>
      <w:pPr>
        <w:pStyle w:val="68"/>
        <w:numPr>
          <w:ilvl w:val="2"/>
          <w:numId w:val="18"/>
        </w:numPr>
        <w:ind w:left="0"/>
        <w:rPr>
          <w:rFonts w:ascii="Times New Roman"/>
        </w:rPr>
      </w:pPr>
      <w:r>
        <w:rPr>
          <w:rFonts w:hint="eastAsia" w:ascii="Times New Roman"/>
        </w:rPr>
        <w:t>已批复的相关规划及设计文件，包括河湖的防洪规划、治导线规划、整治规划、采砂与整治规划、城乡发展规划及相关设计文件等。</w:t>
      </w:r>
    </w:p>
    <w:p>
      <w:pPr>
        <w:pStyle w:val="47"/>
        <w:numPr>
          <w:ilvl w:val="1"/>
          <w:numId w:val="18"/>
        </w:numPr>
        <w:tabs>
          <w:tab w:val="left" w:pos="7371"/>
        </w:tabs>
        <w:rPr>
          <w:rFonts w:ascii="Times New Roman" w:eastAsia="宋体"/>
          <w:bCs/>
        </w:rPr>
      </w:pPr>
      <w:bookmarkStart w:id="91" w:name="_Toc181948966"/>
      <w:r>
        <w:rPr>
          <w:rFonts w:hint="eastAsia" w:ascii="Times New Roman" w:eastAsia="宋体"/>
          <w:bCs/>
        </w:rPr>
        <w:t>划定范围</w:t>
      </w:r>
      <w:bookmarkEnd w:id="91"/>
    </w:p>
    <w:p>
      <w:pPr>
        <w:pStyle w:val="26"/>
      </w:pPr>
      <w:r>
        <w:rPr>
          <w:rFonts w:hint="eastAsia"/>
        </w:rPr>
        <w:t>根据河北省河湖保护名录确定的河湖名称、河源、河口、长度进行划定。</w:t>
      </w:r>
    </w:p>
    <w:p>
      <w:pPr>
        <w:pStyle w:val="47"/>
        <w:numPr>
          <w:ilvl w:val="1"/>
          <w:numId w:val="18"/>
        </w:numPr>
        <w:tabs>
          <w:tab w:val="left" w:pos="7371"/>
        </w:tabs>
        <w:rPr>
          <w:rFonts w:ascii="Times New Roman" w:eastAsia="宋体"/>
          <w:bCs/>
        </w:rPr>
      </w:pPr>
      <w:bookmarkStart w:id="92" w:name="_Toc181948967"/>
      <w:r>
        <w:rPr>
          <w:rFonts w:hint="eastAsia" w:ascii="Times New Roman" w:eastAsia="宋体"/>
          <w:bCs/>
        </w:rPr>
        <w:t>防洪标准</w:t>
      </w:r>
      <w:bookmarkEnd w:id="92"/>
    </w:p>
    <w:p>
      <w:pPr>
        <w:pStyle w:val="26"/>
      </w:pPr>
      <w:r>
        <w:rPr>
          <w:rFonts w:hint="eastAsia"/>
        </w:rPr>
        <w:t>河湖的防洪标准原则上按相关规划确定，没有规划的根据保护对象按《防洪标准》确定。</w:t>
      </w:r>
    </w:p>
    <w:p>
      <w:pPr>
        <w:pStyle w:val="50"/>
        <w:numPr>
          <w:ilvl w:val="0"/>
          <w:numId w:val="18"/>
        </w:numPr>
        <w:spacing w:before="312" w:after="312"/>
        <w:rPr>
          <w:rFonts w:ascii="Times New Roman"/>
        </w:rPr>
      </w:pPr>
      <w:bookmarkStart w:id="93" w:name="_Toc181948968"/>
      <w:r>
        <w:rPr>
          <w:rFonts w:hint="eastAsia" w:ascii="Times New Roman"/>
        </w:rPr>
        <w:t>设计洪水分析</w:t>
      </w:r>
      <w:bookmarkEnd w:id="93"/>
    </w:p>
    <w:p>
      <w:pPr>
        <w:pStyle w:val="47"/>
        <w:numPr>
          <w:ilvl w:val="1"/>
          <w:numId w:val="18"/>
        </w:numPr>
        <w:tabs>
          <w:tab w:val="left" w:pos="7371"/>
        </w:tabs>
        <w:rPr>
          <w:rFonts w:ascii="Times New Roman" w:eastAsia="宋体"/>
          <w:bCs/>
        </w:rPr>
      </w:pPr>
      <w:bookmarkStart w:id="94" w:name="_Toc181948969"/>
      <w:r>
        <w:rPr>
          <w:rFonts w:hint="eastAsia" w:ascii="Times New Roman" w:eastAsia="宋体"/>
          <w:bCs/>
        </w:rPr>
        <w:t>计算方法</w:t>
      </w:r>
      <w:bookmarkEnd w:id="94"/>
    </w:p>
    <w:p>
      <w:pPr>
        <w:pStyle w:val="68"/>
        <w:numPr>
          <w:ilvl w:val="2"/>
          <w:numId w:val="18"/>
        </w:numPr>
        <w:ind w:left="0"/>
        <w:rPr>
          <w:rFonts w:ascii="Times New Roman"/>
        </w:rPr>
      </w:pPr>
      <w:r>
        <w:rPr>
          <w:rFonts w:hint="eastAsia" w:ascii="Times New Roman"/>
        </w:rPr>
        <w:t>有已批复的设计洪水成果的可直接采用。</w:t>
      </w:r>
    </w:p>
    <w:p>
      <w:pPr>
        <w:pStyle w:val="68"/>
        <w:numPr>
          <w:ilvl w:val="2"/>
          <w:numId w:val="18"/>
        </w:numPr>
        <w:ind w:left="0"/>
        <w:rPr>
          <w:rFonts w:ascii="Times New Roman"/>
        </w:rPr>
      </w:pPr>
      <w:r>
        <w:rPr>
          <w:rFonts w:hint="eastAsia" w:ascii="Times New Roman"/>
        </w:rPr>
        <w:t>无批复设计洪水成果的，可采用以下方法进行计算：</w:t>
      </w:r>
    </w:p>
    <w:p>
      <w:pPr>
        <w:pStyle w:val="26"/>
      </w:pPr>
      <w:r>
        <w:rPr>
          <w:rFonts w:hint="eastAsia"/>
        </w:rPr>
        <w:t>a）有实测水文资料的，直接采用实测资料法进行设计洪水计算；</w:t>
      </w:r>
    </w:p>
    <w:p>
      <w:pPr>
        <w:pStyle w:val="26"/>
      </w:pPr>
      <w:r>
        <w:rPr>
          <w:rFonts w:hint="eastAsia"/>
        </w:rPr>
        <w:t>b）无实测资料的，采用暴雨途径间接推求设计洪沥水，主要根据《河北省中小流域设计暴雨洪水图集》（1985年）《河北省设计暴雨图集》（2004年）《河北省平原地区中小面积除涝水文修订报告》（2002年）及各地市水文手册中提出的计算方法，主要方法有推理公式法、瞬时单位线法、经验公式法及平原除涝手册法等；</w:t>
      </w:r>
    </w:p>
    <w:p>
      <w:pPr>
        <w:pStyle w:val="26"/>
      </w:pPr>
      <w:r>
        <w:rPr>
          <w:rFonts w:hint="eastAsia"/>
        </w:rPr>
        <w:t>c）对于同一条河道上下游相邻河段，流域面积相差小于20%的，可采用面积比法进行设计洪水计算。</w:t>
      </w:r>
    </w:p>
    <w:p>
      <w:pPr>
        <w:pStyle w:val="47"/>
        <w:numPr>
          <w:ilvl w:val="1"/>
          <w:numId w:val="18"/>
        </w:numPr>
        <w:tabs>
          <w:tab w:val="left" w:pos="7371"/>
        </w:tabs>
        <w:rPr>
          <w:rFonts w:ascii="Times New Roman" w:eastAsia="宋体"/>
          <w:bCs/>
        </w:rPr>
      </w:pPr>
      <w:bookmarkStart w:id="95" w:name="_Toc181948970"/>
      <w:r>
        <w:rPr>
          <w:rFonts w:hint="eastAsia" w:ascii="Times New Roman" w:eastAsia="宋体"/>
          <w:bCs/>
        </w:rPr>
        <w:t>设计洪水计算成果</w:t>
      </w:r>
      <w:bookmarkEnd w:id="95"/>
    </w:p>
    <w:p>
      <w:pPr>
        <w:pStyle w:val="68"/>
        <w:numPr>
          <w:ilvl w:val="2"/>
          <w:numId w:val="18"/>
        </w:numPr>
        <w:ind w:left="0"/>
        <w:rPr>
          <w:rFonts w:ascii="Times New Roman"/>
        </w:rPr>
      </w:pPr>
      <w:r>
        <w:rPr>
          <w:rFonts w:hint="eastAsia" w:ascii="Times New Roman"/>
        </w:rPr>
        <w:t>采用实测资料法计算的内容包括实测系列、历年洪峰洪量、历史大洪水重现期、频率曲线图。</w:t>
      </w:r>
    </w:p>
    <w:p>
      <w:pPr>
        <w:pStyle w:val="68"/>
        <w:numPr>
          <w:ilvl w:val="2"/>
          <w:numId w:val="18"/>
        </w:numPr>
        <w:ind w:left="0"/>
        <w:rPr>
          <w:rFonts w:ascii="Times New Roman"/>
        </w:rPr>
      </w:pPr>
      <w:r>
        <w:rPr>
          <w:rFonts w:hint="eastAsia" w:ascii="Times New Roman"/>
        </w:rPr>
        <w:t>采用暴雨途径法间接计算的内容包括流域特征值、暴雨参数、设计暴雨及计算过程中的相关参数。</w:t>
      </w:r>
    </w:p>
    <w:p>
      <w:pPr>
        <w:pStyle w:val="47"/>
        <w:numPr>
          <w:ilvl w:val="1"/>
          <w:numId w:val="18"/>
        </w:numPr>
        <w:tabs>
          <w:tab w:val="left" w:pos="7371"/>
        </w:tabs>
        <w:rPr>
          <w:rFonts w:ascii="Times New Roman" w:eastAsia="宋体"/>
          <w:bCs/>
        </w:rPr>
      </w:pPr>
      <w:bookmarkStart w:id="96" w:name="_Toc181948971"/>
      <w:r>
        <w:rPr>
          <w:rFonts w:hint="eastAsia" w:ascii="Times New Roman" w:eastAsia="宋体"/>
          <w:bCs/>
        </w:rPr>
        <w:t>成果合理性分析及选用</w:t>
      </w:r>
      <w:bookmarkEnd w:id="96"/>
    </w:p>
    <w:p>
      <w:pPr>
        <w:pStyle w:val="26"/>
      </w:pPr>
      <w:r>
        <w:rPr>
          <w:rFonts w:hint="eastAsia"/>
        </w:rPr>
        <w:t>采用洪峰模数图等进行合理性分析后选用。</w:t>
      </w:r>
    </w:p>
    <w:p>
      <w:pPr>
        <w:pStyle w:val="50"/>
        <w:numPr>
          <w:ilvl w:val="0"/>
          <w:numId w:val="18"/>
        </w:numPr>
        <w:spacing w:before="312" w:after="312"/>
        <w:rPr>
          <w:rFonts w:ascii="Times New Roman"/>
        </w:rPr>
      </w:pPr>
      <w:bookmarkStart w:id="97" w:name="_Toc181948972"/>
      <w:r>
        <w:rPr>
          <w:rFonts w:hint="eastAsia" w:ascii="Times New Roman"/>
        </w:rPr>
        <w:t>河湖管理范围划定</w:t>
      </w:r>
      <w:bookmarkEnd w:id="97"/>
    </w:p>
    <w:p>
      <w:pPr>
        <w:pStyle w:val="47"/>
        <w:numPr>
          <w:ilvl w:val="1"/>
          <w:numId w:val="18"/>
        </w:numPr>
        <w:tabs>
          <w:tab w:val="left" w:pos="7371"/>
        </w:tabs>
        <w:rPr>
          <w:rFonts w:ascii="Times New Roman" w:eastAsia="宋体"/>
          <w:bCs/>
        </w:rPr>
      </w:pPr>
      <w:bookmarkStart w:id="98" w:name="_Toc181948973"/>
      <w:r>
        <w:rPr>
          <w:rFonts w:hint="eastAsia" w:ascii="Times New Roman" w:eastAsia="宋体"/>
          <w:bCs/>
        </w:rPr>
        <w:t>河道管理范围划定</w:t>
      </w:r>
      <w:bookmarkEnd w:id="98"/>
    </w:p>
    <w:p>
      <w:pPr>
        <w:pStyle w:val="68"/>
        <w:numPr>
          <w:ilvl w:val="2"/>
          <w:numId w:val="18"/>
        </w:numPr>
        <w:ind w:left="0"/>
        <w:rPr>
          <w:rFonts w:ascii="Times New Roman"/>
        </w:rPr>
      </w:pPr>
      <w:r>
        <w:rPr>
          <w:rFonts w:hint="eastAsia" w:ascii="Times New Roman"/>
        </w:rPr>
        <w:t>有堤防段河道管理范围划定原则</w:t>
      </w:r>
    </w:p>
    <w:p>
      <w:pPr>
        <w:pStyle w:val="26"/>
      </w:pPr>
      <w:r>
        <w:rPr>
          <w:rFonts w:hint="eastAsia"/>
        </w:rPr>
        <w:t>a）有堤防的河道管理范围为堤外护堤地两边线之间的所有区域，以外堤脚线为基准线，根据堤防等级以护堤地边界线作为河道管理范围划定依据。现状堤防未达标，按设计断面确定外堤脚线。</w:t>
      </w:r>
    </w:p>
    <w:p>
      <w:pPr>
        <w:pStyle w:val="26"/>
      </w:pPr>
      <w:r>
        <w:rPr>
          <w:rFonts w:hint="eastAsia"/>
        </w:rPr>
        <w:t>b）根据《堤防工程设计规范》（GB50286-2013）规定，护堤地宽度从堤脚计起，1级堤防护堤地宽度为30～20m，2、3级堤防为20～10m，4、5级堤防为10～5m。重要堤防、城市防洪堤、重点险工险段、穿（临）村段，可根据具体情况调整确定。</w:t>
      </w:r>
    </w:p>
    <w:p>
      <w:pPr>
        <w:pStyle w:val="26"/>
      </w:pPr>
      <w:r>
        <w:rPr>
          <w:rFonts w:hint="eastAsia"/>
        </w:rPr>
        <w:t>c）河湖管理范围可包括已通过合法征地、含保障堤防安全的堆土区的区域。</w:t>
      </w:r>
    </w:p>
    <w:p>
      <w:pPr>
        <w:pStyle w:val="26"/>
      </w:pPr>
      <w:r>
        <w:rPr>
          <w:rFonts w:hint="eastAsia"/>
        </w:rPr>
        <w:t>e）不以堤身结构安全需要进行的堤身培厚、加宽且培厚、加宽后有明显堤脚的堤防，根据原设计断面确定堤脚线，按照b）外延不小于护堤地宽度划定虚拟管理范围线，以此虚拟管理范围线与现状堤防堤脚线的外包线为管理范围线。</w:t>
      </w:r>
    </w:p>
    <w:p>
      <w:pPr>
        <w:pStyle w:val="26"/>
      </w:pPr>
      <w:r>
        <w:rPr>
          <w:rFonts w:hint="eastAsia"/>
        </w:rPr>
        <w:t>f）如堤防有缺口、不连续，可通过上下游有堤防段平顺连接。</w:t>
      </w:r>
    </w:p>
    <w:p>
      <w:pPr>
        <w:pStyle w:val="68"/>
        <w:numPr>
          <w:ilvl w:val="2"/>
          <w:numId w:val="18"/>
        </w:numPr>
        <w:ind w:left="0"/>
        <w:rPr>
          <w:rFonts w:ascii="Times New Roman"/>
        </w:rPr>
      </w:pPr>
      <w:r>
        <w:rPr>
          <w:rFonts w:hint="eastAsia" w:ascii="Times New Roman"/>
        </w:rPr>
        <w:t>无堤防段河道管理范围划定原则</w:t>
      </w:r>
    </w:p>
    <w:p>
      <w:pPr>
        <w:pStyle w:val="26"/>
      </w:pPr>
      <w:r>
        <w:rPr>
          <w:rFonts w:hint="eastAsia"/>
        </w:rPr>
        <w:t>a）无堤防行洪河道，其管理范围原则上按照设计洪水位或历史最高洪水位确定。宽浅式、无明显河型、出山口、过村庄等河段，以满足河道行洪能力、保护对象防洪安全为原则确定，具体经过有相应设计资质的单位分析论证。</w:t>
      </w:r>
    </w:p>
    <w:p>
      <w:pPr>
        <w:pStyle w:val="26"/>
      </w:pPr>
      <w:r>
        <w:rPr>
          <w:rFonts w:hint="eastAsia"/>
        </w:rPr>
        <w:t>b）无堤防的排沥河道，流域面积在200km</w:t>
      </w:r>
      <w:r>
        <w:rPr>
          <w:rFonts w:hint="eastAsia"/>
          <w:vertAlign w:val="superscript"/>
        </w:rPr>
        <w:t>2</w:t>
      </w:r>
      <w:r>
        <w:rPr>
          <w:rFonts w:hint="eastAsia"/>
        </w:rPr>
        <w:t>（含）以上的，其管理范围原则上以河口边线之外不小于3m确定；流域面积在200km</w:t>
      </w:r>
      <w:r>
        <w:rPr>
          <w:rFonts w:hint="eastAsia"/>
          <w:vertAlign w:val="superscript"/>
        </w:rPr>
        <w:t>2</w:t>
      </w:r>
      <w:r>
        <w:rPr>
          <w:rFonts w:hint="eastAsia"/>
        </w:rPr>
        <w:t>～50 km</w:t>
      </w:r>
      <w:r>
        <w:rPr>
          <w:rFonts w:hint="eastAsia"/>
          <w:vertAlign w:val="superscript"/>
        </w:rPr>
        <w:t>2</w:t>
      </w:r>
      <w:r>
        <w:rPr>
          <w:rFonts w:hint="eastAsia"/>
        </w:rPr>
        <w:t>的，其管理范围原则上以河口边线之外1～3m确定；流域面积50km</w:t>
      </w:r>
      <w:r>
        <w:rPr>
          <w:rFonts w:hint="eastAsia"/>
          <w:vertAlign w:val="superscript"/>
        </w:rPr>
        <w:t>2</w:t>
      </w:r>
      <w:r>
        <w:rPr>
          <w:rFonts w:hint="eastAsia"/>
        </w:rPr>
        <w:t>以下的，其管理范围原则上以河口边线之外不小于1m确定。</w:t>
      </w:r>
    </w:p>
    <w:p>
      <w:pPr>
        <w:pStyle w:val="68"/>
        <w:numPr>
          <w:ilvl w:val="2"/>
          <w:numId w:val="18"/>
        </w:numPr>
        <w:ind w:left="0"/>
        <w:rPr>
          <w:rFonts w:ascii="Times New Roman"/>
        </w:rPr>
      </w:pPr>
      <w:r>
        <w:rPr>
          <w:rFonts w:hint="eastAsia"/>
        </w:rPr>
        <w:t>入海河口段管理范围</w:t>
      </w:r>
      <w:r>
        <w:rPr>
          <w:rFonts w:hint="eastAsia" w:ascii="Times New Roman"/>
        </w:rPr>
        <w:t>划定原则</w:t>
      </w:r>
    </w:p>
    <w:p>
      <w:pPr>
        <w:pStyle w:val="26"/>
      </w:pPr>
      <w:r>
        <w:rPr>
          <w:rFonts w:hint="eastAsia"/>
        </w:rPr>
        <w:t>入海河口段按照规划堤防或治导线，并考虑向海域适当延伸进行划定。</w:t>
      </w:r>
    </w:p>
    <w:p>
      <w:pPr>
        <w:pStyle w:val="68"/>
        <w:numPr>
          <w:ilvl w:val="2"/>
          <w:numId w:val="18"/>
        </w:numPr>
        <w:ind w:left="0"/>
        <w:rPr>
          <w:rFonts w:ascii="Times New Roman"/>
        </w:rPr>
      </w:pPr>
      <w:r>
        <w:rPr>
          <w:rFonts w:hint="eastAsia" w:ascii="Times New Roman"/>
        </w:rPr>
        <w:t>对于已批复治理规划、实施方案的河道，且治理工程正在实施的，实施完成后按批复的管理范围划定。</w:t>
      </w:r>
    </w:p>
    <w:p>
      <w:pPr>
        <w:pStyle w:val="68"/>
        <w:numPr>
          <w:ilvl w:val="2"/>
          <w:numId w:val="18"/>
        </w:numPr>
        <w:ind w:left="0"/>
        <w:rPr>
          <w:rFonts w:ascii="Times New Roman"/>
        </w:rPr>
      </w:pPr>
      <w:r>
        <w:rPr>
          <w:rFonts w:hint="eastAsia" w:ascii="Times New Roman"/>
        </w:rPr>
        <w:t>干流河道与支流河道的管理范围线应参照现状河势走向或堤防走向进行闭合衔接。</w:t>
      </w:r>
    </w:p>
    <w:p>
      <w:pPr>
        <w:pStyle w:val="68"/>
        <w:numPr>
          <w:ilvl w:val="2"/>
          <w:numId w:val="18"/>
        </w:numPr>
        <w:ind w:left="0"/>
        <w:rPr>
          <w:rFonts w:ascii="Times New Roman"/>
        </w:rPr>
      </w:pPr>
      <w:r>
        <w:rPr>
          <w:rFonts w:hint="eastAsia" w:ascii="Times New Roman"/>
        </w:rPr>
        <w:t>设计洪水位确定</w:t>
      </w:r>
    </w:p>
    <w:p>
      <w:pPr>
        <w:pStyle w:val="26"/>
      </w:pPr>
      <w:r>
        <w:rPr>
          <w:rFonts w:hint="eastAsia"/>
        </w:rPr>
        <w:t>a）有堤防的河道、无堤防排沥河道管理范围划定，原则上不再进行设计洪水位推算；无堤防行洪河道管理范围划定，需推算设计洪水位。</w:t>
      </w:r>
    </w:p>
    <w:p>
      <w:pPr>
        <w:pStyle w:val="26"/>
      </w:pPr>
      <w:r>
        <w:rPr>
          <w:rFonts w:hint="eastAsia"/>
        </w:rPr>
        <w:t>b）设计洪水位推算采用恒定非均匀流计算方法，必要时可采用二维数学模型方法。</w:t>
      </w:r>
    </w:p>
    <w:p>
      <w:pPr>
        <w:pStyle w:val="47"/>
        <w:numPr>
          <w:ilvl w:val="1"/>
          <w:numId w:val="18"/>
        </w:numPr>
        <w:tabs>
          <w:tab w:val="left" w:pos="7371"/>
        </w:tabs>
        <w:rPr>
          <w:rFonts w:ascii="Times New Roman" w:eastAsia="宋体"/>
          <w:bCs/>
        </w:rPr>
      </w:pPr>
      <w:bookmarkStart w:id="99" w:name="_Toc181948974"/>
      <w:r>
        <w:rPr>
          <w:rFonts w:hint="eastAsia" w:ascii="Times New Roman" w:eastAsia="宋体"/>
          <w:bCs/>
        </w:rPr>
        <w:t>湖泊管理范围划定</w:t>
      </w:r>
      <w:bookmarkEnd w:id="99"/>
    </w:p>
    <w:p>
      <w:pPr>
        <w:pStyle w:val="68"/>
        <w:numPr>
          <w:ilvl w:val="2"/>
          <w:numId w:val="18"/>
        </w:numPr>
        <w:ind w:left="0"/>
        <w:rPr>
          <w:rFonts w:ascii="Times New Roman"/>
        </w:rPr>
      </w:pPr>
      <w:r>
        <w:rPr>
          <w:rFonts w:hint="eastAsia" w:ascii="Times New Roman"/>
        </w:rPr>
        <w:t>有堤防段湖泊管理范围划定原则</w:t>
      </w:r>
    </w:p>
    <w:p>
      <w:pPr>
        <w:pStyle w:val="26"/>
      </w:pPr>
      <w:r>
        <w:rPr>
          <w:rFonts w:hint="eastAsia"/>
        </w:rPr>
        <w:t>a）有堤防的湖泊其管理范围为堤外护堤地边线内区域。</w:t>
      </w:r>
    </w:p>
    <w:p>
      <w:pPr>
        <w:pStyle w:val="26"/>
      </w:pPr>
      <w:r>
        <w:rPr>
          <w:rFonts w:hint="eastAsia"/>
        </w:rPr>
        <w:t>b）根据《堤防工程设计规范》（GB50286-2013）规定，护堤地宽度从堤脚计起，1级堤防护堤地宽度为30～20m，2、3级堤防为20～10m，4、5级堤防为10～5m。重要堤防、城市防洪堤、重点险工险段、穿（临）村段，可根据具体情况调整确定。</w:t>
      </w:r>
    </w:p>
    <w:p>
      <w:pPr>
        <w:pStyle w:val="68"/>
        <w:numPr>
          <w:ilvl w:val="2"/>
          <w:numId w:val="18"/>
        </w:numPr>
        <w:ind w:left="0"/>
        <w:rPr>
          <w:rFonts w:ascii="Times New Roman"/>
        </w:rPr>
      </w:pPr>
      <w:r>
        <w:rPr>
          <w:rFonts w:hint="eastAsia" w:ascii="Times New Roman"/>
        </w:rPr>
        <w:t>无堤防段湖泊管理范围划定原则</w:t>
      </w:r>
    </w:p>
    <w:p>
      <w:pPr>
        <w:pStyle w:val="26"/>
      </w:pPr>
      <w:r>
        <w:rPr>
          <w:rFonts w:hint="eastAsia"/>
        </w:rPr>
        <w:t>无堤防湖泊，其管理范围原则上按照设计洪水位或者历史最高洪水位确定。难以准确确定洪水位的，可按汇入湖泊的河流防洪标准相应水位确定。</w:t>
      </w:r>
    </w:p>
    <w:p>
      <w:pPr>
        <w:pStyle w:val="47"/>
        <w:numPr>
          <w:ilvl w:val="1"/>
          <w:numId w:val="18"/>
        </w:numPr>
        <w:tabs>
          <w:tab w:val="left" w:pos="7371"/>
        </w:tabs>
        <w:rPr>
          <w:rFonts w:ascii="Times New Roman" w:eastAsia="宋体"/>
          <w:bCs/>
        </w:rPr>
      </w:pPr>
      <w:bookmarkStart w:id="100" w:name="_Toc181948975"/>
      <w:r>
        <w:rPr>
          <w:rFonts w:hint="eastAsia" w:ascii="Times New Roman" w:eastAsia="宋体"/>
          <w:bCs/>
        </w:rPr>
        <w:t>划定成果</w:t>
      </w:r>
      <w:bookmarkEnd w:id="100"/>
    </w:p>
    <w:p>
      <w:pPr>
        <w:pStyle w:val="26"/>
      </w:pPr>
      <w:r>
        <w:rPr>
          <w:rFonts w:hint="eastAsia"/>
        </w:rPr>
        <w:t>根据各河段差异情况（防洪标准、有无堤防、堤防等级等），结合行政区划，分段描述划定成果，主要内容包括堤防情况、划定原则、主要控制节点位置、管理范围矢量边线点位坐标等。</w:t>
      </w:r>
    </w:p>
    <w:p>
      <w:pPr>
        <w:keepNext/>
        <w:keepLines/>
        <w:widowControl/>
        <w:spacing w:before="720" w:after="312" w:afterLines="100" w:line="360" w:lineRule="auto"/>
        <w:outlineLvl w:val="0"/>
        <w:rPr>
          <w:rFonts w:ascii="Cambria" w:hAnsi="Cambria" w:eastAsia="黑体"/>
          <w:kern w:val="0"/>
          <w:szCs w:val="32"/>
        </w:rPr>
        <w:sectPr>
          <w:headerReference r:id="rId5" w:type="default"/>
          <w:pgSz w:w="11906" w:h="16838"/>
          <w:pgMar w:top="1701" w:right="1587" w:bottom="1417" w:left="1587" w:header="851" w:footer="992" w:gutter="0"/>
          <w:pgNumType w:start="1"/>
          <w:cols w:space="0" w:num="1"/>
          <w:docGrid w:type="lines" w:linePitch="312" w:charSpace="0"/>
        </w:sectPr>
      </w:pPr>
      <w:bookmarkStart w:id="101" w:name="_Toc178510987"/>
      <w:bookmarkStart w:id="102" w:name="_Toc17296990"/>
    </w:p>
    <w:p>
      <w:pPr>
        <w:pStyle w:val="50"/>
        <w:spacing w:before="312" w:after="312"/>
        <w:rPr>
          <w:rFonts w:ascii="Times New Roman"/>
        </w:rPr>
      </w:pPr>
      <w:bookmarkStart w:id="103" w:name="_Toc181948976"/>
      <w:r>
        <w:rPr>
          <w:rFonts w:ascii="Times New Roman"/>
        </w:rPr>
        <w:t>附录</w:t>
      </w:r>
      <w:r>
        <w:rPr>
          <w:rFonts w:hint="eastAsia" w:ascii="Times New Roman"/>
        </w:rPr>
        <w:t xml:space="preserve">A  </w:t>
      </w:r>
      <w:r>
        <w:rPr>
          <w:rFonts w:ascii="Times New Roman"/>
        </w:rPr>
        <w:t>河湖管理范围划定方案编制目录</w:t>
      </w:r>
      <w:bookmarkEnd w:id="101"/>
      <w:bookmarkEnd w:id="102"/>
      <w:bookmarkEnd w:id="103"/>
    </w:p>
    <w:p>
      <w:pPr>
        <w:adjustRightInd w:val="0"/>
        <w:snapToGrid w:val="0"/>
        <w:spacing w:line="324" w:lineRule="auto"/>
        <w:rPr>
          <w:b/>
          <w:szCs w:val="21"/>
        </w:rPr>
      </w:pPr>
      <w:r>
        <w:rPr>
          <w:b/>
          <w:szCs w:val="21"/>
        </w:rPr>
        <w:t>1  基本情况</w:t>
      </w:r>
    </w:p>
    <w:p>
      <w:pPr>
        <w:adjustRightInd w:val="0"/>
        <w:snapToGrid w:val="0"/>
        <w:spacing w:line="324" w:lineRule="auto"/>
        <w:ind w:firstLine="420" w:firstLineChars="200"/>
        <w:rPr>
          <w:szCs w:val="21"/>
        </w:rPr>
      </w:pPr>
      <w:r>
        <w:rPr>
          <w:szCs w:val="21"/>
        </w:rPr>
        <w:t>1.1 背景</w:t>
      </w:r>
    </w:p>
    <w:p>
      <w:pPr>
        <w:adjustRightInd w:val="0"/>
        <w:snapToGrid w:val="0"/>
        <w:spacing w:line="324" w:lineRule="auto"/>
        <w:ind w:firstLine="420" w:firstLineChars="200"/>
        <w:rPr>
          <w:szCs w:val="21"/>
        </w:rPr>
      </w:pPr>
      <w:r>
        <w:rPr>
          <w:szCs w:val="21"/>
        </w:rPr>
        <w:t xml:space="preserve">1.2 </w:t>
      </w:r>
      <w:r>
        <w:rPr>
          <w:rFonts w:hint="eastAsia"/>
          <w:szCs w:val="21"/>
        </w:rPr>
        <w:t>河湖</w:t>
      </w:r>
      <w:r>
        <w:rPr>
          <w:szCs w:val="21"/>
        </w:rPr>
        <w:t>基本情况</w:t>
      </w:r>
    </w:p>
    <w:p>
      <w:pPr>
        <w:adjustRightInd w:val="0"/>
        <w:snapToGrid w:val="0"/>
        <w:spacing w:line="324" w:lineRule="auto"/>
        <w:ind w:firstLine="630" w:firstLineChars="300"/>
        <w:rPr>
          <w:szCs w:val="21"/>
        </w:rPr>
      </w:pPr>
      <w:r>
        <w:rPr>
          <w:szCs w:val="21"/>
        </w:rPr>
        <w:t>1.2.1自然地理</w:t>
      </w:r>
    </w:p>
    <w:p>
      <w:pPr>
        <w:adjustRightInd w:val="0"/>
        <w:snapToGrid w:val="0"/>
        <w:spacing w:line="324" w:lineRule="auto"/>
        <w:ind w:firstLine="630" w:firstLineChars="300"/>
        <w:rPr>
          <w:szCs w:val="21"/>
        </w:rPr>
      </w:pPr>
      <w:r>
        <w:rPr>
          <w:szCs w:val="21"/>
        </w:rPr>
        <w:t>1.2.2河流水系</w:t>
      </w:r>
    </w:p>
    <w:p>
      <w:pPr>
        <w:adjustRightInd w:val="0"/>
        <w:snapToGrid w:val="0"/>
        <w:spacing w:line="324" w:lineRule="auto"/>
        <w:ind w:firstLine="630" w:firstLineChars="300"/>
        <w:rPr>
          <w:szCs w:val="21"/>
        </w:rPr>
      </w:pPr>
      <w:r>
        <w:rPr>
          <w:szCs w:val="21"/>
        </w:rPr>
        <w:t>1.2.3水文气象</w:t>
      </w:r>
    </w:p>
    <w:p>
      <w:pPr>
        <w:adjustRightInd w:val="0"/>
        <w:snapToGrid w:val="0"/>
        <w:spacing w:line="324" w:lineRule="auto"/>
        <w:ind w:firstLine="630" w:firstLineChars="300"/>
        <w:rPr>
          <w:szCs w:val="21"/>
        </w:rPr>
      </w:pPr>
      <w:r>
        <w:rPr>
          <w:szCs w:val="21"/>
        </w:rPr>
        <w:t>1.2.4暴雨洪水特性</w:t>
      </w:r>
    </w:p>
    <w:p>
      <w:pPr>
        <w:adjustRightInd w:val="0"/>
        <w:snapToGrid w:val="0"/>
        <w:spacing w:line="324" w:lineRule="auto"/>
        <w:ind w:firstLine="630" w:firstLineChars="300"/>
        <w:rPr>
          <w:szCs w:val="21"/>
        </w:rPr>
      </w:pPr>
      <w:r>
        <w:rPr>
          <w:szCs w:val="21"/>
        </w:rPr>
        <w:t>1.2.5河流特征</w:t>
      </w:r>
    </w:p>
    <w:p>
      <w:pPr>
        <w:adjustRightInd w:val="0"/>
        <w:snapToGrid w:val="0"/>
        <w:spacing w:line="324" w:lineRule="auto"/>
        <w:ind w:firstLine="420" w:firstLineChars="200"/>
        <w:rPr>
          <w:szCs w:val="21"/>
        </w:rPr>
      </w:pPr>
      <w:r>
        <w:rPr>
          <w:szCs w:val="21"/>
        </w:rPr>
        <w:t>1.3 相关规划</w:t>
      </w:r>
    </w:p>
    <w:p>
      <w:pPr>
        <w:adjustRightInd w:val="0"/>
        <w:snapToGrid w:val="0"/>
        <w:spacing w:line="324" w:lineRule="auto"/>
        <w:ind w:firstLine="420" w:firstLineChars="200"/>
        <w:rPr>
          <w:szCs w:val="21"/>
        </w:rPr>
      </w:pPr>
      <w:r>
        <w:rPr>
          <w:szCs w:val="21"/>
        </w:rPr>
        <w:t>1.4 现有水利工程及其它设施情况</w:t>
      </w:r>
    </w:p>
    <w:p>
      <w:pPr>
        <w:adjustRightInd w:val="0"/>
        <w:snapToGrid w:val="0"/>
        <w:spacing w:line="324" w:lineRule="auto"/>
        <w:ind w:firstLine="630" w:firstLineChars="300"/>
        <w:rPr>
          <w:szCs w:val="21"/>
        </w:rPr>
      </w:pPr>
      <w:r>
        <w:rPr>
          <w:szCs w:val="21"/>
        </w:rPr>
        <w:t>1.4.1现有水利工程（主要是水库、涵闸、泵站、分洪口门等）</w:t>
      </w:r>
    </w:p>
    <w:p>
      <w:pPr>
        <w:adjustRightInd w:val="0"/>
        <w:snapToGrid w:val="0"/>
        <w:spacing w:line="324" w:lineRule="auto"/>
        <w:ind w:firstLine="630" w:firstLineChars="300"/>
        <w:rPr>
          <w:szCs w:val="21"/>
        </w:rPr>
      </w:pPr>
      <w:r>
        <w:rPr>
          <w:szCs w:val="21"/>
        </w:rPr>
        <w:t>1.4.2水文站点分布</w:t>
      </w:r>
    </w:p>
    <w:p>
      <w:pPr>
        <w:adjustRightInd w:val="0"/>
        <w:snapToGrid w:val="0"/>
        <w:spacing w:line="324" w:lineRule="auto"/>
        <w:ind w:firstLine="630" w:firstLineChars="300"/>
        <w:rPr>
          <w:szCs w:val="21"/>
        </w:rPr>
      </w:pPr>
      <w:r>
        <w:rPr>
          <w:szCs w:val="21"/>
        </w:rPr>
        <w:t>1.4.3其他设施（主要包括</w:t>
      </w:r>
      <w:r>
        <w:rPr>
          <w:rFonts w:hint="eastAsia"/>
          <w:szCs w:val="21"/>
        </w:rPr>
        <w:t>重要</w:t>
      </w:r>
      <w:r>
        <w:rPr>
          <w:szCs w:val="21"/>
        </w:rPr>
        <w:t>桥梁、管道、电网等）</w:t>
      </w:r>
    </w:p>
    <w:p>
      <w:pPr>
        <w:adjustRightInd w:val="0"/>
        <w:snapToGrid w:val="0"/>
        <w:spacing w:line="324" w:lineRule="auto"/>
        <w:ind w:firstLine="420" w:firstLineChars="200"/>
        <w:rPr>
          <w:szCs w:val="21"/>
        </w:rPr>
      </w:pPr>
      <w:r>
        <w:rPr>
          <w:szCs w:val="21"/>
        </w:rPr>
        <w:t xml:space="preserve">1.5 </w:t>
      </w:r>
      <w:r>
        <w:rPr>
          <w:rFonts w:hint="eastAsia"/>
          <w:szCs w:val="21"/>
        </w:rPr>
        <w:t>原有</w:t>
      </w:r>
      <w:r>
        <w:rPr>
          <w:szCs w:val="21"/>
        </w:rPr>
        <w:t>管理范围划定情况</w:t>
      </w:r>
    </w:p>
    <w:p>
      <w:pPr>
        <w:adjustRightInd w:val="0"/>
        <w:snapToGrid w:val="0"/>
        <w:spacing w:line="324" w:lineRule="auto"/>
        <w:rPr>
          <w:b/>
          <w:szCs w:val="21"/>
        </w:rPr>
      </w:pPr>
      <w:r>
        <w:rPr>
          <w:b/>
          <w:szCs w:val="21"/>
        </w:rPr>
        <w:t>2  划定依据及要求</w:t>
      </w:r>
    </w:p>
    <w:p>
      <w:pPr>
        <w:adjustRightInd w:val="0"/>
        <w:snapToGrid w:val="0"/>
        <w:spacing w:line="324" w:lineRule="auto"/>
        <w:ind w:firstLine="420" w:firstLineChars="200"/>
        <w:rPr>
          <w:szCs w:val="21"/>
        </w:rPr>
      </w:pPr>
      <w:r>
        <w:rPr>
          <w:szCs w:val="21"/>
        </w:rPr>
        <w:t>2.1 划定依据</w:t>
      </w:r>
    </w:p>
    <w:p>
      <w:pPr>
        <w:adjustRightInd w:val="0"/>
        <w:snapToGrid w:val="0"/>
        <w:spacing w:line="324" w:lineRule="auto"/>
        <w:ind w:firstLine="630" w:firstLineChars="300"/>
        <w:rPr>
          <w:szCs w:val="21"/>
        </w:rPr>
      </w:pPr>
      <w:r>
        <w:rPr>
          <w:szCs w:val="21"/>
        </w:rPr>
        <w:t>2.1.1国家有关法律、法规</w:t>
      </w:r>
    </w:p>
    <w:p>
      <w:pPr>
        <w:adjustRightInd w:val="0"/>
        <w:snapToGrid w:val="0"/>
        <w:spacing w:line="324" w:lineRule="auto"/>
        <w:ind w:firstLine="630" w:firstLineChars="300"/>
        <w:rPr>
          <w:szCs w:val="21"/>
        </w:rPr>
      </w:pPr>
      <w:r>
        <w:rPr>
          <w:szCs w:val="21"/>
        </w:rPr>
        <w:t>2.1.2有关技术规范、规程和标准</w:t>
      </w:r>
    </w:p>
    <w:p>
      <w:pPr>
        <w:adjustRightInd w:val="0"/>
        <w:snapToGrid w:val="0"/>
        <w:spacing w:line="324" w:lineRule="auto"/>
        <w:ind w:firstLine="630" w:firstLineChars="300"/>
        <w:rPr>
          <w:szCs w:val="21"/>
        </w:rPr>
      </w:pPr>
      <w:r>
        <w:rPr>
          <w:szCs w:val="21"/>
        </w:rPr>
        <w:t>2.1.3相关规划及设计文件</w:t>
      </w:r>
    </w:p>
    <w:p>
      <w:pPr>
        <w:adjustRightInd w:val="0"/>
        <w:snapToGrid w:val="0"/>
        <w:spacing w:line="324" w:lineRule="auto"/>
        <w:ind w:firstLine="420" w:firstLineChars="200"/>
        <w:rPr>
          <w:szCs w:val="21"/>
        </w:rPr>
      </w:pPr>
      <w:r>
        <w:rPr>
          <w:szCs w:val="21"/>
        </w:rPr>
        <w:t>2.2 划定范围</w:t>
      </w:r>
    </w:p>
    <w:p>
      <w:pPr>
        <w:adjustRightInd w:val="0"/>
        <w:snapToGrid w:val="0"/>
        <w:spacing w:line="324" w:lineRule="auto"/>
        <w:ind w:firstLine="420" w:firstLineChars="200"/>
        <w:rPr>
          <w:szCs w:val="21"/>
        </w:rPr>
      </w:pPr>
      <w:r>
        <w:rPr>
          <w:szCs w:val="21"/>
        </w:rPr>
        <w:t>2.3 防洪标准</w:t>
      </w:r>
    </w:p>
    <w:p>
      <w:pPr>
        <w:adjustRightInd w:val="0"/>
        <w:snapToGrid w:val="0"/>
        <w:spacing w:line="324" w:lineRule="auto"/>
        <w:rPr>
          <w:b/>
          <w:szCs w:val="21"/>
        </w:rPr>
      </w:pPr>
      <w:r>
        <w:rPr>
          <w:b/>
          <w:szCs w:val="21"/>
        </w:rPr>
        <w:t>3  设计洪水分析</w:t>
      </w:r>
    </w:p>
    <w:p>
      <w:pPr>
        <w:adjustRightInd w:val="0"/>
        <w:snapToGrid w:val="0"/>
        <w:spacing w:line="324" w:lineRule="auto"/>
        <w:ind w:firstLine="420" w:firstLineChars="200"/>
        <w:rPr>
          <w:szCs w:val="21"/>
        </w:rPr>
      </w:pPr>
      <w:r>
        <w:rPr>
          <w:szCs w:val="21"/>
        </w:rPr>
        <w:t>3.1计算方法</w:t>
      </w:r>
    </w:p>
    <w:p>
      <w:pPr>
        <w:adjustRightInd w:val="0"/>
        <w:snapToGrid w:val="0"/>
        <w:spacing w:line="324" w:lineRule="auto"/>
        <w:ind w:firstLine="420" w:firstLineChars="200"/>
        <w:rPr>
          <w:szCs w:val="21"/>
        </w:rPr>
      </w:pPr>
      <w:r>
        <w:rPr>
          <w:szCs w:val="21"/>
        </w:rPr>
        <w:t>3.2设计洪水计算成果</w:t>
      </w:r>
    </w:p>
    <w:p>
      <w:pPr>
        <w:adjustRightInd w:val="0"/>
        <w:snapToGrid w:val="0"/>
        <w:spacing w:line="324" w:lineRule="auto"/>
        <w:ind w:firstLine="420" w:firstLineChars="200"/>
        <w:rPr>
          <w:szCs w:val="21"/>
        </w:rPr>
      </w:pPr>
      <w:r>
        <w:rPr>
          <w:szCs w:val="21"/>
        </w:rPr>
        <w:t>3.3成果合理性分析</w:t>
      </w:r>
    </w:p>
    <w:p>
      <w:pPr>
        <w:adjustRightInd w:val="0"/>
        <w:snapToGrid w:val="0"/>
        <w:spacing w:line="324" w:lineRule="auto"/>
        <w:rPr>
          <w:b/>
          <w:szCs w:val="21"/>
        </w:rPr>
      </w:pPr>
      <w:r>
        <w:rPr>
          <w:b/>
          <w:szCs w:val="21"/>
        </w:rPr>
        <w:t>4  河湖管理范围划定</w:t>
      </w:r>
    </w:p>
    <w:p>
      <w:pPr>
        <w:adjustRightInd w:val="0"/>
        <w:snapToGrid w:val="0"/>
        <w:spacing w:line="324" w:lineRule="auto"/>
        <w:ind w:firstLine="420" w:firstLineChars="200"/>
        <w:rPr>
          <w:szCs w:val="21"/>
        </w:rPr>
      </w:pPr>
      <w:r>
        <w:rPr>
          <w:szCs w:val="21"/>
        </w:rPr>
        <w:t>4.1河湖管理范围划定原则</w:t>
      </w:r>
    </w:p>
    <w:p>
      <w:pPr>
        <w:adjustRightInd w:val="0"/>
        <w:snapToGrid w:val="0"/>
        <w:spacing w:line="324" w:lineRule="auto"/>
        <w:ind w:firstLine="420" w:firstLineChars="200"/>
        <w:rPr>
          <w:szCs w:val="21"/>
        </w:rPr>
      </w:pPr>
      <w:r>
        <w:rPr>
          <w:szCs w:val="21"/>
        </w:rPr>
        <w:t>4.2设计洪水位确定</w:t>
      </w:r>
    </w:p>
    <w:p>
      <w:pPr>
        <w:adjustRightInd w:val="0"/>
        <w:snapToGrid w:val="0"/>
        <w:spacing w:line="324" w:lineRule="auto"/>
        <w:ind w:firstLine="420" w:firstLineChars="200"/>
        <w:rPr>
          <w:szCs w:val="21"/>
        </w:rPr>
      </w:pPr>
      <w:r>
        <w:rPr>
          <w:szCs w:val="21"/>
        </w:rPr>
        <w:t>4.3划定成果</w:t>
      </w:r>
    </w:p>
    <w:p>
      <w:pPr>
        <w:adjustRightInd w:val="0"/>
        <w:snapToGrid w:val="0"/>
        <w:spacing w:line="324" w:lineRule="auto"/>
        <w:rPr>
          <w:sz w:val="28"/>
          <w:szCs w:val="28"/>
        </w:rPr>
      </w:pPr>
    </w:p>
    <w:p>
      <w:pPr>
        <w:adjustRightInd w:val="0"/>
        <w:snapToGrid w:val="0"/>
        <w:spacing w:line="324" w:lineRule="auto"/>
        <w:ind w:firstLine="560" w:firstLineChars="200"/>
        <w:rPr>
          <w:sz w:val="28"/>
          <w:szCs w:val="28"/>
        </w:rPr>
      </w:pPr>
    </w:p>
    <w:p>
      <w:pPr>
        <w:adjustRightInd w:val="0"/>
        <w:snapToGrid w:val="0"/>
        <w:spacing w:before="300" w:after="240" w:line="324" w:lineRule="auto"/>
        <w:outlineLvl w:val="0"/>
        <w:rPr>
          <w:rFonts w:eastAsia="黑体"/>
          <w:bCs/>
          <w:sz w:val="36"/>
          <w:szCs w:val="36"/>
        </w:rPr>
        <w:sectPr>
          <w:pgSz w:w="11906" w:h="16838"/>
          <w:pgMar w:top="1701" w:right="1587" w:bottom="1417" w:left="1587" w:header="851" w:footer="992" w:gutter="0"/>
          <w:cols w:space="0" w:num="1"/>
          <w:docGrid w:type="lines" w:linePitch="312" w:charSpace="0"/>
        </w:sectPr>
      </w:pPr>
    </w:p>
    <w:p>
      <w:pPr>
        <w:pStyle w:val="50"/>
        <w:spacing w:before="312" w:after="312"/>
        <w:rPr>
          <w:rFonts w:ascii="Times New Roman"/>
        </w:rPr>
      </w:pPr>
      <w:bookmarkStart w:id="104" w:name="_Toc17296991"/>
      <w:bookmarkStart w:id="105" w:name="_Toc178510988"/>
      <w:bookmarkStart w:id="106" w:name="_Toc181948977"/>
      <w:r>
        <w:rPr>
          <w:rFonts w:ascii="Times New Roman"/>
        </w:rPr>
        <w:t>附录</w:t>
      </w:r>
      <w:r>
        <w:rPr>
          <w:rFonts w:hint="eastAsia" w:ascii="Times New Roman"/>
        </w:rPr>
        <w:t xml:space="preserve">B  </w:t>
      </w:r>
      <w:r>
        <w:rPr>
          <w:rFonts w:ascii="Times New Roman"/>
        </w:rPr>
        <w:t>报告</w:t>
      </w:r>
      <w:r>
        <w:rPr>
          <w:rFonts w:hint="eastAsia" w:ascii="Times New Roman"/>
        </w:rPr>
        <w:t>中</w:t>
      </w:r>
      <w:bookmarkEnd w:id="104"/>
      <w:r>
        <w:rPr>
          <w:rFonts w:hint="eastAsia" w:ascii="Times New Roman"/>
        </w:rPr>
        <w:t>插表</w:t>
      </w:r>
      <w:bookmarkEnd w:id="105"/>
      <w:bookmarkEnd w:id="106"/>
    </w:p>
    <w:p>
      <w:pPr>
        <w:adjustRightInd w:val="0"/>
        <w:snapToGrid w:val="0"/>
        <w:spacing w:line="324" w:lineRule="auto"/>
        <w:jc w:val="center"/>
        <w:rPr>
          <w:rFonts w:eastAsia="黑体"/>
          <w:bCs/>
        </w:rPr>
      </w:pPr>
      <w:bookmarkStart w:id="107" w:name="_Toc535582265"/>
      <w:r>
        <w:rPr>
          <w:rFonts w:eastAsia="黑体"/>
          <w:bCs/>
        </w:rPr>
        <w:t xml:space="preserve">表1 </w:t>
      </w:r>
      <w:r>
        <w:rPr>
          <w:rFonts w:hint="eastAsia" w:eastAsia="黑体"/>
          <w:bCs/>
        </w:rPr>
        <w:t xml:space="preserve">  </w:t>
      </w:r>
      <w:r>
        <w:rPr>
          <w:rFonts w:eastAsia="黑体"/>
          <w:bCs/>
        </w:rPr>
        <w:t>水库工程特性表</w:t>
      </w:r>
      <w:bookmarkEnd w:id="107"/>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03"/>
        <w:gridCol w:w="585"/>
        <w:gridCol w:w="585"/>
        <w:gridCol w:w="825"/>
        <w:gridCol w:w="628"/>
        <w:gridCol w:w="628"/>
        <w:gridCol w:w="691"/>
        <w:gridCol w:w="931"/>
        <w:gridCol w:w="827"/>
        <w:gridCol w:w="875"/>
        <w:gridCol w:w="886"/>
        <w:gridCol w:w="88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37" w:type="pct"/>
            <w:vMerge w:val="restart"/>
            <w:shd w:val="clear" w:color="auto" w:fill="auto"/>
            <w:noWrap/>
            <w:vAlign w:val="center"/>
          </w:tcPr>
          <w:p>
            <w:pPr>
              <w:widowControl/>
              <w:adjustRightInd w:val="0"/>
              <w:snapToGrid w:val="0"/>
              <w:jc w:val="center"/>
              <w:rPr>
                <w:snapToGrid w:val="0"/>
                <w:kern w:val="0"/>
                <w:sz w:val="18"/>
                <w:szCs w:val="18"/>
              </w:rPr>
            </w:pPr>
            <w:r>
              <w:rPr>
                <w:snapToGrid w:val="0"/>
                <w:kern w:val="0"/>
                <w:sz w:val="18"/>
                <w:szCs w:val="18"/>
              </w:rPr>
              <w:t>序号</w:t>
            </w:r>
          </w:p>
        </w:tc>
        <w:tc>
          <w:tcPr>
            <w:tcW w:w="327"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所在河流</w:t>
            </w:r>
          </w:p>
        </w:tc>
        <w:tc>
          <w:tcPr>
            <w:tcW w:w="327"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水库名称</w:t>
            </w:r>
          </w:p>
        </w:tc>
        <w:tc>
          <w:tcPr>
            <w:tcW w:w="461"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建成时间（年）</w:t>
            </w:r>
          </w:p>
        </w:tc>
        <w:tc>
          <w:tcPr>
            <w:tcW w:w="351"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建设地点</w:t>
            </w:r>
          </w:p>
        </w:tc>
        <w:tc>
          <w:tcPr>
            <w:tcW w:w="351"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工程等别</w:t>
            </w:r>
          </w:p>
        </w:tc>
        <w:tc>
          <w:tcPr>
            <w:tcW w:w="386"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控制面积(km</w:t>
            </w:r>
            <w:r>
              <w:rPr>
                <w:snapToGrid w:val="0"/>
                <w:kern w:val="0"/>
                <w:sz w:val="18"/>
                <w:szCs w:val="18"/>
                <w:vertAlign w:val="superscript"/>
              </w:rPr>
              <w:t>2</w:t>
            </w:r>
            <w:r>
              <w:rPr>
                <w:snapToGrid w:val="0"/>
                <w:kern w:val="0"/>
                <w:sz w:val="18"/>
                <w:szCs w:val="18"/>
              </w:rPr>
              <w:t>)</w:t>
            </w:r>
          </w:p>
        </w:tc>
        <w:tc>
          <w:tcPr>
            <w:tcW w:w="520" w:type="pct"/>
            <w:vMerge w:val="restart"/>
            <w:shd w:val="clear" w:color="auto" w:fill="auto"/>
            <w:vAlign w:val="center"/>
          </w:tcPr>
          <w:p>
            <w:pPr>
              <w:widowControl/>
              <w:adjustRightInd w:val="0"/>
              <w:snapToGrid w:val="0"/>
              <w:jc w:val="center"/>
              <w:rPr>
                <w:snapToGrid w:val="0"/>
                <w:kern w:val="0"/>
                <w:sz w:val="18"/>
                <w:szCs w:val="18"/>
              </w:rPr>
            </w:pPr>
            <w:r>
              <w:rPr>
                <w:snapToGrid w:val="0"/>
                <w:kern w:val="0"/>
                <w:sz w:val="18"/>
                <w:szCs w:val="18"/>
              </w:rPr>
              <w:t>总库容(万m³)</w:t>
            </w:r>
          </w:p>
        </w:tc>
        <w:tc>
          <w:tcPr>
            <w:tcW w:w="951" w:type="pct"/>
            <w:gridSpan w:val="2"/>
            <w:shd w:val="clear" w:color="auto" w:fill="auto"/>
            <w:vAlign w:val="center"/>
          </w:tcPr>
          <w:p>
            <w:pPr>
              <w:widowControl/>
              <w:adjustRightInd w:val="0"/>
              <w:snapToGrid w:val="0"/>
              <w:jc w:val="center"/>
              <w:rPr>
                <w:snapToGrid w:val="0"/>
                <w:kern w:val="0"/>
                <w:sz w:val="18"/>
                <w:szCs w:val="18"/>
              </w:rPr>
            </w:pPr>
            <w:r>
              <w:rPr>
                <w:snapToGrid w:val="0"/>
                <w:kern w:val="0"/>
                <w:sz w:val="18"/>
                <w:szCs w:val="18"/>
              </w:rPr>
              <w:t>设计标准</w:t>
            </w:r>
          </w:p>
        </w:tc>
        <w:tc>
          <w:tcPr>
            <w:tcW w:w="989" w:type="pct"/>
            <w:gridSpan w:val="2"/>
            <w:shd w:val="clear" w:color="auto" w:fill="auto"/>
            <w:vAlign w:val="center"/>
          </w:tcPr>
          <w:p>
            <w:pPr>
              <w:widowControl/>
              <w:adjustRightInd w:val="0"/>
              <w:snapToGrid w:val="0"/>
              <w:jc w:val="center"/>
              <w:rPr>
                <w:snapToGrid w:val="0"/>
                <w:kern w:val="0"/>
                <w:sz w:val="18"/>
                <w:szCs w:val="18"/>
              </w:rPr>
            </w:pPr>
            <w:r>
              <w:rPr>
                <w:snapToGrid w:val="0"/>
                <w:kern w:val="0"/>
                <w:sz w:val="18"/>
                <w:szCs w:val="18"/>
              </w:rPr>
              <w:t>校核标准</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37" w:type="pct"/>
            <w:vMerge w:val="continue"/>
            <w:vAlign w:val="center"/>
          </w:tcPr>
          <w:p>
            <w:pPr>
              <w:widowControl/>
              <w:adjustRightInd w:val="0"/>
              <w:snapToGrid w:val="0"/>
              <w:jc w:val="center"/>
              <w:rPr>
                <w:snapToGrid w:val="0"/>
                <w:kern w:val="0"/>
                <w:sz w:val="18"/>
                <w:szCs w:val="18"/>
              </w:rPr>
            </w:pPr>
          </w:p>
        </w:tc>
        <w:tc>
          <w:tcPr>
            <w:tcW w:w="327" w:type="pct"/>
            <w:vMerge w:val="continue"/>
            <w:vAlign w:val="center"/>
          </w:tcPr>
          <w:p>
            <w:pPr>
              <w:widowControl/>
              <w:adjustRightInd w:val="0"/>
              <w:snapToGrid w:val="0"/>
              <w:jc w:val="center"/>
              <w:rPr>
                <w:snapToGrid w:val="0"/>
                <w:kern w:val="0"/>
                <w:sz w:val="18"/>
                <w:szCs w:val="18"/>
              </w:rPr>
            </w:pPr>
          </w:p>
        </w:tc>
        <w:tc>
          <w:tcPr>
            <w:tcW w:w="327" w:type="pct"/>
            <w:vMerge w:val="continue"/>
            <w:vAlign w:val="center"/>
          </w:tcPr>
          <w:p>
            <w:pPr>
              <w:widowControl/>
              <w:adjustRightInd w:val="0"/>
              <w:snapToGrid w:val="0"/>
              <w:jc w:val="center"/>
              <w:rPr>
                <w:snapToGrid w:val="0"/>
                <w:kern w:val="0"/>
                <w:sz w:val="18"/>
                <w:szCs w:val="18"/>
              </w:rPr>
            </w:pPr>
          </w:p>
        </w:tc>
        <w:tc>
          <w:tcPr>
            <w:tcW w:w="461" w:type="pct"/>
            <w:vMerge w:val="continue"/>
            <w:vAlign w:val="center"/>
          </w:tcPr>
          <w:p>
            <w:pPr>
              <w:widowControl/>
              <w:adjustRightInd w:val="0"/>
              <w:snapToGrid w:val="0"/>
              <w:jc w:val="center"/>
              <w:rPr>
                <w:snapToGrid w:val="0"/>
                <w:kern w:val="0"/>
                <w:sz w:val="18"/>
                <w:szCs w:val="18"/>
              </w:rPr>
            </w:pPr>
          </w:p>
        </w:tc>
        <w:tc>
          <w:tcPr>
            <w:tcW w:w="351" w:type="pct"/>
            <w:vMerge w:val="continue"/>
            <w:vAlign w:val="center"/>
          </w:tcPr>
          <w:p>
            <w:pPr>
              <w:widowControl/>
              <w:adjustRightInd w:val="0"/>
              <w:snapToGrid w:val="0"/>
              <w:jc w:val="center"/>
              <w:rPr>
                <w:snapToGrid w:val="0"/>
                <w:kern w:val="0"/>
                <w:sz w:val="18"/>
                <w:szCs w:val="18"/>
              </w:rPr>
            </w:pPr>
          </w:p>
        </w:tc>
        <w:tc>
          <w:tcPr>
            <w:tcW w:w="351" w:type="pct"/>
            <w:vMerge w:val="continue"/>
            <w:vAlign w:val="center"/>
          </w:tcPr>
          <w:p>
            <w:pPr>
              <w:widowControl/>
              <w:adjustRightInd w:val="0"/>
              <w:snapToGrid w:val="0"/>
              <w:jc w:val="center"/>
              <w:rPr>
                <w:snapToGrid w:val="0"/>
                <w:kern w:val="0"/>
                <w:sz w:val="18"/>
                <w:szCs w:val="18"/>
              </w:rPr>
            </w:pPr>
          </w:p>
        </w:tc>
        <w:tc>
          <w:tcPr>
            <w:tcW w:w="386" w:type="pct"/>
            <w:vMerge w:val="continue"/>
            <w:vAlign w:val="center"/>
          </w:tcPr>
          <w:p>
            <w:pPr>
              <w:widowControl/>
              <w:adjustRightInd w:val="0"/>
              <w:snapToGrid w:val="0"/>
              <w:jc w:val="center"/>
              <w:rPr>
                <w:snapToGrid w:val="0"/>
                <w:kern w:val="0"/>
                <w:sz w:val="18"/>
                <w:szCs w:val="18"/>
              </w:rPr>
            </w:pPr>
          </w:p>
        </w:tc>
        <w:tc>
          <w:tcPr>
            <w:tcW w:w="520" w:type="pct"/>
            <w:vMerge w:val="continue"/>
            <w:vAlign w:val="center"/>
          </w:tcPr>
          <w:p>
            <w:pPr>
              <w:widowControl/>
              <w:adjustRightInd w:val="0"/>
              <w:snapToGrid w:val="0"/>
              <w:jc w:val="center"/>
              <w:rPr>
                <w:snapToGrid w:val="0"/>
                <w:kern w:val="0"/>
                <w:sz w:val="18"/>
                <w:szCs w:val="18"/>
              </w:rPr>
            </w:pPr>
          </w:p>
        </w:tc>
        <w:tc>
          <w:tcPr>
            <w:tcW w:w="462" w:type="pct"/>
            <w:vAlign w:val="center"/>
          </w:tcPr>
          <w:p>
            <w:pPr>
              <w:widowControl/>
              <w:adjustRightInd w:val="0"/>
              <w:snapToGrid w:val="0"/>
              <w:jc w:val="center"/>
              <w:rPr>
                <w:snapToGrid w:val="0"/>
                <w:kern w:val="0"/>
                <w:sz w:val="18"/>
                <w:szCs w:val="18"/>
              </w:rPr>
            </w:pPr>
            <w:r>
              <w:rPr>
                <w:snapToGrid w:val="0"/>
                <w:kern w:val="0"/>
                <w:sz w:val="18"/>
                <w:szCs w:val="18"/>
              </w:rPr>
              <w:t>重现期（年）</w:t>
            </w:r>
          </w:p>
        </w:tc>
        <w:tc>
          <w:tcPr>
            <w:tcW w:w="489" w:type="pct"/>
            <w:vAlign w:val="center"/>
          </w:tcPr>
          <w:p>
            <w:pPr>
              <w:widowControl/>
              <w:adjustRightInd w:val="0"/>
              <w:snapToGrid w:val="0"/>
              <w:jc w:val="center"/>
              <w:rPr>
                <w:snapToGrid w:val="0"/>
                <w:kern w:val="0"/>
                <w:sz w:val="18"/>
                <w:szCs w:val="18"/>
              </w:rPr>
            </w:pPr>
            <w:r>
              <w:rPr>
                <w:snapToGrid w:val="0"/>
                <w:kern w:val="0"/>
                <w:sz w:val="18"/>
                <w:szCs w:val="18"/>
              </w:rPr>
              <w:t>流量</w:t>
            </w:r>
          </w:p>
          <w:p>
            <w:pPr>
              <w:widowControl/>
              <w:adjustRightInd w:val="0"/>
              <w:snapToGrid w:val="0"/>
              <w:jc w:val="center"/>
              <w:rPr>
                <w:snapToGrid w:val="0"/>
                <w:kern w:val="0"/>
                <w:sz w:val="18"/>
                <w:szCs w:val="18"/>
              </w:rPr>
            </w:pPr>
            <w:r>
              <w:rPr>
                <w:snapToGrid w:val="0"/>
                <w:kern w:val="0"/>
                <w:sz w:val="18"/>
                <w:szCs w:val="18"/>
              </w:rPr>
              <w:t>(m³/s)</w:t>
            </w:r>
          </w:p>
        </w:tc>
        <w:tc>
          <w:tcPr>
            <w:tcW w:w="495" w:type="pct"/>
            <w:vAlign w:val="center"/>
          </w:tcPr>
          <w:p>
            <w:pPr>
              <w:widowControl/>
              <w:adjustRightInd w:val="0"/>
              <w:snapToGrid w:val="0"/>
              <w:jc w:val="center"/>
              <w:rPr>
                <w:snapToGrid w:val="0"/>
                <w:kern w:val="0"/>
                <w:sz w:val="18"/>
                <w:szCs w:val="18"/>
              </w:rPr>
            </w:pPr>
            <w:r>
              <w:rPr>
                <w:snapToGrid w:val="0"/>
                <w:kern w:val="0"/>
                <w:sz w:val="18"/>
                <w:szCs w:val="18"/>
              </w:rPr>
              <w:t>重现期（年）</w:t>
            </w:r>
          </w:p>
        </w:tc>
        <w:tc>
          <w:tcPr>
            <w:tcW w:w="494" w:type="pct"/>
            <w:vAlign w:val="center"/>
          </w:tcPr>
          <w:p>
            <w:pPr>
              <w:widowControl/>
              <w:adjustRightInd w:val="0"/>
              <w:snapToGrid w:val="0"/>
              <w:jc w:val="center"/>
              <w:rPr>
                <w:snapToGrid w:val="0"/>
                <w:kern w:val="0"/>
                <w:sz w:val="18"/>
                <w:szCs w:val="18"/>
              </w:rPr>
            </w:pPr>
            <w:r>
              <w:rPr>
                <w:snapToGrid w:val="0"/>
                <w:kern w:val="0"/>
                <w:sz w:val="18"/>
                <w:szCs w:val="18"/>
              </w:rPr>
              <w:t>流量</w:t>
            </w:r>
          </w:p>
          <w:p>
            <w:pPr>
              <w:widowControl/>
              <w:adjustRightInd w:val="0"/>
              <w:snapToGrid w:val="0"/>
              <w:jc w:val="center"/>
              <w:rPr>
                <w:snapToGrid w:val="0"/>
                <w:kern w:val="0"/>
                <w:sz w:val="18"/>
                <w:szCs w:val="18"/>
              </w:rPr>
            </w:pPr>
            <w:r>
              <w:rPr>
                <w:snapToGrid w:val="0"/>
                <w:kern w:val="0"/>
                <w:sz w:val="18"/>
                <w:szCs w:val="18"/>
              </w:rPr>
              <w:t>(m³/s)</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37" w:type="pct"/>
            <w:shd w:val="clear" w:color="auto" w:fill="auto"/>
            <w:noWrap/>
            <w:vAlign w:val="center"/>
          </w:tcPr>
          <w:p>
            <w:pPr>
              <w:widowControl/>
              <w:adjustRightInd w:val="0"/>
              <w:snapToGrid w:val="0"/>
              <w:jc w:val="center"/>
              <w:rPr>
                <w:snapToGrid w:val="0"/>
                <w:kern w:val="0"/>
                <w:sz w:val="18"/>
                <w:szCs w:val="18"/>
              </w:rPr>
            </w:pPr>
          </w:p>
        </w:tc>
        <w:tc>
          <w:tcPr>
            <w:tcW w:w="327" w:type="pct"/>
            <w:shd w:val="clear" w:color="auto" w:fill="auto"/>
            <w:noWrap/>
            <w:vAlign w:val="center"/>
          </w:tcPr>
          <w:p>
            <w:pPr>
              <w:widowControl/>
              <w:adjustRightInd w:val="0"/>
              <w:snapToGrid w:val="0"/>
              <w:jc w:val="center"/>
              <w:rPr>
                <w:snapToGrid w:val="0"/>
                <w:kern w:val="0"/>
                <w:sz w:val="18"/>
                <w:szCs w:val="18"/>
              </w:rPr>
            </w:pPr>
          </w:p>
        </w:tc>
        <w:tc>
          <w:tcPr>
            <w:tcW w:w="327" w:type="pct"/>
            <w:shd w:val="clear" w:color="auto" w:fill="auto"/>
            <w:noWrap/>
            <w:vAlign w:val="center"/>
          </w:tcPr>
          <w:p>
            <w:pPr>
              <w:widowControl/>
              <w:adjustRightInd w:val="0"/>
              <w:snapToGrid w:val="0"/>
              <w:jc w:val="center"/>
              <w:rPr>
                <w:snapToGrid w:val="0"/>
                <w:kern w:val="0"/>
                <w:sz w:val="18"/>
                <w:szCs w:val="18"/>
              </w:rPr>
            </w:pPr>
          </w:p>
        </w:tc>
        <w:tc>
          <w:tcPr>
            <w:tcW w:w="461" w:type="pct"/>
            <w:shd w:val="clear" w:color="auto" w:fill="auto"/>
            <w:noWrap/>
            <w:vAlign w:val="center"/>
          </w:tcPr>
          <w:p>
            <w:pPr>
              <w:widowControl/>
              <w:adjustRightInd w:val="0"/>
              <w:snapToGrid w:val="0"/>
              <w:jc w:val="center"/>
              <w:rPr>
                <w:snapToGrid w:val="0"/>
                <w:kern w:val="0"/>
                <w:sz w:val="18"/>
                <w:szCs w:val="18"/>
              </w:rPr>
            </w:pPr>
          </w:p>
        </w:tc>
        <w:tc>
          <w:tcPr>
            <w:tcW w:w="351" w:type="pct"/>
            <w:shd w:val="clear" w:color="auto" w:fill="auto"/>
            <w:vAlign w:val="center"/>
          </w:tcPr>
          <w:p>
            <w:pPr>
              <w:widowControl/>
              <w:adjustRightInd w:val="0"/>
              <w:snapToGrid w:val="0"/>
              <w:jc w:val="center"/>
              <w:rPr>
                <w:snapToGrid w:val="0"/>
                <w:kern w:val="0"/>
                <w:sz w:val="18"/>
                <w:szCs w:val="18"/>
              </w:rPr>
            </w:pPr>
          </w:p>
        </w:tc>
        <w:tc>
          <w:tcPr>
            <w:tcW w:w="351" w:type="pct"/>
            <w:shd w:val="clear" w:color="auto" w:fill="auto"/>
            <w:noWrap/>
            <w:vAlign w:val="center"/>
          </w:tcPr>
          <w:p>
            <w:pPr>
              <w:widowControl/>
              <w:adjustRightInd w:val="0"/>
              <w:snapToGrid w:val="0"/>
              <w:jc w:val="center"/>
              <w:rPr>
                <w:snapToGrid w:val="0"/>
                <w:kern w:val="0"/>
                <w:sz w:val="18"/>
                <w:szCs w:val="18"/>
              </w:rPr>
            </w:pPr>
          </w:p>
        </w:tc>
        <w:tc>
          <w:tcPr>
            <w:tcW w:w="386" w:type="pct"/>
            <w:shd w:val="clear" w:color="auto" w:fill="auto"/>
            <w:noWrap/>
            <w:vAlign w:val="center"/>
          </w:tcPr>
          <w:p>
            <w:pPr>
              <w:widowControl/>
              <w:adjustRightInd w:val="0"/>
              <w:snapToGrid w:val="0"/>
              <w:jc w:val="center"/>
              <w:rPr>
                <w:snapToGrid w:val="0"/>
                <w:kern w:val="0"/>
                <w:sz w:val="18"/>
                <w:szCs w:val="18"/>
              </w:rPr>
            </w:pPr>
          </w:p>
        </w:tc>
        <w:tc>
          <w:tcPr>
            <w:tcW w:w="520" w:type="pct"/>
            <w:shd w:val="clear" w:color="auto" w:fill="auto"/>
            <w:noWrap/>
            <w:vAlign w:val="center"/>
          </w:tcPr>
          <w:p>
            <w:pPr>
              <w:widowControl/>
              <w:adjustRightInd w:val="0"/>
              <w:snapToGrid w:val="0"/>
              <w:jc w:val="center"/>
              <w:rPr>
                <w:snapToGrid w:val="0"/>
                <w:kern w:val="0"/>
                <w:sz w:val="18"/>
                <w:szCs w:val="18"/>
              </w:rPr>
            </w:pPr>
          </w:p>
        </w:tc>
        <w:tc>
          <w:tcPr>
            <w:tcW w:w="462" w:type="pct"/>
            <w:shd w:val="clear" w:color="auto" w:fill="auto"/>
            <w:noWrap/>
            <w:vAlign w:val="center"/>
          </w:tcPr>
          <w:p>
            <w:pPr>
              <w:widowControl/>
              <w:adjustRightInd w:val="0"/>
              <w:snapToGrid w:val="0"/>
              <w:jc w:val="center"/>
              <w:rPr>
                <w:snapToGrid w:val="0"/>
                <w:kern w:val="0"/>
                <w:sz w:val="18"/>
                <w:szCs w:val="18"/>
              </w:rPr>
            </w:pPr>
          </w:p>
        </w:tc>
        <w:tc>
          <w:tcPr>
            <w:tcW w:w="489" w:type="pct"/>
            <w:shd w:val="clear" w:color="auto" w:fill="auto"/>
            <w:noWrap/>
            <w:vAlign w:val="center"/>
          </w:tcPr>
          <w:p>
            <w:pPr>
              <w:widowControl/>
              <w:adjustRightInd w:val="0"/>
              <w:snapToGrid w:val="0"/>
              <w:jc w:val="center"/>
              <w:rPr>
                <w:snapToGrid w:val="0"/>
                <w:kern w:val="0"/>
                <w:sz w:val="18"/>
                <w:szCs w:val="18"/>
              </w:rPr>
            </w:pPr>
          </w:p>
        </w:tc>
        <w:tc>
          <w:tcPr>
            <w:tcW w:w="495" w:type="pct"/>
            <w:shd w:val="clear" w:color="auto" w:fill="auto"/>
            <w:noWrap/>
            <w:vAlign w:val="center"/>
          </w:tcPr>
          <w:p>
            <w:pPr>
              <w:widowControl/>
              <w:adjustRightInd w:val="0"/>
              <w:snapToGrid w:val="0"/>
              <w:jc w:val="center"/>
              <w:rPr>
                <w:snapToGrid w:val="0"/>
                <w:kern w:val="0"/>
                <w:sz w:val="18"/>
                <w:szCs w:val="18"/>
              </w:rPr>
            </w:pPr>
          </w:p>
        </w:tc>
        <w:tc>
          <w:tcPr>
            <w:tcW w:w="494" w:type="pct"/>
            <w:shd w:val="clear" w:color="auto" w:fill="auto"/>
            <w:noWrap/>
            <w:vAlign w:val="center"/>
          </w:tcPr>
          <w:p>
            <w:pPr>
              <w:widowControl/>
              <w:adjustRightInd w:val="0"/>
              <w:snapToGrid w:val="0"/>
              <w:jc w:val="center"/>
              <w:rPr>
                <w:snapToGrid w:val="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37" w:type="pct"/>
            <w:shd w:val="clear" w:color="auto" w:fill="auto"/>
            <w:noWrap/>
            <w:vAlign w:val="center"/>
          </w:tcPr>
          <w:p>
            <w:pPr>
              <w:widowControl/>
              <w:adjustRightInd w:val="0"/>
              <w:snapToGrid w:val="0"/>
              <w:jc w:val="center"/>
              <w:rPr>
                <w:snapToGrid w:val="0"/>
                <w:kern w:val="0"/>
                <w:sz w:val="18"/>
                <w:szCs w:val="18"/>
              </w:rPr>
            </w:pPr>
          </w:p>
        </w:tc>
        <w:tc>
          <w:tcPr>
            <w:tcW w:w="327" w:type="pct"/>
            <w:shd w:val="clear" w:color="auto" w:fill="auto"/>
            <w:noWrap/>
            <w:vAlign w:val="center"/>
          </w:tcPr>
          <w:p>
            <w:pPr>
              <w:widowControl/>
              <w:adjustRightInd w:val="0"/>
              <w:snapToGrid w:val="0"/>
              <w:jc w:val="center"/>
              <w:rPr>
                <w:snapToGrid w:val="0"/>
                <w:kern w:val="0"/>
                <w:sz w:val="18"/>
                <w:szCs w:val="18"/>
              </w:rPr>
            </w:pPr>
          </w:p>
        </w:tc>
        <w:tc>
          <w:tcPr>
            <w:tcW w:w="327" w:type="pct"/>
            <w:shd w:val="clear" w:color="auto" w:fill="auto"/>
            <w:noWrap/>
            <w:vAlign w:val="center"/>
          </w:tcPr>
          <w:p>
            <w:pPr>
              <w:widowControl/>
              <w:adjustRightInd w:val="0"/>
              <w:snapToGrid w:val="0"/>
              <w:jc w:val="center"/>
              <w:rPr>
                <w:snapToGrid w:val="0"/>
                <w:kern w:val="0"/>
                <w:sz w:val="18"/>
                <w:szCs w:val="18"/>
              </w:rPr>
            </w:pPr>
          </w:p>
        </w:tc>
        <w:tc>
          <w:tcPr>
            <w:tcW w:w="461" w:type="pct"/>
            <w:shd w:val="clear" w:color="auto" w:fill="auto"/>
            <w:noWrap/>
            <w:vAlign w:val="center"/>
          </w:tcPr>
          <w:p>
            <w:pPr>
              <w:widowControl/>
              <w:adjustRightInd w:val="0"/>
              <w:snapToGrid w:val="0"/>
              <w:jc w:val="center"/>
              <w:rPr>
                <w:snapToGrid w:val="0"/>
                <w:kern w:val="0"/>
                <w:sz w:val="18"/>
                <w:szCs w:val="18"/>
              </w:rPr>
            </w:pPr>
          </w:p>
        </w:tc>
        <w:tc>
          <w:tcPr>
            <w:tcW w:w="351" w:type="pct"/>
            <w:shd w:val="clear" w:color="auto" w:fill="auto"/>
            <w:vAlign w:val="center"/>
          </w:tcPr>
          <w:p>
            <w:pPr>
              <w:widowControl/>
              <w:adjustRightInd w:val="0"/>
              <w:snapToGrid w:val="0"/>
              <w:jc w:val="center"/>
              <w:rPr>
                <w:snapToGrid w:val="0"/>
                <w:kern w:val="0"/>
                <w:sz w:val="18"/>
                <w:szCs w:val="18"/>
              </w:rPr>
            </w:pPr>
          </w:p>
        </w:tc>
        <w:tc>
          <w:tcPr>
            <w:tcW w:w="351" w:type="pct"/>
            <w:shd w:val="clear" w:color="auto" w:fill="auto"/>
            <w:noWrap/>
            <w:vAlign w:val="center"/>
          </w:tcPr>
          <w:p>
            <w:pPr>
              <w:widowControl/>
              <w:adjustRightInd w:val="0"/>
              <w:snapToGrid w:val="0"/>
              <w:jc w:val="center"/>
              <w:rPr>
                <w:snapToGrid w:val="0"/>
                <w:kern w:val="0"/>
                <w:sz w:val="18"/>
                <w:szCs w:val="18"/>
              </w:rPr>
            </w:pPr>
          </w:p>
        </w:tc>
        <w:tc>
          <w:tcPr>
            <w:tcW w:w="386" w:type="pct"/>
            <w:shd w:val="clear" w:color="auto" w:fill="auto"/>
            <w:noWrap/>
            <w:vAlign w:val="center"/>
          </w:tcPr>
          <w:p>
            <w:pPr>
              <w:widowControl/>
              <w:adjustRightInd w:val="0"/>
              <w:snapToGrid w:val="0"/>
              <w:jc w:val="center"/>
              <w:rPr>
                <w:snapToGrid w:val="0"/>
                <w:kern w:val="0"/>
                <w:sz w:val="18"/>
                <w:szCs w:val="18"/>
              </w:rPr>
            </w:pPr>
          </w:p>
        </w:tc>
        <w:tc>
          <w:tcPr>
            <w:tcW w:w="520" w:type="pct"/>
            <w:shd w:val="clear" w:color="auto" w:fill="auto"/>
            <w:noWrap/>
            <w:vAlign w:val="center"/>
          </w:tcPr>
          <w:p>
            <w:pPr>
              <w:widowControl/>
              <w:adjustRightInd w:val="0"/>
              <w:snapToGrid w:val="0"/>
              <w:jc w:val="center"/>
              <w:rPr>
                <w:snapToGrid w:val="0"/>
                <w:kern w:val="0"/>
                <w:sz w:val="18"/>
                <w:szCs w:val="18"/>
              </w:rPr>
            </w:pPr>
          </w:p>
        </w:tc>
        <w:tc>
          <w:tcPr>
            <w:tcW w:w="462" w:type="pct"/>
            <w:shd w:val="clear" w:color="auto" w:fill="auto"/>
            <w:noWrap/>
            <w:vAlign w:val="center"/>
          </w:tcPr>
          <w:p>
            <w:pPr>
              <w:widowControl/>
              <w:adjustRightInd w:val="0"/>
              <w:snapToGrid w:val="0"/>
              <w:jc w:val="center"/>
              <w:rPr>
                <w:snapToGrid w:val="0"/>
                <w:kern w:val="0"/>
                <w:sz w:val="18"/>
                <w:szCs w:val="18"/>
              </w:rPr>
            </w:pPr>
          </w:p>
        </w:tc>
        <w:tc>
          <w:tcPr>
            <w:tcW w:w="489" w:type="pct"/>
            <w:shd w:val="clear" w:color="auto" w:fill="auto"/>
            <w:noWrap/>
            <w:vAlign w:val="center"/>
          </w:tcPr>
          <w:p>
            <w:pPr>
              <w:widowControl/>
              <w:adjustRightInd w:val="0"/>
              <w:snapToGrid w:val="0"/>
              <w:jc w:val="center"/>
              <w:rPr>
                <w:snapToGrid w:val="0"/>
                <w:kern w:val="0"/>
                <w:sz w:val="18"/>
                <w:szCs w:val="18"/>
              </w:rPr>
            </w:pPr>
          </w:p>
        </w:tc>
        <w:tc>
          <w:tcPr>
            <w:tcW w:w="495" w:type="pct"/>
            <w:shd w:val="clear" w:color="auto" w:fill="auto"/>
            <w:noWrap/>
            <w:vAlign w:val="center"/>
          </w:tcPr>
          <w:p>
            <w:pPr>
              <w:widowControl/>
              <w:adjustRightInd w:val="0"/>
              <w:snapToGrid w:val="0"/>
              <w:jc w:val="center"/>
              <w:rPr>
                <w:snapToGrid w:val="0"/>
                <w:kern w:val="0"/>
                <w:sz w:val="18"/>
                <w:szCs w:val="18"/>
              </w:rPr>
            </w:pPr>
          </w:p>
        </w:tc>
        <w:tc>
          <w:tcPr>
            <w:tcW w:w="494" w:type="pct"/>
            <w:shd w:val="clear" w:color="auto" w:fill="auto"/>
            <w:noWrap/>
            <w:vAlign w:val="center"/>
          </w:tcPr>
          <w:p>
            <w:pPr>
              <w:widowControl/>
              <w:adjustRightInd w:val="0"/>
              <w:snapToGrid w:val="0"/>
              <w:jc w:val="center"/>
              <w:rPr>
                <w:snapToGrid w:val="0"/>
                <w:kern w:val="0"/>
                <w:sz w:val="18"/>
                <w:szCs w:val="18"/>
              </w:rPr>
            </w:pPr>
          </w:p>
        </w:tc>
      </w:tr>
    </w:tbl>
    <w:p>
      <w:pPr>
        <w:adjustRightInd w:val="0"/>
        <w:snapToGrid w:val="0"/>
        <w:spacing w:before="156" w:beforeLines="50" w:line="324" w:lineRule="auto"/>
        <w:jc w:val="center"/>
        <w:rPr>
          <w:rFonts w:eastAsia="黑体"/>
          <w:bCs/>
        </w:rPr>
      </w:pPr>
      <w:bookmarkStart w:id="108" w:name="_Toc535582266"/>
      <w:r>
        <w:rPr>
          <w:rFonts w:eastAsia="黑体"/>
          <w:bCs/>
        </w:rPr>
        <w:t xml:space="preserve">表2 </w:t>
      </w:r>
      <w:r>
        <w:rPr>
          <w:rFonts w:hint="eastAsia" w:eastAsia="黑体"/>
          <w:bCs/>
        </w:rPr>
        <w:t xml:space="preserve">  </w:t>
      </w:r>
      <w:r>
        <w:rPr>
          <w:rFonts w:eastAsia="黑体"/>
          <w:bCs/>
        </w:rPr>
        <w:t>水文站点基本情况表</w:t>
      </w:r>
      <w:bookmarkEnd w:id="108"/>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669"/>
        <w:gridCol w:w="669"/>
        <w:gridCol w:w="669"/>
        <w:gridCol w:w="669"/>
        <w:gridCol w:w="1773"/>
        <w:gridCol w:w="1332"/>
        <w:gridCol w:w="1613"/>
        <w:gridCol w:w="155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7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序号</w:t>
            </w:r>
          </w:p>
        </w:tc>
        <w:tc>
          <w:tcPr>
            <w:tcW w:w="37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河名</w:t>
            </w:r>
          </w:p>
        </w:tc>
        <w:tc>
          <w:tcPr>
            <w:tcW w:w="37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站名</w:t>
            </w:r>
          </w:p>
        </w:tc>
        <w:tc>
          <w:tcPr>
            <w:tcW w:w="37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站别</w:t>
            </w:r>
          </w:p>
        </w:tc>
        <w:tc>
          <w:tcPr>
            <w:tcW w:w="991"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建站时间（年）</w:t>
            </w:r>
          </w:p>
        </w:tc>
        <w:tc>
          <w:tcPr>
            <w:tcW w:w="74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站点位置</w:t>
            </w:r>
          </w:p>
        </w:tc>
        <w:tc>
          <w:tcPr>
            <w:tcW w:w="901"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流域面积(km</w:t>
            </w:r>
            <w:r>
              <w:rPr>
                <w:snapToGrid w:val="0"/>
                <w:kern w:val="0"/>
                <w:sz w:val="18"/>
                <w:szCs w:val="18"/>
                <w:vertAlign w:val="superscript"/>
              </w:rPr>
              <w:t>2</w:t>
            </w:r>
            <w:r>
              <w:rPr>
                <w:snapToGrid w:val="0"/>
                <w:kern w:val="0"/>
                <w:sz w:val="18"/>
                <w:szCs w:val="18"/>
              </w:rPr>
              <w:t>)</w:t>
            </w:r>
          </w:p>
        </w:tc>
        <w:tc>
          <w:tcPr>
            <w:tcW w:w="86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水文资料年限</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p>
        </w:tc>
        <w:tc>
          <w:tcPr>
            <w:tcW w:w="99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4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0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68"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4" w:type="pct"/>
            <w:shd w:val="clear" w:color="auto" w:fill="auto"/>
            <w:noWrap/>
            <w:vAlign w:val="bottom"/>
          </w:tcPr>
          <w:p>
            <w:pPr>
              <w:widowControl/>
              <w:adjustRightInd w:val="0"/>
              <w:snapToGrid w:val="0"/>
              <w:spacing w:line="324" w:lineRule="auto"/>
              <w:jc w:val="center"/>
              <w:rPr>
                <w:snapToGrid w:val="0"/>
                <w:kern w:val="0"/>
                <w:sz w:val="18"/>
                <w:szCs w:val="18"/>
              </w:rPr>
            </w:pPr>
          </w:p>
        </w:tc>
        <w:tc>
          <w:tcPr>
            <w:tcW w:w="99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4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0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68"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before="156" w:beforeLines="50" w:line="324" w:lineRule="auto"/>
        <w:jc w:val="center"/>
        <w:rPr>
          <w:rFonts w:eastAsia="黑体"/>
          <w:bCs/>
        </w:rPr>
      </w:pPr>
      <w:bookmarkStart w:id="109" w:name="_Toc535582267"/>
      <w:r>
        <w:rPr>
          <w:rFonts w:eastAsia="黑体"/>
          <w:bCs/>
        </w:rPr>
        <w:t xml:space="preserve">表3 </w:t>
      </w:r>
      <w:r>
        <w:rPr>
          <w:rFonts w:hint="eastAsia" w:eastAsia="黑体"/>
          <w:bCs/>
        </w:rPr>
        <w:t xml:space="preserve">  </w:t>
      </w:r>
      <w:r>
        <w:rPr>
          <w:rFonts w:eastAsia="黑体"/>
          <w:bCs/>
        </w:rPr>
        <w:t>水文站设计洪水成果表</w:t>
      </w:r>
      <w:bookmarkEnd w:id="109"/>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30"/>
        <w:gridCol w:w="1365"/>
        <w:gridCol w:w="1190"/>
        <w:gridCol w:w="891"/>
        <w:gridCol w:w="1108"/>
        <w:gridCol w:w="1126"/>
        <w:gridCol w:w="1040"/>
        <w:gridCol w:w="744"/>
        <w:gridCol w:w="65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464"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项目</w:t>
            </w:r>
          </w:p>
        </w:tc>
        <w:tc>
          <w:tcPr>
            <w:tcW w:w="763"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起止年份(系列长度)</w:t>
            </w:r>
          </w:p>
        </w:tc>
        <w:tc>
          <w:tcPr>
            <w:tcW w:w="1782" w:type="pct"/>
            <w:gridSpan w:val="3"/>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统计参数</w:t>
            </w:r>
          </w:p>
        </w:tc>
        <w:tc>
          <w:tcPr>
            <w:tcW w:w="1992" w:type="pct"/>
            <w:gridSpan w:val="4"/>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不同重现期设计值(a)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464" w:type="pct"/>
            <w:vMerge w:val="continue"/>
            <w:vAlign w:val="center"/>
          </w:tcPr>
          <w:p>
            <w:pPr>
              <w:widowControl/>
              <w:adjustRightInd w:val="0"/>
              <w:snapToGrid w:val="0"/>
              <w:spacing w:line="324" w:lineRule="auto"/>
              <w:jc w:val="center"/>
              <w:rPr>
                <w:snapToGrid w:val="0"/>
                <w:kern w:val="0"/>
                <w:sz w:val="18"/>
                <w:szCs w:val="18"/>
              </w:rPr>
            </w:pPr>
          </w:p>
        </w:tc>
        <w:tc>
          <w:tcPr>
            <w:tcW w:w="763" w:type="pct"/>
            <w:vMerge w:val="continue"/>
            <w:vAlign w:val="center"/>
          </w:tcPr>
          <w:p>
            <w:pPr>
              <w:widowControl/>
              <w:adjustRightInd w:val="0"/>
              <w:snapToGrid w:val="0"/>
              <w:spacing w:line="324" w:lineRule="auto"/>
              <w:jc w:val="center"/>
              <w:rPr>
                <w:snapToGrid w:val="0"/>
                <w:kern w:val="0"/>
                <w:sz w:val="18"/>
                <w:szCs w:val="18"/>
              </w:rPr>
            </w:pPr>
          </w:p>
        </w:tc>
        <w:tc>
          <w:tcPr>
            <w:tcW w:w="6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均值</w:t>
            </w:r>
          </w:p>
        </w:tc>
        <w:tc>
          <w:tcPr>
            <w:tcW w:w="49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Cv</w:t>
            </w:r>
          </w:p>
        </w:tc>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Cs/Cv</w:t>
            </w:r>
          </w:p>
        </w:tc>
        <w:tc>
          <w:tcPr>
            <w:tcW w:w="62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100年</w:t>
            </w:r>
          </w:p>
        </w:tc>
        <w:tc>
          <w:tcPr>
            <w:tcW w:w="58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50年</w:t>
            </w:r>
          </w:p>
        </w:tc>
        <w:tc>
          <w:tcPr>
            <w:tcW w:w="41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w:t>
            </w:r>
          </w:p>
        </w:tc>
        <w:tc>
          <w:tcPr>
            <w:tcW w:w="3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46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Qm</w:t>
            </w:r>
          </w:p>
        </w:tc>
        <w:tc>
          <w:tcPr>
            <w:tcW w:w="763"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9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2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8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1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46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W</w:t>
            </w:r>
            <w:r>
              <w:rPr>
                <w:snapToGrid w:val="0"/>
                <w:kern w:val="0"/>
                <w:sz w:val="18"/>
                <w:szCs w:val="18"/>
                <w:vertAlign w:val="subscript"/>
              </w:rPr>
              <w:t>24h</w:t>
            </w:r>
          </w:p>
        </w:tc>
        <w:tc>
          <w:tcPr>
            <w:tcW w:w="763" w:type="pct"/>
            <w:vMerge w:val="continue"/>
            <w:vAlign w:val="center"/>
          </w:tcPr>
          <w:p>
            <w:pPr>
              <w:widowControl/>
              <w:adjustRightInd w:val="0"/>
              <w:snapToGrid w:val="0"/>
              <w:spacing w:line="324" w:lineRule="auto"/>
              <w:jc w:val="center"/>
              <w:rPr>
                <w:snapToGrid w:val="0"/>
                <w:kern w:val="0"/>
                <w:sz w:val="18"/>
                <w:szCs w:val="18"/>
              </w:rPr>
            </w:pPr>
          </w:p>
        </w:tc>
        <w:tc>
          <w:tcPr>
            <w:tcW w:w="6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9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2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8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1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46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W</w:t>
            </w:r>
            <w:r>
              <w:rPr>
                <w:snapToGrid w:val="0"/>
                <w:kern w:val="0"/>
                <w:sz w:val="18"/>
                <w:szCs w:val="18"/>
                <w:vertAlign w:val="subscript"/>
              </w:rPr>
              <w:t>3d</w:t>
            </w:r>
          </w:p>
        </w:tc>
        <w:tc>
          <w:tcPr>
            <w:tcW w:w="763" w:type="pct"/>
            <w:vMerge w:val="continue"/>
            <w:vAlign w:val="center"/>
          </w:tcPr>
          <w:p>
            <w:pPr>
              <w:widowControl/>
              <w:adjustRightInd w:val="0"/>
              <w:snapToGrid w:val="0"/>
              <w:spacing w:line="324" w:lineRule="auto"/>
              <w:jc w:val="center"/>
              <w:rPr>
                <w:snapToGrid w:val="0"/>
                <w:kern w:val="0"/>
                <w:sz w:val="18"/>
                <w:szCs w:val="18"/>
              </w:rPr>
            </w:pPr>
          </w:p>
        </w:tc>
        <w:tc>
          <w:tcPr>
            <w:tcW w:w="6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9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2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8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1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6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before="156" w:beforeLines="50" w:line="324" w:lineRule="auto"/>
        <w:jc w:val="center"/>
        <w:rPr>
          <w:rFonts w:eastAsia="黑体"/>
          <w:bCs/>
        </w:rPr>
      </w:pPr>
      <w:bookmarkStart w:id="110" w:name="_Toc535582268"/>
      <w:r>
        <w:rPr>
          <w:rFonts w:eastAsia="黑体"/>
          <w:bCs/>
        </w:rPr>
        <w:t xml:space="preserve">表4 </w:t>
      </w:r>
      <w:r>
        <w:rPr>
          <w:rFonts w:hint="eastAsia" w:eastAsia="黑体"/>
          <w:bCs/>
        </w:rPr>
        <w:t xml:space="preserve">  </w:t>
      </w:r>
      <w:r>
        <w:rPr>
          <w:rFonts w:eastAsia="黑体"/>
          <w:bCs/>
        </w:rPr>
        <w:t>流域特征值表</w:t>
      </w:r>
      <w:bookmarkEnd w:id="110"/>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107"/>
        <w:gridCol w:w="668"/>
        <w:gridCol w:w="1442"/>
        <w:gridCol w:w="1306"/>
        <w:gridCol w:w="1244"/>
        <w:gridCol w:w="1663"/>
        <w:gridCol w:w="1518"/>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控制断面</w:t>
            </w:r>
          </w:p>
        </w:tc>
        <w:tc>
          <w:tcPr>
            <w:tcW w:w="373"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桩号</w:t>
            </w:r>
          </w:p>
        </w:tc>
        <w:tc>
          <w:tcPr>
            <w:tcW w:w="80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流域面积(km</w:t>
            </w:r>
            <w:r>
              <w:rPr>
                <w:snapToGrid w:val="0"/>
                <w:kern w:val="0"/>
                <w:sz w:val="18"/>
                <w:szCs w:val="18"/>
                <w:vertAlign w:val="superscript"/>
              </w:rPr>
              <w:t>2</w:t>
            </w:r>
            <w:r>
              <w:rPr>
                <w:snapToGrid w:val="0"/>
                <w:kern w:val="0"/>
                <w:sz w:val="18"/>
                <w:szCs w:val="18"/>
              </w:rPr>
              <w:t>)</w:t>
            </w:r>
          </w:p>
        </w:tc>
        <w:tc>
          <w:tcPr>
            <w:tcW w:w="7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河长（km）</w:t>
            </w:r>
          </w:p>
        </w:tc>
        <w:tc>
          <w:tcPr>
            <w:tcW w:w="695"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坡度（‰）</w:t>
            </w:r>
          </w:p>
        </w:tc>
        <w:tc>
          <w:tcPr>
            <w:tcW w:w="929"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流域长度（km）</w:t>
            </w:r>
          </w:p>
        </w:tc>
        <w:tc>
          <w:tcPr>
            <w:tcW w:w="84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流域不对称系数</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19"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3"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0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95"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29" w:type="pct"/>
            <w:shd w:val="clear" w:color="auto" w:fill="auto"/>
            <w:vAlign w:val="center"/>
          </w:tcPr>
          <w:p>
            <w:pPr>
              <w:widowControl/>
              <w:adjustRightInd w:val="0"/>
              <w:snapToGrid w:val="0"/>
              <w:spacing w:line="324" w:lineRule="auto"/>
              <w:jc w:val="center"/>
              <w:rPr>
                <w:snapToGrid w:val="0"/>
                <w:kern w:val="0"/>
                <w:sz w:val="18"/>
                <w:szCs w:val="18"/>
              </w:rPr>
            </w:pPr>
          </w:p>
        </w:tc>
        <w:tc>
          <w:tcPr>
            <w:tcW w:w="848" w:type="pct"/>
            <w:shd w:val="clear" w:color="auto" w:fill="auto"/>
            <w:vAlign w:val="center"/>
          </w:tcPr>
          <w:p>
            <w:pPr>
              <w:widowControl/>
              <w:adjustRightInd w:val="0"/>
              <w:snapToGrid w:val="0"/>
              <w:spacing w:line="324" w:lineRule="auto"/>
              <w:jc w:val="center"/>
              <w:rPr>
                <w:snapToGrid w:val="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61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373"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0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30"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95"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29" w:type="pct"/>
            <w:shd w:val="clear" w:color="auto" w:fill="auto"/>
            <w:noWrap/>
            <w:vAlign w:val="center"/>
          </w:tcPr>
          <w:p>
            <w:pPr>
              <w:widowControl/>
              <w:adjustRightInd w:val="0"/>
              <w:snapToGrid w:val="0"/>
              <w:spacing w:line="324" w:lineRule="auto"/>
              <w:jc w:val="center"/>
              <w:rPr>
                <w:snapToGrid w:val="0"/>
                <w:kern w:val="0"/>
                <w:sz w:val="18"/>
                <w:szCs w:val="18"/>
              </w:rPr>
            </w:pPr>
          </w:p>
        </w:tc>
        <w:tc>
          <w:tcPr>
            <w:tcW w:w="848" w:type="pct"/>
            <w:shd w:val="clear" w:color="auto" w:fill="auto"/>
            <w:noWrap/>
            <w:vAlign w:val="center"/>
          </w:tcPr>
          <w:p>
            <w:pPr>
              <w:widowControl/>
              <w:adjustRightInd w:val="0"/>
              <w:snapToGrid w:val="0"/>
              <w:spacing w:line="324" w:lineRule="auto"/>
              <w:jc w:val="center"/>
              <w:rPr>
                <w:snapToGrid w:val="0"/>
                <w:kern w:val="0"/>
                <w:sz w:val="18"/>
                <w:szCs w:val="18"/>
              </w:rPr>
            </w:pPr>
          </w:p>
        </w:tc>
      </w:tr>
    </w:tbl>
    <w:p>
      <w:pPr>
        <w:adjustRightInd w:val="0"/>
        <w:snapToGrid w:val="0"/>
        <w:spacing w:line="324" w:lineRule="auto"/>
        <w:rPr>
          <w:rFonts w:eastAsia="楷体"/>
          <w:szCs w:val="21"/>
        </w:rPr>
      </w:pPr>
      <w:r>
        <w:rPr>
          <w:rFonts w:eastAsia="黑体"/>
          <w:szCs w:val="21"/>
        </w:rPr>
        <w:t>注：</w:t>
      </w:r>
      <w:r>
        <w:rPr>
          <w:rFonts w:eastAsia="楷体"/>
          <w:szCs w:val="21"/>
        </w:rPr>
        <w:t>采用瞬时单位线法须填写“流域长度、流域不对称系数”。“桩号”采用流域规划桩号，若流域规划没有，采用本次划定桩号，并注明。</w:t>
      </w:r>
    </w:p>
    <w:p>
      <w:pPr>
        <w:adjustRightInd w:val="0"/>
        <w:snapToGrid w:val="0"/>
        <w:spacing w:line="324" w:lineRule="auto"/>
        <w:jc w:val="center"/>
        <w:rPr>
          <w:rFonts w:eastAsia="黑体"/>
          <w:bCs/>
        </w:rPr>
      </w:pPr>
      <w:bookmarkStart w:id="111" w:name="_Toc535582269"/>
      <w:r>
        <w:rPr>
          <w:rFonts w:eastAsia="黑体"/>
          <w:bCs/>
        </w:rPr>
        <w:t xml:space="preserve">表5 </w:t>
      </w:r>
      <w:r>
        <w:rPr>
          <w:rFonts w:hint="eastAsia" w:eastAsia="黑体"/>
          <w:bCs/>
        </w:rPr>
        <w:t xml:space="preserve">  </w:t>
      </w:r>
      <w:r>
        <w:rPr>
          <w:rFonts w:eastAsia="黑体"/>
          <w:bCs/>
        </w:rPr>
        <w:t>暴雨特征参数表</w:t>
      </w:r>
      <w:bookmarkEnd w:id="111"/>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034"/>
        <w:gridCol w:w="1357"/>
        <w:gridCol w:w="825"/>
        <w:gridCol w:w="1206"/>
        <w:gridCol w:w="1131"/>
        <w:gridCol w:w="1131"/>
        <w:gridCol w:w="1131"/>
        <w:gridCol w:w="113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历时</w:t>
            </w:r>
          </w:p>
        </w:tc>
        <w:tc>
          <w:tcPr>
            <w:tcW w:w="758"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H(mm)</w:t>
            </w:r>
          </w:p>
        </w:tc>
        <w:tc>
          <w:tcPr>
            <w:tcW w:w="461"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C</w:t>
            </w:r>
            <w:r>
              <w:rPr>
                <w:snapToGrid w:val="0"/>
                <w:kern w:val="0"/>
                <w:sz w:val="18"/>
                <w:szCs w:val="18"/>
                <w:vertAlign w:val="subscript"/>
              </w:rPr>
              <w:t>V</w:t>
            </w:r>
          </w:p>
        </w:tc>
        <w:tc>
          <w:tcPr>
            <w:tcW w:w="674"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Cs/Cv</w:t>
            </w:r>
          </w:p>
        </w:tc>
        <w:tc>
          <w:tcPr>
            <w:tcW w:w="2529" w:type="pct"/>
            <w:gridSpan w:val="4"/>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不同重现期设计点雨量(mm)</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vMerge w:val="continue"/>
            <w:vAlign w:val="center"/>
          </w:tcPr>
          <w:p>
            <w:pPr>
              <w:widowControl/>
              <w:adjustRightInd w:val="0"/>
              <w:snapToGrid w:val="0"/>
              <w:spacing w:line="324" w:lineRule="auto"/>
              <w:jc w:val="center"/>
              <w:rPr>
                <w:snapToGrid w:val="0"/>
                <w:kern w:val="0"/>
                <w:sz w:val="18"/>
                <w:szCs w:val="18"/>
              </w:rPr>
            </w:pPr>
          </w:p>
        </w:tc>
        <w:tc>
          <w:tcPr>
            <w:tcW w:w="758" w:type="pct"/>
            <w:vMerge w:val="continue"/>
            <w:vAlign w:val="center"/>
          </w:tcPr>
          <w:p>
            <w:pPr>
              <w:widowControl/>
              <w:adjustRightInd w:val="0"/>
              <w:snapToGrid w:val="0"/>
              <w:spacing w:line="324" w:lineRule="auto"/>
              <w:jc w:val="center"/>
              <w:rPr>
                <w:snapToGrid w:val="0"/>
                <w:kern w:val="0"/>
                <w:sz w:val="18"/>
                <w:szCs w:val="18"/>
              </w:rPr>
            </w:pPr>
          </w:p>
        </w:tc>
        <w:tc>
          <w:tcPr>
            <w:tcW w:w="461" w:type="pct"/>
            <w:vMerge w:val="continue"/>
            <w:vAlign w:val="center"/>
          </w:tcPr>
          <w:p>
            <w:pPr>
              <w:widowControl/>
              <w:adjustRightInd w:val="0"/>
              <w:snapToGrid w:val="0"/>
              <w:spacing w:line="324" w:lineRule="auto"/>
              <w:jc w:val="center"/>
              <w:rPr>
                <w:snapToGrid w:val="0"/>
                <w:kern w:val="0"/>
                <w:sz w:val="18"/>
                <w:szCs w:val="18"/>
              </w:rPr>
            </w:pPr>
          </w:p>
        </w:tc>
        <w:tc>
          <w:tcPr>
            <w:tcW w:w="674" w:type="pct"/>
            <w:vMerge w:val="continue"/>
            <w:vAlign w:val="center"/>
          </w:tcPr>
          <w:p>
            <w:pPr>
              <w:widowControl/>
              <w:adjustRightInd w:val="0"/>
              <w:snapToGrid w:val="0"/>
              <w:spacing w:line="324" w:lineRule="auto"/>
              <w:jc w:val="center"/>
              <w:rPr>
                <w:snapToGrid w:val="0"/>
                <w:kern w:val="0"/>
                <w:sz w:val="18"/>
                <w:szCs w:val="18"/>
              </w:rPr>
            </w:pP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100年</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50年　</w:t>
            </w:r>
          </w:p>
        </w:tc>
        <w:tc>
          <w:tcPr>
            <w:tcW w:w="632"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3"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1h</w:t>
            </w:r>
          </w:p>
        </w:tc>
        <w:tc>
          <w:tcPr>
            <w:tcW w:w="75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6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7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3"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6h</w:t>
            </w:r>
          </w:p>
        </w:tc>
        <w:tc>
          <w:tcPr>
            <w:tcW w:w="75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6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7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3"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24h</w:t>
            </w:r>
          </w:p>
        </w:tc>
        <w:tc>
          <w:tcPr>
            <w:tcW w:w="75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6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7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2"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3"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78" w:type="pct"/>
            <w:shd w:val="clear" w:color="auto" w:fill="auto"/>
            <w:noWrap/>
            <w:vAlign w:val="center"/>
          </w:tcPr>
          <w:p>
            <w:pPr>
              <w:widowControl/>
              <w:adjustRightInd w:val="0"/>
              <w:snapToGrid w:val="0"/>
              <w:spacing w:line="324" w:lineRule="auto"/>
              <w:jc w:val="center"/>
              <w:rPr>
                <w:snapToGrid w:val="0"/>
                <w:kern w:val="0"/>
                <w:sz w:val="18"/>
                <w:szCs w:val="18"/>
              </w:rPr>
            </w:pPr>
            <w:r>
              <w:rPr>
                <w:rFonts w:hint="eastAsia"/>
                <w:snapToGrid w:val="0"/>
                <w:kern w:val="0"/>
                <w:sz w:val="18"/>
                <w:szCs w:val="18"/>
              </w:rPr>
              <w:t>3d</w:t>
            </w:r>
          </w:p>
        </w:tc>
        <w:tc>
          <w:tcPr>
            <w:tcW w:w="758" w:type="pct"/>
            <w:shd w:val="clear" w:color="auto" w:fill="auto"/>
            <w:noWrap/>
            <w:vAlign w:val="center"/>
          </w:tcPr>
          <w:p>
            <w:pPr>
              <w:widowControl/>
              <w:adjustRightInd w:val="0"/>
              <w:snapToGrid w:val="0"/>
              <w:spacing w:line="324" w:lineRule="auto"/>
              <w:jc w:val="center"/>
              <w:rPr>
                <w:snapToGrid w:val="0"/>
                <w:kern w:val="0"/>
                <w:sz w:val="18"/>
                <w:szCs w:val="18"/>
              </w:rPr>
            </w:pPr>
          </w:p>
        </w:tc>
        <w:tc>
          <w:tcPr>
            <w:tcW w:w="461" w:type="pct"/>
            <w:shd w:val="clear" w:color="auto" w:fill="auto"/>
            <w:noWrap/>
            <w:vAlign w:val="center"/>
          </w:tcPr>
          <w:p>
            <w:pPr>
              <w:widowControl/>
              <w:adjustRightInd w:val="0"/>
              <w:snapToGrid w:val="0"/>
              <w:spacing w:line="324" w:lineRule="auto"/>
              <w:jc w:val="center"/>
              <w:rPr>
                <w:snapToGrid w:val="0"/>
                <w:kern w:val="0"/>
                <w:sz w:val="18"/>
                <w:szCs w:val="18"/>
              </w:rPr>
            </w:pPr>
          </w:p>
        </w:tc>
        <w:tc>
          <w:tcPr>
            <w:tcW w:w="674" w:type="pct"/>
            <w:shd w:val="clear" w:color="auto" w:fill="auto"/>
            <w:noWrap/>
            <w:vAlign w:val="center"/>
          </w:tcPr>
          <w:p>
            <w:pPr>
              <w:widowControl/>
              <w:adjustRightInd w:val="0"/>
              <w:snapToGrid w:val="0"/>
              <w:spacing w:line="324" w:lineRule="auto"/>
              <w:jc w:val="center"/>
              <w:rPr>
                <w:snapToGrid w:val="0"/>
                <w:kern w:val="0"/>
                <w:sz w:val="18"/>
                <w:szCs w:val="18"/>
              </w:rPr>
            </w:pPr>
          </w:p>
        </w:tc>
        <w:tc>
          <w:tcPr>
            <w:tcW w:w="632" w:type="pct"/>
            <w:shd w:val="clear" w:color="auto" w:fill="auto"/>
            <w:vAlign w:val="center"/>
          </w:tcPr>
          <w:p>
            <w:pPr>
              <w:widowControl/>
              <w:adjustRightInd w:val="0"/>
              <w:snapToGrid w:val="0"/>
              <w:spacing w:line="324" w:lineRule="auto"/>
              <w:jc w:val="center"/>
              <w:rPr>
                <w:snapToGrid w:val="0"/>
                <w:kern w:val="0"/>
                <w:sz w:val="18"/>
                <w:szCs w:val="18"/>
              </w:rPr>
            </w:pPr>
          </w:p>
        </w:tc>
        <w:tc>
          <w:tcPr>
            <w:tcW w:w="632" w:type="pct"/>
            <w:shd w:val="clear" w:color="auto" w:fill="auto"/>
            <w:vAlign w:val="center"/>
          </w:tcPr>
          <w:p>
            <w:pPr>
              <w:widowControl/>
              <w:adjustRightInd w:val="0"/>
              <w:snapToGrid w:val="0"/>
              <w:spacing w:line="324" w:lineRule="auto"/>
              <w:jc w:val="center"/>
              <w:rPr>
                <w:snapToGrid w:val="0"/>
                <w:kern w:val="0"/>
                <w:sz w:val="18"/>
                <w:szCs w:val="18"/>
              </w:rPr>
            </w:pPr>
          </w:p>
        </w:tc>
        <w:tc>
          <w:tcPr>
            <w:tcW w:w="632" w:type="pct"/>
            <w:shd w:val="clear" w:color="auto" w:fill="auto"/>
            <w:noWrap/>
            <w:vAlign w:val="bottom"/>
          </w:tcPr>
          <w:p>
            <w:pPr>
              <w:widowControl/>
              <w:adjustRightInd w:val="0"/>
              <w:snapToGrid w:val="0"/>
              <w:spacing w:line="324" w:lineRule="auto"/>
              <w:jc w:val="center"/>
              <w:rPr>
                <w:snapToGrid w:val="0"/>
                <w:kern w:val="0"/>
                <w:sz w:val="18"/>
                <w:szCs w:val="18"/>
              </w:rPr>
            </w:pPr>
          </w:p>
        </w:tc>
        <w:tc>
          <w:tcPr>
            <w:tcW w:w="633" w:type="pct"/>
            <w:shd w:val="clear" w:color="auto" w:fill="auto"/>
            <w:noWrap/>
            <w:vAlign w:val="bottom"/>
          </w:tcPr>
          <w:p>
            <w:pPr>
              <w:widowControl/>
              <w:adjustRightInd w:val="0"/>
              <w:snapToGrid w:val="0"/>
              <w:spacing w:line="324" w:lineRule="auto"/>
              <w:jc w:val="center"/>
              <w:rPr>
                <w:snapToGrid w:val="0"/>
                <w:kern w:val="0"/>
                <w:sz w:val="18"/>
                <w:szCs w:val="18"/>
              </w:rPr>
            </w:pPr>
          </w:p>
        </w:tc>
      </w:tr>
    </w:tbl>
    <w:p>
      <w:pPr>
        <w:adjustRightInd w:val="0"/>
        <w:snapToGrid w:val="0"/>
        <w:spacing w:line="324" w:lineRule="auto"/>
        <w:jc w:val="left"/>
        <w:rPr>
          <w:rFonts w:eastAsia="楷体"/>
          <w:szCs w:val="21"/>
        </w:rPr>
      </w:pPr>
      <w:bookmarkStart w:id="112" w:name="_Toc535582270"/>
      <w:r>
        <w:rPr>
          <w:rFonts w:hint="eastAsia" w:eastAsia="黑体"/>
          <w:szCs w:val="21"/>
        </w:rPr>
        <w:t>注：</w:t>
      </w:r>
      <w:r>
        <w:rPr>
          <w:rFonts w:hint="eastAsia" w:eastAsia="楷体"/>
          <w:szCs w:val="21"/>
        </w:rPr>
        <w:t>采用瞬时单位线的，需提供</w:t>
      </w:r>
      <w:r>
        <w:rPr>
          <w:rFonts w:eastAsia="楷体"/>
          <w:szCs w:val="21"/>
        </w:rPr>
        <w:t>3d</w:t>
      </w:r>
      <w:r>
        <w:rPr>
          <w:rFonts w:hint="eastAsia" w:eastAsia="楷体"/>
          <w:szCs w:val="21"/>
        </w:rPr>
        <w:t>特征值。</w:t>
      </w:r>
    </w:p>
    <w:p>
      <w:pPr>
        <w:adjustRightInd w:val="0"/>
        <w:snapToGrid w:val="0"/>
        <w:spacing w:line="324" w:lineRule="auto"/>
        <w:jc w:val="center"/>
        <w:rPr>
          <w:rFonts w:eastAsia="黑体"/>
          <w:bCs/>
          <w:sz w:val="24"/>
        </w:rPr>
      </w:pPr>
    </w:p>
    <w:p>
      <w:pPr>
        <w:adjustRightInd w:val="0"/>
        <w:snapToGrid w:val="0"/>
        <w:spacing w:line="324" w:lineRule="auto"/>
        <w:jc w:val="center"/>
        <w:rPr>
          <w:rFonts w:eastAsia="黑体"/>
          <w:bCs/>
          <w:sz w:val="24"/>
        </w:rPr>
      </w:pPr>
    </w:p>
    <w:p>
      <w:pPr>
        <w:adjustRightInd w:val="0"/>
        <w:snapToGrid w:val="0"/>
        <w:spacing w:line="324" w:lineRule="auto"/>
        <w:jc w:val="center"/>
        <w:rPr>
          <w:rFonts w:eastAsia="黑体"/>
          <w:bCs/>
          <w:sz w:val="24"/>
        </w:rPr>
      </w:pPr>
    </w:p>
    <w:p>
      <w:pPr>
        <w:adjustRightInd w:val="0"/>
        <w:snapToGrid w:val="0"/>
        <w:spacing w:line="324" w:lineRule="auto"/>
        <w:jc w:val="center"/>
        <w:rPr>
          <w:rFonts w:eastAsia="黑体"/>
          <w:bCs/>
        </w:rPr>
      </w:pPr>
      <w:r>
        <w:rPr>
          <w:rFonts w:eastAsia="黑体"/>
          <w:bCs/>
        </w:rPr>
        <w:t xml:space="preserve">表6 </w:t>
      </w:r>
      <w:r>
        <w:rPr>
          <w:rFonts w:hint="eastAsia" w:eastAsia="黑体"/>
          <w:bCs/>
        </w:rPr>
        <w:t xml:space="preserve">  </w:t>
      </w:r>
      <w:r>
        <w:rPr>
          <w:rFonts w:eastAsia="黑体"/>
          <w:bCs/>
        </w:rPr>
        <w:t>设计洪水成果表</w:t>
      </w:r>
      <w:bookmarkEnd w:id="112"/>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725"/>
        <w:gridCol w:w="2525"/>
        <w:gridCol w:w="1174"/>
        <w:gridCol w:w="1176"/>
        <w:gridCol w:w="1174"/>
        <w:gridCol w:w="11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964"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桩号</w:t>
            </w:r>
          </w:p>
        </w:tc>
        <w:tc>
          <w:tcPr>
            <w:tcW w:w="1411"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流域面积(km</w:t>
            </w:r>
            <w:r>
              <w:rPr>
                <w:snapToGrid w:val="0"/>
                <w:kern w:val="0"/>
                <w:sz w:val="18"/>
                <w:szCs w:val="18"/>
                <w:vertAlign w:val="superscript"/>
              </w:rPr>
              <w:t>2</w:t>
            </w:r>
            <w:r>
              <w:rPr>
                <w:snapToGrid w:val="0"/>
                <w:kern w:val="0"/>
                <w:sz w:val="18"/>
                <w:szCs w:val="18"/>
              </w:rPr>
              <w:t>)</w:t>
            </w:r>
          </w:p>
        </w:tc>
        <w:tc>
          <w:tcPr>
            <w:tcW w:w="2625" w:type="pct"/>
            <w:gridSpan w:val="4"/>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不同重现期设计洪峰流量（m</w:t>
            </w:r>
            <w:r>
              <w:rPr>
                <w:snapToGrid w:val="0"/>
                <w:kern w:val="0"/>
                <w:sz w:val="18"/>
                <w:szCs w:val="18"/>
                <w:vertAlign w:val="superscript"/>
              </w:rPr>
              <w:t>3</w:t>
            </w:r>
            <w:r>
              <w:rPr>
                <w:snapToGrid w:val="0"/>
                <w:kern w:val="0"/>
                <w:sz w:val="18"/>
                <w:szCs w:val="18"/>
              </w:rPr>
              <w:t>/s）</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964" w:type="pct"/>
            <w:vMerge w:val="continue"/>
            <w:vAlign w:val="center"/>
          </w:tcPr>
          <w:p>
            <w:pPr>
              <w:widowControl/>
              <w:adjustRightInd w:val="0"/>
              <w:snapToGrid w:val="0"/>
              <w:spacing w:line="324" w:lineRule="auto"/>
              <w:jc w:val="center"/>
              <w:rPr>
                <w:snapToGrid w:val="0"/>
                <w:kern w:val="0"/>
                <w:sz w:val="18"/>
                <w:szCs w:val="18"/>
              </w:rPr>
            </w:pPr>
          </w:p>
        </w:tc>
        <w:tc>
          <w:tcPr>
            <w:tcW w:w="1411" w:type="pct"/>
            <w:vMerge w:val="continue"/>
            <w:vAlign w:val="center"/>
          </w:tcPr>
          <w:p>
            <w:pPr>
              <w:widowControl/>
              <w:adjustRightInd w:val="0"/>
              <w:snapToGrid w:val="0"/>
              <w:spacing w:line="324" w:lineRule="auto"/>
              <w:jc w:val="center"/>
              <w:rPr>
                <w:snapToGrid w:val="0"/>
                <w:kern w:val="0"/>
                <w:sz w:val="18"/>
                <w:szCs w:val="18"/>
              </w:rPr>
            </w:pPr>
          </w:p>
        </w:tc>
        <w:tc>
          <w:tcPr>
            <w:tcW w:w="6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100年</w:t>
            </w:r>
          </w:p>
        </w:tc>
        <w:tc>
          <w:tcPr>
            <w:tcW w:w="65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50年　</w:t>
            </w:r>
          </w:p>
        </w:tc>
        <w:tc>
          <w:tcPr>
            <w:tcW w:w="657" w:type="pct"/>
            <w:shd w:val="clear" w:color="auto" w:fill="auto"/>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96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41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69" w:hRule="atLeast"/>
        </w:trPr>
        <w:tc>
          <w:tcPr>
            <w:tcW w:w="96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411"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6"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line="324" w:lineRule="auto"/>
        <w:rPr>
          <w:rFonts w:eastAsia="楷体"/>
          <w:szCs w:val="21"/>
        </w:rPr>
      </w:pPr>
      <w:r>
        <w:rPr>
          <w:rFonts w:eastAsia="黑体"/>
          <w:szCs w:val="21"/>
        </w:rPr>
        <w:t>注：</w:t>
      </w:r>
      <w:r>
        <w:rPr>
          <w:rFonts w:eastAsia="楷体"/>
          <w:szCs w:val="21"/>
        </w:rPr>
        <w:t>“桩号”采用流域规划桩号，若流域规划没有，采用本次划定桩号，并注明。</w:t>
      </w:r>
    </w:p>
    <w:p>
      <w:pPr>
        <w:adjustRightInd w:val="0"/>
        <w:snapToGrid w:val="0"/>
        <w:spacing w:before="156" w:beforeLines="50" w:line="324" w:lineRule="auto"/>
        <w:jc w:val="center"/>
        <w:rPr>
          <w:rFonts w:eastAsia="黑体"/>
          <w:bCs/>
        </w:rPr>
      </w:pPr>
      <w:bookmarkStart w:id="113" w:name="_Toc535582271"/>
      <w:r>
        <w:rPr>
          <w:rFonts w:eastAsia="黑体"/>
          <w:bCs/>
        </w:rPr>
        <w:t>表7</w:t>
      </w:r>
      <w:r>
        <w:rPr>
          <w:rFonts w:hint="eastAsia" w:eastAsia="黑体"/>
          <w:bCs/>
        </w:rPr>
        <w:t xml:space="preserve"> </w:t>
      </w:r>
      <w:r>
        <w:rPr>
          <w:rFonts w:eastAsia="黑体"/>
          <w:bCs/>
        </w:rPr>
        <w:t xml:space="preserve"> 不同重现期洪量成果表</w:t>
      </w:r>
      <w:bookmarkEnd w:id="113"/>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818"/>
        <w:gridCol w:w="1782"/>
        <w:gridCol w:w="1782"/>
        <w:gridCol w:w="1783"/>
        <w:gridCol w:w="17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016"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项目</w:t>
            </w:r>
          </w:p>
        </w:tc>
        <w:tc>
          <w:tcPr>
            <w:tcW w:w="3984" w:type="pct"/>
            <w:gridSpan w:val="4"/>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不同重现期洪量（万m</w:t>
            </w:r>
            <w:r>
              <w:rPr>
                <w:snapToGrid w:val="0"/>
                <w:kern w:val="0"/>
                <w:sz w:val="18"/>
                <w:szCs w:val="18"/>
                <w:vertAlign w:val="superscript"/>
              </w:rPr>
              <w:t>3</w:t>
            </w:r>
            <w:r>
              <w:rPr>
                <w:snapToGrid w:val="0"/>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016" w:type="pct"/>
            <w:vMerge w:val="continue"/>
            <w:vAlign w:val="center"/>
          </w:tcPr>
          <w:p>
            <w:pPr>
              <w:widowControl/>
              <w:adjustRightInd w:val="0"/>
              <w:snapToGrid w:val="0"/>
              <w:spacing w:line="324" w:lineRule="auto"/>
              <w:jc w:val="center"/>
              <w:rPr>
                <w:snapToGrid w:val="0"/>
                <w:kern w:val="0"/>
                <w:sz w:val="18"/>
                <w:szCs w:val="18"/>
              </w:rPr>
            </w:pP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100年</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50年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01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W</w:t>
            </w:r>
            <w:r>
              <w:rPr>
                <w:snapToGrid w:val="0"/>
                <w:kern w:val="0"/>
                <w:sz w:val="18"/>
                <w:szCs w:val="18"/>
                <w:vertAlign w:val="subscript"/>
              </w:rPr>
              <w:t>24h</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01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W</w:t>
            </w:r>
            <w:r>
              <w:rPr>
                <w:snapToGrid w:val="0"/>
                <w:kern w:val="0"/>
                <w:sz w:val="18"/>
                <w:szCs w:val="18"/>
                <w:vertAlign w:val="subscript"/>
              </w:rPr>
              <w:t>3d</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9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before="156" w:beforeLines="50" w:line="324" w:lineRule="auto"/>
        <w:jc w:val="center"/>
        <w:rPr>
          <w:rFonts w:eastAsia="黑体"/>
          <w:bCs/>
        </w:rPr>
      </w:pPr>
      <w:bookmarkStart w:id="114" w:name="_Toc535582272"/>
      <w:r>
        <w:rPr>
          <w:rFonts w:eastAsia="黑体"/>
          <w:bCs/>
        </w:rPr>
        <w:t>表8</w:t>
      </w:r>
      <w:r>
        <w:rPr>
          <w:rFonts w:hint="eastAsia" w:eastAsia="黑体"/>
          <w:bCs/>
        </w:rPr>
        <w:t xml:space="preserve"> </w:t>
      </w:r>
      <w:r>
        <w:rPr>
          <w:rFonts w:eastAsia="黑体"/>
          <w:bCs/>
        </w:rPr>
        <w:t xml:space="preserve"> 设计洪水过程线成果表</w:t>
      </w:r>
      <w:bookmarkEnd w:id="114"/>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12"/>
        <w:gridCol w:w="812"/>
        <w:gridCol w:w="812"/>
        <w:gridCol w:w="1595"/>
        <w:gridCol w:w="1228"/>
        <w:gridCol w:w="1229"/>
        <w:gridCol w:w="1228"/>
        <w:gridCol w:w="123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1362" w:type="pct"/>
            <w:gridSpan w:val="3"/>
            <w:shd w:val="clear" w:color="auto" w:fill="auto"/>
            <w:vAlign w:val="center"/>
          </w:tcPr>
          <w:p>
            <w:pPr>
              <w:widowControl/>
              <w:adjustRightInd w:val="0"/>
              <w:snapToGrid w:val="0"/>
              <w:spacing w:line="324" w:lineRule="auto"/>
              <w:jc w:val="center"/>
              <w:rPr>
                <w:snapToGrid w:val="0"/>
                <w:kern w:val="0"/>
                <w:sz w:val="18"/>
                <w:szCs w:val="18"/>
              </w:rPr>
            </w:pPr>
            <w:bookmarkStart w:id="115" w:name="_Toc359933540"/>
            <w:bookmarkStart w:id="116" w:name="_Toc359933156"/>
            <w:bookmarkStart w:id="117" w:name="_Toc360198150"/>
            <w:r>
              <w:rPr>
                <w:snapToGrid w:val="0"/>
                <w:kern w:val="0"/>
                <w:sz w:val="18"/>
                <w:szCs w:val="18"/>
              </w:rPr>
              <w:t>时间</w:t>
            </w:r>
          </w:p>
        </w:tc>
        <w:tc>
          <w:tcPr>
            <w:tcW w:w="891"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典型年</w:t>
            </w:r>
          </w:p>
        </w:tc>
        <w:tc>
          <w:tcPr>
            <w:tcW w:w="2747" w:type="pct"/>
            <w:gridSpan w:val="4"/>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不同重现期设计流量(m</w:t>
            </w:r>
            <w:r>
              <w:rPr>
                <w:snapToGrid w:val="0"/>
                <w:kern w:val="0"/>
                <w:sz w:val="18"/>
                <w:szCs w:val="18"/>
                <w:vertAlign w:val="superscript"/>
              </w:rPr>
              <w:t>3</w:t>
            </w:r>
            <w:r>
              <w:rPr>
                <w:snapToGrid w:val="0"/>
                <w:kern w:val="0"/>
                <w:sz w:val="18"/>
                <w:szCs w:val="18"/>
              </w:rPr>
              <w:t>/s)</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5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月</w:t>
            </w:r>
          </w:p>
        </w:tc>
        <w:tc>
          <w:tcPr>
            <w:tcW w:w="45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日</w:t>
            </w:r>
          </w:p>
        </w:tc>
        <w:tc>
          <w:tcPr>
            <w:tcW w:w="45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时</w:t>
            </w:r>
          </w:p>
        </w:tc>
        <w:tc>
          <w:tcPr>
            <w:tcW w:w="891" w:type="pct"/>
            <w:vMerge w:val="continue"/>
            <w:vAlign w:val="center"/>
          </w:tcPr>
          <w:p>
            <w:pPr>
              <w:widowControl/>
              <w:adjustRightInd w:val="0"/>
              <w:snapToGrid w:val="0"/>
              <w:spacing w:line="324" w:lineRule="auto"/>
              <w:jc w:val="center"/>
              <w:rPr>
                <w:snapToGrid w:val="0"/>
                <w:kern w:val="0"/>
                <w:sz w:val="18"/>
                <w:szCs w:val="18"/>
              </w:rPr>
            </w:pPr>
          </w:p>
        </w:tc>
        <w:tc>
          <w:tcPr>
            <w:tcW w:w="68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100年</w:t>
            </w:r>
          </w:p>
        </w:tc>
        <w:tc>
          <w:tcPr>
            <w:tcW w:w="68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50年　</w:t>
            </w:r>
          </w:p>
        </w:tc>
        <w:tc>
          <w:tcPr>
            <w:tcW w:w="68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9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6"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7"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6"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7"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454"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91"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6"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7"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6"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87" w:type="pct"/>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line="324" w:lineRule="auto"/>
        <w:rPr>
          <w:rFonts w:eastAsia="楷体"/>
          <w:szCs w:val="21"/>
        </w:rPr>
      </w:pPr>
      <w:r>
        <w:rPr>
          <w:rFonts w:eastAsia="黑体"/>
          <w:szCs w:val="21"/>
        </w:rPr>
        <w:t>注：</w:t>
      </w:r>
      <w:r>
        <w:rPr>
          <w:rFonts w:eastAsia="楷体"/>
          <w:szCs w:val="21"/>
        </w:rPr>
        <w:t>考虑水库调蓄作用的需要填写此表。</w:t>
      </w:r>
    </w:p>
    <w:p>
      <w:pPr>
        <w:adjustRightInd w:val="0"/>
        <w:snapToGrid w:val="0"/>
        <w:spacing w:before="156" w:beforeLines="50" w:line="324" w:lineRule="auto"/>
        <w:jc w:val="center"/>
        <w:rPr>
          <w:rFonts w:eastAsia="黑体"/>
          <w:bCs/>
        </w:rPr>
      </w:pPr>
      <w:bookmarkStart w:id="118" w:name="_Toc535582273"/>
      <w:r>
        <w:rPr>
          <w:rFonts w:eastAsia="黑体"/>
          <w:bCs/>
        </w:rPr>
        <w:t>表9</w:t>
      </w:r>
      <w:r>
        <w:rPr>
          <w:rFonts w:hint="eastAsia" w:eastAsia="黑体"/>
          <w:bCs/>
        </w:rPr>
        <w:t xml:space="preserve">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eastAsia="黑体"/>
          <w:bCs/>
        </w:rPr>
        <w:t>水库水位</w:t>
      </w:r>
      <w:r>
        <w:rPr>
          <w:rFonts w:hint="eastAsia" w:eastAsia="黑体"/>
          <w:bCs/>
        </w:rPr>
        <w:t>～</w:t>
      </w:r>
      <w:r>
        <w:rPr>
          <w:rFonts w:eastAsia="黑体"/>
          <w:bCs/>
        </w:rPr>
        <w:t>泄量关系表</w:t>
      </w:r>
      <w:bookmarkEnd w:id="118"/>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009"/>
        <w:gridCol w:w="1070"/>
        <w:gridCol w:w="1754"/>
        <w:gridCol w:w="1863"/>
        <w:gridCol w:w="2178"/>
        <w:gridCol w:w="1074"/>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64" w:type="pct"/>
            <w:vMerge w:val="restar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序号</w:t>
            </w:r>
          </w:p>
        </w:tc>
        <w:tc>
          <w:tcPr>
            <w:tcW w:w="598"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水位</w:t>
            </w:r>
          </w:p>
        </w:tc>
        <w:tc>
          <w:tcPr>
            <w:tcW w:w="3838" w:type="pct"/>
            <w:gridSpan w:val="4"/>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泄水建筑物泄量（m</w:t>
            </w:r>
            <w:r>
              <w:rPr>
                <w:snapToGrid w:val="0"/>
                <w:kern w:val="0"/>
                <w:sz w:val="18"/>
                <w:szCs w:val="18"/>
                <w:vertAlign w:val="superscript"/>
              </w:rPr>
              <w:t>3</w:t>
            </w:r>
            <w:r>
              <w:rPr>
                <w:snapToGrid w:val="0"/>
                <w:kern w:val="0"/>
                <w:sz w:val="18"/>
                <w:szCs w:val="18"/>
              </w:rPr>
              <w:t>/s）</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64" w:type="pct"/>
            <w:vMerge w:val="continue"/>
            <w:vAlign w:val="center"/>
          </w:tcPr>
          <w:p>
            <w:pPr>
              <w:widowControl/>
              <w:adjustRightInd w:val="0"/>
              <w:snapToGrid w:val="0"/>
              <w:spacing w:line="324" w:lineRule="auto"/>
              <w:jc w:val="center"/>
              <w:rPr>
                <w:snapToGrid w:val="0"/>
                <w:kern w:val="0"/>
                <w:sz w:val="18"/>
                <w:szCs w:val="18"/>
              </w:rPr>
            </w:pPr>
          </w:p>
        </w:tc>
        <w:tc>
          <w:tcPr>
            <w:tcW w:w="598" w:type="pct"/>
            <w:vMerge w:val="continue"/>
            <w:vAlign w:val="center"/>
          </w:tcPr>
          <w:p>
            <w:pPr>
              <w:widowControl/>
              <w:adjustRightInd w:val="0"/>
              <w:snapToGrid w:val="0"/>
              <w:spacing w:line="324" w:lineRule="auto"/>
              <w:jc w:val="center"/>
              <w:rPr>
                <w:snapToGrid w:val="0"/>
                <w:kern w:val="0"/>
                <w:sz w:val="18"/>
                <w:szCs w:val="18"/>
              </w:rPr>
            </w:pPr>
          </w:p>
        </w:tc>
        <w:tc>
          <w:tcPr>
            <w:tcW w:w="980"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泄洪洞</w:t>
            </w:r>
          </w:p>
        </w:tc>
        <w:tc>
          <w:tcPr>
            <w:tcW w:w="1041"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正常溢洪道</w:t>
            </w:r>
          </w:p>
        </w:tc>
        <w:tc>
          <w:tcPr>
            <w:tcW w:w="1217"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w:t>
            </w:r>
          </w:p>
        </w:tc>
        <w:tc>
          <w:tcPr>
            <w:tcW w:w="599"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合计</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279" w:hRule="atLeast"/>
        </w:trPr>
        <w:tc>
          <w:tcPr>
            <w:tcW w:w="564" w:type="pct"/>
            <w:vMerge w:val="continue"/>
            <w:vAlign w:val="center"/>
          </w:tcPr>
          <w:p>
            <w:pPr>
              <w:widowControl/>
              <w:adjustRightInd w:val="0"/>
              <w:snapToGrid w:val="0"/>
              <w:spacing w:line="324" w:lineRule="auto"/>
              <w:jc w:val="center"/>
              <w:rPr>
                <w:snapToGrid w:val="0"/>
                <w:kern w:val="0"/>
                <w:sz w:val="18"/>
                <w:szCs w:val="18"/>
              </w:rPr>
            </w:pPr>
          </w:p>
        </w:tc>
        <w:tc>
          <w:tcPr>
            <w:tcW w:w="598" w:type="pct"/>
            <w:vMerge w:val="continue"/>
            <w:vAlign w:val="center"/>
          </w:tcPr>
          <w:p>
            <w:pPr>
              <w:widowControl/>
              <w:adjustRightInd w:val="0"/>
              <w:snapToGrid w:val="0"/>
              <w:spacing w:line="324" w:lineRule="auto"/>
              <w:jc w:val="center"/>
              <w:rPr>
                <w:snapToGrid w:val="0"/>
                <w:kern w:val="0"/>
                <w:sz w:val="18"/>
                <w:szCs w:val="18"/>
              </w:rPr>
            </w:pPr>
          </w:p>
        </w:tc>
        <w:tc>
          <w:tcPr>
            <w:tcW w:w="980" w:type="pct"/>
            <w:vMerge w:val="continue"/>
            <w:vAlign w:val="center"/>
          </w:tcPr>
          <w:p>
            <w:pPr>
              <w:widowControl/>
              <w:adjustRightInd w:val="0"/>
              <w:snapToGrid w:val="0"/>
              <w:spacing w:line="324" w:lineRule="auto"/>
              <w:jc w:val="center"/>
              <w:rPr>
                <w:snapToGrid w:val="0"/>
                <w:kern w:val="0"/>
                <w:sz w:val="18"/>
                <w:szCs w:val="18"/>
              </w:rPr>
            </w:pPr>
          </w:p>
        </w:tc>
        <w:tc>
          <w:tcPr>
            <w:tcW w:w="1041" w:type="pct"/>
            <w:vMerge w:val="continue"/>
            <w:vAlign w:val="center"/>
          </w:tcPr>
          <w:p>
            <w:pPr>
              <w:widowControl/>
              <w:adjustRightInd w:val="0"/>
              <w:snapToGrid w:val="0"/>
              <w:spacing w:line="324" w:lineRule="auto"/>
              <w:jc w:val="center"/>
              <w:rPr>
                <w:snapToGrid w:val="0"/>
                <w:kern w:val="0"/>
                <w:sz w:val="18"/>
                <w:szCs w:val="18"/>
              </w:rPr>
            </w:pPr>
          </w:p>
        </w:tc>
        <w:tc>
          <w:tcPr>
            <w:tcW w:w="1217" w:type="pct"/>
            <w:vMerge w:val="continue"/>
            <w:vAlign w:val="center"/>
          </w:tcPr>
          <w:p>
            <w:pPr>
              <w:widowControl/>
              <w:adjustRightInd w:val="0"/>
              <w:snapToGrid w:val="0"/>
              <w:spacing w:line="324" w:lineRule="auto"/>
              <w:jc w:val="center"/>
              <w:rPr>
                <w:snapToGrid w:val="0"/>
                <w:kern w:val="0"/>
                <w:sz w:val="18"/>
                <w:szCs w:val="18"/>
              </w:rPr>
            </w:pPr>
          </w:p>
        </w:tc>
        <w:tc>
          <w:tcPr>
            <w:tcW w:w="599" w:type="pct"/>
            <w:vMerge w:val="continue"/>
            <w:vAlign w:val="center"/>
          </w:tcPr>
          <w:p>
            <w:pPr>
              <w:widowControl/>
              <w:adjustRightInd w:val="0"/>
              <w:snapToGrid w:val="0"/>
              <w:spacing w:line="324" w:lineRule="auto"/>
              <w:jc w:val="center"/>
              <w:rPr>
                <w:snapToGrid w:val="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6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9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8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41"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21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99"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564"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9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8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41"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21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99"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line="324" w:lineRule="auto"/>
        <w:rPr>
          <w:rFonts w:eastAsia="楷体"/>
          <w:szCs w:val="21"/>
        </w:rPr>
      </w:pPr>
      <w:r>
        <w:rPr>
          <w:rFonts w:eastAsia="黑体"/>
          <w:szCs w:val="21"/>
        </w:rPr>
        <w:t>注：</w:t>
      </w:r>
      <w:r>
        <w:rPr>
          <w:rFonts w:eastAsia="楷体"/>
          <w:szCs w:val="21"/>
        </w:rPr>
        <w:t>考虑水库调蓄作用的需要填写此表。</w:t>
      </w:r>
    </w:p>
    <w:p>
      <w:pPr>
        <w:adjustRightInd w:val="0"/>
        <w:snapToGrid w:val="0"/>
        <w:spacing w:before="156" w:beforeLines="50" w:line="324" w:lineRule="auto"/>
        <w:jc w:val="center"/>
        <w:rPr>
          <w:rFonts w:eastAsia="黑体"/>
          <w:bCs/>
        </w:rPr>
      </w:pPr>
      <w:bookmarkStart w:id="119" w:name="_Toc535582274"/>
      <w:r>
        <w:rPr>
          <w:rFonts w:eastAsia="黑体"/>
          <w:bCs/>
        </w:rPr>
        <w:t>表10</w:t>
      </w:r>
      <w:r>
        <w:rPr>
          <w:rFonts w:hint="eastAsia" w:eastAsia="黑体"/>
          <w:bCs/>
        </w:rPr>
        <w:t xml:space="preserve"> </w:t>
      </w:r>
      <w:r>
        <w:rPr>
          <w:rFonts w:eastAsia="黑体"/>
          <w:bCs/>
        </w:rPr>
        <w:t xml:space="preserve"> </w:t>
      </w:r>
      <w:r>
        <w:rPr>
          <w:rFonts w:hint="eastAsia" w:eastAsia="黑体"/>
          <w:bCs/>
        </w:rPr>
        <w:t xml:space="preserve">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eastAsia="黑体"/>
          <w:bCs/>
        </w:rPr>
        <w:t>水库水位</w:t>
      </w:r>
      <w:r>
        <w:rPr>
          <w:rFonts w:hint="eastAsia" w:eastAsia="黑体"/>
          <w:bCs/>
        </w:rPr>
        <w:t>～</w:t>
      </w:r>
      <w:r>
        <w:rPr>
          <w:rFonts w:eastAsia="黑体"/>
          <w:bCs/>
        </w:rPr>
        <w:t>库容关系表</w:t>
      </w:r>
      <w:bookmarkEnd w:id="119"/>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837"/>
        <w:gridCol w:w="1533"/>
        <w:gridCol w:w="1955"/>
        <w:gridCol w:w="294"/>
        <w:gridCol w:w="840"/>
        <w:gridCol w:w="1534"/>
        <w:gridCol w:w="195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6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序号</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水位（m）</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库容（万m</w:t>
            </w:r>
            <w:r>
              <w:rPr>
                <w:snapToGrid w:val="0"/>
                <w:kern w:val="0"/>
                <w:sz w:val="18"/>
                <w:szCs w:val="18"/>
                <w:vertAlign w:val="superscript"/>
              </w:rPr>
              <w:t>3</w:t>
            </w:r>
            <w:r>
              <w:rPr>
                <w:snapToGrid w:val="0"/>
                <w:kern w:val="0"/>
                <w:sz w:val="18"/>
                <w:szCs w:val="18"/>
              </w:rPr>
              <w:t>）</w:t>
            </w:r>
          </w:p>
        </w:tc>
        <w:tc>
          <w:tcPr>
            <w:tcW w:w="164" w:type="pct"/>
            <w:vMerge w:val="restart"/>
            <w:shd w:val="clear" w:color="auto" w:fill="auto"/>
            <w:noWrap/>
            <w:vAlign w:val="center"/>
          </w:tcPr>
          <w:p>
            <w:pPr>
              <w:widowControl/>
              <w:adjustRightInd w:val="0"/>
              <w:snapToGrid w:val="0"/>
              <w:spacing w:line="324" w:lineRule="auto"/>
              <w:jc w:val="center"/>
              <w:rPr>
                <w:snapToGrid w:val="0"/>
                <w:kern w:val="0"/>
                <w:sz w:val="18"/>
                <w:szCs w:val="18"/>
              </w:rPr>
            </w:pPr>
          </w:p>
        </w:tc>
        <w:tc>
          <w:tcPr>
            <w:tcW w:w="46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序号</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水位（m）</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库容（万m</w:t>
            </w:r>
            <w:r>
              <w:rPr>
                <w:snapToGrid w:val="0"/>
                <w:kern w:val="0"/>
                <w:sz w:val="18"/>
                <w:szCs w:val="18"/>
                <w:vertAlign w:val="superscript"/>
              </w:rPr>
              <w:t>3</w:t>
            </w:r>
            <w:r>
              <w:rPr>
                <w:snapToGrid w:val="0"/>
                <w:kern w:val="0"/>
                <w:sz w:val="18"/>
                <w:szCs w:val="18"/>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6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64" w:type="pct"/>
            <w:vMerge w:val="continue"/>
            <w:shd w:val="clear" w:color="auto" w:fill="auto"/>
            <w:noWrap/>
            <w:vAlign w:val="center"/>
          </w:tcPr>
          <w:p>
            <w:pPr>
              <w:widowControl/>
              <w:adjustRightInd w:val="0"/>
              <w:snapToGrid w:val="0"/>
              <w:spacing w:line="324" w:lineRule="auto"/>
              <w:jc w:val="center"/>
              <w:rPr>
                <w:snapToGrid w:val="0"/>
                <w:kern w:val="0"/>
                <w:sz w:val="18"/>
                <w:szCs w:val="18"/>
              </w:rPr>
            </w:pPr>
          </w:p>
        </w:tc>
        <w:tc>
          <w:tcPr>
            <w:tcW w:w="46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468"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64" w:type="pct"/>
            <w:vMerge w:val="continue"/>
            <w:shd w:val="clear" w:color="auto" w:fill="auto"/>
            <w:noWrap/>
            <w:vAlign w:val="center"/>
          </w:tcPr>
          <w:p>
            <w:pPr>
              <w:widowControl/>
              <w:adjustRightInd w:val="0"/>
              <w:snapToGrid w:val="0"/>
              <w:spacing w:line="324" w:lineRule="auto"/>
              <w:jc w:val="center"/>
              <w:rPr>
                <w:snapToGrid w:val="0"/>
                <w:kern w:val="0"/>
                <w:sz w:val="18"/>
                <w:szCs w:val="18"/>
              </w:rPr>
            </w:pPr>
          </w:p>
        </w:tc>
        <w:tc>
          <w:tcPr>
            <w:tcW w:w="469"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857"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092" w:type="pct"/>
            <w:shd w:val="clear" w:color="auto" w:fill="auto"/>
            <w:noWrap/>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line="324" w:lineRule="auto"/>
        <w:rPr>
          <w:rFonts w:eastAsia="楷体"/>
          <w:szCs w:val="21"/>
        </w:rPr>
      </w:pPr>
      <w:r>
        <w:rPr>
          <w:rFonts w:eastAsia="黑体"/>
          <w:szCs w:val="21"/>
        </w:rPr>
        <w:t>注：</w:t>
      </w:r>
      <w:r>
        <w:rPr>
          <w:rFonts w:eastAsia="楷体"/>
          <w:szCs w:val="21"/>
        </w:rPr>
        <w:t>考虑水库调蓄作用的需要填写此表。</w:t>
      </w:r>
    </w:p>
    <w:p>
      <w:pPr>
        <w:adjustRightInd w:val="0"/>
        <w:snapToGrid w:val="0"/>
        <w:spacing w:line="324" w:lineRule="auto"/>
        <w:jc w:val="center"/>
        <w:rPr>
          <w:rFonts w:eastAsia="黑体"/>
          <w:bCs/>
        </w:rPr>
        <w:sectPr>
          <w:pgSz w:w="11906" w:h="16838"/>
          <w:pgMar w:top="1701" w:right="1587" w:bottom="1417" w:left="1587" w:header="851" w:footer="992" w:gutter="0"/>
          <w:cols w:space="425" w:num="1"/>
          <w:docGrid w:type="lines" w:linePitch="312" w:charSpace="0"/>
        </w:sectPr>
      </w:pPr>
      <w:bookmarkStart w:id="120" w:name="_Toc535582275"/>
    </w:p>
    <w:p>
      <w:pPr>
        <w:adjustRightInd w:val="0"/>
        <w:snapToGrid w:val="0"/>
        <w:spacing w:line="324" w:lineRule="auto"/>
        <w:jc w:val="center"/>
        <w:rPr>
          <w:rFonts w:eastAsia="黑体"/>
          <w:bCs/>
        </w:rPr>
      </w:pPr>
      <w:r>
        <w:rPr>
          <w:rFonts w:eastAsia="黑体"/>
          <w:bCs/>
        </w:rPr>
        <w:t>表11</w:t>
      </w:r>
      <w:r>
        <w:rPr>
          <w:rFonts w:hint="eastAsia" w:eastAsia="黑体"/>
          <w:bCs/>
        </w:rPr>
        <w:t xml:space="preserve"> </w:t>
      </w:r>
      <w:r>
        <w:rPr>
          <w:rFonts w:eastAsia="黑体"/>
          <w:bCs/>
        </w:rPr>
        <w:t xml:space="preserve"> </w:t>
      </w:r>
      <w:r>
        <w:rPr>
          <w:rFonts w:hint="eastAsia" w:eastAsia="黑体"/>
          <w:bCs/>
        </w:rPr>
        <w:t xml:space="preserve">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eastAsia="黑体"/>
          <w:bCs/>
        </w:rPr>
        <w:t>水库设计洪水成果表</w:t>
      </w:r>
      <w:bookmarkEnd w:id="120"/>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3083"/>
        <w:gridCol w:w="1353"/>
        <w:gridCol w:w="1260"/>
        <w:gridCol w:w="1142"/>
        <w:gridCol w:w="1127"/>
        <w:gridCol w:w="983"/>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vMerge w:val="restar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项目</w:t>
            </w:r>
          </w:p>
        </w:tc>
        <w:tc>
          <w:tcPr>
            <w:tcW w:w="3277" w:type="pct"/>
            <w:gridSpan w:val="5"/>
            <w:shd w:val="clear" w:color="auto" w:fill="auto"/>
            <w:noWrap/>
            <w:vAlign w:val="bottom"/>
          </w:tcPr>
          <w:p>
            <w:pPr>
              <w:widowControl/>
              <w:adjustRightInd w:val="0"/>
              <w:snapToGrid w:val="0"/>
              <w:spacing w:line="324" w:lineRule="auto"/>
              <w:jc w:val="center"/>
              <w:rPr>
                <w:snapToGrid w:val="0"/>
                <w:kern w:val="0"/>
                <w:sz w:val="18"/>
                <w:szCs w:val="18"/>
              </w:rPr>
            </w:pPr>
            <w:r>
              <w:rPr>
                <w:snapToGrid w:val="0"/>
                <w:kern w:val="0"/>
                <w:sz w:val="18"/>
                <w:szCs w:val="18"/>
              </w:rPr>
              <w:t>不同重现期（年）</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vMerge w:val="continue"/>
            <w:vAlign w:val="center"/>
          </w:tcPr>
          <w:p>
            <w:pPr>
              <w:widowControl/>
              <w:adjustRightInd w:val="0"/>
              <w:snapToGrid w:val="0"/>
              <w:spacing w:line="324" w:lineRule="auto"/>
              <w:jc w:val="center"/>
              <w:rPr>
                <w:snapToGrid w:val="0"/>
                <w:kern w:val="0"/>
                <w:sz w:val="18"/>
                <w:szCs w:val="18"/>
              </w:rPr>
            </w:pPr>
          </w:p>
        </w:tc>
        <w:tc>
          <w:tcPr>
            <w:tcW w:w="7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w:t>
            </w:r>
          </w:p>
        </w:tc>
        <w:tc>
          <w:tcPr>
            <w:tcW w:w="70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100年</w:t>
            </w:r>
          </w:p>
        </w:tc>
        <w:tc>
          <w:tcPr>
            <w:tcW w:w="63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50年　</w:t>
            </w:r>
          </w:p>
        </w:tc>
        <w:tc>
          <w:tcPr>
            <w:tcW w:w="630" w:type="pct"/>
            <w:shd w:val="clear" w:color="auto" w:fill="auto"/>
            <w:vAlign w:val="bottom"/>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5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洪峰流量（m</w:t>
            </w:r>
            <w:r>
              <w:rPr>
                <w:snapToGrid w:val="0"/>
                <w:kern w:val="0"/>
                <w:sz w:val="18"/>
                <w:szCs w:val="18"/>
                <w:vertAlign w:val="superscript"/>
              </w:rPr>
              <w:t>3</w:t>
            </w:r>
            <w:r>
              <w:rPr>
                <w:snapToGrid w:val="0"/>
                <w:kern w:val="0"/>
                <w:sz w:val="18"/>
                <w:szCs w:val="18"/>
              </w:rPr>
              <w:t>/s）</w:t>
            </w:r>
          </w:p>
        </w:tc>
        <w:tc>
          <w:tcPr>
            <w:tcW w:w="7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0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5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W</w:t>
            </w:r>
            <w:r>
              <w:rPr>
                <w:snapToGrid w:val="0"/>
                <w:kern w:val="0"/>
                <w:sz w:val="18"/>
                <w:szCs w:val="18"/>
                <w:vertAlign w:val="subscript"/>
              </w:rPr>
              <w:t>24h</w:t>
            </w:r>
            <w:r>
              <w:rPr>
                <w:snapToGrid w:val="0"/>
                <w:kern w:val="0"/>
                <w:sz w:val="18"/>
                <w:szCs w:val="18"/>
              </w:rPr>
              <w:t>/</w:t>
            </w:r>
            <w:r>
              <w:rPr>
                <w:snapToGrid w:val="0"/>
                <w:kern w:val="0"/>
                <w:sz w:val="18"/>
                <w:szCs w:val="18"/>
                <w:vertAlign w:val="subscript"/>
              </w:rPr>
              <w:t>3d</w:t>
            </w:r>
            <w:r>
              <w:rPr>
                <w:snapToGrid w:val="0"/>
                <w:kern w:val="0"/>
                <w:sz w:val="18"/>
                <w:szCs w:val="18"/>
              </w:rPr>
              <w:t>（万m</w:t>
            </w:r>
            <w:r>
              <w:rPr>
                <w:snapToGrid w:val="0"/>
                <w:kern w:val="0"/>
                <w:sz w:val="18"/>
                <w:szCs w:val="18"/>
                <w:vertAlign w:val="superscript"/>
              </w:rPr>
              <w:t>3</w:t>
            </w:r>
            <w:r>
              <w:rPr>
                <w:snapToGrid w:val="0"/>
                <w:kern w:val="0"/>
                <w:sz w:val="18"/>
                <w:szCs w:val="18"/>
              </w:rPr>
              <w:t>）</w:t>
            </w:r>
          </w:p>
        </w:tc>
        <w:tc>
          <w:tcPr>
            <w:tcW w:w="7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0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5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最高水位（m）</w:t>
            </w:r>
          </w:p>
        </w:tc>
        <w:tc>
          <w:tcPr>
            <w:tcW w:w="7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0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5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1723"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最大泄量（m</w:t>
            </w:r>
            <w:r>
              <w:rPr>
                <w:snapToGrid w:val="0"/>
                <w:kern w:val="0"/>
                <w:sz w:val="18"/>
                <w:szCs w:val="18"/>
                <w:vertAlign w:val="superscript"/>
              </w:rPr>
              <w:t>3</w:t>
            </w:r>
            <w:r>
              <w:rPr>
                <w:snapToGrid w:val="0"/>
                <w:kern w:val="0"/>
                <w:sz w:val="18"/>
                <w:szCs w:val="18"/>
              </w:rPr>
              <w:t>/s）</w:t>
            </w:r>
          </w:p>
        </w:tc>
        <w:tc>
          <w:tcPr>
            <w:tcW w:w="756"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70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63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55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r>
    </w:tbl>
    <w:p>
      <w:pPr>
        <w:adjustRightInd w:val="0"/>
        <w:snapToGrid w:val="0"/>
        <w:spacing w:before="156" w:beforeLines="50" w:line="324" w:lineRule="auto"/>
        <w:jc w:val="center"/>
        <w:rPr>
          <w:rFonts w:eastAsia="黑体"/>
          <w:bCs/>
        </w:rPr>
      </w:pPr>
      <w:bookmarkStart w:id="121" w:name="_Toc535582276"/>
      <w:r>
        <w:rPr>
          <w:rFonts w:eastAsia="黑体"/>
          <w:bCs/>
        </w:rPr>
        <w:t xml:space="preserve">表12 </w:t>
      </w:r>
      <w:r>
        <w:rPr>
          <w:rFonts w:hint="eastAsia" w:eastAsia="黑体"/>
          <w:bCs/>
        </w:rPr>
        <w:t xml:space="preserve">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eastAsia="黑体"/>
          <w:bCs/>
        </w:rPr>
        <w:t>河</w:t>
      </w:r>
      <w:r>
        <w:rPr>
          <w:rFonts w:hint="eastAsia" w:eastAsia="黑体"/>
          <w:bCs/>
        </w:rPr>
        <w:t xml:space="preserve">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eastAsia="黑体"/>
          <w:bCs/>
        </w:rPr>
        <w:t>年一遇设计洪水位成果表</w:t>
      </w:r>
      <w:bookmarkEnd w:id="121"/>
    </w:p>
    <w:tbl>
      <w:tblPr>
        <w:tblStyle w:val="37"/>
        <w:tblW w:w="5000" w:type="pct"/>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autofit"/>
        <w:tblCellMar>
          <w:top w:w="0" w:type="dxa"/>
          <w:left w:w="108" w:type="dxa"/>
          <w:bottom w:w="0" w:type="dxa"/>
          <w:right w:w="108" w:type="dxa"/>
        </w:tblCellMar>
      </w:tblPr>
      <w:tblGrid>
        <w:gridCol w:w="1643"/>
        <w:gridCol w:w="1611"/>
        <w:gridCol w:w="2638"/>
        <w:gridCol w:w="3056"/>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91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桩号</w:t>
            </w:r>
          </w:p>
        </w:tc>
        <w:tc>
          <w:tcPr>
            <w:tcW w:w="90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河底高程（m）</w:t>
            </w:r>
          </w:p>
        </w:tc>
        <w:tc>
          <w:tcPr>
            <w:tcW w:w="147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设计洪水位（m）</w:t>
            </w:r>
          </w:p>
        </w:tc>
        <w:tc>
          <w:tcPr>
            <w:tcW w:w="1707"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备注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918" w:type="pct"/>
            <w:vAlign w:val="center"/>
          </w:tcPr>
          <w:p>
            <w:pPr>
              <w:widowControl/>
              <w:adjustRightInd w:val="0"/>
              <w:snapToGrid w:val="0"/>
              <w:spacing w:line="324" w:lineRule="auto"/>
              <w:jc w:val="center"/>
              <w:rPr>
                <w:snapToGrid w:val="0"/>
                <w:kern w:val="0"/>
                <w:sz w:val="18"/>
                <w:szCs w:val="18"/>
              </w:rPr>
            </w:pPr>
          </w:p>
        </w:tc>
        <w:tc>
          <w:tcPr>
            <w:tcW w:w="900" w:type="pct"/>
            <w:vAlign w:val="center"/>
          </w:tcPr>
          <w:p>
            <w:pPr>
              <w:widowControl/>
              <w:adjustRightInd w:val="0"/>
              <w:snapToGrid w:val="0"/>
              <w:spacing w:line="324" w:lineRule="auto"/>
              <w:jc w:val="center"/>
              <w:rPr>
                <w:snapToGrid w:val="0"/>
                <w:kern w:val="0"/>
                <w:sz w:val="18"/>
                <w:szCs w:val="18"/>
              </w:rPr>
            </w:pPr>
          </w:p>
        </w:tc>
        <w:tc>
          <w:tcPr>
            <w:tcW w:w="1474" w:type="pct"/>
            <w:shd w:val="clear" w:color="auto" w:fill="auto"/>
            <w:vAlign w:val="center"/>
          </w:tcPr>
          <w:p>
            <w:pPr>
              <w:widowControl/>
              <w:adjustRightInd w:val="0"/>
              <w:snapToGrid w:val="0"/>
              <w:spacing w:line="324" w:lineRule="auto"/>
              <w:jc w:val="center"/>
              <w:rPr>
                <w:snapToGrid w:val="0"/>
                <w:kern w:val="0"/>
                <w:sz w:val="18"/>
                <w:szCs w:val="18"/>
              </w:rPr>
            </w:pPr>
          </w:p>
        </w:tc>
        <w:tc>
          <w:tcPr>
            <w:tcW w:w="1707" w:type="pct"/>
            <w:vAlign w:val="center"/>
          </w:tcPr>
          <w:p>
            <w:pPr>
              <w:widowControl/>
              <w:adjustRightInd w:val="0"/>
              <w:snapToGrid w:val="0"/>
              <w:spacing w:line="324" w:lineRule="auto"/>
              <w:jc w:val="center"/>
              <w:rPr>
                <w:snapToGrid w:val="0"/>
                <w:kern w:val="0"/>
                <w:sz w:val="18"/>
                <w:szCs w:val="18"/>
              </w:rPr>
            </w:pP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369" w:hRule="atLeast"/>
        </w:trPr>
        <w:tc>
          <w:tcPr>
            <w:tcW w:w="91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900"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474"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　</w:t>
            </w:r>
          </w:p>
        </w:tc>
        <w:tc>
          <w:tcPr>
            <w:tcW w:w="1707" w:type="pct"/>
            <w:shd w:val="clear" w:color="auto" w:fill="auto"/>
            <w:vAlign w:val="center"/>
          </w:tcPr>
          <w:p>
            <w:pPr>
              <w:widowControl/>
              <w:adjustRightInd w:val="0"/>
              <w:snapToGrid w:val="0"/>
              <w:spacing w:line="324" w:lineRule="auto"/>
              <w:jc w:val="center"/>
              <w:rPr>
                <w:snapToGrid w:val="0"/>
                <w:kern w:val="0"/>
                <w:sz w:val="18"/>
                <w:szCs w:val="18"/>
              </w:rPr>
            </w:pPr>
          </w:p>
        </w:tc>
      </w:tr>
    </w:tbl>
    <w:p>
      <w:pPr>
        <w:adjustRightInd w:val="0"/>
        <w:snapToGrid w:val="0"/>
        <w:spacing w:line="324" w:lineRule="auto"/>
        <w:rPr>
          <w:rFonts w:eastAsia="楷体"/>
          <w:szCs w:val="21"/>
        </w:rPr>
      </w:pPr>
      <w:r>
        <w:rPr>
          <w:rFonts w:eastAsia="黑体"/>
          <w:szCs w:val="21"/>
        </w:rPr>
        <w:t>注：</w:t>
      </w:r>
      <w:r>
        <w:rPr>
          <w:rFonts w:eastAsia="楷体"/>
          <w:szCs w:val="21"/>
        </w:rPr>
        <w:t>“备注”中标明主要控制节点。</w:t>
      </w:r>
    </w:p>
    <w:p>
      <w:pPr>
        <w:adjustRightInd w:val="0"/>
        <w:snapToGrid w:val="0"/>
        <w:spacing w:before="156" w:beforeLines="50" w:line="324" w:lineRule="auto"/>
        <w:jc w:val="center"/>
        <w:rPr>
          <w:rFonts w:eastAsia="黑体"/>
          <w:bCs/>
        </w:rPr>
      </w:pPr>
      <w:bookmarkStart w:id="122" w:name="_Toc535582277"/>
      <w:bookmarkStart w:id="123" w:name="_Toc360198149"/>
      <w:bookmarkStart w:id="124" w:name="_Toc359933538"/>
      <w:bookmarkStart w:id="125" w:name="_Toc359933154"/>
      <w:bookmarkStart w:id="126" w:name="_Toc359856556"/>
      <w:r>
        <w:rPr>
          <w:rFonts w:eastAsia="黑体"/>
          <w:bCs/>
        </w:rPr>
        <w:t xml:space="preserve">表13 </w:t>
      </w:r>
      <w:r>
        <w:rPr>
          <w:rFonts w:hint="eastAsia" w:eastAsia="黑体"/>
          <w:bCs/>
        </w:rPr>
        <w:t xml:space="preserve">  </w:t>
      </w:r>
      <w:r>
        <w:rPr>
          <w:rFonts w:eastAsia="黑体"/>
          <w:bCs/>
        </w:rPr>
        <w:t>河道特征与</w:t>
      </w:r>
      <w:r>
        <w:rPr>
          <w:rFonts w:hint="eastAsia" w:eastAsia="黑体"/>
          <w:bCs/>
        </w:rPr>
        <w:t>划界</w:t>
      </w:r>
      <w:r>
        <w:rPr>
          <w:rFonts w:eastAsia="黑体"/>
          <w:bCs/>
        </w:rPr>
        <w:t>原则对应表</w:t>
      </w:r>
      <w:bookmarkEnd w:id="122"/>
    </w:p>
    <w:tbl>
      <w:tblPr>
        <w:tblStyle w:val="37"/>
        <w:tblW w:w="5000" w:type="pct"/>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autofit"/>
        <w:tblCellMar>
          <w:top w:w="15" w:type="dxa"/>
          <w:left w:w="15" w:type="dxa"/>
          <w:bottom w:w="15" w:type="dxa"/>
          <w:right w:w="15" w:type="dxa"/>
        </w:tblCellMar>
      </w:tblPr>
      <w:tblGrid>
        <w:gridCol w:w="1493"/>
        <w:gridCol w:w="2888"/>
        <w:gridCol w:w="2888"/>
        <w:gridCol w:w="1493"/>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15" w:type="dxa"/>
            <w:left w:w="15" w:type="dxa"/>
            <w:bottom w:w="15" w:type="dxa"/>
            <w:right w:w="15" w:type="dxa"/>
          </w:tblCellMar>
        </w:tblPrEx>
        <w:trPr>
          <w:trHeight w:val="369" w:hRule="atLeast"/>
        </w:trPr>
        <w:tc>
          <w:tcPr>
            <w:tcW w:w="852" w:type="pct"/>
            <w:shd w:val="clear" w:color="auto" w:fill="auto"/>
            <w:vAlign w:val="center"/>
          </w:tcPr>
          <w:p>
            <w:pPr>
              <w:widowControl/>
              <w:adjustRightInd w:val="0"/>
              <w:snapToGrid w:val="0"/>
              <w:spacing w:line="324" w:lineRule="auto"/>
              <w:jc w:val="center"/>
              <w:rPr>
                <w:snapToGrid w:val="0"/>
                <w:kern w:val="0"/>
                <w:sz w:val="18"/>
                <w:szCs w:val="18"/>
              </w:rPr>
            </w:pPr>
            <w:r>
              <w:rPr>
                <w:rFonts w:hint="eastAsia"/>
                <w:snapToGrid w:val="0"/>
                <w:kern w:val="0"/>
                <w:sz w:val="18"/>
                <w:szCs w:val="18"/>
              </w:rPr>
              <w:t>起止</w:t>
            </w:r>
            <w:r>
              <w:rPr>
                <w:snapToGrid w:val="0"/>
                <w:kern w:val="0"/>
                <w:sz w:val="18"/>
                <w:szCs w:val="18"/>
              </w:rPr>
              <w:t>桩号</w:t>
            </w: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河道特征</w:t>
            </w: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划定原则</w:t>
            </w:r>
          </w:p>
        </w:tc>
        <w:tc>
          <w:tcPr>
            <w:tcW w:w="852" w:type="pct"/>
            <w:shd w:val="clear" w:color="auto" w:fill="auto"/>
            <w:vAlign w:val="center"/>
          </w:tcPr>
          <w:p>
            <w:pPr>
              <w:widowControl/>
              <w:adjustRightInd w:val="0"/>
              <w:snapToGrid w:val="0"/>
              <w:spacing w:line="324" w:lineRule="auto"/>
              <w:jc w:val="center"/>
              <w:rPr>
                <w:snapToGrid w:val="0"/>
                <w:kern w:val="0"/>
                <w:sz w:val="18"/>
                <w:szCs w:val="18"/>
              </w:rPr>
            </w:pPr>
            <w:r>
              <w:rPr>
                <w:snapToGrid w:val="0"/>
                <w:kern w:val="0"/>
                <w:sz w:val="18"/>
                <w:szCs w:val="18"/>
              </w:rPr>
              <w:t>位置</w:t>
            </w:r>
            <w:r>
              <w:rPr>
                <w:rFonts w:hint="eastAsia"/>
                <w:snapToGrid w:val="0"/>
                <w:kern w:val="0"/>
                <w:sz w:val="18"/>
                <w:szCs w:val="18"/>
              </w:rPr>
              <w:t>描述</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15" w:type="dxa"/>
            <w:left w:w="15" w:type="dxa"/>
            <w:bottom w:w="15" w:type="dxa"/>
            <w:right w:w="15" w:type="dxa"/>
          </w:tblCellMar>
        </w:tblPrEx>
        <w:trPr>
          <w:trHeight w:val="369" w:hRule="atLeast"/>
        </w:trPr>
        <w:tc>
          <w:tcPr>
            <w:tcW w:w="852" w:type="pct"/>
            <w:shd w:val="clear" w:color="auto" w:fill="auto"/>
            <w:vAlign w:val="center"/>
          </w:tcPr>
          <w:p>
            <w:pPr>
              <w:widowControl/>
              <w:adjustRightInd w:val="0"/>
              <w:snapToGrid w:val="0"/>
              <w:spacing w:line="324" w:lineRule="auto"/>
              <w:jc w:val="center"/>
              <w:rPr>
                <w:snapToGrid w:val="0"/>
                <w:kern w:val="0"/>
                <w:sz w:val="18"/>
                <w:szCs w:val="18"/>
              </w:rPr>
            </w:pP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p>
        </w:tc>
        <w:tc>
          <w:tcPr>
            <w:tcW w:w="852" w:type="pct"/>
            <w:shd w:val="clear" w:color="auto" w:fill="auto"/>
            <w:vAlign w:val="center"/>
          </w:tcPr>
          <w:p>
            <w:pPr>
              <w:widowControl/>
              <w:adjustRightInd w:val="0"/>
              <w:snapToGrid w:val="0"/>
              <w:spacing w:line="324" w:lineRule="auto"/>
              <w:jc w:val="center"/>
              <w:rPr>
                <w:snapToGrid w:val="0"/>
                <w:kern w:val="0"/>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15" w:type="dxa"/>
            <w:left w:w="15" w:type="dxa"/>
            <w:bottom w:w="15" w:type="dxa"/>
            <w:right w:w="15" w:type="dxa"/>
          </w:tblCellMar>
        </w:tblPrEx>
        <w:trPr>
          <w:trHeight w:val="369" w:hRule="atLeast"/>
        </w:trPr>
        <w:tc>
          <w:tcPr>
            <w:tcW w:w="852" w:type="pct"/>
            <w:shd w:val="clear" w:color="auto" w:fill="auto"/>
            <w:vAlign w:val="center"/>
          </w:tcPr>
          <w:p>
            <w:pPr>
              <w:widowControl/>
              <w:adjustRightInd w:val="0"/>
              <w:snapToGrid w:val="0"/>
              <w:spacing w:line="324" w:lineRule="auto"/>
              <w:jc w:val="center"/>
              <w:rPr>
                <w:snapToGrid w:val="0"/>
                <w:kern w:val="0"/>
                <w:sz w:val="18"/>
                <w:szCs w:val="18"/>
              </w:rPr>
            </w:pP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p>
        </w:tc>
        <w:tc>
          <w:tcPr>
            <w:tcW w:w="1648" w:type="pct"/>
            <w:shd w:val="clear" w:color="auto" w:fill="auto"/>
            <w:vAlign w:val="center"/>
          </w:tcPr>
          <w:p>
            <w:pPr>
              <w:widowControl/>
              <w:adjustRightInd w:val="0"/>
              <w:snapToGrid w:val="0"/>
              <w:spacing w:line="324" w:lineRule="auto"/>
              <w:jc w:val="center"/>
              <w:rPr>
                <w:snapToGrid w:val="0"/>
                <w:kern w:val="0"/>
                <w:sz w:val="18"/>
                <w:szCs w:val="18"/>
              </w:rPr>
            </w:pPr>
          </w:p>
        </w:tc>
        <w:tc>
          <w:tcPr>
            <w:tcW w:w="852" w:type="pct"/>
            <w:shd w:val="clear" w:color="auto" w:fill="auto"/>
            <w:vAlign w:val="center"/>
          </w:tcPr>
          <w:p>
            <w:pPr>
              <w:widowControl/>
              <w:adjustRightInd w:val="0"/>
              <w:snapToGrid w:val="0"/>
              <w:spacing w:line="324" w:lineRule="auto"/>
              <w:jc w:val="center"/>
              <w:rPr>
                <w:snapToGrid w:val="0"/>
                <w:kern w:val="0"/>
                <w:sz w:val="18"/>
                <w:szCs w:val="18"/>
              </w:rPr>
            </w:pPr>
          </w:p>
        </w:tc>
      </w:tr>
    </w:tbl>
    <w:p>
      <w:pPr>
        <w:adjustRightInd w:val="0"/>
        <w:snapToGrid w:val="0"/>
        <w:spacing w:line="324" w:lineRule="auto"/>
        <w:rPr>
          <w:rFonts w:eastAsia="楷体"/>
          <w:szCs w:val="21"/>
        </w:rPr>
      </w:pPr>
      <w:r>
        <w:rPr>
          <w:rFonts w:eastAsia="黑体"/>
          <w:szCs w:val="21"/>
        </w:rPr>
        <w:t>注：</w:t>
      </w:r>
      <w:r>
        <w:rPr>
          <w:rFonts w:eastAsia="楷体"/>
          <w:szCs w:val="21"/>
        </w:rPr>
        <w:t>“河道特征”指有无堤防</w:t>
      </w:r>
      <w:r>
        <w:rPr>
          <w:rFonts w:hint="eastAsia" w:eastAsia="楷体"/>
          <w:szCs w:val="21"/>
        </w:rPr>
        <w:t>、行洪</w:t>
      </w:r>
      <w:r>
        <w:rPr>
          <w:rFonts w:eastAsia="楷体"/>
          <w:szCs w:val="21"/>
        </w:rPr>
        <w:t>、</w:t>
      </w:r>
      <w:r>
        <w:rPr>
          <w:rFonts w:hint="eastAsia" w:eastAsia="楷体"/>
          <w:szCs w:val="21"/>
        </w:rPr>
        <w:t>排沥、</w:t>
      </w:r>
      <w:r>
        <w:rPr>
          <w:rFonts w:eastAsia="楷体"/>
          <w:szCs w:val="21"/>
        </w:rPr>
        <w:t>级别。“划定原则”</w:t>
      </w:r>
      <w:r>
        <w:rPr>
          <w:rFonts w:hint="eastAsia" w:eastAsia="楷体"/>
          <w:szCs w:val="21"/>
        </w:rPr>
        <w:t>为</w:t>
      </w:r>
      <w:r>
        <w:rPr>
          <w:rFonts w:eastAsia="楷体"/>
          <w:szCs w:val="21"/>
        </w:rPr>
        <w:t>上述</w:t>
      </w:r>
      <w:r>
        <w:rPr>
          <w:rFonts w:hint="eastAsia" w:eastAsia="楷体"/>
          <w:szCs w:val="21"/>
        </w:rPr>
        <w:t>第6章</w:t>
      </w:r>
      <w:r>
        <w:rPr>
          <w:rFonts w:eastAsia="楷体"/>
          <w:szCs w:val="21"/>
        </w:rPr>
        <w:t>中划定原则。</w:t>
      </w:r>
    </w:p>
    <w:bookmarkEnd w:id="123"/>
    <w:bookmarkEnd w:id="124"/>
    <w:bookmarkEnd w:id="125"/>
    <w:bookmarkEnd w:id="126"/>
    <w:p>
      <w:pPr>
        <w:adjustRightInd w:val="0"/>
        <w:snapToGrid w:val="0"/>
        <w:spacing w:line="324" w:lineRule="auto"/>
        <w:jc w:val="center"/>
        <w:rPr>
          <w:rFonts w:eastAsia="黑体"/>
          <w:bCs/>
        </w:rPr>
      </w:pPr>
      <w:r>
        <w:rPr>
          <w:rFonts w:hint="eastAsia" w:eastAsia="黑体"/>
          <w:bCs/>
        </w:rPr>
        <w:t xml:space="preserve">表14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ascii="黑体" w:hAnsi="黑体" w:eastAsia="黑体"/>
          <w:bCs/>
        </w:rPr>
        <w:t>市</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ascii="黑体" w:hAnsi="黑体" w:eastAsia="黑体"/>
          <w:bCs/>
        </w:rPr>
        <w:t>县河道管理范围坐标成果表</w:t>
      </w:r>
    </w:p>
    <w:tbl>
      <w:tblPr>
        <w:tblStyle w:val="37"/>
        <w:tblW w:w="0" w:type="auto"/>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1242"/>
        <w:gridCol w:w="993"/>
        <w:gridCol w:w="269"/>
        <w:gridCol w:w="1006"/>
        <w:gridCol w:w="993"/>
        <w:gridCol w:w="1134"/>
        <w:gridCol w:w="992"/>
        <w:gridCol w:w="800"/>
        <w:gridCol w:w="334"/>
        <w:gridCol w:w="118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省名称</w:t>
            </w:r>
          </w:p>
        </w:tc>
        <w:tc>
          <w:tcPr>
            <w:tcW w:w="126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999"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设区市名称</w:t>
            </w: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79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县（市、区）名称</w:t>
            </w:r>
          </w:p>
        </w:tc>
        <w:tc>
          <w:tcPr>
            <w:tcW w:w="1519"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河流名称</w:t>
            </w:r>
          </w:p>
        </w:tc>
        <w:tc>
          <w:tcPr>
            <w:tcW w:w="1262" w:type="dxa"/>
            <w:gridSpan w:val="2"/>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999"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左岸长度（km）</w:t>
            </w: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792" w:type="dxa"/>
            <w:gridSpan w:val="2"/>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流经乡镇名称</w:t>
            </w:r>
          </w:p>
        </w:tc>
        <w:tc>
          <w:tcPr>
            <w:tcW w:w="1519" w:type="dxa"/>
            <w:gridSpan w:val="2"/>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vMerge w:val="continue"/>
            <w:shd w:val="clear" w:color="auto" w:fill="auto"/>
            <w:vAlign w:val="center"/>
          </w:tcPr>
          <w:p>
            <w:pPr>
              <w:adjustRightInd w:val="0"/>
              <w:snapToGrid w:val="0"/>
              <w:spacing w:line="324" w:lineRule="auto"/>
              <w:jc w:val="center"/>
              <w:rPr>
                <w:sz w:val="18"/>
                <w:szCs w:val="18"/>
              </w:rPr>
            </w:pPr>
          </w:p>
        </w:tc>
        <w:tc>
          <w:tcPr>
            <w:tcW w:w="1262" w:type="dxa"/>
            <w:gridSpan w:val="2"/>
            <w:vMerge w:val="continue"/>
            <w:shd w:val="clear" w:color="auto" w:fill="auto"/>
            <w:vAlign w:val="center"/>
          </w:tcPr>
          <w:p>
            <w:pPr>
              <w:adjustRightInd w:val="0"/>
              <w:snapToGrid w:val="0"/>
              <w:spacing w:line="324" w:lineRule="auto"/>
              <w:jc w:val="center"/>
              <w:rPr>
                <w:sz w:val="18"/>
                <w:szCs w:val="18"/>
              </w:rPr>
            </w:pPr>
          </w:p>
        </w:tc>
        <w:tc>
          <w:tcPr>
            <w:tcW w:w="1999"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右岸长度（km）</w:t>
            </w: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792" w:type="dxa"/>
            <w:gridSpan w:val="2"/>
            <w:vMerge w:val="continue"/>
            <w:shd w:val="clear" w:color="auto" w:fill="auto"/>
            <w:vAlign w:val="center"/>
          </w:tcPr>
          <w:p>
            <w:pPr>
              <w:adjustRightInd w:val="0"/>
              <w:snapToGrid w:val="0"/>
              <w:spacing w:line="324" w:lineRule="auto"/>
              <w:jc w:val="center"/>
              <w:rPr>
                <w:sz w:val="18"/>
                <w:szCs w:val="18"/>
              </w:rPr>
            </w:pPr>
          </w:p>
        </w:tc>
        <w:tc>
          <w:tcPr>
            <w:tcW w:w="1519" w:type="dxa"/>
            <w:gridSpan w:val="2"/>
            <w:vMerge w:val="continue"/>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左岸管理范围坐标</w:t>
            </w:r>
            <w:r>
              <w:rPr>
                <w:rFonts w:hint="eastAsia"/>
                <w:bCs/>
                <w:sz w:val="18"/>
                <w:szCs w:val="18"/>
              </w:rPr>
              <w:t>序号</w:t>
            </w:r>
          </w:p>
        </w:tc>
        <w:tc>
          <w:tcPr>
            <w:tcW w:w="3261" w:type="dxa"/>
            <w:gridSpan w:val="4"/>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2000国家大地坐标系</w:t>
            </w:r>
          </w:p>
          <w:p>
            <w:pPr>
              <w:adjustRightInd w:val="0"/>
              <w:snapToGrid w:val="0"/>
              <w:spacing w:line="324" w:lineRule="auto"/>
              <w:jc w:val="center"/>
              <w:rPr>
                <w:sz w:val="18"/>
                <w:szCs w:val="18"/>
              </w:rPr>
            </w:pPr>
            <w:r>
              <w:rPr>
                <w:bCs/>
                <w:sz w:val="18"/>
                <w:szCs w:val="18"/>
              </w:rPr>
              <w:t>经纬度坐标</w:t>
            </w:r>
          </w:p>
        </w:tc>
        <w:tc>
          <w:tcPr>
            <w:tcW w:w="1134" w:type="dxa"/>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右岸管理范围坐标</w:t>
            </w:r>
            <w:r>
              <w:rPr>
                <w:rFonts w:hint="eastAsia"/>
                <w:bCs/>
                <w:sz w:val="18"/>
                <w:szCs w:val="18"/>
              </w:rPr>
              <w:t>序号</w:t>
            </w:r>
          </w:p>
        </w:tc>
        <w:tc>
          <w:tcPr>
            <w:tcW w:w="3311" w:type="dxa"/>
            <w:gridSpan w:val="4"/>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2000国家大地坐标系</w:t>
            </w:r>
          </w:p>
          <w:p>
            <w:pPr>
              <w:adjustRightInd w:val="0"/>
              <w:snapToGrid w:val="0"/>
              <w:spacing w:line="324" w:lineRule="auto"/>
              <w:jc w:val="center"/>
              <w:rPr>
                <w:sz w:val="18"/>
                <w:szCs w:val="18"/>
              </w:rPr>
            </w:pPr>
            <w:r>
              <w:rPr>
                <w:bCs/>
                <w:sz w:val="18"/>
                <w:szCs w:val="18"/>
              </w:rPr>
              <w:t>经纬度坐标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vMerge w:val="continue"/>
            <w:shd w:val="clear" w:color="auto" w:fill="auto"/>
            <w:vAlign w:val="center"/>
          </w:tcPr>
          <w:p>
            <w:pPr>
              <w:adjustRightInd w:val="0"/>
              <w:snapToGrid w:val="0"/>
              <w:spacing w:line="324" w:lineRule="auto"/>
              <w:jc w:val="center"/>
              <w:rPr>
                <w:sz w:val="18"/>
                <w:szCs w:val="18"/>
              </w:rPr>
            </w:pPr>
          </w:p>
        </w:tc>
        <w:tc>
          <w:tcPr>
            <w:tcW w:w="993"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纬度</w:t>
            </w:r>
          </w:p>
        </w:tc>
        <w:tc>
          <w:tcPr>
            <w:tcW w:w="1275"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经度</w:t>
            </w:r>
          </w:p>
        </w:tc>
        <w:tc>
          <w:tcPr>
            <w:tcW w:w="993" w:type="dxa"/>
            <w:tcBorders>
              <w:left w:val="single" w:color="auto" w:sz="4" w:space="0"/>
            </w:tcBorders>
            <w:shd w:val="clear" w:color="auto" w:fill="auto"/>
            <w:vAlign w:val="center"/>
          </w:tcPr>
          <w:p>
            <w:pPr>
              <w:adjustRightInd w:val="0"/>
              <w:snapToGrid w:val="0"/>
              <w:spacing w:line="324" w:lineRule="auto"/>
              <w:jc w:val="center"/>
              <w:rPr>
                <w:sz w:val="18"/>
                <w:szCs w:val="18"/>
              </w:rPr>
            </w:pPr>
            <w:r>
              <w:rPr>
                <w:rFonts w:hint="eastAsia"/>
                <w:sz w:val="18"/>
                <w:szCs w:val="18"/>
              </w:rPr>
              <w:t>重要节点</w:t>
            </w:r>
          </w:p>
          <w:p>
            <w:pPr>
              <w:adjustRightInd w:val="0"/>
              <w:snapToGrid w:val="0"/>
              <w:spacing w:line="324" w:lineRule="auto"/>
              <w:jc w:val="center"/>
              <w:rPr>
                <w:sz w:val="18"/>
                <w:szCs w:val="18"/>
              </w:rPr>
            </w:pPr>
            <w:r>
              <w:rPr>
                <w:rFonts w:hint="eastAsia"/>
                <w:sz w:val="18"/>
                <w:szCs w:val="18"/>
              </w:rPr>
              <w:t>位置描述</w:t>
            </w:r>
          </w:p>
        </w:tc>
        <w:tc>
          <w:tcPr>
            <w:tcW w:w="1134" w:type="dxa"/>
            <w:vMerge w:val="continue"/>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纬度</w:t>
            </w:r>
          </w:p>
        </w:tc>
        <w:tc>
          <w:tcPr>
            <w:tcW w:w="1134"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经度</w:t>
            </w:r>
          </w:p>
        </w:tc>
        <w:tc>
          <w:tcPr>
            <w:tcW w:w="1185" w:type="dxa"/>
            <w:tcBorders>
              <w:left w:val="single" w:color="auto" w:sz="4" w:space="0"/>
            </w:tcBorders>
            <w:shd w:val="clear" w:color="auto" w:fill="auto"/>
            <w:vAlign w:val="center"/>
          </w:tcPr>
          <w:p>
            <w:pPr>
              <w:adjustRightInd w:val="0"/>
              <w:snapToGrid w:val="0"/>
              <w:spacing w:line="324" w:lineRule="auto"/>
              <w:jc w:val="center"/>
              <w:rPr>
                <w:sz w:val="18"/>
                <w:szCs w:val="18"/>
              </w:rPr>
            </w:pPr>
            <w:r>
              <w:rPr>
                <w:rFonts w:hint="eastAsia"/>
                <w:sz w:val="18"/>
                <w:szCs w:val="18"/>
              </w:rPr>
              <w:t>重要节点</w:t>
            </w:r>
          </w:p>
          <w:p>
            <w:pPr>
              <w:adjustRightInd w:val="0"/>
              <w:snapToGrid w:val="0"/>
              <w:spacing w:line="324" w:lineRule="auto"/>
              <w:jc w:val="center"/>
              <w:rPr>
                <w:sz w:val="18"/>
                <w:szCs w:val="18"/>
              </w:rPr>
            </w:pPr>
            <w:r>
              <w:rPr>
                <w:rFonts w:hint="eastAsia"/>
                <w:sz w:val="18"/>
                <w:szCs w:val="18"/>
              </w:rPr>
              <w:t>位置描述</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Z1</w:t>
            </w:r>
          </w:p>
        </w:tc>
        <w:tc>
          <w:tcPr>
            <w:tcW w:w="993"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xx</w:t>
            </w:r>
            <w:r>
              <w:rPr>
                <w:bCs/>
                <w:sz w:val="18"/>
                <w:szCs w:val="18"/>
              </w:rPr>
              <w:t>.000000</w:t>
            </w:r>
          </w:p>
        </w:tc>
        <w:tc>
          <w:tcPr>
            <w:tcW w:w="1275"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yyy</w:t>
            </w:r>
            <w:r>
              <w:rPr>
                <w:bCs/>
                <w:sz w:val="18"/>
                <w:szCs w:val="18"/>
              </w:rPr>
              <w:t>.000000</w:t>
            </w:r>
          </w:p>
        </w:tc>
        <w:tc>
          <w:tcPr>
            <w:tcW w:w="993" w:type="dxa"/>
            <w:tcBorders>
              <w:left w:val="single" w:color="auto" w:sz="4" w:space="0"/>
            </w:tcBorders>
            <w:shd w:val="clear" w:color="auto" w:fill="auto"/>
            <w:vAlign w:val="center"/>
          </w:tcPr>
          <w:p>
            <w:pPr>
              <w:adjustRightInd w:val="0"/>
              <w:snapToGrid w:val="0"/>
              <w:spacing w:line="324" w:lineRule="auto"/>
              <w:jc w:val="center"/>
              <w:rPr>
                <w:sz w:val="18"/>
                <w:szCs w:val="18"/>
              </w:rPr>
            </w:pP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Y1</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xx</w:t>
            </w:r>
            <w:r>
              <w:rPr>
                <w:bCs/>
                <w:sz w:val="18"/>
                <w:szCs w:val="18"/>
              </w:rPr>
              <w:t>.000000</w:t>
            </w:r>
          </w:p>
        </w:tc>
        <w:tc>
          <w:tcPr>
            <w:tcW w:w="1134"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yyy</w:t>
            </w:r>
            <w:r>
              <w:rPr>
                <w:bCs/>
                <w:sz w:val="18"/>
                <w:szCs w:val="18"/>
              </w:rPr>
              <w:t>.000000</w:t>
            </w:r>
          </w:p>
        </w:tc>
        <w:tc>
          <w:tcPr>
            <w:tcW w:w="1185" w:type="dxa"/>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Z2</w:t>
            </w:r>
          </w:p>
        </w:tc>
        <w:tc>
          <w:tcPr>
            <w:tcW w:w="993"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275"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993" w:type="dxa"/>
            <w:tcBorders>
              <w:left w:val="single" w:color="auto" w:sz="4" w:space="0"/>
            </w:tcBorders>
            <w:shd w:val="clear" w:color="auto" w:fill="auto"/>
            <w:vAlign w:val="center"/>
          </w:tcPr>
          <w:p>
            <w:pPr>
              <w:adjustRightInd w:val="0"/>
              <w:snapToGrid w:val="0"/>
              <w:spacing w:line="324" w:lineRule="auto"/>
              <w:jc w:val="center"/>
              <w:rPr>
                <w:sz w:val="18"/>
                <w:szCs w:val="18"/>
              </w:rPr>
            </w:pP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Y2</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34"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85" w:type="dxa"/>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w:t>
            </w:r>
          </w:p>
        </w:tc>
        <w:tc>
          <w:tcPr>
            <w:tcW w:w="993"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275"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993" w:type="dxa"/>
            <w:tcBorders>
              <w:left w:val="single" w:color="auto" w:sz="4" w:space="0"/>
            </w:tcBorders>
            <w:shd w:val="clear" w:color="auto" w:fill="auto"/>
            <w:vAlign w:val="center"/>
          </w:tcPr>
          <w:p>
            <w:pPr>
              <w:adjustRightInd w:val="0"/>
              <w:snapToGrid w:val="0"/>
              <w:spacing w:line="324" w:lineRule="auto"/>
              <w:jc w:val="center"/>
              <w:rPr>
                <w:sz w:val="18"/>
                <w:szCs w:val="18"/>
              </w:rPr>
            </w:pP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34"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85" w:type="dxa"/>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24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Zm</w:t>
            </w:r>
          </w:p>
        </w:tc>
        <w:tc>
          <w:tcPr>
            <w:tcW w:w="993"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275"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993" w:type="dxa"/>
            <w:tcBorders>
              <w:left w:val="single" w:color="auto" w:sz="4" w:space="0"/>
            </w:tcBorders>
            <w:shd w:val="clear" w:color="auto" w:fill="auto"/>
            <w:vAlign w:val="center"/>
          </w:tcPr>
          <w:p>
            <w:pPr>
              <w:adjustRightInd w:val="0"/>
              <w:snapToGrid w:val="0"/>
              <w:spacing w:line="324" w:lineRule="auto"/>
              <w:jc w:val="center"/>
              <w:rPr>
                <w:sz w:val="18"/>
                <w:szCs w:val="18"/>
              </w:rPr>
            </w:pPr>
          </w:p>
        </w:tc>
        <w:tc>
          <w:tcPr>
            <w:tcW w:w="113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Ym</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34"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185" w:type="dxa"/>
            <w:tcBorders>
              <w:left w:val="single" w:color="auto" w:sz="4" w:space="0"/>
            </w:tcBorders>
            <w:shd w:val="clear" w:color="auto" w:fill="auto"/>
            <w:vAlign w:val="center"/>
          </w:tcPr>
          <w:p>
            <w:pPr>
              <w:adjustRightInd w:val="0"/>
              <w:snapToGrid w:val="0"/>
              <w:spacing w:line="324" w:lineRule="auto"/>
              <w:jc w:val="center"/>
              <w:rPr>
                <w:sz w:val="18"/>
                <w:szCs w:val="18"/>
              </w:rPr>
            </w:pPr>
          </w:p>
        </w:tc>
      </w:tr>
    </w:tbl>
    <w:p>
      <w:pPr>
        <w:adjustRightInd w:val="0"/>
        <w:snapToGrid w:val="0"/>
        <w:spacing w:line="312" w:lineRule="auto"/>
        <w:rPr>
          <w:rFonts w:eastAsia="楷体"/>
          <w:szCs w:val="21"/>
        </w:rPr>
      </w:pPr>
      <w:r>
        <w:rPr>
          <w:rFonts w:hint="eastAsia" w:eastAsia="黑体"/>
          <w:szCs w:val="21"/>
        </w:rPr>
        <w:t>注：</w:t>
      </w:r>
      <w:r>
        <w:rPr>
          <w:rFonts w:eastAsia="楷体"/>
          <w:szCs w:val="21"/>
        </w:rPr>
        <w:t>（1）该表按照一河一表填写；（2）河流名称按照</w:t>
      </w:r>
      <w:r>
        <w:rPr>
          <w:rFonts w:hint="eastAsia" w:eastAsia="楷体"/>
          <w:szCs w:val="21"/>
        </w:rPr>
        <w:t>河湖保护名录</w:t>
      </w:r>
      <w:r>
        <w:rPr>
          <w:rFonts w:eastAsia="楷体"/>
          <w:szCs w:val="21"/>
        </w:rPr>
        <w:t>确定的名称规范填写；</w:t>
      </w:r>
    </w:p>
    <w:p>
      <w:pPr>
        <w:adjustRightInd w:val="0"/>
        <w:snapToGrid w:val="0"/>
        <w:spacing w:line="312" w:lineRule="auto"/>
        <w:rPr>
          <w:rFonts w:eastAsia="楷体"/>
          <w:szCs w:val="21"/>
        </w:rPr>
      </w:pPr>
      <w:r>
        <w:rPr>
          <w:rFonts w:eastAsia="楷体"/>
          <w:szCs w:val="21"/>
        </w:rPr>
        <w:t>（3）左右岸长度根据实际填写；（4）流经乡镇名称写明划界河流流经的划界区域内的所有乡镇名称；（5）左右岸（Z/Y）：指面向河流下游，左手一侧为左岸，用字母“Z”表示；右手一侧为右岸，用字母“Y”表示；（6）左右岸管理范围坐标点按照顺序自上而下统一编号，左岸从“Z1”、 右岸从“Y1”开始编写；（7）经纬度坐标原则上按照间距不大于100m摘取坐标，转弯段河道按照不大于20m摘取坐标，拐点处必须摘取坐标；（8）</w:t>
      </w:r>
      <w:r>
        <w:rPr>
          <w:rFonts w:hint="eastAsia" w:eastAsia="楷体"/>
          <w:szCs w:val="21"/>
        </w:rPr>
        <w:t>经纬度</w:t>
      </w:r>
      <w:r>
        <w:rPr>
          <w:rFonts w:eastAsia="楷体"/>
          <w:szCs w:val="21"/>
        </w:rPr>
        <w:t>坐标系，要求保留小数点后6位（精度1m以内）。</w:t>
      </w:r>
    </w:p>
    <w:p>
      <w:pPr>
        <w:adjustRightInd w:val="0"/>
        <w:snapToGrid w:val="0"/>
        <w:spacing w:line="324" w:lineRule="auto"/>
        <w:jc w:val="center"/>
        <w:rPr>
          <w:rFonts w:ascii="楷体" w:hAnsi="楷体" w:eastAsia="楷体"/>
          <w:sz w:val="18"/>
          <w:szCs w:val="21"/>
        </w:rPr>
      </w:pPr>
      <w:r>
        <w:rPr>
          <w:rFonts w:hint="eastAsia" w:eastAsia="黑体"/>
          <w:bCs/>
        </w:rPr>
        <w:t xml:space="preserve">表15  </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ascii="黑体" w:hAnsi="黑体" w:eastAsia="黑体"/>
          <w:bCs/>
        </w:rPr>
        <w:t>市</w:t>
      </w:r>
      <w:r>
        <w:rPr>
          <w:rFonts w:ascii="黑体" w:hAnsi="黑体" w:eastAsia="黑体"/>
          <w:bCs/>
          <w:u w:val="single"/>
        </w:rPr>
        <w:t xml:space="preserve"> </w:t>
      </w:r>
      <w:r>
        <w:rPr>
          <w:rFonts w:hint="eastAsia" w:ascii="黑体" w:hAnsi="黑体" w:eastAsia="黑体"/>
          <w:bCs/>
          <w:u w:val="single"/>
        </w:rPr>
        <w:t xml:space="preserve">   </w:t>
      </w:r>
      <w:r>
        <w:rPr>
          <w:rFonts w:ascii="黑体" w:hAnsi="黑体" w:eastAsia="黑体"/>
          <w:bCs/>
          <w:u w:val="single"/>
        </w:rPr>
        <w:t xml:space="preserve"> </w:t>
      </w:r>
      <w:r>
        <w:rPr>
          <w:rFonts w:ascii="黑体" w:hAnsi="黑体" w:eastAsia="黑体"/>
          <w:bCs/>
        </w:rPr>
        <w:t>县湖泊管理范围坐标成果表</w:t>
      </w:r>
    </w:p>
    <w:tbl>
      <w:tblPr>
        <w:tblStyle w:val="37"/>
        <w:tblW w:w="8908" w:type="dxa"/>
        <w:tblInd w:w="0" w:type="dxa"/>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Layout w:type="fixed"/>
        <w:tblCellMar>
          <w:top w:w="0" w:type="dxa"/>
          <w:left w:w="0" w:type="dxa"/>
          <w:bottom w:w="0" w:type="dxa"/>
          <w:right w:w="0" w:type="dxa"/>
        </w:tblCellMar>
      </w:tblPr>
      <w:tblGrid>
        <w:gridCol w:w="1045"/>
        <w:gridCol w:w="992"/>
        <w:gridCol w:w="1484"/>
        <w:gridCol w:w="859"/>
        <w:gridCol w:w="973"/>
        <w:gridCol w:w="538"/>
        <w:gridCol w:w="1305"/>
        <w:gridCol w:w="28"/>
        <w:gridCol w:w="889"/>
        <w:gridCol w:w="795"/>
      </w:tblGrid>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045"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省名称</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484"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设区市名称</w:t>
            </w:r>
          </w:p>
        </w:tc>
        <w:tc>
          <w:tcPr>
            <w:tcW w:w="2370" w:type="dxa"/>
            <w:gridSpan w:val="3"/>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333"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县（市、区）名称</w:t>
            </w:r>
          </w:p>
        </w:tc>
        <w:tc>
          <w:tcPr>
            <w:tcW w:w="1684"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1045" w:type="dxa"/>
            <w:shd w:val="clear" w:color="auto" w:fill="auto"/>
            <w:tcMar>
              <w:top w:w="15" w:type="dxa"/>
              <w:left w:w="108" w:type="dxa"/>
              <w:bottom w:w="0" w:type="dxa"/>
              <w:right w:w="108" w:type="dxa"/>
            </w:tcMar>
            <w:vAlign w:val="center"/>
          </w:tcPr>
          <w:p>
            <w:pPr>
              <w:adjustRightInd w:val="0"/>
              <w:snapToGrid w:val="0"/>
              <w:spacing w:line="324" w:lineRule="auto"/>
              <w:jc w:val="center"/>
              <w:rPr>
                <w:bCs/>
                <w:sz w:val="18"/>
                <w:szCs w:val="18"/>
              </w:rPr>
            </w:pPr>
            <w:r>
              <w:rPr>
                <w:bCs/>
                <w:sz w:val="18"/>
                <w:szCs w:val="18"/>
              </w:rPr>
              <w:t>湖泊</w:t>
            </w:r>
          </w:p>
          <w:p>
            <w:pPr>
              <w:adjustRightInd w:val="0"/>
              <w:snapToGrid w:val="0"/>
              <w:spacing w:line="324" w:lineRule="auto"/>
              <w:jc w:val="center"/>
              <w:rPr>
                <w:sz w:val="18"/>
                <w:szCs w:val="18"/>
              </w:rPr>
            </w:pPr>
            <w:r>
              <w:rPr>
                <w:bCs/>
                <w:sz w:val="18"/>
                <w:szCs w:val="18"/>
              </w:rPr>
              <w:t>名称</w:t>
            </w:r>
          </w:p>
        </w:tc>
        <w:tc>
          <w:tcPr>
            <w:tcW w:w="992"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484" w:type="dxa"/>
            <w:shd w:val="clear" w:color="auto" w:fill="auto"/>
            <w:tcMar>
              <w:top w:w="15" w:type="dxa"/>
              <w:left w:w="108" w:type="dxa"/>
              <w:bottom w:w="0" w:type="dxa"/>
              <w:right w:w="108" w:type="dxa"/>
            </w:tcMar>
            <w:vAlign w:val="center"/>
          </w:tcPr>
          <w:p>
            <w:pPr>
              <w:adjustRightInd w:val="0"/>
              <w:snapToGrid w:val="0"/>
              <w:spacing w:line="324" w:lineRule="auto"/>
              <w:jc w:val="center"/>
              <w:rPr>
                <w:bCs/>
                <w:sz w:val="18"/>
                <w:szCs w:val="18"/>
              </w:rPr>
            </w:pPr>
            <w:r>
              <w:rPr>
                <w:bCs/>
                <w:sz w:val="18"/>
                <w:szCs w:val="18"/>
              </w:rPr>
              <w:t>常年水面</w:t>
            </w:r>
          </w:p>
          <w:p>
            <w:pPr>
              <w:adjustRightInd w:val="0"/>
              <w:snapToGrid w:val="0"/>
              <w:spacing w:line="324" w:lineRule="auto"/>
              <w:jc w:val="center"/>
              <w:rPr>
                <w:sz w:val="18"/>
                <w:szCs w:val="18"/>
              </w:rPr>
            </w:pPr>
            <w:r>
              <w:rPr>
                <w:bCs/>
                <w:sz w:val="18"/>
                <w:szCs w:val="18"/>
              </w:rPr>
              <w:t>面积（km</w:t>
            </w:r>
            <w:r>
              <w:rPr>
                <w:bCs/>
                <w:sz w:val="18"/>
                <w:szCs w:val="18"/>
                <w:vertAlign w:val="superscript"/>
              </w:rPr>
              <w:t>2</w:t>
            </w:r>
            <w:r>
              <w:rPr>
                <w:bCs/>
                <w:sz w:val="18"/>
                <w:szCs w:val="18"/>
              </w:rPr>
              <w:t>）</w:t>
            </w:r>
          </w:p>
        </w:tc>
        <w:tc>
          <w:tcPr>
            <w:tcW w:w="859"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511"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bCs/>
                <w:sz w:val="18"/>
                <w:szCs w:val="18"/>
              </w:rPr>
            </w:pPr>
            <w:r>
              <w:rPr>
                <w:bCs/>
                <w:sz w:val="18"/>
                <w:szCs w:val="18"/>
              </w:rPr>
              <w:t>湖岸长度</w:t>
            </w:r>
          </w:p>
          <w:p>
            <w:pPr>
              <w:adjustRightInd w:val="0"/>
              <w:snapToGrid w:val="0"/>
              <w:spacing w:line="324" w:lineRule="auto"/>
              <w:jc w:val="center"/>
              <w:rPr>
                <w:sz w:val="18"/>
                <w:szCs w:val="18"/>
              </w:rPr>
            </w:pPr>
            <w:r>
              <w:rPr>
                <w:bCs/>
                <w:sz w:val="18"/>
                <w:szCs w:val="18"/>
              </w:rPr>
              <w:t>（km）</w:t>
            </w:r>
          </w:p>
        </w:tc>
        <w:tc>
          <w:tcPr>
            <w:tcW w:w="1333"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889"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所在乡镇名称</w:t>
            </w:r>
          </w:p>
        </w:tc>
        <w:tc>
          <w:tcPr>
            <w:tcW w:w="795" w:type="dxa"/>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vMerge w:val="restart"/>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管理范围坐标</w:t>
            </w:r>
            <w:r>
              <w:rPr>
                <w:rFonts w:hint="eastAsia"/>
                <w:bCs/>
                <w:sz w:val="18"/>
                <w:szCs w:val="18"/>
              </w:rPr>
              <w:t>序号</w:t>
            </w:r>
          </w:p>
        </w:tc>
        <w:tc>
          <w:tcPr>
            <w:tcW w:w="5387" w:type="dxa"/>
            <w:gridSpan w:val="7"/>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2000国家大地坐标系经纬度坐标</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vMerge w:val="continue"/>
            <w:shd w:val="clear" w:color="auto" w:fill="auto"/>
            <w:vAlign w:val="center"/>
          </w:tcPr>
          <w:p>
            <w:pPr>
              <w:adjustRightInd w:val="0"/>
              <w:snapToGrid w:val="0"/>
              <w:spacing w:line="324" w:lineRule="auto"/>
              <w:jc w:val="center"/>
              <w:rPr>
                <w:sz w:val="18"/>
                <w:szCs w:val="18"/>
              </w:rPr>
            </w:pPr>
          </w:p>
        </w:tc>
        <w:tc>
          <w:tcPr>
            <w:tcW w:w="183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纬度</w:t>
            </w:r>
          </w:p>
        </w:tc>
        <w:tc>
          <w:tcPr>
            <w:tcW w:w="1843"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经度</w:t>
            </w:r>
          </w:p>
        </w:tc>
        <w:tc>
          <w:tcPr>
            <w:tcW w:w="1712" w:type="dxa"/>
            <w:gridSpan w:val="3"/>
            <w:tcBorders>
              <w:left w:val="single" w:color="auto" w:sz="4" w:space="0"/>
            </w:tcBorders>
            <w:shd w:val="clear" w:color="auto" w:fill="auto"/>
            <w:vAlign w:val="center"/>
          </w:tcPr>
          <w:p>
            <w:pPr>
              <w:adjustRightInd w:val="0"/>
              <w:snapToGrid w:val="0"/>
              <w:spacing w:line="324" w:lineRule="auto"/>
              <w:jc w:val="center"/>
              <w:rPr>
                <w:sz w:val="18"/>
                <w:szCs w:val="18"/>
              </w:rPr>
            </w:pPr>
            <w:r>
              <w:rPr>
                <w:rFonts w:hint="eastAsia"/>
                <w:sz w:val="18"/>
                <w:szCs w:val="18"/>
              </w:rPr>
              <w:t>重要节点</w:t>
            </w:r>
          </w:p>
          <w:p>
            <w:pPr>
              <w:adjustRightInd w:val="0"/>
              <w:snapToGrid w:val="0"/>
              <w:spacing w:line="324" w:lineRule="auto"/>
              <w:jc w:val="center"/>
              <w:rPr>
                <w:sz w:val="18"/>
                <w:szCs w:val="18"/>
              </w:rPr>
            </w:pPr>
            <w:r>
              <w:rPr>
                <w:rFonts w:hint="eastAsia"/>
                <w:sz w:val="18"/>
                <w:szCs w:val="18"/>
              </w:rPr>
              <w:t>位置描述</w:t>
            </w: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H</w:t>
            </w:r>
            <w:r>
              <w:rPr>
                <w:bCs/>
                <w:sz w:val="18"/>
                <w:szCs w:val="18"/>
              </w:rPr>
              <w:t>1</w:t>
            </w:r>
          </w:p>
        </w:tc>
        <w:tc>
          <w:tcPr>
            <w:tcW w:w="183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xx</w:t>
            </w:r>
            <w:r>
              <w:rPr>
                <w:bCs/>
                <w:sz w:val="18"/>
                <w:szCs w:val="18"/>
              </w:rPr>
              <w:t>.000000</w:t>
            </w:r>
          </w:p>
        </w:tc>
        <w:tc>
          <w:tcPr>
            <w:tcW w:w="1843"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yyy</w:t>
            </w:r>
            <w:r>
              <w:rPr>
                <w:bCs/>
                <w:sz w:val="18"/>
                <w:szCs w:val="18"/>
              </w:rPr>
              <w:t>.000000</w:t>
            </w:r>
          </w:p>
        </w:tc>
        <w:tc>
          <w:tcPr>
            <w:tcW w:w="1712" w:type="dxa"/>
            <w:gridSpan w:val="3"/>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H</w:t>
            </w:r>
            <w:r>
              <w:rPr>
                <w:bCs/>
                <w:sz w:val="18"/>
                <w:szCs w:val="18"/>
              </w:rPr>
              <w:t>2</w:t>
            </w:r>
          </w:p>
        </w:tc>
        <w:tc>
          <w:tcPr>
            <w:tcW w:w="183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843"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712" w:type="dxa"/>
            <w:gridSpan w:val="3"/>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bCs/>
                <w:sz w:val="18"/>
                <w:szCs w:val="18"/>
              </w:rPr>
              <w:t>…</w:t>
            </w:r>
          </w:p>
        </w:tc>
        <w:tc>
          <w:tcPr>
            <w:tcW w:w="183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843"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712" w:type="dxa"/>
            <w:gridSpan w:val="3"/>
            <w:tcBorders>
              <w:left w:val="single" w:color="auto" w:sz="4" w:space="0"/>
            </w:tcBorders>
            <w:shd w:val="clear" w:color="auto" w:fill="auto"/>
            <w:vAlign w:val="center"/>
          </w:tcPr>
          <w:p>
            <w:pPr>
              <w:adjustRightInd w:val="0"/>
              <w:snapToGrid w:val="0"/>
              <w:spacing w:line="324" w:lineRule="auto"/>
              <w:jc w:val="center"/>
              <w:rPr>
                <w:sz w:val="18"/>
                <w:szCs w:val="18"/>
              </w:rPr>
            </w:pPr>
          </w:p>
        </w:tc>
      </w:tr>
      <w:tr>
        <w:tblPrEx>
          <w:tblBorders>
            <w:top w:val="single" w:color="000000" w:sz="8" w:space="0"/>
            <w:left w:val="single" w:color="000000" w:sz="8" w:space="0"/>
            <w:bottom w:val="single" w:color="000000" w:sz="8" w:space="0"/>
            <w:right w:val="single" w:color="000000" w:sz="8" w:space="0"/>
            <w:insideH w:val="single" w:color="000000" w:sz="6" w:space="0"/>
            <w:insideV w:val="single" w:color="000000" w:sz="6" w:space="0"/>
          </w:tblBorders>
          <w:tblCellMar>
            <w:top w:w="0" w:type="dxa"/>
            <w:left w:w="0" w:type="dxa"/>
            <w:bottom w:w="0" w:type="dxa"/>
            <w:right w:w="0" w:type="dxa"/>
          </w:tblCellMar>
        </w:tblPrEx>
        <w:trPr>
          <w:trHeight w:val="369" w:hRule="atLeast"/>
        </w:trPr>
        <w:tc>
          <w:tcPr>
            <w:tcW w:w="3521" w:type="dxa"/>
            <w:gridSpan w:val="3"/>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bCs/>
                <w:sz w:val="18"/>
                <w:szCs w:val="18"/>
              </w:rPr>
              <w:t>H</w:t>
            </w:r>
            <w:r>
              <w:rPr>
                <w:bCs/>
                <w:sz w:val="18"/>
                <w:szCs w:val="18"/>
              </w:rPr>
              <w:t>m</w:t>
            </w:r>
          </w:p>
        </w:tc>
        <w:tc>
          <w:tcPr>
            <w:tcW w:w="1832" w:type="dxa"/>
            <w:gridSpan w:val="2"/>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p>
        </w:tc>
        <w:tc>
          <w:tcPr>
            <w:tcW w:w="1843" w:type="dxa"/>
            <w:gridSpan w:val="2"/>
            <w:tcBorders>
              <w:right w:val="single" w:color="auto" w:sz="4" w:space="0"/>
            </w:tcBorders>
            <w:shd w:val="clear" w:color="auto" w:fill="auto"/>
            <w:tcMar>
              <w:top w:w="15" w:type="dxa"/>
              <w:left w:w="108" w:type="dxa"/>
              <w:bottom w:w="0" w:type="dxa"/>
              <w:right w:w="108" w:type="dxa"/>
            </w:tcMar>
            <w:vAlign w:val="center"/>
          </w:tcPr>
          <w:p>
            <w:pPr>
              <w:adjustRightInd w:val="0"/>
              <w:snapToGrid w:val="0"/>
              <w:spacing w:line="324" w:lineRule="auto"/>
              <w:jc w:val="center"/>
              <w:rPr>
                <w:sz w:val="18"/>
                <w:szCs w:val="18"/>
              </w:rPr>
            </w:pPr>
            <w:r>
              <w:rPr>
                <w:rFonts w:hint="eastAsia"/>
                <w:sz w:val="18"/>
                <w:szCs w:val="18"/>
              </w:rPr>
              <w:t>`</w:t>
            </w:r>
          </w:p>
        </w:tc>
        <w:tc>
          <w:tcPr>
            <w:tcW w:w="1712" w:type="dxa"/>
            <w:gridSpan w:val="3"/>
            <w:tcBorders>
              <w:left w:val="single" w:color="auto" w:sz="4" w:space="0"/>
            </w:tcBorders>
            <w:shd w:val="clear" w:color="auto" w:fill="auto"/>
            <w:vAlign w:val="center"/>
          </w:tcPr>
          <w:p>
            <w:pPr>
              <w:adjustRightInd w:val="0"/>
              <w:snapToGrid w:val="0"/>
              <w:spacing w:line="324" w:lineRule="auto"/>
              <w:jc w:val="center"/>
              <w:rPr>
                <w:sz w:val="18"/>
                <w:szCs w:val="18"/>
              </w:rPr>
            </w:pPr>
          </w:p>
        </w:tc>
      </w:tr>
    </w:tbl>
    <w:p>
      <w:pPr>
        <w:adjustRightInd w:val="0"/>
        <w:snapToGrid w:val="0"/>
        <w:spacing w:line="324" w:lineRule="auto"/>
        <w:rPr>
          <w:rFonts w:ascii="楷体" w:hAnsi="楷体" w:eastAsia="楷体"/>
          <w:szCs w:val="21"/>
        </w:rPr>
      </w:pPr>
      <w:r>
        <w:rPr>
          <w:rFonts w:hint="eastAsia" w:eastAsia="黑体"/>
          <w:szCs w:val="21"/>
        </w:rPr>
        <w:t>注：</w:t>
      </w:r>
      <w:r>
        <w:rPr>
          <w:rFonts w:eastAsia="楷体"/>
          <w:szCs w:val="21"/>
        </w:rPr>
        <w:t>（1）该表按照一湖一表填写；（2）湖泊名称按照</w:t>
      </w:r>
      <w:r>
        <w:rPr>
          <w:rFonts w:hint="eastAsia" w:eastAsia="楷体"/>
          <w:szCs w:val="21"/>
        </w:rPr>
        <w:t>河湖保护名录</w:t>
      </w:r>
      <w:r>
        <w:rPr>
          <w:rFonts w:eastAsia="楷体"/>
          <w:szCs w:val="21"/>
        </w:rPr>
        <w:t>确定的名称规范填写；（3）常年水面面积和湖岸长度根据实际填写；（4）所在乡镇名称写明划界湖泊所在的划界区域内的所有乡镇名称；（</w:t>
      </w:r>
      <w:r>
        <w:rPr>
          <w:rFonts w:hint="eastAsia" w:eastAsia="楷体"/>
          <w:szCs w:val="21"/>
        </w:rPr>
        <w:t>5</w:t>
      </w:r>
      <w:r>
        <w:rPr>
          <w:rFonts w:eastAsia="楷体"/>
          <w:szCs w:val="21"/>
        </w:rPr>
        <w:t>）经纬度坐标原则上按照间距不大于100m摘取坐标，转弯段的湖泊边线按照不大于20m摘取坐标，拐点处必须摘取坐标；（</w:t>
      </w:r>
      <w:r>
        <w:rPr>
          <w:rFonts w:hint="eastAsia" w:eastAsia="楷体"/>
          <w:szCs w:val="21"/>
        </w:rPr>
        <w:t>6</w:t>
      </w:r>
      <w:r>
        <w:rPr>
          <w:rFonts w:eastAsia="楷体"/>
          <w:szCs w:val="21"/>
        </w:rPr>
        <w:t>）</w:t>
      </w:r>
      <w:r>
        <w:rPr>
          <w:rFonts w:hint="eastAsia" w:eastAsia="楷体"/>
          <w:szCs w:val="21"/>
        </w:rPr>
        <w:t>经纬度</w:t>
      </w:r>
      <w:r>
        <w:rPr>
          <w:rFonts w:eastAsia="楷体"/>
          <w:szCs w:val="21"/>
        </w:rPr>
        <w:t>标系，要求保留小数点后6位（精度1m以内）。</w:t>
      </w:r>
    </w:p>
    <w:p>
      <w:pPr>
        <w:rPr>
          <w:rFonts w:ascii="Calibri" w:hAnsi="Calibri"/>
          <w:szCs w:val="22"/>
        </w:rPr>
      </w:pPr>
    </w:p>
    <w:p>
      <w:pPr>
        <w:rPr>
          <w:rFonts w:ascii="Calibri" w:hAnsi="Calibri"/>
          <w:szCs w:val="22"/>
        </w:rPr>
        <w:sectPr>
          <w:pgSz w:w="11906" w:h="16838"/>
          <w:pgMar w:top="1701" w:right="1587" w:bottom="1417" w:left="1587" w:header="851" w:footer="992" w:gutter="0"/>
          <w:cols w:space="425" w:num="1"/>
          <w:docGrid w:type="lines" w:linePitch="312" w:charSpace="0"/>
        </w:sectPr>
      </w:pPr>
    </w:p>
    <w:p>
      <w:pPr>
        <w:pStyle w:val="50"/>
        <w:spacing w:before="326" w:after="326"/>
        <w:rPr>
          <w:rFonts w:ascii="Times New Roman"/>
        </w:rPr>
      </w:pPr>
      <w:bookmarkStart w:id="127" w:name="_Toc181948978"/>
      <w:bookmarkStart w:id="128" w:name="_Toc17296993"/>
      <w:bookmarkStart w:id="129" w:name="_Toc178510989"/>
      <w:r>
        <w:rPr>
          <w:rFonts w:ascii="Times New Roman"/>
        </w:rPr>
        <w:t>附录</w:t>
      </w:r>
      <w:r>
        <w:rPr>
          <w:rFonts w:hint="eastAsia" w:ascii="Times New Roman"/>
        </w:rPr>
        <w:t xml:space="preserve">C  </w:t>
      </w:r>
      <w:r>
        <w:rPr>
          <w:rFonts w:ascii="Times New Roman"/>
        </w:rPr>
        <w:t>报告中</w:t>
      </w:r>
      <w:r>
        <w:rPr>
          <w:rFonts w:hint="eastAsia" w:ascii="Times New Roman"/>
        </w:rPr>
        <w:t>插</w:t>
      </w:r>
      <w:r>
        <w:rPr>
          <w:rFonts w:ascii="Times New Roman"/>
        </w:rPr>
        <w:t>图</w:t>
      </w:r>
      <w:bookmarkEnd w:id="127"/>
      <w:bookmarkEnd w:id="128"/>
      <w:bookmarkEnd w:id="129"/>
    </w:p>
    <w:p>
      <w:pPr>
        <w:adjustRightInd w:val="0"/>
        <w:snapToGrid w:val="0"/>
        <w:spacing w:before="163" w:beforeLines="50" w:after="163" w:afterLines="50" w:line="324" w:lineRule="auto"/>
        <w:jc w:val="left"/>
        <w:rPr>
          <w:rFonts w:eastAsia="黑体"/>
          <w:bCs/>
        </w:rPr>
      </w:pPr>
      <w:bookmarkStart w:id="130" w:name="_Toc535582286"/>
      <w:bookmarkStart w:id="131" w:name="_Toc17296994"/>
      <w:bookmarkStart w:id="132" w:name="_Toc2236185"/>
      <w:r>
        <w:rPr>
          <w:rFonts w:eastAsia="黑体"/>
          <w:bCs/>
        </w:rPr>
        <w:t>图1  ×××河湖流域示意图</w:t>
      </w:r>
      <w:bookmarkEnd w:id="130"/>
      <w:bookmarkEnd w:id="131"/>
      <w:bookmarkEnd w:id="132"/>
    </w:p>
    <w:p>
      <w:pPr>
        <w:adjustRightInd w:val="0"/>
        <w:snapToGrid w:val="0"/>
        <w:spacing w:line="324" w:lineRule="auto"/>
        <w:ind w:firstLine="420" w:firstLineChars="200"/>
        <w:jc w:val="left"/>
        <w:rPr>
          <w:bCs/>
        </w:rPr>
      </w:pPr>
      <w:r>
        <w:rPr>
          <w:bCs/>
        </w:rPr>
        <w:t>反映发源地、走向、支流、流经市、县、重要村庄、重要水利工程、水文站、铁路、公路以及管理范围划定河段示意等。</w:t>
      </w:r>
    </w:p>
    <w:p>
      <w:pPr>
        <w:adjustRightInd w:val="0"/>
        <w:snapToGrid w:val="0"/>
        <w:spacing w:before="163" w:beforeLines="50" w:after="163" w:afterLines="50" w:line="324" w:lineRule="auto"/>
        <w:jc w:val="left"/>
        <w:rPr>
          <w:rFonts w:eastAsia="黑体"/>
          <w:bCs/>
        </w:rPr>
      </w:pPr>
      <w:bookmarkStart w:id="133" w:name="_Toc2236186"/>
      <w:bookmarkStart w:id="134" w:name="_Toc17296995"/>
      <w:bookmarkStart w:id="135" w:name="_Toc535582287"/>
      <w:r>
        <w:rPr>
          <w:rFonts w:eastAsia="黑体"/>
          <w:bCs/>
        </w:rPr>
        <w:t>图2  ×××水文站洪峰流量频率曲线</w:t>
      </w:r>
      <w:bookmarkEnd w:id="133"/>
      <w:bookmarkEnd w:id="134"/>
    </w:p>
    <w:p>
      <w:pPr>
        <w:adjustRightInd w:val="0"/>
        <w:snapToGrid w:val="0"/>
        <w:spacing w:line="324" w:lineRule="auto"/>
        <w:ind w:firstLine="420" w:firstLineChars="200"/>
        <w:jc w:val="left"/>
        <w:rPr>
          <w:bCs/>
        </w:rPr>
      </w:pPr>
      <w:r>
        <w:rPr>
          <w:bCs/>
        </w:rPr>
        <w:t>采用实测资料法计算设计洪水时，需要绘制洪峰流量频率曲线，并在图上体现均值、Cv、Cs/Cv选用参数。</w:t>
      </w:r>
    </w:p>
    <w:p>
      <w:pPr>
        <w:adjustRightInd w:val="0"/>
        <w:snapToGrid w:val="0"/>
        <w:spacing w:before="163" w:beforeLines="50" w:after="163" w:afterLines="50" w:line="324" w:lineRule="auto"/>
        <w:jc w:val="left"/>
        <w:rPr>
          <w:rFonts w:eastAsia="黑体"/>
          <w:bCs/>
        </w:rPr>
      </w:pPr>
      <w:bookmarkStart w:id="136" w:name="_Toc17296996"/>
      <w:bookmarkStart w:id="137" w:name="_Toc2236187"/>
      <w:r>
        <w:rPr>
          <w:rFonts w:eastAsia="黑体"/>
          <w:bCs/>
        </w:rPr>
        <w:t>图3  ×××水文站洪量频率曲线</w:t>
      </w:r>
      <w:bookmarkEnd w:id="135"/>
      <w:bookmarkEnd w:id="136"/>
      <w:bookmarkEnd w:id="137"/>
    </w:p>
    <w:p>
      <w:pPr>
        <w:adjustRightInd w:val="0"/>
        <w:snapToGrid w:val="0"/>
        <w:spacing w:line="324" w:lineRule="auto"/>
        <w:ind w:firstLine="420" w:firstLineChars="200"/>
        <w:jc w:val="left"/>
        <w:rPr>
          <w:bCs/>
        </w:rPr>
      </w:pPr>
      <w:r>
        <w:rPr>
          <w:bCs/>
        </w:rPr>
        <w:t>采用实测资料法计算设计</w:t>
      </w:r>
      <w:r>
        <w:rPr>
          <w:rFonts w:hint="eastAsia"/>
          <w:bCs/>
        </w:rPr>
        <w:t>洪量</w:t>
      </w:r>
      <w:r>
        <w:rPr>
          <w:bCs/>
        </w:rPr>
        <w:t>时，需要绘制洪量频率曲线，并在图上体现均值、Cv、Cs/Cv选用参数。</w:t>
      </w:r>
    </w:p>
    <w:p>
      <w:pPr>
        <w:adjustRightInd w:val="0"/>
        <w:snapToGrid w:val="0"/>
        <w:spacing w:before="163" w:beforeLines="50" w:after="163" w:afterLines="50" w:line="324" w:lineRule="auto"/>
        <w:jc w:val="left"/>
        <w:rPr>
          <w:rFonts w:eastAsia="黑体"/>
          <w:bCs/>
        </w:rPr>
      </w:pPr>
      <w:bookmarkStart w:id="138" w:name="_Toc535582288"/>
      <w:bookmarkStart w:id="139" w:name="_Toc2236188"/>
      <w:bookmarkStart w:id="140" w:name="_Toc17296997"/>
      <w:r>
        <w:rPr>
          <w:rFonts w:eastAsia="黑体"/>
          <w:bCs/>
        </w:rPr>
        <w:t>图4  ××年一遇洪峰模数图</w:t>
      </w:r>
      <w:bookmarkEnd w:id="138"/>
      <w:bookmarkEnd w:id="139"/>
      <w:bookmarkEnd w:id="140"/>
    </w:p>
    <w:p>
      <w:pPr>
        <w:pStyle w:val="50"/>
        <w:spacing w:before="326" w:after="326"/>
        <w:rPr>
          <w:rFonts w:ascii="Times New Roman"/>
        </w:rPr>
      </w:pPr>
      <w:bookmarkStart w:id="141" w:name="_Toc178510990"/>
      <w:bookmarkStart w:id="142" w:name="_Toc17296998"/>
      <w:bookmarkStart w:id="143" w:name="_Toc181948979"/>
      <w:r>
        <w:rPr>
          <w:rFonts w:ascii="Times New Roman"/>
        </w:rPr>
        <w:t>附录</w:t>
      </w:r>
      <w:r>
        <w:rPr>
          <w:rFonts w:hint="eastAsia" w:ascii="Times New Roman"/>
        </w:rPr>
        <w:t xml:space="preserve">D   </w:t>
      </w:r>
      <w:r>
        <w:rPr>
          <w:rFonts w:ascii="Times New Roman"/>
        </w:rPr>
        <w:t>河湖管理范围划定方案附图册</w:t>
      </w:r>
      <w:bookmarkEnd w:id="141"/>
      <w:bookmarkEnd w:id="142"/>
      <w:bookmarkEnd w:id="143"/>
    </w:p>
    <w:p>
      <w:pPr>
        <w:adjustRightInd w:val="0"/>
        <w:snapToGrid w:val="0"/>
        <w:spacing w:before="163" w:beforeLines="50" w:after="163" w:afterLines="50" w:line="324" w:lineRule="auto"/>
        <w:jc w:val="left"/>
        <w:rPr>
          <w:rFonts w:eastAsia="黑体"/>
          <w:bCs/>
        </w:rPr>
      </w:pPr>
      <w:bookmarkStart w:id="144" w:name="_Toc2236190"/>
      <w:bookmarkStart w:id="145" w:name="_Toc17296999"/>
      <w:bookmarkStart w:id="146" w:name="_Toc535582291"/>
      <w:r>
        <w:rPr>
          <w:rFonts w:eastAsia="黑体"/>
          <w:bCs/>
        </w:rPr>
        <w:t>图1  ×××河（湖）管理范围索引图</w:t>
      </w:r>
      <w:bookmarkEnd w:id="144"/>
      <w:bookmarkEnd w:id="145"/>
      <w:bookmarkEnd w:id="146"/>
    </w:p>
    <w:p>
      <w:pPr>
        <w:adjustRightInd w:val="0"/>
        <w:snapToGrid w:val="0"/>
        <w:spacing w:line="324" w:lineRule="auto"/>
        <w:ind w:firstLine="420" w:firstLineChars="200"/>
        <w:jc w:val="left"/>
        <w:rPr>
          <w:bCs/>
        </w:rPr>
      </w:pPr>
      <w:r>
        <w:rPr>
          <w:bCs/>
        </w:rPr>
        <w:t>反映河道流经的县界、铁路、公路、支流汇入河段、重要村庄等。</w:t>
      </w:r>
    </w:p>
    <w:p>
      <w:pPr>
        <w:adjustRightInd w:val="0"/>
        <w:snapToGrid w:val="0"/>
        <w:spacing w:before="163" w:beforeLines="50" w:after="163" w:afterLines="50" w:line="324" w:lineRule="auto"/>
        <w:jc w:val="left"/>
        <w:rPr>
          <w:rFonts w:eastAsia="黑体"/>
          <w:bCs/>
        </w:rPr>
      </w:pPr>
      <w:bookmarkStart w:id="147" w:name="_Toc535582292"/>
      <w:bookmarkStart w:id="148" w:name="_Toc17297000"/>
      <w:bookmarkStart w:id="149" w:name="_Toc2236191"/>
      <w:r>
        <w:rPr>
          <w:rFonts w:eastAsia="黑体"/>
          <w:bCs/>
        </w:rPr>
        <w:t>图2</w:t>
      </w:r>
      <w:r>
        <w:rPr>
          <w:rFonts w:hint="eastAsia" w:eastAsia="黑体"/>
          <w:bCs/>
        </w:rPr>
        <w:t xml:space="preserve"> </w:t>
      </w:r>
      <w:r>
        <w:rPr>
          <w:rFonts w:eastAsia="黑体"/>
          <w:bCs/>
        </w:rPr>
        <w:t xml:space="preserve"> ×××河（湖）管理范围平面布置图</w:t>
      </w:r>
      <w:bookmarkEnd w:id="147"/>
      <w:bookmarkEnd w:id="148"/>
      <w:bookmarkEnd w:id="149"/>
    </w:p>
    <w:p>
      <w:pPr>
        <w:adjustRightInd w:val="0"/>
        <w:snapToGrid w:val="0"/>
        <w:spacing w:line="324" w:lineRule="auto"/>
        <w:ind w:firstLine="420" w:firstLineChars="200"/>
        <w:jc w:val="left"/>
        <w:rPr>
          <w:b/>
          <w:kern w:val="0"/>
          <w:sz w:val="28"/>
          <w:szCs w:val="28"/>
        </w:rPr>
        <w:sectPr>
          <w:headerReference r:id="rId6" w:type="default"/>
          <w:footerReference r:id="rId7" w:type="default"/>
          <w:pgSz w:w="11906" w:h="16838"/>
          <w:pgMar w:top="1945" w:right="1134" w:bottom="1134" w:left="1418" w:header="1418" w:footer="1134" w:gutter="0"/>
          <w:cols w:space="425" w:num="1"/>
          <w:docGrid w:type="lines" w:linePitch="326" w:charSpace="0"/>
        </w:sectPr>
      </w:pPr>
      <w:r>
        <w:rPr>
          <w:rFonts w:hint="eastAsia"/>
          <w:bCs/>
        </w:rPr>
        <w:t>反映</w:t>
      </w:r>
      <w:r>
        <w:rPr>
          <w:bCs/>
        </w:rPr>
        <w:t>外堤脚线/岸边线、划定的管理边线</w:t>
      </w:r>
      <w:r>
        <w:rPr>
          <w:rFonts w:hint="eastAsia"/>
          <w:bCs/>
        </w:rPr>
        <w:t>、管理范围坐标序号、</w:t>
      </w:r>
      <w:r>
        <w:rPr>
          <w:bCs/>
        </w:rPr>
        <w:t>及其它设施位置。</w:t>
      </w:r>
      <w:bookmarkEnd w:id="115"/>
      <w:bookmarkEnd w:id="116"/>
      <w:bookmarkEnd w:id="117"/>
    </w:p>
    <w:p>
      <w:pPr>
        <w:pStyle w:val="92"/>
        <w:numPr>
          <w:ilvl w:val="0"/>
          <w:numId w:val="0"/>
        </w:numPr>
        <w:spacing w:before="156" w:after="156"/>
        <w:jc w:val="both"/>
        <w:rPr>
          <w:rFonts w:ascii="Times New Roman"/>
        </w:rPr>
      </w:pPr>
    </w:p>
    <w:sectPr>
      <w:pgSz w:w="11906" w:h="16838"/>
      <w:pgMar w:top="567" w:right="1134" w:bottom="1134" w:left="1418" w:header="1418" w:footer="1134" w:gutter="0"/>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84954853"/>
    </w:sdtPr>
    <w:sdtContent>
      <w:p>
        <w:pPr>
          <w:pStyle w:val="20"/>
          <w:jc w:val="center"/>
        </w:pPr>
        <w:r>
          <w:fldChar w:fldCharType="begin"/>
        </w:r>
        <w:r>
          <w:instrText xml:space="preserve">PAGE   \* MERGEFORMAT</w:instrText>
        </w:r>
        <w:r>
          <w:fldChar w:fldCharType="separate"/>
        </w:r>
        <w:r>
          <w:rPr>
            <w:lang w:val="zh-CN"/>
          </w:rPr>
          <w:t>8</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57776694"/>
      <w:docPartObj>
        <w:docPartGallery w:val="autotext"/>
      </w:docPartObj>
    </w:sdtPr>
    <w:sdtContent>
      <w:p>
        <w:pPr>
          <w:pStyle w:val="20"/>
          <w:ind w:firstLine="480"/>
        </w:pPr>
        <w:r>
          <w:fldChar w:fldCharType="begin"/>
        </w:r>
        <w:r>
          <w:instrText xml:space="preserve">PAGE   \* MERGEFORMAT</w:instrText>
        </w:r>
        <w:r>
          <w:fldChar w:fldCharType="separate"/>
        </w:r>
        <w:r>
          <w:rPr>
            <w:lang w:val="zh-CN"/>
          </w:rPr>
          <w:t>11</w:t>
        </w:r>
        <w: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pPr>
    <w:r>
      <w:t>DB13/T 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ptab w:relativeTo="margin" w:alignment="center" w:leader="none"/>
    </w:r>
    <w:r>
      <w:ptab w:relativeTo="margin" w:alignment="right" w:leader="none"/>
    </w:r>
    <w:r>
      <w:rPr>
        <w:sz w:val="24"/>
      </w:rPr>
      <w:t>DB 13/TXXXX—XXXX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Pr>
    <w:r>
      <w:ptab w:relativeTo="margin" w:alignment="center" w:leader="none"/>
    </w:r>
    <w:r>
      <w:ptab w:relativeTo="margin" w:alignment="right" w:leader="none"/>
    </w:r>
    <w:r>
      <w:rPr>
        <w:sz w:val="24"/>
      </w:rPr>
      <w:t>DB 13/TXXXX—XXXX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9102AD"/>
    <w:multiLevelType w:val="multilevel"/>
    <w:tmpl w:val="079102AD"/>
    <w:lvl w:ilvl="0" w:tentative="0">
      <w:start w:val="1"/>
      <w:numFmt w:val="decimal"/>
      <w:pStyle w:val="63"/>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121"/>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57"/>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983844"/>
    <w:multiLevelType w:val="multilevel"/>
    <w:tmpl w:val="0D983844"/>
    <w:lvl w:ilvl="0" w:tentative="0">
      <w:start w:val="1"/>
      <w:numFmt w:val="decimal"/>
      <w:pStyle w:val="13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4">
    <w:nsid w:val="0DDE2B46"/>
    <w:multiLevelType w:val="multilevel"/>
    <w:tmpl w:val="0DDE2B46"/>
    <w:lvl w:ilvl="0" w:tentative="0">
      <w:start w:val="1"/>
      <w:numFmt w:val="lowerLetter"/>
      <w:pStyle w:val="126"/>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6667BBD"/>
    <w:multiLevelType w:val="multilevel"/>
    <w:tmpl w:val="16667BBD"/>
    <w:lvl w:ilvl="0" w:tentative="0">
      <w:start w:val="1"/>
      <w:numFmt w:val="lowerLetter"/>
      <w:pStyle w:val="64"/>
      <w:lvlText w:val="%1)"/>
      <w:lvlJc w:val="left"/>
      <w:pPr>
        <w:tabs>
          <w:tab w:val="left" w:pos="840"/>
        </w:tabs>
        <w:ind w:left="839" w:hanging="419"/>
      </w:pPr>
      <w:rPr>
        <w:rFonts w:hint="eastAsia"/>
        <w:b w:val="0"/>
        <w:i w:val="0"/>
        <w:sz w:val="21"/>
        <w:szCs w:val="21"/>
      </w:rPr>
    </w:lvl>
    <w:lvl w:ilvl="1" w:tentative="0">
      <w:start w:val="1"/>
      <w:numFmt w:val="decimal"/>
      <w:pStyle w:val="59"/>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6">
    <w:nsid w:val="22827D5B"/>
    <w:multiLevelType w:val="multilevel"/>
    <w:tmpl w:val="22827D5B"/>
    <w:lvl w:ilvl="0" w:tentative="0">
      <w:start w:val="1"/>
      <w:numFmt w:val="none"/>
      <w:pStyle w:val="69"/>
      <w:suff w:val="nothing"/>
      <w:lvlText w:val="%1注："/>
      <w:lvlJc w:val="left"/>
      <w:pPr>
        <w:ind w:left="789" w:hanging="363"/>
      </w:pPr>
      <w:rPr>
        <w:rFonts w:hint="eastAsia" w:ascii="黑体" w:hAnsi="Times New Roman" w:eastAsia="黑体"/>
        <w:b w:val="0"/>
        <w:i w:val="0"/>
        <w:color w:val="000000" w:themeColor="text1"/>
        <w:sz w:val="18"/>
        <w14:textFill>
          <w14:solidFill>
            <w14:schemeClr w14:val="tx1"/>
          </w14:solidFill>
        </w14:textFill>
      </w:rPr>
    </w:lvl>
    <w:lvl w:ilvl="1" w:tentative="0">
      <w:start w:val="1"/>
      <w:numFmt w:val="lowerLetter"/>
      <w:lvlText w:val="%2)"/>
      <w:lvlJc w:val="left"/>
      <w:pPr>
        <w:tabs>
          <w:tab w:val="left" w:pos="1203"/>
        </w:tabs>
        <w:ind w:left="789" w:hanging="363"/>
      </w:pPr>
      <w:rPr>
        <w:rFonts w:hint="eastAsia"/>
      </w:rPr>
    </w:lvl>
    <w:lvl w:ilvl="2" w:tentative="0">
      <w:start w:val="1"/>
      <w:numFmt w:val="lowerRoman"/>
      <w:lvlText w:val="%3."/>
      <w:lvlJc w:val="right"/>
      <w:pPr>
        <w:tabs>
          <w:tab w:val="left" w:pos="1203"/>
        </w:tabs>
        <w:ind w:left="789" w:hanging="363"/>
      </w:pPr>
      <w:rPr>
        <w:rFonts w:hint="eastAsia"/>
      </w:rPr>
    </w:lvl>
    <w:lvl w:ilvl="3" w:tentative="0">
      <w:start w:val="1"/>
      <w:numFmt w:val="decimal"/>
      <w:lvlText w:val="%4."/>
      <w:lvlJc w:val="left"/>
      <w:pPr>
        <w:tabs>
          <w:tab w:val="left" w:pos="1203"/>
        </w:tabs>
        <w:ind w:left="789" w:hanging="363"/>
      </w:pPr>
      <w:rPr>
        <w:rFonts w:hint="eastAsia"/>
      </w:rPr>
    </w:lvl>
    <w:lvl w:ilvl="4" w:tentative="0">
      <w:start w:val="1"/>
      <w:numFmt w:val="lowerLetter"/>
      <w:lvlText w:val="%5)"/>
      <w:lvlJc w:val="left"/>
      <w:pPr>
        <w:tabs>
          <w:tab w:val="left" w:pos="1203"/>
        </w:tabs>
        <w:ind w:left="789" w:hanging="363"/>
      </w:pPr>
      <w:rPr>
        <w:rFonts w:hint="eastAsia"/>
      </w:rPr>
    </w:lvl>
    <w:lvl w:ilvl="5" w:tentative="0">
      <w:start w:val="1"/>
      <w:numFmt w:val="lowerRoman"/>
      <w:lvlText w:val="%6."/>
      <w:lvlJc w:val="right"/>
      <w:pPr>
        <w:tabs>
          <w:tab w:val="left" w:pos="1203"/>
        </w:tabs>
        <w:ind w:left="789" w:hanging="363"/>
      </w:pPr>
      <w:rPr>
        <w:rFonts w:hint="eastAsia"/>
      </w:rPr>
    </w:lvl>
    <w:lvl w:ilvl="6" w:tentative="0">
      <w:start w:val="1"/>
      <w:numFmt w:val="decimal"/>
      <w:lvlText w:val="%7."/>
      <w:lvlJc w:val="left"/>
      <w:pPr>
        <w:tabs>
          <w:tab w:val="left" w:pos="1203"/>
        </w:tabs>
        <w:ind w:left="789" w:hanging="363"/>
      </w:pPr>
      <w:rPr>
        <w:rFonts w:hint="eastAsia"/>
      </w:rPr>
    </w:lvl>
    <w:lvl w:ilvl="7" w:tentative="0">
      <w:start w:val="1"/>
      <w:numFmt w:val="lowerLetter"/>
      <w:lvlText w:val="%8)"/>
      <w:lvlJc w:val="left"/>
      <w:pPr>
        <w:tabs>
          <w:tab w:val="left" w:pos="1203"/>
        </w:tabs>
        <w:ind w:left="789" w:hanging="363"/>
      </w:pPr>
      <w:rPr>
        <w:rFonts w:hint="eastAsia"/>
      </w:rPr>
    </w:lvl>
    <w:lvl w:ilvl="8" w:tentative="0">
      <w:start w:val="1"/>
      <w:numFmt w:val="lowerRoman"/>
      <w:lvlText w:val="%9."/>
      <w:lvlJc w:val="right"/>
      <w:pPr>
        <w:tabs>
          <w:tab w:val="left" w:pos="1203"/>
        </w:tabs>
        <w:ind w:left="789" w:hanging="363"/>
      </w:pPr>
      <w:rPr>
        <w:rFonts w:hint="eastAsia"/>
      </w:rPr>
    </w:lvl>
  </w:abstractNum>
  <w:abstractNum w:abstractNumId="7">
    <w:nsid w:val="2A8F7113"/>
    <w:multiLevelType w:val="multilevel"/>
    <w:tmpl w:val="2A8F7113"/>
    <w:lvl w:ilvl="0" w:tentative="0">
      <w:start w:val="1"/>
      <w:numFmt w:val="upperLetter"/>
      <w:pStyle w:val="103"/>
      <w:suff w:val="space"/>
      <w:lvlText w:val="%1"/>
      <w:lvlJc w:val="left"/>
      <w:pPr>
        <w:ind w:left="623" w:hanging="425"/>
      </w:pPr>
      <w:rPr>
        <w:rFonts w:hint="eastAsia"/>
      </w:rPr>
    </w:lvl>
    <w:lvl w:ilvl="1" w:tentative="0">
      <w:start w:val="1"/>
      <w:numFmt w:val="decimal"/>
      <w:pStyle w:val="104"/>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3"/>
      <w:suff w:val="nothing"/>
      <w:lvlText w:val="%1——"/>
      <w:lvlJc w:val="left"/>
      <w:pPr>
        <w:ind w:left="833" w:hanging="408"/>
      </w:pPr>
      <w:rPr>
        <w:rFonts w:hint="eastAsia"/>
      </w:rPr>
    </w:lvl>
    <w:lvl w:ilvl="1" w:tentative="0">
      <w:start w:val="1"/>
      <w:numFmt w:val="bullet"/>
      <w:pStyle w:val="54"/>
      <w:lvlText w:val=""/>
      <w:lvlJc w:val="left"/>
      <w:pPr>
        <w:tabs>
          <w:tab w:val="left" w:pos="760"/>
        </w:tabs>
        <w:ind w:left="1264" w:hanging="413"/>
      </w:pPr>
      <w:rPr>
        <w:rFonts w:hint="default" w:ascii="Symbol" w:hAnsi="Symbol"/>
        <w:color w:val="auto"/>
      </w:rPr>
    </w:lvl>
    <w:lvl w:ilvl="2" w:tentative="0">
      <w:start w:val="1"/>
      <w:numFmt w:val="bullet"/>
      <w:pStyle w:val="65"/>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7"/>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A93320E"/>
    <w:multiLevelType w:val="multilevel"/>
    <w:tmpl w:val="4A93320E"/>
    <w:lvl w:ilvl="0" w:tentative="0">
      <w:start w:val="1"/>
      <w:numFmt w:val="decimal"/>
      <w:suff w:val="space"/>
      <w:lvlText w:val="%1 "/>
      <w:lvlJc w:val="left"/>
      <w:pPr>
        <w:ind w:left="0" w:firstLine="0"/>
      </w:pPr>
      <w:rPr>
        <w:rFonts w:hint="eastAsia" w:eastAsia="黑体"/>
        <w:sz w:val="21"/>
      </w:rPr>
    </w:lvl>
    <w:lvl w:ilvl="1" w:tentative="0">
      <w:start w:val="1"/>
      <w:numFmt w:val="decimal"/>
      <w:suff w:val="space"/>
      <w:lvlText w:val="%1.%2 "/>
      <w:lvlJc w:val="left"/>
      <w:pPr>
        <w:ind w:left="0" w:firstLine="0"/>
      </w:pPr>
      <w:rPr>
        <w:rFonts w:hint="eastAsia"/>
      </w:rPr>
    </w:lvl>
    <w:lvl w:ilvl="2" w:tentative="0">
      <w:start w:val="1"/>
      <w:numFmt w:val="decimal"/>
      <w:suff w:val="space"/>
      <w:lvlText w:val="%1.%2.%3 "/>
      <w:lvlJc w:val="left"/>
      <w:pPr>
        <w:ind w:left="993" w:firstLine="0"/>
      </w:pPr>
      <w:rPr>
        <w:rFonts w:hint="eastAsia"/>
        <w:color w:val="auto"/>
      </w:rPr>
    </w:lvl>
    <w:lvl w:ilvl="3" w:tentative="0">
      <w:start w:val="1"/>
      <w:numFmt w:val="decimal"/>
      <w:suff w:val="space"/>
      <w:lvlText w:val="%1.%2.%3.%4 "/>
      <w:lvlJc w:val="left"/>
      <w:pPr>
        <w:ind w:left="0" w:firstLine="0"/>
      </w:pPr>
      <w:rPr>
        <w:b w:val="0"/>
        <w:bCs w:val="0"/>
        <w:i w:val="0"/>
        <w:iCs w:val="0"/>
        <w:caps w:val="0"/>
        <w:smallCaps w:val="0"/>
        <w:strike w:val="0"/>
        <w:dstrike w:val="0"/>
        <w:vanish w:val="0"/>
        <w:color w:val="000000"/>
        <w:spacing w:val="0"/>
        <w:position w:val="0"/>
        <w:sz w:val="21"/>
        <w:szCs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rPr>
    </w:lvl>
    <w:lvl w:ilvl="4" w:tentative="0">
      <w:start w:val="1"/>
      <w:numFmt w:val="decimal"/>
      <w:suff w:val="space"/>
      <w:lvlText w:val="%1.%2.%3.%4.%5 "/>
      <w:lvlJc w:val="left"/>
      <w:pPr>
        <w:ind w:left="0" w:firstLine="0"/>
      </w:pPr>
      <w:rPr>
        <w:rFonts w:hint="eastAsia"/>
      </w:rPr>
    </w:lvl>
    <w:lvl w:ilvl="5" w:tentative="0">
      <w:start w:val="1"/>
      <w:numFmt w:val="decimal"/>
      <w:suff w:val="space"/>
      <w:lvlText w:val="%1.%2.%3.%4.%5.%6 "/>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1">
    <w:nsid w:val="4B733A5F"/>
    <w:multiLevelType w:val="multilevel"/>
    <w:tmpl w:val="4B733A5F"/>
    <w:lvl w:ilvl="0" w:tentative="0">
      <w:start w:val="1"/>
      <w:numFmt w:val="decimal"/>
      <w:pStyle w:val="67"/>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2">
    <w:nsid w:val="60B55DC2"/>
    <w:multiLevelType w:val="multilevel"/>
    <w:tmpl w:val="60B55DC2"/>
    <w:lvl w:ilvl="0" w:tentative="0">
      <w:start w:val="1"/>
      <w:numFmt w:val="upperLetter"/>
      <w:pStyle w:val="91"/>
      <w:lvlText w:val="%1"/>
      <w:lvlJc w:val="left"/>
      <w:pPr>
        <w:tabs>
          <w:tab w:val="left" w:pos="0"/>
        </w:tabs>
        <w:ind w:left="0" w:hanging="425"/>
      </w:pPr>
      <w:rPr>
        <w:rFonts w:hint="eastAsia"/>
      </w:rPr>
    </w:lvl>
    <w:lvl w:ilvl="1" w:tentative="0">
      <w:start w:val="1"/>
      <w:numFmt w:val="decimal"/>
      <w:pStyle w:val="92"/>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3">
    <w:nsid w:val="646260FA"/>
    <w:multiLevelType w:val="multilevel"/>
    <w:tmpl w:val="646260FA"/>
    <w:lvl w:ilvl="0" w:tentative="0">
      <w:start w:val="1"/>
      <w:numFmt w:val="decimal"/>
      <w:pStyle w:val="132"/>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657D3FBC"/>
    <w:multiLevelType w:val="multilevel"/>
    <w:tmpl w:val="657D3FBC"/>
    <w:lvl w:ilvl="0" w:tentative="0">
      <w:start w:val="1"/>
      <w:numFmt w:val="upperLetter"/>
      <w:pStyle w:val="8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107"/>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08"/>
      <w:suff w:val="nothing"/>
      <w:lvlText w:val="%1.%2.%3　"/>
      <w:lvlJc w:val="left"/>
      <w:pPr>
        <w:ind w:left="993" w:firstLine="0"/>
      </w:pPr>
      <w:rPr>
        <w:rFonts w:hint="eastAsia" w:ascii="黑体" w:hAnsi="Times New Roman" w:eastAsia="黑体"/>
        <w:b w:val="0"/>
        <w:i w:val="0"/>
        <w:sz w:val="21"/>
      </w:rPr>
    </w:lvl>
    <w:lvl w:ilvl="3" w:tentative="0">
      <w:start w:val="1"/>
      <w:numFmt w:val="decimal"/>
      <w:pStyle w:val="93"/>
      <w:suff w:val="nothing"/>
      <w:lvlText w:val="%1.%2.%3.%4　"/>
      <w:lvlJc w:val="left"/>
      <w:pPr>
        <w:ind w:left="0" w:firstLine="0"/>
      </w:pPr>
      <w:rPr>
        <w:rFonts w:hint="eastAsia" w:ascii="黑体" w:hAnsi="Times New Roman" w:eastAsia="黑体"/>
        <w:b w:val="0"/>
        <w:i w:val="0"/>
        <w:sz w:val="21"/>
      </w:rPr>
    </w:lvl>
    <w:lvl w:ilvl="4" w:tentative="0">
      <w:start w:val="1"/>
      <w:numFmt w:val="decimal"/>
      <w:pStyle w:val="98"/>
      <w:suff w:val="nothing"/>
      <w:lvlText w:val="%1.%2.%3.%4.%5　"/>
      <w:lvlJc w:val="left"/>
      <w:pPr>
        <w:ind w:left="0" w:firstLine="0"/>
      </w:pPr>
      <w:rPr>
        <w:rFonts w:hint="eastAsia" w:ascii="黑体" w:hAnsi="Times New Roman" w:eastAsia="黑体"/>
        <w:b w:val="0"/>
        <w:i w:val="0"/>
        <w:sz w:val="21"/>
      </w:rPr>
    </w:lvl>
    <w:lvl w:ilvl="5" w:tentative="0">
      <w:start w:val="1"/>
      <w:numFmt w:val="decimal"/>
      <w:pStyle w:val="101"/>
      <w:suff w:val="nothing"/>
      <w:lvlText w:val="%1.%2.%3.%4.%5.%6　"/>
      <w:lvlJc w:val="left"/>
      <w:pPr>
        <w:ind w:left="0" w:firstLine="0"/>
      </w:pPr>
      <w:rPr>
        <w:rFonts w:hint="eastAsia" w:ascii="黑体" w:hAnsi="Times New Roman" w:eastAsia="黑体"/>
        <w:b w:val="0"/>
        <w:i w:val="0"/>
        <w:sz w:val="21"/>
      </w:rPr>
    </w:lvl>
    <w:lvl w:ilvl="6" w:tentative="0">
      <w:start w:val="1"/>
      <w:numFmt w:val="decimal"/>
      <w:pStyle w:val="105"/>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A6D3780"/>
    <w:multiLevelType w:val="multilevel"/>
    <w:tmpl w:val="6A6D3780"/>
    <w:lvl w:ilvl="0" w:tentative="0">
      <w:start w:val="1"/>
      <w:numFmt w:val="decimal"/>
      <w:pStyle w:val="70"/>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16">
    <w:nsid w:val="6D6C07CD"/>
    <w:multiLevelType w:val="multilevel"/>
    <w:tmpl w:val="6D6C07CD"/>
    <w:lvl w:ilvl="0" w:tentative="0">
      <w:start w:val="1"/>
      <w:numFmt w:val="lowerLetter"/>
      <w:pStyle w:val="110"/>
      <w:lvlText w:val="%1)"/>
      <w:lvlJc w:val="left"/>
      <w:pPr>
        <w:tabs>
          <w:tab w:val="left" w:pos="839"/>
        </w:tabs>
        <w:ind w:left="839" w:hanging="419"/>
      </w:pPr>
      <w:rPr>
        <w:rFonts w:hint="eastAsia" w:ascii="宋体" w:eastAsia="宋体"/>
        <w:b w:val="0"/>
        <w:i w:val="0"/>
        <w:sz w:val="21"/>
      </w:rPr>
    </w:lvl>
    <w:lvl w:ilvl="1" w:tentative="0">
      <w:start w:val="1"/>
      <w:numFmt w:val="decimal"/>
      <w:pStyle w:val="100"/>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62"/>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8"/>
  </w:num>
  <w:num w:numId="3">
    <w:abstractNumId w:val="2"/>
  </w:num>
  <w:num w:numId="4">
    <w:abstractNumId w:val="5"/>
  </w:num>
  <w:num w:numId="5">
    <w:abstractNumId w:val="17"/>
  </w:num>
  <w:num w:numId="6">
    <w:abstractNumId w:val="0"/>
  </w:num>
  <w:num w:numId="7">
    <w:abstractNumId w:val="11"/>
  </w:num>
  <w:num w:numId="8">
    <w:abstractNumId w:val="6"/>
  </w:num>
  <w:num w:numId="9">
    <w:abstractNumId w:val="15"/>
  </w:num>
  <w:num w:numId="10">
    <w:abstractNumId w:val="14"/>
  </w:num>
  <w:num w:numId="11">
    <w:abstractNumId w:val="12"/>
  </w:num>
  <w:num w:numId="12">
    <w:abstractNumId w:val="16"/>
  </w:num>
  <w:num w:numId="13">
    <w:abstractNumId w:val="7"/>
  </w:num>
  <w:num w:numId="14">
    <w:abstractNumId w:val="1"/>
  </w:num>
  <w:num w:numId="15">
    <w:abstractNumId w:val="4"/>
  </w:num>
  <w:num w:numId="16">
    <w:abstractNumId w:val="13"/>
  </w:num>
  <w:num w:numId="17">
    <w:abstractNumId w:val="3"/>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ViNGE0ZGQ2MGNiZTJkY2U0NTk5NDM4YzMxODdmODgifQ=="/>
    <w:docVar w:name="KSO_WPS_MARK_KEY" w:val="a5d24273-c6f5-4e20-aad3-fab867c91041"/>
  </w:docVars>
  <w:rsids>
    <w:rsidRoot w:val="00172A27"/>
    <w:rsid w:val="00000244"/>
    <w:rsid w:val="0000185F"/>
    <w:rsid w:val="000048D0"/>
    <w:rsid w:val="000053B0"/>
    <w:rsid w:val="0000586F"/>
    <w:rsid w:val="00006A6E"/>
    <w:rsid w:val="00007432"/>
    <w:rsid w:val="0000799C"/>
    <w:rsid w:val="00007DE9"/>
    <w:rsid w:val="00011EBD"/>
    <w:rsid w:val="0001233B"/>
    <w:rsid w:val="00012DE2"/>
    <w:rsid w:val="0001301D"/>
    <w:rsid w:val="00013D86"/>
    <w:rsid w:val="00013E02"/>
    <w:rsid w:val="000175D6"/>
    <w:rsid w:val="000204AC"/>
    <w:rsid w:val="0002121F"/>
    <w:rsid w:val="0002143C"/>
    <w:rsid w:val="000215FE"/>
    <w:rsid w:val="00025489"/>
    <w:rsid w:val="00025A65"/>
    <w:rsid w:val="00026C31"/>
    <w:rsid w:val="00027280"/>
    <w:rsid w:val="00027869"/>
    <w:rsid w:val="00030602"/>
    <w:rsid w:val="00031263"/>
    <w:rsid w:val="00031D14"/>
    <w:rsid w:val="000320A7"/>
    <w:rsid w:val="00033FBA"/>
    <w:rsid w:val="00034553"/>
    <w:rsid w:val="00034CE5"/>
    <w:rsid w:val="0003578B"/>
    <w:rsid w:val="00035925"/>
    <w:rsid w:val="0003648E"/>
    <w:rsid w:val="000378F3"/>
    <w:rsid w:val="00037E3D"/>
    <w:rsid w:val="0004077A"/>
    <w:rsid w:val="000432E5"/>
    <w:rsid w:val="00043F8B"/>
    <w:rsid w:val="000456E4"/>
    <w:rsid w:val="00050549"/>
    <w:rsid w:val="000519E5"/>
    <w:rsid w:val="00053025"/>
    <w:rsid w:val="00055016"/>
    <w:rsid w:val="0005676A"/>
    <w:rsid w:val="00056891"/>
    <w:rsid w:val="00060186"/>
    <w:rsid w:val="00061BD7"/>
    <w:rsid w:val="000631E0"/>
    <w:rsid w:val="000651BA"/>
    <w:rsid w:val="0006652B"/>
    <w:rsid w:val="00066E9E"/>
    <w:rsid w:val="00067CDF"/>
    <w:rsid w:val="00070887"/>
    <w:rsid w:val="0007478C"/>
    <w:rsid w:val="00074FBE"/>
    <w:rsid w:val="00075D22"/>
    <w:rsid w:val="00081D80"/>
    <w:rsid w:val="00082A7E"/>
    <w:rsid w:val="00083640"/>
    <w:rsid w:val="0008379F"/>
    <w:rsid w:val="00083A09"/>
    <w:rsid w:val="00084296"/>
    <w:rsid w:val="00084969"/>
    <w:rsid w:val="00085C2E"/>
    <w:rsid w:val="000863E6"/>
    <w:rsid w:val="000873CC"/>
    <w:rsid w:val="00087CA8"/>
    <w:rsid w:val="00087F5D"/>
    <w:rsid w:val="0009005E"/>
    <w:rsid w:val="00090B04"/>
    <w:rsid w:val="0009118D"/>
    <w:rsid w:val="00091627"/>
    <w:rsid w:val="00092857"/>
    <w:rsid w:val="00094926"/>
    <w:rsid w:val="000979C3"/>
    <w:rsid w:val="00097FA9"/>
    <w:rsid w:val="000A20A9"/>
    <w:rsid w:val="000A24CB"/>
    <w:rsid w:val="000A3168"/>
    <w:rsid w:val="000A37C0"/>
    <w:rsid w:val="000A45C4"/>
    <w:rsid w:val="000A48B1"/>
    <w:rsid w:val="000A5B5C"/>
    <w:rsid w:val="000A68AB"/>
    <w:rsid w:val="000A7CE1"/>
    <w:rsid w:val="000B0CA9"/>
    <w:rsid w:val="000B2587"/>
    <w:rsid w:val="000B3143"/>
    <w:rsid w:val="000B3C4F"/>
    <w:rsid w:val="000B69D1"/>
    <w:rsid w:val="000B7ED1"/>
    <w:rsid w:val="000C1A31"/>
    <w:rsid w:val="000C582C"/>
    <w:rsid w:val="000C6B05"/>
    <w:rsid w:val="000C6DD6"/>
    <w:rsid w:val="000C73D4"/>
    <w:rsid w:val="000D2CF3"/>
    <w:rsid w:val="000D3D4C"/>
    <w:rsid w:val="000D4F51"/>
    <w:rsid w:val="000D6245"/>
    <w:rsid w:val="000D68C5"/>
    <w:rsid w:val="000D6CFF"/>
    <w:rsid w:val="000D718B"/>
    <w:rsid w:val="000E0C46"/>
    <w:rsid w:val="000E0D69"/>
    <w:rsid w:val="000E1C46"/>
    <w:rsid w:val="000E6EC9"/>
    <w:rsid w:val="000E78FD"/>
    <w:rsid w:val="000F030C"/>
    <w:rsid w:val="000F129C"/>
    <w:rsid w:val="000F429B"/>
    <w:rsid w:val="000F5776"/>
    <w:rsid w:val="000F58B9"/>
    <w:rsid w:val="00100680"/>
    <w:rsid w:val="0010459C"/>
    <w:rsid w:val="00104F16"/>
    <w:rsid w:val="001054EA"/>
    <w:rsid w:val="001056DE"/>
    <w:rsid w:val="0010663F"/>
    <w:rsid w:val="001124C0"/>
    <w:rsid w:val="00116FFA"/>
    <w:rsid w:val="001230FD"/>
    <w:rsid w:val="00123FC2"/>
    <w:rsid w:val="00124380"/>
    <w:rsid w:val="00124433"/>
    <w:rsid w:val="00125A8B"/>
    <w:rsid w:val="0013156E"/>
    <w:rsid w:val="0013161C"/>
    <w:rsid w:val="0013175F"/>
    <w:rsid w:val="0013332E"/>
    <w:rsid w:val="00133887"/>
    <w:rsid w:val="0013554D"/>
    <w:rsid w:val="00136011"/>
    <w:rsid w:val="00137A49"/>
    <w:rsid w:val="00140BBB"/>
    <w:rsid w:val="00140C93"/>
    <w:rsid w:val="00141784"/>
    <w:rsid w:val="00142131"/>
    <w:rsid w:val="0014319E"/>
    <w:rsid w:val="0014563F"/>
    <w:rsid w:val="00146274"/>
    <w:rsid w:val="00147B89"/>
    <w:rsid w:val="001512B4"/>
    <w:rsid w:val="00151930"/>
    <w:rsid w:val="00152390"/>
    <w:rsid w:val="001523AD"/>
    <w:rsid w:val="001534BD"/>
    <w:rsid w:val="00154971"/>
    <w:rsid w:val="001559F2"/>
    <w:rsid w:val="001620A5"/>
    <w:rsid w:val="00162368"/>
    <w:rsid w:val="001629BC"/>
    <w:rsid w:val="00164E53"/>
    <w:rsid w:val="001668AD"/>
    <w:rsid w:val="0016699D"/>
    <w:rsid w:val="00166BED"/>
    <w:rsid w:val="00170CFF"/>
    <w:rsid w:val="00172A27"/>
    <w:rsid w:val="001748C0"/>
    <w:rsid w:val="00175159"/>
    <w:rsid w:val="00176208"/>
    <w:rsid w:val="00176AA8"/>
    <w:rsid w:val="00176DCF"/>
    <w:rsid w:val="0018211B"/>
    <w:rsid w:val="00183C89"/>
    <w:rsid w:val="001840D3"/>
    <w:rsid w:val="00185E08"/>
    <w:rsid w:val="00186561"/>
    <w:rsid w:val="00186C51"/>
    <w:rsid w:val="00187759"/>
    <w:rsid w:val="001900F8"/>
    <w:rsid w:val="00191258"/>
    <w:rsid w:val="00192680"/>
    <w:rsid w:val="00193037"/>
    <w:rsid w:val="00193A2C"/>
    <w:rsid w:val="00195A71"/>
    <w:rsid w:val="001A0771"/>
    <w:rsid w:val="001A210A"/>
    <w:rsid w:val="001A288E"/>
    <w:rsid w:val="001A2AF1"/>
    <w:rsid w:val="001B0AA8"/>
    <w:rsid w:val="001B5853"/>
    <w:rsid w:val="001B5B9B"/>
    <w:rsid w:val="001B6DC2"/>
    <w:rsid w:val="001B7F45"/>
    <w:rsid w:val="001C149C"/>
    <w:rsid w:val="001C1C23"/>
    <w:rsid w:val="001C1F6B"/>
    <w:rsid w:val="001C21AC"/>
    <w:rsid w:val="001C2381"/>
    <w:rsid w:val="001C2A0D"/>
    <w:rsid w:val="001C2FAA"/>
    <w:rsid w:val="001C46B9"/>
    <w:rsid w:val="001C47BA"/>
    <w:rsid w:val="001C59EA"/>
    <w:rsid w:val="001D024A"/>
    <w:rsid w:val="001D102C"/>
    <w:rsid w:val="001D25EF"/>
    <w:rsid w:val="001D3894"/>
    <w:rsid w:val="001D3B0B"/>
    <w:rsid w:val="001D3CC9"/>
    <w:rsid w:val="001D406C"/>
    <w:rsid w:val="001D41EE"/>
    <w:rsid w:val="001D6298"/>
    <w:rsid w:val="001D7BE1"/>
    <w:rsid w:val="001E0380"/>
    <w:rsid w:val="001E135E"/>
    <w:rsid w:val="001E13B1"/>
    <w:rsid w:val="001E13E8"/>
    <w:rsid w:val="001E18CF"/>
    <w:rsid w:val="001E35DF"/>
    <w:rsid w:val="001E4196"/>
    <w:rsid w:val="001E4C0E"/>
    <w:rsid w:val="001E563D"/>
    <w:rsid w:val="001E5682"/>
    <w:rsid w:val="001E7022"/>
    <w:rsid w:val="001F3A19"/>
    <w:rsid w:val="001F401F"/>
    <w:rsid w:val="001F4068"/>
    <w:rsid w:val="001F68D8"/>
    <w:rsid w:val="00201CF8"/>
    <w:rsid w:val="00202AA4"/>
    <w:rsid w:val="00203232"/>
    <w:rsid w:val="00203C28"/>
    <w:rsid w:val="002046D4"/>
    <w:rsid w:val="0020719B"/>
    <w:rsid w:val="0021044D"/>
    <w:rsid w:val="0021158D"/>
    <w:rsid w:val="002139C6"/>
    <w:rsid w:val="00215F0E"/>
    <w:rsid w:val="00215F95"/>
    <w:rsid w:val="00221B0E"/>
    <w:rsid w:val="00221D49"/>
    <w:rsid w:val="002245D5"/>
    <w:rsid w:val="00225C8E"/>
    <w:rsid w:val="00226814"/>
    <w:rsid w:val="00234467"/>
    <w:rsid w:val="002346F0"/>
    <w:rsid w:val="0023506E"/>
    <w:rsid w:val="00237D8D"/>
    <w:rsid w:val="00241DA2"/>
    <w:rsid w:val="00244A92"/>
    <w:rsid w:val="00245A0E"/>
    <w:rsid w:val="00246C16"/>
    <w:rsid w:val="00247FEE"/>
    <w:rsid w:val="00250E7D"/>
    <w:rsid w:val="002559A7"/>
    <w:rsid w:val="0025654C"/>
    <w:rsid w:val="002565D5"/>
    <w:rsid w:val="00261E4A"/>
    <w:rsid w:val="002622C0"/>
    <w:rsid w:val="00262BEE"/>
    <w:rsid w:val="00265267"/>
    <w:rsid w:val="00271195"/>
    <w:rsid w:val="002717C6"/>
    <w:rsid w:val="00271A16"/>
    <w:rsid w:val="0027208C"/>
    <w:rsid w:val="002730EB"/>
    <w:rsid w:val="00274CC1"/>
    <w:rsid w:val="00274D48"/>
    <w:rsid w:val="00276A65"/>
    <w:rsid w:val="002778AE"/>
    <w:rsid w:val="0028129D"/>
    <w:rsid w:val="00281667"/>
    <w:rsid w:val="0028269A"/>
    <w:rsid w:val="00283590"/>
    <w:rsid w:val="0028373D"/>
    <w:rsid w:val="00284F69"/>
    <w:rsid w:val="00286973"/>
    <w:rsid w:val="00292704"/>
    <w:rsid w:val="00292BE5"/>
    <w:rsid w:val="002946B7"/>
    <w:rsid w:val="00294AAC"/>
    <w:rsid w:val="00294E70"/>
    <w:rsid w:val="002A0F5C"/>
    <w:rsid w:val="002A141D"/>
    <w:rsid w:val="002A1924"/>
    <w:rsid w:val="002A56DA"/>
    <w:rsid w:val="002A595F"/>
    <w:rsid w:val="002A629F"/>
    <w:rsid w:val="002A7420"/>
    <w:rsid w:val="002B0F12"/>
    <w:rsid w:val="002B1308"/>
    <w:rsid w:val="002B1D86"/>
    <w:rsid w:val="002B4554"/>
    <w:rsid w:val="002B5976"/>
    <w:rsid w:val="002B5B99"/>
    <w:rsid w:val="002C1B99"/>
    <w:rsid w:val="002C2ED6"/>
    <w:rsid w:val="002C6126"/>
    <w:rsid w:val="002C72D8"/>
    <w:rsid w:val="002C7974"/>
    <w:rsid w:val="002D11FA"/>
    <w:rsid w:val="002D23FF"/>
    <w:rsid w:val="002D24AC"/>
    <w:rsid w:val="002D322F"/>
    <w:rsid w:val="002D327C"/>
    <w:rsid w:val="002D6055"/>
    <w:rsid w:val="002E0DDF"/>
    <w:rsid w:val="002E2906"/>
    <w:rsid w:val="002E363B"/>
    <w:rsid w:val="002E4928"/>
    <w:rsid w:val="002E50A6"/>
    <w:rsid w:val="002E5635"/>
    <w:rsid w:val="002E64C3"/>
    <w:rsid w:val="002E6A2C"/>
    <w:rsid w:val="002E6EBC"/>
    <w:rsid w:val="002F05A5"/>
    <w:rsid w:val="002F1418"/>
    <w:rsid w:val="002F1D8C"/>
    <w:rsid w:val="002F21DA"/>
    <w:rsid w:val="002F3489"/>
    <w:rsid w:val="002F7BE0"/>
    <w:rsid w:val="00301E9E"/>
    <w:rsid w:val="00301F39"/>
    <w:rsid w:val="00304C5F"/>
    <w:rsid w:val="00310A54"/>
    <w:rsid w:val="0031262C"/>
    <w:rsid w:val="0031380D"/>
    <w:rsid w:val="00315B8D"/>
    <w:rsid w:val="00315E5D"/>
    <w:rsid w:val="00317A41"/>
    <w:rsid w:val="00320A43"/>
    <w:rsid w:val="00324677"/>
    <w:rsid w:val="00325926"/>
    <w:rsid w:val="003268D1"/>
    <w:rsid w:val="003277B3"/>
    <w:rsid w:val="00327A8A"/>
    <w:rsid w:val="00331D31"/>
    <w:rsid w:val="00336610"/>
    <w:rsid w:val="00337F11"/>
    <w:rsid w:val="003403F0"/>
    <w:rsid w:val="00340FFA"/>
    <w:rsid w:val="00342D92"/>
    <w:rsid w:val="00343F73"/>
    <w:rsid w:val="00344F93"/>
    <w:rsid w:val="00345060"/>
    <w:rsid w:val="00346FE0"/>
    <w:rsid w:val="00351B28"/>
    <w:rsid w:val="0035323B"/>
    <w:rsid w:val="0035378A"/>
    <w:rsid w:val="00355BDE"/>
    <w:rsid w:val="00356989"/>
    <w:rsid w:val="00356F97"/>
    <w:rsid w:val="003609D2"/>
    <w:rsid w:val="00361F15"/>
    <w:rsid w:val="00363F22"/>
    <w:rsid w:val="003654C4"/>
    <w:rsid w:val="003674EB"/>
    <w:rsid w:val="003717D4"/>
    <w:rsid w:val="003742A1"/>
    <w:rsid w:val="003743A2"/>
    <w:rsid w:val="00375564"/>
    <w:rsid w:val="00377DB7"/>
    <w:rsid w:val="003821A8"/>
    <w:rsid w:val="00382EAB"/>
    <w:rsid w:val="00383191"/>
    <w:rsid w:val="003854DA"/>
    <w:rsid w:val="00386DED"/>
    <w:rsid w:val="003912E7"/>
    <w:rsid w:val="00392703"/>
    <w:rsid w:val="0039273A"/>
    <w:rsid w:val="00393947"/>
    <w:rsid w:val="0039552F"/>
    <w:rsid w:val="003A0757"/>
    <w:rsid w:val="003A170B"/>
    <w:rsid w:val="003A1C6A"/>
    <w:rsid w:val="003A2275"/>
    <w:rsid w:val="003A2A45"/>
    <w:rsid w:val="003A6A4F"/>
    <w:rsid w:val="003A7088"/>
    <w:rsid w:val="003B00DF"/>
    <w:rsid w:val="003B114F"/>
    <w:rsid w:val="003B1275"/>
    <w:rsid w:val="003B1778"/>
    <w:rsid w:val="003B1FDF"/>
    <w:rsid w:val="003B2EAC"/>
    <w:rsid w:val="003B5251"/>
    <w:rsid w:val="003B5553"/>
    <w:rsid w:val="003B6DF1"/>
    <w:rsid w:val="003C01DE"/>
    <w:rsid w:val="003C11CB"/>
    <w:rsid w:val="003C1D27"/>
    <w:rsid w:val="003C1F63"/>
    <w:rsid w:val="003C24DC"/>
    <w:rsid w:val="003C75F3"/>
    <w:rsid w:val="003C78A3"/>
    <w:rsid w:val="003C7D80"/>
    <w:rsid w:val="003D10CA"/>
    <w:rsid w:val="003D14C0"/>
    <w:rsid w:val="003D48C1"/>
    <w:rsid w:val="003D6D58"/>
    <w:rsid w:val="003D6FD7"/>
    <w:rsid w:val="003E1867"/>
    <w:rsid w:val="003E42BF"/>
    <w:rsid w:val="003E5729"/>
    <w:rsid w:val="003E5EAE"/>
    <w:rsid w:val="003E6A28"/>
    <w:rsid w:val="003E7514"/>
    <w:rsid w:val="003E781C"/>
    <w:rsid w:val="003F2990"/>
    <w:rsid w:val="003F2AF5"/>
    <w:rsid w:val="003F3167"/>
    <w:rsid w:val="003F3888"/>
    <w:rsid w:val="003F3E91"/>
    <w:rsid w:val="003F4EE0"/>
    <w:rsid w:val="003F5AC7"/>
    <w:rsid w:val="003F7207"/>
    <w:rsid w:val="004009C8"/>
    <w:rsid w:val="00400E9E"/>
    <w:rsid w:val="00402153"/>
    <w:rsid w:val="004028D5"/>
    <w:rsid w:val="00402FC1"/>
    <w:rsid w:val="004035C7"/>
    <w:rsid w:val="004046C4"/>
    <w:rsid w:val="00406147"/>
    <w:rsid w:val="00406823"/>
    <w:rsid w:val="004100FE"/>
    <w:rsid w:val="00410F8E"/>
    <w:rsid w:val="0041188B"/>
    <w:rsid w:val="00421E5E"/>
    <w:rsid w:val="00425082"/>
    <w:rsid w:val="00427D04"/>
    <w:rsid w:val="00431DEB"/>
    <w:rsid w:val="0043263E"/>
    <w:rsid w:val="00436B51"/>
    <w:rsid w:val="00440A09"/>
    <w:rsid w:val="004410AF"/>
    <w:rsid w:val="00443515"/>
    <w:rsid w:val="00443D02"/>
    <w:rsid w:val="00444FE4"/>
    <w:rsid w:val="00445E5E"/>
    <w:rsid w:val="00446B29"/>
    <w:rsid w:val="00447308"/>
    <w:rsid w:val="00453F9A"/>
    <w:rsid w:val="00454017"/>
    <w:rsid w:val="0045526F"/>
    <w:rsid w:val="00455C6A"/>
    <w:rsid w:val="00455CE5"/>
    <w:rsid w:val="0045691C"/>
    <w:rsid w:val="00462CEC"/>
    <w:rsid w:val="004632B9"/>
    <w:rsid w:val="00463BEB"/>
    <w:rsid w:val="00464505"/>
    <w:rsid w:val="00464D1A"/>
    <w:rsid w:val="004650C1"/>
    <w:rsid w:val="0046603C"/>
    <w:rsid w:val="00471E91"/>
    <w:rsid w:val="00472E4E"/>
    <w:rsid w:val="00473A52"/>
    <w:rsid w:val="00474675"/>
    <w:rsid w:val="0047470C"/>
    <w:rsid w:val="004760BA"/>
    <w:rsid w:val="004837AE"/>
    <w:rsid w:val="00485BDC"/>
    <w:rsid w:val="00490372"/>
    <w:rsid w:val="004906F6"/>
    <w:rsid w:val="0049215C"/>
    <w:rsid w:val="00492D95"/>
    <w:rsid w:val="00493BC3"/>
    <w:rsid w:val="0049613A"/>
    <w:rsid w:val="004969B2"/>
    <w:rsid w:val="00496F58"/>
    <w:rsid w:val="004A35F9"/>
    <w:rsid w:val="004A5FB4"/>
    <w:rsid w:val="004A7F6F"/>
    <w:rsid w:val="004B15D8"/>
    <w:rsid w:val="004B24C1"/>
    <w:rsid w:val="004B5351"/>
    <w:rsid w:val="004B79DD"/>
    <w:rsid w:val="004C292F"/>
    <w:rsid w:val="004C2EE9"/>
    <w:rsid w:val="004C5C89"/>
    <w:rsid w:val="004C711D"/>
    <w:rsid w:val="004C75A1"/>
    <w:rsid w:val="004D1D6D"/>
    <w:rsid w:val="004D4F0A"/>
    <w:rsid w:val="004D56B9"/>
    <w:rsid w:val="004E3212"/>
    <w:rsid w:val="004F25FC"/>
    <w:rsid w:val="004F49A3"/>
    <w:rsid w:val="004F49F6"/>
    <w:rsid w:val="004F73D0"/>
    <w:rsid w:val="004F7D5A"/>
    <w:rsid w:val="005008F7"/>
    <w:rsid w:val="00500D5A"/>
    <w:rsid w:val="00501741"/>
    <w:rsid w:val="00501F7B"/>
    <w:rsid w:val="0050461C"/>
    <w:rsid w:val="00506B1B"/>
    <w:rsid w:val="00507C63"/>
    <w:rsid w:val="00510280"/>
    <w:rsid w:val="00512188"/>
    <w:rsid w:val="00512F3E"/>
    <w:rsid w:val="00513D73"/>
    <w:rsid w:val="00514A43"/>
    <w:rsid w:val="005160E3"/>
    <w:rsid w:val="00516319"/>
    <w:rsid w:val="00516C20"/>
    <w:rsid w:val="005174E5"/>
    <w:rsid w:val="00522393"/>
    <w:rsid w:val="00522620"/>
    <w:rsid w:val="00525656"/>
    <w:rsid w:val="00525BC0"/>
    <w:rsid w:val="00527AF7"/>
    <w:rsid w:val="0053046D"/>
    <w:rsid w:val="00532043"/>
    <w:rsid w:val="00532518"/>
    <w:rsid w:val="00534764"/>
    <w:rsid w:val="00534C02"/>
    <w:rsid w:val="00535E75"/>
    <w:rsid w:val="00537046"/>
    <w:rsid w:val="00540BCD"/>
    <w:rsid w:val="00541D7D"/>
    <w:rsid w:val="0054264B"/>
    <w:rsid w:val="00543786"/>
    <w:rsid w:val="0054387C"/>
    <w:rsid w:val="00550E1B"/>
    <w:rsid w:val="00553231"/>
    <w:rsid w:val="005533D7"/>
    <w:rsid w:val="00555F2C"/>
    <w:rsid w:val="00557D42"/>
    <w:rsid w:val="005605B0"/>
    <w:rsid w:val="00562246"/>
    <w:rsid w:val="005636DF"/>
    <w:rsid w:val="00563EBE"/>
    <w:rsid w:val="00564C39"/>
    <w:rsid w:val="00565966"/>
    <w:rsid w:val="00570354"/>
    <w:rsid w:val="005703DE"/>
    <w:rsid w:val="00570CF6"/>
    <w:rsid w:val="0057196D"/>
    <w:rsid w:val="0057242D"/>
    <w:rsid w:val="005725BC"/>
    <w:rsid w:val="0057501A"/>
    <w:rsid w:val="00575A21"/>
    <w:rsid w:val="00575F5E"/>
    <w:rsid w:val="00581128"/>
    <w:rsid w:val="00582851"/>
    <w:rsid w:val="0058464E"/>
    <w:rsid w:val="0058610C"/>
    <w:rsid w:val="0059030D"/>
    <w:rsid w:val="00593AE4"/>
    <w:rsid w:val="00593B48"/>
    <w:rsid w:val="00596272"/>
    <w:rsid w:val="005A01CB"/>
    <w:rsid w:val="005A0D5D"/>
    <w:rsid w:val="005A0D62"/>
    <w:rsid w:val="005A52E4"/>
    <w:rsid w:val="005A58FF"/>
    <w:rsid w:val="005A5EAF"/>
    <w:rsid w:val="005A64C0"/>
    <w:rsid w:val="005A7487"/>
    <w:rsid w:val="005B0023"/>
    <w:rsid w:val="005B0A4B"/>
    <w:rsid w:val="005B2597"/>
    <w:rsid w:val="005B3C11"/>
    <w:rsid w:val="005B4FF9"/>
    <w:rsid w:val="005B5A19"/>
    <w:rsid w:val="005C0079"/>
    <w:rsid w:val="005C1706"/>
    <w:rsid w:val="005C1C28"/>
    <w:rsid w:val="005C53B2"/>
    <w:rsid w:val="005C6318"/>
    <w:rsid w:val="005C6DB5"/>
    <w:rsid w:val="005D065B"/>
    <w:rsid w:val="005D0D3E"/>
    <w:rsid w:val="005D3667"/>
    <w:rsid w:val="005D39B7"/>
    <w:rsid w:val="005D5259"/>
    <w:rsid w:val="005E19E7"/>
    <w:rsid w:val="005E1AC6"/>
    <w:rsid w:val="005E232A"/>
    <w:rsid w:val="005E259F"/>
    <w:rsid w:val="005E2F89"/>
    <w:rsid w:val="005E59DE"/>
    <w:rsid w:val="005E60CE"/>
    <w:rsid w:val="005E719F"/>
    <w:rsid w:val="005F0D35"/>
    <w:rsid w:val="005F3A96"/>
    <w:rsid w:val="005F724D"/>
    <w:rsid w:val="005F7640"/>
    <w:rsid w:val="005F7E9E"/>
    <w:rsid w:val="0060413E"/>
    <w:rsid w:val="00604B74"/>
    <w:rsid w:val="00607EC9"/>
    <w:rsid w:val="006126C0"/>
    <w:rsid w:val="006128E9"/>
    <w:rsid w:val="00613653"/>
    <w:rsid w:val="006149F1"/>
    <w:rsid w:val="0061716C"/>
    <w:rsid w:val="006243A1"/>
    <w:rsid w:val="00625873"/>
    <w:rsid w:val="00626B20"/>
    <w:rsid w:val="006278EC"/>
    <w:rsid w:val="006305B2"/>
    <w:rsid w:val="0063162D"/>
    <w:rsid w:val="00631E62"/>
    <w:rsid w:val="0063200E"/>
    <w:rsid w:val="0063229D"/>
    <w:rsid w:val="00632E56"/>
    <w:rsid w:val="00635CBA"/>
    <w:rsid w:val="006372CF"/>
    <w:rsid w:val="006407B5"/>
    <w:rsid w:val="00641185"/>
    <w:rsid w:val="006428DD"/>
    <w:rsid w:val="0064338B"/>
    <w:rsid w:val="00646542"/>
    <w:rsid w:val="006474F5"/>
    <w:rsid w:val="006504F4"/>
    <w:rsid w:val="006507F4"/>
    <w:rsid w:val="00651F45"/>
    <w:rsid w:val="00654BC9"/>
    <w:rsid w:val="006552CA"/>
    <w:rsid w:val="006552FD"/>
    <w:rsid w:val="0065690F"/>
    <w:rsid w:val="006571F2"/>
    <w:rsid w:val="00663AF3"/>
    <w:rsid w:val="00666B6C"/>
    <w:rsid w:val="00666C42"/>
    <w:rsid w:val="0066776B"/>
    <w:rsid w:val="0066799C"/>
    <w:rsid w:val="00671963"/>
    <w:rsid w:val="00672D1D"/>
    <w:rsid w:val="00674E9D"/>
    <w:rsid w:val="00675F88"/>
    <w:rsid w:val="00676405"/>
    <w:rsid w:val="00682682"/>
    <w:rsid w:val="00682702"/>
    <w:rsid w:val="00682CAE"/>
    <w:rsid w:val="00682DF1"/>
    <w:rsid w:val="00684333"/>
    <w:rsid w:val="00687003"/>
    <w:rsid w:val="0068761D"/>
    <w:rsid w:val="00692368"/>
    <w:rsid w:val="00692DB1"/>
    <w:rsid w:val="00693782"/>
    <w:rsid w:val="00693C38"/>
    <w:rsid w:val="006959D6"/>
    <w:rsid w:val="006A0055"/>
    <w:rsid w:val="006A01CA"/>
    <w:rsid w:val="006A0D44"/>
    <w:rsid w:val="006A160C"/>
    <w:rsid w:val="006A1AB3"/>
    <w:rsid w:val="006A227E"/>
    <w:rsid w:val="006A2EBC"/>
    <w:rsid w:val="006A5EA0"/>
    <w:rsid w:val="006A691E"/>
    <w:rsid w:val="006A783B"/>
    <w:rsid w:val="006A7B33"/>
    <w:rsid w:val="006B0130"/>
    <w:rsid w:val="006B020F"/>
    <w:rsid w:val="006B204A"/>
    <w:rsid w:val="006B2306"/>
    <w:rsid w:val="006B2CB6"/>
    <w:rsid w:val="006B4E13"/>
    <w:rsid w:val="006B61FC"/>
    <w:rsid w:val="006B6203"/>
    <w:rsid w:val="006B75DD"/>
    <w:rsid w:val="006C08B7"/>
    <w:rsid w:val="006C145F"/>
    <w:rsid w:val="006C1A24"/>
    <w:rsid w:val="006C2666"/>
    <w:rsid w:val="006C62D5"/>
    <w:rsid w:val="006C67E0"/>
    <w:rsid w:val="006C7ABA"/>
    <w:rsid w:val="006D0D60"/>
    <w:rsid w:val="006D1122"/>
    <w:rsid w:val="006D2090"/>
    <w:rsid w:val="006D2F81"/>
    <w:rsid w:val="006D3C00"/>
    <w:rsid w:val="006D4330"/>
    <w:rsid w:val="006D5156"/>
    <w:rsid w:val="006D6CF4"/>
    <w:rsid w:val="006E05BB"/>
    <w:rsid w:val="006E11C4"/>
    <w:rsid w:val="006E2AF4"/>
    <w:rsid w:val="006E3675"/>
    <w:rsid w:val="006E431E"/>
    <w:rsid w:val="006E4A7F"/>
    <w:rsid w:val="006E4BEC"/>
    <w:rsid w:val="006E59DB"/>
    <w:rsid w:val="006E60BF"/>
    <w:rsid w:val="006F12C6"/>
    <w:rsid w:val="006F39FB"/>
    <w:rsid w:val="006F5451"/>
    <w:rsid w:val="006F7139"/>
    <w:rsid w:val="006F75ED"/>
    <w:rsid w:val="00701D24"/>
    <w:rsid w:val="0070374C"/>
    <w:rsid w:val="007045DE"/>
    <w:rsid w:val="00704DF6"/>
    <w:rsid w:val="0070651C"/>
    <w:rsid w:val="00710440"/>
    <w:rsid w:val="007124B8"/>
    <w:rsid w:val="00712A29"/>
    <w:rsid w:val="007132A3"/>
    <w:rsid w:val="007134EB"/>
    <w:rsid w:val="0071447D"/>
    <w:rsid w:val="00715A69"/>
    <w:rsid w:val="00716421"/>
    <w:rsid w:val="007248B4"/>
    <w:rsid w:val="00724EFB"/>
    <w:rsid w:val="00725FD8"/>
    <w:rsid w:val="00726FFE"/>
    <w:rsid w:val="0073036F"/>
    <w:rsid w:val="007334E0"/>
    <w:rsid w:val="00736C24"/>
    <w:rsid w:val="007374BF"/>
    <w:rsid w:val="00737E47"/>
    <w:rsid w:val="007419C3"/>
    <w:rsid w:val="0074261B"/>
    <w:rsid w:val="00744814"/>
    <w:rsid w:val="00744F22"/>
    <w:rsid w:val="007454DE"/>
    <w:rsid w:val="00745EE3"/>
    <w:rsid w:val="007467A7"/>
    <w:rsid w:val="007469DD"/>
    <w:rsid w:val="0074741B"/>
    <w:rsid w:val="0074759E"/>
    <w:rsid w:val="007478EA"/>
    <w:rsid w:val="007500DC"/>
    <w:rsid w:val="0075415C"/>
    <w:rsid w:val="007549D1"/>
    <w:rsid w:val="00756937"/>
    <w:rsid w:val="00756A6C"/>
    <w:rsid w:val="00762999"/>
    <w:rsid w:val="00762B7C"/>
    <w:rsid w:val="00763502"/>
    <w:rsid w:val="00765BCC"/>
    <w:rsid w:val="00766ABD"/>
    <w:rsid w:val="00770A68"/>
    <w:rsid w:val="0077339F"/>
    <w:rsid w:val="0077415E"/>
    <w:rsid w:val="00774FCA"/>
    <w:rsid w:val="00780812"/>
    <w:rsid w:val="007823C1"/>
    <w:rsid w:val="007863B8"/>
    <w:rsid w:val="007909D8"/>
    <w:rsid w:val="007913AB"/>
    <w:rsid w:val="007914F7"/>
    <w:rsid w:val="00794147"/>
    <w:rsid w:val="007972CC"/>
    <w:rsid w:val="00797409"/>
    <w:rsid w:val="007A17DD"/>
    <w:rsid w:val="007A6D6B"/>
    <w:rsid w:val="007B1625"/>
    <w:rsid w:val="007B2949"/>
    <w:rsid w:val="007B3631"/>
    <w:rsid w:val="007B4AAB"/>
    <w:rsid w:val="007B5A52"/>
    <w:rsid w:val="007B65F0"/>
    <w:rsid w:val="007B6C5B"/>
    <w:rsid w:val="007B706E"/>
    <w:rsid w:val="007B71EB"/>
    <w:rsid w:val="007B7457"/>
    <w:rsid w:val="007B7A39"/>
    <w:rsid w:val="007C1A4D"/>
    <w:rsid w:val="007C24C3"/>
    <w:rsid w:val="007C6205"/>
    <w:rsid w:val="007C6359"/>
    <w:rsid w:val="007C686A"/>
    <w:rsid w:val="007C728E"/>
    <w:rsid w:val="007C7EA8"/>
    <w:rsid w:val="007C7F3F"/>
    <w:rsid w:val="007D2C53"/>
    <w:rsid w:val="007D3D60"/>
    <w:rsid w:val="007D5174"/>
    <w:rsid w:val="007D66C9"/>
    <w:rsid w:val="007D6B2A"/>
    <w:rsid w:val="007E1980"/>
    <w:rsid w:val="007E1EEB"/>
    <w:rsid w:val="007E4B76"/>
    <w:rsid w:val="007E4BED"/>
    <w:rsid w:val="007E5EA8"/>
    <w:rsid w:val="007E6D5E"/>
    <w:rsid w:val="007F052A"/>
    <w:rsid w:val="007F0CF1"/>
    <w:rsid w:val="007F12A5"/>
    <w:rsid w:val="007F1923"/>
    <w:rsid w:val="007F26FD"/>
    <w:rsid w:val="007F4CF1"/>
    <w:rsid w:val="007F758D"/>
    <w:rsid w:val="007F7D52"/>
    <w:rsid w:val="007F7FC4"/>
    <w:rsid w:val="00801608"/>
    <w:rsid w:val="00802672"/>
    <w:rsid w:val="00804503"/>
    <w:rsid w:val="00805705"/>
    <w:rsid w:val="0080654C"/>
    <w:rsid w:val="00806796"/>
    <w:rsid w:val="008071C6"/>
    <w:rsid w:val="00807205"/>
    <w:rsid w:val="0080769E"/>
    <w:rsid w:val="00812D4B"/>
    <w:rsid w:val="00813900"/>
    <w:rsid w:val="00814471"/>
    <w:rsid w:val="00814795"/>
    <w:rsid w:val="00815D7E"/>
    <w:rsid w:val="00817A00"/>
    <w:rsid w:val="008203B6"/>
    <w:rsid w:val="0082108D"/>
    <w:rsid w:val="00821CAE"/>
    <w:rsid w:val="008235F0"/>
    <w:rsid w:val="00823F91"/>
    <w:rsid w:val="00825DC3"/>
    <w:rsid w:val="00826E5F"/>
    <w:rsid w:val="008312A3"/>
    <w:rsid w:val="00831AA2"/>
    <w:rsid w:val="00834220"/>
    <w:rsid w:val="00835DB3"/>
    <w:rsid w:val="0083617B"/>
    <w:rsid w:val="008370D2"/>
    <w:rsid w:val="008371BD"/>
    <w:rsid w:val="00841E8E"/>
    <w:rsid w:val="0084297F"/>
    <w:rsid w:val="00843283"/>
    <w:rsid w:val="008446E3"/>
    <w:rsid w:val="008447FF"/>
    <w:rsid w:val="00844A26"/>
    <w:rsid w:val="008504A8"/>
    <w:rsid w:val="0085202D"/>
    <w:rsid w:val="00852108"/>
    <w:rsid w:val="0085282E"/>
    <w:rsid w:val="008652BC"/>
    <w:rsid w:val="00867FDC"/>
    <w:rsid w:val="0087198C"/>
    <w:rsid w:val="00872C1F"/>
    <w:rsid w:val="008735C6"/>
    <w:rsid w:val="00873B42"/>
    <w:rsid w:val="00873F6C"/>
    <w:rsid w:val="008768B0"/>
    <w:rsid w:val="00885446"/>
    <w:rsid w:val="008856D8"/>
    <w:rsid w:val="00885AD8"/>
    <w:rsid w:val="00885F7A"/>
    <w:rsid w:val="0089069C"/>
    <w:rsid w:val="008916C2"/>
    <w:rsid w:val="00892E82"/>
    <w:rsid w:val="00893D49"/>
    <w:rsid w:val="00896411"/>
    <w:rsid w:val="00896E69"/>
    <w:rsid w:val="008A1536"/>
    <w:rsid w:val="008A236D"/>
    <w:rsid w:val="008A753A"/>
    <w:rsid w:val="008A75BD"/>
    <w:rsid w:val="008B276C"/>
    <w:rsid w:val="008B3473"/>
    <w:rsid w:val="008B7032"/>
    <w:rsid w:val="008C06EB"/>
    <w:rsid w:val="008C1B4A"/>
    <w:rsid w:val="008C1B58"/>
    <w:rsid w:val="008C1E50"/>
    <w:rsid w:val="008C39AE"/>
    <w:rsid w:val="008C54F4"/>
    <w:rsid w:val="008C590D"/>
    <w:rsid w:val="008C67C7"/>
    <w:rsid w:val="008C6BA3"/>
    <w:rsid w:val="008C6F06"/>
    <w:rsid w:val="008C782C"/>
    <w:rsid w:val="008D0215"/>
    <w:rsid w:val="008D06E7"/>
    <w:rsid w:val="008D1911"/>
    <w:rsid w:val="008D2FAF"/>
    <w:rsid w:val="008D3E2C"/>
    <w:rsid w:val="008D55FD"/>
    <w:rsid w:val="008D564F"/>
    <w:rsid w:val="008D565B"/>
    <w:rsid w:val="008D6781"/>
    <w:rsid w:val="008D72AE"/>
    <w:rsid w:val="008D758F"/>
    <w:rsid w:val="008E031B"/>
    <w:rsid w:val="008E059C"/>
    <w:rsid w:val="008E1C59"/>
    <w:rsid w:val="008E581A"/>
    <w:rsid w:val="008E5E48"/>
    <w:rsid w:val="008E7029"/>
    <w:rsid w:val="008E7749"/>
    <w:rsid w:val="008E7EF6"/>
    <w:rsid w:val="008F0092"/>
    <w:rsid w:val="008F1E61"/>
    <w:rsid w:val="008F1F98"/>
    <w:rsid w:val="008F329C"/>
    <w:rsid w:val="008F4675"/>
    <w:rsid w:val="008F650E"/>
    <w:rsid w:val="008F6758"/>
    <w:rsid w:val="008F692D"/>
    <w:rsid w:val="008F716A"/>
    <w:rsid w:val="00900275"/>
    <w:rsid w:val="00903C64"/>
    <w:rsid w:val="009040DD"/>
    <w:rsid w:val="00904828"/>
    <w:rsid w:val="00905B47"/>
    <w:rsid w:val="009072C5"/>
    <w:rsid w:val="00911190"/>
    <w:rsid w:val="00913224"/>
    <w:rsid w:val="0091331C"/>
    <w:rsid w:val="00913C85"/>
    <w:rsid w:val="00915E33"/>
    <w:rsid w:val="00921F4F"/>
    <w:rsid w:val="00922992"/>
    <w:rsid w:val="009257CC"/>
    <w:rsid w:val="00927443"/>
    <w:rsid w:val="009279DE"/>
    <w:rsid w:val="00930116"/>
    <w:rsid w:val="00930D34"/>
    <w:rsid w:val="00935495"/>
    <w:rsid w:val="00936757"/>
    <w:rsid w:val="0094212C"/>
    <w:rsid w:val="009427D3"/>
    <w:rsid w:val="009438A2"/>
    <w:rsid w:val="0094647C"/>
    <w:rsid w:val="009468EF"/>
    <w:rsid w:val="0095100A"/>
    <w:rsid w:val="009543BE"/>
    <w:rsid w:val="0095442D"/>
    <w:rsid w:val="00954689"/>
    <w:rsid w:val="00955A90"/>
    <w:rsid w:val="00955E6E"/>
    <w:rsid w:val="009617C9"/>
    <w:rsid w:val="00961C93"/>
    <w:rsid w:val="00963DD4"/>
    <w:rsid w:val="00965324"/>
    <w:rsid w:val="009669E2"/>
    <w:rsid w:val="0097058A"/>
    <w:rsid w:val="0097091E"/>
    <w:rsid w:val="009739DE"/>
    <w:rsid w:val="009760D3"/>
    <w:rsid w:val="009770CC"/>
    <w:rsid w:val="00977132"/>
    <w:rsid w:val="009805EA"/>
    <w:rsid w:val="0098100A"/>
    <w:rsid w:val="00981A4B"/>
    <w:rsid w:val="00982501"/>
    <w:rsid w:val="00986B9C"/>
    <w:rsid w:val="009877D3"/>
    <w:rsid w:val="00987806"/>
    <w:rsid w:val="00990471"/>
    <w:rsid w:val="0099200F"/>
    <w:rsid w:val="00992CA5"/>
    <w:rsid w:val="009939DD"/>
    <w:rsid w:val="009947CD"/>
    <w:rsid w:val="00994E8F"/>
    <w:rsid w:val="009951DC"/>
    <w:rsid w:val="009958CA"/>
    <w:rsid w:val="009959BB"/>
    <w:rsid w:val="0099714D"/>
    <w:rsid w:val="00997158"/>
    <w:rsid w:val="009A1324"/>
    <w:rsid w:val="009A2D72"/>
    <w:rsid w:val="009A3A7C"/>
    <w:rsid w:val="009A6F7F"/>
    <w:rsid w:val="009A7597"/>
    <w:rsid w:val="009B2293"/>
    <w:rsid w:val="009B2ADB"/>
    <w:rsid w:val="009B603A"/>
    <w:rsid w:val="009C0054"/>
    <w:rsid w:val="009C0DF3"/>
    <w:rsid w:val="009C2D0E"/>
    <w:rsid w:val="009C3814"/>
    <w:rsid w:val="009C3DAC"/>
    <w:rsid w:val="009C42E0"/>
    <w:rsid w:val="009C6B8E"/>
    <w:rsid w:val="009D206E"/>
    <w:rsid w:val="009D42F1"/>
    <w:rsid w:val="009D5362"/>
    <w:rsid w:val="009D7D2E"/>
    <w:rsid w:val="009E021F"/>
    <w:rsid w:val="009E1415"/>
    <w:rsid w:val="009E4D58"/>
    <w:rsid w:val="009E60F2"/>
    <w:rsid w:val="009E6116"/>
    <w:rsid w:val="009F096B"/>
    <w:rsid w:val="009F14AB"/>
    <w:rsid w:val="009F31C5"/>
    <w:rsid w:val="00A020A7"/>
    <w:rsid w:val="00A02E43"/>
    <w:rsid w:val="00A036F9"/>
    <w:rsid w:val="00A03AD6"/>
    <w:rsid w:val="00A05ACB"/>
    <w:rsid w:val="00A05F3A"/>
    <w:rsid w:val="00A065F9"/>
    <w:rsid w:val="00A07F34"/>
    <w:rsid w:val="00A10EDD"/>
    <w:rsid w:val="00A12E22"/>
    <w:rsid w:val="00A13FFC"/>
    <w:rsid w:val="00A14968"/>
    <w:rsid w:val="00A16306"/>
    <w:rsid w:val="00A22154"/>
    <w:rsid w:val="00A24CA6"/>
    <w:rsid w:val="00A25C38"/>
    <w:rsid w:val="00A27CA2"/>
    <w:rsid w:val="00A31C69"/>
    <w:rsid w:val="00A324E9"/>
    <w:rsid w:val="00A3328C"/>
    <w:rsid w:val="00A3618A"/>
    <w:rsid w:val="00A36B07"/>
    <w:rsid w:val="00A36BBE"/>
    <w:rsid w:val="00A37E7F"/>
    <w:rsid w:val="00A403E4"/>
    <w:rsid w:val="00A40DA4"/>
    <w:rsid w:val="00A4175A"/>
    <w:rsid w:val="00A4307A"/>
    <w:rsid w:val="00A45884"/>
    <w:rsid w:val="00A46208"/>
    <w:rsid w:val="00A47EBB"/>
    <w:rsid w:val="00A5103A"/>
    <w:rsid w:val="00A51890"/>
    <w:rsid w:val="00A51CDD"/>
    <w:rsid w:val="00A542D0"/>
    <w:rsid w:val="00A54FD3"/>
    <w:rsid w:val="00A5580E"/>
    <w:rsid w:val="00A5714F"/>
    <w:rsid w:val="00A62133"/>
    <w:rsid w:val="00A62EA1"/>
    <w:rsid w:val="00A6457A"/>
    <w:rsid w:val="00A66513"/>
    <w:rsid w:val="00A6730D"/>
    <w:rsid w:val="00A70562"/>
    <w:rsid w:val="00A7086D"/>
    <w:rsid w:val="00A70B14"/>
    <w:rsid w:val="00A71074"/>
    <w:rsid w:val="00A71625"/>
    <w:rsid w:val="00A71B9B"/>
    <w:rsid w:val="00A72534"/>
    <w:rsid w:val="00A751C7"/>
    <w:rsid w:val="00A75AE0"/>
    <w:rsid w:val="00A769E6"/>
    <w:rsid w:val="00A77E57"/>
    <w:rsid w:val="00A80D1E"/>
    <w:rsid w:val="00A8178C"/>
    <w:rsid w:val="00A81974"/>
    <w:rsid w:val="00A82E0D"/>
    <w:rsid w:val="00A82FD1"/>
    <w:rsid w:val="00A836A4"/>
    <w:rsid w:val="00A84780"/>
    <w:rsid w:val="00A84816"/>
    <w:rsid w:val="00A86922"/>
    <w:rsid w:val="00A873DE"/>
    <w:rsid w:val="00A87798"/>
    <w:rsid w:val="00A87844"/>
    <w:rsid w:val="00A95699"/>
    <w:rsid w:val="00A977ED"/>
    <w:rsid w:val="00A97921"/>
    <w:rsid w:val="00AA038C"/>
    <w:rsid w:val="00AA2185"/>
    <w:rsid w:val="00AA3705"/>
    <w:rsid w:val="00AA7A09"/>
    <w:rsid w:val="00AB3235"/>
    <w:rsid w:val="00AB3B1C"/>
    <w:rsid w:val="00AB3B50"/>
    <w:rsid w:val="00AB4665"/>
    <w:rsid w:val="00AB5E69"/>
    <w:rsid w:val="00AB5FFA"/>
    <w:rsid w:val="00AB78F9"/>
    <w:rsid w:val="00AC05B1"/>
    <w:rsid w:val="00AC06A3"/>
    <w:rsid w:val="00AC08AB"/>
    <w:rsid w:val="00AC164A"/>
    <w:rsid w:val="00AC3B75"/>
    <w:rsid w:val="00AC5220"/>
    <w:rsid w:val="00AC5D4C"/>
    <w:rsid w:val="00AC63DF"/>
    <w:rsid w:val="00AD356C"/>
    <w:rsid w:val="00AD5177"/>
    <w:rsid w:val="00AD6053"/>
    <w:rsid w:val="00AD62FE"/>
    <w:rsid w:val="00AD7634"/>
    <w:rsid w:val="00AD7D5B"/>
    <w:rsid w:val="00AE0EE4"/>
    <w:rsid w:val="00AE2914"/>
    <w:rsid w:val="00AE33F9"/>
    <w:rsid w:val="00AE375D"/>
    <w:rsid w:val="00AE4FD7"/>
    <w:rsid w:val="00AE647E"/>
    <w:rsid w:val="00AE6D15"/>
    <w:rsid w:val="00AE7097"/>
    <w:rsid w:val="00AE7116"/>
    <w:rsid w:val="00AE7AC7"/>
    <w:rsid w:val="00AF122C"/>
    <w:rsid w:val="00AF128B"/>
    <w:rsid w:val="00AF28B2"/>
    <w:rsid w:val="00AF3D92"/>
    <w:rsid w:val="00AF5774"/>
    <w:rsid w:val="00B00E13"/>
    <w:rsid w:val="00B017DA"/>
    <w:rsid w:val="00B02CB7"/>
    <w:rsid w:val="00B04182"/>
    <w:rsid w:val="00B05887"/>
    <w:rsid w:val="00B06C4F"/>
    <w:rsid w:val="00B07AE3"/>
    <w:rsid w:val="00B07CCD"/>
    <w:rsid w:val="00B10718"/>
    <w:rsid w:val="00B10F81"/>
    <w:rsid w:val="00B11430"/>
    <w:rsid w:val="00B11D69"/>
    <w:rsid w:val="00B11EF6"/>
    <w:rsid w:val="00B1718F"/>
    <w:rsid w:val="00B23A84"/>
    <w:rsid w:val="00B242BD"/>
    <w:rsid w:val="00B26FAF"/>
    <w:rsid w:val="00B305DE"/>
    <w:rsid w:val="00B32474"/>
    <w:rsid w:val="00B353EB"/>
    <w:rsid w:val="00B3550C"/>
    <w:rsid w:val="00B402AB"/>
    <w:rsid w:val="00B439C4"/>
    <w:rsid w:val="00B4535E"/>
    <w:rsid w:val="00B479C9"/>
    <w:rsid w:val="00B517F0"/>
    <w:rsid w:val="00B52554"/>
    <w:rsid w:val="00B52A8C"/>
    <w:rsid w:val="00B5449E"/>
    <w:rsid w:val="00B56A98"/>
    <w:rsid w:val="00B57EF4"/>
    <w:rsid w:val="00B61351"/>
    <w:rsid w:val="00B61764"/>
    <w:rsid w:val="00B62189"/>
    <w:rsid w:val="00B621AD"/>
    <w:rsid w:val="00B624C8"/>
    <w:rsid w:val="00B636A8"/>
    <w:rsid w:val="00B6444E"/>
    <w:rsid w:val="00B665C6"/>
    <w:rsid w:val="00B7048A"/>
    <w:rsid w:val="00B70A90"/>
    <w:rsid w:val="00B711D1"/>
    <w:rsid w:val="00B71E88"/>
    <w:rsid w:val="00B72441"/>
    <w:rsid w:val="00B7534A"/>
    <w:rsid w:val="00B805AF"/>
    <w:rsid w:val="00B82543"/>
    <w:rsid w:val="00B869EC"/>
    <w:rsid w:val="00B86D82"/>
    <w:rsid w:val="00B86DC7"/>
    <w:rsid w:val="00B91979"/>
    <w:rsid w:val="00B91C4A"/>
    <w:rsid w:val="00B93704"/>
    <w:rsid w:val="00B9397A"/>
    <w:rsid w:val="00B939D2"/>
    <w:rsid w:val="00B9633D"/>
    <w:rsid w:val="00BA0447"/>
    <w:rsid w:val="00BA0B75"/>
    <w:rsid w:val="00BA1C07"/>
    <w:rsid w:val="00BA2810"/>
    <w:rsid w:val="00BA29A2"/>
    <w:rsid w:val="00BA2EBE"/>
    <w:rsid w:val="00BA6962"/>
    <w:rsid w:val="00BA6D23"/>
    <w:rsid w:val="00BB0E1E"/>
    <w:rsid w:val="00BB0F28"/>
    <w:rsid w:val="00BB2720"/>
    <w:rsid w:val="00BB2F33"/>
    <w:rsid w:val="00BB3ED1"/>
    <w:rsid w:val="00BB458A"/>
    <w:rsid w:val="00BB7251"/>
    <w:rsid w:val="00BB73FC"/>
    <w:rsid w:val="00BB7A92"/>
    <w:rsid w:val="00BC17FE"/>
    <w:rsid w:val="00BC256C"/>
    <w:rsid w:val="00BC2D92"/>
    <w:rsid w:val="00BC3D45"/>
    <w:rsid w:val="00BC6A9F"/>
    <w:rsid w:val="00BD00D3"/>
    <w:rsid w:val="00BD0356"/>
    <w:rsid w:val="00BD0785"/>
    <w:rsid w:val="00BD1659"/>
    <w:rsid w:val="00BD3AA9"/>
    <w:rsid w:val="00BD4A18"/>
    <w:rsid w:val="00BD5ABE"/>
    <w:rsid w:val="00BD69A8"/>
    <w:rsid w:val="00BD6DB2"/>
    <w:rsid w:val="00BD79B5"/>
    <w:rsid w:val="00BE11CF"/>
    <w:rsid w:val="00BE21AB"/>
    <w:rsid w:val="00BE4DC9"/>
    <w:rsid w:val="00BE55CB"/>
    <w:rsid w:val="00BE60C2"/>
    <w:rsid w:val="00BF617A"/>
    <w:rsid w:val="00BF6FCE"/>
    <w:rsid w:val="00BF7E3E"/>
    <w:rsid w:val="00C00794"/>
    <w:rsid w:val="00C01210"/>
    <w:rsid w:val="00C0349C"/>
    <w:rsid w:val="00C0378F"/>
    <w:rsid w:val="00C0379D"/>
    <w:rsid w:val="00C038E9"/>
    <w:rsid w:val="00C03931"/>
    <w:rsid w:val="00C04D89"/>
    <w:rsid w:val="00C05A76"/>
    <w:rsid w:val="00C05FE3"/>
    <w:rsid w:val="00C153C6"/>
    <w:rsid w:val="00C1634B"/>
    <w:rsid w:val="00C16D42"/>
    <w:rsid w:val="00C2136D"/>
    <w:rsid w:val="00C214EE"/>
    <w:rsid w:val="00C2314B"/>
    <w:rsid w:val="00C24971"/>
    <w:rsid w:val="00C25296"/>
    <w:rsid w:val="00C26BE5"/>
    <w:rsid w:val="00C26E4D"/>
    <w:rsid w:val="00C27357"/>
    <w:rsid w:val="00C27909"/>
    <w:rsid w:val="00C27B03"/>
    <w:rsid w:val="00C3076F"/>
    <w:rsid w:val="00C30D69"/>
    <w:rsid w:val="00C314E1"/>
    <w:rsid w:val="00C34397"/>
    <w:rsid w:val="00C34927"/>
    <w:rsid w:val="00C34E41"/>
    <w:rsid w:val="00C361CD"/>
    <w:rsid w:val="00C36205"/>
    <w:rsid w:val="00C36721"/>
    <w:rsid w:val="00C368BE"/>
    <w:rsid w:val="00C36EE5"/>
    <w:rsid w:val="00C3788B"/>
    <w:rsid w:val="00C4095D"/>
    <w:rsid w:val="00C447C4"/>
    <w:rsid w:val="00C4529D"/>
    <w:rsid w:val="00C47D1A"/>
    <w:rsid w:val="00C528D4"/>
    <w:rsid w:val="00C53475"/>
    <w:rsid w:val="00C55A36"/>
    <w:rsid w:val="00C601D2"/>
    <w:rsid w:val="00C62D85"/>
    <w:rsid w:val="00C65BCC"/>
    <w:rsid w:val="00C65FBC"/>
    <w:rsid w:val="00C66970"/>
    <w:rsid w:val="00C732CC"/>
    <w:rsid w:val="00C746FB"/>
    <w:rsid w:val="00C74886"/>
    <w:rsid w:val="00C776AA"/>
    <w:rsid w:val="00C8340D"/>
    <w:rsid w:val="00C837DC"/>
    <w:rsid w:val="00C85A67"/>
    <w:rsid w:val="00C8691C"/>
    <w:rsid w:val="00C8772C"/>
    <w:rsid w:val="00C906E9"/>
    <w:rsid w:val="00C93987"/>
    <w:rsid w:val="00C952D7"/>
    <w:rsid w:val="00C97F28"/>
    <w:rsid w:val="00CA046B"/>
    <w:rsid w:val="00CA1225"/>
    <w:rsid w:val="00CA15B9"/>
    <w:rsid w:val="00CA168A"/>
    <w:rsid w:val="00CA3025"/>
    <w:rsid w:val="00CA357E"/>
    <w:rsid w:val="00CA417A"/>
    <w:rsid w:val="00CA44F9"/>
    <w:rsid w:val="00CA49C9"/>
    <w:rsid w:val="00CA4A69"/>
    <w:rsid w:val="00CB2D56"/>
    <w:rsid w:val="00CB40ED"/>
    <w:rsid w:val="00CB6968"/>
    <w:rsid w:val="00CB6E9C"/>
    <w:rsid w:val="00CC0922"/>
    <w:rsid w:val="00CC3E0C"/>
    <w:rsid w:val="00CC4599"/>
    <w:rsid w:val="00CC56E2"/>
    <w:rsid w:val="00CC58D3"/>
    <w:rsid w:val="00CC6BC3"/>
    <w:rsid w:val="00CC784D"/>
    <w:rsid w:val="00CD11F7"/>
    <w:rsid w:val="00CD2990"/>
    <w:rsid w:val="00CD7858"/>
    <w:rsid w:val="00CE0024"/>
    <w:rsid w:val="00CE095F"/>
    <w:rsid w:val="00CE287F"/>
    <w:rsid w:val="00CE2DDE"/>
    <w:rsid w:val="00CE50BB"/>
    <w:rsid w:val="00CE5BF1"/>
    <w:rsid w:val="00CE6C85"/>
    <w:rsid w:val="00CE7211"/>
    <w:rsid w:val="00CF1B01"/>
    <w:rsid w:val="00CF2C7A"/>
    <w:rsid w:val="00CF425A"/>
    <w:rsid w:val="00CF4B8D"/>
    <w:rsid w:val="00CF50A6"/>
    <w:rsid w:val="00CF51BD"/>
    <w:rsid w:val="00CF5580"/>
    <w:rsid w:val="00CF56F7"/>
    <w:rsid w:val="00CF753D"/>
    <w:rsid w:val="00D00C42"/>
    <w:rsid w:val="00D01A9E"/>
    <w:rsid w:val="00D02467"/>
    <w:rsid w:val="00D0337B"/>
    <w:rsid w:val="00D04DD5"/>
    <w:rsid w:val="00D079B2"/>
    <w:rsid w:val="00D114E9"/>
    <w:rsid w:val="00D116CD"/>
    <w:rsid w:val="00D11C0C"/>
    <w:rsid w:val="00D12E76"/>
    <w:rsid w:val="00D1417A"/>
    <w:rsid w:val="00D174F2"/>
    <w:rsid w:val="00D17A82"/>
    <w:rsid w:val="00D20C18"/>
    <w:rsid w:val="00D23FBF"/>
    <w:rsid w:val="00D258AB"/>
    <w:rsid w:val="00D30301"/>
    <w:rsid w:val="00D324D3"/>
    <w:rsid w:val="00D362A9"/>
    <w:rsid w:val="00D36907"/>
    <w:rsid w:val="00D42827"/>
    <w:rsid w:val="00D428C1"/>
    <w:rsid w:val="00D429C6"/>
    <w:rsid w:val="00D44827"/>
    <w:rsid w:val="00D46256"/>
    <w:rsid w:val="00D47748"/>
    <w:rsid w:val="00D4790D"/>
    <w:rsid w:val="00D523CD"/>
    <w:rsid w:val="00D54CC3"/>
    <w:rsid w:val="00D57710"/>
    <w:rsid w:val="00D603DE"/>
    <w:rsid w:val="00D6041A"/>
    <w:rsid w:val="00D62613"/>
    <w:rsid w:val="00D62B03"/>
    <w:rsid w:val="00D62B04"/>
    <w:rsid w:val="00D633EB"/>
    <w:rsid w:val="00D650D8"/>
    <w:rsid w:val="00D65A9F"/>
    <w:rsid w:val="00D65AA1"/>
    <w:rsid w:val="00D66B2B"/>
    <w:rsid w:val="00D6739B"/>
    <w:rsid w:val="00D71064"/>
    <w:rsid w:val="00D71773"/>
    <w:rsid w:val="00D7302C"/>
    <w:rsid w:val="00D73699"/>
    <w:rsid w:val="00D81822"/>
    <w:rsid w:val="00D81E9F"/>
    <w:rsid w:val="00D82FF7"/>
    <w:rsid w:val="00D83A1D"/>
    <w:rsid w:val="00D83E6E"/>
    <w:rsid w:val="00D847FE"/>
    <w:rsid w:val="00D87922"/>
    <w:rsid w:val="00D9055F"/>
    <w:rsid w:val="00D9070D"/>
    <w:rsid w:val="00D9262C"/>
    <w:rsid w:val="00D9303B"/>
    <w:rsid w:val="00D964EA"/>
    <w:rsid w:val="00D966D0"/>
    <w:rsid w:val="00DA01CB"/>
    <w:rsid w:val="00DA0C59"/>
    <w:rsid w:val="00DA1301"/>
    <w:rsid w:val="00DA3991"/>
    <w:rsid w:val="00DA3A47"/>
    <w:rsid w:val="00DA40E3"/>
    <w:rsid w:val="00DA5EE5"/>
    <w:rsid w:val="00DA7974"/>
    <w:rsid w:val="00DA79E0"/>
    <w:rsid w:val="00DB0990"/>
    <w:rsid w:val="00DB2C4C"/>
    <w:rsid w:val="00DB2C74"/>
    <w:rsid w:val="00DB56D7"/>
    <w:rsid w:val="00DB5AB6"/>
    <w:rsid w:val="00DB6F5C"/>
    <w:rsid w:val="00DB7A00"/>
    <w:rsid w:val="00DB7A07"/>
    <w:rsid w:val="00DB7E6C"/>
    <w:rsid w:val="00DC296C"/>
    <w:rsid w:val="00DC37E2"/>
    <w:rsid w:val="00DD0CAB"/>
    <w:rsid w:val="00DD17E6"/>
    <w:rsid w:val="00DD3358"/>
    <w:rsid w:val="00DD4A93"/>
    <w:rsid w:val="00DD4DEA"/>
    <w:rsid w:val="00DD5A29"/>
    <w:rsid w:val="00DD5D29"/>
    <w:rsid w:val="00DD5D9D"/>
    <w:rsid w:val="00DD6CAC"/>
    <w:rsid w:val="00DD7BD3"/>
    <w:rsid w:val="00DD7E5B"/>
    <w:rsid w:val="00DE24C8"/>
    <w:rsid w:val="00DE35CB"/>
    <w:rsid w:val="00DE51C9"/>
    <w:rsid w:val="00DE52AA"/>
    <w:rsid w:val="00DE7FF6"/>
    <w:rsid w:val="00DF031E"/>
    <w:rsid w:val="00DF19EC"/>
    <w:rsid w:val="00DF2084"/>
    <w:rsid w:val="00DF21E9"/>
    <w:rsid w:val="00DF3602"/>
    <w:rsid w:val="00DF5F6D"/>
    <w:rsid w:val="00DF7C76"/>
    <w:rsid w:val="00E0018E"/>
    <w:rsid w:val="00E00F14"/>
    <w:rsid w:val="00E0104C"/>
    <w:rsid w:val="00E01E5D"/>
    <w:rsid w:val="00E01FFC"/>
    <w:rsid w:val="00E0302E"/>
    <w:rsid w:val="00E05CDD"/>
    <w:rsid w:val="00E06386"/>
    <w:rsid w:val="00E117D0"/>
    <w:rsid w:val="00E12664"/>
    <w:rsid w:val="00E12A2F"/>
    <w:rsid w:val="00E15072"/>
    <w:rsid w:val="00E173CE"/>
    <w:rsid w:val="00E17A24"/>
    <w:rsid w:val="00E214BC"/>
    <w:rsid w:val="00E228EC"/>
    <w:rsid w:val="00E24B93"/>
    <w:rsid w:val="00E24EB4"/>
    <w:rsid w:val="00E26404"/>
    <w:rsid w:val="00E26AB3"/>
    <w:rsid w:val="00E3109D"/>
    <w:rsid w:val="00E320ED"/>
    <w:rsid w:val="00E32C33"/>
    <w:rsid w:val="00E333AF"/>
    <w:rsid w:val="00E339DA"/>
    <w:rsid w:val="00E33AFB"/>
    <w:rsid w:val="00E34218"/>
    <w:rsid w:val="00E36530"/>
    <w:rsid w:val="00E36BA6"/>
    <w:rsid w:val="00E44E1F"/>
    <w:rsid w:val="00E46282"/>
    <w:rsid w:val="00E46306"/>
    <w:rsid w:val="00E5216E"/>
    <w:rsid w:val="00E5457F"/>
    <w:rsid w:val="00E57187"/>
    <w:rsid w:val="00E6028C"/>
    <w:rsid w:val="00E6115B"/>
    <w:rsid w:val="00E67142"/>
    <w:rsid w:val="00E72AA5"/>
    <w:rsid w:val="00E7378A"/>
    <w:rsid w:val="00E73E16"/>
    <w:rsid w:val="00E7509E"/>
    <w:rsid w:val="00E7613A"/>
    <w:rsid w:val="00E807F5"/>
    <w:rsid w:val="00E80978"/>
    <w:rsid w:val="00E81396"/>
    <w:rsid w:val="00E81A7A"/>
    <w:rsid w:val="00E81D77"/>
    <w:rsid w:val="00E82344"/>
    <w:rsid w:val="00E82EC9"/>
    <w:rsid w:val="00E84C82"/>
    <w:rsid w:val="00E84D64"/>
    <w:rsid w:val="00E86E3C"/>
    <w:rsid w:val="00E87408"/>
    <w:rsid w:val="00E914C4"/>
    <w:rsid w:val="00E934F5"/>
    <w:rsid w:val="00E95524"/>
    <w:rsid w:val="00E96961"/>
    <w:rsid w:val="00E9789B"/>
    <w:rsid w:val="00E978C6"/>
    <w:rsid w:val="00EA3C1C"/>
    <w:rsid w:val="00EA604D"/>
    <w:rsid w:val="00EA6ED4"/>
    <w:rsid w:val="00EA72EC"/>
    <w:rsid w:val="00EB11CB"/>
    <w:rsid w:val="00EB19CE"/>
    <w:rsid w:val="00EB1ABF"/>
    <w:rsid w:val="00EB275A"/>
    <w:rsid w:val="00EB29A1"/>
    <w:rsid w:val="00EB468B"/>
    <w:rsid w:val="00EB4D7C"/>
    <w:rsid w:val="00EB6345"/>
    <w:rsid w:val="00EB786A"/>
    <w:rsid w:val="00EC1578"/>
    <w:rsid w:val="00EC1C72"/>
    <w:rsid w:val="00EC1F42"/>
    <w:rsid w:val="00EC385A"/>
    <w:rsid w:val="00EC3CC9"/>
    <w:rsid w:val="00EC55A7"/>
    <w:rsid w:val="00EC6047"/>
    <w:rsid w:val="00EC680A"/>
    <w:rsid w:val="00ED14EF"/>
    <w:rsid w:val="00ED35D0"/>
    <w:rsid w:val="00ED3CF3"/>
    <w:rsid w:val="00ED532B"/>
    <w:rsid w:val="00ED7160"/>
    <w:rsid w:val="00ED7999"/>
    <w:rsid w:val="00ED7F55"/>
    <w:rsid w:val="00EE2BED"/>
    <w:rsid w:val="00EE374B"/>
    <w:rsid w:val="00EE39A6"/>
    <w:rsid w:val="00EE430A"/>
    <w:rsid w:val="00EE5C86"/>
    <w:rsid w:val="00EE62B1"/>
    <w:rsid w:val="00EE62FA"/>
    <w:rsid w:val="00EE7AF7"/>
    <w:rsid w:val="00EF08D1"/>
    <w:rsid w:val="00EF1500"/>
    <w:rsid w:val="00EF27A7"/>
    <w:rsid w:val="00EF2FAB"/>
    <w:rsid w:val="00EF4865"/>
    <w:rsid w:val="00EF508D"/>
    <w:rsid w:val="00EF76AB"/>
    <w:rsid w:val="00F02756"/>
    <w:rsid w:val="00F02DCC"/>
    <w:rsid w:val="00F04D4C"/>
    <w:rsid w:val="00F07F16"/>
    <w:rsid w:val="00F116ED"/>
    <w:rsid w:val="00F11BB5"/>
    <w:rsid w:val="00F12B73"/>
    <w:rsid w:val="00F1417B"/>
    <w:rsid w:val="00F14206"/>
    <w:rsid w:val="00F20367"/>
    <w:rsid w:val="00F23255"/>
    <w:rsid w:val="00F2605B"/>
    <w:rsid w:val="00F30D1F"/>
    <w:rsid w:val="00F31F46"/>
    <w:rsid w:val="00F327DD"/>
    <w:rsid w:val="00F328CE"/>
    <w:rsid w:val="00F340DA"/>
    <w:rsid w:val="00F34311"/>
    <w:rsid w:val="00F34B99"/>
    <w:rsid w:val="00F363DC"/>
    <w:rsid w:val="00F36636"/>
    <w:rsid w:val="00F40985"/>
    <w:rsid w:val="00F42F3E"/>
    <w:rsid w:val="00F44367"/>
    <w:rsid w:val="00F44DB6"/>
    <w:rsid w:val="00F47529"/>
    <w:rsid w:val="00F512B5"/>
    <w:rsid w:val="00F51DFB"/>
    <w:rsid w:val="00F5247A"/>
    <w:rsid w:val="00F52773"/>
    <w:rsid w:val="00F52DAB"/>
    <w:rsid w:val="00F5325B"/>
    <w:rsid w:val="00F543F0"/>
    <w:rsid w:val="00F5484D"/>
    <w:rsid w:val="00F60887"/>
    <w:rsid w:val="00F61A57"/>
    <w:rsid w:val="00F633F5"/>
    <w:rsid w:val="00F63464"/>
    <w:rsid w:val="00F63DB1"/>
    <w:rsid w:val="00F64463"/>
    <w:rsid w:val="00F64FDC"/>
    <w:rsid w:val="00F65F4C"/>
    <w:rsid w:val="00F7033B"/>
    <w:rsid w:val="00F726A4"/>
    <w:rsid w:val="00F72932"/>
    <w:rsid w:val="00F74675"/>
    <w:rsid w:val="00F74DC5"/>
    <w:rsid w:val="00F76FC8"/>
    <w:rsid w:val="00F77003"/>
    <w:rsid w:val="00F77574"/>
    <w:rsid w:val="00F77DB4"/>
    <w:rsid w:val="00F81675"/>
    <w:rsid w:val="00F81D29"/>
    <w:rsid w:val="00F84A0E"/>
    <w:rsid w:val="00F84E63"/>
    <w:rsid w:val="00F85769"/>
    <w:rsid w:val="00F8694B"/>
    <w:rsid w:val="00F87094"/>
    <w:rsid w:val="00F87372"/>
    <w:rsid w:val="00F91C4D"/>
    <w:rsid w:val="00F92FD9"/>
    <w:rsid w:val="00F96ADE"/>
    <w:rsid w:val="00FA0B10"/>
    <w:rsid w:val="00FA190C"/>
    <w:rsid w:val="00FA2BE5"/>
    <w:rsid w:val="00FA46F4"/>
    <w:rsid w:val="00FA6684"/>
    <w:rsid w:val="00FA731E"/>
    <w:rsid w:val="00FB0F2B"/>
    <w:rsid w:val="00FB2B38"/>
    <w:rsid w:val="00FB3952"/>
    <w:rsid w:val="00FC16B9"/>
    <w:rsid w:val="00FC16CA"/>
    <w:rsid w:val="00FC6358"/>
    <w:rsid w:val="00FC7654"/>
    <w:rsid w:val="00FC7BE9"/>
    <w:rsid w:val="00FD01CF"/>
    <w:rsid w:val="00FD229E"/>
    <w:rsid w:val="00FD320D"/>
    <w:rsid w:val="00FD4DE3"/>
    <w:rsid w:val="00FD7021"/>
    <w:rsid w:val="00FE0064"/>
    <w:rsid w:val="00FE1C50"/>
    <w:rsid w:val="00FE1E23"/>
    <w:rsid w:val="00FE23C7"/>
    <w:rsid w:val="00FE23DE"/>
    <w:rsid w:val="00FE2F09"/>
    <w:rsid w:val="00FE54A0"/>
    <w:rsid w:val="00FE54DF"/>
    <w:rsid w:val="00FE6D94"/>
    <w:rsid w:val="00FE71EC"/>
    <w:rsid w:val="00FE7788"/>
    <w:rsid w:val="00FE7D1A"/>
    <w:rsid w:val="00FF04A9"/>
    <w:rsid w:val="00FF34EC"/>
    <w:rsid w:val="01CC5EE4"/>
    <w:rsid w:val="01F114A6"/>
    <w:rsid w:val="02624152"/>
    <w:rsid w:val="027F423E"/>
    <w:rsid w:val="02B00BF5"/>
    <w:rsid w:val="02C866AB"/>
    <w:rsid w:val="02E84657"/>
    <w:rsid w:val="03323B24"/>
    <w:rsid w:val="03883137"/>
    <w:rsid w:val="039E11BA"/>
    <w:rsid w:val="050B0AD1"/>
    <w:rsid w:val="0543026B"/>
    <w:rsid w:val="055C30DB"/>
    <w:rsid w:val="05634469"/>
    <w:rsid w:val="05C23227"/>
    <w:rsid w:val="05CC64B2"/>
    <w:rsid w:val="06432065"/>
    <w:rsid w:val="0685563A"/>
    <w:rsid w:val="073C1416"/>
    <w:rsid w:val="077E37DC"/>
    <w:rsid w:val="08470072"/>
    <w:rsid w:val="085E1AEC"/>
    <w:rsid w:val="08BA03CB"/>
    <w:rsid w:val="097E3F67"/>
    <w:rsid w:val="09E10052"/>
    <w:rsid w:val="09FC6C3A"/>
    <w:rsid w:val="0A93759F"/>
    <w:rsid w:val="0AA96DC2"/>
    <w:rsid w:val="0AB85257"/>
    <w:rsid w:val="0AD420BC"/>
    <w:rsid w:val="0AE61DC4"/>
    <w:rsid w:val="0AE941D3"/>
    <w:rsid w:val="0B575A7C"/>
    <w:rsid w:val="0BA31A63"/>
    <w:rsid w:val="0BD01537"/>
    <w:rsid w:val="0C675EAB"/>
    <w:rsid w:val="0D51729D"/>
    <w:rsid w:val="0E320E7D"/>
    <w:rsid w:val="0EBB3568"/>
    <w:rsid w:val="0F3F1AA3"/>
    <w:rsid w:val="0F694D72"/>
    <w:rsid w:val="0F76123D"/>
    <w:rsid w:val="0FA638D0"/>
    <w:rsid w:val="0FCE2E27"/>
    <w:rsid w:val="0FF87EA4"/>
    <w:rsid w:val="108856CC"/>
    <w:rsid w:val="10AD3118"/>
    <w:rsid w:val="10C12335"/>
    <w:rsid w:val="10C646C7"/>
    <w:rsid w:val="10D34B99"/>
    <w:rsid w:val="10E24DDC"/>
    <w:rsid w:val="10FC5772"/>
    <w:rsid w:val="111F7DDE"/>
    <w:rsid w:val="115801B6"/>
    <w:rsid w:val="11E56C3F"/>
    <w:rsid w:val="12770668"/>
    <w:rsid w:val="128E689D"/>
    <w:rsid w:val="12FF729A"/>
    <w:rsid w:val="130628D8"/>
    <w:rsid w:val="1343334A"/>
    <w:rsid w:val="13B01C0F"/>
    <w:rsid w:val="13CB5FFB"/>
    <w:rsid w:val="13D9398B"/>
    <w:rsid w:val="14C33176"/>
    <w:rsid w:val="155A212E"/>
    <w:rsid w:val="157D0378"/>
    <w:rsid w:val="15D31162"/>
    <w:rsid w:val="15D53161"/>
    <w:rsid w:val="165B22CB"/>
    <w:rsid w:val="166444E5"/>
    <w:rsid w:val="16B234A2"/>
    <w:rsid w:val="16D276A1"/>
    <w:rsid w:val="16E41182"/>
    <w:rsid w:val="17035AAC"/>
    <w:rsid w:val="18A230A3"/>
    <w:rsid w:val="194B373A"/>
    <w:rsid w:val="19A960F2"/>
    <w:rsid w:val="19E571BA"/>
    <w:rsid w:val="19E82D37"/>
    <w:rsid w:val="1A4538E8"/>
    <w:rsid w:val="1A4A1E01"/>
    <w:rsid w:val="1A5F56EF"/>
    <w:rsid w:val="1A7D161A"/>
    <w:rsid w:val="1A8B0292"/>
    <w:rsid w:val="1AC27A2C"/>
    <w:rsid w:val="1AD25EC1"/>
    <w:rsid w:val="1AD31D23"/>
    <w:rsid w:val="1AF04599"/>
    <w:rsid w:val="1B746F78"/>
    <w:rsid w:val="1BFD51C0"/>
    <w:rsid w:val="1C9C6787"/>
    <w:rsid w:val="1CFA34AD"/>
    <w:rsid w:val="1D5435C1"/>
    <w:rsid w:val="1DA82F09"/>
    <w:rsid w:val="1DE64689"/>
    <w:rsid w:val="1DF900D4"/>
    <w:rsid w:val="1E0B5246"/>
    <w:rsid w:val="1E7228D5"/>
    <w:rsid w:val="1E766B63"/>
    <w:rsid w:val="1EEE2B9E"/>
    <w:rsid w:val="1F0E4FEE"/>
    <w:rsid w:val="1F100D66"/>
    <w:rsid w:val="1F6A2B6C"/>
    <w:rsid w:val="1F822655"/>
    <w:rsid w:val="1FE10954"/>
    <w:rsid w:val="20256A93"/>
    <w:rsid w:val="2027280B"/>
    <w:rsid w:val="21466CC1"/>
    <w:rsid w:val="21CA13BF"/>
    <w:rsid w:val="22121299"/>
    <w:rsid w:val="221F7512"/>
    <w:rsid w:val="225D0766"/>
    <w:rsid w:val="226A2E83"/>
    <w:rsid w:val="22CC769A"/>
    <w:rsid w:val="232079E6"/>
    <w:rsid w:val="232B19BE"/>
    <w:rsid w:val="23337719"/>
    <w:rsid w:val="23AD5CF5"/>
    <w:rsid w:val="23B00D6A"/>
    <w:rsid w:val="24803401"/>
    <w:rsid w:val="24EF141E"/>
    <w:rsid w:val="254B6F49"/>
    <w:rsid w:val="260F4385"/>
    <w:rsid w:val="26A60202"/>
    <w:rsid w:val="26B24DF9"/>
    <w:rsid w:val="270000B2"/>
    <w:rsid w:val="27012F91"/>
    <w:rsid w:val="27A41B81"/>
    <w:rsid w:val="27FE6547"/>
    <w:rsid w:val="28167953"/>
    <w:rsid w:val="2858552C"/>
    <w:rsid w:val="288F53F1"/>
    <w:rsid w:val="289C7B0E"/>
    <w:rsid w:val="28E219C5"/>
    <w:rsid w:val="290A574F"/>
    <w:rsid w:val="293D6BFB"/>
    <w:rsid w:val="2AB078A1"/>
    <w:rsid w:val="2B141BDE"/>
    <w:rsid w:val="2B6B0C75"/>
    <w:rsid w:val="2C2E6CCF"/>
    <w:rsid w:val="2C78619D"/>
    <w:rsid w:val="2C7D750C"/>
    <w:rsid w:val="2C8608B9"/>
    <w:rsid w:val="2CD44AC1"/>
    <w:rsid w:val="2D742E08"/>
    <w:rsid w:val="2D766B80"/>
    <w:rsid w:val="2DDB2F86"/>
    <w:rsid w:val="2E220AB6"/>
    <w:rsid w:val="2E440758"/>
    <w:rsid w:val="2E954DE4"/>
    <w:rsid w:val="2E9A064C"/>
    <w:rsid w:val="2EA8435B"/>
    <w:rsid w:val="2ED72201"/>
    <w:rsid w:val="2EDF0755"/>
    <w:rsid w:val="2EE30245"/>
    <w:rsid w:val="2EE45D6B"/>
    <w:rsid w:val="2EE8585B"/>
    <w:rsid w:val="2FB52D61"/>
    <w:rsid w:val="30474804"/>
    <w:rsid w:val="30C419B0"/>
    <w:rsid w:val="312836BC"/>
    <w:rsid w:val="315471D8"/>
    <w:rsid w:val="3159659D"/>
    <w:rsid w:val="31A11C7A"/>
    <w:rsid w:val="322546D1"/>
    <w:rsid w:val="326E020E"/>
    <w:rsid w:val="32C24615"/>
    <w:rsid w:val="32D81743"/>
    <w:rsid w:val="330D32A0"/>
    <w:rsid w:val="3310712F"/>
    <w:rsid w:val="33251C93"/>
    <w:rsid w:val="33590AD6"/>
    <w:rsid w:val="33FB52BF"/>
    <w:rsid w:val="3402116D"/>
    <w:rsid w:val="342F7A89"/>
    <w:rsid w:val="34670FD0"/>
    <w:rsid w:val="34FA3BF3"/>
    <w:rsid w:val="34FC64FF"/>
    <w:rsid w:val="35622EF4"/>
    <w:rsid w:val="35FE4BBC"/>
    <w:rsid w:val="365E4655"/>
    <w:rsid w:val="3687595A"/>
    <w:rsid w:val="369265E4"/>
    <w:rsid w:val="369D1FC8"/>
    <w:rsid w:val="37092813"/>
    <w:rsid w:val="372C4753"/>
    <w:rsid w:val="37646A08"/>
    <w:rsid w:val="378123A9"/>
    <w:rsid w:val="37823F12"/>
    <w:rsid w:val="37DC3A83"/>
    <w:rsid w:val="37E1553E"/>
    <w:rsid w:val="37F4701F"/>
    <w:rsid w:val="38233460"/>
    <w:rsid w:val="382C4A0B"/>
    <w:rsid w:val="384F43B6"/>
    <w:rsid w:val="3923325A"/>
    <w:rsid w:val="394E275F"/>
    <w:rsid w:val="398F4FFD"/>
    <w:rsid w:val="399C796E"/>
    <w:rsid w:val="39FA4695"/>
    <w:rsid w:val="3A064D62"/>
    <w:rsid w:val="3A777A93"/>
    <w:rsid w:val="3B451940"/>
    <w:rsid w:val="3B9E4F5D"/>
    <w:rsid w:val="3C687FDC"/>
    <w:rsid w:val="3C88242C"/>
    <w:rsid w:val="3D271C45"/>
    <w:rsid w:val="3DF20C8C"/>
    <w:rsid w:val="3E43485C"/>
    <w:rsid w:val="3EB63280"/>
    <w:rsid w:val="3ED5122D"/>
    <w:rsid w:val="3F055FB6"/>
    <w:rsid w:val="3F6F1681"/>
    <w:rsid w:val="3FA0699A"/>
    <w:rsid w:val="3FF43934"/>
    <w:rsid w:val="402F1DCB"/>
    <w:rsid w:val="40721429"/>
    <w:rsid w:val="40AE7F87"/>
    <w:rsid w:val="40EC0E0D"/>
    <w:rsid w:val="41BF069E"/>
    <w:rsid w:val="42206C63"/>
    <w:rsid w:val="42806E5B"/>
    <w:rsid w:val="42CC61CC"/>
    <w:rsid w:val="42F94AE0"/>
    <w:rsid w:val="430B16C1"/>
    <w:rsid w:val="43334D92"/>
    <w:rsid w:val="4368266F"/>
    <w:rsid w:val="44AB6657"/>
    <w:rsid w:val="44FA379B"/>
    <w:rsid w:val="45176E69"/>
    <w:rsid w:val="452A3695"/>
    <w:rsid w:val="45774DEB"/>
    <w:rsid w:val="4590011C"/>
    <w:rsid w:val="45EF0E26"/>
    <w:rsid w:val="460A2104"/>
    <w:rsid w:val="4614088C"/>
    <w:rsid w:val="462C11BE"/>
    <w:rsid w:val="46483314"/>
    <w:rsid w:val="469A3487"/>
    <w:rsid w:val="46DD15C6"/>
    <w:rsid w:val="471A1ED2"/>
    <w:rsid w:val="472A6E17"/>
    <w:rsid w:val="475278BE"/>
    <w:rsid w:val="47CB141F"/>
    <w:rsid w:val="48117779"/>
    <w:rsid w:val="484418FD"/>
    <w:rsid w:val="484F2050"/>
    <w:rsid w:val="489857A5"/>
    <w:rsid w:val="492B486B"/>
    <w:rsid w:val="4A035C65"/>
    <w:rsid w:val="4A127B2B"/>
    <w:rsid w:val="4A44638F"/>
    <w:rsid w:val="4A631DE2"/>
    <w:rsid w:val="4AF56EDE"/>
    <w:rsid w:val="4B076C12"/>
    <w:rsid w:val="4B58746D"/>
    <w:rsid w:val="4B647D1B"/>
    <w:rsid w:val="4B8B339F"/>
    <w:rsid w:val="4C054B7E"/>
    <w:rsid w:val="4C211F55"/>
    <w:rsid w:val="4C993E74"/>
    <w:rsid w:val="4CAE1A3B"/>
    <w:rsid w:val="4CB805DA"/>
    <w:rsid w:val="4D4A11FE"/>
    <w:rsid w:val="4D6D71CA"/>
    <w:rsid w:val="4D810EFD"/>
    <w:rsid w:val="4DAB7D28"/>
    <w:rsid w:val="4E0E49F1"/>
    <w:rsid w:val="4E226289"/>
    <w:rsid w:val="4EB97750"/>
    <w:rsid w:val="4EC94BF8"/>
    <w:rsid w:val="4F98252E"/>
    <w:rsid w:val="4FA709C3"/>
    <w:rsid w:val="4FE93327"/>
    <w:rsid w:val="50960C6C"/>
    <w:rsid w:val="50B138A7"/>
    <w:rsid w:val="50B45146"/>
    <w:rsid w:val="50E86D2D"/>
    <w:rsid w:val="511A6D4F"/>
    <w:rsid w:val="5133250E"/>
    <w:rsid w:val="51F3415F"/>
    <w:rsid w:val="5209326F"/>
    <w:rsid w:val="52331739"/>
    <w:rsid w:val="52483D98"/>
    <w:rsid w:val="526E7576"/>
    <w:rsid w:val="53051C89"/>
    <w:rsid w:val="536E3CD2"/>
    <w:rsid w:val="53956947"/>
    <w:rsid w:val="547E7F44"/>
    <w:rsid w:val="54BA76FD"/>
    <w:rsid w:val="54D47B64"/>
    <w:rsid w:val="54D933CD"/>
    <w:rsid w:val="552705DC"/>
    <w:rsid w:val="55393E6B"/>
    <w:rsid w:val="555111B5"/>
    <w:rsid w:val="55CE6CAA"/>
    <w:rsid w:val="562B1713"/>
    <w:rsid w:val="56530F5D"/>
    <w:rsid w:val="565E627F"/>
    <w:rsid w:val="567C4958"/>
    <w:rsid w:val="56D144B5"/>
    <w:rsid w:val="571D5A50"/>
    <w:rsid w:val="57711FE2"/>
    <w:rsid w:val="58550FBC"/>
    <w:rsid w:val="588E0972"/>
    <w:rsid w:val="589F492D"/>
    <w:rsid w:val="59D52423"/>
    <w:rsid w:val="5A067A71"/>
    <w:rsid w:val="5A3D5F80"/>
    <w:rsid w:val="5A715E56"/>
    <w:rsid w:val="5A9E61D4"/>
    <w:rsid w:val="5BA66C84"/>
    <w:rsid w:val="5BBB7CD0"/>
    <w:rsid w:val="5BCF7227"/>
    <w:rsid w:val="5C033B88"/>
    <w:rsid w:val="5C4F21C6"/>
    <w:rsid w:val="5CFF1E3E"/>
    <w:rsid w:val="5D6458D1"/>
    <w:rsid w:val="5E746526"/>
    <w:rsid w:val="5EF57055"/>
    <w:rsid w:val="5F0B6879"/>
    <w:rsid w:val="5F17346F"/>
    <w:rsid w:val="5FAB005C"/>
    <w:rsid w:val="5FB36828"/>
    <w:rsid w:val="5FC15189"/>
    <w:rsid w:val="5FEB1B9D"/>
    <w:rsid w:val="60247DCB"/>
    <w:rsid w:val="60FA4DF7"/>
    <w:rsid w:val="613D2D02"/>
    <w:rsid w:val="615D5386"/>
    <w:rsid w:val="62713FFD"/>
    <w:rsid w:val="62962588"/>
    <w:rsid w:val="62DC2C92"/>
    <w:rsid w:val="62EF200D"/>
    <w:rsid w:val="630E2DDB"/>
    <w:rsid w:val="6311467A"/>
    <w:rsid w:val="63260125"/>
    <w:rsid w:val="63626C83"/>
    <w:rsid w:val="64740587"/>
    <w:rsid w:val="652D6F8B"/>
    <w:rsid w:val="65B118D8"/>
    <w:rsid w:val="65CE23AE"/>
    <w:rsid w:val="65DF45BB"/>
    <w:rsid w:val="65ED4F2A"/>
    <w:rsid w:val="66342B59"/>
    <w:rsid w:val="666176C6"/>
    <w:rsid w:val="666D606B"/>
    <w:rsid w:val="673F7A07"/>
    <w:rsid w:val="677D0530"/>
    <w:rsid w:val="68111D21"/>
    <w:rsid w:val="681E62EA"/>
    <w:rsid w:val="68490412"/>
    <w:rsid w:val="68784853"/>
    <w:rsid w:val="687C4343"/>
    <w:rsid w:val="687F5BE1"/>
    <w:rsid w:val="68BE027D"/>
    <w:rsid w:val="68D75A50"/>
    <w:rsid w:val="68FF6B09"/>
    <w:rsid w:val="69E14DA6"/>
    <w:rsid w:val="6A016B20"/>
    <w:rsid w:val="6A1636F6"/>
    <w:rsid w:val="6A93331C"/>
    <w:rsid w:val="6AFB4C9B"/>
    <w:rsid w:val="6B2A0BF9"/>
    <w:rsid w:val="6B620FDE"/>
    <w:rsid w:val="6BD66460"/>
    <w:rsid w:val="6C111246"/>
    <w:rsid w:val="6C6D0B73"/>
    <w:rsid w:val="6CD47E6C"/>
    <w:rsid w:val="6CFC3CA5"/>
    <w:rsid w:val="6D21370B"/>
    <w:rsid w:val="6D236CEB"/>
    <w:rsid w:val="6D9A4B86"/>
    <w:rsid w:val="6DA265FA"/>
    <w:rsid w:val="6E0E3C8F"/>
    <w:rsid w:val="6E3B07FD"/>
    <w:rsid w:val="6E4D024D"/>
    <w:rsid w:val="6E4D16F9"/>
    <w:rsid w:val="6E645FA5"/>
    <w:rsid w:val="6E71421E"/>
    <w:rsid w:val="6EBF4F8A"/>
    <w:rsid w:val="6F3E67F6"/>
    <w:rsid w:val="6F4059E0"/>
    <w:rsid w:val="6F6D491A"/>
    <w:rsid w:val="6F7B35A7"/>
    <w:rsid w:val="6FC53AB1"/>
    <w:rsid w:val="6FF43359"/>
    <w:rsid w:val="702A798B"/>
    <w:rsid w:val="705838E8"/>
    <w:rsid w:val="7073547E"/>
    <w:rsid w:val="70877D29"/>
    <w:rsid w:val="70904E30"/>
    <w:rsid w:val="70DA047E"/>
    <w:rsid w:val="713704D0"/>
    <w:rsid w:val="71ED1C78"/>
    <w:rsid w:val="7352461E"/>
    <w:rsid w:val="735941EA"/>
    <w:rsid w:val="73AA1159"/>
    <w:rsid w:val="73B01E4B"/>
    <w:rsid w:val="740F42BD"/>
    <w:rsid w:val="744877CF"/>
    <w:rsid w:val="74E120FE"/>
    <w:rsid w:val="74F02F30"/>
    <w:rsid w:val="750951B1"/>
    <w:rsid w:val="75584CF9"/>
    <w:rsid w:val="757C5983"/>
    <w:rsid w:val="75AC7C60"/>
    <w:rsid w:val="772E7150"/>
    <w:rsid w:val="77617526"/>
    <w:rsid w:val="77DE0B76"/>
    <w:rsid w:val="77F444A1"/>
    <w:rsid w:val="782D7408"/>
    <w:rsid w:val="78654DF4"/>
    <w:rsid w:val="786A196B"/>
    <w:rsid w:val="78AF565B"/>
    <w:rsid w:val="791505C8"/>
    <w:rsid w:val="79246A5D"/>
    <w:rsid w:val="793A39AB"/>
    <w:rsid w:val="79BF0534"/>
    <w:rsid w:val="7A293BFF"/>
    <w:rsid w:val="7A94551C"/>
    <w:rsid w:val="7AAA11E4"/>
    <w:rsid w:val="7AE244DA"/>
    <w:rsid w:val="7B02692A"/>
    <w:rsid w:val="7B1F64F0"/>
    <w:rsid w:val="7B871525"/>
    <w:rsid w:val="7C136915"/>
    <w:rsid w:val="7C7E3193"/>
    <w:rsid w:val="7CA51C63"/>
    <w:rsid w:val="7D3B0266"/>
    <w:rsid w:val="7D4E22FA"/>
    <w:rsid w:val="7DA0242A"/>
    <w:rsid w:val="7DDD60D6"/>
    <w:rsid w:val="7DFB3B97"/>
    <w:rsid w:val="7E307C52"/>
    <w:rsid w:val="7E8D605B"/>
    <w:rsid w:val="7E9276DB"/>
    <w:rsid w:val="7F0C4559"/>
    <w:rsid w:val="7F264BB1"/>
    <w:rsid w:val="7FC05006"/>
    <w:rsid w:val="7FD0524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uiPriority="0" w:name="Normal Indent"/>
    <w:lsdException w:qFormat="1" w:unhideWhenUsed="0" w:uiPriority="0" w:semiHidden="0" w:name="footnote text"/>
    <w:lsdException w:qFormat="1" w:uiPriority="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name="footnote reference"/>
    <w:lsdException w:qFormat="1" w:uiPriority="0" w:name="annotation reference"/>
    <w:lsdException w:uiPriority="0" w:name="line number"/>
    <w:lsdException w:qFormat="1" w:unhideWhenUsed="0" w:uiPriority="0" w:semiHidden="0" w:name="page number"/>
    <w:lsdException w:qFormat="1" w:unhideWhenUsed="0" w:uiPriority="0" w:name="endnote reference"/>
    <w:lsdException w:qFormat="1" w:unhideWhenUsed="0"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0" w:semiHidden="0" w:name="Emphasis"/>
    <w:lsdException w:qFormat="1" w:unhideWhenUsed="0" w:uiPriority="0" w:name="Document Map"/>
    <w:lsdException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47"/>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44"/>
    <w:unhideWhenUsed/>
    <w:qFormat/>
    <w:uiPriority w:val="9"/>
    <w:pPr>
      <w:keepNext/>
      <w:keepLines/>
      <w:spacing w:before="260" w:after="260" w:line="416" w:lineRule="auto"/>
      <w:outlineLvl w:val="1"/>
    </w:pPr>
    <w:rPr>
      <w:rFonts w:ascii="Cambria" w:hAnsi="Cambria"/>
      <w:b/>
      <w:bCs/>
      <w:sz w:val="32"/>
      <w:szCs w:val="32"/>
      <w:lang w:val="zh-CN"/>
    </w:rPr>
  </w:style>
  <w:style w:type="paragraph" w:styleId="4">
    <w:name w:val="heading 3"/>
    <w:basedOn w:val="1"/>
    <w:next w:val="1"/>
    <w:link w:val="145"/>
    <w:unhideWhenUsed/>
    <w:qFormat/>
    <w:uiPriority w:val="9"/>
    <w:pPr>
      <w:keepNext/>
      <w:keepLines/>
      <w:spacing w:before="260" w:after="260" w:line="416" w:lineRule="auto"/>
      <w:outlineLvl w:val="2"/>
    </w:pPr>
    <w:rPr>
      <w:rFonts w:ascii="Calibri" w:hAnsi="Calibri"/>
      <w:b/>
      <w:bCs/>
      <w:sz w:val="32"/>
      <w:szCs w:val="32"/>
      <w:lang w:val="zh-CN"/>
    </w:rPr>
  </w:style>
  <w:style w:type="paragraph" w:styleId="5">
    <w:name w:val="heading 4"/>
    <w:basedOn w:val="1"/>
    <w:next w:val="1"/>
    <w:link w:val="163"/>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39">
    <w:name w:val="Default Paragraph Font"/>
    <w:semiHidden/>
    <w:unhideWhenUsed/>
    <w:uiPriority w:val="1"/>
  </w:style>
  <w:style w:type="table" w:default="1" w:styleId="37">
    <w:name w:val="Normal Table"/>
    <w:semiHidden/>
    <w:unhideWhenUsed/>
    <w:uiPriority w:val="99"/>
    <w:tblPr>
      <w:tblCellMar>
        <w:top w:w="0" w:type="dxa"/>
        <w:left w:w="108" w:type="dxa"/>
        <w:bottom w:w="0" w:type="dxa"/>
        <w:right w:w="108" w:type="dxa"/>
      </w:tblCellMar>
    </w:tblPr>
  </w:style>
  <w:style w:type="paragraph" w:styleId="6">
    <w:name w:val="toc 7"/>
    <w:basedOn w:val="1"/>
    <w:next w:val="1"/>
    <w:semiHidden/>
    <w:qFormat/>
    <w:uiPriority w:val="0"/>
    <w:pPr>
      <w:tabs>
        <w:tab w:val="right" w:leader="dot" w:pos="9241"/>
      </w:tabs>
      <w:ind w:firstLine="500" w:firstLineChars="500"/>
      <w:jc w:val="left"/>
    </w:pPr>
    <w:rPr>
      <w:rFonts w:ascii="宋体"/>
      <w:szCs w:val="21"/>
    </w:rPr>
  </w:style>
  <w:style w:type="paragraph" w:styleId="7">
    <w:name w:val="index 8"/>
    <w:basedOn w:val="1"/>
    <w:next w:val="1"/>
    <w:qFormat/>
    <w:uiPriority w:val="0"/>
    <w:pPr>
      <w:ind w:left="1680" w:hanging="210"/>
      <w:jc w:val="left"/>
    </w:pPr>
    <w:rPr>
      <w:rFonts w:ascii="Calibri" w:hAnsi="Calibri"/>
      <w:sz w:val="20"/>
      <w:szCs w:val="20"/>
    </w:rPr>
  </w:style>
  <w:style w:type="paragraph" w:styleId="8">
    <w:name w:val="caption"/>
    <w:basedOn w:val="1"/>
    <w:next w:val="1"/>
    <w:qFormat/>
    <w:uiPriority w:val="0"/>
    <w:pPr>
      <w:spacing w:before="152" w:after="160"/>
    </w:pPr>
    <w:rPr>
      <w:rFonts w:ascii="Arial" w:hAnsi="Arial" w:eastAsia="黑体" w:cs="Arial"/>
      <w:sz w:val="20"/>
      <w:szCs w:val="20"/>
    </w:rPr>
  </w:style>
  <w:style w:type="paragraph" w:styleId="9">
    <w:name w:val="index 5"/>
    <w:basedOn w:val="1"/>
    <w:next w:val="1"/>
    <w:qFormat/>
    <w:uiPriority w:val="0"/>
    <w:pPr>
      <w:ind w:left="1050" w:hanging="210"/>
      <w:jc w:val="left"/>
    </w:pPr>
    <w:rPr>
      <w:rFonts w:ascii="Calibri" w:hAnsi="Calibri"/>
      <w:sz w:val="20"/>
      <w:szCs w:val="20"/>
    </w:rPr>
  </w:style>
  <w:style w:type="paragraph" w:styleId="10">
    <w:name w:val="Document Map"/>
    <w:basedOn w:val="1"/>
    <w:semiHidden/>
    <w:qFormat/>
    <w:uiPriority w:val="0"/>
    <w:pPr>
      <w:shd w:val="clear" w:color="auto" w:fill="000080"/>
    </w:pPr>
  </w:style>
  <w:style w:type="paragraph" w:styleId="11">
    <w:name w:val="annotation text"/>
    <w:basedOn w:val="1"/>
    <w:link w:val="156"/>
    <w:semiHidden/>
    <w:unhideWhenUsed/>
    <w:qFormat/>
    <w:uiPriority w:val="0"/>
    <w:pPr>
      <w:jc w:val="left"/>
    </w:pPr>
  </w:style>
  <w:style w:type="paragraph" w:styleId="12">
    <w:name w:val="index 6"/>
    <w:basedOn w:val="1"/>
    <w:next w:val="1"/>
    <w:qFormat/>
    <w:uiPriority w:val="0"/>
    <w:pPr>
      <w:ind w:left="1260" w:hanging="210"/>
      <w:jc w:val="left"/>
    </w:pPr>
    <w:rPr>
      <w:rFonts w:ascii="Calibri" w:hAnsi="Calibri"/>
      <w:sz w:val="20"/>
      <w:szCs w:val="20"/>
    </w:rPr>
  </w:style>
  <w:style w:type="paragraph" w:styleId="13">
    <w:name w:val="index 4"/>
    <w:basedOn w:val="1"/>
    <w:next w:val="1"/>
    <w:qFormat/>
    <w:uiPriority w:val="0"/>
    <w:pPr>
      <w:ind w:left="840" w:hanging="210"/>
      <w:jc w:val="left"/>
    </w:pPr>
    <w:rPr>
      <w:rFonts w:ascii="Calibri" w:hAnsi="Calibri"/>
      <w:sz w:val="20"/>
      <w:szCs w:val="20"/>
    </w:rPr>
  </w:style>
  <w:style w:type="paragraph" w:styleId="14">
    <w:name w:val="toc 5"/>
    <w:basedOn w:val="1"/>
    <w:next w:val="1"/>
    <w:semiHidden/>
    <w:qFormat/>
    <w:uiPriority w:val="0"/>
    <w:pPr>
      <w:tabs>
        <w:tab w:val="right" w:leader="dot" w:pos="9241"/>
      </w:tabs>
      <w:ind w:firstLine="300" w:firstLineChars="300"/>
      <w:jc w:val="left"/>
    </w:pPr>
    <w:rPr>
      <w:rFonts w:ascii="宋体"/>
      <w:szCs w:val="21"/>
    </w:rPr>
  </w:style>
  <w:style w:type="paragraph" w:styleId="15">
    <w:name w:val="toc 3"/>
    <w:basedOn w:val="1"/>
    <w:next w:val="1"/>
    <w:qFormat/>
    <w:uiPriority w:val="39"/>
    <w:pPr>
      <w:tabs>
        <w:tab w:val="right" w:leader="dot" w:pos="9241"/>
      </w:tabs>
      <w:ind w:firstLine="100" w:firstLineChars="100"/>
      <w:jc w:val="left"/>
    </w:pPr>
    <w:rPr>
      <w:rFonts w:ascii="宋体"/>
      <w:szCs w:val="21"/>
    </w:rPr>
  </w:style>
  <w:style w:type="paragraph" w:styleId="16">
    <w:name w:val="toc 8"/>
    <w:basedOn w:val="1"/>
    <w:next w:val="1"/>
    <w:semiHidden/>
    <w:qFormat/>
    <w:uiPriority w:val="0"/>
    <w:pPr>
      <w:tabs>
        <w:tab w:val="right" w:leader="dot" w:pos="9241"/>
      </w:tabs>
      <w:ind w:firstLine="607" w:firstLineChars="600"/>
      <w:jc w:val="left"/>
    </w:pPr>
    <w:rPr>
      <w:rFonts w:ascii="宋体"/>
      <w:szCs w:val="21"/>
    </w:rPr>
  </w:style>
  <w:style w:type="paragraph" w:styleId="17">
    <w:name w:val="index 3"/>
    <w:basedOn w:val="1"/>
    <w:next w:val="1"/>
    <w:qFormat/>
    <w:uiPriority w:val="0"/>
    <w:pPr>
      <w:ind w:left="630" w:hanging="210"/>
      <w:jc w:val="left"/>
    </w:pPr>
    <w:rPr>
      <w:rFonts w:ascii="Calibri" w:hAnsi="Calibri"/>
      <w:sz w:val="20"/>
      <w:szCs w:val="20"/>
    </w:rPr>
  </w:style>
  <w:style w:type="paragraph" w:styleId="18">
    <w:name w:val="endnote text"/>
    <w:basedOn w:val="1"/>
    <w:semiHidden/>
    <w:qFormat/>
    <w:uiPriority w:val="0"/>
    <w:pPr>
      <w:snapToGrid w:val="0"/>
      <w:jc w:val="left"/>
    </w:pPr>
  </w:style>
  <w:style w:type="paragraph" w:styleId="19">
    <w:name w:val="Balloon Text"/>
    <w:basedOn w:val="1"/>
    <w:link w:val="146"/>
    <w:qFormat/>
    <w:uiPriority w:val="0"/>
    <w:rPr>
      <w:sz w:val="18"/>
      <w:szCs w:val="18"/>
    </w:rPr>
  </w:style>
  <w:style w:type="paragraph" w:styleId="20">
    <w:name w:val="footer"/>
    <w:basedOn w:val="1"/>
    <w:link w:val="151"/>
    <w:qFormat/>
    <w:uiPriority w:val="99"/>
    <w:pPr>
      <w:snapToGrid w:val="0"/>
      <w:ind w:right="210" w:rightChars="100"/>
      <w:jc w:val="right"/>
    </w:pPr>
    <w:rPr>
      <w:sz w:val="18"/>
      <w:szCs w:val="18"/>
    </w:rPr>
  </w:style>
  <w:style w:type="paragraph" w:styleId="21">
    <w:name w:val="header"/>
    <w:basedOn w:val="1"/>
    <w:qFormat/>
    <w:uiPriority w:val="0"/>
    <w:pPr>
      <w:snapToGrid w:val="0"/>
      <w:jc w:val="left"/>
    </w:pPr>
    <w:rPr>
      <w:sz w:val="18"/>
      <w:szCs w:val="18"/>
    </w:rPr>
  </w:style>
  <w:style w:type="paragraph" w:styleId="22">
    <w:name w:val="toc 1"/>
    <w:basedOn w:val="1"/>
    <w:next w:val="1"/>
    <w:qFormat/>
    <w:uiPriority w:val="39"/>
    <w:pPr>
      <w:tabs>
        <w:tab w:val="right" w:leader="dot" w:pos="9242"/>
      </w:tabs>
      <w:spacing w:beforeLines="25" w:afterLines="25"/>
      <w:jc w:val="left"/>
    </w:pPr>
    <w:rPr>
      <w:rFonts w:ascii="宋体"/>
      <w:szCs w:val="21"/>
    </w:rPr>
  </w:style>
  <w:style w:type="paragraph" w:styleId="23">
    <w:name w:val="toc 4"/>
    <w:basedOn w:val="1"/>
    <w:next w:val="1"/>
    <w:semiHidden/>
    <w:qFormat/>
    <w:uiPriority w:val="0"/>
    <w:pPr>
      <w:tabs>
        <w:tab w:val="right" w:leader="dot" w:pos="9241"/>
      </w:tabs>
      <w:ind w:firstLine="200" w:firstLineChars="200"/>
      <w:jc w:val="left"/>
    </w:pPr>
    <w:rPr>
      <w:rFonts w:ascii="宋体"/>
      <w:szCs w:val="21"/>
    </w:rPr>
  </w:style>
  <w:style w:type="paragraph" w:styleId="24">
    <w:name w:val="index heading"/>
    <w:basedOn w:val="1"/>
    <w:next w:val="25"/>
    <w:qFormat/>
    <w:uiPriority w:val="0"/>
    <w:pPr>
      <w:spacing w:before="120" w:after="120"/>
      <w:jc w:val="center"/>
    </w:pPr>
    <w:rPr>
      <w:rFonts w:ascii="Calibri" w:hAnsi="Calibri"/>
      <w:b/>
      <w:bCs/>
      <w:iCs/>
      <w:szCs w:val="20"/>
    </w:rPr>
  </w:style>
  <w:style w:type="paragraph" w:styleId="25">
    <w:name w:val="index 1"/>
    <w:basedOn w:val="1"/>
    <w:next w:val="26"/>
    <w:qFormat/>
    <w:uiPriority w:val="0"/>
    <w:pPr>
      <w:tabs>
        <w:tab w:val="right" w:leader="dot" w:pos="9299"/>
      </w:tabs>
      <w:jc w:val="left"/>
    </w:pPr>
    <w:rPr>
      <w:rFonts w:ascii="宋体"/>
      <w:szCs w:val="21"/>
    </w:rPr>
  </w:style>
  <w:style w:type="paragraph" w:customStyle="1" w:styleId="26">
    <w:name w:val="段"/>
    <w:link w:val="46"/>
    <w:qFormat/>
    <w:uiPriority w:val="0"/>
    <w:pPr>
      <w:tabs>
        <w:tab w:val="center" w:pos="4201"/>
        <w:tab w:val="right" w:leader="dot" w:pos="9298"/>
      </w:tabs>
      <w:autoSpaceDE w:val="0"/>
      <w:autoSpaceDN w:val="0"/>
      <w:ind w:firstLine="420" w:firstLineChars="200"/>
      <w:jc w:val="both"/>
    </w:pPr>
    <w:rPr>
      <w:rFonts w:ascii="Times New Roman" w:hAnsi="Times New Roman" w:eastAsia="宋体" w:cs="Times New Roman"/>
      <w:sz w:val="21"/>
      <w:lang w:val="en-US" w:eastAsia="zh-CN" w:bidi="ar-SA"/>
    </w:rPr>
  </w:style>
  <w:style w:type="paragraph" w:styleId="27">
    <w:name w:val="footnote text"/>
    <w:basedOn w:val="1"/>
    <w:qFormat/>
    <w:uiPriority w:val="0"/>
    <w:pPr>
      <w:numPr>
        <w:ilvl w:val="0"/>
        <w:numId w:val="1"/>
      </w:numPr>
      <w:snapToGrid w:val="0"/>
      <w:jc w:val="left"/>
    </w:pPr>
    <w:rPr>
      <w:rFonts w:ascii="宋体"/>
      <w:sz w:val="18"/>
      <w:szCs w:val="18"/>
    </w:rPr>
  </w:style>
  <w:style w:type="paragraph" w:styleId="28">
    <w:name w:val="toc 6"/>
    <w:basedOn w:val="1"/>
    <w:next w:val="1"/>
    <w:semiHidden/>
    <w:qFormat/>
    <w:uiPriority w:val="0"/>
    <w:pPr>
      <w:tabs>
        <w:tab w:val="right" w:leader="dot" w:pos="9241"/>
      </w:tabs>
      <w:ind w:firstLine="400" w:firstLineChars="400"/>
      <w:jc w:val="left"/>
    </w:pPr>
    <w:rPr>
      <w:rFonts w:ascii="宋体"/>
      <w:szCs w:val="21"/>
    </w:rPr>
  </w:style>
  <w:style w:type="paragraph" w:styleId="29">
    <w:name w:val="index 7"/>
    <w:basedOn w:val="1"/>
    <w:next w:val="1"/>
    <w:qFormat/>
    <w:uiPriority w:val="0"/>
    <w:pPr>
      <w:ind w:left="1470" w:hanging="210"/>
      <w:jc w:val="left"/>
    </w:pPr>
    <w:rPr>
      <w:rFonts w:ascii="Calibri" w:hAnsi="Calibri"/>
      <w:sz w:val="20"/>
      <w:szCs w:val="20"/>
    </w:rPr>
  </w:style>
  <w:style w:type="paragraph" w:styleId="30">
    <w:name w:val="index 9"/>
    <w:basedOn w:val="1"/>
    <w:next w:val="1"/>
    <w:qFormat/>
    <w:uiPriority w:val="0"/>
    <w:pPr>
      <w:ind w:left="1890" w:hanging="210"/>
      <w:jc w:val="left"/>
    </w:pPr>
    <w:rPr>
      <w:rFonts w:ascii="Calibri" w:hAnsi="Calibri"/>
      <w:sz w:val="20"/>
      <w:szCs w:val="20"/>
    </w:rPr>
  </w:style>
  <w:style w:type="paragraph" w:styleId="31">
    <w:name w:val="toc 2"/>
    <w:basedOn w:val="1"/>
    <w:next w:val="1"/>
    <w:qFormat/>
    <w:uiPriority w:val="39"/>
    <w:pPr>
      <w:tabs>
        <w:tab w:val="right" w:leader="dot" w:pos="9242"/>
      </w:tabs>
      <w:ind w:left="100" w:leftChars="100"/>
    </w:pPr>
    <w:rPr>
      <w:rFonts w:ascii="宋体"/>
      <w:szCs w:val="21"/>
    </w:rPr>
  </w:style>
  <w:style w:type="paragraph" w:styleId="32">
    <w:name w:val="toc 9"/>
    <w:basedOn w:val="1"/>
    <w:next w:val="1"/>
    <w:semiHidden/>
    <w:qFormat/>
    <w:uiPriority w:val="0"/>
    <w:pPr>
      <w:ind w:left="1470"/>
      <w:jc w:val="left"/>
    </w:pPr>
    <w:rPr>
      <w:sz w:val="20"/>
      <w:szCs w:val="20"/>
    </w:rPr>
  </w:style>
  <w:style w:type="paragraph" w:styleId="3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34">
    <w:name w:val="index 2"/>
    <w:basedOn w:val="1"/>
    <w:next w:val="1"/>
    <w:qFormat/>
    <w:uiPriority w:val="0"/>
    <w:pPr>
      <w:ind w:left="420" w:hanging="210"/>
      <w:jc w:val="left"/>
    </w:pPr>
    <w:rPr>
      <w:rFonts w:ascii="Calibri" w:hAnsi="Calibri"/>
      <w:sz w:val="20"/>
      <w:szCs w:val="20"/>
    </w:rPr>
  </w:style>
  <w:style w:type="paragraph" w:styleId="35">
    <w:name w:val="Title"/>
    <w:basedOn w:val="1"/>
    <w:next w:val="1"/>
    <w:link w:val="150"/>
    <w:qFormat/>
    <w:uiPriority w:val="0"/>
    <w:pPr>
      <w:spacing w:before="240" w:after="60"/>
      <w:jc w:val="center"/>
      <w:outlineLvl w:val="0"/>
    </w:pPr>
    <w:rPr>
      <w:rFonts w:asciiTheme="majorHAnsi" w:hAnsiTheme="majorHAnsi" w:eastAsiaTheme="majorEastAsia" w:cstheme="majorBidi"/>
      <w:b/>
      <w:bCs/>
      <w:sz w:val="32"/>
      <w:szCs w:val="32"/>
    </w:rPr>
  </w:style>
  <w:style w:type="paragraph" w:styleId="36">
    <w:name w:val="annotation subject"/>
    <w:basedOn w:val="11"/>
    <w:next w:val="11"/>
    <w:link w:val="157"/>
    <w:semiHidden/>
    <w:unhideWhenUsed/>
    <w:qFormat/>
    <w:uiPriority w:val="0"/>
    <w:rPr>
      <w:b/>
      <w:bCs/>
    </w:rPr>
  </w:style>
  <w:style w:type="table" w:styleId="38">
    <w:name w:val="Table Grid"/>
    <w:basedOn w:val="37"/>
    <w:qFormat/>
    <w:uiPriority w:val="0"/>
    <w:rPr>
      <w:rFonts w:ascii="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40">
    <w:name w:val="Strong"/>
    <w:qFormat/>
    <w:uiPriority w:val="22"/>
    <w:rPr>
      <w:b/>
      <w:bCs/>
    </w:rPr>
  </w:style>
  <w:style w:type="character" w:styleId="41">
    <w:name w:val="endnote reference"/>
    <w:semiHidden/>
    <w:qFormat/>
    <w:uiPriority w:val="0"/>
    <w:rPr>
      <w:vertAlign w:val="superscript"/>
    </w:rPr>
  </w:style>
  <w:style w:type="character" w:styleId="42">
    <w:name w:val="page number"/>
    <w:qFormat/>
    <w:uiPriority w:val="0"/>
    <w:rPr>
      <w:rFonts w:ascii="Times New Roman" w:hAnsi="Times New Roman" w:eastAsia="宋体"/>
      <w:sz w:val="18"/>
    </w:rPr>
  </w:style>
  <w:style w:type="character" w:styleId="43">
    <w:name w:val="Hyperlink"/>
    <w:qFormat/>
    <w:uiPriority w:val="99"/>
    <w:rPr>
      <w:color w:val="0000FF"/>
      <w:spacing w:val="0"/>
      <w:w w:val="100"/>
      <w:szCs w:val="21"/>
      <w:u w:val="single"/>
    </w:rPr>
  </w:style>
  <w:style w:type="character" w:styleId="44">
    <w:name w:val="annotation reference"/>
    <w:basedOn w:val="39"/>
    <w:semiHidden/>
    <w:unhideWhenUsed/>
    <w:qFormat/>
    <w:uiPriority w:val="0"/>
    <w:rPr>
      <w:sz w:val="21"/>
      <w:szCs w:val="21"/>
    </w:rPr>
  </w:style>
  <w:style w:type="character" w:styleId="45">
    <w:name w:val="footnote reference"/>
    <w:semiHidden/>
    <w:qFormat/>
    <w:uiPriority w:val="0"/>
    <w:rPr>
      <w:vertAlign w:val="superscript"/>
    </w:rPr>
  </w:style>
  <w:style w:type="character" w:customStyle="1" w:styleId="46">
    <w:name w:val="段 Char"/>
    <w:link w:val="26"/>
    <w:qFormat/>
    <w:uiPriority w:val="0"/>
    <w:rPr>
      <w:sz w:val="21"/>
    </w:rPr>
  </w:style>
  <w:style w:type="paragraph" w:customStyle="1" w:styleId="47">
    <w:name w:val="一级条标题"/>
    <w:next w:val="26"/>
    <w:qFormat/>
    <w:uiPriority w:val="0"/>
    <w:pPr>
      <w:spacing w:before="156" w:beforeLines="50" w:after="156" w:afterLines="50"/>
      <w:outlineLvl w:val="2"/>
    </w:pPr>
    <w:rPr>
      <w:rFonts w:ascii="黑体" w:hAnsi="Times New Roman" w:eastAsia="黑体" w:cs="Times New Roman"/>
      <w:sz w:val="21"/>
      <w:szCs w:val="21"/>
      <w:lang w:val="en-US" w:eastAsia="zh-CN" w:bidi="ar-SA"/>
    </w:rPr>
  </w:style>
  <w:style w:type="paragraph" w:customStyle="1" w:styleId="48">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49">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50">
    <w:name w:val="章标题"/>
    <w:next w:val="26"/>
    <w:qFormat/>
    <w:uiPriority w:val="0"/>
    <w:pPr>
      <w:spacing w:beforeLines="100" w:afterLines="100"/>
      <w:jc w:val="both"/>
      <w:outlineLvl w:val="1"/>
    </w:pPr>
    <w:rPr>
      <w:rFonts w:ascii="黑体" w:hAnsi="Times New Roman" w:eastAsia="黑体" w:cs="Times New Roman"/>
      <w:sz w:val="21"/>
      <w:lang w:val="en-US" w:eastAsia="zh-CN" w:bidi="ar-SA"/>
    </w:rPr>
  </w:style>
  <w:style w:type="paragraph" w:customStyle="1" w:styleId="51">
    <w:name w:val="二级条标题"/>
    <w:basedOn w:val="47"/>
    <w:next w:val="26"/>
    <w:qFormat/>
    <w:uiPriority w:val="0"/>
    <w:pPr>
      <w:spacing w:before="50" w:after="50"/>
      <w:outlineLvl w:val="3"/>
    </w:pPr>
    <w:rPr>
      <w:rFonts w:ascii="Times New Roman"/>
    </w:rPr>
  </w:style>
  <w:style w:type="paragraph" w:customStyle="1" w:styleId="52">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53">
    <w:name w:val="列项——（一级）"/>
    <w:qFormat/>
    <w:uiPriority w:val="0"/>
    <w:pPr>
      <w:widowControl w:val="0"/>
      <w:numPr>
        <w:ilvl w:val="0"/>
        <w:numId w:val="2"/>
      </w:numPr>
      <w:jc w:val="both"/>
    </w:pPr>
    <w:rPr>
      <w:rFonts w:ascii="宋体" w:hAnsi="Times New Roman" w:eastAsia="宋体" w:cs="Times New Roman"/>
      <w:sz w:val="21"/>
      <w:lang w:val="en-US" w:eastAsia="zh-CN" w:bidi="ar-SA"/>
    </w:rPr>
  </w:style>
  <w:style w:type="paragraph" w:customStyle="1" w:styleId="54">
    <w:name w:val="列项●（二级）"/>
    <w:qFormat/>
    <w:uiPriority w:val="0"/>
    <w:pPr>
      <w:numPr>
        <w:ilvl w:val="1"/>
        <w:numId w:val="2"/>
      </w:numPr>
      <w:tabs>
        <w:tab w:val="left" w:pos="840"/>
      </w:tabs>
      <w:jc w:val="both"/>
    </w:pPr>
    <w:rPr>
      <w:rFonts w:ascii="宋体" w:hAnsi="Times New Roman" w:eastAsia="宋体" w:cs="Times New Roman"/>
      <w:sz w:val="21"/>
      <w:lang w:val="en-US" w:eastAsia="zh-CN" w:bidi="ar-SA"/>
    </w:rPr>
  </w:style>
  <w:style w:type="paragraph" w:customStyle="1" w:styleId="55">
    <w:name w:val="目次、标准名称标题"/>
    <w:basedOn w:val="1"/>
    <w:next w:val="26"/>
    <w:qFormat/>
    <w:uiPriority w:val="0"/>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56">
    <w:name w:val="三级条标题"/>
    <w:basedOn w:val="51"/>
    <w:next w:val="26"/>
    <w:link w:val="162"/>
    <w:qFormat/>
    <w:uiPriority w:val="0"/>
    <w:pPr>
      <w:outlineLvl w:val="4"/>
    </w:pPr>
  </w:style>
  <w:style w:type="paragraph" w:customStyle="1" w:styleId="57">
    <w:name w:val="示例"/>
    <w:next w:val="58"/>
    <w:qFormat/>
    <w:uiPriority w:val="0"/>
    <w:pPr>
      <w:widowControl w:val="0"/>
      <w:numPr>
        <w:ilvl w:val="0"/>
        <w:numId w:val="3"/>
      </w:numPr>
      <w:jc w:val="both"/>
    </w:pPr>
    <w:rPr>
      <w:rFonts w:ascii="宋体" w:hAnsi="Times New Roman" w:eastAsia="宋体" w:cs="Times New Roman"/>
      <w:sz w:val="18"/>
      <w:szCs w:val="18"/>
      <w:lang w:val="en-US" w:eastAsia="zh-CN" w:bidi="ar-SA"/>
    </w:rPr>
  </w:style>
  <w:style w:type="paragraph" w:customStyle="1" w:styleId="58">
    <w:name w:val="示例内容"/>
    <w:qFormat/>
    <w:uiPriority w:val="0"/>
    <w:pPr>
      <w:ind w:firstLine="200" w:firstLineChars="200"/>
    </w:pPr>
    <w:rPr>
      <w:rFonts w:ascii="宋体" w:hAnsi="Times New Roman" w:eastAsia="宋体" w:cs="Times New Roman"/>
      <w:sz w:val="18"/>
      <w:szCs w:val="18"/>
      <w:lang w:val="en-US" w:eastAsia="zh-CN" w:bidi="ar-SA"/>
    </w:rPr>
  </w:style>
  <w:style w:type="paragraph" w:customStyle="1" w:styleId="59">
    <w:name w:val="数字编号列项（二级）"/>
    <w:qFormat/>
    <w:uiPriority w:val="0"/>
    <w:pPr>
      <w:numPr>
        <w:ilvl w:val="1"/>
        <w:numId w:val="4"/>
      </w:numPr>
      <w:jc w:val="both"/>
    </w:pPr>
    <w:rPr>
      <w:rFonts w:ascii="宋体" w:hAnsi="Times New Roman" w:eastAsia="宋体" w:cs="Times New Roman"/>
      <w:sz w:val="21"/>
      <w:lang w:val="en-US" w:eastAsia="zh-CN" w:bidi="ar-SA"/>
    </w:rPr>
  </w:style>
  <w:style w:type="paragraph" w:customStyle="1" w:styleId="60">
    <w:name w:val="四级条标题"/>
    <w:basedOn w:val="56"/>
    <w:next w:val="26"/>
    <w:qFormat/>
    <w:uiPriority w:val="0"/>
    <w:pPr>
      <w:outlineLvl w:val="5"/>
    </w:pPr>
  </w:style>
  <w:style w:type="paragraph" w:customStyle="1" w:styleId="61">
    <w:name w:val="五级条标题"/>
    <w:basedOn w:val="60"/>
    <w:next w:val="26"/>
    <w:qFormat/>
    <w:uiPriority w:val="0"/>
    <w:pPr>
      <w:outlineLvl w:val="6"/>
    </w:pPr>
  </w:style>
  <w:style w:type="paragraph" w:customStyle="1" w:styleId="62">
    <w:name w:val="注："/>
    <w:next w:val="26"/>
    <w:qFormat/>
    <w:uiPriority w:val="0"/>
    <w:pPr>
      <w:widowControl w:val="0"/>
      <w:numPr>
        <w:ilvl w:val="0"/>
        <w:numId w:val="5"/>
      </w:numPr>
      <w:autoSpaceDE w:val="0"/>
      <w:autoSpaceDN w:val="0"/>
      <w:jc w:val="both"/>
    </w:pPr>
    <w:rPr>
      <w:rFonts w:ascii="宋体" w:hAnsi="Times New Roman" w:eastAsia="宋体" w:cs="Times New Roman"/>
      <w:sz w:val="18"/>
      <w:szCs w:val="18"/>
      <w:lang w:val="en-US" w:eastAsia="zh-CN" w:bidi="ar-SA"/>
    </w:rPr>
  </w:style>
  <w:style w:type="paragraph" w:customStyle="1" w:styleId="63">
    <w:name w:val="注×："/>
    <w:qFormat/>
    <w:uiPriority w:val="0"/>
    <w:pPr>
      <w:widowControl w:val="0"/>
      <w:numPr>
        <w:ilvl w:val="0"/>
        <w:numId w:val="6"/>
      </w:numPr>
      <w:autoSpaceDE w:val="0"/>
      <w:autoSpaceDN w:val="0"/>
      <w:jc w:val="both"/>
    </w:pPr>
    <w:rPr>
      <w:rFonts w:ascii="宋体" w:hAnsi="Times New Roman" w:eastAsia="宋体" w:cs="Times New Roman"/>
      <w:sz w:val="18"/>
      <w:szCs w:val="18"/>
      <w:lang w:val="en-US" w:eastAsia="zh-CN" w:bidi="ar-SA"/>
    </w:rPr>
  </w:style>
  <w:style w:type="paragraph" w:customStyle="1" w:styleId="64">
    <w:name w:val="字母编号列项（一级）"/>
    <w:qFormat/>
    <w:uiPriority w:val="0"/>
    <w:pPr>
      <w:numPr>
        <w:ilvl w:val="0"/>
        <w:numId w:val="4"/>
      </w:numPr>
      <w:jc w:val="both"/>
    </w:pPr>
    <w:rPr>
      <w:rFonts w:ascii="宋体" w:hAnsi="Times New Roman" w:eastAsia="宋体" w:cs="Times New Roman"/>
      <w:sz w:val="21"/>
      <w:lang w:val="en-US" w:eastAsia="zh-CN" w:bidi="ar-SA"/>
    </w:rPr>
  </w:style>
  <w:style w:type="paragraph" w:customStyle="1" w:styleId="65">
    <w:name w:val="列项◆（三级）"/>
    <w:basedOn w:val="1"/>
    <w:qFormat/>
    <w:uiPriority w:val="0"/>
    <w:pPr>
      <w:numPr>
        <w:ilvl w:val="2"/>
        <w:numId w:val="2"/>
      </w:numPr>
    </w:pPr>
    <w:rPr>
      <w:rFonts w:ascii="宋体"/>
      <w:szCs w:val="21"/>
    </w:rPr>
  </w:style>
  <w:style w:type="paragraph" w:customStyle="1" w:styleId="66">
    <w:name w:val="编号列项（三级）"/>
    <w:qFormat/>
    <w:uiPriority w:val="0"/>
    <w:rPr>
      <w:rFonts w:ascii="宋体" w:hAnsi="Times New Roman" w:eastAsia="宋体" w:cs="Times New Roman"/>
      <w:sz w:val="21"/>
      <w:lang w:val="en-US" w:eastAsia="zh-CN" w:bidi="ar-SA"/>
    </w:rPr>
  </w:style>
  <w:style w:type="paragraph" w:customStyle="1" w:styleId="67">
    <w:name w:val="示例×："/>
    <w:basedOn w:val="50"/>
    <w:qFormat/>
    <w:uiPriority w:val="0"/>
    <w:pPr>
      <w:numPr>
        <w:ilvl w:val="0"/>
        <w:numId w:val="7"/>
      </w:numPr>
      <w:spacing w:beforeLines="0" w:afterLines="0"/>
      <w:outlineLvl w:val="9"/>
    </w:pPr>
    <w:rPr>
      <w:rFonts w:ascii="宋体" w:eastAsia="宋体"/>
      <w:sz w:val="18"/>
      <w:szCs w:val="18"/>
    </w:rPr>
  </w:style>
  <w:style w:type="paragraph" w:customStyle="1" w:styleId="68">
    <w:name w:val="二级无"/>
    <w:basedOn w:val="51"/>
    <w:qFormat/>
    <w:uiPriority w:val="0"/>
    <w:pPr>
      <w:spacing w:before="0" w:beforeLines="0" w:after="0" w:afterLines="0"/>
      <w:ind w:left="4112"/>
      <w:jc w:val="both"/>
    </w:pPr>
    <w:rPr>
      <w:rFonts w:ascii="宋体" w:eastAsia="宋体"/>
    </w:rPr>
  </w:style>
  <w:style w:type="paragraph" w:customStyle="1" w:styleId="69">
    <w:name w:val="注：（正文）"/>
    <w:basedOn w:val="62"/>
    <w:next w:val="26"/>
    <w:qFormat/>
    <w:uiPriority w:val="0"/>
    <w:pPr>
      <w:numPr>
        <w:ilvl w:val="0"/>
        <w:numId w:val="8"/>
      </w:numPr>
    </w:pPr>
  </w:style>
  <w:style w:type="paragraph" w:customStyle="1" w:styleId="70">
    <w:name w:val="注×：（正文）"/>
    <w:qFormat/>
    <w:uiPriority w:val="0"/>
    <w:pPr>
      <w:numPr>
        <w:ilvl w:val="0"/>
        <w:numId w:val="9"/>
      </w:numPr>
      <w:jc w:val="both"/>
    </w:pPr>
    <w:rPr>
      <w:rFonts w:ascii="宋体" w:hAnsi="Times New Roman" w:eastAsia="宋体" w:cs="Times New Roman"/>
      <w:sz w:val="18"/>
      <w:szCs w:val="18"/>
      <w:lang w:val="en-US" w:eastAsia="zh-CN" w:bidi="ar-SA"/>
    </w:rPr>
  </w:style>
  <w:style w:type="paragraph" w:customStyle="1" w:styleId="71">
    <w:name w:val="标准标志"/>
    <w:next w:val="1"/>
    <w:qFormat/>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sz w:val="96"/>
      <w:szCs w:val="96"/>
      <w:lang w:val="en-US" w:eastAsia="zh-CN" w:bidi="ar-SA"/>
    </w:rPr>
  </w:style>
  <w:style w:type="paragraph" w:customStyle="1" w:styleId="72">
    <w:name w:val="标准称谓"/>
    <w:next w:val="1"/>
    <w:qFormat/>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sz w:val="48"/>
      <w:lang w:val="en-US" w:eastAsia="zh-CN" w:bidi="ar-SA"/>
    </w:rPr>
  </w:style>
  <w:style w:type="paragraph" w:customStyle="1" w:styleId="73">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74">
    <w:name w:val="标准书眉_偶数页"/>
    <w:basedOn w:val="49"/>
    <w:next w:val="1"/>
    <w:qFormat/>
    <w:uiPriority w:val="0"/>
    <w:pPr>
      <w:jc w:val="left"/>
    </w:pPr>
  </w:style>
  <w:style w:type="paragraph" w:customStyle="1" w:styleId="75">
    <w:name w:val="标准书眉一"/>
    <w:qFormat/>
    <w:uiPriority w:val="0"/>
    <w:pPr>
      <w:jc w:val="both"/>
    </w:pPr>
    <w:rPr>
      <w:rFonts w:ascii="Times New Roman" w:hAnsi="Times New Roman" w:eastAsia="宋体" w:cs="Times New Roman"/>
      <w:lang w:val="en-US" w:eastAsia="zh-CN" w:bidi="ar-SA"/>
    </w:rPr>
  </w:style>
  <w:style w:type="paragraph" w:customStyle="1" w:styleId="76">
    <w:name w:val="参考文献"/>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77">
    <w:name w:val="参考文献、索引标题"/>
    <w:basedOn w:val="1"/>
    <w:next w:val="26"/>
    <w:qFormat/>
    <w:uiPriority w:val="0"/>
    <w:pPr>
      <w:keepNext/>
      <w:pageBreakBefore/>
      <w:widowControl/>
      <w:shd w:val="clear" w:color="FFFFFF" w:fill="FFFFFF"/>
      <w:spacing w:before="640" w:after="200"/>
      <w:jc w:val="center"/>
      <w:outlineLvl w:val="0"/>
    </w:pPr>
    <w:rPr>
      <w:rFonts w:ascii="黑体" w:eastAsia="黑体"/>
      <w:kern w:val="0"/>
      <w:szCs w:val="20"/>
    </w:rPr>
  </w:style>
  <w:style w:type="character" w:customStyle="1" w:styleId="78">
    <w:name w:val="发布"/>
    <w:qFormat/>
    <w:uiPriority w:val="0"/>
    <w:rPr>
      <w:rFonts w:ascii="黑体" w:eastAsia="黑体"/>
      <w:spacing w:val="85"/>
      <w:w w:val="100"/>
      <w:position w:val="3"/>
      <w:sz w:val="28"/>
      <w:szCs w:val="28"/>
    </w:rPr>
  </w:style>
  <w:style w:type="paragraph" w:customStyle="1" w:styleId="79">
    <w:name w:val="发布部门"/>
    <w:next w:val="26"/>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sz w:val="28"/>
      <w:lang w:val="en-US" w:eastAsia="zh-CN" w:bidi="ar-SA"/>
    </w:rPr>
  </w:style>
  <w:style w:type="paragraph" w:customStyle="1" w:styleId="80">
    <w:name w:val="发布日期"/>
    <w:qFormat/>
    <w:uiPriority w:val="0"/>
    <w:pPr>
      <w:framePr w:w="3997" w:h="471" w:hRule="exact" w:vSpace="181" w:wrap="around" w:vAnchor="margin" w:hAnchor="page" w:x="7089" w:y="14097" w:anchorLock="1"/>
    </w:pPr>
    <w:rPr>
      <w:rFonts w:ascii="Times New Roman" w:hAnsi="Times New Roman" w:eastAsia="黑体" w:cs="Times New Roman"/>
      <w:sz w:val="28"/>
      <w:lang w:val="en-US" w:eastAsia="zh-CN" w:bidi="ar-SA"/>
    </w:rPr>
  </w:style>
  <w:style w:type="paragraph" w:customStyle="1" w:styleId="81">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8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83">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84">
    <w:name w:val="封面标准英文名称"/>
    <w:basedOn w:val="83"/>
    <w:qFormat/>
    <w:uiPriority w:val="0"/>
    <w:pPr>
      <w:framePr w:wrap="around"/>
      <w:spacing w:before="370" w:line="400" w:lineRule="exact"/>
    </w:pPr>
    <w:rPr>
      <w:rFonts w:ascii="Times New Roman"/>
      <w:sz w:val="28"/>
      <w:szCs w:val="28"/>
    </w:rPr>
  </w:style>
  <w:style w:type="paragraph" w:customStyle="1" w:styleId="85">
    <w:name w:val="封面一致性程度标识"/>
    <w:basedOn w:val="84"/>
    <w:qFormat/>
    <w:uiPriority w:val="0"/>
    <w:pPr>
      <w:framePr w:wrap="around"/>
      <w:spacing w:before="440"/>
    </w:pPr>
    <w:rPr>
      <w:rFonts w:ascii="宋体" w:eastAsia="宋体"/>
    </w:rPr>
  </w:style>
  <w:style w:type="paragraph" w:customStyle="1" w:styleId="86">
    <w:name w:val="封面标准文稿类别"/>
    <w:basedOn w:val="85"/>
    <w:qFormat/>
    <w:uiPriority w:val="0"/>
    <w:pPr>
      <w:framePr w:wrap="around"/>
      <w:spacing w:after="160" w:line="240" w:lineRule="auto"/>
    </w:pPr>
    <w:rPr>
      <w:sz w:val="24"/>
    </w:rPr>
  </w:style>
  <w:style w:type="paragraph" w:customStyle="1" w:styleId="87">
    <w:name w:val="封面标准文稿编辑信息"/>
    <w:basedOn w:val="86"/>
    <w:qFormat/>
    <w:uiPriority w:val="0"/>
    <w:pPr>
      <w:framePr w:wrap="around"/>
      <w:spacing w:before="180" w:line="180" w:lineRule="exact"/>
    </w:pPr>
    <w:rPr>
      <w:sz w:val="21"/>
    </w:rPr>
  </w:style>
  <w:style w:type="paragraph" w:customStyle="1" w:styleId="88">
    <w:name w:val="封面正文"/>
    <w:qFormat/>
    <w:uiPriority w:val="0"/>
    <w:pPr>
      <w:jc w:val="both"/>
    </w:pPr>
    <w:rPr>
      <w:rFonts w:ascii="Times New Roman" w:hAnsi="Times New Roman" w:eastAsia="宋体" w:cs="Times New Roman"/>
      <w:lang w:val="en-US" w:eastAsia="zh-CN" w:bidi="ar-SA"/>
    </w:rPr>
  </w:style>
  <w:style w:type="paragraph" w:customStyle="1" w:styleId="89">
    <w:name w:val="附录标识"/>
    <w:basedOn w:val="1"/>
    <w:next w:val="26"/>
    <w:qFormat/>
    <w:uiPriority w:val="0"/>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90">
    <w:name w:val="附录标题"/>
    <w:basedOn w:val="26"/>
    <w:next w:val="26"/>
    <w:qFormat/>
    <w:uiPriority w:val="0"/>
    <w:pPr>
      <w:ind w:firstLine="0" w:firstLineChars="0"/>
      <w:jc w:val="center"/>
    </w:pPr>
    <w:rPr>
      <w:rFonts w:ascii="黑体" w:eastAsia="黑体"/>
    </w:rPr>
  </w:style>
  <w:style w:type="paragraph" w:customStyle="1" w:styleId="91">
    <w:name w:val="附录表标号"/>
    <w:basedOn w:val="1"/>
    <w:next w:val="26"/>
    <w:qFormat/>
    <w:uiPriority w:val="0"/>
    <w:pPr>
      <w:numPr>
        <w:ilvl w:val="0"/>
        <w:numId w:val="11"/>
      </w:numPr>
      <w:spacing w:line="14" w:lineRule="exact"/>
      <w:ind w:left="811" w:hanging="448"/>
      <w:jc w:val="center"/>
      <w:outlineLvl w:val="0"/>
    </w:pPr>
    <w:rPr>
      <w:color w:val="FFFFFF"/>
    </w:rPr>
  </w:style>
  <w:style w:type="paragraph" w:customStyle="1" w:styleId="92">
    <w:name w:val="附录表标题"/>
    <w:basedOn w:val="1"/>
    <w:next w:val="26"/>
    <w:qFormat/>
    <w:uiPriority w:val="0"/>
    <w:pPr>
      <w:numPr>
        <w:ilvl w:val="1"/>
        <w:numId w:val="11"/>
      </w:numPr>
      <w:tabs>
        <w:tab w:val="left" w:pos="0"/>
        <w:tab w:val="left" w:pos="180"/>
      </w:tabs>
      <w:spacing w:beforeLines="50" w:afterLines="50"/>
      <w:jc w:val="center"/>
    </w:pPr>
    <w:rPr>
      <w:rFonts w:ascii="黑体" w:eastAsia="黑体"/>
      <w:szCs w:val="21"/>
    </w:rPr>
  </w:style>
  <w:style w:type="paragraph" w:customStyle="1" w:styleId="93">
    <w:name w:val="附录二级条标题"/>
    <w:basedOn w:val="1"/>
    <w:next w:val="26"/>
    <w:qFormat/>
    <w:uiPriority w:val="0"/>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94">
    <w:name w:val="附录二级无"/>
    <w:basedOn w:val="93"/>
    <w:qFormat/>
    <w:uiPriority w:val="0"/>
    <w:pPr>
      <w:tabs>
        <w:tab w:val="clear" w:pos="360"/>
      </w:tabs>
      <w:spacing w:beforeLines="0" w:afterLines="0"/>
    </w:pPr>
    <w:rPr>
      <w:rFonts w:ascii="宋体" w:eastAsia="宋体"/>
      <w:szCs w:val="21"/>
    </w:rPr>
  </w:style>
  <w:style w:type="paragraph" w:customStyle="1" w:styleId="95">
    <w:name w:val="附录公式"/>
    <w:basedOn w:val="26"/>
    <w:next w:val="26"/>
    <w:link w:val="96"/>
    <w:qFormat/>
    <w:uiPriority w:val="0"/>
  </w:style>
  <w:style w:type="character" w:customStyle="1" w:styleId="96">
    <w:name w:val="附录公式 Char"/>
    <w:basedOn w:val="46"/>
    <w:link w:val="95"/>
    <w:qFormat/>
    <w:uiPriority w:val="0"/>
    <w:rPr>
      <w:rFonts w:ascii="宋体"/>
      <w:sz w:val="21"/>
      <w:lang w:val="en-US" w:eastAsia="zh-CN" w:bidi="ar-SA"/>
    </w:rPr>
  </w:style>
  <w:style w:type="paragraph" w:customStyle="1" w:styleId="97">
    <w:name w:val="附录公式编号制表符"/>
    <w:basedOn w:val="1"/>
    <w:next w:val="26"/>
    <w:qFormat/>
    <w:uiPriority w:val="0"/>
    <w:pPr>
      <w:widowControl/>
      <w:tabs>
        <w:tab w:val="center" w:pos="4201"/>
        <w:tab w:val="right" w:leader="dot" w:pos="9298"/>
      </w:tabs>
      <w:autoSpaceDE w:val="0"/>
      <w:autoSpaceDN w:val="0"/>
    </w:pPr>
    <w:rPr>
      <w:rFonts w:ascii="宋体"/>
      <w:kern w:val="0"/>
      <w:szCs w:val="20"/>
    </w:rPr>
  </w:style>
  <w:style w:type="paragraph" w:customStyle="1" w:styleId="98">
    <w:name w:val="附录三级条标题"/>
    <w:basedOn w:val="93"/>
    <w:next w:val="26"/>
    <w:qFormat/>
    <w:uiPriority w:val="0"/>
    <w:pPr>
      <w:numPr>
        <w:ilvl w:val="4"/>
      </w:numPr>
      <w:outlineLvl w:val="4"/>
    </w:pPr>
  </w:style>
  <w:style w:type="paragraph" w:customStyle="1" w:styleId="99">
    <w:name w:val="附录三级无"/>
    <w:basedOn w:val="98"/>
    <w:qFormat/>
    <w:uiPriority w:val="0"/>
    <w:pPr>
      <w:tabs>
        <w:tab w:val="clear" w:pos="360"/>
      </w:tabs>
      <w:spacing w:beforeLines="0" w:afterLines="0"/>
    </w:pPr>
    <w:rPr>
      <w:rFonts w:ascii="宋体" w:eastAsia="宋体"/>
      <w:szCs w:val="21"/>
    </w:rPr>
  </w:style>
  <w:style w:type="paragraph" w:customStyle="1" w:styleId="100">
    <w:name w:val="附录数字编号列项（二级）"/>
    <w:qFormat/>
    <w:uiPriority w:val="0"/>
    <w:pPr>
      <w:numPr>
        <w:ilvl w:val="1"/>
        <w:numId w:val="12"/>
      </w:numPr>
    </w:pPr>
    <w:rPr>
      <w:rFonts w:ascii="宋体" w:hAnsi="Times New Roman" w:eastAsia="宋体" w:cs="Times New Roman"/>
      <w:sz w:val="21"/>
      <w:lang w:val="en-US" w:eastAsia="zh-CN" w:bidi="ar-SA"/>
    </w:rPr>
  </w:style>
  <w:style w:type="paragraph" w:customStyle="1" w:styleId="101">
    <w:name w:val="附录四级条标题"/>
    <w:basedOn w:val="98"/>
    <w:next w:val="26"/>
    <w:qFormat/>
    <w:uiPriority w:val="0"/>
    <w:pPr>
      <w:numPr>
        <w:ilvl w:val="5"/>
      </w:numPr>
      <w:outlineLvl w:val="5"/>
    </w:pPr>
  </w:style>
  <w:style w:type="paragraph" w:customStyle="1" w:styleId="102">
    <w:name w:val="附录四级无"/>
    <w:basedOn w:val="101"/>
    <w:qFormat/>
    <w:uiPriority w:val="0"/>
    <w:pPr>
      <w:tabs>
        <w:tab w:val="clear" w:pos="360"/>
      </w:tabs>
      <w:spacing w:beforeLines="0" w:afterLines="0"/>
    </w:pPr>
    <w:rPr>
      <w:rFonts w:ascii="宋体" w:eastAsia="宋体"/>
      <w:szCs w:val="21"/>
    </w:rPr>
  </w:style>
  <w:style w:type="paragraph" w:customStyle="1" w:styleId="103">
    <w:name w:val="附录图标号"/>
    <w:basedOn w:val="1"/>
    <w:qFormat/>
    <w:uiPriority w:val="0"/>
    <w:pPr>
      <w:keepNext/>
      <w:pageBreakBefore/>
      <w:widowControl/>
      <w:numPr>
        <w:ilvl w:val="0"/>
        <w:numId w:val="13"/>
      </w:numPr>
      <w:spacing w:line="14" w:lineRule="exact"/>
      <w:ind w:left="0" w:firstLine="363"/>
      <w:jc w:val="center"/>
      <w:outlineLvl w:val="0"/>
    </w:pPr>
    <w:rPr>
      <w:color w:val="FFFFFF"/>
    </w:rPr>
  </w:style>
  <w:style w:type="paragraph" w:customStyle="1" w:styleId="104">
    <w:name w:val="附录图标题"/>
    <w:basedOn w:val="1"/>
    <w:next w:val="26"/>
    <w:qFormat/>
    <w:uiPriority w:val="0"/>
    <w:pPr>
      <w:numPr>
        <w:ilvl w:val="1"/>
        <w:numId w:val="13"/>
      </w:numPr>
      <w:tabs>
        <w:tab w:val="left" w:pos="363"/>
      </w:tabs>
      <w:spacing w:beforeLines="50" w:afterLines="50"/>
      <w:ind w:left="0" w:firstLine="0"/>
      <w:jc w:val="center"/>
    </w:pPr>
    <w:rPr>
      <w:rFonts w:ascii="黑体" w:eastAsia="黑体"/>
      <w:szCs w:val="21"/>
    </w:rPr>
  </w:style>
  <w:style w:type="paragraph" w:customStyle="1" w:styleId="105">
    <w:name w:val="附录五级条标题"/>
    <w:basedOn w:val="101"/>
    <w:next w:val="26"/>
    <w:qFormat/>
    <w:uiPriority w:val="0"/>
    <w:pPr>
      <w:numPr>
        <w:ilvl w:val="6"/>
      </w:numPr>
      <w:outlineLvl w:val="6"/>
    </w:pPr>
  </w:style>
  <w:style w:type="paragraph" w:customStyle="1" w:styleId="106">
    <w:name w:val="附录五级无"/>
    <w:basedOn w:val="105"/>
    <w:qFormat/>
    <w:uiPriority w:val="0"/>
    <w:pPr>
      <w:tabs>
        <w:tab w:val="clear" w:pos="360"/>
      </w:tabs>
      <w:spacing w:beforeLines="0" w:afterLines="0"/>
    </w:pPr>
    <w:rPr>
      <w:rFonts w:ascii="宋体" w:eastAsia="宋体"/>
      <w:szCs w:val="21"/>
    </w:rPr>
  </w:style>
  <w:style w:type="paragraph" w:customStyle="1" w:styleId="107">
    <w:name w:val="附录章标题"/>
    <w:next w:val="26"/>
    <w:qFormat/>
    <w:uiPriority w:val="0"/>
    <w:pPr>
      <w:numPr>
        <w:ilvl w:val="1"/>
        <w:numId w:val="10"/>
      </w:numPr>
      <w:tabs>
        <w:tab w:val="left" w:pos="360"/>
      </w:tabs>
      <w:wordWrap w:val="0"/>
      <w:overflowPunct w:val="0"/>
      <w:autoSpaceDE w:val="0"/>
      <w:spacing w:before="312" w:beforeLines="100" w:after="312" w:afterLines="100"/>
      <w:jc w:val="both"/>
      <w:textAlignment w:val="baseline"/>
      <w:outlineLvl w:val="1"/>
    </w:pPr>
    <w:rPr>
      <w:rFonts w:eastAsia="黑体" w:cs="Times New Roman" w:asciiTheme="minorEastAsia" w:hAnsiTheme="minorEastAsia"/>
      <w:kern w:val="21"/>
      <w:sz w:val="21"/>
      <w:lang w:val="en-US" w:eastAsia="zh-CN" w:bidi="ar-SA"/>
    </w:rPr>
  </w:style>
  <w:style w:type="paragraph" w:customStyle="1" w:styleId="108">
    <w:name w:val="附录一级条标题"/>
    <w:basedOn w:val="107"/>
    <w:next w:val="26"/>
    <w:qFormat/>
    <w:uiPriority w:val="0"/>
    <w:pPr>
      <w:numPr>
        <w:ilvl w:val="2"/>
      </w:numPr>
      <w:autoSpaceDN w:val="0"/>
      <w:spacing w:before="50" w:beforeLines="50" w:after="50" w:afterLines="50"/>
      <w:ind w:left="0"/>
      <w:outlineLvl w:val="2"/>
    </w:pPr>
  </w:style>
  <w:style w:type="paragraph" w:customStyle="1" w:styleId="109">
    <w:name w:val="附录一级无"/>
    <w:basedOn w:val="108"/>
    <w:qFormat/>
    <w:uiPriority w:val="0"/>
    <w:pPr>
      <w:tabs>
        <w:tab w:val="clear" w:pos="360"/>
      </w:tabs>
      <w:spacing w:beforeLines="0" w:afterLines="0"/>
    </w:pPr>
    <w:rPr>
      <w:rFonts w:ascii="宋体" w:eastAsia="宋体"/>
      <w:szCs w:val="21"/>
    </w:rPr>
  </w:style>
  <w:style w:type="paragraph" w:customStyle="1" w:styleId="110">
    <w:name w:val="附录字母编号列项（一级）"/>
    <w:qFormat/>
    <w:uiPriority w:val="0"/>
    <w:pPr>
      <w:numPr>
        <w:ilvl w:val="0"/>
        <w:numId w:val="12"/>
      </w:numPr>
    </w:pPr>
    <w:rPr>
      <w:rFonts w:ascii="宋体" w:hAnsi="Times New Roman" w:eastAsia="宋体" w:cs="Times New Roman"/>
      <w:sz w:val="21"/>
      <w:lang w:val="en-US" w:eastAsia="zh-CN" w:bidi="ar-SA"/>
    </w:rPr>
  </w:style>
  <w:style w:type="paragraph" w:customStyle="1" w:styleId="111">
    <w:name w:val="列项说明"/>
    <w:basedOn w:val="1"/>
    <w:qFormat/>
    <w:uiPriority w:val="0"/>
    <w:pPr>
      <w:adjustRightInd w:val="0"/>
      <w:spacing w:line="320" w:lineRule="exact"/>
      <w:ind w:left="400" w:leftChars="200" w:hanging="200" w:hangingChars="200"/>
      <w:jc w:val="left"/>
      <w:textAlignment w:val="baseline"/>
    </w:pPr>
    <w:rPr>
      <w:rFonts w:ascii="宋体"/>
      <w:kern w:val="0"/>
      <w:szCs w:val="20"/>
    </w:rPr>
  </w:style>
  <w:style w:type="paragraph" w:customStyle="1" w:styleId="112">
    <w:name w:val="列项说明数字编号"/>
    <w:qFormat/>
    <w:uiPriority w:val="0"/>
    <w:pPr>
      <w:ind w:left="600" w:leftChars="400" w:hanging="200" w:hangingChars="200"/>
    </w:pPr>
    <w:rPr>
      <w:rFonts w:ascii="宋体" w:hAnsi="Times New Roman" w:eastAsia="宋体" w:cs="Times New Roman"/>
      <w:sz w:val="21"/>
      <w:lang w:val="en-US" w:eastAsia="zh-CN" w:bidi="ar-SA"/>
    </w:rPr>
  </w:style>
  <w:style w:type="paragraph" w:customStyle="1" w:styleId="11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14">
    <w:name w:val="其他标准标志"/>
    <w:basedOn w:val="71"/>
    <w:qFormat/>
    <w:uiPriority w:val="0"/>
    <w:pPr>
      <w:framePr w:w="6101" w:wrap="around" w:vAnchor="page" w:hAnchor="page" w:x="4673" w:y="942"/>
    </w:pPr>
    <w:rPr>
      <w:w w:val="130"/>
    </w:rPr>
  </w:style>
  <w:style w:type="paragraph" w:customStyle="1" w:styleId="115">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116">
    <w:name w:val="其他发布部门"/>
    <w:basedOn w:val="79"/>
    <w:qFormat/>
    <w:uiPriority w:val="0"/>
    <w:pPr>
      <w:framePr w:wrap="around" w:y="15310"/>
      <w:spacing w:line="0" w:lineRule="atLeast"/>
    </w:pPr>
    <w:rPr>
      <w:rFonts w:ascii="黑体" w:eastAsia="黑体"/>
      <w:b w:val="0"/>
    </w:rPr>
  </w:style>
  <w:style w:type="paragraph" w:customStyle="1" w:styleId="117">
    <w:name w:val="前言、引言标题"/>
    <w:next w:val="26"/>
    <w:qFormat/>
    <w:uiPriority w:val="0"/>
    <w:pPr>
      <w:keepNext/>
      <w:pageBreakBefore/>
      <w:shd w:val="clear" w:color="FFFFFF" w:fill="FFFFFF"/>
      <w:spacing w:before="640" w:after="560"/>
      <w:jc w:val="center"/>
      <w:outlineLvl w:val="0"/>
    </w:pPr>
    <w:rPr>
      <w:rFonts w:ascii="黑体" w:hAnsi="Times New Roman" w:eastAsia="黑体" w:cs="Times New Roman"/>
      <w:sz w:val="32"/>
      <w:lang w:val="en-US" w:eastAsia="zh-CN" w:bidi="ar-SA"/>
    </w:rPr>
  </w:style>
  <w:style w:type="paragraph" w:customStyle="1" w:styleId="118">
    <w:name w:val="三级无"/>
    <w:basedOn w:val="56"/>
    <w:qFormat/>
    <w:uiPriority w:val="0"/>
    <w:pPr>
      <w:spacing w:before="0" w:beforeLines="0" w:after="0" w:afterLines="0"/>
    </w:pPr>
    <w:rPr>
      <w:rFonts w:asciiTheme="minorEastAsia" w:hAnsiTheme="minorEastAsia" w:eastAsiaTheme="minorEastAsia"/>
    </w:rPr>
  </w:style>
  <w:style w:type="paragraph" w:customStyle="1" w:styleId="119">
    <w:name w:val="实施日期"/>
    <w:basedOn w:val="80"/>
    <w:qFormat/>
    <w:uiPriority w:val="0"/>
    <w:pPr>
      <w:framePr w:wrap="around" w:vAnchor="page" w:hAnchor="text"/>
      <w:jc w:val="right"/>
    </w:pPr>
  </w:style>
  <w:style w:type="paragraph" w:customStyle="1" w:styleId="120">
    <w:name w:val="示例后文字"/>
    <w:basedOn w:val="26"/>
    <w:next w:val="26"/>
    <w:qFormat/>
    <w:uiPriority w:val="0"/>
    <w:pPr>
      <w:ind w:firstLine="360"/>
    </w:pPr>
    <w:rPr>
      <w:sz w:val="18"/>
    </w:rPr>
  </w:style>
  <w:style w:type="paragraph" w:customStyle="1" w:styleId="121">
    <w:name w:val="首示例"/>
    <w:next w:val="26"/>
    <w:link w:val="122"/>
    <w:qFormat/>
    <w:uiPriority w:val="0"/>
    <w:pPr>
      <w:numPr>
        <w:ilvl w:val="0"/>
        <w:numId w:val="14"/>
      </w:numPr>
      <w:tabs>
        <w:tab w:val="left" w:pos="360"/>
      </w:tabs>
      <w:ind w:firstLine="0"/>
    </w:pPr>
    <w:rPr>
      <w:rFonts w:ascii="宋体" w:hAnsi="宋体" w:eastAsia="宋体" w:cs="Times New Roman"/>
      <w:kern w:val="2"/>
      <w:sz w:val="18"/>
      <w:szCs w:val="18"/>
      <w:lang w:val="en-US" w:eastAsia="zh-CN" w:bidi="ar-SA"/>
    </w:rPr>
  </w:style>
  <w:style w:type="character" w:customStyle="1" w:styleId="122">
    <w:name w:val="首示例 Char"/>
    <w:link w:val="121"/>
    <w:qFormat/>
    <w:uiPriority w:val="0"/>
    <w:rPr>
      <w:rFonts w:ascii="宋体" w:hAnsi="宋体"/>
      <w:kern w:val="2"/>
      <w:sz w:val="18"/>
      <w:szCs w:val="18"/>
    </w:rPr>
  </w:style>
  <w:style w:type="paragraph" w:customStyle="1" w:styleId="123">
    <w:name w:val="四级无"/>
    <w:basedOn w:val="60"/>
    <w:qFormat/>
    <w:uiPriority w:val="0"/>
    <w:pPr>
      <w:spacing w:before="0" w:beforeLines="0" w:after="0" w:afterLines="0"/>
    </w:pPr>
    <w:rPr>
      <w:rFonts w:asciiTheme="minorEastAsia" w:hAnsiTheme="minorEastAsia" w:eastAsiaTheme="minorEastAsia"/>
    </w:rPr>
  </w:style>
  <w:style w:type="paragraph" w:customStyle="1" w:styleId="124">
    <w:name w:val="条文脚注"/>
    <w:basedOn w:val="27"/>
    <w:qFormat/>
    <w:uiPriority w:val="0"/>
    <w:pPr>
      <w:numPr>
        <w:numId w:val="0"/>
      </w:numPr>
      <w:jc w:val="both"/>
    </w:pPr>
  </w:style>
  <w:style w:type="paragraph" w:customStyle="1" w:styleId="125">
    <w:name w:val="图标脚注说明"/>
    <w:basedOn w:val="26"/>
    <w:qFormat/>
    <w:uiPriority w:val="0"/>
    <w:pPr>
      <w:ind w:left="840" w:hanging="420" w:firstLineChars="0"/>
    </w:pPr>
    <w:rPr>
      <w:sz w:val="18"/>
      <w:szCs w:val="18"/>
    </w:rPr>
  </w:style>
  <w:style w:type="paragraph" w:customStyle="1" w:styleId="126">
    <w:name w:val="图表脚注说明"/>
    <w:basedOn w:val="1"/>
    <w:qFormat/>
    <w:uiPriority w:val="0"/>
    <w:pPr>
      <w:numPr>
        <w:ilvl w:val="0"/>
        <w:numId w:val="15"/>
      </w:numPr>
    </w:pPr>
    <w:rPr>
      <w:rFonts w:ascii="宋体"/>
      <w:sz w:val="18"/>
      <w:szCs w:val="18"/>
    </w:rPr>
  </w:style>
  <w:style w:type="paragraph" w:customStyle="1" w:styleId="127">
    <w:name w:val="图的脚注"/>
    <w:next w:val="26"/>
    <w:qFormat/>
    <w:uiPriority w:val="0"/>
    <w:pPr>
      <w:widowControl w:val="0"/>
      <w:ind w:left="840" w:leftChars="200" w:hanging="420" w:hangingChars="200"/>
      <w:jc w:val="both"/>
    </w:pPr>
    <w:rPr>
      <w:rFonts w:ascii="宋体" w:hAnsi="Times New Roman" w:eastAsia="宋体" w:cs="Times New Roman"/>
      <w:sz w:val="18"/>
      <w:lang w:val="en-US" w:eastAsia="zh-CN" w:bidi="ar-SA"/>
    </w:rPr>
  </w:style>
  <w:style w:type="paragraph" w:customStyle="1" w:styleId="128">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129">
    <w:name w:val="五级无"/>
    <w:basedOn w:val="61"/>
    <w:qFormat/>
    <w:uiPriority w:val="0"/>
    <w:pPr>
      <w:spacing w:before="0" w:beforeLines="0" w:after="0" w:afterLines="0"/>
    </w:pPr>
    <w:rPr>
      <w:rFonts w:asciiTheme="minorEastAsia" w:hAnsiTheme="minorEastAsia" w:eastAsiaTheme="minorEastAsia"/>
    </w:rPr>
  </w:style>
  <w:style w:type="paragraph" w:customStyle="1" w:styleId="130">
    <w:name w:val="一级无"/>
    <w:basedOn w:val="47"/>
    <w:qFormat/>
    <w:uiPriority w:val="0"/>
    <w:pPr>
      <w:spacing w:before="0" w:beforeLines="0" w:after="0" w:afterLines="0"/>
    </w:pPr>
    <w:rPr>
      <w:rFonts w:ascii="宋体" w:eastAsia="宋体"/>
    </w:rPr>
  </w:style>
  <w:style w:type="character" w:customStyle="1" w:styleId="131">
    <w:name w:val="已访问的超链接1"/>
    <w:qFormat/>
    <w:uiPriority w:val="0"/>
    <w:rPr>
      <w:color w:val="800080"/>
      <w:u w:val="single"/>
    </w:rPr>
  </w:style>
  <w:style w:type="paragraph" w:customStyle="1" w:styleId="132">
    <w:name w:val="正文表标题"/>
    <w:next w:val="26"/>
    <w:qFormat/>
    <w:uiPriority w:val="0"/>
    <w:pPr>
      <w:numPr>
        <w:ilvl w:val="0"/>
        <w:numId w:val="16"/>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133">
    <w:name w:val="正文公式编号制表符"/>
    <w:basedOn w:val="26"/>
    <w:next w:val="26"/>
    <w:qFormat/>
    <w:uiPriority w:val="0"/>
    <w:pPr>
      <w:ind w:firstLine="0" w:firstLineChars="0"/>
    </w:pPr>
  </w:style>
  <w:style w:type="paragraph" w:customStyle="1" w:styleId="134">
    <w:name w:val="正文图标题"/>
    <w:next w:val="26"/>
    <w:qFormat/>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35">
    <w:name w:val="终结线"/>
    <w:basedOn w:val="1"/>
    <w:qFormat/>
    <w:uiPriority w:val="0"/>
    <w:pPr>
      <w:framePr w:hSpace="181" w:vSpace="181" w:wrap="around" w:vAnchor="text" w:hAnchor="margin" w:xAlign="center" w:y="285"/>
    </w:pPr>
  </w:style>
  <w:style w:type="paragraph" w:customStyle="1" w:styleId="136">
    <w:name w:val="其他发布日期"/>
    <w:basedOn w:val="80"/>
    <w:qFormat/>
    <w:uiPriority w:val="0"/>
    <w:pPr>
      <w:framePr w:wrap="around" w:vAnchor="page" w:hAnchor="text" w:x="1419"/>
    </w:pPr>
  </w:style>
  <w:style w:type="paragraph" w:customStyle="1" w:styleId="137">
    <w:name w:val="其他实施日期"/>
    <w:basedOn w:val="119"/>
    <w:qFormat/>
    <w:uiPriority w:val="0"/>
    <w:pPr>
      <w:framePr w:wrap="around"/>
    </w:pPr>
  </w:style>
  <w:style w:type="paragraph" w:customStyle="1" w:styleId="138">
    <w:name w:val="封面标准名称2"/>
    <w:basedOn w:val="83"/>
    <w:qFormat/>
    <w:uiPriority w:val="0"/>
    <w:pPr>
      <w:framePr w:wrap="around" w:y="4469"/>
      <w:spacing w:beforeLines="630"/>
    </w:pPr>
  </w:style>
  <w:style w:type="paragraph" w:customStyle="1" w:styleId="139">
    <w:name w:val="封面标准英文名称2"/>
    <w:basedOn w:val="84"/>
    <w:qFormat/>
    <w:uiPriority w:val="0"/>
    <w:pPr>
      <w:framePr w:wrap="around" w:y="4469"/>
    </w:pPr>
  </w:style>
  <w:style w:type="paragraph" w:customStyle="1" w:styleId="140">
    <w:name w:val="封面一致性程度标识2"/>
    <w:basedOn w:val="85"/>
    <w:qFormat/>
    <w:uiPriority w:val="0"/>
    <w:pPr>
      <w:framePr w:wrap="around" w:y="4469"/>
    </w:pPr>
  </w:style>
  <w:style w:type="paragraph" w:customStyle="1" w:styleId="141">
    <w:name w:val="封面标准文稿类别2"/>
    <w:basedOn w:val="86"/>
    <w:qFormat/>
    <w:uiPriority w:val="0"/>
    <w:pPr>
      <w:framePr w:wrap="around" w:y="4469"/>
    </w:pPr>
  </w:style>
  <w:style w:type="paragraph" w:customStyle="1" w:styleId="142">
    <w:name w:val="封面标准文稿编辑信息2"/>
    <w:basedOn w:val="87"/>
    <w:qFormat/>
    <w:uiPriority w:val="0"/>
    <w:pPr>
      <w:framePr w:wrap="around" w:y="4469"/>
    </w:pPr>
  </w:style>
  <w:style w:type="paragraph" w:customStyle="1" w:styleId="143">
    <w:name w:val="列出段落1"/>
    <w:basedOn w:val="1"/>
    <w:qFormat/>
    <w:uiPriority w:val="34"/>
    <w:pPr>
      <w:ind w:firstLine="420" w:firstLineChars="200"/>
    </w:pPr>
    <w:rPr>
      <w:rFonts w:ascii="Calibri" w:hAnsi="Calibri"/>
      <w:sz w:val="28"/>
      <w:szCs w:val="22"/>
    </w:rPr>
  </w:style>
  <w:style w:type="character" w:customStyle="1" w:styleId="144">
    <w:name w:val="标题 2 Char"/>
    <w:link w:val="3"/>
    <w:qFormat/>
    <w:uiPriority w:val="9"/>
    <w:rPr>
      <w:rFonts w:ascii="Cambria" w:hAnsi="Cambria" w:eastAsia="宋体" w:cs="Times New Roman"/>
      <w:b/>
      <w:bCs/>
      <w:kern w:val="2"/>
      <w:sz w:val="32"/>
      <w:szCs w:val="32"/>
    </w:rPr>
  </w:style>
  <w:style w:type="character" w:customStyle="1" w:styleId="145">
    <w:name w:val="标题 3 Char"/>
    <w:link w:val="4"/>
    <w:qFormat/>
    <w:uiPriority w:val="9"/>
    <w:rPr>
      <w:rFonts w:ascii="Calibri" w:hAnsi="Calibri" w:eastAsia="宋体" w:cs="Times New Roman"/>
      <w:b/>
      <w:bCs/>
      <w:kern w:val="2"/>
      <w:sz w:val="32"/>
      <w:szCs w:val="32"/>
    </w:rPr>
  </w:style>
  <w:style w:type="character" w:customStyle="1" w:styleId="146">
    <w:name w:val="批注框文本 Char"/>
    <w:link w:val="19"/>
    <w:qFormat/>
    <w:uiPriority w:val="0"/>
    <w:rPr>
      <w:kern w:val="2"/>
      <w:sz w:val="18"/>
      <w:szCs w:val="18"/>
    </w:rPr>
  </w:style>
  <w:style w:type="character" w:customStyle="1" w:styleId="147">
    <w:name w:val="标题 1 Char"/>
    <w:link w:val="2"/>
    <w:qFormat/>
    <w:uiPriority w:val="0"/>
    <w:rPr>
      <w:b/>
      <w:bCs/>
      <w:kern w:val="44"/>
      <w:sz w:val="44"/>
      <w:szCs w:val="44"/>
    </w:rPr>
  </w:style>
  <w:style w:type="paragraph" w:customStyle="1" w:styleId="148">
    <w:name w:val="TOC 标题1"/>
    <w:basedOn w:val="2"/>
    <w:next w:val="1"/>
    <w:unhideWhenUsed/>
    <w:qFormat/>
    <w:uiPriority w:val="39"/>
    <w:pPr>
      <w:widowControl/>
      <w:spacing w:before="240" w:after="0" w:line="259" w:lineRule="auto"/>
      <w:jc w:val="left"/>
      <w:outlineLvl w:val="9"/>
    </w:pPr>
    <w:rPr>
      <w:rFonts w:ascii="Calibri Light" w:hAnsi="Calibri Light"/>
      <w:b w:val="0"/>
      <w:bCs w:val="0"/>
      <w:color w:val="2E74B5"/>
      <w:kern w:val="0"/>
      <w:sz w:val="32"/>
      <w:szCs w:val="32"/>
    </w:rPr>
  </w:style>
  <w:style w:type="paragraph" w:customStyle="1" w:styleId="149">
    <w:name w:val="修订1"/>
    <w:hidden/>
    <w:semiHidden/>
    <w:qFormat/>
    <w:uiPriority w:val="99"/>
    <w:rPr>
      <w:rFonts w:ascii="Times New Roman" w:hAnsi="Times New Roman" w:eastAsia="宋体" w:cs="Times New Roman"/>
      <w:kern w:val="2"/>
      <w:sz w:val="21"/>
      <w:szCs w:val="24"/>
      <w:lang w:val="en-US" w:eastAsia="zh-CN" w:bidi="ar-SA"/>
    </w:rPr>
  </w:style>
  <w:style w:type="character" w:customStyle="1" w:styleId="150">
    <w:name w:val="标题 Char"/>
    <w:basedOn w:val="39"/>
    <w:link w:val="35"/>
    <w:qFormat/>
    <w:uiPriority w:val="0"/>
    <w:rPr>
      <w:rFonts w:asciiTheme="majorHAnsi" w:hAnsiTheme="majorHAnsi" w:eastAsiaTheme="majorEastAsia" w:cstheme="majorBidi"/>
      <w:b/>
      <w:bCs/>
      <w:kern w:val="2"/>
      <w:sz w:val="32"/>
      <w:szCs w:val="32"/>
    </w:rPr>
  </w:style>
  <w:style w:type="character" w:customStyle="1" w:styleId="151">
    <w:name w:val="页脚 Char"/>
    <w:basedOn w:val="39"/>
    <w:link w:val="20"/>
    <w:qFormat/>
    <w:uiPriority w:val="99"/>
    <w:rPr>
      <w:kern w:val="2"/>
      <w:sz w:val="18"/>
      <w:szCs w:val="18"/>
    </w:rPr>
  </w:style>
  <w:style w:type="paragraph" w:customStyle="1" w:styleId="152">
    <w:name w:val="Body text|2"/>
    <w:basedOn w:val="1"/>
    <w:qFormat/>
    <w:uiPriority w:val="0"/>
    <w:pPr>
      <w:spacing w:line="670" w:lineRule="exact"/>
      <w:ind w:firstLine="820"/>
      <w:jc w:val="left"/>
    </w:pPr>
    <w:rPr>
      <w:color w:val="000000"/>
      <w:kern w:val="0"/>
      <w:sz w:val="40"/>
      <w:szCs w:val="40"/>
    </w:rPr>
  </w:style>
  <w:style w:type="paragraph" w:customStyle="1" w:styleId="153">
    <w:name w:val="Body text|1"/>
    <w:basedOn w:val="1"/>
    <w:qFormat/>
    <w:uiPriority w:val="0"/>
    <w:pPr>
      <w:spacing w:line="352" w:lineRule="auto"/>
      <w:ind w:firstLine="400"/>
      <w:jc w:val="left"/>
    </w:pPr>
    <w:rPr>
      <w:rFonts w:ascii="宋体" w:hAnsi="宋体" w:cs="宋体"/>
      <w:color w:val="000000"/>
      <w:kern w:val="0"/>
      <w:sz w:val="36"/>
      <w:szCs w:val="36"/>
    </w:rPr>
  </w:style>
  <w:style w:type="paragraph" w:customStyle="1" w:styleId="154">
    <w:name w:val="Table Paragraph"/>
    <w:basedOn w:val="1"/>
    <w:qFormat/>
    <w:uiPriority w:val="1"/>
    <w:pPr>
      <w:autoSpaceDE w:val="0"/>
      <w:autoSpaceDN w:val="0"/>
      <w:jc w:val="left"/>
    </w:pPr>
    <w:rPr>
      <w:rFonts w:ascii="宋体" w:hAnsi="宋体" w:cs="宋体"/>
      <w:kern w:val="0"/>
      <w:sz w:val="22"/>
      <w:szCs w:val="22"/>
      <w:lang w:eastAsia="en-US"/>
    </w:rPr>
  </w:style>
  <w:style w:type="paragraph" w:customStyle="1" w:styleId="155">
    <w:name w:val="修订2"/>
    <w:hidden/>
    <w:semiHidden/>
    <w:qFormat/>
    <w:uiPriority w:val="99"/>
    <w:rPr>
      <w:rFonts w:ascii="Times New Roman" w:hAnsi="Times New Roman" w:eastAsia="宋体" w:cs="Times New Roman"/>
      <w:kern w:val="2"/>
      <w:sz w:val="21"/>
      <w:szCs w:val="24"/>
      <w:lang w:val="en-US" w:eastAsia="zh-CN" w:bidi="ar-SA"/>
    </w:rPr>
  </w:style>
  <w:style w:type="character" w:customStyle="1" w:styleId="156">
    <w:name w:val="批注文字 Char"/>
    <w:basedOn w:val="39"/>
    <w:link w:val="11"/>
    <w:semiHidden/>
    <w:qFormat/>
    <w:uiPriority w:val="0"/>
    <w:rPr>
      <w:kern w:val="2"/>
      <w:sz w:val="21"/>
      <w:szCs w:val="24"/>
    </w:rPr>
  </w:style>
  <w:style w:type="character" w:customStyle="1" w:styleId="157">
    <w:name w:val="批注主题 Char"/>
    <w:basedOn w:val="156"/>
    <w:link w:val="36"/>
    <w:semiHidden/>
    <w:qFormat/>
    <w:uiPriority w:val="0"/>
    <w:rPr>
      <w:b/>
      <w:bCs/>
      <w:kern w:val="2"/>
      <w:sz w:val="21"/>
      <w:szCs w:val="24"/>
    </w:rPr>
  </w:style>
  <w:style w:type="paragraph" w:styleId="158">
    <w:name w:val="List Paragraph"/>
    <w:basedOn w:val="1"/>
    <w:qFormat/>
    <w:uiPriority w:val="99"/>
    <w:pPr>
      <w:ind w:firstLine="420" w:firstLineChars="200"/>
    </w:pPr>
  </w:style>
  <w:style w:type="character" w:customStyle="1" w:styleId="159">
    <w:name w:val="MTEquationSection"/>
    <w:basedOn w:val="39"/>
    <w:qFormat/>
    <w:uiPriority w:val="0"/>
    <w:rPr>
      <w:rFonts w:ascii="Times New Roman"/>
      <w:vanish/>
      <w:color w:val="FF0000"/>
    </w:rPr>
  </w:style>
  <w:style w:type="paragraph" w:customStyle="1" w:styleId="160">
    <w:name w:val="MTDisplayEquation"/>
    <w:basedOn w:val="26"/>
    <w:next w:val="1"/>
    <w:link w:val="161"/>
    <w:qFormat/>
    <w:uiPriority w:val="0"/>
    <w:pPr>
      <w:tabs>
        <w:tab w:val="center" w:pos="4680"/>
        <w:tab w:val="right" w:pos="9360"/>
        <w:tab w:val="clear" w:pos="4201"/>
        <w:tab w:val="clear" w:pos="9298"/>
      </w:tabs>
      <w:adjustRightInd w:val="0"/>
      <w:snapToGrid w:val="0"/>
    </w:pPr>
  </w:style>
  <w:style w:type="character" w:customStyle="1" w:styleId="161">
    <w:name w:val="MTDisplayEquation 字符"/>
    <w:basedOn w:val="46"/>
    <w:link w:val="160"/>
    <w:qFormat/>
    <w:uiPriority w:val="0"/>
    <w:rPr>
      <w:sz w:val="21"/>
    </w:rPr>
  </w:style>
  <w:style w:type="character" w:customStyle="1" w:styleId="162">
    <w:name w:val="三级条标题 Char"/>
    <w:link w:val="56"/>
    <w:qFormat/>
    <w:uiPriority w:val="0"/>
    <w:rPr>
      <w:rFonts w:eastAsia="黑体"/>
      <w:sz w:val="21"/>
      <w:szCs w:val="21"/>
    </w:rPr>
  </w:style>
  <w:style w:type="character" w:customStyle="1" w:styleId="163">
    <w:name w:val="标题 4 Char"/>
    <w:basedOn w:val="39"/>
    <w:link w:val="5"/>
    <w:semiHidden/>
    <w:uiPriority w:val="0"/>
    <w:rPr>
      <w:rFonts w:asciiTheme="majorHAnsi" w:hAnsiTheme="majorHAnsi" w:eastAsiaTheme="majorEastAsia" w:cstheme="maj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223601C-D2FF-49B6-ADA8-7138CA024E02}">
  <ds:schemaRefs/>
</ds:datastoreItem>
</file>

<file path=docProps/app.xml><?xml version="1.0" encoding="utf-8"?>
<Properties xmlns="http://schemas.openxmlformats.org/officeDocument/2006/extended-properties" xmlns:vt="http://schemas.openxmlformats.org/officeDocument/2006/docPropsVTypes">
  <Template>Normal.dotm</Template>
  <Company>zle</Company>
  <Pages>14</Pages>
  <Words>4865</Words>
  <Characters>5473</Characters>
  <Lines>58</Lines>
  <Paragraphs>16</Paragraphs>
  <TotalTime>26</TotalTime>
  <ScaleCrop>false</ScaleCrop>
  <LinksUpToDate>false</LinksUpToDate>
  <CharactersWithSpaces>5880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2024-10-16T02:14:00Z</dcterms:created>
  <dc:creator>HP</dc:creator>
  <cp:lastModifiedBy>海阳</cp:lastModifiedBy>
  <cp:lastPrinted>2024-10-29T03:29:00Z</cp:lastPrinted>
  <dcterms:modified xsi:type="dcterms:W3CDTF">2024-11-08T00:51:38Z</dcterms:modified>
  <dc:title>标准名称</dc:title>
  <cp:revision>218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6B97F02394EB4DAEABE144384D643FDB_13</vt:lpwstr>
  </property>
  <property fmtid="{D5CDD505-2E9C-101B-9397-08002B2CF9AE}" pid="4" name="MTEquationSection">
    <vt:lpwstr>1</vt:lpwstr>
  </property>
  <property fmtid="{D5CDD505-2E9C-101B-9397-08002B2CF9AE}" pid="5" name="MTWinEqns">
    <vt:bool>true</vt:bool>
  </property>
  <property fmtid="{D5CDD505-2E9C-101B-9397-08002B2CF9AE}" pid="6" name="MTEquationNumber2">
    <vt:lpwstr>(#E1)</vt:lpwstr>
  </property>
</Properties>
</file>