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703061"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/>
          <w:b/>
          <w:sz w:val="44"/>
          <w:szCs w:val="44"/>
        </w:rPr>
        <w:t>高神经酸文冠果繁育及栽培技术规程</w:t>
      </w:r>
    </w:p>
    <w:p w14:paraId="4133BB01">
      <w:pPr>
        <w:jc w:val="center"/>
        <w:rPr>
          <w:rFonts w:ascii="仿宋_GB2312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44"/>
          <w:szCs w:val="44"/>
        </w:rPr>
        <w:t>征求意见稿</w:t>
      </w:r>
    </w:p>
    <w:p w14:paraId="27C55E99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1 范围</w:t>
      </w:r>
    </w:p>
    <w:p w14:paraId="156095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本标准规定了高神经酸文冠果的术语和定义、繁育材料确定、苗木繁育、苗木出圃、栽植、整形修剪、肥水管理、有害生物防治等方面的繁育和栽培技术规程</w:t>
      </w:r>
    </w:p>
    <w:p w14:paraId="67E84AD7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 规范性引用文件</w:t>
      </w:r>
    </w:p>
    <w:p w14:paraId="06613F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下列文件对于本文件的应用是必不可少的。凡是注日期的引用文件，仅注日期的版本适用于本文件。凡是不注日期的引用文件，其最新版本（包含所有的修改单）适用于本文件。</w:t>
      </w:r>
    </w:p>
    <w:p w14:paraId="1D517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NY/T496 肥料合理使用准则 通则 </w:t>
      </w:r>
    </w:p>
    <w:p w14:paraId="0A7A10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GB/T8321农药合理使用准则</w:t>
      </w:r>
    </w:p>
    <w:p w14:paraId="2654BD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DB61/T1475－2021 林地草兔综合防治技术规程</w:t>
      </w:r>
    </w:p>
    <w:p w14:paraId="377C1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DB61/T1476-2021林地鼢鼠综合防治技术规程</w:t>
      </w:r>
    </w:p>
    <w:p w14:paraId="5CB2ECD0"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3术语和定义</w:t>
      </w:r>
    </w:p>
    <w:p w14:paraId="663C49D8">
      <w:pPr>
        <w:ind w:firstLine="560" w:firstLineChars="200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高神经酸文冠果：文冠果种仁神经酸含量≥3.5%的文冠果。</w:t>
      </w:r>
    </w:p>
    <w:p w14:paraId="3C53136D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苗高：从地面到自然生长冠顶端的垂直高度。</w:t>
      </w:r>
      <w:r>
        <w:rPr>
          <w:rFonts w:hint="eastAsia" w:asciiTheme="minorEastAsia" w:hAnsiTheme="minorEastAsia" w:cstheme="minorEastAsia"/>
          <w:sz w:val="28"/>
          <w:szCs w:val="28"/>
        </w:rPr>
        <w:tab/>
      </w:r>
    </w:p>
    <w:p w14:paraId="15E5B4B5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地径：苗木靠近地表面10cm处的直径。</w:t>
      </w:r>
    </w:p>
    <w:p w14:paraId="7EC7C285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4繁育材料确定</w:t>
      </w:r>
    </w:p>
    <w:p w14:paraId="736FBF6F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以高神经酸为生产目标，兼顾丰产、高油特性。选择生长健壮，抗逆性强，适应性好，树龄5年～8年单株连续3年种子产量≥1000g以上，仁种比≥55%，高神经酸文冠果植株作为繁育母株。</w:t>
      </w:r>
    </w:p>
    <w:p w14:paraId="38DCE388"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5 苗木繁育</w:t>
      </w:r>
    </w:p>
    <w:p w14:paraId="66BF005B">
      <w:pPr>
        <w:pStyle w:val="16"/>
        <w:shd w:val="clear" w:color="auto" w:fill="auto"/>
        <w:spacing w:before="0" w:after="0" w:line="240" w:lineRule="auto"/>
        <w:jc w:val="both"/>
        <w:rPr>
          <w:rFonts w:ascii="黑体" w:hAnsi="黑体" w:eastAsia="黑体" w:cs="黑体"/>
          <w:spacing w:val="0"/>
          <w:sz w:val="28"/>
          <w:szCs w:val="28"/>
          <w:lang w:eastAsia="zh-CN" w:bidi="ar-SA"/>
        </w:rPr>
      </w:pPr>
      <w:r>
        <w:rPr>
          <w:rFonts w:hint="eastAsia" w:ascii="黑体" w:hAnsi="黑体" w:eastAsia="黑体" w:cs="黑体"/>
          <w:spacing w:val="0"/>
          <w:sz w:val="28"/>
          <w:szCs w:val="28"/>
          <w:lang w:eastAsia="zh-CN" w:bidi="ar-SA"/>
        </w:rPr>
        <w:t>5.1 根插苗繁育</w:t>
      </w:r>
    </w:p>
    <w:p w14:paraId="4AD3468D">
      <w:pPr>
        <w:pStyle w:val="16"/>
        <w:shd w:val="clear" w:color="auto" w:fill="auto"/>
        <w:spacing w:before="0" w:after="0" w:line="240" w:lineRule="auto"/>
        <w:jc w:val="both"/>
        <w:rPr>
          <w:rFonts w:ascii="黑体" w:hAnsi="黑体" w:eastAsia="黑体" w:cs="黑体"/>
          <w:spacing w:val="0"/>
          <w:sz w:val="28"/>
          <w:szCs w:val="28"/>
          <w:lang w:eastAsia="zh-CN" w:bidi="ar-SA"/>
        </w:rPr>
      </w:pPr>
      <w:r>
        <w:rPr>
          <w:rFonts w:hint="eastAsia" w:ascii="黑体" w:hAnsi="黑体" w:eastAsia="黑体" w:cs="黑体"/>
          <w:spacing w:val="0"/>
          <w:sz w:val="28"/>
          <w:szCs w:val="28"/>
          <w:lang w:eastAsia="zh-CN" w:bidi="ar-SA"/>
        </w:rPr>
        <w:t>5.1.1圃地选择与准备</w:t>
      </w:r>
    </w:p>
    <w:p w14:paraId="1BB1C45A">
      <w:pPr>
        <w:pStyle w:val="16"/>
        <w:shd w:val="clear" w:color="auto" w:fill="auto"/>
        <w:spacing w:before="0" w:after="0" w:line="240" w:lineRule="auto"/>
        <w:jc w:val="both"/>
        <w:rPr>
          <w:rFonts w:ascii="黑体" w:hAnsi="黑体" w:eastAsia="黑体" w:cs="黑体"/>
          <w:spacing w:val="0"/>
          <w:sz w:val="28"/>
          <w:szCs w:val="28"/>
          <w:lang w:eastAsia="zh-CN" w:bidi="ar-SA"/>
        </w:rPr>
      </w:pPr>
      <w:r>
        <w:rPr>
          <w:rFonts w:hint="eastAsia" w:ascii="黑体" w:hAnsi="黑体" w:eastAsia="黑体" w:cs="黑体"/>
          <w:spacing w:val="0"/>
          <w:sz w:val="28"/>
          <w:szCs w:val="28"/>
          <w:lang w:eastAsia="zh-CN" w:bidi="ar-SA"/>
        </w:rPr>
        <w:t>5.1.1.1圃地选择</w:t>
      </w:r>
    </w:p>
    <w:p w14:paraId="0ABE5968">
      <w:pPr>
        <w:pStyle w:val="13"/>
        <w:shd w:val="clear" w:color="auto" w:fill="auto"/>
        <w:spacing w:line="240" w:lineRule="auto"/>
        <w:ind w:firstLine="560" w:firstLineChars="200"/>
        <w:jc w:val="both"/>
        <w:rPr>
          <w:rFonts w:asciiTheme="minorEastAsia" w:hAnsiTheme="minorEastAsia" w:eastAsiaTheme="minorEastAsia" w:cstheme="minorEastAsia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  <w:t>选择背风向阳、地势较高、土层深厚、排灌方便的壤土或沙壤土。</w:t>
      </w:r>
    </w:p>
    <w:p w14:paraId="44572952">
      <w:pPr>
        <w:pStyle w:val="16"/>
        <w:shd w:val="clear" w:color="auto" w:fill="auto"/>
        <w:tabs>
          <w:tab w:val="left" w:pos="338"/>
        </w:tabs>
        <w:spacing w:before="0" w:after="0" w:line="240" w:lineRule="auto"/>
        <w:jc w:val="both"/>
        <w:rPr>
          <w:rFonts w:ascii="黑体" w:hAnsi="黑体" w:eastAsia="黑体" w:cs="黑体"/>
          <w:spacing w:val="0"/>
          <w:sz w:val="28"/>
          <w:szCs w:val="28"/>
          <w:lang w:eastAsia="zh-CN" w:bidi="ar-SA"/>
        </w:rPr>
      </w:pPr>
      <w:r>
        <w:rPr>
          <w:rFonts w:hint="eastAsia" w:ascii="黑体" w:hAnsi="黑体" w:eastAsia="黑体" w:cs="黑体"/>
          <w:spacing w:val="0"/>
          <w:sz w:val="28"/>
          <w:szCs w:val="28"/>
          <w:lang w:eastAsia="zh-CN" w:bidi="ar-SA"/>
        </w:rPr>
        <w:t>5.1.1.2整地做畦</w:t>
      </w:r>
    </w:p>
    <w:p w14:paraId="47CE0C9B">
      <w:pPr>
        <w:pStyle w:val="7"/>
        <w:shd w:val="clear" w:color="auto" w:fill="FFFFFF"/>
        <w:spacing w:before="0" w:beforeAutospacing="0" w:after="0" w:afterAutospacing="0" w:line="474" w:lineRule="atLeast"/>
        <w:ind w:firstLine="560" w:firstLineChars="200"/>
        <w:rPr>
          <w:rFonts w:hint="eastAsia" w:eastAsiaTheme="minorEastAsia"/>
          <w:lang w:eastAsia="zh-CN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秋末冬初深耕30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cm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～40cm，翌春土壤解冻后结合浅耕，每亩施用复合肥40kg和5%辛硫磷颗粒剂1.5 kg～2kg，结合整地作畦，宽60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cm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～80cm，高15cm。肥料使用符合NY/T496的规定，农药的使用方法符合GB/T8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zh-CN"/>
        </w:rPr>
        <w:t>321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相关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zh-CN"/>
        </w:rPr>
        <w:t>规定。</w:t>
      </w:r>
    </w:p>
    <w:p w14:paraId="6FCE5CE7">
      <w:pPr>
        <w:pStyle w:val="13"/>
        <w:shd w:val="clear" w:color="auto" w:fill="auto"/>
        <w:spacing w:line="240" w:lineRule="auto"/>
        <w:jc w:val="both"/>
        <w:rPr>
          <w:rFonts w:ascii="黑体" w:hAnsi="黑体" w:eastAsia="黑体" w:cs="黑体"/>
          <w:spacing w:val="0"/>
          <w:sz w:val="28"/>
          <w:szCs w:val="28"/>
        </w:rPr>
      </w:pPr>
      <w:r>
        <w:rPr>
          <w:rFonts w:hint="eastAsia" w:ascii="黑体" w:hAnsi="黑体" w:eastAsia="黑体" w:cs="黑体"/>
          <w:spacing w:val="0"/>
          <w:sz w:val="28"/>
          <w:szCs w:val="28"/>
        </w:rPr>
        <w:t>5.1.2根插苗的培育</w:t>
      </w:r>
    </w:p>
    <w:p w14:paraId="2445DC6C">
      <w:pPr>
        <w:pStyle w:val="13"/>
        <w:shd w:val="clear" w:color="auto" w:fill="auto"/>
        <w:spacing w:line="240" w:lineRule="auto"/>
        <w:jc w:val="both"/>
        <w:rPr>
          <w:rFonts w:ascii="黑体" w:hAnsi="黑体" w:eastAsia="黑体" w:cs="黑体"/>
          <w:spacing w:val="0"/>
          <w:sz w:val="28"/>
          <w:szCs w:val="28"/>
        </w:rPr>
      </w:pPr>
      <w:r>
        <w:rPr>
          <w:rFonts w:hint="eastAsia" w:ascii="黑体" w:hAnsi="黑体" w:eastAsia="黑体" w:cs="黑体"/>
          <w:spacing w:val="0"/>
          <w:sz w:val="28"/>
          <w:szCs w:val="28"/>
        </w:rPr>
        <w:t>5.1.2.1根条采集</w:t>
      </w:r>
    </w:p>
    <w:p w14:paraId="07056F05">
      <w:pPr>
        <w:pStyle w:val="13"/>
        <w:shd w:val="clear" w:color="auto" w:fill="auto"/>
        <w:spacing w:line="240" w:lineRule="auto"/>
        <w:ind w:firstLine="440"/>
        <w:jc w:val="both"/>
        <w:rPr>
          <w:rFonts w:ascii="仿宋_GB2312" w:eastAsia="仿宋_GB2312" w:hAnsiTheme="minorEastAsia" w:cstheme="minorBidi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  <w:t>3月下旬至4月上旬，在距离繁育母株主干50cm～60cm处，采集直径0.5cm～1.5cm的无病虫害壮根，剪成长10cm～15cm的根段。</w:t>
      </w:r>
    </w:p>
    <w:p w14:paraId="6CA6AACC">
      <w:pPr>
        <w:pStyle w:val="7"/>
        <w:shd w:val="clear" w:color="auto" w:fill="FFFFFF"/>
        <w:spacing w:before="0" w:beforeAutospacing="0" w:after="0" w:afterAutospacing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5.1.2.2</w:t>
      </w:r>
      <w:r>
        <w:rPr>
          <w:rFonts w:hint="eastAsia" w:ascii="黑体" w:hAnsi="黑体" w:eastAsia="黑体" w:cs="黑体"/>
          <w:sz w:val="28"/>
          <w:szCs w:val="28"/>
          <w:lang w:val="zh-CN"/>
        </w:rPr>
        <w:t>插根</w:t>
      </w:r>
    </w:p>
    <w:p w14:paraId="438B30D5">
      <w:pPr>
        <w:pStyle w:val="7"/>
        <w:shd w:val="clear" w:color="auto" w:fill="FFFFFF"/>
        <w:spacing w:before="0" w:beforeAutospacing="0" w:after="0" w:afterAutospacing="0"/>
        <w:ind w:firstLine="560" w:firstLineChars="200"/>
        <w:rPr>
          <w:rFonts w:ascii="仿宋_GB2312" w:eastAsia="仿宋_GB2312" w:hAnsiTheme="minorEastAsia"/>
          <w:color w:val="000000"/>
          <w:sz w:val="28"/>
          <w:szCs w:val="28"/>
          <w:lang w:val="zh-CN" w:bidi="zh-CN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zh-CN"/>
        </w:rPr>
        <w:t>插根上端平口，下端斜口。插根前先用200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mg/L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zh-CN"/>
        </w:rPr>
        <w:t>～300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mg/L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zh-CN"/>
        </w:rPr>
        <w:t>的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ABT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zh-CN"/>
        </w:rPr>
        <w:t>生根粉或250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 xml:space="preserve">mg/L 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zh-CN"/>
        </w:rPr>
        <w:t>NAA溶液中浸蘸30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s，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zh-CN"/>
        </w:rPr>
        <w:t>插根时宜采用直插，株行距1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5cm×20cm，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zh-CN"/>
        </w:rPr>
        <w:t>插根顶端低于地表2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cm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zh-CN"/>
        </w:rPr>
        <w:t>～3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cm，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zh-CN"/>
        </w:rPr>
        <w:t>插后浇水。</w:t>
      </w:r>
    </w:p>
    <w:p w14:paraId="1A27CB80">
      <w:pPr>
        <w:pStyle w:val="16"/>
        <w:shd w:val="clear" w:color="auto" w:fill="auto"/>
        <w:spacing w:before="0" w:after="120" w:line="240" w:lineRule="auto"/>
        <w:jc w:val="left"/>
        <w:rPr>
          <w:rFonts w:ascii="仿宋_GB2312" w:eastAsia="仿宋_GB2312" w:hAnsiTheme="minorEastAsia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pacing w:val="0"/>
          <w:kern w:val="0"/>
          <w:sz w:val="28"/>
          <w:szCs w:val="28"/>
          <w:lang w:eastAsia="zh-CN" w:bidi="ar-SA"/>
        </w:rPr>
        <w:t>5.1.2.3</w:t>
      </w:r>
      <w:r>
        <w:rPr>
          <w:rFonts w:hint="eastAsia" w:ascii="黑体" w:hAnsi="黑体" w:eastAsia="黑体" w:cs="黑体"/>
          <w:spacing w:val="0"/>
          <w:kern w:val="0"/>
          <w:sz w:val="28"/>
          <w:szCs w:val="28"/>
          <w:lang w:val="zh-CN" w:eastAsia="zh-CN" w:bidi="ar-SA"/>
        </w:rPr>
        <w:t>苗期管理</w:t>
      </w:r>
    </w:p>
    <w:p w14:paraId="4683B503">
      <w:pPr>
        <w:pStyle w:val="7"/>
        <w:shd w:val="clear" w:color="auto" w:fill="FFFFFF"/>
        <w:spacing w:before="0" w:beforeAutospacing="0" w:after="0" w:afterAutospacing="0"/>
        <w:ind w:firstLine="560" w:firstLineChars="200"/>
        <w:rPr>
          <w:rFonts w:asciiTheme="minorEastAsia" w:hAnsiTheme="minorEastAsia" w:eastAsiaTheme="minorEastAsia" w:cstheme="minorEastAsia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zh-CN"/>
        </w:rPr>
        <w:t>当幼苗出土长到10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cm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zh-CN"/>
        </w:rPr>
        <w:t>时，每个根条保留1个健壮的幼芽，其余除去，其他管理同一般育苗圃管理。</w:t>
      </w:r>
    </w:p>
    <w:p w14:paraId="7DE780F7">
      <w:pPr>
        <w:pStyle w:val="7"/>
        <w:shd w:val="clear" w:color="auto" w:fill="FFFFFF"/>
        <w:spacing w:before="0" w:beforeAutospacing="0" w:after="0" w:afterAutospacing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 xml:space="preserve">5.2嫁接繁育 </w:t>
      </w:r>
    </w:p>
    <w:p w14:paraId="7297A708">
      <w:pPr>
        <w:pStyle w:val="7"/>
        <w:shd w:val="clear" w:color="auto" w:fill="FFFFFF"/>
        <w:spacing w:before="0" w:beforeAutospacing="0" w:after="0" w:afterAutospacing="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5.2.1接穗选择和采集</w:t>
      </w:r>
    </w:p>
    <w:p w14:paraId="7BB9A411">
      <w:pPr>
        <w:pStyle w:val="7"/>
        <w:shd w:val="clear" w:color="auto" w:fill="FFFFFF"/>
        <w:spacing w:before="0" w:beforeAutospacing="0" w:after="0" w:afterAutospacing="0"/>
        <w:ind w:firstLine="560" w:firstLineChars="200"/>
        <w:rPr>
          <w:rFonts w:asciiTheme="minorEastAsia" w:hAnsiTheme="minorEastAsia" w:eastAsiaTheme="minorEastAsia" w:cstheme="minorEastAsia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接穗选择：在繁育母株上选择芽体饱满，无病虫害，粗细均匀的一年生枝条作为接穗。</w:t>
      </w:r>
    </w:p>
    <w:p w14:paraId="38B89DF2">
      <w:pPr>
        <w:pStyle w:val="7"/>
        <w:shd w:val="clear" w:color="auto" w:fill="FFFFFF"/>
        <w:spacing w:before="0" w:beforeAutospacing="0" w:after="0" w:afterAutospacing="0"/>
        <w:ind w:firstLine="560" w:firstLineChars="200"/>
        <w:rPr>
          <w:rFonts w:asciiTheme="minorEastAsia" w:hAnsiTheme="minorEastAsia" w:eastAsiaTheme="minorEastAsia" w:cstheme="minorEastAsia"/>
          <w:kern w:val="2"/>
          <w:sz w:val="28"/>
          <w:szCs w:val="28"/>
          <w:lang w:val="zh-CN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枝接接穗：在落叶后即可采集，最晚不迟于发芽前2周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zh-CN"/>
        </w:rPr>
        <w:t>～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3周，蜡封后放在0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zh-CN"/>
        </w:rPr>
        <w:t>～5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℃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zh-CN"/>
        </w:rPr>
        <w:t>环境中湿沙或冷库保存。</w:t>
      </w:r>
      <w:bookmarkStart w:id="0" w:name="_GoBack"/>
      <w:bookmarkEnd w:id="0"/>
    </w:p>
    <w:p w14:paraId="64B52C96">
      <w:pPr>
        <w:pStyle w:val="7"/>
        <w:shd w:val="clear" w:color="auto" w:fill="FFFFFF"/>
        <w:spacing w:before="0" w:beforeAutospacing="0" w:after="0" w:afterAutospacing="0"/>
        <w:ind w:firstLine="560" w:firstLineChars="200"/>
        <w:rPr>
          <w:rFonts w:asciiTheme="minorEastAsia" w:hAnsiTheme="minorEastAsia" w:eastAsiaTheme="minorEastAsia" w:cstheme="minorEastAsia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芽接接穗：随用随采，采集后</w:t>
      </w:r>
      <w:r>
        <w:rPr>
          <w:rFonts w:asciiTheme="minorEastAsia" w:hAnsiTheme="minorEastAsia" w:eastAsiaTheme="minorEastAsia" w:cstheme="minorEastAsia"/>
          <w:kern w:val="2"/>
          <w:sz w:val="28"/>
          <w:szCs w:val="28"/>
        </w:rPr>
        <w:t>立即去掉叶片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，</w:t>
      </w:r>
      <w:r>
        <w:rPr>
          <w:rFonts w:asciiTheme="minorEastAsia" w:hAnsiTheme="minorEastAsia" w:eastAsiaTheme="minorEastAsia" w:cstheme="minorEastAsia"/>
          <w:kern w:val="2"/>
          <w:sz w:val="28"/>
          <w:szCs w:val="28"/>
        </w:rPr>
        <w:t>保留叶柄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3cm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zh-CN"/>
        </w:rPr>
        <w:t>～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4cm</w:t>
      </w:r>
      <w:r>
        <w:rPr>
          <w:rFonts w:asciiTheme="minorEastAsia" w:hAnsiTheme="minorEastAsia" w:eastAsiaTheme="minorEastAsia" w:cstheme="minorEastAsia"/>
          <w:kern w:val="2"/>
          <w:sz w:val="28"/>
          <w:szCs w:val="28"/>
        </w:rPr>
        <w:t>。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然后用湿布包裹或贮放在盛有清水的容器内备用。</w:t>
      </w:r>
    </w:p>
    <w:p w14:paraId="29765594">
      <w:pPr>
        <w:pStyle w:val="7"/>
        <w:shd w:val="clear" w:color="auto" w:fill="FFFFFF"/>
        <w:spacing w:before="0" w:beforeAutospacing="0" w:after="0" w:afterAutospacing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5.2.2砧木</w:t>
      </w:r>
    </w:p>
    <w:p w14:paraId="14D9B4AB">
      <w:pPr>
        <w:pStyle w:val="7"/>
        <w:shd w:val="clear" w:color="auto" w:fill="FFFFFF"/>
        <w:spacing w:before="0" w:beforeAutospacing="0" w:after="0" w:afterAutospacing="0"/>
        <w:ind w:firstLine="560" w:firstLineChars="200"/>
        <w:rPr>
          <w:rFonts w:asciiTheme="minorEastAsia" w:hAnsiTheme="minorEastAsia" w:eastAsiaTheme="minorEastAsia" w:cstheme="minorEastAsia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一般选用1年～2年生长健壮，无病虫害，地茎≥0.8cm，顶芽饱满，干型直立的苗木作为砧木。</w:t>
      </w:r>
    </w:p>
    <w:p w14:paraId="5E4677E0">
      <w:pPr>
        <w:pStyle w:val="7"/>
        <w:shd w:val="clear" w:color="auto" w:fill="FFFFFF"/>
        <w:spacing w:before="0" w:beforeAutospacing="0" w:after="0" w:afterAutospacing="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5.2.3 嫁接方法与时间</w:t>
      </w:r>
    </w:p>
    <w:p w14:paraId="3CCE6D3B">
      <w:pPr>
        <w:pStyle w:val="7"/>
        <w:shd w:val="clear" w:color="auto" w:fill="FFFFFF"/>
        <w:spacing w:before="0" w:beforeAutospacing="0" w:after="0" w:afterAutospacing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5.2.3.1 枝接</w:t>
      </w:r>
    </w:p>
    <w:p w14:paraId="72D1E2EB">
      <w:pPr>
        <w:pStyle w:val="7"/>
        <w:shd w:val="clear" w:color="auto" w:fill="FFFFFF"/>
        <w:spacing w:before="0" w:beforeAutospacing="0" w:after="0" w:afterAutospacing="0"/>
        <w:ind w:firstLine="560" w:firstLineChars="200"/>
        <w:rPr>
          <w:rFonts w:asciiTheme="minorEastAsia" w:hAnsiTheme="minorEastAsia" w:eastAsiaTheme="minorEastAsia" w:cstheme="minorEastAsia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采用切接和劈接，在春季萌芽前进行。</w:t>
      </w:r>
    </w:p>
    <w:p w14:paraId="09293EF2">
      <w:pPr>
        <w:pStyle w:val="7"/>
        <w:shd w:val="clear" w:color="auto" w:fill="FFFFFF"/>
        <w:spacing w:before="0" w:beforeAutospacing="0" w:after="0" w:afterAutospacing="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 xml:space="preserve">5.2.3.2 芽接 </w:t>
      </w:r>
      <w:r>
        <w:rPr>
          <w:rFonts w:hint="eastAsia" w:ascii="仿宋_GB2312" w:eastAsia="仿宋_GB2312" w:hAnsiTheme="minorEastAsia"/>
          <w:sz w:val="28"/>
          <w:szCs w:val="28"/>
        </w:rPr>
        <w:t xml:space="preserve"> </w:t>
      </w:r>
    </w:p>
    <w:p w14:paraId="5BC9C2F5">
      <w:pPr>
        <w:pStyle w:val="7"/>
        <w:shd w:val="clear" w:color="auto" w:fill="FFFFFF"/>
        <w:spacing w:before="0" w:beforeAutospacing="0" w:after="0" w:afterAutospacing="0"/>
        <w:ind w:firstLine="560" w:firstLineChars="200"/>
        <w:rPr>
          <w:rFonts w:asciiTheme="minorEastAsia" w:hAnsiTheme="minorEastAsia" w:eastAsiaTheme="minorEastAsia" w:cstheme="minorEastAsia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采用“T”形芽接和嵌芽接。“T”形芽接一般在6月中旬至8月中旬进行；嵌芽接一般在春季在萌芽期与开花期或秋季在末伏或末伏后。</w:t>
      </w:r>
    </w:p>
    <w:p w14:paraId="477A1AE8">
      <w:pPr>
        <w:pStyle w:val="7"/>
        <w:shd w:val="clear" w:color="auto" w:fill="FFFFFF"/>
        <w:spacing w:before="0" w:beforeAutospacing="0" w:after="0" w:afterAutospacing="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5.2.4 嫁接后管理</w:t>
      </w:r>
      <w:r>
        <w:rPr>
          <w:rFonts w:hint="eastAsia" w:ascii="仿宋_GB2312" w:eastAsia="仿宋_GB2312" w:hAnsiTheme="minorEastAsia"/>
          <w:sz w:val="28"/>
          <w:szCs w:val="28"/>
        </w:rPr>
        <w:t xml:space="preserve"> </w:t>
      </w:r>
    </w:p>
    <w:p w14:paraId="071CBEC3">
      <w:pPr>
        <w:pStyle w:val="7"/>
        <w:shd w:val="clear" w:color="auto" w:fill="FFFFFF"/>
        <w:spacing w:before="0" w:beforeAutospacing="0" w:after="0" w:afterAutospacing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5.2.4.1成活检查</w:t>
      </w:r>
    </w:p>
    <w:p w14:paraId="3DE5B6F8">
      <w:pPr>
        <w:pStyle w:val="7"/>
        <w:shd w:val="clear" w:color="auto" w:fill="FFFFFF"/>
        <w:spacing w:before="0" w:beforeAutospacing="0" w:after="0" w:afterAutospacing="0"/>
        <w:ind w:firstLine="560" w:firstLineChars="200"/>
        <w:rPr>
          <w:rFonts w:asciiTheme="minorEastAsia" w:hAnsiTheme="minorEastAsia" w:eastAsiaTheme="minorEastAsia" w:cstheme="minorEastAsia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</w:rPr>
        <w:t>枝接后15d～20d，芽接后7d～15d，对成活情况进行检查。</w:t>
      </w:r>
    </w:p>
    <w:p w14:paraId="46D54191">
      <w:pPr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5.2.4.2解绑</w:t>
      </w:r>
    </w:p>
    <w:p w14:paraId="5C4131A9">
      <w:pPr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枝接一般在新稍长到20cm以上时解绑；春季、夏季芽接一般在芽接后20d左右即可解绑，秋季芽接可在第二年早春解绑。</w:t>
      </w:r>
    </w:p>
    <w:p w14:paraId="66954337"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5.2.4.3剪砧</w:t>
      </w:r>
    </w:p>
    <w:p w14:paraId="664C951B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春季芽接植株，随即剪砧。夏末或秋季芽接的，在第二年发芽前及时剪去接芽以上的砧木。 </w:t>
      </w:r>
    </w:p>
    <w:p w14:paraId="7DC3ED32">
      <w:pPr>
        <w:pStyle w:val="7"/>
        <w:shd w:val="clear" w:color="auto" w:fill="FFFFFF"/>
        <w:spacing w:before="0" w:beforeAutospacing="0" w:after="0" w:afterAutospacing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5.2.4.4除萌</w:t>
      </w:r>
    </w:p>
    <w:p w14:paraId="2354925C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剪砧后，砧木的基部后不断长出萌孽，及时去除，做到随出随除。</w:t>
      </w:r>
    </w:p>
    <w:p w14:paraId="6D570261">
      <w:pPr>
        <w:pStyle w:val="7"/>
        <w:shd w:val="clear" w:color="auto" w:fill="FFFFFF"/>
        <w:spacing w:before="0" w:beforeAutospacing="0" w:after="0" w:afterAutospacing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5.2.4.5建立支架</w:t>
      </w:r>
    </w:p>
    <w:p w14:paraId="55312F62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在新梢长到20cm～25cm时，紧贴砧木架杆绑缚，待接穗木质化后，去除支架。</w:t>
      </w:r>
    </w:p>
    <w:p w14:paraId="6D7B08D6">
      <w:pPr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5.2.4.6 其</w:t>
      </w:r>
      <w:r>
        <w:rPr>
          <w:rFonts w:hint="eastAsia" w:ascii="黑体" w:hAnsi="黑体" w:eastAsia="黑体" w:cs="黑体"/>
          <w:kern w:val="0"/>
          <w:sz w:val="28"/>
          <w:szCs w:val="28"/>
        </w:rPr>
        <w:t xml:space="preserve">他管理 </w:t>
      </w:r>
    </w:p>
    <w:p w14:paraId="2A495165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嫁接成活后结合剪砧，浇水施肥1次，及时去除砧木上的萌芽及林地杂草。在6月～8月份浇2次透水，防治病虫害。</w:t>
      </w:r>
    </w:p>
    <w:p w14:paraId="216BB98C">
      <w:pPr>
        <w:pStyle w:val="13"/>
        <w:shd w:val="clear" w:color="auto" w:fill="auto"/>
        <w:spacing w:line="240" w:lineRule="auto"/>
        <w:rPr>
          <w:rFonts w:ascii="黑体" w:hAnsi="黑体" w:eastAsia="黑体"/>
          <w:color w:val="000000"/>
          <w:spacing w:val="0"/>
          <w:sz w:val="32"/>
          <w:szCs w:val="32"/>
          <w:lang w:val="zh-CN" w:bidi="zh-CN"/>
        </w:rPr>
      </w:pPr>
      <w:r>
        <w:rPr>
          <w:rStyle w:val="28"/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6</w:t>
      </w:r>
      <w:r>
        <w:rPr>
          <w:rFonts w:hint="eastAsia" w:ascii="黑体" w:hAnsi="黑体" w:eastAsia="黑体"/>
          <w:color w:val="000000"/>
          <w:spacing w:val="0"/>
          <w:sz w:val="32"/>
          <w:szCs w:val="32"/>
          <w:lang w:val="zh-CN" w:bidi="zh-CN"/>
        </w:rPr>
        <w:t>苗木出圃</w:t>
      </w:r>
    </w:p>
    <w:p w14:paraId="1427E705">
      <w:pPr>
        <w:pStyle w:val="13"/>
        <w:shd w:val="clear" w:color="auto" w:fill="auto"/>
        <w:spacing w:line="240" w:lineRule="auto"/>
        <w:rPr>
          <w:rFonts w:asciiTheme="minorEastAsia" w:hAnsiTheme="minorEastAsia" w:eastAsiaTheme="minorEastAsia" w:cstheme="minorEastAsia"/>
          <w:spacing w:val="0"/>
          <w:sz w:val="28"/>
          <w:szCs w:val="28"/>
        </w:rPr>
      </w:pPr>
      <w:r>
        <w:rPr>
          <w:rFonts w:hint="eastAsia" w:ascii="黑体" w:hAnsi="黑体" w:eastAsia="黑体"/>
          <w:color w:val="000000"/>
          <w:spacing w:val="0"/>
          <w:sz w:val="32"/>
          <w:szCs w:val="32"/>
          <w:lang w:val="zh-CN" w:bidi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  <w:t xml:space="preserve">  根插苗：苗高≥60cm，地径＞0.6cm，苗干通直，稍端完全木质化，无病虫害。</w:t>
      </w:r>
    </w:p>
    <w:p w14:paraId="242D0300">
      <w:pPr>
        <w:ind w:firstLine="560" w:firstLineChars="20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嫁接苗：2年根1年干或3年根1年干，苗高≥80cm,嫁接点上1cm处直径＞0.7cm，苗干通直，梢端完全木质化，无病虫害。</w:t>
      </w:r>
    </w:p>
    <w:p w14:paraId="6794135A">
      <w:pPr>
        <w:ind w:firstLine="560" w:firstLineChars="20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起苗前灌一次水，起苗时，要保持主根长度和根幅均在25cm以上，切忌伤根。</w:t>
      </w:r>
    </w:p>
    <w:p w14:paraId="35BD1F1C">
      <w:pPr>
        <w:pStyle w:val="7"/>
        <w:shd w:val="clear" w:color="auto" w:fill="FFFFFF"/>
        <w:spacing w:before="0" w:beforeAutospacing="0" w:after="0" w:afterAutospacing="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7 栽植</w:t>
      </w:r>
    </w:p>
    <w:p w14:paraId="1FB79387"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7.1园地选择</w:t>
      </w:r>
    </w:p>
    <w:p w14:paraId="7C7F64AA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选择地势平坦、土层深厚、排灌良好、管理方便的壤土或沙壤土。</w:t>
      </w:r>
    </w:p>
    <w:p w14:paraId="21C50E61"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7.2栽植时间</w:t>
      </w:r>
    </w:p>
    <w:p w14:paraId="2AE8B28F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一般3月上旬至4月上旬。</w:t>
      </w:r>
    </w:p>
    <w:p w14:paraId="69FF242A"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7.3栽植密度</w:t>
      </w:r>
    </w:p>
    <w:p w14:paraId="06665A80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一般株行距2m×3m，亩每667m</w:t>
      </w:r>
      <w:r>
        <w:rPr>
          <w:rFonts w:hint="eastAsia" w:asciiTheme="minorEastAsia" w:hAnsiTheme="minorEastAsia" w:cstheme="minorEastAsia"/>
          <w:sz w:val="28"/>
          <w:szCs w:val="28"/>
          <w:vertAlign w:val="superscript"/>
        </w:rPr>
        <w:t>2</w:t>
      </w:r>
      <w:r>
        <w:rPr>
          <w:rFonts w:hint="eastAsia" w:asciiTheme="minorEastAsia" w:hAnsiTheme="minorEastAsia" w:cstheme="minorEastAsia"/>
          <w:sz w:val="28"/>
          <w:szCs w:val="28"/>
        </w:rPr>
        <w:t>定值110株左右。</w:t>
      </w:r>
    </w:p>
    <w:p w14:paraId="24EFA6E7">
      <w:pPr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>7.4栽植方法</w:t>
      </w:r>
    </w:p>
    <w:p w14:paraId="3AA68431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坑径50cm以上，坑深45cm以上，采用“三埋、两踩、一提苗”造林技术。</w:t>
      </w:r>
    </w:p>
    <w:p w14:paraId="6CCED01A"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7.5 授粉树选择配置</w:t>
      </w:r>
    </w:p>
    <w:p w14:paraId="629831C3">
      <w:pPr>
        <w:widowControl/>
        <w:ind w:firstLine="420" w:firstLineChars="15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授粉树选择亲和力好、神经酸含量≥4.0%、种仁含油量＞55%以上，花期相当的品系材料。配置比例为8:1，授粉树呈“田”字型中心点配置。。</w:t>
      </w:r>
    </w:p>
    <w:p w14:paraId="575E268F">
      <w:pPr>
        <w:tabs>
          <w:tab w:val="left" w:pos="7104"/>
        </w:tabs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7.6  栽后管理</w:t>
      </w:r>
      <w:r>
        <w:rPr>
          <w:rFonts w:hint="eastAsia" w:ascii="黑体" w:hAnsi="黑体" w:eastAsia="黑体" w:cs="黑体"/>
          <w:sz w:val="28"/>
          <w:szCs w:val="28"/>
        </w:rPr>
        <w:tab/>
      </w:r>
    </w:p>
    <w:p w14:paraId="02A0509E">
      <w:pPr>
        <w:ind w:firstLine="420" w:firstLineChars="15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栽植后立即浇透水,栽植后两周,每周浇水1次,阴雨天除外，浇第三次水后，应依据土壤湿度和天气情况适度调整浇水量。</w:t>
      </w:r>
    </w:p>
    <w:p w14:paraId="473ABFE8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8整形修剪</w:t>
      </w:r>
    </w:p>
    <w:p w14:paraId="0AE07298"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8.1整形修剪时间</w:t>
      </w:r>
    </w:p>
    <w:p w14:paraId="653EA468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在发芽前半个月，一般在3月～4月。</w:t>
      </w:r>
    </w:p>
    <w:p w14:paraId="70F03293"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8.2整形修剪方法</w:t>
      </w:r>
    </w:p>
    <w:p w14:paraId="46BD7485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栽植当年,定干高度50cm～70cm，距剪口下10cm～20cm选留3个～4个萌芽枝,其余萌芽枝全部去除。5月～6月及时除掉根蘖及选留主枝下的萌蘖。</w:t>
      </w:r>
    </w:p>
    <w:p w14:paraId="0AE9804B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栽植后第2年至第3年，在先一年保留的萌芽枝30cm～40cm打顶(摘心)处理，在顶部10cm～20cm选留3个～4个萌芽枝。其余萌芽枝全部去除，5月～6月及时除掉根蘖及选留主枝下的萌蘖。</w:t>
      </w:r>
    </w:p>
    <w:p w14:paraId="7C95C5B6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栽植4年～5年后,主要疏去过密枝、重叠枝、交叉枝、纤弱枝和病虫枝。针对文冠果具顶花芽开花结果特性，修剪中应注意保留枝条顶芽。</w:t>
      </w:r>
    </w:p>
    <w:p w14:paraId="23804973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开花量过大,挂果过密的树,及时进行疏花、疏果。</w:t>
      </w:r>
    </w:p>
    <w:p w14:paraId="2742F116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9肥水管理</w:t>
      </w:r>
    </w:p>
    <w:p w14:paraId="345B2A8F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一般提倡“两肥两水管理技术”。 在5月下旬～6月上、中旬果实膨大期施入“果肥”；在果实收获后施入“复壮肥”。肥料种类以复合肥为主，“果肥”氮、磷、钾比例控制在20:5:1，“复壮肥”氮、磷、钾比例控制在20:3:1。其用量根据树龄及挂果状况而定。在树盘内撒施，与土壤搅拌均匀后浇水。肥料使用符合NY/T496的规定。</w:t>
      </w:r>
    </w:p>
    <w:p w14:paraId="58C04B81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除结合施肥浇水外，在萌芽前期和土壤结冻前各浇水1次,浇水量以树盘内水满为宜。</w:t>
      </w:r>
    </w:p>
    <w:p w14:paraId="1B71ED69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10 有害生物防治 </w:t>
      </w:r>
    </w:p>
    <w:p w14:paraId="24D6083D">
      <w:pPr>
        <w:pStyle w:val="7"/>
        <w:shd w:val="clear" w:color="auto" w:fill="FFFFFF"/>
        <w:spacing w:before="0" w:beforeAutospacing="0" w:after="0" w:afterAutospacing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10.1 病虫害防治</w:t>
      </w:r>
    </w:p>
    <w:p w14:paraId="0639B0EE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坚持“预防为主,综合防治”的原则。文冠果主要病虫害防治方法见附录。农药的使用符合GB/T8321的规定。</w:t>
      </w:r>
    </w:p>
    <w:p w14:paraId="5B83FFD2">
      <w:pPr>
        <w:pStyle w:val="7"/>
        <w:shd w:val="clear" w:color="auto" w:fill="FFFFFF"/>
        <w:spacing w:before="0" w:beforeAutospacing="0" w:after="0" w:afterAutospacing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10.2 鼠害兔害防治</w:t>
      </w:r>
    </w:p>
    <w:p w14:paraId="416C71C9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鼠害和兔害发生较少，参考DB61/T1475和DB61/T1476相关内容进行。</w:t>
      </w:r>
    </w:p>
    <w:p w14:paraId="196F4468">
      <w:pPr>
        <w:pStyle w:val="13"/>
        <w:shd w:val="clear" w:color="auto" w:fill="auto"/>
        <w:spacing w:line="240" w:lineRule="auto"/>
        <w:rPr>
          <w:rStyle w:val="33"/>
          <w:rFonts w:ascii="黑体" w:hAnsi="黑体" w:eastAsia="黑体"/>
          <w:sz w:val="28"/>
          <w:szCs w:val="28"/>
        </w:rPr>
      </w:pPr>
    </w:p>
    <w:p w14:paraId="01C4CB3A">
      <w:pPr>
        <w:pStyle w:val="13"/>
        <w:shd w:val="clear" w:color="auto" w:fill="auto"/>
        <w:spacing w:line="240" w:lineRule="auto"/>
        <w:rPr>
          <w:rStyle w:val="33"/>
          <w:rFonts w:ascii="黑体" w:hAnsi="黑体" w:eastAsia="黑体"/>
          <w:sz w:val="28"/>
          <w:szCs w:val="28"/>
        </w:rPr>
      </w:pPr>
    </w:p>
    <w:p w14:paraId="48D99EE5">
      <w:pPr>
        <w:pStyle w:val="13"/>
        <w:shd w:val="clear" w:color="auto" w:fill="auto"/>
        <w:spacing w:line="240" w:lineRule="auto"/>
        <w:rPr>
          <w:rStyle w:val="33"/>
          <w:rFonts w:ascii="仿宋_GB2312" w:eastAsia="仿宋_GB2312" w:hAnsiTheme="minorEastAsia"/>
          <w:sz w:val="32"/>
          <w:szCs w:val="32"/>
        </w:rPr>
      </w:pPr>
      <w:r>
        <w:rPr>
          <w:rStyle w:val="33"/>
          <w:rFonts w:ascii="黑体" w:hAnsi="黑体" w:eastAsia="黑体"/>
          <w:sz w:val="28"/>
          <w:szCs w:val="28"/>
        </w:rPr>
        <w:t>附录(资料性附录</w:t>
      </w:r>
      <w:r>
        <w:rPr>
          <w:rStyle w:val="33"/>
          <w:rFonts w:ascii="黑体" w:hAnsi="黑体" w:eastAsia="黑体"/>
          <w:sz w:val="28"/>
          <w:szCs w:val="28"/>
          <w:lang w:bidi="en-US"/>
        </w:rPr>
        <w:t>）</w:t>
      </w:r>
    </w:p>
    <w:p w14:paraId="0F43AB8D">
      <w:pPr>
        <w:pStyle w:val="13"/>
        <w:shd w:val="clear" w:color="auto" w:fill="auto"/>
        <w:spacing w:after="330" w:line="240" w:lineRule="auto"/>
        <w:ind w:firstLine="2380" w:firstLineChars="700"/>
        <w:jc w:val="both"/>
        <w:rPr>
          <w:rFonts w:ascii="仿宋_GB2312" w:eastAsia="仿宋_GB2312" w:hAnsiTheme="minorEastAsia"/>
          <w:color w:val="000000"/>
          <w:sz w:val="32"/>
          <w:szCs w:val="32"/>
          <w:lang w:bidi="zh-CN"/>
        </w:rPr>
      </w:pPr>
      <w:r>
        <w:rPr>
          <w:rStyle w:val="33"/>
          <w:rFonts w:hint="eastAsia" w:ascii="仿宋_GB2312" w:eastAsia="仿宋_GB2312" w:hAnsiTheme="minorEastAsia"/>
          <w:sz w:val="32"/>
          <w:szCs w:val="32"/>
        </w:rPr>
        <w:t>文冠果</w:t>
      </w:r>
      <w:r>
        <w:rPr>
          <w:rStyle w:val="33"/>
          <w:rFonts w:hint="eastAsia" w:ascii="仿宋_GB2312" w:eastAsia="仿宋_GB2312" w:hAnsiTheme="minorEastAsia"/>
          <w:sz w:val="32"/>
          <w:szCs w:val="32"/>
          <w:lang w:val="en-US"/>
        </w:rPr>
        <w:t>主要病虫害</w:t>
      </w:r>
      <w:r>
        <w:rPr>
          <w:rStyle w:val="33"/>
          <w:rFonts w:hint="eastAsia" w:ascii="仿宋_GB2312" w:eastAsia="仿宋_GB2312" w:hAnsiTheme="minorEastAsia"/>
          <w:sz w:val="32"/>
          <w:szCs w:val="32"/>
        </w:rPr>
        <w:t>防治方法</w:t>
      </w:r>
    </w:p>
    <w:tbl>
      <w:tblPr>
        <w:tblStyle w:val="8"/>
        <w:tblW w:w="9284" w:type="dxa"/>
        <w:jc w:val="center"/>
        <w:tblBorders>
          <w:top w:val="single" w:color="auto" w:sz="4" w:space="0"/>
          <w:left w:val="single" w:color="auto" w:sz="4" w:space="0"/>
          <w:bottom w:val="none" w:color="auto" w:sz="0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93"/>
        <w:gridCol w:w="2467"/>
        <w:gridCol w:w="5224"/>
      </w:tblGrid>
      <w:tr w14:paraId="4D408A1E"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2" w:hRule="exact"/>
          <w:jc w:val="center"/>
        </w:trPr>
        <w:tc>
          <w:tcPr>
            <w:tcW w:w="1593" w:type="dxa"/>
            <w:shd w:val="clear" w:color="auto" w:fill="FFFFFF"/>
            <w:vAlign w:val="center"/>
          </w:tcPr>
          <w:p w14:paraId="1C392CC1">
            <w:pPr>
              <w:pStyle w:val="13"/>
              <w:shd w:val="clear" w:color="auto" w:fill="auto"/>
              <w:spacing w:line="24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  <w:lang w:val="en-US"/>
              </w:rPr>
              <w:t>病虫害</w:t>
            </w:r>
          </w:p>
        </w:tc>
        <w:tc>
          <w:tcPr>
            <w:tcW w:w="2467" w:type="dxa"/>
            <w:shd w:val="clear" w:color="auto" w:fill="FFFFFF"/>
            <w:vAlign w:val="center"/>
          </w:tcPr>
          <w:p w14:paraId="38061B04">
            <w:pPr>
              <w:pStyle w:val="13"/>
              <w:shd w:val="clear" w:color="auto" w:fill="auto"/>
              <w:spacing w:line="24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主要危害部位</w:t>
            </w:r>
            <w:r>
              <w:rPr>
                <w:rFonts w:hint="eastAsia" w:cs="Times New Roman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、</w:t>
            </w:r>
            <w:r>
              <w:rPr>
                <w:rFonts w:cs="Times New Roman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症状</w:t>
            </w:r>
          </w:p>
        </w:tc>
        <w:tc>
          <w:tcPr>
            <w:tcW w:w="5224" w:type="dxa"/>
            <w:shd w:val="clear" w:color="auto" w:fill="FFFFFF"/>
            <w:vAlign w:val="center"/>
          </w:tcPr>
          <w:p w14:paraId="2BF04288">
            <w:pPr>
              <w:pStyle w:val="13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</w:rPr>
              <w:t>主要</w:t>
            </w:r>
            <w:r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  <w:t>防治措施</w:t>
            </w:r>
          </w:p>
        </w:tc>
      </w:tr>
      <w:tr w14:paraId="1FB652F3"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74" w:hRule="exact"/>
          <w:jc w:val="center"/>
        </w:trPr>
        <w:tc>
          <w:tcPr>
            <w:tcW w:w="1593" w:type="dxa"/>
            <w:shd w:val="clear" w:color="auto" w:fill="FFFFFF"/>
            <w:vAlign w:val="center"/>
          </w:tcPr>
          <w:p w14:paraId="0338EA35">
            <w:pPr>
              <w:pStyle w:val="13"/>
              <w:shd w:val="clear" w:color="auto" w:fill="auto"/>
              <w:spacing w:line="24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茎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基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腐病</w:t>
            </w:r>
          </w:p>
        </w:tc>
        <w:tc>
          <w:tcPr>
            <w:tcW w:w="2467" w:type="dxa"/>
            <w:shd w:val="clear" w:color="auto" w:fill="FFFFFF"/>
            <w:vAlign w:val="center"/>
          </w:tcPr>
          <w:p w14:paraId="6B195619">
            <w:pPr>
              <w:pStyle w:val="13"/>
              <w:shd w:val="clear" w:color="auto" w:fill="auto"/>
              <w:spacing w:line="24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部位：植株茎基部</w:t>
            </w:r>
          </w:p>
          <w:p w14:paraId="5B2A65A9">
            <w:pPr>
              <w:pStyle w:val="13"/>
              <w:shd w:val="clear" w:color="auto" w:fill="auto"/>
              <w:spacing w:line="24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症状：茎基部出现水渍状褐色病斑，略肿胀，皮层组织腐烂，严重时植株地上部分枯死，枯叶不落。</w:t>
            </w:r>
          </w:p>
        </w:tc>
        <w:tc>
          <w:tcPr>
            <w:tcW w:w="5224" w:type="dxa"/>
            <w:shd w:val="clear" w:color="auto" w:fill="FFFFFF"/>
            <w:vAlign w:val="center"/>
          </w:tcPr>
          <w:p w14:paraId="7C767CAD">
            <w:pPr>
              <w:pStyle w:val="13"/>
              <w:shd w:val="clear" w:color="auto" w:fill="auto"/>
              <w:spacing w:line="240" w:lineRule="auto"/>
              <w:ind w:firstLine="23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1在发病率高的苗圃用50%多菌灵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8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00倍液进行土壤消毒，减少土壤中病菌的数量；</w:t>
            </w:r>
          </w:p>
          <w:p w14:paraId="003F83F8">
            <w:pPr>
              <w:pStyle w:val="13"/>
              <w:shd w:val="clear" w:color="auto" w:fill="auto"/>
              <w:spacing w:line="240" w:lineRule="auto"/>
              <w:ind w:firstLine="23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2夏季如遇高温，应在苗床上遮阴，防止苗木茎基部灼伤。用50%多菌灵400倍液浸泡苗干基部和根部10分钟后栽植。</w:t>
            </w:r>
          </w:p>
        </w:tc>
      </w:tr>
      <w:tr w14:paraId="0C0FCE74"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01" w:hRule="exact"/>
          <w:jc w:val="center"/>
        </w:trPr>
        <w:tc>
          <w:tcPr>
            <w:tcW w:w="1593" w:type="dxa"/>
            <w:tcBorders>
              <w:bottom w:val="single" w:color="auto" w:sz="4" w:space="0"/>
            </w:tcBorders>
            <w:shd w:val="clear" w:color="auto" w:fill="FFFFFF"/>
            <w:vAlign w:val="center"/>
          </w:tcPr>
          <w:p w14:paraId="0E10AC57">
            <w:pPr>
              <w:pStyle w:val="13"/>
              <w:shd w:val="clear" w:color="auto" w:fill="auto"/>
              <w:spacing w:line="24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  <w:t>煤污病</w:t>
            </w:r>
          </w:p>
        </w:tc>
        <w:tc>
          <w:tcPr>
            <w:tcW w:w="2467" w:type="dxa"/>
            <w:tcBorders>
              <w:bottom w:val="single" w:color="auto" w:sz="4" w:space="0"/>
            </w:tcBorders>
            <w:shd w:val="clear" w:color="auto" w:fill="FFFFFF"/>
            <w:vAlign w:val="center"/>
          </w:tcPr>
          <w:p w14:paraId="47F5C29A">
            <w:pPr>
              <w:pStyle w:val="13"/>
              <w:shd w:val="clear" w:color="auto" w:fill="auto"/>
              <w:tabs>
                <w:tab w:val="left" w:pos="456"/>
              </w:tabs>
              <w:spacing w:line="24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部位：叶片、果实、嫩枝</w:t>
            </w:r>
          </w:p>
          <w:p w14:paraId="51486803">
            <w:pPr>
              <w:pStyle w:val="13"/>
              <w:shd w:val="clear" w:color="auto" w:fill="auto"/>
              <w:tabs>
                <w:tab w:val="left" w:pos="456"/>
              </w:tabs>
              <w:spacing w:line="24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症状：危害部位形成煤烟状物或黑色霉层，影响生长，造成树势衰弱。</w:t>
            </w:r>
          </w:p>
        </w:tc>
        <w:tc>
          <w:tcPr>
            <w:tcW w:w="5224" w:type="dxa"/>
            <w:tcBorders>
              <w:bottom w:val="single" w:color="auto" w:sz="4" w:space="0"/>
            </w:tcBorders>
            <w:shd w:val="clear" w:color="auto" w:fill="FFFFFF"/>
            <w:vAlign w:val="center"/>
          </w:tcPr>
          <w:p w14:paraId="21E7266F">
            <w:pPr>
              <w:pStyle w:val="13"/>
              <w:shd w:val="clear" w:color="auto" w:fill="auto"/>
              <w:spacing w:line="258" w:lineRule="exact"/>
              <w:ind w:firstLine="230" w:firstLineChars="100"/>
              <w:jc w:val="both"/>
              <w:rPr>
                <w:rStyle w:val="33"/>
                <w:rFonts w:asciiTheme="minorEastAsia" w:hAnsiTheme="minorEastAsia" w:eastAsiaTheme="minorEastAsia"/>
                <w:sz w:val="21"/>
                <w:szCs w:val="21"/>
                <w:lang w:val="en-US"/>
              </w:rPr>
            </w:pP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  <w:lang w:val="en-US"/>
              </w:rPr>
              <w:t>1</w:t>
            </w: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</w:rPr>
              <w:t>加强抚育管理，林分保持适宜的密度，通风透光</w:t>
            </w: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  <w:lang w:val="en-US"/>
              </w:rPr>
              <w:t>;</w:t>
            </w:r>
          </w:p>
          <w:p w14:paraId="330CC5F7">
            <w:pPr>
              <w:pStyle w:val="13"/>
              <w:shd w:val="clear" w:color="auto" w:fill="auto"/>
              <w:spacing w:line="258" w:lineRule="exact"/>
              <w:ind w:firstLine="230" w:firstLineChars="100"/>
              <w:jc w:val="both"/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  <w:lang w:val="en-US"/>
              </w:rPr>
              <w:t>2减少</w:t>
            </w: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</w:rPr>
              <w:t>木虱、蚜虫等害虫危害的程度；</w:t>
            </w:r>
          </w:p>
          <w:p w14:paraId="571196D1">
            <w:pPr>
              <w:pStyle w:val="13"/>
              <w:shd w:val="clear" w:color="auto" w:fill="auto"/>
              <w:spacing w:line="258" w:lineRule="exact"/>
              <w:ind w:firstLine="230" w:firstLineChars="100"/>
              <w:jc w:val="both"/>
              <w:rPr>
                <w:rStyle w:val="33"/>
                <w:rFonts w:asciiTheme="minorEastAsia" w:hAnsiTheme="minorEastAsia" w:eastAsiaTheme="minorEastAsia"/>
                <w:sz w:val="21"/>
                <w:szCs w:val="21"/>
                <w:lang w:val="en-US"/>
              </w:rPr>
            </w:pP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  <w:lang w:val="en-US"/>
              </w:rPr>
              <w:t>3</w:t>
            </w:r>
            <w:r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  <w:t>用</w:t>
            </w: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  <w:lang w:val="en-US"/>
              </w:rPr>
              <w:t>多菌灵</w:t>
            </w:r>
            <w:r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  <w:t>800倍液，连续</w:t>
            </w: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  <w:lang w:val="en-US"/>
              </w:rPr>
              <w:t>喷施</w:t>
            </w:r>
            <w:r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  <w:t>2～3次，间隔时间为7～</w:t>
            </w: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</w:rPr>
              <w:t>1</w:t>
            </w:r>
            <w:r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  <w:t xml:space="preserve">0 </w:t>
            </w: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  <w:lang w:val="en-US"/>
              </w:rPr>
              <w:t>天</w:t>
            </w:r>
            <w:r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  <w:t>，早春</w:t>
            </w: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  <w:lang w:val="en-US"/>
              </w:rPr>
              <w:t>喷施</w:t>
            </w:r>
            <w:r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  <w:t>50%乐果乳油2000倍液</w:t>
            </w: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  <w:lang w:val="en-US"/>
              </w:rPr>
              <w:t>.</w:t>
            </w:r>
          </w:p>
        </w:tc>
      </w:tr>
      <w:tr w14:paraId="2D816D04"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58" w:hRule="exac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5405AD">
            <w:pPr>
              <w:pStyle w:val="13"/>
              <w:shd w:val="clear" w:color="auto" w:fill="auto"/>
              <w:spacing w:line="240" w:lineRule="auto"/>
              <w:jc w:val="center"/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  <w:lang w:val="en-US"/>
              </w:rPr>
              <w:t>白粉虱/</w:t>
            </w: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</w:rPr>
              <w:t>木虱</w:t>
            </w:r>
          </w:p>
        </w:tc>
        <w:tc>
          <w:tcPr>
            <w:tcW w:w="2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64F495">
            <w:pPr>
              <w:pStyle w:val="13"/>
              <w:shd w:val="clear" w:color="auto" w:fill="auto"/>
              <w:tabs>
                <w:tab w:val="left" w:pos="456"/>
              </w:tabs>
              <w:spacing w:line="24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部位：花芽、叶、嫩梢</w:t>
            </w:r>
          </w:p>
          <w:p w14:paraId="2CFE7893">
            <w:pPr>
              <w:pStyle w:val="13"/>
              <w:shd w:val="clear" w:color="auto" w:fill="auto"/>
              <w:tabs>
                <w:tab w:val="left" w:pos="456"/>
              </w:tabs>
              <w:spacing w:line="24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症状：危害严重时，枝条顶端抽放丛状夏梢或秋梢，嫩叶卷起而肥大，嫩梢木质化程度差。幼树造成枝干干枯，地上部分死亡或抽条。</w:t>
            </w:r>
          </w:p>
        </w:tc>
        <w:tc>
          <w:tcPr>
            <w:tcW w:w="5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B77D9D">
            <w:pPr>
              <w:pStyle w:val="13"/>
              <w:shd w:val="clear" w:color="auto" w:fill="auto"/>
              <w:tabs>
                <w:tab w:val="left" w:pos="548"/>
              </w:tabs>
              <w:spacing w:line="258" w:lineRule="exact"/>
              <w:ind w:firstLine="230" w:firstLineChars="100"/>
              <w:jc w:val="both"/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  <w:lang w:val="en-US"/>
              </w:rPr>
              <w:t>1</w:t>
            </w: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</w:rPr>
              <w:t>冬季清除林内枯叶杂草，冬季或早春收集有越冬成虫的翘裂树皮集中烧毁；干基涂白或用80%敌敌畏乳油500倍涂于干基，消灭文冠果隆脉木虱越冬成虫。</w:t>
            </w:r>
          </w:p>
          <w:p w14:paraId="73789D92">
            <w:pPr>
              <w:pStyle w:val="13"/>
              <w:shd w:val="clear" w:color="auto" w:fill="auto"/>
              <w:tabs>
                <w:tab w:val="left" w:pos="548"/>
              </w:tabs>
              <w:spacing w:line="258" w:lineRule="exact"/>
              <w:ind w:firstLine="230" w:firstLineChars="100"/>
              <w:jc w:val="both"/>
              <w:rPr>
                <w:rStyle w:val="33"/>
                <w:rFonts w:asciiTheme="minorEastAsia" w:hAnsiTheme="minorEastAsia" w:eastAsiaTheme="minorEastAsia"/>
                <w:sz w:val="21"/>
                <w:szCs w:val="21"/>
                <w:lang w:val="en-US"/>
              </w:rPr>
            </w:pP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  <w:lang w:val="en-US"/>
              </w:rPr>
              <w:t>2利用瓢虫、草蛉和黄色蚜小蜂等寄生蜂</w:t>
            </w:r>
          </w:p>
          <w:p w14:paraId="5CB82ECF">
            <w:pPr>
              <w:pStyle w:val="13"/>
              <w:shd w:val="clear" w:color="auto" w:fill="auto"/>
              <w:tabs>
                <w:tab w:val="left" w:pos="548"/>
              </w:tabs>
              <w:spacing w:line="258" w:lineRule="exact"/>
              <w:ind w:firstLine="230" w:firstLineChars="100"/>
              <w:jc w:val="both"/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  <w:lang w:val="en-US"/>
              </w:rPr>
              <w:t>3利用噻虫嗪、呋虫胺、吡蚜酮、噻虫啉等混合联苯菊酯或溴氰菊酯，也可以混合阿维菌素进行化学防治。</w:t>
            </w: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</w:rPr>
              <w:t>每隔7天喷药1次，连喷2</w:t>
            </w:r>
            <w:r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  <w:t>～</w:t>
            </w: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</w:rPr>
              <w:t>3次。</w:t>
            </w:r>
          </w:p>
        </w:tc>
      </w:tr>
      <w:tr w14:paraId="617719AD"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9" w:hRule="exact"/>
          <w:jc w:val="center"/>
        </w:trPr>
        <w:tc>
          <w:tcPr>
            <w:tcW w:w="1593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 w14:paraId="6313381C">
            <w:pPr>
              <w:pStyle w:val="13"/>
              <w:shd w:val="clear" w:color="auto" w:fill="auto"/>
              <w:spacing w:line="24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  <w:t>黑绒金龟子</w:t>
            </w:r>
          </w:p>
        </w:tc>
        <w:tc>
          <w:tcPr>
            <w:tcW w:w="2467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 w14:paraId="0836E5BE">
            <w:pPr>
              <w:pStyle w:val="13"/>
              <w:shd w:val="clear" w:color="auto" w:fill="auto"/>
              <w:spacing w:line="24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部位：以成虫为害，咬断幼苗的根、茎，蛀食茎。</w:t>
            </w:r>
          </w:p>
          <w:p w14:paraId="67759125">
            <w:pPr>
              <w:pStyle w:val="13"/>
              <w:shd w:val="clear" w:color="auto" w:fill="auto"/>
              <w:spacing w:line="24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症状：造成幼苗、幼树不能正常展叶，严重影响树木发育。</w:t>
            </w:r>
          </w:p>
        </w:tc>
        <w:tc>
          <w:tcPr>
            <w:tcW w:w="5224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 w14:paraId="77DB3E8F">
            <w:pPr>
              <w:pStyle w:val="13"/>
              <w:shd w:val="clear" w:color="auto" w:fill="auto"/>
              <w:tabs>
                <w:tab w:val="left" w:pos="288"/>
              </w:tabs>
              <w:spacing w:line="258" w:lineRule="exact"/>
              <w:ind w:firstLine="23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1利用成虫的假死性，在傍晚7</w:t>
            </w:r>
            <w:r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  <w:t>～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8点成虫活动盛期，震击树体，然后迅速将振落金龟子成虫收集捕杀。</w:t>
            </w:r>
          </w:p>
          <w:p w14:paraId="2BC7177B">
            <w:pPr>
              <w:pStyle w:val="13"/>
              <w:shd w:val="clear" w:color="auto" w:fill="auto"/>
              <w:tabs>
                <w:tab w:val="left" w:pos="288"/>
              </w:tabs>
              <w:spacing w:line="258" w:lineRule="exact"/>
              <w:ind w:firstLine="23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2利用成虫的趋光性，成虫羽化期，晚8点以后，在林地50</w:t>
            </w:r>
            <w:r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  <w:t>～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100米处，安装频振式杀虫灯进行诱杀。</w:t>
            </w:r>
          </w:p>
          <w:p w14:paraId="2856CFB5">
            <w:pPr>
              <w:pStyle w:val="13"/>
              <w:shd w:val="clear" w:color="auto" w:fill="auto"/>
              <w:tabs>
                <w:tab w:val="left" w:pos="288"/>
              </w:tabs>
              <w:spacing w:line="258" w:lineRule="exact"/>
              <w:ind w:firstLine="23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3在发生盛期，每隔10</w:t>
            </w:r>
            <w:r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  <w:t>～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15天天在树上喷一次2000</w:t>
            </w:r>
            <w:r>
              <w:t>～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3000倍2.5%溴氰菊酯乳或20%甲氰菊酯乳油1500倍液，早上6点到8点或晚上7点以后喷施</w:t>
            </w:r>
          </w:p>
        </w:tc>
      </w:tr>
      <w:tr w14:paraId="0454E67D"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16" w:hRule="exact"/>
          <w:jc w:val="center"/>
        </w:trPr>
        <w:tc>
          <w:tcPr>
            <w:tcW w:w="1593" w:type="dxa"/>
            <w:tcBorders>
              <w:bottom w:val="single" w:color="auto" w:sz="4" w:space="0"/>
            </w:tcBorders>
            <w:shd w:val="clear" w:color="auto" w:fill="FFFFFF"/>
            <w:vAlign w:val="center"/>
          </w:tcPr>
          <w:p w14:paraId="55B4AB38">
            <w:pPr>
              <w:pStyle w:val="13"/>
              <w:shd w:val="clear" w:color="auto" w:fill="auto"/>
              <w:tabs>
                <w:tab w:val="left" w:pos="462"/>
              </w:tabs>
              <w:spacing w:line="258" w:lineRule="exact"/>
              <w:ind w:firstLine="115" w:firstLineChars="50"/>
              <w:jc w:val="center"/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  <w:t>蚜虫</w:t>
            </w:r>
          </w:p>
        </w:tc>
        <w:tc>
          <w:tcPr>
            <w:tcW w:w="2467" w:type="dxa"/>
            <w:tcBorders>
              <w:bottom w:val="single" w:color="auto" w:sz="4" w:space="0"/>
            </w:tcBorders>
            <w:shd w:val="clear" w:color="auto" w:fill="FFFFFF"/>
            <w:vAlign w:val="center"/>
          </w:tcPr>
          <w:p w14:paraId="14AFA046">
            <w:pPr>
              <w:pStyle w:val="13"/>
              <w:shd w:val="clear" w:color="auto" w:fill="auto"/>
              <w:tabs>
                <w:tab w:val="left" w:pos="462"/>
              </w:tabs>
              <w:spacing w:line="258" w:lineRule="exact"/>
              <w:jc w:val="both"/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  <w:lang w:val="en-US"/>
              </w:rPr>
              <w:t>部位：</w:t>
            </w:r>
            <w:r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  <w:t>新</w:t>
            </w: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  <w:lang w:val="en-US"/>
              </w:rPr>
              <w:t>枝</w:t>
            </w:r>
            <w:r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  <w:t>和嫩叶。</w:t>
            </w:r>
          </w:p>
          <w:p w14:paraId="313DA059">
            <w:pPr>
              <w:pStyle w:val="13"/>
              <w:shd w:val="clear" w:color="auto" w:fill="auto"/>
              <w:tabs>
                <w:tab w:val="left" w:pos="462"/>
              </w:tabs>
              <w:spacing w:line="258" w:lineRule="exact"/>
              <w:jc w:val="both"/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Style w:val="33"/>
                <w:rFonts w:asciiTheme="minorEastAsia" w:hAnsiTheme="minorEastAsia" w:eastAsiaTheme="minorEastAsia"/>
                <w:sz w:val="21"/>
                <w:szCs w:val="21"/>
              </w:rPr>
              <w:t>症状:致使新</w:t>
            </w:r>
            <w:r>
              <w:rPr>
                <w:rStyle w:val="33"/>
                <w:rFonts w:hint="eastAsia" w:asciiTheme="minorEastAsia" w:hAnsiTheme="minorEastAsia" w:eastAsiaTheme="minorEastAsia"/>
                <w:sz w:val="21"/>
                <w:szCs w:val="21"/>
              </w:rPr>
              <w:t>稍的扭曲、皱缩、丛生。</w:t>
            </w:r>
          </w:p>
        </w:tc>
        <w:tc>
          <w:tcPr>
            <w:tcW w:w="5224" w:type="dxa"/>
            <w:tcBorders>
              <w:bottom w:val="single" w:color="auto" w:sz="4" w:space="0"/>
            </w:tcBorders>
            <w:shd w:val="clear" w:color="auto" w:fill="FFFFFF"/>
            <w:vAlign w:val="center"/>
          </w:tcPr>
          <w:p w14:paraId="05167F6F">
            <w:pPr>
              <w:widowControl/>
              <w:spacing w:line="312" w:lineRule="auto"/>
              <w:ind w:firstLine="210" w:firstLineChars="100"/>
              <w:jc w:val="left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1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结合修剪，清除带卵枝条</w:t>
            </w: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。</w:t>
            </w:r>
          </w:p>
          <w:p w14:paraId="75F018D6">
            <w:pPr>
              <w:pStyle w:val="13"/>
              <w:shd w:val="clear" w:color="auto" w:fill="auto"/>
              <w:tabs>
                <w:tab w:val="left" w:pos="462"/>
              </w:tabs>
              <w:spacing w:line="258" w:lineRule="exact"/>
              <w:ind w:firstLine="230" w:firstLineChars="100"/>
              <w:jc w:val="both"/>
              <w:rPr>
                <w:rFonts w:cs="Times New Roman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2喷施</w:t>
            </w:r>
            <w:r>
              <w:rPr>
                <w:rFonts w:hint="eastAsia" w:cs="Times New Roman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用50%双丙环虫酯可分散油剂12000～20000倍液或</w:t>
            </w:r>
            <w:r>
              <w:rPr>
                <w:rFonts w:cs="Times New Roman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10%</w:t>
            </w:r>
            <w:r>
              <w:rPr>
                <w:rFonts w:hint="eastAsia" w:cs="Times New Roman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吡虫啉</w:t>
            </w:r>
            <w:r>
              <w:rPr>
                <w:rFonts w:cs="Times New Roman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100</w:t>
            </w:r>
            <w:r>
              <w:rPr>
                <w:rFonts w:hint="eastAsia" w:cs="Times New Roman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0</w:t>
            </w:r>
            <w:r>
              <w:rPr>
                <w:rFonts w:cs="Times New Roman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～2000</w:t>
            </w:r>
            <w:r>
              <w:rPr>
                <w:rFonts w:hint="eastAsia" w:cs="Times New Roman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倍</w:t>
            </w:r>
            <w:r>
              <w:rPr>
                <w:rFonts w:cs="Times New Roman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液。</w:t>
            </w:r>
          </w:p>
        </w:tc>
      </w:tr>
    </w:tbl>
    <w:p w14:paraId="00FFAB7B">
      <w:pPr>
        <w:rPr>
          <w:rFonts w:asciiTheme="minorEastAsia" w:hAnsiTheme="minorEastAsia"/>
          <w:sz w:val="28"/>
          <w:szCs w:val="28"/>
        </w:rPr>
      </w:pPr>
    </w:p>
    <w:sectPr>
      <w:pgSz w:w="11906" w:h="16838"/>
      <w:pgMar w:top="1417" w:right="1418" w:bottom="141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Constantia">
    <w:panose1 w:val="02030602050306030303"/>
    <w:charset w:val="00"/>
    <w:family w:val="roman"/>
    <w:pitch w:val="default"/>
    <w:sig w:usb0="A00002EF" w:usb1="4000204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QzN2M1YmM1NDA0NTJlMDUyMjk3NjllNjA3YzhmNGYifQ=="/>
  </w:docVars>
  <w:rsids>
    <w:rsidRoot w:val="006F0559"/>
    <w:rsid w:val="00012D3A"/>
    <w:rsid w:val="00026A05"/>
    <w:rsid w:val="000606B7"/>
    <w:rsid w:val="000A3ED0"/>
    <w:rsid w:val="000B026C"/>
    <w:rsid w:val="000B38C4"/>
    <w:rsid w:val="000B741A"/>
    <w:rsid w:val="000D160D"/>
    <w:rsid w:val="000E7C4C"/>
    <w:rsid w:val="0010718F"/>
    <w:rsid w:val="00112C15"/>
    <w:rsid w:val="00123F1E"/>
    <w:rsid w:val="001417D1"/>
    <w:rsid w:val="0014481E"/>
    <w:rsid w:val="00151103"/>
    <w:rsid w:val="00153BC7"/>
    <w:rsid w:val="00175F28"/>
    <w:rsid w:val="001D2325"/>
    <w:rsid w:val="001E538C"/>
    <w:rsid w:val="00211EE2"/>
    <w:rsid w:val="002146B6"/>
    <w:rsid w:val="00235F1E"/>
    <w:rsid w:val="00244DBC"/>
    <w:rsid w:val="00251AEF"/>
    <w:rsid w:val="0026444A"/>
    <w:rsid w:val="0027207A"/>
    <w:rsid w:val="002A5A00"/>
    <w:rsid w:val="002A6899"/>
    <w:rsid w:val="002C0EA6"/>
    <w:rsid w:val="002E6F92"/>
    <w:rsid w:val="00322CCA"/>
    <w:rsid w:val="00371AF2"/>
    <w:rsid w:val="00391ED3"/>
    <w:rsid w:val="003A6EA9"/>
    <w:rsid w:val="003B22CD"/>
    <w:rsid w:val="003B5CC4"/>
    <w:rsid w:val="003C1037"/>
    <w:rsid w:val="003D7A38"/>
    <w:rsid w:val="00433405"/>
    <w:rsid w:val="00446321"/>
    <w:rsid w:val="0045363A"/>
    <w:rsid w:val="00457855"/>
    <w:rsid w:val="00461F23"/>
    <w:rsid w:val="004946FC"/>
    <w:rsid w:val="004B6CFC"/>
    <w:rsid w:val="004C5477"/>
    <w:rsid w:val="004D7E09"/>
    <w:rsid w:val="004F087B"/>
    <w:rsid w:val="004F4ED1"/>
    <w:rsid w:val="0050261B"/>
    <w:rsid w:val="005049F3"/>
    <w:rsid w:val="00513226"/>
    <w:rsid w:val="005412A2"/>
    <w:rsid w:val="00560219"/>
    <w:rsid w:val="00567F8D"/>
    <w:rsid w:val="00595F0E"/>
    <w:rsid w:val="005C401D"/>
    <w:rsid w:val="005D00D0"/>
    <w:rsid w:val="005D5FF1"/>
    <w:rsid w:val="005E1DFE"/>
    <w:rsid w:val="005F4A50"/>
    <w:rsid w:val="006019CD"/>
    <w:rsid w:val="00604492"/>
    <w:rsid w:val="00630237"/>
    <w:rsid w:val="00641E60"/>
    <w:rsid w:val="00697173"/>
    <w:rsid w:val="006B1A70"/>
    <w:rsid w:val="006C5937"/>
    <w:rsid w:val="006D16F2"/>
    <w:rsid w:val="006D2B8C"/>
    <w:rsid w:val="006F0559"/>
    <w:rsid w:val="007234B0"/>
    <w:rsid w:val="0072762F"/>
    <w:rsid w:val="007346E9"/>
    <w:rsid w:val="00787882"/>
    <w:rsid w:val="00794BA5"/>
    <w:rsid w:val="007B2619"/>
    <w:rsid w:val="007B5AA9"/>
    <w:rsid w:val="007C4D3F"/>
    <w:rsid w:val="007D3D5C"/>
    <w:rsid w:val="007E17AB"/>
    <w:rsid w:val="007F0465"/>
    <w:rsid w:val="007F57FE"/>
    <w:rsid w:val="008008BB"/>
    <w:rsid w:val="00814AC2"/>
    <w:rsid w:val="00825DB9"/>
    <w:rsid w:val="008336BA"/>
    <w:rsid w:val="0083406D"/>
    <w:rsid w:val="00836729"/>
    <w:rsid w:val="00880AA0"/>
    <w:rsid w:val="00880F45"/>
    <w:rsid w:val="008B23C9"/>
    <w:rsid w:val="008B7D0F"/>
    <w:rsid w:val="008E30D4"/>
    <w:rsid w:val="008F30A2"/>
    <w:rsid w:val="008F466C"/>
    <w:rsid w:val="009352AD"/>
    <w:rsid w:val="009448FD"/>
    <w:rsid w:val="00987DC3"/>
    <w:rsid w:val="00992D4E"/>
    <w:rsid w:val="0099633A"/>
    <w:rsid w:val="009B121D"/>
    <w:rsid w:val="009B3EED"/>
    <w:rsid w:val="009B515E"/>
    <w:rsid w:val="009E47C7"/>
    <w:rsid w:val="009F27A4"/>
    <w:rsid w:val="00A108E3"/>
    <w:rsid w:val="00A11BAC"/>
    <w:rsid w:val="00A30FB3"/>
    <w:rsid w:val="00A425E8"/>
    <w:rsid w:val="00A732AA"/>
    <w:rsid w:val="00A77346"/>
    <w:rsid w:val="00A9630F"/>
    <w:rsid w:val="00A9785A"/>
    <w:rsid w:val="00AA3B3E"/>
    <w:rsid w:val="00AA634C"/>
    <w:rsid w:val="00AB67E4"/>
    <w:rsid w:val="00AB7063"/>
    <w:rsid w:val="00AC3CAA"/>
    <w:rsid w:val="00AD211B"/>
    <w:rsid w:val="00AE3A11"/>
    <w:rsid w:val="00AE3FD0"/>
    <w:rsid w:val="00B24604"/>
    <w:rsid w:val="00B46364"/>
    <w:rsid w:val="00B51237"/>
    <w:rsid w:val="00B73CAC"/>
    <w:rsid w:val="00B87826"/>
    <w:rsid w:val="00BA0B30"/>
    <w:rsid w:val="00BC3442"/>
    <w:rsid w:val="00BF1004"/>
    <w:rsid w:val="00C0331C"/>
    <w:rsid w:val="00C13187"/>
    <w:rsid w:val="00C14A4C"/>
    <w:rsid w:val="00C2114D"/>
    <w:rsid w:val="00C26B6A"/>
    <w:rsid w:val="00C331D5"/>
    <w:rsid w:val="00C41767"/>
    <w:rsid w:val="00C50C72"/>
    <w:rsid w:val="00C523E6"/>
    <w:rsid w:val="00C601CA"/>
    <w:rsid w:val="00C63F88"/>
    <w:rsid w:val="00C8738B"/>
    <w:rsid w:val="00CA1599"/>
    <w:rsid w:val="00CC56C2"/>
    <w:rsid w:val="00CF038B"/>
    <w:rsid w:val="00CF1A42"/>
    <w:rsid w:val="00D101CC"/>
    <w:rsid w:val="00D17891"/>
    <w:rsid w:val="00D30DDC"/>
    <w:rsid w:val="00D34037"/>
    <w:rsid w:val="00D44101"/>
    <w:rsid w:val="00D71808"/>
    <w:rsid w:val="00D8596C"/>
    <w:rsid w:val="00DC635F"/>
    <w:rsid w:val="00DD2AD3"/>
    <w:rsid w:val="00E41570"/>
    <w:rsid w:val="00E422DD"/>
    <w:rsid w:val="00E46561"/>
    <w:rsid w:val="00E621AE"/>
    <w:rsid w:val="00E73ADA"/>
    <w:rsid w:val="00E7670E"/>
    <w:rsid w:val="00E84A48"/>
    <w:rsid w:val="00E86907"/>
    <w:rsid w:val="00E928CF"/>
    <w:rsid w:val="00E93315"/>
    <w:rsid w:val="00E94E20"/>
    <w:rsid w:val="00E961FF"/>
    <w:rsid w:val="00EA395E"/>
    <w:rsid w:val="00EA7A2F"/>
    <w:rsid w:val="00ED1ADF"/>
    <w:rsid w:val="00ED66B6"/>
    <w:rsid w:val="00EF0B43"/>
    <w:rsid w:val="00EF0FD9"/>
    <w:rsid w:val="00F0484F"/>
    <w:rsid w:val="00F35DDA"/>
    <w:rsid w:val="00F82DED"/>
    <w:rsid w:val="00FA2C9C"/>
    <w:rsid w:val="00FA69B0"/>
    <w:rsid w:val="00FE6F75"/>
    <w:rsid w:val="04A431B9"/>
    <w:rsid w:val="07581650"/>
    <w:rsid w:val="0A945788"/>
    <w:rsid w:val="0AEC207A"/>
    <w:rsid w:val="0BF96669"/>
    <w:rsid w:val="0CCC5153"/>
    <w:rsid w:val="1A897ABD"/>
    <w:rsid w:val="24532451"/>
    <w:rsid w:val="2682086C"/>
    <w:rsid w:val="27C228FE"/>
    <w:rsid w:val="2E30124A"/>
    <w:rsid w:val="2FDC37FE"/>
    <w:rsid w:val="331F727B"/>
    <w:rsid w:val="41585CF4"/>
    <w:rsid w:val="45901F68"/>
    <w:rsid w:val="47CF7F38"/>
    <w:rsid w:val="4B60448F"/>
    <w:rsid w:val="507902DD"/>
    <w:rsid w:val="52003AAD"/>
    <w:rsid w:val="543A23BA"/>
    <w:rsid w:val="55F7229D"/>
    <w:rsid w:val="57CD3CF3"/>
    <w:rsid w:val="5DBD6E8F"/>
    <w:rsid w:val="604A28CA"/>
    <w:rsid w:val="6717554B"/>
    <w:rsid w:val="6ABC583D"/>
    <w:rsid w:val="6C9B7475"/>
    <w:rsid w:val="6ED62B28"/>
    <w:rsid w:val="75053CE4"/>
    <w:rsid w:val="78AA4B50"/>
    <w:rsid w:val="793872F9"/>
    <w:rsid w:val="7E92357A"/>
    <w:rsid w:val="7EAA7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35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  <w:szCs w:val="24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3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正文文本 (2)_"/>
    <w:basedOn w:val="9"/>
    <w:link w:val="13"/>
    <w:qFormat/>
    <w:uiPriority w:val="0"/>
    <w:rPr>
      <w:rFonts w:ascii="MingLiU" w:hAnsi="MingLiU" w:eastAsia="MingLiU" w:cs="MingLiU"/>
      <w:spacing w:val="10"/>
      <w:sz w:val="20"/>
      <w:szCs w:val="20"/>
      <w:shd w:val="clear" w:color="auto" w:fill="FFFFFF"/>
    </w:rPr>
  </w:style>
  <w:style w:type="paragraph" w:customStyle="1" w:styleId="13">
    <w:name w:val="正文文本 (2)"/>
    <w:basedOn w:val="1"/>
    <w:link w:val="12"/>
    <w:qFormat/>
    <w:uiPriority w:val="0"/>
    <w:pPr>
      <w:shd w:val="clear" w:color="auto" w:fill="FFFFFF"/>
      <w:spacing w:line="312" w:lineRule="exact"/>
      <w:jc w:val="left"/>
    </w:pPr>
    <w:rPr>
      <w:rFonts w:ascii="MingLiU" w:hAnsi="MingLiU" w:eastAsia="MingLiU" w:cs="MingLiU"/>
      <w:spacing w:val="10"/>
      <w:sz w:val="20"/>
      <w:szCs w:val="20"/>
    </w:rPr>
  </w:style>
  <w:style w:type="character" w:customStyle="1" w:styleId="14">
    <w:name w:val="正文文本 (2) + 间距 0 pt"/>
    <w:basedOn w:val="12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0"/>
      <w:szCs w:val="20"/>
      <w:shd w:val="clear" w:color="auto" w:fill="FFFFFF"/>
      <w:lang w:val="en-US" w:eastAsia="en-US" w:bidi="en-US"/>
    </w:rPr>
  </w:style>
  <w:style w:type="character" w:customStyle="1" w:styleId="15">
    <w:name w:val="正文文本 (5)_"/>
    <w:basedOn w:val="9"/>
    <w:link w:val="16"/>
    <w:qFormat/>
    <w:uiPriority w:val="0"/>
    <w:rPr>
      <w:rFonts w:ascii="MingLiU" w:hAnsi="MingLiU" w:eastAsia="MingLiU" w:cs="MingLiU"/>
      <w:spacing w:val="30"/>
      <w:sz w:val="20"/>
      <w:szCs w:val="20"/>
      <w:shd w:val="clear" w:color="auto" w:fill="FFFFFF"/>
      <w:lang w:eastAsia="en-US" w:bidi="en-US"/>
    </w:rPr>
  </w:style>
  <w:style w:type="paragraph" w:customStyle="1" w:styleId="16">
    <w:name w:val="正文文本 (5)"/>
    <w:basedOn w:val="1"/>
    <w:link w:val="15"/>
    <w:qFormat/>
    <w:uiPriority w:val="0"/>
    <w:pPr>
      <w:shd w:val="clear" w:color="auto" w:fill="FFFFFF"/>
      <w:spacing w:before="660" w:after="420" w:line="0" w:lineRule="atLeast"/>
      <w:jc w:val="distribute"/>
    </w:pPr>
    <w:rPr>
      <w:rFonts w:ascii="MingLiU" w:hAnsi="MingLiU" w:eastAsia="MingLiU" w:cs="MingLiU"/>
      <w:spacing w:val="30"/>
      <w:sz w:val="20"/>
      <w:szCs w:val="20"/>
      <w:lang w:eastAsia="en-US" w:bidi="en-US"/>
    </w:rPr>
  </w:style>
  <w:style w:type="character" w:customStyle="1" w:styleId="17">
    <w:name w:val="正文文本 (5) + 间距 3 pt"/>
    <w:basedOn w:val="15"/>
    <w:qFormat/>
    <w:uiPriority w:val="0"/>
    <w:rPr>
      <w:rFonts w:ascii="MingLiU" w:hAnsi="MingLiU" w:eastAsia="MingLiU" w:cs="MingLiU"/>
      <w:color w:val="000000"/>
      <w:spacing w:val="60"/>
      <w:w w:val="100"/>
      <w:position w:val="0"/>
      <w:sz w:val="20"/>
      <w:szCs w:val="20"/>
      <w:shd w:val="clear" w:color="auto" w:fill="FFFFFF"/>
      <w:lang w:val="zh-CN" w:eastAsia="zh-CN" w:bidi="zh-CN"/>
    </w:rPr>
  </w:style>
  <w:style w:type="character" w:customStyle="1" w:styleId="18">
    <w:name w:val="正文文本 (2) + Sylfaen"/>
    <w:basedOn w:val="12"/>
    <w:qFormat/>
    <w:uiPriority w:val="0"/>
    <w:rPr>
      <w:rFonts w:ascii="Sylfaen" w:hAnsi="Sylfaen" w:eastAsia="Sylfaen" w:cs="Sylfaen"/>
      <w:color w:val="000000"/>
      <w:spacing w:val="0"/>
      <w:w w:val="100"/>
      <w:position w:val="0"/>
      <w:sz w:val="19"/>
      <w:szCs w:val="19"/>
      <w:u w:val="none"/>
      <w:shd w:val="clear" w:color="auto" w:fill="FFFFFF"/>
      <w:lang w:val="en-US" w:eastAsia="en-US" w:bidi="en-US"/>
    </w:rPr>
  </w:style>
  <w:style w:type="character" w:customStyle="1" w:styleId="19">
    <w:name w:val="日期 Char"/>
    <w:basedOn w:val="9"/>
    <w:link w:val="3"/>
    <w:semiHidden/>
    <w:qFormat/>
    <w:uiPriority w:val="99"/>
  </w:style>
  <w:style w:type="character" w:customStyle="1" w:styleId="20">
    <w:name w:val="正文文本 (2) + 间距 2 pt"/>
    <w:basedOn w:val="12"/>
    <w:qFormat/>
    <w:uiPriority w:val="0"/>
    <w:rPr>
      <w:rFonts w:ascii="MingLiU" w:hAnsi="MingLiU" w:eastAsia="MingLiU" w:cs="MingLiU"/>
      <w:color w:val="000000"/>
      <w:spacing w:val="50"/>
      <w:w w:val="100"/>
      <w:position w:val="0"/>
      <w:sz w:val="18"/>
      <w:szCs w:val="18"/>
      <w:u w:val="none"/>
      <w:shd w:val="clear" w:color="auto" w:fill="FFFFFF"/>
      <w:lang w:val="zh-CN" w:eastAsia="zh-CN" w:bidi="zh-CN"/>
    </w:rPr>
  </w:style>
  <w:style w:type="character" w:customStyle="1" w:styleId="21">
    <w:name w:val="正文文本 (8)_"/>
    <w:basedOn w:val="9"/>
    <w:link w:val="22"/>
    <w:qFormat/>
    <w:uiPriority w:val="0"/>
    <w:rPr>
      <w:rFonts w:ascii="Times New Roman" w:hAnsi="Times New Roman" w:eastAsia="Times New Roman" w:cs="Times New Roman"/>
      <w:sz w:val="19"/>
      <w:szCs w:val="19"/>
      <w:shd w:val="clear" w:color="auto" w:fill="FFFFFF"/>
    </w:rPr>
  </w:style>
  <w:style w:type="paragraph" w:customStyle="1" w:styleId="22">
    <w:name w:val="正文文本 (8)"/>
    <w:basedOn w:val="1"/>
    <w:link w:val="21"/>
    <w:qFormat/>
    <w:uiPriority w:val="0"/>
    <w:pPr>
      <w:shd w:val="clear" w:color="auto" w:fill="FFFFFF"/>
      <w:spacing w:line="432" w:lineRule="exact"/>
      <w:ind w:firstLine="420"/>
      <w:jc w:val="left"/>
    </w:pPr>
    <w:rPr>
      <w:rFonts w:ascii="Times New Roman" w:hAnsi="Times New Roman" w:eastAsia="Times New Roman" w:cs="Times New Roman"/>
      <w:sz w:val="19"/>
      <w:szCs w:val="19"/>
    </w:rPr>
  </w:style>
  <w:style w:type="character" w:customStyle="1" w:styleId="23">
    <w:name w:val="正文文本 (8) + MingLiU"/>
    <w:basedOn w:val="21"/>
    <w:qFormat/>
    <w:uiPriority w:val="0"/>
    <w:rPr>
      <w:rFonts w:ascii="MingLiU" w:hAnsi="MingLiU" w:eastAsia="MingLiU" w:cs="MingLiU"/>
      <w:color w:val="000000"/>
      <w:w w:val="100"/>
      <w:position w:val="0"/>
      <w:sz w:val="18"/>
      <w:szCs w:val="18"/>
      <w:shd w:val="clear" w:color="auto" w:fill="FFFFFF"/>
      <w:lang w:val="zh-CN" w:eastAsia="zh-CN" w:bidi="zh-CN"/>
    </w:rPr>
  </w:style>
  <w:style w:type="paragraph" w:styleId="24">
    <w:name w:val="List Paragraph"/>
    <w:basedOn w:val="1"/>
    <w:qFormat/>
    <w:uiPriority w:val="34"/>
    <w:pPr>
      <w:ind w:firstLine="420" w:firstLineChars="200"/>
    </w:pPr>
  </w:style>
  <w:style w:type="character" w:customStyle="1" w:styleId="25">
    <w:name w:val="正文文本 (7)_"/>
    <w:basedOn w:val="9"/>
    <w:link w:val="26"/>
    <w:qFormat/>
    <w:uiPriority w:val="0"/>
    <w:rPr>
      <w:rFonts w:ascii="MingLiU" w:hAnsi="MingLiU" w:eastAsia="MingLiU" w:cs="MingLiU"/>
      <w:b/>
      <w:bCs/>
      <w:sz w:val="18"/>
      <w:szCs w:val="18"/>
      <w:shd w:val="clear" w:color="auto" w:fill="FFFFFF"/>
      <w:lang w:eastAsia="en-US" w:bidi="en-US"/>
    </w:rPr>
  </w:style>
  <w:style w:type="paragraph" w:customStyle="1" w:styleId="26">
    <w:name w:val="正文文本 (7)"/>
    <w:basedOn w:val="1"/>
    <w:link w:val="25"/>
    <w:qFormat/>
    <w:uiPriority w:val="0"/>
    <w:pPr>
      <w:shd w:val="clear" w:color="auto" w:fill="FFFFFF"/>
      <w:spacing w:after="240" w:line="0" w:lineRule="atLeast"/>
    </w:pPr>
    <w:rPr>
      <w:rFonts w:ascii="MingLiU" w:hAnsi="MingLiU" w:eastAsia="MingLiU" w:cs="MingLiU"/>
      <w:b/>
      <w:bCs/>
      <w:sz w:val="18"/>
      <w:szCs w:val="18"/>
      <w:lang w:eastAsia="en-US" w:bidi="en-US"/>
    </w:rPr>
  </w:style>
  <w:style w:type="character" w:customStyle="1" w:styleId="27">
    <w:name w:val="正文文本 (7) + 非粗体"/>
    <w:basedOn w:val="25"/>
    <w:qFormat/>
    <w:uiPriority w:val="0"/>
    <w:rPr>
      <w:rFonts w:ascii="MingLiU" w:hAnsi="MingLiU" w:eastAsia="MingLiU" w:cs="MingLiU"/>
      <w:color w:val="000000"/>
      <w:w w:val="100"/>
      <w:position w:val="0"/>
      <w:sz w:val="18"/>
      <w:szCs w:val="18"/>
      <w:shd w:val="clear" w:color="auto" w:fill="FFFFFF"/>
      <w:lang w:val="zh-CN" w:eastAsia="zh-CN" w:bidi="zh-CN"/>
    </w:rPr>
  </w:style>
  <w:style w:type="character" w:customStyle="1" w:styleId="28">
    <w:name w:val="正文文本 (2) + 粗体"/>
    <w:basedOn w:val="12"/>
    <w:qFormat/>
    <w:uiPriority w:val="0"/>
    <w:rPr>
      <w:rFonts w:ascii="MingLiU" w:hAnsi="MingLiU" w:eastAsia="MingLiU" w:cs="MingLiU"/>
      <w:b/>
      <w:bCs/>
      <w:color w:val="000000"/>
      <w:spacing w:val="0"/>
      <w:w w:val="100"/>
      <w:position w:val="0"/>
      <w:sz w:val="18"/>
      <w:szCs w:val="18"/>
      <w:u w:val="none"/>
      <w:shd w:val="clear" w:color="auto" w:fill="FFFFFF"/>
      <w:lang w:val="en-US" w:eastAsia="en-US" w:bidi="en-US"/>
    </w:rPr>
  </w:style>
  <w:style w:type="character" w:customStyle="1" w:styleId="29">
    <w:name w:val="正文文本 (2) + 15 pt"/>
    <w:basedOn w:val="12"/>
    <w:qFormat/>
    <w:uiPriority w:val="0"/>
    <w:rPr>
      <w:rFonts w:ascii="MingLiU" w:hAnsi="MingLiU" w:eastAsia="MingLiU" w:cs="MingLiU"/>
      <w:color w:val="000000"/>
      <w:spacing w:val="-50"/>
      <w:w w:val="66"/>
      <w:position w:val="0"/>
      <w:sz w:val="30"/>
      <w:szCs w:val="30"/>
      <w:u w:val="none"/>
      <w:shd w:val="clear" w:color="auto" w:fill="FFFFFF"/>
      <w:lang w:val="zh-CN" w:eastAsia="zh-CN" w:bidi="zh-CN"/>
    </w:rPr>
  </w:style>
  <w:style w:type="character" w:customStyle="1" w:styleId="30">
    <w:name w:val="正文文本 (3)_"/>
    <w:basedOn w:val="9"/>
    <w:link w:val="31"/>
    <w:qFormat/>
    <w:uiPriority w:val="0"/>
    <w:rPr>
      <w:rFonts w:ascii="MingLiU" w:hAnsi="MingLiU" w:eastAsia="MingLiU" w:cs="MingLiU"/>
      <w:b/>
      <w:bCs/>
      <w:spacing w:val="30"/>
      <w:sz w:val="20"/>
      <w:szCs w:val="20"/>
      <w:shd w:val="clear" w:color="auto" w:fill="FFFFFF"/>
      <w:lang w:eastAsia="en-US" w:bidi="en-US"/>
    </w:rPr>
  </w:style>
  <w:style w:type="paragraph" w:customStyle="1" w:styleId="31">
    <w:name w:val="正文文本 (3)"/>
    <w:basedOn w:val="1"/>
    <w:link w:val="30"/>
    <w:qFormat/>
    <w:uiPriority w:val="0"/>
    <w:pPr>
      <w:shd w:val="clear" w:color="auto" w:fill="FFFFFF"/>
      <w:spacing w:after="1560" w:line="209" w:lineRule="exact"/>
      <w:jc w:val="left"/>
    </w:pPr>
    <w:rPr>
      <w:rFonts w:ascii="MingLiU" w:hAnsi="MingLiU" w:eastAsia="MingLiU" w:cs="MingLiU"/>
      <w:b/>
      <w:bCs/>
      <w:spacing w:val="30"/>
      <w:sz w:val="20"/>
      <w:szCs w:val="20"/>
      <w:lang w:eastAsia="en-US" w:bidi="en-US"/>
    </w:rPr>
  </w:style>
  <w:style w:type="character" w:customStyle="1" w:styleId="32">
    <w:name w:val="正文文本 (2) + Constantia"/>
    <w:basedOn w:val="12"/>
    <w:qFormat/>
    <w:uiPriority w:val="0"/>
    <w:rPr>
      <w:rFonts w:ascii="Constantia" w:hAnsi="Constantia" w:eastAsia="Constantia" w:cs="Constantia"/>
      <w:b/>
      <w:bCs/>
      <w:color w:val="000000"/>
      <w:spacing w:val="0"/>
      <w:w w:val="100"/>
      <w:position w:val="0"/>
      <w:sz w:val="20"/>
      <w:szCs w:val="20"/>
      <w:u w:val="none"/>
      <w:shd w:val="clear" w:color="auto" w:fill="FFFFFF"/>
      <w:lang w:val="en-US" w:eastAsia="en-US" w:bidi="en-US"/>
    </w:rPr>
  </w:style>
  <w:style w:type="character" w:customStyle="1" w:styleId="33">
    <w:name w:val="正文文本 (2) + 7 pt"/>
    <w:basedOn w:val="12"/>
    <w:qFormat/>
    <w:uiPriority w:val="0"/>
    <w:rPr>
      <w:rFonts w:ascii="MingLiU" w:hAnsi="MingLiU" w:eastAsia="MingLiU" w:cs="MingLiU"/>
      <w:color w:val="000000"/>
      <w:spacing w:val="10"/>
      <w:w w:val="100"/>
      <w:position w:val="0"/>
      <w:sz w:val="14"/>
      <w:szCs w:val="14"/>
      <w:u w:val="none"/>
      <w:shd w:val="clear" w:color="auto" w:fill="FFFFFF"/>
      <w:lang w:val="zh-CN" w:eastAsia="zh-CN" w:bidi="zh-CN"/>
    </w:rPr>
  </w:style>
  <w:style w:type="character" w:customStyle="1" w:styleId="34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35">
    <w:name w:val="标题 2 Char"/>
    <w:basedOn w:val="9"/>
    <w:link w:val="2"/>
    <w:qFormat/>
    <w:uiPriority w:val="0"/>
    <w:rPr>
      <w:rFonts w:ascii="Arial" w:hAnsi="Arial" w:eastAsia="黑体"/>
      <w:b/>
      <w:kern w:val="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CB6EF4-1C7A-46D9-8438-1660E7159F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2947</Words>
  <Characters>3411</Characters>
  <Lines>25</Lines>
  <Paragraphs>7</Paragraphs>
  <TotalTime>418</TotalTime>
  <ScaleCrop>false</ScaleCrop>
  <LinksUpToDate>false</LinksUpToDate>
  <CharactersWithSpaces>3459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2024-08-21T09:08:00Z</dcterms:created>
  <dc:creator>admin</dc:creator>
  <cp:lastModifiedBy>微信用户</cp:lastModifiedBy>
  <dcterms:modified xsi:type="dcterms:W3CDTF">2024-09-27T02:50:08Z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74A290E1776D4399AE8A0E0584C15408</vt:lpwstr>
  </property>
</Properties>
</file>