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66378">
      <w:pPr>
        <w:keepNext w:val="0"/>
        <w:keepLines w:val="0"/>
        <w:pageBreakBefore w:val="0"/>
        <w:kinsoku w:val="0"/>
        <w:wordWrap/>
        <w:overflowPunct/>
        <w:topLinePunct w:val="0"/>
        <w:autoSpaceDE w:val="0"/>
        <w:autoSpaceDN w:val="0"/>
        <w:bidi w:val="0"/>
        <w:adjustRightInd w:val="0"/>
        <w:snapToGrid w:val="0"/>
        <w:spacing w:before="174" w:line="188" w:lineRule="auto"/>
        <w:ind w:left="9"/>
        <w:textAlignment w:val="baseline"/>
        <w:rPr>
          <w:rFonts w:ascii="Times New Roman" w:hAnsi="Times New Roman" w:eastAsia="Times New Roman" w:cs="Times New Roman"/>
          <w:b w:val="0"/>
          <w:bCs w:val="0"/>
          <w:sz w:val="21"/>
          <w:szCs w:val="21"/>
          <w:highlight w:val="none"/>
        </w:rPr>
      </w:pPr>
      <w:r>
        <w:rPr>
          <w:rFonts w:hint="eastAsia" w:ascii="黑体" w:hAnsi="黑体" w:eastAsia="黑体" w:cs="黑体"/>
          <w:b w:val="0"/>
          <w:bCs w:val="0"/>
          <w:spacing w:val="-1"/>
          <w:sz w:val="21"/>
          <w:szCs w:val="21"/>
          <w:highlight w:val="none"/>
          <w:lang w:val="en-US" w:eastAsia="zh-CN"/>
        </w:rPr>
        <w:t xml:space="preserve">   </w:t>
      </w:r>
      <w:r>
        <w:rPr>
          <w:rFonts w:ascii="Times New Roman" w:hAnsi="Times New Roman" w:eastAsia="Times New Roman" w:cs="Times New Roman"/>
          <w:b w:val="0"/>
          <w:bCs w:val="0"/>
          <w:spacing w:val="-2"/>
          <w:sz w:val="21"/>
          <w:szCs w:val="21"/>
          <w:highlight w:val="none"/>
        </w:rPr>
        <w:t>ICS</w:t>
      </w:r>
    </w:p>
    <w:p w14:paraId="5135BB46">
      <w:pPr>
        <w:keepNext w:val="0"/>
        <w:keepLines w:val="0"/>
        <w:pageBreakBefore w:val="0"/>
        <w:kinsoku w:val="0"/>
        <w:wordWrap/>
        <w:overflowPunct/>
        <w:topLinePunct w:val="0"/>
        <w:autoSpaceDE w:val="0"/>
        <w:autoSpaceDN w:val="0"/>
        <w:bidi w:val="0"/>
        <w:adjustRightInd w:val="0"/>
        <w:snapToGrid w:val="0"/>
        <w:spacing w:before="54" w:line="221" w:lineRule="auto"/>
        <w:ind w:left="9"/>
        <w:textAlignment w:val="baseline"/>
        <w:rPr>
          <w:rFonts w:ascii="黑体" w:hAnsi="黑体" w:eastAsia="黑体" w:cs="黑体"/>
          <w:b w:val="0"/>
          <w:bCs w:val="0"/>
          <w:spacing w:val="-1"/>
          <w:sz w:val="21"/>
          <w:szCs w:val="21"/>
          <w:highlight w:val="none"/>
        </w:rPr>
      </w:pPr>
      <w:r>
        <w:rPr>
          <w:rFonts w:ascii="黑体" w:hAnsi="黑体" w:eastAsia="黑体" w:cs="黑体"/>
          <w:b w:val="0"/>
          <w:bCs w:val="0"/>
          <w:spacing w:val="-1"/>
          <w:sz w:val="21"/>
          <w:szCs w:val="21"/>
          <w:highlight w:val="none"/>
        </w:rPr>
        <w:t>点击此处添加中国标准文献分类号</w:t>
      </w:r>
    </w:p>
    <w:p w14:paraId="4B95CA5D">
      <w:pPr>
        <w:keepNext w:val="0"/>
        <w:keepLines w:val="0"/>
        <w:pageBreakBefore w:val="0"/>
        <w:kinsoku w:val="0"/>
        <w:wordWrap/>
        <w:overflowPunct/>
        <w:topLinePunct w:val="0"/>
        <w:autoSpaceDE w:val="0"/>
        <w:autoSpaceDN w:val="0"/>
        <w:bidi w:val="0"/>
        <w:adjustRightInd w:val="0"/>
        <w:snapToGrid w:val="0"/>
        <w:spacing w:before="54" w:line="221" w:lineRule="auto"/>
        <w:ind w:left="9"/>
        <w:jc w:val="right"/>
        <w:textAlignment w:val="baseline"/>
        <w:rPr>
          <w:rFonts w:hint="eastAsia" w:ascii="Times New Roman" w:hAnsi="Times New Roman" w:eastAsia="宋体" w:cs="Times New Roman"/>
          <w:b w:val="0"/>
          <w:bCs w:val="0"/>
          <w:spacing w:val="-16"/>
          <w:position w:val="-17"/>
          <w:sz w:val="127"/>
          <w:szCs w:val="127"/>
          <w:highlight w:val="none"/>
          <w:lang w:val="en-US" w:eastAsia="zh-CN"/>
        </w:rPr>
      </w:pPr>
      <w:r>
        <w:rPr>
          <w:rFonts w:ascii="Times New Roman" w:hAnsi="Times New Roman" w:eastAsia="Times New Roman" w:cs="Times New Roman"/>
          <w:b w:val="0"/>
          <w:bCs w:val="0"/>
          <w:spacing w:val="-16"/>
          <w:position w:val="-17"/>
          <w:sz w:val="127"/>
          <w:szCs w:val="127"/>
          <w:highlight w:val="none"/>
        </w:rPr>
        <w:t>DB1</w:t>
      </w:r>
      <w:r>
        <w:rPr>
          <w:rFonts w:hint="eastAsia" w:ascii="Times New Roman" w:hAnsi="Times New Roman" w:eastAsia="宋体" w:cs="Times New Roman"/>
          <w:b w:val="0"/>
          <w:bCs w:val="0"/>
          <w:spacing w:val="-16"/>
          <w:position w:val="-17"/>
          <w:sz w:val="127"/>
          <w:szCs w:val="127"/>
          <w:highlight w:val="none"/>
          <w:lang w:val="en-US" w:eastAsia="zh-CN"/>
        </w:rPr>
        <w:t>3</w:t>
      </w:r>
    </w:p>
    <w:p w14:paraId="42B2444F">
      <w:pPr>
        <w:pStyle w:val="4"/>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right"/>
        <w:textAlignment w:val="baseline"/>
        <w:rPr>
          <w:b w:val="0"/>
          <w:bCs w:val="0"/>
        </w:rPr>
      </w:pPr>
      <w:r>
        <w:rPr>
          <w:b w:val="0"/>
          <w:bCs w:val="0"/>
          <w:spacing w:val="-4"/>
        </w:rPr>
        <w:t>DB1</w:t>
      </w:r>
      <w:r>
        <w:rPr>
          <w:rFonts w:hint="eastAsia"/>
          <w:b w:val="0"/>
          <w:bCs w:val="0"/>
          <w:spacing w:val="-4"/>
          <w:lang w:val="en-US" w:eastAsia="zh-CN"/>
        </w:rPr>
        <w:t>3</w:t>
      </w:r>
      <w:r>
        <w:rPr>
          <w:b w:val="0"/>
          <w:bCs w:val="0"/>
          <w:spacing w:val="-4"/>
        </w:rPr>
        <w:t xml:space="preserve">/ </w:t>
      </w:r>
      <w:r>
        <w:rPr>
          <w:rFonts w:hint="eastAsia"/>
          <w:b w:val="0"/>
          <w:bCs w:val="0"/>
          <w:spacing w:val="-4"/>
          <w:lang w:val="en-US" w:eastAsia="zh-CN"/>
        </w:rPr>
        <w:t xml:space="preserve"> XXXX</w:t>
      </w:r>
      <w:r>
        <w:rPr>
          <w:b w:val="0"/>
          <w:bCs w:val="0"/>
          <w:spacing w:val="-4"/>
        </w:rPr>
        <w:t>—202X</w:t>
      </w:r>
    </w:p>
    <w:p w14:paraId="37A404CF">
      <w:pPr>
        <w:keepNext w:val="0"/>
        <w:keepLines w:val="0"/>
        <w:pageBreakBefore w:val="0"/>
        <w:kinsoku w:val="0"/>
        <w:wordWrap/>
        <w:overflowPunct/>
        <w:topLinePunct w:val="0"/>
        <w:autoSpaceDE w:val="0"/>
        <w:autoSpaceDN w:val="0"/>
        <w:bidi w:val="0"/>
        <w:adjustRightInd w:val="0"/>
        <w:snapToGrid w:val="0"/>
        <w:spacing w:line="14" w:lineRule="auto"/>
        <w:textAlignment w:val="baseline"/>
        <w:rPr>
          <w:rFonts w:hint="eastAsia" w:ascii="黑体" w:hAnsi="黑体" w:eastAsia="黑体" w:cs="黑体"/>
          <w:b w:val="0"/>
          <w:bCs w:val="0"/>
          <w:spacing w:val="-26"/>
          <w:sz w:val="50"/>
          <w:szCs w:val="50"/>
          <w:highlight w:val="none"/>
          <w:lang w:val="en-US" w:eastAsia="zh-CN"/>
        </w:rPr>
      </w:pPr>
    </w:p>
    <w:p w14:paraId="3E17A325">
      <w:pPr>
        <w:keepNext w:val="0"/>
        <w:keepLines w:val="0"/>
        <w:pageBreakBefore w:val="0"/>
        <w:kinsoku w:val="0"/>
        <w:wordWrap/>
        <w:overflowPunct/>
        <w:topLinePunct w:val="0"/>
        <w:autoSpaceDE w:val="0"/>
        <w:autoSpaceDN w:val="0"/>
        <w:bidi w:val="0"/>
        <w:adjustRightInd w:val="0"/>
        <w:snapToGrid w:val="0"/>
        <w:spacing w:before="240" w:line="221" w:lineRule="auto"/>
        <w:ind w:left="7"/>
        <w:jc w:val="both"/>
        <w:textAlignment w:val="baseline"/>
        <w:rPr>
          <w:rFonts w:ascii="黑体" w:hAnsi="黑体" w:eastAsia="黑体" w:cs="黑体"/>
          <w:b w:val="0"/>
          <w:bCs w:val="0"/>
          <w:sz w:val="50"/>
          <w:szCs w:val="50"/>
          <w:highlight w:val="yellow"/>
        </w:rPr>
      </w:pPr>
      <w:r>
        <w:rPr>
          <w:rFonts w:hint="eastAsia" w:ascii="黑体" w:hAnsi="黑体" w:eastAsia="黑体" w:cs="黑体"/>
          <w:b w:val="0"/>
          <w:bCs w:val="0"/>
          <w:spacing w:val="-26"/>
          <w:sz w:val="50"/>
          <w:szCs w:val="50"/>
          <w:highlight w:val="none"/>
          <w:lang w:val="en-US" w:eastAsia="zh-CN"/>
        </w:rPr>
        <w:t>河</w:t>
      </w:r>
      <w:r>
        <w:rPr>
          <w:rFonts w:ascii="黑体" w:hAnsi="黑体" w:eastAsia="黑体" w:cs="黑体"/>
          <w:b w:val="0"/>
          <w:bCs w:val="0"/>
          <w:spacing w:val="6"/>
          <w:sz w:val="50"/>
          <w:szCs w:val="50"/>
          <w:highlight w:val="none"/>
        </w:rPr>
        <w:t xml:space="preserve">   </w:t>
      </w:r>
      <w:r>
        <w:rPr>
          <w:rFonts w:hint="eastAsia" w:ascii="黑体" w:hAnsi="黑体" w:eastAsia="黑体" w:cs="黑体"/>
          <w:b w:val="0"/>
          <w:bCs w:val="0"/>
          <w:spacing w:val="6"/>
          <w:sz w:val="50"/>
          <w:szCs w:val="50"/>
          <w:highlight w:val="none"/>
          <w:lang w:val="en-US" w:eastAsia="zh-CN"/>
        </w:rPr>
        <w:t xml:space="preserve"> </w:t>
      </w:r>
      <w:r>
        <w:rPr>
          <w:rFonts w:hint="eastAsia" w:ascii="黑体" w:hAnsi="黑体" w:eastAsia="黑体" w:cs="黑体"/>
          <w:b w:val="0"/>
          <w:bCs w:val="0"/>
          <w:spacing w:val="-26"/>
          <w:sz w:val="50"/>
          <w:szCs w:val="50"/>
          <w:highlight w:val="none"/>
          <w:lang w:val="en-US" w:eastAsia="zh-CN"/>
        </w:rPr>
        <w:t>北</w:t>
      </w:r>
      <w:r>
        <w:rPr>
          <w:rFonts w:ascii="黑体" w:hAnsi="黑体" w:eastAsia="黑体" w:cs="黑体"/>
          <w:b w:val="0"/>
          <w:bCs w:val="0"/>
          <w:spacing w:val="13"/>
          <w:sz w:val="50"/>
          <w:szCs w:val="50"/>
          <w:highlight w:val="none"/>
        </w:rPr>
        <w:t xml:space="preserve">  </w:t>
      </w:r>
      <w:r>
        <w:rPr>
          <w:rFonts w:hint="eastAsia" w:ascii="黑体" w:hAnsi="黑体" w:eastAsia="黑体" w:cs="黑体"/>
          <w:b w:val="0"/>
          <w:bCs w:val="0"/>
          <w:spacing w:val="13"/>
          <w:sz w:val="50"/>
          <w:szCs w:val="50"/>
          <w:highlight w:val="none"/>
          <w:lang w:val="en-US" w:eastAsia="zh-CN"/>
        </w:rPr>
        <w:t xml:space="preserve"> </w:t>
      </w:r>
      <w:r>
        <w:rPr>
          <w:rFonts w:ascii="黑体" w:hAnsi="黑体" w:eastAsia="黑体" w:cs="黑体"/>
          <w:b w:val="0"/>
          <w:bCs w:val="0"/>
          <w:spacing w:val="13"/>
          <w:sz w:val="50"/>
          <w:szCs w:val="50"/>
          <w:highlight w:val="none"/>
        </w:rPr>
        <w:t xml:space="preserve"> </w:t>
      </w:r>
      <w:r>
        <w:rPr>
          <w:rFonts w:hint="eastAsia" w:ascii="黑体" w:hAnsi="黑体" w:eastAsia="黑体" w:cs="黑体"/>
          <w:b w:val="0"/>
          <w:bCs w:val="0"/>
          <w:spacing w:val="-26"/>
          <w:sz w:val="50"/>
          <w:szCs w:val="50"/>
          <w:highlight w:val="none"/>
          <w:lang w:val="en-US" w:eastAsia="zh-CN"/>
        </w:rPr>
        <w:t>省</w:t>
      </w:r>
      <w:r>
        <w:rPr>
          <w:rFonts w:ascii="黑体" w:hAnsi="黑体" w:eastAsia="黑体" w:cs="黑体"/>
          <w:b w:val="0"/>
          <w:bCs w:val="0"/>
          <w:spacing w:val="14"/>
          <w:sz w:val="50"/>
          <w:szCs w:val="50"/>
          <w:highlight w:val="none"/>
        </w:rPr>
        <w:t xml:space="preserve">  </w:t>
      </w:r>
      <w:r>
        <w:rPr>
          <w:rFonts w:hint="eastAsia" w:ascii="黑体" w:hAnsi="黑体" w:eastAsia="黑体" w:cs="黑体"/>
          <w:b w:val="0"/>
          <w:bCs w:val="0"/>
          <w:spacing w:val="14"/>
          <w:sz w:val="50"/>
          <w:szCs w:val="50"/>
          <w:highlight w:val="none"/>
          <w:lang w:val="en-US" w:eastAsia="zh-CN"/>
        </w:rPr>
        <w:t xml:space="preserve"> </w:t>
      </w:r>
      <w:r>
        <w:rPr>
          <w:rFonts w:ascii="黑体" w:hAnsi="黑体" w:eastAsia="黑体" w:cs="黑体"/>
          <w:b w:val="0"/>
          <w:bCs w:val="0"/>
          <w:spacing w:val="14"/>
          <w:sz w:val="50"/>
          <w:szCs w:val="50"/>
          <w:highlight w:val="none"/>
        </w:rPr>
        <w:t xml:space="preserve"> </w:t>
      </w:r>
      <w:r>
        <w:rPr>
          <w:rFonts w:ascii="黑体" w:hAnsi="黑体" w:eastAsia="黑体" w:cs="黑体"/>
          <w:b w:val="0"/>
          <w:bCs w:val="0"/>
          <w:spacing w:val="-26"/>
          <w:sz w:val="50"/>
          <w:szCs w:val="50"/>
          <w:highlight w:val="none"/>
        </w:rPr>
        <w:t>地</w:t>
      </w:r>
      <w:r>
        <w:rPr>
          <w:rFonts w:ascii="黑体" w:hAnsi="黑体" w:eastAsia="黑体" w:cs="黑体"/>
          <w:b w:val="0"/>
          <w:bCs w:val="0"/>
          <w:spacing w:val="13"/>
          <w:sz w:val="50"/>
          <w:szCs w:val="50"/>
          <w:highlight w:val="none"/>
        </w:rPr>
        <w:t xml:space="preserve">  </w:t>
      </w:r>
      <w:r>
        <w:rPr>
          <w:rFonts w:hint="eastAsia" w:ascii="黑体" w:hAnsi="黑体" w:eastAsia="黑体" w:cs="黑体"/>
          <w:b w:val="0"/>
          <w:bCs w:val="0"/>
          <w:spacing w:val="13"/>
          <w:sz w:val="50"/>
          <w:szCs w:val="50"/>
          <w:highlight w:val="none"/>
          <w:lang w:val="en-US" w:eastAsia="zh-CN"/>
        </w:rPr>
        <w:t xml:space="preserve"> </w:t>
      </w:r>
      <w:r>
        <w:rPr>
          <w:rFonts w:ascii="黑体" w:hAnsi="黑体" w:eastAsia="黑体" w:cs="黑体"/>
          <w:b w:val="0"/>
          <w:bCs w:val="0"/>
          <w:spacing w:val="13"/>
          <w:sz w:val="50"/>
          <w:szCs w:val="50"/>
          <w:highlight w:val="none"/>
        </w:rPr>
        <w:t xml:space="preserve"> </w:t>
      </w:r>
      <w:r>
        <w:rPr>
          <w:rFonts w:ascii="黑体" w:hAnsi="黑体" w:eastAsia="黑体" w:cs="黑体"/>
          <w:b w:val="0"/>
          <w:bCs w:val="0"/>
          <w:spacing w:val="-26"/>
          <w:sz w:val="50"/>
          <w:szCs w:val="50"/>
          <w:highlight w:val="none"/>
        </w:rPr>
        <w:t>方</w:t>
      </w:r>
      <w:r>
        <w:rPr>
          <w:rFonts w:ascii="黑体" w:hAnsi="黑体" w:eastAsia="黑体" w:cs="黑体"/>
          <w:b w:val="0"/>
          <w:bCs w:val="0"/>
          <w:spacing w:val="12"/>
          <w:sz w:val="50"/>
          <w:szCs w:val="50"/>
          <w:highlight w:val="none"/>
        </w:rPr>
        <w:t xml:space="preserve">  </w:t>
      </w:r>
      <w:r>
        <w:rPr>
          <w:rFonts w:hint="eastAsia" w:ascii="黑体" w:hAnsi="黑体" w:eastAsia="黑体" w:cs="黑体"/>
          <w:b w:val="0"/>
          <w:bCs w:val="0"/>
          <w:spacing w:val="12"/>
          <w:sz w:val="50"/>
          <w:szCs w:val="50"/>
          <w:highlight w:val="none"/>
          <w:lang w:val="en-US" w:eastAsia="zh-CN"/>
        </w:rPr>
        <w:t xml:space="preserve"> </w:t>
      </w:r>
      <w:r>
        <w:rPr>
          <w:rFonts w:ascii="黑体" w:hAnsi="黑体" w:eastAsia="黑体" w:cs="黑体"/>
          <w:b w:val="0"/>
          <w:bCs w:val="0"/>
          <w:spacing w:val="12"/>
          <w:sz w:val="50"/>
          <w:szCs w:val="50"/>
          <w:highlight w:val="none"/>
        </w:rPr>
        <w:t xml:space="preserve"> </w:t>
      </w:r>
      <w:r>
        <w:rPr>
          <w:rFonts w:ascii="黑体" w:hAnsi="黑体" w:eastAsia="黑体" w:cs="黑体"/>
          <w:b w:val="0"/>
          <w:bCs w:val="0"/>
          <w:spacing w:val="-26"/>
          <w:sz w:val="50"/>
          <w:szCs w:val="50"/>
          <w:highlight w:val="none"/>
        </w:rPr>
        <w:t>标</w:t>
      </w:r>
      <w:r>
        <w:rPr>
          <w:rFonts w:ascii="黑体" w:hAnsi="黑体" w:eastAsia="黑体" w:cs="黑体"/>
          <w:b w:val="0"/>
          <w:bCs w:val="0"/>
          <w:spacing w:val="10"/>
          <w:sz w:val="50"/>
          <w:szCs w:val="50"/>
          <w:highlight w:val="none"/>
        </w:rPr>
        <w:t xml:space="preserve">   </w:t>
      </w:r>
      <w:r>
        <w:rPr>
          <w:rFonts w:ascii="黑体" w:hAnsi="黑体" w:eastAsia="黑体" w:cs="黑体"/>
          <w:b w:val="0"/>
          <w:bCs w:val="0"/>
          <w:spacing w:val="-26"/>
          <w:sz w:val="50"/>
          <w:szCs w:val="50"/>
          <w:highlight w:val="none"/>
        </w:rPr>
        <w:t>准</w:t>
      </w:r>
    </w:p>
    <w:p w14:paraId="27B600B1">
      <w:pPr>
        <w:keepNext w:val="0"/>
        <w:keepLines w:val="0"/>
        <w:pageBreakBefore w:val="0"/>
        <w:kinsoku w:val="0"/>
        <w:wordWrap/>
        <w:overflowPunct/>
        <w:topLinePunct w:val="0"/>
        <w:autoSpaceDE w:val="0"/>
        <w:autoSpaceDN w:val="0"/>
        <w:bidi w:val="0"/>
        <w:adjustRightInd w:val="0"/>
        <w:snapToGrid w:val="0"/>
        <w:spacing w:line="392" w:lineRule="auto"/>
        <w:textAlignment w:val="baseline"/>
        <w:rPr>
          <w:rFonts w:hint="eastAsia" w:ascii="Times New Roman" w:hAnsi="Times New Roman" w:eastAsia="宋体" w:cs="Times New Roman"/>
          <w:b w:val="0"/>
          <w:bCs w:val="0"/>
          <w:color w:val="FF0000"/>
          <w:spacing w:val="-1"/>
          <w:sz w:val="26"/>
          <w:szCs w:val="26"/>
          <w:highlight w:val="yellow"/>
          <w:lang w:eastAsia="zh-CN"/>
        </w:rPr>
      </w:pPr>
    </w:p>
    <w:p w14:paraId="446964B4">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b w:val="0"/>
          <w:bCs w:val="0"/>
        </w:rPr>
      </w:pPr>
      <w:r>
        <w:rPr>
          <w:b w:val="0"/>
          <w:bCs w:val="0"/>
        </w:rPr>
        <mc:AlternateContent>
          <mc:Choice Requires="wps">
            <w:drawing>
              <wp:anchor distT="0" distB="0" distL="114300" distR="114300" simplePos="0" relativeHeight="251662336" behindDoc="0" locked="0" layoutInCell="1" allowOverlap="1">
                <wp:simplePos x="0" y="0"/>
                <wp:positionH relativeFrom="column">
                  <wp:posOffset>3175</wp:posOffset>
                </wp:positionH>
                <wp:positionV relativeFrom="paragraph">
                  <wp:posOffset>147955</wp:posOffset>
                </wp:positionV>
                <wp:extent cx="6120130" cy="635"/>
                <wp:effectExtent l="0" t="0" r="0" b="0"/>
                <wp:wrapNone/>
                <wp:docPr id="8" name="直接连接符 8"/>
                <wp:cNvGraphicFramePr/>
                <a:graphic xmlns:a="http://schemas.openxmlformats.org/drawingml/2006/main">
                  <a:graphicData uri="http://schemas.microsoft.com/office/word/2010/wordprocessingShape">
                    <wps:wsp>
                      <wps:cNvCnPr/>
                      <wps:spPr>
                        <a:xfrm>
                          <a:off x="0" y="0"/>
                          <a:ext cx="6120130" cy="635"/>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25pt;margin-top:11.65pt;height:0.05pt;width:481.9pt;z-index:251662336;mso-width-relative:page;mso-height-relative:page;" filled="f" stroked="t" coordsize="21600,21600" o:gfxdata="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h/fsnWAAAABgEAAA8AAAAAAAAAAQAgAAAAIgAAAGRycy9kb3ducmV2LnhtbFBLAQIU&#10;ABQAAAAIAIdO4kAv1PNo9QEAAOcDAAAOAAAAAAAAAAEAIAAAACUBAABkcnMvZTJvRG9jLnhtbFBL&#10;BQYAAAAABgAGAFkBAACMBQAAAAA=&#10;">
                <v:fill on="f" focussize="0,0"/>
                <v:stroke weight="1.25pt" color="#000000" joinstyle="round"/>
                <v:imagedata o:title=""/>
                <o:lock v:ext="edit" aspectratio="f"/>
              </v:line>
            </w:pict>
          </mc:Fallback>
        </mc:AlternateContent>
      </w:r>
    </w:p>
    <w:p w14:paraId="3FC4D903">
      <w:pPr>
        <w:keepNext w:val="0"/>
        <w:keepLines w:val="0"/>
        <w:pageBreakBefore w:val="0"/>
        <w:kinsoku w:val="0"/>
        <w:wordWrap/>
        <w:overflowPunct/>
        <w:topLinePunct w:val="0"/>
        <w:autoSpaceDE w:val="0"/>
        <w:autoSpaceDN w:val="0"/>
        <w:bidi w:val="0"/>
        <w:adjustRightInd w:val="0"/>
        <w:snapToGrid w:val="0"/>
        <w:spacing w:before="240" w:line="221" w:lineRule="auto"/>
        <w:ind w:left="7"/>
        <w:textAlignment w:val="baseline"/>
        <w:rPr>
          <w:rFonts w:ascii="黑体" w:hAnsi="黑体" w:eastAsia="黑体" w:cs="黑体"/>
          <w:b w:val="0"/>
          <w:bCs w:val="0"/>
          <w:spacing w:val="-26"/>
          <w:sz w:val="50"/>
          <w:szCs w:val="50"/>
          <w:highlight w:val="none"/>
        </w:rPr>
      </w:pPr>
    </w:p>
    <w:p w14:paraId="63729682">
      <w:pPr>
        <w:keepNext w:val="0"/>
        <w:keepLines w:val="0"/>
        <w:pageBreakBefore w:val="0"/>
        <w:kinsoku w:val="0"/>
        <w:wordWrap/>
        <w:overflowPunct/>
        <w:topLinePunct w:val="0"/>
        <w:autoSpaceDE w:val="0"/>
        <w:autoSpaceDN w:val="0"/>
        <w:bidi w:val="0"/>
        <w:adjustRightInd w:val="0"/>
        <w:snapToGrid w:val="0"/>
        <w:spacing w:line="392" w:lineRule="auto"/>
        <w:ind w:firstLine="5408" w:firstLineChars="2600"/>
        <w:textAlignment w:val="baseline"/>
        <w:rPr>
          <w:rFonts w:hint="eastAsia" w:ascii="黑体" w:hAnsi="黑体" w:eastAsia="黑体" w:cs="黑体"/>
          <w:b w:val="0"/>
          <w:bCs w:val="0"/>
          <w:spacing w:val="-1"/>
          <w:sz w:val="21"/>
          <w:szCs w:val="21"/>
          <w:highlight w:val="yellow"/>
          <w:lang w:val="en-US" w:eastAsia="zh-CN"/>
        </w:rPr>
      </w:pPr>
    </w:p>
    <w:p w14:paraId="30E9F10A">
      <w:pPr>
        <w:keepNext w:val="0"/>
        <w:keepLines w:val="0"/>
        <w:pageBreakBefore w:val="0"/>
        <w:kinsoku w:val="0"/>
        <w:wordWrap/>
        <w:overflowPunct/>
        <w:topLinePunct w:val="0"/>
        <w:autoSpaceDE w:val="0"/>
        <w:autoSpaceDN w:val="0"/>
        <w:bidi w:val="0"/>
        <w:adjustRightInd w:val="0"/>
        <w:snapToGrid w:val="0"/>
        <w:spacing w:before="163" w:line="222" w:lineRule="auto"/>
        <w:ind w:left="1477"/>
        <w:textAlignment w:val="baseline"/>
        <w:rPr>
          <w:rFonts w:hint="default" w:ascii="黑体" w:hAnsi="黑体" w:eastAsia="黑体" w:cs="黑体"/>
          <w:b w:val="0"/>
          <w:bCs w:val="0"/>
          <w:sz w:val="50"/>
          <w:szCs w:val="50"/>
          <w:highlight w:val="yellow"/>
          <w:lang w:val="en-US" w:eastAsia="zh-CN"/>
        </w:rPr>
      </w:pPr>
      <w:r>
        <w:rPr>
          <w:rFonts w:hint="eastAsia" w:ascii="黑体" w:hAnsi="黑体" w:eastAsia="黑体" w:cs="黑体"/>
          <w:b w:val="0"/>
          <w:bCs w:val="0"/>
          <w:spacing w:val="9"/>
          <w:sz w:val="50"/>
          <w:szCs w:val="50"/>
          <w:lang w:val="en-US" w:eastAsia="zh-CN"/>
        </w:rPr>
        <w:t>油品运输大气污染物排放标准</w:t>
      </w:r>
    </w:p>
    <w:p w14:paraId="1A7946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ind w:left="0" w:right="0" w:firstLine="0"/>
        <w:jc w:val="center"/>
        <w:textAlignment w:val="baseline"/>
        <w:rPr>
          <w:rFonts w:ascii="微软雅黑" w:hAnsi="微软雅黑" w:eastAsia="微软雅黑" w:cs="微软雅黑"/>
          <w:b w:val="0"/>
          <w:bCs w:val="0"/>
          <w:i w:val="0"/>
          <w:iCs w:val="0"/>
          <w:caps w:val="0"/>
          <w:color w:val="000000"/>
          <w:spacing w:val="0"/>
          <w:sz w:val="24"/>
          <w:szCs w:val="24"/>
        </w:rPr>
      </w:pPr>
      <w:r>
        <w:rPr>
          <w:rFonts w:hint="eastAsia" w:ascii="微软雅黑" w:hAnsi="微软雅黑" w:eastAsia="微软雅黑" w:cs="微软雅黑"/>
          <w:b w:val="0"/>
          <w:bCs w:val="0"/>
          <w:i w:val="0"/>
          <w:iCs w:val="0"/>
          <w:caps w:val="0"/>
          <w:color w:val="000000"/>
          <w:spacing w:val="0"/>
          <w:sz w:val="24"/>
          <w:szCs w:val="24"/>
          <w:shd w:val="clear" w:fill="FFFFFF"/>
        </w:rPr>
        <w:t>Emission standard of air pollutant for petroleum transport</w:t>
      </w:r>
    </w:p>
    <w:p w14:paraId="7420C3F0">
      <w:pPr>
        <w:keepNext w:val="0"/>
        <w:keepLines w:val="0"/>
        <w:pageBreakBefore w:val="0"/>
        <w:kinsoku w:val="0"/>
        <w:wordWrap/>
        <w:overflowPunct/>
        <w:topLinePunct w:val="0"/>
        <w:autoSpaceDE w:val="0"/>
        <w:autoSpaceDN w:val="0"/>
        <w:bidi w:val="0"/>
        <w:adjustRightInd w:val="0"/>
        <w:snapToGrid w:val="0"/>
        <w:spacing w:before="61" w:line="198" w:lineRule="auto"/>
        <w:textAlignment w:val="baseline"/>
        <w:rPr>
          <w:rFonts w:ascii="Arial" w:hAnsi="Arial" w:eastAsia="Arial" w:cs="Arial"/>
          <w:b w:val="0"/>
          <w:bCs w:val="0"/>
          <w:sz w:val="21"/>
          <w:szCs w:val="21"/>
        </w:rPr>
      </w:pPr>
    </w:p>
    <w:p w14:paraId="6F07DFE5">
      <w:pPr>
        <w:keepNext w:val="0"/>
        <w:keepLines w:val="0"/>
        <w:pageBreakBefore w:val="0"/>
        <w:kinsoku w:val="0"/>
        <w:wordWrap/>
        <w:overflowPunct/>
        <w:topLinePunct w:val="0"/>
        <w:autoSpaceDE w:val="0"/>
        <w:autoSpaceDN w:val="0"/>
        <w:bidi w:val="0"/>
        <w:adjustRightInd w:val="0"/>
        <w:snapToGrid w:val="0"/>
        <w:spacing w:before="61" w:line="198" w:lineRule="auto"/>
        <w:ind w:left="129"/>
        <w:textAlignment w:val="baseline"/>
        <w:rPr>
          <w:rFonts w:ascii="Arial" w:hAnsi="Arial" w:eastAsia="Arial" w:cs="Arial"/>
          <w:b w:val="0"/>
          <w:bCs w:val="0"/>
          <w:sz w:val="21"/>
          <w:szCs w:val="21"/>
        </w:rPr>
      </w:pPr>
    </w:p>
    <w:p w14:paraId="75C26EE4">
      <w:pPr>
        <w:keepNext w:val="0"/>
        <w:keepLines w:val="0"/>
        <w:pageBreakBefore w:val="0"/>
        <w:kinsoku w:val="0"/>
        <w:wordWrap/>
        <w:overflowPunct/>
        <w:topLinePunct w:val="0"/>
        <w:autoSpaceDE w:val="0"/>
        <w:autoSpaceDN w:val="0"/>
        <w:bidi w:val="0"/>
        <w:adjustRightInd w:val="0"/>
        <w:snapToGrid w:val="0"/>
        <w:spacing w:line="302" w:lineRule="auto"/>
        <w:textAlignment w:val="baseline"/>
        <w:rPr>
          <w:rFonts w:ascii="Arial"/>
          <w:b w:val="0"/>
          <w:bCs w:val="0"/>
          <w:sz w:val="21"/>
        </w:rPr>
      </w:pPr>
    </w:p>
    <w:p w14:paraId="11A3F575">
      <w:pPr>
        <w:keepNext w:val="0"/>
        <w:keepLines w:val="0"/>
        <w:pageBreakBefore w:val="0"/>
        <w:kinsoku w:val="0"/>
        <w:wordWrap/>
        <w:overflowPunct/>
        <w:topLinePunct w:val="0"/>
        <w:autoSpaceDE w:val="0"/>
        <w:autoSpaceDN w:val="0"/>
        <w:bidi w:val="0"/>
        <w:adjustRightInd w:val="0"/>
        <w:snapToGrid w:val="0"/>
        <w:spacing w:line="302" w:lineRule="auto"/>
        <w:textAlignment w:val="baseline"/>
        <w:rPr>
          <w:rFonts w:ascii="Arial"/>
          <w:b w:val="0"/>
          <w:bCs w:val="0"/>
          <w:sz w:val="21"/>
        </w:rPr>
      </w:pPr>
    </w:p>
    <w:p w14:paraId="3CF73760">
      <w:pPr>
        <w:keepNext w:val="0"/>
        <w:keepLines w:val="0"/>
        <w:pageBreakBefore w:val="0"/>
        <w:kinsoku w:val="0"/>
        <w:wordWrap/>
        <w:overflowPunct/>
        <w:topLinePunct w:val="0"/>
        <w:autoSpaceDE w:val="0"/>
        <w:autoSpaceDN w:val="0"/>
        <w:bidi w:val="0"/>
        <w:adjustRightInd w:val="0"/>
        <w:snapToGrid w:val="0"/>
        <w:spacing w:line="404" w:lineRule="auto"/>
        <w:textAlignment w:val="baseline"/>
        <w:rPr>
          <w:rFonts w:ascii="Arial"/>
          <w:b w:val="0"/>
          <w:bCs w:val="0"/>
          <w:sz w:val="21"/>
        </w:rPr>
      </w:pPr>
    </w:p>
    <w:p w14:paraId="45999C2F">
      <w:pPr>
        <w:keepNext w:val="0"/>
        <w:keepLines w:val="0"/>
        <w:pageBreakBefore w:val="0"/>
        <w:kinsoku w:val="0"/>
        <w:wordWrap/>
        <w:overflowPunct/>
        <w:topLinePunct w:val="0"/>
        <w:autoSpaceDE w:val="0"/>
        <w:autoSpaceDN w:val="0"/>
        <w:bidi w:val="0"/>
        <w:adjustRightInd w:val="0"/>
        <w:snapToGrid w:val="0"/>
        <w:spacing w:line="404" w:lineRule="auto"/>
        <w:textAlignment w:val="baseline"/>
        <w:rPr>
          <w:rFonts w:ascii="Arial"/>
          <w:b w:val="0"/>
          <w:bCs w:val="0"/>
          <w:sz w:val="21"/>
        </w:rPr>
      </w:pPr>
    </w:p>
    <w:p w14:paraId="33C36F00">
      <w:pPr>
        <w:keepNext w:val="0"/>
        <w:keepLines w:val="0"/>
        <w:pageBreakBefore w:val="0"/>
        <w:kinsoku w:val="0"/>
        <w:wordWrap/>
        <w:overflowPunct/>
        <w:topLinePunct w:val="0"/>
        <w:autoSpaceDE w:val="0"/>
        <w:autoSpaceDN w:val="0"/>
        <w:bidi w:val="0"/>
        <w:adjustRightInd w:val="0"/>
        <w:snapToGrid w:val="0"/>
        <w:spacing w:line="404" w:lineRule="auto"/>
        <w:textAlignment w:val="baseline"/>
        <w:rPr>
          <w:rFonts w:ascii="Arial"/>
          <w:b w:val="0"/>
          <w:bCs w:val="0"/>
          <w:sz w:val="21"/>
        </w:rPr>
      </w:pPr>
    </w:p>
    <w:p w14:paraId="4FB85309">
      <w:pPr>
        <w:keepNext w:val="0"/>
        <w:keepLines w:val="0"/>
        <w:pageBreakBefore w:val="0"/>
        <w:kinsoku w:val="0"/>
        <w:wordWrap/>
        <w:overflowPunct/>
        <w:topLinePunct w:val="0"/>
        <w:autoSpaceDE w:val="0"/>
        <w:autoSpaceDN w:val="0"/>
        <w:bidi w:val="0"/>
        <w:adjustRightInd w:val="0"/>
        <w:snapToGrid w:val="0"/>
        <w:spacing w:before="85" w:line="219" w:lineRule="auto"/>
        <w:ind w:left="3860"/>
        <w:textAlignment w:val="baseline"/>
        <w:rPr>
          <w:rFonts w:ascii="宋体" w:hAnsi="宋体" w:eastAsia="宋体" w:cs="宋体"/>
          <w:b w:val="0"/>
          <w:bCs w:val="0"/>
          <w:spacing w:val="-13"/>
          <w:sz w:val="26"/>
          <w:szCs w:val="26"/>
        </w:rPr>
      </w:pPr>
      <w:r>
        <w:rPr>
          <w:rFonts w:ascii="宋体" w:hAnsi="宋体" w:eastAsia="宋体" w:cs="宋体"/>
          <w:b w:val="0"/>
          <w:bCs w:val="0"/>
          <w:spacing w:val="-13"/>
          <w:sz w:val="26"/>
          <w:szCs w:val="26"/>
        </w:rPr>
        <w:t>(</w:t>
      </w:r>
      <w:r>
        <w:rPr>
          <w:rFonts w:hint="eastAsia" w:ascii="宋体" w:hAnsi="宋体" w:eastAsia="宋体" w:cs="宋体"/>
          <w:b w:val="0"/>
          <w:bCs w:val="0"/>
          <w:spacing w:val="-13"/>
          <w:sz w:val="26"/>
          <w:szCs w:val="26"/>
          <w:lang w:val="en-US" w:eastAsia="zh-CN"/>
        </w:rPr>
        <w:t>征求意见稿</w:t>
      </w:r>
      <w:r>
        <w:rPr>
          <w:rFonts w:ascii="宋体" w:hAnsi="宋体" w:eastAsia="宋体" w:cs="宋体"/>
          <w:b w:val="0"/>
          <w:bCs w:val="0"/>
          <w:spacing w:val="-13"/>
          <w:sz w:val="26"/>
          <w:szCs w:val="26"/>
        </w:rPr>
        <w:t>)</w:t>
      </w:r>
    </w:p>
    <w:p w14:paraId="463B419C">
      <w:pPr>
        <w:keepNext w:val="0"/>
        <w:keepLines w:val="0"/>
        <w:pageBreakBefore w:val="0"/>
        <w:kinsoku w:val="0"/>
        <w:wordWrap/>
        <w:overflowPunct/>
        <w:topLinePunct w:val="0"/>
        <w:autoSpaceDE w:val="0"/>
        <w:autoSpaceDN w:val="0"/>
        <w:bidi w:val="0"/>
        <w:adjustRightInd w:val="0"/>
        <w:snapToGrid w:val="0"/>
        <w:spacing w:before="85" w:line="219" w:lineRule="auto"/>
        <w:ind w:left="3860"/>
        <w:textAlignment w:val="baseline"/>
        <w:rPr>
          <w:rFonts w:ascii="宋体" w:hAnsi="宋体" w:eastAsia="宋体" w:cs="宋体"/>
          <w:b w:val="0"/>
          <w:bCs w:val="0"/>
          <w:spacing w:val="-13"/>
          <w:sz w:val="26"/>
          <w:szCs w:val="26"/>
        </w:rPr>
      </w:pPr>
    </w:p>
    <w:p w14:paraId="2F3AD1AD">
      <w:pPr>
        <w:keepNext w:val="0"/>
        <w:keepLines w:val="0"/>
        <w:pageBreakBefore w:val="0"/>
        <w:kinsoku w:val="0"/>
        <w:wordWrap/>
        <w:overflowPunct/>
        <w:topLinePunct w:val="0"/>
        <w:autoSpaceDE w:val="0"/>
        <w:autoSpaceDN w:val="0"/>
        <w:bidi w:val="0"/>
        <w:adjustRightInd w:val="0"/>
        <w:snapToGrid w:val="0"/>
        <w:spacing w:before="85" w:line="219" w:lineRule="auto"/>
        <w:textAlignment w:val="baseline"/>
        <w:rPr>
          <w:rFonts w:ascii="宋体" w:hAnsi="宋体" w:eastAsia="宋体" w:cs="宋体"/>
          <w:b w:val="0"/>
          <w:bCs w:val="0"/>
          <w:spacing w:val="-13"/>
          <w:sz w:val="26"/>
          <w:szCs w:val="26"/>
        </w:rPr>
      </w:pPr>
    </w:p>
    <w:p w14:paraId="350E98DB">
      <w:pPr>
        <w:keepNext w:val="0"/>
        <w:keepLines w:val="0"/>
        <w:pageBreakBefore w:val="0"/>
        <w:kinsoku w:val="0"/>
        <w:wordWrap/>
        <w:overflowPunct/>
        <w:topLinePunct w:val="0"/>
        <w:autoSpaceDE w:val="0"/>
        <w:autoSpaceDN w:val="0"/>
        <w:bidi w:val="0"/>
        <w:adjustRightInd w:val="0"/>
        <w:snapToGrid w:val="0"/>
        <w:spacing w:before="85" w:line="219" w:lineRule="auto"/>
        <w:textAlignment w:val="baseline"/>
        <w:rPr>
          <w:rFonts w:ascii="宋体" w:hAnsi="宋体" w:eastAsia="宋体" w:cs="宋体"/>
          <w:b w:val="0"/>
          <w:bCs w:val="0"/>
          <w:spacing w:val="-13"/>
          <w:sz w:val="26"/>
          <w:szCs w:val="26"/>
        </w:rPr>
      </w:pPr>
    </w:p>
    <w:p w14:paraId="0B99D9A3">
      <w:pPr>
        <w:keepNext w:val="0"/>
        <w:keepLines w:val="0"/>
        <w:pageBreakBefore w:val="0"/>
        <w:kinsoku w:val="0"/>
        <w:wordWrap/>
        <w:overflowPunct/>
        <w:topLinePunct w:val="0"/>
        <w:autoSpaceDE w:val="0"/>
        <w:autoSpaceDN w:val="0"/>
        <w:bidi w:val="0"/>
        <w:adjustRightInd w:val="0"/>
        <w:snapToGrid w:val="0"/>
        <w:spacing w:before="85" w:line="219" w:lineRule="auto"/>
        <w:textAlignment w:val="baseline"/>
        <w:rPr>
          <w:rFonts w:ascii="宋体" w:hAnsi="宋体" w:eastAsia="宋体" w:cs="宋体"/>
          <w:b w:val="0"/>
          <w:bCs w:val="0"/>
          <w:spacing w:val="-13"/>
          <w:sz w:val="26"/>
          <w:szCs w:val="26"/>
        </w:rPr>
      </w:pPr>
    </w:p>
    <w:p w14:paraId="3984FDEF">
      <w:pPr>
        <w:keepNext w:val="0"/>
        <w:keepLines w:val="0"/>
        <w:pageBreakBefore w:val="0"/>
        <w:kinsoku w:val="0"/>
        <w:wordWrap/>
        <w:overflowPunct/>
        <w:topLinePunct w:val="0"/>
        <w:autoSpaceDE w:val="0"/>
        <w:autoSpaceDN w:val="0"/>
        <w:bidi w:val="0"/>
        <w:adjustRightInd w:val="0"/>
        <w:snapToGrid w:val="0"/>
        <w:spacing w:before="85" w:line="219" w:lineRule="auto"/>
        <w:textAlignment w:val="baseline"/>
        <w:rPr>
          <w:rFonts w:ascii="宋体" w:hAnsi="宋体" w:eastAsia="宋体" w:cs="宋体"/>
          <w:b w:val="0"/>
          <w:bCs w:val="0"/>
          <w:spacing w:val="-13"/>
          <w:sz w:val="26"/>
          <w:szCs w:val="26"/>
        </w:rPr>
      </w:pPr>
    </w:p>
    <w:p w14:paraId="00D214DA">
      <w:pPr>
        <w:keepNext w:val="0"/>
        <w:keepLines w:val="0"/>
        <w:pageBreakBefore w:val="0"/>
        <w:kinsoku w:val="0"/>
        <w:wordWrap/>
        <w:overflowPunct/>
        <w:topLinePunct w:val="0"/>
        <w:autoSpaceDE w:val="0"/>
        <w:autoSpaceDN w:val="0"/>
        <w:bidi w:val="0"/>
        <w:adjustRightInd w:val="0"/>
        <w:snapToGrid w:val="0"/>
        <w:spacing w:before="85" w:line="219" w:lineRule="auto"/>
        <w:ind w:left="3860"/>
        <w:textAlignment w:val="baseline"/>
        <w:rPr>
          <w:rFonts w:ascii="宋体" w:hAnsi="宋体" w:eastAsia="宋体" w:cs="宋体"/>
          <w:b w:val="0"/>
          <w:bCs w:val="0"/>
          <w:spacing w:val="-13"/>
          <w:sz w:val="26"/>
          <w:szCs w:val="26"/>
        </w:rPr>
      </w:pPr>
    </w:p>
    <w:p w14:paraId="33E031C3">
      <w:pPr>
        <w:keepNext w:val="0"/>
        <w:keepLines w:val="0"/>
        <w:pageBreakBefore w:val="0"/>
        <w:kinsoku w:val="0"/>
        <w:wordWrap/>
        <w:overflowPunct/>
        <w:topLinePunct w:val="0"/>
        <w:autoSpaceDE w:val="0"/>
        <w:autoSpaceDN w:val="0"/>
        <w:bidi w:val="0"/>
        <w:adjustRightInd w:val="0"/>
        <w:snapToGrid w:val="0"/>
        <w:spacing w:before="85" w:line="219" w:lineRule="auto"/>
        <w:textAlignment w:val="baseline"/>
        <w:rPr>
          <w:rFonts w:ascii="宋体" w:hAnsi="宋体" w:eastAsia="宋体" w:cs="宋体"/>
          <w:b w:val="0"/>
          <w:bCs w:val="0"/>
          <w:color w:val="000000" w:themeColor="text1"/>
          <w:spacing w:val="-13"/>
          <w:sz w:val="26"/>
          <w:szCs w:val="26"/>
          <w:highlight w:val="none"/>
          <w14:textFill>
            <w14:solidFill>
              <w14:schemeClr w14:val="tx1"/>
            </w14:solidFill>
          </w14:textFill>
        </w:rPr>
      </w:pPr>
      <w:r>
        <w:rPr>
          <w:rFonts w:ascii="黑体" w:hAnsi="黑体" w:eastAsia="黑体" w:cs="黑体"/>
          <w:b w:val="0"/>
          <w:bCs w:val="0"/>
          <w:color w:val="000000" w:themeColor="text1"/>
          <w:spacing w:val="17"/>
          <w:sz w:val="29"/>
          <w:szCs w:val="29"/>
          <w:highlight w:val="none"/>
          <w:u w:val="single" w:color="auto"/>
          <w14:textFill>
            <w14:solidFill>
              <w14:schemeClr w14:val="tx1"/>
            </w14:solidFill>
          </w14:textFill>
        </w:rPr>
        <w:t>202</w:t>
      </w:r>
      <w:r>
        <w:rPr>
          <w:rFonts w:hint="eastAsia" w:ascii="黑体" w:hAnsi="黑体" w:eastAsia="黑体" w:cs="黑体"/>
          <w:b w:val="0"/>
          <w:bCs w:val="0"/>
          <w:color w:val="000000" w:themeColor="text1"/>
          <w:spacing w:val="17"/>
          <w:sz w:val="29"/>
          <w:szCs w:val="29"/>
          <w:highlight w:val="none"/>
          <w:u w:val="single" w:color="auto"/>
          <w:lang w:val="en-US" w:eastAsia="zh-CN"/>
          <w14:textFill>
            <w14:solidFill>
              <w14:schemeClr w14:val="tx1"/>
            </w14:solidFill>
          </w14:textFill>
        </w:rPr>
        <w:t>4</w:t>
      </w:r>
      <w:r>
        <w:rPr>
          <w:rFonts w:ascii="黑体" w:hAnsi="黑体" w:eastAsia="黑体" w:cs="黑体"/>
          <w:b w:val="0"/>
          <w:bCs w:val="0"/>
          <w:color w:val="000000" w:themeColor="text1"/>
          <w:spacing w:val="17"/>
          <w:sz w:val="29"/>
          <w:szCs w:val="29"/>
          <w:highlight w:val="none"/>
          <w:u w:val="single" w:color="auto"/>
          <w14:textFill>
            <w14:solidFill>
              <w14:schemeClr w14:val="tx1"/>
            </w14:solidFill>
          </w14:textFill>
        </w:rPr>
        <w:t>-</w:t>
      </w:r>
      <w:r>
        <w:rPr>
          <w:rFonts w:ascii="黑体" w:hAnsi="黑体" w:eastAsia="黑体" w:cs="黑体"/>
          <w:b w:val="0"/>
          <w:bCs w:val="0"/>
          <w:color w:val="000000" w:themeColor="text1"/>
          <w:sz w:val="29"/>
          <w:szCs w:val="29"/>
          <w:highlight w:val="none"/>
          <w:u w:val="single" w:color="auto"/>
          <w14:textFill>
            <w14:solidFill>
              <w14:schemeClr w14:val="tx1"/>
            </w14:solidFill>
          </w14:textFill>
        </w:rPr>
        <w:t>XX</w:t>
      </w:r>
      <w:r>
        <w:rPr>
          <w:rFonts w:ascii="黑体" w:hAnsi="黑体" w:eastAsia="黑体" w:cs="黑体"/>
          <w:b w:val="0"/>
          <w:bCs w:val="0"/>
          <w:color w:val="000000" w:themeColor="text1"/>
          <w:spacing w:val="17"/>
          <w:sz w:val="29"/>
          <w:szCs w:val="29"/>
          <w:highlight w:val="none"/>
          <w:u w:val="single" w:color="auto"/>
          <w14:textFill>
            <w14:solidFill>
              <w14:schemeClr w14:val="tx1"/>
            </w14:solidFill>
          </w14:textFill>
        </w:rPr>
        <w:t>-</w:t>
      </w:r>
      <w:r>
        <w:rPr>
          <w:rFonts w:ascii="黑体" w:hAnsi="黑体" w:eastAsia="黑体" w:cs="黑体"/>
          <w:b w:val="0"/>
          <w:bCs w:val="0"/>
          <w:color w:val="000000" w:themeColor="text1"/>
          <w:sz w:val="29"/>
          <w:szCs w:val="29"/>
          <w:highlight w:val="none"/>
          <w:u w:val="single" w:color="auto"/>
          <w14:textFill>
            <w14:solidFill>
              <w14:schemeClr w14:val="tx1"/>
            </w14:solidFill>
          </w14:textFill>
        </w:rPr>
        <w:t>XX</w:t>
      </w:r>
      <w:r>
        <w:rPr>
          <w:rFonts w:ascii="黑体" w:hAnsi="黑体" w:eastAsia="黑体" w:cs="黑体"/>
          <w:b w:val="0"/>
          <w:bCs w:val="0"/>
          <w:color w:val="000000" w:themeColor="text1"/>
          <w:sz w:val="29"/>
          <w:szCs w:val="29"/>
          <w:highlight w:val="none"/>
          <w:u w:val="single" w:color="auto"/>
          <w14:textFill>
            <w14:solidFill>
              <w14:schemeClr w14:val="tx1"/>
            </w14:solidFill>
          </w14:textFill>
        </w:rPr>
        <w:tab/>
      </w:r>
      <w:r>
        <w:rPr>
          <w:rFonts w:ascii="黑体" w:hAnsi="黑体" w:eastAsia="黑体" w:cs="黑体"/>
          <w:b w:val="0"/>
          <w:bCs w:val="0"/>
          <w:color w:val="000000" w:themeColor="text1"/>
          <w:spacing w:val="17"/>
          <w:sz w:val="29"/>
          <w:szCs w:val="29"/>
          <w:highlight w:val="none"/>
          <w:u w:val="single" w:color="auto"/>
          <w14:textFill>
            <w14:solidFill>
              <w14:schemeClr w14:val="tx1"/>
            </w14:solidFill>
          </w14:textFill>
        </w:rPr>
        <w:t>发布</w:t>
      </w:r>
      <w:r>
        <w:rPr>
          <w:rFonts w:ascii="黑体" w:hAnsi="黑体" w:eastAsia="黑体" w:cs="黑体"/>
          <w:b w:val="0"/>
          <w:bCs w:val="0"/>
          <w:color w:val="000000" w:themeColor="text1"/>
          <w:spacing w:val="1"/>
          <w:sz w:val="29"/>
          <w:szCs w:val="29"/>
          <w:highlight w:val="none"/>
          <w:u w:val="single" w:color="auto"/>
          <w14:textFill>
            <w14:solidFill>
              <w14:schemeClr w14:val="tx1"/>
            </w14:solidFill>
          </w14:textFill>
        </w:rPr>
        <w:t xml:space="preserve">     </w:t>
      </w:r>
      <w:r>
        <w:rPr>
          <w:rFonts w:ascii="黑体" w:hAnsi="黑体" w:eastAsia="黑体" w:cs="黑体"/>
          <w:b w:val="0"/>
          <w:bCs w:val="0"/>
          <w:color w:val="000000" w:themeColor="text1"/>
          <w:sz w:val="29"/>
          <w:szCs w:val="29"/>
          <w:highlight w:val="none"/>
          <w14:textFill>
            <w14:solidFill>
              <w14:schemeClr w14:val="tx1"/>
            </w14:solidFill>
          </w14:textFill>
        </w:rPr>
        <w:t xml:space="preserve">                      </w:t>
      </w:r>
      <w:r>
        <w:rPr>
          <w:rFonts w:ascii="黑体" w:hAnsi="黑体" w:eastAsia="黑体" w:cs="黑体"/>
          <w:b w:val="0"/>
          <w:bCs w:val="0"/>
          <w:color w:val="000000" w:themeColor="text1"/>
          <w:spacing w:val="-122"/>
          <w:sz w:val="29"/>
          <w:szCs w:val="29"/>
          <w:highlight w:val="none"/>
          <w:u w:val="single" w:color="auto"/>
          <w14:textFill>
            <w14:solidFill>
              <w14:schemeClr w14:val="tx1"/>
            </w14:solidFill>
          </w14:textFill>
        </w:rPr>
        <w:t xml:space="preserve"> </w:t>
      </w:r>
      <w:r>
        <w:rPr>
          <w:rFonts w:ascii="黑体" w:hAnsi="黑体" w:eastAsia="黑体" w:cs="黑体"/>
          <w:b w:val="0"/>
          <w:bCs w:val="0"/>
          <w:color w:val="000000" w:themeColor="text1"/>
          <w:spacing w:val="17"/>
          <w:sz w:val="29"/>
          <w:szCs w:val="29"/>
          <w:highlight w:val="none"/>
          <w:u w:val="single" w:color="auto"/>
          <w14:textFill>
            <w14:solidFill>
              <w14:schemeClr w14:val="tx1"/>
            </w14:solidFill>
          </w14:textFill>
        </w:rPr>
        <w:t>2024-</w:t>
      </w:r>
      <w:r>
        <w:rPr>
          <w:rFonts w:ascii="黑体" w:hAnsi="黑体" w:eastAsia="黑体" w:cs="黑体"/>
          <w:b w:val="0"/>
          <w:bCs w:val="0"/>
          <w:color w:val="000000" w:themeColor="text1"/>
          <w:sz w:val="29"/>
          <w:szCs w:val="29"/>
          <w:highlight w:val="none"/>
          <w:u w:val="single" w:color="auto"/>
          <w14:textFill>
            <w14:solidFill>
              <w14:schemeClr w14:val="tx1"/>
            </w14:solidFill>
          </w14:textFill>
        </w:rPr>
        <w:t>XX</w:t>
      </w:r>
      <w:r>
        <w:rPr>
          <w:rFonts w:ascii="黑体" w:hAnsi="黑体" w:eastAsia="黑体" w:cs="黑体"/>
          <w:b w:val="0"/>
          <w:bCs w:val="0"/>
          <w:color w:val="000000" w:themeColor="text1"/>
          <w:spacing w:val="17"/>
          <w:sz w:val="29"/>
          <w:szCs w:val="29"/>
          <w:highlight w:val="none"/>
          <w:u w:val="single" w:color="auto"/>
          <w14:textFill>
            <w14:solidFill>
              <w14:schemeClr w14:val="tx1"/>
            </w14:solidFill>
          </w14:textFill>
        </w:rPr>
        <w:t>-</w:t>
      </w:r>
      <w:r>
        <w:rPr>
          <w:rFonts w:ascii="黑体" w:hAnsi="黑体" w:eastAsia="黑体" w:cs="黑体"/>
          <w:b w:val="0"/>
          <w:bCs w:val="0"/>
          <w:color w:val="000000" w:themeColor="text1"/>
          <w:sz w:val="29"/>
          <w:szCs w:val="29"/>
          <w:highlight w:val="none"/>
          <w:u w:val="single" w:color="auto"/>
          <w14:textFill>
            <w14:solidFill>
              <w14:schemeClr w14:val="tx1"/>
            </w14:solidFill>
          </w14:textFill>
        </w:rPr>
        <w:t>XX</w:t>
      </w:r>
      <w:r>
        <w:rPr>
          <w:rFonts w:ascii="黑体" w:hAnsi="黑体" w:eastAsia="黑体" w:cs="黑体"/>
          <w:b w:val="0"/>
          <w:bCs w:val="0"/>
          <w:color w:val="000000" w:themeColor="text1"/>
          <w:spacing w:val="17"/>
          <w:sz w:val="29"/>
          <w:szCs w:val="29"/>
          <w:highlight w:val="none"/>
          <w:u w:val="single" w:color="auto"/>
          <w14:textFill>
            <w14:solidFill>
              <w14:schemeClr w14:val="tx1"/>
            </w14:solidFill>
          </w14:textFill>
        </w:rPr>
        <w:t>实施</w:t>
      </w:r>
    </w:p>
    <w:p w14:paraId="22877ADF">
      <w:pPr>
        <w:keepNext w:val="0"/>
        <w:keepLines w:val="0"/>
        <w:pageBreakBefore w:val="0"/>
        <w:kinsoku w:val="0"/>
        <w:wordWrap/>
        <w:overflowPunct/>
        <w:topLinePunct w:val="0"/>
        <w:autoSpaceDE w:val="0"/>
        <w:autoSpaceDN w:val="0"/>
        <w:bidi w:val="0"/>
        <w:adjustRightInd w:val="0"/>
        <w:snapToGrid w:val="0"/>
        <w:spacing w:line="392" w:lineRule="auto"/>
        <w:ind w:firstLine="5460" w:firstLineChars="2600"/>
        <w:textAlignment w:val="baseline"/>
        <w:rPr>
          <w:rFonts w:hint="eastAsia" w:ascii="黑体" w:hAnsi="黑体" w:eastAsia="黑体" w:cs="黑体"/>
          <w:b w:val="0"/>
          <w:bCs w:val="0"/>
          <w:color w:val="000000" w:themeColor="text1"/>
          <w:spacing w:val="-1"/>
          <w:sz w:val="21"/>
          <w:szCs w:val="21"/>
          <w:highlight w:val="none"/>
          <w:lang w:val="en-US" w:eastAsia="zh-CN"/>
          <w14:textFill>
            <w14:solidFill>
              <w14:schemeClr w14:val="tx1"/>
            </w14:solidFill>
          </w14:textFill>
        </w:rPr>
      </w:pPr>
      <w:r>
        <w:rPr>
          <w:b w:val="0"/>
          <w:bCs w:val="0"/>
          <w:color w:val="000000" w:themeColor="text1"/>
          <w:sz w:val="2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3851275</wp:posOffset>
                </wp:positionH>
                <wp:positionV relativeFrom="paragraph">
                  <wp:posOffset>217805</wp:posOffset>
                </wp:positionV>
                <wp:extent cx="593090" cy="359410"/>
                <wp:effectExtent l="0" t="0" r="0" b="0"/>
                <wp:wrapNone/>
                <wp:docPr id="4" name="文本框 4"/>
                <wp:cNvGraphicFramePr/>
                <a:graphic xmlns:a="http://schemas.openxmlformats.org/drawingml/2006/main">
                  <a:graphicData uri="http://schemas.microsoft.com/office/word/2010/wordprocessingShape">
                    <wps:wsp>
                      <wps:cNvSpPr txBox="1"/>
                      <wps:spPr>
                        <a:xfrm>
                          <a:off x="0" y="0"/>
                          <a:ext cx="593090" cy="359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D7C49D">
                            <w:pPr>
                              <w:rPr>
                                <w:rFonts w:hint="default"/>
                                <w:highlight w:val="none"/>
                                <w:lang w:val="en-US"/>
                              </w:rPr>
                            </w:pPr>
                            <w:r>
                              <w:rPr>
                                <w:rFonts w:hint="eastAsia" w:ascii="黑体" w:hAnsi="黑体" w:eastAsia="黑体" w:cs="黑体"/>
                                <w:spacing w:val="-6"/>
                                <w:sz w:val="28"/>
                                <w:szCs w:val="28"/>
                                <w:highlight w:val="none"/>
                                <w:lang w:val="en-US" w:eastAsia="zh-CN"/>
                              </w:rPr>
                              <w:t>发布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25pt;margin-top:17.15pt;height:28.3pt;width:46.7pt;z-index:251660288;mso-width-relative:page;mso-height-relative:page;" filled="f" stroked="f" coordsize="21600,21600" o:gfxdata="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&#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7vqm7aAAAACQEAAA8AAAAAAAAAAQAgAAAAIgAAAGRy&#10;cy9kb3ducmV2LnhtbFBLAQIUABQAAAAIAIdO4kBz2k3ePAIAAGUEAAAOAAAAAAAAAAEAIAAAACkB&#10;AABkcnMvZTJvRG9jLnhtbFBLBQYAAAAABgAGAFkBAADXBQAAAAA=&#10;">
                <v:fill on="f" focussize="0,0"/>
                <v:stroke on="f" weight="0.5pt"/>
                <v:imagedata o:title=""/>
                <o:lock v:ext="edit" aspectratio="f"/>
                <v:textbox>
                  <w:txbxContent>
                    <w:p w14:paraId="00D7C49D">
                      <w:pPr>
                        <w:rPr>
                          <w:rFonts w:hint="default"/>
                          <w:highlight w:val="none"/>
                          <w:lang w:val="en-US"/>
                        </w:rPr>
                      </w:pPr>
                      <w:r>
                        <w:rPr>
                          <w:rFonts w:hint="eastAsia" w:ascii="黑体" w:hAnsi="黑体" w:eastAsia="黑体" w:cs="黑体"/>
                          <w:spacing w:val="-6"/>
                          <w:sz w:val="28"/>
                          <w:szCs w:val="28"/>
                          <w:highlight w:val="none"/>
                          <w:lang w:val="en-US" w:eastAsia="zh-CN"/>
                        </w:rPr>
                        <w:t>发布</w:t>
                      </w:r>
                    </w:p>
                  </w:txbxContent>
                </v:textbox>
              </v:shape>
            </w:pict>
          </mc:Fallback>
        </mc:AlternateContent>
      </w:r>
    </w:p>
    <w:p w14:paraId="59060718">
      <w:pPr>
        <w:keepNext w:val="0"/>
        <w:keepLines w:val="0"/>
        <w:pageBreakBefore w:val="0"/>
        <w:kinsoku w:val="0"/>
        <w:wordWrap/>
        <w:overflowPunct/>
        <w:topLinePunct w:val="0"/>
        <w:autoSpaceDE w:val="0"/>
        <w:autoSpaceDN w:val="0"/>
        <w:bidi w:val="0"/>
        <w:adjustRightInd w:val="0"/>
        <w:snapToGrid w:val="0"/>
        <w:spacing w:line="392" w:lineRule="auto"/>
        <w:ind w:firstLine="5408" w:firstLineChars="2600"/>
        <w:textAlignment w:val="baseline"/>
        <w:rPr>
          <w:rFonts w:hint="eastAsia" w:ascii="黑体" w:hAnsi="黑体" w:eastAsia="黑体" w:cs="黑体"/>
          <w:b w:val="0"/>
          <w:bCs w:val="0"/>
          <w:color w:val="000000" w:themeColor="text1"/>
          <w:spacing w:val="-1"/>
          <w:sz w:val="21"/>
          <w:szCs w:val="21"/>
          <w:highlight w:val="none"/>
          <w:lang w:val="en-US" w:eastAsia="zh-CN"/>
          <w14:textFill>
            <w14:solidFill>
              <w14:schemeClr w14:val="tx1"/>
            </w14:solidFill>
          </w14:textFill>
        </w:rPr>
      </w:pPr>
    </w:p>
    <w:p w14:paraId="08C7D9AF">
      <w:pPr>
        <w:keepNext w:val="0"/>
        <w:keepLines w:val="0"/>
        <w:pageBreakBefore w:val="0"/>
        <w:kinsoku w:val="0"/>
        <w:wordWrap/>
        <w:overflowPunct/>
        <w:topLinePunct w:val="0"/>
        <w:autoSpaceDE w:val="0"/>
        <w:autoSpaceDN w:val="0"/>
        <w:bidi w:val="0"/>
        <w:adjustRightInd w:val="0"/>
        <w:snapToGrid w:val="0"/>
        <w:spacing w:line="392" w:lineRule="auto"/>
        <w:ind w:firstLine="5460" w:firstLineChars="2600"/>
        <w:textAlignment w:val="baseline"/>
        <w:rPr>
          <w:rFonts w:hint="eastAsia" w:ascii="黑体" w:hAnsi="黑体" w:eastAsia="黑体" w:cs="黑体"/>
          <w:b w:val="0"/>
          <w:bCs w:val="0"/>
          <w:spacing w:val="-1"/>
          <w:sz w:val="21"/>
          <w:szCs w:val="21"/>
          <w:highlight w:val="yellow"/>
          <w:lang w:val="en-US" w:eastAsia="zh-CN"/>
        </w:rPr>
      </w:pPr>
      <w:r>
        <w:rPr>
          <w:b w:val="0"/>
          <w:bCs w:val="0"/>
          <w:sz w:val="21"/>
        </w:rPr>
        <mc:AlternateContent>
          <mc:Choice Requires="wps">
            <w:drawing>
              <wp:anchor distT="0" distB="0" distL="114300" distR="114300" simplePos="0" relativeHeight="251661312" behindDoc="0" locked="0" layoutInCell="1" allowOverlap="1">
                <wp:simplePos x="0" y="0"/>
                <wp:positionH relativeFrom="column">
                  <wp:posOffset>1045210</wp:posOffset>
                </wp:positionH>
                <wp:positionV relativeFrom="paragraph">
                  <wp:posOffset>-485775</wp:posOffset>
                </wp:positionV>
                <wp:extent cx="2856865" cy="601345"/>
                <wp:effectExtent l="0" t="0" r="0" b="0"/>
                <wp:wrapNone/>
                <wp:docPr id="5" name="文本框 5"/>
                <wp:cNvGraphicFramePr/>
                <a:graphic xmlns:a="http://schemas.openxmlformats.org/drawingml/2006/main">
                  <a:graphicData uri="http://schemas.microsoft.com/office/word/2010/wordprocessingShape">
                    <wps:wsp>
                      <wps:cNvSpPr txBox="1"/>
                      <wps:spPr>
                        <a:xfrm>
                          <a:off x="0" y="0"/>
                          <a:ext cx="2856865" cy="6013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906B04">
                            <w:pPr>
                              <w:spacing w:before="56" w:line="222" w:lineRule="auto"/>
                              <w:rPr>
                                <w:rFonts w:hint="eastAsia" w:ascii="黑体" w:hAnsi="黑体" w:eastAsia="黑体" w:cs="黑体"/>
                                <w:spacing w:val="-6"/>
                                <w:sz w:val="28"/>
                                <w:szCs w:val="28"/>
                                <w:highlight w:val="none"/>
                                <w:lang w:eastAsia="zh-CN"/>
                              </w:rPr>
                            </w:pPr>
                            <w:r>
                              <w:rPr>
                                <w:rFonts w:hint="eastAsia" w:ascii="黑体" w:hAnsi="黑体" w:eastAsia="黑体" w:cs="黑体"/>
                                <w:spacing w:val="-6"/>
                                <w:sz w:val="28"/>
                                <w:szCs w:val="28"/>
                                <w:highlight w:val="none"/>
                                <w:lang w:val="en-US" w:eastAsia="zh-CN"/>
                              </w:rPr>
                              <w:t xml:space="preserve">河  北  省  </w:t>
                            </w:r>
                            <w:r>
                              <w:rPr>
                                <w:rFonts w:ascii="黑体" w:hAnsi="黑体" w:eastAsia="黑体" w:cs="黑体"/>
                                <w:spacing w:val="-6"/>
                                <w:sz w:val="28"/>
                                <w:szCs w:val="28"/>
                                <w:highlight w:val="none"/>
                              </w:rPr>
                              <w:t>生</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态</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环</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境</w:t>
                            </w:r>
                            <w:r>
                              <w:rPr>
                                <w:rFonts w:hint="eastAsia" w:ascii="黑体" w:hAnsi="黑体" w:eastAsia="黑体" w:cs="黑体"/>
                                <w:spacing w:val="-6"/>
                                <w:sz w:val="28"/>
                                <w:szCs w:val="28"/>
                                <w:highlight w:val="none"/>
                                <w:lang w:val="en-US" w:eastAsia="zh-CN"/>
                              </w:rPr>
                              <w:t xml:space="preserve">  厅</w:t>
                            </w:r>
                          </w:p>
                          <w:p w14:paraId="2A0A9566">
                            <w:pPr>
                              <w:rPr>
                                <w:highlight w:val="none"/>
                              </w:rPr>
                            </w:pPr>
                            <w:r>
                              <w:rPr>
                                <w:rFonts w:hint="eastAsia" w:ascii="黑体" w:hAnsi="黑体" w:eastAsia="黑体" w:cs="黑体"/>
                                <w:spacing w:val="-2"/>
                                <w:sz w:val="28"/>
                                <w:szCs w:val="28"/>
                                <w:highlight w:val="none"/>
                                <w:lang w:val="en-US" w:eastAsia="zh-CN"/>
                              </w:rPr>
                              <w:t xml:space="preserve">河 北 省 </w:t>
                            </w:r>
                            <w:r>
                              <w:rPr>
                                <w:rFonts w:ascii="黑体" w:hAnsi="黑体" w:eastAsia="黑体" w:cs="黑体"/>
                                <w:spacing w:val="-2"/>
                                <w:sz w:val="28"/>
                                <w:szCs w:val="28"/>
                                <w:highlight w:val="none"/>
                              </w:rPr>
                              <w:t>市</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场</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监</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督</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管</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理</w:t>
                            </w:r>
                            <w:r>
                              <w:rPr>
                                <w:rFonts w:hint="eastAsia" w:ascii="黑体" w:hAnsi="黑体" w:eastAsia="黑体" w:cs="黑体"/>
                                <w:spacing w:val="-2"/>
                                <w:sz w:val="28"/>
                                <w:szCs w:val="28"/>
                                <w:highlight w:val="none"/>
                                <w:lang w:val="en-US" w:eastAsia="zh-CN"/>
                              </w:rPr>
                              <w:t xml:space="preserve"> 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2.3pt;margin-top:-38.25pt;height:47.35pt;width:224.95pt;z-index:251661312;mso-width-relative:page;mso-height-relative:page;" filled="f" stroked="f" coordsize="21600,21600" o:gfxdata="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&#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FnmmcfaAAAACgEAAA8AAAAAAAAAAQAgAAAAIgAAAGRy&#10;cy9kb3ducmV2LnhtbFBLAQIUABQAAAAIAIdO4kA4yQ2sPAIAAGYEAAAOAAAAAAAAAAEAIAAAACkB&#10;AABkcnMvZTJvRG9jLnhtbFBLBQYAAAAABgAGAFkBAADXBQAAAAA=&#10;">
                <v:fill on="f" focussize="0,0"/>
                <v:stroke on="f" weight="0.5pt"/>
                <v:imagedata o:title=""/>
                <o:lock v:ext="edit" aspectratio="f"/>
                <v:textbox>
                  <w:txbxContent>
                    <w:p w14:paraId="54906B04">
                      <w:pPr>
                        <w:spacing w:before="56" w:line="222" w:lineRule="auto"/>
                        <w:rPr>
                          <w:rFonts w:hint="eastAsia" w:ascii="黑体" w:hAnsi="黑体" w:eastAsia="黑体" w:cs="黑体"/>
                          <w:spacing w:val="-6"/>
                          <w:sz w:val="28"/>
                          <w:szCs w:val="28"/>
                          <w:highlight w:val="none"/>
                          <w:lang w:eastAsia="zh-CN"/>
                        </w:rPr>
                      </w:pPr>
                      <w:r>
                        <w:rPr>
                          <w:rFonts w:hint="eastAsia" w:ascii="黑体" w:hAnsi="黑体" w:eastAsia="黑体" w:cs="黑体"/>
                          <w:spacing w:val="-6"/>
                          <w:sz w:val="28"/>
                          <w:szCs w:val="28"/>
                          <w:highlight w:val="none"/>
                          <w:lang w:val="en-US" w:eastAsia="zh-CN"/>
                        </w:rPr>
                        <w:t xml:space="preserve">河  北  省  </w:t>
                      </w:r>
                      <w:r>
                        <w:rPr>
                          <w:rFonts w:ascii="黑体" w:hAnsi="黑体" w:eastAsia="黑体" w:cs="黑体"/>
                          <w:spacing w:val="-6"/>
                          <w:sz w:val="28"/>
                          <w:szCs w:val="28"/>
                          <w:highlight w:val="none"/>
                        </w:rPr>
                        <w:t>生</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态</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环</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境</w:t>
                      </w:r>
                      <w:r>
                        <w:rPr>
                          <w:rFonts w:hint="eastAsia" w:ascii="黑体" w:hAnsi="黑体" w:eastAsia="黑体" w:cs="黑体"/>
                          <w:spacing w:val="-6"/>
                          <w:sz w:val="28"/>
                          <w:szCs w:val="28"/>
                          <w:highlight w:val="none"/>
                          <w:lang w:val="en-US" w:eastAsia="zh-CN"/>
                        </w:rPr>
                        <w:t xml:space="preserve">  厅</w:t>
                      </w:r>
                    </w:p>
                    <w:p w14:paraId="2A0A9566">
                      <w:pPr>
                        <w:rPr>
                          <w:highlight w:val="none"/>
                        </w:rPr>
                      </w:pPr>
                      <w:r>
                        <w:rPr>
                          <w:rFonts w:hint="eastAsia" w:ascii="黑体" w:hAnsi="黑体" w:eastAsia="黑体" w:cs="黑体"/>
                          <w:spacing w:val="-2"/>
                          <w:sz w:val="28"/>
                          <w:szCs w:val="28"/>
                          <w:highlight w:val="none"/>
                          <w:lang w:val="en-US" w:eastAsia="zh-CN"/>
                        </w:rPr>
                        <w:t xml:space="preserve">河 北 省 </w:t>
                      </w:r>
                      <w:r>
                        <w:rPr>
                          <w:rFonts w:ascii="黑体" w:hAnsi="黑体" w:eastAsia="黑体" w:cs="黑体"/>
                          <w:spacing w:val="-2"/>
                          <w:sz w:val="28"/>
                          <w:szCs w:val="28"/>
                          <w:highlight w:val="none"/>
                        </w:rPr>
                        <w:t>市</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场</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监</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督</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管</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理</w:t>
                      </w:r>
                      <w:r>
                        <w:rPr>
                          <w:rFonts w:hint="eastAsia" w:ascii="黑体" w:hAnsi="黑体" w:eastAsia="黑体" w:cs="黑体"/>
                          <w:spacing w:val="-2"/>
                          <w:sz w:val="28"/>
                          <w:szCs w:val="28"/>
                          <w:highlight w:val="none"/>
                          <w:lang w:val="en-US" w:eastAsia="zh-CN"/>
                        </w:rPr>
                        <w:t xml:space="preserve"> 局</w:t>
                      </w:r>
                    </w:p>
                  </w:txbxContent>
                </v:textbox>
              </v:shape>
            </w:pict>
          </mc:Fallback>
        </mc:AlternateContent>
      </w:r>
    </w:p>
    <w:p w14:paraId="4797CBEA">
      <w:pPr>
        <w:keepNext w:val="0"/>
        <w:keepLines w:val="0"/>
        <w:pageBreakBefore w:val="0"/>
        <w:kinsoku w:val="0"/>
        <w:wordWrap/>
        <w:overflowPunct/>
        <w:topLinePunct w:val="0"/>
        <w:autoSpaceDE w:val="0"/>
        <w:autoSpaceDN w:val="0"/>
        <w:bidi w:val="0"/>
        <w:adjustRightInd w:val="0"/>
        <w:snapToGrid w:val="0"/>
        <w:spacing w:line="392" w:lineRule="auto"/>
        <w:ind w:firstLine="5408" w:firstLineChars="2600"/>
        <w:textAlignment w:val="baseline"/>
        <w:rPr>
          <w:rFonts w:hint="eastAsia" w:ascii="黑体" w:hAnsi="黑体" w:eastAsia="黑体" w:cs="黑体"/>
          <w:b w:val="0"/>
          <w:bCs w:val="0"/>
          <w:spacing w:val="-1"/>
          <w:sz w:val="21"/>
          <w:szCs w:val="21"/>
          <w:highlight w:val="yellow"/>
          <w:lang w:val="en-US" w:eastAsia="zh-CN"/>
        </w:rPr>
        <w:sectPr>
          <w:footerReference r:id="rId5" w:type="default"/>
          <w:pgSz w:w="11880" w:h="17080"/>
          <w:pgMar w:top="1134" w:right="1134" w:bottom="1134" w:left="1134" w:header="0" w:footer="1032" w:gutter="0"/>
          <w:pgNumType w:fmt="upperRoman"/>
          <w:cols w:space="0" w:num="1"/>
          <w:rtlGutter w:val="0"/>
          <w:docGrid w:linePitch="0" w:charSpace="0"/>
        </w:sectPr>
      </w:pPr>
    </w:p>
    <w:p w14:paraId="2E8DC91F">
      <w:pPr>
        <w:pStyle w:val="4"/>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b w:val="0"/>
          <w:bCs w:val="0"/>
          <w:sz w:val="20"/>
          <w:szCs w:val="20"/>
        </w:rPr>
      </w:pPr>
      <w:bookmarkStart w:id="0" w:name="_Toc5463"/>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691B41A8">
      <w:pPr>
        <w:pStyle w:val="2"/>
        <w:keepNext w:val="0"/>
        <w:keepLines w:val="0"/>
        <w:pageBreakBefore w:val="0"/>
        <w:widowControl/>
        <w:kinsoku w:val="0"/>
        <w:wordWrap/>
        <w:overflowPunct/>
        <w:topLinePunct w:val="0"/>
        <w:autoSpaceDE w:val="0"/>
        <w:autoSpaceDN w:val="0"/>
        <w:bidi w:val="0"/>
        <w:adjustRightInd w:val="0"/>
        <w:snapToGrid w:val="0"/>
        <w:spacing w:before="230" w:after="0" w:line="224" w:lineRule="auto"/>
        <w:jc w:val="center"/>
        <w:textAlignment w:val="baseline"/>
        <w:rPr>
          <w:rFonts w:hint="eastAsia" w:ascii="黑体" w:hAnsi="黑体" w:eastAsia="黑体" w:cs="黑体"/>
          <w:b w:val="0"/>
          <w:bCs w:val="0"/>
          <w:sz w:val="31"/>
          <w:szCs w:val="31"/>
        </w:rPr>
      </w:pPr>
      <w:r>
        <w:rPr>
          <w:rFonts w:hint="eastAsia" w:ascii="黑体" w:hAnsi="黑体" w:eastAsia="黑体" w:cs="黑体"/>
          <w:b w:val="0"/>
          <w:bCs w:val="0"/>
          <w:sz w:val="32"/>
          <w:szCs w:val="32"/>
        </w:rPr>
        <w:t>目   次</w:t>
      </w:r>
      <w:bookmarkEnd w:id="0"/>
    </w:p>
    <w:p w14:paraId="1056084A">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ajorEastAsia" w:hAnsiTheme="majorEastAsia" w:eastAsiaTheme="majorEastAsia" w:cstheme="majorEastAsia"/>
          <w:b w:val="0"/>
          <w:bCs w:val="0"/>
          <w:sz w:val="21"/>
          <w:szCs w:val="21"/>
        </w:rPr>
      </w:pPr>
      <w:r>
        <w:rPr>
          <w:rFonts w:hint="eastAsia" w:asciiTheme="minorEastAsia" w:hAnsiTheme="minorEastAsia" w:eastAsiaTheme="minorEastAsia" w:cstheme="minorEastAsia"/>
          <w:b w:val="0"/>
          <w:bCs w:val="0"/>
          <w:sz w:val="20"/>
          <w:szCs w:val="20"/>
          <w:highlight w:val="yellow"/>
        </w:rPr>
        <w:fldChar w:fldCharType="begin"/>
      </w:r>
      <w:r>
        <w:rPr>
          <w:rFonts w:hint="eastAsia" w:asciiTheme="minorEastAsia" w:hAnsiTheme="minorEastAsia" w:eastAsiaTheme="minorEastAsia" w:cstheme="minorEastAsia"/>
          <w:b w:val="0"/>
          <w:bCs w:val="0"/>
          <w:sz w:val="20"/>
          <w:szCs w:val="20"/>
          <w:highlight w:val="yellow"/>
        </w:rPr>
        <w:instrText xml:space="preserve">TOC \o "1-1" \h \u </w:instrText>
      </w:r>
      <w:r>
        <w:rPr>
          <w:rFonts w:hint="eastAsia" w:asciiTheme="minorEastAsia" w:hAnsiTheme="minorEastAsia" w:eastAsiaTheme="minorEastAsia" w:cstheme="minorEastAsia"/>
          <w:b w:val="0"/>
          <w:bCs w:val="0"/>
          <w:sz w:val="20"/>
          <w:szCs w:val="20"/>
          <w:highlight w:val="yellow"/>
        </w:rPr>
        <w:fldChar w:fldCharType="separate"/>
      </w: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_Toc10851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rPr>
        <w:t>前   言</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PAGEREF _Toc10851 \h </w:instrText>
      </w:r>
      <w:r>
        <w:rPr>
          <w:rFonts w:hint="eastAsia" w:asciiTheme="majorEastAsia" w:hAnsiTheme="majorEastAsia" w:eastAsiaTheme="majorEastAsia" w:cstheme="majorEastAsia"/>
          <w:b w:val="0"/>
          <w:bCs w:val="0"/>
          <w:sz w:val="21"/>
          <w:szCs w:val="21"/>
        </w:rPr>
        <w:fldChar w:fldCharType="separate"/>
      </w:r>
      <w:r>
        <w:rPr>
          <w:rFonts w:hint="eastAsia" w:asciiTheme="majorEastAsia" w:hAnsiTheme="majorEastAsia" w:eastAsiaTheme="majorEastAsia" w:cstheme="majorEastAsia"/>
          <w:b w:val="0"/>
          <w:bCs w:val="0"/>
          <w:sz w:val="21"/>
          <w:szCs w:val="21"/>
        </w:rPr>
        <w:t>II</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highlight w:val="yellow"/>
        </w:rPr>
        <w:fldChar w:fldCharType="end"/>
      </w:r>
    </w:p>
    <w:p w14:paraId="125D94D9">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_Toc22237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rPr>
        <w:t xml:space="preserve">1 </w:t>
      </w:r>
      <w:r>
        <w:rPr>
          <w:rFonts w:hint="eastAsia" w:asciiTheme="majorEastAsia" w:hAnsiTheme="majorEastAsia" w:eastAsiaTheme="majorEastAsia" w:cstheme="majorEastAsia"/>
          <w:b w:val="0"/>
          <w:bCs w:val="0"/>
          <w:sz w:val="21"/>
          <w:szCs w:val="21"/>
          <w:lang w:val="en-US" w:eastAsia="zh-CN"/>
        </w:rPr>
        <w:t>适用</w:t>
      </w:r>
      <w:r>
        <w:rPr>
          <w:rFonts w:hint="eastAsia" w:asciiTheme="majorEastAsia" w:hAnsiTheme="majorEastAsia" w:eastAsiaTheme="majorEastAsia" w:cstheme="majorEastAsia"/>
          <w:b w:val="0"/>
          <w:bCs w:val="0"/>
          <w:sz w:val="21"/>
          <w:szCs w:val="21"/>
        </w:rPr>
        <w:t>范围</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PAGEREF _Toc22237 \h </w:instrText>
      </w:r>
      <w:r>
        <w:rPr>
          <w:rFonts w:hint="eastAsia" w:asciiTheme="majorEastAsia" w:hAnsiTheme="majorEastAsia" w:eastAsiaTheme="majorEastAsia" w:cstheme="majorEastAsia"/>
          <w:b w:val="0"/>
          <w:bCs w:val="0"/>
          <w:sz w:val="21"/>
          <w:szCs w:val="21"/>
        </w:rPr>
        <w:fldChar w:fldCharType="separate"/>
      </w:r>
      <w:r>
        <w:rPr>
          <w:rFonts w:hint="eastAsia" w:asciiTheme="majorEastAsia" w:hAnsiTheme="majorEastAsia" w:eastAsiaTheme="majorEastAsia" w:cstheme="majorEastAsia"/>
          <w:b w:val="0"/>
          <w:bCs w:val="0"/>
          <w:sz w:val="21"/>
          <w:szCs w:val="21"/>
        </w:rPr>
        <w:t>1</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highlight w:val="yellow"/>
        </w:rPr>
        <w:fldChar w:fldCharType="end"/>
      </w:r>
    </w:p>
    <w:p w14:paraId="593BA2CD">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_Toc7065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rPr>
        <w:t>2 规范性引用文件</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PAGEREF _Toc7065 \h </w:instrText>
      </w:r>
      <w:r>
        <w:rPr>
          <w:rFonts w:hint="eastAsia" w:asciiTheme="majorEastAsia" w:hAnsiTheme="majorEastAsia" w:eastAsiaTheme="majorEastAsia" w:cstheme="majorEastAsia"/>
          <w:b w:val="0"/>
          <w:bCs w:val="0"/>
          <w:sz w:val="21"/>
          <w:szCs w:val="21"/>
        </w:rPr>
        <w:fldChar w:fldCharType="separate"/>
      </w:r>
      <w:r>
        <w:rPr>
          <w:rFonts w:hint="eastAsia" w:asciiTheme="majorEastAsia" w:hAnsiTheme="majorEastAsia" w:eastAsiaTheme="majorEastAsia" w:cstheme="majorEastAsia"/>
          <w:b w:val="0"/>
          <w:bCs w:val="0"/>
          <w:sz w:val="21"/>
          <w:szCs w:val="21"/>
        </w:rPr>
        <w:t>1</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highlight w:val="yellow"/>
        </w:rPr>
        <w:fldChar w:fldCharType="end"/>
      </w:r>
    </w:p>
    <w:p w14:paraId="26E02896">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_Toc16428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rPr>
        <w:t>3 术语和定义</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PAGEREF _Toc16428 \h </w:instrText>
      </w:r>
      <w:r>
        <w:rPr>
          <w:rFonts w:hint="eastAsia" w:asciiTheme="majorEastAsia" w:hAnsiTheme="majorEastAsia" w:eastAsiaTheme="majorEastAsia" w:cstheme="majorEastAsia"/>
          <w:b w:val="0"/>
          <w:bCs w:val="0"/>
          <w:sz w:val="21"/>
          <w:szCs w:val="21"/>
        </w:rPr>
        <w:fldChar w:fldCharType="separate"/>
      </w:r>
      <w:r>
        <w:rPr>
          <w:rFonts w:hint="eastAsia" w:asciiTheme="majorEastAsia" w:hAnsiTheme="majorEastAsia" w:eastAsiaTheme="majorEastAsia" w:cstheme="majorEastAsia"/>
          <w:b w:val="0"/>
          <w:bCs w:val="0"/>
          <w:sz w:val="21"/>
          <w:szCs w:val="21"/>
        </w:rPr>
        <w:t>1</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highlight w:val="yellow"/>
        </w:rPr>
        <w:fldChar w:fldCharType="end"/>
      </w:r>
    </w:p>
    <w:p w14:paraId="721BCC30">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_Toc4684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rPr>
        <w:t>4 控制要求</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PAGEREF _Toc4684 \h </w:instrText>
      </w:r>
      <w:r>
        <w:rPr>
          <w:rFonts w:hint="eastAsia" w:asciiTheme="majorEastAsia" w:hAnsiTheme="majorEastAsia" w:eastAsiaTheme="majorEastAsia" w:cstheme="majorEastAsia"/>
          <w:b w:val="0"/>
          <w:bCs w:val="0"/>
          <w:sz w:val="21"/>
          <w:szCs w:val="21"/>
        </w:rPr>
        <w:fldChar w:fldCharType="separate"/>
      </w:r>
      <w:r>
        <w:rPr>
          <w:rFonts w:hint="eastAsia" w:asciiTheme="majorEastAsia" w:hAnsiTheme="majorEastAsia" w:eastAsiaTheme="majorEastAsia" w:cstheme="majorEastAsia"/>
          <w:b w:val="0"/>
          <w:bCs w:val="0"/>
          <w:sz w:val="21"/>
          <w:szCs w:val="21"/>
        </w:rPr>
        <w:t>2</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highlight w:val="yellow"/>
        </w:rPr>
        <w:fldChar w:fldCharType="end"/>
      </w:r>
    </w:p>
    <w:p w14:paraId="40F44EF0">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_Toc21463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rPr>
        <w:t>5 排放限值</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PAGEREF _Toc21463 \h </w:instrText>
      </w:r>
      <w:r>
        <w:rPr>
          <w:rFonts w:hint="eastAsia" w:asciiTheme="majorEastAsia" w:hAnsiTheme="majorEastAsia" w:eastAsiaTheme="majorEastAsia" w:cstheme="majorEastAsia"/>
          <w:b w:val="0"/>
          <w:bCs w:val="0"/>
          <w:sz w:val="21"/>
          <w:szCs w:val="21"/>
        </w:rPr>
        <w:fldChar w:fldCharType="separate"/>
      </w:r>
      <w:r>
        <w:rPr>
          <w:rFonts w:hint="eastAsia" w:asciiTheme="majorEastAsia" w:hAnsiTheme="majorEastAsia" w:eastAsiaTheme="majorEastAsia" w:cstheme="majorEastAsia"/>
          <w:b w:val="0"/>
          <w:bCs w:val="0"/>
          <w:sz w:val="21"/>
          <w:szCs w:val="21"/>
        </w:rPr>
        <w:t>3</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highlight w:val="yellow"/>
        </w:rPr>
        <w:fldChar w:fldCharType="end"/>
      </w:r>
    </w:p>
    <w:p w14:paraId="1D60516E">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_Toc16677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lang w:val="en-US" w:eastAsia="zh-CN"/>
        </w:rPr>
        <w:t>6 污染物监测要求</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PAGEREF _Toc16677 \h </w:instrText>
      </w:r>
      <w:r>
        <w:rPr>
          <w:rFonts w:hint="eastAsia" w:asciiTheme="majorEastAsia" w:hAnsiTheme="majorEastAsia" w:eastAsiaTheme="majorEastAsia" w:cstheme="majorEastAsia"/>
          <w:b w:val="0"/>
          <w:bCs w:val="0"/>
          <w:sz w:val="21"/>
          <w:szCs w:val="21"/>
        </w:rPr>
        <w:fldChar w:fldCharType="separate"/>
      </w:r>
      <w:r>
        <w:rPr>
          <w:rFonts w:hint="eastAsia" w:asciiTheme="majorEastAsia" w:hAnsiTheme="majorEastAsia" w:eastAsiaTheme="majorEastAsia" w:cstheme="majorEastAsia"/>
          <w:b w:val="0"/>
          <w:bCs w:val="0"/>
          <w:sz w:val="21"/>
          <w:szCs w:val="21"/>
        </w:rPr>
        <w:t>3</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highlight w:val="yellow"/>
        </w:rPr>
        <w:fldChar w:fldCharType="end"/>
      </w:r>
    </w:p>
    <w:p w14:paraId="4CA39710">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_Toc5723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lang w:val="en-US" w:eastAsia="zh-CN"/>
        </w:rPr>
        <w:t>7 实施与监督</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PAGEREF _Toc5723 \h </w:instrText>
      </w:r>
      <w:r>
        <w:rPr>
          <w:rFonts w:hint="eastAsia" w:asciiTheme="majorEastAsia" w:hAnsiTheme="majorEastAsia" w:eastAsiaTheme="majorEastAsia" w:cstheme="majorEastAsia"/>
          <w:b w:val="0"/>
          <w:bCs w:val="0"/>
          <w:sz w:val="21"/>
          <w:szCs w:val="21"/>
        </w:rPr>
        <w:fldChar w:fldCharType="separate"/>
      </w:r>
      <w:r>
        <w:rPr>
          <w:rFonts w:hint="eastAsia" w:asciiTheme="majorEastAsia" w:hAnsiTheme="majorEastAsia" w:eastAsiaTheme="majorEastAsia" w:cstheme="majorEastAsia"/>
          <w:b w:val="0"/>
          <w:bCs w:val="0"/>
          <w:sz w:val="21"/>
          <w:szCs w:val="21"/>
        </w:rPr>
        <w:t>3</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highlight w:val="yellow"/>
        </w:rPr>
        <w:fldChar w:fldCharType="end"/>
      </w:r>
    </w:p>
    <w:p w14:paraId="09D164CE">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_Toc26247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rPr>
        <w:t>附 录 A(规范性</w:t>
      </w:r>
      <w:r>
        <w:rPr>
          <w:rFonts w:hint="eastAsia" w:asciiTheme="majorEastAsia" w:hAnsiTheme="majorEastAsia" w:eastAsiaTheme="majorEastAsia" w:cstheme="majorEastAsia"/>
          <w:b w:val="0"/>
          <w:bCs w:val="0"/>
          <w:sz w:val="21"/>
          <w:szCs w:val="21"/>
          <w:lang w:val="en-US" w:eastAsia="zh-CN"/>
        </w:rPr>
        <w:t>附录</w:t>
      </w:r>
      <w:r>
        <w:rPr>
          <w:rFonts w:hint="eastAsia" w:asciiTheme="majorEastAsia" w:hAnsiTheme="majorEastAsia" w:eastAsiaTheme="majorEastAsia" w:cstheme="majorEastAsia"/>
          <w:b w:val="0"/>
          <w:bCs w:val="0"/>
          <w:sz w:val="21"/>
          <w:szCs w:val="21"/>
        </w:rPr>
        <w:t>)</w:t>
      </w:r>
      <w:r>
        <w:rPr>
          <w:rFonts w:hint="eastAsia" w:asciiTheme="majorEastAsia" w:hAnsiTheme="majorEastAsia" w:eastAsiaTheme="majorEastAsia" w:cstheme="majorEastAsia"/>
          <w:b w:val="0"/>
          <w:bCs w:val="0"/>
          <w:spacing w:val="13"/>
          <w:sz w:val="21"/>
          <w:szCs w:val="21"/>
        </w:rPr>
        <w:t xml:space="preserve"> </w:t>
      </w:r>
      <w:r>
        <w:rPr>
          <w:rFonts w:hint="eastAsia" w:asciiTheme="majorEastAsia" w:hAnsiTheme="majorEastAsia" w:eastAsiaTheme="majorEastAsia" w:cstheme="majorEastAsia"/>
          <w:b w:val="0"/>
          <w:bCs w:val="0"/>
          <w:sz w:val="21"/>
          <w:szCs w:val="21"/>
        </w:rPr>
        <w:t>汽车罐车油气回收系统密闭性检测方法</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PAGEREF _Toc26247 \h </w:instrText>
      </w:r>
      <w:r>
        <w:rPr>
          <w:rFonts w:hint="eastAsia" w:asciiTheme="majorEastAsia" w:hAnsiTheme="majorEastAsia" w:eastAsiaTheme="majorEastAsia" w:cstheme="majorEastAsia"/>
          <w:b w:val="0"/>
          <w:bCs w:val="0"/>
          <w:sz w:val="21"/>
          <w:szCs w:val="21"/>
        </w:rPr>
        <w:fldChar w:fldCharType="separate"/>
      </w:r>
      <w:r>
        <w:rPr>
          <w:rFonts w:hint="eastAsia" w:asciiTheme="majorEastAsia" w:hAnsiTheme="majorEastAsia" w:eastAsiaTheme="majorEastAsia" w:cstheme="majorEastAsia"/>
          <w:b w:val="0"/>
          <w:bCs w:val="0"/>
          <w:sz w:val="21"/>
          <w:szCs w:val="21"/>
        </w:rPr>
        <w:t>4</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highlight w:val="yellow"/>
        </w:rPr>
        <w:fldChar w:fldCharType="end"/>
      </w:r>
    </w:p>
    <w:p w14:paraId="16D0B4F6">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_Toc20740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highlight w:val="none"/>
        </w:rPr>
        <w:t>附</w:t>
      </w:r>
      <w:r>
        <w:rPr>
          <w:rFonts w:hint="eastAsia" w:asciiTheme="majorEastAsia" w:hAnsiTheme="majorEastAsia" w:eastAsiaTheme="majorEastAsia" w:cstheme="majorEastAsia"/>
          <w:b w:val="0"/>
          <w:bCs w:val="0"/>
          <w:sz w:val="21"/>
          <w:szCs w:val="21"/>
          <w:highlight w:val="none"/>
          <w:lang w:val="en-US" w:eastAsia="zh-CN"/>
        </w:rPr>
        <w:t xml:space="preserve"> </w:t>
      </w:r>
      <w:r>
        <w:rPr>
          <w:rFonts w:hint="eastAsia" w:asciiTheme="majorEastAsia" w:hAnsiTheme="majorEastAsia" w:eastAsiaTheme="majorEastAsia" w:cstheme="majorEastAsia"/>
          <w:b w:val="0"/>
          <w:bCs w:val="0"/>
          <w:sz w:val="21"/>
          <w:szCs w:val="21"/>
          <w:highlight w:val="none"/>
        </w:rPr>
        <w:t>录</w:t>
      </w:r>
      <w:r>
        <w:rPr>
          <w:rFonts w:hint="eastAsia" w:asciiTheme="majorEastAsia" w:hAnsiTheme="majorEastAsia" w:eastAsiaTheme="majorEastAsia" w:cstheme="majorEastAsia"/>
          <w:b w:val="0"/>
          <w:bCs w:val="0"/>
          <w:sz w:val="21"/>
          <w:szCs w:val="21"/>
          <w:highlight w:val="none"/>
          <w:lang w:val="en-US" w:eastAsia="zh-CN"/>
        </w:rPr>
        <w:t xml:space="preserve"> </w:t>
      </w:r>
      <w:r>
        <w:rPr>
          <w:rFonts w:hint="eastAsia" w:asciiTheme="majorEastAsia" w:hAnsiTheme="majorEastAsia" w:eastAsiaTheme="majorEastAsia" w:cstheme="majorEastAsia"/>
          <w:b w:val="0"/>
          <w:bCs w:val="0"/>
          <w:sz w:val="21"/>
          <w:szCs w:val="21"/>
          <w:highlight w:val="none"/>
        </w:rPr>
        <w:t>B(资料性</w:t>
      </w:r>
      <w:r>
        <w:rPr>
          <w:rFonts w:hint="eastAsia" w:asciiTheme="majorEastAsia" w:hAnsiTheme="majorEastAsia" w:eastAsiaTheme="majorEastAsia" w:cstheme="majorEastAsia"/>
          <w:b w:val="0"/>
          <w:bCs w:val="0"/>
          <w:sz w:val="21"/>
          <w:szCs w:val="21"/>
          <w:highlight w:val="none"/>
          <w:lang w:val="en-US" w:eastAsia="zh-CN"/>
        </w:rPr>
        <w:t>附录</w:t>
      </w:r>
      <w:r>
        <w:rPr>
          <w:rFonts w:hint="eastAsia" w:asciiTheme="majorEastAsia" w:hAnsiTheme="majorEastAsia" w:eastAsiaTheme="majorEastAsia" w:cstheme="majorEastAsia"/>
          <w:b w:val="0"/>
          <w:bCs w:val="0"/>
          <w:sz w:val="21"/>
          <w:szCs w:val="21"/>
          <w:highlight w:val="none"/>
        </w:rPr>
        <w:t>)</w:t>
      </w:r>
      <w:r>
        <w:rPr>
          <w:rFonts w:hint="eastAsia" w:asciiTheme="majorEastAsia" w:hAnsiTheme="majorEastAsia" w:eastAsiaTheme="majorEastAsia" w:cstheme="majorEastAsia"/>
          <w:b w:val="0"/>
          <w:bCs w:val="0"/>
          <w:spacing w:val="12"/>
          <w:sz w:val="21"/>
          <w:szCs w:val="21"/>
          <w:highlight w:val="none"/>
        </w:rPr>
        <w:t xml:space="preserve"> </w:t>
      </w:r>
      <w:r>
        <w:rPr>
          <w:rFonts w:hint="eastAsia" w:asciiTheme="majorEastAsia" w:hAnsiTheme="majorEastAsia" w:eastAsiaTheme="majorEastAsia" w:cstheme="majorEastAsia"/>
          <w:b w:val="0"/>
          <w:bCs w:val="0"/>
          <w:sz w:val="21"/>
          <w:szCs w:val="21"/>
          <w:highlight w:val="none"/>
        </w:rPr>
        <w:t>汽车罐车回收系统配置表</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PAGEREF _Toc20740 \h </w:instrText>
      </w:r>
      <w:r>
        <w:rPr>
          <w:rFonts w:hint="eastAsia" w:asciiTheme="majorEastAsia" w:hAnsiTheme="majorEastAsia" w:eastAsiaTheme="majorEastAsia" w:cstheme="majorEastAsia"/>
          <w:b w:val="0"/>
          <w:bCs w:val="0"/>
          <w:sz w:val="21"/>
          <w:szCs w:val="21"/>
        </w:rPr>
        <w:fldChar w:fldCharType="separate"/>
      </w:r>
      <w:r>
        <w:rPr>
          <w:rFonts w:hint="eastAsia" w:asciiTheme="majorEastAsia" w:hAnsiTheme="majorEastAsia" w:eastAsiaTheme="majorEastAsia" w:cstheme="majorEastAsia"/>
          <w:b w:val="0"/>
          <w:bCs w:val="0"/>
          <w:sz w:val="21"/>
          <w:szCs w:val="21"/>
        </w:rPr>
        <w:t>6</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highlight w:val="yellow"/>
        </w:rPr>
        <w:fldChar w:fldCharType="end"/>
      </w:r>
    </w:p>
    <w:p w14:paraId="5D94DAF1">
      <w:pPr>
        <w:pStyle w:val="7"/>
        <w:keepNext w:val="0"/>
        <w:keepLines w:val="0"/>
        <w:pageBreakBefore w:val="0"/>
        <w:widowControl/>
        <w:tabs>
          <w:tab w:val="right" w:leader="dot" w:pos="9612"/>
        </w:tabs>
        <w:kinsoku w:val="0"/>
        <w:wordWrap/>
        <w:overflowPunct/>
        <w:topLinePunct w:val="0"/>
        <w:autoSpaceDE w:val="0"/>
        <w:autoSpaceDN w:val="0"/>
        <w:bidi w:val="0"/>
        <w:adjustRightInd w:val="0"/>
        <w:snapToGrid w:val="0"/>
        <w:spacing w:line="360" w:lineRule="exact"/>
        <w:textAlignment w:val="baseline"/>
        <w:rPr>
          <w:rFonts w:hint="eastAsia" w:asciiTheme="minorEastAsia" w:hAnsiTheme="minorEastAsia" w:eastAsiaTheme="minorEastAsia" w:cstheme="minorEastAsia"/>
          <w:b w:val="0"/>
          <w:bCs w:val="0"/>
          <w:sz w:val="20"/>
          <w:szCs w:val="20"/>
        </w:rPr>
      </w:pPr>
      <w:r>
        <w:rPr>
          <w:rFonts w:hint="eastAsia" w:asciiTheme="majorEastAsia" w:hAnsiTheme="majorEastAsia" w:eastAsiaTheme="majorEastAsia" w:cstheme="majorEastAsia"/>
          <w:b w:val="0"/>
          <w:bCs w:val="0"/>
          <w:sz w:val="21"/>
          <w:szCs w:val="21"/>
          <w:highlight w:val="yellow"/>
        </w:rPr>
        <w:fldChar w:fldCharType="begin"/>
      </w:r>
      <w:r>
        <w:rPr>
          <w:rFonts w:hint="eastAsia" w:asciiTheme="majorEastAsia" w:hAnsiTheme="majorEastAsia" w:eastAsiaTheme="majorEastAsia" w:cstheme="majorEastAsia"/>
          <w:b w:val="0"/>
          <w:bCs w:val="0"/>
          <w:sz w:val="21"/>
          <w:szCs w:val="21"/>
          <w:highlight w:val="yellow"/>
        </w:rPr>
        <w:instrText xml:space="preserve"> HYPERLINK \l _Toc24894 </w:instrText>
      </w:r>
      <w:r>
        <w:rPr>
          <w:rFonts w:hint="eastAsia" w:asciiTheme="majorEastAsia" w:hAnsiTheme="majorEastAsia" w:eastAsiaTheme="majorEastAsia" w:cstheme="majorEastAsia"/>
          <w:b w:val="0"/>
          <w:bCs w:val="0"/>
          <w:sz w:val="21"/>
          <w:szCs w:val="21"/>
          <w:highlight w:val="yellow"/>
        </w:rPr>
        <w:fldChar w:fldCharType="separate"/>
      </w:r>
      <w:r>
        <w:rPr>
          <w:rFonts w:hint="eastAsia" w:asciiTheme="majorEastAsia" w:hAnsiTheme="majorEastAsia" w:eastAsiaTheme="majorEastAsia" w:cstheme="majorEastAsia"/>
          <w:b w:val="0"/>
          <w:bCs w:val="0"/>
          <w:sz w:val="21"/>
          <w:szCs w:val="21"/>
        </w:rPr>
        <w:t xml:space="preserve">附 录 </w:t>
      </w:r>
      <w:r>
        <w:rPr>
          <w:rFonts w:hint="eastAsia" w:asciiTheme="majorEastAsia" w:hAnsiTheme="majorEastAsia" w:eastAsiaTheme="majorEastAsia" w:cstheme="majorEastAsia"/>
          <w:b w:val="0"/>
          <w:bCs w:val="0"/>
          <w:sz w:val="21"/>
          <w:szCs w:val="21"/>
          <w:lang w:val="en-US" w:eastAsia="zh-CN"/>
        </w:rPr>
        <w:t>C</w:t>
      </w:r>
      <w:r>
        <w:rPr>
          <w:rFonts w:hint="eastAsia" w:asciiTheme="majorEastAsia" w:hAnsiTheme="majorEastAsia" w:eastAsiaTheme="majorEastAsia" w:cstheme="majorEastAsia"/>
          <w:b w:val="0"/>
          <w:bCs w:val="0"/>
          <w:sz w:val="21"/>
          <w:szCs w:val="21"/>
        </w:rPr>
        <w:t>(资料性</w:t>
      </w:r>
      <w:r>
        <w:rPr>
          <w:rFonts w:hint="eastAsia" w:asciiTheme="majorEastAsia" w:hAnsiTheme="majorEastAsia" w:eastAsiaTheme="majorEastAsia" w:cstheme="majorEastAsia"/>
          <w:b w:val="0"/>
          <w:bCs w:val="0"/>
          <w:sz w:val="21"/>
          <w:szCs w:val="21"/>
          <w:lang w:val="en-US" w:eastAsia="zh-CN"/>
        </w:rPr>
        <w:t>附录</w:t>
      </w:r>
      <w:r>
        <w:rPr>
          <w:rFonts w:hint="eastAsia" w:asciiTheme="majorEastAsia" w:hAnsiTheme="majorEastAsia" w:eastAsiaTheme="majorEastAsia" w:cstheme="majorEastAsia"/>
          <w:b w:val="0"/>
          <w:bCs w:val="0"/>
          <w:sz w:val="21"/>
          <w:szCs w:val="21"/>
        </w:rPr>
        <w:t>)</w:t>
      </w:r>
      <w:r>
        <w:rPr>
          <w:rFonts w:hint="eastAsia" w:asciiTheme="majorEastAsia" w:hAnsiTheme="majorEastAsia" w:eastAsiaTheme="majorEastAsia" w:cstheme="majorEastAsia"/>
          <w:b w:val="0"/>
          <w:bCs w:val="0"/>
          <w:sz w:val="21"/>
          <w:szCs w:val="21"/>
          <w:lang w:val="en-US" w:eastAsia="zh-CN"/>
        </w:rPr>
        <w:t xml:space="preserve"> 油罐车油气回收检测记录表</w:t>
      </w:r>
      <w:r>
        <w:rPr>
          <w:rFonts w:hint="eastAsia" w:asciiTheme="majorEastAsia" w:hAnsiTheme="majorEastAsia" w:eastAsiaTheme="majorEastAsia" w:cstheme="majorEastAsia"/>
          <w:b w:val="0"/>
          <w:bCs w:val="0"/>
          <w:sz w:val="21"/>
          <w:szCs w:val="21"/>
        </w:rPr>
        <w:tab/>
      </w:r>
      <w:r>
        <w:rPr>
          <w:rFonts w:hint="eastAsia" w:asciiTheme="majorEastAsia" w:hAnsiTheme="majorEastAsia" w:eastAsiaTheme="majorEastAsia" w:cstheme="majorEastAsia"/>
          <w:b w:val="0"/>
          <w:bCs w:val="0"/>
          <w:sz w:val="21"/>
          <w:szCs w:val="21"/>
          <w:lang w:val="en-US" w:eastAsia="zh-CN"/>
        </w:rPr>
        <w:t xml:space="preserve">7 </w:t>
      </w:r>
      <w:r>
        <w:rPr>
          <w:rFonts w:hint="eastAsia" w:asciiTheme="majorEastAsia" w:hAnsiTheme="majorEastAsia" w:eastAsiaTheme="majorEastAsia" w:cstheme="majorEastAsia"/>
          <w:b w:val="0"/>
          <w:bCs w:val="0"/>
          <w:sz w:val="21"/>
          <w:szCs w:val="21"/>
          <w:highlight w:val="yellow"/>
        </w:rPr>
        <w:fldChar w:fldCharType="end"/>
      </w:r>
    </w:p>
    <w:p w14:paraId="1AF9EAAD">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eastAsia" w:asciiTheme="minorEastAsia" w:hAnsiTheme="minorEastAsia" w:eastAsiaTheme="minorEastAsia" w:cstheme="minorEastAsia"/>
          <w:b w:val="0"/>
          <w:bCs w:val="0"/>
          <w:sz w:val="20"/>
          <w:szCs w:val="20"/>
          <w:highlight w:val="yellow"/>
        </w:rPr>
      </w:pPr>
      <w:r>
        <w:rPr>
          <w:rFonts w:hint="eastAsia" w:asciiTheme="minorEastAsia" w:hAnsiTheme="minorEastAsia" w:eastAsiaTheme="minorEastAsia" w:cstheme="minorEastAsia"/>
          <w:b w:val="0"/>
          <w:bCs w:val="0"/>
          <w:sz w:val="20"/>
          <w:szCs w:val="20"/>
          <w:highlight w:val="yellow"/>
        </w:rPr>
        <w:fldChar w:fldCharType="end"/>
      </w:r>
    </w:p>
    <w:p w14:paraId="6A952B03">
      <w:pPr>
        <w:keepNext w:val="0"/>
        <w:keepLines w:val="0"/>
        <w:pageBreakBefore w:val="0"/>
        <w:kinsoku w:val="0"/>
        <w:wordWrap/>
        <w:overflowPunct/>
        <w:topLinePunct w:val="0"/>
        <w:autoSpaceDE w:val="0"/>
        <w:autoSpaceDN w:val="0"/>
        <w:bidi w:val="0"/>
        <w:adjustRightInd w:val="0"/>
        <w:snapToGrid w:val="0"/>
        <w:textAlignment w:val="baseline"/>
        <w:rPr>
          <w:rFonts w:ascii="Arial"/>
          <w:b w:val="0"/>
          <w:bCs w:val="0"/>
          <w:sz w:val="21"/>
        </w:rPr>
      </w:pPr>
      <w:r>
        <w:rPr>
          <w:rFonts w:ascii="Arial"/>
          <w:b w:val="0"/>
          <w:bCs w:val="0"/>
          <w:sz w:val="21"/>
        </w:rPr>
        <w:br w:type="page"/>
      </w:r>
    </w:p>
    <w:p w14:paraId="1D10A826">
      <w:pPr>
        <w:pStyle w:val="4"/>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b w:val="0"/>
          <w:bCs w:val="0"/>
          <w:sz w:val="20"/>
          <w:szCs w:val="20"/>
        </w:rPr>
      </w:pPr>
      <w:bookmarkStart w:id="1" w:name="_Toc10851"/>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27D14CAE">
      <w:pPr>
        <w:pStyle w:val="2"/>
        <w:keepNext w:val="0"/>
        <w:keepLines w:val="0"/>
        <w:pageBreakBefore w:val="0"/>
        <w:kinsoku w:val="0"/>
        <w:wordWrap/>
        <w:overflowPunct/>
        <w:topLinePunct w:val="0"/>
        <w:autoSpaceDE w:val="0"/>
        <w:autoSpaceDN w:val="0"/>
        <w:bidi w:val="0"/>
        <w:adjustRightInd w:val="0"/>
        <w:snapToGrid w:val="0"/>
        <w:jc w:val="center"/>
        <w:textAlignment w:val="baseline"/>
        <w:rPr>
          <w:rFonts w:ascii="黑体" w:hAnsi="黑体" w:eastAsia="黑体" w:cs="黑体"/>
          <w:b w:val="0"/>
          <w:bCs w:val="0"/>
          <w:szCs w:val="31"/>
        </w:rPr>
      </w:pPr>
      <w:r>
        <w:rPr>
          <w:rFonts w:hint="eastAsia" w:ascii="黑体" w:hAnsi="黑体" w:eastAsia="黑体" w:cs="黑体"/>
          <w:b w:val="0"/>
          <w:bCs w:val="0"/>
          <w:sz w:val="32"/>
          <w:szCs w:val="32"/>
        </w:rPr>
        <w:t>前   言</w:t>
      </w:r>
      <w:bookmarkEnd w:id="1"/>
    </w:p>
    <w:p w14:paraId="7336FA27">
      <w:pPr>
        <w:keepNext w:val="0"/>
        <w:keepLines w:val="0"/>
        <w:pageBreakBefore w:val="0"/>
        <w:kinsoku w:val="0"/>
        <w:wordWrap/>
        <w:overflowPunct/>
        <w:topLinePunct w:val="0"/>
        <w:autoSpaceDE w:val="0"/>
        <w:autoSpaceDN w:val="0"/>
        <w:bidi w:val="0"/>
        <w:adjustRightInd w:val="0"/>
        <w:snapToGrid w:val="0"/>
        <w:spacing w:line="297" w:lineRule="auto"/>
        <w:textAlignment w:val="baseline"/>
        <w:rPr>
          <w:rFonts w:ascii="Arial"/>
          <w:b w:val="0"/>
          <w:bCs w:val="0"/>
          <w:sz w:val="21"/>
        </w:rPr>
      </w:pPr>
    </w:p>
    <w:p w14:paraId="23243AEC">
      <w:pPr>
        <w:keepNext w:val="0"/>
        <w:keepLines w:val="0"/>
        <w:pageBreakBefore w:val="0"/>
        <w:kinsoku w:val="0"/>
        <w:wordWrap/>
        <w:overflowPunct/>
        <w:topLinePunct w:val="0"/>
        <w:autoSpaceDE w:val="0"/>
        <w:autoSpaceDN w:val="0"/>
        <w:bidi w:val="0"/>
        <w:adjustRightInd w:val="0"/>
        <w:snapToGrid w:val="0"/>
        <w:spacing w:line="297" w:lineRule="auto"/>
        <w:textAlignment w:val="baseline"/>
        <w:rPr>
          <w:rFonts w:ascii="Arial"/>
          <w:b w:val="0"/>
          <w:bCs w:val="0"/>
          <w:sz w:val="21"/>
        </w:rPr>
      </w:pPr>
    </w:p>
    <w:p w14:paraId="4436B74C">
      <w:pPr>
        <w:keepNext w:val="0"/>
        <w:keepLines w:val="0"/>
        <w:pageBreakBefore w:val="0"/>
        <w:widowControl/>
        <w:kinsoku w:val="0"/>
        <w:wordWrap/>
        <w:overflowPunct/>
        <w:topLinePunct w:val="0"/>
        <w:autoSpaceDE w:val="0"/>
        <w:autoSpaceDN w:val="0"/>
        <w:bidi w:val="0"/>
        <w:adjustRightInd w:val="0"/>
        <w:snapToGrid w:val="0"/>
        <w:spacing w:before="72" w:line="360" w:lineRule="exact"/>
        <w:ind w:left="423"/>
        <w:textAlignment w:val="baseline"/>
        <w:rPr>
          <w:rFonts w:ascii="宋体" w:hAnsi="宋体" w:eastAsia="宋体" w:cs="宋体"/>
          <w:b w:val="0"/>
          <w:bCs w:val="0"/>
          <w:color w:val="auto"/>
          <w:spacing w:val="0"/>
          <w:sz w:val="21"/>
          <w:szCs w:val="21"/>
          <w:highlight w:val="none"/>
        </w:rPr>
      </w:pPr>
      <w:r>
        <w:rPr>
          <w:rFonts w:hint="eastAsia" w:ascii="宋体" w:hAnsi="宋体" w:eastAsia="宋体" w:cs="宋体"/>
          <w:b w:val="0"/>
          <w:bCs w:val="0"/>
          <w:color w:val="auto"/>
          <w:spacing w:val="0"/>
          <w:sz w:val="21"/>
          <w:szCs w:val="21"/>
          <w:highlight w:val="none"/>
          <w:lang w:eastAsia="zh-CN"/>
        </w:rPr>
        <w:t>本文件</w:t>
      </w:r>
      <w:r>
        <w:rPr>
          <w:rFonts w:ascii="宋体" w:hAnsi="宋体" w:eastAsia="宋体" w:cs="宋体"/>
          <w:b w:val="0"/>
          <w:bCs w:val="0"/>
          <w:color w:val="auto"/>
          <w:spacing w:val="0"/>
          <w:sz w:val="21"/>
          <w:szCs w:val="21"/>
          <w:highlight w:val="none"/>
        </w:rPr>
        <w:t>按照GB/T1.1—2020 《标准化工作导则第1部分：标准化文件的结构和起草规则》的规定 起草。</w:t>
      </w:r>
    </w:p>
    <w:p w14:paraId="23F857B8">
      <w:pPr>
        <w:keepNext w:val="0"/>
        <w:keepLines w:val="0"/>
        <w:pageBreakBefore w:val="0"/>
        <w:widowControl/>
        <w:kinsoku w:val="0"/>
        <w:wordWrap/>
        <w:overflowPunct/>
        <w:topLinePunct w:val="0"/>
        <w:autoSpaceDE w:val="0"/>
        <w:autoSpaceDN w:val="0"/>
        <w:bidi w:val="0"/>
        <w:adjustRightInd w:val="0"/>
        <w:snapToGrid w:val="0"/>
        <w:spacing w:before="72" w:line="360" w:lineRule="exact"/>
        <w:ind w:left="423"/>
        <w:textAlignment w:val="baseline"/>
        <w:rPr>
          <w:rFonts w:ascii="宋体" w:hAnsi="宋体" w:eastAsia="宋体" w:cs="宋体"/>
          <w:b w:val="0"/>
          <w:bCs w:val="0"/>
          <w:color w:val="auto"/>
          <w:spacing w:val="0"/>
          <w:sz w:val="21"/>
          <w:szCs w:val="21"/>
          <w:highlight w:val="none"/>
        </w:rPr>
      </w:pPr>
      <w:r>
        <w:rPr>
          <w:rFonts w:hint="eastAsia" w:ascii="宋体" w:hAnsi="宋体" w:eastAsia="宋体" w:cs="宋体"/>
          <w:b w:val="0"/>
          <w:bCs w:val="0"/>
          <w:color w:val="auto"/>
          <w:spacing w:val="0"/>
          <w:sz w:val="21"/>
          <w:szCs w:val="21"/>
          <w:highlight w:val="none"/>
          <w:lang w:eastAsia="zh-CN"/>
        </w:rPr>
        <w:t>本文件</w:t>
      </w:r>
      <w:r>
        <w:rPr>
          <w:rFonts w:ascii="宋体" w:hAnsi="宋体" w:eastAsia="宋体" w:cs="宋体"/>
          <w:b w:val="0"/>
          <w:bCs w:val="0"/>
          <w:color w:val="auto"/>
          <w:spacing w:val="0"/>
          <w:sz w:val="21"/>
          <w:szCs w:val="21"/>
          <w:highlight w:val="none"/>
        </w:rPr>
        <w:t>由</w:t>
      </w:r>
      <w:r>
        <w:rPr>
          <w:rFonts w:hint="eastAsia" w:ascii="宋体" w:hAnsi="宋体" w:eastAsia="宋体" w:cs="宋体"/>
          <w:b w:val="0"/>
          <w:bCs w:val="0"/>
          <w:color w:val="auto"/>
          <w:spacing w:val="0"/>
          <w:sz w:val="21"/>
          <w:szCs w:val="21"/>
          <w:highlight w:val="none"/>
          <w:lang w:val="en-US" w:eastAsia="zh-CN"/>
        </w:rPr>
        <w:t>河北省</w:t>
      </w:r>
      <w:r>
        <w:rPr>
          <w:rFonts w:ascii="宋体" w:hAnsi="宋体" w:eastAsia="宋体" w:cs="宋体"/>
          <w:b w:val="0"/>
          <w:bCs w:val="0"/>
          <w:color w:val="auto"/>
          <w:spacing w:val="0"/>
          <w:sz w:val="21"/>
          <w:szCs w:val="21"/>
          <w:highlight w:val="none"/>
        </w:rPr>
        <w:t>生态环境</w:t>
      </w:r>
      <w:r>
        <w:rPr>
          <w:rFonts w:hint="eastAsia" w:ascii="宋体" w:hAnsi="宋体" w:eastAsia="宋体" w:cs="宋体"/>
          <w:b w:val="0"/>
          <w:bCs w:val="0"/>
          <w:color w:val="auto"/>
          <w:spacing w:val="0"/>
          <w:sz w:val="21"/>
          <w:szCs w:val="21"/>
          <w:highlight w:val="none"/>
          <w:lang w:val="en-US" w:eastAsia="zh-CN"/>
        </w:rPr>
        <w:t>厅</w:t>
      </w:r>
      <w:r>
        <w:rPr>
          <w:rFonts w:ascii="宋体" w:hAnsi="宋体" w:eastAsia="宋体" w:cs="宋体"/>
          <w:b w:val="0"/>
          <w:bCs w:val="0"/>
          <w:color w:val="auto"/>
          <w:spacing w:val="0"/>
          <w:sz w:val="21"/>
          <w:szCs w:val="21"/>
          <w:highlight w:val="none"/>
        </w:rPr>
        <w:t>提出并归口。</w:t>
      </w:r>
    </w:p>
    <w:p w14:paraId="7731DEBC">
      <w:pPr>
        <w:keepNext w:val="0"/>
        <w:keepLines w:val="0"/>
        <w:pageBreakBefore w:val="0"/>
        <w:widowControl/>
        <w:kinsoku w:val="0"/>
        <w:wordWrap/>
        <w:overflowPunct/>
        <w:topLinePunct w:val="0"/>
        <w:autoSpaceDE w:val="0"/>
        <w:autoSpaceDN w:val="0"/>
        <w:bidi w:val="0"/>
        <w:adjustRightInd w:val="0"/>
        <w:snapToGrid w:val="0"/>
        <w:spacing w:before="72" w:line="360" w:lineRule="exact"/>
        <w:ind w:left="423"/>
        <w:textAlignment w:val="baseline"/>
        <w:rPr>
          <w:rFonts w:ascii="宋体" w:hAnsi="宋体" w:eastAsia="宋体" w:cs="宋体"/>
          <w:b w:val="0"/>
          <w:bCs w:val="0"/>
          <w:color w:val="auto"/>
          <w:spacing w:val="0"/>
          <w:sz w:val="21"/>
          <w:szCs w:val="21"/>
          <w:highlight w:val="none"/>
        </w:rPr>
      </w:pPr>
      <w:r>
        <w:rPr>
          <w:rFonts w:hint="eastAsia" w:ascii="宋体" w:hAnsi="宋体" w:eastAsia="宋体" w:cs="宋体"/>
          <w:b w:val="0"/>
          <w:bCs w:val="0"/>
          <w:color w:val="auto"/>
          <w:spacing w:val="0"/>
          <w:sz w:val="21"/>
          <w:szCs w:val="21"/>
          <w:highlight w:val="none"/>
          <w:lang w:eastAsia="zh-CN"/>
        </w:rPr>
        <w:t>本文件</w:t>
      </w:r>
      <w:r>
        <w:rPr>
          <w:rFonts w:ascii="宋体" w:hAnsi="宋体" w:eastAsia="宋体" w:cs="宋体"/>
          <w:b w:val="0"/>
          <w:bCs w:val="0"/>
          <w:color w:val="auto"/>
          <w:spacing w:val="0"/>
          <w:sz w:val="21"/>
          <w:szCs w:val="21"/>
          <w:highlight w:val="none"/>
        </w:rPr>
        <w:t>由</w:t>
      </w:r>
      <w:r>
        <w:rPr>
          <w:rFonts w:hint="eastAsia" w:ascii="宋体" w:hAnsi="宋体" w:eastAsia="宋体" w:cs="宋体"/>
          <w:b w:val="0"/>
          <w:bCs w:val="0"/>
          <w:color w:val="auto"/>
          <w:spacing w:val="0"/>
          <w:sz w:val="21"/>
          <w:szCs w:val="21"/>
          <w:highlight w:val="none"/>
          <w:lang w:val="en-US" w:eastAsia="zh-CN"/>
        </w:rPr>
        <w:t>河北省</w:t>
      </w:r>
      <w:r>
        <w:rPr>
          <w:rFonts w:ascii="宋体" w:hAnsi="宋体" w:eastAsia="宋体" w:cs="宋体"/>
          <w:b w:val="0"/>
          <w:bCs w:val="0"/>
          <w:color w:val="auto"/>
          <w:spacing w:val="0"/>
          <w:sz w:val="21"/>
          <w:szCs w:val="21"/>
          <w:highlight w:val="none"/>
        </w:rPr>
        <w:t>人民政府202?年??月??日批准。</w:t>
      </w:r>
    </w:p>
    <w:p w14:paraId="7B288D8E">
      <w:pPr>
        <w:keepNext w:val="0"/>
        <w:keepLines w:val="0"/>
        <w:pageBreakBefore w:val="0"/>
        <w:widowControl/>
        <w:kinsoku w:val="0"/>
        <w:wordWrap/>
        <w:overflowPunct/>
        <w:topLinePunct w:val="0"/>
        <w:autoSpaceDE w:val="0"/>
        <w:autoSpaceDN w:val="0"/>
        <w:bidi w:val="0"/>
        <w:adjustRightInd w:val="0"/>
        <w:snapToGrid w:val="0"/>
        <w:spacing w:before="72" w:line="360" w:lineRule="exact"/>
        <w:ind w:left="423"/>
        <w:textAlignment w:val="baseline"/>
        <w:rPr>
          <w:rFonts w:hint="eastAsia" w:ascii="宋体" w:hAnsi="宋体" w:eastAsia="宋体" w:cs="宋体"/>
          <w:b w:val="0"/>
          <w:bCs w:val="0"/>
          <w:color w:val="auto"/>
          <w:spacing w:val="0"/>
          <w:sz w:val="21"/>
          <w:szCs w:val="21"/>
          <w:highlight w:val="none"/>
          <w:lang w:eastAsia="zh-CN"/>
        </w:rPr>
      </w:pPr>
      <w:r>
        <w:rPr>
          <w:rFonts w:hint="eastAsia" w:ascii="宋体" w:hAnsi="宋体" w:eastAsia="宋体" w:cs="宋体"/>
          <w:b w:val="0"/>
          <w:bCs w:val="0"/>
          <w:color w:val="auto"/>
          <w:spacing w:val="0"/>
          <w:sz w:val="21"/>
          <w:szCs w:val="21"/>
          <w:highlight w:val="none"/>
          <w:lang w:eastAsia="zh-CN"/>
        </w:rPr>
        <w:t>本文件起草单位：河北省生态环境监测中心（河北省机动车排污监控信息中心）、河北省生态环境科学研究院。</w:t>
      </w:r>
    </w:p>
    <w:p w14:paraId="4EA2B080">
      <w:pPr>
        <w:keepNext w:val="0"/>
        <w:keepLines w:val="0"/>
        <w:pageBreakBefore w:val="0"/>
        <w:widowControl/>
        <w:kinsoku w:val="0"/>
        <w:wordWrap/>
        <w:overflowPunct/>
        <w:topLinePunct w:val="0"/>
        <w:autoSpaceDE w:val="0"/>
        <w:autoSpaceDN w:val="0"/>
        <w:bidi w:val="0"/>
        <w:adjustRightInd w:val="0"/>
        <w:snapToGrid w:val="0"/>
        <w:spacing w:before="72" w:line="360" w:lineRule="exact"/>
        <w:ind w:left="423"/>
        <w:textAlignment w:val="baseline"/>
        <w:rPr>
          <w:rFonts w:hint="eastAsia" w:ascii="黑体" w:hAnsi="黑体" w:eastAsia="黑体" w:cs="黑体"/>
          <w:b w:val="0"/>
          <w:bCs w:val="0"/>
          <w:spacing w:val="0"/>
          <w:sz w:val="21"/>
          <w:szCs w:val="21"/>
          <w:highlight w:val="none"/>
          <w:lang w:val="en-US" w:eastAsia="zh-CN"/>
        </w:rPr>
      </w:pPr>
      <w:r>
        <w:rPr>
          <w:rFonts w:hint="eastAsia" w:ascii="宋体" w:hAnsi="宋体" w:eastAsia="宋体" w:cs="宋体"/>
          <w:b w:val="0"/>
          <w:bCs w:val="0"/>
          <w:color w:val="auto"/>
          <w:spacing w:val="0"/>
          <w:sz w:val="21"/>
          <w:szCs w:val="21"/>
          <w:highlight w:val="none"/>
          <w:lang w:eastAsia="zh-CN"/>
        </w:rPr>
        <w:t>本文件</w:t>
      </w:r>
      <w:r>
        <w:rPr>
          <w:rFonts w:ascii="宋体" w:hAnsi="宋体" w:eastAsia="宋体" w:cs="宋体"/>
          <w:b w:val="0"/>
          <w:bCs w:val="0"/>
          <w:color w:val="auto"/>
          <w:spacing w:val="0"/>
          <w:sz w:val="21"/>
          <w:szCs w:val="21"/>
          <w:highlight w:val="none"/>
        </w:rPr>
        <w:t>主要起草人： XXX、XXX、XXX、XXX、XXX、XXX</w:t>
      </w:r>
    </w:p>
    <w:p w14:paraId="1D9556EC">
      <w:pPr>
        <w:keepNext w:val="0"/>
        <w:keepLines w:val="0"/>
        <w:pageBreakBefore w:val="0"/>
        <w:kinsoku w:val="0"/>
        <w:wordWrap/>
        <w:overflowPunct/>
        <w:topLinePunct w:val="0"/>
        <w:autoSpaceDE w:val="0"/>
        <w:autoSpaceDN w:val="0"/>
        <w:bidi w:val="0"/>
        <w:adjustRightInd w:val="0"/>
        <w:snapToGrid w:val="0"/>
        <w:textAlignment w:val="baseline"/>
        <w:rPr>
          <w:rFonts w:hint="eastAsia" w:ascii="宋体" w:hAnsi="宋体" w:eastAsia="宋体" w:cs="宋体"/>
          <w:b w:val="0"/>
          <w:bCs w:val="0"/>
          <w:spacing w:val="-1"/>
          <w:sz w:val="21"/>
          <w:szCs w:val="21"/>
          <w:lang w:val="en-US" w:eastAsia="zh-CN"/>
        </w:rPr>
      </w:pPr>
    </w:p>
    <w:p w14:paraId="0F68C861">
      <w:pPr>
        <w:keepNext w:val="0"/>
        <w:keepLines w:val="0"/>
        <w:pageBreakBefore w:val="0"/>
        <w:kinsoku w:val="0"/>
        <w:wordWrap/>
        <w:overflowPunct/>
        <w:topLinePunct w:val="0"/>
        <w:autoSpaceDE w:val="0"/>
        <w:autoSpaceDN w:val="0"/>
        <w:bidi w:val="0"/>
        <w:adjustRightInd w:val="0"/>
        <w:snapToGrid w:val="0"/>
        <w:textAlignment w:val="baseline"/>
        <w:rPr>
          <w:rFonts w:hint="eastAsia" w:ascii="宋体" w:hAnsi="宋体" w:eastAsia="宋体" w:cs="宋体"/>
          <w:b w:val="0"/>
          <w:bCs w:val="0"/>
          <w:spacing w:val="-1"/>
          <w:sz w:val="21"/>
          <w:szCs w:val="21"/>
          <w:lang w:val="en-US" w:eastAsia="zh-CN"/>
        </w:rPr>
      </w:pPr>
    </w:p>
    <w:p w14:paraId="6720A736">
      <w:pPr>
        <w:keepNext w:val="0"/>
        <w:keepLines w:val="0"/>
        <w:pageBreakBefore w:val="0"/>
        <w:kinsoku w:val="0"/>
        <w:wordWrap/>
        <w:overflowPunct/>
        <w:topLinePunct w:val="0"/>
        <w:autoSpaceDE w:val="0"/>
        <w:autoSpaceDN w:val="0"/>
        <w:bidi w:val="0"/>
        <w:adjustRightInd w:val="0"/>
        <w:snapToGrid w:val="0"/>
        <w:textAlignment w:val="baseline"/>
        <w:rPr>
          <w:rFonts w:hint="eastAsia" w:ascii="宋体" w:hAnsi="宋体" w:eastAsia="宋体" w:cs="宋体"/>
          <w:b w:val="0"/>
          <w:bCs w:val="0"/>
          <w:spacing w:val="-1"/>
          <w:sz w:val="21"/>
          <w:szCs w:val="21"/>
          <w:lang w:val="en-US" w:eastAsia="zh-CN"/>
        </w:rPr>
        <w:sectPr>
          <w:footerReference r:id="rId6" w:type="default"/>
          <w:pgSz w:w="11906" w:h="16838"/>
          <w:pgMar w:top="1417" w:right="1134" w:bottom="1134" w:left="1417" w:header="851" w:footer="992" w:gutter="0"/>
          <w:pgNumType w:fmt="upperRoman" w:start="1"/>
          <w:cols w:space="0" w:num="1"/>
          <w:rtlGutter w:val="0"/>
          <w:docGrid w:type="lines" w:linePitch="312" w:charSpace="0"/>
        </w:sectPr>
      </w:pPr>
    </w:p>
    <w:p w14:paraId="129DF8BA">
      <w:pPr>
        <w:pStyle w:val="4"/>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b w:val="0"/>
          <w:bCs w:val="0"/>
          <w:sz w:val="20"/>
          <w:szCs w:val="20"/>
        </w:rPr>
      </w:pPr>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066278BC">
      <w:pPr>
        <w:keepNext w:val="0"/>
        <w:keepLines w:val="0"/>
        <w:pageBreakBefore w:val="0"/>
        <w:kinsoku w:val="0"/>
        <w:wordWrap/>
        <w:overflowPunct/>
        <w:topLinePunct w:val="0"/>
        <w:autoSpaceDE w:val="0"/>
        <w:autoSpaceDN w:val="0"/>
        <w:bidi w:val="0"/>
        <w:adjustRightInd w:val="0"/>
        <w:snapToGrid w:val="0"/>
        <w:textAlignment w:val="baseline"/>
        <w:rPr>
          <w:rFonts w:hint="eastAsia" w:ascii="宋体" w:hAnsi="宋体" w:eastAsia="宋体" w:cs="宋体"/>
          <w:b w:val="0"/>
          <w:bCs w:val="0"/>
          <w:spacing w:val="-1"/>
          <w:sz w:val="21"/>
          <w:szCs w:val="21"/>
          <w:lang w:val="en-US" w:eastAsia="zh-CN"/>
        </w:rPr>
      </w:pPr>
    </w:p>
    <w:p w14:paraId="3A00D190">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jc w:val="center"/>
        <w:textAlignment w:val="baseline"/>
        <w:rPr>
          <w:b w:val="0"/>
          <w:bCs w:val="0"/>
        </w:rPr>
      </w:pPr>
      <w:r>
        <w:rPr>
          <w:rFonts w:ascii="黑体" w:hAnsi="宋体" w:eastAsia="黑体" w:cs="黑体"/>
          <w:b w:val="0"/>
          <w:bCs w:val="0"/>
          <w:snapToGrid w:val="0"/>
          <w:color w:val="000000"/>
          <w:kern w:val="0"/>
          <w:sz w:val="32"/>
          <w:szCs w:val="32"/>
          <w:lang w:val="en-US" w:eastAsia="zh-CN" w:bidi="ar"/>
        </w:rPr>
        <w:t>油品运输大气污染物排放标准</w:t>
      </w:r>
    </w:p>
    <w:p w14:paraId="1A6C431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A79678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2" w:name="_Toc22237"/>
      <w:r>
        <w:rPr>
          <w:rFonts w:hint="eastAsia" w:ascii="黑体" w:hAnsi="黑体" w:eastAsia="黑体" w:cs="黑体"/>
          <w:snapToGrid w:val="0"/>
          <w:color w:val="000000"/>
          <w:spacing w:val="10"/>
          <w:kern w:val="0"/>
          <w:sz w:val="21"/>
          <w:szCs w:val="21"/>
          <w:lang w:val="en-US" w:eastAsia="zh-CN" w:bidi="ar-SA"/>
        </w:rPr>
        <w:t>1  适用范围</w:t>
      </w:r>
      <w:bookmarkEnd w:id="2"/>
    </w:p>
    <w:p w14:paraId="1816EFE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238629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420" w:firstLineChars="0"/>
        <w:textAlignment w:val="baseline"/>
        <w:rPr>
          <w:rFonts w:hint="eastAsia" w:asciiTheme="minorEastAsia" w:hAnsiTheme="minorEastAsia" w:eastAsiaTheme="minorEastAsia" w:cstheme="minorEastAsia"/>
          <w:snapToGrid w:val="0"/>
          <w:color w:val="000000"/>
          <w:spacing w:val="10"/>
          <w:kern w:val="0"/>
          <w:sz w:val="21"/>
          <w:szCs w:val="21"/>
          <w:lang w:val="en-US" w:eastAsia="zh-CN" w:bidi="ar-SA"/>
        </w:rPr>
      </w:pPr>
      <w:r>
        <w:rPr>
          <w:rFonts w:hint="eastAsia" w:asciiTheme="minorEastAsia" w:hAnsiTheme="minorEastAsia" w:eastAsiaTheme="minorEastAsia" w:cstheme="minorEastAsia"/>
          <w:snapToGrid w:val="0"/>
          <w:color w:val="000000"/>
          <w:spacing w:val="10"/>
          <w:kern w:val="0"/>
          <w:sz w:val="21"/>
          <w:szCs w:val="21"/>
          <w:lang w:val="en-US" w:eastAsia="zh-CN" w:bidi="ar-SA"/>
        </w:rPr>
        <w:t>本文件规定了油品运输过程中油气排放控制要求、监测和监督管理要求。</w:t>
      </w:r>
    </w:p>
    <w:p w14:paraId="24276B12">
      <w:pPr>
        <w:keepNext w:val="0"/>
        <w:keepLines w:val="0"/>
        <w:pageBreakBefore w:val="0"/>
        <w:widowControl/>
        <w:kinsoku w:val="0"/>
        <w:wordWrap/>
        <w:overflowPunct/>
        <w:topLinePunct w:val="0"/>
        <w:autoSpaceDE w:val="0"/>
        <w:autoSpaceDN w:val="0"/>
        <w:bidi w:val="0"/>
        <w:adjustRightInd w:val="0"/>
        <w:snapToGrid w:val="0"/>
        <w:spacing w:before="31" w:line="264" w:lineRule="auto"/>
        <w:ind w:right="46" w:firstLine="420"/>
        <w:textAlignment w:val="baseline"/>
        <w:rPr>
          <w:rFonts w:ascii="宋体" w:hAnsi="宋体" w:eastAsia="宋体" w:cs="宋体"/>
          <w:b w:val="0"/>
          <w:bCs w:val="0"/>
          <w:spacing w:val="-4"/>
          <w:sz w:val="21"/>
          <w:szCs w:val="21"/>
        </w:rPr>
      </w:pPr>
      <w:r>
        <w:rPr>
          <w:rFonts w:hint="eastAsia" w:ascii="宋体" w:hAnsi="宋体" w:eastAsia="宋体" w:cs="宋体"/>
          <w:b w:val="0"/>
          <w:bCs w:val="0"/>
          <w:spacing w:val="-2"/>
          <w:sz w:val="21"/>
          <w:szCs w:val="21"/>
          <w:lang w:eastAsia="zh-CN"/>
        </w:rPr>
        <w:t>本文件</w:t>
      </w:r>
      <w:r>
        <w:rPr>
          <w:rFonts w:ascii="宋体" w:hAnsi="宋体" w:eastAsia="宋体" w:cs="宋体"/>
          <w:b w:val="0"/>
          <w:bCs w:val="0"/>
          <w:spacing w:val="-2"/>
          <w:sz w:val="21"/>
          <w:szCs w:val="21"/>
        </w:rPr>
        <w:t>适用于现有</w:t>
      </w:r>
      <w:r>
        <w:rPr>
          <w:rFonts w:hint="eastAsia" w:ascii="宋体" w:hAnsi="宋体" w:eastAsia="宋体" w:cs="宋体"/>
          <w:b w:val="0"/>
          <w:bCs w:val="0"/>
          <w:spacing w:val="-2"/>
          <w:sz w:val="21"/>
          <w:szCs w:val="21"/>
          <w:lang w:val="en-US" w:eastAsia="zh-CN"/>
        </w:rPr>
        <w:t>油品运输工具</w:t>
      </w:r>
      <w:r>
        <w:rPr>
          <w:rFonts w:ascii="宋体" w:hAnsi="宋体" w:eastAsia="宋体" w:cs="宋体"/>
          <w:b w:val="0"/>
          <w:bCs w:val="0"/>
          <w:spacing w:val="-2"/>
          <w:sz w:val="21"/>
          <w:szCs w:val="21"/>
        </w:rPr>
        <w:t>的油气排放管理，以及新投入使用的</w:t>
      </w:r>
      <w:r>
        <w:rPr>
          <w:rFonts w:hint="eastAsia" w:ascii="宋体" w:hAnsi="宋体" w:eastAsia="宋体" w:cs="宋体"/>
          <w:b w:val="0"/>
          <w:bCs w:val="0"/>
          <w:spacing w:val="-2"/>
          <w:sz w:val="21"/>
          <w:szCs w:val="21"/>
          <w:lang w:val="en-US" w:eastAsia="zh-CN"/>
        </w:rPr>
        <w:t>油品运输工具</w:t>
      </w:r>
      <w:r>
        <w:rPr>
          <w:rFonts w:ascii="宋体" w:hAnsi="宋体" w:eastAsia="宋体" w:cs="宋体"/>
          <w:b w:val="0"/>
          <w:bCs w:val="0"/>
          <w:spacing w:val="-2"/>
          <w:sz w:val="21"/>
          <w:szCs w:val="21"/>
        </w:rPr>
        <w:t>的登记及其使用</w:t>
      </w:r>
      <w:r>
        <w:rPr>
          <w:rFonts w:ascii="宋体" w:hAnsi="宋体" w:eastAsia="宋体" w:cs="宋体"/>
          <w:b w:val="0"/>
          <w:bCs w:val="0"/>
          <w:spacing w:val="-3"/>
          <w:sz w:val="21"/>
          <w:szCs w:val="21"/>
        </w:rPr>
        <w:t>后的油气排放</w:t>
      </w:r>
      <w:r>
        <w:rPr>
          <w:rFonts w:ascii="宋体" w:hAnsi="宋体" w:eastAsia="宋体" w:cs="宋体"/>
          <w:b w:val="0"/>
          <w:bCs w:val="0"/>
          <w:spacing w:val="-4"/>
          <w:sz w:val="21"/>
          <w:szCs w:val="21"/>
        </w:rPr>
        <w:t>管理。</w:t>
      </w:r>
    </w:p>
    <w:p w14:paraId="2843F42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69C360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3" w:name="_Toc7065"/>
      <w:r>
        <w:rPr>
          <w:rFonts w:hint="eastAsia" w:ascii="黑体" w:hAnsi="黑体" w:eastAsia="黑体" w:cs="黑体"/>
          <w:snapToGrid w:val="0"/>
          <w:color w:val="000000"/>
          <w:spacing w:val="10"/>
          <w:kern w:val="0"/>
          <w:sz w:val="21"/>
          <w:szCs w:val="21"/>
          <w:lang w:val="en-US" w:eastAsia="zh-CN" w:bidi="ar-SA"/>
        </w:rPr>
        <w:t>2  规范性引用文件</w:t>
      </w:r>
      <w:bookmarkEnd w:id="3"/>
    </w:p>
    <w:p w14:paraId="701754F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46CB16B8">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下列文件中的内容通过文中的规范性引用而构成</w:t>
      </w:r>
      <w:r>
        <w:rPr>
          <w:rFonts w:hint="eastAsia" w:ascii="宋体" w:hAnsi="宋体" w:eastAsia="宋体" w:cs="宋体"/>
          <w:b w:val="0"/>
          <w:bCs w:val="0"/>
          <w:spacing w:val="0"/>
          <w:sz w:val="21"/>
          <w:szCs w:val="21"/>
          <w:lang w:eastAsia="zh-CN"/>
        </w:rPr>
        <w:t>本文件</w:t>
      </w:r>
      <w:r>
        <w:rPr>
          <w:rFonts w:ascii="宋体" w:hAnsi="宋体" w:eastAsia="宋体" w:cs="宋体"/>
          <w:b w:val="0"/>
          <w:bCs w:val="0"/>
          <w:spacing w:val="0"/>
          <w:sz w:val="21"/>
          <w:szCs w:val="21"/>
        </w:rPr>
        <w:t>必不可少的条款。其中，注日期的引用文件，仅该日期对应的版本适用于</w:t>
      </w:r>
      <w:r>
        <w:rPr>
          <w:rFonts w:hint="eastAsia" w:ascii="宋体" w:hAnsi="宋体" w:eastAsia="宋体" w:cs="宋体"/>
          <w:b w:val="0"/>
          <w:bCs w:val="0"/>
          <w:spacing w:val="0"/>
          <w:sz w:val="21"/>
          <w:szCs w:val="21"/>
          <w:lang w:eastAsia="zh-CN"/>
        </w:rPr>
        <w:t>本文件</w:t>
      </w:r>
      <w:r>
        <w:rPr>
          <w:rFonts w:ascii="宋体" w:hAnsi="宋体" w:eastAsia="宋体" w:cs="宋体"/>
          <w:b w:val="0"/>
          <w:bCs w:val="0"/>
          <w:spacing w:val="0"/>
          <w:sz w:val="21"/>
          <w:szCs w:val="21"/>
        </w:rPr>
        <w:t>；不注日期的引用文件，其最新版本(包括所有的修改单)适用于</w:t>
      </w:r>
      <w:r>
        <w:rPr>
          <w:rFonts w:hint="eastAsia" w:ascii="宋体" w:hAnsi="宋体" w:eastAsia="宋体" w:cs="宋体"/>
          <w:b w:val="0"/>
          <w:bCs w:val="0"/>
          <w:spacing w:val="0"/>
          <w:sz w:val="21"/>
          <w:szCs w:val="21"/>
          <w:lang w:eastAsia="zh-CN"/>
        </w:rPr>
        <w:t>本文件</w:t>
      </w:r>
      <w:r>
        <w:rPr>
          <w:rFonts w:ascii="宋体" w:hAnsi="宋体" w:eastAsia="宋体" w:cs="宋体"/>
          <w:b w:val="0"/>
          <w:bCs w:val="0"/>
          <w:spacing w:val="0"/>
          <w:sz w:val="21"/>
          <w:szCs w:val="21"/>
        </w:rPr>
        <w:t>。</w:t>
      </w:r>
    </w:p>
    <w:p w14:paraId="57D391FA">
      <w:pPr>
        <w:keepNext w:val="0"/>
        <w:keepLines w:val="0"/>
        <w:pageBreakBefore w:val="0"/>
        <w:widowControl/>
        <w:kinsoku w:val="0"/>
        <w:wordWrap/>
        <w:overflowPunct/>
        <w:topLinePunct w:val="0"/>
        <w:autoSpaceDE w:val="0"/>
        <w:autoSpaceDN w:val="0"/>
        <w:bidi w:val="0"/>
        <w:adjustRightInd w:val="0"/>
        <w:snapToGrid w:val="0"/>
        <w:spacing w:before="19" w:line="264" w:lineRule="auto"/>
        <w:ind w:left="420"/>
        <w:textAlignment w:val="baseline"/>
        <w:rPr>
          <w:rFonts w:ascii="宋体" w:hAnsi="宋体" w:eastAsia="宋体" w:cs="宋体"/>
          <w:b w:val="0"/>
          <w:bCs w:val="0"/>
          <w:sz w:val="21"/>
          <w:szCs w:val="21"/>
          <w:highlight w:val="none"/>
        </w:rPr>
      </w:pPr>
      <w:r>
        <w:rPr>
          <w:rFonts w:ascii="宋体" w:hAnsi="宋体" w:eastAsia="宋体" w:cs="宋体"/>
          <w:b w:val="0"/>
          <w:bCs w:val="0"/>
          <w:sz w:val="21"/>
          <w:szCs w:val="21"/>
          <w:highlight w:val="none"/>
        </w:rPr>
        <w:t>GB/T</w:t>
      </w:r>
      <w:r>
        <w:rPr>
          <w:rFonts w:ascii="宋体" w:hAnsi="宋体" w:eastAsia="宋体" w:cs="宋体"/>
          <w:b w:val="0"/>
          <w:bCs w:val="0"/>
          <w:spacing w:val="33"/>
          <w:sz w:val="21"/>
          <w:szCs w:val="21"/>
          <w:highlight w:val="none"/>
        </w:rPr>
        <w:t xml:space="preserve"> </w:t>
      </w:r>
      <w:r>
        <w:rPr>
          <w:rFonts w:ascii="宋体" w:hAnsi="宋体" w:eastAsia="宋体" w:cs="宋体"/>
          <w:b w:val="0"/>
          <w:bCs w:val="0"/>
          <w:sz w:val="21"/>
          <w:szCs w:val="21"/>
          <w:highlight w:val="none"/>
        </w:rPr>
        <w:t>5600</w:t>
      </w:r>
      <w:r>
        <w:rPr>
          <w:rFonts w:ascii="宋体" w:hAnsi="宋体" w:eastAsia="宋体" w:cs="宋体"/>
          <w:b w:val="0"/>
          <w:bCs w:val="0"/>
          <w:spacing w:val="75"/>
          <w:sz w:val="21"/>
          <w:szCs w:val="21"/>
          <w:highlight w:val="none"/>
        </w:rPr>
        <w:t xml:space="preserve"> </w:t>
      </w:r>
      <w:r>
        <w:rPr>
          <w:rFonts w:ascii="宋体" w:hAnsi="宋体" w:eastAsia="宋体" w:cs="宋体"/>
          <w:b w:val="0"/>
          <w:bCs w:val="0"/>
          <w:sz w:val="21"/>
          <w:szCs w:val="21"/>
          <w:highlight w:val="none"/>
        </w:rPr>
        <w:t>铁道货车通用技术条件</w:t>
      </w:r>
    </w:p>
    <w:p w14:paraId="6D48B97B">
      <w:pPr>
        <w:keepNext w:val="0"/>
        <w:keepLines w:val="0"/>
        <w:pageBreakBefore w:val="0"/>
        <w:widowControl/>
        <w:kinsoku w:val="0"/>
        <w:wordWrap/>
        <w:overflowPunct/>
        <w:topLinePunct w:val="0"/>
        <w:autoSpaceDE w:val="0"/>
        <w:autoSpaceDN w:val="0"/>
        <w:bidi w:val="0"/>
        <w:adjustRightInd w:val="0"/>
        <w:snapToGrid w:val="0"/>
        <w:spacing w:before="19" w:line="264" w:lineRule="auto"/>
        <w:ind w:left="420"/>
        <w:textAlignment w:val="baseline"/>
        <w:rPr>
          <w:rFonts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GB/</w:t>
      </w:r>
      <w:r>
        <w:rPr>
          <w:rFonts w:hint="eastAsia" w:ascii="宋体" w:hAnsi="宋体" w:eastAsia="宋体" w:cs="宋体"/>
          <w:b w:val="0"/>
          <w:bCs w:val="0"/>
          <w:sz w:val="21"/>
          <w:szCs w:val="21"/>
          <w:highlight w:val="none"/>
          <w:lang w:val="en-US" w:eastAsia="zh-CN"/>
        </w:rPr>
        <w:t xml:space="preserve"> </w:t>
      </w:r>
      <w:r>
        <w:rPr>
          <w:rFonts w:hint="eastAsia" w:ascii="宋体" w:hAnsi="宋体" w:eastAsia="宋体" w:cs="宋体"/>
          <w:b w:val="0"/>
          <w:bCs w:val="0"/>
          <w:sz w:val="21"/>
          <w:szCs w:val="21"/>
          <w:highlight w:val="none"/>
        </w:rPr>
        <w:t>T8170 数值修约规则与极限数值的表示和判定</w:t>
      </w:r>
    </w:p>
    <w:p w14:paraId="4B383C17">
      <w:pPr>
        <w:keepNext w:val="0"/>
        <w:keepLines w:val="0"/>
        <w:pageBreakBefore w:val="0"/>
        <w:widowControl/>
        <w:kinsoku w:val="0"/>
        <w:wordWrap/>
        <w:overflowPunct/>
        <w:topLinePunct w:val="0"/>
        <w:autoSpaceDE w:val="0"/>
        <w:autoSpaceDN w:val="0"/>
        <w:bidi w:val="0"/>
        <w:adjustRightInd w:val="0"/>
        <w:snapToGrid w:val="0"/>
        <w:spacing w:before="23" w:line="264" w:lineRule="auto"/>
        <w:ind w:left="420"/>
        <w:textAlignment w:val="baseline"/>
        <w:rPr>
          <w:rFonts w:ascii="宋体" w:hAnsi="宋体" w:eastAsia="宋体" w:cs="宋体"/>
          <w:b w:val="0"/>
          <w:bCs w:val="0"/>
          <w:sz w:val="21"/>
          <w:szCs w:val="21"/>
          <w:highlight w:val="none"/>
        </w:rPr>
      </w:pPr>
      <w:r>
        <w:rPr>
          <w:rFonts w:ascii="宋体" w:hAnsi="宋体" w:eastAsia="宋体" w:cs="宋体"/>
          <w:b w:val="0"/>
          <w:bCs w:val="0"/>
          <w:sz w:val="21"/>
          <w:szCs w:val="21"/>
          <w:highlight w:val="none"/>
        </w:rPr>
        <w:t>HJ733</w:t>
      </w:r>
      <w:r>
        <w:rPr>
          <w:rFonts w:ascii="宋体" w:hAnsi="宋体" w:eastAsia="宋体" w:cs="宋体"/>
          <w:b w:val="0"/>
          <w:bCs w:val="0"/>
          <w:spacing w:val="46"/>
          <w:sz w:val="21"/>
          <w:szCs w:val="21"/>
          <w:highlight w:val="none"/>
        </w:rPr>
        <w:t xml:space="preserve">  </w:t>
      </w:r>
      <w:r>
        <w:rPr>
          <w:rFonts w:ascii="宋体" w:hAnsi="宋体" w:eastAsia="宋体" w:cs="宋体"/>
          <w:b w:val="0"/>
          <w:bCs w:val="0"/>
          <w:sz w:val="21"/>
          <w:szCs w:val="21"/>
          <w:highlight w:val="none"/>
        </w:rPr>
        <w:t>泄漏和敞开液面排放的挥发性有机物检测技术导则</w:t>
      </w:r>
    </w:p>
    <w:p w14:paraId="3240DAEE">
      <w:pPr>
        <w:keepNext w:val="0"/>
        <w:keepLines w:val="0"/>
        <w:pageBreakBefore w:val="0"/>
        <w:widowControl/>
        <w:kinsoku w:val="0"/>
        <w:wordWrap/>
        <w:overflowPunct/>
        <w:topLinePunct w:val="0"/>
        <w:autoSpaceDE w:val="0"/>
        <w:autoSpaceDN w:val="0"/>
        <w:bidi w:val="0"/>
        <w:adjustRightInd w:val="0"/>
        <w:snapToGrid w:val="0"/>
        <w:spacing w:before="1" w:line="264" w:lineRule="auto"/>
        <w:ind w:left="420"/>
        <w:textAlignment w:val="baseline"/>
        <w:rPr>
          <w:rFonts w:ascii="宋体" w:hAnsi="宋体" w:eastAsia="宋体" w:cs="宋体"/>
          <w:b w:val="0"/>
          <w:bCs w:val="0"/>
          <w:sz w:val="21"/>
          <w:szCs w:val="21"/>
          <w:highlight w:val="none"/>
        </w:rPr>
      </w:pPr>
      <w:r>
        <w:rPr>
          <w:rFonts w:ascii="宋体" w:hAnsi="宋体" w:eastAsia="宋体" w:cs="宋体"/>
          <w:b w:val="0"/>
          <w:bCs w:val="0"/>
          <w:spacing w:val="-1"/>
          <w:sz w:val="21"/>
          <w:szCs w:val="21"/>
          <w:highlight w:val="none"/>
        </w:rPr>
        <w:t>HJ819</w:t>
      </w:r>
      <w:r>
        <w:rPr>
          <w:rFonts w:ascii="宋体" w:hAnsi="宋体" w:eastAsia="宋体" w:cs="宋体"/>
          <w:b w:val="0"/>
          <w:bCs w:val="0"/>
          <w:spacing w:val="51"/>
          <w:sz w:val="21"/>
          <w:szCs w:val="21"/>
          <w:highlight w:val="none"/>
        </w:rPr>
        <w:t xml:space="preserve">  </w:t>
      </w:r>
      <w:r>
        <w:rPr>
          <w:rFonts w:ascii="宋体" w:hAnsi="宋体" w:eastAsia="宋体" w:cs="宋体"/>
          <w:b w:val="0"/>
          <w:bCs w:val="0"/>
          <w:spacing w:val="-1"/>
          <w:sz w:val="21"/>
          <w:szCs w:val="21"/>
          <w:highlight w:val="none"/>
        </w:rPr>
        <w:t>排污单位自行监测技术指南</w:t>
      </w:r>
      <w:r>
        <w:rPr>
          <w:rFonts w:ascii="宋体" w:hAnsi="宋体" w:eastAsia="宋体" w:cs="宋体"/>
          <w:b w:val="0"/>
          <w:bCs w:val="0"/>
          <w:spacing w:val="4"/>
          <w:sz w:val="21"/>
          <w:szCs w:val="21"/>
          <w:highlight w:val="none"/>
        </w:rPr>
        <w:t xml:space="preserve">  </w:t>
      </w:r>
      <w:r>
        <w:rPr>
          <w:rFonts w:ascii="宋体" w:hAnsi="宋体" w:eastAsia="宋体" w:cs="宋体"/>
          <w:b w:val="0"/>
          <w:bCs w:val="0"/>
          <w:spacing w:val="-1"/>
          <w:sz w:val="21"/>
          <w:szCs w:val="21"/>
          <w:highlight w:val="none"/>
        </w:rPr>
        <w:t>总则</w:t>
      </w:r>
    </w:p>
    <w:p w14:paraId="08C94D41">
      <w:pPr>
        <w:keepNext w:val="0"/>
        <w:keepLines w:val="0"/>
        <w:pageBreakBefore w:val="0"/>
        <w:widowControl/>
        <w:kinsoku w:val="0"/>
        <w:wordWrap/>
        <w:overflowPunct/>
        <w:topLinePunct w:val="0"/>
        <w:autoSpaceDE w:val="0"/>
        <w:autoSpaceDN w:val="0"/>
        <w:bidi w:val="0"/>
        <w:adjustRightInd w:val="0"/>
        <w:snapToGrid w:val="0"/>
        <w:spacing w:before="23" w:line="264" w:lineRule="auto"/>
        <w:ind w:left="435"/>
        <w:textAlignment w:val="baseline"/>
        <w:rPr>
          <w:rFonts w:ascii="宋体" w:hAnsi="宋体" w:eastAsia="宋体" w:cs="宋体"/>
          <w:b w:val="0"/>
          <w:bCs w:val="0"/>
          <w:sz w:val="21"/>
          <w:szCs w:val="21"/>
          <w:highlight w:val="none"/>
        </w:rPr>
      </w:pPr>
      <w:r>
        <w:rPr>
          <w:rFonts w:ascii="宋体" w:hAnsi="宋体" w:eastAsia="宋体" w:cs="宋体"/>
          <w:b w:val="0"/>
          <w:bCs w:val="0"/>
          <w:spacing w:val="1"/>
          <w:sz w:val="21"/>
          <w:szCs w:val="21"/>
          <w:highlight w:val="none"/>
        </w:rPr>
        <w:t>《环境监测管理办法》</w:t>
      </w:r>
      <w:r>
        <w:rPr>
          <w:rFonts w:ascii="宋体" w:hAnsi="宋体" w:eastAsia="宋体" w:cs="宋体"/>
          <w:b w:val="0"/>
          <w:bCs w:val="0"/>
          <w:spacing w:val="8"/>
          <w:sz w:val="21"/>
          <w:szCs w:val="21"/>
          <w:highlight w:val="none"/>
        </w:rPr>
        <w:t xml:space="preserve">  </w:t>
      </w:r>
      <w:r>
        <w:rPr>
          <w:rFonts w:ascii="宋体" w:hAnsi="宋体" w:eastAsia="宋体" w:cs="宋体"/>
          <w:b w:val="0"/>
          <w:bCs w:val="0"/>
          <w:spacing w:val="1"/>
          <w:sz w:val="21"/>
          <w:szCs w:val="21"/>
          <w:highlight w:val="none"/>
        </w:rPr>
        <w:t>(国家环境保护总局令</w:t>
      </w:r>
      <w:r>
        <w:rPr>
          <w:rFonts w:ascii="宋体" w:hAnsi="宋体" w:eastAsia="宋体" w:cs="宋体"/>
          <w:b w:val="0"/>
          <w:bCs w:val="0"/>
          <w:sz w:val="21"/>
          <w:szCs w:val="21"/>
          <w:highlight w:val="none"/>
        </w:rPr>
        <w:t xml:space="preserve">  </w:t>
      </w:r>
      <w:r>
        <w:rPr>
          <w:rFonts w:ascii="宋体" w:hAnsi="宋体" w:eastAsia="宋体" w:cs="宋体"/>
          <w:b w:val="0"/>
          <w:bCs w:val="0"/>
          <w:spacing w:val="1"/>
          <w:sz w:val="21"/>
          <w:szCs w:val="21"/>
          <w:highlight w:val="none"/>
        </w:rPr>
        <w:t>第39</w:t>
      </w:r>
      <w:r>
        <w:rPr>
          <w:rFonts w:ascii="宋体" w:hAnsi="宋体" w:eastAsia="宋体" w:cs="宋体"/>
          <w:b w:val="0"/>
          <w:bCs w:val="0"/>
          <w:sz w:val="21"/>
          <w:szCs w:val="21"/>
          <w:highlight w:val="none"/>
        </w:rPr>
        <w:t>号)</w:t>
      </w:r>
    </w:p>
    <w:p w14:paraId="66FEEBA8">
      <w:pPr>
        <w:keepNext w:val="0"/>
        <w:keepLines w:val="0"/>
        <w:pageBreakBefore w:val="0"/>
        <w:widowControl/>
        <w:kinsoku w:val="0"/>
        <w:wordWrap/>
        <w:overflowPunct/>
        <w:topLinePunct w:val="0"/>
        <w:autoSpaceDE w:val="0"/>
        <w:autoSpaceDN w:val="0"/>
        <w:bidi w:val="0"/>
        <w:adjustRightInd w:val="0"/>
        <w:snapToGrid w:val="0"/>
        <w:spacing w:before="23" w:line="264" w:lineRule="auto"/>
        <w:ind w:left="435"/>
        <w:textAlignment w:val="baseline"/>
        <w:rPr>
          <w:rFonts w:hint="eastAsia" w:ascii="宋体" w:hAnsi="宋体" w:eastAsia="宋体" w:cs="宋体"/>
          <w:b w:val="0"/>
          <w:bCs w:val="0"/>
          <w:sz w:val="21"/>
          <w:szCs w:val="21"/>
          <w:highlight w:val="none"/>
          <w:lang w:eastAsia="zh-CN"/>
        </w:rPr>
      </w:pPr>
      <w:r>
        <w:rPr>
          <w:rFonts w:hint="eastAsia" w:ascii="宋体" w:hAnsi="宋体" w:eastAsia="宋体" w:cs="宋体"/>
          <w:b w:val="0"/>
          <w:bCs w:val="0"/>
          <w:sz w:val="21"/>
          <w:szCs w:val="21"/>
          <w:highlight w:val="none"/>
          <w:lang w:eastAsia="zh-CN"/>
        </w:rPr>
        <w:t>《企业事业单位环境信息公开办法》（</w:t>
      </w:r>
      <w:r>
        <w:rPr>
          <w:rFonts w:hint="eastAsia" w:ascii="宋体" w:hAnsi="宋体" w:eastAsia="宋体" w:cs="宋体"/>
          <w:b w:val="0"/>
          <w:bCs w:val="0"/>
          <w:sz w:val="21"/>
          <w:szCs w:val="21"/>
          <w:highlight w:val="none"/>
          <w:lang w:val="en-US" w:eastAsia="zh-CN"/>
        </w:rPr>
        <w:t>环境保护部令 第31号</w:t>
      </w:r>
      <w:r>
        <w:rPr>
          <w:rFonts w:hint="eastAsia" w:ascii="宋体" w:hAnsi="宋体" w:eastAsia="宋体" w:cs="宋体"/>
          <w:b w:val="0"/>
          <w:bCs w:val="0"/>
          <w:sz w:val="21"/>
          <w:szCs w:val="21"/>
          <w:highlight w:val="none"/>
          <w:lang w:eastAsia="zh-CN"/>
        </w:rPr>
        <w:t>）</w:t>
      </w:r>
    </w:p>
    <w:p w14:paraId="0DDC92C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781886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4" w:name="_Toc16428"/>
      <w:r>
        <w:rPr>
          <w:rFonts w:hint="eastAsia" w:ascii="黑体" w:hAnsi="黑体" w:eastAsia="黑体" w:cs="黑体"/>
          <w:snapToGrid w:val="0"/>
          <w:color w:val="000000"/>
          <w:spacing w:val="10"/>
          <w:kern w:val="0"/>
          <w:sz w:val="21"/>
          <w:szCs w:val="21"/>
          <w:lang w:val="en-US" w:eastAsia="zh-CN" w:bidi="ar-SA"/>
        </w:rPr>
        <w:t>3  术语和定义</w:t>
      </w:r>
      <w:bookmarkEnd w:id="4"/>
    </w:p>
    <w:p w14:paraId="5224716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D1305B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420" w:firstLineChars="0"/>
        <w:textAlignment w:val="baseline"/>
        <w:rPr>
          <w:rFonts w:hint="eastAsia" w:asciiTheme="minorEastAsia" w:hAnsiTheme="minorEastAsia" w:eastAsiaTheme="minorEastAsia" w:cstheme="minorEastAsia"/>
          <w:snapToGrid w:val="0"/>
          <w:color w:val="000000"/>
          <w:spacing w:val="10"/>
          <w:kern w:val="0"/>
          <w:sz w:val="21"/>
          <w:szCs w:val="21"/>
          <w:lang w:val="en-US" w:eastAsia="zh-CN" w:bidi="ar-SA"/>
        </w:rPr>
      </w:pPr>
      <w:r>
        <w:rPr>
          <w:rFonts w:hint="eastAsia" w:asciiTheme="minorEastAsia" w:hAnsiTheme="minorEastAsia" w:eastAsiaTheme="minorEastAsia" w:cstheme="minorEastAsia"/>
          <w:snapToGrid w:val="0"/>
          <w:color w:val="000000"/>
          <w:spacing w:val="10"/>
          <w:kern w:val="0"/>
          <w:sz w:val="21"/>
          <w:szCs w:val="21"/>
          <w:lang w:val="en-US" w:eastAsia="zh-CN" w:bidi="ar-SA"/>
        </w:rPr>
        <w:t>下列术语和定义适用于标准。</w:t>
      </w:r>
    </w:p>
    <w:p w14:paraId="2D28A488">
      <w:pPr>
        <w:keepNext w:val="0"/>
        <w:keepLines w:val="0"/>
        <w:pageBreakBefore w:val="0"/>
        <w:widowControl/>
        <w:kinsoku w:val="0"/>
        <w:wordWrap/>
        <w:overflowPunct/>
        <w:topLinePunct w:val="0"/>
        <w:autoSpaceDE w:val="0"/>
        <w:autoSpaceDN w:val="0"/>
        <w:bidi w:val="0"/>
        <w:adjustRightInd w:val="0"/>
        <w:snapToGrid w:val="0"/>
        <w:spacing w:before="1" w:line="264" w:lineRule="auto"/>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3.1</w:t>
      </w:r>
    </w:p>
    <w:p w14:paraId="229A34FE">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rPr>
      </w:pPr>
      <w:r>
        <w:rPr>
          <w:rFonts w:hint="eastAsia" w:ascii="黑体" w:hAnsi="黑体" w:eastAsia="黑体" w:cs="黑体"/>
          <w:b w:val="0"/>
          <w:bCs w:val="0"/>
          <w:color w:val="auto"/>
          <w:spacing w:val="0"/>
          <w:sz w:val="21"/>
          <w:szCs w:val="21"/>
          <w:highlight w:val="none"/>
          <w:lang w:val="en-US" w:eastAsia="zh-CN"/>
        </w:rPr>
        <w:t>油品  petroleum</w:t>
      </w:r>
    </w:p>
    <w:p w14:paraId="0D505448">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b w:val="0"/>
          <w:bCs w:val="0"/>
          <w:color w:val="auto"/>
          <w:spacing w:val="0"/>
          <w:sz w:val="21"/>
          <w:szCs w:val="21"/>
          <w:highlight w:val="none"/>
        </w:rPr>
      </w:pPr>
      <w:r>
        <w:rPr>
          <w:rFonts w:hint="eastAsia" w:ascii="宋体" w:hAnsi="宋体" w:eastAsia="宋体" w:cs="宋体"/>
          <w:b w:val="0"/>
          <w:bCs w:val="0"/>
          <w:snapToGrid w:val="0"/>
          <w:color w:val="auto"/>
          <w:spacing w:val="0"/>
          <w:kern w:val="0"/>
          <w:sz w:val="21"/>
          <w:szCs w:val="21"/>
          <w:highlight w:val="none"/>
          <w:lang w:val="en-US" w:eastAsia="zh-CN" w:bidi="ar"/>
        </w:rPr>
        <w:t>汽油（包括含醇汽油）、航空煤油的统称。</w:t>
      </w:r>
    </w:p>
    <w:p w14:paraId="6A1367D9">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hint="eastAsia" w:ascii="宋体" w:hAnsi="宋体" w:eastAsia="宋体" w:cs="宋体"/>
          <w:b w:val="0"/>
          <w:bCs w:val="0"/>
          <w:snapToGrid w:val="0"/>
          <w:color w:val="auto"/>
          <w:spacing w:val="0"/>
          <w:kern w:val="0"/>
          <w:sz w:val="21"/>
          <w:szCs w:val="21"/>
          <w:highlight w:val="none"/>
          <w:lang w:val="en-US" w:eastAsia="zh-CN" w:bidi="ar"/>
        </w:rPr>
      </w:pPr>
      <w:r>
        <w:rPr>
          <w:rFonts w:hint="eastAsia" w:ascii="黑体" w:hAnsi="宋体" w:eastAsia="黑体" w:cs="黑体"/>
          <w:b w:val="0"/>
          <w:bCs w:val="0"/>
          <w:snapToGrid w:val="0"/>
          <w:color w:val="auto"/>
          <w:spacing w:val="0"/>
          <w:kern w:val="0"/>
          <w:sz w:val="21"/>
          <w:szCs w:val="21"/>
          <w:highlight w:val="none"/>
          <w:lang w:val="en-US" w:eastAsia="zh-CN" w:bidi="ar"/>
        </w:rPr>
        <w:t>注：</w:t>
      </w:r>
      <w:r>
        <w:rPr>
          <w:rFonts w:hint="eastAsia" w:ascii="宋体" w:hAnsi="宋体" w:eastAsia="宋体" w:cs="宋体"/>
          <w:b w:val="0"/>
          <w:bCs w:val="0"/>
          <w:snapToGrid w:val="0"/>
          <w:color w:val="auto"/>
          <w:spacing w:val="0"/>
          <w:kern w:val="0"/>
          <w:sz w:val="21"/>
          <w:szCs w:val="21"/>
          <w:highlight w:val="none"/>
          <w:lang w:val="en-US" w:eastAsia="zh-CN" w:bidi="ar"/>
        </w:rPr>
        <w:t xml:space="preserve">也包括储油库内储存的与前述油品挥发性特征类似的循环油、组分油、凝析油、轻质油等。 </w:t>
      </w:r>
    </w:p>
    <w:p w14:paraId="4822A68D">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hint="default" w:ascii="宋体" w:hAnsi="宋体" w:eastAsia="宋体" w:cs="宋体"/>
          <w:b w:val="0"/>
          <w:bCs w:val="0"/>
          <w:snapToGrid w:val="0"/>
          <w:color w:val="auto"/>
          <w:spacing w:val="0"/>
          <w:kern w:val="0"/>
          <w:sz w:val="21"/>
          <w:szCs w:val="21"/>
          <w:highlight w:val="none"/>
          <w:lang w:val="en-US" w:eastAsia="zh-CN" w:bidi="ar"/>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20951-2020,3.1 有修改]</w:t>
      </w:r>
    </w:p>
    <w:p w14:paraId="682A0099">
      <w:pPr>
        <w:keepNext w:val="0"/>
        <w:keepLines w:val="0"/>
        <w:pageBreakBefore w:val="0"/>
        <w:widowControl/>
        <w:kinsoku w:val="0"/>
        <w:wordWrap/>
        <w:overflowPunct/>
        <w:topLinePunct w:val="0"/>
        <w:autoSpaceDE w:val="0"/>
        <w:autoSpaceDN w:val="0"/>
        <w:bidi w:val="0"/>
        <w:adjustRightInd w:val="0"/>
        <w:snapToGrid w:val="0"/>
        <w:spacing w:before="1" w:line="264" w:lineRule="auto"/>
        <w:textAlignment w:val="baseline"/>
        <w:rPr>
          <w:rFonts w:hint="default"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lang w:val="en-US" w:eastAsia="zh-CN"/>
        </w:rPr>
        <w:t>3.2</w:t>
      </w:r>
    </w:p>
    <w:p w14:paraId="263D0794">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ascii="宋体" w:hAnsi="宋体" w:eastAsia="宋体" w:cs="宋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含醇汽油  ethanol or methanol gasoline</w:t>
      </w:r>
      <w:r>
        <w:rPr>
          <w:rFonts w:hint="default" w:ascii="宋体" w:hAnsi="宋体" w:eastAsia="宋体" w:cs="宋体"/>
          <w:b w:val="0"/>
          <w:bCs w:val="0"/>
          <w:color w:val="auto"/>
          <w:spacing w:val="0"/>
          <w:sz w:val="21"/>
          <w:szCs w:val="21"/>
          <w:highlight w:val="none"/>
          <w:lang w:val="en-US" w:eastAsia="zh-CN"/>
        </w:rPr>
        <w:t xml:space="preserve"> </w:t>
      </w:r>
    </w:p>
    <w:p w14:paraId="6613BD12">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hint="eastAsia" w:ascii="宋体" w:hAnsi="宋体" w:eastAsia="宋体" w:cs="宋体"/>
          <w:b w:val="0"/>
          <w:bCs w:val="0"/>
          <w:snapToGrid w:val="0"/>
          <w:color w:val="auto"/>
          <w:spacing w:val="0"/>
          <w:kern w:val="0"/>
          <w:sz w:val="21"/>
          <w:szCs w:val="21"/>
          <w:highlight w:val="none"/>
          <w:lang w:val="en-US" w:eastAsia="zh-CN" w:bidi="ar"/>
        </w:rPr>
      </w:pPr>
      <w:r>
        <w:rPr>
          <w:rFonts w:hint="eastAsia" w:ascii="宋体" w:hAnsi="宋体" w:eastAsia="宋体" w:cs="宋体"/>
          <w:b w:val="0"/>
          <w:bCs w:val="0"/>
          <w:snapToGrid w:val="0"/>
          <w:color w:val="auto"/>
          <w:spacing w:val="0"/>
          <w:kern w:val="0"/>
          <w:sz w:val="21"/>
          <w:szCs w:val="21"/>
          <w:highlight w:val="none"/>
          <w:lang w:val="en-US" w:eastAsia="zh-CN" w:bidi="ar"/>
        </w:rPr>
        <w:t xml:space="preserve">含有 </w:t>
      </w:r>
      <w:r>
        <w:rPr>
          <w:rFonts w:hint="default" w:ascii="Times New Roman" w:hAnsi="Times New Roman" w:eastAsia="宋体" w:cs="Times New Roman"/>
          <w:b w:val="0"/>
          <w:bCs w:val="0"/>
          <w:snapToGrid w:val="0"/>
          <w:color w:val="auto"/>
          <w:spacing w:val="0"/>
          <w:kern w:val="0"/>
          <w:sz w:val="21"/>
          <w:szCs w:val="21"/>
          <w:highlight w:val="none"/>
          <w:lang w:val="en-US" w:eastAsia="zh-CN" w:bidi="ar"/>
        </w:rPr>
        <w:t>10%</w:t>
      </w:r>
      <w:r>
        <w:rPr>
          <w:rFonts w:hint="eastAsia" w:ascii="宋体" w:hAnsi="宋体" w:eastAsia="宋体" w:cs="宋体"/>
          <w:b w:val="0"/>
          <w:bCs w:val="0"/>
          <w:snapToGrid w:val="0"/>
          <w:color w:val="auto"/>
          <w:spacing w:val="0"/>
          <w:kern w:val="0"/>
          <w:sz w:val="21"/>
          <w:szCs w:val="21"/>
          <w:highlight w:val="none"/>
          <w:lang w:val="en-US" w:eastAsia="zh-CN" w:bidi="ar"/>
        </w:rPr>
        <w:t>及以下乙醇燃料的汽油（</w:t>
      </w:r>
      <w:r>
        <w:rPr>
          <w:rFonts w:hint="default" w:ascii="Times New Roman" w:hAnsi="Times New Roman" w:eastAsia="宋体" w:cs="Times New Roman"/>
          <w:b w:val="0"/>
          <w:bCs w:val="0"/>
          <w:snapToGrid w:val="0"/>
          <w:color w:val="auto"/>
          <w:spacing w:val="0"/>
          <w:kern w:val="0"/>
          <w:sz w:val="21"/>
          <w:szCs w:val="21"/>
          <w:highlight w:val="none"/>
          <w:lang w:val="en-US" w:eastAsia="zh-CN" w:bidi="ar"/>
        </w:rPr>
        <w:t>E10</w:t>
      </w:r>
      <w:r>
        <w:rPr>
          <w:rFonts w:hint="eastAsia" w:ascii="宋体" w:hAnsi="宋体" w:eastAsia="宋体" w:cs="宋体"/>
          <w:b w:val="0"/>
          <w:bCs w:val="0"/>
          <w:snapToGrid w:val="0"/>
          <w:color w:val="auto"/>
          <w:spacing w:val="0"/>
          <w:kern w:val="0"/>
          <w:sz w:val="21"/>
          <w:szCs w:val="21"/>
          <w:highlight w:val="none"/>
          <w:lang w:val="en-US" w:eastAsia="zh-CN" w:bidi="ar"/>
        </w:rPr>
        <w:t xml:space="preserve">）或含有 </w:t>
      </w:r>
      <w:r>
        <w:rPr>
          <w:rFonts w:hint="default" w:ascii="Times New Roman" w:hAnsi="Times New Roman" w:eastAsia="宋体" w:cs="Times New Roman"/>
          <w:b w:val="0"/>
          <w:bCs w:val="0"/>
          <w:snapToGrid w:val="0"/>
          <w:color w:val="auto"/>
          <w:spacing w:val="0"/>
          <w:kern w:val="0"/>
          <w:sz w:val="21"/>
          <w:szCs w:val="21"/>
          <w:highlight w:val="none"/>
          <w:lang w:val="en-US" w:eastAsia="zh-CN" w:bidi="ar"/>
        </w:rPr>
        <w:t>30%</w:t>
      </w:r>
      <w:r>
        <w:rPr>
          <w:rFonts w:hint="eastAsia" w:ascii="宋体" w:hAnsi="宋体" w:eastAsia="宋体" w:cs="宋体"/>
          <w:b w:val="0"/>
          <w:bCs w:val="0"/>
          <w:snapToGrid w:val="0"/>
          <w:color w:val="auto"/>
          <w:spacing w:val="0"/>
          <w:kern w:val="0"/>
          <w:sz w:val="21"/>
          <w:szCs w:val="21"/>
          <w:highlight w:val="none"/>
          <w:lang w:val="en-US" w:eastAsia="zh-CN" w:bidi="ar"/>
        </w:rPr>
        <w:t>及以下甲醇燃料的汽油（</w:t>
      </w:r>
      <w:r>
        <w:rPr>
          <w:rFonts w:hint="default" w:ascii="Times New Roman" w:hAnsi="Times New Roman" w:eastAsia="宋体" w:cs="Times New Roman"/>
          <w:b w:val="0"/>
          <w:bCs w:val="0"/>
          <w:snapToGrid w:val="0"/>
          <w:color w:val="auto"/>
          <w:spacing w:val="0"/>
          <w:kern w:val="0"/>
          <w:sz w:val="21"/>
          <w:szCs w:val="21"/>
          <w:highlight w:val="none"/>
          <w:lang w:val="en-US" w:eastAsia="zh-CN" w:bidi="ar"/>
        </w:rPr>
        <w:t>M30</w:t>
      </w:r>
      <w:r>
        <w:rPr>
          <w:rFonts w:hint="eastAsia" w:ascii="宋体" w:hAnsi="宋体" w:eastAsia="宋体" w:cs="宋体"/>
          <w:b w:val="0"/>
          <w:bCs w:val="0"/>
          <w:snapToGrid w:val="0"/>
          <w:color w:val="auto"/>
          <w:spacing w:val="0"/>
          <w:kern w:val="0"/>
          <w:sz w:val="21"/>
          <w:szCs w:val="21"/>
          <w:highlight w:val="none"/>
          <w:lang w:val="en-US" w:eastAsia="zh-CN" w:bidi="ar"/>
        </w:rPr>
        <w:t>、</w:t>
      </w:r>
      <w:r>
        <w:rPr>
          <w:rFonts w:hint="default" w:ascii="Times New Roman" w:hAnsi="Times New Roman" w:eastAsia="宋体" w:cs="Times New Roman"/>
          <w:b w:val="0"/>
          <w:bCs w:val="0"/>
          <w:snapToGrid w:val="0"/>
          <w:color w:val="auto"/>
          <w:spacing w:val="0"/>
          <w:kern w:val="0"/>
          <w:sz w:val="21"/>
          <w:szCs w:val="21"/>
          <w:highlight w:val="none"/>
          <w:lang w:val="en-US" w:eastAsia="zh-CN" w:bidi="ar"/>
        </w:rPr>
        <w:t xml:space="preserve">M15 </w:t>
      </w:r>
      <w:r>
        <w:rPr>
          <w:rFonts w:hint="eastAsia" w:ascii="宋体" w:hAnsi="宋体" w:eastAsia="宋体" w:cs="宋体"/>
          <w:b w:val="0"/>
          <w:bCs w:val="0"/>
          <w:snapToGrid w:val="0"/>
          <w:color w:val="auto"/>
          <w:spacing w:val="0"/>
          <w:kern w:val="0"/>
          <w:sz w:val="21"/>
          <w:szCs w:val="21"/>
          <w:highlight w:val="none"/>
          <w:lang w:val="en-US" w:eastAsia="zh-CN" w:bidi="ar"/>
        </w:rPr>
        <w:t xml:space="preserve">等）。 </w:t>
      </w:r>
    </w:p>
    <w:p w14:paraId="5C45596D">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hint="default" w:ascii="宋体" w:hAnsi="宋体" w:eastAsia="宋体" w:cs="宋体"/>
          <w:b w:val="0"/>
          <w:bCs w:val="0"/>
          <w:snapToGrid w:val="0"/>
          <w:color w:val="auto"/>
          <w:spacing w:val="0"/>
          <w:kern w:val="0"/>
          <w:sz w:val="21"/>
          <w:szCs w:val="21"/>
          <w:highlight w:val="none"/>
          <w:lang w:val="en-US" w:eastAsia="zh-CN" w:bidi="ar"/>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20951-2020,3.2]</w:t>
      </w:r>
    </w:p>
    <w:p w14:paraId="0FFD0E35">
      <w:pPr>
        <w:keepNext w:val="0"/>
        <w:keepLines w:val="0"/>
        <w:pageBreakBefore w:val="0"/>
        <w:widowControl/>
        <w:kinsoku w:val="0"/>
        <w:wordWrap/>
        <w:overflowPunct/>
        <w:topLinePunct w:val="0"/>
        <w:autoSpaceDE w:val="0"/>
        <w:autoSpaceDN w:val="0"/>
        <w:bidi w:val="0"/>
        <w:adjustRightInd w:val="0"/>
        <w:snapToGrid w:val="0"/>
        <w:spacing w:before="1" w:line="264" w:lineRule="auto"/>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lang w:val="en-US" w:eastAsia="zh-CN"/>
        </w:rPr>
        <w:t>3.3</w:t>
      </w:r>
    </w:p>
    <w:p w14:paraId="709D598F">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油罐车  road and rail tankers</w:t>
      </w:r>
    </w:p>
    <w:p w14:paraId="1F431262">
      <w:pPr>
        <w:keepNext w:val="0"/>
        <w:keepLines w:val="0"/>
        <w:pageBreakBefore w:val="0"/>
        <w:widowControl/>
        <w:kinsoku w:val="0"/>
        <w:wordWrap/>
        <w:overflowPunct/>
        <w:topLinePunct w:val="0"/>
        <w:autoSpaceDE w:val="0"/>
        <w:autoSpaceDN w:val="0"/>
        <w:bidi w:val="0"/>
        <w:adjustRightInd w:val="0"/>
        <w:snapToGrid w:val="0"/>
        <w:spacing w:before="164" w:line="264" w:lineRule="auto"/>
        <w:ind w:left="420"/>
        <w:textAlignment w:val="baseline"/>
        <w:rPr>
          <w:rFonts w:ascii="宋体" w:hAnsi="宋体" w:eastAsia="宋体" w:cs="宋体"/>
          <w:b w:val="0"/>
          <w:bCs w:val="0"/>
          <w:color w:val="auto"/>
          <w:spacing w:val="0"/>
          <w:position w:val="16"/>
          <w:sz w:val="21"/>
          <w:szCs w:val="21"/>
          <w:highlight w:val="none"/>
        </w:rPr>
      </w:pPr>
      <w:r>
        <w:rPr>
          <w:rFonts w:ascii="宋体" w:hAnsi="宋体" w:eastAsia="宋体" w:cs="宋体"/>
          <w:b w:val="0"/>
          <w:bCs w:val="0"/>
          <w:color w:val="auto"/>
          <w:spacing w:val="0"/>
          <w:position w:val="16"/>
          <w:sz w:val="21"/>
          <w:szCs w:val="21"/>
          <w:highlight w:val="none"/>
        </w:rPr>
        <w:t>专门用于运输油品的汽车罐车和铁路罐车。</w:t>
      </w:r>
    </w:p>
    <w:p w14:paraId="0DDFDCB8">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ascii="宋体" w:hAnsi="宋体" w:eastAsia="宋体" w:cs="宋体"/>
          <w:b w:val="0"/>
          <w:bCs w:val="0"/>
          <w:color w:val="auto"/>
          <w:spacing w:val="0"/>
          <w:position w:val="16"/>
          <w:sz w:val="21"/>
          <w:szCs w:val="21"/>
          <w:highlight w:val="none"/>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20951-2020,3.3]</w:t>
      </w:r>
    </w:p>
    <w:p w14:paraId="64ABA5A7">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jc w:val="left"/>
        <w:textAlignment w:val="baseline"/>
        <w:rPr>
          <w:rFonts w:hint="eastAsia" w:ascii="黑体" w:hAnsi="黑体" w:eastAsia="黑体" w:cs="黑体"/>
          <w:b w:val="0"/>
          <w:bCs w:val="0"/>
          <w:color w:val="auto"/>
          <w:spacing w:val="0"/>
          <w:sz w:val="21"/>
          <w:szCs w:val="21"/>
          <w:highlight w:val="none"/>
          <w:lang w:eastAsia="zh-CN"/>
        </w:rPr>
      </w:pPr>
      <w:r>
        <w:rPr>
          <w:rFonts w:hint="eastAsia" w:ascii="黑体" w:hAnsi="黑体" w:eastAsia="黑体" w:cs="黑体"/>
          <w:b w:val="0"/>
          <w:bCs w:val="0"/>
          <w:color w:val="auto"/>
          <w:spacing w:val="0"/>
          <w:sz w:val="21"/>
          <w:szCs w:val="21"/>
          <w:highlight w:val="none"/>
        </w:rPr>
        <w:t>3.</w:t>
      </w:r>
      <w:r>
        <w:rPr>
          <w:rFonts w:hint="eastAsia" w:ascii="黑体" w:hAnsi="黑体" w:eastAsia="黑体" w:cs="黑体"/>
          <w:b w:val="0"/>
          <w:bCs w:val="0"/>
          <w:color w:val="auto"/>
          <w:spacing w:val="0"/>
          <w:sz w:val="21"/>
          <w:szCs w:val="21"/>
          <w:highlight w:val="none"/>
          <w:lang w:val="en-US" w:eastAsia="zh-CN"/>
        </w:rPr>
        <w:t>4</w:t>
      </w:r>
    </w:p>
    <w:p w14:paraId="764A9327">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油船</w:t>
      </w:r>
      <w:r>
        <w:rPr>
          <w:rFonts w:hint="default" w:ascii="黑体" w:hAnsi="黑体" w:eastAsia="黑体" w:cs="黑体"/>
          <w:b w:val="0"/>
          <w:bCs w:val="0"/>
          <w:color w:val="auto"/>
          <w:spacing w:val="0"/>
          <w:sz w:val="21"/>
          <w:szCs w:val="21"/>
          <w:highlight w:val="none"/>
          <w:lang w:val="en-US" w:eastAsia="zh-CN"/>
        </w:rPr>
        <w:t xml:space="preserve"> </w:t>
      </w:r>
      <w:r>
        <w:rPr>
          <w:rFonts w:hint="eastAsia" w:ascii="黑体" w:hAnsi="黑体" w:eastAsia="黑体" w:cs="黑体"/>
          <w:b w:val="0"/>
          <w:bCs w:val="0"/>
          <w:color w:val="auto"/>
          <w:spacing w:val="0"/>
          <w:sz w:val="21"/>
          <w:szCs w:val="21"/>
          <w:highlight w:val="none"/>
          <w:lang w:val="en-US" w:eastAsia="zh-CN"/>
        </w:rPr>
        <w:t xml:space="preserve"> </w:t>
      </w:r>
      <w:r>
        <w:rPr>
          <w:rFonts w:hint="default" w:ascii="黑体" w:hAnsi="黑体" w:eastAsia="黑体" w:cs="黑体"/>
          <w:b w:val="0"/>
          <w:bCs w:val="0"/>
          <w:color w:val="auto"/>
          <w:spacing w:val="0"/>
          <w:sz w:val="21"/>
          <w:szCs w:val="21"/>
          <w:highlight w:val="none"/>
          <w:lang w:val="en-US" w:eastAsia="zh-CN"/>
        </w:rPr>
        <w:t xml:space="preserve">marine tanker </w:t>
      </w:r>
    </w:p>
    <w:p w14:paraId="0EF82F12">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hint="eastAsia" w:ascii="宋体" w:hAnsi="宋体" w:eastAsia="宋体" w:cs="宋体"/>
          <w:b w:val="0"/>
          <w:bCs w:val="0"/>
          <w:snapToGrid w:val="0"/>
          <w:color w:val="auto"/>
          <w:spacing w:val="0"/>
          <w:kern w:val="0"/>
          <w:sz w:val="21"/>
          <w:szCs w:val="21"/>
          <w:highlight w:val="none"/>
          <w:lang w:val="en-US" w:eastAsia="zh-CN" w:bidi="ar"/>
        </w:rPr>
      </w:pPr>
      <w:r>
        <w:rPr>
          <w:rFonts w:hint="eastAsia" w:ascii="宋体" w:hAnsi="宋体" w:eastAsia="宋体" w:cs="宋体"/>
          <w:b w:val="0"/>
          <w:bCs w:val="0"/>
          <w:snapToGrid w:val="0"/>
          <w:color w:val="auto"/>
          <w:spacing w:val="0"/>
          <w:kern w:val="0"/>
          <w:sz w:val="21"/>
          <w:szCs w:val="21"/>
          <w:highlight w:val="none"/>
          <w:lang w:val="en-US" w:eastAsia="zh-CN" w:bidi="ar"/>
        </w:rPr>
        <w:t>专门用于运输油品的船舶。</w:t>
      </w:r>
    </w:p>
    <w:p w14:paraId="2D4FABEE">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hint="eastAsia" w:ascii="宋体" w:hAnsi="宋体" w:eastAsia="宋体" w:cs="宋体"/>
          <w:b w:val="0"/>
          <w:bCs w:val="0"/>
          <w:snapToGrid w:val="0"/>
          <w:color w:val="auto"/>
          <w:spacing w:val="0"/>
          <w:kern w:val="0"/>
          <w:sz w:val="21"/>
          <w:szCs w:val="21"/>
          <w:highlight w:val="none"/>
          <w:lang w:val="en-US" w:eastAsia="zh-CN" w:bidi="ar"/>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20951-2020,3.4]</w:t>
      </w:r>
    </w:p>
    <w:p w14:paraId="665DD111">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hint="eastAsia" w:ascii="黑体" w:hAnsi="黑体" w:eastAsia="黑体" w:cs="黑体"/>
          <w:b w:val="0"/>
          <w:bCs w:val="0"/>
          <w:color w:val="auto"/>
          <w:spacing w:val="0"/>
          <w:sz w:val="21"/>
          <w:szCs w:val="21"/>
          <w:highlight w:val="none"/>
          <w:lang w:eastAsia="zh-CN"/>
        </w:rPr>
      </w:pPr>
      <w:r>
        <w:rPr>
          <w:rFonts w:hint="eastAsia" w:ascii="黑体" w:hAnsi="黑体" w:eastAsia="黑体" w:cs="黑体"/>
          <w:b w:val="0"/>
          <w:bCs w:val="0"/>
          <w:color w:val="auto"/>
          <w:spacing w:val="0"/>
          <w:sz w:val="21"/>
          <w:szCs w:val="21"/>
          <w:highlight w:val="none"/>
        </w:rPr>
        <w:t>3.</w:t>
      </w:r>
      <w:r>
        <w:rPr>
          <w:rFonts w:hint="eastAsia" w:ascii="黑体" w:hAnsi="黑体" w:eastAsia="黑体" w:cs="黑体"/>
          <w:b w:val="0"/>
          <w:bCs w:val="0"/>
          <w:color w:val="auto"/>
          <w:spacing w:val="0"/>
          <w:sz w:val="21"/>
          <w:szCs w:val="21"/>
          <w:highlight w:val="none"/>
          <w:lang w:val="en-US" w:eastAsia="zh-CN"/>
        </w:rPr>
        <w:t>5</w:t>
      </w:r>
    </w:p>
    <w:p w14:paraId="57613D70">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油仓  compartment</w:t>
      </w:r>
    </w:p>
    <w:p w14:paraId="7DC4ABE5">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00" w:firstLineChars="200"/>
        <w:jc w:val="left"/>
        <w:textAlignment w:val="baseline"/>
        <w:rPr>
          <w:rFonts w:hint="eastAsia"/>
          <w:b w:val="0"/>
          <w:bCs w:val="0"/>
          <w:position w:val="1"/>
          <w:sz w:val="20"/>
          <w:szCs w:val="20"/>
          <w:lang w:eastAsia="zh-CN"/>
        </w:rPr>
      </w:pPr>
    </w:p>
    <w:p w14:paraId="467AA477">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00" w:firstLineChars="200"/>
        <w:jc w:val="left"/>
        <w:textAlignment w:val="baseline"/>
        <w:rPr>
          <w:b w:val="0"/>
          <w:bCs w:val="0"/>
          <w:spacing w:val="8"/>
          <w:position w:val="1"/>
          <w:sz w:val="20"/>
          <w:szCs w:val="20"/>
        </w:rPr>
      </w:pPr>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7A809A15">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32" w:firstLineChars="200"/>
        <w:jc w:val="left"/>
        <w:textAlignment w:val="baseline"/>
        <w:rPr>
          <w:b w:val="0"/>
          <w:bCs w:val="0"/>
          <w:spacing w:val="8"/>
          <w:position w:val="1"/>
          <w:sz w:val="20"/>
          <w:szCs w:val="20"/>
        </w:rPr>
      </w:pPr>
    </w:p>
    <w:p w14:paraId="70D21170">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ascii="宋体" w:hAnsi="宋体" w:eastAsia="宋体" w:cs="宋体"/>
          <w:b w:val="0"/>
          <w:bCs w:val="0"/>
          <w:color w:val="auto"/>
          <w:spacing w:val="0"/>
          <w:position w:val="18"/>
          <w:sz w:val="21"/>
          <w:szCs w:val="21"/>
          <w:highlight w:val="none"/>
        </w:rPr>
      </w:pPr>
      <w:r>
        <w:rPr>
          <w:rFonts w:ascii="宋体" w:hAnsi="宋体" w:eastAsia="宋体" w:cs="宋体"/>
          <w:b w:val="0"/>
          <w:bCs w:val="0"/>
          <w:color w:val="auto"/>
          <w:spacing w:val="0"/>
          <w:position w:val="18"/>
          <w:sz w:val="21"/>
          <w:szCs w:val="21"/>
          <w:highlight w:val="none"/>
        </w:rPr>
        <w:t>罐体或船体内带有液体密封的分隔空间。</w:t>
      </w:r>
    </w:p>
    <w:p w14:paraId="516C7BA7">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ascii="宋体" w:hAnsi="宋体" w:eastAsia="宋体" w:cs="宋体"/>
          <w:b w:val="0"/>
          <w:bCs w:val="0"/>
          <w:color w:val="auto"/>
          <w:spacing w:val="0"/>
          <w:sz w:val="21"/>
          <w:szCs w:val="21"/>
          <w:highlight w:val="none"/>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20951-2020,3.5]</w:t>
      </w:r>
    </w:p>
    <w:p w14:paraId="2DE94FB3">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rPr>
        <w:t>3.</w:t>
      </w:r>
      <w:r>
        <w:rPr>
          <w:rFonts w:hint="eastAsia" w:ascii="黑体" w:hAnsi="黑体" w:eastAsia="黑体" w:cs="黑体"/>
          <w:b w:val="0"/>
          <w:bCs w:val="0"/>
          <w:color w:val="auto"/>
          <w:spacing w:val="0"/>
          <w:sz w:val="21"/>
          <w:szCs w:val="21"/>
          <w:highlight w:val="none"/>
          <w:lang w:val="en-US" w:eastAsia="zh-CN"/>
        </w:rPr>
        <w:t>6</w:t>
      </w:r>
    </w:p>
    <w:p w14:paraId="6D123724">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挥发性有机物  volatile organic compounds(VOCs)</w:t>
      </w:r>
    </w:p>
    <w:p w14:paraId="20F1814D">
      <w:pPr>
        <w:keepNext w:val="0"/>
        <w:keepLines w:val="0"/>
        <w:pageBreakBefore w:val="0"/>
        <w:widowControl/>
        <w:kinsoku w:val="0"/>
        <w:wordWrap/>
        <w:overflowPunct/>
        <w:topLinePunct w:val="0"/>
        <w:autoSpaceDE w:val="0"/>
        <w:autoSpaceDN w:val="0"/>
        <w:bidi w:val="0"/>
        <w:adjustRightInd w:val="0"/>
        <w:snapToGrid w:val="0"/>
        <w:spacing w:before="192" w:line="264" w:lineRule="auto"/>
        <w:ind w:left="420"/>
        <w:textAlignment w:val="baseline"/>
        <w:rPr>
          <w:rFonts w:ascii="宋体" w:hAnsi="宋体" w:eastAsia="宋体" w:cs="宋体"/>
          <w:b w:val="0"/>
          <w:bCs w:val="0"/>
          <w:color w:val="auto"/>
          <w:spacing w:val="0"/>
          <w:position w:val="15"/>
          <w:sz w:val="21"/>
          <w:szCs w:val="21"/>
          <w:highlight w:val="none"/>
        </w:rPr>
      </w:pPr>
      <w:r>
        <w:rPr>
          <w:rFonts w:ascii="宋体" w:hAnsi="宋体" w:eastAsia="宋体" w:cs="宋体"/>
          <w:b w:val="0"/>
          <w:bCs w:val="0"/>
          <w:color w:val="auto"/>
          <w:spacing w:val="0"/>
          <w:position w:val="15"/>
          <w:sz w:val="21"/>
          <w:szCs w:val="21"/>
          <w:highlight w:val="none"/>
        </w:rPr>
        <w:t>参与大气光化学反应的有机化合物，或者根据有关规定确定的有机化合物。</w:t>
      </w:r>
    </w:p>
    <w:p w14:paraId="21139555">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ascii="宋体" w:hAnsi="宋体" w:eastAsia="宋体" w:cs="宋体"/>
          <w:b w:val="0"/>
          <w:bCs w:val="0"/>
          <w:color w:val="auto"/>
          <w:spacing w:val="0"/>
          <w:position w:val="15"/>
          <w:sz w:val="21"/>
          <w:szCs w:val="21"/>
          <w:highlight w:val="none"/>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20951-2020,3.6]</w:t>
      </w:r>
    </w:p>
    <w:p w14:paraId="76B5B248">
      <w:pPr>
        <w:keepNext w:val="0"/>
        <w:keepLines w:val="0"/>
        <w:pageBreakBefore w:val="0"/>
        <w:widowControl/>
        <w:kinsoku w:val="0"/>
        <w:wordWrap/>
        <w:overflowPunct/>
        <w:topLinePunct w:val="0"/>
        <w:autoSpaceDE w:val="0"/>
        <w:autoSpaceDN w:val="0"/>
        <w:bidi w:val="0"/>
        <w:adjustRightInd w:val="0"/>
        <w:snapToGrid w:val="0"/>
        <w:spacing w:before="180" w:line="264" w:lineRule="auto"/>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rPr>
        <w:t>3.</w:t>
      </w:r>
      <w:r>
        <w:rPr>
          <w:rFonts w:hint="eastAsia" w:ascii="黑体" w:hAnsi="黑体" w:eastAsia="黑体" w:cs="黑体"/>
          <w:b w:val="0"/>
          <w:bCs w:val="0"/>
          <w:color w:val="auto"/>
          <w:spacing w:val="0"/>
          <w:sz w:val="21"/>
          <w:szCs w:val="21"/>
          <w:highlight w:val="none"/>
          <w:lang w:val="en-US" w:eastAsia="zh-CN"/>
        </w:rPr>
        <w:t>7</w:t>
      </w:r>
    </w:p>
    <w:p w14:paraId="64EAED28">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油气  vapor</w:t>
      </w:r>
    </w:p>
    <w:p w14:paraId="02698ED8">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hint="eastAsia" w:ascii="宋体" w:hAnsi="宋体" w:eastAsia="宋体" w:cs="宋体"/>
          <w:b w:val="0"/>
          <w:bCs w:val="0"/>
          <w:color w:val="auto"/>
          <w:spacing w:val="0"/>
          <w:sz w:val="21"/>
          <w:szCs w:val="21"/>
          <w:highlight w:val="none"/>
        </w:rPr>
      </w:pPr>
      <w:r>
        <w:rPr>
          <w:rFonts w:ascii="宋体" w:hAnsi="宋体" w:eastAsia="宋体" w:cs="宋体"/>
          <w:b w:val="0"/>
          <w:bCs w:val="0"/>
          <w:color w:val="auto"/>
          <w:spacing w:val="0"/>
          <w:sz w:val="21"/>
          <w:szCs w:val="21"/>
          <w:highlight w:val="none"/>
        </w:rPr>
        <w:t>油品运输过程中产生的VOCs</w:t>
      </w:r>
      <w:r>
        <w:rPr>
          <w:rFonts w:hint="eastAsia" w:ascii="宋体" w:hAnsi="宋体" w:eastAsia="宋体" w:cs="宋体"/>
          <w:b w:val="0"/>
          <w:bCs w:val="0"/>
          <w:color w:val="auto"/>
          <w:spacing w:val="0"/>
          <w:sz w:val="21"/>
          <w:szCs w:val="21"/>
          <w:highlight w:val="none"/>
        </w:rPr>
        <w:t>，</w:t>
      </w:r>
      <w:r>
        <w:rPr>
          <w:rFonts w:hint="eastAsia" w:ascii="宋体" w:hAnsi="宋体" w:eastAsia="宋体" w:cs="宋体"/>
          <w:b w:val="0"/>
          <w:bCs w:val="0"/>
          <w:color w:val="auto"/>
          <w:spacing w:val="0"/>
          <w:sz w:val="21"/>
          <w:szCs w:val="21"/>
          <w:highlight w:val="none"/>
          <w:lang w:eastAsia="zh-CN"/>
        </w:rPr>
        <w:t>本文件</w:t>
      </w:r>
      <w:r>
        <w:rPr>
          <w:rFonts w:hint="eastAsia" w:ascii="宋体" w:hAnsi="宋体" w:eastAsia="宋体" w:cs="宋体"/>
          <w:b w:val="0"/>
          <w:bCs w:val="0"/>
          <w:color w:val="auto"/>
          <w:spacing w:val="0"/>
          <w:sz w:val="21"/>
          <w:szCs w:val="21"/>
          <w:highlight w:val="none"/>
        </w:rPr>
        <w:t>采用非甲烷总烃作为油气排放控制项目。</w:t>
      </w:r>
    </w:p>
    <w:p w14:paraId="1D688535">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ascii="宋体" w:hAnsi="宋体" w:eastAsia="宋体" w:cs="宋体"/>
          <w:b w:val="0"/>
          <w:bCs w:val="0"/>
          <w:color w:val="auto"/>
          <w:spacing w:val="0"/>
          <w:sz w:val="21"/>
          <w:szCs w:val="21"/>
          <w:highlight w:val="none"/>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20951-2020,3.7]</w:t>
      </w:r>
    </w:p>
    <w:p w14:paraId="68B67F70">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rPr>
        <w:t>3.</w:t>
      </w:r>
      <w:r>
        <w:rPr>
          <w:rFonts w:hint="eastAsia" w:ascii="黑体" w:hAnsi="黑体" w:eastAsia="黑体" w:cs="黑体"/>
          <w:b w:val="0"/>
          <w:bCs w:val="0"/>
          <w:color w:val="auto"/>
          <w:spacing w:val="0"/>
          <w:sz w:val="21"/>
          <w:szCs w:val="21"/>
          <w:highlight w:val="none"/>
          <w:lang w:val="en-US" w:eastAsia="zh-CN"/>
        </w:rPr>
        <w:t>8</w:t>
      </w:r>
    </w:p>
    <w:p w14:paraId="79C24DB9">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运输工具油气密封点  vapor sealing point of transportation facility</w:t>
      </w:r>
    </w:p>
    <w:p w14:paraId="626359E8">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ascii="宋体" w:hAnsi="宋体" w:eastAsia="宋体" w:cs="宋体"/>
          <w:b w:val="0"/>
          <w:bCs w:val="0"/>
          <w:color w:val="auto"/>
          <w:spacing w:val="0"/>
          <w:sz w:val="21"/>
          <w:szCs w:val="21"/>
          <w:highlight w:val="none"/>
        </w:rPr>
      </w:pPr>
      <w:r>
        <w:rPr>
          <w:rFonts w:ascii="宋体" w:hAnsi="宋体" w:eastAsia="宋体" w:cs="宋体"/>
          <w:b w:val="0"/>
          <w:bCs w:val="0"/>
          <w:color w:val="auto"/>
          <w:spacing w:val="0"/>
          <w:sz w:val="21"/>
          <w:szCs w:val="21"/>
          <w:highlight w:val="none"/>
        </w:rPr>
        <w:t>汽车罐车油气回收耦合阀(可带有密封盖)、油罐车人孔盖</w:t>
      </w:r>
      <w:r>
        <w:rPr>
          <w:rFonts w:hint="eastAsia" w:ascii="宋体" w:hAnsi="宋体" w:eastAsia="宋体" w:cs="宋体"/>
          <w:b w:val="0"/>
          <w:bCs w:val="0"/>
          <w:color w:val="auto"/>
          <w:spacing w:val="0"/>
          <w:sz w:val="21"/>
          <w:szCs w:val="21"/>
          <w:highlight w:val="none"/>
          <w:lang w:eastAsia="zh-CN"/>
        </w:rPr>
        <w:t>、</w:t>
      </w:r>
      <w:r>
        <w:rPr>
          <w:rFonts w:hint="eastAsia" w:ascii="宋体" w:hAnsi="宋体" w:eastAsia="宋体" w:cs="宋体"/>
          <w:b w:val="0"/>
          <w:bCs w:val="0"/>
          <w:color w:val="auto"/>
          <w:spacing w:val="0"/>
          <w:sz w:val="21"/>
          <w:szCs w:val="21"/>
          <w:highlight w:val="none"/>
          <w:lang w:val="en-US" w:eastAsia="zh-CN"/>
        </w:rPr>
        <w:t>油船油气回收管线法兰盲板</w:t>
      </w:r>
      <w:r>
        <w:rPr>
          <w:rFonts w:ascii="宋体" w:hAnsi="宋体" w:eastAsia="宋体" w:cs="宋体"/>
          <w:b w:val="0"/>
          <w:bCs w:val="0"/>
          <w:color w:val="auto"/>
          <w:spacing w:val="0"/>
          <w:sz w:val="21"/>
          <w:szCs w:val="21"/>
          <w:highlight w:val="none"/>
        </w:rPr>
        <w:t>。</w:t>
      </w:r>
    </w:p>
    <w:p w14:paraId="288BAB7C">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ascii="宋体" w:hAnsi="宋体" w:eastAsia="宋体" w:cs="宋体"/>
          <w:b w:val="0"/>
          <w:bCs w:val="0"/>
          <w:color w:val="auto"/>
          <w:spacing w:val="0"/>
          <w:sz w:val="21"/>
          <w:szCs w:val="21"/>
          <w:highlight w:val="none"/>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20951-2020,3.8]</w:t>
      </w:r>
    </w:p>
    <w:p w14:paraId="4D35F7C4">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rPr>
        <w:t>3.</w:t>
      </w:r>
      <w:r>
        <w:rPr>
          <w:rFonts w:hint="eastAsia" w:ascii="黑体" w:hAnsi="黑体" w:eastAsia="黑体" w:cs="黑体"/>
          <w:b w:val="0"/>
          <w:bCs w:val="0"/>
          <w:color w:val="auto"/>
          <w:spacing w:val="0"/>
          <w:sz w:val="21"/>
          <w:szCs w:val="21"/>
          <w:highlight w:val="none"/>
          <w:lang w:val="en-US" w:eastAsia="zh-CN"/>
        </w:rPr>
        <w:t>9</w:t>
      </w:r>
    </w:p>
    <w:p w14:paraId="280D6EBA">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泄漏检测值  leakage detection value</w:t>
      </w:r>
    </w:p>
    <w:p w14:paraId="716CB79F">
      <w:pPr>
        <w:keepNext w:val="0"/>
        <w:keepLines w:val="0"/>
        <w:pageBreakBefore w:val="0"/>
        <w:widowControl/>
        <w:kinsoku w:val="0"/>
        <w:wordWrap/>
        <w:overflowPunct/>
        <w:topLinePunct w:val="0"/>
        <w:autoSpaceDE w:val="0"/>
        <w:autoSpaceDN w:val="0"/>
        <w:bidi w:val="0"/>
        <w:adjustRightInd w:val="0"/>
        <w:snapToGrid w:val="0"/>
        <w:spacing w:before="118" w:line="264" w:lineRule="auto"/>
        <w:ind w:right="24" w:firstLine="419"/>
        <w:textAlignment w:val="baseline"/>
        <w:rPr>
          <w:rFonts w:ascii="宋体" w:hAnsi="宋体" w:eastAsia="宋体" w:cs="宋体"/>
          <w:b w:val="0"/>
          <w:bCs w:val="0"/>
          <w:color w:val="auto"/>
          <w:spacing w:val="-11"/>
          <w:sz w:val="21"/>
          <w:szCs w:val="21"/>
          <w:highlight w:val="none"/>
        </w:rPr>
      </w:pPr>
      <w:r>
        <w:rPr>
          <w:rFonts w:ascii="宋体" w:hAnsi="宋体" w:eastAsia="宋体" w:cs="宋体"/>
          <w:b w:val="0"/>
          <w:bCs w:val="0"/>
          <w:color w:val="auto"/>
          <w:spacing w:val="-11"/>
          <w:sz w:val="21"/>
          <w:szCs w:val="21"/>
          <w:highlight w:val="none"/>
        </w:rPr>
        <w:t>采用规定的监测方法，检测仪器探测到密封点的VOCs 浓度扣除环境本底值后的净值，以碳的摩尔分数表示。</w:t>
      </w:r>
    </w:p>
    <w:p w14:paraId="27A9878F">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ascii="宋体" w:hAnsi="宋体" w:eastAsia="宋体" w:cs="宋体"/>
          <w:b w:val="0"/>
          <w:bCs w:val="0"/>
          <w:color w:val="auto"/>
          <w:spacing w:val="-11"/>
          <w:sz w:val="21"/>
          <w:szCs w:val="21"/>
          <w:highlight w:val="none"/>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20951-2020,3.9]</w:t>
      </w:r>
    </w:p>
    <w:p w14:paraId="392346DB">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rPr>
        <w:t>3.</w:t>
      </w:r>
      <w:r>
        <w:rPr>
          <w:rFonts w:hint="eastAsia" w:ascii="黑体" w:hAnsi="黑体" w:eastAsia="黑体" w:cs="黑体"/>
          <w:b w:val="0"/>
          <w:bCs w:val="0"/>
          <w:color w:val="auto"/>
          <w:spacing w:val="0"/>
          <w:sz w:val="21"/>
          <w:szCs w:val="21"/>
          <w:highlight w:val="none"/>
          <w:lang w:val="en-US" w:eastAsia="zh-CN"/>
        </w:rPr>
        <w:t>10</w:t>
      </w:r>
    </w:p>
    <w:p w14:paraId="723F3AEF">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 xml:space="preserve">底部发油 </w:t>
      </w:r>
      <w:r>
        <w:rPr>
          <w:rFonts w:hint="default" w:ascii="黑体" w:hAnsi="黑体" w:eastAsia="黑体" w:cs="黑体"/>
          <w:b w:val="0"/>
          <w:bCs w:val="0"/>
          <w:color w:val="auto"/>
          <w:spacing w:val="0"/>
          <w:sz w:val="21"/>
          <w:szCs w:val="21"/>
          <w:highlight w:val="none"/>
          <w:lang w:val="en-US" w:eastAsia="zh-CN"/>
        </w:rPr>
        <w:t xml:space="preserve"> bottom loading </w:t>
      </w:r>
    </w:p>
    <w:p w14:paraId="66C24E9F">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hint="eastAsia" w:ascii="宋体" w:hAnsi="宋体" w:eastAsia="宋体" w:cs="宋体"/>
          <w:b w:val="0"/>
          <w:bCs w:val="0"/>
          <w:snapToGrid w:val="0"/>
          <w:color w:val="auto"/>
          <w:spacing w:val="0"/>
          <w:kern w:val="0"/>
          <w:sz w:val="21"/>
          <w:szCs w:val="21"/>
          <w:highlight w:val="none"/>
          <w:lang w:val="en-US" w:eastAsia="zh-CN" w:bidi="ar"/>
        </w:rPr>
      </w:pPr>
      <w:r>
        <w:rPr>
          <w:rFonts w:hint="eastAsia" w:ascii="宋体" w:hAnsi="宋体" w:eastAsia="宋体" w:cs="宋体"/>
          <w:b w:val="0"/>
          <w:bCs w:val="0"/>
          <w:snapToGrid w:val="0"/>
          <w:color w:val="auto"/>
          <w:spacing w:val="0"/>
          <w:kern w:val="0"/>
          <w:sz w:val="21"/>
          <w:szCs w:val="21"/>
          <w:highlight w:val="none"/>
          <w:lang w:val="en-US" w:eastAsia="zh-CN" w:bidi="ar"/>
        </w:rPr>
        <w:t>灌装鹤管与汽车罐车底部接口密闭连接的发油方式。</w:t>
      </w:r>
    </w:p>
    <w:p w14:paraId="516C9E44">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b w:val="0"/>
          <w:bCs w:val="0"/>
          <w:color w:val="auto"/>
          <w:spacing w:val="0"/>
          <w:sz w:val="21"/>
          <w:szCs w:val="21"/>
          <w:highlight w:val="none"/>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20951-2020,3.10]</w:t>
      </w:r>
    </w:p>
    <w:p w14:paraId="1D9FC7B0">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3.11</w:t>
      </w:r>
    </w:p>
    <w:p w14:paraId="2E390C3C">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油气回收系统  vapor recovery system</w:t>
      </w:r>
    </w:p>
    <w:p w14:paraId="159632C6">
      <w:pPr>
        <w:keepNext w:val="0"/>
        <w:keepLines w:val="0"/>
        <w:pageBreakBefore w:val="0"/>
        <w:widowControl/>
        <w:kinsoku w:val="0"/>
        <w:wordWrap/>
        <w:overflowPunct/>
        <w:topLinePunct w:val="0"/>
        <w:autoSpaceDE w:val="0"/>
        <w:autoSpaceDN w:val="0"/>
        <w:bidi w:val="0"/>
        <w:adjustRightInd w:val="0"/>
        <w:snapToGrid w:val="0"/>
        <w:spacing w:before="119" w:line="264" w:lineRule="auto"/>
        <w:ind w:right="72" w:firstLine="419"/>
        <w:textAlignment w:val="baseline"/>
        <w:rPr>
          <w:rFonts w:ascii="宋体" w:hAnsi="宋体" w:eastAsia="宋体" w:cs="宋体"/>
          <w:b w:val="0"/>
          <w:bCs w:val="0"/>
          <w:color w:val="auto"/>
          <w:spacing w:val="0"/>
          <w:sz w:val="21"/>
          <w:szCs w:val="21"/>
          <w:highlight w:val="none"/>
        </w:rPr>
      </w:pPr>
      <w:r>
        <w:rPr>
          <w:rFonts w:ascii="宋体" w:hAnsi="宋体" w:eastAsia="宋体" w:cs="宋体"/>
          <w:b w:val="0"/>
          <w:bCs w:val="0"/>
          <w:color w:val="auto"/>
          <w:spacing w:val="0"/>
          <w:sz w:val="21"/>
          <w:szCs w:val="21"/>
          <w:highlight w:val="none"/>
        </w:rPr>
        <w:t>用于装卸油时将油气密闭输入/输出罐体并进行回收的装置；油气回收系统包括油气回收耦合阀、油气回收阀、通气阀、气动联锁阀、密封盖、控制管路和连接管路等。</w:t>
      </w:r>
    </w:p>
    <w:p w14:paraId="1EDCCFA7">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ascii="宋体" w:hAnsi="宋体" w:eastAsia="宋体" w:cs="宋体"/>
          <w:b w:val="0"/>
          <w:bCs w:val="0"/>
          <w:color w:val="auto"/>
          <w:spacing w:val="0"/>
          <w:sz w:val="21"/>
          <w:szCs w:val="21"/>
          <w:highlight w:val="none"/>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20951-2020,3.11]</w:t>
      </w:r>
    </w:p>
    <w:p w14:paraId="365D0990">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3.12</w:t>
      </w:r>
    </w:p>
    <w:p w14:paraId="4B33A8AB">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0"/>
        <w:jc w:val="left"/>
        <w:textAlignment w:val="baseline"/>
        <w:rPr>
          <w:rFonts w:hint="eastAsia" w:ascii="黑体" w:hAnsi="黑体" w:eastAsia="黑体" w:cs="黑体"/>
          <w:b w:val="0"/>
          <w:bCs w:val="0"/>
          <w:color w:val="auto"/>
          <w:spacing w:val="0"/>
          <w:sz w:val="21"/>
          <w:szCs w:val="21"/>
          <w:highlight w:val="none"/>
          <w:lang w:val="en-US" w:eastAsia="zh-CN"/>
        </w:rPr>
      </w:pPr>
      <w:r>
        <w:rPr>
          <w:rFonts w:hint="eastAsia" w:ascii="黑体" w:hAnsi="黑体" w:eastAsia="黑体" w:cs="黑体"/>
          <w:b w:val="0"/>
          <w:bCs w:val="0"/>
          <w:color w:val="auto"/>
          <w:spacing w:val="0"/>
          <w:sz w:val="21"/>
          <w:szCs w:val="21"/>
          <w:highlight w:val="none"/>
          <w:lang w:val="en-US" w:eastAsia="zh-CN"/>
        </w:rPr>
        <w:t>油气回收耦合阀  vapor adaptor valve</w:t>
      </w:r>
    </w:p>
    <w:p w14:paraId="55F44CC3">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ascii="宋体" w:hAnsi="宋体" w:eastAsia="宋体" w:cs="宋体"/>
          <w:b w:val="0"/>
          <w:bCs w:val="0"/>
          <w:color w:val="auto"/>
          <w:spacing w:val="0"/>
          <w:sz w:val="21"/>
          <w:szCs w:val="21"/>
          <w:highlight w:val="none"/>
        </w:rPr>
      </w:pPr>
      <w:r>
        <w:rPr>
          <w:rFonts w:ascii="宋体" w:hAnsi="宋体" w:eastAsia="宋体" w:cs="宋体"/>
          <w:b w:val="0"/>
          <w:bCs w:val="0"/>
          <w:color w:val="auto"/>
          <w:spacing w:val="0"/>
          <w:sz w:val="21"/>
          <w:szCs w:val="21"/>
          <w:highlight w:val="none"/>
        </w:rPr>
        <w:t>用于罐体与外部对接，传输油气的快速闭止阀。</w:t>
      </w:r>
    </w:p>
    <w:p w14:paraId="6A9E493F">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rFonts w:hint="eastAsia" w:ascii="宋体" w:hAnsi="宋体" w:eastAsia="宋体" w:cs="宋体"/>
          <w:b w:val="0"/>
          <w:bCs w:val="0"/>
          <w:snapToGrid w:val="0"/>
          <w:color w:val="auto"/>
          <w:spacing w:val="0"/>
          <w:kern w:val="0"/>
          <w:sz w:val="21"/>
          <w:szCs w:val="21"/>
          <w:highlight w:val="none"/>
          <w:lang w:val="en-US" w:eastAsia="zh-CN" w:bidi="ar"/>
        </w:rPr>
      </w:pPr>
      <w:r>
        <w:rPr>
          <w:rFonts w:hint="eastAsia" w:ascii="宋体" w:hAnsi="宋体" w:eastAsia="宋体" w:cs="宋体"/>
          <w:b w:val="0"/>
          <w:bCs w:val="0"/>
          <w:snapToGrid w:val="0"/>
          <w:color w:val="auto"/>
          <w:spacing w:val="0"/>
          <w:kern w:val="0"/>
          <w:sz w:val="21"/>
          <w:szCs w:val="21"/>
          <w:highlight w:val="none"/>
          <w:lang w:val="en-US" w:eastAsia="zh-CN" w:bidi="ar"/>
        </w:rPr>
        <w:t>[来源： GB 20951-2020,3.12]</w:t>
      </w:r>
    </w:p>
    <w:p w14:paraId="44EA204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48F7E99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5" w:name="_Toc4684"/>
      <w:r>
        <w:rPr>
          <w:rFonts w:hint="eastAsia" w:ascii="黑体" w:hAnsi="黑体" w:eastAsia="黑体" w:cs="黑体"/>
          <w:snapToGrid w:val="0"/>
          <w:color w:val="000000"/>
          <w:spacing w:val="10"/>
          <w:kern w:val="0"/>
          <w:sz w:val="21"/>
          <w:szCs w:val="21"/>
          <w:lang w:val="en-US" w:eastAsia="zh-CN" w:bidi="ar-SA"/>
        </w:rPr>
        <w:t>4 控制要求</w:t>
      </w:r>
      <w:bookmarkEnd w:id="5"/>
    </w:p>
    <w:p w14:paraId="2ECE9C9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4D48FDE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 xml:space="preserve">4.1油罐车排放控制 </w:t>
      </w:r>
    </w:p>
    <w:p w14:paraId="05F0EC6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1E8B81FF">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4.1</w:t>
      </w:r>
      <w:r>
        <w:rPr>
          <w:rFonts w:hint="eastAsia" w:ascii="黑体" w:hAnsi="黑体" w:eastAsia="黑体" w:cs="黑体"/>
          <w:b w:val="0"/>
          <w:bCs w:val="0"/>
          <w:spacing w:val="0"/>
          <w:sz w:val="21"/>
          <w:szCs w:val="21"/>
          <w:lang w:val="en-US" w:eastAsia="zh-CN"/>
        </w:rPr>
        <w:t>.1</w:t>
      </w:r>
      <w:r>
        <w:rPr>
          <w:rFonts w:ascii="宋体" w:hAnsi="宋体" w:eastAsia="宋体" w:cs="宋体"/>
          <w:b w:val="0"/>
          <w:bCs w:val="0"/>
          <w:spacing w:val="0"/>
          <w:sz w:val="21"/>
          <w:szCs w:val="21"/>
        </w:rPr>
        <w:t xml:space="preserve"> 汽车罐车应具备底部装卸油系统和油气回收系统。</w:t>
      </w:r>
    </w:p>
    <w:p w14:paraId="63967C74">
      <w:pPr>
        <w:keepNext w:val="0"/>
        <w:keepLines w:val="0"/>
        <w:pageBreakBefore w:val="0"/>
        <w:widowControl/>
        <w:kinsoku w:val="0"/>
        <w:wordWrap/>
        <w:overflowPunct/>
        <w:topLinePunct w:val="0"/>
        <w:autoSpaceDE w:val="0"/>
        <w:autoSpaceDN w:val="0"/>
        <w:bidi w:val="0"/>
        <w:adjustRightInd w:val="0"/>
        <w:snapToGrid w:val="0"/>
        <w:spacing w:before="60" w:line="264" w:lineRule="auto"/>
        <w:ind w:right="33"/>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4.</w:t>
      </w:r>
      <w:r>
        <w:rPr>
          <w:rFonts w:hint="eastAsia" w:ascii="黑体" w:hAnsi="黑体" w:eastAsia="黑体" w:cs="黑体"/>
          <w:b w:val="0"/>
          <w:bCs w:val="0"/>
          <w:spacing w:val="0"/>
          <w:sz w:val="21"/>
          <w:szCs w:val="21"/>
          <w:lang w:val="en-US" w:eastAsia="zh-CN"/>
        </w:rPr>
        <w:t>1.</w:t>
      </w:r>
      <w:r>
        <w:rPr>
          <w:rFonts w:hint="eastAsia" w:ascii="黑体" w:hAnsi="黑体" w:eastAsia="黑体" w:cs="黑体"/>
          <w:b w:val="0"/>
          <w:bCs w:val="0"/>
          <w:spacing w:val="0"/>
          <w:sz w:val="21"/>
          <w:szCs w:val="21"/>
        </w:rPr>
        <w:t>2</w:t>
      </w:r>
      <w:r>
        <w:rPr>
          <w:rFonts w:ascii="宋体" w:hAnsi="宋体" w:eastAsia="宋体" w:cs="宋体"/>
          <w:b w:val="0"/>
          <w:bCs w:val="0"/>
          <w:spacing w:val="0"/>
          <w:sz w:val="21"/>
          <w:szCs w:val="21"/>
        </w:rPr>
        <w:t xml:space="preserve"> 汽车罐车底部装卸油系统公称直径应为100mm,底部装卸油系统包括卸油阀、紧急切断阀、呼吸阀、防溢流系统及连接管线等。</w:t>
      </w:r>
    </w:p>
    <w:p w14:paraId="3768A8CE">
      <w:pPr>
        <w:keepNext w:val="0"/>
        <w:keepLines w:val="0"/>
        <w:pageBreakBefore w:val="0"/>
        <w:widowControl/>
        <w:kinsoku w:val="0"/>
        <w:wordWrap/>
        <w:overflowPunct/>
        <w:topLinePunct w:val="0"/>
        <w:autoSpaceDE w:val="0"/>
        <w:autoSpaceDN w:val="0"/>
        <w:bidi w:val="0"/>
        <w:adjustRightInd w:val="0"/>
        <w:snapToGrid w:val="0"/>
        <w:spacing w:before="60" w:line="264" w:lineRule="auto"/>
        <w:ind w:right="32"/>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4.</w:t>
      </w:r>
      <w:r>
        <w:rPr>
          <w:rFonts w:hint="eastAsia" w:ascii="黑体" w:hAnsi="黑体" w:eastAsia="黑体" w:cs="黑体"/>
          <w:b w:val="0"/>
          <w:bCs w:val="0"/>
          <w:spacing w:val="0"/>
          <w:sz w:val="21"/>
          <w:szCs w:val="21"/>
          <w:lang w:val="en-US" w:eastAsia="zh-CN"/>
        </w:rPr>
        <w:t>1.</w:t>
      </w:r>
      <w:r>
        <w:rPr>
          <w:rFonts w:hint="eastAsia" w:ascii="黑体" w:hAnsi="黑体" w:eastAsia="黑体" w:cs="黑体"/>
          <w:b w:val="0"/>
          <w:bCs w:val="0"/>
          <w:spacing w:val="0"/>
          <w:sz w:val="21"/>
          <w:szCs w:val="21"/>
        </w:rPr>
        <w:t>3</w:t>
      </w:r>
      <w:r>
        <w:rPr>
          <w:rFonts w:ascii="宋体" w:hAnsi="宋体" w:eastAsia="宋体" w:cs="宋体"/>
          <w:b w:val="0"/>
          <w:bCs w:val="0"/>
          <w:spacing w:val="0"/>
          <w:sz w:val="21"/>
          <w:szCs w:val="21"/>
        </w:rPr>
        <w:t xml:space="preserve"> 汽车罐车油气回收系统公称直径应为100mm, 油气回收系统能够将储油库向汽车罐车发油时产生的油气密闭输入油气处理装置，能够将卸油时产生的油气密闭输入汽车罐车油罐内，能够保证运输</w:t>
      </w:r>
    </w:p>
    <w:p w14:paraId="1FD880ED">
      <w:pPr>
        <w:keepNext w:val="0"/>
        <w:keepLines w:val="0"/>
        <w:pageBreakBefore w:val="0"/>
        <w:widowControl/>
        <w:kinsoku w:val="0"/>
        <w:wordWrap/>
        <w:overflowPunct/>
        <w:topLinePunct w:val="0"/>
        <w:autoSpaceDE w:val="0"/>
        <w:autoSpaceDN w:val="0"/>
        <w:bidi w:val="0"/>
        <w:adjustRightInd w:val="0"/>
        <w:snapToGrid w:val="0"/>
        <w:spacing w:before="60" w:line="264" w:lineRule="auto"/>
        <w:ind w:right="32"/>
        <w:textAlignment w:val="baseline"/>
        <w:rPr>
          <w:rFonts w:ascii="宋体" w:hAnsi="宋体" w:eastAsia="宋体" w:cs="宋体"/>
          <w:b w:val="0"/>
          <w:bCs w:val="0"/>
          <w:spacing w:val="0"/>
          <w:sz w:val="21"/>
          <w:szCs w:val="21"/>
        </w:rPr>
      </w:pPr>
    </w:p>
    <w:p w14:paraId="0DA54156">
      <w:pPr>
        <w:keepNext w:val="0"/>
        <w:keepLines w:val="0"/>
        <w:pageBreakBefore w:val="0"/>
        <w:widowControl/>
        <w:kinsoku w:val="0"/>
        <w:wordWrap/>
        <w:overflowPunct/>
        <w:topLinePunct w:val="0"/>
        <w:autoSpaceDE w:val="0"/>
        <w:autoSpaceDN w:val="0"/>
        <w:bidi w:val="0"/>
        <w:adjustRightInd w:val="0"/>
        <w:snapToGrid w:val="0"/>
        <w:spacing w:before="60" w:line="264" w:lineRule="auto"/>
        <w:ind w:right="32"/>
        <w:jc w:val="right"/>
        <w:textAlignment w:val="baseline"/>
        <w:rPr>
          <w:b w:val="0"/>
          <w:bCs w:val="0"/>
          <w:spacing w:val="8"/>
          <w:position w:val="1"/>
          <w:sz w:val="20"/>
          <w:szCs w:val="20"/>
        </w:rPr>
      </w:pPr>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4DFAD5D7">
      <w:pPr>
        <w:keepNext w:val="0"/>
        <w:keepLines w:val="0"/>
        <w:pageBreakBefore w:val="0"/>
        <w:widowControl/>
        <w:kinsoku w:val="0"/>
        <w:wordWrap/>
        <w:overflowPunct/>
        <w:topLinePunct w:val="0"/>
        <w:autoSpaceDE w:val="0"/>
        <w:autoSpaceDN w:val="0"/>
        <w:bidi w:val="0"/>
        <w:adjustRightInd w:val="0"/>
        <w:snapToGrid w:val="0"/>
        <w:spacing w:before="60" w:line="264" w:lineRule="auto"/>
        <w:ind w:right="32"/>
        <w:jc w:val="right"/>
        <w:textAlignment w:val="baseline"/>
        <w:rPr>
          <w:b w:val="0"/>
          <w:bCs w:val="0"/>
          <w:spacing w:val="8"/>
          <w:position w:val="1"/>
          <w:sz w:val="20"/>
          <w:szCs w:val="20"/>
        </w:rPr>
      </w:pPr>
    </w:p>
    <w:p w14:paraId="45218814">
      <w:pPr>
        <w:keepNext w:val="0"/>
        <w:keepLines w:val="0"/>
        <w:pageBreakBefore w:val="0"/>
        <w:widowControl/>
        <w:kinsoku w:val="0"/>
        <w:wordWrap/>
        <w:overflowPunct/>
        <w:topLinePunct w:val="0"/>
        <w:autoSpaceDE w:val="0"/>
        <w:autoSpaceDN w:val="0"/>
        <w:bidi w:val="0"/>
        <w:adjustRightInd w:val="0"/>
        <w:snapToGrid w:val="0"/>
        <w:spacing w:before="60" w:line="264" w:lineRule="auto"/>
        <w:ind w:right="32"/>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过程中油品和油气不泄漏，不得随意排放汽车罐车油罐内的油气。采取有效措施减少因操作、维修和管理等方面原因发生的油品与油气泄漏。</w:t>
      </w:r>
    </w:p>
    <w:p w14:paraId="3D19DAE1">
      <w:pPr>
        <w:keepNext w:val="0"/>
        <w:keepLines w:val="0"/>
        <w:pageBreakBefore w:val="0"/>
        <w:widowControl/>
        <w:kinsoku w:val="0"/>
        <w:wordWrap/>
        <w:overflowPunct/>
        <w:topLinePunct w:val="0"/>
        <w:autoSpaceDE w:val="0"/>
        <w:autoSpaceDN w:val="0"/>
        <w:bidi w:val="0"/>
        <w:adjustRightInd w:val="0"/>
        <w:snapToGrid w:val="0"/>
        <w:spacing w:before="60" w:line="264" w:lineRule="auto"/>
        <w:ind w:right="33"/>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4.</w:t>
      </w:r>
      <w:r>
        <w:rPr>
          <w:rFonts w:hint="eastAsia" w:ascii="黑体" w:hAnsi="黑体" w:eastAsia="黑体" w:cs="黑体"/>
          <w:b w:val="0"/>
          <w:bCs w:val="0"/>
          <w:spacing w:val="0"/>
          <w:sz w:val="21"/>
          <w:szCs w:val="21"/>
          <w:lang w:val="en-US" w:eastAsia="zh-CN"/>
        </w:rPr>
        <w:t>1.</w:t>
      </w:r>
      <w:r>
        <w:rPr>
          <w:rFonts w:hint="eastAsia" w:ascii="黑体" w:hAnsi="黑体" w:eastAsia="黑体" w:cs="黑体"/>
          <w:b w:val="0"/>
          <w:bCs w:val="0"/>
          <w:spacing w:val="0"/>
          <w:sz w:val="21"/>
          <w:szCs w:val="21"/>
        </w:rPr>
        <w:t>4</w:t>
      </w:r>
      <w:r>
        <w:rPr>
          <w:rFonts w:ascii="Times New Roman" w:hAnsi="Times New Roman" w:eastAsia="Times New Roman" w:cs="Times New Roman"/>
          <w:b w:val="0"/>
          <w:bCs w:val="0"/>
          <w:spacing w:val="0"/>
          <w:sz w:val="21"/>
          <w:szCs w:val="21"/>
        </w:rPr>
        <w:t xml:space="preserve"> </w:t>
      </w:r>
      <w:r>
        <w:rPr>
          <w:rFonts w:ascii="宋体" w:hAnsi="宋体" w:eastAsia="宋体" w:cs="宋体"/>
          <w:b w:val="0"/>
          <w:bCs w:val="0"/>
          <w:spacing w:val="0"/>
          <w:sz w:val="21"/>
          <w:szCs w:val="21"/>
        </w:rPr>
        <w:t>汽车罐车油气回收耦合阀、底部装卸油密封式快速接头应集中放置在管路箱内。多仓汽车罐车应将各仓油气回收管路在罐顶并联后进入管路箱。</w:t>
      </w:r>
    </w:p>
    <w:p w14:paraId="5842E633">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4.</w:t>
      </w:r>
      <w:r>
        <w:rPr>
          <w:rFonts w:hint="eastAsia" w:ascii="黑体" w:hAnsi="黑体" w:eastAsia="黑体" w:cs="黑体"/>
          <w:b w:val="0"/>
          <w:bCs w:val="0"/>
          <w:spacing w:val="0"/>
          <w:sz w:val="21"/>
          <w:szCs w:val="21"/>
          <w:lang w:val="en-US" w:eastAsia="zh-CN"/>
        </w:rPr>
        <w:t>1.</w:t>
      </w:r>
      <w:r>
        <w:rPr>
          <w:rFonts w:hint="eastAsia" w:ascii="黑体" w:hAnsi="黑体" w:eastAsia="黑体" w:cs="黑体"/>
          <w:b w:val="0"/>
          <w:bCs w:val="0"/>
          <w:spacing w:val="0"/>
          <w:sz w:val="21"/>
          <w:szCs w:val="21"/>
        </w:rPr>
        <w:t>5</w:t>
      </w:r>
      <w:r>
        <w:rPr>
          <w:rFonts w:ascii="宋体" w:hAnsi="宋体" w:eastAsia="宋体" w:cs="宋体"/>
          <w:b w:val="0"/>
          <w:bCs w:val="0"/>
          <w:spacing w:val="0"/>
          <w:sz w:val="21"/>
          <w:szCs w:val="21"/>
        </w:rPr>
        <w:t xml:space="preserve"> 铁路罐车应符合GB/T 5600的技术规定，并采取相应措施减少运输过程中的油气排放。</w:t>
      </w:r>
    </w:p>
    <w:p w14:paraId="32885AA7">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4.</w:t>
      </w:r>
      <w:r>
        <w:rPr>
          <w:rFonts w:hint="eastAsia" w:ascii="黑体" w:hAnsi="黑体" w:eastAsia="黑体" w:cs="黑体"/>
          <w:b w:val="0"/>
          <w:bCs w:val="0"/>
          <w:spacing w:val="0"/>
          <w:sz w:val="21"/>
          <w:szCs w:val="21"/>
          <w:lang w:val="en-US" w:eastAsia="zh-CN"/>
        </w:rPr>
        <w:t>1.</w:t>
      </w:r>
      <w:r>
        <w:rPr>
          <w:rFonts w:hint="eastAsia" w:ascii="黑体" w:hAnsi="黑体" w:eastAsia="黑体" w:cs="黑体"/>
          <w:b w:val="0"/>
          <w:bCs w:val="0"/>
          <w:spacing w:val="0"/>
          <w:sz w:val="21"/>
          <w:szCs w:val="21"/>
        </w:rPr>
        <w:t>6</w:t>
      </w:r>
      <w:r>
        <w:rPr>
          <w:rFonts w:ascii="宋体" w:hAnsi="宋体" w:eastAsia="宋体" w:cs="宋体"/>
          <w:b w:val="0"/>
          <w:bCs w:val="0"/>
          <w:spacing w:val="0"/>
          <w:sz w:val="21"/>
          <w:szCs w:val="21"/>
        </w:rPr>
        <w:t xml:space="preserve"> 采用红外摄像方式检测</w:t>
      </w:r>
      <w:r>
        <w:rPr>
          <w:rFonts w:hint="eastAsia" w:ascii="宋体" w:hAnsi="宋体" w:eastAsia="宋体" w:cs="宋体"/>
          <w:b w:val="0"/>
          <w:bCs w:val="0"/>
          <w:spacing w:val="0"/>
          <w:sz w:val="21"/>
          <w:szCs w:val="21"/>
          <w:lang w:val="en-US" w:eastAsia="zh-CN"/>
        </w:rPr>
        <w:t>运输工具</w:t>
      </w:r>
      <w:r>
        <w:rPr>
          <w:rFonts w:ascii="宋体" w:hAnsi="宋体" w:eastAsia="宋体" w:cs="宋体"/>
          <w:b w:val="0"/>
          <w:bCs w:val="0"/>
          <w:spacing w:val="0"/>
          <w:sz w:val="21"/>
          <w:szCs w:val="21"/>
        </w:rPr>
        <w:t>油气密封点时，不应有油气泄漏。</w:t>
      </w:r>
    </w:p>
    <w:p w14:paraId="65F731B8">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ascii="宋体" w:hAnsi="宋体" w:eastAsia="宋体" w:cs="宋体"/>
          <w:b w:val="0"/>
          <w:bCs w:val="0"/>
          <w:spacing w:val="0"/>
          <w:sz w:val="21"/>
          <w:szCs w:val="21"/>
        </w:rPr>
      </w:pPr>
    </w:p>
    <w:p w14:paraId="7CC5EABC">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lang w:val="en-US" w:eastAsia="zh-CN"/>
        </w:rPr>
        <w:t xml:space="preserve">4.2 油船排放控制 </w:t>
      </w:r>
    </w:p>
    <w:p w14:paraId="1DC9DED7">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hint="eastAsia" w:ascii="宋体" w:hAnsi="宋体" w:eastAsia="宋体" w:cs="宋体"/>
          <w:b w:val="0"/>
          <w:bCs w:val="0"/>
          <w:spacing w:val="0"/>
          <w:sz w:val="21"/>
          <w:szCs w:val="21"/>
          <w:lang w:val="en-US" w:eastAsia="zh-CN"/>
        </w:rPr>
      </w:pPr>
    </w:p>
    <w:p w14:paraId="62C2D0F5">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lang w:val="en-US" w:eastAsia="zh-CN"/>
        </w:rPr>
        <w:t>4.2.1</w:t>
      </w:r>
      <w:r>
        <w:rPr>
          <w:rFonts w:hint="eastAsia" w:ascii="宋体" w:hAnsi="宋体" w:eastAsia="宋体" w:cs="宋体"/>
          <w:b w:val="0"/>
          <w:bCs w:val="0"/>
          <w:spacing w:val="0"/>
          <w:sz w:val="21"/>
          <w:szCs w:val="21"/>
          <w:lang w:val="en-US" w:eastAsia="zh-CN"/>
        </w:rPr>
        <w:t xml:space="preserve"> 油船应设置密闭油气收集系统和惰性气体系统。 </w:t>
      </w:r>
    </w:p>
    <w:p w14:paraId="25293287">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lang w:val="en-US" w:eastAsia="zh-CN"/>
        </w:rPr>
        <w:t>4.2.2</w:t>
      </w:r>
      <w:r>
        <w:rPr>
          <w:rFonts w:hint="eastAsia" w:ascii="宋体" w:hAnsi="宋体" w:eastAsia="宋体" w:cs="宋体"/>
          <w:b w:val="0"/>
          <w:bCs w:val="0"/>
          <w:spacing w:val="0"/>
          <w:sz w:val="21"/>
          <w:szCs w:val="21"/>
          <w:lang w:val="en-US" w:eastAsia="zh-CN"/>
        </w:rPr>
        <w:t xml:space="preserve"> 油船油气收集系统应将向油船发油时产生的油气密闭送入油气处理装置。 </w:t>
      </w:r>
    </w:p>
    <w:p w14:paraId="5C90BAAE">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lang w:val="en-US" w:eastAsia="zh-CN"/>
        </w:rPr>
        <w:t>4.2.3</w:t>
      </w:r>
      <w:r>
        <w:rPr>
          <w:rFonts w:hint="eastAsia" w:ascii="宋体" w:hAnsi="宋体" w:eastAsia="宋体" w:cs="宋体"/>
          <w:b w:val="0"/>
          <w:bCs w:val="0"/>
          <w:spacing w:val="0"/>
          <w:sz w:val="21"/>
          <w:szCs w:val="21"/>
          <w:lang w:val="en-US" w:eastAsia="zh-CN"/>
        </w:rPr>
        <w:t xml:space="preserve"> 油船应在每个油仓设置独立的透气管线，每个透气管出口应安装一个压力/真空阀。 </w:t>
      </w:r>
    </w:p>
    <w:p w14:paraId="2F8E9D33">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lang w:val="en-US" w:eastAsia="zh-CN"/>
        </w:rPr>
        <w:t>4.2.4</w:t>
      </w:r>
      <w:r>
        <w:rPr>
          <w:rFonts w:hint="eastAsia" w:ascii="宋体" w:hAnsi="宋体" w:eastAsia="宋体" w:cs="宋体"/>
          <w:b w:val="0"/>
          <w:bCs w:val="0"/>
          <w:spacing w:val="0"/>
          <w:sz w:val="21"/>
          <w:szCs w:val="21"/>
          <w:lang w:val="en-US" w:eastAsia="zh-CN"/>
        </w:rPr>
        <w:t xml:space="preserve"> 油船运输过程中应保证油品和油气不泄漏。 </w:t>
      </w:r>
    </w:p>
    <w:p w14:paraId="1CC41474">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lang w:val="en-US" w:eastAsia="zh-CN"/>
        </w:rPr>
        <w:t>4.2.5</w:t>
      </w:r>
      <w:r>
        <w:rPr>
          <w:rFonts w:hint="eastAsia" w:ascii="宋体" w:hAnsi="宋体" w:eastAsia="宋体" w:cs="宋体"/>
          <w:b w:val="0"/>
          <w:bCs w:val="0"/>
          <w:spacing w:val="0"/>
          <w:sz w:val="21"/>
          <w:szCs w:val="21"/>
          <w:lang w:val="en-US" w:eastAsia="zh-CN"/>
        </w:rPr>
        <w:t xml:space="preserve"> 油船应采用封闭式液位监测系统测量油仓液位高度、油气压力和温度。 </w:t>
      </w:r>
    </w:p>
    <w:p w14:paraId="301DC2A8">
      <w:pPr>
        <w:keepNext w:val="0"/>
        <w:keepLines w:val="0"/>
        <w:pageBreakBefore w:val="0"/>
        <w:widowControl/>
        <w:kinsoku w:val="0"/>
        <w:wordWrap/>
        <w:overflowPunct/>
        <w:topLinePunct w:val="0"/>
        <w:autoSpaceDE w:val="0"/>
        <w:autoSpaceDN w:val="0"/>
        <w:bidi w:val="0"/>
        <w:adjustRightInd w:val="0"/>
        <w:snapToGrid w:val="0"/>
        <w:spacing w:before="60" w:line="264" w:lineRule="auto"/>
        <w:textAlignment w:val="baseline"/>
        <w:rPr>
          <w:rFonts w:hint="eastAsia" w:ascii="宋体" w:hAnsi="宋体" w:eastAsia="宋体" w:cs="宋体"/>
          <w:b w:val="0"/>
          <w:bCs w:val="0"/>
          <w:spacing w:val="0"/>
          <w:sz w:val="21"/>
          <w:szCs w:val="21"/>
          <w:lang w:val="en-US" w:eastAsia="zh-CN"/>
        </w:rPr>
      </w:pPr>
      <w:r>
        <w:rPr>
          <w:rFonts w:hint="eastAsia" w:ascii="黑体" w:hAnsi="黑体" w:eastAsia="黑体" w:cs="黑体"/>
          <w:b w:val="0"/>
          <w:bCs w:val="0"/>
          <w:spacing w:val="0"/>
          <w:sz w:val="21"/>
          <w:szCs w:val="21"/>
          <w:lang w:val="en-US" w:eastAsia="zh-CN"/>
        </w:rPr>
        <w:t>4.2.6</w:t>
      </w:r>
      <w:r>
        <w:rPr>
          <w:rFonts w:hint="eastAsia" w:ascii="宋体" w:hAnsi="宋体" w:eastAsia="宋体" w:cs="宋体"/>
          <w:b w:val="0"/>
          <w:bCs w:val="0"/>
          <w:spacing w:val="0"/>
          <w:sz w:val="21"/>
          <w:szCs w:val="21"/>
          <w:lang w:val="en-US" w:eastAsia="zh-CN"/>
        </w:rPr>
        <w:t xml:space="preserve"> 采用红外摄像方式检测运输工具油气密封点时，不应有油气泄漏。</w:t>
      </w:r>
    </w:p>
    <w:p w14:paraId="7B2E177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BB7C9C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6" w:name="_Toc21463"/>
      <w:r>
        <w:rPr>
          <w:rFonts w:hint="eastAsia" w:ascii="黑体" w:hAnsi="黑体" w:eastAsia="黑体" w:cs="黑体"/>
          <w:snapToGrid w:val="0"/>
          <w:color w:val="000000"/>
          <w:spacing w:val="10"/>
          <w:kern w:val="0"/>
          <w:sz w:val="21"/>
          <w:szCs w:val="21"/>
          <w:lang w:val="en-US" w:eastAsia="zh-CN" w:bidi="ar-SA"/>
        </w:rPr>
        <w:t>5  排放限值</w:t>
      </w:r>
      <w:bookmarkEnd w:id="6"/>
    </w:p>
    <w:p w14:paraId="49E58FD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E4C679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5.1 密闭性限值</w:t>
      </w:r>
    </w:p>
    <w:p w14:paraId="6A2E4C0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61E8C4C">
      <w:pPr>
        <w:keepNext w:val="0"/>
        <w:keepLines w:val="0"/>
        <w:pageBreakBefore w:val="0"/>
        <w:widowControl/>
        <w:kinsoku w:val="0"/>
        <w:wordWrap/>
        <w:overflowPunct/>
        <w:topLinePunct w:val="0"/>
        <w:autoSpaceDE w:val="0"/>
        <w:autoSpaceDN w:val="0"/>
        <w:bidi w:val="0"/>
        <w:adjustRightInd w:val="0"/>
        <w:snapToGrid w:val="0"/>
        <w:spacing w:before="112" w:line="264" w:lineRule="auto"/>
        <w:ind w:left="419"/>
        <w:textAlignment w:val="baseline"/>
        <w:rPr>
          <w:rFonts w:ascii="宋体" w:hAnsi="宋体" w:eastAsia="宋体" w:cs="宋体"/>
          <w:b w:val="0"/>
          <w:bCs w:val="0"/>
          <w:sz w:val="21"/>
          <w:szCs w:val="21"/>
          <w:highlight w:val="none"/>
        </w:rPr>
      </w:pPr>
      <w:r>
        <w:rPr>
          <w:rFonts w:ascii="宋体" w:hAnsi="宋体" w:eastAsia="宋体" w:cs="宋体"/>
          <w:b w:val="0"/>
          <w:bCs w:val="0"/>
          <w:spacing w:val="-7"/>
          <w:sz w:val="21"/>
          <w:szCs w:val="21"/>
          <w:highlight w:val="none"/>
        </w:rPr>
        <w:t>汽车罐车油气回收系统密闭性执行表1规定的限值。</w:t>
      </w:r>
    </w:p>
    <w:p w14:paraId="02F0D9E2">
      <w:pPr>
        <w:keepNext w:val="0"/>
        <w:keepLines w:val="0"/>
        <w:pageBreakBefore w:val="0"/>
        <w:widowControl/>
        <w:kinsoku w:val="0"/>
        <w:wordWrap/>
        <w:overflowPunct/>
        <w:topLinePunct w:val="0"/>
        <w:autoSpaceDE w:val="0"/>
        <w:autoSpaceDN w:val="0"/>
        <w:bidi w:val="0"/>
        <w:adjustRightInd w:val="0"/>
        <w:snapToGrid w:val="0"/>
        <w:spacing w:before="136" w:line="264" w:lineRule="auto"/>
        <w:ind w:left="2872"/>
        <w:textAlignment w:val="baseline"/>
        <w:rPr>
          <w:rFonts w:ascii="宋体" w:hAnsi="宋体" w:eastAsia="宋体" w:cs="宋体"/>
          <w:b w:val="0"/>
          <w:bCs w:val="0"/>
          <w:sz w:val="21"/>
          <w:szCs w:val="21"/>
          <w:highlight w:val="none"/>
        </w:rPr>
      </w:pPr>
      <w:r>
        <w:rPr>
          <w:rFonts w:ascii="宋体" w:hAnsi="宋体" w:eastAsia="宋体" w:cs="宋体"/>
          <w:b w:val="0"/>
          <w:bCs w:val="0"/>
          <w:spacing w:val="-4"/>
          <w:sz w:val="21"/>
          <w:szCs w:val="21"/>
          <w:highlight w:val="none"/>
        </w:rPr>
        <w:t>表1</w:t>
      </w:r>
      <w:r>
        <w:rPr>
          <w:rFonts w:ascii="宋体" w:hAnsi="宋体" w:eastAsia="宋体" w:cs="宋体"/>
          <w:b w:val="0"/>
          <w:bCs w:val="0"/>
          <w:spacing w:val="11"/>
          <w:sz w:val="21"/>
          <w:szCs w:val="21"/>
          <w:highlight w:val="none"/>
        </w:rPr>
        <w:t xml:space="preserve">  </w:t>
      </w:r>
      <w:r>
        <w:rPr>
          <w:rFonts w:ascii="宋体" w:hAnsi="宋体" w:eastAsia="宋体" w:cs="宋体"/>
          <w:b w:val="0"/>
          <w:bCs w:val="0"/>
          <w:spacing w:val="-4"/>
          <w:sz w:val="21"/>
          <w:szCs w:val="21"/>
          <w:highlight w:val="none"/>
        </w:rPr>
        <w:t>汽车罐车油气回收系统密闭性限值</w:t>
      </w:r>
    </w:p>
    <w:tbl>
      <w:tblPr>
        <w:tblStyle w:val="12"/>
        <w:tblW w:w="92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41"/>
        <w:gridCol w:w="3176"/>
        <w:gridCol w:w="2854"/>
      </w:tblGrid>
      <w:tr w14:paraId="0B59EF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241" w:type="dxa"/>
            <w:vAlign w:val="top"/>
          </w:tcPr>
          <w:p w14:paraId="1549D400">
            <w:pPr>
              <w:keepNext w:val="0"/>
              <w:keepLines w:val="0"/>
              <w:pageBreakBefore w:val="0"/>
              <w:widowControl/>
              <w:kinsoku w:val="0"/>
              <w:wordWrap/>
              <w:overflowPunct/>
              <w:topLinePunct w:val="0"/>
              <w:autoSpaceDE w:val="0"/>
              <w:autoSpaceDN w:val="0"/>
              <w:bidi w:val="0"/>
              <w:adjustRightInd w:val="0"/>
              <w:snapToGrid w:val="0"/>
              <w:spacing w:before="73" w:line="264" w:lineRule="auto"/>
              <w:ind w:left="184"/>
              <w:textAlignment w:val="baseline"/>
              <w:rPr>
                <w:rFonts w:ascii="宋体" w:hAnsi="宋体" w:eastAsia="宋体" w:cs="宋体"/>
                <w:b w:val="0"/>
                <w:bCs w:val="0"/>
                <w:sz w:val="20"/>
                <w:szCs w:val="20"/>
                <w:highlight w:val="none"/>
              </w:rPr>
            </w:pPr>
            <w:r>
              <w:rPr>
                <w:rFonts w:ascii="宋体" w:hAnsi="宋体" w:eastAsia="宋体" w:cs="宋体"/>
                <w:b w:val="0"/>
                <w:bCs w:val="0"/>
                <w:spacing w:val="-1"/>
                <w:sz w:val="20"/>
                <w:szCs w:val="20"/>
                <w:highlight w:val="none"/>
              </w:rPr>
              <w:t>单仓罐或多仓罐单个油仓的容积VL</w:t>
            </w:r>
          </w:p>
        </w:tc>
        <w:tc>
          <w:tcPr>
            <w:tcW w:w="3176" w:type="dxa"/>
            <w:vAlign w:val="top"/>
          </w:tcPr>
          <w:p w14:paraId="06F1D772">
            <w:pPr>
              <w:keepNext w:val="0"/>
              <w:keepLines w:val="0"/>
              <w:pageBreakBefore w:val="0"/>
              <w:widowControl/>
              <w:kinsoku w:val="0"/>
              <w:wordWrap/>
              <w:overflowPunct/>
              <w:topLinePunct w:val="0"/>
              <w:autoSpaceDE w:val="0"/>
              <w:autoSpaceDN w:val="0"/>
              <w:bidi w:val="0"/>
              <w:adjustRightInd w:val="0"/>
              <w:snapToGrid w:val="0"/>
              <w:spacing w:before="52" w:line="264" w:lineRule="auto"/>
              <w:ind w:left="253"/>
              <w:textAlignment w:val="baseline"/>
              <w:rPr>
                <w:rFonts w:ascii="宋体" w:hAnsi="宋体" w:eastAsia="宋体" w:cs="宋体"/>
                <w:b w:val="0"/>
                <w:bCs w:val="0"/>
                <w:sz w:val="20"/>
                <w:szCs w:val="20"/>
                <w:highlight w:val="none"/>
              </w:rPr>
            </w:pPr>
            <w:r>
              <w:rPr>
                <w:rFonts w:ascii="宋体" w:hAnsi="宋体" w:eastAsia="宋体" w:cs="宋体"/>
                <w:b w:val="0"/>
                <w:bCs w:val="0"/>
                <w:spacing w:val="-1"/>
                <w:sz w:val="20"/>
                <w:szCs w:val="20"/>
                <w:highlight w:val="none"/>
              </w:rPr>
              <w:t>油气回收系统压力变动限值/kPa</w:t>
            </w:r>
          </w:p>
        </w:tc>
        <w:tc>
          <w:tcPr>
            <w:tcW w:w="2854" w:type="dxa"/>
            <w:vAlign w:val="top"/>
          </w:tcPr>
          <w:p w14:paraId="4A326ED3">
            <w:pPr>
              <w:keepNext w:val="0"/>
              <w:keepLines w:val="0"/>
              <w:pageBreakBefore w:val="0"/>
              <w:widowControl/>
              <w:kinsoku w:val="0"/>
              <w:wordWrap/>
              <w:overflowPunct/>
              <w:topLinePunct w:val="0"/>
              <w:autoSpaceDE w:val="0"/>
              <w:autoSpaceDN w:val="0"/>
              <w:bidi w:val="0"/>
              <w:adjustRightInd w:val="0"/>
              <w:snapToGrid w:val="0"/>
              <w:spacing w:before="73" w:line="264" w:lineRule="auto"/>
              <w:ind w:left="188"/>
              <w:textAlignment w:val="baseline"/>
              <w:rPr>
                <w:rFonts w:ascii="宋体" w:hAnsi="宋体" w:eastAsia="宋体" w:cs="宋体"/>
                <w:b w:val="0"/>
                <w:bCs w:val="0"/>
                <w:sz w:val="20"/>
                <w:szCs w:val="20"/>
                <w:highlight w:val="none"/>
              </w:rPr>
            </w:pPr>
            <w:r>
              <w:rPr>
                <w:rFonts w:ascii="宋体" w:hAnsi="宋体" w:eastAsia="宋体" w:cs="宋体"/>
                <w:b w:val="0"/>
                <w:bCs w:val="0"/>
                <w:spacing w:val="-3"/>
                <w:sz w:val="20"/>
                <w:szCs w:val="20"/>
                <w:highlight w:val="none"/>
              </w:rPr>
              <w:t>油气回收阀压力变动限值/kPa</w:t>
            </w:r>
          </w:p>
        </w:tc>
      </w:tr>
      <w:tr w14:paraId="29E804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jc w:val="center"/>
        </w:trPr>
        <w:tc>
          <w:tcPr>
            <w:tcW w:w="3241" w:type="dxa"/>
            <w:vAlign w:val="top"/>
          </w:tcPr>
          <w:p w14:paraId="26E11A3E">
            <w:pPr>
              <w:keepNext w:val="0"/>
              <w:keepLines w:val="0"/>
              <w:pageBreakBefore w:val="0"/>
              <w:widowControl/>
              <w:kinsoku w:val="0"/>
              <w:wordWrap/>
              <w:overflowPunct/>
              <w:topLinePunct w:val="0"/>
              <w:autoSpaceDE w:val="0"/>
              <w:autoSpaceDN w:val="0"/>
              <w:bidi w:val="0"/>
              <w:adjustRightInd w:val="0"/>
              <w:snapToGrid w:val="0"/>
              <w:spacing w:before="77" w:line="264" w:lineRule="auto"/>
              <w:ind w:left="1274"/>
              <w:textAlignment w:val="baseline"/>
              <w:rPr>
                <w:rFonts w:ascii="宋体" w:hAnsi="宋体" w:eastAsia="宋体" w:cs="宋体"/>
                <w:b w:val="0"/>
                <w:bCs w:val="0"/>
                <w:sz w:val="20"/>
                <w:szCs w:val="20"/>
                <w:highlight w:val="none"/>
              </w:rPr>
            </w:pPr>
            <w:r>
              <w:rPr>
                <w:rFonts w:ascii="宋体" w:hAnsi="宋体" w:eastAsia="宋体" w:cs="宋体"/>
                <w:b w:val="0"/>
                <w:bCs w:val="0"/>
                <w:spacing w:val="5"/>
                <w:sz w:val="20"/>
                <w:szCs w:val="20"/>
                <w:highlight w:val="none"/>
              </w:rPr>
              <w:t>V≥9500</w:t>
            </w:r>
          </w:p>
        </w:tc>
        <w:tc>
          <w:tcPr>
            <w:tcW w:w="3176" w:type="dxa"/>
            <w:vAlign w:val="top"/>
          </w:tcPr>
          <w:p w14:paraId="4BD993C9">
            <w:pPr>
              <w:keepNext w:val="0"/>
              <w:keepLines w:val="0"/>
              <w:pageBreakBefore w:val="0"/>
              <w:widowControl/>
              <w:kinsoku w:val="0"/>
              <w:wordWrap/>
              <w:overflowPunct/>
              <w:topLinePunct w:val="0"/>
              <w:autoSpaceDE w:val="0"/>
              <w:autoSpaceDN w:val="0"/>
              <w:bidi w:val="0"/>
              <w:adjustRightInd w:val="0"/>
              <w:snapToGrid w:val="0"/>
              <w:spacing w:before="57" w:line="264" w:lineRule="auto"/>
              <w:ind w:left="1293"/>
              <w:textAlignment w:val="baseline"/>
              <w:rPr>
                <w:rFonts w:ascii="宋体" w:hAnsi="宋体" w:eastAsia="宋体" w:cs="宋体"/>
                <w:b w:val="0"/>
                <w:bCs w:val="0"/>
                <w:sz w:val="20"/>
                <w:szCs w:val="20"/>
                <w:highlight w:val="none"/>
              </w:rPr>
            </w:pPr>
            <w:r>
              <w:rPr>
                <w:rFonts w:ascii="宋体" w:hAnsi="宋体" w:eastAsia="宋体" w:cs="宋体"/>
                <w:b w:val="0"/>
                <w:bCs w:val="0"/>
                <w:spacing w:val="-5"/>
                <w:sz w:val="20"/>
                <w:szCs w:val="20"/>
                <w:highlight w:val="none"/>
              </w:rPr>
              <w:t>≤0.15</w:t>
            </w:r>
          </w:p>
        </w:tc>
        <w:tc>
          <w:tcPr>
            <w:tcW w:w="2854" w:type="dxa"/>
            <w:vMerge w:val="restart"/>
            <w:tcBorders>
              <w:bottom w:val="nil"/>
            </w:tcBorders>
            <w:vAlign w:val="top"/>
          </w:tcPr>
          <w:p w14:paraId="40213485">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b w:val="0"/>
                <w:bCs w:val="0"/>
                <w:sz w:val="20"/>
                <w:szCs w:val="20"/>
                <w:highlight w:val="none"/>
              </w:rPr>
            </w:pPr>
          </w:p>
          <w:p w14:paraId="3A4D4CD6">
            <w:pPr>
              <w:keepNext w:val="0"/>
              <w:keepLines w:val="0"/>
              <w:pageBreakBefore w:val="0"/>
              <w:widowControl/>
              <w:kinsoku w:val="0"/>
              <w:wordWrap/>
              <w:overflowPunct/>
              <w:topLinePunct w:val="0"/>
              <w:autoSpaceDE w:val="0"/>
              <w:autoSpaceDN w:val="0"/>
              <w:bidi w:val="0"/>
              <w:adjustRightInd w:val="0"/>
              <w:snapToGrid w:val="0"/>
              <w:spacing w:before="62" w:line="264" w:lineRule="auto"/>
              <w:ind w:left="1027"/>
              <w:textAlignment w:val="baseline"/>
              <w:rPr>
                <w:rFonts w:ascii="宋体" w:hAnsi="宋体" w:eastAsia="宋体" w:cs="宋体"/>
                <w:b w:val="0"/>
                <w:bCs w:val="0"/>
                <w:sz w:val="20"/>
                <w:szCs w:val="20"/>
                <w:highlight w:val="none"/>
              </w:rPr>
            </w:pPr>
            <w:r>
              <w:rPr>
                <w:rFonts w:ascii="宋体" w:hAnsi="宋体" w:eastAsia="宋体" w:cs="宋体"/>
                <w:b w:val="0"/>
                <w:bCs w:val="0"/>
                <w:spacing w:val="-5"/>
                <w:sz w:val="20"/>
                <w:szCs w:val="20"/>
                <w:highlight w:val="none"/>
              </w:rPr>
              <w:t>≤1.25</w:t>
            </w:r>
          </w:p>
        </w:tc>
      </w:tr>
      <w:tr w14:paraId="220AC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jc w:val="center"/>
        </w:trPr>
        <w:tc>
          <w:tcPr>
            <w:tcW w:w="3241" w:type="dxa"/>
            <w:vAlign w:val="top"/>
          </w:tcPr>
          <w:p w14:paraId="2B0A8A01">
            <w:pPr>
              <w:keepNext w:val="0"/>
              <w:keepLines w:val="0"/>
              <w:pageBreakBefore w:val="0"/>
              <w:widowControl/>
              <w:kinsoku w:val="0"/>
              <w:wordWrap/>
              <w:overflowPunct/>
              <w:topLinePunct w:val="0"/>
              <w:autoSpaceDE w:val="0"/>
              <w:autoSpaceDN w:val="0"/>
              <w:bidi w:val="0"/>
              <w:adjustRightInd w:val="0"/>
              <w:snapToGrid w:val="0"/>
              <w:spacing w:before="60" w:line="264" w:lineRule="auto"/>
              <w:ind w:left="1044"/>
              <w:textAlignment w:val="baseline"/>
              <w:rPr>
                <w:rFonts w:ascii="宋体" w:hAnsi="宋体" w:eastAsia="宋体" w:cs="宋体"/>
                <w:b w:val="0"/>
                <w:bCs w:val="0"/>
                <w:sz w:val="20"/>
                <w:szCs w:val="20"/>
                <w:highlight w:val="none"/>
              </w:rPr>
            </w:pPr>
            <w:r>
              <w:rPr>
                <w:rFonts w:ascii="宋体" w:hAnsi="宋体" w:eastAsia="宋体" w:cs="宋体"/>
                <w:b w:val="0"/>
                <w:bCs w:val="0"/>
                <w:spacing w:val="-1"/>
                <w:sz w:val="20"/>
                <w:szCs w:val="20"/>
                <w:highlight w:val="none"/>
              </w:rPr>
              <w:t>9500&gt;V≥5500</w:t>
            </w:r>
          </w:p>
        </w:tc>
        <w:tc>
          <w:tcPr>
            <w:tcW w:w="3176" w:type="dxa"/>
            <w:vAlign w:val="top"/>
          </w:tcPr>
          <w:p w14:paraId="061D62EB">
            <w:pPr>
              <w:keepNext w:val="0"/>
              <w:keepLines w:val="0"/>
              <w:pageBreakBefore w:val="0"/>
              <w:widowControl/>
              <w:kinsoku w:val="0"/>
              <w:wordWrap/>
              <w:overflowPunct/>
              <w:topLinePunct w:val="0"/>
              <w:autoSpaceDE w:val="0"/>
              <w:autoSpaceDN w:val="0"/>
              <w:bidi w:val="0"/>
              <w:adjustRightInd w:val="0"/>
              <w:snapToGrid w:val="0"/>
              <w:spacing w:before="59" w:line="264" w:lineRule="auto"/>
              <w:ind w:left="1293"/>
              <w:textAlignment w:val="baseline"/>
              <w:rPr>
                <w:rFonts w:ascii="宋体" w:hAnsi="宋体" w:eastAsia="宋体" w:cs="宋体"/>
                <w:b w:val="0"/>
                <w:bCs w:val="0"/>
                <w:sz w:val="20"/>
                <w:szCs w:val="20"/>
                <w:highlight w:val="none"/>
              </w:rPr>
            </w:pPr>
            <w:r>
              <w:rPr>
                <w:rFonts w:ascii="宋体" w:hAnsi="宋体" w:eastAsia="宋体" w:cs="宋体"/>
                <w:b w:val="0"/>
                <w:bCs w:val="0"/>
                <w:spacing w:val="-5"/>
                <w:sz w:val="20"/>
                <w:szCs w:val="20"/>
                <w:highlight w:val="none"/>
              </w:rPr>
              <w:t>≤0.20</w:t>
            </w:r>
          </w:p>
        </w:tc>
        <w:tc>
          <w:tcPr>
            <w:tcW w:w="2854" w:type="dxa"/>
            <w:vMerge w:val="continue"/>
            <w:tcBorders>
              <w:top w:val="nil"/>
              <w:bottom w:val="nil"/>
            </w:tcBorders>
            <w:vAlign w:val="top"/>
          </w:tcPr>
          <w:p w14:paraId="7B04DDBC">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b w:val="0"/>
                <w:bCs w:val="0"/>
                <w:sz w:val="20"/>
                <w:szCs w:val="20"/>
                <w:highlight w:val="none"/>
              </w:rPr>
            </w:pPr>
          </w:p>
        </w:tc>
      </w:tr>
      <w:tr w14:paraId="000661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jc w:val="center"/>
        </w:trPr>
        <w:tc>
          <w:tcPr>
            <w:tcW w:w="3241" w:type="dxa"/>
            <w:vAlign w:val="top"/>
          </w:tcPr>
          <w:p w14:paraId="57B3420B">
            <w:pPr>
              <w:keepNext w:val="0"/>
              <w:keepLines w:val="0"/>
              <w:pageBreakBefore w:val="0"/>
              <w:widowControl/>
              <w:kinsoku w:val="0"/>
              <w:wordWrap/>
              <w:overflowPunct/>
              <w:topLinePunct w:val="0"/>
              <w:autoSpaceDE w:val="0"/>
              <w:autoSpaceDN w:val="0"/>
              <w:bidi w:val="0"/>
              <w:adjustRightInd w:val="0"/>
              <w:snapToGrid w:val="0"/>
              <w:spacing w:before="62" w:line="264" w:lineRule="auto"/>
              <w:ind w:left="1044"/>
              <w:textAlignment w:val="baseline"/>
              <w:rPr>
                <w:rFonts w:ascii="宋体" w:hAnsi="宋体" w:eastAsia="宋体" w:cs="宋体"/>
                <w:b w:val="0"/>
                <w:bCs w:val="0"/>
                <w:sz w:val="20"/>
                <w:szCs w:val="20"/>
                <w:highlight w:val="none"/>
              </w:rPr>
            </w:pPr>
            <w:r>
              <w:rPr>
                <w:rFonts w:ascii="宋体" w:hAnsi="宋体" w:eastAsia="宋体" w:cs="宋体"/>
                <w:b w:val="0"/>
                <w:bCs w:val="0"/>
                <w:spacing w:val="-1"/>
                <w:sz w:val="20"/>
                <w:szCs w:val="20"/>
                <w:highlight w:val="none"/>
              </w:rPr>
              <w:t>5500&gt;V≥3800</w:t>
            </w:r>
          </w:p>
        </w:tc>
        <w:tc>
          <w:tcPr>
            <w:tcW w:w="3176" w:type="dxa"/>
            <w:vAlign w:val="top"/>
          </w:tcPr>
          <w:p w14:paraId="310BA6E7">
            <w:pPr>
              <w:keepNext w:val="0"/>
              <w:keepLines w:val="0"/>
              <w:pageBreakBefore w:val="0"/>
              <w:widowControl/>
              <w:kinsoku w:val="0"/>
              <w:wordWrap/>
              <w:overflowPunct/>
              <w:topLinePunct w:val="0"/>
              <w:autoSpaceDE w:val="0"/>
              <w:autoSpaceDN w:val="0"/>
              <w:bidi w:val="0"/>
              <w:adjustRightInd w:val="0"/>
              <w:snapToGrid w:val="0"/>
              <w:spacing w:before="80" w:line="264" w:lineRule="auto"/>
              <w:ind w:left="1293"/>
              <w:textAlignment w:val="baseline"/>
              <w:rPr>
                <w:rFonts w:ascii="宋体" w:hAnsi="宋体" w:eastAsia="宋体" w:cs="宋体"/>
                <w:b w:val="0"/>
                <w:bCs w:val="0"/>
                <w:sz w:val="20"/>
                <w:szCs w:val="20"/>
                <w:highlight w:val="none"/>
              </w:rPr>
            </w:pPr>
            <w:r>
              <w:rPr>
                <w:rFonts w:ascii="宋体" w:hAnsi="宋体" w:eastAsia="宋体" w:cs="宋体"/>
                <w:b w:val="0"/>
                <w:bCs w:val="0"/>
                <w:spacing w:val="1"/>
                <w:sz w:val="20"/>
                <w:szCs w:val="20"/>
                <w:highlight w:val="none"/>
              </w:rPr>
              <w:t>≤0.25</w:t>
            </w:r>
          </w:p>
        </w:tc>
        <w:tc>
          <w:tcPr>
            <w:tcW w:w="2854" w:type="dxa"/>
            <w:vMerge w:val="continue"/>
            <w:tcBorders>
              <w:top w:val="nil"/>
              <w:bottom w:val="nil"/>
            </w:tcBorders>
            <w:vAlign w:val="top"/>
          </w:tcPr>
          <w:p w14:paraId="15A9A139">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b w:val="0"/>
                <w:bCs w:val="0"/>
                <w:sz w:val="20"/>
                <w:szCs w:val="20"/>
                <w:highlight w:val="none"/>
              </w:rPr>
            </w:pPr>
          </w:p>
        </w:tc>
      </w:tr>
      <w:tr w14:paraId="303A4F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jc w:val="center"/>
        </w:trPr>
        <w:tc>
          <w:tcPr>
            <w:tcW w:w="3241" w:type="dxa"/>
            <w:vAlign w:val="top"/>
          </w:tcPr>
          <w:p w14:paraId="354A2817">
            <w:pPr>
              <w:keepNext w:val="0"/>
              <w:keepLines w:val="0"/>
              <w:pageBreakBefore w:val="0"/>
              <w:widowControl/>
              <w:kinsoku w:val="0"/>
              <w:wordWrap/>
              <w:overflowPunct/>
              <w:topLinePunct w:val="0"/>
              <w:autoSpaceDE w:val="0"/>
              <w:autoSpaceDN w:val="0"/>
              <w:bidi w:val="0"/>
              <w:adjustRightInd w:val="0"/>
              <w:snapToGrid w:val="0"/>
              <w:spacing w:before="94" w:line="264" w:lineRule="auto"/>
              <w:ind w:left="1324"/>
              <w:textAlignment w:val="baseline"/>
              <w:rPr>
                <w:rFonts w:ascii="宋体" w:hAnsi="宋体" w:eastAsia="宋体" w:cs="宋体"/>
                <w:b w:val="0"/>
                <w:bCs w:val="0"/>
                <w:sz w:val="20"/>
                <w:szCs w:val="20"/>
                <w:highlight w:val="none"/>
              </w:rPr>
            </w:pPr>
            <w:r>
              <w:rPr>
                <w:rFonts w:ascii="宋体" w:hAnsi="宋体" w:eastAsia="宋体" w:cs="宋体"/>
                <w:b w:val="0"/>
                <w:bCs w:val="0"/>
                <w:spacing w:val="9"/>
                <w:sz w:val="20"/>
                <w:szCs w:val="20"/>
                <w:highlight w:val="none"/>
              </w:rPr>
              <w:t>V&lt;3800</w:t>
            </w:r>
          </w:p>
        </w:tc>
        <w:tc>
          <w:tcPr>
            <w:tcW w:w="3176" w:type="dxa"/>
            <w:vAlign w:val="top"/>
          </w:tcPr>
          <w:p w14:paraId="01D99934">
            <w:pPr>
              <w:keepNext w:val="0"/>
              <w:keepLines w:val="0"/>
              <w:pageBreakBefore w:val="0"/>
              <w:widowControl/>
              <w:kinsoku w:val="0"/>
              <w:wordWrap/>
              <w:overflowPunct/>
              <w:topLinePunct w:val="0"/>
              <w:autoSpaceDE w:val="0"/>
              <w:autoSpaceDN w:val="0"/>
              <w:bidi w:val="0"/>
              <w:adjustRightInd w:val="0"/>
              <w:snapToGrid w:val="0"/>
              <w:spacing w:before="92" w:line="264" w:lineRule="auto"/>
              <w:ind w:left="1293"/>
              <w:textAlignment w:val="baseline"/>
              <w:rPr>
                <w:rFonts w:ascii="宋体" w:hAnsi="宋体" w:eastAsia="宋体" w:cs="宋体"/>
                <w:b w:val="0"/>
                <w:bCs w:val="0"/>
                <w:sz w:val="20"/>
                <w:szCs w:val="20"/>
                <w:highlight w:val="none"/>
              </w:rPr>
            </w:pPr>
            <w:r>
              <w:rPr>
                <w:rFonts w:ascii="宋体" w:hAnsi="宋体" w:eastAsia="宋体" w:cs="宋体"/>
                <w:b w:val="0"/>
                <w:bCs w:val="0"/>
                <w:spacing w:val="1"/>
                <w:sz w:val="20"/>
                <w:szCs w:val="20"/>
                <w:highlight w:val="none"/>
              </w:rPr>
              <w:t>≤0.35</w:t>
            </w:r>
          </w:p>
        </w:tc>
        <w:tc>
          <w:tcPr>
            <w:tcW w:w="2854" w:type="dxa"/>
            <w:vMerge w:val="continue"/>
            <w:tcBorders>
              <w:top w:val="nil"/>
            </w:tcBorders>
            <w:vAlign w:val="top"/>
          </w:tcPr>
          <w:p w14:paraId="06F78219">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b w:val="0"/>
                <w:bCs w:val="0"/>
                <w:sz w:val="20"/>
                <w:szCs w:val="20"/>
                <w:highlight w:val="none"/>
              </w:rPr>
            </w:pPr>
          </w:p>
        </w:tc>
      </w:tr>
    </w:tbl>
    <w:p w14:paraId="2A0DFC6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7DD896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5.2 泄漏排放限值</w:t>
      </w:r>
    </w:p>
    <w:p w14:paraId="0D6C5D4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71A402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42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Theme="minorEastAsia" w:hAnsiTheme="minorEastAsia" w:eastAsiaTheme="minorEastAsia" w:cstheme="minorEastAsia"/>
          <w:snapToGrid w:val="0"/>
          <w:color w:val="000000"/>
          <w:spacing w:val="10"/>
          <w:kern w:val="0"/>
          <w:sz w:val="21"/>
          <w:szCs w:val="21"/>
          <w:lang w:val="en-US" w:eastAsia="zh-CN" w:bidi="ar-SA"/>
        </w:rPr>
        <w:t>运输工具油气密封点泄漏检测值不应超过500μmol/mol。</w:t>
      </w:r>
    </w:p>
    <w:p w14:paraId="6C88A5D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7B2AE6E">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7" w:name="_Toc16677"/>
      <w:r>
        <w:rPr>
          <w:rFonts w:hint="eastAsia" w:ascii="黑体" w:hAnsi="黑体" w:eastAsia="黑体" w:cs="黑体"/>
          <w:snapToGrid w:val="0"/>
          <w:color w:val="000000"/>
          <w:spacing w:val="10"/>
          <w:kern w:val="0"/>
          <w:sz w:val="21"/>
          <w:szCs w:val="21"/>
          <w:lang w:val="en-US" w:eastAsia="zh-CN" w:bidi="ar-SA"/>
        </w:rPr>
        <w:t>6 污染物监测要求</w:t>
      </w:r>
      <w:bookmarkEnd w:id="7"/>
    </w:p>
    <w:p w14:paraId="061E8F8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4C7F73D">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b w:val="0"/>
          <w:bCs w:val="0"/>
          <w:spacing w:val="0"/>
          <w:sz w:val="21"/>
          <w:szCs w:val="21"/>
          <w:lang w:val="en-US" w:eastAsia="zh-CN"/>
        </w:rPr>
      </w:pPr>
      <w:r>
        <w:rPr>
          <w:rFonts w:hint="eastAsia" w:ascii="黑体" w:hAnsi="黑体" w:eastAsia="黑体" w:cs="黑体"/>
          <w:b w:val="0"/>
          <w:bCs w:val="0"/>
          <w:spacing w:val="0"/>
          <w:sz w:val="21"/>
          <w:szCs w:val="21"/>
          <w:lang w:val="en-US" w:eastAsia="zh-CN"/>
        </w:rPr>
        <w:t>6.1</w:t>
      </w:r>
      <w:r>
        <w:rPr>
          <w:rFonts w:hint="eastAsia" w:ascii="宋体" w:hAnsi="宋体" w:eastAsia="宋体" w:cs="宋体"/>
          <w:b w:val="0"/>
          <w:bCs w:val="0"/>
          <w:spacing w:val="0"/>
          <w:sz w:val="21"/>
          <w:szCs w:val="21"/>
          <w:lang w:val="en-US" w:eastAsia="zh-CN"/>
        </w:rPr>
        <w:t xml:space="preserve">  运输工具所属企业应按照有关法律、《企业事业单位环境信息公开办法》《环境监测管理办法》 和 </w:t>
      </w:r>
      <w:r>
        <w:rPr>
          <w:rFonts w:hint="default" w:ascii="宋体" w:hAnsi="宋体" w:eastAsia="宋体" w:cs="宋体"/>
          <w:b w:val="0"/>
          <w:bCs w:val="0"/>
          <w:spacing w:val="0"/>
          <w:sz w:val="21"/>
          <w:szCs w:val="21"/>
          <w:lang w:val="en-US" w:eastAsia="zh-CN"/>
        </w:rPr>
        <w:t xml:space="preserve">HJ 819 </w:t>
      </w:r>
      <w:r>
        <w:rPr>
          <w:rFonts w:hint="eastAsia" w:ascii="宋体" w:hAnsi="宋体" w:eastAsia="宋体" w:cs="宋体"/>
          <w:b w:val="0"/>
          <w:bCs w:val="0"/>
          <w:spacing w:val="0"/>
          <w:sz w:val="21"/>
          <w:szCs w:val="21"/>
          <w:lang w:val="en-US" w:eastAsia="zh-CN"/>
        </w:rPr>
        <w:t>等规定，建立企业自行监测制度，制订监测方案，每年至少对汽车罐车油气回收系统密闭性、运输工具油气密封点开展两次自行监测， 两次监测时间间隔大于3个月，保存原始监测记录，并依法公布监测结果，密闭性检测方法见附录 A。</w:t>
      </w:r>
    </w:p>
    <w:p w14:paraId="7C37CE15">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黑体" w:hAnsi="黑体" w:eastAsia="黑体" w:cs="黑体"/>
          <w:b w:val="0"/>
          <w:bCs w:val="0"/>
          <w:spacing w:val="0"/>
          <w:sz w:val="21"/>
          <w:szCs w:val="21"/>
          <w:highlight w:val="none"/>
          <w:lang w:val="en-US" w:eastAsia="zh-CN"/>
        </w:rPr>
      </w:pPr>
    </w:p>
    <w:p w14:paraId="08CF54A0">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b w:val="0"/>
          <w:bCs w:val="0"/>
          <w:spacing w:val="8"/>
          <w:position w:val="1"/>
          <w:sz w:val="20"/>
          <w:szCs w:val="20"/>
        </w:rPr>
      </w:pPr>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27E88419">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b w:val="0"/>
          <w:bCs w:val="0"/>
          <w:spacing w:val="8"/>
          <w:position w:val="1"/>
          <w:sz w:val="20"/>
          <w:szCs w:val="20"/>
          <w:lang w:val="en-US" w:eastAsia="zh-CN"/>
        </w:rPr>
      </w:pPr>
    </w:p>
    <w:p w14:paraId="6E88E6FF">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default" w:ascii="宋体" w:hAnsi="宋体" w:eastAsia="宋体" w:cs="宋体"/>
          <w:b w:val="0"/>
          <w:bCs w:val="0"/>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6.2</w:t>
      </w:r>
      <w:r>
        <w:rPr>
          <w:rFonts w:hint="eastAsia" w:ascii="宋体" w:hAnsi="宋体" w:eastAsia="宋体" w:cs="宋体"/>
          <w:b w:val="0"/>
          <w:bCs w:val="0"/>
          <w:spacing w:val="0"/>
          <w:sz w:val="21"/>
          <w:szCs w:val="21"/>
          <w:highlight w:val="none"/>
          <w:lang w:val="en-US" w:eastAsia="zh-CN"/>
        </w:rPr>
        <w:t xml:space="preserve">  汽车罐车生产企业应委托具有检测资质的机构对汽车罐车油气回收系统密闭性进行检测，密闭性检测方法见附录 A，将检验结果向社会进行公开，公开内容见附录 B。</w:t>
      </w:r>
    </w:p>
    <w:p w14:paraId="168E1D32">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b w:val="0"/>
          <w:bCs w:val="0"/>
          <w:spacing w:val="0"/>
          <w:sz w:val="21"/>
          <w:szCs w:val="21"/>
          <w:lang w:val="en-US" w:eastAsia="zh-CN"/>
        </w:rPr>
      </w:pPr>
      <w:r>
        <w:rPr>
          <w:rFonts w:hint="eastAsia" w:ascii="黑体" w:hAnsi="黑体" w:eastAsia="黑体" w:cs="黑体"/>
          <w:b w:val="0"/>
          <w:bCs w:val="0"/>
          <w:spacing w:val="0"/>
          <w:sz w:val="21"/>
          <w:szCs w:val="21"/>
          <w:lang w:val="en-US" w:eastAsia="zh-CN"/>
        </w:rPr>
        <w:t>6.3</w:t>
      </w:r>
      <w:r>
        <w:rPr>
          <w:rFonts w:hint="eastAsia" w:ascii="宋体" w:hAnsi="宋体" w:eastAsia="宋体" w:cs="宋体"/>
          <w:b w:val="0"/>
          <w:bCs w:val="0"/>
          <w:spacing w:val="0"/>
          <w:sz w:val="21"/>
          <w:szCs w:val="21"/>
          <w:lang w:val="en-US" w:eastAsia="zh-CN"/>
        </w:rPr>
        <w:t xml:space="preserve">  采用氢火焰离子化检测仪(以甲烷或丙烷为校准气体)对运输工具油气密封点进行检测，监测采样和测定方法按HJ 733的规定执行，监测采样应在油罐车装卸油之前进行。</w:t>
      </w:r>
    </w:p>
    <w:p w14:paraId="4EC24FFC">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b w:val="0"/>
          <w:bCs w:val="0"/>
          <w:spacing w:val="0"/>
          <w:sz w:val="21"/>
          <w:szCs w:val="21"/>
          <w:lang w:val="en-US" w:eastAsia="zh-CN"/>
        </w:rPr>
      </w:pPr>
      <w:r>
        <w:rPr>
          <w:rFonts w:hint="eastAsia" w:ascii="黑体" w:hAnsi="黑体" w:eastAsia="黑体" w:cs="黑体"/>
          <w:b w:val="0"/>
          <w:bCs w:val="0"/>
          <w:spacing w:val="0"/>
          <w:sz w:val="21"/>
          <w:szCs w:val="21"/>
          <w:lang w:val="en-US" w:eastAsia="zh-CN"/>
        </w:rPr>
        <w:t>6.4</w:t>
      </w:r>
      <w:r>
        <w:rPr>
          <w:rFonts w:hint="eastAsia" w:ascii="宋体" w:hAnsi="宋体" w:eastAsia="宋体" w:cs="宋体"/>
          <w:b w:val="0"/>
          <w:bCs w:val="0"/>
          <w:spacing w:val="0"/>
          <w:sz w:val="21"/>
          <w:szCs w:val="21"/>
          <w:lang w:val="en-US" w:eastAsia="zh-CN"/>
        </w:rPr>
        <w:t xml:space="preserve">  检测值数值修约按GB/T 8170的规定执行。</w:t>
      </w:r>
    </w:p>
    <w:p w14:paraId="2CB350B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3B3EB1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8" w:name="_Toc5723"/>
      <w:r>
        <w:rPr>
          <w:rFonts w:hint="eastAsia" w:ascii="黑体" w:hAnsi="黑体" w:eastAsia="黑体" w:cs="黑体"/>
          <w:snapToGrid w:val="0"/>
          <w:color w:val="000000"/>
          <w:spacing w:val="10"/>
          <w:kern w:val="0"/>
          <w:sz w:val="21"/>
          <w:szCs w:val="21"/>
          <w:lang w:val="en-US" w:eastAsia="zh-CN" w:bidi="ar-SA"/>
        </w:rPr>
        <w:t>7 实施与监督</w:t>
      </w:r>
      <w:bookmarkEnd w:id="8"/>
    </w:p>
    <w:p w14:paraId="1BAAC8BE">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Theme="minorEastAsia" w:hAnsiTheme="minorEastAsia" w:eastAsiaTheme="minorEastAsia" w:cstheme="minorEastAsia"/>
          <w:snapToGrid w:val="0"/>
          <w:color w:val="000000"/>
          <w:spacing w:val="10"/>
          <w:kern w:val="0"/>
          <w:sz w:val="21"/>
          <w:szCs w:val="21"/>
          <w:lang w:val="en-US" w:eastAsia="zh-CN" w:bidi="ar-SA"/>
        </w:rPr>
      </w:pPr>
    </w:p>
    <w:p w14:paraId="08234F9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Theme="minorEastAsia" w:hAnsiTheme="minorEastAsia" w:eastAsiaTheme="minorEastAsia" w:cstheme="minorEastAsia"/>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7.1</w:t>
      </w:r>
      <w:r>
        <w:rPr>
          <w:rFonts w:hint="eastAsia" w:asciiTheme="minorEastAsia" w:hAnsiTheme="minorEastAsia" w:eastAsiaTheme="minorEastAsia" w:cstheme="minorEastAsia"/>
          <w:snapToGrid w:val="0"/>
          <w:color w:val="000000"/>
          <w:spacing w:val="10"/>
          <w:kern w:val="0"/>
          <w:sz w:val="21"/>
          <w:szCs w:val="21"/>
          <w:lang w:val="en-US" w:eastAsia="zh-CN" w:bidi="ar-SA"/>
        </w:rPr>
        <w:t xml:space="preserve">  企业是实施本文件的责任主体，应采取必要措施，达到本文件规定的污染物排放控制要求。</w:t>
      </w:r>
    </w:p>
    <w:p w14:paraId="4CA11C01">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Theme="minorEastAsia" w:hAnsiTheme="minorEastAsia" w:eastAsiaTheme="minorEastAsia" w:cstheme="minorEastAsia"/>
          <w:b w:val="0"/>
          <w:bCs w:val="0"/>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7.2</w:t>
      </w:r>
      <w:r>
        <w:rPr>
          <w:rFonts w:hint="eastAsia" w:asciiTheme="minorEastAsia" w:hAnsiTheme="minorEastAsia" w:eastAsiaTheme="minorEastAsia" w:cstheme="minorEastAsia"/>
          <w:b w:val="0"/>
          <w:bCs w:val="0"/>
          <w:spacing w:val="0"/>
          <w:sz w:val="21"/>
          <w:szCs w:val="21"/>
          <w:highlight w:val="none"/>
          <w:lang w:val="en-US" w:eastAsia="zh-CN"/>
        </w:rPr>
        <w:t xml:space="preserve">  对于汽车罐车油气回收系统密闭性的检测，按照检测规范要求测得的密闭性检测值超过本文件规定的限值，判定为超标。</w:t>
      </w:r>
    </w:p>
    <w:p w14:paraId="0F04DDB4">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Theme="minorEastAsia" w:hAnsiTheme="minorEastAsia" w:eastAsiaTheme="minorEastAsia" w:cstheme="minorEastAsia"/>
          <w:b w:val="0"/>
          <w:bCs w:val="0"/>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7.3</w:t>
      </w:r>
      <w:r>
        <w:rPr>
          <w:rFonts w:hint="eastAsia" w:asciiTheme="minorEastAsia" w:hAnsiTheme="minorEastAsia" w:eastAsiaTheme="minorEastAsia" w:cstheme="minorEastAsia"/>
          <w:b w:val="0"/>
          <w:bCs w:val="0"/>
          <w:spacing w:val="0"/>
          <w:sz w:val="21"/>
          <w:szCs w:val="21"/>
          <w:highlight w:val="none"/>
          <w:lang w:val="en-US" w:eastAsia="zh-CN"/>
        </w:rPr>
        <w:t xml:space="preserve">  对于运输工具油气密封点的泄漏检测，按照检测规范要求现场测得的泄漏检测值超过本文件规定的限值，判定为超标。</w:t>
      </w:r>
    </w:p>
    <w:p w14:paraId="6BE2F14B">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b w:val="0"/>
          <w:bCs w:val="0"/>
          <w:spacing w:val="0"/>
          <w:sz w:val="20"/>
          <w:szCs w:val="20"/>
          <w:lang w:val="en-US" w:eastAsia="zh-CN"/>
        </w:rPr>
      </w:pPr>
      <w:r>
        <w:rPr>
          <w:rFonts w:hint="eastAsia" w:ascii="黑体" w:hAnsi="黑体" w:eastAsia="黑体" w:cs="黑体"/>
          <w:b w:val="0"/>
          <w:bCs w:val="0"/>
          <w:spacing w:val="0"/>
          <w:sz w:val="21"/>
          <w:szCs w:val="21"/>
          <w:highlight w:val="none"/>
          <w:lang w:val="en-US" w:eastAsia="zh-CN"/>
        </w:rPr>
        <w:t>7.4</w:t>
      </w:r>
      <w:r>
        <w:rPr>
          <w:rFonts w:hint="eastAsia" w:asciiTheme="minorEastAsia" w:hAnsiTheme="minorEastAsia" w:eastAsiaTheme="minorEastAsia" w:cstheme="minorEastAsia"/>
          <w:b w:val="0"/>
          <w:bCs w:val="0"/>
          <w:spacing w:val="0"/>
          <w:sz w:val="21"/>
          <w:szCs w:val="21"/>
          <w:highlight w:val="none"/>
          <w:lang w:val="en-US" w:eastAsia="zh-CN"/>
        </w:rPr>
        <w:t xml:space="preserve"> 企业未遵守本文件规定的措</w:t>
      </w:r>
      <w:r>
        <w:rPr>
          <w:rFonts w:hint="eastAsia" w:asciiTheme="minorEastAsia" w:hAnsiTheme="minorEastAsia" w:eastAsiaTheme="minorEastAsia" w:cstheme="minorEastAsia"/>
          <w:b w:val="0"/>
          <w:bCs w:val="0"/>
          <w:spacing w:val="0"/>
          <w:sz w:val="21"/>
          <w:szCs w:val="21"/>
          <w:lang w:val="en-US" w:eastAsia="zh-CN"/>
        </w:rPr>
        <w:t>施性控制要求，构成违法行为的，依照法律法规等有关规定予以处理。</w:t>
      </w:r>
    </w:p>
    <w:p w14:paraId="1410AF9A">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b w:val="0"/>
          <w:bCs w:val="0"/>
          <w:spacing w:val="0"/>
          <w:sz w:val="20"/>
          <w:szCs w:val="20"/>
          <w:lang w:val="en-US" w:eastAsia="zh-CN"/>
        </w:rPr>
      </w:pPr>
      <w:r>
        <w:rPr>
          <w:rFonts w:hint="eastAsia" w:ascii="宋体" w:hAnsi="宋体" w:eastAsia="宋体" w:cs="宋体"/>
          <w:b w:val="0"/>
          <w:bCs w:val="0"/>
          <w:spacing w:val="0"/>
          <w:sz w:val="20"/>
          <w:szCs w:val="20"/>
          <w:lang w:val="en-US" w:eastAsia="zh-CN"/>
        </w:rPr>
        <w:br w:type="page"/>
      </w:r>
    </w:p>
    <w:p w14:paraId="319AA787">
      <w:pPr>
        <w:pStyle w:val="4"/>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rFonts w:ascii="宋体" w:hAnsi="宋体" w:eastAsia="宋体" w:cs="宋体"/>
          <w:b w:val="0"/>
          <w:bCs w:val="0"/>
          <w:spacing w:val="0"/>
          <w:sz w:val="20"/>
          <w:szCs w:val="20"/>
        </w:rPr>
      </w:pPr>
      <w:bookmarkStart w:id="9" w:name="_Toc26247"/>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463481CC">
      <w:pPr>
        <w:pStyle w:val="2"/>
        <w:keepNext w:val="0"/>
        <w:keepLines w:val="0"/>
        <w:pageBreakBefore w:val="0"/>
        <w:widowControl/>
        <w:kinsoku w:val="0"/>
        <w:wordWrap/>
        <w:overflowPunct/>
        <w:topLinePunct w:val="0"/>
        <w:autoSpaceDE w:val="0"/>
        <w:autoSpaceDN w:val="0"/>
        <w:bidi w:val="0"/>
        <w:adjustRightInd w:val="0"/>
        <w:snapToGrid w:val="0"/>
        <w:spacing w:before="220" w:after="0" w:line="240" w:lineRule="exact"/>
        <w:jc w:val="center"/>
        <w:textAlignment w:val="baseline"/>
        <w:rPr>
          <w:rFonts w:eastAsia="黑体"/>
          <w:b w:val="0"/>
          <w:bCs w:val="0"/>
          <w:sz w:val="21"/>
          <w:szCs w:val="21"/>
        </w:rPr>
      </w:pPr>
      <w:r>
        <w:rPr>
          <w:rFonts w:eastAsia="黑体"/>
          <w:b w:val="0"/>
          <w:bCs w:val="0"/>
          <w:sz w:val="21"/>
          <w:szCs w:val="21"/>
        </w:rPr>
        <w:t>附  录 A</w:t>
      </w:r>
      <w:bookmarkEnd w:id="9"/>
    </w:p>
    <w:p w14:paraId="25E27678">
      <w:pPr>
        <w:keepNext w:val="0"/>
        <w:keepLines w:val="0"/>
        <w:pageBreakBefore w:val="0"/>
        <w:kinsoku w:val="0"/>
        <w:wordWrap/>
        <w:overflowPunct/>
        <w:topLinePunct w:val="0"/>
        <w:autoSpaceDE w:val="0"/>
        <w:autoSpaceDN w:val="0"/>
        <w:bidi w:val="0"/>
        <w:adjustRightInd w:val="0"/>
        <w:snapToGrid w:val="0"/>
        <w:spacing w:before="20" w:line="221" w:lineRule="auto"/>
        <w:jc w:val="center"/>
        <w:textAlignment w:val="baseline"/>
        <w:rPr>
          <w:rFonts w:ascii="黑体" w:hAnsi="黑体" w:eastAsia="黑体" w:cs="黑体"/>
          <w:b w:val="0"/>
          <w:bCs w:val="0"/>
          <w:spacing w:val="-3"/>
          <w:sz w:val="21"/>
          <w:szCs w:val="21"/>
        </w:rPr>
      </w:pPr>
      <w:r>
        <w:rPr>
          <w:rFonts w:ascii="黑体" w:hAnsi="黑体" w:eastAsia="黑体" w:cs="黑体"/>
          <w:b w:val="0"/>
          <w:bCs w:val="0"/>
          <w:spacing w:val="-3"/>
          <w:sz w:val="21"/>
          <w:szCs w:val="21"/>
        </w:rPr>
        <w:t>(规范性</w:t>
      </w:r>
      <w:r>
        <w:rPr>
          <w:rFonts w:hint="eastAsia" w:ascii="黑体" w:hAnsi="黑体" w:eastAsia="黑体" w:cs="黑体"/>
          <w:b w:val="0"/>
          <w:bCs w:val="0"/>
          <w:spacing w:val="-3"/>
          <w:sz w:val="21"/>
          <w:szCs w:val="21"/>
          <w:lang w:val="en-US" w:eastAsia="zh-CN"/>
        </w:rPr>
        <w:t>附录</w:t>
      </w:r>
      <w:r>
        <w:rPr>
          <w:rFonts w:ascii="黑体" w:hAnsi="黑体" w:eastAsia="黑体" w:cs="黑体"/>
          <w:b w:val="0"/>
          <w:bCs w:val="0"/>
          <w:spacing w:val="-3"/>
          <w:sz w:val="21"/>
          <w:szCs w:val="21"/>
        </w:rPr>
        <w:t>)</w:t>
      </w:r>
    </w:p>
    <w:p w14:paraId="0BBE5D67">
      <w:pPr>
        <w:keepNext w:val="0"/>
        <w:keepLines w:val="0"/>
        <w:pageBreakBefore w:val="0"/>
        <w:kinsoku w:val="0"/>
        <w:wordWrap/>
        <w:overflowPunct/>
        <w:topLinePunct w:val="0"/>
        <w:autoSpaceDE w:val="0"/>
        <w:autoSpaceDN w:val="0"/>
        <w:bidi w:val="0"/>
        <w:adjustRightInd w:val="0"/>
        <w:snapToGrid w:val="0"/>
        <w:spacing w:before="20" w:line="221" w:lineRule="auto"/>
        <w:jc w:val="center"/>
        <w:textAlignment w:val="baseline"/>
        <w:rPr>
          <w:rFonts w:ascii="黑体" w:hAnsi="黑体" w:eastAsia="黑体" w:cs="黑体"/>
          <w:b w:val="0"/>
          <w:bCs w:val="0"/>
          <w:sz w:val="21"/>
          <w:szCs w:val="21"/>
        </w:rPr>
      </w:pPr>
      <w:r>
        <w:rPr>
          <w:rFonts w:ascii="黑体" w:hAnsi="黑体" w:eastAsia="黑体" w:cs="黑体"/>
          <w:b w:val="0"/>
          <w:bCs w:val="0"/>
          <w:spacing w:val="-3"/>
          <w:sz w:val="21"/>
          <w:szCs w:val="21"/>
        </w:rPr>
        <w:t>汽车罐车油气回收系统密闭性检测方法</w:t>
      </w:r>
    </w:p>
    <w:p w14:paraId="58F4F1C6">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ascii="Arial"/>
          <w:b w:val="0"/>
          <w:bCs w:val="0"/>
          <w:sz w:val="21"/>
          <w:szCs w:val="21"/>
        </w:rPr>
      </w:pPr>
    </w:p>
    <w:p w14:paraId="6EFC626F">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r>
        <w:rPr>
          <w:rFonts w:hint="eastAsia" w:ascii="黑体" w:hAnsi="黑体" w:eastAsia="黑体" w:cs="黑体"/>
          <w:b w:val="0"/>
          <w:bCs w:val="0"/>
          <w:sz w:val="21"/>
          <w:szCs w:val="21"/>
        </w:rPr>
        <w:t>A.1 适用范围</w:t>
      </w:r>
    </w:p>
    <w:p w14:paraId="6B7A06DB">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ascii="Arial"/>
          <w:b w:val="0"/>
          <w:bCs w:val="0"/>
          <w:sz w:val="21"/>
          <w:szCs w:val="21"/>
        </w:rPr>
      </w:pPr>
    </w:p>
    <w:p w14:paraId="7225D3E0">
      <w:pPr>
        <w:keepNext w:val="0"/>
        <w:keepLines w:val="0"/>
        <w:pageBreakBefore w:val="0"/>
        <w:kinsoku w:val="0"/>
        <w:wordWrap/>
        <w:overflowPunct/>
        <w:topLinePunct w:val="0"/>
        <w:autoSpaceDE w:val="0"/>
        <w:autoSpaceDN w:val="0"/>
        <w:bidi w:val="0"/>
        <w:adjustRightInd w:val="0"/>
        <w:snapToGrid w:val="0"/>
        <w:spacing w:line="241" w:lineRule="auto"/>
        <w:ind w:firstLine="420" w:firstLineChars="0"/>
        <w:textAlignment w:val="baseline"/>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本附录适用于汽车罐车油气回收系统的密闭性检测。</w:t>
      </w:r>
    </w:p>
    <w:p w14:paraId="647C64E7">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p>
    <w:p w14:paraId="0E41799D">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r>
        <w:rPr>
          <w:rFonts w:hint="eastAsia" w:ascii="黑体" w:hAnsi="黑体" w:eastAsia="黑体" w:cs="黑体"/>
          <w:b w:val="0"/>
          <w:bCs w:val="0"/>
          <w:sz w:val="21"/>
          <w:szCs w:val="21"/>
        </w:rPr>
        <w:t>A.2 检测原理和概要</w:t>
      </w:r>
    </w:p>
    <w:p w14:paraId="1FB11C88">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p>
    <w:p w14:paraId="68D03547">
      <w:pPr>
        <w:keepNext w:val="0"/>
        <w:keepLines w:val="0"/>
        <w:pageBreakBefore w:val="0"/>
        <w:kinsoku w:val="0"/>
        <w:wordWrap/>
        <w:overflowPunct/>
        <w:topLinePunct w:val="0"/>
        <w:autoSpaceDE w:val="0"/>
        <w:autoSpaceDN w:val="0"/>
        <w:bidi w:val="0"/>
        <w:adjustRightInd w:val="0"/>
        <w:snapToGrid w:val="0"/>
        <w:spacing w:line="241" w:lineRule="auto"/>
        <w:ind w:firstLine="420" w:firstLineChars="0"/>
        <w:textAlignment w:val="baseline"/>
        <w:rPr>
          <w:rFonts w:hint="eastAsia" w:asciiTheme="minorEastAsia" w:hAnsiTheme="minorEastAsia" w:eastAsiaTheme="minorEastAsia" w:cstheme="minorEastAsia"/>
          <w:b w:val="0"/>
          <w:bCs w:val="0"/>
          <w:spacing w:val="0"/>
          <w:sz w:val="21"/>
          <w:szCs w:val="21"/>
        </w:rPr>
      </w:pPr>
      <w:r>
        <w:rPr>
          <w:rFonts w:hint="eastAsia" w:asciiTheme="minorEastAsia" w:hAnsiTheme="minorEastAsia" w:eastAsiaTheme="minorEastAsia" w:cstheme="minorEastAsia"/>
          <w:b w:val="0"/>
          <w:bCs w:val="0"/>
          <w:sz w:val="21"/>
          <w:szCs w:val="21"/>
        </w:rPr>
        <w:t>采用充压或抽真空的方式，检测油气回收系统对压力的保持程度。检测时对罐体充气或抽真空达</w:t>
      </w:r>
      <w:r>
        <w:rPr>
          <w:rFonts w:hint="eastAsia" w:asciiTheme="minorEastAsia" w:hAnsiTheme="minorEastAsia" w:eastAsiaTheme="minorEastAsia" w:cstheme="minorEastAsia"/>
          <w:b w:val="0"/>
          <w:bCs w:val="0"/>
          <w:spacing w:val="0"/>
          <w:sz w:val="21"/>
          <w:szCs w:val="21"/>
        </w:rPr>
        <w:t>到 一定的压力，然后与压力源隔离，记录5min 后的压力变动值并与密闭性限值比较是否达标。</w:t>
      </w:r>
    </w:p>
    <w:p w14:paraId="10DC0449">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p>
    <w:p w14:paraId="0CA356EA">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r>
        <w:rPr>
          <w:rFonts w:hint="eastAsia" w:ascii="黑体" w:hAnsi="黑体" w:eastAsia="黑体" w:cs="黑体"/>
          <w:b w:val="0"/>
          <w:bCs w:val="0"/>
          <w:sz w:val="21"/>
          <w:szCs w:val="21"/>
        </w:rPr>
        <w:t>A.3 检测条件</w:t>
      </w:r>
    </w:p>
    <w:p w14:paraId="033FFD22">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p>
    <w:p w14:paraId="008D1B7C">
      <w:pPr>
        <w:keepNext w:val="0"/>
        <w:keepLines w:val="0"/>
        <w:pageBreakBefore w:val="0"/>
        <w:widowControl/>
        <w:kinsoku w:val="0"/>
        <w:wordWrap/>
        <w:overflowPunct/>
        <w:topLinePunct w:val="0"/>
        <w:autoSpaceDE w:val="0"/>
        <w:autoSpaceDN w:val="0"/>
        <w:bidi w:val="0"/>
        <w:adjustRightInd w:val="0"/>
        <w:snapToGrid w:val="0"/>
        <w:spacing w:before="249" w:line="240" w:lineRule="exact"/>
        <w:ind w:left="429"/>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汽车罐车应停靠在一个不受阳光直接照射的位置接受检测，罐内不能存有残油。</w:t>
      </w:r>
    </w:p>
    <w:p w14:paraId="20799220">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p>
    <w:p w14:paraId="4C53BAA3">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r>
        <w:rPr>
          <w:rFonts w:hint="eastAsia" w:ascii="黑体" w:hAnsi="黑体" w:eastAsia="黑体" w:cs="黑体"/>
          <w:b w:val="0"/>
          <w:bCs w:val="0"/>
          <w:sz w:val="21"/>
          <w:szCs w:val="21"/>
        </w:rPr>
        <w:t>A.4 检测设备</w:t>
      </w:r>
    </w:p>
    <w:p w14:paraId="4E10BB34">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p>
    <w:p w14:paraId="68E8DF0C">
      <w:pPr>
        <w:keepNext w:val="0"/>
        <w:keepLines w:val="0"/>
        <w:pageBreakBefore w:val="0"/>
        <w:widowControl/>
        <w:kinsoku w:val="0"/>
        <w:wordWrap/>
        <w:overflowPunct/>
        <w:topLinePunct w:val="0"/>
        <w:autoSpaceDE w:val="0"/>
        <w:autoSpaceDN w:val="0"/>
        <w:bidi w:val="0"/>
        <w:adjustRightInd w:val="0"/>
        <w:snapToGrid w:val="0"/>
        <w:spacing w:before="261"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A.4.1</w:t>
      </w:r>
      <w:r>
        <w:rPr>
          <w:rFonts w:ascii="宋体" w:hAnsi="宋体" w:eastAsia="宋体" w:cs="宋体"/>
          <w:b w:val="0"/>
          <w:bCs w:val="0"/>
          <w:spacing w:val="0"/>
          <w:sz w:val="21"/>
          <w:szCs w:val="21"/>
        </w:rPr>
        <w:t xml:space="preserve">  氮气加压系统。可以将罐体加压至7kPa。</w:t>
      </w:r>
    </w:p>
    <w:p w14:paraId="50BCE7E0">
      <w:pPr>
        <w:keepNext w:val="0"/>
        <w:keepLines w:val="0"/>
        <w:pageBreakBefore w:val="0"/>
        <w:widowControl/>
        <w:kinsoku w:val="0"/>
        <w:wordWrap/>
        <w:overflowPunct/>
        <w:topLinePunct w:val="0"/>
        <w:autoSpaceDE w:val="0"/>
        <w:autoSpaceDN w:val="0"/>
        <w:bidi w:val="0"/>
        <w:adjustRightInd w:val="0"/>
        <w:snapToGrid w:val="0"/>
        <w:spacing w:before="122"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A.4.2</w:t>
      </w:r>
      <w:r>
        <w:rPr>
          <w:rFonts w:ascii="宋体" w:hAnsi="宋体" w:eastAsia="宋体" w:cs="宋体"/>
          <w:b w:val="0"/>
          <w:bCs w:val="0"/>
          <w:spacing w:val="0"/>
          <w:sz w:val="21"/>
          <w:szCs w:val="21"/>
        </w:rPr>
        <w:t xml:space="preserve">  低压调节器。用于控制高压气源压力，分度值≤20kPa。</w:t>
      </w:r>
    </w:p>
    <w:p w14:paraId="10073E12">
      <w:pPr>
        <w:keepNext w:val="0"/>
        <w:keepLines w:val="0"/>
        <w:pageBreakBefore w:val="0"/>
        <w:widowControl/>
        <w:kinsoku w:val="0"/>
        <w:wordWrap/>
        <w:overflowPunct/>
        <w:topLinePunct w:val="0"/>
        <w:autoSpaceDE w:val="0"/>
        <w:autoSpaceDN w:val="0"/>
        <w:bidi w:val="0"/>
        <w:adjustRightInd w:val="0"/>
        <w:snapToGrid w:val="0"/>
        <w:spacing w:before="115"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A.4.3</w:t>
      </w:r>
      <w:r>
        <w:rPr>
          <w:rFonts w:ascii="宋体" w:hAnsi="宋体" w:eastAsia="宋体" w:cs="宋体"/>
          <w:b w:val="0"/>
          <w:bCs w:val="0"/>
          <w:spacing w:val="0"/>
          <w:sz w:val="21"/>
          <w:szCs w:val="21"/>
        </w:rPr>
        <w:t xml:space="preserve">  压力表。测量范围-6kpa～6kPa; 最大允许误差≤±2.5%FS; 分度值≤30 Pa。</w:t>
      </w:r>
    </w:p>
    <w:p w14:paraId="6316A3E4">
      <w:pPr>
        <w:keepNext w:val="0"/>
        <w:keepLines w:val="0"/>
        <w:pageBreakBefore w:val="0"/>
        <w:widowControl/>
        <w:kinsoku w:val="0"/>
        <w:wordWrap/>
        <w:overflowPunct/>
        <w:topLinePunct w:val="0"/>
        <w:autoSpaceDE w:val="0"/>
        <w:autoSpaceDN w:val="0"/>
        <w:bidi w:val="0"/>
        <w:adjustRightInd w:val="0"/>
        <w:snapToGrid w:val="0"/>
        <w:spacing w:before="132"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position w:val="12"/>
          <w:sz w:val="21"/>
          <w:szCs w:val="21"/>
        </w:rPr>
        <w:t>A.4.4</w:t>
      </w:r>
      <w:r>
        <w:rPr>
          <w:rFonts w:ascii="宋体" w:hAnsi="宋体" w:eastAsia="宋体" w:cs="宋体"/>
          <w:b w:val="0"/>
          <w:bCs w:val="0"/>
          <w:spacing w:val="0"/>
          <w:position w:val="12"/>
          <w:sz w:val="21"/>
          <w:szCs w:val="21"/>
        </w:rPr>
        <w:t xml:space="preserve">  油气管线检测接头。检测接头上装有可连接加压和抽真空软管的截止阀，检测接头还应与压力</w:t>
      </w:r>
    </w:p>
    <w:p w14:paraId="60437544">
      <w:pPr>
        <w:keepNext w:val="0"/>
        <w:keepLines w:val="0"/>
        <w:pageBreakBefore w:val="0"/>
        <w:widowControl/>
        <w:kinsoku w:val="0"/>
        <w:wordWrap/>
        <w:overflowPunct/>
        <w:topLinePunct w:val="0"/>
        <w:autoSpaceDE w:val="0"/>
        <w:autoSpaceDN w:val="0"/>
        <w:bidi w:val="0"/>
        <w:adjustRightInd w:val="0"/>
        <w:snapToGrid w:val="0"/>
        <w:spacing w:before="1" w:line="240" w:lineRule="exact"/>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表连接。</w:t>
      </w:r>
    </w:p>
    <w:p w14:paraId="709C0863">
      <w:pPr>
        <w:keepNext w:val="0"/>
        <w:keepLines w:val="0"/>
        <w:pageBreakBefore w:val="0"/>
        <w:widowControl/>
        <w:kinsoku w:val="0"/>
        <w:wordWrap/>
        <w:overflowPunct/>
        <w:topLinePunct w:val="0"/>
        <w:autoSpaceDE w:val="0"/>
        <w:autoSpaceDN w:val="0"/>
        <w:bidi w:val="0"/>
        <w:adjustRightInd w:val="0"/>
        <w:snapToGrid w:val="0"/>
        <w:spacing w:before="117"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A.4.5</w:t>
      </w:r>
      <w:r>
        <w:rPr>
          <w:rFonts w:ascii="宋体" w:hAnsi="宋体" w:eastAsia="宋体" w:cs="宋体"/>
          <w:b w:val="0"/>
          <w:bCs w:val="0"/>
          <w:spacing w:val="0"/>
          <w:sz w:val="21"/>
          <w:szCs w:val="21"/>
        </w:rPr>
        <w:t xml:space="preserve">  真空泵。可以将罐体抽真空至-2.5 kPa。</w:t>
      </w:r>
    </w:p>
    <w:p w14:paraId="2FBA1A02">
      <w:pPr>
        <w:keepNext w:val="0"/>
        <w:keepLines w:val="0"/>
        <w:pageBreakBefore w:val="0"/>
        <w:widowControl/>
        <w:kinsoku w:val="0"/>
        <w:wordWrap/>
        <w:overflowPunct/>
        <w:topLinePunct w:val="0"/>
        <w:autoSpaceDE w:val="0"/>
        <w:autoSpaceDN w:val="0"/>
        <w:bidi w:val="0"/>
        <w:adjustRightInd w:val="0"/>
        <w:snapToGrid w:val="0"/>
        <w:spacing w:before="118"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A.4.6</w:t>
      </w:r>
      <w:r>
        <w:rPr>
          <w:rFonts w:ascii="宋体" w:hAnsi="宋体" w:eastAsia="宋体" w:cs="宋体"/>
          <w:b w:val="0"/>
          <w:bCs w:val="0"/>
          <w:spacing w:val="0"/>
          <w:sz w:val="21"/>
          <w:szCs w:val="21"/>
        </w:rPr>
        <w:t xml:space="preserve">  加压和抽真空软管。内径为6～10mm, 能够承受检测压力。</w:t>
      </w:r>
    </w:p>
    <w:p w14:paraId="0C84ED9B">
      <w:pPr>
        <w:keepNext w:val="0"/>
        <w:keepLines w:val="0"/>
        <w:pageBreakBefore w:val="0"/>
        <w:widowControl/>
        <w:kinsoku w:val="0"/>
        <w:wordWrap/>
        <w:overflowPunct/>
        <w:topLinePunct w:val="0"/>
        <w:autoSpaceDE w:val="0"/>
        <w:autoSpaceDN w:val="0"/>
        <w:bidi w:val="0"/>
        <w:adjustRightInd w:val="0"/>
        <w:snapToGrid w:val="0"/>
        <w:spacing w:before="127"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A.4.7</w:t>
      </w:r>
      <w:r>
        <w:rPr>
          <w:rFonts w:ascii="宋体" w:hAnsi="宋体" w:eastAsia="宋体" w:cs="宋体"/>
          <w:b w:val="0"/>
          <w:bCs w:val="0"/>
          <w:spacing w:val="0"/>
          <w:sz w:val="21"/>
          <w:szCs w:val="21"/>
        </w:rPr>
        <w:t xml:space="preserve">  泄压阀。串联在管线中，能在压力达到7kPa和-2.5 kPa时自动开启。</w:t>
      </w:r>
    </w:p>
    <w:p w14:paraId="20171169">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p>
    <w:p w14:paraId="480437A6">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r>
        <w:rPr>
          <w:rFonts w:hint="eastAsia" w:ascii="黑体" w:hAnsi="黑体" w:eastAsia="黑体" w:cs="黑体"/>
          <w:b w:val="0"/>
          <w:bCs w:val="0"/>
          <w:sz w:val="21"/>
          <w:szCs w:val="21"/>
        </w:rPr>
        <w:t>A.5 检测程序</w:t>
      </w:r>
    </w:p>
    <w:p w14:paraId="322A9343">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p>
    <w:p w14:paraId="773BAEF1">
      <w:pPr>
        <w:keepNext w:val="0"/>
        <w:keepLines w:val="0"/>
        <w:pageBreakBefore w:val="0"/>
        <w:widowControl/>
        <w:kinsoku w:val="0"/>
        <w:wordWrap/>
        <w:overflowPunct/>
        <w:topLinePunct w:val="0"/>
        <w:autoSpaceDE w:val="0"/>
        <w:autoSpaceDN w:val="0"/>
        <w:bidi w:val="0"/>
        <w:adjustRightInd w:val="0"/>
        <w:snapToGrid w:val="0"/>
        <w:spacing w:before="262"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A.5.1</w:t>
      </w:r>
      <w:r>
        <w:rPr>
          <w:rFonts w:ascii="宋体" w:hAnsi="宋体" w:eastAsia="宋体" w:cs="宋体"/>
          <w:b w:val="0"/>
          <w:bCs w:val="0"/>
          <w:spacing w:val="0"/>
          <w:sz w:val="21"/>
          <w:szCs w:val="21"/>
        </w:rPr>
        <w:t xml:space="preserve">  对汽车罐车油气回收系统的相关部件进行检查。</w:t>
      </w:r>
    </w:p>
    <w:p w14:paraId="386C30E7">
      <w:pPr>
        <w:keepNext w:val="0"/>
        <w:keepLines w:val="0"/>
        <w:pageBreakBefore w:val="0"/>
        <w:widowControl/>
        <w:kinsoku w:val="0"/>
        <w:wordWrap/>
        <w:overflowPunct/>
        <w:topLinePunct w:val="0"/>
        <w:autoSpaceDE w:val="0"/>
        <w:autoSpaceDN w:val="0"/>
        <w:bidi w:val="0"/>
        <w:adjustRightInd w:val="0"/>
        <w:snapToGrid w:val="0"/>
        <w:spacing w:before="161"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A.5.2</w:t>
      </w:r>
      <w:r>
        <w:rPr>
          <w:rFonts w:ascii="宋体" w:hAnsi="宋体" w:eastAsia="宋体" w:cs="宋体"/>
          <w:b w:val="0"/>
          <w:bCs w:val="0"/>
          <w:spacing w:val="0"/>
          <w:sz w:val="21"/>
          <w:szCs w:val="21"/>
        </w:rPr>
        <w:t xml:space="preserve">  油气回收系统密闭性检测(正加压)</w:t>
      </w:r>
    </w:p>
    <w:p w14:paraId="7D33323A">
      <w:pPr>
        <w:keepNext w:val="0"/>
        <w:keepLines w:val="0"/>
        <w:pageBreakBefore w:val="0"/>
        <w:widowControl/>
        <w:kinsoku w:val="0"/>
        <w:wordWrap/>
        <w:overflowPunct/>
        <w:topLinePunct w:val="0"/>
        <w:autoSpaceDE w:val="0"/>
        <w:autoSpaceDN w:val="0"/>
        <w:bidi w:val="0"/>
        <w:adjustRightInd w:val="0"/>
        <w:snapToGrid w:val="0"/>
        <w:spacing w:before="126" w:line="240" w:lineRule="exact"/>
        <w:ind w:right="11" w:firstLine="429"/>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向单仓汽车罐车或多仓汽车罐车的第一个油仓内充压达到4.5 kPa,5 min 后记录的压力变动值应小 于等于表1规定的限值，具体检测应按照以下要求进行：</w:t>
      </w:r>
    </w:p>
    <w:p w14:paraId="5F36D2D1">
      <w:pPr>
        <w:keepNext w:val="0"/>
        <w:keepLines w:val="0"/>
        <w:pageBreakBefore w:val="0"/>
        <w:widowControl/>
        <w:kinsoku w:val="0"/>
        <w:wordWrap/>
        <w:overflowPunct/>
        <w:topLinePunct w:val="0"/>
        <w:autoSpaceDE w:val="0"/>
        <w:autoSpaceDN w:val="0"/>
        <w:bidi w:val="0"/>
        <w:adjustRightInd w:val="0"/>
        <w:snapToGrid w:val="0"/>
        <w:spacing w:before="21" w:line="240" w:lineRule="exact"/>
        <w:ind w:left="429"/>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a) 开启和关闭罐体顶盖。</w:t>
      </w:r>
    </w:p>
    <w:p w14:paraId="211CB92E">
      <w:pPr>
        <w:keepNext w:val="0"/>
        <w:keepLines w:val="0"/>
        <w:pageBreakBefore w:val="0"/>
        <w:widowControl/>
        <w:kinsoku w:val="0"/>
        <w:wordWrap/>
        <w:overflowPunct/>
        <w:topLinePunct w:val="0"/>
        <w:autoSpaceDE w:val="0"/>
        <w:autoSpaceDN w:val="0"/>
        <w:bidi w:val="0"/>
        <w:adjustRightInd w:val="0"/>
        <w:snapToGrid w:val="0"/>
        <w:spacing w:before="20" w:line="240" w:lineRule="exact"/>
        <w:ind w:left="429"/>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b) 将静电接地接头连接至罐体。</w:t>
      </w:r>
    </w:p>
    <w:p w14:paraId="02CB39A3">
      <w:pPr>
        <w:keepNext w:val="0"/>
        <w:keepLines w:val="0"/>
        <w:pageBreakBefore w:val="0"/>
        <w:widowControl/>
        <w:kinsoku w:val="0"/>
        <w:wordWrap/>
        <w:overflowPunct/>
        <w:topLinePunct w:val="0"/>
        <w:autoSpaceDE w:val="0"/>
        <w:autoSpaceDN w:val="0"/>
        <w:bidi w:val="0"/>
        <w:adjustRightInd w:val="0"/>
        <w:snapToGrid w:val="0"/>
        <w:spacing w:before="22" w:line="240" w:lineRule="exact"/>
        <w:ind w:left="429"/>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c) 将检测接头与汽车罐车油气回收耦合阀连接。</w:t>
      </w:r>
    </w:p>
    <w:p w14:paraId="7623DD3D">
      <w:pPr>
        <w:keepNext w:val="0"/>
        <w:keepLines w:val="0"/>
        <w:pageBreakBefore w:val="0"/>
        <w:widowControl/>
        <w:kinsoku w:val="0"/>
        <w:wordWrap/>
        <w:overflowPunct/>
        <w:topLinePunct w:val="0"/>
        <w:autoSpaceDE w:val="0"/>
        <w:autoSpaceDN w:val="0"/>
        <w:bidi w:val="0"/>
        <w:adjustRightInd w:val="0"/>
        <w:snapToGrid w:val="0"/>
        <w:spacing w:before="21" w:line="240" w:lineRule="exact"/>
        <w:ind w:left="429"/>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d) 将截止阀与泄压阀、加压和抽真空软管连接，将压力源与软管连接。</w:t>
      </w:r>
    </w:p>
    <w:p w14:paraId="04E88177">
      <w:pPr>
        <w:keepNext w:val="0"/>
        <w:keepLines w:val="0"/>
        <w:pageBreakBefore w:val="0"/>
        <w:widowControl/>
        <w:kinsoku w:val="0"/>
        <w:wordWrap/>
        <w:overflowPunct/>
        <w:topLinePunct w:val="0"/>
        <w:autoSpaceDE w:val="0"/>
        <w:autoSpaceDN w:val="0"/>
        <w:bidi w:val="0"/>
        <w:adjustRightInd w:val="0"/>
        <w:snapToGrid w:val="0"/>
        <w:spacing w:before="21" w:line="240" w:lineRule="exact"/>
        <w:ind w:left="429"/>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e) 缓慢增加压力，将单仓汽车罐车或多仓汽车罐车的第一个油仓加压至4.5 kPa。</w:t>
      </w:r>
    </w:p>
    <w:p w14:paraId="3DE2CD7B">
      <w:pPr>
        <w:keepNext w:val="0"/>
        <w:keepLines w:val="0"/>
        <w:pageBreakBefore w:val="0"/>
        <w:widowControl/>
        <w:kinsoku w:val="0"/>
        <w:wordWrap/>
        <w:overflowPunct/>
        <w:topLinePunct w:val="0"/>
        <w:autoSpaceDE w:val="0"/>
        <w:autoSpaceDN w:val="0"/>
        <w:bidi w:val="0"/>
        <w:adjustRightInd w:val="0"/>
        <w:snapToGrid w:val="0"/>
        <w:spacing w:before="17" w:line="240" w:lineRule="exact"/>
        <w:ind w:left="429" w:right="871"/>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 xml:space="preserve">f) 关闭截止阀，让压力稳定。如压力不稳定，调节压力使其保持在4.5kPa, 开始计时。 </w:t>
      </w:r>
    </w:p>
    <w:p w14:paraId="619AC16E">
      <w:pPr>
        <w:keepNext w:val="0"/>
        <w:keepLines w:val="0"/>
        <w:pageBreakBefore w:val="0"/>
        <w:widowControl/>
        <w:kinsoku w:val="0"/>
        <w:wordWrap/>
        <w:overflowPunct/>
        <w:topLinePunct w:val="0"/>
        <w:autoSpaceDE w:val="0"/>
        <w:autoSpaceDN w:val="0"/>
        <w:bidi w:val="0"/>
        <w:adjustRightInd w:val="0"/>
        <w:snapToGrid w:val="0"/>
        <w:spacing w:before="17" w:line="240" w:lineRule="exact"/>
        <w:ind w:left="429" w:right="871"/>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g)5 min后，记录剩余压力。</w:t>
      </w:r>
    </w:p>
    <w:p w14:paraId="279679B7">
      <w:pPr>
        <w:keepNext w:val="0"/>
        <w:keepLines w:val="0"/>
        <w:pageBreakBefore w:val="0"/>
        <w:widowControl/>
        <w:kinsoku w:val="0"/>
        <w:wordWrap/>
        <w:overflowPunct/>
        <w:topLinePunct w:val="0"/>
        <w:autoSpaceDE w:val="0"/>
        <w:autoSpaceDN w:val="0"/>
        <w:bidi w:val="0"/>
        <w:adjustRightInd w:val="0"/>
        <w:snapToGrid w:val="0"/>
        <w:spacing w:before="34" w:line="240" w:lineRule="exact"/>
        <w:ind w:left="429"/>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h) 计算压力变动值，即初始压力(4.5kPa) 减去剩余压力，并与表1规定的限值比较。</w:t>
      </w:r>
    </w:p>
    <w:p w14:paraId="78747BD2">
      <w:pPr>
        <w:keepNext w:val="0"/>
        <w:keepLines w:val="0"/>
        <w:pageBreakBefore w:val="0"/>
        <w:widowControl/>
        <w:kinsoku w:val="0"/>
        <w:wordWrap/>
        <w:overflowPunct/>
        <w:topLinePunct w:val="0"/>
        <w:autoSpaceDE w:val="0"/>
        <w:autoSpaceDN w:val="0"/>
        <w:bidi w:val="0"/>
        <w:adjustRightInd w:val="0"/>
        <w:snapToGrid w:val="0"/>
        <w:spacing w:before="21" w:line="240" w:lineRule="exact"/>
        <w:ind w:left="429"/>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i) 如果汽车罐车的多个油仓不互相连通，按照上述程序对每个油仓进行检测。</w:t>
      </w:r>
    </w:p>
    <w:p w14:paraId="02CDDE2E">
      <w:pPr>
        <w:keepNext w:val="0"/>
        <w:keepLines w:val="0"/>
        <w:pageBreakBefore w:val="0"/>
        <w:widowControl/>
        <w:kinsoku w:val="0"/>
        <w:wordWrap/>
        <w:overflowPunct/>
        <w:topLinePunct w:val="0"/>
        <w:autoSpaceDE w:val="0"/>
        <w:autoSpaceDN w:val="0"/>
        <w:bidi w:val="0"/>
        <w:adjustRightInd w:val="0"/>
        <w:snapToGrid w:val="0"/>
        <w:spacing w:before="171"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A.5.3</w:t>
      </w:r>
      <w:r>
        <w:rPr>
          <w:rFonts w:ascii="宋体" w:hAnsi="宋体" w:eastAsia="宋体" w:cs="宋体"/>
          <w:b w:val="0"/>
          <w:bCs w:val="0"/>
          <w:spacing w:val="0"/>
          <w:sz w:val="21"/>
          <w:szCs w:val="21"/>
        </w:rPr>
        <w:t xml:space="preserve">  油气回收系统密闭性检测(负加压)</w:t>
      </w:r>
    </w:p>
    <w:p w14:paraId="02F1FB97">
      <w:pPr>
        <w:keepNext w:val="0"/>
        <w:keepLines w:val="0"/>
        <w:pageBreakBefore w:val="0"/>
        <w:widowControl/>
        <w:kinsoku w:val="0"/>
        <w:wordWrap/>
        <w:overflowPunct/>
        <w:topLinePunct w:val="0"/>
        <w:autoSpaceDE w:val="0"/>
        <w:autoSpaceDN w:val="0"/>
        <w:bidi w:val="0"/>
        <w:adjustRightInd w:val="0"/>
        <w:snapToGrid w:val="0"/>
        <w:spacing w:before="171" w:line="240" w:lineRule="exact"/>
        <w:textAlignment w:val="baseline"/>
        <w:rPr>
          <w:b w:val="0"/>
          <w:bCs w:val="0"/>
          <w:spacing w:val="8"/>
          <w:position w:val="1"/>
          <w:sz w:val="20"/>
          <w:szCs w:val="20"/>
        </w:rPr>
      </w:pPr>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5313BFA4">
      <w:pPr>
        <w:keepNext w:val="0"/>
        <w:keepLines w:val="0"/>
        <w:pageBreakBefore w:val="0"/>
        <w:widowControl/>
        <w:kinsoku w:val="0"/>
        <w:wordWrap/>
        <w:overflowPunct/>
        <w:topLinePunct w:val="0"/>
        <w:autoSpaceDE w:val="0"/>
        <w:autoSpaceDN w:val="0"/>
        <w:bidi w:val="0"/>
        <w:adjustRightInd w:val="0"/>
        <w:snapToGrid w:val="0"/>
        <w:spacing w:before="171" w:line="240" w:lineRule="exact"/>
        <w:textAlignment w:val="baseline"/>
        <w:rPr>
          <w:b w:val="0"/>
          <w:bCs w:val="0"/>
          <w:spacing w:val="8"/>
          <w:position w:val="1"/>
          <w:sz w:val="20"/>
          <w:szCs w:val="20"/>
        </w:rPr>
      </w:pPr>
    </w:p>
    <w:p w14:paraId="569A83E2">
      <w:pPr>
        <w:keepNext w:val="0"/>
        <w:keepLines w:val="0"/>
        <w:pageBreakBefore w:val="0"/>
        <w:widowControl/>
        <w:kinsoku w:val="0"/>
        <w:wordWrap/>
        <w:overflowPunct/>
        <w:topLinePunct w:val="0"/>
        <w:autoSpaceDE w:val="0"/>
        <w:autoSpaceDN w:val="0"/>
        <w:bidi w:val="0"/>
        <w:adjustRightInd w:val="0"/>
        <w:snapToGrid w:val="0"/>
        <w:spacing w:before="171" w:line="240" w:lineRule="exact"/>
        <w:ind w:firstLine="420" w:firstLineChars="2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对单仓汽车罐车或多仓汽车罐车的第一个油仓抽真空至-1.5 kPa,5min  后记录的压力变动值应小于等</w:t>
      </w:r>
    </w:p>
    <w:p w14:paraId="6F73E856">
      <w:pPr>
        <w:keepNext w:val="0"/>
        <w:keepLines w:val="0"/>
        <w:pageBreakBefore w:val="0"/>
        <w:widowControl/>
        <w:kinsoku w:val="0"/>
        <w:wordWrap/>
        <w:overflowPunct/>
        <w:topLinePunct w:val="0"/>
        <w:autoSpaceDE w:val="0"/>
        <w:autoSpaceDN w:val="0"/>
        <w:bidi w:val="0"/>
        <w:adjustRightInd w:val="0"/>
        <w:snapToGrid w:val="0"/>
        <w:spacing w:before="47" w:line="240" w:lineRule="exact"/>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于表1规定的限值，具体检测应按照以下要求进行：</w:t>
      </w:r>
    </w:p>
    <w:p w14:paraId="1C6DFD85">
      <w:pPr>
        <w:keepNext w:val="0"/>
        <w:keepLines w:val="0"/>
        <w:pageBreakBefore w:val="0"/>
        <w:widowControl/>
        <w:kinsoku w:val="0"/>
        <w:wordWrap/>
        <w:overflowPunct/>
        <w:topLinePunct w:val="0"/>
        <w:autoSpaceDE w:val="0"/>
        <w:autoSpaceDN w:val="0"/>
        <w:bidi w:val="0"/>
        <w:adjustRightInd w:val="0"/>
        <w:snapToGrid w:val="0"/>
        <w:spacing w:before="20"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a) 将真空泵与加压和抽真空软管连接。</w:t>
      </w:r>
    </w:p>
    <w:p w14:paraId="5BA247E6">
      <w:pPr>
        <w:keepNext w:val="0"/>
        <w:keepLines w:val="0"/>
        <w:pageBreakBefore w:val="0"/>
        <w:widowControl/>
        <w:kinsoku w:val="0"/>
        <w:wordWrap/>
        <w:overflowPunct/>
        <w:topLinePunct w:val="0"/>
        <w:autoSpaceDE w:val="0"/>
        <w:autoSpaceDN w:val="0"/>
        <w:bidi w:val="0"/>
        <w:adjustRightInd w:val="0"/>
        <w:snapToGrid w:val="0"/>
        <w:spacing w:before="21"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b) 缓慢将单仓汽车罐车或多仓汽车罐车的第一个油仓抽真空至-1.5 kPa。</w:t>
      </w:r>
    </w:p>
    <w:p w14:paraId="5261839C">
      <w:pPr>
        <w:keepNext w:val="0"/>
        <w:keepLines w:val="0"/>
        <w:pageBreakBefore w:val="0"/>
        <w:widowControl/>
        <w:kinsoku w:val="0"/>
        <w:wordWrap/>
        <w:overflowPunct/>
        <w:topLinePunct w:val="0"/>
        <w:autoSpaceDE w:val="0"/>
        <w:autoSpaceDN w:val="0"/>
        <w:bidi w:val="0"/>
        <w:adjustRightInd w:val="0"/>
        <w:snapToGrid w:val="0"/>
        <w:spacing w:before="16" w:line="240" w:lineRule="exact"/>
        <w:ind w:left="400" w:right="644"/>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 xml:space="preserve">c) 关闭截止阀，让压力稳定。如压力不稳定，调节压力使其保持在-1.5 kPa, 开始计时。 </w:t>
      </w:r>
    </w:p>
    <w:p w14:paraId="0183E669">
      <w:pPr>
        <w:keepNext w:val="0"/>
        <w:keepLines w:val="0"/>
        <w:pageBreakBefore w:val="0"/>
        <w:widowControl/>
        <w:kinsoku w:val="0"/>
        <w:wordWrap/>
        <w:overflowPunct/>
        <w:topLinePunct w:val="0"/>
        <w:autoSpaceDE w:val="0"/>
        <w:autoSpaceDN w:val="0"/>
        <w:bidi w:val="0"/>
        <w:adjustRightInd w:val="0"/>
        <w:snapToGrid w:val="0"/>
        <w:spacing w:before="16" w:line="240" w:lineRule="exact"/>
        <w:ind w:left="400" w:right="644"/>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d)5 min后，记录剩余压力。</w:t>
      </w:r>
    </w:p>
    <w:p w14:paraId="09C8956B">
      <w:pPr>
        <w:keepNext w:val="0"/>
        <w:keepLines w:val="0"/>
        <w:pageBreakBefore w:val="0"/>
        <w:widowControl/>
        <w:kinsoku w:val="0"/>
        <w:wordWrap/>
        <w:overflowPunct/>
        <w:topLinePunct w:val="0"/>
        <w:autoSpaceDE w:val="0"/>
        <w:autoSpaceDN w:val="0"/>
        <w:bidi w:val="0"/>
        <w:adjustRightInd w:val="0"/>
        <w:snapToGrid w:val="0"/>
        <w:spacing w:before="20"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e) 计算压力变动值，即剩余压力减去初始压力(-1.5 kPa), 并与表1规定的限值比较。</w:t>
      </w:r>
    </w:p>
    <w:p w14:paraId="499A30AB">
      <w:pPr>
        <w:keepNext w:val="0"/>
        <w:keepLines w:val="0"/>
        <w:pageBreakBefore w:val="0"/>
        <w:widowControl/>
        <w:kinsoku w:val="0"/>
        <w:wordWrap/>
        <w:overflowPunct/>
        <w:topLinePunct w:val="0"/>
        <w:autoSpaceDE w:val="0"/>
        <w:autoSpaceDN w:val="0"/>
        <w:bidi w:val="0"/>
        <w:adjustRightInd w:val="0"/>
        <w:snapToGrid w:val="0"/>
        <w:spacing w:before="20"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f) 如果汽车罐车的多个油仓不互相连通，按照上述程序对每个油仓进行检测。</w:t>
      </w:r>
    </w:p>
    <w:p w14:paraId="4403D768">
      <w:pPr>
        <w:keepNext w:val="0"/>
        <w:keepLines w:val="0"/>
        <w:pageBreakBefore w:val="0"/>
        <w:widowControl/>
        <w:kinsoku w:val="0"/>
        <w:wordWrap/>
        <w:overflowPunct/>
        <w:topLinePunct w:val="0"/>
        <w:autoSpaceDE w:val="0"/>
        <w:autoSpaceDN w:val="0"/>
        <w:bidi w:val="0"/>
        <w:adjustRightInd w:val="0"/>
        <w:snapToGrid w:val="0"/>
        <w:spacing w:before="20" w:line="240" w:lineRule="exact"/>
        <w:textAlignment w:val="baseline"/>
        <w:rPr>
          <w:rFonts w:ascii="宋体" w:hAnsi="宋体" w:eastAsia="宋体" w:cs="宋体"/>
          <w:b w:val="0"/>
          <w:bCs w:val="0"/>
          <w:spacing w:val="0"/>
          <w:sz w:val="21"/>
          <w:szCs w:val="21"/>
        </w:rPr>
      </w:pPr>
      <w:r>
        <w:rPr>
          <w:rFonts w:hint="eastAsia" w:ascii="黑体" w:hAnsi="黑体" w:eastAsia="黑体" w:cs="黑体"/>
          <w:b w:val="0"/>
          <w:bCs w:val="0"/>
          <w:spacing w:val="0"/>
          <w:sz w:val="21"/>
          <w:szCs w:val="21"/>
        </w:rPr>
        <w:t>A.5.4</w:t>
      </w:r>
      <w:r>
        <w:rPr>
          <w:rFonts w:ascii="宋体" w:hAnsi="宋体" w:eastAsia="宋体" w:cs="宋体"/>
          <w:b w:val="0"/>
          <w:bCs w:val="0"/>
          <w:spacing w:val="0"/>
          <w:sz w:val="21"/>
          <w:szCs w:val="21"/>
        </w:rPr>
        <w:t xml:space="preserve">  油气回收阀密闭性检测(正加压)</w:t>
      </w:r>
    </w:p>
    <w:p w14:paraId="59C87A13">
      <w:pPr>
        <w:keepNext w:val="0"/>
        <w:keepLines w:val="0"/>
        <w:pageBreakBefore w:val="0"/>
        <w:widowControl/>
        <w:kinsoku w:val="0"/>
        <w:wordWrap/>
        <w:overflowPunct/>
        <w:topLinePunct w:val="0"/>
        <w:autoSpaceDE w:val="0"/>
        <w:autoSpaceDN w:val="0"/>
        <w:bidi w:val="0"/>
        <w:adjustRightInd w:val="0"/>
        <w:snapToGrid w:val="0"/>
        <w:spacing w:before="139" w:line="240" w:lineRule="exact"/>
        <w:ind w:right="21" w:firstLine="400"/>
        <w:jc w:val="both"/>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向单仓汽车罐车或多仓汽车罐车的第一个油仓内充压达到4.5 kPa, 关闭汽车罐车油气回收阀，打 开泄压阀，再关闭泄压阀，5min 后记录的压力变动值应小于等于表1规定的限值，具体检测应按照以 下要求进行：</w:t>
      </w:r>
    </w:p>
    <w:p w14:paraId="4F318C54">
      <w:pPr>
        <w:keepNext w:val="0"/>
        <w:keepLines w:val="0"/>
        <w:pageBreakBefore w:val="0"/>
        <w:widowControl/>
        <w:kinsoku w:val="0"/>
        <w:wordWrap/>
        <w:overflowPunct/>
        <w:topLinePunct w:val="0"/>
        <w:autoSpaceDE w:val="0"/>
        <w:autoSpaceDN w:val="0"/>
        <w:bidi w:val="0"/>
        <w:adjustRightInd w:val="0"/>
        <w:snapToGrid w:val="0"/>
        <w:spacing w:before="1"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a) 将压力源与加压和抽真空软管连接。</w:t>
      </w:r>
    </w:p>
    <w:p w14:paraId="7CBF5234">
      <w:pPr>
        <w:keepNext w:val="0"/>
        <w:keepLines w:val="0"/>
        <w:pageBreakBefore w:val="0"/>
        <w:widowControl/>
        <w:kinsoku w:val="0"/>
        <w:wordWrap/>
        <w:overflowPunct/>
        <w:topLinePunct w:val="0"/>
        <w:autoSpaceDE w:val="0"/>
        <w:autoSpaceDN w:val="0"/>
        <w:bidi w:val="0"/>
        <w:adjustRightInd w:val="0"/>
        <w:snapToGrid w:val="0"/>
        <w:spacing w:before="31"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b) 缓慢增加压力，将单仓汽车罐车或多仓汽车罐车的第一个油仓加压至4.5 kPa。</w:t>
      </w:r>
    </w:p>
    <w:p w14:paraId="22D9E9A0">
      <w:pPr>
        <w:keepNext w:val="0"/>
        <w:keepLines w:val="0"/>
        <w:pageBreakBefore w:val="0"/>
        <w:widowControl/>
        <w:kinsoku w:val="0"/>
        <w:wordWrap/>
        <w:overflowPunct/>
        <w:topLinePunct w:val="0"/>
        <w:autoSpaceDE w:val="0"/>
        <w:autoSpaceDN w:val="0"/>
        <w:bidi w:val="0"/>
        <w:adjustRightInd w:val="0"/>
        <w:snapToGrid w:val="0"/>
        <w:spacing w:before="30"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c) 关闭截止阀，让压力稳定。如压力不稳定，调节压力使其保持在4.5 kPa。</w:t>
      </w:r>
    </w:p>
    <w:p w14:paraId="70D7E5D9">
      <w:pPr>
        <w:keepNext w:val="0"/>
        <w:keepLines w:val="0"/>
        <w:pageBreakBefore w:val="0"/>
        <w:widowControl/>
        <w:kinsoku w:val="0"/>
        <w:wordWrap/>
        <w:overflowPunct/>
        <w:topLinePunct w:val="0"/>
        <w:autoSpaceDE w:val="0"/>
        <w:autoSpaceDN w:val="0"/>
        <w:bidi w:val="0"/>
        <w:adjustRightInd w:val="0"/>
        <w:snapToGrid w:val="0"/>
        <w:spacing w:before="31"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d) 关闭单仓或多仓汽车罐车第一个油仓的油气回收阀，将油气回收管线与油仓隔离。</w:t>
      </w:r>
    </w:p>
    <w:p w14:paraId="123FE239">
      <w:pPr>
        <w:keepNext w:val="0"/>
        <w:keepLines w:val="0"/>
        <w:pageBreakBefore w:val="0"/>
        <w:widowControl/>
        <w:kinsoku w:val="0"/>
        <w:wordWrap/>
        <w:overflowPunct/>
        <w:topLinePunct w:val="0"/>
        <w:autoSpaceDE w:val="0"/>
        <w:autoSpaceDN w:val="0"/>
        <w:bidi w:val="0"/>
        <w:adjustRightInd w:val="0"/>
        <w:snapToGrid w:val="0"/>
        <w:spacing w:before="31"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e) 打开泄压阀，将油气回收管线内的压力减至大气压。</w:t>
      </w:r>
    </w:p>
    <w:p w14:paraId="39292BF3">
      <w:pPr>
        <w:keepNext w:val="0"/>
        <w:keepLines w:val="0"/>
        <w:pageBreakBefore w:val="0"/>
        <w:widowControl/>
        <w:kinsoku w:val="0"/>
        <w:wordWrap/>
        <w:overflowPunct/>
        <w:topLinePunct w:val="0"/>
        <w:autoSpaceDE w:val="0"/>
        <w:autoSpaceDN w:val="0"/>
        <w:bidi w:val="0"/>
        <w:adjustRightInd w:val="0"/>
        <w:snapToGrid w:val="0"/>
        <w:spacing w:before="31"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f) 关闭泄压阀，开始计时，5min 后，记录油气回收管线内的剩余压力。</w:t>
      </w:r>
    </w:p>
    <w:p w14:paraId="32154727">
      <w:pPr>
        <w:keepNext w:val="0"/>
        <w:keepLines w:val="0"/>
        <w:pageBreakBefore w:val="0"/>
        <w:widowControl/>
        <w:kinsoku w:val="0"/>
        <w:wordWrap/>
        <w:overflowPunct/>
        <w:topLinePunct w:val="0"/>
        <w:autoSpaceDE w:val="0"/>
        <w:autoSpaceDN w:val="0"/>
        <w:bidi w:val="0"/>
        <w:adjustRightInd w:val="0"/>
        <w:snapToGrid w:val="0"/>
        <w:spacing w:before="24"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g) 计算压力变动值，即剩余压力减去初始压力(0kPa),并与表1规定的限值比较。</w:t>
      </w:r>
    </w:p>
    <w:p w14:paraId="56F3C4F5">
      <w:pPr>
        <w:keepNext w:val="0"/>
        <w:keepLines w:val="0"/>
        <w:pageBreakBefore w:val="0"/>
        <w:widowControl/>
        <w:kinsoku w:val="0"/>
        <w:wordWrap/>
        <w:overflowPunct/>
        <w:topLinePunct w:val="0"/>
        <w:autoSpaceDE w:val="0"/>
        <w:autoSpaceDN w:val="0"/>
        <w:bidi w:val="0"/>
        <w:adjustRightInd w:val="0"/>
        <w:snapToGrid w:val="0"/>
        <w:spacing w:before="44" w:line="240" w:lineRule="exact"/>
        <w:ind w:left="400"/>
        <w:textAlignment w:val="baseline"/>
        <w:rPr>
          <w:rFonts w:ascii="宋体" w:hAnsi="宋体" w:eastAsia="宋体" w:cs="宋体"/>
          <w:b w:val="0"/>
          <w:bCs w:val="0"/>
          <w:spacing w:val="0"/>
          <w:sz w:val="21"/>
          <w:szCs w:val="21"/>
        </w:rPr>
      </w:pPr>
      <w:r>
        <w:rPr>
          <w:rFonts w:ascii="宋体" w:hAnsi="宋体" w:eastAsia="宋体" w:cs="宋体"/>
          <w:b w:val="0"/>
          <w:bCs w:val="0"/>
          <w:spacing w:val="0"/>
          <w:sz w:val="21"/>
          <w:szCs w:val="21"/>
        </w:rPr>
        <w:t>h) 如果汽车罐车的多个油仓不互相连通，按照上述程序对每个油仓进行检测。</w:t>
      </w:r>
    </w:p>
    <w:p w14:paraId="45A8FEF3">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p>
    <w:p w14:paraId="166CEC83">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r>
        <w:rPr>
          <w:rFonts w:hint="eastAsia" w:ascii="黑体" w:hAnsi="黑体" w:eastAsia="黑体" w:cs="黑体"/>
          <w:b w:val="0"/>
          <w:bCs w:val="0"/>
          <w:sz w:val="21"/>
          <w:szCs w:val="21"/>
        </w:rPr>
        <w:t>A.6 检测记录</w:t>
      </w:r>
    </w:p>
    <w:p w14:paraId="11D2B139">
      <w:pPr>
        <w:keepNext w:val="0"/>
        <w:keepLines w:val="0"/>
        <w:pageBreakBefore w:val="0"/>
        <w:kinsoku w:val="0"/>
        <w:wordWrap/>
        <w:overflowPunct/>
        <w:topLinePunct w:val="0"/>
        <w:autoSpaceDE w:val="0"/>
        <w:autoSpaceDN w:val="0"/>
        <w:bidi w:val="0"/>
        <w:adjustRightInd w:val="0"/>
        <w:snapToGrid w:val="0"/>
        <w:spacing w:line="241" w:lineRule="auto"/>
        <w:textAlignment w:val="baseline"/>
        <w:rPr>
          <w:rFonts w:hint="eastAsia" w:ascii="黑体" w:hAnsi="黑体" w:eastAsia="黑体" w:cs="黑体"/>
          <w:b w:val="0"/>
          <w:bCs w:val="0"/>
          <w:sz w:val="21"/>
          <w:szCs w:val="21"/>
        </w:rPr>
      </w:pPr>
    </w:p>
    <w:p w14:paraId="3F1BC30F">
      <w:pPr>
        <w:keepNext w:val="0"/>
        <w:keepLines w:val="0"/>
        <w:pageBreakBefore w:val="0"/>
        <w:widowControl/>
        <w:kinsoku w:val="0"/>
        <w:wordWrap/>
        <w:overflowPunct/>
        <w:topLinePunct w:val="0"/>
        <w:autoSpaceDE w:val="0"/>
        <w:autoSpaceDN w:val="0"/>
        <w:bidi w:val="0"/>
        <w:adjustRightInd w:val="0"/>
        <w:snapToGrid w:val="0"/>
        <w:spacing w:before="206" w:line="240" w:lineRule="exact"/>
        <w:textAlignment w:val="baseline"/>
        <w:rPr>
          <w:rFonts w:hint="eastAsia" w:ascii="宋体" w:hAnsi="宋体" w:eastAsia="宋体" w:cs="宋体"/>
          <w:b w:val="0"/>
          <w:bCs w:val="0"/>
          <w:spacing w:val="0"/>
          <w:sz w:val="20"/>
          <w:szCs w:val="20"/>
          <w:lang w:val="en-US" w:eastAsia="zh-CN"/>
        </w:rPr>
        <w:sectPr>
          <w:footerReference r:id="rId7" w:type="default"/>
          <w:pgSz w:w="11906" w:h="16838"/>
          <w:pgMar w:top="1417" w:right="1134" w:bottom="1134" w:left="1417" w:header="851" w:footer="992" w:gutter="0"/>
          <w:pgNumType w:fmt="decimal" w:start="1"/>
          <w:cols w:space="0" w:num="1"/>
          <w:rtlGutter w:val="0"/>
          <w:docGrid w:type="lines" w:linePitch="312" w:charSpace="0"/>
        </w:sectPr>
      </w:pPr>
      <w:r>
        <w:rPr>
          <w:rFonts w:ascii="宋体" w:hAnsi="宋体" w:eastAsia="宋体" w:cs="宋体"/>
          <w:b w:val="0"/>
          <w:bCs w:val="0"/>
          <w:spacing w:val="0"/>
          <w:sz w:val="21"/>
          <w:szCs w:val="21"/>
        </w:rPr>
        <w:t>汽车罐车油气回收系统密闭性检测记录参见附录</w:t>
      </w:r>
      <w:r>
        <w:rPr>
          <w:rFonts w:hint="eastAsia" w:ascii="宋体" w:hAnsi="宋体" w:eastAsia="宋体" w:cs="宋体"/>
          <w:b w:val="0"/>
          <w:bCs w:val="0"/>
          <w:spacing w:val="0"/>
          <w:sz w:val="21"/>
          <w:szCs w:val="21"/>
          <w:lang w:val="en-US" w:eastAsia="zh-CN"/>
        </w:rPr>
        <w:t>C</w:t>
      </w:r>
      <w:r>
        <w:rPr>
          <w:rFonts w:ascii="宋体" w:hAnsi="宋体" w:eastAsia="宋体" w:cs="宋体"/>
          <w:b w:val="0"/>
          <w:bCs w:val="0"/>
          <w:spacing w:val="0"/>
          <w:sz w:val="20"/>
          <w:szCs w:val="20"/>
        </w:rPr>
        <w:t>。</w:t>
      </w:r>
    </w:p>
    <w:p w14:paraId="03EC9369">
      <w:pPr>
        <w:pStyle w:val="4"/>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b w:val="0"/>
          <w:bCs w:val="0"/>
          <w:sz w:val="20"/>
          <w:szCs w:val="20"/>
        </w:rPr>
      </w:pPr>
      <w:bookmarkStart w:id="10" w:name="_Toc20740"/>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49F44349">
      <w:pPr>
        <w:pStyle w:val="2"/>
        <w:keepNext w:val="0"/>
        <w:keepLines w:val="0"/>
        <w:pageBreakBefore w:val="0"/>
        <w:widowControl/>
        <w:kinsoku w:val="0"/>
        <w:wordWrap/>
        <w:overflowPunct/>
        <w:topLinePunct w:val="0"/>
        <w:autoSpaceDE w:val="0"/>
        <w:autoSpaceDN w:val="0"/>
        <w:bidi w:val="0"/>
        <w:adjustRightInd w:val="0"/>
        <w:snapToGrid w:val="0"/>
        <w:spacing w:before="100" w:after="0" w:line="240" w:lineRule="exact"/>
        <w:jc w:val="center"/>
        <w:textAlignment w:val="baseline"/>
        <w:rPr>
          <w:rFonts w:eastAsia="黑体"/>
          <w:b w:val="0"/>
          <w:bCs w:val="0"/>
          <w:sz w:val="20"/>
          <w:szCs w:val="20"/>
        </w:rPr>
      </w:pPr>
    </w:p>
    <w:p w14:paraId="2087DAFF">
      <w:pPr>
        <w:pStyle w:val="2"/>
        <w:keepNext w:val="0"/>
        <w:keepLines w:val="0"/>
        <w:pageBreakBefore w:val="0"/>
        <w:widowControl/>
        <w:kinsoku w:val="0"/>
        <w:wordWrap/>
        <w:overflowPunct/>
        <w:topLinePunct w:val="0"/>
        <w:autoSpaceDE w:val="0"/>
        <w:autoSpaceDN w:val="0"/>
        <w:bidi w:val="0"/>
        <w:adjustRightInd w:val="0"/>
        <w:snapToGrid w:val="0"/>
        <w:spacing w:before="100" w:after="0" w:line="240" w:lineRule="exact"/>
        <w:jc w:val="center"/>
        <w:textAlignment w:val="baseline"/>
        <w:rPr>
          <w:rFonts w:hint="eastAsia" w:ascii="黑体" w:hAnsi="黑体" w:eastAsia="黑体" w:cs="黑体"/>
          <w:b w:val="0"/>
          <w:bCs w:val="0"/>
          <w:sz w:val="21"/>
          <w:szCs w:val="21"/>
        </w:rPr>
      </w:pPr>
      <w:r>
        <w:rPr>
          <w:rFonts w:hint="eastAsia" w:ascii="黑体" w:hAnsi="黑体" w:eastAsia="黑体" w:cs="黑体"/>
          <w:b w:val="0"/>
          <w:bCs w:val="0"/>
          <w:sz w:val="21"/>
          <w:szCs w:val="21"/>
        </w:rPr>
        <w:t>附录B</w:t>
      </w:r>
      <w:bookmarkEnd w:id="10"/>
    </w:p>
    <w:p w14:paraId="06ECAD40">
      <w:pPr>
        <w:keepNext w:val="0"/>
        <w:keepLines w:val="0"/>
        <w:pageBreakBefore w:val="0"/>
        <w:kinsoku w:val="0"/>
        <w:wordWrap/>
        <w:overflowPunct/>
        <w:topLinePunct w:val="0"/>
        <w:autoSpaceDE w:val="0"/>
        <w:autoSpaceDN w:val="0"/>
        <w:bidi w:val="0"/>
        <w:adjustRightInd w:val="0"/>
        <w:snapToGrid w:val="0"/>
        <w:spacing w:before="20" w:line="221" w:lineRule="auto"/>
        <w:jc w:val="center"/>
        <w:textAlignment w:val="baseline"/>
        <w:rPr>
          <w:rFonts w:hint="eastAsia" w:ascii="黑体" w:hAnsi="黑体" w:eastAsia="黑体" w:cs="黑体"/>
          <w:b w:val="0"/>
          <w:bCs w:val="0"/>
          <w:spacing w:val="-3"/>
          <w:sz w:val="21"/>
          <w:szCs w:val="21"/>
        </w:rPr>
      </w:pPr>
      <w:r>
        <w:rPr>
          <w:rFonts w:hint="eastAsia" w:ascii="黑体" w:hAnsi="黑体" w:eastAsia="黑体" w:cs="黑体"/>
          <w:b w:val="0"/>
          <w:bCs w:val="0"/>
          <w:spacing w:val="-3"/>
          <w:sz w:val="21"/>
          <w:szCs w:val="21"/>
        </w:rPr>
        <w:t>(资料性附录)</w:t>
      </w:r>
    </w:p>
    <w:p w14:paraId="04E979AB">
      <w:pPr>
        <w:keepNext w:val="0"/>
        <w:keepLines w:val="0"/>
        <w:pageBreakBefore w:val="0"/>
        <w:kinsoku w:val="0"/>
        <w:wordWrap/>
        <w:overflowPunct/>
        <w:topLinePunct w:val="0"/>
        <w:autoSpaceDE w:val="0"/>
        <w:autoSpaceDN w:val="0"/>
        <w:bidi w:val="0"/>
        <w:adjustRightInd w:val="0"/>
        <w:snapToGrid w:val="0"/>
        <w:spacing w:before="20" w:line="221" w:lineRule="auto"/>
        <w:jc w:val="center"/>
        <w:textAlignment w:val="baseline"/>
        <w:rPr>
          <w:rFonts w:eastAsia="黑体"/>
          <w:b w:val="0"/>
          <w:bCs w:val="0"/>
          <w:sz w:val="20"/>
          <w:szCs w:val="20"/>
        </w:rPr>
      </w:pPr>
      <w:r>
        <w:rPr>
          <w:rFonts w:hint="eastAsia" w:ascii="黑体" w:hAnsi="黑体" w:eastAsia="黑体" w:cs="黑体"/>
          <w:b w:val="0"/>
          <w:bCs w:val="0"/>
          <w:spacing w:val="-3"/>
          <w:sz w:val="21"/>
          <w:szCs w:val="21"/>
        </w:rPr>
        <w:t>汽车罐车回收系统配置表</w:t>
      </w:r>
    </w:p>
    <w:p w14:paraId="5230948C">
      <w:pPr>
        <w:keepNext w:val="0"/>
        <w:keepLines w:val="0"/>
        <w:pageBreakBefore w:val="0"/>
        <w:kinsoku w:val="0"/>
        <w:wordWrap/>
        <w:overflowPunct/>
        <w:topLinePunct w:val="0"/>
        <w:autoSpaceDE w:val="0"/>
        <w:autoSpaceDN w:val="0"/>
        <w:bidi w:val="0"/>
        <w:adjustRightInd w:val="0"/>
        <w:snapToGrid w:val="0"/>
        <w:spacing w:before="30" w:line="219" w:lineRule="auto"/>
        <w:ind w:left="400"/>
        <w:textAlignment w:val="baseline"/>
        <w:rPr>
          <w:rFonts w:hint="eastAsia" w:asciiTheme="minorEastAsia" w:hAnsiTheme="minorEastAsia" w:eastAsiaTheme="minorEastAsia" w:cstheme="minorEastAsia"/>
          <w:b w:val="0"/>
          <w:bCs w:val="0"/>
          <w:spacing w:val="-2"/>
          <w:sz w:val="21"/>
          <w:szCs w:val="21"/>
        </w:rPr>
      </w:pPr>
      <w:r>
        <w:rPr>
          <w:rFonts w:hint="eastAsia" w:asciiTheme="minorEastAsia" w:hAnsiTheme="minorEastAsia" w:eastAsiaTheme="minorEastAsia" w:cstheme="minorEastAsia"/>
          <w:b w:val="0"/>
          <w:bCs w:val="0"/>
          <w:spacing w:val="-2"/>
          <w:sz w:val="21"/>
          <w:szCs w:val="21"/>
        </w:rPr>
        <w:t>汽车罐车回收系统配置表见表B.1。</w:t>
      </w:r>
    </w:p>
    <w:p w14:paraId="23895C42">
      <w:pPr>
        <w:pStyle w:val="8"/>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ind w:left="0" w:right="0" w:firstLine="0"/>
        <w:textAlignment w:val="baseline"/>
        <w:rPr>
          <w:rFonts w:hint="eastAsia" w:asciiTheme="minorEastAsia" w:hAnsiTheme="minorEastAsia" w:eastAsiaTheme="minorEastAsia" w:cstheme="minorEastAsia"/>
          <w:b w:val="0"/>
          <w:bCs w:val="0"/>
          <w:sz w:val="21"/>
          <w:szCs w:val="21"/>
        </w:rPr>
      </w:pPr>
    </w:p>
    <w:p w14:paraId="3A93D5FD">
      <w:pPr>
        <w:pStyle w:val="8"/>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jc w:val="center"/>
        <w:textAlignment w:val="baseline"/>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napToGrid w:val="0"/>
          <w:color w:val="000000"/>
          <w:spacing w:val="-12"/>
          <w:kern w:val="0"/>
          <w:position w:val="4"/>
          <w:sz w:val="21"/>
          <w:szCs w:val="21"/>
        </w:rPr>
        <w:t>表B.1 汽车罐车回收系统配置表</w:t>
      </w:r>
    </w:p>
    <w:tbl>
      <w:tblPr>
        <w:tblStyle w:val="10"/>
        <w:tblpPr w:leftFromText="180" w:rightFromText="180" w:vertAnchor="text" w:horzAnchor="page" w:tblpXSpec="center" w:tblpY="267"/>
        <w:tblOverlap w:val="never"/>
        <w:tblW w:w="141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6"/>
        <w:gridCol w:w="1889"/>
        <w:gridCol w:w="1445"/>
        <w:gridCol w:w="1146"/>
        <w:gridCol w:w="1212"/>
        <w:gridCol w:w="1297"/>
        <w:gridCol w:w="1031"/>
        <w:gridCol w:w="1599"/>
        <w:gridCol w:w="1483"/>
        <w:gridCol w:w="1586"/>
      </w:tblGrid>
      <w:tr w14:paraId="23186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6" w:type="dxa"/>
            <w:vAlign w:val="center"/>
          </w:tcPr>
          <w:p w14:paraId="1397E046">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配置</w:t>
            </w:r>
          </w:p>
        </w:tc>
        <w:tc>
          <w:tcPr>
            <w:tcW w:w="1889" w:type="dxa"/>
            <w:vAlign w:val="center"/>
          </w:tcPr>
          <w:p w14:paraId="4879F9BD">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油气回收藕合阀</w:t>
            </w:r>
          </w:p>
        </w:tc>
        <w:tc>
          <w:tcPr>
            <w:tcW w:w="1445" w:type="dxa"/>
            <w:vAlign w:val="center"/>
          </w:tcPr>
          <w:p w14:paraId="6D5E1A31">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油气回收阀</w:t>
            </w:r>
          </w:p>
        </w:tc>
        <w:tc>
          <w:tcPr>
            <w:tcW w:w="1146" w:type="dxa"/>
            <w:vAlign w:val="center"/>
          </w:tcPr>
          <w:p w14:paraId="07CF16F2">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通气阀</w:t>
            </w:r>
          </w:p>
        </w:tc>
        <w:tc>
          <w:tcPr>
            <w:tcW w:w="1212" w:type="dxa"/>
            <w:vAlign w:val="center"/>
          </w:tcPr>
          <w:p w14:paraId="1C80D7DC">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呼吸阀</w:t>
            </w:r>
          </w:p>
        </w:tc>
        <w:tc>
          <w:tcPr>
            <w:tcW w:w="1297" w:type="dxa"/>
            <w:vAlign w:val="center"/>
          </w:tcPr>
          <w:p w14:paraId="19751CF0">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人孔盖</w:t>
            </w:r>
          </w:p>
        </w:tc>
        <w:tc>
          <w:tcPr>
            <w:tcW w:w="1031" w:type="dxa"/>
            <w:vAlign w:val="center"/>
          </w:tcPr>
          <w:p w14:paraId="1109CC72">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卸油阀</w:t>
            </w:r>
          </w:p>
        </w:tc>
        <w:tc>
          <w:tcPr>
            <w:tcW w:w="1599" w:type="dxa"/>
            <w:vAlign w:val="center"/>
          </w:tcPr>
          <w:p w14:paraId="6424C93D">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紧急切断阀</w:t>
            </w:r>
          </w:p>
        </w:tc>
        <w:tc>
          <w:tcPr>
            <w:tcW w:w="1483" w:type="dxa"/>
            <w:vAlign w:val="center"/>
          </w:tcPr>
          <w:p w14:paraId="60CC4605">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防溢流探杆</w:t>
            </w:r>
          </w:p>
        </w:tc>
        <w:tc>
          <w:tcPr>
            <w:tcW w:w="1586" w:type="dxa"/>
            <w:vAlign w:val="center"/>
          </w:tcPr>
          <w:p w14:paraId="71631FDD">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防溢流插座</w:t>
            </w:r>
          </w:p>
        </w:tc>
      </w:tr>
      <w:tr w14:paraId="5C716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6" w:type="dxa"/>
            <w:vAlign w:val="center"/>
          </w:tcPr>
          <w:p w14:paraId="1AFA3DBC">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型号</w:t>
            </w:r>
          </w:p>
        </w:tc>
        <w:tc>
          <w:tcPr>
            <w:tcW w:w="1889" w:type="dxa"/>
            <w:vAlign w:val="center"/>
          </w:tcPr>
          <w:p w14:paraId="51C4AC93">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445" w:type="dxa"/>
            <w:vAlign w:val="center"/>
          </w:tcPr>
          <w:p w14:paraId="64328BD6">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146" w:type="dxa"/>
            <w:vAlign w:val="center"/>
          </w:tcPr>
          <w:p w14:paraId="6D82AF6F">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212" w:type="dxa"/>
            <w:vAlign w:val="center"/>
          </w:tcPr>
          <w:p w14:paraId="2DDFAA27">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297" w:type="dxa"/>
            <w:vAlign w:val="center"/>
          </w:tcPr>
          <w:p w14:paraId="0E121EF1">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031" w:type="dxa"/>
            <w:vAlign w:val="center"/>
          </w:tcPr>
          <w:p w14:paraId="6C9551AE">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599" w:type="dxa"/>
            <w:vAlign w:val="center"/>
          </w:tcPr>
          <w:p w14:paraId="7C172DE8">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483" w:type="dxa"/>
            <w:vAlign w:val="center"/>
          </w:tcPr>
          <w:p w14:paraId="15C7533F">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586" w:type="dxa"/>
            <w:vAlign w:val="center"/>
          </w:tcPr>
          <w:p w14:paraId="566F8AFB">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r>
      <w:tr w14:paraId="2543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426" w:type="dxa"/>
            <w:vAlign w:val="center"/>
          </w:tcPr>
          <w:p w14:paraId="7CC2F90B">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生产厂家</w:t>
            </w:r>
          </w:p>
        </w:tc>
        <w:tc>
          <w:tcPr>
            <w:tcW w:w="1889" w:type="dxa"/>
            <w:vAlign w:val="center"/>
          </w:tcPr>
          <w:p w14:paraId="5ACCE74C">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445" w:type="dxa"/>
            <w:vAlign w:val="center"/>
          </w:tcPr>
          <w:p w14:paraId="4B4A5BE4">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146" w:type="dxa"/>
            <w:vAlign w:val="center"/>
          </w:tcPr>
          <w:p w14:paraId="3122155D">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212" w:type="dxa"/>
            <w:vAlign w:val="center"/>
          </w:tcPr>
          <w:p w14:paraId="0C9DBD1B">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297" w:type="dxa"/>
            <w:vAlign w:val="center"/>
          </w:tcPr>
          <w:p w14:paraId="1390F5FD">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031" w:type="dxa"/>
            <w:vAlign w:val="center"/>
          </w:tcPr>
          <w:p w14:paraId="4607605F">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599" w:type="dxa"/>
            <w:vAlign w:val="center"/>
          </w:tcPr>
          <w:p w14:paraId="46278F3F">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483" w:type="dxa"/>
            <w:vAlign w:val="center"/>
          </w:tcPr>
          <w:p w14:paraId="625978F5">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c>
          <w:tcPr>
            <w:tcW w:w="1586" w:type="dxa"/>
            <w:vAlign w:val="center"/>
          </w:tcPr>
          <w:p w14:paraId="2B041D8B">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eastAsia" w:asciiTheme="minorEastAsia" w:hAnsiTheme="minorEastAsia" w:eastAsiaTheme="minorEastAsia" w:cstheme="minorEastAsia"/>
                <w:b w:val="0"/>
                <w:bCs w:val="0"/>
                <w:sz w:val="21"/>
                <w:szCs w:val="21"/>
                <w:vertAlign w:val="baseline"/>
              </w:rPr>
            </w:pPr>
          </w:p>
        </w:tc>
      </w:tr>
    </w:tbl>
    <w:p w14:paraId="006CF0F3">
      <w:pPr>
        <w:pStyle w:val="8"/>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b w:val="0"/>
          <w:bCs w:val="0"/>
        </w:rPr>
      </w:pPr>
    </w:p>
    <w:p w14:paraId="100F5A44">
      <w:pPr>
        <w:keepNext w:val="0"/>
        <w:keepLines w:val="0"/>
        <w:pageBreakBefore w:val="0"/>
        <w:kinsoku w:val="0"/>
        <w:wordWrap/>
        <w:overflowPunct/>
        <w:topLinePunct w:val="0"/>
        <w:autoSpaceDE w:val="0"/>
        <w:autoSpaceDN w:val="0"/>
        <w:bidi w:val="0"/>
        <w:adjustRightInd w:val="0"/>
        <w:snapToGrid w:val="0"/>
        <w:spacing w:line="240" w:lineRule="auto"/>
        <w:textAlignment w:val="baseline"/>
        <w:rPr>
          <w:rFonts w:ascii="Arial"/>
          <w:b w:val="0"/>
          <w:bCs w:val="0"/>
          <w:sz w:val="21"/>
        </w:rPr>
      </w:pPr>
    </w:p>
    <w:p w14:paraId="0F6C8B9D">
      <w:pPr>
        <w:keepNext w:val="0"/>
        <w:keepLines w:val="0"/>
        <w:pageBreakBefore w:val="0"/>
        <w:kinsoku w:val="0"/>
        <w:wordWrap/>
        <w:overflowPunct/>
        <w:topLinePunct w:val="0"/>
        <w:autoSpaceDE w:val="0"/>
        <w:autoSpaceDN w:val="0"/>
        <w:bidi w:val="0"/>
        <w:adjustRightInd w:val="0"/>
        <w:snapToGrid w:val="0"/>
        <w:spacing w:line="283" w:lineRule="auto"/>
        <w:textAlignment w:val="baseline"/>
        <w:rPr>
          <w:rFonts w:ascii="Arial"/>
          <w:b w:val="0"/>
          <w:bCs w:val="0"/>
          <w:sz w:val="21"/>
        </w:rPr>
      </w:pPr>
    </w:p>
    <w:p w14:paraId="5278B7BA">
      <w:pPr>
        <w:keepNext w:val="0"/>
        <w:keepLines w:val="0"/>
        <w:pageBreakBefore w:val="0"/>
        <w:kinsoku w:val="0"/>
        <w:wordWrap/>
        <w:overflowPunct/>
        <w:topLinePunct w:val="0"/>
        <w:autoSpaceDE w:val="0"/>
        <w:autoSpaceDN w:val="0"/>
        <w:bidi w:val="0"/>
        <w:adjustRightInd w:val="0"/>
        <w:snapToGrid w:val="0"/>
        <w:spacing w:line="283" w:lineRule="auto"/>
        <w:textAlignment w:val="baseline"/>
        <w:rPr>
          <w:rFonts w:ascii="Arial"/>
          <w:b w:val="0"/>
          <w:bCs w:val="0"/>
          <w:sz w:val="21"/>
        </w:rPr>
      </w:pPr>
    </w:p>
    <w:p w14:paraId="76C49B0E">
      <w:pPr>
        <w:keepNext w:val="0"/>
        <w:keepLines w:val="0"/>
        <w:pageBreakBefore w:val="0"/>
        <w:kinsoku w:val="0"/>
        <w:wordWrap/>
        <w:overflowPunct/>
        <w:topLinePunct w:val="0"/>
        <w:autoSpaceDE w:val="0"/>
        <w:autoSpaceDN w:val="0"/>
        <w:bidi w:val="0"/>
        <w:adjustRightInd w:val="0"/>
        <w:snapToGrid w:val="0"/>
        <w:spacing w:line="283" w:lineRule="auto"/>
        <w:textAlignment w:val="baseline"/>
        <w:rPr>
          <w:rFonts w:ascii="Arial"/>
          <w:b w:val="0"/>
          <w:bCs w:val="0"/>
          <w:sz w:val="21"/>
        </w:rPr>
      </w:pPr>
    </w:p>
    <w:p w14:paraId="29C8B561">
      <w:pPr>
        <w:keepNext w:val="0"/>
        <w:keepLines w:val="0"/>
        <w:pageBreakBefore w:val="0"/>
        <w:kinsoku w:val="0"/>
        <w:wordWrap/>
        <w:overflowPunct/>
        <w:topLinePunct w:val="0"/>
        <w:autoSpaceDE w:val="0"/>
        <w:autoSpaceDN w:val="0"/>
        <w:bidi w:val="0"/>
        <w:adjustRightInd w:val="0"/>
        <w:snapToGrid w:val="0"/>
        <w:spacing w:line="283" w:lineRule="auto"/>
        <w:textAlignment w:val="baseline"/>
        <w:rPr>
          <w:rFonts w:ascii="Arial"/>
          <w:b w:val="0"/>
          <w:bCs w:val="0"/>
          <w:sz w:val="21"/>
        </w:rPr>
        <w:sectPr>
          <w:pgSz w:w="16838" w:h="11906" w:orient="landscape"/>
          <w:pgMar w:top="1134" w:right="1134" w:bottom="1134" w:left="1134" w:header="851" w:footer="992" w:gutter="0"/>
          <w:pgNumType w:fmt="decimal"/>
          <w:cols w:space="0" w:num="1"/>
          <w:rtlGutter w:val="0"/>
          <w:docGrid w:type="lines" w:linePitch="312" w:charSpace="0"/>
        </w:sectPr>
      </w:pPr>
    </w:p>
    <w:p w14:paraId="3811C8DE">
      <w:pPr>
        <w:pStyle w:val="4"/>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b w:val="0"/>
          <w:bCs w:val="0"/>
          <w:sz w:val="20"/>
          <w:szCs w:val="20"/>
        </w:rPr>
      </w:pPr>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2312987B">
      <w:pPr>
        <w:keepNext w:val="0"/>
        <w:keepLines w:val="0"/>
        <w:pageBreakBefore w:val="0"/>
        <w:kinsoku w:val="0"/>
        <w:wordWrap/>
        <w:overflowPunct/>
        <w:topLinePunct w:val="0"/>
        <w:autoSpaceDE w:val="0"/>
        <w:autoSpaceDN w:val="0"/>
        <w:bidi w:val="0"/>
        <w:adjustRightInd w:val="0"/>
        <w:snapToGrid w:val="0"/>
        <w:spacing w:line="283" w:lineRule="auto"/>
        <w:jc w:val="center"/>
        <w:textAlignment w:val="baseline"/>
        <w:rPr>
          <w:rFonts w:hint="default" w:eastAsia="宋体"/>
          <w:b w:val="0"/>
          <w:bCs w:val="0"/>
          <w:sz w:val="21"/>
          <w:lang w:val="en-US" w:eastAsia="zh-CN"/>
        </w:rPr>
      </w:pPr>
    </w:p>
    <w:p w14:paraId="6943B9A5">
      <w:pPr>
        <w:keepNext w:val="0"/>
        <w:keepLines w:val="0"/>
        <w:pageBreakBefore w:val="0"/>
        <w:kinsoku w:val="0"/>
        <w:wordWrap/>
        <w:overflowPunct/>
        <w:topLinePunct w:val="0"/>
        <w:autoSpaceDE w:val="0"/>
        <w:autoSpaceDN w:val="0"/>
        <w:bidi w:val="0"/>
        <w:adjustRightInd w:val="0"/>
        <w:snapToGrid w:val="0"/>
        <w:spacing w:line="283" w:lineRule="auto"/>
        <w:jc w:val="center"/>
        <w:textAlignment w:val="baseline"/>
        <w:rPr>
          <w:rFonts w:hint="eastAsia" w:ascii="黑体" w:hAnsi="黑体" w:eastAsia="黑体" w:cs="黑体"/>
          <w:b w:val="0"/>
          <w:bCs w:val="0"/>
          <w:sz w:val="21"/>
          <w:lang w:val="en-US" w:eastAsia="zh-CN"/>
        </w:rPr>
      </w:pPr>
      <w:r>
        <w:rPr>
          <w:rFonts w:hint="eastAsia" w:ascii="黑体" w:hAnsi="黑体" w:eastAsia="黑体" w:cs="黑体"/>
          <w:b w:val="0"/>
          <w:bCs w:val="0"/>
          <w:sz w:val="21"/>
          <w:lang w:val="en-US" w:eastAsia="zh-CN"/>
        </w:rPr>
        <w:t>附录C</w:t>
      </w:r>
    </w:p>
    <w:p w14:paraId="2CB1433A">
      <w:pPr>
        <w:keepNext w:val="0"/>
        <w:keepLines w:val="0"/>
        <w:pageBreakBefore w:val="0"/>
        <w:kinsoku w:val="0"/>
        <w:wordWrap/>
        <w:overflowPunct/>
        <w:topLinePunct w:val="0"/>
        <w:autoSpaceDE w:val="0"/>
        <w:autoSpaceDN w:val="0"/>
        <w:bidi w:val="0"/>
        <w:adjustRightInd w:val="0"/>
        <w:snapToGrid w:val="0"/>
        <w:spacing w:line="283" w:lineRule="auto"/>
        <w:jc w:val="center"/>
        <w:textAlignment w:val="baseline"/>
        <w:rPr>
          <w:rFonts w:hint="eastAsia" w:ascii="黑体" w:hAnsi="黑体" w:eastAsia="黑体" w:cs="黑体"/>
          <w:b w:val="0"/>
          <w:bCs w:val="0"/>
          <w:sz w:val="21"/>
          <w:lang w:val="en-US" w:eastAsia="zh-CN"/>
        </w:rPr>
      </w:pPr>
      <w:r>
        <w:rPr>
          <w:rFonts w:hint="eastAsia" w:ascii="黑体" w:hAnsi="黑体" w:eastAsia="黑体" w:cs="黑体"/>
          <w:b w:val="0"/>
          <w:bCs w:val="0"/>
          <w:sz w:val="21"/>
          <w:lang w:val="en-US" w:eastAsia="zh-CN"/>
        </w:rPr>
        <w:t>(资料性附录)</w:t>
      </w:r>
    </w:p>
    <w:p w14:paraId="2BA7D6E9">
      <w:pPr>
        <w:keepNext w:val="0"/>
        <w:keepLines w:val="0"/>
        <w:pageBreakBefore w:val="0"/>
        <w:kinsoku w:val="0"/>
        <w:wordWrap/>
        <w:overflowPunct/>
        <w:topLinePunct w:val="0"/>
        <w:autoSpaceDE w:val="0"/>
        <w:autoSpaceDN w:val="0"/>
        <w:bidi w:val="0"/>
        <w:adjustRightInd w:val="0"/>
        <w:snapToGrid w:val="0"/>
        <w:spacing w:line="283" w:lineRule="auto"/>
        <w:jc w:val="center"/>
        <w:textAlignment w:val="baseline"/>
        <w:rPr>
          <w:rFonts w:hint="default" w:eastAsia="宋体"/>
          <w:b w:val="0"/>
          <w:bCs w:val="0"/>
          <w:sz w:val="21"/>
          <w:lang w:val="en-US" w:eastAsia="zh-CN"/>
        </w:rPr>
      </w:pPr>
      <w:r>
        <w:rPr>
          <w:rFonts w:hint="eastAsia" w:ascii="黑体" w:hAnsi="黑体" w:eastAsia="黑体" w:cs="黑体"/>
          <w:b w:val="0"/>
          <w:bCs w:val="0"/>
          <w:sz w:val="21"/>
          <w:lang w:val="en-US" w:eastAsia="zh-CN"/>
        </w:rPr>
        <w:t>油罐车油气回收检测记录表</w:t>
      </w:r>
    </w:p>
    <w:p w14:paraId="30CAD8EA">
      <w:pPr>
        <w:keepNext w:val="0"/>
        <w:keepLines w:val="0"/>
        <w:pageBreakBefore w:val="0"/>
        <w:kinsoku w:val="0"/>
        <w:wordWrap/>
        <w:overflowPunct/>
        <w:topLinePunct w:val="0"/>
        <w:autoSpaceDE w:val="0"/>
        <w:autoSpaceDN w:val="0"/>
        <w:bidi w:val="0"/>
        <w:adjustRightInd w:val="0"/>
        <w:snapToGrid w:val="0"/>
        <w:spacing w:line="283" w:lineRule="auto"/>
        <w:jc w:val="center"/>
        <w:textAlignment w:val="baseline"/>
        <w:rPr>
          <w:rFonts w:hint="default" w:eastAsia="宋体"/>
          <w:b w:val="0"/>
          <w:bCs w:val="0"/>
          <w:sz w:val="21"/>
          <w:lang w:val="en-US" w:eastAsia="zh-CN"/>
        </w:rPr>
      </w:pPr>
    </w:p>
    <w:p w14:paraId="7B6B74CE">
      <w:pPr>
        <w:keepNext w:val="0"/>
        <w:keepLines w:val="0"/>
        <w:pageBreakBefore w:val="0"/>
        <w:kinsoku w:val="0"/>
        <w:wordWrap/>
        <w:overflowPunct/>
        <w:topLinePunct w:val="0"/>
        <w:autoSpaceDE w:val="0"/>
        <w:autoSpaceDN w:val="0"/>
        <w:bidi w:val="0"/>
        <w:adjustRightInd w:val="0"/>
        <w:snapToGrid w:val="0"/>
        <w:spacing w:line="283" w:lineRule="auto"/>
        <w:jc w:val="center"/>
        <w:textAlignment w:val="baseline"/>
        <w:rPr>
          <w:rFonts w:hint="default" w:eastAsia="宋体"/>
          <w:b w:val="0"/>
          <w:bCs w:val="0"/>
          <w:sz w:val="21"/>
          <w:lang w:val="en-US" w:eastAsia="zh-CN"/>
        </w:rPr>
      </w:pPr>
      <w:r>
        <w:rPr>
          <w:rFonts w:hint="default" w:eastAsia="宋体"/>
          <w:b w:val="0"/>
          <w:bCs w:val="0"/>
          <w:sz w:val="21"/>
          <w:lang w:val="en-US" w:eastAsia="zh-CN"/>
        </w:rPr>
        <w:t>表 C.1汽车罐车油气回收系统密闭性检测记录表</w:t>
      </w:r>
    </w:p>
    <w:p w14:paraId="3D349109">
      <w:pPr>
        <w:keepNext w:val="0"/>
        <w:keepLines w:val="0"/>
        <w:pageBreakBefore w:val="0"/>
        <w:kinsoku w:val="0"/>
        <w:wordWrap/>
        <w:overflowPunct/>
        <w:topLinePunct w:val="0"/>
        <w:autoSpaceDE w:val="0"/>
        <w:autoSpaceDN w:val="0"/>
        <w:bidi w:val="0"/>
        <w:adjustRightInd w:val="0"/>
        <w:snapToGrid w:val="0"/>
        <w:spacing w:line="283" w:lineRule="auto"/>
        <w:jc w:val="center"/>
        <w:textAlignment w:val="baseline"/>
        <w:rPr>
          <w:rFonts w:hint="default" w:eastAsia="宋体"/>
          <w:b w:val="0"/>
          <w:bCs w:val="0"/>
          <w:sz w:val="21"/>
          <w:lang w:val="en-US" w:eastAsia="zh-CN"/>
        </w:rPr>
      </w:pPr>
    </w:p>
    <w:p w14:paraId="422673B2">
      <w:pPr>
        <w:keepNext w:val="0"/>
        <w:keepLines w:val="0"/>
        <w:pageBreakBefore w:val="0"/>
        <w:kinsoku w:val="0"/>
        <w:wordWrap/>
        <w:overflowPunct/>
        <w:topLinePunct w:val="0"/>
        <w:autoSpaceDE w:val="0"/>
        <w:autoSpaceDN w:val="0"/>
        <w:bidi w:val="0"/>
        <w:adjustRightInd w:val="0"/>
        <w:snapToGrid w:val="0"/>
        <w:spacing w:line="283" w:lineRule="auto"/>
        <w:textAlignment w:val="baseline"/>
        <w:rPr>
          <w:rFonts w:hint="default" w:ascii="宋体" w:hAnsi="宋体" w:eastAsia="宋体" w:cs="宋体"/>
          <w:b w:val="0"/>
          <w:bCs w:val="0"/>
          <w:sz w:val="21"/>
          <w:vertAlign w:val="baseline"/>
          <w:lang w:val="en-US" w:eastAsia="zh-CN"/>
        </w:rPr>
      </w:pPr>
      <w:r>
        <w:rPr>
          <w:rFonts w:hint="eastAsia" w:eastAsia="宋体"/>
          <w:b w:val="0"/>
          <w:bCs w:val="0"/>
          <w:sz w:val="21"/>
          <w:lang w:val="en-US" w:eastAsia="zh-CN"/>
        </w:rPr>
        <w:t xml:space="preserve">  检测目的：</w:t>
      </w:r>
      <w:r>
        <w:rPr>
          <w:rFonts w:hint="eastAsia" w:eastAsia="宋体"/>
          <w:b w:val="0"/>
          <w:bCs w:val="0"/>
          <w:sz w:val="21"/>
          <w:lang w:val="en-US" w:eastAsia="zh-CN"/>
        </w:rPr>
        <w:sym w:font="Wingdings" w:char="00A8"/>
      </w:r>
      <w:r>
        <w:rPr>
          <w:rFonts w:hint="eastAsia" w:ascii="宋体" w:hAnsi="宋体" w:eastAsia="宋体" w:cs="宋体"/>
          <w:b w:val="0"/>
          <w:bCs w:val="0"/>
          <w:sz w:val="21"/>
          <w:lang w:val="en-US" w:eastAsia="zh-CN"/>
        </w:rPr>
        <w:t xml:space="preserve">验收监测       </w:t>
      </w:r>
      <w:r>
        <w:rPr>
          <w:rFonts w:hint="eastAsia" w:eastAsia="宋体"/>
          <w:b w:val="0"/>
          <w:bCs w:val="0"/>
          <w:sz w:val="21"/>
          <w:lang w:val="en-US" w:eastAsia="zh-CN"/>
        </w:rPr>
        <w:sym w:font="Wingdings" w:char="00A8"/>
      </w:r>
      <w:r>
        <w:rPr>
          <w:rFonts w:hint="eastAsia" w:eastAsia="宋体"/>
          <w:b w:val="0"/>
          <w:bCs w:val="0"/>
          <w:sz w:val="21"/>
          <w:lang w:val="en-US" w:eastAsia="zh-CN"/>
        </w:rPr>
        <w:t xml:space="preserve">监督性监测      </w:t>
      </w:r>
      <w:r>
        <w:rPr>
          <w:rFonts w:hint="eastAsia" w:eastAsia="宋体"/>
          <w:b w:val="0"/>
          <w:bCs w:val="0"/>
          <w:sz w:val="21"/>
          <w:lang w:val="en-US" w:eastAsia="zh-CN"/>
        </w:rPr>
        <w:sym w:font="Wingdings" w:char="00A8"/>
      </w:r>
      <w:r>
        <w:rPr>
          <w:rFonts w:hint="eastAsia" w:eastAsia="宋体"/>
          <w:b w:val="0"/>
          <w:bCs w:val="0"/>
          <w:sz w:val="21"/>
          <w:lang w:val="en-US" w:eastAsia="zh-CN"/>
        </w:rPr>
        <w:t>企业自行检测               共   页   第   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1"/>
        <w:gridCol w:w="1083"/>
        <w:gridCol w:w="1279"/>
        <w:gridCol w:w="424"/>
        <w:gridCol w:w="1218"/>
        <w:gridCol w:w="1642"/>
        <w:gridCol w:w="1643"/>
        <w:gridCol w:w="1644"/>
      </w:tblGrid>
      <w:tr w14:paraId="6F6E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gridSpan w:val="2"/>
            <w:vAlign w:val="bottom"/>
          </w:tcPr>
          <w:p w14:paraId="04EBFDE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汽车罐车所属企业</w:t>
            </w:r>
          </w:p>
        </w:tc>
        <w:tc>
          <w:tcPr>
            <w:tcW w:w="4563" w:type="dxa"/>
            <w:gridSpan w:val="4"/>
            <w:vAlign w:val="bottom"/>
          </w:tcPr>
          <w:p w14:paraId="5BC6A05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c>
          <w:tcPr>
            <w:tcW w:w="1643" w:type="dxa"/>
            <w:vAlign w:val="bottom"/>
          </w:tcPr>
          <w:p w14:paraId="06790B1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汽车罐车型号</w:t>
            </w:r>
          </w:p>
        </w:tc>
        <w:tc>
          <w:tcPr>
            <w:tcW w:w="1644" w:type="dxa"/>
            <w:vAlign w:val="bottom"/>
          </w:tcPr>
          <w:p w14:paraId="06901E9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r>
      <w:tr w14:paraId="07FA0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gridSpan w:val="2"/>
            <w:vAlign w:val="bottom"/>
          </w:tcPr>
          <w:p w14:paraId="37D4D0C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汽车罐车号牌号码</w:t>
            </w:r>
          </w:p>
        </w:tc>
        <w:tc>
          <w:tcPr>
            <w:tcW w:w="1279" w:type="dxa"/>
            <w:vAlign w:val="bottom"/>
          </w:tcPr>
          <w:p w14:paraId="4D42BCE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c>
          <w:tcPr>
            <w:tcW w:w="1642" w:type="dxa"/>
            <w:gridSpan w:val="2"/>
            <w:vAlign w:val="bottom"/>
          </w:tcPr>
          <w:p w14:paraId="16D72BE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车主姓名</w:t>
            </w:r>
          </w:p>
        </w:tc>
        <w:tc>
          <w:tcPr>
            <w:tcW w:w="1642" w:type="dxa"/>
            <w:vAlign w:val="bottom"/>
          </w:tcPr>
          <w:p w14:paraId="264CC60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c>
          <w:tcPr>
            <w:tcW w:w="1643" w:type="dxa"/>
            <w:vAlign w:val="bottom"/>
          </w:tcPr>
          <w:p w14:paraId="7B33D45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车主联系电话</w:t>
            </w:r>
          </w:p>
        </w:tc>
        <w:tc>
          <w:tcPr>
            <w:tcW w:w="1644" w:type="dxa"/>
            <w:vAlign w:val="bottom"/>
          </w:tcPr>
          <w:p w14:paraId="264739B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r>
      <w:tr w14:paraId="42DE3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gridSpan w:val="2"/>
            <w:vAlign w:val="bottom"/>
          </w:tcPr>
          <w:p w14:paraId="3ABC403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监测设备名称</w:t>
            </w:r>
          </w:p>
        </w:tc>
        <w:tc>
          <w:tcPr>
            <w:tcW w:w="1279" w:type="dxa"/>
            <w:vAlign w:val="bottom"/>
          </w:tcPr>
          <w:p w14:paraId="533A9C8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c>
          <w:tcPr>
            <w:tcW w:w="1642" w:type="dxa"/>
            <w:gridSpan w:val="2"/>
            <w:vAlign w:val="bottom"/>
          </w:tcPr>
          <w:p w14:paraId="4285BDD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设备状态</w:t>
            </w:r>
          </w:p>
        </w:tc>
        <w:tc>
          <w:tcPr>
            <w:tcW w:w="1642" w:type="dxa"/>
            <w:vAlign w:val="bottom"/>
          </w:tcPr>
          <w:p w14:paraId="555E279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c>
          <w:tcPr>
            <w:tcW w:w="1643" w:type="dxa"/>
            <w:vAlign w:val="bottom"/>
          </w:tcPr>
          <w:p w14:paraId="75B2991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检定有效期</w:t>
            </w:r>
          </w:p>
        </w:tc>
        <w:tc>
          <w:tcPr>
            <w:tcW w:w="1644" w:type="dxa"/>
            <w:vAlign w:val="bottom"/>
          </w:tcPr>
          <w:p w14:paraId="7513891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r>
      <w:tr w14:paraId="4FB12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gridSpan w:val="2"/>
            <w:vAlign w:val="bottom"/>
          </w:tcPr>
          <w:p w14:paraId="0F5DBA8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设备规格型号</w:t>
            </w:r>
          </w:p>
        </w:tc>
        <w:tc>
          <w:tcPr>
            <w:tcW w:w="1279" w:type="dxa"/>
            <w:vAlign w:val="bottom"/>
          </w:tcPr>
          <w:p w14:paraId="0E1384B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c>
          <w:tcPr>
            <w:tcW w:w="1642" w:type="dxa"/>
            <w:gridSpan w:val="2"/>
            <w:vAlign w:val="bottom"/>
          </w:tcPr>
          <w:p w14:paraId="7D8AC5B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设备编号</w:t>
            </w:r>
          </w:p>
        </w:tc>
        <w:tc>
          <w:tcPr>
            <w:tcW w:w="1642" w:type="dxa"/>
            <w:vAlign w:val="bottom"/>
          </w:tcPr>
          <w:p w14:paraId="118BF35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c>
          <w:tcPr>
            <w:tcW w:w="1643" w:type="dxa"/>
            <w:vAlign w:val="bottom"/>
          </w:tcPr>
          <w:p w14:paraId="2D98C86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环境温度</w:t>
            </w:r>
          </w:p>
        </w:tc>
        <w:tc>
          <w:tcPr>
            <w:tcW w:w="1644" w:type="dxa"/>
            <w:vAlign w:val="bottom"/>
          </w:tcPr>
          <w:p w14:paraId="3D6F774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p>
        </w:tc>
      </w:tr>
      <w:tr w14:paraId="285D0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gridSpan w:val="2"/>
            <w:vAlign w:val="bottom"/>
          </w:tcPr>
          <w:p w14:paraId="5380AB2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检测起止时间</w:t>
            </w:r>
          </w:p>
        </w:tc>
        <w:tc>
          <w:tcPr>
            <w:tcW w:w="7850" w:type="dxa"/>
            <w:gridSpan w:val="6"/>
            <w:vAlign w:val="bottom"/>
          </w:tcPr>
          <w:p w14:paraId="538E10F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年    月    日    时    分至       年    月    日    时    分</w:t>
            </w:r>
          </w:p>
        </w:tc>
      </w:tr>
      <w:tr w14:paraId="0A497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5" w:type="dxa"/>
            <w:gridSpan w:val="5"/>
            <w:vMerge w:val="restart"/>
            <w:vAlign w:val="bottom"/>
          </w:tcPr>
          <w:p w14:paraId="5DEDD31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油仓/罐体容积（L）</w:t>
            </w:r>
          </w:p>
        </w:tc>
        <w:tc>
          <w:tcPr>
            <w:tcW w:w="1642" w:type="dxa"/>
            <w:vAlign w:val="bottom"/>
          </w:tcPr>
          <w:p w14:paraId="6B7C68E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1号油仓</w:t>
            </w:r>
          </w:p>
        </w:tc>
        <w:tc>
          <w:tcPr>
            <w:tcW w:w="1643" w:type="dxa"/>
            <w:vAlign w:val="bottom"/>
          </w:tcPr>
          <w:p w14:paraId="0C1561C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2号油仓</w:t>
            </w:r>
          </w:p>
        </w:tc>
        <w:tc>
          <w:tcPr>
            <w:tcW w:w="1644" w:type="dxa"/>
            <w:vAlign w:val="bottom"/>
          </w:tcPr>
          <w:p w14:paraId="3D75EB2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3号油仓</w:t>
            </w:r>
          </w:p>
        </w:tc>
      </w:tr>
      <w:tr w14:paraId="594A1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5" w:type="dxa"/>
            <w:gridSpan w:val="5"/>
            <w:vMerge w:val="continue"/>
            <w:vAlign w:val="bottom"/>
          </w:tcPr>
          <w:p w14:paraId="08D71A6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2" w:type="dxa"/>
            <w:vAlign w:val="bottom"/>
          </w:tcPr>
          <w:p w14:paraId="42C7E1D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3" w:type="dxa"/>
            <w:vAlign w:val="bottom"/>
          </w:tcPr>
          <w:p w14:paraId="5B80F7B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4" w:type="dxa"/>
            <w:vAlign w:val="bottom"/>
          </w:tcPr>
          <w:p w14:paraId="0407CF8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r>
      <w:tr w14:paraId="1BD7E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8"/>
            <w:vAlign w:val="bottom"/>
          </w:tcPr>
          <w:p w14:paraId="78016C0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1、油气回收系统密闭性正压检测</w:t>
            </w:r>
          </w:p>
        </w:tc>
      </w:tr>
      <w:tr w14:paraId="5B530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2A51CE3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（1）</w:t>
            </w:r>
          </w:p>
        </w:tc>
        <w:tc>
          <w:tcPr>
            <w:tcW w:w="4004" w:type="dxa"/>
            <w:gridSpan w:val="4"/>
            <w:vAlign w:val="bottom"/>
          </w:tcPr>
          <w:p w14:paraId="0B55238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初始压力4.50kPa</w:t>
            </w:r>
          </w:p>
        </w:tc>
        <w:tc>
          <w:tcPr>
            <w:tcW w:w="1642" w:type="dxa"/>
            <w:vAlign w:val="bottom"/>
          </w:tcPr>
          <w:p w14:paraId="1ECB598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3" w:type="dxa"/>
            <w:vAlign w:val="bottom"/>
          </w:tcPr>
          <w:p w14:paraId="7CDDBD7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4" w:type="dxa"/>
            <w:vAlign w:val="bottom"/>
          </w:tcPr>
          <w:p w14:paraId="0B0527D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r>
      <w:tr w14:paraId="3698C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3C4FB42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（2）</w:t>
            </w:r>
          </w:p>
        </w:tc>
        <w:tc>
          <w:tcPr>
            <w:tcW w:w="4004" w:type="dxa"/>
            <w:gridSpan w:val="4"/>
            <w:vAlign w:val="bottom"/>
          </w:tcPr>
          <w:p w14:paraId="08EFED5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5min之后的剩余压力（kPa）</w:t>
            </w:r>
          </w:p>
        </w:tc>
        <w:tc>
          <w:tcPr>
            <w:tcW w:w="1642" w:type="dxa"/>
            <w:vAlign w:val="bottom"/>
          </w:tcPr>
          <w:p w14:paraId="7B2671F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3" w:type="dxa"/>
            <w:vAlign w:val="bottom"/>
          </w:tcPr>
          <w:p w14:paraId="22D5A41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4" w:type="dxa"/>
            <w:vAlign w:val="bottom"/>
          </w:tcPr>
          <w:p w14:paraId="54A5BAE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r>
      <w:tr w14:paraId="765D2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329D6FE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（3）</w:t>
            </w:r>
          </w:p>
        </w:tc>
        <w:tc>
          <w:tcPr>
            <w:tcW w:w="4004" w:type="dxa"/>
            <w:gridSpan w:val="4"/>
            <w:vAlign w:val="bottom"/>
          </w:tcPr>
          <w:p w14:paraId="10F6E5A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5min之后的压力变化值（kPa）</w:t>
            </w:r>
          </w:p>
        </w:tc>
        <w:tc>
          <w:tcPr>
            <w:tcW w:w="1642" w:type="dxa"/>
            <w:vAlign w:val="bottom"/>
          </w:tcPr>
          <w:p w14:paraId="1F31F12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3" w:type="dxa"/>
            <w:vAlign w:val="bottom"/>
          </w:tcPr>
          <w:p w14:paraId="55AB85C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4" w:type="dxa"/>
            <w:vAlign w:val="bottom"/>
          </w:tcPr>
          <w:p w14:paraId="41909D2E">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r>
      <w:tr w14:paraId="07FF2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12BC258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（4）</w:t>
            </w:r>
          </w:p>
        </w:tc>
        <w:tc>
          <w:tcPr>
            <w:tcW w:w="4004" w:type="dxa"/>
            <w:gridSpan w:val="4"/>
            <w:vAlign w:val="bottom"/>
          </w:tcPr>
          <w:p w14:paraId="7A3FA35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5min之后的压力变化限值（kPa）</w:t>
            </w:r>
          </w:p>
        </w:tc>
        <w:tc>
          <w:tcPr>
            <w:tcW w:w="1642" w:type="dxa"/>
            <w:vAlign w:val="bottom"/>
          </w:tcPr>
          <w:p w14:paraId="51ABAC2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3" w:type="dxa"/>
            <w:vAlign w:val="bottom"/>
          </w:tcPr>
          <w:p w14:paraId="0A590CE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4" w:type="dxa"/>
            <w:vAlign w:val="bottom"/>
          </w:tcPr>
          <w:p w14:paraId="2F1C632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r>
      <w:tr w14:paraId="159CF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264B452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w:t>
            </w:r>
          </w:p>
        </w:tc>
        <w:tc>
          <w:tcPr>
            <w:tcW w:w="4004" w:type="dxa"/>
            <w:gridSpan w:val="4"/>
            <w:vAlign w:val="bottom"/>
          </w:tcPr>
          <w:p w14:paraId="71B3FC4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是否达标</w:t>
            </w:r>
          </w:p>
        </w:tc>
        <w:tc>
          <w:tcPr>
            <w:tcW w:w="1642" w:type="dxa"/>
            <w:vAlign w:val="bottom"/>
          </w:tcPr>
          <w:p w14:paraId="37D4094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c>
          <w:tcPr>
            <w:tcW w:w="1643" w:type="dxa"/>
            <w:vAlign w:val="bottom"/>
          </w:tcPr>
          <w:p w14:paraId="2D40E4C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c>
          <w:tcPr>
            <w:tcW w:w="1644" w:type="dxa"/>
            <w:vAlign w:val="bottom"/>
          </w:tcPr>
          <w:p w14:paraId="3F2534E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0D50A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8"/>
            <w:vAlign w:val="bottom"/>
          </w:tcPr>
          <w:p w14:paraId="6201A71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2、油气回收系统密闭性负压检测</w:t>
            </w:r>
          </w:p>
        </w:tc>
      </w:tr>
      <w:tr w14:paraId="333A0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0A720D2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（1）</w:t>
            </w:r>
          </w:p>
        </w:tc>
        <w:tc>
          <w:tcPr>
            <w:tcW w:w="4004" w:type="dxa"/>
            <w:gridSpan w:val="4"/>
            <w:vAlign w:val="bottom"/>
          </w:tcPr>
          <w:p w14:paraId="7FE7AB2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初始压力-1.50kPa</w:t>
            </w:r>
          </w:p>
        </w:tc>
        <w:tc>
          <w:tcPr>
            <w:tcW w:w="1642" w:type="dxa"/>
            <w:vAlign w:val="bottom"/>
          </w:tcPr>
          <w:p w14:paraId="7AA0AF3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3" w:type="dxa"/>
            <w:vAlign w:val="bottom"/>
          </w:tcPr>
          <w:p w14:paraId="41F1993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4" w:type="dxa"/>
            <w:vAlign w:val="bottom"/>
          </w:tcPr>
          <w:p w14:paraId="15C3078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r>
      <w:tr w14:paraId="50DAB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6554B33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（2）</w:t>
            </w:r>
          </w:p>
        </w:tc>
        <w:tc>
          <w:tcPr>
            <w:tcW w:w="4004" w:type="dxa"/>
            <w:gridSpan w:val="4"/>
            <w:vAlign w:val="bottom"/>
          </w:tcPr>
          <w:p w14:paraId="2F107E7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5min之后的剩余压力（kPa）</w:t>
            </w:r>
          </w:p>
        </w:tc>
        <w:tc>
          <w:tcPr>
            <w:tcW w:w="1642" w:type="dxa"/>
            <w:vAlign w:val="bottom"/>
          </w:tcPr>
          <w:p w14:paraId="3FF1B78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3" w:type="dxa"/>
            <w:vAlign w:val="bottom"/>
          </w:tcPr>
          <w:p w14:paraId="6D7777D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4" w:type="dxa"/>
            <w:vAlign w:val="bottom"/>
          </w:tcPr>
          <w:p w14:paraId="1645B59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r>
      <w:tr w14:paraId="14F4A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65A2F78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（3）</w:t>
            </w:r>
          </w:p>
        </w:tc>
        <w:tc>
          <w:tcPr>
            <w:tcW w:w="4004" w:type="dxa"/>
            <w:gridSpan w:val="4"/>
            <w:vAlign w:val="bottom"/>
          </w:tcPr>
          <w:p w14:paraId="0500A8B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5min之后的压力变化值（kPa）</w:t>
            </w:r>
          </w:p>
        </w:tc>
        <w:tc>
          <w:tcPr>
            <w:tcW w:w="1642" w:type="dxa"/>
            <w:vAlign w:val="bottom"/>
          </w:tcPr>
          <w:p w14:paraId="4FA398A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3" w:type="dxa"/>
            <w:vAlign w:val="bottom"/>
          </w:tcPr>
          <w:p w14:paraId="094B1E8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4" w:type="dxa"/>
            <w:vAlign w:val="bottom"/>
          </w:tcPr>
          <w:p w14:paraId="5B1FEB8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r>
      <w:tr w14:paraId="4E7C3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6227333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（4）</w:t>
            </w:r>
          </w:p>
        </w:tc>
        <w:tc>
          <w:tcPr>
            <w:tcW w:w="4004" w:type="dxa"/>
            <w:gridSpan w:val="4"/>
            <w:vAlign w:val="bottom"/>
          </w:tcPr>
          <w:p w14:paraId="4A056F9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5min之后的压力变化限值（kPa）</w:t>
            </w:r>
          </w:p>
        </w:tc>
        <w:tc>
          <w:tcPr>
            <w:tcW w:w="1642" w:type="dxa"/>
            <w:vAlign w:val="bottom"/>
          </w:tcPr>
          <w:p w14:paraId="2C66ABD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3" w:type="dxa"/>
            <w:vAlign w:val="bottom"/>
          </w:tcPr>
          <w:p w14:paraId="250736C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644" w:type="dxa"/>
            <w:vAlign w:val="bottom"/>
          </w:tcPr>
          <w:p w14:paraId="51B6A95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r>
      <w:tr w14:paraId="2D50D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5ECFC56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w:t>
            </w:r>
          </w:p>
        </w:tc>
        <w:tc>
          <w:tcPr>
            <w:tcW w:w="4004" w:type="dxa"/>
            <w:gridSpan w:val="4"/>
            <w:vAlign w:val="bottom"/>
          </w:tcPr>
          <w:p w14:paraId="3885A5C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是否达标</w:t>
            </w:r>
          </w:p>
        </w:tc>
        <w:tc>
          <w:tcPr>
            <w:tcW w:w="1642" w:type="dxa"/>
            <w:vAlign w:val="bottom"/>
          </w:tcPr>
          <w:p w14:paraId="5EE2C13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c>
          <w:tcPr>
            <w:tcW w:w="1643" w:type="dxa"/>
            <w:vAlign w:val="bottom"/>
          </w:tcPr>
          <w:p w14:paraId="030B639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c>
          <w:tcPr>
            <w:tcW w:w="1644" w:type="dxa"/>
            <w:vAlign w:val="bottom"/>
          </w:tcPr>
          <w:p w14:paraId="532A972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04FC3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8"/>
            <w:vAlign w:val="bottom"/>
          </w:tcPr>
          <w:p w14:paraId="29C51D2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r>
              <w:rPr>
                <w:rFonts w:hint="eastAsia" w:ascii="宋体" w:hAnsi="宋体" w:eastAsia="宋体" w:cs="宋体"/>
                <w:b w:val="0"/>
                <w:bCs w:val="0"/>
                <w:sz w:val="21"/>
                <w:vertAlign w:val="baseline"/>
                <w:lang w:val="en-US" w:eastAsia="zh-CN"/>
              </w:rPr>
              <w:t>3、油气回收阀密闭性正压检测</w:t>
            </w:r>
          </w:p>
        </w:tc>
      </w:tr>
      <w:tr w14:paraId="74BE5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597293F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（1）</w:t>
            </w:r>
          </w:p>
        </w:tc>
        <w:tc>
          <w:tcPr>
            <w:tcW w:w="4004" w:type="dxa"/>
            <w:gridSpan w:val="4"/>
            <w:vAlign w:val="bottom"/>
          </w:tcPr>
          <w:p w14:paraId="6442EBD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初始压力0kPa</w:t>
            </w:r>
          </w:p>
        </w:tc>
        <w:tc>
          <w:tcPr>
            <w:tcW w:w="1642" w:type="dxa"/>
            <w:vAlign w:val="bottom"/>
          </w:tcPr>
          <w:p w14:paraId="430D48C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3" w:type="dxa"/>
            <w:vAlign w:val="bottom"/>
          </w:tcPr>
          <w:p w14:paraId="7437DDE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4" w:type="dxa"/>
            <w:vAlign w:val="bottom"/>
          </w:tcPr>
          <w:p w14:paraId="708DF91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r>
      <w:tr w14:paraId="0F66C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21049E7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（2）</w:t>
            </w:r>
          </w:p>
        </w:tc>
        <w:tc>
          <w:tcPr>
            <w:tcW w:w="4004" w:type="dxa"/>
            <w:gridSpan w:val="4"/>
            <w:vAlign w:val="bottom"/>
          </w:tcPr>
          <w:p w14:paraId="7A469D0E">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5min之后的剩余压力（kPa）</w:t>
            </w:r>
          </w:p>
        </w:tc>
        <w:tc>
          <w:tcPr>
            <w:tcW w:w="1642" w:type="dxa"/>
            <w:vAlign w:val="bottom"/>
          </w:tcPr>
          <w:p w14:paraId="1DFEEF7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3" w:type="dxa"/>
            <w:vAlign w:val="bottom"/>
          </w:tcPr>
          <w:p w14:paraId="5EF3F7A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4" w:type="dxa"/>
            <w:vAlign w:val="bottom"/>
          </w:tcPr>
          <w:p w14:paraId="48A3935E">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r>
      <w:tr w14:paraId="709A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0AB1F29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（3）</w:t>
            </w:r>
          </w:p>
        </w:tc>
        <w:tc>
          <w:tcPr>
            <w:tcW w:w="4004" w:type="dxa"/>
            <w:gridSpan w:val="4"/>
            <w:vAlign w:val="bottom"/>
          </w:tcPr>
          <w:p w14:paraId="6F88522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5min之后的压力变化值（kPa）</w:t>
            </w:r>
          </w:p>
        </w:tc>
        <w:tc>
          <w:tcPr>
            <w:tcW w:w="1642" w:type="dxa"/>
            <w:vAlign w:val="bottom"/>
          </w:tcPr>
          <w:p w14:paraId="0F43762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3" w:type="dxa"/>
            <w:vAlign w:val="bottom"/>
          </w:tcPr>
          <w:p w14:paraId="10489B7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4" w:type="dxa"/>
            <w:vAlign w:val="bottom"/>
          </w:tcPr>
          <w:p w14:paraId="0910F9AE">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r>
      <w:tr w14:paraId="21443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66B9F94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（4）</w:t>
            </w:r>
          </w:p>
        </w:tc>
        <w:tc>
          <w:tcPr>
            <w:tcW w:w="4004" w:type="dxa"/>
            <w:gridSpan w:val="4"/>
            <w:vAlign w:val="bottom"/>
          </w:tcPr>
          <w:p w14:paraId="500CBB7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5min之后的压力变化限值（kPa）</w:t>
            </w:r>
          </w:p>
        </w:tc>
        <w:tc>
          <w:tcPr>
            <w:tcW w:w="1642" w:type="dxa"/>
            <w:vAlign w:val="bottom"/>
          </w:tcPr>
          <w:p w14:paraId="3D7CE21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lang w:val="en-US" w:eastAsia="zh-CN"/>
              </w:rPr>
            </w:pPr>
            <w:r>
              <w:rPr>
                <w:rFonts w:hint="eastAsia" w:eastAsia="宋体"/>
                <w:b w:val="0"/>
                <w:bCs w:val="0"/>
                <w:sz w:val="21"/>
                <w:lang w:val="en-US" w:eastAsia="zh-CN"/>
              </w:rPr>
              <w:t>1.25</w:t>
            </w:r>
          </w:p>
        </w:tc>
        <w:tc>
          <w:tcPr>
            <w:tcW w:w="1643" w:type="dxa"/>
            <w:vAlign w:val="bottom"/>
          </w:tcPr>
          <w:p w14:paraId="4AB83CF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lang w:val="en-US" w:eastAsia="zh-CN"/>
              </w:rPr>
            </w:pPr>
            <w:r>
              <w:rPr>
                <w:rFonts w:hint="eastAsia" w:eastAsia="宋体"/>
                <w:b w:val="0"/>
                <w:bCs w:val="0"/>
                <w:sz w:val="21"/>
                <w:lang w:val="en-US" w:eastAsia="zh-CN"/>
              </w:rPr>
              <w:t>1.25</w:t>
            </w:r>
          </w:p>
        </w:tc>
        <w:tc>
          <w:tcPr>
            <w:tcW w:w="1644" w:type="dxa"/>
            <w:vAlign w:val="bottom"/>
          </w:tcPr>
          <w:p w14:paraId="1E6593F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lang w:val="en-US" w:eastAsia="zh-CN"/>
              </w:rPr>
            </w:pPr>
            <w:r>
              <w:rPr>
                <w:rFonts w:hint="eastAsia" w:eastAsia="宋体"/>
                <w:b w:val="0"/>
                <w:bCs w:val="0"/>
                <w:sz w:val="21"/>
                <w:lang w:val="en-US" w:eastAsia="zh-CN"/>
              </w:rPr>
              <w:t>1.25</w:t>
            </w:r>
          </w:p>
        </w:tc>
      </w:tr>
      <w:tr w14:paraId="31B8C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bottom"/>
          </w:tcPr>
          <w:p w14:paraId="784B7FC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（5）</w:t>
            </w:r>
          </w:p>
        </w:tc>
        <w:tc>
          <w:tcPr>
            <w:tcW w:w="4004" w:type="dxa"/>
            <w:gridSpan w:val="4"/>
            <w:vAlign w:val="bottom"/>
          </w:tcPr>
          <w:p w14:paraId="0F1D38E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是否达标</w:t>
            </w:r>
          </w:p>
        </w:tc>
        <w:tc>
          <w:tcPr>
            <w:tcW w:w="1642" w:type="dxa"/>
            <w:vAlign w:val="bottom"/>
          </w:tcPr>
          <w:p w14:paraId="0EEE444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3" w:type="dxa"/>
            <w:vAlign w:val="bottom"/>
          </w:tcPr>
          <w:p w14:paraId="01A3115E">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4" w:type="dxa"/>
            <w:vAlign w:val="bottom"/>
          </w:tcPr>
          <w:p w14:paraId="727CFAE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r>
      <w:tr w14:paraId="2026E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921" w:type="dxa"/>
            <w:vAlign w:val="bottom"/>
          </w:tcPr>
          <w:p w14:paraId="14BD773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检测人</w:t>
            </w:r>
          </w:p>
        </w:tc>
        <w:tc>
          <w:tcPr>
            <w:tcW w:w="2786" w:type="dxa"/>
            <w:gridSpan w:val="3"/>
            <w:vAlign w:val="bottom"/>
          </w:tcPr>
          <w:p w14:paraId="64FE964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val="0"/>
                <w:bCs w:val="0"/>
                <w:sz w:val="21"/>
                <w:vertAlign w:val="baseline"/>
                <w:lang w:val="en-US" w:eastAsia="zh-CN"/>
              </w:rPr>
            </w:pPr>
          </w:p>
        </w:tc>
        <w:tc>
          <w:tcPr>
            <w:tcW w:w="1218" w:type="dxa"/>
            <w:vAlign w:val="bottom"/>
          </w:tcPr>
          <w:p w14:paraId="11F8488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sz w:val="21"/>
                <w:vertAlign w:val="baseline"/>
                <w:lang w:val="en-US" w:eastAsia="zh-CN"/>
              </w:rPr>
            </w:pPr>
            <w:r>
              <w:rPr>
                <w:rFonts w:hint="eastAsia" w:ascii="宋体" w:hAnsi="宋体" w:eastAsia="宋体" w:cs="宋体"/>
                <w:b w:val="0"/>
                <w:bCs w:val="0"/>
                <w:sz w:val="21"/>
                <w:vertAlign w:val="baseline"/>
                <w:lang w:val="en-US" w:eastAsia="zh-CN"/>
              </w:rPr>
              <w:t>复核人</w:t>
            </w:r>
          </w:p>
        </w:tc>
        <w:tc>
          <w:tcPr>
            <w:tcW w:w="1642" w:type="dxa"/>
            <w:vAlign w:val="bottom"/>
          </w:tcPr>
          <w:p w14:paraId="6648F5B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3" w:type="dxa"/>
            <w:vAlign w:val="bottom"/>
          </w:tcPr>
          <w:p w14:paraId="1360775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lang w:val="en-US" w:eastAsia="zh-CN"/>
              </w:rPr>
            </w:pPr>
            <w:r>
              <w:rPr>
                <w:rFonts w:hint="eastAsia" w:eastAsia="宋体"/>
                <w:b w:val="0"/>
                <w:bCs w:val="0"/>
                <w:w w:val="90"/>
                <w:sz w:val="21"/>
                <w:lang w:val="en-US" w:eastAsia="zh-CN"/>
              </w:rPr>
              <w:t>汽车罐车陪检人</w:t>
            </w:r>
          </w:p>
        </w:tc>
        <w:tc>
          <w:tcPr>
            <w:tcW w:w="1644" w:type="dxa"/>
            <w:vAlign w:val="bottom"/>
          </w:tcPr>
          <w:p w14:paraId="68FB4EB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r>
    </w:tbl>
    <w:p w14:paraId="5B8B8E25">
      <w:pPr>
        <w:keepNext w:val="0"/>
        <w:keepLines w:val="0"/>
        <w:pageBreakBefore w:val="0"/>
        <w:kinsoku w:val="0"/>
        <w:wordWrap/>
        <w:overflowPunct/>
        <w:topLinePunct w:val="0"/>
        <w:autoSpaceDE w:val="0"/>
        <w:autoSpaceDN w:val="0"/>
        <w:bidi w:val="0"/>
        <w:adjustRightInd w:val="0"/>
        <w:snapToGrid w:val="0"/>
        <w:spacing w:line="283" w:lineRule="auto"/>
        <w:textAlignment w:val="baseline"/>
        <w:rPr>
          <w:rFonts w:hint="default" w:ascii="宋体" w:hAnsi="宋体" w:eastAsia="宋体" w:cs="宋体"/>
          <w:b w:val="0"/>
          <w:bCs w:val="0"/>
          <w:sz w:val="21"/>
          <w:lang w:val="en-US" w:eastAsia="zh-CN"/>
        </w:rPr>
      </w:pPr>
    </w:p>
    <w:p w14:paraId="0B488E99">
      <w:pPr>
        <w:keepNext w:val="0"/>
        <w:keepLines w:val="0"/>
        <w:pageBreakBefore w:val="0"/>
        <w:kinsoku w:val="0"/>
        <w:wordWrap/>
        <w:overflowPunct/>
        <w:topLinePunct w:val="0"/>
        <w:autoSpaceDE w:val="0"/>
        <w:autoSpaceDN w:val="0"/>
        <w:bidi w:val="0"/>
        <w:adjustRightInd w:val="0"/>
        <w:snapToGrid w:val="0"/>
        <w:spacing w:line="283" w:lineRule="auto"/>
        <w:textAlignment w:val="baseline"/>
        <w:rPr>
          <w:rFonts w:hint="eastAsia" w:ascii="Arial" w:eastAsia="宋体"/>
          <w:b w:val="0"/>
          <w:bCs w:val="0"/>
          <w:sz w:val="21"/>
          <w:lang w:eastAsia="zh-CN"/>
        </w:rPr>
        <w:sectPr>
          <w:pgSz w:w="11906" w:h="16838"/>
          <w:pgMar w:top="1134" w:right="1134" w:bottom="1134" w:left="1134" w:header="851" w:footer="992" w:gutter="0"/>
          <w:pgNumType w:fmt="decimal"/>
          <w:cols w:space="0" w:num="1"/>
          <w:rtlGutter w:val="0"/>
          <w:docGrid w:type="lines" w:linePitch="312" w:charSpace="0"/>
        </w:sectPr>
      </w:pPr>
    </w:p>
    <w:p w14:paraId="3DDBB8F8">
      <w:pPr>
        <w:pStyle w:val="4"/>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b w:val="0"/>
          <w:bCs w:val="0"/>
          <w:sz w:val="20"/>
          <w:szCs w:val="20"/>
        </w:rPr>
      </w:pPr>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7711F408">
      <w:pPr>
        <w:keepNext w:val="0"/>
        <w:keepLines w:val="0"/>
        <w:pageBreakBefore w:val="0"/>
        <w:kinsoku w:val="0"/>
        <w:wordWrap/>
        <w:overflowPunct/>
        <w:topLinePunct w:val="0"/>
        <w:autoSpaceDE w:val="0"/>
        <w:autoSpaceDN w:val="0"/>
        <w:bidi w:val="0"/>
        <w:adjustRightInd w:val="0"/>
        <w:snapToGrid w:val="0"/>
        <w:spacing w:line="283" w:lineRule="auto"/>
        <w:jc w:val="center"/>
        <w:textAlignment w:val="baseline"/>
        <w:rPr>
          <w:rFonts w:hint="eastAsia" w:eastAsia="宋体"/>
          <w:b w:val="0"/>
          <w:bCs w:val="0"/>
          <w:sz w:val="21"/>
          <w:lang w:val="en-US" w:eastAsia="zh-CN"/>
        </w:rPr>
      </w:pPr>
    </w:p>
    <w:p w14:paraId="2BA82170">
      <w:pPr>
        <w:keepNext w:val="0"/>
        <w:keepLines w:val="0"/>
        <w:pageBreakBefore w:val="0"/>
        <w:kinsoku w:val="0"/>
        <w:wordWrap/>
        <w:overflowPunct/>
        <w:topLinePunct w:val="0"/>
        <w:autoSpaceDE w:val="0"/>
        <w:autoSpaceDN w:val="0"/>
        <w:bidi w:val="0"/>
        <w:adjustRightInd w:val="0"/>
        <w:snapToGrid w:val="0"/>
        <w:spacing w:line="283" w:lineRule="auto"/>
        <w:jc w:val="center"/>
        <w:textAlignment w:val="baseline"/>
        <w:rPr>
          <w:rFonts w:hint="eastAsia" w:eastAsia="宋体"/>
          <w:b w:val="0"/>
          <w:bCs w:val="0"/>
          <w:sz w:val="21"/>
          <w:lang w:val="en-US" w:eastAsia="zh-CN"/>
        </w:rPr>
      </w:pPr>
      <w:r>
        <w:rPr>
          <w:rFonts w:hint="eastAsia" w:eastAsia="宋体"/>
          <w:b w:val="0"/>
          <w:bCs w:val="0"/>
          <w:sz w:val="21"/>
          <w:lang w:val="en-US" w:eastAsia="zh-CN"/>
        </w:rPr>
        <w:t>表C.2  油罐车油气密封点泄露检测记录表</w:t>
      </w:r>
    </w:p>
    <w:p w14:paraId="755B23AF">
      <w:pPr>
        <w:keepNext w:val="0"/>
        <w:keepLines w:val="0"/>
        <w:pageBreakBefore w:val="0"/>
        <w:kinsoku w:val="0"/>
        <w:wordWrap/>
        <w:overflowPunct/>
        <w:topLinePunct w:val="0"/>
        <w:autoSpaceDE w:val="0"/>
        <w:autoSpaceDN w:val="0"/>
        <w:bidi w:val="0"/>
        <w:adjustRightInd w:val="0"/>
        <w:snapToGrid w:val="0"/>
        <w:spacing w:line="283" w:lineRule="auto"/>
        <w:jc w:val="center"/>
        <w:textAlignment w:val="baseline"/>
        <w:rPr>
          <w:rFonts w:hint="default" w:eastAsia="宋体"/>
          <w:b w:val="0"/>
          <w:bCs w:val="0"/>
          <w:sz w:val="21"/>
          <w:lang w:val="en-US" w:eastAsia="zh-CN"/>
        </w:rPr>
      </w:pPr>
    </w:p>
    <w:p w14:paraId="6E179F94">
      <w:pPr>
        <w:keepNext w:val="0"/>
        <w:keepLines w:val="0"/>
        <w:pageBreakBefore w:val="0"/>
        <w:kinsoku w:val="0"/>
        <w:wordWrap/>
        <w:overflowPunct/>
        <w:topLinePunct w:val="0"/>
        <w:autoSpaceDE w:val="0"/>
        <w:autoSpaceDN w:val="0"/>
        <w:bidi w:val="0"/>
        <w:adjustRightInd w:val="0"/>
        <w:snapToGrid w:val="0"/>
        <w:spacing w:line="283" w:lineRule="auto"/>
        <w:textAlignment w:val="baseline"/>
        <w:rPr>
          <w:rFonts w:hint="eastAsia" w:eastAsia="宋体"/>
          <w:b w:val="0"/>
          <w:bCs w:val="0"/>
          <w:sz w:val="21"/>
          <w:lang w:val="en-US" w:eastAsia="zh-CN"/>
        </w:rPr>
      </w:pPr>
      <w:r>
        <w:rPr>
          <w:rFonts w:hint="eastAsia" w:eastAsia="宋体"/>
          <w:b w:val="0"/>
          <w:bCs w:val="0"/>
          <w:sz w:val="21"/>
          <w:lang w:val="en-US" w:eastAsia="zh-CN"/>
        </w:rPr>
        <w:t xml:space="preserve">  检测目的：</w:t>
      </w:r>
      <w:r>
        <w:rPr>
          <w:rFonts w:hint="eastAsia" w:eastAsia="宋体"/>
          <w:b w:val="0"/>
          <w:bCs w:val="0"/>
          <w:sz w:val="21"/>
          <w:lang w:val="en-US" w:eastAsia="zh-CN"/>
        </w:rPr>
        <w:sym w:font="Wingdings" w:char="00A8"/>
      </w:r>
      <w:r>
        <w:rPr>
          <w:rFonts w:hint="eastAsia" w:ascii="宋体" w:hAnsi="宋体" w:eastAsia="宋体" w:cs="宋体"/>
          <w:b w:val="0"/>
          <w:bCs w:val="0"/>
          <w:sz w:val="21"/>
          <w:lang w:val="en-US" w:eastAsia="zh-CN"/>
        </w:rPr>
        <w:t xml:space="preserve">验收监测       </w:t>
      </w:r>
      <w:r>
        <w:rPr>
          <w:rFonts w:hint="eastAsia" w:eastAsia="宋体"/>
          <w:b w:val="0"/>
          <w:bCs w:val="0"/>
          <w:sz w:val="21"/>
          <w:lang w:val="en-US" w:eastAsia="zh-CN"/>
        </w:rPr>
        <w:sym w:font="Wingdings" w:char="00A8"/>
      </w:r>
      <w:r>
        <w:rPr>
          <w:rFonts w:hint="eastAsia" w:eastAsia="宋体"/>
          <w:b w:val="0"/>
          <w:bCs w:val="0"/>
          <w:sz w:val="21"/>
          <w:lang w:val="en-US" w:eastAsia="zh-CN"/>
        </w:rPr>
        <w:t xml:space="preserve">监督性监测      </w:t>
      </w:r>
      <w:r>
        <w:rPr>
          <w:rFonts w:hint="eastAsia" w:eastAsia="宋体"/>
          <w:b w:val="0"/>
          <w:bCs w:val="0"/>
          <w:sz w:val="21"/>
          <w:lang w:val="en-US" w:eastAsia="zh-CN"/>
        </w:rPr>
        <w:sym w:font="Wingdings" w:char="00A8"/>
      </w:r>
      <w:r>
        <w:rPr>
          <w:rFonts w:hint="eastAsia" w:eastAsia="宋体"/>
          <w:b w:val="0"/>
          <w:bCs w:val="0"/>
          <w:sz w:val="21"/>
          <w:lang w:val="en-US" w:eastAsia="zh-CN"/>
        </w:rPr>
        <w:t>企业自行检测               共   页   第   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0"/>
        <w:gridCol w:w="1563"/>
        <w:gridCol w:w="1642"/>
        <w:gridCol w:w="1642"/>
        <w:gridCol w:w="1643"/>
        <w:gridCol w:w="1644"/>
      </w:tblGrid>
      <w:tr w14:paraId="79DCB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41EC9D2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油罐车所属企业</w:t>
            </w:r>
          </w:p>
        </w:tc>
        <w:tc>
          <w:tcPr>
            <w:tcW w:w="4847" w:type="dxa"/>
            <w:gridSpan w:val="3"/>
            <w:vAlign w:val="center"/>
          </w:tcPr>
          <w:p w14:paraId="692E625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3" w:type="dxa"/>
            <w:vAlign w:val="center"/>
          </w:tcPr>
          <w:p w14:paraId="4C1C483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油罐车型号</w:t>
            </w:r>
          </w:p>
        </w:tc>
        <w:tc>
          <w:tcPr>
            <w:tcW w:w="1644" w:type="dxa"/>
            <w:vAlign w:val="center"/>
          </w:tcPr>
          <w:p w14:paraId="5B2D327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r>
      <w:tr w14:paraId="39C05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5DB0512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油罐车号牌号码</w:t>
            </w:r>
          </w:p>
        </w:tc>
        <w:tc>
          <w:tcPr>
            <w:tcW w:w="1563" w:type="dxa"/>
            <w:vAlign w:val="center"/>
          </w:tcPr>
          <w:p w14:paraId="2960F6F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2" w:type="dxa"/>
            <w:vAlign w:val="center"/>
          </w:tcPr>
          <w:p w14:paraId="0753512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车主姓</w:t>
            </w:r>
            <w:bookmarkStart w:id="11" w:name="_GoBack"/>
            <w:bookmarkEnd w:id="11"/>
            <w:r>
              <w:rPr>
                <w:rFonts w:hint="eastAsia" w:eastAsia="宋体"/>
                <w:b w:val="0"/>
                <w:bCs w:val="0"/>
                <w:sz w:val="21"/>
                <w:vertAlign w:val="baseline"/>
                <w:lang w:val="en-US" w:eastAsia="zh-CN"/>
              </w:rPr>
              <w:t>名</w:t>
            </w:r>
          </w:p>
        </w:tc>
        <w:tc>
          <w:tcPr>
            <w:tcW w:w="1642" w:type="dxa"/>
            <w:vAlign w:val="center"/>
          </w:tcPr>
          <w:p w14:paraId="3C54651E">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3" w:type="dxa"/>
            <w:vAlign w:val="center"/>
          </w:tcPr>
          <w:p w14:paraId="12A947F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车主联系电话</w:t>
            </w:r>
          </w:p>
        </w:tc>
        <w:tc>
          <w:tcPr>
            <w:tcW w:w="1644" w:type="dxa"/>
            <w:vAlign w:val="center"/>
          </w:tcPr>
          <w:p w14:paraId="3BC2BA7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r>
      <w:tr w14:paraId="5A216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40FB24A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检测设备名称</w:t>
            </w:r>
          </w:p>
        </w:tc>
        <w:tc>
          <w:tcPr>
            <w:tcW w:w="1563" w:type="dxa"/>
            <w:vAlign w:val="center"/>
          </w:tcPr>
          <w:p w14:paraId="5D7F81A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2" w:type="dxa"/>
            <w:vAlign w:val="center"/>
          </w:tcPr>
          <w:p w14:paraId="593710A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设备状态</w:t>
            </w:r>
          </w:p>
        </w:tc>
        <w:tc>
          <w:tcPr>
            <w:tcW w:w="1642" w:type="dxa"/>
            <w:vAlign w:val="center"/>
          </w:tcPr>
          <w:p w14:paraId="617202C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3" w:type="dxa"/>
            <w:vAlign w:val="center"/>
          </w:tcPr>
          <w:p w14:paraId="14E19AC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检定有效期</w:t>
            </w:r>
          </w:p>
        </w:tc>
        <w:tc>
          <w:tcPr>
            <w:tcW w:w="1644" w:type="dxa"/>
            <w:vAlign w:val="center"/>
          </w:tcPr>
          <w:p w14:paraId="18E4D1F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r>
      <w:tr w14:paraId="39CA8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64D61AB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检测设备型号</w:t>
            </w:r>
          </w:p>
        </w:tc>
        <w:tc>
          <w:tcPr>
            <w:tcW w:w="1563" w:type="dxa"/>
            <w:vAlign w:val="center"/>
          </w:tcPr>
          <w:p w14:paraId="0F3C02B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2" w:type="dxa"/>
            <w:vAlign w:val="center"/>
          </w:tcPr>
          <w:p w14:paraId="4048114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设备编号</w:t>
            </w:r>
          </w:p>
        </w:tc>
        <w:tc>
          <w:tcPr>
            <w:tcW w:w="1642" w:type="dxa"/>
            <w:vAlign w:val="center"/>
          </w:tcPr>
          <w:p w14:paraId="7DBB412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3" w:type="dxa"/>
            <w:vAlign w:val="center"/>
          </w:tcPr>
          <w:p w14:paraId="5AB06C0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环境温度</w:t>
            </w:r>
          </w:p>
        </w:tc>
        <w:tc>
          <w:tcPr>
            <w:tcW w:w="1644" w:type="dxa"/>
            <w:vAlign w:val="center"/>
          </w:tcPr>
          <w:p w14:paraId="0CCF1F7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r>
      <w:tr w14:paraId="20DA5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76EC333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采样起止时间</w:t>
            </w:r>
          </w:p>
        </w:tc>
        <w:tc>
          <w:tcPr>
            <w:tcW w:w="8134" w:type="dxa"/>
            <w:gridSpan w:val="5"/>
            <w:vAlign w:val="center"/>
          </w:tcPr>
          <w:p w14:paraId="408A338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ascii="宋体" w:hAnsi="宋体" w:eastAsia="宋体" w:cs="宋体"/>
                <w:b w:val="0"/>
                <w:bCs w:val="0"/>
                <w:sz w:val="21"/>
                <w:vertAlign w:val="baseline"/>
                <w:lang w:val="en-US" w:eastAsia="zh-CN"/>
              </w:rPr>
              <w:t>年    月    日    时    分至       年    月    日    时    分</w:t>
            </w:r>
          </w:p>
        </w:tc>
      </w:tr>
      <w:tr w14:paraId="20334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4951CEE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检测依据</w:t>
            </w:r>
          </w:p>
        </w:tc>
        <w:tc>
          <w:tcPr>
            <w:tcW w:w="8134" w:type="dxa"/>
            <w:gridSpan w:val="5"/>
            <w:vAlign w:val="center"/>
          </w:tcPr>
          <w:p w14:paraId="1503EAA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r>
      <w:tr w14:paraId="40CE1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4FDC956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序号</w:t>
            </w:r>
          </w:p>
        </w:tc>
        <w:tc>
          <w:tcPr>
            <w:tcW w:w="3205" w:type="dxa"/>
            <w:gridSpan w:val="2"/>
            <w:vAlign w:val="center"/>
          </w:tcPr>
          <w:p w14:paraId="069DFB0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密封点</w:t>
            </w:r>
          </w:p>
        </w:tc>
        <w:tc>
          <w:tcPr>
            <w:tcW w:w="3285" w:type="dxa"/>
            <w:gridSpan w:val="2"/>
            <w:vAlign w:val="center"/>
          </w:tcPr>
          <w:p w14:paraId="06C2D2B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泄漏检测值/（</w:t>
            </w:r>
            <w:r>
              <w:rPr>
                <w:rFonts w:hint="eastAsia" w:ascii="微软雅黑" w:hAnsi="微软雅黑" w:eastAsia="微软雅黑" w:cs="微软雅黑"/>
                <w:b w:val="0"/>
                <w:bCs w:val="0"/>
                <w:sz w:val="21"/>
                <w:vertAlign w:val="baseline"/>
                <w:lang w:val="en-US" w:eastAsia="zh-CN"/>
              </w:rPr>
              <w:t>μ</w:t>
            </w:r>
            <w:r>
              <w:rPr>
                <w:rFonts w:hint="eastAsia" w:eastAsia="宋体"/>
                <w:b w:val="0"/>
                <w:bCs w:val="0"/>
                <w:sz w:val="21"/>
                <w:vertAlign w:val="baseline"/>
                <w:lang w:val="en-US" w:eastAsia="zh-CN"/>
              </w:rPr>
              <w:t>mol/mol）</w:t>
            </w:r>
          </w:p>
        </w:tc>
        <w:tc>
          <w:tcPr>
            <w:tcW w:w="1644" w:type="dxa"/>
            <w:vAlign w:val="center"/>
          </w:tcPr>
          <w:p w14:paraId="0C3F25D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ascii="宋体" w:hAnsi="宋体" w:eastAsia="宋体" w:cs="宋体"/>
                <w:b w:val="0"/>
                <w:bCs w:val="0"/>
                <w:sz w:val="21"/>
                <w:vertAlign w:val="baseline"/>
                <w:lang w:val="en-US" w:eastAsia="zh-CN"/>
              </w:rPr>
              <w:t>是否达标</w:t>
            </w:r>
          </w:p>
        </w:tc>
      </w:tr>
      <w:tr w14:paraId="25344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6934619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34E34B6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155EF2E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042E770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36204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6E1C23C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0129561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3231D5A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18E9A6E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58540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6158AAD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5027851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14FA3B4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0F1BA74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53C8D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7B947A3E">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21185CE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72F18C4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52DACCB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5D73C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6C538DF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1EC10D0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60D43B3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30829F8E">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5EA8C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591390F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22E3D40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4A3CF92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3BA7D54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15EB6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33AE658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66A83AE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0BEA3F7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2F4A9D6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3358C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29C10CA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61610A9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54FF78D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66B51F2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128F0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35EF2F9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02787F2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2CB4EEB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5DE7154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7B184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7F75996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0D791AF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51115C7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47D10E7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0DF6B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6AB20FB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vertAlign w:val="baseline"/>
                <w:lang w:val="en-US" w:eastAsia="zh-CN"/>
              </w:rPr>
            </w:pPr>
          </w:p>
        </w:tc>
        <w:tc>
          <w:tcPr>
            <w:tcW w:w="3205" w:type="dxa"/>
            <w:gridSpan w:val="2"/>
            <w:vAlign w:val="center"/>
          </w:tcPr>
          <w:p w14:paraId="0DEF60D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3285" w:type="dxa"/>
            <w:gridSpan w:val="2"/>
            <w:vAlign w:val="center"/>
          </w:tcPr>
          <w:p w14:paraId="79835E0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p>
        </w:tc>
        <w:tc>
          <w:tcPr>
            <w:tcW w:w="1644" w:type="dxa"/>
            <w:vAlign w:val="center"/>
          </w:tcPr>
          <w:p w14:paraId="0631273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r>
              <w:rPr>
                <w:rFonts w:hint="eastAsia" w:eastAsia="宋体"/>
                <w:b w:val="0"/>
                <w:bCs w:val="0"/>
                <w:sz w:val="21"/>
                <w:lang w:val="en-US" w:eastAsia="zh-CN"/>
              </w:rPr>
              <w:sym w:font="Wingdings" w:char="00A8"/>
            </w:r>
            <w:r>
              <w:rPr>
                <w:rFonts w:hint="eastAsia" w:eastAsia="宋体"/>
                <w:b w:val="0"/>
                <w:bCs w:val="0"/>
                <w:sz w:val="21"/>
                <w:lang w:val="en-US" w:eastAsia="zh-CN"/>
              </w:rPr>
              <w:t>是/</w:t>
            </w:r>
            <w:r>
              <w:rPr>
                <w:rFonts w:hint="eastAsia" w:eastAsia="宋体"/>
                <w:b w:val="0"/>
                <w:bCs w:val="0"/>
                <w:sz w:val="21"/>
                <w:lang w:val="en-US" w:eastAsia="zh-CN"/>
              </w:rPr>
              <w:sym w:font="Wingdings" w:char="00A8"/>
            </w:r>
            <w:r>
              <w:rPr>
                <w:rFonts w:hint="eastAsia" w:eastAsia="宋体"/>
                <w:b w:val="0"/>
                <w:bCs w:val="0"/>
                <w:sz w:val="21"/>
                <w:lang w:val="en-US" w:eastAsia="zh-CN"/>
              </w:rPr>
              <w:t>否</w:t>
            </w:r>
          </w:p>
        </w:tc>
      </w:tr>
      <w:tr w14:paraId="15819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17A4127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标准限值</w:t>
            </w:r>
          </w:p>
        </w:tc>
        <w:tc>
          <w:tcPr>
            <w:tcW w:w="8134" w:type="dxa"/>
            <w:gridSpan w:val="5"/>
            <w:vAlign w:val="center"/>
          </w:tcPr>
          <w:p w14:paraId="525C3F1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lang w:val="en-US" w:eastAsia="zh-CN"/>
              </w:rPr>
            </w:pPr>
            <w:r>
              <w:rPr>
                <w:rFonts w:hint="eastAsia" w:eastAsia="宋体"/>
                <w:b w:val="0"/>
                <w:bCs w:val="0"/>
                <w:sz w:val="21"/>
                <w:lang w:val="en-US" w:eastAsia="zh-CN"/>
              </w:rPr>
              <w:t xml:space="preserve">≤500 </w:t>
            </w:r>
            <w:r>
              <w:rPr>
                <w:rFonts w:hint="eastAsia" w:ascii="微软雅黑" w:hAnsi="微软雅黑" w:eastAsia="微软雅黑" w:cs="微软雅黑"/>
                <w:b w:val="0"/>
                <w:bCs w:val="0"/>
                <w:sz w:val="21"/>
                <w:vertAlign w:val="baseline"/>
                <w:lang w:val="en-US" w:eastAsia="zh-CN"/>
              </w:rPr>
              <w:t>μ</w:t>
            </w:r>
            <w:r>
              <w:rPr>
                <w:rFonts w:hint="eastAsia" w:eastAsia="宋体"/>
                <w:b w:val="0"/>
                <w:bCs w:val="0"/>
                <w:sz w:val="21"/>
                <w:vertAlign w:val="baseline"/>
                <w:lang w:val="en-US" w:eastAsia="zh-CN"/>
              </w:rPr>
              <w:t>mol/mol</w:t>
            </w:r>
          </w:p>
        </w:tc>
      </w:tr>
      <w:tr w14:paraId="13C1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14:paraId="7549AA3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vertAlign w:val="baseline"/>
                <w:lang w:val="en-US" w:eastAsia="zh-CN"/>
              </w:rPr>
            </w:pPr>
            <w:r>
              <w:rPr>
                <w:rFonts w:hint="eastAsia" w:eastAsia="宋体"/>
                <w:b w:val="0"/>
                <w:bCs w:val="0"/>
                <w:sz w:val="21"/>
                <w:vertAlign w:val="baseline"/>
                <w:lang w:val="en-US" w:eastAsia="zh-CN"/>
              </w:rPr>
              <w:t>检测人</w:t>
            </w:r>
          </w:p>
        </w:tc>
        <w:tc>
          <w:tcPr>
            <w:tcW w:w="1563" w:type="dxa"/>
            <w:vAlign w:val="center"/>
          </w:tcPr>
          <w:p w14:paraId="3329316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2" w:type="dxa"/>
            <w:vAlign w:val="center"/>
          </w:tcPr>
          <w:p w14:paraId="1106CAD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lang w:val="en-US" w:eastAsia="zh-CN"/>
              </w:rPr>
            </w:pPr>
            <w:r>
              <w:rPr>
                <w:rFonts w:hint="eastAsia" w:eastAsia="宋体"/>
                <w:b w:val="0"/>
                <w:bCs w:val="0"/>
                <w:sz w:val="21"/>
                <w:lang w:val="en-US" w:eastAsia="zh-CN"/>
              </w:rPr>
              <w:t>复核人</w:t>
            </w:r>
          </w:p>
        </w:tc>
        <w:tc>
          <w:tcPr>
            <w:tcW w:w="1642" w:type="dxa"/>
            <w:vAlign w:val="center"/>
          </w:tcPr>
          <w:p w14:paraId="1C90B85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c>
          <w:tcPr>
            <w:tcW w:w="1643" w:type="dxa"/>
            <w:vAlign w:val="center"/>
          </w:tcPr>
          <w:p w14:paraId="4396470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eastAsia="宋体"/>
                <w:b w:val="0"/>
                <w:bCs w:val="0"/>
                <w:sz w:val="21"/>
                <w:lang w:val="en-US" w:eastAsia="zh-CN"/>
              </w:rPr>
            </w:pPr>
            <w:r>
              <w:rPr>
                <w:rFonts w:hint="eastAsia" w:eastAsia="宋体"/>
                <w:b w:val="0"/>
                <w:bCs w:val="0"/>
                <w:sz w:val="21"/>
                <w:lang w:val="en-US" w:eastAsia="zh-CN"/>
              </w:rPr>
              <w:t>油罐车陪检人</w:t>
            </w:r>
          </w:p>
        </w:tc>
        <w:tc>
          <w:tcPr>
            <w:tcW w:w="1644" w:type="dxa"/>
            <w:vAlign w:val="center"/>
          </w:tcPr>
          <w:p w14:paraId="3DD0CFA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tc>
      </w:tr>
    </w:tbl>
    <w:p w14:paraId="633C8941">
      <w:pPr>
        <w:keepNext w:val="0"/>
        <w:keepLines w:val="0"/>
        <w:pageBreakBefore w:val="0"/>
        <w:kinsoku w:val="0"/>
        <w:wordWrap/>
        <w:overflowPunct/>
        <w:topLinePunct w:val="0"/>
        <w:autoSpaceDE w:val="0"/>
        <w:autoSpaceDN w:val="0"/>
        <w:bidi w:val="0"/>
        <w:adjustRightInd w:val="0"/>
        <w:snapToGrid w:val="0"/>
        <w:spacing w:line="283" w:lineRule="auto"/>
        <w:textAlignment w:val="baseline"/>
        <w:rPr>
          <w:rFonts w:hint="default" w:eastAsia="宋体"/>
          <w:b w:val="0"/>
          <w:bCs w:val="0"/>
          <w:sz w:val="21"/>
          <w:lang w:val="en-US" w:eastAsia="zh-CN"/>
        </w:rPr>
      </w:pPr>
    </w:p>
    <w:p w14:paraId="4C2F1E3B">
      <w:pPr>
        <w:keepNext w:val="0"/>
        <w:keepLines w:val="0"/>
        <w:pageBreakBefore w:val="0"/>
        <w:widowControl/>
        <w:kinsoku w:val="0"/>
        <w:wordWrap/>
        <w:overflowPunct/>
        <w:topLinePunct w:val="0"/>
        <w:autoSpaceDE w:val="0"/>
        <w:autoSpaceDN w:val="0"/>
        <w:bidi w:val="0"/>
        <w:adjustRightInd w:val="0"/>
        <w:snapToGrid w:val="0"/>
        <w:spacing w:before="206" w:line="240" w:lineRule="exact"/>
        <w:textAlignment w:val="baseline"/>
        <w:rPr>
          <w:rFonts w:hint="eastAsia" w:ascii="宋体" w:hAnsi="宋体" w:eastAsia="宋体" w:cs="宋体"/>
          <w:b w:val="0"/>
          <w:bCs w:val="0"/>
          <w:spacing w:val="0"/>
          <w:sz w:val="20"/>
          <w:szCs w:val="20"/>
          <w:lang w:val="en-US" w:eastAsia="zh-CN"/>
        </w:rPr>
      </w:pPr>
    </w:p>
    <w:p w14:paraId="73BF8800">
      <w:pPr>
        <w:keepNext w:val="0"/>
        <w:keepLines w:val="0"/>
        <w:pageBreakBefore w:val="0"/>
        <w:kinsoku w:val="0"/>
        <w:wordWrap/>
        <w:overflowPunct/>
        <w:topLinePunct w:val="0"/>
        <w:autoSpaceDE w:val="0"/>
        <w:autoSpaceDN w:val="0"/>
        <w:bidi w:val="0"/>
        <w:adjustRightInd w:val="0"/>
        <w:snapToGrid w:val="0"/>
        <w:textAlignment w:val="baseline"/>
        <w:rPr>
          <w:rFonts w:hint="eastAsia" w:ascii="黑体" w:hAnsi="黑体" w:eastAsia="黑体" w:cs="黑体"/>
          <w:b w:val="0"/>
          <w:bCs w:val="0"/>
          <w:spacing w:val="-1"/>
          <w:sz w:val="21"/>
          <w:szCs w:val="21"/>
          <w:highlight w:val="yellow"/>
          <w:lang w:val="en-US" w:eastAsia="zh-CN"/>
        </w:rPr>
      </w:pPr>
    </w:p>
    <w:p w14:paraId="6240C2B0">
      <w:pPr>
        <w:keepNext w:val="0"/>
        <w:keepLines w:val="0"/>
        <w:pageBreakBefore w:val="0"/>
        <w:kinsoku w:val="0"/>
        <w:wordWrap/>
        <w:overflowPunct/>
        <w:topLinePunct w:val="0"/>
        <w:autoSpaceDE w:val="0"/>
        <w:autoSpaceDN w:val="0"/>
        <w:bidi w:val="0"/>
        <w:adjustRightInd w:val="0"/>
        <w:snapToGrid w:val="0"/>
        <w:textAlignment w:val="baseline"/>
        <w:rPr>
          <w:rFonts w:hint="eastAsia" w:ascii="黑体" w:hAnsi="黑体" w:eastAsia="黑体" w:cs="黑体"/>
          <w:b w:val="0"/>
          <w:bCs w:val="0"/>
          <w:spacing w:val="-1"/>
          <w:sz w:val="21"/>
          <w:szCs w:val="21"/>
          <w:highlight w:val="yellow"/>
          <w:lang w:val="en-US" w:eastAsia="zh-CN"/>
        </w:rPr>
      </w:pPr>
    </w:p>
    <w:p w14:paraId="6168C923">
      <w:pPr>
        <w:keepNext w:val="0"/>
        <w:keepLines w:val="0"/>
        <w:pageBreakBefore w:val="0"/>
        <w:kinsoku w:val="0"/>
        <w:wordWrap/>
        <w:overflowPunct/>
        <w:topLinePunct w:val="0"/>
        <w:autoSpaceDE w:val="0"/>
        <w:autoSpaceDN w:val="0"/>
        <w:bidi w:val="0"/>
        <w:adjustRightInd w:val="0"/>
        <w:snapToGrid w:val="0"/>
        <w:textAlignment w:val="baseline"/>
        <w:rPr>
          <w:rFonts w:hint="eastAsia" w:ascii="黑体" w:hAnsi="黑体" w:eastAsia="黑体" w:cs="黑体"/>
          <w:b w:val="0"/>
          <w:bCs w:val="0"/>
          <w:spacing w:val="-1"/>
          <w:sz w:val="21"/>
          <w:szCs w:val="21"/>
          <w:highlight w:val="yellow"/>
          <w:lang w:val="en-US" w:eastAsia="zh-CN"/>
        </w:rPr>
      </w:pPr>
    </w:p>
    <w:p w14:paraId="427D8C69">
      <w:pPr>
        <w:keepNext w:val="0"/>
        <w:keepLines w:val="0"/>
        <w:pageBreakBefore w:val="0"/>
        <w:widowControl/>
        <w:kinsoku w:val="0"/>
        <w:wordWrap/>
        <w:overflowPunct/>
        <w:topLinePunct w:val="0"/>
        <w:autoSpaceDE w:val="0"/>
        <w:autoSpaceDN w:val="0"/>
        <w:bidi w:val="0"/>
        <w:adjustRightInd w:val="0"/>
        <w:snapToGrid w:val="0"/>
        <w:spacing w:line="240" w:lineRule="exact"/>
        <w:ind w:firstLine="5408" w:firstLineChars="2600"/>
        <w:textAlignment w:val="baseline"/>
        <w:rPr>
          <w:rFonts w:hint="eastAsia" w:ascii="黑体" w:hAnsi="黑体" w:eastAsia="黑体" w:cs="黑体"/>
          <w:b w:val="0"/>
          <w:bCs w:val="0"/>
          <w:spacing w:val="-1"/>
          <w:sz w:val="21"/>
          <w:szCs w:val="21"/>
          <w:highlight w:val="yellow"/>
          <w:lang w:val="en-US" w:eastAsia="zh-CN"/>
        </w:rPr>
      </w:pPr>
    </w:p>
    <w:p w14:paraId="09AA13E7">
      <w:pPr>
        <w:keepNext w:val="0"/>
        <w:keepLines w:val="0"/>
        <w:pageBreakBefore w:val="0"/>
        <w:kinsoku w:val="0"/>
        <w:wordWrap/>
        <w:overflowPunct/>
        <w:topLinePunct w:val="0"/>
        <w:autoSpaceDE w:val="0"/>
        <w:autoSpaceDN w:val="0"/>
        <w:bidi w:val="0"/>
        <w:adjustRightInd w:val="0"/>
        <w:snapToGrid w:val="0"/>
        <w:spacing w:line="392" w:lineRule="auto"/>
        <w:textAlignment w:val="baseline"/>
        <w:rPr>
          <w:rFonts w:hint="eastAsia" w:ascii="黑体" w:hAnsi="黑体" w:eastAsia="黑体" w:cs="黑体"/>
          <w:b w:val="0"/>
          <w:bCs w:val="0"/>
          <w:spacing w:val="-1"/>
          <w:sz w:val="21"/>
          <w:szCs w:val="21"/>
          <w:highlight w:val="yellow"/>
          <w:lang w:val="en-US" w:eastAsia="zh-CN"/>
        </w:rPr>
        <w:sectPr>
          <w:pgSz w:w="11906" w:h="16838"/>
          <w:pgMar w:top="1134" w:right="1134" w:bottom="1134" w:left="1134" w:header="851" w:footer="992" w:gutter="0"/>
          <w:pgNumType w:fmt="decimal"/>
          <w:cols w:space="0" w:num="1"/>
          <w:rtlGutter w:val="0"/>
          <w:docGrid w:type="lines" w:linePitch="312" w:charSpace="0"/>
        </w:sectPr>
      </w:pPr>
    </w:p>
    <w:p w14:paraId="2439C30E">
      <w:pPr>
        <w:pStyle w:val="4"/>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b w:val="0"/>
          <w:bCs w:val="0"/>
          <w:sz w:val="20"/>
          <w:szCs w:val="20"/>
        </w:rPr>
      </w:pPr>
      <w:r>
        <w:rPr>
          <w:rFonts w:hint="eastAsia"/>
          <w:b w:val="0"/>
          <w:bCs w:val="0"/>
          <w:position w:val="1"/>
          <w:sz w:val="20"/>
          <w:szCs w:val="20"/>
          <w:lang w:eastAsia="zh-CN"/>
        </w:rPr>
        <w:t>DB13</w:t>
      </w:r>
      <w:r>
        <w:rPr>
          <w:b w:val="0"/>
          <w:bCs w:val="0"/>
          <w:spacing w:val="8"/>
          <w:position w:val="1"/>
          <w:sz w:val="20"/>
          <w:szCs w:val="20"/>
        </w:rPr>
        <w:t xml:space="preserve">/ </w:t>
      </w:r>
      <w:r>
        <w:rPr>
          <w:b w:val="0"/>
          <w:bCs w:val="0"/>
          <w:position w:val="1"/>
          <w:sz w:val="20"/>
          <w:szCs w:val="20"/>
        </w:rPr>
        <w:t>XXXX</w:t>
      </w:r>
      <w:r>
        <w:rPr>
          <w:rFonts w:ascii="宋体" w:hAnsi="宋体" w:eastAsia="宋体" w:cs="宋体"/>
          <w:b w:val="0"/>
          <w:bCs w:val="0"/>
          <w:spacing w:val="8"/>
          <w:position w:val="1"/>
          <w:sz w:val="20"/>
          <w:szCs w:val="20"/>
        </w:rPr>
        <w:t>—</w:t>
      </w:r>
      <w:r>
        <w:rPr>
          <w:b w:val="0"/>
          <w:bCs w:val="0"/>
          <w:spacing w:val="8"/>
          <w:position w:val="1"/>
          <w:sz w:val="20"/>
          <w:szCs w:val="20"/>
        </w:rPr>
        <w:t>202X</w:t>
      </w:r>
    </w:p>
    <w:p w14:paraId="4ED4B3A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p w14:paraId="18577EF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r>
        <w:rPr>
          <w:rFonts w:hint="eastAsia" w:eastAsia="宋体"/>
          <w:b w:val="0"/>
          <w:bCs w:val="0"/>
          <w:sz w:val="21"/>
          <w:lang w:val="en-US" w:eastAsia="zh-CN"/>
        </w:rPr>
        <w:t xml:space="preserve">参 考 文 献 </w:t>
      </w:r>
    </w:p>
    <w:p w14:paraId="7BBBDEE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eastAsia="宋体"/>
          <w:b w:val="0"/>
          <w:bCs w:val="0"/>
          <w:sz w:val="21"/>
          <w:lang w:val="en-US" w:eastAsia="zh-CN"/>
        </w:rPr>
      </w:pPr>
    </w:p>
    <w:p w14:paraId="40AFC73C">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hint="eastAsia" w:eastAsia="宋体"/>
          <w:b w:val="0"/>
          <w:bCs w:val="0"/>
          <w:sz w:val="21"/>
          <w:lang w:val="en-US" w:eastAsia="zh-CN"/>
        </w:rPr>
      </w:pPr>
      <w:r>
        <w:rPr>
          <w:rFonts w:hint="eastAsia" w:eastAsia="宋体"/>
          <w:b w:val="0"/>
          <w:bCs w:val="0"/>
          <w:sz w:val="21"/>
          <w:lang w:val="en-US" w:eastAsia="zh-CN"/>
        </w:rPr>
        <w:t xml:space="preserve">[1] GB 20951—2020 油品运输大气污染物排放标准 </w:t>
      </w:r>
    </w:p>
    <w:p w14:paraId="1CB48996">
      <w:pPr>
        <w:keepNext w:val="0"/>
        <w:keepLines w:val="0"/>
        <w:pageBreakBefore w:val="0"/>
        <w:kinsoku w:val="0"/>
        <w:wordWrap/>
        <w:overflowPunct/>
        <w:topLinePunct w:val="0"/>
        <w:autoSpaceDE w:val="0"/>
        <w:autoSpaceDN w:val="0"/>
        <w:bidi w:val="0"/>
        <w:adjustRightInd w:val="0"/>
        <w:snapToGrid w:val="0"/>
        <w:spacing w:line="392" w:lineRule="auto"/>
        <w:textAlignment w:val="baseline"/>
        <w:rPr>
          <w:rFonts w:hint="eastAsia" w:ascii="黑体" w:hAnsi="黑体" w:eastAsia="黑体" w:cs="黑体"/>
          <w:b w:val="0"/>
          <w:bCs w:val="0"/>
          <w:spacing w:val="-1"/>
          <w:sz w:val="21"/>
          <w:szCs w:val="21"/>
          <w:highlight w:val="yellow"/>
          <w:lang w:val="en-US" w:eastAsia="zh-CN"/>
        </w:rPr>
      </w:pPr>
    </w:p>
    <w:sectPr>
      <w:pgSz w:w="11906" w:h="16838"/>
      <w:pgMar w:top="1134" w:right="1134" w:bottom="1134" w:left="1134"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0478D">
    <w:pPr>
      <w:spacing w:line="181" w:lineRule="auto"/>
      <w:jc w:val="right"/>
      <w:rPr>
        <w:rFonts w:ascii="宋体" w:hAnsi="宋体" w:eastAsia="宋体" w:cs="宋体"/>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E83BB">
    <w:pPr>
      <w:spacing w:line="181" w:lineRule="auto"/>
      <w:jc w:val="right"/>
      <w:rPr>
        <w:rFonts w:ascii="宋体" w:hAnsi="宋体" w:eastAsia="宋体" w:cs="宋体"/>
        <w:sz w:val="26"/>
        <w:szCs w:val="26"/>
      </w:rPr>
    </w:pPr>
    <w:r>
      <w:rPr>
        <w:sz w:val="26"/>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5BA576">
                          <w:pPr>
                            <w:pStyle w:val="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65BA576">
                    <w:pPr>
                      <w:pStyle w:val="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505C6">
    <w:pPr>
      <w:spacing w:line="181" w:lineRule="auto"/>
      <w:jc w:val="right"/>
      <w:rPr>
        <w:rFonts w:ascii="宋体" w:hAnsi="宋体" w:eastAsia="宋体" w:cs="宋体"/>
        <w:sz w:val="26"/>
        <w:szCs w:val="26"/>
      </w:rPr>
    </w:pPr>
    <w:r>
      <w:rPr>
        <w:sz w:val="26"/>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C91783">
                          <w:pPr>
                            <w:pStyle w:val="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3C91783">
                    <w:pPr>
                      <w:pStyle w:val="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0OTYzY2QxYTZjN2JlM2E4OWFhNWM5N2MxN2QxY2YifQ=="/>
  </w:docVars>
  <w:rsids>
    <w:rsidRoot w:val="00000000"/>
    <w:rsid w:val="002E0C9C"/>
    <w:rsid w:val="01910A08"/>
    <w:rsid w:val="01D26FC3"/>
    <w:rsid w:val="02F23728"/>
    <w:rsid w:val="036A59B4"/>
    <w:rsid w:val="03764359"/>
    <w:rsid w:val="03B60BF9"/>
    <w:rsid w:val="056F72B2"/>
    <w:rsid w:val="05AD1B88"/>
    <w:rsid w:val="06604E4C"/>
    <w:rsid w:val="073861C5"/>
    <w:rsid w:val="080F6B2A"/>
    <w:rsid w:val="0865674A"/>
    <w:rsid w:val="09B96D4E"/>
    <w:rsid w:val="0D134420"/>
    <w:rsid w:val="0D58687D"/>
    <w:rsid w:val="0DB53CD0"/>
    <w:rsid w:val="0FF563D7"/>
    <w:rsid w:val="10246EEB"/>
    <w:rsid w:val="10262C63"/>
    <w:rsid w:val="103233B6"/>
    <w:rsid w:val="12391094"/>
    <w:rsid w:val="12EF1A32"/>
    <w:rsid w:val="1351449B"/>
    <w:rsid w:val="13AE369B"/>
    <w:rsid w:val="13CD0607"/>
    <w:rsid w:val="145101B4"/>
    <w:rsid w:val="14AF1479"/>
    <w:rsid w:val="156A35F2"/>
    <w:rsid w:val="15E213DA"/>
    <w:rsid w:val="161517B0"/>
    <w:rsid w:val="16D72F09"/>
    <w:rsid w:val="17435EA8"/>
    <w:rsid w:val="17487963"/>
    <w:rsid w:val="17A0779F"/>
    <w:rsid w:val="18C521F2"/>
    <w:rsid w:val="1A911621"/>
    <w:rsid w:val="1AB86BAD"/>
    <w:rsid w:val="1AF35E37"/>
    <w:rsid w:val="1AF4798A"/>
    <w:rsid w:val="1B6B203C"/>
    <w:rsid w:val="1D24677C"/>
    <w:rsid w:val="1DF75C3F"/>
    <w:rsid w:val="1E731769"/>
    <w:rsid w:val="1E9E5AF7"/>
    <w:rsid w:val="1F0D396C"/>
    <w:rsid w:val="1F322929"/>
    <w:rsid w:val="203211B0"/>
    <w:rsid w:val="20FF72E4"/>
    <w:rsid w:val="21A47E8B"/>
    <w:rsid w:val="2369138D"/>
    <w:rsid w:val="2399667A"/>
    <w:rsid w:val="24AE03BC"/>
    <w:rsid w:val="24D64800"/>
    <w:rsid w:val="25783B09"/>
    <w:rsid w:val="25902C01"/>
    <w:rsid w:val="25E35426"/>
    <w:rsid w:val="27EC60E8"/>
    <w:rsid w:val="294837F2"/>
    <w:rsid w:val="29555A06"/>
    <w:rsid w:val="2AE8528D"/>
    <w:rsid w:val="2C5D75B5"/>
    <w:rsid w:val="2D40315E"/>
    <w:rsid w:val="2E8157DC"/>
    <w:rsid w:val="2EE87609"/>
    <w:rsid w:val="30395170"/>
    <w:rsid w:val="30420F9B"/>
    <w:rsid w:val="305A62E5"/>
    <w:rsid w:val="314B20D2"/>
    <w:rsid w:val="31AF2660"/>
    <w:rsid w:val="31E63BA8"/>
    <w:rsid w:val="358D0F0B"/>
    <w:rsid w:val="37661A13"/>
    <w:rsid w:val="38336169"/>
    <w:rsid w:val="3862667F"/>
    <w:rsid w:val="3B345984"/>
    <w:rsid w:val="3BE92C13"/>
    <w:rsid w:val="3DDD0555"/>
    <w:rsid w:val="3DEC0798"/>
    <w:rsid w:val="3E5C4F3C"/>
    <w:rsid w:val="3EDC25BB"/>
    <w:rsid w:val="3F3441A5"/>
    <w:rsid w:val="3F593C0C"/>
    <w:rsid w:val="400E2C48"/>
    <w:rsid w:val="43160791"/>
    <w:rsid w:val="43324E9F"/>
    <w:rsid w:val="43923B90"/>
    <w:rsid w:val="440C56F0"/>
    <w:rsid w:val="445F553F"/>
    <w:rsid w:val="44FB2801"/>
    <w:rsid w:val="453564C4"/>
    <w:rsid w:val="455455A1"/>
    <w:rsid w:val="46A936CA"/>
    <w:rsid w:val="47A85738"/>
    <w:rsid w:val="48425B85"/>
    <w:rsid w:val="49B44860"/>
    <w:rsid w:val="4A4F4589"/>
    <w:rsid w:val="4C040121"/>
    <w:rsid w:val="4D550843"/>
    <w:rsid w:val="4E275358"/>
    <w:rsid w:val="4EC92B5C"/>
    <w:rsid w:val="4F0F2539"/>
    <w:rsid w:val="4FFF25AD"/>
    <w:rsid w:val="501A0052"/>
    <w:rsid w:val="507B7E86"/>
    <w:rsid w:val="50F32112"/>
    <w:rsid w:val="50FD6AED"/>
    <w:rsid w:val="51595CED"/>
    <w:rsid w:val="518E5997"/>
    <w:rsid w:val="52AD4515"/>
    <w:rsid w:val="52E8557B"/>
    <w:rsid w:val="531F6F64"/>
    <w:rsid w:val="54D97871"/>
    <w:rsid w:val="56835CE6"/>
    <w:rsid w:val="56E30533"/>
    <w:rsid w:val="57F549C2"/>
    <w:rsid w:val="58034D9F"/>
    <w:rsid w:val="59AA19D8"/>
    <w:rsid w:val="59AA1CD8"/>
    <w:rsid w:val="5A5E22FC"/>
    <w:rsid w:val="5B691132"/>
    <w:rsid w:val="5D930C0F"/>
    <w:rsid w:val="5FA0342D"/>
    <w:rsid w:val="5FA34D03"/>
    <w:rsid w:val="5FA40A7B"/>
    <w:rsid w:val="5FB94527"/>
    <w:rsid w:val="5FFA069B"/>
    <w:rsid w:val="61665E0A"/>
    <w:rsid w:val="63EE6769"/>
    <w:rsid w:val="664408C2"/>
    <w:rsid w:val="669C70B8"/>
    <w:rsid w:val="66A575B3"/>
    <w:rsid w:val="66B34DFE"/>
    <w:rsid w:val="67E91721"/>
    <w:rsid w:val="680F2C70"/>
    <w:rsid w:val="68B146E8"/>
    <w:rsid w:val="69236EB5"/>
    <w:rsid w:val="6A6E23B2"/>
    <w:rsid w:val="6AB73B1D"/>
    <w:rsid w:val="6B1C1E0E"/>
    <w:rsid w:val="6B6A2B79"/>
    <w:rsid w:val="6C474C68"/>
    <w:rsid w:val="6CA95923"/>
    <w:rsid w:val="6D5910F7"/>
    <w:rsid w:val="6E3D4575"/>
    <w:rsid w:val="6E661A9B"/>
    <w:rsid w:val="6FAF3250"/>
    <w:rsid w:val="6FB70357"/>
    <w:rsid w:val="71645CB9"/>
    <w:rsid w:val="718E0F12"/>
    <w:rsid w:val="72D16E28"/>
    <w:rsid w:val="735E7467"/>
    <w:rsid w:val="73D634A1"/>
    <w:rsid w:val="74A72FAF"/>
    <w:rsid w:val="75E874BC"/>
    <w:rsid w:val="764861AD"/>
    <w:rsid w:val="78146346"/>
    <w:rsid w:val="78857244"/>
    <w:rsid w:val="7A682979"/>
    <w:rsid w:val="7B007056"/>
    <w:rsid w:val="7BAC5B48"/>
    <w:rsid w:val="7BED75DA"/>
    <w:rsid w:val="7D2C4132"/>
    <w:rsid w:val="7E2968C4"/>
    <w:rsid w:val="7E3239CA"/>
    <w:rsid w:val="7E8D1813"/>
    <w:rsid w:val="7EA700A1"/>
    <w:rsid w:val="7EE924BE"/>
    <w:rsid w:val="EDEB4A80"/>
    <w:rsid w:val="FFF5E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黑体" w:hAnsi="黑体" w:eastAsia="黑体" w:cs="黑体"/>
      <w:sz w:val="28"/>
      <w:szCs w:val="28"/>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4590</Words>
  <Characters>5705</Characters>
  <Lines>0</Lines>
  <Paragraphs>0</Paragraphs>
  <TotalTime>17</TotalTime>
  <ScaleCrop>false</ScaleCrop>
  <LinksUpToDate>false</LinksUpToDate>
  <CharactersWithSpaces>6231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2023-10-09T02:18:00Z</dcterms:created>
  <dc:creator>WangYongHui</dc:creator>
  <cp:lastModifiedBy>一花一世界</cp:lastModifiedBy>
  <cp:lastPrinted>2024-06-27T09:52:00Z</cp:lastPrinted>
  <dcterms:modified xsi:type="dcterms:W3CDTF">2024-09-03T02:59:20Z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B527A25896984DCD9DAFB3150AB74C44_12</vt:lpwstr>
  </property>
</Properties>
</file>