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0F5E7">
      <w:pPr>
        <w:keepNext w:val="0"/>
        <w:keepLines w:val="0"/>
        <w:pageBreakBefore w:val="0"/>
        <w:widowControl/>
        <w:kinsoku w:val="0"/>
        <w:wordWrap/>
        <w:overflowPunct/>
        <w:topLinePunct w:val="0"/>
        <w:autoSpaceDE w:val="0"/>
        <w:autoSpaceDN w:val="0"/>
        <w:bidi w:val="0"/>
        <w:adjustRightInd w:val="0"/>
        <w:snapToGrid w:val="0"/>
        <w:spacing w:before="174" w:line="264" w:lineRule="auto"/>
        <w:ind w:left="9"/>
        <w:rPr>
          <w:rFonts w:ascii="Times New Roman" w:hAnsi="Times New Roman" w:eastAsia="Times New Roman" w:cs="Times New Roman"/>
          <w:sz w:val="21"/>
          <w:szCs w:val="21"/>
          <w:highlight w:val="none"/>
        </w:rPr>
      </w:pPr>
      <w:r>
        <w:rPr>
          <w:rFonts w:ascii="Times New Roman" w:hAnsi="Times New Roman" w:eastAsia="Times New Roman" w:cs="Times New Roman"/>
          <w:spacing w:val="-2"/>
          <w:sz w:val="21"/>
          <w:szCs w:val="21"/>
          <w:highlight w:val="none"/>
        </w:rPr>
        <w:t>ICS</w:t>
      </w:r>
    </w:p>
    <w:p w14:paraId="64FFF20E">
      <w:pPr>
        <w:keepNext w:val="0"/>
        <w:keepLines w:val="0"/>
        <w:pageBreakBefore w:val="0"/>
        <w:widowControl/>
        <w:kinsoku w:val="0"/>
        <w:wordWrap/>
        <w:overflowPunct/>
        <w:topLinePunct w:val="0"/>
        <w:autoSpaceDE w:val="0"/>
        <w:autoSpaceDN w:val="0"/>
        <w:bidi w:val="0"/>
        <w:adjustRightInd w:val="0"/>
        <w:snapToGrid w:val="0"/>
        <w:spacing w:before="54" w:line="264" w:lineRule="auto"/>
        <w:ind w:left="9"/>
        <w:rPr>
          <w:rFonts w:ascii="黑体" w:hAnsi="黑体" w:eastAsia="黑体" w:cs="黑体"/>
          <w:spacing w:val="-1"/>
          <w:sz w:val="21"/>
          <w:szCs w:val="21"/>
          <w:highlight w:val="none"/>
        </w:rPr>
      </w:pPr>
      <w:r>
        <w:rPr>
          <w:rFonts w:ascii="黑体" w:hAnsi="黑体" w:eastAsia="黑体" w:cs="黑体"/>
          <w:spacing w:val="-1"/>
          <w:sz w:val="21"/>
          <w:szCs w:val="21"/>
          <w:highlight w:val="none"/>
        </w:rPr>
        <w:t>点击此处添加中国标准文献分类号</w:t>
      </w:r>
    </w:p>
    <w:p w14:paraId="4CB3951C">
      <w:pPr>
        <w:keepNext w:val="0"/>
        <w:keepLines w:val="0"/>
        <w:pageBreakBefore w:val="0"/>
        <w:widowControl/>
        <w:kinsoku w:val="0"/>
        <w:wordWrap/>
        <w:overflowPunct/>
        <w:topLinePunct w:val="0"/>
        <w:autoSpaceDE w:val="0"/>
        <w:autoSpaceDN w:val="0"/>
        <w:bidi w:val="0"/>
        <w:adjustRightInd w:val="0"/>
        <w:snapToGrid w:val="0"/>
        <w:spacing w:before="54" w:line="264" w:lineRule="auto"/>
        <w:ind w:left="9"/>
        <w:jc w:val="right"/>
        <w:rPr>
          <w:rFonts w:hint="eastAsia" w:ascii="Times New Roman" w:hAnsi="Times New Roman" w:eastAsia="宋体" w:cs="Times New Roman"/>
          <w:b/>
          <w:bCs/>
          <w:spacing w:val="-16"/>
          <w:position w:val="-17"/>
          <w:sz w:val="127"/>
          <w:szCs w:val="127"/>
          <w:highlight w:val="none"/>
          <w:lang w:val="en-US" w:eastAsia="zh-CN"/>
        </w:rPr>
      </w:pPr>
      <w:r>
        <w:rPr>
          <w:rFonts w:ascii="Times New Roman" w:hAnsi="Times New Roman" w:eastAsia="Times New Roman" w:cs="Times New Roman"/>
          <w:b/>
          <w:bCs/>
          <w:spacing w:val="-16"/>
          <w:position w:val="-17"/>
          <w:sz w:val="127"/>
          <w:szCs w:val="127"/>
          <w:highlight w:val="none"/>
        </w:rPr>
        <w:t>DB1</w:t>
      </w:r>
      <w:r>
        <w:rPr>
          <w:rFonts w:hint="eastAsia" w:ascii="Times New Roman" w:hAnsi="Times New Roman" w:eastAsia="宋体" w:cs="Times New Roman"/>
          <w:b/>
          <w:bCs/>
          <w:spacing w:val="-16"/>
          <w:position w:val="-17"/>
          <w:sz w:val="127"/>
          <w:szCs w:val="127"/>
          <w:highlight w:val="none"/>
          <w:lang w:val="en-US" w:eastAsia="zh-CN"/>
        </w:rPr>
        <w:t>3</w:t>
      </w:r>
    </w:p>
    <w:p w14:paraId="59C3E801">
      <w:pPr>
        <w:pStyle w:val="3"/>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jc w:val="right"/>
        <w:textAlignment w:val="baseline"/>
      </w:pPr>
      <w:r>
        <w:rPr>
          <w:spacing w:val="-4"/>
        </w:rPr>
        <w:t>DB1</w:t>
      </w:r>
      <w:r>
        <w:rPr>
          <w:rFonts w:hint="eastAsia"/>
          <w:spacing w:val="-4"/>
          <w:lang w:val="en-US" w:eastAsia="zh-CN"/>
        </w:rPr>
        <w:t>3</w:t>
      </w:r>
      <w:r>
        <w:rPr>
          <w:spacing w:val="-4"/>
        </w:rPr>
        <w:t xml:space="preserve">/ </w:t>
      </w:r>
      <w:r>
        <w:rPr>
          <w:rFonts w:hint="eastAsia"/>
          <w:spacing w:val="-4"/>
          <w:lang w:val="en-US" w:eastAsia="zh-CN"/>
        </w:rPr>
        <w:t xml:space="preserve"> XXXX</w:t>
      </w:r>
      <w:r>
        <w:rPr>
          <w:spacing w:val="-4"/>
        </w:rPr>
        <w:t>—202X</w:t>
      </w:r>
    </w:p>
    <w:p w14:paraId="1493E50B">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b/>
          <w:bCs/>
          <w:spacing w:val="-26"/>
          <w:sz w:val="50"/>
          <w:szCs w:val="50"/>
          <w:highlight w:val="none"/>
          <w:lang w:val="en-US" w:eastAsia="zh-CN"/>
        </w:rPr>
      </w:pPr>
    </w:p>
    <w:p w14:paraId="28DC4D1E">
      <w:pPr>
        <w:keepNext w:val="0"/>
        <w:keepLines w:val="0"/>
        <w:pageBreakBefore w:val="0"/>
        <w:widowControl/>
        <w:kinsoku w:val="0"/>
        <w:wordWrap/>
        <w:overflowPunct/>
        <w:topLinePunct w:val="0"/>
        <w:autoSpaceDE w:val="0"/>
        <w:autoSpaceDN w:val="0"/>
        <w:bidi w:val="0"/>
        <w:adjustRightInd w:val="0"/>
        <w:snapToGrid w:val="0"/>
        <w:spacing w:before="240" w:line="264" w:lineRule="auto"/>
        <w:ind w:left="7"/>
        <w:rPr>
          <w:rFonts w:ascii="黑体" w:hAnsi="黑体" w:eastAsia="黑体" w:cs="黑体"/>
          <w:b/>
          <w:bCs/>
          <w:spacing w:val="-26"/>
          <w:sz w:val="50"/>
          <w:szCs w:val="50"/>
          <w:highlight w:val="none"/>
        </w:rPr>
      </w:pPr>
      <w:r>
        <w:rPr>
          <w:rFonts w:hint="eastAsia" w:ascii="黑体" w:hAnsi="黑体" w:eastAsia="黑体" w:cs="黑体"/>
          <w:b/>
          <w:bCs/>
          <w:spacing w:val="-26"/>
          <w:sz w:val="50"/>
          <w:szCs w:val="50"/>
          <w:highlight w:val="none"/>
          <w:lang w:val="en-US" w:eastAsia="zh-CN"/>
        </w:rPr>
        <w:t>河</w:t>
      </w:r>
      <w:r>
        <w:rPr>
          <w:rFonts w:ascii="黑体" w:hAnsi="黑体" w:eastAsia="黑体" w:cs="黑体"/>
          <w:spacing w:val="6"/>
          <w:sz w:val="50"/>
          <w:szCs w:val="50"/>
          <w:highlight w:val="none"/>
        </w:rPr>
        <w:t xml:space="preserve">   </w:t>
      </w:r>
      <w:r>
        <w:rPr>
          <w:rFonts w:hint="eastAsia" w:ascii="黑体" w:hAnsi="黑体" w:eastAsia="黑体" w:cs="黑体"/>
          <w:b/>
          <w:bCs/>
          <w:spacing w:val="-26"/>
          <w:sz w:val="50"/>
          <w:szCs w:val="50"/>
          <w:highlight w:val="none"/>
          <w:lang w:val="en-US" w:eastAsia="zh-CN"/>
        </w:rPr>
        <w:t>北</w:t>
      </w:r>
      <w:r>
        <w:rPr>
          <w:rFonts w:ascii="黑体" w:hAnsi="黑体" w:eastAsia="黑体" w:cs="黑体"/>
          <w:spacing w:val="13"/>
          <w:sz w:val="50"/>
          <w:szCs w:val="50"/>
          <w:highlight w:val="none"/>
        </w:rPr>
        <w:t xml:space="preserve">   </w:t>
      </w:r>
      <w:r>
        <w:rPr>
          <w:rFonts w:hint="eastAsia" w:ascii="黑体" w:hAnsi="黑体" w:eastAsia="黑体" w:cs="黑体"/>
          <w:b/>
          <w:bCs/>
          <w:spacing w:val="-26"/>
          <w:sz w:val="50"/>
          <w:szCs w:val="50"/>
          <w:highlight w:val="none"/>
          <w:lang w:val="en-US" w:eastAsia="zh-CN"/>
        </w:rPr>
        <w:t>省</w:t>
      </w:r>
      <w:r>
        <w:rPr>
          <w:rFonts w:ascii="黑体" w:hAnsi="黑体" w:eastAsia="黑体" w:cs="黑体"/>
          <w:spacing w:val="14"/>
          <w:sz w:val="50"/>
          <w:szCs w:val="50"/>
          <w:highlight w:val="none"/>
        </w:rPr>
        <w:t xml:space="preserve">   </w:t>
      </w:r>
      <w:r>
        <w:rPr>
          <w:rFonts w:ascii="黑体" w:hAnsi="黑体" w:eastAsia="黑体" w:cs="黑体"/>
          <w:b/>
          <w:bCs/>
          <w:spacing w:val="-26"/>
          <w:sz w:val="50"/>
          <w:szCs w:val="50"/>
          <w:highlight w:val="none"/>
        </w:rPr>
        <w:t>地</w:t>
      </w:r>
      <w:r>
        <w:rPr>
          <w:rFonts w:ascii="黑体" w:hAnsi="黑体" w:eastAsia="黑体" w:cs="黑体"/>
          <w:spacing w:val="13"/>
          <w:sz w:val="50"/>
          <w:szCs w:val="50"/>
          <w:highlight w:val="none"/>
        </w:rPr>
        <w:t xml:space="preserve">   </w:t>
      </w:r>
      <w:r>
        <w:rPr>
          <w:rFonts w:ascii="黑体" w:hAnsi="黑体" w:eastAsia="黑体" w:cs="黑体"/>
          <w:b/>
          <w:bCs/>
          <w:spacing w:val="-26"/>
          <w:sz w:val="50"/>
          <w:szCs w:val="50"/>
          <w:highlight w:val="none"/>
        </w:rPr>
        <w:t>方</w:t>
      </w:r>
      <w:r>
        <w:rPr>
          <w:rFonts w:ascii="黑体" w:hAnsi="黑体" w:eastAsia="黑体" w:cs="黑体"/>
          <w:spacing w:val="12"/>
          <w:sz w:val="50"/>
          <w:szCs w:val="50"/>
          <w:highlight w:val="none"/>
        </w:rPr>
        <w:t xml:space="preserve">   </w:t>
      </w:r>
      <w:r>
        <w:rPr>
          <w:rFonts w:ascii="黑体" w:hAnsi="黑体" w:eastAsia="黑体" w:cs="黑体"/>
          <w:b/>
          <w:bCs/>
          <w:spacing w:val="-26"/>
          <w:sz w:val="50"/>
          <w:szCs w:val="50"/>
          <w:highlight w:val="none"/>
        </w:rPr>
        <w:t>标</w:t>
      </w:r>
      <w:r>
        <w:rPr>
          <w:rFonts w:ascii="黑体" w:hAnsi="黑体" w:eastAsia="黑体" w:cs="黑体"/>
          <w:spacing w:val="10"/>
          <w:sz w:val="50"/>
          <w:szCs w:val="50"/>
          <w:highlight w:val="none"/>
        </w:rPr>
        <w:t xml:space="preserve">   </w:t>
      </w:r>
      <w:r>
        <w:rPr>
          <w:rFonts w:ascii="黑体" w:hAnsi="黑体" w:eastAsia="黑体" w:cs="黑体"/>
          <w:b/>
          <w:bCs/>
          <w:spacing w:val="-26"/>
          <w:sz w:val="50"/>
          <w:szCs w:val="50"/>
          <w:highlight w:val="none"/>
        </w:rPr>
        <w:t>准</w:t>
      </w:r>
    </w:p>
    <w:p w14:paraId="0F7248B7">
      <w:pPr>
        <w:keepNext w:val="0"/>
        <w:keepLines w:val="0"/>
        <w:pageBreakBefore w:val="0"/>
        <w:widowControl/>
        <w:kinsoku w:val="0"/>
        <w:wordWrap/>
        <w:overflowPunct/>
        <w:topLinePunct w:val="0"/>
        <w:autoSpaceDE w:val="0"/>
        <w:autoSpaceDN w:val="0"/>
        <w:bidi w:val="0"/>
        <w:adjustRightInd w:val="0"/>
        <w:snapToGrid w:val="0"/>
        <w:spacing w:line="264" w:lineRule="auto"/>
        <w:ind w:firstLine="0" w:firstLineChars="0"/>
        <w:textAlignment w:val="baseline"/>
      </w:pPr>
      <w:r>
        <mc:AlternateContent>
          <mc:Choice Requires="wps">
            <w:drawing>
              <wp:anchor distT="0" distB="0" distL="114300" distR="114300" simplePos="0" relativeHeight="251664384" behindDoc="0" locked="0" layoutInCell="1" allowOverlap="1">
                <wp:simplePos x="0" y="0"/>
                <wp:positionH relativeFrom="column">
                  <wp:posOffset>3175</wp:posOffset>
                </wp:positionH>
                <wp:positionV relativeFrom="paragraph">
                  <wp:posOffset>147955</wp:posOffset>
                </wp:positionV>
                <wp:extent cx="6120130" cy="635"/>
                <wp:effectExtent l="0" t="0" r="0" b="0"/>
                <wp:wrapNone/>
                <wp:docPr id="8" name="直接连接符 8"/>
                <wp:cNvGraphicFramePr/>
                <a:graphic xmlns:a="http://schemas.openxmlformats.org/drawingml/2006/main">
                  <a:graphicData uri="http://schemas.microsoft.com/office/word/2010/wordprocessingShape">
                    <wps:wsp>
                      <wps:cNvCnPr/>
                      <wps:spPr>
                        <a:xfrm>
                          <a:off x="0" y="0"/>
                          <a:ext cx="6120130"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11.65pt;height:0.05pt;width:481.9pt;z-index:251664384;mso-width-relative:page;mso-height-relative:page;" filled="f" stroked="t" coordsize="21600,21600" o:gfxdata="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h/fsnWAAAABgEAAA8AAAAAAAAAAQAgAAAAIgAAAGRycy9kb3ducmV2LnhtbFBLAQIU&#10;ABQAAAAIAIdO4kAv1PNo9QEAAOcDAAAOAAAAAAAAAAEAIAAAACUBAABkcnMvZTJvRG9jLnhtbFBL&#10;BQYAAAAABgAGAFkBAACMBQAAAAA=&#10;">
                <v:fill on="f" focussize="0,0"/>
                <v:stroke weight="1.25pt" color="#000000" joinstyle="round"/>
                <v:imagedata o:title=""/>
                <o:lock v:ext="edit" aspectratio="f"/>
              </v:line>
            </w:pict>
          </mc:Fallback>
        </mc:AlternateContent>
      </w:r>
    </w:p>
    <w:p w14:paraId="7B53AE34">
      <w:pPr>
        <w:keepNext w:val="0"/>
        <w:keepLines w:val="0"/>
        <w:pageBreakBefore w:val="0"/>
        <w:widowControl/>
        <w:kinsoku w:val="0"/>
        <w:wordWrap/>
        <w:overflowPunct/>
        <w:topLinePunct w:val="0"/>
        <w:autoSpaceDE w:val="0"/>
        <w:autoSpaceDN w:val="0"/>
        <w:bidi w:val="0"/>
        <w:adjustRightInd w:val="0"/>
        <w:snapToGrid w:val="0"/>
        <w:spacing w:before="240" w:line="240" w:lineRule="exact"/>
        <w:ind w:left="7"/>
        <w:textAlignment w:val="baseline"/>
        <w:rPr>
          <w:rFonts w:ascii="黑体" w:hAnsi="黑体" w:eastAsia="黑体" w:cs="黑体"/>
          <w:b/>
          <w:bCs/>
          <w:spacing w:val="-26"/>
          <w:sz w:val="50"/>
          <w:szCs w:val="50"/>
          <w:highlight w:val="none"/>
        </w:rPr>
      </w:pPr>
    </w:p>
    <w:p w14:paraId="20213041">
      <w:pPr>
        <w:keepNext w:val="0"/>
        <w:keepLines w:val="0"/>
        <w:pageBreakBefore w:val="0"/>
        <w:widowControl/>
        <w:kinsoku w:val="0"/>
        <w:wordWrap/>
        <w:overflowPunct/>
        <w:topLinePunct w:val="0"/>
        <w:autoSpaceDE w:val="0"/>
        <w:autoSpaceDN w:val="0"/>
        <w:bidi w:val="0"/>
        <w:adjustRightInd w:val="0"/>
        <w:snapToGrid w:val="0"/>
        <w:spacing w:line="240" w:lineRule="exact"/>
        <w:jc w:val="right"/>
        <w:textAlignment w:val="baseline"/>
        <w:rPr>
          <w:rFonts w:ascii="Arial" w:hAnsi="Arial" w:eastAsia="Arial" w:cs="Arial"/>
          <w:color w:val="FF0000"/>
          <w:spacing w:val="-4"/>
          <w:position w:val="10"/>
          <w:sz w:val="21"/>
          <w:szCs w:val="21"/>
          <w:highlight w:val="yellow"/>
        </w:rPr>
      </w:pPr>
    </w:p>
    <w:p w14:paraId="6114F772">
      <w:pPr>
        <w:keepNext w:val="0"/>
        <w:keepLines w:val="0"/>
        <w:pageBreakBefore w:val="0"/>
        <w:widowControl/>
        <w:kinsoku w:val="0"/>
        <w:wordWrap/>
        <w:overflowPunct/>
        <w:topLinePunct w:val="0"/>
        <w:autoSpaceDE w:val="0"/>
        <w:autoSpaceDN w:val="0"/>
        <w:bidi w:val="0"/>
        <w:adjustRightInd w:val="0"/>
        <w:snapToGrid w:val="0"/>
        <w:spacing w:line="240" w:lineRule="exact"/>
        <w:jc w:val="right"/>
        <w:textAlignment w:val="baseline"/>
        <w:rPr>
          <w:rFonts w:ascii="Arial" w:hAnsi="Arial" w:eastAsia="Arial" w:cs="Arial"/>
          <w:color w:val="FF0000"/>
          <w:spacing w:val="-4"/>
          <w:position w:val="10"/>
          <w:sz w:val="21"/>
          <w:szCs w:val="21"/>
          <w:highlight w:val="yellow"/>
        </w:rPr>
      </w:pPr>
    </w:p>
    <w:p w14:paraId="13077F64">
      <w:pPr>
        <w:keepNext w:val="0"/>
        <w:keepLines w:val="0"/>
        <w:pageBreakBefore w:val="0"/>
        <w:widowControl/>
        <w:kinsoku w:val="0"/>
        <w:wordWrap/>
        <w:overflowPunct/>
        <w:topLinePunct w:val="0"/>
        <w:autoSpaceDE w:val="0"/>
        <w:autoSpaceDN w:val="0"/>
        <w:bidi w:val="0"/>
        <w:adjustRightInd w:val="0"/>
        <w:snapToGrid w:val="0"/>
        <w:spacing w:line="240" w:lineRule="exact"/>
        <w:jc w:val="right"/>
        <w:textAlignment w:val="baseline"/>
        <w:rPr>
          <w:rFonts w:ascii="Arial" w:hAnsi="Arial" w:eastAsia="Arial" w:cs="Arial"/>
          <w:color w:val="FF0000"/>
          <w:spacing w:val="-4"/>
          <w:position w:val="10"/>
          <w:sz w:val="21"/>
          <w:szCs w:val="21"/>
          <w:highlight w:val="yellow"/>
        </w:rPr>
      </w:pPr>
    </w:p>
    <w:p w14:paraId="61BFEF60">
      <w:pPr>
        <w:keepNext w:val="0"/>
        <w:keepLines w:val="0"/>
        <w:pageBreakBefore w:val="0"/>
        <w:widowControl/>
        <w:kinsoku w:val="0"/>
        <w:wordWrap/>
        <w:overflowPunct/>
        <w:topLinePunct w:val="0"/>
        <w:autoSpaceDE w:val="0"/>
        <w:autoSpaceDN w:val="0"/>
        <w:bidi w:val="0"/>
        <w:adjustRightInd w:val="0"/>
        <w:snapToGrid w:val="0"/>
        <w:spacing w:line="240" w:lineRule="exact"/>
        <w:jc w:val="right"/>
        <w:textAlignment w:val="baseline"/>
        <w:rPr>
          <w:rFonts w:ascii="Arial" w:hAnsi="Arial" w:eastAsia="Arial" w:cs="Arial"/>
          <w:color w:val="FF0000"/>
          <w:spacing w:val="-4"/>
          <w:position w:val="10"/>
          <w:sz w:val="21"/>
          <w:szCs w:val="21"/>
          <w:highlight w:val="yellow"/>
        </w:rPr>
      </w:pPr>
    </w:p>
    <w:p w14:paraId="258D66D8">
      <w:pPr>
        <w:keepNext w:val="0"/>
        <w:keepLines w:val="0"/>
        <w:pageBreakBefore w:val="0"/>
        <w:widowControl/>
        <w:kinsoku w:val="0"/>
        <w:wordWrap/>
        <w:overflowPunct/>
        <w:topLinePunct w:val="0"/>
        <w:autoSpaceDE w:val="0"/>
        <w:autoSpaceDN w:val="0"/>
        <w:bidi w:val="0"/>
        <w:adjustRightInd w:val="0"/>
        <w:snapToGrid w:val="0"/>
        <w:spacing w:line="240" w:lineRule="exact"/>
        <w:jc w:val="right"/>
        <w:textAlignment w:val="baseline"/>
        <w:rPr>
          <w:rFonts w:ascii="Arial" w:hAnsi="Arial" w:eastAsia="Arial" w:cs="Arial"/>
          <w:color w:val="FF0000"/>
          <w:spacing w:val="-4"/>
          <w:position w:val="10"/>
          <w:sz w:val="21"/>
          <w:szCs w:val="21"/>
          <w:highlight w:val="yellow"/>
        </w:rPr>
      </w:pPr>
    </w:p>
    <w:p w14:paraId="2EDD7804">
      <w:pPr>
        <w:keepNext w:val="0"/>
        <w:keepLines w:val="0"/>
        <w:pageBreakBefore w:val="0"/>
        <w:widowControl/>
        <w:kinsoku w:val="0"/>
        <w:wordWrap/>
        <w:overflowPunct/>
        <w:topLinePunct w:val="0"/>
        <w:autoSpaceDE w:val="0"/>
        <w:autoSpaceDN w:val="0"/>
        <w:bidi w:val="0"/>
        <w:adjustRightInd w:val="0"/>
        <w:snapToGrid w:val="0"/>
        <w:spacing w:before="162" w:line="240" w:lineRule="auto"/>
        <w:jc w:val="center"/>
        <w:textAlignment w:val="baseline"/>
        <w:rPr>
          <w:rFonts w:ascii="黑体" w:hAnsi="黑体" w:eastAsia="黑体" w:cs="黑体"/>
          <w:b/>
          <w:bCs/>
          <w:spacing w:val="10"/>
          <w:sz w:val="50"/>
          <w:szCs w:val="50"/>
        </w:rPr>
      </w:pPr>
      <w:r>
        <w:rPr>
          <w:rFonts w:ascii="黑体" w:hAnsi="黑体" w:eastAsia="黑体" w:cs="黑体"/>
          <w:b/>
          <w:bCs/>
          <w:spacing w:val="10"/>
          <w:sz w:val="50"/>
          <w:szCs w:val="50"/>
        </w:rPr>
        <w:t>储油库大气污染物排放标准</w:t>
      </w:r>
    </w:p>
    <w:p w14:paraId="68B957AB">
      <w:pPr>
        <w:keepNext w:val="0"/>
        <w:keepLines w:val="0"/>
        <w:pageBreakBefore w:val="0"/>
        <w:widowControl/>
        <w:kinsoku w:val="0"/>
        <w:wordWrap/>
        <w:overflowPunct/>
        <w:topLinePunct w:val="0"/>
        <w:autoSpaceDE w:val="0"/>
        <w:autoSpaceDN w:val="0"/>
        <w:bidi w:val="0"/>
        <w:adjustRightInd w:val="0"/>
        <w:snapToGrid w:val="0"/>
        <w:spacing w:before="162" w:line="240" w:lineRule="auto"/>
        <w:jc w:val="center"/>
        <w:textAlignment w:val="baseline"/>
        <w:rPr>
          <w:rFonts w:ascii="Arial" w:hAnsi="Arial" w:eastAsia="Arial" w:cs="Arial"/>
          <w:b/>
          <w:bCs/>
          <w:spacing w:val="-2"/>
          <w:sz w:val="28"/>
          <w:szCs w:val="28"/>
        </w:rPr>
      </w:pPr>
      <w:r>
        <w:rPr>
          <w:rFonts w:hint="eastAsia" w:ascii="Arial" w:hAnsi="Arial" w:eastAsia="Arial" w:cs="Arial"/>
          <w:b/>
          <w:bCs/>
          <w:spacing w:val="-2"/>
          <w:sz w:val="28"/>
          <w:szCs w:val="28"/>
        </w:rPr>
        <w:t>Emission standard of air pollutant for bulk gasoline terminals</w:t>
      </w:r>
    </w:p>
    <w:p w14:paraId="0AB6AF2F">
      <w:pPr>
        <w:keepNext w:val="0"/>
        <w:keepLines w:val="0"/>
        <w:pageBreakBefore w:val="0"/>
        <w:widowControl/>
        <w:kinsoku w:val="0"/>
        <w:wordWrap/>
        <w:overflowPunct/>
        <w:topLinePunct w:val="0"/>
        <w:autoSpaceDE w:val="0"/>
        <w:autoSpaceDN w:val="0"/>
        <w:bidi w:val="0"/>
        <w:adjustRightInd w:val="0"/>
        <w:snapToGrid w:val="0"/>
        <w:spacing w:before="162" w:line="240" w:lineRule="exact"/>
        <w:textAlignment w:val="baseline"/>
        <w:rPr>
          <w:rFonts w:ascii="Arial" w:hAnsi="Arial" w:eastAsia="Arial" w:cs="Arial"/>
          <w:b/>
          <w:bCs/>
          <w:spacing w:val="-2"/>
          <w:sz w:val="28"/>
          <w:szCs w:val="28"/>
        </w:rPr>
      </w:pPr>
    </w:p>
    <w:p w14:paraId="63D46336">
      <w:pPr>
        <w:keepNext w:val="0"/>
        <w:keepLines w:val="0"/>
        <w:pageBreakBefore w:val="0"/>
        <w:widowControl/>
        <w:kinsoku w:val="0"/>
        <w:wordWrap/>
        <w:overflowPunct/>
        <w:topLinePunct w:val="0"/>
        <w:autoSpaceDE w:val="0"/>
        <w:autoSpaceDN w:val="0"/>
        <w:bidi w:val="0"/>
        <w:adjustRightInd w:val="0"/>
        <w:snapToGrid w:val="0"/>
        <w:spacing w:before="162" w:line="240" w:lineRule="exact"/>
        <w:textAlignment w:val="baseline"/>
        <w:rPr>
          <w:rFonts w:ascii="Arial" w:hAnsi="Arial" w:eastAsia="Arial" w:cs="Arial"/>
          <w:b/>
          <w:bCs/>
          <w:spacing w:val="-2"/>
          <w:sz w:val="28"/>
          <w:szCs w:val="28"/>
        </w:rPr>
      </w:pPr>
    </w:p>
    <w:p w14:paraId="1E182EE5">
      <w:pPr>
        <w:keepNext w:val="0"/>
        <w:keepLines w:val="0"/>
        <w:pageBreakBefore w:val="0"/>
        <w:widowControl/>
        <w:kinsoku w:val="0"/>
        <w:wordWrap/>
        <w:overflowPunct/>
        <w:topLinePunct w:val="0"/>
        <w:autoSpaceDE w:val="0"/>
        <w:autoSpaceDN w:val="0"/>
        <w:bidi w:val="0"/>
        <w:adjustRightInd w:val="0"/>
        <w:snapToGrid w:val="0"/>
        <w:spacing w:before="162" w:line="240" w:lineRule="exact"/>
        <w:textAlignment w:val="baseline"/>
        <w:rPr>
          <w:rFonts w:ascii="Arial" w:hAnsi="Arial" w:eastAsia="Arial" w:cs="Arial"/>
          <w:b/>
          <w:bCs/>
          <w:spacing w:val="-2"/>
          <w:sz w:val="28"/>
          <w:szCs w:val="28"/>
        </w:rPr>
      </w:pPr>
    </w:p>
    <w:p w14:paraId="3F99B4C9">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r>
        <w:rPr>
          <w:rFonts w:ascii="宋体" w:hAnsi="宋体" w:eastAsia="宋体" w:cs="宋体"/>
          <w:spacing w:val="-2"/>
          <w:sz w:val="25"/>
          <w:szCs w:val="25"/>
        </w:rPr>
        <w:t>(</w:t>
      </w:r>
      <w:r>
        <w:rPr>
          <w:rFonts w:hint="eastAsia" w:ascii="宋体" w:hAnsi="宋体" w:eastAsia="宋体" w:cs="宋体"/>
          <w:spacing w:val="-2"/>
          <w:sz w:val="25"/>
          <w:szCs w:val="25"/>
          <w:lang w:val="en-US" w:eastAsia="zh-CN"/>
        </w:rPr>
        <w:t>征求意见稿</w:t>
      </w:r>
      <w:r>
        <w:rPr>
          <w:rFonts w:ascii="宋体" w:hAnsi="宋体" w:eastAsia="宋体" w:cs="宋体"/>
          <w:spacing w:val="-2"/>
          <w:sz w:val="25"/>
          <w:szCs w:val="25"/>
        </w:rPr>
        <w:t>)</w:t>
      </w:r>
    </w:p>
    <w:p w14:paraId="7676ECF9">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141FD809">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488992C5">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1C49F77C">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39C7B6D1">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4C847E69">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7345CB88">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6E0A1E53">
      <w:pPr>
        <w:keepNext w:val="0"/>
        <w:keepLines w:val="0"/>
        <w:pageBreakBefore w:val="0"/>
        <w:widowControl/>
        <w:kinsoku w:val="0"/>
        <w:wordWrap/>
        <w:overflowPunct/>
        <w:topLinePunct w:val="0"/>
        <w:autoSpaceDE w:val="0"/>
        <w:autoSpaceDN w:val="0"/>
        <w:bidi w:val="0"/>
        <w:adjustRightInd w:val="0"/>
        <w:snapToGrid w:val="0"/>
        <w:spacing w:before="162" w:line="240" w:lineRule="exact"/>
        <w:jc w:val="center"/>
        <w:textAlignment w:val="baseline"/>
        <w:rPr>
          <w:rFonts w:ascii="宋体" w:hAnsi="宋体" w:eastAsia="宋体" w:cs="宋体"/>
          <w:spacing w:val="-2"/>
          <w:sz w:val="25"/>
          <w:szCs w:val="25"/>
        </w:rPr>
      </w:pPr>
    </w:p>
    <w:p w14:paraId="57F5B460">
      <w:pPr>
        <w:keepNext w:val="0"/>
        <w:keepLines w:val="0"/>
        <w:pageBreakBefore w:val="0"/>
        <w:widowControl/>
        <w:kinsoku w:val="0"/>
        <w:wordWrap/>
        <w:overflowPunct/>
        <w:topLinePunct w:val="0"/>
        <w:autoSpaceDE w:val="0"/>
        <w:autoSpaceDN w:val="0"/>
        <w:bidi w:val="0"/>
        <w:adjustRightInd w:val="0"/>
        <w:snapToGrid w:val="0"/>
        <w:spacing w:before="76" w:line="240" w:lineRule="exact"/>
        <w:ind w:left="143"/>
        <w:textAlignment w:val="baseline"/>
        <w:rPr>
          <w:rFonts w:ascii="黑体" w:hAnsi="黑体" w:eastAsia="黑体" w:cs="黑体"/>
          <w:b/>
          <w:bCs/>
          <w:spacing w:val="-10"/>
          <w:sz w:val="21"/>
          <w:szCs w:val="21"/>
        </w:rPr>
      </w:pPr>
      <w:r>
        <w:rPr>
          <w:rFonts w:ascii="黑体" w:hAnsi="黑体" w:eastAsia="黑体" w:cs="黑体"/>
          <w:b/>
          <w:bCs/>
          <w:spacing w:val="-3"/>
          <w:sz w:val="21"/>
          <w:szCs w:val="21"/>
        </w:rPr>
        <w:t>XXXX-XX-XX</w:t>
      </w:r>
      <w:r>
        <w:rPr>
          <w:rFonts w:hint="eastAsia" w:ascii="黑体" w:hAnsi="黑体" w:eastAsia="黑体" w:cs="黑体"/>
          <w:b/>
          <w:bCs/>
          <w:spacing w:val="-3"/>
          <w:sz w:val="21"/>
          <w:szCs w:val="21"/>
          <w:lang w:val="en-US" w:eastAsia="zh-CN"/>
        </w:rPr>
        <w:t xml:space="preserve">     </w:t>
      </w:r>
      <w:r>
        <w:rPr>
          <w:rFonts w:ascii="黑体" w:hAnsi="黑体" w:eastAsia="黑体" w:cs="黑体"/>
          <w:b/>
          <w:bCs/>
          <w:spacing w:val="-8"/>
          <w:sz w:val="21"/>
          <w:szCs w:val="21"/>
        </w:rPr>
        <w:t>发</w:t>
      </w:r>
      <w:r>
        <w:rPr>
          <w:rFonts w:ascii="黑体" w:hAnsi="黑体" w:eastAsia="黑体" w:cs="黑体"/>
          <w:spacing w:val="38"/>
          <w:sz w:val="21"/>
          <w:szCs w:val="21"/>
        </w:rPr>
        <w:t xml:space="preserve"> </w:t>
      </w:r>
      <w:r>
        <w:rPr>
          <w:rFonts w:ascii="黑体" w:hAnsi="黑体" w:eastAsia="黑体" w:cs="黑体"/>
          <w:b/>
          <w:bCs/>
          <w:spacing w:val="-8"/>
          <w:sz w:val="21"/>
          <w:szCs w:val="21"/>
        </w:rPr>
        <w:t>布</w:t>
      </w:r>
      <w:r>
        <w:rPr>
          <w:rFonts w:hint="eastAsia" w:ascii="黑体" w:hAnsi="黑体" w:eastAsia="黑体" w:cs="黑体"/>
          <w:b/>
          <w:bCs/>
          <w:spacing w:val="-8"/>
          <w:sz w:val="21"/>
          <w:szCs w:val="21"/>
          <w:lang w:val="en-US" w:eastAsia="zh-CN"/>
        </w:rPr>
        <w:t xml:space="preserve">                                            </w:t>
      </w:r>
      <w:r>
        <w:rPr>
          <w:rFonts w:ascii="黑体" w:hAnsi="黑体" w:eastAsia="黑体" w:cs="黑体"/>
          <w:b/>
          <w:bCs/>
          <w:spacing w:val="-3"/>
          <w:sz w:val="21"/>
          <w:szCs w:val="21"/>
        </w:rPr>
        <w:t>XXXX-XX-XX</w:t>
      </w:r>
      <w:r>
        <w:rPr>
          <w:rFonts w:hint="eastAsia" w:ascii="黑体" w:hAnsi="黑体" w:eastAsia="黑体" w:cs="黑体"/>
          <w:b/>
          <w:bCs/>
          <w:spacing w:val="-3"/>
          <w:sz w:val="21"/>
          <w:szCs w:val="21"/>
          <w:lang w:val="en-US" w:eastAsia="zh-CN"/>
        </w:rPr>
        <w:t xml:space="preserve">      </w:t>
      </w:r>
      <w:r>
        <w:rPr>
          <w:rFonts w:ascii="黑体" w:hAnsi="黑体" w:eastAsia="黑体" w:cs="黑体"/>
          <w:b/>
          <w:bCs/>
          <w:spacing w:val="-10"/>
          <w:sz w:val="21"/>
          <w:szCs w:val="21"/>
        </w:rPr>
        <w:t>实</w:t>
      </w:r>
      <w:r>
        <w:rPr>
          <w:rFonts w:ascii="黑体" w:hAnsi="黑体" w:eastAsia="黑体" w:cs="黑体"/>
          <w:spacing w:val="39"/>
          <w:sz w:val="21"/>
          <w:szCs w:val="21"/>
        </w:rPr>
        <w:t xml:space="preserve"> </w:t>
      </w:r>
      <w:r>
        <w:rPr>
          <w:rFonts w:ascii="黑体" w:hAnsi="黑体" w:eastAsia="黑体" w:cs="黑体"/>
          <w:b/>
          <w:bCs/>
          <w:spacing w:val="-10"/>
          <w:sz w:val="21"/>
          <w:szCs w:val="21"/>
        </w:rPr>
        <w:t>施</w:t>
      </w:r>
    </w:p>
    <w:p w14:paraId="27CA7212">
      <w:pPr>
        <w:keepNext w:val="0"/>
        <w:keepLines w:val="0"/>
        <w:pageBreakBefore w:val="0"/>
        <w:widowControl/>
        <w:kinsoku w:val="0"/>
        <w:wordWrap/>
        <w:overflowPunct/>
        <w:topLinePunct w:val="0"/>
        <w:autoSpaceDE w:val="0"/>
        <w:autoSpaceDN w:val="0"/>
        <w:bidi w:val="0"/>
        <w:adjustRightInd w:val="0"/>
        <w:snapToGrid w:val="0"/>
        <w:spacing w:before="76" w:line="240" w:lineRule="exact"/>
        <w:ind w:left="143"/>
        <w:textAlignment w:val="baseline"/>
        <w:rPr>
          <w:rFonts w:ascii="黑体" w:hAnsi="黑体" w:eastAsia="黑体" w:cs="黑体"/>
          <w:b/>
          <w:bCs/>
          <w:spacing w:val="-10"/>
          <w:sz w:val="21"/>
          <w:szCs w:val="21"/>
        </w:rPr>
      </w:pPr>
      <w:r>
        <w:rPr>
          <w:sz w:val="21"/>
        </w:rPr>
        <mc:AlternateContent>
          <mc:Choice Requires="wps">
            <w:drawing>
              <wp:anchor distT="0" distB="0" distL="114300" distR="114300" simplePos="0" relativeHeight="251662336" behindDoc="0" locked="0" layoutInCell="1" allowOverlap="1">
                <wp:simplePos x="0" y="0"/>
                <wp:positionH relativeFrom="column">
                  <wp:posOffset>1045210</wp:posOffset>
                </wp:positionH>
                <wp:positionV relativeFrom="paragraph">
                  <wp:posOffset>222885</wp:posOffset>
                </wp:positionV>
                <wp:extent cx="3442970" cy="601345"/>
                <wp:effectExtent l="0" t="0" r="0" b="0"/>
                <wp:wrapNone/>
                <wp:docPr id="1" name="文本框 1"/>
                <wp:cNvGraphicFramePr/>
                <a:graphic xmlns:a="http://schemas.openxmlformats.org/drawingml/2006/main">
                  <a:graphicData uri="http://schemas.microsoft.com/office/word/2010/wordprocessingShape">
                    <wps:wsp>
                      <wps:cNvSpPr txBox="1"/>
                      <wps:spPr>
                        <a:xfrm>
                          <a:off x="842010" y="9103360"/>
                          <a:ext cx="3442970" cy="6013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84B7FA">
                            <w:pPr>
                              <w:spacing w:before="56" w:line="222" w:lineRule="auto"/>
                              <w:ind w:firstLine="536" w:firstLineChars="200"/>
                              <w:rPr>
                                <w:rFonts w:hint="eastAsia" w:ascii="黑体" w:hAnsi="黑体" w:eastAsia="黑体" w:cs="黑体"/>
                                <w:spacing w:val="-6"/>
                                <w:sz w:val="28"/>
                                <w:szCs w:val="28"/>
                                <w:highlight w:val="none"/>
                                <w:lang w:eastAsia="zh-CN"/>
                              </w:rPr>
                            </w:pPr>
                            <w:r>
                              <w:rPr>
                                <w:rFonts w:hint="eastAsia" w:ascii="黑体" w:hAnsi="黑体" w:eastAsia="黑体" w:cs="黑体"/>
                                <w:spacing w:val="-6"/>
                                <w:sz w:val="28"/>
                                <w:szCs w:val="28"/>
                                <w:highlight w:val="none"/>
                                <w:lang w:val="en-US" w:eastAsia="zh-CN"/>
                              </w:rPr>
                              <w:t xml:space="preserve">河  北  省  </w:t>
                            </w:r>
                            <w:r>
                              <w:rPr>
                                <w:rFonts w:ascii="黑体" w:hAnsi="黑体" w:eastAsia="黑体" w:cs="黑体"/>
                                <w:spacing w:val="-6"/>
                                <w:sz w:val="28"/>
                                <w:szCs w:val="28"/>
                                <w:highlight w:val="none"/>
                              </w:rPr>
                              <w:t>生</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态</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环</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境</w:t>
                            </w:r>
                            <w:r>
                              <w:rPr>
                                <w:rFonts w:hint="eastAsia" w:ascii="黑体" w:hAnsi="黑体" w:eastAsia="黑体" w:cs="黑体"/>
                                <w:spacing w:val="-6"/>
                                <w:sz w:val="28"/>
                                <w:szCs w:val="28"/>
                                <w:highlight w:val="none"/>
                                <w:lang w:val="en-US" w:eastAsia="zh-CN"/>
                              </w:rPr>
                              <w:t xml:space="preserve">  厅</w:t>
                            </w:r>
                          </w:p>
                          <w:p w14:paraId="0EC608BE">
                            <w:pPr>
                              <w:ind w:firstLine="552" w:firstLineChars="200"/>
                              <w:rPr>
                                <w:highlight w:val="none"/>
                              </w:rPr>
                            </w:pPr>
                            <w:r>
                              <w:rPr>
                                <w:rFonts w:hint="eastAsia" w:ascii="黑体" w:hAnsi="黑体" w:eastAsia="黑体" w:cs="黑体"/>
                                <w:spacing w:val="-2"/>
                                <w:sz w:val="28"/>
                                <w:szCs w:val="28"/>
                                <w:highlight w:val="none"/>
                                <w:lang w:val="en-US" w:eastAsia="zh-CN"/>
                              </w:rPr>
                              <w:t xml:space="preserve">河 北 省 </w:t>
                            </w:r>
                            <w:r>
                              <w:rPr>
                                <w:rFonts w:ascii="黑体" w:hAnsi="黑体" w:eastAsia="黑体" w:cs="黑体"/>
                                <w:spacing w:val="-2"/>
                                <w:sz w:val="28"/>
                                <w:szCs w:val="28"/>
                                <w:highlight w:val="none"/>
                              </w:rPr>
                              <w:t>市</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场</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监</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督</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管</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理</w:t>
                            </w:r>
                            <w:r>
                              <w:rPr>
                                <w:rFonts w:hint="eastAsia" w:ascii="黑体" w:hAnsi="黑体" w:eastAsia="黑体" w:cs="黑体"/>
                                <w:spacing w:val="-2"/>
                                <w:sz w:val="28"/>
                                <w:szCs w:val="28"/>
                                <w:highlight w:val="none"/>
                                <w:lang w:val="en-US" w:eastAsia="zh-CN"/>
                              </w:rPr>
                              <w:t xml:space="preserve"> 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2.3pt;margin-top:17.55pt;height:47.35pt;width:271.1pt;z-index:251662336;mso-width-relative:page;mso-height-relative:page;" filled="f" stroked="f" coordsize="21600,21600" o:gfxdata="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NS3QOtoAAAAKAQAADwAAAAAAAAABACAA&#10;AAAiAAAAZHJzL2Rvd25yZXYueG1sUEsBAhQAFAAAAAgAh07iQP/jHxlEAgAAcQQAAA4AAAAAAAAA&#10;AQAgAAAAKQEAAGRycy9lMm9Eb2MueG1sUEsFBgAAAAAGAAYAWQEAAN8FAAAAAA==&#10;">
                <v:fill on="f" focussize="0,0"/>
                <v:stroke on="f" weight="0.5pt"/>
                <v:imagedata o:title=""/>
                <o:lock v:ext="edit" aspectratio="f"/>
                <v:textbox>
                  <w:txbxContent>
                    <w:p w14:paraId="1D84B7FA">
                      <w:pPr>
                        <w:spacing w:before="56" w:line="222" w:lineRule="auto"/>
                        <w:ind w:firstLine="536" w:firstLineChars="200"/>
                        <w:rPr>
                          <w:rFonts w:hint="eastAsia" w:ascii="黑体" w:hAnsi="黑体" w:eastAsia="黑体" w:cs="黑体"/>
                          <w:spacing w:val="-6"/>
                          <w:sz w:val="28"/>
                          <w:szCs w:val="28"/>
                          <w:highlight w:val="none"/>
                          <w:lang w:eastAsia="zh-CN"/>
                        </w:rPr>
                      </w:pPr>
                      <w:r>
                        <w:rPr>
                          <w:rFonts w:hint="eastAsia" w:ascii="黑体" w:hAnsi="黑体" w:eastAsia="黑体" w:cs="黑体"/>
                          <w:spacing w:val="-6"/>
                          <w:sz w:val="28"/>
                          <w:szCs w:val="28"/>
                          <w:highlight w:val="none"/>
                          <w:lang w:val="en-US" w:eastAsia="zh-CN"/>
                        </w:rPr>
                        <w:t xml:space="preserve">河  北  省  </w:t>
                      </w:r>
                      <w:r>
                        <w:rPr>
                          <w:rFonts w:ascii="黑体" w:hAnsi="黑体" w:eastAsia="黑体" w:cs="黑体"/>
                          <w:spacing w:val="-6"/>
                          <w:sz w:val="28"/>
                          <w:szCs w:val="28"/>
                          <w:highlight w:val="none"/>
                        </w:rPr>
                        <w:t>生</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态</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环</w:t>
                      </w:r>
                      <w:r>
                        <w:rPr>
                          <w:rFonts w:hint="eastAsia" w:ascii="黑体" w:hAnsi="黑体" w:eastAsia="黑体" w:cs="黑体"/>
                          <w:spacing w:val="-6"/>
                          <w:sz w:val="28"/>
                          <w:szCs w:val="28"/>
                          <w:highlight w:val="none"/>
                          <w:lang w:val="en-US" w:eastAsia="zh-CN"/>
                        </w:rPr>
                        <w:t xml:space="preserve">  </w:t>
                      </w:r>
                      <w:r>
                        <w:rPr>
                          <w:rFonts w:ascii="黑体" w:hAnsi="黑体" w:eastAsia="黑体" w:cs="黑体"/>
                          <w:spacing w:val="-6"/>
                          <w:sz w:val="28"/>
                          <w:szCs w:val="28"/>
                          <w:highlight w:val="none"/>
                        </w:rPr>
                        <w:t>境</w:t>
                      </w:r>
                      <w:r>
                        <w:rPr>
                          <w:rFonts w:hint="eastAsia" w:ascii="黑体" w:hAnsi="黑体" w:eastAsia="黑体" w:cs="黑体"/>
                          <w:spacing w:val="-6"/>
                          <w:sz w:val="28"/>
                          <w:szCs w:val="28"/>
                          <w:highlight w:val="none"/>
                          <w:lang w:val="en-US" w:eastAsia="zh-CN"/>
                        </w:rPr>
                        <w:t xml:space="preserve">  厅</w:t>
                      </w:r>
                    </w:p>
                    <w:p w14:paraId="0EC608BE">
                      <w:pPr>
                        <w:ind w:firstLine="552" w:firstLineChars="200"/>
                        <w:rPr>
                          <w:highlight w:val="none"/>
                        </w:rPr>
                      </w:pPr>
                      <w:r>
                        <w:rPr>
                          <w:rFonts w:hint="eastAsia" w:ascii="黑体" w:hAnsi="黑体" w:eastAsia="黑体" w:cs="黑体"/>
                          <w:spacing w:val="-2"/>
                          <w:sz w:val="28"/>
                          <w:szCs w:val="28"/>
                          <w:highlight w:val="none"/>
                          <w:lang w:val="en-US" w:eastAsia="zh-CN"/>
                        </w:rPr>
                        <w:t xml:space="preserve">河 北 省 </w:t>
                      </w:r>
                      <w:r>
                        <w:rPr>
                          <w:rFonts w:ascii="黑体" w:hAnsi="黑体" w:eastAsia="黑体" w:cs="黑体"/>
                          <w:spacing w:val="-2"/>
                          <w:sz w:val="28"/>
                          <w:szCs w:val="28"/>
                          <w:highlight w:val="none"/>
                        </w:rPr>
                        <w:t>市</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场</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监</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督</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管</w:t>
                      </w:r>
                      <w:r>
                        <w:rPr>
                          <w:rFonts w:hint="eastAsia" w:ascii="黑体" w:hAnsi="黑体" w:eastAsia="黑体" w:cs="黑体"/>
                          <w:spacing w:val="-2"/>
                          <w:sz w:val="28"/>
                          <w:szCs w:val="28"/>
                          <w:highlight w:val="none"/>
                          <w:lang w:val="en-US" w:eastAsia="zh-CN"/>
                        </w:rPr>
                        <w:t xml:space="preserve"> </w:t>
                      </w:r>
                      <w:r>
                        <w:rPr>
                          <w:rFonts w:ascii="黑体" w:hAnsi="黑体" w:eastAsia="黑体" w:cs="黑体"/>
                          <w:spacing w:val="-2"/>
                          <w:sz w:val="28"/>
                          <w:szCs w:val="28"/>
                          <w:highlight w:val="none"/>
                        </w:rPr>
                        <w:t>理</w:t>
                      </w:r>
                      <w:r>
                        <w:rPr>
                          <w:rFonts w:hint="eastAsia" w:ascii="黑体" w:hAnsi="黑体" w:eastAsia="黑体" w:cs="黑体"/>
                          <w:spacing w:val="-2"/>
                          <w:sz w:val="28"/>
                          <w:szCs w:val="28"/>
                          <w:highlight w:val="none"/>
                          <w:lang w:val="en-US" w:eastAsia="zh-CN"/>
                        </w:rPr>
                        <w:t xml:space="preserve"> 局</w:t>
                      </w:r>
                    </w:p>
                  </w:txbxContent>
                </v:textbox>
              </v:shape>
            </w:pict>
          </mc:Fallback>
        </mc:AlternateContent>
      </w:r>
      <w:r>
        <w:drawing>
          <wp:anchor distT="0" distB="0" distL="0" distR="0" simplePos="0" relativeHeight="251660288" behindDoc="0" locked="0" layoutInCell="1" allowOverlap="1">
            <wp:simplePos x="0" y="0"/>
            <wp:positionH relativeFrom="column">
              <wp:posOffset>46355</wp:posOffset>
            </wp:positionH>
            <wp:positionV relativeFrom="paragraph">
              <wp:posOffset>56515</wp:posOffset>
            </wp:positionV>
            <wp:extent cx="6134100" cy="12700"/>
            <wp:effectExtent l="0" t="0" r="0" b="0"/>
            <wp:wrapSquare wrapText="bothSides"/>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6134110" cy="12782"/>
                    </a:xfrm>
                    <a:prstGeom prst="rect">
                      <a:avLst/>
                    </a:prstGeom>
                  </pic:spPr>
                </pic:pic>
              </a:graphicData>
            </a:graphic>
          </wp:anchor>
        </w:drawing>
      </w:r>
    </w:p>
    <w:p w14:paraId="6185C179">
      <w:pPr>
        <w:keepNext w:val="0"/>
        <w:keepLines w:val="0"/>
        <w:pageBreakBefore w:val="0"/>
        <w:widowControl/>
        <w:kinsoku w:val="0"/>
        <w:wordWrap/>
        <w:overflowPunct/>
        <w:topLinePunct w:val="0"/>
        <w:autoSpaceDE w:val="0"/>
        <w:autoSpaceDN w:val="0"/>
        <w:bidi w:val="0"/>
        <w:adjustRightInd w:val="0"/>
        <w:snapToGrid w:val="0"/>
        <w:spacing w:before="76" w:line="240" w:lineRule="exact"/>
        <w:ind w:left="143"/>
        <w:textAlignment w:val="baseline"/>
        <w:rPr>
          <w:rFonts w:ascii="黑体" w:hAnsi="黑体" w:eastAsia="黑体" w:cs="黑体"/>
          <w:b/>
          <w:bCs/>
          <w:spacing w:val="-10"/>
          <w:sz w:val="21"/>
          <w:szCs w:val="21"/>
        </w:rPr>
      </w:pPr>
      <w:r>
        <w:rPr>
          <w:sz w:val="21"/>
        </w:rPr>
        <mc:AlternateContent>
          <mc:Choice Requires="wps">
            <w:drawing>
              <wp:anchor distT="0" distB="0" distL="114300" distR="114300" simplePos="0" relativeHeight="251663360" behindDoc="0" locked="0" layoutInCell="1" allowOverlap="1">
                <wp:simplePos x="0" y="0"/>
                <wp:positionH relativeFrom="column">
                  <wp:posOffset>4339590</wp:posOffset>
                </wp:positionH>
                <wp:positionV relativeFrom="paragraph">
                  <wp:posOffset>152400</wp:posOffset>
                </wp:positionV>
                <wp:extent cx="593090" cy="3594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93090" cy="359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45CAB5">
                            <w:pPr>
                              <w:rPr>
                                <w:rFonts w:hint="default"/>
                                <w:highlight w:val="none"/>
                                <w:lang w:val="en-US"/>
                              </w:rPr>
                            </w:pPr>
                            <w:r>
                              <w:rPr>
                                <w:rFonts w:hint="eastAsia" w:ascii="黑体" w:hAnsi="黑体" w:eastAsia="黑体" w:cs="黑体"/>
                                <w:spacing w:val="-6"/>
                                <w:sz w:val="28"/>
                                <w:szCs w:val="28"/>
                                <w:highlight w:val="none"/>
                                <w:lang w:val="en-US" w:eastAsia="zh-CN"/>
                              </w:rPr>
                              <w:t>发布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1.7pt;margin-top:12pt;height:28.3pt;width:46.7pt;z-index:251663360;mso-width-relative:page;mso-height-relative:page;" filled="f" stroked="f" coordsize="21600,21600" o:gfxdata="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&#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Czhqx3aAAAACQEAAA8AAAAAAAAAAQAgAAAAIgAAAGRy&#10;cy9kb3ducmV2LnhtbFBLAQIUABQAAAAIAIdO4kBDu0BYPAIAAGUEAAAOAAAAAAAAAAEAIAAAACkB&#10;AABkcnMvZTJvRG9jLnhtbFBLBQYAAAAABgAGAFkBAADXBQAAAAA=&#10;">
                <v:fill on="f" focussize="0,0"/>
                <v:stroke on="f" weight="0.5pt"/>
                <v:imagedata o:title=""/>
                <o:lock v:ext="edit" aspectratio="f"/>
                <v:textbox>
                  <w:txbxContent>
                    <w:p w14:paraId="4545CAB5">
                      <w:pPr>
                        <w:rPr>
                          <w:rFonts w:hint="default"/>
                          <w:highlight w:val="none"/>
                          <w:lang w:val="en-US"/>
                        </w:rPr>
                      </w:pPr>
                      <w:r>
                        <w:rPr>
                          <w:rFonts w:hint="eastAsia" w:ascii="黑体" w:hAnsi="黑体" w:eastAsia="黑体" w:cs="黑体"/>
                          <w:spacing w:val="-6"/>
                          <w:sz w:val="28"/>
                          <w:szCs w:val="28"/>
                          <w:highlight w:val="none"/>
                          <w:lang w:val="en-US" w:eastAsia="zh-CN"/>
                        </w:rPr>
                        <w:t>发布</w:t>
                      </w:r>
                    </w:p>
                  </w:txbxContent>
                </v:textbox>
              </v:shape>
            </w:pict>
          </mc:Fallback>
        </mc:AlternateContent>
      </w:r>
    </w:p>
    <w:p w14:paraId="6C305F14">
      <w:pPr>
        <w:keepNext w:val="0"/>
        <w:keepLines w:val="0"/>
        <w:pageBreakBefore w:val="0"/>
        <w:widowControl/>
        <w:kinsoku w:val="0"/>
        <w:wordWrap/>
        <w:overflowPunct/>
        <w:topLinePunct w:val="0"/>
        <w:autoSpaceDE w:val="0"/>
        <w:autoSpaceDN w:val="0"/>
        <w:bidi w:val="0"/>
        <w:adjustRightInd w:val="0"/>
        <w:snapToGrid w:val="0"/>
        <w:spacing w:before="76" w:line="240" w:lineRule="exact"/>
        <w:ind w:left="143"/>
        <w:textAlignment w:val="baseline"/>
        <w:rPr>
          <w:rFonts w:ascii="黑体" w:hAnsi="黑体" w:eastAsia="黑体" w:cs="黑体"/>
          <w:b/>
          <w:bCs/>
          <w:spacing w:val="-10"/>
          <w:sz w:val="21"/>
          <w:szCs w:val="21"/>
        </w:rPr>
      </w:pPr>
    </w:p>
    <w:p w14:paraId="70F129EE">
      <w:pPr>
        <w:keepNext w:val="0"/>
        <w:keepLines w:val="0"/>
        <w:pageBreakBefore w:val="0"/>
        <w:widowControl/>
        <w:kinsoku w:val="0"/>
        <w:wordWrap/>
        <w:overflowPunct/>
        <w:topLinePunct w:val="0"/>
        <w:autoSpaceDE w:val="0"/>
        <w:autoSpaceDN w:val="0"/>
        <w:bidi w:val="0"/>
        <w:adjustRightInd w:val="0"/>
        <w:snapToGrid w:val="0"/>
        <w:spacing w:before="76" w:line="240" w:lineRule="exact"/>
        <w:ind w:left="143"/>
        <w:textAlignment w:val="baseline"/>
        <w:rPr>
          <w:rFonts w:ascii="黑体" w:hAnsi="黑体" w:eastAsia="黑体" w:cs="黑体"/>
          <w:b/>
          <w:bCs/>
          <w:spacing w:val="-10"/>
          <w:sz w:val="21"/>
          <w:szCs w:val="21"/>
        </w:rPr>
      </w:pPr>
    </w:p>
    <w:p w14:paraId="0F8567B7">
      <w:pPr>
        <w:keepNext w:val="0"/>
        <w:keepLines w:val="0"/>
        <w:pageBreakBefore w:val="0"/>
        <w:widowControl/>
        <w:kinsoku w:val="0"/>
        <w:wordWrap/>
        <w:overflowPunct/>
        <w:topLinePunct w:val="0"/>
        <w:autoSpaceDE w:val="0"/>
        <w:autoSpaceDN w:val="0"/>
        <w:bidi w:val="0"/>
        <w:adjustRightInd w:val="0"/>
        <w:snapToGrid w:val="0"/>
        <w:spacing w:before="76" w:line="264" w:lineRule="auto"/>
        <w:ind w:left="143"/>
        <w:rPr>
          <w:rFonts w:ascii="黑体" w:hAnsi="黑体" w:eastAsia="黑体" w:cs="黑体"/>
          <w:b/>
          <w:bCs/>
          <w:spacing w:val="-10"/>
          <w:sz w:val="21"/>
          <w:szCs w:val="21"/>
        </w:rPr>
      </w:pPr>
    </w:p>
    <w:p w14:paraId="5D4190AE">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spacing w:val="-2"/>
          <w:sz w:val="28"/>
          <w:szCs w:val="28"/>
          <w:highlight w:val="yellow"/>
          <w:lang w:val="en-US" w:eastAsia="zh-CN"/>
        </w:rPr>
        <w:sectPr>
          <w:pgSz w:w="11906" w:h="16838"/>
          <w:pgMar w:top="1134" w:right="1134" w:bottom="1134" w:left="1134" w:header="851" w:footer="992" w:gutter="0"/>
          <w:cols w:space="0" w:num="1"/>
          <w:rtlGutter w:val="0"/>
          <w:docGrid w:type="lines" w:linePitch="312" w:charSpace="0"/>
        </w:sectPr>
      </w:pPr>
    </w:p>
    <w:p w14:paraId="0E79AEC8">
      <w:pPr>
        <w:pStyle w:val="3"/>
        <w:keepNext w:val="0"/>
        <w:keepLines w:val="0"/>
        <w:pageBreakBefore w:val="0"/>
        <w:widowControl/>
        <w:kinsoku w:val="0"/>
        <w:wordWrap/>
        <w:overflowPunct/>
        <w:topLinePunct w:val="0"/>
        <w:autoSpaceDE w:val="0"/>
        <w:autoSpaceDN w:val="0"/>
        <w:bidi w:val="0"/>
        <w:snapToGrid w:val="0"/>
        <w:spacing w:before="42" w:line="265" w:lineRule="exact"/>
        <w:ind w:left="7575"/>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00CA3A16">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spacing w:val="-2"/>
          <w:sz w:val="28"/>
          <w:szCs w:val="28"/>
          <w:highlight w:val="yellow"/>
          <w:lang w:val="en-US" w:eastAsia="zh-CN"/>
        </w:rPr>
      </w:pPr>
    </w:p>
    <w:p w14:paraId="7DB0E344">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spacing w:val="-2"/>
          <w:sz w:val="28"/>
          <w:szCs w:val="28"/>
          <w:highlight w:val="yellow"/>
          <w:lang w:val="en-US" w:eastAsia="zh-CN"/>
        </w:rPr>
      </w:pPr>
    </w:p>
    <w:p w14:paraId="0FF9B1A9">
      <w:pPr>
        <w:keepNext w:val="0"/>
        <w:keepLines w:val="0"/>
        <w:pageBreakBefore w:val="0"/>
        <w:widowControl/>
        <w:kinsoku w:val="0"/>
        <w:wordWrap/>
        <w:overflowPunct/>
        <w:topLinePunct w:val="0"/>
        <w:autoSpaceDE w:val="0"/>
        <w:autoSpaceDN w:val="0"/>
        <w:bidi w:val="0"/>
        <w:adjustRightInd w:val="0"/>
        <w:snapToGrid w:val="0"/>
        <w:spacing w:line="264" w:lineRule="auto"/>
        <w:jc w:val="center"/>
        <w:rPr>
          <w:rFonts w:hint="eastAsia" w:ascii="黑体" w:hAnsi="黑体" w:eastAsia="黑体" w:cs="黑体"/>
          <w:sz w:val="31"/>
          <w:szCs w:val="31"/>
        </w:rPr>
      </w:pPr>
      <w:r>
        <w:rPr>
          <w:rFonts w:hint="eastAsia" w:ascii="黑体" w:hAnsi="黑体" w:eastAsia="黑体" w:cs="黑体"/>
          <w:sz w:val="32"/>
          <w:szCs w:val="32"/>
        </w:rPr>
        <w:t>目  次</w:t>
      </w:r>
    </w:p>
    <w:p w14:paraId="44FD6E0C">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26BA0BBD">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ascii="Arial"/>
          <w:sz w:val="21"/>
        </w:rPr>
        <w:fldChar w:fldCharType="begin"/>
      </w:r>
      <w:r>
        <w:rPr>
          <w:rFonts w:ascii="Arial"/>
          <w:sz w:val="21"/>
        </w:rPr>
        <w:instrText xml:space="preserve">TOC \o "1-1" \h \u </w:instrText>
      </w:r>
      <w:r>
        <w:rPr>
          <w:rFonts w:ascii="Arial"/>
          <w:sz w:val="21"/>
        </w:rPr>
        <w:fldChar w:fldCharType="separate"/>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_Toc16568 </w:instrText>
      </w:r>
      <w:r>
        <w:rPr>
          <w:rFonts w:hint="eastAsia" w:ascii="宋体" w:hAnsi="宋体" w:eastAsia="宋体" w:cs="宋体"/>
          <w:sz w:val="21"/>
          <w:szCs w:val="21"/>
        </w:rPr>
        <w:fldChar w:fldCharType="separate"/>
      </w:r>
      <w:r>
        <w:rPr>
          <w:rFonts w:hint="eastAsia" w:ascii="宋体" w:hAnsi="宋体" w:eastAsia="宋体" w:cs="宋体"/>
          <w:sz w:val="21"/>
          <w:szCs w:val="21"/>
        </w:rPr>
        <w:t>前   言</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_Toc16568 \h </w:instrText>
      </w:r>
      <w:r>
        <w:rPr>
          <w:rFonts w:hint="eastAsia" w:ascii="宋体" w:hAnsi="宋体" w:eastAsia="宋体" w:cs="宋体"/>
          <w:sz w:val="21"/>
          <w:szCs w:val="21"/>
        </w:rPr>
        <w:fldChar w:fldCharType="separate"/>
      </w:r>
      <w:r>
        <w:rPr>
          <w:rFonts w:hint="eastAsia" w:ascii="宋体" w:hAnsi="宋体" w:eastAsia="宋体" w:cs="宋体"/>
          <w:sz w:val="21"/>
          <w:szCs w:val="21"/>
        </w:rPr>
        <w:t>II</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51433F3">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_Toc24708 </w:instrText>
      </w:r>
      <w:r>
        <w:rPr>
          <w:rFonts w:hint="eastAsia" w:ascii="宋体" w:hAnsi="宋体" w:eastAsia="宋体" w:cs="宋体"/>
          <w:sz w:val="21"/>
          <w:szCs w:val="21"/>
        </w:rPr>
        <w:fldChar w:fldCharType="separate"/>
      </w:r>
      <w:r>
        <w:rPr>
          <w:rFonts w:hint="eastAsia" w:ascii="宋体" w:hAnsi="宋体" w:eastAsia="宋体" w:cs="宋体"/>
          <w:sz w:val="21"/>
          <w:szCs w:val="21"/>
        </w:rPr>
        <w:t xml:space="preserve">1 </w:t>
      </w:r>
      <w:r>
        <w:rPr>
          <w:rFonts w:hint="eastAsia" w:ascii="宋体" w:hAnsi="宋体" w:eastAsia="宋体" w:cs="宋体"/>
          <w:sz w:val="21"/>
          <w:szCs w:val="21"/>
          <w:lang w:val="en-US" w:eastAsia="zh-CN"/>
        </w:rPr>
        <w:t>适用</w:t>
      </w:r>
      <w:r>
        <w:rPr>
          <w:rFonts w:hint="eastAsia" w:ascii="宋体" w:hAnsi="宋体" w:eastAsia="宋体" w:cs="宋体"/>
          <w:sz w:val="21"/>
          <w:szCs w:val="21"/>
        </w:rPr>
        <w:t>范围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_Toc24708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D25FC4C">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_Toc4312 </w:instrText>
      </w:r>
      <w:r>
        <w:rPr>
          <w:rFonts w:hint="eastAsia" w:ascii="宋体" w:hAnsi="宋体" w:eastAsia="宋体" w:cs="宋体"/>
          <w:sz w:val="21"/>
          <w:szCs w:val="21"/>
        </w:rPr>
        <w:fldChar w:fldCharType="separate"/>
      </w:r>
      <w:r>
        <w:rPr>
          <w:rFonts w:hint="eastAsia" w:ascii="宋体" w:hAnsi="宋体" w:eastAsia="宋体" w:cs="宋体"/>
          <w:sz w:val="21"/>
          <w:szCs w:val="21"/>
        </w:rPr>
        <w:t>2 规范性引用文件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_Toc4312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7C9BEEE">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_Toc19814 </w:instrText>
      </w:r>
      <w:r>
        <w:rPr>
          <w:rFonts w:hint="eastAsia" w:ascii="宋体" w:hAnsi="宋体" w:eastAsia="宋体" w:cs="宋体"/>
          <w:sz w:val="21"/>
          <w:szCs w:val="21"/>
        </w:rPr>
        <w:fldChar w:fldCharType="separate"/>
      </w:r>
      <w:r>
        <w:rPr>
          <w:rFonts w:hint="eastAsia" w:ascii="宋体" w:hAnsi="宋体" w:eastAsia="宋体" w:cs="宋体"/>
          <w:sz w:val="21"/>
          <w:szCs w:val="21"/>
        </w:rPr>
        <w:t>3 术语和定义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_Toc19814 \h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17CDC2A">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_Toc30991 </w:instrText>
      </w:r>
      <w:r>
        <w:rPr>
          <w:rFonts w:hint="eastAsia" w:ascii="宋体" w:hAnsi="宋体" w:eastAsia="宋体" w:cs="宋体"/>
          <w:sz w:val="21"/>
          <w:szCs w:val="21"/>
        </w:rPr>
        <w:fldChar w:fldCharType="separate"/>
      </w:r>
      <w:r>
        <w:rPr>
          <w:rFonts w:hint="eastAsia" w:ascii="宋体" w:hAnsi="宋体" w:eastAsia="宋体" w:cs="宋体"/>
          <w:sz w:val="21"/>
          <w:szCs w:val="21"/>
        </w:rPr>
        <w:t>4 控制要求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_Toc30991 \h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1C1532C">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_Toc13386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5 排放限值</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_Toc13386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E85F8B0">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_Toc24931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6 污染物监测要求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_Toc24931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360EF7C">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_Toc12654 </w:instrText>
      </w:r>
      <w:r>
        <w:rPr>
          <w:rFonts w:hint="eastAsia" w:ascii="宋体" w:hAnsi="宋体" w:eastAsia="宋体" w:cs="宋体"/>
          <w:sz w:val="21"/>
          <w:szCs w:val="21"/>
        </w:rPr>
        <w:fldChar w:fldCharType="separate"/>
      </w:r>
      <w:r>
        <w:rPr>
          <w:rFonts w:hint="eastAsia" w:ascii="宋体" w:hAnsi="宋体" w:eastAsia="宋体" w:cs="宋体"/>
          <w:sz w:val="21"/>
          <w:szCs w:val="21"/>
          <w:lang w:val="en-US" w:eastAsia="zh-CN"/>
        </w:rPr>
        <w:t>7 实施与监督</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_Toc12654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A7E09BC">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_Toc8255 </w:instrText>
      </w:r>
      <w:r>
        <w:rPr>
          <w:rFonts w:hint="eastAsia" w:ascii="宋体" w:hAnsi="宋体" w:eastAsia="宋体" w:cs="宋体"/>
          <w:sz w:val="21"/>
          <w:szCs w:val="21"/>
        </w:rPr>
        <w:fldChar w:fldCharType="separate"/>
      </w:r>
      <w:r>
        <w:rPr>
          <w:rFonts w:hint="eastAsia" w:ascii="宋体" w:hAnsi="宋体" w:eastAsia="宋体" w:cs="宋体"/>
          <w:sz w:val="21"/>
          <w:szCs w:val="21"/>
        </w:rPr>
        <w:t xml:space="preserve">附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录  A(规范性</w:t>
      </w:r>
      <w:r>
        <w:rPr>
          <w:rFonts w:hint="eastAsia" w:ascii="宋体" w:hAnsi="宋体" w:eastAsia="宋体" w:cs="宋体"/>
          <w:sz w:val="21"/>
          <w:szCs w:val="21"/>
          <w:lang w:val="en-US" w:eastAsia="zh-CN"/>
        </w:rPr>
        <w:t>附录</w:t>
      </w:r>
      <w:r>
        <w:rPr>
          <w:rFonts w:hint="eastAsia" w:ascii="宋体" w:hAnsi="宋体" w:eastAsia="宋体" w:cs="宋体"/>
          <w:sz w:val="21"/>
          <w:szCs w:val="21"/>
        </w:rPr>
        <w:t>)油气处理装置排放检测方法</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_Toc8255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16BD322">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_Toc18468 </w:instrText>
      </w:r>
      <w:r>
        <w:rPr>
          <w:rFonts w:hint="eastAsia" w:ascii="宋体" w:hAnsi="宋体" w:eastAsia="宋体" w:cs="宋体"/>
          <w:sz w:val="21"/>
          <w:szCs w:val="21"/>
        </w:rPr>
        <w:fldChar w:fldCharType="separate"/>
      </w:r>
      <w:r>
        <w:rPr>
          <w:rFonts w:hint="eastAsia" w:ascii="宋体" w:hAnsi="宋体" w:eastAsia="宋体" w:cs="宋体"/>
          <w:sz w:val="21"/>
          <w:szCs w:val="21"/>
        </w:rPr>
        <w:t>附  录  B(资料性</w:t>
      </w:r>
      <w:r>
        <w:rPr>
          <w:rFonts w:hint="eastAsia" w:ascii="宋体" w:hAnsi="宋体" w:eastAsia="宋体" w:cs="宋体"/>
          <w:sz w:val="21"/>
          <w:szCs w:val="21"/>
          <w:lang w:val="en-US" w:eastAsia="zh-CN"/>
        </w:rPr>
        <w:t>附录</w:t>
      </w:r>
      <w:r>
        <w:rPr>
          <w:rFonts w:hint="eastAsia" w:ascii="宋体" w:hAnsi="宋体" w:eastAsia="宋体" w:cs="宋体"/>
          <w:sz w:val="21"/>
          <w:szCs w:val="21"/>
        </w:rPr>
        <w:t>)在线监控系统技术要求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_Toc18468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F19CF1C">
      <w:pPr>
        <w:pStyle w:val="6"/>
        <w:keepNext w:val="0"/>
        <w:keepLines w:val="0"/>
        <w:pageBreakBefore w:val="0"/>
        <w:widowControl/>
        <w:tabs>
          <w:tab w:val="right" w:leader="dot" w:pos="9638"/>
        </w:tabs>
        <w:kinsoku w:val="0"/>
        <w:wordWrap/>
        <w:overflowPunct/>
        <w:topLinePunct w:val="0"/>
        <w:autoSpaceDE w:val="0"/>
        <w:autoSpaceDN w:val="0"/>
        <w:bidi w:val="0"/>
        <w:adjustRightInd w:val="0"/>
        <w:snapToGrid w:val="0"/>
        <w:spacing w:line="264" w:lineRule="auto"/>
        <w:textAlignment w:val="baseline"/>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_Toc32732 </w:instrText>
      </w:r>
      <w:r>
        <w:rPr>
          <w:rFonts w:hint="eastAsia" w:ascii="宋体" w:hAnsi="宋体" w:eastAsia="宋体" w:cs="宋体"/>
          <w:sz w:val="21"/>
          <w:szCs w:val="21"/>
        </w:rPr>
        <w:fldChar w:fldCharType="separate"/>
      </w:r>
      <w:r>
        <w:rPr>
          <w:rFonts w:hint="eastAsia" w:ascii="宋体" w:hAnsi="宋体" w:eastAsia="宋体" w:cs="宋体"/>
          <w:sz w:val="21"/>
          <w:szCs w:val="21"/>
        </w:rPr>
        <w:t>附  录  C(资料性</w:t>
      </w:r>
      <w:r>
        <w:rPr>
          <w:rFonts w:hint="eastAsia" w:ascii="宋体" w:hAnsi="宋体" w:eastAsia="宋体" w:cs="宋体"/>
          <w:sz w:val="21"/>
          <w:szCs w:val="21"/>
          <w:lang w:val="en-US" w:eastAsia="zh-CN"/>
        </w:rPr>
        <w:t>附录</w:t>
      </w:r>
      <w:r>
        <w:rPr>
          <w:rFonts w:hint="eastAsia" w:ascii="宋体" w:hAnsi="宋体" w:eastAsia="宋体" w:cs="宋体"/>
          <w:sz w:val="21"/>
          <w:szCs w:val="21"/>
        </w:rPr>
        <w:t>)储油库油气回收检测记录表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_Toc32732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1D0F7BF">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r>
        <w:rPr>
          <w:rFonts w:ascii="Arial"/>
        </w:rPr>
        <w:fldChar w:fldCharType="end"/>
      </w:r>
    </w:p>
    <w:p w14:paraId="08060CAB">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75534837">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221A7F3A">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1416B198">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426C29C5">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7EACF995">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28932077">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1C097724">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0AAB80D8">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40FF0D2A">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7947459A">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78DBBD1F">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62D1F1BE">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30ACD1C6">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42E848B4">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6B841090">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02DABABF">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024F2515">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3D0A0935">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19BE73A4">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29B84C73">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60EA75A4">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1B8D756C">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600B71D3">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7076BF6C">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09A5B507">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41C07642">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1"/>
        </w:rPr>
      </w:pPr>
    </w:p>
    <w:p w14:paraId="313CA32C">
      <w:pPr>
        <w:rPr>
          <w:rFonts w:ascii="黑体" w:hAnsi="黑体" w:eastAsia="黑体" w:cs="黑体"/>
          <w:b/>
          <w:bCs/>
          <w:spacing w:val="-28"/>
          <w:sz w:val="20"/>
          <w:szCs w:val="20"/>
          <w:highlight w:val="yellow"/>
        </w:rPr>
      </w:pPr>
      <w:r>
        <w:rPr>
          <w:rFonts w:ascii="黑体" w:hAnsi="黑体" w:eastAsia="黑体" w:cs="黑体"/>
          <w:b/>
          <w:bCs/>
          <w:spacing w:val="-28"/>
          <w:sz w:val="20"/>
          <w:szCs w:val="20"/>
          <w:highlight w:val="yellow"/>
        </w:rPr>
        <w:br w:type="page"/>
      </w:r>
    </w:p>
    <w:p w14:paraId="0B98F579">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3C7B31E9">
      <w:pPr>
        <w:keepNext w:val="0"/>
        <w:keepLines w:val="0"/>
        <w:pageBreakBefore w:val="0"/>
        <w:widowControl/>
        <w:kinsoku w:val="0"/>
        <w:wordWrap/>
        <w:overflowPunct/>
        <w:topLinePunct w:val="0"/>
        <w:autoSpaceDE w:val="0"/>
        <w:autoSpaceDN w:val="0"/>
        <w:bidi w:val="0"/>
        <w:adjustRightInd w:val="0"/>
        <w:snapToGrid w:val="0"/>
        <w:spacing w:before="111" w:line="264" w:lineRule="auto"/>
        <w:ind w:left="4284"/>
        <w:textAlignment w:val="baseline"/>
        <w:rPr>
          <w:rFonts w:ascii="黑体" w:hAnsi="黑体" w:eastAsia="黑体" w:cs="黑体"/>
          <w:b/>
          <w:bCs/>
          <w:spacing w:val="-28"/>
          <w:sz w:val="20"/>
          <w:szCs w:val="20"/>
          <w:highlight w:val="yellow"/>
        </w:rPr>
      </w:pPr>
    </w:p>
    <w:p w14:paraId="5C0A3B05">
      <w:pPr>
        <w:pStyle w:val="2"/>
        <w:keepNext w:val="0"/>
        <w:keepLines w:val="0"/>
        <w:pageBreakBefore w:val="0"/>
        <w:widowControl/>
        <w:kinsoku w:val="0"/>
        <w:wordWrap/>
        <w:overflowPunct/>
        <w:topLinePunct w:val="0"/>
        <w:autoSpaceDE w:val="0"/>
        <w:autoSpaceDN w:val="0"/>
        <w:bidi w:val="0"/>
        <w:adjustRightInd w:val="0"/>
        <w:snapToGrid w:val="0"/>
        <w:spacing w:before="110" w:after="0" w:line="264" w:lineRule="auto"/>
        <w:jc w:val="center"/>
        <w:textAlignment w:val="baseline"/>
        <w:rPr>
          <w:rFonts w:ascii="黑体" w:hAnsi="黑体" w:eastAsia="黑体" w:cs="黑体"/>
          <w:szCs w:val="31"/>
          <w:highlight w:val="yellow"/>
        </w:rPr>
      </w:pPr>
      <w:bookmarkStart w:id="0" w:name="_Toc16568"/>
      <w:r>
        <w:rPr>
          <w:rFonts w:hint="eastAsia" w:ascii="黑体" w:hAnsi="黑体" w:eastAsia="黑体" w:cs="黑体"/>
          <w:b/>
          <w:sz w:val="32"/>
          <w:szCs w:val="32"/>
        </w:rPr>
        <w:t>前   言</w:t>
      </w:r>
      <w:bookmarkEnd w:id="0"/>
    </w:p>
    <w:p w14:paraId="5C6B9D42">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sz w:val="20"/>
          <w:szCs w:val="20"/>
          <w:highlight w:val="yellow"/>
        </w:rPr>
      </w:pPr>
    </w:p>
    <w:p w14:paraId="3F494D5C">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sz w:val="20"/>
          <w:szCs w:val="20"/>
          <w:highlight w:val="yellow"/>
        </w:rPr>
      </w:pPr>
    </w:p>
    <w:p w14:paraId="0211D3F3">
      <w:pPr>
        <w:keepNext w:val="0"/>
        <w:keepLines w:val="0"/>
        <w:pageBreakBefore w:val="0"/>
        <w:widowControl/>
        <w:kinsoku w:val="0"/>
        <w:wordWrap/>
        <w:overflowPunct/>
        <w:topLinePunct w:val="0"/>
        <w:autoSpaceDE w:val="0"/>
        <w:autoSpaceDN w:val="0"/>
        <w:bidi w:val="0"/>
        <w:adjustRightInd w:val="0"/>
        <w:snapToGrid w:val="0"/>
        <w:spacing w:before="31" w:line="264" w:lineRule="auto"/>
        <w:ind w:right="33" w:firstLine="420"/>
        <w:textAlignment w:val="baseline"/>
        <w:rPr>
          <w:rFonts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lang w:eastAsia="zh-CN"/>
        </w:rPr>
        <w:t>本文件</w:t>
      </w:r>
      <w:r>
        <w:rPr>
          <w:rFonts w:ascii="宋体" w:hAnsi="宋体" w:eastAsia="宋体" w:cs="宋体"/>
          <w:color w:val="auto"/>
          <w:spacing w:val="0"/>
          <w:sz w:val="21"/>
          <w:szCs w:val="21"/>
          <w:highlight w:val="none"/>
        </w:rPr>
        <w:t>按照GB/T 1.1—2020 《标准化工作导则第1部分：标准化文件的结构和起草规则》的规定起草。</w:t>
      </w:r>
    </w:p>
    <w:p w14:paraId="71BBECD7">
      <w:pPr>
        <w:keepNext w:val="0"/>
        <w:keepLines w:val="0"/>
        <w:pageBreakBefore w:val="0"/>
        <w:widowControl/>
        <w:kinsoku w:val="0"/>
        <w:wordWrap/>
        <w:overflowPunct/>
        <w:topLinePunct w:val="0"/>
        <w:autoSpaceDE w:val="0"/>
        <w:autoSpaceDN w:val="0"/>
        <w:bidi w:val="0"/>
        <w:adjustRightInd w:val="0"/>
        <w:snapToGrid w:val="0"/>
        <w:spacing w:before="44" w:line="264" w:lineRule="auto"/>
        <w:ind w:left="420" w:right="4952"/>
        <w:textAlignment w:val="baseline"/>
        <w:rPr>
          <w:rFonts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lang w:eastAsia="zh-CN"/>
        </w:rPr>
        <w:t>本文件</w:t>
      </w:r>
      <w:r>
        <w:rPr>
          <w:rFonts w:ascii="宋体" w:hAnsi="宋体" w:eastAsia="宋体" w:cs="宋体"/>
          <w:color w:val="auto"/>
          <w:spacing w:val="0"/>
          <w:sz w:val="21"/>
          <w:szCs w:val="21"/>
          <w:highlight w:val="none"/>
        </w:rPr>
        <w:t>由</w:t>
      </w:r>
      <w:r>
        <w:rPr>
          <w:rFonts w:hint="eastAsia" w:ascii="宋体" w:hAnsi="宋体" w:eastAsia="宋体" w:cs="宋体"/>
          <w:color w:val="auto"/>
          <w:spacing w:val="0"/>
          <w:sz w:val="21"/>
          <w:szCs w:val="21"/>
          <w:highlight w:val="none"/>
          <w:lang w:val="en-US" w:eastAsia="zh-CN"/>
        </w:rPr>
        <w:t>河北省</w:t>
      </w:r>
      <w:r>
        <w:rPr>
          <w:rFonts w:ascii="宋体" w:hAnsi="宋体" w:eastAsia="宋体" w:cs="宋体"/>
          <w:color w:val="auto"/>
          <w:spacing w:val="0"/>
          <w:sz w:val="21"/>
          <w:szCs w:val="21"/>
          <w:highlight w:val="none"/>
        </w:rPr>
        <w:t>生态环境</w:t>
      </w:r>
      <w:r>
        <w:rPr>
          <w:rFonts w:hint="eastAsia" w:ascii="宋体" w:hAnsi="宋体" w:eastAsia="宋体" w:cs="宋体"/>
          <w:color w:val="auto"/>
          <w:spacing w:val="0"/>
          <w:sz w:val="21"/>
          <w:szCs w:val="21"/>
          <w:highlight w:val="none"/>
          <w:lang w:val="en-US" w:eastAsia="zh-CN"/>
        </w:rPr>
        <w:t>厅</w:t>
      </w:r>
      <w:r>
        <w:rPr>
          <w:rFonts w:ascii="宋体" w:hAnsi="宋体" w:eastAsia="宋体" w:cs="宋体"/>
          <w:color w:val="auto"/>
          <w:spacing w:val="0"/>
          <w:sz w:val="21"/>
          <w:szCs w:val="21"/>
          <w:highlight w:val="none"/>
        </w:rPr>
        <w:t>提出并归口。</w:t>
      </w:r>
    </w:p>
    <w:p w14:paraId="7405DCD4">
      <w:pPr>
        <w:keepNext w:val="0"/>
        <w:keepLines w:val="0"/>
        <w:pageBreakBefore w:val="0"/>
        <w:widowControl/>
        <w:kinsoku w:val="0"/>
        <w:wordWrap/>
        <w:overflowPunct/>
        <w:topLinePunct w:val="0"/>
        <w:autoSpaceDE w:val="0"/>
        <w:autoSpaceDN w:val="0"/>
        <w:bidi w:val="0"/>
        <w:adjustRightInd w:val="0"/>
        <w:snapToGrid w:val="0"/>
        <w:spacing w:before="49" w:line="264" w:lineRule="auto"/>
        <w:ind w:left="420"/>
        <w:textAlignment w:val="baseline"/>
        <w:rPr>
          <w:rFonts w:ascii="宋体" w:hAnsi="宋体" w:eastAsia="宋体" w:cs="宋体"/>
          <w:color w:val="auto"/>
          <w:spacing w:val="0"/>
          <w:sz w:val="21"/>
          <w:szCs w:val="21"/>
          <w:highlight w:val="none"/>
        </w:rPr>
      </w:pPr>
      <w:r>
        <w:rPr>
          <w:rFonts w:hint="eastAsia" w:ascii="宋体" w:hAnsi="宋体" w:eastAsia="宋体" w:cs="宋体"/>
          <w:color w:val="auto"/>
          <w:spacing w:val="0"/>
          <w:position w:val="6"/>
          <w:sz w:val="21"/>
          <w:szCs w:val="21"/>
          <w:highlight w:val="none"/>
          <w:lang w:eastAsia="zh-CN"/>
        </w:rPr>
        <w:t>本文件</w:t>
      </w:r>
      <w:r>
        <w:rPr>
          <w:rFonts w:ascii="宋体" w:hAnsi="宋体" w:eastAsia="宋体" w:cs="宋体"/>
          <w:color w:val="auto"/>
          <w:spacing w:val="0"/>
          <w:position w:val="6"/>
          <w:sz w:val="21"/>
          <w:szCs w:val="21"/>
          <w:highlight w:val="none"/>
        </w:rPr>
        <w:t>由</w:t>
      </w:r>
      <w:r>
        <w:rPr>
          <w:rFonts w:hint="eastAsia" w:ascii="宋体" w:hAnsi="宋体" w:eastAsia="宋体" w:cs="宋体"/>
          <w:color w:val="auto"/>
          <w:spacing w:val="0"/>
          <w:position w:val="6"/>
          <w:sz w:val="21"/>
          <w:szCs w:val="21"/>
          <w:highlight w:val="none"/>
          <w:lang w:val="en-US" w:eastAsia="zh-CN"/>
        </w:rPr>
        <w:t>河北省</w:t>
      </w:r>
      <w:r>
        <w:rPr>
          <w:rFonts w:ascii="宋体" w:hAnsi="宋体" w:eastAsia="宋体" w:cs="宋体"/>
          <w:color w:val="auto"/>
          <w:spacing w:val="0"/>
          <w:position w:val="6"/>
          <w:sz w:val="21"/>
          <w:szCs w:val="21"/>
          <w:highlight w:val="none"/>
        </w:rPr>
        <w:t>人民政府202?年??年??日批准。</w:t>
      </w:r>
    </w:p>
    <w:p w14:paraId="7EF48D58">
      <w:pPr>
        <w:keepNext w:val="0"/>
        <w:keepLines w:val="0"/>
        <w:pageBreakBefore w:val="0"/>
        <w:widowControl/>
        <w:kinsoku w:val="0"/>
        <w:wordWrap/>
        <w:overflowPunct/>
        <w:topLinePunct w:val="0"/>
        <w:autoSpaceDE w:val="0"/>
        <w:autoSpaceDN w:val="0"/>
        <w:bidi w:val="0"/>
        <w:adjustRightInd w:val="0"/>
        <w:snapToGrid w:val="0"/>
        <w:spacing w:before="1" w:line="264" w:lineRule="auto"/>
        <w:ind w:left="420"/>
        <w:textAlignment w:val="baseline"/>
        <w:rPr>
          <w:rFonts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lang w:eastAsia="zh-CN"/>
        </w:rPr>
        <w:t>本文件</w:t>
      </w:r>
      <w:r>
        <w:rPr>
          <w:rFonts w:ascii="宋体" w:hAnsi="宋体" w:eastAsia="宋体" w:cs="宋体"/>
          <w:color w:val="auto"/>
          <w:spacing w:val="0"/>
          <w:sz w:val="21"/>
          <w:szCs w:val="21"/>
          <w:highlight w:val="none"/>
        </w:rPr>
        <w:t>由</w:t>
      </w:r>
      <w:r>
        <w:rPr>
          <w:rFonts w:hint="eastAsia" w:ascii="宋体" w:hAnsi="宋体" w:eastAsia="宋体" w:cs="宋体"/>
          <w:color w:val="auto"/>
          <w:spacing w:val="0"/>
          <w:sz w:val="21"/>
          <w:szCs w:val="21"/>
          <w:highlight w:val="none"/>
          <w:lang w:val="en-US" w:eastAsia="zh-CN"/>
        </w:rPr>
        <w:t>河北省</w:t>
      </w:r>
      <w:r>
        <w:rPr>
          <w:rFonts w:ascii="宋体" w:hAnsi="宋体" w:eastAsia="宋体" w:cs="宋体"/>
          <w:color w:val="auto"/>
          <w:spacing w:val="0"/>
          <w:sz w:val="21"/>
          <w:szCs w:val="21"/>
          <w:highlight w:val="none"/>
        </w:rPr>
        <w:t>生态环境</w:t>
      </w:r>
      <w:r>
        <w:rPr>
          <w:rFonts w:hint="eastAsia" w:ascii="宋体" w:hAnsi="宋体" w:eastAsia="宋体" w:cs="宋体"/>
          <w:color w:val="auto"/>
          <w:spacing w:val="0"/>
          <w:sz w:val="21"/>
          <w:szCs w:val="21"/>
          <w:highlight w:val="none"/>
          <w:lang w:val="en-US" w:eastAsia="zh-CN"/>
        </w:rPr>
        <w:t>厅</w:t>
      </w:r>
      <w:r>
        <w:rPr>
          <w:rFonts w:ascii="宋体" w:hAnsi="宋体" w:eastAsia="宋体" w:cs="宋体"/>
          <w:color w:val="auto"/>
          <w:spacing w:val="0"/>
          <w:sz w:val="21"/>
          <w:szCs w:val="21"/>
          <w:highlight w:val="none"/>
        </w:rPr>
        <w:t>负责组织实施。</w:t>
      </w:r>
    </w:p>
    <w:p w14:paraId="0255A559">
      <w:pPr>
        <w:keepNext w:val="0"/>
        <w:keepLines w:val="0"/>
        <w:pageBreakBefore w:val="0"/>
        <w:widowControl/>
        <w:kinsoku w:val="0"/>
        <w:wordWrap/>
        <w:overflowPunct/>
        <w:topLinePunct w:val="0"/>
        <w:autoSpaceDE w:val="0"/>
        <w:autoSpaceDN w:val="0"/>
        <w:bidi w:val="0"/>
        <w:adjustRightInd w:val="0"/>
        <w:snapToGrid w:val="0"/>
        <w:spacing w:line="264" w:lineRule="auto"/>
        <w:ind w:firstLine="420" w:firstLineChars="200"/>
        <w:textAlignment w:val="baseline"/>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lang w:eastAsia="zh-CN"/>
        </w:rPr>
        <w:t>本文件</w:t>
      </w:r>
      <w:r>
        <w:rPr>
          <w:rFonts w:hint="eastAsia" w:ascii="宋体" w:hAnsi="宋体" w:eastAsia="宋体" w:cs="宋体"/>
          <w:color w:val="auto"/>
          <w:spacing w:val="0"/>
          <w:sz w:val="21"/>
          <w:szCs w:val="21"/>
          <w:highlight w:val="none"/>
        </w:rPr>
        <w:t>起草单位：河北省生态环境监测中心（河北省机动车排污监控信息中心）、河北省生态环境科学研究院。</w:t>
      </w:r>
    </w:p>
    <w:p w14:paraId="4E77D217">
      <w:pPr>
        <w:keepNext w:val="0"/>
        <w:keepLines w:val="0"/>
        <w:pageBreakBefore w:val="0"/>
        <w:widowControl/>
        <w:kinsoku w:val="0"/>
        <w:wordWrap/>
        <w:overflowPunct/>
        <w:topLinePunct w:val="0"/>
        <w:autoSpaceDE w:val="0"/>
        <w:autoSpaceDN w:val="0"/>
        <w:bidi w:val="0"/>
        <w:adjustRightInd w:val="0"/>
        <w:snapToGrid w:val="0"/>
        <w:spacing w:line="264" w:lineRule="auto"/>
        <w:ind w:firstLine="420" w:firstLineChars="200"/>
        <w:textAlignment w:val="baseline"/>
        <w:rPr>
          <w:rFonts w:ascii="宋体" w:hAnsi="宋体" w:eastAsia="宋体" w:cs="宋体"/>
          <w:color w:val="auto"/>
          <w:spacing w:val="0"/>
          <w:position w:val="6"/>
          <w:sz w:val="21"/>
          <w:szCs w:val="21"/>
          <w:highlight w:val="none"/>
        </w:rPr>
      </w:pPr>
      <w:r>
        <w:rPr>
          <w:rFonts w:hint="eastAsia" w:ascii="宋体" w:hAnsi="宋体" w:eastAsia="宋体" w:cs="宋体"/>
          <w:color w:val="auto"/>
          <w:spacing w:val="0"/>
          <w:position w:val="6"/>
          <w:sz w:val="21"/>
          <w:szCs w:val="21"/>
          <w:highlight w:val="none"/>
          <w:lang w:eastAsia="zh-CN"/>
        </w:rPr>
        <w:t>本文件</w:t>
      </w:r>
      <w:r>
        <w:rPr>
          <w:rFonts w:ascii="宋体" w:hAnsi="宋体" w:eastAsia="宋体" w:cs="宋体"/>
          <w:color w:val="auto"/>
          <w:spacing w:val="0"/>
          <w:position w:val="6"/>
          <w:sz w:val="21"/>
          <w:szCs w:val="21"/>
          <w:highlight w:val="none"/>
        </w:rPr>
        <w:t>主要起草人： XXX、XXX、XXX、XXX、XXX、XXX</w:t>
      </w:r>
    </w:p>
    <w:p w14:paraId="2D9E03CA">
      <w:pPr>
        <w:keepNext w:val="0"/>
        <w:keepLines w:val="0"/>
        <w:pageBreakBefore w:val="0"/>
        <w:widowControl/>
        <w:kinsoku w:val="0"/>
        <w:wordWrap/>
        <w:overflowPunct/>
        <w:topLinePunct w:val="0"/>
        <w:autoSpaceDE w:val="0"/>
        <w:autoSpaceDN w:val="0"/>
        <w:bidi w:val="0"/>
        <w:adjustRightInd w:val="0"/>
        <w:snapToGrid w:val="0"/>
        <w:spacing w:line="264" w:lineRule="auto"/>
        <w:ind w:firstLine="400" w:firstLineChars="200"/>
        <w:textAlignment w:val="baseline"/>
        <w:rPr>
          <w:rFonts w:ascii="宋体" w:hAnsi="宋体" w:eastAsia="宋体" w:cs="宋体"/>
          <w:color w:val="auto"/>
          <w:spacing w:val="0"/>
          <w:position w:val="6"/>
          <w:sz w:val="20"/>
          <w:szCs w:val="20"/>
          <w:highlight w:val="none"/>
        </w:rPr>
        <w:sectPr>
          <w:footerReference r:id="rId5" w:type="default"/>
          <w:pgSz w:w="11906" w:h="16838"/>
          <w:pgMar w:top="1417" w:right="1417" w:bottom="1134" w:left="1134" w:header="851" w:footer="992" w:gutter="0"/>
          <w:pgNumType w:fmt="upperRoman" w:start="1"/>
          <w:cols w:space="0" w:num="1"/>
          <w:rtlGutter w:val="0"/>
          <w:docGrid w:type="lines" w:linePitch="312" w:charSpace="0"/>
        </w:sectPr>
      </w:pPr>
    </w:p>
    <w:p w14:paraId="4A01E36A">
      <w:pPr>
        <w:pStyle w:val="3"/>
        <w:keepNext w:val="0"/>
        <w:keepLines w:val="0"/>
        <w:pageBreakBefore w:val="0"/>
        <w:widowControl/>
        <w:kinsoku w:val="0"/>
        <w:wordWrap/>
        <w:overflowPunct/>
        <w:topLinePunct w:val="0"/>
        <w:autoSpaceDE w:val="0"/>
        <w:autoSpaceDN w:val="0"/>
        <w:bidi w:val="0"/>
        <w:snapToGrid w:val="0"/>
        <w:spacing w:before="42" w:line="265" w:lineRule="exact"/>
        <w:ind w:left="7575"/>
        <w:jc w:val="right"/>
        <w:textAlignment w:val="baseline"/>
        <w:rPr>
          <w:sz w:val="20"/>
          <w:szCs w:val="20"/>
          <w:highlight w:val="none"/>
        </w:rPr>
      </w:pPr>
      <w:r>
        <w:rPr>
          <w:rFonts w:hint="eastAsia"/>
          <w:position w:val="1"/>
          <w:sz w:val="20"/>
          <w:szCs w:val="20"/>
          <w:highlight w:val="none"/>
          <w:lang w:eastAsia="zh-CN"/>
        </w:rPr>
        <w:t>DB13</w:t>
      </w:r>
      <w:r>
        <w:rPr>
          <w:spacing w:val="8"/>
          <w:position w:val="1"/>
          <w:sz w:val="20"/>
          <w:szCs w:val="20"/>
          <w:highlight w:val="none"/>
        </w:rPr>
        <w:t xml:space="preserve">/ </w:t>
      </w:r>
      <w:r>
        <w:rPr>
          <w:position w:val="1"/>
          <w:sz w:val="20"/>
          <w:szCs w:val="20"/>
          <w:highlight w:val="none"/>
        </w:rPr>
        <w:t>XXXX</w:t>
      </w:r>
      <w:r>
        <w:rPr>
          <w:rFonts w:ascii="宋体" w:hAnsi="宋体" w:eastAsia="宋体" w:cs="宋体"/>
          <w:spacing w:val="8"/>
          <w:position w:val="1"/>
          <w:sz w:val="20"/>
          <w:szCs w:val="20"/>
          <w:highlight w:val="none"/>
        </w:rPr>
        <w:t>—</w:t>
      </w:r>
      <w:r>
        <w:rPr>
          <w:spacing w:val="8"/>
          <w:position w:val="1"/>
          <w:sz w:val="20"/>
          <w:szCs w:val="20"/>
          <w:highlight w:val="none"/>
        </w:rPr>
        <w:t>202X</w:t>
      </w:r>
    </w:p>
    <w:p w14:paraId="55F48DBA">
      <w:pPr>
        <w:keepNext w:val="0"/>
        <w:keepLines w:val="0"/>
        <w:pageBreakBefore w:val="0"/>
        <w:widowControl/>
        <w:kinsoku w:val="0"/>
        <w:wordWrap/>
        <w:overflowPunct/>
        <w:topLinePunct w:val="0"/>
        <w:autoSpaceDE w:val="0"/>
        <w:autoSpaceDN w:val="0"/>
        <w:bidi w:val="0"/>
        <w:adjustRightInd w:val="0"/>
        <w:snapToGrid w:val="0"/>
        <w:spacing w:before="184" w:line="264" w:lineRule="auto"/>
        <w:ind w:left="2784"/>
        <w:textAlignment w:val="baseline"/>
        <w:rPr>
          <w:rFonts w:ascii="黑体" w:hAnsi="黑体" w:eastAsia="黑体" w:cs="黑体"/>
          <w:spacing w:val="0"/>
          <w:sz w:val="32"/>
          <w:szCs w:val="32"/>
        </w:rPr>
      </w:pPr>
      <w:r>
        <w:rPr>
          <w:rFonts w:ascii="黑体" w:hAnsi="黑体" w:eastAsia="黑体" w:cs="黑体"/>
          <w:b/>
          <w:bCs/>
          <w:spacing w:val="0"/>
          <w:sz w:val="32"/>
          <w:szCs w:val="32"/>
        </w:rPr>
        <w:t>储油库大气污染物排放标准</w:t>
      </w:r>
    </w:p>
    <w:p w14:paraId="2C66DC62">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spacing w:val="0"/>
          <w:sz w:val="20"/>
          <w:szCs w:val="20"/>
        </w:rPr>
      </w:pPr>
    </w:p>
    <w:p w14:paraId="331C9798">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spacing w:val="0"/>
          <w:sz w:val="20"/>
          <w:szCs w:val="20"/>
        </w:rPr>
      </w:pPr>
    </w:p>
    <w:p w14:paraId="65374453">
      <w:pPr>
        <w:pStyle w:val="2"/>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b w:val="0"/>
          <w:bCs/>
          <w:sz w:val="21"/>
          <w:szCs w:val="21"/>
        </w:rPr>
      </w:pPr>
      <w:bookmarkStart w:id="1" w:name="_Toc24708"/>
      <w:r>
        <w:rPr>
          <w:rFonts w:hint="eastAsia" w:ascii="黑体" w:hAnsi="黑体" w:eastAsia="黑体" w:cs="黑体"/>
          <w:b w:val="0"/>
          <w:bCs/>
          <w:sz w:val="21"/>
          <w:szCs w:val="21"/>
        </w:rPr>
        <w:t xml:space="preserve">1 </w:t>
      </w:r>
      <w:r>
        <w:rPr>
          <w:rFonts w:hint="eastAsia" w:ascii="黑体" w:hAnsi="黑体" w:cs="黑体"/>
          <w:b w:val="0"/>
          <w:bCs/>
          <w:sz w:val="21"/>
          <w:szCs w:val="21"/>
          <w:lang w:val="en-US" w:eastAsia="zh-CN"/>
        </w:rPr>
        <w:t>适用</w:t>
      </w:r>
      <w:r>
        <w:rPr>
          <w:rFonts w:hint="eastAsia" w:ascii="黑体" w:hAnsi="黑体" w:eastAsia="黑体" w:cs="黑体"/>
          <w:b w:val="0"/>
          <w:bCs/>
          <w:sz w:val="21"/>
          <w:szCs w:val="21"/>
        </w:rPr>
        <w:t>范围</w:t>
      </w:r>
      <w:bookmarkEnd w:id="1"/>
    </w:p>
    <w:p w14:paraId="19C61E03"/>
    <w:p w14:paraId="432523F9">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hint="eastAsia" w:ascii="宋体" w:hAnsi="宋体" w:eastAsia="宋体" w:cs="宋体"/>
          <w:spacing w:val="0"/>
          <w:sz w:val="21"/>
          <w:szCs w:val="21"/>
          <w:lang w:eastAsia="zh-CN"/>
        </w:rPr>
        <w:t>本文件</w:t>
      </w:r>
      <w:r>
        <w:rPr>
          <w:rFonts w:ascii="宋体" w:hAnsi="宋体" w:eastAsia="宋体" w:cs="宋体"/>
          <w:spacing w:val="0"/>
          <w:sz w:val="21"/>
          <w:szCs w:val="21"/>
        </w:rPr>
        <w:t>规定了储油库储存、收发油品过程中油气排放控制要求、监测和监督管理要求。</w:t>
      </w:r>
    </w:p>
    <w:p w14:paraId="375A751B">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hint="eastAsia" w:ascii="宋体" w:hAnsi="宋体" w:eastAsia="宋体" w:cs="宋体"/>
          <w:spacing w:val="0"/>
          <w:sz w:val="21"/>
          <w:szCs w:val="21"/>
          <w:lang w:eastAsia="zh-CN"/>
        </w:rPr>
        <w:t>本文件</w:t>
      </w:r>
      <w:r>
        <w:rPr>
          <w:rFonts w:ascii="宋体" w:hAnsi="宋体" w:eastAsia="宋体" w:cs="宋体"/>
          <w:spacing w:val="0"/>
          <w:sz w:val="21"/>
          <w:szCs w:val="21"/>
        </w:rPr>
        <w:t>适用于现有储油库油气排放管理，以及涉及储油库建设项目的环境影响评价、环境保护设施设计、竣工环境保护验收、排污许可证核发及其投产后的油气排放管理。</w:t>
      </w:r>
    </w:p>
    <w:p w14:paraId="785C9A35">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hint="eastAsia" w:ascii="宋体" w:hAnsi="宋体" w:eastAsia="宋体" w:cs="宋体"/>
          <w:spacing w:val="0"/>
          <w:sz w:val="21"/>
          <w:szCs w:val="21"/>
          <w:lang w:eastAsia="zh-CN"/>
        </w:rPr>
        <w:t>本文件</w:t>
      </w:r>
      <w:r>
        <w:rPr>
          <w:rFonts w:ascii="宋体" w:hAnsi="宋体" w:eastAsia="宋体" w:cs="宋体"/>
          <w:spacing w:val="0"/>
          <w:sz w:val="21"/>
          <w:szCs w:val="21"/>
        </w:rPr>
        <w:t>不适用于生产企业内罐区的油气排放管理。</w:t>
      </w:r>
    </w:p>
    <w:p w14:paraId="49994ABF">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ascii="Arial"/>
          <w:spacing w:val="0"/>
          <w:sz w:val="21"/>
          <w:szCs w:val="21"/>
        </w:rPr>
      </w:pPr>
    </w:p>
    <w:p w14:paraId="74DDF28E">
      <w:pPr>
        <w:pStyle w:val="2"/>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b w:val="0"/>
          <w:bCs/>
          <w:sz w:val="21"/>
          <w:szCs w:val="21"/>
        </w:rPr>
      </w:pPr>
      <w:bookmarkStart w:id="2" w:name="_Toc4312"/>
      <w:r>
        <w:rPr>
          <w:rFonts w:hint="eastAsia" w:ascii="黑体" w:hAnsi="黑体" w:eastAsia="黑体" w:cs="黑体"/>
          <w:b w:val="0"/>
          <w:bCs/>
          <w:sz w:val="21"/>
          <w:szCs w:val="21"/>
        </w:rPr>
        <w:t>2 规范性引用文件</w:t>
      </w:r>
      <w:bookmarkEnd w:id="2"/>
    </w:p>
    <w:p w14:paraId="00763DA5">
      <w:pPr>
        <w:rPr>
          <w:sz w:val="21"/>
          <w:szCs w:val="21"/>
        </w:rPr>
      </w:pPr>
    </w:p>
    <w:p w14:paraId="5556B6A3">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下列文件中的内容通过文中的规范性引用而构成</w:t>
      </w:r>
      <w:r>
        <w:rPr>
          <w:rFonts w:hint="eastAsia" w:ascii="宋体" w:hAnsi="宋体" w:eastAsia="宋体" w:cs="宋体"/>
          <w:spacing w:val="0"/>
          <w:sz w:val="21"/>
          <w:szCs w:val="21"/>
          <w:lang w:eastAsia="zh-CN"/>
        </w:rPr>
        <w:t>本文件</w:t>
      </w:r>
      <w:r>
        <w:rPr>
          <w:rFonts w:ascii="宋体" w:hAnsi="宋体" w:eastAsia="宋体" w:cs="宋体"/>
          <w:spacing w:val="0"/>
          <w:sz w:val="21"/>
          <w:szCs w:val="21"/>
        </w:rPr>
        <w:t>必不可少的条款。其中，注日期的引用文件，仅该日期对应的版本适用于</w:t>
      </w:r>
      <w:r>
        <w:rPr>
          <w:rFonts w:hint="eastAsia" w:ascii="宋体" w:hAnsi="宋体" w:eastAsia="宋体" w:cs="宋体"/>
          <w:spacing w:val="0"/>
          <w:sz w:val="21"/>
          <w:szCs w:val="21"/>
          <w:lang w:eastAsia="zh-CN"/>
        </w:rPr>
        <w:t>本文件</w:t>
      </w:r>
      <w:r>
        <w:rPr>
          <w:rFonts w:ascii="宋体" w:hAnsi="宋体" w:eastAsia="宋体" w:cs="宋体"/>
          <w:spacing w:val="0"/>
          <w:sz w:val="21"/>
          <w:szCs w:val="21"/>
        </w:rPr>
        <w:t>；不注日期的引用文件，其最新版本(包括所有的修改单)适用于</w:t>
      </w:r>
      <w:r>
        <w:rPr>
          <w:rFonts w:hint="eastAsia" w:ascii="宋体" w:hAnsi="宋体" w:eastAsia="宋体" w:cs="宋体"/>
          <w:spacing w:val="0"/>
          <w:sz w:val="21"/>
          <w:szCs w:val="21"/>
          <w:lang w:eastAsia="zh-CN"/>
        </w:rPr>
        <w:t>本文件</w:t>
      </w:r>
      <w:r>
        <w:rPr>
          <w:rFonts w:ascii="宋体" w:hAnsi="宋体" w:eastAsia="宋体" w:cs="宋体"/>
          <w:spacing w:val="0"/>
          <w:sz w:val="21"/>
          <w:szCs w:val="21"/>
        </w:rPr>
        <w:t>。</w:t>
      </w:r>
    </w:p>
    <w:p w14:paraId="044F8359">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lang w:val="en-US" w:eastAsia="zh-CN"/>
        </w:rPr>
        <w:t xml:space="preserve">GB/T 8170 数值修约规则与极限数值的表示和判定 </w:t>
      </w:r>
    </w:p>
    <w:p w14:paraId="4B3EC72E">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GB/T 16157 固定污染源排气中颗粒物测定与气态污染物采样方法</w:t>
      </w:r>
    </w:p>
    <w:p w14:paraId="2A3D8DEC">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GB 37822 挥发性有机物无组织排放控制标准</w:t>
      </w:r>
    </w:p>
    <w:p w14:paraId="50255D70">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 38  固定污染源废气 总烃、甲烷和非甲烷总烃的测定 气相色谱法</w:t>
      </w:r>
    </w:p>
    <w:p w14:paraId="34025C39">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HJ/T 55 大气污染物无组织排放监测技术导则</w:t>
      </w:r>
    </w:p>
    <w:p w14:paraId="70A5D187">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HJ/T 397 固定源废气监测技术规范</w:t>
      </w:r>
    </w:p>
    <w:p w14:paraId="2585215C">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 604 环境空气 总烃、甲烷和非甲烷总烃的测定 直接进样-气相色谱法</w:t>
      </w:r>
    </w:p>
    <w:p w14:paraId="06C6CF0B">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 732 固定污染源废气 挥发性有机物的采样 气袋法</w:t>
      </w:r>
    </w:p>
    <w:p w14:paraId="42FBC4E9">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 733 泄漏和敞开液面排放的挥发性有机物检测技术导则</w:t>
      </w:r>
    </w:p>
    <w:p w14:paraId="4005DAFD">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 819 排污单位自行监测技术指南 总则</w:t>
      </w:r>
    </w:p>
    <w:p w14:paraId="3BEC5588">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 1118 排污许可证申请与核发技术规范 储油库、加油站</w:t>
      </w:r>
    </w:p>
    <w:p w14:paraId="3F2D0C6C">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HJ 1286 固定污染源废气非甲烷总烃连续监测技术规范</w:t>
      </w:r>
    </w:p>
    <w:p w14:paraId="5F2E3A45">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《环境监测管理办法》 (国家环境保护总局令 第39号)</w:t>
      </w:r>
    </w:p>
    <w:p w14:paraId="5696D19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07182D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3" w:name="_Toc19814"/>
      <w:r>
        <w:rPr>
          <w:rFonts w:hint="eastAsia" w:ascii="黑体" w:hAnsi="黑体" w:eastAsia="黑体" w:cs="黑体"/>
          <w:snapToGrid w:val="0"/>
          <w:color w:val="000000"/>
          <w:spacing w:val="10"/>
          <w:kern w:val="0"/>
          <w:sz w:val="21"/>
          <w:szCs w:val="21"/>
          <w:lang w:val="en-US" w:eastAsia="zh-CN" w:bidi="ar-SA"/>
        </w:rPr>
        <w:t>3 术语和定义</w:t>
      </w:r>
      <w:bookmarkEnd w:id="3"/>
    </w:p>
    <w:p w14:paraId="0A578D0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12945F7">
      <w:pPr>
        <w:keepNext w:val="0"/>
        <w:keepLines w:val="0"/>
        <w:pageBreakBefore w:val="0"/>
        <w:widowControl/>
        <w:kinsoku w:val="0"/>
        <w:wordWrap/>
        <w:overflowPunct/>
        <w:topLinePunct w:val="0"/>
        <w:autoSpaceDE w:val="0"/>
        <w:autoSpaceDN w:val="0"/>
        <w:bidi w:val="0"/>
        <w:adjustRightInd w:val="0"/>
        <w:snapToGrid w:val="0"/>
        <w:spacing w:before="72" w:line="264" w:lineRule="auto"/>
        <w:ind w:left="420"/>
        <w:textAlignment w:val="baseline"/>
        <w:rPr>
          <w:rFonts w:ascii="宋体" w:hAnsi="宋体" w:eastAsia="宋体" w:cs="宋体"/>
          <w:spacing w:val="0"/>
          <w:sz w:val="21"/>
          <w:szCs w:val="21"/>
        </w:rPr>
      </w:pPr>
      <w:r>
        <w:rPr>
          <w:rFonts w:ascii="宋体" w:hAnsi="宋体" w:eastAsia="宋体" w:cs="宋体"/>
          <w:spacing w:val="0"/>
          <w:sz w:val="21"/>
          <w:szCs w:val="21"/>
        </w:rPr>
        <w:t>下列术语和定义适用于</w:t>
      </w:r>
      <w:r>
        <w:rPr>
          <w:rFonts w:hint="eastAsia" w:ascii="宋体" w:hAnsi="宋体" w:eastAsia="宋体" w:cs="宋体"/>
          <w:spacing w:val="0"/>
          <w:sz w:val="21"/>
          <w:szCs w:val="21"/>
          <w:lang w:eastAsia="zh-CN"/>
        </w:rPr>
        <w:t>本文件</w:t>
      </w:r>
      <w:r>
        <w:rPr>
          <w:rFonts w:ascii="宋体" w:hAnsi="宋体" w:eastAsia="宋体" w:cs="宋体"/>
          <w:spacing w:val="0"/>
          <w:sz w:val="21"/>
          <w:szCs w:val="21"/>
        </w:rPr>
        <w:t>。</w:t>
      </w:r>
    </w:p>
    <w:p w14:paraId="4D10FB61">
      <w:pPr>
        <w:keepNext w:val="0"/>
        <w:keepLines w:val="0"/>
        <w:pageBreakBefore w:val="0"/>
        <w:widowControl/>
        <w:kinsoku w:val="0"/>
        <w:wordWrap/>
        <w:overflowPunct/>
        <w:topLinePunct w:val="0"/>
        <w:autoSpaceDE w:val="0"/>
        <w:autoSpaceDN w:val="0"/>
        <w:bidi w:val="0"/>
        <w:adjustRightInd w:val="0"/>
        <w:snapToGrid w:val="0"/>
        <w:spacing w:before="84" w:line="264" w:lineRule="auto"/>
        <w:ind w:left="3"/>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3.1</w:t>
      </w:r>
    </w:p>
    <w:p w14:paraId="13E3755E">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 xml:space="preserve">储油库 </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bulk petroleum terminal</w:t>
      </w:r>
    </w:p>
    <w:p w14:paraId="00377B40">
      <w:pPr>
        <w:keepNext w:val="0"/>
        <w:keepLines w:val="0"/>
        <w:pageBreakBefore w:val="0"/>
        <w:widowControl/>
        <w:suppressLineNumbers w:val="0"/>
        <w:kinsoku w:val="0"/>
        <w:wordWrap/>
        <w:overflowPunct/>
        <w:topLinePunct w:val="0"/>
        <w:autoSpaceDE w:val="0"/>
        <w:autoSpaceDN w:val="0"/>
        <w:bidi w:val="0"/>
        <w:adjustRightInd w:val="0"/>
        <w:snapToGrid w:val="0"/>
        <w:spacing w:line="264" w:lineRule="auto"/>
        <w:ind w:firstLine="420" w:firstLineChars="200"/>
        <w:jc w:val="left"/>
        <w:textAlignment w:val="baseline"/>
        <w:rPr>
          <w:color w:val="auto"/>
          <w:spacing w:val="0"/>
          <w:sz w:val="21"/>
          <w:szCs w:val="21"/>
          <w:highlight w:val="none"/>
        </w:rPr>
      </w:pPr>
      <w:r>
        <w:rPr>
          <w:rFonts w:hint="eastAsia" w:ascii="宋体" w:hAnsi="宋体" w:eastAsia="宋体" w:cs="宋体"/>
          <w:spacing w:val="0"/>
          <w:sz w:val="21"/>
          <w:szCs w:val="21"/>
          <w:highlight w:val="none"/>
        </w:rPr>
        <w:t>用于开展GB/T 4754—2017中G5941类</w:t>
      </w:r>
      <w:r>
        <w:rPr>
          <w:rFonts w:hint="eastAsia" w:ascii="宋体" w:hAnsi="宋体" w:eastAsia="宋体" w:cs="宋体"/>
          <w:spacing w:val="0"/>
          <w:sz w:val="21"/>
          <w:szCs w:val="21"/>
          <w:highlight w:val="none"/>
          <w:lang w:val="en-US" w:eastAsia="zh-CN"/>
        </w:rPr>
        <w:t>汽油、航空煤油</w:t>
      </w:r>
      <w:r>
        <w:rPr>
          <w:rFonts w:hint="eastAsia" w:ascii="宋体" w:hAnsi="宋体" w:eastAsia="宋体" w:cs="宋体"/>
          <w:spacing w:val="0"/>
          <w:sz w:val="21"/>
          <w:szCs w:val="21"/>
          <w:highlight w:val="none"/>
        </w:rPr>
        <w:t>油仓储服务，由油品储罐组成并通过汽车罐车、铁路罐车、油船或管道等方式收发油品的场所，生产企业内罐区除外。</w:t>
      </w:r>
    </w:p>
    <w:p w14:paraId="5E2BEE43">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hint="eastAsia" w:ascii="宋体" w:hAnsi="宋体" w:eastAsia="宋体" w:cs="宋体"/>
          <w:spacing w:val="0"/>
          <w:sz w:val="21"/>
          <w:szCs w:val="21"/>
          <w:highlight w:val="none"/>
        </w:rPr>
      </w:pPr>
      <w:r>
        <w:rPr>
          <w:rFonts w:hint="eastAsia" w:ascii="宋体" w:hAnsi="宋体" w:eastAsia="宋体" w:cs="宋体"/>
          <w:snapToGrid w:val="0"/>
          <w:color w:val="auto"/>
          <w:spacing w:val="0"/>
          <w:kern w:val="0"/>
          <w:sz w:val="21"/>
          <w:szCs w:val="21"/>
          <w:highlight w:val="none"/>
          <w:lang w:val="en-US" w:eastAsia="zh-CN" w:bidi="ar"/>
        </w:rPr>
        <w:t>[来源： GB 20950-2020,3.1，有修改]</w:t>
      </w:r>
    </w:p>
    <w:p w14:paraId="5BB9D5BB">
      <w:pPr>
        <w:keepNext w:val="0"/>
        <w:keepLines w:val="0"/>
        <w:pageBreakBefore w:val="0"/>
        <w:widowControl/>
        <w:kinsoku w:val="0"/>
        <w:wordWrap/>
        <w:overflowPunct/>
        <w:topLinePunct w:val="0"/>
        <w:autoSpaceDE w:val="0"/>
        <w:autoSpaceDN w:val="0"/>
        <w:bidi w:val="0"/>
        <w:adjustRightInd w:val="0"/>
        <w:snapToGrid w:val="0"/>
        <w:spacing w:before="84" w:line="264" w:lineRule="auto"/>
        <w:ind w:left="3"/>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3.2</w:t>
      </w:r>
    </w:p>
    <w:p w14:paraId="714BB4CA">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 xml:space="preserve">油品 </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petroleum</w:t>
      </w:r>
    </w:p>
    <w:p w14:paraId="29473F99">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0F11C863">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p>
    <w:p w14:paraId="35D23335">
      <w:pPr>
        <w:keepNext w:val="0"/>
        <w:keepLines w:val="0"/>
        <w:pageBreakBefore w:val="0"/>
        <w:widowControl/>
        <w:kinsoku w:val="0"/>
        <w:wordWrap/>
        <w:overflowPunct/>
        <w:topLinePunct w:val="0"/>
        <w:autoSpaceDE w:val="0"/>
        <w:autoSpaceDN w:val="0"/>
        <w:bidi w:val="0"/>
        <w:adjustRightInd w:val="0"/>
        <w:snapToGrid w:val="0"/>
        <w:spacing w:before="102" w:line="264" w:lineRule="auto"/>
        <w:ind w:firstLine="420" w:firstLineChars="200"/>
        <w:textAlignment w:val="baseline"/>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汽油（包括含醇汽油）、航空煤油的统称。</w:t>
      </w:r>
    </w:p>
    <w:p w14:paraId="1509690D">
      <w:pPr>
        <w:keepNext w:val="0"/>
        <w:keepLines w:val="0"/>
        <w:pageBreakBefore w:val="0"/>
        <w:widowControl/>
        <w:kinsoku w:val="0"/>
        <w:wordWrap/>
        <w:overflowPunct/>
        <w:topLinePunct w:val="0"/>
        <w:autoSpaceDE w:val="0"/>
        <w:autoSpaceDN w:val="0"/>
        <w:bidi w:val="0"/>
        <w:adjustRightInd w:val="0"/>
        <w:snapToGrid w:val="0"/>
        <w:spacing w:before="102" w:line="264" w:lineRule="auto"/>
        <w:ind w:left="3" w:firstLine="420" w:firstLineChars="200"/>
        <w:textAlignment w:val="baseline"/>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 xml:space="preserve">注：也包括储油库内储存的与前述油品挥发性特征类似的循环油、组分油、凝析油、轻质油等。 </w:t>
      </w:r>
    </w:p>
    <w:p w14:paraId="3ECCF74C">
      <w:pPr>
        <w:keepNext w:val="0"/>
        <w:keepLines w:val="0"/>
        <w:pageBreakBefore w:val="0"/>
        <w:widowControl/>
        <w:kinsoku w:val="0"/>
        <w:wordWrap/>
        <w:overflowPunct/>
        <w:topLinePunct w:val="0"/>
        <w:autoSpaceDE w:val="0"/>
        <w:autoSpaceDN w:val="0"/>
        <w:bidi w:val="0"/>
        <w:adjustRightInd w:val="0"/>
        <w:snapToGrid w:val="0"/>
        <w:spacing w:before="102" w:line="264" w:lineRule="auto"/>
        <w:ind w:left="3" w:firstLine="420" w:firstLineChars="200"/>
        <w:textAlignment w:val="baseline"/>
        <w:rPr>
          <w:rFonts w:hint="eastAsia" w:ascii="宋体" w:hAnsi="宋体" w:eastAsia="宋体" w:cs="宋体"/>
          <w:spacing w:val="0"/>
          <w:sz w:val="21"/>
          <w:szCs w:val="21"/>
          <w:highlight w:val="none"/>
        </w:rPr>
      </w:pPr>
      <w:r>
        <w:rPr>
          <w:rFonts w:hint="eastAsia" w:ascii="宋体" w:hAnsi="宋体" w:eastAsia="宋体" w:cs="宋体"/>
          <w:spacing w:val="0"/>
          <w:sz w:val="21"/>
          <w:szCs w:val="21"/>
          <w:highlight w:val="none"/>
        </w:rPr>
        <w:t>[来源： GB 20951-2020,3.</w:t>
      </w:r>
      <w:r>
        <w:rPr>
          <w:rFonts w:hint="eastAsia" w:ascii="宋体" w:hAnsi="宋体" w:eastAsia="宋体" w:cs="宋体"/>
          <w:spacing w:val="0"/>
          <w:sz w:val="21"/>
          <w:szCs w:val="21"/>
          <w:highlight w:val="none"/>
          <w:lang w:val="en-US" w:eastAsia="zh-CN"/>
        </w:rPr>
        <w:t>2</w:t>
      </w:r>
      <w:r>
        <w:rPr>
          <w:rFonts w:hint="eastAsia" w:ascii="宋体" w:hAnsi="宋体" w:eastAsia="宋体" w:cs="宋体"/>
          <w:spacing w:val="0"/>
          <w:sz w:val="21"/>
          <w:szCs w:val="21"/>
          <w:highlight w:val="none"/>
          <w:lang w:eastAsia="zh-CN"/>
        </w:rPr>
        <w:t>，</w:t>
      </w:r>
      <w:r>
        <w:rPr>
          <w:rFonts w:hint="eastAsia" w:ascii="宋体" w:hAnsi="宋体" w:eastAsia="宋体" w:cs="宋体"/>
          <w:spacing w:val="0"/>
          <w:sz w:val="21"/>
          <w:szCs w:val="21"/>
          <w:highlight w:val="none"/>
        </w:rPr>
        <w:t>有修改]</w:t>
      </w:r>
    </w:p>
    <w:p w14:paraId="3CA3FDDB">
      <w:pPr>
        <w:keepNext w:val="0"/>
        <w:keepLines w:val="0"/>
        <w:pageBreakBefore w:val="0"/>
        <w:widowControl/>
        <w:kinsoku w:val="0"/>
        <w:wordWrap/>
        <w:overflowPunct/>
        <w:topLinePunct w:val="0"/>
        <w:autoSpaceDE w:val="0"/>
        <w:autoSpaceDN w:val="0"/>
        <w:bidi w:val="0"/>
        <w:adjustRightInd w:val="0"/>
        <w:snapToGrid w:val="0"/>
        <w:spacing w:before="102" w:line="264" w:lineRule="auto"/>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3.3</w:t>
      </w:r>
    </w:p>
    <w:p w14:paraId="75EC3036">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挥发性有机物</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 xml:space="preserve"> volatile organic compounds(VOCs)</w:t>
      </w:r>
    </w:p>
    <w:p w14:paraId="309B918F">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sz w:val="21"/>
          <w:szCs w:val="21"/>
        </w:rPr>
      </w:pPr>
      <w:r>
        <w:rPr>
          <w:rFonts w:ascii="宋体" w:hAnsi="宋体" w:eastAsia="宋体" w:cs="宋体"/>
          <w:spacing w:val="0"/>
          <w:sz w:val="21"/>
          <w:szCs w:val="21"/>
        </w:rPr>
        <w:t>参与大气光化学反应的有机化合物，或者根据有关规定确定的有机化合物。</w:t>
      </w:r>
    </w:p>
    <w:p w14:paraId="1BCE5D00">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20950-2020,3.4]</w:t>
      </w:r>
    </w:p>
    <w:p w14:paraId="19523DB9">
      <w:pPr>
        <w:keepNext w:val="0"/>
        <w:keepLines w:val="0"/>
        <w:pageBreakBefore w:val="0"/>
        <w:widowControl/>
        <w:kinsoku w:val="0"/>
        <w:wordWrap/>
        <w:overflowPunct/>
        <w:topLinePunct w:val="0"/>
        <w:autoSpaceDE w:val="0"/>
        <w:autoSpaceDN w:val="0"/>
        <w:bidi w:val="0"/>
        <w:adjustRightInd w:val="0"/>
        <w:snapToGrid w:val="0"/>
        <w:spacing w:before="101" w:line="264" w:lineRule="auto"/>
        <w:ind w:left="3"/>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3.4</w:t>
      </w:r>
    </w:p>
    <w:p w14:paraId="7436D8DB">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油气</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 xml:space="preserve"> vapor</w:t>
      </w:r>
    </w:p>
    <w:p w14:paraId="7541D949">
      <w:pPr>
        <w:keepNext w:val="0"/>
        <w:keepLines w:val="0"/>
        <w:pageBreakBefore w:val="0"/>
        <w:widowControl/>
        <w:kinsoku w:val="0"/>
        <w:wordWrap/>
        <w:overflowPunct/>
        <w:topLinePunct w:val="0"/>
        <w:autoSpaceDE w:val="0"/>
        <w:autoSpaceDN w:val="0"/>
        <w:bidi w:val="0"/>
        <w:adjustRightInd w:val="0"/>
        <w:snapToGrid w:val="0"/>
        <w:spacing w:before="49" w:line="264" w:lineRule="auto"/>
        <w:ind w:left="429"/>
        <w:textAlignment w:val="baseline"/>
        <w:rPr>
          <w:rFonts w:ascii="宋体" w:hAnsi="宋体" w:eastAsia="宋体" w:cs="宋体"/>
          <w:spacing w:val="0"/>
          <w:sz w:val="21"/>
          <w:szCs w:val="21"/>
        </w:rPr>
      </w:pPr>
      <w:r>
        <w:rPr>
          <w:rFonts w:ascii="宋体" w:hAnsi="宋体" w:eastAsia="宋体" w:cs="宋体"/>
          <w:spacing w:val="0"/>
          <w:sz w:val="21"/>
          <w:szCs w:val="21"/>
        </w:rPr>
        <w:t xml:space="preserve">储油库储存、收发油品过程中产生的VOCs, </w:t>
      </w:r>
      <w:r>
        <w:rPr>
          <w:rFonts w:hint="eastAsia" w:ascii="宋体" w:hAnsi="宋体" w:eastAsia="宋体" w:cs="宋体"/>
          <w:spacing w:val="0"/>
          <w:sz w:val="21"/>
          <w:szCs w:val="21"/>
          <w:lang w:eastAsia="zh-CN"/>
        </w:rPr>
        <w:t>本文件</w:t>
      </w:r>
      <w:r>
        <w:rPr>
          <w:rFonts w:ascii="宋体" w:hAnsi="宋体" w:eastAsia="宋体" w:cs="宋体"/>
          <w:spacing w:val="0"/>
          <w:sz w:val="21"/>
          <w:szCs w:val="21"/>
        </w:rPr>
        <w:t>采用非甲烷总烃作为油气排放控制项目。</w:t>
      </w:r>
    </w:p>
    <w:p w14:paraId="567042F6">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20950-2020,3.5]</w:t>
      </w:r>
    </w:p>
    <w:p w14:paraId="776C021E">
      <w:pPr>
        <w:keepNext w:val="0"/>
        <w:keepLines w:val="0"/>
        <w:pageBreakBefore w:val="0"/>
        <w:widowControl/>
        <w:kinsoku w:val="0"/>
        <w:wordWrap/>
        <w:overflowPunct/>
        <w:topLinePunct w:val="0"/>
        <w:autoSpaceDE w:val="0"/>
        <w:autoSpaceDN w:val="0"/>
        <w:bidi w:val="0"/>
        <w:adjustRightInd w:val="0"/>
        <w:snapToGrid w:val="0"/>
        <w:spacing w:before="181" w:line="264" w:lineRule="auto"/>
        <w:ind w:left="6"/>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3.5</w:t>
      </w:r>
    </w:p>
    <w:p w14:paraId="28D92472">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非甲烷总烃</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 xml:space="preserve"> non-methane hydrocarbon(NMHC)</w:t>
      </w:r>
    </w:p>
    <w:p w14:paraId="78554C8A">
      <w:pPr>
        <w:keepNext w:val="0"/>
        <w:keepLines w:val="0"/>
        <w:pageBreakBefore w:val="0"/>
        <w:widowControl/>
        <w:kinsoku w:val="0"/>
        <w:wordWrap/>
        <w:overflowPunct/>
        <w:topLinePunct w:val="0"/>
        <w:autoSpaceDE w:val="0"/>
        <w:autoSpaceDN w:val="0"/>
        <w:bidi w:val="0"/>
        <w:adjustRightInd w:val="0"/>
        <w:snapToGrid w:val="0"/>
        <w:spacing w:before="46" w:line="264" w:lineRule="auto"/>
        <w:ind w:right="51" w:firstLine="429"/>
        <w:textAlignment w:val="baseline"/>
        <w:rPr>
          <w:rFonts w:ascii="宋体" w:hAnsi="宋体" w:eastAsia="宋体" w:cs="宋体"/>
          <w:spacing w:val="0"/>
          <w:sz w:val="21"/>
          <w:szCs w:val="21"/>
        </w:rPr>
      </w:pPr>
      <w:r>
        <w:rPr>
          <w:rFonts w:ascii="宋体" w:hAnsi="宋体" w:eastAsia="宋体" w:cs="宋体"/>
          <w:spacing w:val="0"/>
          <w:sz w:val="21"/>
          <w:szCs w:val="21"/>
        </w:rPr>
        <w:t>采用规定的监测方法，氢火焰离子化检测器有响应的除甲烷外的气态有机化合物的总和</w:t>
      </w:r>
      <w:r>
        <w:rPr>
          <w:rFonts w:hint="eastAsia" w:ascii="宋体" w:hAnsi="宋体" w:eastAsia="宋体" w:cs="宋体"/>
          <w:spacing w:val="0"/>
          <w:sz w:val="21"/>
          <w:szCs w:val="21"/>
          <w:lang w:eastAsia="zh-CN"/>
        </w:rPr>
        <w:t>，</w:t>
      </w:r>
      <w:r>
        <w:rPr>
          <w:rFonts w:ascii="宋体" w:hAnsi="宋体" w:eastAsia="宋体" w:cs="宋体"/>
          <w:spacing w:val="0"/>
          <w:sz w:val="21"/>
          <w:szCs w:val="21"/>
        </w:rPr>
        <w:t>以碳的质量浓度计。</w:t>
      </w:r>
    </w:p>
    <w:p w14:paraId="1F0B5266">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20950-2020,3.6]</w:t>
      </w:r>
    </w:p>
    <w:p w14:paraId="0AE010E5">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3.6</w:t>
      </w:r>
    </w:p>
    <w:p w14:paraId="572CBA2C">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密闭</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 xml:space="preserve"> closed/close</w:t>
      </w:r>
    </w:p>
    <w:p w14:paraId="6EC94F67">
      <w:pPr>
        <w:keepNext w:val="0"/>
        <w:keepLines w:val="0"/>
        <w:pageBreakBefore w:val="0"/>
        <w:widowControl/>
        <w:kinsoku w:val="0"/>
        <w:wordWrap/>
        <w:overflowPunct/>
        <w:topLinePunct w:val="0"/>
        <w:autoSpaceDE w:val="0"/>
        <w:autoSpaceDN w:val="0"/>
        <w:bidi w:val="0"/>
        <w:adjustRightInd w:val="0"/>
        <w:snapToGrid w:val="0"/>
        <w:spacing w:before="40" w:line="264" w:lineRule="auto"/>
        <w:ind w:left="429"/>
        <w:textAlignment w:val="baseline"/>
        <w:rPr>
          <w:rFonts w:ascii="宋体" w:hAnsi="宋体" w:eastAsia="宋体" w:cs="宋体"/>
          <w:spacing w:val="-11"/>
          <w:sz w:val="21"/>
          <w:szCs w:val="21"/>
        </w:rPr>
      </w:pPr>
      <w:r>
        <w:rPr>
          <w:rFonts w:ascii="宋体" w:hAnsi="宋体" w:eastAsia="宋体" w:cs="宋体"/>
          <w:spacing w:val="-11"/>
          <w:sz w:val="21"/>
          <w:szCs w:val="21"/>
        </w:rPr>
        <w:t>污染物质不与环境空气接触，或通过密封材料、密封设备与环境空气隔离的状态或作业方式。</w:t>
      </w:r>
    </w:p>
    <w:p w14:paraId="1489A602">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11"/>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20950-2020,3.8]</w:t>
      </w:r>
    </w:p>
    <w:p w14:paraId="7C2C6AAB">
      <w:pPr>
        <w:keepNext w:val="0"/>
        <w:keepLines w:val="0"/>
        <w:pageBreakBefore w:val="0"/>
        <w:widowControl/>
        <w:kinsoku w:val="0"/>
        <w:wordWrap/>
        <w:overflowPunct/>
        <w:topLinePunct w:val="0"/>
        <w:autoSpaceDE w:val="0"/>
        <w:autoSpaceDN w:val="0"/>
        <w:bidi w:val="0"/>
        <w:adjustRightInd w:val="0"/>
        <w:snapToGrid w:val="0"/>
        <w:spacing w:before="95" w:line="264" w:lineRule="auto"/>
        <w:ind w:left="3"/>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3.7</w:t>
      </w:r>
    </w:p>
    <w:p w14:paraId="6E569F6C">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 xml:space="preserve">收油 </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liquid receiving</w:t>
      </w:r>
    </w:p>
    <w:p w14:paraId="43052835">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sz w:val="21"/>
          <w:szCs w:val="21"/>
        </w:rPr>
      </w:pPr>
      <w:r>
        <w:rPr>
          <w:rFonts w:ascii="宋体" w:hAnsi="宋体" w:eastAsia="宋体" w:cs="宋体"/>
          <w:spacing w:val="0"/>
          <w:sz w:val="21"/>
          <w:szCs w:val="21"/>
        </w:rPr>
        <w:t>向储油库储罐灌注油品。</w:t>
      </w:r>
    </w:p>
    <w:p w14:paraId="23D50AF4">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20950-2020,3.9]</w:t>
      </w:r>
    </w:p>
    <w:p w14:paraId="754C8183">
      <w:pPr>
        <w:keepNext w:val="0"/>
        <w:keepLines w:val="0"/>
        <w:pageBreakBefore w:val="0"/>
        <w:widowControl/>
        <w:kinsoku w:val="0"/>
        <w:wordWrap/>
        <w:overflowPunct/>
        <w:topLinePunct w:val="0"/>
        <w:autoSpaceDE w:val="0"/>
        <w:autoSpaceDN w:val="0"/>
        <w:bidi w:val="0"/>
        <w:adjustRightInd w:val="0"/>
        <w:snapToGrid w:val="0"/>
        <w:spacing w:before="97" w:line="264" w:lineRule="auto"/>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3.8</w:t>
      </w:r>
    </w:p>
    <w:p w14:paraId="38F3AF8D">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 xml:space="preserve">发油 </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liquid loading</w:t>
      </w:r>
    </w:p>
    <w:p w14:paraId="219BA67D">
      <w:pPr>
        <w:keepNext w:val="0"/>
        <w:keepLines w:val="0"/>
        <w:pageBreakBefore w:val="0"/>
        <w:widowControl/>
        <w:kinsoku w:val="0"/>
        <w:wordWrap/>
        <w:overflowPunct/>
        <w:topLinePunct w:val="0"/>
        <w:autoSpaceDE w:val="0"/>
        <w:autoSpaceDN w:val="0"/>
        <w:bidi w:val="0"/>
        <w:adjustRightInd w:val="0"/>
        <w:snapToGrid w:val="0"/>
        <w:spacing w:before="41" w:line="264" w:lineRule="auto"/>
        <w:ind w:left="448"/>
        <w:textAlignment w:val="baseline"/>
        <w:rPr>
          <w:rFonts w:ascii="宋体" w:hAnsi="宋体" w:eastAsia="宋体" w:cs="宋体"/>
          <w:spacing w:val="0"/>
          <w:position w:val="10"/>
          <w:sz w:val="21"/>
          <w:szCs w:val="21"/>
        </w:rPr>
      </w:pPr>
      <w:r>
        <w:rPr>
          <w:rFonts w:ascii="宋体" w:hAnsi="宋体" w:eastAsia="宋体" w:cs="宋体"/>
          <w:spacing w:val="0"/>
          <w:position w:val="10"/>
          <w:sz w:val="21"/>
          <w:szCs w:val="21"/>
        </w:rPr>
        <w:t>从储油库把油品装入油罐车</w:t>
      </w:r>
      <w:r>
        <w:rPr>
          <w:rFonts w:hint="eastAsia" w:ascii="宋体" w:hAnsi="宋体" w:eastAsia="宋体" w:cs="宋体"/>
          <w:spacing w:val="0"/>
          <w:position w:val="10"/>
          <w:sz w:val="21"/>
          <w:szCs w:val="21"/>
          <w:lang w:eastAsia="zh-CN"/>
        </w:rPr>
        <w:t>、</w:t>
      </w:r>
      <w:r>
        <w:rPr>
          <w:rFonts w:hint="eastAsia" w:ascii="宋体" w:hAnsi="宋体" w:eastAsia="宋体" w:cs="宋体"/>
          <w:spacing w:val="0"/>
          <w:position w:val="10"/>
          <w:sz w:val="21"/>
          <w:szCs w:val="21"/>
          <w:lang w:val="en-US" w:eastAsia="zh-CN"/>
        </w:rPr>
        <w:t>油船</w:t>
      </w:r>
      <w:r>
        <w:rPr>
          <w:rFonts w:ascii="宋体" w:hAnsi="宋体" w:eastAsia="宋体" w:cs="宋体"/>
          <w:spacing w:val="0"/>
          <w:position w:val="10"/>
          <w:sz w:val="21"/>
          <w:szCs w:val="21"/>
        </w:rPr>
        <w:t>或管道。</w:t>
      </w:r>
    </w:p>
    <w:p w14:paraId="75C72B90">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position w:val="10"/>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20950-2020,3.10]</w:t>
      </w:r>
    </w:p>
    <w:p w14:paraId="76FD2B12">
      <w:pPr>
        <w:keepNext w:val="0"/>
        <w:keepLines w:val="0"/>
        <w:pageBreakBefore w:val="0"/>
        <w:widowControl/>
        <w:kinsoku w:val="0"/>
        <w:wordWrap/>
        <w:overflowPunct/>
        <w:topLinePunct w:val="0"/>
        <w:autoSpaceDE w:val="0"/>
        <w:autoSpaceDN w:val="0"/>
        <w:bidi w:val="0"/>
        <w:adjustRightInd w:val="0"/>
        <w:snapToGrid w:val="0"/>
        <w:spacing w:line="264" w:lineRule="auto"/>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3.9</w:t>
      </w:r>
    </w:p>
    <w:p w14:paraId="0E81C0F1">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底部发油</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 xml:space="preserve"> bottom loading</w:t>
      </w:r>
    </w:p>
    <w:p w14:paraId="7014EA3C">
      <w:pPr>
        <w:keepNext w:val="0"/>
        <w:keepLines w:val="0"/>
        <w:pageBreakBefore w:val="0"/>
        <w:widowControl/>
        <w:kinsoku w:val="0"/>
        <w:wordWrap/>
        <w:overflowPunct/>
        <w:topLinePunct w:val="0"/>
        <w:autoSpaceDE w:val="0"/>
        <w:autoSpaceDN w:val="0"/>
        <w:bidi w:val="0"/>
        <w:adjustRightInd w:val="0"/>
        <w:snapToGrid w:val="0"/>
        <w:spacing w:before="65" w:line="264" w:lineRule="auto"/>
        <w:ind w:left="429"/>
        <w:textAlignment w:val="baseline"/>
        <w:rPr>
          <w:rFonts w:ascii="宋体" w:hAnsi="宋体" w:eastAsia="宋体" w:cs="宋体"/>
          <w:spacing w:val="0"/>
          <w:position w:val="9"/>
          <w:sz w:val="21"/>
          <w:szCs w:val="21"/>
        </w:rPr>
      </w:pPr>
      <w:r>
        <w:rPr>
          <w:rFonts w:ascii="宋体" w:hAnsi="宋体" w:eastAsia="宋体" w:cs="宋体"/>
          <w:spacing w:val="0"/>
          <w:position w:val="9"/>
          <w:sz w:val="21"/>
          <w:szCs w:val="21"/>
        </w:rPr>
        <w:t>灌装鹤管与油罐车底部接口密闭连接的发油方式。</w:t>
      </w:r>
    </w:p>
    <w:p w14:paraId="607CBC06">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position w:val="9"/>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20950-2020,3.11]</w:t>
      </w:r>
    </w:p>
    <w:p w14:paraId="1E5A1325">
      <w:pPr>
        <w:keepNext w:val="0"/>
        <w:keepLines w:val="0"/>
        <w:pageBreakBefore w:val="0"/>
        <w:widowControl/>
        <w:kinsoku w:val="0"/>
        <w:wordWrap/>
        <w:overflowPunct/>
        <w:topLinePunct w:val="0"/>
        <w:autoSpaceDE w:val="0"/>
        <w:autoSpaceDN w:val="0"/>
        <w:bidi w:val="0"/>
        <w:adjustRightInd w:val="0"/>
        <w:snapToGrid w:val="0"/>
        <w:spacing w:before="1" w:line="264" w:lineRule="auto"/>
        <w:textAlignment w:val="baseline"/>
        <w:rPr>
          <w:rFonts w:hint="eastAsia" w:ascii="黑体" w:hAnsi="黑体" w:eastAsia="黑体" w:cs="黑体"/>
          <w:b w:val="0"/>
          <w:bCs w:val="0"/>
          <w:spacing w:val="0"/>
          <w:sz w:val="21"/>
          <w:szCs w:val="21"/>
        </w:rPr>
      </w:pPr>
      <w:r>
        <w:rPr>
          <w:rFonts w:hint="eastAsia" w:ascii="黑体" w:hAnsi="黑体" w:eastAsia="黑体" w:cs="黑体"/>
          <w:b w:val="0"/>
          <w:bCs w:val="0"/>
          <w:spacing w:val="0"/>
          <w:sz w:val="21"/>
          <w:szCs w:val="21"/>
        </w:rPr>
        <w:t>3.10</w:t>
      </w:r>
    </w:p>
    <w:p w14:paraId="58C74198">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rPr>
      </w:pPr>
      <w:r>
        <w:rPr>
          <w:rFonts w:hint="eastAsia" w:ascii="黑体" w:hAnsi="黑体" w:eastAsia="黑体" w:cs="黑体"/>
          <w:b w:val="0"/>
          <w:bCs w:val="0"/>
          <w:spacing w:val="0"/>
          <w:sz w:val="21"/>
          <w:szCs w:val="21"/>
          <w:highlight w:val="none"/>
        </w:rPr>
        <w:t>罐顶通气孔</w:t>
      </w:r>
      <w:r>
        <w:rPr>
          <w:rFonts w:hint="eastAsia" w:ascii="黑体" w:hAnsi="黑体" w:eastAsia="黑体" w:cs="黑体"/>
          <w:b w:val="0"/>
          <w:bCs w:val="0"/>
          <w:spacing w:val="0"/>
          <w:sz w:val="21"/>
          <w:szCs w:val="21"/>
          <w:highlight w:val="none"/>
          <w:lang w:val="en-US" w:eastAsia="zh-CN"/>
        </w:rPr>
        <w:t xml:space="preserve"> </w:t>
      </w:r>
      <w:r>
        <w:rPr>
          <w:rFonts w:hint="eastAsia" w:ascii="黑体" w:hAnsi="黑体" w:eastAsia="黑体" w:cs="黑体"/>
          <w:b w:val="0"/>
          <w:bCs w:val="0"/>
          <w:spacing w:val="0"/>
          <w:sz w:val="21"/>
          <w:szCs w:val="21"/>
          <w:highlight w:val="none"/>
        </w:rPr>
        <w:t xml:space="preserve"> circulation vent</w:t>
      </w:r>
    </w:p>
    <w:p w14:paraId="6C2E04DB">
      <w:pPr>
        <w:keepNext w:val="0"/>
        <w:keepLines w:val="0"/>
        <w:pageBreakBefore w:val="0"/>
        <w:widowControl/>
        <w:kinsoku w:val="0"/>
        <w:wordWrap/>
        <w:overflowPunct/>
        <w:topLinePunct w:val="0"/>
        <w:autoSpaceDE w:val="0"/>
        <w:autoSpaceDN w:val="0"/>
        <w:bidi w:val="0"/>
        <w:adjustRightInd w:val="0"/>
        <w:snapToGrid w:val="0"/>
        <w:spacing w:before="60" w:line="264" w:lineRule="auto"/>
        <w:ind w:left="429"/>
        <w:textAlignment w:val="baseline"/>
        <w:rPr>
          <w:rFonts w:ascii="宋体" w:hAnsi="宋体" w:eastAsia="宋体" w:cs="宋体"/>
          <w:spacing w:val="0"/>
          <w:sz w:val="21"/>
          <w:szCs w:val="21"/>
        </w:rPr>
      </w:pPr>
      <w:r>
        <w:rPr>
          <w:rFonts w:ascii="宋体" w:hAnsi="宋体" w:eastAsia="宋体" w:cs="宋体"/>
          <w:spacing w:val="0"/>
          <w:sz w:val="21"/>
          <w:szCs w:val="21"/>
        </w:rPr>
        <w:t>设置在内浮顶罐固定顶中心最高位置上的通气装置。</w:t>
      </w:r>
    </w:p>
    <w:p w14:paraId="4CC79551">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b w:val="0"/>
          <w:bCs w:val="0"/>
          <w:sz w:val="21"/>
          <w:szCs w:val="21"/>
          <w:highlight w:val="none"/>
          <w:vertAlign w:val="baseline"/>
          <w:lang w:val="en-US" w:eastAsia="zh-CN"/>
        </w:rPr>
      </w:pPr>
    </w:p>
    <w:p w14:paraId="27F213B0">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3ABF110F">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b w:val="0"/>
          <w:bCs w:val="0"/>
          <w:sz w:val="21"/>
          <w:szCs w:val="21"/>
          <w:highlight w:val="none"/>
          <w:vertAlign w:val="baseline"/>
          <w:lang w:val="en-US" w:eastAsia="zh-CN"/>
        </w:rPr>
      </w:pPr>
    </w:p>
    <w:p w14:paraId="266CBB53">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b w:val="0"/>
          <w:bCs w:val="0"/>
          <w:sz w:val="21"/>
          <w:szCs w:val="21"/>
          <w:highlight w:val="none"/>
          <w:vertAlign w:val="baseline"/>
          <w:lang w:val="en-US" w:eastAsia="zh-CN"/>
        </w:rPr>
      </w:pPr>
      <w:r>
        <w:rPr>
          <w:rFonts w:hint="eastAsia" w:ascii="黑体" w:hAnsi="黑体" w:eastAsia="黑体" w:cs="黑体"/>
          <w:b w:val="0"/>
          <w:bCs w:val="0"/>
          <w:sz w:val="21"/>
          <w:szCs w:val="21"/>
          <w:highlight w:val="none"/>
          <w:vertAlign w:val="baseline"/>
          <w:lang w:val="en-US" w:eastAsia="zh-CN"/>
        </w:rPr>
        <w:t>3.11</w:t>
      </w:r>
    </w:p>
    <w:p w14:paraId="59454667">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边缘呼吸阀  rim breathing valve</w:t>
      </w:r>
    </w:p>
    <w:p w14:paraId="2D62EA39">
      <w:pPr>
        <w:keepNext w:val="0"/>
        <w:keepLines w:val="0"/>
        <w:pageBreakBefore w:val="0"/>
        <w:widowControl/>
        <w:kinsoku w:val="0"/>
        <w:wordWrap/>
        <w:overflowPunct/>
        <w:topLinePunct w:val="0"/>
        <w:autoSpaceDE w:val="0"/>
        <w:autoSpaceDN w:val="0"/>
        <w:bidi w:val="0"/>
        <w:adjustRightInd w:val="0"/>
        <w:snapToGrid w:val="0"/>
        <w:spacing w:before="60" w:line="264" w:lineRule="auto"/>
        <w:ind w:left="429"/>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排放浮盘下累积于浮盘边缘气相空间内油气的通气装置。</w:t>
      </w:r>
    </w:p>
    <w:p w14:paraId="5D85FC10">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hint="eastAsia" w:ascii="宋体" w:hAnsi="宋体" w:eastAsia="宋体" w:cs="宋体"/>
          <w:spacing w:val="0"/>
          <w:sz w:val="21"/>
          <w:szCs w:val="21"/>
          <w:lang w:val="en-US" w:eastAsia="zh-CN"/>
        </w:rPr>
      </w:pPr>
      <w:r>
        <w:rPr>
          <w:rFonts w:hint="eastAsia" w:ascii="宋体" w:hAnsi="宋体" w:eastAsia="宋体" w:cs="宋体"/>
          <w:snapToGrid w:val="0"/>
          <w:color w:val="auto"/>
          <w:spacing w:val="0"/>
          <w:kern w:val="0"/>
          <w:sz w:val="21"/>
          <w:szCs w:val="21"/>
          <w:highlight w:val="none"/>
          <w:lang w:val="en-US" w:eastAsia="zh-CN" w:bidi="ar"/>
        </w:rPr>
        <w:t>[来源： GB 20950-2020,3.13]</w:t>
      </w:r>
    </w:p>
    <w:p w14:paraId="1D4EB617">
      <w:pPr>
        <w:keepNext w:val="0"/>
        <w:keepLines w:val="0"/>
        <w:pageBreakBefore w:val="0"/>
        <w:widowControl/>
        <w:kinsoku w:val="0"/>
        <w:wordWrap/>
        <w:overflowPunct/>
        <w:topLinePunct w:val="0"/>
        <w:autoSpaceDE w:val="0"/>
        <w:autoSpaceDN w:val="0"/>
        <w:bidi w:val="0"/>
        <w:adjustRightInd w:val="0"/>
        <w:snapToGrid w:val="0"/>
        <w:spacing w:before="1"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rPr>
        <w:t>3.1</w:t>
      </w:r>
      <w:r>
        <w:rPr>
          <w:rFonts w:hint="eastAsia" w:ascii="黑体" w:hAnsi="黑体" w:eastAsia="黑体" w:cs="黑体"/>
          <w:b w:val="0"/>
          <w:bCs w:val="0"/>
          <w:spacing w:val="0"/>
          <w:sz w:val="21"/>
          <w:szCs w:val="21"/>
          <w:lang w:val="en-US" w:eastAsia="zh-CN"/>
        </w:rPr>
        <w:t>2</w:t>
      </w:r>
    </w:p>
    <w:p w14:paraId="39980DD7">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油气处理装置  vapor processing device</w:t>
      </w:r>
    </w:p>
    <w:p w14:paraId="3B08AB06">
      <w:pPr>
        <w:keepNext w:val="0"/>
        <w:keepLines w:val="0"/>
        <w:pageBreakBefore w:val="0"/>
        <w:widowControl/>
        <w:kinsoku w:val="0"/>
        <w:wordWrap/>
        <w:overflowPunct/>
        <w:topLinePunct w:val="0"/>
        <w:autoSpaceDE w:val="0"/>
        <w:autoSpaceDN w:val="0"/>
        <w:bidi w:val="0"/>
        <w:adjustRightInd w:val="0"/>
        <w:snapToGrid w:val="0"/>
        <w:spacing w:before="73" w:line="264" w:lineRule="auto"/>
        <w:ind w:left="429"/>
        <w:textAlignment w:val="baseline"/>
        <w:rPr>
          <w:rFonts w:ascii="宋体" w:hAnsi="宋体" w:eastAsia="宋体" w:cs="宋体"/>
          <w:spacing w:val="-11"/>
          <w:sz w:val="21"/>
          <w:szCs w:val="21"/>
        </w:rPr>
      </w:pPr>
      <w:r>
        <w:rPr>
          <w:rFonts w:ascii="宋体" w:hAnsi="宋体" w:eastAsia="宋体" w:cs="宋体"/>
          <w:spacing w:val="-11"/>
          <w:sz w:val="21"/>
          <w:szCs w:val="21"/>
        </w:rPr>
        <w:t>采用吸附、吸收、冷凝、膜分离法等工艺或其组合工艺的方法，对油气进行回收处理的装置。</w:t>
      </w:r>
    </w:p>
    <w:p w14:paraId="6FF86734">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11"/>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20950-2020,3.15]</w:t>
      </w:r>
    </w:p>
    <w:p w14:paraId="58446EE2">
      <w:pPr>
        <w:keepNext w:val="0"/>
        <w:keepLines w:val="0"/>
        <w:pageBreakBefore w:val="0"/>
        <w:widowControl/>
        <w:kinsoku w:val="0"/>
        <w:wordWrap/>
        <w:overflowPunct/>
        <w:topLinePunct w:val="0"/>
        <w:autoSpaceDE w:val="0"/>
        <w:autoSpaceDN w:val="0"/>
        <w:bidi w:val="0"/>
        <w:adjustRightInd w:val="0"/>
        <w:snapToGrid w:val="0"/>
        <w:spacing w:before="74" w:line="264" w:lineRule="auto"/>
        <w:ind w:left="3"/>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rPr>
        <w:t>3.1</w:t>
      </w:r>
      <w:r>
        <w:rPr>
          <w:rFonts w:hint="eastAsia" w:ascii="黑体" w:hAnsi="黑体" w:eastAsia="黑体" w:cs="黑体"/>
          <w:b w:val="0"/>
          <w:bCs w:val="0"/>
          <w:spacing w:val="0"/>
          <w:sz w:val="21"/>
          <w:szCs w:val="21"/>
          <w:lang w:val="en-US" w:eastAsia="zh-CN"/>
        </w:rPr>
        <w:t>3</w:t>
      </w:r>
    </w:p>
    <w:p w14:paraId="6829064C">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油气排放浓度  vapor mission concentration</w:t>
      </w:r>
    </w:p>
    <w:p w14:paraId="30CB9DC0">
      <w:pPr>
        <w:keepNext w:val="0"/>
        <w:keepLines w:val="0"/>
        <w:pageBreakBefore w:val="0"/>
        <w:widowControl/>
        <w:kinsoku w:val="0"/>
        <w:wordWrap/>
        <w:overflowPunct/>
        <w:topLinePunct w:val="0"/>
        <w:autoSpaceDE w:val="0"/>
        <w:autoSpaceDN w:val="0"/>
        <w:bidi w:val="0"/>
        <w:adjustRightInd w:val="0"/>
        <w:snapToGrid w:val="0"/>
        <w:spacing w:before="55" w:line="264" w:lineRule="auto"/>
        <w:ind w:left="429"/>
        <w:textAlignment w:val="baseline"/>
        <w:rPr>
          <w:rFonts w:ascii="宋体" w:hAnsi="宋体" w:eastAsia="宋体" w:cs="宋体"/>
          <w:spacing w:val="-6"/>
          <w:sz w:val="21"/>
          <w:szCs w:val="21"/>
        </w:rPr>
      </w:pPr>
      <w:r>
        <w:rPr>
          <w:rFonts w:ascii="宋体" w:hAnsi="宋体" w:eastAsia="宋体" w:cs="宋体"/>
          <w:spacing w:val="-6"/>
          <w:sz w:val="21"/>
          <w:szCs w:val="21"/>
        </w:rPr>
        <w:t>标准状态下(温度273</w:t>
      </w:r>
      <w:r>
        <w:rPr>
          <w:rFonts w:hint="eastAsia" w:ascii="宋体" w:hAnsi="宋体" w:eastAsia="宋体" w:cs="宋体"/>
          <w:spacing w:val="-6"/>
          <w:sz w:val="21"/>
          <w:szCs w:val="21"/>
          <w:lang w:val="en-US" w:eastAsia="zh-CN"/>
        </w:rPr>
        <w:t>.15</w:t>
      </w:r>
      <w:r>
        <w:rPr>
          <w:rFonts w:ascii="宋体" w:hAnsi="宋体" w:eastAsia="宋体" w:cs="宋体"/>
          <w:spacing w:val="-6"/>
          <w:sz w:val="21"/>
          <w:szCs w:val="21"/>
        </w:rPr>
        <w:t>K, 压力101.325 kPa), 每立方米干排气中所含NMHC的质量，单位为g/m³。</w:t>
      </w:r>
    </w:p>
    <w:p w14:paraId="29C090CD">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6"/>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20950-2020,3.16]</w:t>
      </w:r>
    </w:p>
    <w:p w14:paraId="0959F7D9">
      <w:pPr>
        <w:keepNext w:val="0"/>
        <w:keepLines w:val="0"/>
        <w:pageBreakBefore w:val="0"/>
        <w:widowControl/>
        <w:kinsoku w:val="0"/>
        <w:wordWrap/>
        <w:overflowPunct/>
        <w:topLinePunct w:val="0"/>
        <w:autoSpaceDE w:val="0"/>
        <w:autoSpaceDN w:val="0"/>
        <w:bidi w:val="0"/>
        <w:adjustRightInd w:val="0"/>
        <w:snapToGrid w:val="0"/>
        <w:spacing w:before="97" w:line="264" w:lineRule="auto"/>
        <w:ind w:left="3"/>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rPr>
        <w:t>3.1</w:t>
      </w:r>
      <w:r>
        <w:rPr>
          <w:rFonts w:hint="eastAsia" w:ascii="黑体" w:hAnsi="黑体" w:eastAsia="黑体" w:cs="黑体"/>
          <w:b w:val="0"/>
          <w:bCs w:val="0"/>
          <w:spacing w:val="0"/>
          <w:sz w:val="21"/>
          <w:szCs w:val="21"/>
          <w:lang w:val="en-US" w:eastAsia="zh-CN"/>
        </w:rPr>
        <w:t>4</w:t>
      </w:r>
    </w:p>
    <w:p w14:paraId="13A8C09C">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油气收集系统密封点  sealing point of vapor collection system</w:t>
      </w:r>
    </w:p>
    <w:p w14:paraId="4E1EA4E5">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0"/>
          <w:sz w:val="21"/>
          <w:szCs w:val="21"/>
        </w:rPr>
      </w:pPr>
      <w:r>
        <w:rPr>
          <w:rFonts w:ascii="宋体" w:hAnsi="宋体" w:eastAsia="宋体" w:cs="宋体"/>
          <w:spacing w:val="0"/>
          <w:sz w:val="21"/>
          <w:szCs w:val="21"/>
        </w:rPr>
        <w:t>与发油设施配套的油气收集系统可能发生泄漏的部位，特指油罐车底部发油油气回收快速接头、铁路罐车顶部浸没式发油密封罩</w:t>
      </w:r>
      <w:r>
        <w:rPr>
          <w:rFonts w:hint="eastAsia" w:ascii="宋体" w:hAnsi="宋体" w:eastAsia="宋体" w:cs="宋体"/>
          <w:spacing w:val="0"/>
          <w:sz w:val="21"/>
          <w:szCs w:val="21"/>
          <w:lang w:eastAsia="zh-CN"/>
        </w:rPr>
        <w:t>、</w:t>
      </w:r>
      <w:r>
        <w:rPr>
          <w:rFonts w:hint="eastAsia" w:ascii="宋体" w:hAnsi="宋体" w:eastAsia="宋体" w:cs="宋体"/>
          <w:spacing w:val="0"/>
          <w:sz w:val="21"/>
          <w:szCs w:val="21"/>
          <w:lang w:val="en-US" w:eastAsia="zh-CN"/>
        </w:rPr>
        <w:t>油船油气回收管线法兰</w:t>
      </w:r>
      <w:r>
        <w:rPr>
          <w:rFonts w:ascii="宋体" w:hAnsi="宋体" w:eastAsia="宋体" w:cs="宋体"/>
          <w:spacing w:val="0"/>
          <w:sz w:val="21"/>
          <w:szCs w:val="21"/>
        </w:rPr>
        <w:t>。</w:t>
      </w:r>
    </w:p>
    <w:p w14:paraId="4A45BD89">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ascii="宋体" w:hAnsi="宋体" w:eastAsia="宋体" w:cs="宋体"/>
          <w:spacing w:val="0"/>
          <w:sz w:val="21"/>
          <w:szCs w:val="21"/>
        </w:rPr>
      </w:pPr>
      <w:r>
        <w:rPr>
          <w:rFonts w:hint="eastAsia" w:ascii="宋体" w:hAnsi="宋体" w:eastAsia="宋体" w:cs="宋体"/>
          <w:snapToGrid w:val="0"/>
          <w:color w:val="auto"/>
          <w:spacing w:val="0"/>
          <w:kern w:val="0"/>
          <w:sz w:val="21"/>
          <w:szCs w:val="21"/>
          <w:highlight w:val="none"/>
          <w:lang w:val="en-US" w:eastAsia="zh-CN" w:bidi="ar"/>
        </w:rPr>
        <w:t>[来源： GB 20950-2020,3.18]</w:t>
      </w:r>
    </w:p>
    <w:p w14:paraId="17264E5D">
      <w:pPr>
        <w:keepNext w:val="0"/>
        <w:keepLines w:val="0"/>
        <w:pageBreakBefore w:val="0"/>
        <w:widowControl/>
        <w:kinsoku w:val="0"/>
        <w:wordWrap/>
        <w:overflowPunct/>
        <w:topLinePunct w:val="0"/>
        <w:autoSpaceDE w:val="0"/>
        <w:autoSpaceDN w:val="0"/>
        <w:bidi w:val="0"/>
        <w:adjustRightInd w:val="0"/>
        <w:snapToGrid w:val="0"/>
        <w:spacing w:before="83" w:line="264" w:lineRule="auto"/>
        <w:ind w:left="3"/>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rPr>
        <w:t>3.1</w:t>
      </w:r>
      <w:r>
        <w:rPr>
          <w:rFonts w:hint="eastAsia" w:ascii="黑体" w:hAnsi="黑体" w:eastAsia="黑体" w:cs="黑体"/>
          <w:b w:val="0"/>
          <w:bCs w:val="0"/>
          <w:spacing w:val="0"/>
          <w:sz w:val="21"/>
          <w:szCs w:val="21"/>
          <w:lang w:val="en-US" w:eastAsia="zh-CN"/>
        </w:rPr>
        <w:t>5</w:t>
      </w:r>
    </w:p>
    <w:p w14:paraId="6C9608D1">
      <w:pPr>
        <w:keepNext w:val="0"/>
        <w:keepLines w:val="0"/>
        <w:pageBreakBefore w:val="0"/>
        <w:widowControl/>
        <w:kinsoku w:val="0"/>
        <w:wordWrap/>
        <w:overflowPunct/>
        <w:topLinePunct w:val="0"/>
        <w:autoSpaceDE w:val="0"/>
        <w:autoSpaceDN w:val="0"/>
        <w:bidi w:val="0"/>
        <w:adjustRightInd w:val="0"/>
        <w:snapToGrid w:val="0"/>
        <w:spacing w:before="48" w:line="264" w:lineRule="auto"/>
        <w:ind w:left="423"/>
        <w:textAlignment w:val="baseline"/>
        <w:outlineLvl w:val="9"/>
        <w:rPr>
          <w:rFonts w:hint="eastAsia" w:ascii="黑体" w:hAnsi="黑体" w:eastAsia="黑体" w:cs="黑体"/>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泄漏检测值  leakage detection value</w:t>
      </w:r>
    </w:p>
    <w:p w14:paraId="6284F121">
      <w:pPr>
        <w:keepNext w:val="0"/>
        <w:keepLines w:val="0"/>
        <w:pageBreakBefore w:val="0"/>
        <w:widowControl/>
        <w:kinsoku w:val="0"/>
        <w:wordWrap/>
        <w:overflowPunct/>
        <w:topLinePunct w:val="0"/>
        <w:autoSpaceDE w:val="0"/>
        <w:autoSpaceDN w:val="0"/>
        <w:bidi w:val="0"/>
        <w:adjustRightInd w:val="0"/>
        <w:snapToGrid w:val="0"/>
        <w:spacing w:before="72" w:line="264" w:lineRule="auto"/>
        <w:ind w:firstLine="420"/>
        <w:jc w:val="both"/>
        <w:textAlignment w:val="baseline"/>
        <w:rPr>
          <w:rFonts w:ascii="宋体" w:hAnsi="宋体" w:eastAsia="宋体" w:cs="宋体"/>
          <w:spacing w:val="-6"/>
          <w:sz w:val="21"/>
          <w:szCs w:val="21"/>
        </w:rPr>
      </w:pPr>
      <w:r>
        <w:rPr>
          <w:rFonts w:ascii="宋体" w:hAnsi="宋体" w:eastAsia="宋体" w:cs="宋体"/>
          <w:spacing w:val="-6"/>
          <w:sz w:val="21"/>
          <w:szCs w:val="21"/>
        </w:rPr>
        <w:t>采用规定的监测方法，检测仪器探测到油气收集系统密封点的VOCs浓度扣除环境本底值后的净值，以碳的摩尔分数表示。</w:t>
      </w:r>
    </w:p>
    <w:p w14:paraId="3C8AEB75">
      <w:pPr>
        <w:keepNext w:val="0"/>
        <w:keepLines w:val="0"/>
        <w:pageBreakBefore w:val="0"/>
        <w:widowControl/>
        <w:kinsoku w:val="0"/>
        <w:wordWrap/>
        <w:overflowPunct/>
        <w:topLinePunct w:val="0"/>
        <w:autoSpaceDE w:val="0"/>
        <w:autoSpaceDN w:val="0"/>
        <w:bidi w:val="0"/>
        <w:adjustRightInd w:val="0"/>
        <w:snapToGrid w:val="0"/>
        <w:spacing w:before="103" w:line="264" w:lineRule="auto"/>
        <w:ind w:left="3" w:firstLine="420" w:firstLineChars="200"/>
        <w:textAlignment w:val="baseline"/>
        <w:rPr>
          <w:rFonts w:hint="eastAsia" w:ascii="宋体" w:hAnsi="宋体" w:eastAsia="宋体" w:cs="宋体"/>
          <w:snapToGrid w:val="0"/>
          <w:color w:val="auto"/>
          <w:spacing w:val="0"/>
          <w:kern w:val="0"/>
          <w:sz w:val="21"/>
          <w:szCs w:val="21"/>
          <w:highlight w:val="none"/>
          <w:lang w:val="en-US" w:eastAsia="zh-CN" w:bidi="ar"/>
        </w:rPr>
      </w:pPr>
      <w:r>
        <w:rPr>
          <w:rFonts w:hint="eastAsia" w:ascii="宋体" w:hAnsi="宋体" w:eastAsia="宋体" w:cs="宋体"/>
          <w:snapToGrid w:val="0"/>
          <w:color w:val="auto"/>
          <w:spacing w:val="0"/>
          <w:kern w:val="0"/>
          <w:sz w:val="21"/>
          <w:szCs w:val="21"/>
          <w:highlight w:val="none"/>
          <w:lang w:val="en-US" w:eastAsia="zh-CN" w:bidi="ar"/>
        </w:rPr>
        <w:t>[来源： GB 20950-2020,3.19]</w:t>
      </w:r>
    </w:p>
    <w:p w14:paraId="48FD7DC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1554E8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4" w:name="_Toc30991"/>
      <w:r>
        <w:rPr>
          <w:rFonts w:hint="eastAsia" w:ascii="黑体" w:hAnsi="黑体" w:eastAsia="黑体" w:cs="黑体"/>
          <w:snapToGrid w:val="0"/>
          <w:color w:val="000000"/>
          <w:spacing w:val="10"/>
          <w:kern w:val="0"/>
          <w:sz w:val="21"/>
          <w:szCs w:val="21"/>
          <w:lang w:val="en-US" w:eastAsia="zh-CN" w:bidi="ar-SA"/>
        </w:rPr>
        <w:t>4 控制要求</w:t>
      </w:r>
      <w:bookmarkEnd w:id="4"/>
    </w:p>
    <w:p w14:paraId="6F8DA6D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CD4D2D4">
      <w:pPr>
        <w:pStyle w:val="2"/>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4.1  收油控制要求</w:t>
      </w:r>
    </w:p>
    <w:p w14:paraId="6106C990">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ascii="宋体" w:hAnsi="宋体" w:eastAsia="宋体" w:cs="宋体"/>
          <w:spacing w:val="0"/>
          <w:sz w:val="21"/>
          <w:szCs w:val="21"/>
        </w:rPr>
      </w:pPr>
      <w:r>
        <w:rPr>
          <w:rFonts w:hint="eastAsia" w:ascii="黑体" w:hAnsi="黑体" w:eastAsia="黑体" w:cs="黑体"/>
          <w:b w:val="0"/>
          <w:bCs w:val="0"/>
          <w:spacing w:val="0"/>
          <w:sz w:val="21"/>
          <w:szCs w:val="21"/>
        </w:rPr>
        <w:t>4.1.1</w:t>
      </w:r>
      <w:r>
        <w:rPr>
          <w:rFonts w:ascii="宋体" w:hAnsi="宋体" w:eastAsia="宋体" w:cs="宋体"/>
          <w:spacing w:val="0"/>
          <w:sz w:val="21"/>
          <w:szCs w:val="21"/>
        </w:rPr>
        <w:t xml:space="preserve"> </w:t>
      </w:r>
      <w:r>
        <w:rPr>
          <w:rFonts w:hint="eastAsia" w:ascii="宋体" w:hAnsi="宋体" w:eastAsia="宋体" w:cs="宋体"/>
          <w:spacing w:val="0"/>
          <w:sz w:val="21"/>
          <w:szCs w:val="21"/>
          <w:lang w:val="en-US" w:eastAsia="zh-CN"/>
        </w:rPr>
        <w:t xml:space="preserve"> </w:t>
      </w:r>
      <w:r>
        <w:rPr>
          <w:rFonts w:ascii="宋体" w:hAnsi="宋体" w:eastAsia="宋体" w:cs="宋体"/>
          <w:spacing w:val="0"/>
          <w:sz w:val="21"/>
          <w:szCs w:val="21"/>
        </w:rPr>
        <w:t>通过汽车罐车收油，应采用密闭泵送或自流式管道系统，收油时从卧式储罐内置换出的油气应密闭回收到汽车罐车内。</w:t>
      </w:r>
    </w:p>
    <w:p w14:paraId="239DE9CC">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4.1.2</w:t>
      </w:r>
      <w:r>
        <w:rPr>
          <w:rFonts w:hint="eastAsia" w:ascii="宋体" w:hAnsi="宋体" w:eastAsia="宋体" w:cs="宋体"/>
          <w:spacing w:val="0"/>
          <w:sz w:val="21"/>
          <w:szCs w:val="21"/>
          <w:lang w:val="en-US" w:eastAsia="zh-CN"/>
        </w:rPr>
        <w:t xml:space="preserve">  通过铁路罐车收油，除拆装灌装鹤管之外的时段，收油鹤管与铁路罐车灌装口(人孔)应密闭。 从泵站扫仓罐中产生的油气应密闭收集，并送入油气处理装置进行回收处理。</w:t>
      </w:r>
    </w:p>
    <w:p w14:paraId="0B283577">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4.1.3</w:t>
      </w:r>
      <w:r>
        <w:rPr>
          <w:rFonts w:hint="eastAsia" w:ascii="宋体" w:hAnsi="宋体" w:eastAsia="宋体" w:cs="宋体"/>
          <w:b/>
          <w:bCs/>
          <w:spacing w:val="0"/>
          <w:sz w:val="21"/>
          <w:szCs w:val="21"/>
          <w:highlight w:val="none"/>
          <w:lang w:val="en-US" w:eastAsia="zh-CN"/>
        </w:rPr>
        <w:t xml:space="preserve"> </w:t>
      </w:r>
      <w:r>
        <w:rPr>
          <w:rFonts w:hint="eastAsia" w:ascii="宋体" w:hAnsi="宋体" w:eastAsia="宋体" w:cs="宋体"/>
          <w:spacing w:val="0"/>
          <w:sz w:val="21"/>
          <w:szCs w:val="21"/>
          <w:highlight w:val="none"/>
          <w:lang w:val="en-US" w:eastAsia="zh-CN"/>
        </w:rPr>
        <w:t xml:space="preserve"> 通过油船收油，输油臂应与油船输油管线法兰密闭连接，油船油仓保持密闭。 </w:t>
      </w:r>
    </w:p>
    <w:p w14:paraId="7FED0AD8">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4.1.4</w:t>
      </w:r>
      <w:r>
        <w:rPr>
          <w:rFonts w:hint="eastAsia" w:ascii="宋体" w:hAnsi="宋体" w:eastAsia="宋体" w:cs="宋体"/>
          <w:spacing w:val="0"/>
          <w:sz w:val="21"/>
          <w:szCs w:val="21"/>
          <w:lang w:val="en-US" w:eastAsia="zh-CN"/>
        </w:rPr>
        <w:t xml:space="preserve">  通过管道收油，管道应保持密闭。</w:t>
      </w:r>
    </w:p>
    <w:p w14:paraId="2855DA5F">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4.2  储油控制要求</w:t>
      </w:r>
    </w:p>
    <w:p w14:paraId="65166E47">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4.2.1  油品储存方式</w:t>
      </w:r>
    </w:p>
    <w:p w14:paraId="4B5BC912">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highlight w:val="none"/>
          <w:lang w:val="en-US" w:eastAsia="zh-CN"/>
        </w:rPr>
      </w:pPr>
      <w:r>
        <w:rPr>
          <w:rFonts w:hint="eastAsia" w:ascii="宋体" w:hAnsi="宋体" w:eastAsia="宋体" w:cs="宋体"/>
          <w:spacing w:val="0"/>
          <w:sz w:val="21"/>
          <w:szCs w:val="21"/>
          <w:highlight w:val="none"/>
          <w:lang w:val="en-US" w:eastAsia="zh-CN"/>
        </w:rPr>
        <w:t>储存汽油应采用内浮顶罐，储存航空煤油应采用内浮顶罐、外浮顶罐或其他等效措施。</w:t>
      </w:r>
    </w:p>
    <w:p w14:paraId="1B41F853">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rFonts w:hint="eastAsia"/>
          <w:position w:val="1"/>
          <w:sz w:val="20"/>
          <w:szCs w:val="20"/>
          <w:lang w:eastAsia="zh-CN"/>
        </w:rPr>
      </w:pPr>
    </w:p>
    <w:p w14:paraId="20EBAAEE">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336692DA">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p>
    <w:p w14:paraId="7648A336">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4.2.2  浮顶罐运行要求</w:t>
      </w:r>
    </w:p>
    <w:p w14:paraId="5E574A33">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"https://4.2.2.1"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4.2.2.1</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spacing w:val="0"/>
          <w:sz w:val="21"/>
          <w:szCs w:val="21"/>
          <w:lang w:val="en-US" w:eastAsia="zh-CN"/>
        </w:rPr>
        <w:t xml:space="preserve">  </w:t>
      </w:r>
      <w:r>
        <w:rPr>
          <w:rFonts w:hint="eastAsia" w:ascii="宋体" w:hAnsi="宋体" w:eastAsia="宋体" w:cs="宋体"/>
          <w:spacing w:val="-11"/>
          <w:sz w:val="21"/>
          <w:szCs w:val="21"/>
          <w:lang w:val="en-US" w:eastAsia="zh-CN"/>
        </w:rPr>
        <w:t>内浮顶罐的浮盘与罐壁之间应采用浸液式密封、机械式鞋形密封等高效密封方式。</w:t>
      </w:r>
    </w:p>
    <w:p w14:paraId="5E0BA67E">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"https://4.2.2.2"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4.2.2.2</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spacing w:val="0"/>
          <w:sz w:val="21"/>
          <w:szCs w:val="21"/>
          <w:lang w:val="en-US" w:eastAsia="zh-CN"/>
        </w:rPr>
        <w:t xml:space="preserve">  外浮顶罐的浮盘与罐壁之间应采用双重密封，且一次密封采用浸液式密封、机械式鞋形密封等高效密封方式。</w:t>
      </w:r>
    </w:p>
    <w:p w14:paraId="4BB547E3">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"https://4.2.2.3"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4.2.2.3</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浮顶罐罐体应保持完好，不应有孔洞(通气孔除外)和裂隙。</w:t>
      </w:r>
    </w:p>
    <w:p w14:paraId="7DF30426">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"https://4.2.2.4"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4.2.2.4</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spacing w:val="0"/>
          <w:sz w:val="21"/>
          <w:szCs w:val="21"/>
          <w:lang w:val="en-US" w:eastAsia="zh-CN"/>
        </w:rPr>
        <w:t xml:space="preserve">  浮盘附件的开口(孔),除采样、计量、例行检查、维护和其他正常活动外，应密闭；浮盘边缘密封不应有破损。</w:t>
      </w:r>
    </w:p>
    <w:p w14:paraId="5612D5C8">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"https://4.2.2.5"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4.2.2.5</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11"/>
          <w:sz w:val="21"/>
          <w:szCs w:val="21"/>
          <w:lang w:val="en-US" w:eastAsia="zh-CN"/>
        </w:rPr>
        <w:t>支柱、导向装置等储罐附件穿过浮盘时，其套筒底端应插入油品中并采取密封措施。</w:t>
      </w:r>
    </w:p>
    <w:p w14:paraId="258C4517">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"https://4.2.2.6"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4.2.2.6</w:t>
      </w:r>
      <w:r>
        <w:rPr>
          <w:rFonts w:hint="eastAsia" w:ascii="黑体" w:hAnsi="黑体" w:eastAsia="黑体" w:cs="黑体"/>
          <w:b w:val="0"/>
          <w:bCs w:val="0"/>
          <w:spacing w:val="0"/>
          <w:sz w:val="21"/>
          <w:szCs w:val="21"/>
          <w:lang w:val="en-US" w:eastAsia="zh-CN"/>
        </w:rPr>
        <w:fldChar w:fldCharType="end"/>
      </w:r>
      <w:r>
        <w:rPr>
          <w:rFonts w:hint="eastAsia" w:ascii="黑体" w:hAnsi="黑体" w:eastAsia="黑体" w:cs="黑体"/>
          <w:b w:val="0"/>
          <w:bCs w:val="0"/>
          <w:spacing w:val="0"/>
          <w:sz w:val="21"/>
          <w:szCs w:val="21"/>
          <w:lang w:val="en-US" w:eastAsia="zh-CN"/>
        </w:rPr>
        <w:t xml:space="preserve"> </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除储罐排空作业外，浮盘应始终漂浮于油品的表面。</w:t>
      </w:r>
    </w:p>
    <w:p w14:paraId="227C616D">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"https://4.2.2.7"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4.2.2.7</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spacing w:val="0"/>
          <w:sz w:val="21"/>
          <w:szCs w:val="21"/>
          <w:lang w:val="en-US" w:eastAsia="zh-CN"/>
        </w:rPr>
        <w:t xml:space="preserve">  自动通气阀在浮盘处于漂浮状态时应关闭且密封良好，仅在浮盘处于支座支撑状态时可开启。</w:t>
      </w:r>
    </w:p>
    <w:p w14:paraId="67F2650F">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"https://4.2.2.8"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4.2.2.8</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spacing w:val="0"/>
          <w:sz w:val="21"/>
          <w:szCs w:val="21"/>
          <w:lang w:val="en-US" w:eastAsia="zh-CN"/>
        </w:rPr>
        <w:t xml:space="preserve">  </w:t>
      </w:r>
      <w:r>
        <w:rPr>
          <w:rFonts w:hint="eastAsia" w:ascii="宋体" w:hAnsi="宋体" w:eastAsia="宋体" w:cs="宋体"/>
          <w:spacing w:val="-11"/>
          <w:sz w:val="21"/>
          <w:szCs w:val="21"/>
          <w:lang w:val="en-US" w:eastAsia="zh-CN"/>
        </w:rPr>
        <w:t>边缘呼吸阀在浮盘处于漂浮状态时应密封良好，并定期检查定压是否符合设定要求。</w:t>
      </w:r>
    </w:p>
    <w:p w14:paraId="2B10F7BA">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"https://4.2.2.9"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4.2.2.9</w:t>
      </w:r>
      <w:r>
        <w:rPr>
          <w:rFonts w:hint="eastAsia" w:ascii="黑体" w:hAnsi="黑体" w:eastAsia="黑体" w:cs="黑体"/>
          <w:b w:val="0"/>
          <w:bCs w:val="0"/>
          <w:spacing w:val="0"/>
          <w:sz w:val="21"/>
          <w:szCs w:val="21"/>
          <w:lang w:val="en-US" w:eastAsia="zh-CN"/>
        </w:rPr>
        <w:fldChar w:fldCharType="end"/>
      </w:r>
      <w:r>
        <w:rPr>
          <w:rFonts w:hint="eastAsia" w:ascii="黑体" w:hAnsi="黑体" w:eastAsia="黑体" w:cs="黑体"/>
          <w:b w:val="0"/>
          <w:bCs w:val="0"/>
          <w:spacing w:val="0"/>
          <w:sz w:val="21"/>
          <w:szCs w:val="21"/>
          <w:lang w:val="en-US" w:eastAsia="zh-CN"/>
        </w:rPr>
        <w:t xml:space="preserve"> </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除自动通气阀、边缘呼吸阀外，浮盘外边缘板及所有通过浮盘的开孔接管均应浸入油品液面下。</w:t>
      </w:r>
    </w:p>
    <w:p w14:paraId="748D1D5C">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4.2.3   浮顶罐维护与记录</w:t>
      </w:r>
    </w:p>
    <w:p w14:paraId="0E29F87A">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"https://4.2.3.1"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4.2.3.1</w:t>
      </w:r>
      <w:r>
        <w:rPr>
          <w:rFonts w:hint="eastAsia" w:ascii="黑体" w:hAnsi="黑体" w:eastAsia="黑体" w:cs="黑体"/>
          <w:b w:val="0"/>
          <w:bCs w:val="0"/>
          <w:spacing w:val="0"/>
          <w:sz w:val="21"/>
          <w:szCs w:val="21"/>
          <w:lang w:val="en-US" w:eastAsia="zh-CN"/>
        </w:rPr>
        <w:fldChar w:fldCharType="end"/>
      </w:r>
      <w:r>
        <w:rPr>
          <w:rFonts w:hint="eastAsia" w:ascii="黑体" w:hAnsi="黑体" w:eastAsia="黑体" w:cs="黑体"/>
          <w:b w:val="0"/>
          <w:bCs w:val="0"/>
          <w:spacing w:val="0"/>
          <w:sz w:val="21"/>
          <w:szCs w:val="21"/>
          <w:lang w:val="en-US" w:eastAsia="zh-CN"/>
        </w:rPr>
        <w:t xml:space="preserve"> </w:t>
      </w:r>
      <w:r>
        <w:rPr>
          <w:rFonts w:hint="eastAsia" w:ascii="宋体" w:hAnsi="宋体" w:eastAsia="宋体" w:cs="宋体"/>
          <w:spacing w:val="0"/>
          <w:sz w:val="21"/>
          <w:szCs w:val="21"/>
          <w:lang w:val="en-US" w:eastAsia="zh-CN"/>
        </w:rPr>
        <w:t xml:space="preserve"> 在每个停工检修期对内浮顶罐的完好情况进行检查。发现有不符合4.2.2规定的，应在该停工检修期内完成修复；若延迟修复，应将相关方案报生态环境主管部门确定。</w:t>
      </w:r>
    </w:p>
    <w:p w14:paraId="0E55366B">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"https://4.2.3.2"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4.2.3.2</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外浮顶罐不符合4.2.2规定的，应在90d内完成修复或排空储罐停止使用；若延迟修复或排空储罐，应将相关方案报生态环境主管部门确定。</w:t>
      </w:r>
    </w:p>
    <w:p w14:paraId="73A08C67">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fldChar w:fldCharType="begin"/>
      </w:r>
      <w:r>
        <w:rPr>
          <w:rFonts w:hint="eastAsia" w:ascii="黑体" w:hAnsi="黑体" w:eastAsia="黑体" w:cs="黑体"/>
          <w:b w:val="0"/>
          <w:bCs w:val="0"/>
          <w:spacing w:val="0"/>
          <w:sz w:val="21"/>
          <w:szCs w:val="21"/>
          <w:lang w:val="en-US" w:eastAsia="zh-CN"/>
        </w:rPr>
        <w:instrText xml:space="preserve"> HYPERLINK "https://4.2.3.3" </w:instrText>
      </w:r>
      <w:r>
        <w:rPr>
          <w:rFonts w:hint="eastAsia" w:ascii="黑体" w:hAnsi="黑体" w:eastAsia="黑体" w:cs="黑体"/>
          <w:b w:val="0"/>
          <w:bCs w:val="0"/>
          <w:spacing w:val="0"/>
          <w:sz w:val="21"/>
          <w:szCs w:val="21"/>
          <w:lang w:val="en-US" w:eastAsia="zh-CN"/>
        </w:rPr>
        <w:fldChar w:fldCharType="separate"/>
      </w:r>
      <w:r>
        <w:rPr>
          <w:rFonts w:hint="eastAsia" w:ascii="黑体" w:hAnsi="黑体" w:eastAsia="黑体" w:cs="黑体"/>
          <w:b w:val="0"/>
          <w:bCs w:val="0"/>
          <w:spacing w:val="0"/>
          <w:sz w:val="21"/>
          <w:szCs w:val="21"/>
          <w:lang w:val="en-US" w:eastAsia="zh-CN"/>
        </w:rPr>
        <w:t>4.2.3.3</w:t>
      </w:r>
      <w:r>
        <w:rPr>
          <w:rFonts w:hint="eastAsia" w:ascii="黑体" w:hAnsi="黑体" w:eastAsia="黑体" w:cs="黑体"/>
          <w:b w:val="0"/>
          <w:bCs w:val="0"/>
          <w:spacing w:val="0"/>
          <w:sz w:val="21"/>
          <w:szCs w:val="21"/>
          <w:lang w:val="en-US" w:eastAsia="zh-CN"/>
        </w:rPr>
        <w:fldChar w:fldCharType="end"/>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编制检查与修复记录。</w:t>
      </w:r>
    </w:p>
    <w:p w14:paraId="7B28E45D">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4.3  发油控制要求</w:t>
      </w:r>
    </w:p>
    <w:p w14:paraId="0247B044">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i w:val="0"/>
          <w:iCs w:val="0"/>
          <w:spacing w:val="0"/>
          <w:sz w:val="21"/>
          <w:szCs w:val="21"/>
          <w:lang w:val="en-US" w:eastAsia="zh-CN"/>
        </w:rPr>
        <w:t>4.3.1</w:t>
      </w:r>
      <w:r>
        <w:rPr>
          <w:rFonts w:hint="eastAsia" w:ascii="宋体" w:hAnsi="宋体" w:eastAsia="宋体" w:cs="宋体"/>
          <w:b/>
          <w:bCs/>
          <w:i w:val="0"/>
          <w:iCs w:val="0"/>
          <w:spacing w:val="0"/>
          <w:sz w:val="21"/>
          <w:szCs w:val="21"/>
          <w:lang w:val="en-US" w:eastAsia="zh-CN"/>
        </w:rPr>
        <w:t xml:space="preserve">  </w:t>
      </w:r>
      <w:r>
        <w:rPr>
          <w:rFonts w:hint="eastAsia" w:ascii="宋体" w:hAnsi="宋体" w:eastAsia="宋体" w:cs="宋体"/>
          <w:spacing w:val="0"/>
          <w:sz w:val="21"/>
          <w:szCs w:val="21"/>
          <w:lang w:val="en-US" w:eastAsia="zh-CN"/>
        </w:rPr>
        <w:t>向油罐车发油时产生的油气应密闭收集，并送入油气处理装置回收处理。</w:t>
      </w:r>
    </w:p>
    <w:p w14:paraId="3214C366">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4.3.2</w:t>
      </w:r>
      <w:r>
        <w:rPr>
          <w:rFonts w:hint="eastAsia" w:ascii="宋体" w:hAnsi="宋体" w:eastAsia="宋体" w:cs="宋体"/>
          <w:spacing w:val="0"/>
          <w:sz w:val="21"/>
          <w:szCs w:val="21"/>
          <w:lang w:val="en-US" w:eastAsia="zh-CN"/>
        </w:rPr>
        <w:t xml:space="preserve">  向汽车罐车发油应采用底部发油方式，底部发油快速接头和油气回收快速接头应采用自封式，快速接头公称直径应为100 mm。</w:t>
      </w:r>
    </w:p>
    <w:p w14:paraId="7F8EB157">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4.3.3</w:t>
      </w:r>
      <w:r>
        <w:rPr>
          <w:rFonts w:hint="eastAsia" w:ascii="宋体" w:hAnsi="宋体" w:eastAsia="宋体" w:cs="宋体"/>
          <w:spacing w:val="0"/>
          <w:sz w:val="21"/>
          <w:szCs w:val="21"/>
          <w:lang w:val="en-US" w:eastAsia="zh-CN"/>
        </w:rPr>
        <w:t xml:space="preserve">  向汽车罐车发油时，油气收集系统应为正压，且压力不应超过6.0 kPa。</w:t>
      </w:r>
    </w:p>
    <w:p w14:paraId="112E1DD8">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 xml:space="preserve">4.3.4 </w:t>
      </w:r>
      <w:r>
        <w:rPr>
          <w:rFonts w:hint="eastAsia" w:ascii="宋体" w:hAnsi="宋体" w:eastAsia="宋体" w:cs="宋体"/>
          <w:spacing w:val="0"/>
          <w:sz w:val="21"/>
          <w:szCs w:val="21"/>
          <w:lang w:val="en-US" w:eastAsia="zh-CN"/>
        </w:rPr>
        <w:t xml:space="preserve"> 向铁路罐车发油应采用顶部浸没式或底部发油方式，顶部浸没式灌装鹤管出口距离罐底高度应小于200 mm。</w:t>
      </w:r>
    </w:p>
    <w:p w14:paraId="322A6382">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4.3.5</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向铁路罐车发油时，除拆装灌装鹤管之外的时段，灌装鹤管与铁路罐车灌装口(人孔)应密闭。</w:t>
      </w:r>
    </w:p>
    <w:p w14:paraId="3C5F752E">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4.3.6</w:t>
      </w:r>
      <w:r>
        <w:rPr>
          <w:rFonts w:hint="eastAsia" w:ascii="宋体" w:hAnsi="宋体" w:eastAsia="宋体" w:cs="宋体"/>
          <w:spacing w:val="0"/>
          <w:sz w:val="21"/>
          <w:szCs w:val="21"/>
          <w:lang w:val="en-US" w:eastAsia="zh-CN"/>
        </w:rPr>
        <w:t xml:space="preserve">  油罐车底部发油结束并断开快速接头时，油品滴洒量不应超过10ml, 滴洒量取连续3次断开操作的平均值。</w:t>
      </w:r>
    </w:p>
    <w:p w14:paraId="2C6E5382">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4.3.7</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向油船发油应采用顶部浸没式，顶部浸没式发油管出口距离罐底高度应小于200mm。</w:t>
      </w:r>
    </w:p>
    <w:p w14:paraId="66C77EE6">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4E9659D2">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pacing w:val="8"/>
          <w:position w:val="1"/>
          <w:sz w:val="20"/>
          <w:szCs w:val="20"/>
        </w:rPr>
      </w:pPr>
    </w:p>
    <w:p w14:paraId="618604AC">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default"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4.3.8</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具有万吨级及以上油品泊位的码头对应的储油库应密闭收集向GB 20951管控的油船发油时产生的油气，并送入油气处理装置回收处理。</w:t>
      </w:r>
    </w:p>
    <w:p w14:paraId="644AA68D">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4.3.9</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采用管道方式发油时，管道应保持密闭。</w:t>
      </w:r>
    </w:p>
    <w:p w14:paraId="41C53727">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4.3.10</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 xml:space="preserve"> 发油应具有防溢流装置。</w:t>
      </w:r>
    </w:p>
    <w:p w14:paraId="174A65AF">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4.3.11</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油气处理装置排气管筒高度不应小于4m, 具体高度以及与周围建筑物的距离应根据环境影响评价文件确定。</w:t>
      </w:r>
    </w:p>
    <w:p w14:paraId="17751599">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4.3.12</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油气处理装置进口和出口应设流量监测系统，流量监测系统应具备连续测量、数据累计的功能。油气从发油平台直至处理装置出口整个过程中，不应稀释排放。</w:t>
      </w:r>
    </w:p>
    <w:p w14:paraId="60AB7892">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4.4  VOCs 泄漏控制要求</w:t>
      </w:r>
    </w:p>
    <w:p w14:paraId="428D70AD">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4.4.1</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企业中载有油品的设备与管线组件及油气收集系统，应按GB 37822开展泄漏检测与修复工作。</w:t>
      </w:r>
    </w:p>
    <w:p w14:paraId="67BD7EE9">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4.4.2</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采用红外摄像方式检测油气收集系统密封点时，不应有油气泄漏。</w:t>
      </w:r>
    </w:p>
    <w:p w14:paraId="513C9BBA">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054B6A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5" w:name="_Toc13386"/>
      <w:r>
        <w:rPr>
          <w:rFonts w:hint="eastAsia" w:ascii="黑体" w:hAnsi="黑体" w:eastAsia="黑体" w:cs="黑体"/>
          <w:snapToGrid w:val="0"/>
          <w:color w:val="000000"/>
          <w:spacing w:val="10"/>
          <w:kern w:val="0"/>
          <w:sz w:val="21"/>
          <w:szCs w:val="21"/>
          <w:lang w:val="en-US" w:eastAsia="zh-CN" w:bidi="ar-SA"/>
        </w:rPr>
        <w:t>5  排放限值</w:t>
      </w:r>
      <w:bookmarkEnd w:id="5"/>
    </w:p>
    <w:p w14:paraId="5018E73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1C8E84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5.1  油气处理装置排放限值</w:t>
      </w:r>
    </w:p>
    <w:p w14:paraId="08E05876">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420" w:firstLineChars="200"/>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油气处理装置应执行表1规定的排放限值。</w:t>
      </w:r>
    </w:p>
    <w:p w14:paraId="25AFED4F">
      <w:pPr>
        <w:keepNext w:val="0"/>
        <w:keepLines w:val="0"/>
        <w:pageBreakBefore w:val="0"/>
        <w:widowControl/>
        <w:kinsoku w:val="0"/>
        <w:wordWrap/>
        <w:overflowPunct/>
        <w:topLinePunct w:val="0"/>
        <w:autoSpaceDE w:val="0"/>
        <w:autoSpaceDN w:val="0"/>
        <w:bidi w:val="0"/>
        <w:adjustRightInd w:val="0"/>
        <w:snapToGrid w:val="0"/>
        <w:spacing w:before="206" w:line="264" w:lineRule="auto"/>
        <w:jc w:val="center"/>
        <w:textAlignment w:val="baseline"/>
        <w:rPr>
          <w:rFonts w:hint="eastAsia" w:ascii="宋体" w:hAnsi="宋体" w:eastAsia="宋体" w:cs="宋体"/>
          <w:spacing w:val="0"/>
          <w:sz w:val="21"/>
          <w:szCs w:val="21"/>
          <w:lang w:val="en-US" w:eastAsia="zh-CN"/>
        </w:rPr>
      </w:pPr>
      <w:r>
        <w:rPr>
          <w:rFonts w:hint="eastAsia" w:ascii="宋体" w:hAnsi="宋体" w:eastAsia="宋体" w:cs="宋体"/>
          <w:b/>
          <w:bCs/>
          <w:spacing w:val="0"/>
          <w:sz w:val="21"/>
          <w:szCs w:val="21"/>
          <w:lang w:val="en-US" w:eastAsia="zh-CN"/>
        </w:rPr>
        <w:t>表 1  油气处理装置排放限值</w:t>
      </w:r>
    </w:p>
    <w:p w14:paraId="09051DC0">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p>
    <w:tbl>
      <w:tblPr>
        <w:tblStyle w:val="10"/>
        <w:tblW w:w="93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11"/>
        <w:gridCol w:w="3107"/>
        <w:gridCol w:w="3112"/>
      </w:tblGrid>
      <w:tr w14:paraId="535F8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3111" w:type="dxa"/>
            <w:vAlign w:val="top"/>
          </w:tcPr>
          <w:p w14:paraId="6AB7F442">
            <w:pPr>
              <w:keepNext w:val="0"/>
              <w:keepLines w:val="0"/>
              <w:pageBreakBefore w:val="0"/>
              <w:widowControl/>
              <w:kinsoku w:val="0"/>
              <w:wordWrap/>
              <w:overflowPunct/>
              <w:topLinePunct w:val="0"/>
              <w:autoSpaceDE w:val="0"/>
              <w:autoSpaceDN w:val="0"/>
              <w:bidi w:val="0"/>
              <w:adjustRightInd w:val="0"/>
              <w:snapToGrid w:val="0"/>
              <w:spacing w:before="206" w:line="264" w:lineRule="auto"/>
              <w:jc w:val="center"/>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污染物项目</w:t>
            </w:r>
          </w:p>
        </w:tc>
        <w:tc>
          <w:tcPr>
            <w:tcW w:w="3107" w:type="dxa"/>
            <w:vAlign w:val="top"/>
          </w:tcPr>
          <w:p w14:paraId="6F81FF7F">
            <w:pPr>
              <w:keepNext w:val="0"/>
              <w:keepLines w:val="0"/>
              <w:pageBreakBefore w:val="0"/>
              <w:widowControl/>
              <w:kinsoku w:val="0"/>
              <w:wordWrap/>
              <w:overflowPunct/>
              <w:topLinePunct w:val="0"/>
              <w:autoSpaceDE w:val="0"/>
              <w:autoSpaceDN w:val="0"/>
              <w:bidi w:val="0"/>
              <w:adjustRightInd w:val="0"/>
              <w:snapToGrid w:val="0"/>
              <w:spacing w:before="206" w:line="264" w:lineRule="auto"/>
              <w:jc w:val="center"/>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排放浓度/(g/m³)</w:t>
            </w:r>
          </w:p>
        </w:tc>
        <w:tc>
          <w:tcPr>
            <w:tcW w:w="3112" w:type="dxa"/>
            <w:vAlign w:val="top"/>
          </w:tcPr>
          <w:p w14:paraId="3558EDEC">
            <w:pPr>
              <w:keepNext w:val="0"/>
              <w:keepLines w:val="0"/>
              <w:pageBreakBefore w:val="0"/>
              <w:widowControl/>
              <w:kinsoku w:val="0"/>
              <w:wordWrap/>
              <w:overflowPunct/>
              <w:topLinePunct w:val="0"/>
              <w:autoSpaceDE w:val="0"/>
              <w:autoSpaceDN w:val="0"/>
              <w:bidi w:val="0"/>
              <w:adjustRightInd w:val="0"/>
              <w:snapToGrid w:val="0"/>
              <w:spacing w:before="206" w:line="264" w:lineRule="auto"/>
              <w:jc w:val="center"/>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处理效率/%</w:t>
            </w:r>
          </w:p>
        </w:tc>
      </w:tr>
      <w:tr w14:paraId="48B94C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3111" w:type="dxa"/>
            <w:vAlign w:val="top"/>
          </w:tcPr>
          <w:p w14:paraId="2C1F7362">
            <w:pPr>
              <w:keepNext w:val="0"/>
              <w:keepLines w:val="0"/>
              <w:pageBreakBefore w:val="0"/>
              <w:widowControl/>
              <w:kinsoku w:val="0"/>
              <w:wordWrap/>
              <w:overflowPunct/>
              <w:topLinePunct w:val="0"/>
              <w:autoSpaceDE w:val="0"/>
              <w:autoSpaceDN w:val="0"/>
              <w:bidi w:val="0"/>
              <w:adjustRightInd w:val="0"/>
              <w:snapToGrid w:val="0"/>
              <w:spacing w:before="206" w:line="264" w:lineRule="auto"/>
              <w:jc w:val="center"/>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NMHC</w:t>
            </w:r>
          </w:p>
        </w:tc>
        <w:tc>
          <w:tcPr>
            <w:tcW w:w="3107" w:type="dxa"/>
            <w:vAlign w:val="top"/>
          </w:tcPr>
          <w:p w14:paraId="1BAB586B">
            <w:pPr>
              <w:keepNext w:val="0"/>
              <w:keepLines w:val="0"/>
              <w:pageBreakBefore w:val="0"/>
              <w:widowControl/>
              <w:kinsoku w:val="0"/>
              <w:wordWrap/>
              <w:overflowPunct/>
              <w:topLinePunct w:val="0"/>
              <w:autoSpaceDE w:val="0"/>
              <w:autoSpaceDN w:val="0"/>
              <w:bidi w:val="0"/>
              <w:adjustRightInd w:val="0"/>
              <w:snapToGrid w:val="0"/>
              <w:spacing w:before="206" w:line="264" w:lineRule="auto"/>
              <w:jc w:val="center"/>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≤20</w:t>
            </w:r>
          </w:p>
        </w:tc>
        <w:tc>
          <w:tcPr>
            <w:tcW w:w="3112" w:type="dxa"/>
            <w:vAlign w:val="top"/>
          </w:tcPr>
          <w:p w14:paraId="49026500">
            <w:pPr>
              <w:keepNext w:val="0"/>
              <w:keepLines w:val="0"/>
              <w:pageBreakBefore w:val="0"/>
              <w:widowControl/>
              <w:kinsoku w:val="0"/>
              <w:wordWrap/>
              <w:overflowPunct/>
              <w:topLinePunct w:val="0"/>
              <w:autoSpaceDE w:val="0"/>
              <w:autoSpaceDN w:val="0"/>
              <w:bidi w:val="0"/>
              <w:adjustRightInd w:val="0"/>
              <w:snapToGrid w:val="0"/>
              <w:spacing w:before="206" w:line="264" w:lineRule="auto"/>
              <w:jc w:val="center"/>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≥95</w:t>
            </w:r>
          </w:p>
        </w:tc>
      </w:tr>
    </w:tbl>
    <w:p w14:paraId="231F6507">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5.2  泄漏排放限值</w:t>
      </w:r>
    </w:p>
    <w:p w14:paraId="015C0E1E">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420" w:firstLineChars="200"/>
        <w:textAlignment w:val="baseline"/>
        <w:rPr>
          <w:rFonts w:hint="eastAsia" w:ascii="宋体" w:hAnsi="宋体" w:eastAsia="宋体" w:cs="宋体"/>
          <w:spacing w:val="0"/>
          <w:sz w:val="21"/>
          <w:szCs w:val="21"/>
          <w:lang w:val="en-US" w:eastAsia="zh-CN"/>
        </w:rPr>
      </w:pPr>
      <w:r>
        <w:rPr>
          <w:rFonts w:hint="eastAsia" w:ascii="宋体" w:hAnsi="宋体" w:eastAsia="宋体" w:cs="宋体"/>
          <w:spacing w:val="0"/>
          <w:sz w:val="21"/>
          <w:szCs w:val="21"/>
          <w:lang w:val="en-US" w:eastAsia="zh-CN"/>
        </w:rPr>
        <w:t>油气收集系统密封点泄漏检测值不应超过500 μmol/mol。</w:t>
      </w:r>
    </w:p>
    <w:p w14:paraId="1496C69C">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val="0"/>
          <w:spacing w:val="0"/>
          <w:sz w:val="21"/>
          <w:szCs w:val="21"/>
          <w:lang w:val="en-US" w:eastAsia="zh-CN"/>
        </w:rPr>
      </w:pPr>
      <w:r>
        <w:rPr>
          <w:rFonts w:hint="eastAsia" w:ascii="黑体" w:hAnsi="黑体" w:eastAsia="黑体" w:cs="黑体"/>
          <w:b w:val="0"/>
          <w:bCs w:val="0"/>
          <w:spacing w:val="0"/>
          <w:sz w:val="21"/>
          <w:szCs w:val="21"/>
          <w:lang w:val="en-US" w:eastAsia="zh-CN"/>
        </w:rPr>
        <w:t>5.3  罐顶通气孔排放限值</w:t>
      </w:r>
    </w:p>
    <w:p w14:paraId="75849345">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420" w:firstLineChars="200"/>
        <w:textAlignment w:val="baseline"/>
        <w:rPr>
          <w:rFonts w:hint="eastAsia" w:ascii="宋体" w:hAnsi="宋体" w:eastAsia="宋体" w:cs="宋体"/>
          <w:spacing w:val="0"/>
          <w:sz w:val="21"/>
          <w:szCs w:val="21"/>
          <w:highlight w:val="none"/>
          <w:lang w:val="en-US" w:eastAsia="zh-CN"/>
        </w:rPr>
      </w:pPr>
      <w:r>
        <w:rPr>
          <w:rFonts w:hint="eastAsia" w:ascii="宋体" w:hAnsi="宋体" w:eastAsia="宋体" w:cs="宋体"/>
          <w:spacing w:val="0"/>
          <w:sz w:val="21"/>
          <w:szCs w:val="21"/>
          <w:highlight w:val="none"/>
          <w:lang w:val="en-US" w:eastAsia="zh-CN"/>
        </w:rPr>
        <w:t>罐顶通气孔VOCs排放浓度不应超过4000 μmol/mol。</w:t>
      </w:r>
    </w:p>
    <w:p w14:paraId="799BC405">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黑体" w:hAnsi="黑体" w:eastAsia="黑体" w:cs="黑体"/>
          <w:b w:val="0"/>
          <w:bCs/>
          <w:spacing w:val="0"/>
          <w:sz w:val="21"/>
          <w:szCs w:val="21"/>
          <w:highlight w:val="none"/>
          <w:lang w:val="en-US" w:eastAsia="zh-CN"/>
        </w:rPr>
      </w:pPr>
      <w:r>
        <w:rPr>
          <w:rFonts w:hint="eastAsia" w:ascii="黑体" w:hAnsi="黑体" w:eastAsia="黑体" w:cs="黑体"/>
          <w:b w:val="0"/>
          <w:bCs/>
          <w:spacing w:val="0"/>
          <w:sz w:val="21"/>
          <w:szCs w:val="21"/>
          <w:highlight w:val="none"/>
          <w:lang w:val="en-US" w:eastAsia="zh-CN"/>
        </w:rPr>
        <w:t>5.4  企业边界排放限值</w:t>
      </w:r>
    </w:p>
    <w:p w14:paraId="1CDE96D7">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420" w:firstLineChars="200"/>
        <w:textAlignment w:val="baseline"/>
        <w:rPr>
          <w:rFonts w:hint="eastAsia" w:ascii="宋体" w:hAnsi="宋体" w:eastAsia="宋体" w:cs="宋体"/>
          <w:spacing w:val="0"/>
          <w:sz w:val="21"/>
          <w:szCs w:val="21"/>
          <w:highlight w:val="none"/>
          <w:lang w:val="en-US" w:eastAsia="zh-CN"/>
        </w:rPr>
      </w:pPr>
      <w:r>
        <w:rPr>
          <w:rFonts w:hint="eastAsia" w:ascii="宋体" w:hAnsi="宋体" w:eastAsia="宋体" w:cs="宋体"/>
          <w:spacing w:val="0"/>
          <w:sz w:val="21"/>
          <w:szCs w:val="21"/>
          <w:highlight w:val="none"/>
          <w:lang w:val="en-US" w:eastAsia="zh-CN"/>
        </w:rPr>
        <w:t>企业边界任意1小时NMHC平均浓度值不应超过4.0 mg/m³。</w:t>
      </w:r>
    </w:p>
    <w:p w14:paraId="308B8B4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26F10BB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6" w:name="_Toc24931"/>
      <w:r>
        <w:rPr>
          <w:rFonts w:hint="eastAsia" w:ascii="黑体" w:hAnsi="黑体" w:eastAsia="黑体" w:cs="黑体"/>
          <w:snapToGrid w:val="0"/>
          <w:color w:val="000000"/>
          <w:spacing w:val="10"/>
          <w:kern w:val="0"/>
          <w:sz w:val="21"/>
          <w:szCs w:val="21"/>
          <w:lang w:val="en-US" w:eastAsia="zh-CN" w:bidi="ar-SA"/>
        </w:rPr>
        <w:t>6  污染物监测要求</w:t>
      </w:r>
      <w:bookmarkEnd w:id="6"/>
    </w:p>
    <w:p w14:paraId="476F48C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C619AD8">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sz w:val="21"/>
          <w:szCs w:val="21"/>
        </w:rPr>
      </w:pPr>
      <w:r>
        <w:rPr>
          <w:rFonts w:hint="eastAsia" w:ascii="黑体" w:hAnsi="黑体" w:eastAsia="黑体" w:cs="黑体"/>
          <w:b w:val="0"/>
          <w:bCs w:val="0"/>
          <w:spacing w:val="0"/>
          <w:sz w:val="21"/>
          <w:szCs w:val="21"/>
          <w:lang w:val="en-US" w:eastAsia="zh-CN"/>
        </w:rPr>
        <w:t>6.1</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企业应按照有关法律、《环境监测管理办法》、HJ 1118和 HJ 819等规定，建立企业监测制度，制订监测方案，对污染物排放状况开展自行监测，保存原始监测记录，并依法公布监测结果。</w:t>
      </w:r>
    </w:p>
    <w:p w14:paraId="2F86AE5E">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31EE83A1">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p>
    <w:p w14:paraId="7E6D0811">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6.2</w:t>
      </w:r>
      <w:r>
        <w:rPr>
          <w:rFonts w:hint="eastAsia" w:ascii="宋体" w:hAnsi="宋体" w:eastAsia="宋体" w:cs="宋体"/>
          <w:spacing w:val="0"/>
          <w:sz w:val="21"/>
          <w:szCs w:val="21"/>
          <w:lang w:val="en-US" w:eastAsia="zh-CN"/>
        </w:rPr>
        <w:t xml:space="preserve">  企业应按照环境监测管理规定和技术规范的要求，设计、建设、维护永久性采样口、采样测试平台和排污口标志。</w:t>
      </w:r>
    </w:p>
    <w:p w14:paraId="26FB13EC">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 xml:space="preserve">6.3 </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在不少于60%发油鹤管处于发油时段对油气处理装置进口和出口油气进行采样，其中连接油船的油气处理装置应在发油时段中后期进行采样，油气处理装置油气排放检测方法见附录 A。</w:t>
      </w:r>
    </w:p>
    <w:p w14:paraId="3227DB91">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6.4</w:t>
      </w:r>
      <w:r>
        <w:rPr>
          <w:rFonts w:hint="eastAsia" w:ascii="宋体" w:hAnsi="宋体" w:eastAsia="宋体" w:cs="宋体"/>
          <w:spacing w:val="0"/>
          <w:sz w:val="21"/>
          <w:szCs w:val="21"/>
          <w:lang w:val="en-US" w:eastAsia="zh-CN"/>
        </w:rPr>
        <w:t xml:space="preserve">  采用氢火焰离子化检测仪（以甲烷或丙烷为校准气体）对设备与管线组件密封点、非收油时段罐顶通气孔、发油时段油气收集系统密封点进行检测，监测采样和测定方法按 HJ 733的规定执行</w:t>
      </w:r>
    </w:p>
    <w:p w14:paraId="18FB6844">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6.5</w:t>
      </w:r>
      <w:r>
        <w:rPr>
          <w:rFonts w:hint="eastAsia" w:ascii="宋体" w:hAnsi="宋体" w:eastAsia="宋体" w:cs="宋体"/>
          <w:spacing w:val="0"/>
          <w:sz w:val="21"/>
          <w:szCs w:val="21"/>
          <w:lang w:val="en-US" w:eastAsia="zh-CN"/>
        </w:rPr>
        <w:t xml:space="preserve">  企业边界NMHC 的监测采样和测定方法按 HJ/T 55和 HJ 604的规定执行，监测采样不应在向铁路罐车收发油时进行。</w:t>
      </w:r>
    </w:p>
    <w:p w14:paraId="5AB18094">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en-US"/>
        </w:rPr>
      </w:pPr>
      <w:r>
        <w:rPr>
          <w:rFonts w:hint="eastAsia" w:ascii="黑体" w:hAnsi="黑体" w:eastAsia="黑体" w:cs="黑体"/>
          <w:b w:val="0"/>
          <w:bCs w:val="0"/>
          <w:spacing w:val="0"/>
          <w:sz w:val="21"/>
          <w:szCs w:val="21"/>
          <w:lang w:val="en-US" w:eastAsia="zh-CN"/>
        </w:rPr>
        <w:t>6.6</w:t>
      </w:r>
      <w:r>
        <w:rPr>
          <w:rFonts w:hint="eastAsia" w:ascii="宋体" w:hAnsi="宋体" w:eastAsia="宋体" w:cs="宋体"/>
          <w:spacing w:val="0"/>
          <w:sz w:val="21"/>
          <w:szCs w:val="21"/>
          <w:lang w:val="en-US" w:eastAsia="zh-CN"/>
        </w:rPr>
        <w:t xml:space="preserve">  </w:t>
      </w:r>
      <w:r>
        <w:rPr>
          <w:rFonts w:hint="eastAsia" w:ascii="宋体" w:hAnsi="宋体" w:eastAsia="宋体" w:cs="宋体"/>
          <w:spacing w:val="0"/>
          <w:sz w:val="21"/>
          <w:szCs w:val="21"/>
          <w:lang w:val="en-US" w:eastAsia="en-US"/>
        </w:rPr>
        <w:t>检测值数值修约按 GB/T 8170的规定执行</w:t>
      </w:r>
    </w:p>
    <w:p w14:paraId="2E343E01">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en-US"/>
        </w:rPr>
        <w:t>6.</w:t>
      </w:r>
      <w:r>
        <w:rPr>
          <w:rFonts w:hint="eastAsia" w:ascii="黑体" w:hAnsi="黑体" w:eastAsia="黑体" w:cs="黑体"/>
          <w:b w:val="0"/>
          <w:bCs w:val="0"/>
          <w:spacing w:val="0"/>
          <w:sz w:val="21"/>
          <w:szCs w:val="21"/>
          <w:lang w:val="en-US" w:eastAsia="zh-CN"/>
        </w:rPr>
        <w:t xml:space="preserve">7 </w:t>
      </w:r>
      <w:r>
        <w:rPr>
          <w:rFonts w:hint="eastAsia" w:ascii="宋体" w:hAnsi="宋体" w:eastAsia="宋体" w:cs="宋体"/>
          <w:spacing w:val="0"/>
          <w:sz w:val="21"/>
          <w:szCs w:val="21"/>
          <w:lang w:val="en-US" w:eastAsia="zh-CN"/>
        </w:rPr>
        <w:t xml:space="preserve"> </w:t>
      </w:r>
      <w:r>
        <w:rPr>
          <w:rFonts w:hint="eastAsia" w:ascii="宋体" w:hAnsi="宋体" w:eastAsia="宋体" w:cs="宋体"/>
          <w:spacing w:val="0"/>
          <w:sz w:val="21"/>
          <w:szCs w:val="21"/>
          <w:lang w:val="en-US" w:eastAsia="en-US"/>
        </w:rPr>
        <w:t>企业如安装在线监测系统，参照附录 B 相关要求执行。</w:t>
      </w:r>
    </w:p>
    <w:p w14:paraId="06EDED75">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en-US"/>
        </w:rPr>
      </w:pPr>
      <w:r>
        <w:rPr>
          <w:rFonts w:hint="eastAsia" w:ascii="黑体" w:hAnsi="黑体" w:eastAsia="黑体" w:cs="黑体"/>
          <w:b w:val="0"/>
          <w:bCs w:val="0"/>
          <w:spacing w:val="0"/>
          <w:sz w:val="21"/>
          <w:szCs w:val="21"/>
          <w:lang w:val="en-US" w:eastAsia="en-US"/>
        </w:rPr>
        <w:t>6.</w:t>
      </w:r>
      <w:r>
        <w:rPr>
          <w:rFonts w:hint="eastAsia" w:ascii="黑体" w:hAnsi="黑体" w:eastAsia="黑体" w:cs="黑体"/>
          <w:b w:val="0"/>
          <w:bCs w:val="0"/>
          <w:spacing w:val="0"/>
          <w:sz w:val="21"/>
          <w:szCs w:val="21"/>
          <w:lang w:val="en-US" w:eastAsia="zh-CN"/>
        </w:rPr>
        <w:t>8</w:t>
      </w:r>
      <w:r>
        <w:rPr>
          <w:rFonts w:hint="eastAsia" w:ascii="宋体" w:hAnsi="宋体" w:eastAsia="宋体" w:cs="宋体"/>
          <w:spacing w:val="0"/>
          <w:sz w:val="21"/>
          <w:szCs w:val="21"/>
          <w:lang w:val="en-US" w:eastAsia="en-US"/>
        </w:rPr>
        <w:t xml:space="preserve"> </w:t>
      </w:r>
      <w:r>
        <w:rPr>
          <w:rFonts w:hint="eastAsia" w:ascii="宋体" w:hAnsi="宋体" w:eastAsia="宋体" w:cs="宋体"/>
          <w:spacing w:val="0"/>
          <w:sz w:val="21"/>
          <w:szCs w:val="21"/>
          <w:lang w:val="en-US" w:eastAsia="zh-CN"/>
        </w:rPr>
        <w:t xml:space="preserve"> </w:t>
      </w:r>
      <w:r>
        <w:rPr>
          <w:rFonts w:hint="eastAsia" w:ascii="宋体" w:hAnsi="宋体" w:eastAsia="宋体" w:cs="宋体"/>
          <w:spacing w:val="0"/>
          <w:sz w:val="21"/>
          <w:szCs w:val="21"/>
          <w:lang w:val="en-US" w:eastAsia="en-US"/>
        </w:rPr>
        <w:t>储油库油气回收检测记录表参见附录 C。</w:t>
      </w:r>
    </w:p>
    <w:p w14:paraId="62BE2C0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67502AF4">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bookmarkStart w:id="7" w:name="_Toc12654"/>
      <w:r>
        <w:rPr>
          <w:rFonts w:hint="eastAsia" w:ascii="黑体" w:hAnsi="黑体" w:eastAsia="黑体" w:cs="黑体"/>
          <w:snapToGrid w:val="0"/>
          <w:color w:val="000000"/>
          <w:spacing w:val="10"/>
          <w:kern w:val="0"/>
          <w:sz w:val="21"/>
          <w:szCs w:val="21"/>
          <w:lang w:val="en-US" w:eastAsia="zh-CN" w:bidi="ar-SA"/>
        </w:rPr>
        <w:t>7  实施与监督</w:t>
      </w:r>
      <w:bookmarkEnd w:id="7"/>
    </w:p>
    <w:p w14:paraId="6A6741A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D682F8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r>
        <w:rPr>
          <w:rFonts w:hint="eastAsia" w:ascii="黑体" w:hAnsi="黑体" w:eastAsia="黑体" w:cs="黑体"/>
          <w:b w:val="0"/>
          <w:bCs w:val="0"/>
          <w:snapToGrid w:val="0"/>
          <w:color w:val="000000"/>
          <w:spacing w:val="10"/>
          <w:kern w:val="0"/>
          <w:sz w:val="21"/>
          <w:szCs w:val="21"/>
          <w:lang w:val="en-US" w:eastAsia="zh-CN" w:bidi="ar-SA"/>
        </w:rPr>
        <w:t>7.1</w:t>
      </w:r>
      <w:r>
        <w:rPr>
          <w:rFonts w:hint="eastAsia" w:asciiTheme="minorEastAsia" w:hAnsiTheme="minorEastAsia" w:eastAsiaTheme="minorEastAsia" w:cstheme="minorEastAsia"/>
          <w:snapToGrid w:val="0"/>
          <w:color w:val="000000"/>
          <w:spacing w:val="10"/>
          <w:kern w:val="0"/>
          <w:sz w:val="21"/>
          <w:szCs w:val="21"/>
          <w:lang w:val="en-US" w:eastAsia="zh-CN" w:bidi="ar-SA"/>
        </w:rPr>
        <w:t xml:space="preserve">  自标准实施之日起，执行罐顶通气孔排放限值。</w:t>
      </w:r>
    </w:p>
    <w:p w14:paraId="40D98CD9">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7.2</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企业是实施本文件的责任主体，应采取必要措施，达到本文件规定的污染物排放控制要求。</w:t>
      </w:r>
    </w:p>
    <w:p w14:paraId="475B0D50">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7.3</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对于油气处理装置排放，采用手工监测时，按照监测规范要求测得的检测值超过本文件规定的限值或处理效率低于本文件规定的限值，判定为超标。</w:t>
      </w:r>
    </w:p>
    <w:p w14:paraId="523AB4D4">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7.4</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对于油气收集系统密封点泄漏，按照检测规范要求测得的泄漏检测值超过本文件规定的限值，依照法律法规等有关规定予以处理。</w:t>
      </w:r>
    </w:p>
    <w:p w14:paraId="0AC5011B">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b/>
          <w:bCs/>
          <w:spacing w:val="0"/>
          <w:sz w:val="21"/>
          <w:szCs w:val="21"/>
          <w:lang w:val="en-US" w:eastAsia="zh-CN"/>
        </w:rPr>
      </w:pPr>
      <w:r>
        <w:rPr>
          <w:rFonts w:hint="eastAsia" w:ascii="黑体" w:hAnsi="黑体" w:eastAsia="黑体" w:cs="黑体"/>
          <w:b w:val="0"/>
          <w:bCs w:val="0"/>
          <w:spacing w:val="0"/>
          <w:sz w:val="21"/>
          <w:szCs w:val="21"/>
          <w:lang w:val="en-US" w:eastAsia="zh-CN"/>
        </w:rPr>
        <w:t>7.5</w:t>
      </w:r>
      <w:r>
        <w:rPr>
          <w:rFonts w:hint="eastAsia" w:ascii="宋体" w:hAnsi="宋体" w:eastAsia="宋体" w:cs="宋体"/>
          <w:b/>
          <w:bCs/>
          <w:spacing w:val="0"/>
          <w:sz w:val="21"/>
          <w:szCs w:val="21"/>
          <w:lang w:val="en-US" w:eastAsia="zh-CN"/>
        </w:rPr>
        <w:t xml:space="preserve">  </w:t>
      </w:r>
      <w:r>
        <w:rPr>
          <w:rFonts w:hint="eastAsia" w:ascii="宋体" w:hAnsi="宋体" w:eastAsia="宋体" w:cs="宋体"/>
          <w:b w:val="0"/>
          <w:bCs w:val="0"/>
          <w:spacing w:val="0"/>
          <w:sz w:val="21"/>
          <w:szCs w:val="21"/>
          <w:lang w:val="en-US" w:eastAsia="zh-CN"/>
        </w:rPr>
        <w:t>对于罐顶通气孔排放，按照检测规范要求测得的3次平均值超过本文件规定的限值，依照法律法规等有关规定予以处理。</w:t>
      </w:r>
    </w:p>
    <w:p w14:paraId="3F04BA4A">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highlight w:val="none"/>
          <w:lang w:val="en-US" w:eastAsia="zh-CN"/>
        </w:rPr>
      </w:pPr>
      <w:r>
        <w:rPr>
          <w:rFonts w:hint="eastAsia" w:ascii="黑体" w:hAnsi="黑体" w:eastAsia="黑体" w:cs="黑体"/>
          <w:b w:val="0"/>
          <w:bCs w:val="0"/>
          <w:spacing w:val="0"/>
          <w:sz w:val="21"/>
          <w:szCs w:val="21"/>
          <w:highlight w:val="none"/>
          <w:lang w:val="en-US" w:eastAsia="zh-CN"/>
        </w:rPr>
        <w:t>7.6</w:t>
      </w:r>
      <w:r>
        <w:rPr>
          <w:rFonts w:hint="eastAsia" w:ascii="宋体" w:hAnsi="宋体" w:eastAsia="宋体" w:cs="宋体"/>
          <w:spacing w:val="0"/>
          <w:sz w:val="21"/>
          <w:szCs w:val="21"/>
          <w:highlight w:val="none"/>
          <w:lang w:val="en-US" w:eastAsia="zh-CN"/>
        </w:rPr>
        <w:t xml:space="preserve">  对于企业边界，采用手工监测时，按照监测规范要求测得的任意1h平均浓度值超过本文件规定的限值，判定为超标。</w:t>
      </w:r>
    </w:p>
    <w:p w14:paraId="51172961">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0"/>
          <w:sz w:val="21"/>
          <w:szCs w:val="21"/>
          <w:lang w:val="en-US" w:eastAsia="zh-CN"/>
        </w:rPr>
      </w:pPr>
      <w:r>
        <w:rPr>
          <w:rFonts w:hint="eastAsia" w:ascii="黑体" w:hAnsi="黑体" w:eastAsia="黑体" w:cs="黑体"/>
          <w:b w:val="0"/>
          <w:bCs w:val="0"/>
          <w:spacing w:val="0"/>
          <w:sz w:val="21"/>
          <w:szCs w:val="21"/>
          <w:lang w:val="en-US" w:eastAsia="zh-CN"/>
        </w:rPr>
        <w:t>7.7</w:t>
      </w:r>
      <w:r>
        <w:rPr>
          <w:rFonts w:hint="eastAsia" w:ascii="宋体" w:hAnsi="宋体" w:eastAsia="宋体" w:cs="宋体"/>
          <w:b/>
          <w:bCs/>
          <w:spacing w:val="0"/>
          <w:sz w:val="21"/>
          <w:szCs w:val="21"/>
          <w:lang w:val="en-US" w:eastAsia="zh-CN"/>
        </w:rPr>
        <w:t xml:space="preserve">  </w:t>
      </w:r>
      <w:r>
        <w:rPr>
          <w:rFonts w:hint="eastAsia" w:ascii="宋体" w:hAnsi="宋体" w:eastAsia="宋体" w:cs="宋体"/>
          <w:spacing w:val="0"/>
          <w:sz w:val="21"/>
          <w:szCs w:val="21"/>
          <w:lang w:val="en-US" w:eastAsia="zh-CN"/>
        </w:rPr>
        <w:t>企业未遵守本文件规定的措施性控制要求，构成违法行为的，依照法律法规等有关规定予以处理。</w:t>
      </w:r>
    </w:p>
    <w:p w14:paraId="3633E2C2">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pacing w:val="0"/>
          <w:sz w:val="23"/>
          <w:szCs w:val="23"/>
          <w:lang w:val="en-US" w:eastAsia="zh-CN"/>
        </w:rPr>
      </w:pPr>
      <w:r>
        <w:rPr>
          <w:rFonts w:hint="eastAsia" w:ascii="宋体" w:hAnsi="宋体" w:eastAsia="宋体" w:cs="宋体"/>
          <w:spacing w:val="0"/>
          <w:sz w:val="23"/>
          <w:szCs w:val="23"/>
          <w:lang w:val="en-US" w:eastAsia="zh-CN"/>
        </w:rPr>
        <w:br w:type="page"/>
      </w:r>
    </w:p>
    <w:p w14:paraId="0CDA9E78">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pacing w:val="8"/>
          <w:position w:val="1"/>
          <w:sz w:val="20"/>
          <w:szCs w:val="20"/>
        </w:rPr>
      </w:pPr>
      <w:bookmarkStart w:id="8" w:name="_Toc8255"/>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25ACD8D3">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pacing w:val="8"/>
          <w:position w:val="1"/>
          <w:sz w:val="20"/>
          <w:szCs w:val="20"/>
        </w:rPr>
      </w:pPr>
    </w:p>
    <w:p w14:paraId="10A74960">
      <w:pPr>
        <w:pStyle w:val="2"/>
        <w:keepNext w:val="0"/>
        <w:keepLines w:val="0"/>
        <w:pageBreakBefore w:val="0"/>
        <w:widowControl/>
        <w:kinsoku w:val="0"/>
        <w:wordWrap/>
        <w:overflowPunct/>
        <w:topLinePunct w:val="0"/>
        <w:autoSpaceDE w:val="0"/>
        <w:autoSpaceDN w:val="0"/>
        <w:bidi w:val="0"/>
        <w:adjustRightInd w:val="0"/>
        <w:snapToGrid w:val="0"/>
        <w:spacing w:before="190" w:line="264" w:lineRule="auto"/>
        <w:jc w:val="center"/>
        <w:textAlignment w:val="baseline"/>
        <w:rPr>
          <w:rFonts w:ascii="黑体" w:hAnsi="黑体" w:eastAsia="黑体" w:cs="黑体"/>
          <w:szCs w:val="20"/>
        </w:rPr>
      </w:pPr>
      <w:r>
        <w:t>附 录  A</w:t>
      </w:r>
      <w:bookmarkEnd w:id="8"/>
    </w:p>
    <w:p w14:paraId="0ABF65A7">
      <w:pPr>
        <w:keepNext w:val="0"/>
        <w:keepLines w:val="0"/>
        <w:pageBreakBefore w:val="0"/>
        <w:widowControl/>
        <w:kinsoku w:val="0"/>
        <w:wordWrap/>
        <w:overflowPunct/>
        <w:topLinePunct w:val="0"/>
        <w:autoSpaceDE w:val="0"/>
        <w:autoSpaceDN w:val="0"/>
        <w:bidi w:val="0"/>
        <w:adjustRightInd w:val="0"/>
        <w:snapToGrid w:val="0"/>
        <w:spacing w:line="264" w:lineRule="auto"/>
        <w:jc w:val="center"/>
        <w:rPr>
          <w:rFonts w:ascii="黑体" w:hAnsi="黑体" w:eastAsia="黑体" w:cs="黑体"/>
          <w:sz w:val="20"/>
          <w:szCs w:val="20"/>
        </w:rPr>
      </w:pPr>
      <w:r>
        <w:rPr>
          <w:rFonts w:ascii="黑体" w:hAnsi="黑体" w:eastAsia="黑体" w:cs="黑体"/>
          <w:b/>
          <w:bCs/>
          <w:sz w:val="20"/>
          <w:szCs w:val="20"/>
        </w:rPr>
        <w:t>(规范性</w:t>
      </w:r>
      <w:r>
        <w:rPr>
          <w:rFonts w:hint="eastAsia" w:ascii="黑体" w:hAnsi="黑体" w:eastAsia="黑体" w:cs="黑体"/>
          <w:b/>
          <w:bCs/>
          <w:sz w:val="20"/>
          <w:szCs w:val="20"/>
          <w:lang w:val="en-US" w:eastAsia="zh-CN"/>
        </w:rPr>
        <w:t>附录</w:t>
      </w:r>
      <w:r>
        <w:rPr>
          <w:rFonts w:ascii="黑体" w:hAnsi="黑体" w:eastAsia="黑体" w:cs="黑体"/>
          <w:b/>
          <w:bCs/>
          <w:sz w:val="20"/>
          <w:szCs w:val="20"/>
        </w:rPr>
        <w:t>)</w:t>
      </w:r>
    </w:p>
    <w:p w14:paraId="0738355B">
      <w:pPr>
        <w:keepNext w:val="0"/>
        <w:keepLines w:val="0"/>
        <w:pageBreakBefore w:val="0"/>
        <w:widowControl/>
        <w:kinsoku w:val="0"/>
        <w:wordWrap/>
        <w:overflowPunct/>
        <w:topLinePunct w:val="0"/>
        <w:autoSpaceDE w:val="0"/>
        <w:autoSpaceDN w:val="0"/>
        <w:bidi w:val="0"/>
        <w:adjustRightInd w:val="0"/>
        <w:snapToGrid w:val="0"/>
        <w:spacing w:before="63" w:line="264" w:lineRule="auto"/>
        <w:jc w:val="center"/>
        <w:rPr>
          <w:rFonts w:ascii="黑体" w:hAnsi="黑体" w:eastAsia="黑体" w:cs="黑体"/>
          <w:b/>
          <w:bCs/>
          <w:spacing w:val="-4"/>
          <w:sz w:val="20"/>
          <w:szCs w:val="20"/>
        </w:rPr>
      </w:pPr>
      <w:r>
        <w:rPr>
          <w:rFonts w:ascii="黑体" w:hAnsi="黑体" w:eastAsia="黑体" w:cs="黑体"/>
          <w:b/>
          <w:bCs/>
          <w:spacing w:val="-4"/>
          <w:sz w:val="20"/>
          <w:szCs w:val="20"/>
        </w:rPr>
        <w:t>油气处理装置排放检测方法</w:t>
      </w:r>
    </w:p>
    <w:p w14:paraId="5B4572C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5A3CBB6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A.1 适用范围</w:t>
      </w:r>
    </w:p>
    <w:p w14:paraId="4B08F06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EDE81A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42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r>
        <w:rPr>
          <w:rFonts w:hint="eastAsia" w:asciiTheme="minorEastAsia" w:hAnsiTheme="minorEastAsia" w:eastAsiaTheme="minorEastAsia" w:cstheme="minorEastAsia"/>
          <w:snapToGrid w:val="0"/>
          <w:color w:val="000000"/>
          <w:spacing w:val="10"/>
          <w:kern w:val="0"/>
          <w:sz w:val="21"/>
          <w:szCs w:val="21"/>
          <w:lang w:val="en-US" w:eastAsia="zh-CN" w:bidi="ar-SA"/>
        </w:rPr>
        <w:t>本附录适用于油气处理装置 NMHC排放浓度的检测。</w:t>
      </w:r>
    </w:p>
    <w:p w14:paraId="1493069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42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r>
        <w:rPr>
          <w:rFonts w:hint="eastAsia" w:asciiTheme="minorEastAsia" w:hAnsiTheme="minorEastAsia" w:eastAsiaTheme="minorEastAsia" w:cstheme="minorEastAsia"/>
          <w:snapToGrid w:val="0"/>
          <w:color w:val="000000"/>
          <w:spacing w:val="10"/>
          <w:kern w:val="0"/>
          <w:sz w:val="21"/>
          <w:szCs w:val="21"/>
          <w:lang w:val="en-US" w:eastAsia="zh-CN" w:bidi="ar-SA"/>
        </w:rPr>
        <w:t>特别注意：检测时应严格执行储油库有关安全生产的规定。</w:t>
      </w:r>
    </w:p>
    <w:p w14:paraId="2117B40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2E53BD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A.2 采样孔与平台</w:t>
      </w:r>
    </w:p>
    <w:p w14:paraId="5368CBD8">
      <w:pPr>
        <w:keepNext w:val="0"/>
        <w:keepLines w:val="0"/>
        <w:pageBreakBefore w:val="0"/>
        <w:widowControl/>
        <w:kinsoku w:val="0"/>
        <w:wordWrap/>
        <w:overflowPunct/>
        <w:topLinePunct w:val="0"/>
        <w:autoSpaceDE w:val="0"/>
        <w:autoSpaceDN w:val="0"/>
        <w:bidi w:val="0"/>
        <w:adjustRightInd w:val="0"/>
        <w:snapToGrid w:val="0"/>
        <w:spacing w:before="225" w:line="264" w:lineRule="auto"/>
        <w:ind w:right="27" w:firstLine="3"/>
        <w:jc w:val="both"/>
        <w:rPr>
          <w:rFonts w:ascii="宋体" w:hAnsi="宋体" w:eastAsia="宋体" w:cs="宋体"/>
          <w:sz w:val="21"/>
          <w:szCs w:val="21"/>
          <w:highlight w:val="none"/>
        </w:rPr>
      </w:pPr>
      <w:r>
        <w:rPr>
          <w:rFonts w:hint="eastAsia" w:ascii="黑体" w:hAnsi="黑体" w:eastAsia="黑体" w:cs="黑体"/>
          <w:b w:val="0"/>
          <w:bCs w:val="0"/>
          <w:spacing w:val="-3"/>
          <w:sz w:val="21"/>
          <w:szCs w:val="21"/>
        </w:rPr>
        <w:t>A.2.1</w:t>
      </w:r>
      <w:r>
        <w:rPr>
          <w:rFonts w:ascii="宋体" w:hAnsi="宋体" w:eastAsia="宋体" w:cs="宋体"/>
          <w:spacing w:val="1"/>
          <w:sz w:val="20"/>
          <w:szCs w:val="20"/>
        </w:rPr>
        <w:t xml:space="preserve">  </w:t>
      </w:r>
      <w:r>
        <w:rPr>
          <w:rFonts w:ascii="宋体" w:hAnsi="宋体" w:eastAsia="宋体" w:cs="宋体"/>
          <w:spacing w:val="-3"/>
          <w:sz w:val="21"/>
          <w:szCs w:val="21"/>
        </w:rPr>
        <w:t>油气处理装置进口和出口应按照</w:t>
      </w:r>
      <w:r>
        <w:rPr>
          <w:rFonts w:ascii="Times New Roman" w:hAnsi="Times New Roman" w:eastAsia="Times New Roman" w:cs="Times New Roman"/>
          <w:spacing w:val="-3"/>
          <w:sz w:val="21"/>
          <w:szCs w:val="21"/>
        </w:rPr>
        <w:t>GB/T</w:t>
      </w:r>
      <w:r>
        <w:rPr>
          <w:rFonts w:ascii="Times New Roman" w:hAnsi="Times New Roman" w:eastAsia="Times New Roman" w:cs="Times New Roman"/>
          <w:spacing w:val="25"/>
          <w:sz w:val="21"/>
          <w:szCs w:val="21"/>
        </w:rPr>
        <w:t xml:space="preserve"> </w:t>
      </w:r>
      <w:r>
        <w:rPr>
          <w:rFonts w:ascii="Times New Roman" w:hAnsi="Times New Roman" w:eastAsia="Times New Roman" w:cs="Times New Roman"/>
          <w:spacing w:val="-3"/>
          <w:sz w:val="21"/>
          <w:szCs w:val="21"/>
        </w:rPr>
        <w:t>16157</w:t>
      </w:r>
      <w:r>
        <w:rPr>
          <w:rFonts w:ascii="Times New Roman" w:hAnsi="Times New Roman" w:eastAsia="Times New Roman" w:cs="Times New Roman"/>
          <w:spacing w:val="-30"/>
          <w:sz w:val="21"/>
          <w:szCs w:val="21"/>
        </w:rPr>
        <w:t xml:space="preserve"> </w:t>
      </w:r>
      <w:r>
        <w:rPr>
          <w:rFonts w:ascii="宋体" w:hAnsi="宋体" w:eastAsia="宋体" w:cs="宋体"/>
          <w:spacing w:val="-3"/>
          <w:sz w:val="21"/>
          <w:szCs w:val="21"/>
        </w:rPr>
        <w:t>的规定预留采样孔，见图A.</w:t>
      </w:r>
      <w:r>
        <w:rPr>
          <w:rFonts w:ascii="宋体" w:hAnsi="宋体" w:eastAsia="宋体" w:cs="宋体"/>
          <w:spacing w:val="-4"/>
          <w:sz w:val="21"/>
          <w:szCs w:val="21"/>
        </w:rPr>
        <w:t>1。置入油气管线的采样</w:t>
      </w:r>
      <w:r>
        <w:rPr>
          <w:rFonts w:ascii="宋体" w:hAnsi="宋体" w:eastAsia="宋体" w:cs="宋体"/>
          <w:sz w:val="21"/>
          <w:szCs w:val="21"/>
        </w:rPr>
        <w:t xml:space="preserve"> </w:t>
      </w:r>
      <w:r>
        <w:rPr>
          <w:rFonts w:ascii="宋体" w:hAnsi="宋体" w:eastAsia="宋体" w:cs="宋体"/>
          <w:spacing w:val="-2"/>
          <w:sz w:val="21"/>
          <w:szCs w:val="21"/>
          <w:highlight w:val="none"/>
        </w:rPr>
        <w:t>管前端应为30°斜面，斜面中心点位于油气管线中心轴上，样品途经采样管和其他</w:t>
      </w:r>
      <w:r>
        <w:rPr>
          <w:rFonts w:ascii="宋体" w:hAnsi="宋体" w:eastAsia="宋体" w:cs="宋体"/>
          <w:spacing w:val="-3"/>
          <w:sz w:val="21"/>
          <w:szCs w:val="21"/>
          <w:highlight w:val="none"/>
        </w:rPr>
        <w:t>部件进入收集器的距</w:t>
      </w:r>
      <w:r>
        <w:rPr>
          <w:rFonts w:ascii="宋体" w:hAnsi="宋体" w:eastAsia="宋体" w:cs="宋体"/>
          <w:sz w:val="21"/>
          <w:szCs w:val="21"/>
          <w:highlight w:val="none"/>
        </w:rPr>
        <w:t xml:space="preserve"> </w:t>
      </w:r>
      <w:r>
        <w:rPr>
          <w:rFonts w:ascii="宋体" w:hAnsi="宋体" w:eastAsia="宋体" w:cs="宋体"/>
          <w:spacing w:val="-2"/>
          <w:sz w:val="21"/>
          <w:szCs w:val="21"/>
          <w:highlight w:val="none"/>
        </w:rPr>
        <w:t>离不宜超过300</w:t>
      </w:r>
      <w:r>
        <w:rPr>
          <w:rFonts w:ascii="宋体" w:hAnsi="宋体" w:eastAsia="宋体" w:cs="宋体"/>
          <w:spacing w:val="27"/>
          <w:sz w:val="21"/>
          <w:szCs w:val="21"/>
          <w:highlight w:val="none"/>
        </w:rPr>
        <w:t xml:space="preserve"> </w:t>
      </w:r>
      <w:r>
        <w:rPr>
          <w:rFonts w:ascii="宋体" w:hAnsi="宋体" w:eastAsia="宋体" w:cs="宋体"/>
          <w:spacing w:val="-2"/>
          <w:sz w:val="21"/>
          <w:szCs w:val="21"/>
          <w:highlight w:val="none"/>
        </w:rPr>
        <w:t>mm,采样管外径为6</w:t>
      </w:r>
      <w:r>
        <w:rPr>
          <w:rFonts w:ascii="宋体" w:hAnsi="宋体" w:eastAsia="宋体" w:cs="宋体"/>
          <w:spacing w:val="4"/>
          <w:sz w:val="21"/>
          <w:szCs w:val="21"/>
          <w:highlight w:val="none"/>
        </w:rPr>
        <w:t xml:space="preserve"> </w:t>
      </w:r>
      <w:r>
        <w:rPr>
          <w:rFonts w:ascii="宋体" w:hAnsi="宋体" w:eastAsia="宋体" w:cs="宋体"/>
          <w:spacing w:val="-2"/>
          <w:sz w:val="21"/>
          <w:szCs w:val="21"/>
          <w:highlight w:val="none"/>
        </w:rPr>
        <w:t>mm。</w:t>
      </w:r>
    </w:p>
    <w:p w14:paraId="7BC78460">
      <w:pPr>
        <w:keepNext w:val="0"/>
        <w:keepLines w:val="0"/>
        <w:pageBreakBefore w:val="0"/>
        <w:widowControl/>
        <w:kinsoku w:val="0"/>
        <w:wordWrap/>
        <w:overflowPunct/>
        <w:topLinePunct w:val="0"/>
        <w:autoSpaceDE w:val="0"/>
        <w:autoSpaceDN w:val="0"/>
        <w:bidi w:val="0"/>
        <w:adjustRightInd w:val="0"/>
        <w:snapToGrid w:val="0"/>
        <w:spacing w:before="126" w:line="264" w:lineRule="auto"/>
        <w:ind w:left="3"/>
        <w:rPr>
          <w:rFonts w:ascii="宋体" w:hAnsi="宋体" w:eastAsia="宋体" w:cs="宋体"/>
          <w:sz w:val="21"/>
          <w:szCs w:val="21"/>
          <w:highlight w:val="none"/>
        </w:rPr>
      </w:pPr>
      <w:r>
        <w:rPr>
          <w:rFonts w:hint="eastAsia" w:ascii="黑体" w:hAnsi="黑体" w:eastAsia="黑体" w:cs="黑体"/>
          <w:b w:val="0"/>
          <w:bCs w:val="0"/>
          <w:spacing w:val="-1"/>
          <w:sz w:val="21"/>
          <w:szCs w:val="21"/>
          <w:highlight w:val="none"/>
        </w:rPr>
        <w:t>A.2.2</w:t>
      </w:r>
      <w:r>
        <w:rPr>
          <w:rFonts w:ascii="宋体" w:hAnsi="宋体" w:eastAsia="宋体" w:cs="宋体"/>
          <w:spacing w:val="8"/>
          <w:sz w:val="21"/>
          <w:szCs w:val="21"/>
          <w:highlight w:val="none"/>
        </w:rPr>
        <w:t xml:space="preserve">  </w:t>
      </w:r>
      <w:r>
        <w:rPr>
          <w:rFonts w:ascii="宋体" w:hAnsi="宋体" w:eastAsia="宋体" w:cs="宋体"/>
          <w:spacing w:val="-1"/>
          <w:sz w:val="21"/>
          <w:szCs w:val="21"/>
          <w:highlight w:val="none"/>
        </w:rPr>
        <w:t>采样孔上部的采样管上应设手动阀门。</w:t>
      </w:r>
    </w:p>
    <w:p w14:paraId="17B002A3">
      <w:pPr>
        <w:keepNext w:val="0"/>
        <w:keepLines w:val="0"/>
        <w:pageBreakBefore w:val="0"/>
        <w:widowControl/>
        <w:kinsoku w:val="0"/>
        <w:wordWrap/>
        <w:overflowPunct/>
        <w:topLinePunct w:val="0"/>
        <w:autoSpaceDE w:val="0"/>
        <w:autoSpaceDN w:val="0"/>
        <w:bidi w:val="0"/>
        <w:adjustRightInd w:val="0"/>
        <w:snapToGrid w:val="0"/>
        <w:spacing w:before="124" w:line="264" w:lineRule="auto"/>
        <w:jc w:val="center"/>
        <w:textAlignment w:val="center"/>
        <w:rPr>
          <w:sz w:val="20"/>
          <w:szCs w:val="20"/>
          <w:highlight w:val="none"/>
        </w:rPr>
      </w:pPr>
      <w:r>
        <w:drawing>
          <wp:inline distT="0" distB="0" distL="114300" distR="114300">
            <wp:extent cx="4521200" cy="2376170"/>
            <wp:effectExtent l="0" t="0" r="12700" b="508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11"/>
                    <a:stretch>
                      <a:fillRect/>
                    </a:stretch>
                  </pic:blipFill>
                  <pic:spPr>
                    <a:xfrm>
                      <a:off x="0" y="0"/>
                      <a:ext cx="4521200" cy="2376170"/>
                    </a:xfrm>
                    <a:prstGeom prst="rect">
                      <a:avLst/>
                    </a:prstGeom>
                    <a:noFill/>
                    <a:ln>
                      <a:noFill/>
                    </a:ln>
                  </pic:spPr>
                </pic:pic>
              </a:graphicData>
            </a:graphic>
          </wp:inline>
        </w:drawing>
      </w:r>
    </w:p>
    <w:p w14:paraId="616677A8">
      <w:pPr>
        <w:keepNext w:val="0"/>
        <w:keepLines w:val="0"/>
        <w:pageBreakBefore w:val="0"/>
        <w:widowControl/>
        <w:kinsoku w:val="0"/>
        <w:wordWrap/>
        <w:overflowPunct/>
        <w:topLinePunct w:val="0"/>
        <w:autoSpaceDE w:val="0"/>
        <w:autoSpaceDN w:val="0"/>
        <w:bidi w:val="0"/>
        <w:adjustRightInd w:val="0"/>
        <w:snapToGrid w:val="0"/>
        <w:spacing w:before="116" w:line="264" w:lineRule="auto"/>
        <w:jc w:val="center"/>
        <w:rPr>
          <w:rFonts w:ascii="宋体" w:hAnsi="宋体" w:eastAsia="宋体" w:cs="宋体"/>
          <w:spacing w:val="0"/>
          <w:sz w:val="20"/>
          <w:szCs w:val="20"/>
          <w:highlight w:val="none"/>
        </w:rPr>
      </w:pPr>
      <w:r>
        <w:rPr>
          <w:rFonts w:ascii="宋体" w:hAnsi="宋体" w:eastAsia="宋体" w:cs="宋体"/>
          <w:spacing w:val="0"/>
          <w:sz w:val="20"/>
          <w:szCs w:val="20"/>
          <w:highlight w:val="none"/>
        </w:rPr>
        <w:t>1-油气管线；2-接管φ32×3;3-法兰 PL25-1.0 RF, 见HG/T 20592-2009;</w:t>
      </w:r>
    </w:p>
    <w:p w14:paraId="1D1F34DD">
      <w:pPr>
        <w:keepNext w:val="0"/>
        <w:keepLines w:val="0"/>
        <w:pageBreakBefore w:val="0"/>
        <w:widowControl/>
        <w:kinsoku w:val="0"/>
        <w:wordWrap/>
        <w:overflowPunct/>
        <w:topLinePunct w:val="0"/>
        <w:autoSpaceDE w:val="0"/>
        <w:autoSpaceDN w:val="0"/>
        <w:bidi w:val="0"/>
        <w:adjustRightInd w:val="0"/>
        <w:snapToGrid w:val="0"/>
        <w:spacing w:before="64" w:line="264" w:lineRule="auto"/>
        <w:jc w:val="center"/>
        <w:rPr>
          <w:rFonts w:ascii="宋体" w:hAnsi="宋体" w:eastAsia="宋体" w:cs="宋体"/>
          <w:spacing w:val="0"/>
          <w:sz w:val="20"/>
          <w:szCs w:val="20"/>
        </w:rPr>
      </w:pPr>
      <w:r>
        <w:rPr>
          <w:rFonts w:ascii="宋体" w:hAnsi="宋体" w:eastAsia="宋体" w:cs="宋体"/>
          <w:spacing w:val="0"/>
          <w:sz w:val="20"/>
          <w:szCs w:val="20"/>
          <w:highlight w:val="none"/>
        </w:rPr>
        <w:t>4-法兰盖 BL25-1.0 RF, 见HG/T 20592-2009;5-采样管φ14×</w:t>
      </w:r>
      <w:r>
        <w:rPr>
          <w:rFonts w:ascii="宋体" w:hAnsi="宋体" w:eastAsia="宋体" w:cs="宋体"/>
          <w:spacing w:val="0"/>
          <w:sz w:val="20"/>
          <w:szCs w:val="20"/>
        </w:rPr>
        <w:t>2;</w:t>
      </w:r>
    </w:p>
    <w:p w14:paraId="3E92325F">
      <w:pPr>
        <w:keepNext w:val="0"/>
        <w:keepLines w:val="0"/>
        <w:pageBreakBefore w:val="0"/>
        <w:widowControl/>
        <w:kinsoku w:val="0"/>
        <w:wordWrap/>
        <w:overflowPunct/>
        <w:topLinePunct w:val="0"/>
        <w:autoSpaceDE w:val="0"/>
        <w:autoSpaceDN w:val="0"/>
        <w:bidi w:val="0"/>
        <w:adjustRightInd w:val="0"/>
        <w:snapToGrid w:val="0"/>
        <w:spacing w:before="66" w:line="264" w:lineRule="auto"/>
        <w:jc w:val="center"/>
        <w:rPr>
          <w:rFonts w:ascii="宋体" w:hAnsi="宋体" w:eastAsia="宋体" w:cs="宋体"/>
          <w:spacing w:val="0"/>
          <w:sz w:val="20"/>
          <w:szCs w:val="20"/>
        </w:rPr>
      </w:pPr>
      <w:r>
        <w:rPr>
          <w:rFonts w:ascii="宋体" w:hAnsi="宋体" w:eastAsia="宋体" w:cs="宋体"/>
          <w:spacing w:val="0"/>
          <w:sz w:val="20"/>
          <w:szCs w:val="20"/>
        </w:rPr>
        <w:t>6-采样管φ6×1;7-阀门；8-管帽；9-双头螺柱 M12×658.8级，见GB/T 901-1988;</w:t>
      </w:r>
    </w:p>
    <w:p w14:paraId="722DFEF0">
      <w:pPr>
        <w:keepNext w:val="0"/>
        <w:keepLines w:val="0"/>
        <w:pageBreakBefore w:val="0"/>
        <w:widowControl/>
        <w:kinsoku w:val="0"/>
        <w:wordWrap/>
        <w:overflowPunct/>
        <w:topLinePunct w:val="0"/>
        <w:autoSpaceDE w:val="0"/>
        <w:autoSpaceDN w:val="0"/>
        <w:bidi w:val="0"/>
        <w:adjustRightInd w:val="0"/>
        <w:snapToGrid w:val="0"/>
        <w:spacing w:before="59" w:line="264" w:lineRule="auto"/>
        <w:jc w:val="center"/>
        <w:rPr>
          <w:rFonts w:ascii="宋体" w:hAnsi="宋体" w:eastAsia="宋体" w:cs="宋体"/>
          <w:sz w:val="20"/>
          <w:szCs w:val="20"/>
        </w:rPr>
      </w:pPr>
      <w:r>
        <w:rPr>
          <w:rFonts w:ascii="宋体" w:hAnsi="宋体" w:eastAsia="宋体" w:cs="宋体"/>
          <w:spacing w:val="0"/>
          <w:sz w:val="20"/>
          <w:szCs w:val="20"/>
        </w:rPr>
        <w:t>10-螺母 M128级，见GB/T 6170-2000;11-缠绕垫 D 25-1.61221,见HG/T 20610-2009</w:t>
      </w:r>
    </w:p>
    <w:p w14:paraId="49165F5E">
      <w:pPr>
        <w:keepNext w:val="0"/>
        <w:keepLines w:val="0"/>
        <w:pageBreakBefore w:val="0"/>
        <w:widowControl/>
        <w:kinsoku w:val="0"/>
        <w:wordWrap/>
        <w:overflowPunct/>
        <w:topLinePunct w:val="0"/>
        <w:autoSpaceDE w:val="0"/>
        <w:autoSpaceDN w:val="0"/>
        <w:bidi w:val="0"/>
        <w:adjustRightInd w:val="0"/>
        <w:snapToGrid w:val="0"/>
        <w:spacing w:before="204" w:line="264" w:lineRule="auto"/>
        <w:jc w:val="center"/>
        <w:rPr>
          <w:rFonts w:ascii="黑体" w:hAnsi="黑体" w:eastAsia="黑体" w:cs="黑体"/>
          <w:sz w:val="20"/>
          <w:szCs w:val="20"/>
        </w:rPr>
      </w:pPr>
      <w:r>
        <w:rPr>
          <w:rFonts w:ascii="黑体" w:hAnsi="黑体" w:eastAsia="黑体" w:cs="黑体"/>
          <w:b/>
          <w:bCs/>
          <w:spacing w:val="-3"/>
          <w:sz w:val="20"/>
          <w:szCs w:val="20"/>
        </w:rPr>
        <w:t>图A.1</w:t>
      </w:r>
      <w:r>
        <w:rPr>
          <w:rFonts w:ascii="黑体" w:hAnsi="黑体" w:eastAsia="黑体" w:cs="黑体"/>
          <w:spacing w:val="37"/>
          <w:sz w:val="20"/>
          <w:szCs w:val="20"/>
        </w:rPr>
        <w:t xml:space="preserve"> </w:t>
      </w:r>
      <w:r>
        <w:rPr>
          <w:rFonts w:ascii="黑体" w:hAnsi="黑体" w:eastAsia="黑体" w:cs="黑体"/>
          <w:b/>
          <w:bCs/>
          <w:spacing w:val="-3"/>
          <w:sz w:val="20"/>
          <w:szCs w:val="20"/>
        </w:rPr>
        <w:t>油气处理装置采样孔</w:t>
      </w:r>
    </w:p>
    <w:p w14:paraId="082889F7">
      <w:pPr>
        <w:keepNext w:val="0"/>
        <w:keepLines w:val="0"/>
        <w:pageBreakBefore w:val="0"/>
        <w:widowControl/>
        <w:kinsoku w:val="0"/>
        <w:wordWrap/>
        <w:overflowPunct/>
        <w:topLinePunct w:val="0"/>
        <w:autoSpaceDE w:val="0"/>
        <w:autoSpaceDN w:val="0"/>
        <w:bidi w:val="0"/>
        <w:adjustRightInd w:val="0"/>
        <w:snapToGrid w:val="0"/>
        <w:spacing w:before="239" w:line="264" w:lineRule="auto"/>
        <w:rPr>
          <w:rFonts w:ascii="宋体" w:hAnsi="宋体" w:eastAsia="宋体" w:cs="宋体"/>
          <w:sz w:val="21"/>
          <w:szCs w:val="21"/>
        </w:rPr>
      </w:pPr>
      <w:r>
        <w:rPr>
          <w:rFonts w:hint="eastAsia" w:ascii="黑体" w:hAnsi="黑体" w:eastAsia="黑体" w:cs="黑体"/>
          <w:b w:val="0"/>
          <w:bCs w:val="0"/>
          <w:spacing w:val="-1"/>
          <w:sz w:val="21"/>
          <w:szCs w:val="21"/>
        </w:rPr>
        <w:t>A.2.3</w:t>
      </w:r>
      <w:r>
        <w:rPr>
          <w:rFonts w:ascii="宋体" w:hAnsi="宋体" w:eastAsia="宋体" w:cs="宋体"/>
          <w:spacing w:val="97"/>
          <w:sz w:val="20"/>
          <w:szCs w:val="20"/>
        </w:rPr>
        <w:t xml:space="preserve"> </w:t>
      </w:r>
      <w:r>
        <w:rPr>
          <w:rFonts w:ascii="宋体" w:hAnsi="宋体" w:eastAsia="宋体" w:cs="宋体"/>
          <w:spacing w:val="-1"/>
          <w:sz w:val="21"/>
          <w:szCs w:val="21"/>
        </w:rPr>
        <w:t>采样管宜选用铜、铝、不锈钢或其他不产生火花、静电的材料。</w:t>
      </w:r>
    </w:p>
    <w:p w14:paraId="1A9B4070">
      <w:pPr>
        <w:keepNext w:val="0"/>
        <w:keepLines w:val="0"/>
        <w:pageBreakBefore w:val="0"/>
        <w:widowControl/>
        <w:kinsoku w:val="0"/>
        <w:wordWrap/>
        <w:overflowPunct/>
        <w:topLinePunct w:val="0"/>
        <w:autoSpaceDE w:val="0"/>
        <w:autoSpaceDN w:val="0"/>
        <w:bidi w:val="0"/>
        <w:adjustRightInd w:val="0"/>
        <w:snapToGrid w:val="0"/>
        <w:spacing w:before="121" w:line="264" w:lineRule="auto"/>
        <w:rPr>
          <w:rFonts w:ascii="宋体" w:hAnsi="宋体" w:eastAsia="宋体" w:cs="宋体"/>
          <w:spacing w:val="-1"/>
          <w:sz w:val="20"/>
          <w:szCs w:val="20"/>
        </w:rPr>
      </w:pPr>
      <w:r>
        <w:rPr>
          <w:rFonts w:hint="eastAsia" w:ascii="黑体" w:hAnsi="黑体" w:eastAsia="黑体" w:cs="黑体"/>
          <w:b w:val="0"/>
          <w:bCs w:val="0"/>
          <w:spacing w:val="-1"/>
          <w:sz w:val="21"/>
          <w:szCs w:val="21"/>
        </w:rPr>
        <w:t>A.2.4</w:t>
      </w:r>
      <w:r>
        <w:rPr>
          <w:rFonts w:ascii="宋体" w:hAnsi="宋体" w:eastAsia="宋体" w:cs="宋体"/>
          <w:spacing w:val="16"/>
          <w:sz w:val="21"/>
          <w:szCs w:val="21"/>
        </w:rPr>
        <w:t xml:space="preserve">  </w:t>
      </w:r>
      <w:r>
        <w:rPr>
          <w:rFonts w:ascii="宋体" w:hAnsi="宋体" w:eastAsia="宋体" w:cs="宋体"/>
          <w:spacing w:val="-1"/>
          <w:sz w:val="21"/>
          <w:szCs w:val="21"/>
        </w:rPr>
        <w:t>采样孔和</w:t>
      </w:r>
      <w:r>
        <w:rPr>
          <w:rFonts w:hint="eastAsia" w:ascii="宋体" w:hAnsi="宋体" w:eastAsia="宋体" w:cs="宋体"/>
          <w:spacing w:val="-1"/>
          <w:sz w:val="21"/>
          <w:szCs w:val="21"/>
        </w:rPr>
        <w:t>采样测试平台</w:t>
      </w:r>
      <w:r>
        <w:rPr>
          <w:rFonts w:ascii="宋体" w:hAnsi="宋体" w:eastAsia="宋体" w:cs="宋体"/>
          <w:spacing w:val="-1"/>
          <w:sz w:val="21"/>
          <w:szCs w:val="21"/>
        </w:rPr>
        <w:t>的安装应与油气回收处理工程同时完成和验收。</w:t>
      </w:r>
    </w:p>
    <w:p w14:paraId="2D6BDBB7">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49F64E4">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A.3 采样和分析方法</w:t>
      </w:r>
    </w:p>
    <w:p w14:paraId="5F68AE69">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AD89C78">
      <w:pPr>
        <w:keepNext w:val="0"/>
        <w:keepLines w:val="0"/>
        <w:pageBreakBefore w:val="0"/>
        <w:widowControl/>
        <w:kinsoku w:val="0"/>
        <w:wordWrap/>
        <w:overflowPunct/>
        <w:topLinePunct w:val="0"/>
        <w:autoSpaceDE w:val="0"/>
        <w:autoSpaceDN w:val="0"/>
        <w:bidi w:val="0"/>
        <w:adjustRightInd w:val="0"/>
        <w:snapToGrid w:val="0"/>
        <w:spacing w:before="242" w:line="240" w:lineRule="auto"/>
        <w:ind w:left="3"/>
        <w:rPr>
          <w:rFonts w:ascii="宋体" w:hAnsi="宋体" w:eastAsia="宋体" w:cs="宋体"/>
          <w:sz w:val="21"/>
          <w:szCs w:val="21"/>
        </w:rPr>
      </w:pPr>
      <w:r>
        <w:rPr>
          <w:rFonts w:hint="eastAsia" w:ascii="黑体" w:hAnsi="黑体" w:eastAsia="黑体" w:cs="黑体"/>
          <w:b w:val="0"/>
          <w:bCs w:val="0"/>
          <w:spacing w:val="-2"/>
          <w:sz w:val="21"/>
          <w:szCs w:val="21"/>
        </w:rPr>
        <w:t>A.3.1</w:t>
      </w:r>
      <w:r>
        <w:rPr>
          <w:rFonts w:ascii="宋体" w:hAnsi="宋体" w:eastAsia="宋体" w:cs="宋体"/>
          <w:spacing w:val="102"/>
          <w:sz w:val="20"/>
          <w:szCs w:val="20"/>
        </w:rPr>
        <w:t xml:space="preserve"> </w:t>
      </w:r>
      <w:r>
        <w:rPr>
          <w:rFonts w:hint="eastAsia" w:ascii="宋体" w:hAnsi="宋体" w:eastAsia="宋体" w:cs="宋体"/>
          <w:spacing w:val="-2"/>
          <w:sz w:val="21"/>
          <w:szCs w:val="21"/>
        </w:rPr>
        <w:t>油气处理装置油气采样应在发油过程中进行。</w:t>
      </w:r>
    </w:p>
    <w:p w14:paraId="2235B309">
      <w:pPr>
        <w:keepNext w:val="0"/>
        <w:keepLines w:val="0"/>
        <w:pageBreakBefore w:val="0"/>
        <w:widowControl/>
        <w:kinsoku w:val="0"/>
        <w:wordWrap/>
        <w:overflowPunct/>
        <w:topLinePunct w:val="0"/>
        <w:autoSpaceDE w:val="0"/>
        <w:autoSpaceDN w:val="0"/>
        <w:bidi w:val="0"/>
        <w:adjustRightInd w:val="0"/>
        <w:snapToGrid w:val="0"/>
        <w:spacing w:before="110" w:line="264" w:lineRule="auto"/>
        <w:ind w:right="32" w:firstLine="3"/>
        <w:rPr>
          <w:rFonts w:ascii="宋体" w:hAnsi="宋体" w:eastAsia="宋体" w:cs="宋体"/>
          <w:sz w:val="20"/>
          <w:szCs w:val="20"/>
        </w:rPr>
      </w:pPr>
      <w:r>
        <w:rPr>
          <w:rFonts w:hint="eastAsia" w:ascii="黑体" w:hAnsi="黑体" w:eastAsia="黑体" w:cs="黑体"/>
          <w:b w:val="0"/>
          <w:bCs w:val="0"/>
          <w:spacing w:val="-3"/>
          <w:sz w:val="21"/>
          <w:szCs w:val="21"/>
        </w:rPr>
        <w:t>A.3.2</w:t>
      </w:r>
      <w:r>
        <w:rPr>
          <w:rFonts w:ascii="宋体" w:hAnsi="宋体" w:eastAsia="宋体" w:cs="宋体"/>
          <w:spacing w:val="13"/>
          <w:sz w:val="21"/>
          <w:szCs w:val="21"/>
        </w:rPr>
        <w:t xml:space="preserve">  </w:t>
      </w:r>
      <w:r>
        <w:rPr>
          <w:rFonts w:ascii="宋体" w:hAnsi="宋体" w:eastAsia="宋体" w:cs="宋体"/>
          <w:spacing w:val="-3"/>
          <w:sz w:val="21"/>
          <w:szCs w:val="21"/>
        </w:rPr>
        <w:t>在1个排放时段内实行连续采样或等间隔采集3个样品，计算平均值作为检测结果，如果1个排放</w:t>
      </w:r>
      <w:r>
        <w:rPr>
          <w:rFonts w:ascii="宋体" w:hAnsi="宋体" w:eastAsia="宋体" w:cs="宋体"/>
          <w:spacing w:val="1"/>
          <w:sz w:val="21"/>
          <w:szCs w:val="21"/>
        </w:rPr>
        <w:t xml:space="preserve"> </w:t>
      </w:r>
      <w:r>
        <w:rPr>
          <w:rFonts w:ascii="宋体" w:hAnsi="宋体" w:eastAsia="宋体" w:cs="宋体"/>
          <w:spacing w:val="-1"/>
          <w:sz w:val="21"/>
          <w:szCs w:val="21"/>
        </w:rPr>
        <w:t>时段无法完成等间隔采集3个样品，应增加1-2个排放时</w:t>
      </w:r>
      <w:r>
        <w:rPr>
          <w:rFonts w:ascii="宋体" w:hAnsi="宋体" w:eastAsia="宋体" w:cs="宋体"/>
          <w:spacing w:val="-2"/>
          <w:sz w:val="21"/>
          <w:szCs w:val="21"/>
        </w:rPr>
        <w:t>段完成3个样品采集。</w:t>
      </w:r>
    </w:p>
    <w:p w14:paraId="07FEEC3D">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16FAFF04">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p>
    <w:p w14:paraId="34F11D99">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ascii="宋体" w:hAnsi="宋体" w:eastAsia="宋体" w:cs="宋体"/>
          <w:spacing w:val="-2"/>
          <w:sz w:val="21"/>
          <w:szCs w:val="21"/>
        </w:rPr>
      </w:pPr>
      <w:r>
        <w:rPr>
          <w:rFonts w:hint="eastAsia" w:ascii="黑体" w:hAnsi="黑体" w:eastAsia="黑体" w:cs="黑体"/>
          <w:b w:val="0"/>
          <w:bCs w:val="0"/>
          <w:spacing w:val="-2"/>
          <w:sz w:val="21"/>
          <w:szCs w:val="21"/>
        </w:rPr>
        <w:t>A.3.3</w:t>
      </w:r>
      <w:r>
        <w:rPr>
          <w:rFonts w:ascii="宋体" w:hAnsi="宋体" w:eastAsia="宋体" w:cs="宋体"/>
          <w:spacing w:val="6"/>
          <w:sz w:val="21"/>
          <w:szCs w:val="21"/>
        </w:rPr>
        <w:t xml:space="preserve">  </w:t>
      </w:r>
      <w:r>
        <w:rPr>
          <w:rFonts w:ascii="宋体" w:hAnsi="宋体" w:eastAsia="宋体" w:cs="宋体"/>
          <w:spacing w:val="-2"/>
          <w:sz w:val="21"/>
          <w:szCs w:val="21"/>
        </w:rPr>
        <w:t>针筒采样应符合</w:t>
      </w:r>
      <w:r>
        <w:rPr>
          <w:rFonts w:ascii="Times New Roman" w:hAnsi="Times New Roman" w:eastAsia="Times New Roman" w:cs="Times New Roman"/>
          <w:spacing w:val="-2"/>
          <w:sz w:val="21"/>
          <w:szCs w:val="21"/>
        </w:rPr>
        <w:t>GB/T</w:t>
      </w:r>
      <w:r>
        <w:rPr>
          <w:rFonts w:ascii="Times New Roman" w:hAnsi="Times New Roman" w:eastAsia="Times New Roman" w:cs="Times New Roman"/>
          <w:spacing w:val="26"/>
          <w:sz w:val="21"/>
          <w:szCs w:val="21"/>
        </w:rPr>
        <w:t xml:space="preserve"> </w:t>
      </w:r>
      <w:r>
        <w:rPr>
          <w:rFonts w:ascii="Times New Roman" w:hAnsi="Times New Roman" w:eastAsia="Times New Roman" w:cs="Times New Roman"/>
          <w:spacing w:val="-2"/>
          <w:sz w:val="21"/>
          <w:szCs w:val="21"/>
        </w:rPr>
        <w:t>16157</w:t>
      </w:r>
      <w:r>
        <w:rPr>
          <w:rFonts w:ascii="宋体" w:hAnsi="宋体" w:eastAsia="宋体" w:cs="宋体"/>
          <w:spacing w:val="-2"/>
          <w:sz w:val="21"/>
          <w:szCs w:val="21"/>
        </w:rPr>
        <w:t>的要求，气袋采样应符合</w:t>
      </w:r>
      <w:r>
        <w:rPr>
          <w:rFonts w:ascii="Times New Roman" w:hAnsi="Times New Roman" w:eastAsia="Times New Roman" w:cs="Times New Roman"/>
          <w:spacing w:val="-2"/>
          <w:sz w:val="21"/>
          <w:szCs w:val="21"/>
        </w:rPr>
        <w:t>HJ</w:t>
      </w:r>
      <w:r>
        <w:rPr>
          <w:rFonts w:ascii="Times New Roman" w:hAnsi="Times New Roman" w:eastAsia="Times New Roman" w:cs="Times New Roman"/>
          <w:spacing w:val="49"/>
          <w:w w:val="101"/>
          <w:sz w:val="21"/>
          <w:szCs w:val="21"/>
        </w:rPr>
        <w:t xml:space="preserve"> </w:t>
      </w:r>
      <w:r>
        <w:rPr>
          <w:rFonts w:ascii="Times New Roman" w:hAnsi="Times New Roman" w:eastAsia="Times New Roman" w:cs="Times New Roman"/>
          <w:spacing w:val="-2"/>
          <w:sz w:val="21"/>
          <w:szCs w:val="21"/>
        </w:rPr>
        <w:t>732</w:t>
      </w:r>
      <w:r>
        <w:rPr>
          <w:rFonts w:ascii="Times New Roman" w:hAnsi="Times New Roman" w:eastAsia="Times New Roman" w:cs="Times New Roman"/>
          <w:spacing w:val="-32"/>
          <w:sz w:val="21"/>
          <w:szCs w:val="21"/>
        </w:rPr>
        <w:t xml:space="preserve"> </w:t>
      </w:r>
      <w:r>
        <w:rPr>
          <w:rFonts w:ascii="宋体" w:hAnsi="宋体" w:eastAsia="宋体" w:cs="宋体"/>
          <w:spacing w:val="-2"/>
          <w:sz w:val="21"/>
          <w:szCs w:val="21"/>
        </w:rPr>
        <w:t>的要求。采样的其他要求按HJ/T 397的规定执行。</w:t>
      </w:r>
    </w:p>
    <w:p w14:paraId="5934BFCF">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2"/>
          <w:sz w:val="20"/>
          <w:szCs w:val="20"/>
          <w:lang w:val="en-US" w:eastAsia="zh-CN"/>
        </w:rPr>
      </w:pPr>
      <w:r>
        <w:rPr>
          <w:rFonts w:hint="eastAsia" w:ascii="黑体" w:hAnsi="黑体" w:eastAsia="黑体" w:cs="黑体"/>
          <w:b w:val="0"/>
          <w:bCs w:val="0"/>
          <w:spacing w:val="-2"/>
          <w:sz w:val="21"/>
          <w:szCs w:val="21"/>
          <w:lang w:val="en-US" w:eastAsia="zh-CN"/>
        </w:rPr>
        <w:t xml:space="preserve">A.3.4 </w:t>
      </w:r>
      <w:r>
        <w:rPr>
          <w:rFonts w:hint="eastAsia" w:ascii="宋体" w:hAnsi="宋体" w:eastAsia="宋体" w:cs="宋体"/>
          <w:spacing w:val="-2"/>
          <w:sz w:val="21"/>
          <w:szCs w:val="21"/>
          <w:lang w:val="en-US" w:eastAsia="zh-CN"/>
        </w:rPr>
        <w:t>样品分析方法按HJ 38规定执行。</w:t>
      </w:r>
    </w:p>
    <w:p w14:paraId="606D8BC6">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6DC2A5F">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A.4  处理效率计算方法</w:t>
      </w:r>
    </w:p>
    <w:p w14:paraId="2EB6F06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6FBFE62">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2"/>
          <w:sz w:val="20"/>
          <w:szCs w:val="20"/>
          <w:lang w:val="en-US" w:eastAsia="zh-CN"/>
        </w:rPr>
      </w:pPr>
      <w:r>
        <w:rPr>
          <w:rFonts w:hint="eastAsia" w:ascii="黑体" w:hAnsi="黑体" w:eastAsia="黑体" w:cs="黑体"/>
          <w:b w:val="0"/>
          <w:bCs w:val="0"/>
          <w:spacing w:val="-2"/>
          <w:sz w:val="21"/>
          <w:szCs w:val="21"/>
          <w:lang w:val="en-US" w:eastAsia="zh-CN"/>
        </w:rPr>
        <w:t>A.4.1</w:t>
      </w:r>
      <w:r>
        <w:rPr>
          <w:rFonts w:hint="eastAsia" w:ascii="宋体" w:hAnsi="宋体" w:eastAsia="宋体" w:cs="宋体"/>
          <w:spacing w:val="-2"/>
          <w:sz w:val="20"/>
          <w:szCs w:val="20"/>
          <w:lang w:val="en-US" w:eastAsia="zh-CN"/>
        </w:rPr>
        <w:t xml:space="preserve">   </w:t>
      </w:r>
      <w:r>
        <w:rPr>
          <w:rFonts w:hint="eastAsia" w:ascii="宋体" w:hAnsi="宋体" w:eastAsia="宋体" w:cs="宋体"/>
          <w:spacing w:val="-2"/>
          <w:sz w:val="21"/>
          <w:szCs w:val="21"/>
          <w:lang w:val="en-US" w:eastAsia="zh-CN"/>
        </w:rPr>
        <w:t>处理效率计算公式</w:t>
      </w:r>
    </w:p>
    <w:p w14:paraId="3E88C295">
      <w:pPr>
        <w:keepNext w:val="0"/>
        <w:keepLines w:val="0"/>
        <w:pageBreakBefore w:val="0"/>
        <w:widowControl/>
        <w:kinsoku w:val="0"/>
        <w:wordWrap/>
        <w:overflowPunct/>
        <w:topLinePunct w:val="0"/>
        <w:autoSpaceDE w:val="0"/>
        <w:autoSpaceDN w:val="0"/>
        <w:bidi w:val="0"/>
        <w:adjustRightInd w:val="0"/>
        <w:snapToGrid w:val="0"/>
        <w:spacing w:before="122" w:line="264" w:lineRule="auto"/>
        <w:ind w:right="30"/>
        <w:jc w:val="right"/>
        <w:rPr>
          <w:rFonts w:hint="eastAsia" w:ascii="Times New Roman" w:hAnsi="Times New Roman" w:eastAsia="Times New Roman" w:cs="Times New Roman"/>
          <w:spacing w:val="4"/>
          <w:position w:val="-30"/>
          <w:sz w:val="20"/>
          <w:szCs w:val="20"/>
          <w:highlight w:val="none"/>
          <w:lang w:val="en-US" w:eastAsia="zh-CN"/>
        </w:rPr>
      </w:pPr>
      <w:r>
        <w:rPr>
          <w:rFonts w:hint="eastAsia" w:ascii="Times New Roman" w:hAnsi="Times New Roman" w:eastAsia="Times New Roman" w:cs="Times New Roman"/>
          <w:spacing w:val="4"/>
          <w:position w:val="-30"/>
          <w:sz w:val="20"/>
          <w:szCs w:val="20"/>
          <w:highlight w:val="none"/>
          <w:lang w:val="en-US" w:eastAsia="zh-CN"/>
        </w:rPr>
        <w:object>
          <v:shape id="_x0000_i1025" o:spt="75" type="#_x0000_t75" style="height:36pt;width:128pt;" o:ole="t" filled="f" o:preferrelative="t" stroked="f" coordsize="21600,21600">
            <v:path/>
            <v:fill on="f" focussize="0,0"/>
            <v:stroke on="f"/>
            <v:imagedata r:id="rId13" o:title=""/>
            <o:lock v:ext="edit" aspectratio="t"/>
            <w10:wrap type="none"/>
            <w10:anchorlock/>
          </v:shape>
          <o:OLEObject Type="Embed" ProgID="Equation.KSEE3" ShapeID="_x0000_i1025" DrawAspect="Content" ObjectID="_1468075725" r:id="rId12">
            <o:LockedField>false</o:LockedField>
          </o:OLEObject>
        </w:object>
      </w:r>
      <w:r>
        <w:rPr>
          <w:rFonts w:hint="eastAsia" w:ascii="Times New Roman" w:hAnsi="Times New Roman" w:eastAsia="Times New Roman" w:cs="Times New Roman"/>
          <w:spacing w:val="4"/>
          <w:position w:val="-30"/>
          <w:sz w:val="20"/>
          <w:szCs w:val="20"/>
          <w:highlight w:val="none"/>
          <w:lang w:val="en-US" w:eastAsia="zh-CN"/>
        </w:rPr>
        <w:t xml:space="preserve"> … … … … … … … … … … … … … …(A. 1)</w:t>
      </w:r>
    </w:p>
    <w:p w14:paraId="222E0460">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式中：</w:t>
      </w:r>
    </w:p>
    <w:p w14:paraId="2AEB0485">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E——油气处理装置效率，%;</w:t>
      </w:r>
    </w:p>
    <w:p w14:paraId="0C3B2F17">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ρ1——  标态下进口干排气中油气质量浓度，单位为克每立方米 (g/m³);</w:t>
      </w:r>
    </w:p>
    <w:p w14:paraId="207D71FD">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ρ2—- 标态下出口干排气中油气质量浓度，单位为克每立方米 (g/m³);</w:t>
      </w:r>
    </w:p>
    <w:p w14:paraId="2E34037A">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Φ1—-标态下进口干排气中油气体积分数，%;</w:t>
      </w:r>
    </w:p>
    <w:p w14:paraId="0F3DF166">
      <w:pPr>
        <w:keepNext w:val="0"/>
        <w:keepLines w:val="0"/>
        <w:pageBreakBefore w:val="0"/>
        <w:widowControl/>
        <w:kinsoku w:val="0"/>
        <w:wordWrap/>
        <w:overflowPunct/>
        <w:topLinePunct w:val="0"/>
        <w:autoSpaceDE w:val="0"/>
        <w:autoSpaceDN w:val="0"/>
        <w:bidi w:val="0"/>
        <w:adjustRightInd w:val="0"/>
        <w:snapToGrid w:val="0"/>
        <w:spacing w:before="206"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Φ2——标态下出口干排气中油气体积分数，%。</w:t>
      </w:r>
    </w:p>
    <w:p w14:paraId="11EF8E01">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2"/>
          <w:sz w:val="21"/>
          <w:szCs w:val="21"/>
          <w:lang w:val="en-US" w:eastAsia="zh-CN"/>
        </w:rPr>
      </w:pPr>
      <w:r>
        <w:rPr>
          <w:rFonts w:hint="eastAsia" w:ascii="黑体" w:hAnsi="黑体" w:eastAsia="黑体" w:cs="黑体"/>
          <w:b w:val="0"/>
          <w:bCs w:val="0"/>
          <w:spacing w:val="-2"/>
          <w:sz w:val="21"/>
          <w:szCs w:val="21"/>
          <w:lang w:val="en-US" w:eastAsia="zh-CN"/>
        </w:rPr>
        <w:t xml:space="preserve">A.4.2 </w:t>
      </w:r>
      <w:r>
        <w:rPr>
          <w:rFonts w:hint="eastAsia" w:ascii="宋体" w:hAnsi="宋体" w:eastAsia="宋体" w:cs="宋体"/>
          <w:spacing w:val="-2"/>
          <w:sz w:val="21"/>
          <w:szCs w:val="21"/>
          <w:lang w:val="en-US" w:eastAsia="zh-CN"/>
        </w:rPr>
        <w:t xml:space="preserve"> 干排气下油气体积分数</w:t>
      </w:r>
    </w:p>
    <w:p w14:paraId="797DC889">
      <w:pPr>
        <w:keepNext w:val="0"/>
        <w:keepLines w:val="0"/>
        <w:pageBreakBefore w:val="0"/>
        <w:widowControl/>
        <w:kinsoku w:val="0"/>
        <w:wordWrap/>
        <w:overflowPunct/>
        <w:topLinePunct w:val="0"/>
        <w:autoSpaceDE w:val="0"/>
        <w:autoSpaceDN w:val="0"/>
        <w:bidi w:val="0"/>
        <w:adjustRightInd w:val="0"/>
        <w:snapToGrid w:val="0"/>
        <w:spacing w:before="144" w:line="264" w:lineRule="auto"/>
        <w:ind w:right="50" w:firstLine="1386" w:firstLineChars="1100"/>
        <w:jc w:val="both"/>
        <w:rPr>
          <w:rFonts w:hint="eastAsia" w:ascii="Times New Roman" w:hAnsi="Times New Roman" w:eastAsia="Times New Roman" w:cs="Times New Roman"/>
          <w:spacing w:val="-37"/>
          <w:position w:val="-24"/>
          <w:sz w:val="21"/>
          <w:szCs w:val="21"/>
          <w:highlight w:val="none"/>
          <w:lang w:val="en-US" w:eastAsia="zh-CN"/>
        </w:rPr>
      </w:pPr>
      <w:r>
        <w:rPr>
          <w:rFonts w:hint="eastAsia" w:ascii="Times New Roman" w:hAnsi="Times New Roman" w:eastAsia="Times New Roman" w:cs="Times New Roman"/>
          <w:spacing w:val="-37"/>
          <w:position w:val="-24"/>
          <w:sz w:val="20"/>
          <w:szCs w:val="20"/>
          <w:highlight w:val="none"/>
          <w:lang w:val="en-US" w:eastAsia="zh-CN"/>
        </w:rPr>
        <w:object>
          <v:shape id="_x0000_i1026" o:spt="75" type="#_x0000_t75" style="height:31pt;width:60pt;" o:ole="t" filled="f" o:preferrelative="t" stroked="f" coordsize="21600,21600">
            <v:path/>
            <v:fill on="f" focussize="0,0"/>
            <v:stroke on="f"/>
            <v:imagedata r:id="rId15" o:title=""/>
            <o:lock v:ext="edit" aspectratio="t"/>
            <w10:wrap type="none"/>
            <w10:anchorlock/>
          </v:shape>
          <o:OLEObject Type="Embed" ProgID="Equation.KSEE3" ShapeID="_x0000_i1026" DrawAspect="Content" ObjectID="_1468075726" r:id="rId14">
            <o:LockedField>false</o:LockedField>
          </o:OLEObject>
        </w:object>
      </w:r>
      <w:r>
        <w:rPr>
          <w:rFonts w:hint="eastAsia" w:ascii="Times New Roman" w:hAnsi="Times New Roman" w:eastAsia="Times New Roman" w:cs="Times New Roman"/>
          <w:spacing w:val="-37"/>
          <w:position w:val="-24"/>
          <w:sz w:val="20"/>
          <w:szCs w:val="20"/>
          <w:highlight w:val="none"/>
          <w:lang w:val="en-US" w:eastAsia="zh-CN"/>
        </w:rPr>
        <w:t xml:space="preserve"> … … … …… … … … … … … … … … … … … … … … … …  … … … …   … … … …(A..</w:t>
      </w:r>
      <w:r>
        <w:rPr>
          <w:rFonts w:hint="eastAsia" w:ascii="Times New Roman" w:hAnsi="Times New Roman" w:eastAsia="Times New Roman" w:cs="Times New Roman"/>
          <w:spacing w:val="4"/>
          <w:position w:val="-30"/>
          <w:sz w:val="20"/>
          <w:szCs w:val="20"/>
          <w:highlight w:val="none"/>
          <w:lang w:val="en-US" w:eastAsia="zh-CN"/>
        </w:rPr>
        <w:t xml:space="preserve">. </w:t>
      </w:r>
      <w:r>
        <w:rPr>
          <w:rFonts w:hint="eastAsia" w:ascii="Times New Roman" w:hAnsi="Times New Roman" w:eastAsia="Times New Roman" w:cs="Times New Roman"/>
          <w:spacing w:val="-37"/>
          <w:position w:val="-24"/>
          <w:sz w:val="21"/>
          <w:szCs w:val="21"/>
          <w:highlight w:val="none"/>
          <w:lang w:val="en-US" w:eastAsia="zh-CN"/>
        </w:rPr>
        <w:t>2)</w:t>
      </w:r>
    </w:p>
    <w:p w14:paraId="466A907F">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式中：</w:t>
      </w:r>
    </w:p>
    <w:p w14:paraId="79CC8963">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Φ—-标态下干排气中油气体积分数，%;</w:t>
      </w:r>
    </w:p>
    <w:p w14:paraId="7F43C01D">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22.4——标态下摩尔数和体积量的转换系数，单位为升每摩尔L/mol;</w:t>
      </w:r>
    </w:p>
    <w:p w14:paraId="7B2BBF38">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p——标态下干排气中油气质量浓度，单位为克每立方米 (g/m³);</w:t>
      </w:r>
    </w:p>
    <w:p w14:paraId="0511B190">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M—— 干排气中油气的平均分子量，进口取65,出口取45，单位为克每摩尔（g/mol）。</w:t>
      </w:r>
    </w:p>
    <w:p w14:paraId="4CA7CB50">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2"/>
          <w:sz w:val="20"/>
          <w:szCs w:val="20"/>
          <w:lang w:val="en-US" w:eastAsia="zh-CN"/>
        </w:rPr>
      </w:pPr>
      <w:r>
        <w:rPr>
          <w:rFonts w:hint="eastAsia" w:ascii="黑体" w:hAnsi="黑体" w:eastAsia="黑体" w:cs="黑体"/>
          <w:b w:val="0"/>
          <w:bCs w:val="0"/>
          <w:spacing w:val="-2"/>
          <w:sz w:val="21"/>
          <w:szCs w:val="21"/>
          <w:lang w:val="en-US" w:eastAsia="zh-CN"/>
        </w:rPr>
        <w:t>A.4.3</w:t>
      </w:r>
      <w:r>
        <w:rPr>
          <w:rFonts w:hint="eastAsia" w:ascii="宋体" w:hAnsi="宋体" w:eastAsia="宋体" w:cs="宋体"/>
          <w:spacing w:val="-2"/>
          <w:sz w:val="20"/>
          <w:szCs w:val="20"/>
          <w:lang w:val="en-US" w:eastAsia="zh-CN"/>
        </w:rPr>
        <w:t xml:space="preserve"> </w:t>
      </w:r>
      <w:r>
        <w:rPr>
          <w:rFonts w:hint="eastAsia" w:ascii="宋体" w:hAnsi="宋体" w:eastAsia="宋体" w:cs="宋体"/>
          <w:spacing w:val="-2"/>
          <w:sz w:val="21"/>
          <w:szCs w:val="21"/>
          <w:lang w:val="en-US" w:eastAsia="zh-CN"/>
        </w:rPr>
        <w:t>干排气下油气质量浓度</w:t>
      </w:r>
    </w:p>
    <w:p w14:paraId="2BEC49BF">
      <w:pPr>
        <w:keepNext w:val="0"/>
        <w:keepLines w:val="0"/>
        <w:pageBreakBefore w:val="0"/>
        <w:widowControl/>
        <w:kinsoku w:val="0"/>
        <w:wordWrap/>
        <w:overflowPunct/>
        <w:topLinePunct w:val="0"/>
        <w:autoSpaceDE w:val="0"/>
        <w:autoSpaceDN w:val="0"/>
        <w:bidi w:val="0"/>
        <w:adjustRightInd w:val="0"/>
        <w:snapToGrid w:val="0"/>
        <w:spacing w:before="74" w:line="264" w:lineRule="auto"/>
        <w:ind w:right="41" w:firstLine="1958" w:firstLineChars="1100"/>
        <w:jc w:val="both"/>
        <w:rPr>
          <w:rFonts w:hint="eastAsia" w:ascii="Cambria Math" w:hAnsi="Cambria Math" w:eastAsia="仿宋" w:cs="仿宋"/>
          <w:snapToGrid w:val="0"/>
          <w:color w:val="000000"/>
          <w:spacing w:val="-11"/>
          <w:kern w:val="0"/>
          <w:position w:val="-26"/>
          <w:sz w:val="21"/>
          <w:szCs w:val="21"/>
          <w:highlight w:val="none"/>
          <w:lang w:val="en-US" w:eastAsia="zh-CN"/>
        </w:rPr>
      </w:pPr>
      <w:r>
        <w:rPr>
          <w:rFonts w:hint="eastAsia" w:ascii="Cambria Math" w:hAnsi="Cambria Math" w:eastAsia="仿宋" w:cs="仿宋"/>
          <w:snapToGrid w:val="0"/>
          <w:color w:val="000000"/>
          <w:spacing w:val="-11"/>
          <w:kern w:val="0"/>
          <w:position w:val="-26"/>
          <w:sz w:val="20"/>
          <w:szCs w:val="20"/>
          <w:highlight w:val="none"/>
          <w:lang w:val="en-US" w:eastAsia="zh-CN"/>
        </w:rPr>
        <w:object>
          <v:shape id="_x0000_i1027" o:spt="75" type="#_x0000_t75" style="height:31.95pt;width:139pt;" o:ole="t" filled="f" o:preferrelative="t" stroked="f" coordsize="21600,21600">
            <v:path/>
            <v:fill on="f" focussize="0,0"/>
            <v:stroke on="f"/>
            <v:imagedata r:id="rId17" o:title=""/>
            <o:lock v:ext="edit" aspectratio="t"/>
            <w10:wrap type="none"/>
            <w10:anchorlock/>
          </v:shape>
          <o:OLEObject Type="Embed" ProgID="Equation.KSEE3" ShapeID="_x0000_i1027" DrawAspect="Content" ObjectID="_1468075727" r:id="rId16">
            <o:LockedField>false</o:LockedField>
          </o:OLEObject>
        </w:object>
      </w:r>
      <w:r>
        <w:rPr>
          <w:rFonts w:hint="eastAsia" w:ascii="Times New Roman" w:hAnsi="Times New Roman" w:eastAsia="Times New Roman" w:cs="Times New Roman"/>
          <w:spacing w:val="-37"/>
          <w:position w:val="-24"/>
          <w:sz w:val="20"/>
          <w:szCs w:val="20"/>
          <w:highlight w:val="none"/>
          <w:lang w:val="en-US" w:eastAsia="zh-CN"/>
        </w:rPr>
        <w:t xml:space="preserve">… … … …… … … … … … … … … … … … … … … … … … </w:t>
      </w:r>
      <w:r>
        <w:rPr>
          <w:rFonts w:hint="eastAsia" w:ascii="Cambria Math" w:hAnsi="Cambria Math" w:eastAsia="仿宋" w:cs="仿宋"/>
          <w:snapToGrid w:val="0"/>
          <w:color w:val="000000"/>
          <w:spacing w:val="-11"/>
          <w:kern w:val="0"/>
          <w:position w:val="-26"/>
          <w:sz w:val="21"/>
          <w:szCs w:val="21"/>
          <w:highlight w:val="none"/>
          <w:lang w:val="en-US" w:eastAsia="zh-CN"/>
        </w:rPr>
        <w:t>(A.3)</w:t>
      </w:r>
    </w:p>
    <w:p w14:paraId="6C5B74E4">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式中：</w:t>
      </w:r>
    </w:p>
    <w:p w14:paraId="1ABB0410">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ρ样—— 样品中油气质量浓度(以碳计),单位为克每立方米 (g/m³);</w:t>
      </w:r>
    </w:p>
    <w:p w14:paraId="7D47A455">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rFonts w:hint="eastAsia"/>
          <w:position w:val="1"/>
          <w:sz w:val="20"/>
          <w:szCs w:val="20"/>
          <w:lang w:eastAsia="zh-CN"/>
        </w:rPr>
      </w:pPr>
    </w:p>
    <w:p w14:paraId="68B6D645">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rFonts w:hint="eastAsia"/>
          <w:position w:val="1"/>
          <w:sz w:val="20"/>
          <w:szCs w:val="20"/>
          <w:lang w:eastAsia="zh-CN"/>
        </w:rPr>
      </w:pPr>
    </w:p>
    <w:p w14:paraId="293FD91E">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pacing w:val="8"/>
          <w:position w:val="1"/>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1966C833">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p>
    <w:p w14:paraId="1189AA61">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tf——   室温，单位为摄氏度(℃);</w:t>
      </w:r>
    </w:p>
    <w:p w14:paraId="46E31869">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Pa —- 大气压力，单位为帕斯卡 (Pa);</w:t>
      </w:r>
    </w:p>
    <w:p w14:paraId="2C992F27">
      <w:pPr>
        <w:keepNext w:val="0"/>
        <w:keepLines w:val="0"/>
        <w:pageBreakBefore w:val="0"/>
        <w:widowControl/>
        <w:kinsoku w:val="0"/>
        <w:wordWrap/>
        <w:overflowPunct/>
        <w:topLinePunct w:val="0"/>
        <w:autoSpaceDE w:val="0"/>
        <w:autoSpaceDN w:val="0"/>
        <w:bidi w:val="0"/>
        <w:adjustRightInd w:val="0"/>
        <w:snapToGrid w:val="0"/>
        <w:spacing w:before="140" w:line="264" w:lineRule="auto"/>
        <w:ind w:firstLine="618" w:firstLineChars="300"/>
        <w:textAlignment w:val="baseline"/>
        <w:rPr>
          <w:rFonts w:hint="eastAsia" w:ascii="宋体" w:hAnsi="宋体" w:eastAsia="宋体" w:cs="宋体"/>
          <w:spacing w:val="-2"/>
          <w:sz w:val="21"/>
          <w:szCs w:val="21"/>
          <w:lang w:val="en-US" w:eastAsia="zh-CN"/>
        </w:rPr>
      </w:pPr>
      <w:r>
        <w:rPr>
          <w:rFonts w:hint="eastAsia" w:ascii="宋体" w:hAnsi="宋体" w:eastAsia="宋体" w:cs="宋体"/>
          <w:spacing w:val="-2"/>
          <w:sz w:val="21"/>
          <w:szCs w:val="21"/>
          <w:lang w:val="en-US" w:eastAsia="zh-CN"/>
        </w:rPr>
        <w:t>Pfv—-  在tf 时饱和水蒸气压力，单位为帕斯卡 (Pa)。</w:t>
      </w:r>
    </w:p>
    <w:p w14:paraId="63FE3AE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70ED1723">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A.5 检测记录</w:t>
      </w:r>
    </w:p>
    <w:p w14:paraId="547B5D3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B2597C2">
      <w:pPr>
        <w:keepNext w:val="0"/>
        <w:keepLines w:val="0"/>
        <w:pageBreakBefore w:val="0"/>
        <w:widowControl/>
        <w:kinsoku w:val="0"/>
        <w:wordWrap/>
        <w:overflowPunct/>
        <w:topLinePunct w:val="0"/>
        <w:autoSpaceDE w:val="0"/>
        <w:autoSpaceDN w:val="0"/>
        <w:bidi w:val="0"/>
        <w:adjustRightInd w:val="0"/>
        <w:snapToGrid w:val="0"/>
        <w:spacing w:before="206" w:line="264" w:lineRule="auto"/>
        <w:textAlignment w:val="baseline"/>
        <w:rPr>
          <w:rFonts w:hint="eastAsia" w:ascii="宋体" w:hAnsi="宋体" w:eastAsia="宋体" w:cs="宋体"/>
          <w:spacing w:val="-2"/>
          <w:sz w:val="20"/>
          <w:szCs w:val="20"/>
          <w:lang w:val="en-US" w:eastAsia="zh-CN"/>
        </w:rPr>
        <w:sectPr>
          <w:headerReference r:id="rId6" w:type="default"/>
          <w:footerReference r:id="rId7" w:type="default"/>
          <w:pgSz w:w="11906" w:h="16838"/>
          <w:pgMar w:top="1417" w:right="1134" w:bottom="1134" w:left="1417" w:header="851" w:footer="992" w:gutter="0"/>
          <w:pgNumType w:fmt="decimal" w:start="1"/>
          <w:cols w:space="0" w:num="1"/>
          <w:rtlGutter w:val="0"/>
          <w:docGrid w:type="lines" w:linePitch="312" w:charSpace="0"/>
        </w:sectPr>
      </w:pPr>
      <w:r>
        <w:rPr>
          <w:rFonts w:hint="eastAsia" w:ascii="宋体" w:hAnsi="宋体" w:eastAsia="宋体" w:cs="宋体"/>
          <w:spacing w:val="-2"/>
          <w:sz w:val="21"/>
          <w:szCs w:val="21"/>
          <w:lang w:val="en-US" w:eastAsia="zh-CN"/>
        </w:rPr>
        <w:t>油气处理装置检测记录表参见附录C中的表C.1。</w:t>
      </w:r>
    </w:p>
    <w:p w14:paraId="0D12ACB2">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bookmarkStart w:id="9" w:name="_Toc18468"/>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6F034EBC">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pacing w:val="8"/>
          <w:position w:val="1"/>
          <w:sz w:val="20"/>
          <w:szCs w:val="20"/>
        </w:rPr>
      </w:pPr>
    </w:p>
    <w:p w14:paraId="7072B30E">
      <w:pPr>
        <w:pStyle w:val="2"/>
        <w:keepNext w:val="0"/>
        <w:keepLines w:val="0"/>
        <w:pageBreakBefore w:val="0"/>
        <w:widowControl/>
        <w:kinsoku w:val="0"/>
        <w:wordWrap/>
        <w:overflowPunct/>
        <w:topLinePunct w:val="0"/>
        <w:autoSpaceDE w:val="0"/>
        <w:autoSpaceDN w:val="0"/>
        <w:bidi w:val="0"/>
        <w:adjustRightInd w:val="0"/>
        <w:snapToGrid w:val="0"/>
        <w:spacing w:before="190" w:line="264" w:lineRule="auto"/>
        <w:jc w:val="center"/>
        <w:textAlignment w:val="baseline"/>
        <w:rPr>
          <w:rFonts w:ascii="黑体" w:hAnsi="黑体" w:eastAsia="黑体" w:cs="黑体"/>
          <w:b w:val="0"/>
          <w:bCs/>
          <w:sz w:val="21"/>
          <w:szCs w:val="21"/>
        </w:rPr>
      </w:pPr>
      <w:r>
        <w:rPr>
          <w:b w:val="0"/>
          <w:bCs/>
          <w:sz w:val="21"/>
          <w:szCs w:val="21"/>
        </w:rPr>
        <w:t>附  录  B</w:t>
      </w:r>
      <w:bookmarkEnd w:id="9"/>
    </w:p>
    <w:p w14:paraId="7F33C0BD">
      <w:pPr>
        <w:keepNext w:val="0"/>
        <w:keepLines w:val="0"/>
        <w:pageBreakBefore w:val="0"/>
        <w:widowControl/>
        <w:kinsoku w:val="0"/>
        <w:wordWrap/>
        <w:overflowPunct/>
        <w:topLinePunct w:val="0"/>
        <w:autoSpaceDE w:val="0"/>
        <w:autoSpaceDN w:val="0"/>
        <w:bidi w:val="0"/>
        <w:adjustRightInd w:val="0"/>
        <w:snapToGrid w:val="0"/>
        <w:spacing w:line="264" w:lineRule="auto"/>
        <w:jc w:val="center"/>
        <w:rPr>
          <w:rFonts w:ascii="黑体" w:hAnsi="黑体" w:eastAsia="黑体" w:cs="黑体"/>
          <w:b w:val="0"/>
          <w:bCs/>
          <w:sz w:val="21"/>
          <w:szCs w:val="21"/>
        </w:rPr>
      </w:pPr>
      <w:r>
        <w:rPr>
          <w:rFonts w:ascii="黑体" w:hAnsi="黑体" w:eastAsia="黑体" w:cs="黑体"/>
          <w:b w:val="0"/>
          <w:bCs/>
          <w:sz w:val="21"/>
          <w:szCs w:val="21"/>
        </w:rPr>
        <w:t>(资料性</w:t>
      </w:r>
      <w:r>
        <w:rPr>
          <w:rFonts w:hint="eastAsia" w:ascii="黑体" w:hAnsi="黑体" w:eastAsia="黑体" w:cs="黑体"/>
          <w:b w:val="0"/>
          <w:bCs/>
          <w:sz w:val="21"/>
          <w:szCs w:val="21"/>
          <w:lang w:val="en-US" w:eastAsia="zh-CN"/>
        </w:rPr>
        <w:t>附录</w:t>
      </w:r>
      <w:r>
        <w:rPr>
          <w:rFonts w:ascii="黑体" w:hAnsi="黑体" w:eastAsia="黑体" w:cs="黑体"/>
          <w:b w:val="0"/>
          <w:bCs/>
          <w:sz w:val="21"/>
          <w:szCs w:val="21"/>
        </w:rPr>
        <w:t>)</w:t>
      </w:r>
    </w:p>
    <w:p w14:paraId="364C402D">
      <w:pPr>
        <w:keepNext w:val="0"/>
        <w:keepLines w:val="0"/>
        <w:pageBreakBefore w:val="0"/>
        <w:widowControl/>
        <w:kinsoku w:val="0"/>
        <w:wordWrap/>
        <w:overflowPunct/>
        <w:topLinePunct w:val="0"/>
        <w:autoSpaceDE w:val="0"/>
        <w:autoSpaceDN w:val="0"/>
        <w:bidi w:val="0"/>
        <w:adjustRightInd w:val="0"/>
        <w:snapToGrid w:val="0"/>
        <w:spacing w:before="55" w:line="264" w:lineRule="auto"/>
        <w:jc w:val="center"/>
        <w:rPr>
          <w:rFonts w:ascii="黑体" w:hAnsi="黑体" w:eastAsia="黑体" w:cs="黑体"/>
          <w:b w:val="0"/>
          <w:bCs/>
          <w:sz w:val="21"/>
          <w:szCs w:val="21"/>
        </w:rPr>
      </w:pPr>
      <w:r>
        <w:rPr>
          <w:rFonts w:ascii="黑体" w:hAnsi="黑体" w:eastAsia="黑体" w:cs="黑体"/>
          <w:b w:val="0"/>
          <w:bCs/>
          <w:spacing w:val="-3"/>
          <w:sz w:val="21"/>
          <w:szCs w:val="21"/>
        </w:rPr>
        <w:t>在线监控系统技术要求</w:t>
      </w:r>
    </w:p>
    <w:p w14:paraId="1F6B363F">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4EE90F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B.1  在线监测系统组成</w:t>
      </w:r>
    </w:p>
    <w:p w14:paraId="1D0E44A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5836D6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Theme="minorEastAsia" w:hAnsiTheme="minorEastAsia" w:eastAsiaTheme="minorEastAsia" w:cstheme="minorEastAsia"/>
          <w:snapToGrid w:val="0"/>
          <w:color w:val="000000"/>
          <w:spacing w:val="10"/>
          <w:kern w:val="0"/>
          <w:sz w:val="21"/>
          <w:szCs w:val="21"/>
          <w:lang w:val="en-US" w:eastAsia="zh-CN" w:bidi="ar-SA"/>
        </w:rPr>
      </w:pPr>
      <w:r>
        <w:rPr>
          <w:rFonts w:hint="eastAsia" w:asciiTheme="minorEastAsia" w:hAnsiTheme="minorEastAsia" w:eastAsiaTheme="minorEastAsia" w:cstheme="minorEastAsia"/>
          <w:snapToGrid w:val="0"/>
          <w:color w:val="000000"/>
          <w:spacing w:val="10"/>
          <w:kern w:val="0"/>
          <w:sz w:val="21"/>
          <w:szCs w:val="21"/>
          <w:lang w:val="en-US" w:eastAsia="zh-CN" w:bidi="ar-SA"/>
        </w:rPr>
        <w:t>B.1.1  油气在线监测系统由NMHC在线监测仪、温度传感器、压力传感器、流量计传感器组成。</w:t>
      </w:r>
    </w:p>
    <w:p w14:paraId="0DBEB941">
      <w:pPr>
        <w:keepNext w:val="0"/>
        <w:keepLines w:val="0"/>
        <w:pageBreakBefore w:val="0"/>
        <w:widowControl/>
        <w:kinsoku w:val="0"/>
        <w:wordWrap/>
        <w:overflowPunct/>
        <w:topLinePunct w:val="0"/>
        <w:autoSpaceDE w:val="0"/>
        <w:autoSpaceDN w:val="0"/>
        <w:bidi w:val="0"/>
        <w:adjustRightInd w:val="0"/>
        <w:snapToGrid w:val="0"/>
        <w:spacing w:before="121" w:line="264" w:lineRule="auto"/>
        <w:ind w:left="3"/>
        <w:rPr>
          <w:rFonts w:ascii="宋体" w:hAnsi="宋体" w:eastAsia="宋体" w:cs="宋体"/>
          <w:sz w:val="21"/>
          <w:szCs w:val="21"/>
        </w:rPr>
      </w:pPr>
      <w:r>
        <w:rPr>
          <w:rFonts w:hint="eastAsia" w:ascii="黑体" w:hAnsi="黑体" w:eastAsia="黑体" w:cs="黑体"/>
          <w:b w:val="0"/>
          <w:bCs w:val="0"/>
          <w:spacing w:val="-2"/>
          <w:sz w:val="21"/>
          <w:szCs w:val="21"/>
        </w:rPr>
        <w:t>B.1.2</w:t>
      </w:r>
      <w:r>
        <w:rPr>
          <w:rFonts w:ascii="宋体" w:hAnsi="宋体" w:eastAsia="宋体" w:cs="宋体"/>
          <w:spacing w:val="7"/>
          <w:sz w:val="21"/>
          <w:szCs w:val="21"/>
        </w:rPr>
        <w:t xml:space="preserve">  </w:t>
      </w:r>
      <w:r>
        <w:rPr>
          <w:rFonts w:ascii="宋体" w:hAnsi="宋体" w:eastAsia="宋体" w:cs="宋体"/>
          <w:spacing w:val="-2"/>
          <w:sz w:val="21"/>
          <w:szCs w:val="21"/>
        </w:rPr>
        <w:t>在油气处理装置进口和出口安装温度、压力和流量传感器。</w:t>
      </w:r>
    </w:p>
    <w:p w14:paraId="33765628">
      <w:pPr>
        <w:keepNext w:val="0"/>
        <w:keepLines w:val="0"/>
        <w:pageBreakBefore w:val="0"/>
        <w:widowControl/>
        <w:kinsoku w:val="0"/>
        <w:wordWrap/>
        <w:overflowPunct/>
        <w:topLinePunct w:val="0"/>
        <w:autoSpaceDE w:val="0"/>
        <w:autoSpaceDN w:val="0"/>
        <w:bidi w:val="0"/>
        <w:adjustRightInd w:val="0"/>
        <w:snapToGrid w:val="0"/>
        <w:spacing w:before="123" w:line="264" w:lineRule="auto"/>
        <w:ind w:left="3"/>
        <w:rPr>
          <w:rFonts w:ascii="宋体" w:hAnsi="宋体" w:eastAsia="宋体" w:cs="宋体"/>
          <w:sz w:val="21"/>
          <w:szCs w:val="21"/>
        </w:rPr>
      </w:pPr>
      <w:r>
        <w:rPr>
          <w:rFonts w:hint="eastAsia" w:ascii="黑体" w:hAnsi="黑体" w:eastAsia="黑体" w:cs="黑体"/>
          <w:b w:val="0"/>
          <w:bCs w:val="0"/>
          <w:spacing w:val="-9"/>
          <w:sz w:val="21"/>
          <w:szCs w:val="21"/>
        </w:rPr>
        <w:t>B.1.3</w:t>
      </w:r>
      <w:r>
        <w:rPr>
          <w:rFonts w:hint="eastAsia" w:ascii="黑体" w:hAnsi="黑体" w:eastAsia="黑体" w:cs="黑体"/>
          <w:b w:val="0"/>
          <w:bCs w:val="0"/>
          <w:spacing w:val="11"/>
          <w:sz w:val="21"/>
          <w:szCs w:val="21"/>
        </w:rPr>
        <w:t xml:space="preserve"> </w:t>
      </w:r>
      <w:r>
        <w:rPr>
          <w:rFonts w:ascii="宋体" w:hAnsi="宋体" w:eastAsia="宋体" w:cs="宋体"/>
          <w:spacing w:val="11"/>
          <w:sz w:val="21"/>
          <w:szCs w:val="21"/>
        </w:rPr>
        <w:t xml:space="preserve"> </w:t>
      </w:r>
      <w:r>
        <w:rPr>
          <w:rFonts w:ascii="宋体" w:hAnsi="宋体" w:eastAsia="宋体" w:cs="宋体"/>
          <w:spacing w:val="-9"/>
          <w:sz w:val="21"/>
          <w:szCs w:val="21"/>
        </w:rPr>
        <w:t>在油气处理装置出口安装</w:t>
      </w:r>
      <w:r>
        <w:rPr>
          <w:rFonts w:ascii="Times New Roman" w:hAnsi="Times New Roman" w:eastAsia="Times New Roman" w:cs="Times New Roman"/>
          <w:spacing w:val="-9"/>
          <w:sz w:val="21"/>
          <w:szCs w:val="21"/>
        </w:rPr>
        <w:t>NMHC</w:t>
      </w:r>
      <w:r>
        <w:rPr>
          <w:rFonts w:ascii="宋体" w:hAnsi="宋体" w:eastAsia="宋体" w:cs="宋体"/>
          <w:spacing w:val="-9"/>
          <w:sz w:val="21"/>
          <w:szCs w:val="21"/>
        </w:rPr>
        <w:t>在线监测仪。</w:t>
      </w:r>
    </w:p>
    <w:p w14:paraId="04AF7DBC">
      <w:pPr>
        <w:keepNext w:val="0"/>
        <w:keepLines w:val="0"/>
        <w:pageBreakBefore w:val="0"/>
        <w:widowControl/>
        <w:kinsoku w:val="0"/>
        <w:wordWrap/>
        <w:overflowPunct/>
        <w:topLinePunct w:val="0"/>
        <w:autoSpaceDE w:val="0"/>
        <w:autoSpaceDN w:val="0"/>
        <w:bidi w:val="0"/>
        <w:adjustRightInd w:val="0"/>
        <w:snapToGrid w:val="0"/>
        <w:spacing w:before="120" w:line="264" w:lineRule="auto"/>
        <w:ind w:left="3"/>
        <w:rPr>
          <w:rFonts w:ascii="宋体" w:hAnsi="宋体" w:eastAsia="宋体" w:cs="宋体"/>
          <w:spacing w:val="-2"/>
          <w:position w:val="22"/>
          <w:sz w:val="21"/>
          <w:szCs w:val="21"/>
        </w:rPr>
      </w:pPr>
      <w:r>
        <w:rPr>
          <w:rFonts w:hint="eastAsia" w:ascii="黑体" w:hAnsi="黑体" w:eastAsia="黑体" w:cs="黑体"/>
          <w:b w:val="0"/>
          <w:bCs w:val="0"/>
          <w:spacing w:val="-1"/>
          <w:position w:val="22"/>
          <w:sz w:val="21"/>
          <w:szCs w:val="21"/>
        </w:rPr>
        <w:t>B.1.4</w:t>
      </w:r>
      <w:r>
        <w:rPr>
          <w:rFonts w:ascii="宋体" w:hAnsi="宋体" w:eastAsia="宋体" w:cs="宋体"/>
          <w:spacing w:val="2"/>
          <w:position w:val="22"/>
          <w:sz w:val="21"/>
          <w:szCs w:val="21"/>
        </w:rPr>
        <w:t xml:space="preserve">  </w:t>
      </w:r>
      <w:r>
        <w:rPr>
          <w:rFonts w:ascii="宋体" w:hAnsi="宋体" w:eastAsia="宋体" w:cs="宋体"/>
          <w:spacing w:val="-1"/>
          <w:position w:val="22"/>
          <w:sz w:val="21"/>
          <w:szCs w:val="21"/>
        </w:rPr>
        <w:t>在每个发油油气收集系统快速接头和单向阀之间安装</w:t>
      </w:r>
      <w:r>
        <w:rPr>
          <w:rFonts w:ascii="宋体" w:hAnsi="宋体" w:eastAsia="宋体" w:cs="宋体"/>
          <w:spacing w:val="-2"/>
          <w:position w:val="22"/>
          <w:sz w:val="21"/>
          <w:szCs w:val="21"/>
        </w:rPr>
        <w:t>流量传感器和压力传感器。</w:t>
      </w:r>
    </w:p>
    <w:p w14:paraId="18FCA0A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0403A3F1">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B.2  在线监测系统功能</w:t>
      </w:r>
    </w:p>
    <w:p w14:paraId="79FF99D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BFBC44C">
      <w:pPr>
        <w:keepNext w:val="0"/>
        <w:keepLines w:val="0"/>
        <w:pageBreakBefore w:val="0"/>
        <w:widowControl/>
        <w:kinsoku w:val="0"/>
        <w:wordWrap/>
        <w:overflowPunct/>
        <w:topLinePunct w:val="0"/>
        <w:autoSpaceDE w:val="0"/>
        <w:autoSpaceDN w:val="0"/>
        <w:bidi w:val="0"/>
        <w:adjustRightInd w:val="0"/>
        <w:snapToGrid w:val="0"/>
        <w:spacing w:before="226" w:line="264" w:lineRule="auto"/>
        <w:ind w:firstLine="3"/>
        <w:rPr>
          <w:rFonts w:ascii="宋体" w:hAnsi="宋体" w:eastAsia="宋体" w:cs="宋体"/>
          <w:sz w:val="21"/>
          <w:szCs w:val="21"/>
        </w:rPr>
      </w:pPr>
      <w:r>
        <w:rPr>
          <w:rFonts w:hint="eastAsia" w:ascii="黑体" w:hAnsi="黑体" w:eastAsia="黑体" w:cs="黑体"/>
          <w:b w:val="0"/>
          <w:bCs w:val="0"/>
          <w:spacing w:val="-2"/>
          <w:sz w:val="21"/>
          <w:szCs w:val="21"/>
        </w:rPr>
        <w:t>B.2.1</w:t>
      </w:r>
      <w:r>
        <w:rPr>
          <w:rFonts w:hint="eastAsia" w:ascii="黑体" w:hAnsi="黑体" w:eastAsia="黑体" w:cs="黑体"/>
          <w:b w:val="0"/>
          <w:bCs w:val="0"/>
          <w:spacing w:val="-2"/>
          <w:sz w:val="21"/>
          <w:szCs w:val="21"/>
          <w:lang w:val="en-US" w:eastAsia="zh-CN"/>
        </w:rPr>
        <w:t xml:space="preserve"> </w:t>
      </w:r>
      <w:r>
        <w:rPr>
          <w:rFonts w:hint="eastAsia" w:ascii="宋体" w:hAnsi="宋体" w:eastAsia="宋体" w:cs="宋体"/>
          <w:b/>
          <w:bCs/>
          <w:spacing w:val="-2"/>
          <w:sz w:val="21"/>
          <w:szCs w:val="21"/>
          <w:lang w:val="en-US" w:eastAsia="zh-CN"/>
        </w:rPr>
        <w:t xml:space="preserve"> </w:t>
      </w:r>
      <w:r>
        <w:rPr>
          <w:rFonts w:ascii="宋体" w:hAnsi="宋体" w:eastAsia="宋体" w:cs="宋体"/>
          <w:spacing w:val="-2"/>
          <w:sz w:val="21"/>
          <w:szCs w:val="21"/>
        </w:rPr>
        <w:t>油气在线监测系统应符合</w:t>
      </w:r>
      <w:r>
        <w:rPr>
          <w:rFonts w:ascii="Times New Roman" w:hAnsi="Times New Roman" w:eastAsia="Times New Roman" w:cs="Times New Roman"/>
          <w:spacing w:val="-2"/>
          <w:sz w:val="21"/>
          <w:szCs w:val="21"/>
        </w:rPr>
        <w:t>HJ</w:t>
      </w:r>
      <w:r>
        <w:rPr>
          <w:rFonts w:ascii="Times New Roman" w:hAnsi="Times New Roman" w:eastAsia="Times New Roman" w:cs="Times New Roman"/>
          <w:spacing w:val="14"/>
          <w:sz w:val="21"/>
          <w:szCs w:val="21"/>
        </w:rPr>
        <w:t xml:space="preserve"> </w:t>
      </w:r>
      <w:r>
        <w:rPr>
          <w:rFonts w:ascii="Times New Roman" w:hAnsi="Times New Roman" w:eastAsia="Times New Roman" w:cs="Times New Roman"/>
          <w:spacing w:val="-2"/>
          <w:sz w:val="21"/>
          <w:szCs w:val="21"/>
        </w:rPr>
        <w:t>1286</w:t>
      </w:r>
      <w:r>
        <w:rPr>
          <w:rFonts w:ascii="宋体" w:hAnsi="宋体" w:eastAsia="宋体" w:cs="宋体"/>
          <w:spacing w:val="-2"/>
          <w:sz w:val="21"/>
          <w:szCs w:val="21"/>
        </w:rPr>
        <w:t>的规定，与生态环境主管部门联网</w:t>
      </w:r>
      <w:r>
        <w:rPr>
          <w:rFonts w:ascii="宋体" w:hAnsi="宋体" w:eastAsia="宋体" w:cs="宋体"/>
          <w:spacing w:val="-3"/>
          <w:sz w:val="21"/>
          <w:szCs w:val="21"/>
        </w:rPr>
        <w:t>，实现实时传输数据，并按有关法律、《污染源自动监控管理办法》的规定执行</w:t>
      </w:r>
      <w:r>
        <w:rPr>
          <w:rFonts w:ascii="宋体" w:hAnsi="宋体" w:eastAsia="宋体" w:cs="宋体"/>
          <w:spacing w:val="-3"/>
          <w:sz w:val="21"/>
          <w:szCs w:val="21"/>
          <w:highlight w:val="none"/>
        </w:rPr>
        <w:t>，监测数据至少保存</w:t>
      </w:r>
      <w:r>
        <w:rPr>
          <w:rFonts w:hint="eastAsia" w:ascii="宋体" w:hAnsi="宋体" w:eastAsia="宋体" w:cs="宋体"/>
          <w:spacing w:val="-3"/>
          <w:sz w:val="21"/>
          <w:szCs w:val="21"/>
          <w:highlight w:val="none"/>
          <w:lang w:val="en-US" w:eastAsia="zh-CN"/>
        </w:rPr>
        <w:t>2</w:t>
      </w:r>
      <w:r>
        <w:rPr>
          <w:rFonts w:ascii="宋体" w:hAnsi="宋体" w:eastAsia="宋体" w:cs="宋体"/>
          <w:spacing w:val="-3"/>
          <w:sz w:val="21"/>
          <w:szCs w:val="21"/>
          <w:highlight w:val="none"/>
        </w:rPr>
        <w:t>年</w:t>
      </w:r>
      <w:r>
        <w:rPr>
          <w:rFonts w:ascii="宋体" w:hAnsi="宋体" w:eastAsia="宋体" w:cs="宋体"/>
          <w:spacing w:val="-3"/>
          <w:sz w:val="21"/>
          <w:szCs w:val="21"/>
        </w:rPr>
        <w:t>，数据共享信息见表B.1。</w:t>
      </w:r>
    </w:p>
    <w:p w14:paraId="38CC0713">
      <w:pPr>
        <w:keepNext w:val="0"/>
        <w:keepLines w:val="0"/>
        <w:pageBreakBefore w:val="0"/>
        <w:widowControl/>
        <w:kinsoku w:val="0"/>
        <w:wordWrap/>
        <w:overflowPunct/>
        <w:topLinePunct w:val="0"/>
        <w:autoSpaceDE w:val="0"/>
        <w:autoSpaceDN w:val="0"/>
        <w:bidi w:val="0"/>
        <w:adjustRightInd w:val="0"/>
        <w:snapToGrid w:val="0"/>
        <w:spacing w:before="110" w:line="264" w:lineRule="auto"/>
        <w:ind w:right="57" w:firstLine="3"/>
        <w:rPr>
          <w:rFonts w:ascii="宋体" w:hAnsi="宋体" w:eastAsia="宋体" w:cs="宋体"/>
          <w:sz w:val="21"/>
          <w:szCs w:val="21"/>
        </w:rPr>
      </w:pPr>
      <w:r>
        <w:rPr>
          <w:rFonts w:hint="eastAsia" w:ascii="黑体" w:hAnsi="黑体" w:eastAsia="黑体" w:cs="黑体"/>
          <w:b w:val="0"/>
          <w:bCs w:val="0"/>
          <w:sz w:val="21"/>
          <w:szCs w:val="21"/>
        </w:rPr>
        <w:t>B.2.2</w:t>
      </w:r>
      <w:r>
        <w:rPr>
          <w:rFonts w:hint="eastAsia" w:ascii="黑体" w:hAnsi="黑体" w:eastAsia="黑体" w:cs="黑体"/>
          <w:b w:val="0"/>
          <w:bCs w:val="0"/>
          <w:sz w:val="21"/>
          <w:szCs w:val="21"/>
          <w:lang w:val="en-US" w:eastAsia="zh-CN"/>
        </w:rPr>
        <w:t xml:space="preserve"> </w:t>
      </w:r>
      <w:r>
        <w:rPr>
          <w:rFonts w:hint="eastAsia" w:ascii="宋体" w:hAnsi="宋体" w:eastAsia="宋体" w:cs="宋体"/>
          <w:b/>
          <w:bCs/>
          <w:sz w:val="21"/>
          <w:szCs w:val="21"/>
          <w:lang w:val="en-US" w:eastAsia="zh-CN"/>
        </w:rPr>
        <w:t xml:space="preserve"> </w:t>
      </w:r>
      <w:r>
        <w:rPr>
          <w:rFonts w:ascii="宋体" w:hAnsi="宋体" w:eastAsia="宋体" w:cs="宋体"/>
          <w:sz w:val="21"/>
          <w:szCs w:val="21"/>
        </w:rPr>
        <w:t>油气在线监测系统应对油气处理装置进口和出口油气的温度、压力和流量进行在线监测，油</w:t>
      </w:r>
      <w:r>
        <w:rPr>
          <w:rFonts w:ascii="宋体" w:hAnsi="宋体" w:eastAsia="宋体" w:cs="宋体"/>
          <w:spacing w:val="-1"/>
          <w:sz w:val="21"/>
          <w:szCs w:val="21"/>
        </w:rPr>
        <w:t>气</w:t>
      </w:r>
      <w:r>
        <w:rPr>
          <w:rFonts w:ascii="宋体" w:hAnsi="宋体" w:eastAsia="宋体" w:cs="宋体"/>
          <w:sz w:val="21"/>
          <w:szCs w:val="21"/>
        </w:rPr>
        <w:t>在线监测系统应对油气处理装置出口油气中NMHC排放浓度进行</w:t>
      </w:r>
      <w:r>
        <w:rPr>
          <w:rFonts w:ascii="宋体" w:hAnsi="宋体" w:eastAsia="宋体" w:cs="宋体"/>
          <w:spacing w:val="-1"/>
          <w:sz w:val="21"/>
          <w:szCs w:val="21"/>
        </w:rPr>
        <w:t>在线监测，任何1小时平均浓度值超标应</w:t>
      </w:r>
      <w:r>
        <w:rPr>
          <w:rFonts w:ascii="宋体" w:hAnsi="宋体" w:eastAsia="宋体" w:cs="宋体"/>
          <w:b w:val="0"/>
          <w:bCs w:val="0"/>
          <w:spacing w:val="-11"/>
          <w:sz w:val="21"/>
          <w:szCs w:val="21"/>
        </w:rPr>
        <w:t>报警。</w:t>
      </w:r>
    </w:p>
    <w:p w14:paraId="7065A6F9">
      <w:pPr>
        <w:keepNext w:val="0"/>
        <w:keepLines w:val="0"/>
        <w:pageBreakBefore w:val="0"/>
        <w:widowControl/>
        <w:kinsoku w:val="0"/>
        <w:wordWrap/>
        <w:overflowPunct/>
        <w:topLinePunct w:val="0"/>
        <w:autoSpaceDE w:val="0"/>
        <w:autoSpaceDN w:val="0"/>
        <w:bidi w:val="0"/>
        <w:adjustRightInd w:val="0"/>
        <w:snapToGrid w:val="0"/>
        <w:spacing w:before="114" w:line="264" w:lineRule="auto"/>
        <w:ind w:right="42" w:firstLine="3"/>
        <w:jc w:val="both"/>
        <w:rPr>
          <w:rFonts w:ascii="宋体" w:hAnsi="宋体" w:eastAsia="宋体" w:cs="宋体"/>
          <w:spacing w:val="-2"/>
          <w:sz w:val="21"/>
          <w:szCs w:val="21"/>
        </w:rPr>
      </w:pPr>
      <w:r>
        <w:rPr>
          <w:rFonts w:hint="eastAsia" w:ascii="黑体" w:hAnsi="黑体" w:eastAsia="黑体" w:cs="黑体"/>
          <w:b w:val="0"/>
          <w:bCs w:val="0"/>
          <w:sz w:val="21"/>
          <w:szCs w:val="21"/>
        </w:rPr>
        <w:t>B.2.3</w:t>
      </w:r>
      <w:r>
        <w:rPr>
          <w:rFonts w:hint="eastAsia" w:ascii="宋体" w:hAnsi="宋体" w:eastAsia="宋体" w:cs="宋体"/>
          <w:b/>
          <w:bCs/>
          <w:sz w:val="21"/>
          <w:szCs w:val="21"/>
          <w:lang w:val="en-US" w:eastAsia="zh-CN"/>
        </w:rPr>
        <w:t xml:space="preserve">  </w:t>
      </w:r>
      <w:r>
        <w:rPr>
          <w:rFonts w:ascii="宋体" w:hAnsi="宋体" w:eastAsia="宋体" w:cs="宋体"/>
          <w:sz w:val="21"/>
          <w:szCs w:val="21"/>
        </w:rPr>
        <w:t>油气在线监测系统可在发油区、油气处理装置等重点区域安装视频监测用高清摄像头，连续对</w:t>
      </w:r>
      <w:r>
        <w:rPr>
          <w:rFonts w:ascii="宋体" w:hAnsi="宋体" w:eastAsia="宋体" w:cs="宋体"/>
          <w:spacing w:val="-2"/>
          <w:sz w:val="21"/>
          <w:szCs w:val="21"/>
        </w:rPr>
        <w:t>发油操作、油气处理装置维护监测等进行视频录像</w:t>
      </w:r>
      <w:r>
        <w:rPr>
          <w:rFonts w:ascii="宋体" w:hAnsi="宋体" w:eastAsia="宋体" w:cs="宋体"/>
          <w:spacing w:val="-3"/>
          <w:sz w:val="21"/>
          <w:szCs w:val="21"/>
        </w:rPr>
        <w:t>并存储。可整合利用储油库现有视频设备，视频资料</w:t>
      </w:r>
      <w:r>
        <w:rPr>
          <w:rFonts w:ascii="宋体" w:hAnsi="宋体" w:eastAsia="宋体" w:cs="宋体"/>
          <w:spacing w:val="-1"/>
          <w:sz w:val="21"/>
          <w:szCs w:val="21"/>
        </w:rPr>
        <w:t>应保持3个月以上以备生态环境部门监督检查，并预留接入到环保管理平台的条件</w:t>
      </w:r>
      <w:r>
        <w:rPr>
          <w:rFonts w:ascii="宋体" w:hAnsi="宋体" w:eastAsia="宋体" w:cs="宋体"/>
          <w:spacing w:val="-2"/>
          <w:sz w:val="21"/>
          <w:szCs w:val="21"/>
        </w:rPr>
        <w:t>。</w:t>
      </w:r>
    </w:p>
    <w:p w14:paraId="42161F5C">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D011DDB">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B.3 在线监测系统技术要求</w:t>
      </w:r>
    </w:p>
    <w:p w14:paraId="2C9FAE70">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4E16F35E">
      <w:pPr>
        <w:keepNext w:val="0"/>
        <w:keepLines w:val="0"/>
        <w:pageBreakBefore w:val="0"/>
        <w:widowControl/>
        <w:kinsoku w:val="0"/>
        <w:wordWrap/>
        <w:overflowPunct/>
        <w:topLinePunct w:val="0"/>
        <w:autoSpaceDE w:val="0"/>
        <w:autoSpaceDN w:val="0"/>
        <w:bidi w:val="0"/>
        <w:adjustRightInd w:val="0"/>
        <w:snapToGrid w:val="0"/>
        <w:spacing w:before="199" w:line="264" w:lineRule="auto"/>
        <w:ind w:right="9" w:firstLine="470"/>
        <w:rPr>
          <w:rFonts w:ascii="宋体" w:hAnsi="宋体" w:eastAsia="宋体" w:cs="宋体"/>
          <w:spacing w:val="-2"/>
          <w:sz w:val="21"/>
          <w:szCs w:val="21"/>
        </w:rPr>
      </w:pPr>
      <w:r>
        <w:rPr>
          <w:rFonts w:ascii="宋体" w:hAnsi="宋体" w:eastAsia="宋体" w:cs="宋体"/>
          <w:spacing w:val="-1"/>
          <w:sz w:val="21"/>
          <w:szCs w:val="21"/>
        </w:rPr>
        <w:t>油气在线监测系统的检出限小于等于0.6</w:t>
      </w:r>
      <w:r>
        <w:rPr>
          <w:rFonts w:ascii="宋体" w:hAnsi="宋体" w:eastAsia="宋体" w:cs="宋体"/>
          <w:spacing w:val="29"/>
          <w:sz w:val="21"/>
          <w:szCs w:val="21"/>
        </w:rPr>
        <w:t xml:space="preserve"> </w:t>
      </w:r>
      <w:r>
        <w:rPr>
          <w:rFonts w:ascii="宋体" w:hAnsi="宋体" w:eastAsia="宋体" w:cs="宋体"/>
          <w:spacing w:val="-1"/>
          <w:sz w:val="21"/>
          <w:szCs w:val="21"/>
        </w:rPr>
        <w:t>g/m³,</w:t>
      </w:r>
      <w:r>
        <w:rPr>
          <w:rFonts w:ascii="宋体" w:hAnsi="宋体" w:eastAsia="宋体" w:cs="宋体"/>
          <w:spacing w:val="-49"/>
          <w:sz w:val="21"/>
          <w:szCs w:val="21"/>
        </w:rPr>
        <w:t xml:space="preserve"> </w:t>
      </w:r>
      <w:r>
        <w:rPr>
          <w:rFonts w:ascii="宋体" w:hAnsi="宋体" w:eastAsia="宋体" w:cs="宋体"/>
          <w:spacing w:val="-1"/>
          <w:sz w:val="21"/>
          <w:szCs w:val="21"/>
        </w:rPr>
        <w:t>最大量程大于100</w:t>
      </w:r>
      <w:r>
        <w:rPr>
          <w:rFonts w:ascii="宋体" w:hAnsi="宋体" w:eastAsia="宋体" w:cs="宋体"/>
          <w:spacing w:val="20"/>
          <w:sz w:val="21"/>
          <w:szCs w:val="21"/>
        </w:rPr>
        <w:t xml:space="preserve"> </w:t>
      </w:r>
      <w:r>
        <w:rPr>
          <w:rFonts w:ascii="宋体" w:hAnsi="宋体" w:eastAsia="宋体" w:cs="宋体"/>
          <w:spacing w:val="-1"/>
          <w:sz w:val="21"/>
          <w:szCs w:val="21"/>
        </w:rPr>
        <w:t>g/m³,</w:t>
      </w:r>
      <w:r>
        <w:rPr>
          <w:rFonts w:ascii="宋体" w:hAnsi="宋体" w:eastAsia="宋体" w:cs="宋体"/>
          <w:spacing w:val="47"/>
          <w:sz w:val="21"/>
          <w:szCs w:val="21"/>
        </w:rPr>
        <w:t xml:space="preserve"> </w:t>
      </w:r>
      <w:r>
        <w:rPr>
          <w:rFonts w:ascii="宋体" w:hAnsi="宋体" w:eastAsia="宋体" w:cs="宋体"/>
          <w:spacing w:val="-1"/>
          <w:sz w:val="21"/>
          <w:szCs w:val="21"/>
        </w:rPr>
        <w:t>油气在线监测系</w:t>
      </w:r>
      <w:r>
        <w:rPr>
          <w:rFonts w:ascii="宋体" w:hAnsi="宋体" w:eastAsia="宋体" w:cs="宋体"/>
          <w:spacing w:val="-2"/>
          <w:sz w:val="21"/>
          <w:szCs w:val="21"/>
        </w:rPr>
        <w:t>统的样品采集和传输装置宜具备加热、保温和反吹净化功能。</w:t>
      </w:r>
    </w:p>
    <w:p w14:paraId="01091932">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39581079">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r>
        <w:rPr>
          <w:rFonts w:hint="eastAsia" w:ascii="黑体" w:hAnsi="黑体" w:eastAsia="黑体" w:cs="黑体"/>
          <w:snapToGrid w:val="0"/>
          <w:color w:val="000000"/>
          <w:spacing w:val="10"/>
          <w:kern w:val="0"/>
          <w:sz w:val="21"/>
          <w:szCs w:val="21"/>
          <w:lang w:val="en-US" w:eastAsia="zh-CN" w:bidi="ar-SA"/>
        </w:rPr>
        <w:t>B.4  数据上传协议</w:t>
      </w:r>
    </w:p>
    <w:p w14:paraId="05F7011D">
      <w:pPr>
        <w:keepNext w:val="0"/>
        <w:keepLines w:val="0"/>
        <w:pageBreakBefore w:val="0"/>
        <w:widowControl/>
        <w:kinsoku w:val="0"/>
        <w:wordWrap/>
        <w:overflowPunct/>
        <w:topLinePunct w:val="0"/>
        <w:autoSpaceDE w:val="0"/>
        <w:autoSpaceDN w:val="0"/>
        <w:bidi w:val="0"/>
        <w:adjustRightInd w:val="0"/>
        <w:snapToGrid w:val="0"/>
        <w:spacing w:line="264" w:lineRule="auto"/>
        <w:ind w:left="0" w:firstLine="0" w:firstLineChars="0"/>
        <w:textAlignment w:val="baseline"/>
        <w:rPr>
          <w:rFonts w:hint="eastAsia" w:ascii="黑体" w:hAnsi="黑体" w:eastAsia="黑体" w:cs="黑体"/>
          <w:snapToGrid w:val="0"/>
          <w:color w:val="000000"/>
          <w:spacing w:val="10"/>
          <w:kern w:val="0"/>
          <w:sz w:val="21"/>
          <w:szCs w:val="21"/>
          <w:lang w:val="en-US" w:eastAsia="zh-CN" w:bidi="ar-SA"/>
        </w:rPr>
      </w:pPr>
    </w:p>
    <w:p w14:paraId="10C8AC30">
      <w:pPr>
        <w:keepNext w:val="0"/>
        <w:keepLines w:val="0"/>
        <w:pageBreakBefore w:val="0"/>
        <w:widowControl/>
        <w:kinsoku w:val="0"/>
        <w:wordWrap/>
        <w:overflowPunct/>
        <w:topLinePunct w:val="0"/>
        <w:autoSpaceDE w:val="0"/>
        <w:autoSpaceDN w:val="0"/>
        <w:bidi w:val="0"/>
        <w:adjustRightInd w:val="0"/>
        <w:snapToGrid w:val="0"/>
        <w:spacing w:before="69" w:line="264" w:lineRule="auto"/>
        <w:ind w:left="470"/>
        <w:rPr>
          <w:rFonts w:ascii="宋体" w:hAnsi="宋体" w:eastAsia="宋体" w:cs="宋体"/>
          <w:spacing w:val="-2"/>
          <w:sz w:val="21"/>
          <w:szCs w:val="21"/>
        </w:rPr>
      </w:pPr>
      <w:r>
        <w:rPr>
          <w:rFonts w:ascii="宋体" w:hAnsi="宋体" w:eastAsia="宋体" w:cs="宋体"/>
          <w:spacing w:val="-2"/>
          <w:sz w:val="21"/>
          <w:szCs w:val="21"/>
        </w:rPr>
        <w:t>数据上传协议应符合HJ</w:t>
      </w:r>
      <w:r>
        <w:rPr>
          <w:rFonts w:ascii="宋体" w:hAnsi="宋体" w:eastAsia="宋体" w:cs="宋体"/>
          <w:spacing w:val="11"/>
          <w:sz w:val="21"/>
          <w:szCs w:val="21"/>
        </w:rPr>
        <w:t xml:space="preserve"> </w:t>
      </w:r>
      <w:r>
        <w:rPr>
          <w:rFonts w:ascii="宋体" w:hAnsi="宋体" w:eastAsia="宋体" w:cs="宋体"/>
          <w:spacing w:val="-2"/>
          <w:sz w:val="21"/>
          <w:szCs w:val="21"/>
        </w:rPr>
        <w:t>212</w:t>
      </w:r>
      <w:r>
        <w:rPr>
          <w:rFonts w:ascii="宋体" w:hAnsi="宋体" w:eastAsia="宋体" w:cs="宋体"/>
          <w:spacing w:val="-62"/>
          <w:sz w:val="21"/>
          <w:szCs w:val="21"/>
        </w:rPr>
        <w:t xml:space="preserve"> </w:t>
      </w:r>
      <w:r>
        <w:rPr>
          <w:rFonts w:ascii="宋体" w:hAnsi="宋体" w:eastAsia="宋体" w:cs="宋体"/>
          <w:spacing w:val="-2"/>
          <w:sz w:val="21"/>
          <w:szCs w:val="21"/>
        </w:rPr>
        <w:t>标准要求。</w:t>
      </w:r>
    </w:p>
    <w:p w14:paraId="1EDCAD43">
      <w:pPr>
        <w:keepNext w:val="0"/>
        <w:keepLines w:val="0"/>
        <w:pageBreakBefore w:val="0"/>
        <w:widowControl/>
        <w:kinsoku w:val="0"/>
        <w:wordWrap/>
        <w:overflowPunct/>
        <w:topLinePunct w:val="0"/>
        <w:autoSpaceDE w:val="0"/>
        <w:autoSpaceDN w:val="0"/>
        <w:bidi w:val="0"/>
        <w:adjustRightInd w:val="0"/>
        <w:snapToGrid w:val="0"/>
        <w:spacing w:line="264" w:lineRule="auto"/>
        <w:rPr>
          <w:rFonts w:ascii="宋体" w:hAnsi="宋体" w:eastAsia="宋体" w:cs="宋体"/>
          <w:spacing w:val="-2"/>
          <w:sz w:val="20"/>
          <w:szCs w:val="20"/>
        </w:rPr>
      </w:pPr>
      <w:r>
        <w:rPr>
          <w:rFonts w:ascii="宋体" w:hAnsi="宋体" w:eastAsia="宋体" w:cs="宋体"/>
          <w:spacing w:val="-2"/>
          <w:sz w:val="20"/>
          <w:szCs w:val="20"/>
        </w:rPr>
        <w:br w:type="page"/>
      </w:r>
    </w:p>
    <w:p w14:paraId="43ABD505">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z w:val="20"/>
          <w:szCs w:val="20"/>
        </w:rPr>
      </w:pPr>
      <w:bookmarkStart w:id="10" w:name="_Toc32732"/>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00E46A58">
      <w:pPr>
        <w:pStyle w:val="2"/>
        <w:keepNext w:val="0"/>
        <w:keepLines w:val="0"/>
        <w:pageBreakBefore w:val="0"/>
        <w:widowControl/>
        <w:kinsoku w:val="0"/>
        <w:wordWrap/>
        <w:overflowPunct/>
        <w:topLinePunct w:val="0"/>
        <w:autoSpaceDE w:val="0"/>
        <w:autoSpaceDN w:val="0"/>
        <w:bidi w:val="0"/>
        <w:adjustRightInd w:val="0"/>
        <w:snapToGrid w:val="0"/>
        <w:spacing w:before="190" w:line="264" w:lineRule="auto"/>
        <w:jc w:val="center"/>
        <w:textAlignment w:val="baseline"/>
        <w:rPr>
          <w:rFonts w:hint="eastAsia" w:ascii="黑体" w:hAnsi="黑体" w:eastAsia="黑体" w:cs="黑体"/>
          <w:b w:val="0"/>
          <w:bCs/>
          <w:sz w:val="21"/>
          <w:szCs w:val="21"/>
        </w:rPr>
      </w:pPr>
      <w:r>
        <w:rPr>
          <w:rFonts w:hint="eastAsia" w:ascii="黑体" w:hAnsi="黑体" w:eastAsia="黑体" w:cs="黑体"/>
          <w:b w:val="0"/>
          <w:bCs/>
          <w:sz w:val="21"/>
          <w:szCs w:val="21"/>
        </w:rPr>
        <w:t>附  录  C</w:t>
      </w:r>
      <w:bookmarkEnd w:id="10"/>
    </w:p>
    <w:p w14:paraId="7ED91BDD">
      <w:pPr>
        <w:keepNext w:val="0"/>
        <w:keepLines w:val="0"/>
        <w:pageBreakBefore w:val="0"/>
        <w:widowControl/>
        <w:kinsoku w:val="0"/>
        <w:wordWrap/>
        <w:overflowPunct/>
        <w:topLinePunct w:val="0"/>
        <w:autoSpaceDE w:val="0"/>
        <w:autoSpaceDN w:val="0"/>
        <w:bidi w:val="0"/>
        <w:adjustRightInd w:val="0"/>
        <w:snapToGrid w:val="0"/>
        <w:spacing w:before="70" w:line="264" w:lineRule="auto"/>
        <w:jc w:val="center"/>
        <w:rPr>
          <w:rFonts w:hint="eastAsia" w:ascii="黑体" w:hAnsi="黑体" w:eastAsia="黑体" w:cs="黑体"/>
          <w:b w:val="0"/>
          <w:bCs/>
          <w:sz w:val="21"/>
          <w:szCs w:val="21"/>
        </w:rPr>
      </w:pPr>
      <w:r>
        <w:rPr>
          <w:rFonts w:hint="eastAsia" w:ascii="黑体" w:hAnsi="黑体" w:eastAsia="黑体" w:cs="黑体"/>
          <w:b w:val="0"/>
          <w:bCs/>
          <w:spacing w:val="5"/>
          <w:sz w:val="21"/>
          <w:szCs w:val="21"/>
        </w:rPr>
        <w:t>(资料性</w:t>
      </w:r>
      <w:r>
        <w:rPr>
          <w:rFonts w:hint="eastAsia" w:ascii="黑体" w:hAnsi="黑体" w:eastAsia="黑体" w:cs="黑体"/>
          <w:b w:val="0"/>
          <w:bCs/>
          <w:spacing w:val="5"/>
          <w:sz w:val="21"/>
          <w:szCs w:val="21"/>
          <w:lang w:val="en-US" w:eastAsia="zh-CN"/>
        </w:rPr>
        <w:t>附录</w:t>
      </w:r>
      <w:r>
        <w:rPr>
          <w:rFonts w:hint="eastAsia" w:ascii="黑体" w:hAnsi="黑体" w:eastAsia="黑体" w:cs="黑体"/>
          <w:b w:val="0"/>
          <w:bCs/>
          <w:spacing w:val="5"/>
          <w:sz w:val="21"/>
          <w:szCs w:val="21"/>
        </w:rPr>
        <w:t>)</w:t>
      </w:r>
    </w:p>
    <w:p w14:paraId="6B9F9B8F">
      <w:pPr>
        <w:keepNext w:val="0"/>
        <w:keepLines w:val="0"/>
        <w:pageBreakBefore w:val="0"/>
        <w:widowControl/>
        <w:kinsoku w:val="0"/>
        <w:wordWrap/>
        <w:overflowPunct/>
        <w:topLinePunct w:val="0"/>
        <w:autoSpaceDE w:val="0"/>
        <w:autoSpaceDN w:val="0"/>
        <w:bidi w:val="0"/>
        <w:adjustRightInd w:val="0"/>
        <w:snapToGrid w:val="0"/>
        <w:spacing w:before="68" w:line="264" w:lineRule="auto"/>
        <w:jc w:val="center"/>
        <w:rPr>
          <w:rFonts w:hint="eastAsia" w:ascii="黑体" w:hAnsi="黑体" w:eastAsia="黑体" w:cs="黑体"/>
          <w:b w:val="0"/>
          <w:bCs/>
          <w:spacing w:val="-3"/>
          <w:sz w:val="21"/>
          <w:szCs w:val="21"/>
        </w:rPr>
      </w:pPr>
      <w:r>
        <w:rPr>
          <w:rFonts w:hint="eastAsia" w:ascii="黑体" w:hAnsi="黑体" w:eastAsia="黑体" w:cs="黑体"/>
          <w:b w:val="0"/>
          <w:bCs/>
          <w:spacing w:val="-3"/>
          <w:sz w:val="21"/>
          <w:szCs w:val="21"/>
        </w:rPr>
        <w:t>储油库油气回收检测记录表</w:t>
      </w:r>
    </w:p>
    <w:p w14:paraId="53EC5E0C">
      <w:pPr>
        <w:keepNext w:val="0"/>
        <w:keepLines w:val="0"/>
        <w:pageBreakBefore w:val="0"/>
        <w:widowControl/>
        <w:kinsoku w:val="0"/>
        <w:wordWrap/>
        <w:overflowPunct/>
        <w:topLinePunct w:val="0"/>
        <w:autoSpaceDE w:val="0"/>
        <w:autoSpaceDN w:val="0"/>
        <w:bidi w:val="0"/>
        <w:adjustRightInd w:val="0"/>
        <w:snapToGrid w:val="0"/>
        <w:spacing w:before="68" w:line="264" w:lineRule="auto"/>
        <w:jc w:val="center"/>
        <w:rPr>
          <w:rFonts w:ascii="黑体" w:hAnsi="黑体" w:eastAsia="黑体" w:cs="黑体"/>
          <w:sz w:val="20"/>
          <w:szCs w:val="20"/>
        </w:rPr>
      </w:pPr>
      <w:r>
        <w:rPr>
          <w:rFonts w:hint="eastAsia" w:ascii="黑体" w:hAnsi="黑体" w:eastAsia="黑体" w:cs="黑体"/>
          <w:b w:val="0"/>
          <w:bCs/>
          <w:spacing w:val="-2"/>
          <w:sz w:val="21"/>
          <w:szCs w:val="21"/>
        </w:rPr>
        <w:t>表C.1</w:t>
      </w:r>
      <w:r>
        <w:rPr>
          <w:rFonts w:hint="eastAsia" w:ascii="黑体" w:hAnsi="黑体" w:eastAsia="黑体" w:cs="黑体"/>
          <w:b w:val="0"/>
          <w:bCs/>
          <w:sz w:val="21"/>
          <w:szCs w:val="21"/>
        </w:rPr>
        <w:drawing>
          <wp:anchor distT="0" distB="0" distL="114300" distR="114300" simplePos="0" relativeHeight="251665408" behindDoc="1" locked="0" layoutInCell="1" allowOverlap="1">
            <wp:simplePos x="0" y="0"/>
            <wp:positionH relativeFrom="column">
              <wp:posOffset>-12065</wp:posOffset>
            </wp:positionH>
            <wp:positionV relativeFrom="paragraph">
              <wp:posOffset>283210</wp:posOffset>
            </wp:positionV>
            <wp:extent cx="6344920" cy="7262495"/>
            <wp:effectExtent l="0" t="0" r="0" b="0"/>
            <wp:wrapTight wrapText="bothSides">
              <wp:wrapPolygon>
                <wp:start x="0" y="0"/>
                <wp:lineTo x="0" y="21600"/>
                <wp:lineTo x="21600" y="21600"/>
                <wp:lineTo x="21600" y="0"/>
                <wp:lineTo x="0" y="0"/>
              </wp:wrapPolygon>
            </wp:wrapTight>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8"/>
                    <a:srcRect b="16876"/>
                    <a:stretch>
                      <a:fillRect/>
                    </a:stretch>
                  </pic:blipFill>
                  <pic:spPr>
                    <a:xfrm>
                      <a:off x="0" y="0"/>
                      <a:ext cx="6344920" cy="7262495"/>
                    </a:xfrm>
                    <a:prstGeom prst="rect">
                      <a:avLst/>
                    </a:prstGeom>
                    <a:noFill/>
                    <a:ln>
                      <a:noFill/>
                    </a:ln>
                  </pic:spPr>
                </pic:pic>
              </a:graphicData>
            </a:graphic>
          </wp:anchor>
        </w:drawing>
      </w:r>
      <w:r>
        <w:rPr>
          <w:rFonts w:hint="eastAsia" w:ascii="黑体" w:hAnsi="黑体" w:eastAsia="黑体" w:cs="黑体"/>
          <w:b w:val="0"/>
          <w:bCs/>
          <w:spacing w:val="-3"/>
          <w:sz w:val="21"/>
          <w:szCs w:val="21"/>
        </w:rPr>
        <w:t>油气处理装置油气排放检测记录表</w:t>
      </w:r>
    </w:p>
    <w:p w14:paraId="0D0BA34F">
      <w:pPr>
        <w:keepNext w:val="0"/>
        <w:keepLines w:val="0"/>
        <w:pageBreakBefore w:val="0"/>
        <w:widowControl/>
        <w:kinsoku w:val="0"/>
        <w:wordWrap/>
        <w:overflowPunct/>
        <w:topLinePunct w:val="0"/>
        <w:autoSpaceDE w:val="0"/>
        <w:autoSpaceDN w:val="0"/>
        <w:bidi w:val="0"/>
        <w:adjustRightInd w:val="0"/>
        <w:snapToGrid w:val="0"/>
        <w:spacing w:before="64" w:line="264" w:lineRule="auto"/>
        <w:rPr>
          <w:rFonts w:ascii="黑体" w:hAnsi="黑体" w:eastAsia="黑体" w:cs="黑体"/>
          <w:sz w:val="20"/>
          <w:szCs w:val="20"/>
        </w:rPr>
      </w:pPr>
    </w:p>
    <w:p w14:paraId="62B60AAA">
      <w:pPr>
        <w:keepNext w:val="0"/>
        <w:keepLines w:val="0"/>
        <w:pageBreakBefore w:val="0"/>
        <w:widowControl/>
        <w:kinsoku w:val="0"/>
        <w:wordWrap/>
        <w:overflowPunct/>
        <w:topLinePunct w:val="0"/>
        <w:autoSpaceDE w:val="0"/>
        <w:autoSpaceDN w:val="0"/>
        <w:bidi w:val="0"/>
        <w:adjustRightInd w:val="0"/>
        <w:snapToGrid w:val="0"/>
        <w:spacing w:line="264" w:lineRule="auto"/>
        <w:rPr>
          <w:rFonts w:ascii="Arial"/>
          <w:sz w:val="20"/>
          <w:szCs w:val="20"/>
        </w:rPr>
      </w:pPr>
    </w:p>
    <w:p w14:paraId="3A9CFC86">
      <w:pPr>
        <w:rPr>
          <w:rFonts w:hint="eastAsia"/>
          <w:position w:val="1"/>
          <w:sz w:val="20"/>
          <w:szCs w:val="20"/>
          <w:lang w:eastAsia="zh-CN"/>
        </w:rPr>
      </w:pPr>
      <w:r>
        <w:rPr>
          <w:rFonts w:hint="eastAsia"/>
          <w:position w:val="1"/>
          <w:sz w:val="20"/>
          <w:szCs w:val="20"/>
          <w:lang w:eastAsia="zh-CN"/>
        </w:rPr>
        <w:br w:type="page"/>
      </w:r>
    </w:p>
    <w:p w14:paraId="021FD730">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0BD743B0">
      <w:pPr>
        <w:keepNext w:val="0"/>
        <w:keepLines w:val="0"/>
        <w:pageBreakBefore w:val="0"/>
        <w:widowControl/>
        <w:kinsoku w:val="0"/>
        <w:wordWrap/>
        <w:overflowPunct/>
        <w:topLinePunct w:val="0"/>
        <w:autoSpaceDE w:val="0"/>
        <w:autoSpaceDN w:val="0"/>
        <w:bidi w:val="0"/>
        <w:adjustRightInd w:val="0"/>
        <w:snapToGrid w:val="0"/>
        <w:spacing w:before="195" w:line="264" w:lineRule="auto"/>
        <w:ind w:left="2947"/>
        <w:rPr>
          <w:rFonts w:ascii="黑体" w:hAnsi="黑体" w:eastAsia="黑体" w:cs="黑体"/>
          <w:sz w:val="21"/>
          <w:szCs w:val="21"/>
        </w:rPr>
      </w:pPr>
      <w:r>
        <w:rPr>
          <w:rFonts w:ascii="黑体" w:hAnsi="黑体" w:eastAsia="黑体" w:cs="黑体"/>
          <w:b w:val="0"/>
          <w:bCs w:val="0"/>
          <w:spacing w:val="-2"/>
          <w:sz w:val="21"/>
          <w:szCs w:val="21"/>
        </w:rPr>
        <w:t>表C.</w:t>
      </w:r>
      <w:r>
        <w:rPr>
          <w:rFonts w:hint="eastAsia" w:ascii="黑体" w:hAnsi="黑体" w:eastAsia="黑体" w:cs="黑体"/>
          <w:b w:val="0"/>
          <w:bCs w:val="0"/>
          <w:spacing w:val="-2"/>
          <w:sz w:val="21"/>
          <w:szCs w:val="21"/>
          <w:lang w:val="en-US" w:eastAsia="zh-CN"/>
        </w:rPr>
        <w:t>2</w:t>
      </w:r>
      <w:r>
        <w:rPr>
          <w:rFonts w:ascii="黑体" w:hAnsi="黑体" w:eastAsia="黑体" w:cs="黑体"/>
          <w:b w:val="0"/>
          <w:bCs w:val="0"/>
          <w:spacing w:val="32"/>
          <w:sz w:val="21"/>
          <w:szCs w:val="21"/>
        </w:rPr>
        <w:t xml:space="preserve"> </w:t>
      </w:r>
      <w:r>
        <w:rPr>
          <w:rFonts w:ascii="黑体" w:hAnsi="黑体" w:eastAsia="黑体" w:cs="黑体"/>
          <w:b w:val="0"/>
          <w:bCs w:val="0"/>
          <w:spacing w:val="-2"/>
          <w:sz w:val="21"/>
          <w:szCs w:val="21"/>
        </w:rPr>
        <w:t>油气收集系统</w:t>
      </w:r>
      <w:r>
        <w:rPr>
          <w:rFonts w:hint="eastAsia" w:ascii="黑体" w:hAnsi="黑体" w:eastAsia="黑体" w:cs="黑体"/>
          <w:b w:val="0"/>
          <w:bCs w:val="0"/>
          <w:spacing w:val="-2"/>
          <w:sz w:val="21"/>
          <w:szCs w:val="21"/>
          <w:lang w:val="en-US" w:eastAsia="zh-CN"/>
        </w:rPr>
        <w:t>密闭点</w:t>
      </w:r>
      <w:r>
        <w:rPr>
          <w:rFonts w:ascii="黑体" w:hAnsi="黑体" w:eastAsia="黑体" w:cs="黑体"/>
          <w:b w:val="0"/>
          <w:bCs w:val="0"/>
          <w:spacing w:val="-2"/>
          <w:sz w:val="21"/>
          <w:szCs w:val="21"/>
        </w:rPr>
        <w:t>油气泄漏检测记录表</w:t>
      </w:r>
    </w:p>
    <w:p w14:paraId="583D2FE4">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r>
        <w:drawing>
          <wp:inline distT="0" distB="0" distL="114300" distR="114300">
            <wp:extent cx="6114415" cy="6176645"/>
            <wp:effectExtent l="0" t="0" r="6985" b="825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9"/>
                    <a:stretch>
                      <a:fillRect/>
                    </a:stretch>
                  </pic:blipFill>
                  <pic:spPr>
                    <a:xfrm>
                      <a:off x="0" y="0"/>
                      <a:ext cx="6114415" cy="6176645"/>
                    </a:xfrm>
                    <a:prstGeom prst="rect">
                      <a:avLst/>
                    </a:prstGeom>
                    <a:noFill/>
                    <a:ln>
                      <a:noFill/>
                    </a:ln>
                  </pic:spPr>
                </pic:pic>
              </a:graphicData>
            </a:graphic>
          </wp:inline>
        </w:drawing>
      </w:r>
      <w:r>
        <w:rPr>
          <w:rFonts w:hint="eastAsia" w:ascii="宋体" w:hAnsi="宋体" w:eastAsia="宋体" w:cs="宋体"/>
          <w:sz w:val="20"/>
          <w:szCs w:val="20"/>
          <w:lang w:val="en-US" w:eastAsia="zh-CN"/>
        </w:rPr>
        <w:t xml:space="preserve"> </w:t>
      </w:r>
    </w:p>
    <w:p w14:paraId="15209A49">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68024774">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6CDBB6C1">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76EC40A4">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6DF37974">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30B992B7">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42CB4B15">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4A4EA26C">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4AFFF718">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46D8AC4A">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4355CEF0">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0AF0303F">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64E7FEA3">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z w:val="20"/>
          <w:szCs w:val="20"/>
          <w:lang w:val="en-US" w:eastAsia="zh-CN"/>
        </w:rPr>
      </w:pPr>
    </w:p>
    <w:p w14:paraId="7C58847E">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sz w:val="20"/>
          <w:szCs w:val="20"/>
        </w:rPr>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p>
    <w:p w14:paraId="208514CF">
      <w:pPr>
        <w:keepNext w:val="0"/>
        <w:keepLines w:val="0"/>
        <w:pageBreakBefore w:val="0"/>
        <w:widowControl/>
        <w:kinsoku w:val="0"/>
        <w:wordWrap/>
        <w:overflowPunct/>
        <w:topLinePunct w:val="0"/>
        <w:autoSpaceDE w:val="0"/>
        <w:autoSpaceDN w:val="0"/>
        <w:bidi w:val="0"/>
        <w:adjustRightInd w:val="0"/>
        <w:snapToGrid w:val="0"/>
        <w:spacing w:before="189" w:line="264" w:lineRule="auto"/>
        <w:jc w:val="center"/>
        <w:textAlignment w:val="baseline"/>
        <w:rPr>
          <w:rFonts w:ascii="黑体" w:hAnsi="黑体" w:eastAsia="黑体" w:cs="黑体"/>
          <w:sz w:val="20"/>
          <w:szCs w:val="20"/>
        </w:rPr>
      </w:pPr>
      <w:r>
        <w:rPr>
          <w:rFonts w:ascii="黑体" w:hAnsi="黑体" w:eastAsia="黑体" w:cs="黑体"/>
          <w:b w:val="0"/>
          <w:bCs w:val="0"/>
          <w:spacing w:val="-2"/>
          <w:sz w:val="21"/>
          <w:szCs w:val="21"/>
        </w:rPr>
        <w:t>表C.</w:t>
      </w:r>
      <w:r>
        <w:rPr>
          <w:rFonts w:hint="eastAsia" w:ascii="黑体" w:hAnsi="黑体" w:eastAsia="黑体" w:cs="黑体"/>
          <w:b w:val="0"/>
          <w:bCs w:val="0"/>
          <w:spacing w:val="-2"/>
          <w:sz w:val="21"/>
          <w:szCs w:val="21"/>
          <w:lang w:val="en-US" w:eastAsia="zh-CN"/>
        </w:rPr>
        <w:t>3</w:t>
      </w:r>
      <w:r>
        <w:rPr>
          <w:rFonts w:ascii="黑体" w:hAnsi="黑体" w:eastAsia="黑体" w:cs="黑体"/>
          <w:b w:val="0"/>
          <w:bCs w:val="0"/>
          <w:spacing w:val="37"/>
          <w:sz w:val="21"/>
          <w:szCs w:val="21"/>
        </w:rPr>
        <w:t xml:space="preserve"> </w:t>
      </w:r>
      <w:r>
        <w:rPr>
          <w:rFonts w:ascii="黑体" w:hAnsi="黑体" w:eastAsia="黑体" w:cs="黑体"/>
          <w:b w:val="0"/>
          <w:bCs w:val="0"/>
          <w:spacing w:val="-2"/>
          <w:sz w:val="21"/>
          <w:szCs w:val="21"/>
        </w:rPr>
        <w:t>底部装油</w:t>
      </w:r>
      <w:r>
        <w:rPr>
          <w:rFonts w:hint="eastAsia" w:ascii="黑体" w:hAnsi="黑体" w:eastAsia="黑体" w:cs="黑体"/>
          <w:b w:val="0"/>
          <w:bCs w:val="0"/>
          <w:spacing w:val="-2"/>
          <w:sz w:val="21"/>
          <w:szCs w:val="21"/>
          <w:lang w:val="en-US" w:eastAsia="zh-CN"/>
        </w:rPr>
        <w:t>油品滴洒量</w:t>
      </w:r>
      <w:r>
        <w:rPr>
          <w:rFonts w:ascii="黑体" w:hAnsi="黑体" w:eastAsia="黑体" w:cs="黑体"/>
          <w:b w:val="0"/>
          <w:bCs w:val="0"/>
          <w:spacing w:val="-2"/>
          <w:sz w:val="21"/>
          <w:szCs w:val="21"/>
        </w:rPr>
        <w:t>检测记录表</w:t>
      </w:r>
      <w:r>
        <w:drawing>
          <wp:inline distT="0" distB="0" distL="114300" distR="114300">
            <wp:extent cx="6114415" cy="7353300"/>
            <wp:effectExtent l="0" t="0" r="6985" b="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20"/>
                    <a:stretch>
                      <a:fillRect/>
                    </a:stretch>
                  </pic:blipFill>
                  <pic:spPr>
                    <a:xfrm>
                      <a:off x="0" y="0"/>
                      <a:ext cx="6114415" cy="7353300"/>
                    </a:xfrm>
                    <a:prstGeom prst="rect">
                      <a:avLst/>
                    </a:prstGeom>
                    <a:noFill/>
                    <a:ln>
                      <a:noFill/>
                    </a:ln>
                  </pic:spPr>
                </pic:pic>
              </a:graphicData>
            </a:graphic>
          </wp:inline>
        </w:drawing>
      </w:r>
    </w:p>
    <w:p w14:paraId="160128C4">
      <w:pPr>
        <w:keepNext w:val="0"/>
        <w:keepLines w:val="0"/>
        <w:pageBreakBefore w:val="0"/>
        <w:widowControl/>
        <w:kinsoku w:val="0"/>
        <w:wordWrap/>
        <w:overflowPunct/>
        <w:topLinePunct w:val="0"/>
        <w:autoSpaceDE w:val="0"/>
        <w:autoSpaceDN w:val="0"/>
        <w:bidi w:val="0"/>
        <w:adjustRightInd w:val="0"/>
        <w:snapToGrid w:val="0"/>
        <w:spacing w:line="264" w:lineRule="auto"/>
        <w:rPr>
          <w:rFonts w:hint="eastAsia" w:ascii="宋体" w:hAnsi="宋体" w:eastAsia="宋体" w:cs="宋体"/>
          <w:spacing w:val="-2"/>
          <w:sz w:val="20"/>
          <w:szCs w:val="20"/>
          <w:lang w:val="en-US" w:eastAsia="zh-CN"/>
        </w:rPr>
      </w:pPr>
      <w:r>
        <w:rPr>
          <w:rFonts w:hint="eastAsia" w:ascii="宋体" w:hAnsi="宋体" w:eastAsia="宋体" w:cs="宋体"/>
          <w:spacing w:val="-2"/>
          <w:sz w:val="20"/>
          <w:szCs w:val="20"/>
          <w:lang w:val="en-US" w:eastAsia="zh-CN"/>
        </w:rPr>
        <w:br w:type="page"/>
      </w:r>
    </w:p>
    <w:p w14:paraId="0F35E690">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left"/>
        <w:textAlignment w:val="baseline"/>
      </w:pPr>
      <w:r>
        <w:rPr>
          <w:rFonts w:hint="eastAsia"/>
          <w:position w:val="1"/>
          <w:sz w:val="20"/>
          <w:szCs w:val="20"/>
          <w:lang w:eastAsia="zh-CN"/>
        </w:rPr>
        <w:t>DB13</w:t>
      </w:r>
      <w:r>
        <w:rPr>
          <w:spacing w:val="8"/>
          <w:position w:val="1"/>
          <w:sz w:val="20"/>
          <w:szCs w:val="20"/>
        </w:rPr>
        <w:t xml:space="preserve">/ </w:t>
      </w:r>
      <w:r>
        <w:rPr>
          <w:position w:val="1"/>
          <w:sz w:val="20"/>
          <w:szCs w:val="20"/>
        </w:rPr>
        <w:t>XXXX</w:t>
      </w:r>
      <w:r>
        <w:rPr>
          <w:rFonts w:ascii="宋体" w:hAnsi="宋体" w:eastAsia="宋体" w:cs="宋体"/>
          <w:spacing w:val="8"/>
          <w:position w:val="1"/>
          <w:sz w:val="20"/>
          <w:szCs w:val="20"/>
        </w:rPr>
        <w:t>—</w:t>
      </w:r>
      <w:r>
        <w:rPr>
          <w:spacing w:val="8"/>
          <w:position w:val="1"/>
          <w:sz w:val="20"/>
          <w:szCs w:val="20"/>
        </w:rPr>
        <w:t>202X</w:t>
      </w:r>
      <w:r>
        <w:drawing>
          <wp:anchor distT="0" distB="0" distL="114300" distR="114300" simplePos="0" relativeHeight="251666432" behindDoc="0" locked="0" layoutInCell="1" allowOverlap="1">
            <wp:simplePos x="0" y="0"/>
            <wp:positionH relativeFrom="column">
              <wp:posOffset>-43180</wp:posOffset>
            </wp:positionH>
            <wp:positionV relativeFrom="paragraph">
              <wp:posOffset>368300</wp:posOffset>
            </wp:positionV>
            <wp:extent cx="6116955" cy="7818755"/>
            <wp:effectExtent l="0" t="0" r="0" b="0"/>
            <wp:wrapSquare wrapText="bothSides"/>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21"/>
                    <a:srcRect t="4172"/>
                    <a:stretch>
                      <a:fillRect/>
                    </a:stretch>
                  </pic:blipFill>
                  <pic:spPr>
                    <a:xfrm>
                      <a:off x="0" y="0"/>
                      <a:ext cx="6116955" cy="7818755"/>
                    </a:xfrm>
                    <a:prstGeom prst="rect">
                      <a:avLst/>
                    </a:prstGeom>
                    <a:noFill/>
                    <a:ln>
                      <a:noFill/>
                    </a:ln>
                  </pic:spPr>
                </pic:pic>
              </a:graphicData>
            </a:graphic>
          </wp:anchor>
        </w:drawing>
      </w:r>
    </w:p>
    <w:p w14:paraId="53BBF6A2">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69FDA688">
      <w:pPr>
        <w:rPr>
          <w:rFonts w:hint="eastAsia"/>
          <w:lang w:val="en-US" w:eastAsia="zh-CN"/>
        </w:rPr>
      </w:pPr>
      <w:r>
        <w:rPr>
          <w:rFonts w:hint="eastAsia"/>
          <w:lang w:val="en-US" w:eastAsia="zh-CN"/>
        </w:rPr>
        <w:br w:type="page"/>
      </w:r>
    </w:p>
    <w:p w14:paraId="2845961C">
      <w:pPr>
        <w:pStyle w:val="3"/>
        <w:keepNext w:val="0"/>
        <w:keepLines w:val="0"/>
        <w:pageBreakBefore w:val="0"/>
        <w:widowControl/>
        <w:kinsoku w:val="0"/>
        <w:wordWrap/>
        <w:overflowPunct/>
        <w:topLinePunct w:val="0"/>
        <w:autoSpaceDE w:val="0"/>
        <w:autoSpaceDN w:val="0"/>
        <w:bidi w:val="0"/>
        <w:adjustRightInd w:val="0"/>
        <w:snapToGrid w:val="0"/>
        <w:spacing w:before="42" w:line="265" w:lineRule="exact"/>
        <w:ind w:left="0"/>
        <w:jc w:val="right"/>
        <w:textAlignment w:val="baseline"/>
        <w:rPr>
          <w:rFonts w:hint="eastAsia"/>
          <w:lang w:val="en-US" w:eastAsia="zh-CN"/>
        </w:rPr>
      </w:pPr>
      <w:r>
        <w:rPr>
          <w:rFonts w:hint="eastAsia"/>
          <w:position w:val="1"/>
          <w:sz w:val="21"/>
          <w:szCs w:val="21"/>
          <w:lang w:eastAsia="zh-CN"/>
        </w:rPr>
        <w:t>DB13</w:t>
      </w:r>
      <w:r>
        <w:rPr>
          <w:spacing w:val="8"/>
          <w:position w:val="1"/>
          <w:sz w:val="21"/>
          <w:szCs w:val="21"/>
        </w:rPr>
        <w:t xml:space="preserve">/ </w:t>
      </w:r>
      <w:r>
        <w:rPr>
          <w:position w:val="1"/>
          <w:sz w:val="21"/>
          <w:szCs w:val="21"/>
        </w:rPr>
        <w:t>XXXX</w:t>
      </w:r>
      <w:r>
        <w:rPr>
          <w:rFonts w:ascii="宋体" w:hAnsi="宋体" w:eastAsia="宋体" w:cs="宋体"/>
          <w:spacing w:val="8"/>
          <w:position w:val="1"/>
          <w:sz w:val="21"/>
          <w:szCs w:val="21"/>
        </w:rPr>
        <w:t>—</w:t>
      </w:r>
      <w:r>
        <w:rPr>
          <w:spacing w:val="8"/>
          <w:position w:val="1"/>
          <w:sz w:val="21"/>
          <w:szCs w:val="21"/>
        </w:rPr>
        <w:t>202X</w:t>
      </w:r>
      <w:bookmarkStart w:id="11" w:name="_GoBack"/>
      <w:bookmarkEnd w:id="11"/>
      <w:r>
        <w:drawing>
          <wp:anchor distT="0" distB="0" distL="114300" distR="114300" simplePos="0" relativeHeight="251667456" behindDoc="0" locked="0" layoutInCell="1" allowOverlap="1">
            <wp:simplePos x="0" y="0"/>
            <wp:positionH relativeFrom="column">
              <wp:posOffset>41275</wp:posOffset>
            </wp:positionH>
            <wp:positionV relativeFrom="paragraph">
              <wp:posOffset>321945</wp:posOffset>
            </wp:positionV>
            <wp:extent cx="6111875" cy="5021580"/>
            <wp:effectExtent l="0" t="0" r="0" b="0"/>
            <wp:wrapSquare wrapText="bothSides"/>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2"/>
                    <a:srcRect t="4940"/>
                    <a:stretch>
                      <a:fillRect/>
                    </a:stretch>
                  </pic:blipFill>
                  <pic:spPr>
                    <a:xfrm>
                      <a:off x="0" y="0"/>
                      <a:ext cx="6111875" cy="5021580"/>
                    </a:xfrm>
                    <a:prstGeom prst="rect">
                      <a:avLst/>
                    </a:prstGeom>
                    <a:noFill/>
                    <a:ln>
                      <a:noFill/>
                    </a:ln>
                  </pic:spPr>
                </pic:pic>
              </a:graphicData>
            </a:graphic>
          </wp:anchor>
        </w:drawing>
      </w:r>
    </w:p>
    <w:p w14:paraId="790EB07B">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20C49221">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0385B691">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39BBA0C9">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1C7E601C">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5460BB63">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2CFAE803">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p w14:paraId="65A800B4">
      <w:pPr>
        <w:keepNext w:val="0"/>
        <w:keepLines w:val="0"/>
        <w:pageBreakBefore w:val="0"/>
        <w:widowControl/>
        <w:kinsoku w:val="0"/>
        <w:wordWrap/>
        <w:overflowPunct/>
        <w:topLinePunct w:val="0"/>
        <w:autoSpaceDE w:val="0"/>
        <w:autoSpaceDN w:val="0"/>
        <w:bidi w:val="0"/>
        <w:adjustRightInd w:val="0"/>
        <w:snapToGrid w:val="0"/>
        <w:spacing w:before="68" w:line="264" w:lineRule="auto"/>
        <w:ind w:left="2997"/>
        <w:rPr>
          <w:rFonts w:hint="eastAsia"/>
          <w:lang w:val="en-US" w:eastAsia="zh-CN"/>
        </w:rPr>
      </w:pPr>
    </w:p>
    <w:sectPr>
      <w:footerReference r:id="rId8" w:type="default"/>
      <w:pgSz w:w="11906" w:h="16838"/>
      <w:pgMar w:top="1134" w:right="1417" w:bottom="1134" w:left="1134"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5325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BAB89F">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FBAB89F">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C6DA9">
    <w:pPr>
      <w:tabs>
        <w:tab w:val="left" w:pos="3503"/>
      </w:tabs>
      <w:spacing w:line="183" w:lineRule="auto"/>
      <w:ind w:right="275"/>
      <w:jc w:val="left"/>
      <w:rPr>
        <w:rFonts w:hint="eastAsia" w:ascii="宋体" w:hAnsi="宋体" w:eastAsia="宋体" w:cs="宋体"/>
        <w:sz w:val="16"/>
        <w:szCs w:val="16"/>
        <w:lang w:eastAsia="zh-CN"/>
      </w:rPr>
    </w:pPr>
    <w:r>
      <w:rPr>
        <w:sz w:val="16"/>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BE6F25">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0BE6F25">
                    <w:pPr>
                      <w:pStyle w:val="4"/>
                    </w:pPr>
                    <w:r>
                      <w:fldChar w:fldCharType="begin"/>
                    </w:r>
                    <w:r>
                      <w:instrText xml:space="preserve"> PAGE  \* MERGEFORMAT </w:instrText>
                    </w:r>
                    <w:r>
                      <w:fldChar w:fldCharType="separate"/>
                    </w:r>
                    <w:r>
                      <w:t>3</w:t>
                    </w:r>
                    <w:r>
                      <w:fldChar w:fldCharType="end"/>
                    </w:r>
                  </w:p>
                </w:txbxContent>
              </v:textbox>
            </v:shape>
          </w:pict>
        </mc:Fallback>
      </mc:AlternateContent>
    </w:r>
    <w:r>
      <w:rPr>
        <w:rFonts w:hint="eastAsia" w:ascii="宋体" w:hAnsi="宋体" w:eastAsia="宋体" w:cs="宋体"/>
        <w:sz w:val="16"/>
        <w:szCs w:val="16"/>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CD983">
    <w:pPr>
      <w:spacing w:line="183" w:lineRule="auto"/>
      <w:ind w:right="256"/>
      <w:jc w:val="right"/>
      <w:rPr>
        <w:rFonts w:ascii="宋体" w:hAnsi="宋体" w:eastAsia="宋体" w:cs="宋体"/>
        <w:sz w:val="17"/>
        <w:szCs w:val="17"/>
      </w:rPr>
    </w:pPr>
    <w:r>
      <w:rPr>
        <w:sz w:val="17"/>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72A60">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3B72A60">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86E7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0OTYzY2QxYTZjN2JlM2E4OWFhNWM5N2MxN2QxY2YifQ=="/>
  </w:docVars>
  <w:rsids>
    <w:rsidRoot w:val="00000000"/>
    <w:rsid w:val="013D4B60"/>
    <w:rsid w:val="01D84888"/>
    <w:rsid w:val="01D86637"/>
    <w:rsid w:val="02CB1CF7"/>
    <w:rsid w:val="02F05C02"/>
    <w:rsid w:val="036A7762"/>
    <w:rsid w:val="039D7565"/>
    <w:rsid w:val="047D1717"/>
    <w:rsid w:val="061B3040"/>
    <w:rsid w:val="06624721"/>
    <w:rsid w:val="06DF0467"/>
    <w:rsid w:val="07630750"/>
    <w:rsid w:val="07BC60B3"/>
    <w:rsid w:val="07E5385B"/>
    <w:rsid w:val="08461875"/>
    <w:rsid w:val="087370B9"/>
    <w:rsid w:val="08AF79C5"/>
    <w:rsid w:val="09C63218"/>
    <w:rsid w:val="09FE6E56"/>
    <w:rsid w:val="0A173A74"/>
    <w:rsid w:val="0A6E4573"/>
    <w:rsid w:val="0A7268CE"/>
    <w:rsid w:val="0AD57BB7"/>
    <w:rsid w:val="0B970331"/>
    <w:rsid w:val="0C2661F0"/>
    <w:rsid w:val="0C272694"/>
    <w:rsid w:val="0DA27AF9"/>
    <w:rsid w:val="0E5B4877"/>
    <w:rsid w:val="0E8A515C"/>
    <w:rsid w:val="0F3155D8"/>
    <w:rsid w:val="0FBC1346"/>
    <w:rsid w:val="0FC91BB6"/>
    <w:rsid w:val="103F3D25"/>
    <w:rsid w:val="105022FC"/>
    <w:rsid w:val="10523A58"/>
    <w:rsid w:val="10B77D5F"/>
    <w:rsid w:val="11673533"/>
    <w:rsid w:val="116C6D9B"/>
    <w:rsid w:val="120F24A4"/>
    <w:rsid w:val="121865DB"/>
    <w:rsid w:val="135C0A9B"/>
    <w:rsid w:val="13D604FC"/>
    <w:rsid w:val="14A443BC"/>
    <w:rsid w:val="14FA7474"/>
    <w:rsid w:val="158226E9"/>
    <w:rsid w:val="158C5316"/>
    <w:rsid w:val="15BA6327"/>
    <w:rsid w:val="161F43DC"/>
    <w:rsid w:val="16CB6312"/>
    <w:rsid w:val="17033CFE"/>
    <w:rsid w:val="18910E95"/>
    <w:rsid w:val="18F356AC"/>
    <w:rsid w:val="19874772"/>
    <w:rsid w:val="19D465D8"/>
    <w:rsid w:val="1A8567D8"/>
    <w:rsid w:val="1ACC4407"/>
    <w:rsid w:val="1AD339E7"/>
    <w:rsid w:val="1B5E59A7"/>
    <w:rsid w:val="1B636B19"/>
    <w:rsid w:val="1C16002F"/>
    <w:rsid w:val="1CD51C99"/>
    <w:rsid w:val="1DAA6CB2"/>
    <w:rsid w:val="1DB23D88"/>
    <w:rsid w:val="1DF3687A"/>
    <w:rsid w:val="1F2760B0"/>
    <w:rsid w:val="1F394761"/>
    <w:rsid w:val="1F4C5B16"/>
    <w:rsid w:val="1FFA45A8"/>
    <w:rsid w:val="1FFD3ABF"/>
    <w:rsid w:val="20AF2801"/>
    <w:rsid w:val="2142404A"/>
    <w:rsid w:val="21F93D33"/>
    <w:rsid w:val="22252D7A"/>
    <w:rsid w:val="229121BE"/>
    <w:rsid w:val="22F4274D"/>
    <w:rsid w:val="237D0FD5"/>
    <w:rsid w:val="245C67FB"/>
    <w:rsid w:val="250C6474"/>
    <w:rsid w:val="2625613D"/>
    <w:rsid w:val="26C708A4"/>
    <w:rsid w:val="26D7478F"/>
    <w:rsid w:val="27985D9D"/>
    <w:rsid w:val="27B84691"/>
    <w:rsid w:val="27D56FF1"/>
    <w:rsid w:val="28A74E2B"/>
    <w:rsid w:val="28AF339E"/>
    <w:rsid w:val="29932CBF"/>
    <w:rsid w:val="2B0D4CF3"/>
    <w:rsid w:val="2D200D0E"/>
    <w:rsid w:val="2DF47AA5"/>
    <w:rsid w:val="2DFE26D1"/>
    <w:rsid w:val="2E1B1119"/>
    <w:rsid w:val="2E652751"/>
    <w:rsid w:val="2E9B6172"/>
    <w:rsid w:val="2FAC4ADB"/>
    <w:rsid w:val="2FCC0F50"/>
    <w:rsid w:val="30037C64"/>
    <w:rsid w:val="307F7AFA"/>
    <w:rsid w:val="309A0DD7"/>
    <w:rsid w:val="30A9101A"/>
    <w:rsid w:val="314F1BC2"/>
    <w:rsid w:val="34B451A4"/>
    <w:rsid w:val="35F02AFF"/>
    <w:rsid w:val="361B0637"/>
    <w:rsid w:val="36EC1C61"/>
    <w:rsid w:val="37081C4D"/>
    <w:rsid w:val="373158C6"/>
    <w:rsid w:val="37476E97"/>
    <w:rsid w:val="377D13C7"/>
    <w:rsid w:val="384F4255"/>
    <w:rsid w:val="38B600A1"/>
    <w:rsid w:val="39167469"/>
    <w:rsid w:val="392D5E03"/>
    <w:rsid w:val="39730417"/>
    <w:rsid w:val="39CD3FCC"/>
    <w:rsid w:val="3A03179B"/>
    <w:rsid w:val="3ABF6015"/>
    <w:rsid w:val="3BDA477E"/>
    <w:rsid w:val="3BF910A8"/>
    <w:rsid w:val="3BFF7CA9"/>
    <w:rsid w:val="3C432323"/>
    <w:rsid w:val="3CD72C12"/>
    <w:rsid w:val="3CDB4D4F"/>
    <w:rsid w:val="3D0D2931"/>
    <w:rsid w:val="3D5B51A7"/>
    <w:rsid w:val="3D7D3613"/>
    <w:rsid w:val="3D9646D4"/>
    <w:rsid w:val="3DEB0EC4"/>
    <w:rsid w:val="3E1A70B4"/>
    <w:rsid w:val="3EDC25BB"/>
    <w:rsid w:val="3EEF22EE"/>
    <w:rsid w:val="3EF618CF"/>
    <w:rsid w:val="3FAF1A7E"/>
    <w:rsid w:val="41D81760"/>
    <w:rsid w:val="42562684"/>
    <w:rsid w:val="43374264"/>
    <w:rsid w:val="43652656"/>
    <w:rsid w:val="441D78FE"/>
    <w:rsid w:val="44B6565C"/>
    <w:rsid w:val="44CD30D2"/>
    <w:rsid w:val="44F87A23"/>
    <w:rsid w:val="46767799"/>
    <w:rsid w:val="47727F60"/>
    <w:rsid w:val="478A30D4"/>
    <w:rsid w:val="47F32436"/>
    <w:rsid w:val="48223734"/>
    <w:rsid w:val="486527BB"/>
    <w:rsid w:val="4A69389D"/>
    <w:rsid w:val="4A6E2C61"/>
    <w:rsid w:val="4AE051E1"/>
    <w:rsid w:val="4C15710C"/>
    <w:rsid w:val="4C7B78B7"/>
    <w:rsid w:val="4DC01CA2"/>
    <w:rsid w:val="4F6E17B3"/>
    <w:rsid w:val="501047BA"/>
    <w:rsid w:val="504F52E3"/>
    <w:rsid w:val="52173BDE"/>
    <w:rsid w:val="52391DA6"/>
    <w:rsid w:val="52FB705C"/>
    <w:rsid w:val="53801770"/>
    <w:rsid w:val="53D77AC9"/>
    <w:rsid w:val="54041443"/>
    <w:rsid w:val="5481641F"/>
    <w:rsid w:val="557363CB"/>
    <w:rsid w:val="5588094F"/>
    <w:rsid w:val="55A03EEB"/>
    <w:rsid w:val="56ED13B1"/>
    <w:rsid w:val="57236B81"/>
    <w:rsid w:val="57684EDC"/>
    <w:rsid w:val="581B5AAA"/>
    <w:rsid w:val="58262129"/>
    <w:rsid w:val="584B45E2"/>
    <w:rsid w:val="58F20F01"/>
    <w:rsid w:val="5B3C46B5"/>
    <w:rsid w:val="5D069869"/>
    <w:rsid w:val="5DCF35BF"/>
    <w:rsid w:val="5E3E24F3"/>
    <w:rsid w:val="5E512226"/>
    <w:rsid w:val="5E734892"/>
    <w:rsid w:val="5EB427B5"/>
    <w:rsid w:val="5EFC6636"/>
    <w:rsid w:val="5F0A25D8"/>
    <w:rsid w:val="5FDF3861"/>
    <w:rsid w:val="60C5514D"/>
    <w:rsid w:val="61131A15"/>
    <w:rsid w:val="61483DB4"/>
    <w:rsid w:val="6162299C"/>
    <w:rsid w:val="621974FF"/>
    <w:rsid w:val="62B67289"/>
    <w:rsid w:val="62D06A90"/>
    <w:rsid w:val="6429154F"/>
    <w:rsid w:val="642E5DFB"/>
    <w:rsid w:val="64487C27"/>
    <w:rsid w:val="64721148"/>
    <w:rsid w:val="655F347A"/>
    <w:rsid w:val="65BF660F"/>
    <w:rsid w:val="65EB11B2"/>
    <w:rsid w:val="66D623CE"/>
    <w:rsid w:val="674D37A6"/>
    <w:rsid w:val="6796339F"/>
    <w:rsid w:val="6865349E"/>
    <w:rsid w:val="68B41D2F"/>
    <w:rsid w:val="68CC52CB"/>
    <w:rsid w:val="690A643D"/>
    <w:rsid w:val="69431305"/>
    <w:rsid w:val="699D5196"/>
    <w:rsid w:val="69F35F61"/>
    <w:rsid w:val="6A674B7F"/>
    <w:rsid w:val="6B5B4EAA"/>
    <w:rsid w:val="6B9C3AE5"/>
    <w:rsid w:val="6C11346D"/>
    <w:rsid w:val="6C191663"/>
    <w:rsid w:val="6EA63EC8"/>
    <w:rsid w:val="6FD44A65"/>
    <w:rsid w:val="6FDB5DF3"/>
    <w:rsid w:val="704B11CB"/>
    <w:rsid w:val="70AF1F52"/>
    <w:rsid w:val="71A77218"/>
    <w:rsid w:val="71C823A7"/>
    <w:rsid w:val="71D2259F"/>
    <w:rsid w:val="72987FCC"/>
    <w:rsid w:val="73041B05"/>
    <w:rsid w:val="734C0DB6"/>
    <w:rsid w:val="74A470FC"/>
    <w:rsid w:val="74BA2CA6"/>
    <w:rsid w:val="74D07EF1"/>
    <w:rsid w:val="77C65B11"/>
    <w:rsid w:val="781E71C5"/>
    <w:rsid w:val="78315E04"/>
    <w:rsid w:val="79876FEC"/>
    <w:rsid w:val="7A721A4A"/>
    <w:rsid w:val="7A85352B"/>
    <w:rsid w:val="7B5F3D7C"/>
    <w:rsid w:val="7CA26617"/>
    <w:rsid w:val="7CAE1C54"/>
    <w:rsid w:val="7D450D50"/>
    <w:rsid w:val="7DD035E5"/>
    <w:rsid w:val="7DD10836"/>
    <w:rsid w:val="7DF804B8"/>
    <w:rsid w:val="7E87324F"/>
    <w:rsid w:val="7F3217A8"/>
    <w:rsid w:val="A7D1D88A"/>
    <w:rsid w:val="DEDBE99B"/>
    <w:rsid w:val="F92CE324"/>
    <w:rsid w:val="FF7E0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0"/>
    <w:pPr>
      <w:keepNext/>
      <w:keepLines/>
      <w:spacing w:before="110" w:beforeLines="0" w:beforeAutospacing="0" w:afterLines="0" w:afterAutospacing="0" w:line="224" w:lineRule="auto"/>
      <w:outlineLvl w:val="0"/>
    </w:pPr>
    <w:rPr>
      <w:rFonts w:ascii="Arial" w:hAnsi="Arial" w:eastAsia="黑体"/>
      <w:b/>
      <w:kern w:val="44"/>
      <w:sz w:val="20"/>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黑体" w:hAnsi="黑体" w:eastAsia="黑体" w:cs="黑体"/>
      <w:sz w:val="28"/>
      <w:szCs w:val="28"/>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wmf"/><Relationship Id="rId16" Type="http://schemas.openxmlformats.org/officeDocument/2006/relationships/oleObject" Target="embeddings/oleObject3.bin"/><Relationship Id="rId15" Type="http://schemas.openxmlformats.org/officeDocument/2006/relationships/image" Target="media/image4.wmf"/><Relationship Id="rId14" Type="http://schemas.openxmlformats.org/officeDocument/2006/relationships/oleObject" Target="embeddings/oleObject2.bin"/><Relationship Id="rId13" Type="http://schemas.openxmlformats.org/officeDocument/2006/relationships/image" Target="media/image3.wmf"/><Relationship Id="rId12" Type="http://schemas.openxmlformats.org/officeDocument/2006/relationships/oleObject" Target="embeddings/oleObject1.bin"/><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5561</Words>
  <Characters>7044</Characters>
  <Lines>0</Lines>
  <Paragraphs>0</Paragraphs>
  <TotalTime>1008</TotalTime>
  <ScaleCrop>false</ScaleCrop>
  <LinksUpToDate>false</LinksUpToDate>
  <CharactersWithSpaces>7641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2023-10-09T01:12:00Z</dcterms:created>
  <dc:creator>WangYongHui</dc:creator>
  <cp:lastModifiedBy>一花一世界</cp:lastModifiedBy>
  <dcterms:modified xsi:type="dcterms:W3CDTF">2024-09-03T02:59:17Z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E9BBD9B0A58A4ABA92A425F7E6CD8BCE_12</vt:lpwstr>
  </property>
</Properties>
</file>