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78" w:lineRule="exact"/>
        <w:textAlignment w:val="auto"/>
        <w:rPr>
          <w:rFonts w:hint="eastAsia" w:ascii="黑体" w:hAnsi="黑体" w:eastAsia="黑体" w:cs="黑体"/>
          <w:color w:val="auto"/>
          <w:sz w:val="32"/>
          <w:szCs w:val="32"/>
          <w:highlight w:val="none"/>
          <w:lang w:eastAsia="zh-CN"/>
        </w:rPr>
      </w:pPr>
      <w:bookmarkStart w:id="0" w:name="_GoBack"/>
      <w:bookmarkEnd w:id="0"/>
      <w:r>
        <w:rPr>
          <w:rFonts w:hint="eastAsia" w:ascii="黑体" w:hAnsi="黑体" w:eastAsia="黑体" w:cs="黑体"/>
          <w:color w:val="auto"/>
          <w:sz w:val="32"/>
          <w:szCs w:val="32"/>
          <w:highlight w:val="none"/>
          <w:lang w:eastAsia="zh-CN"/>
        </w:rPr>
        <w:t>附件2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 w:val="0"/>
        <w:spacing w:line="578" w:lineRule="exact"/>
        <w:jc w:val="center"/>
        <w:textAlignment w:val="auto"/>
        <w:rPr>
          <w:rFonts w:hint="eastAsia" w:ascii="Times New Roman" w:hAnsi="Times New Roman" w:eastAsia="方正小标宋简体"/>
          <w:sz w:val="44"/>
          <w:szCs w:val="44"/>
        </w:rPr>
      </w:pP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 w:val="0"/>
        <w:spacing w:line="578" w:lineRule="exact"/>
        <w:jc w:val="center"/>
        <w:textAlignment w:val="auto"/>
        <w:rPr>
          <w:rFonts w:hint="eastAsia" w:ascii="黑体" w:hAnsi="黑体" w:eastAsia="黑体" w:cs="黑体"/>
          <w:snapToGrid w:val="0"/>
          <w:kern w:val="32"/>
          <w:sz w:val="32"/>
          <w:szCs w:val="32"/>
          <w:lang w:val="en-US" w:eastAsia="zh-CN"/>
        </w:rPr>
      </w:pPr>
      <w:r>
        <w:rPr>
          <w:rFonts w:hint="eastAsia" w:ascii="Times New Roman" w:hAnsi="Times New Roman" w:eastAsia="方正小标宋简体" w:cs="Times New Roman"/>
          <w:sz w:val="44"/>
          <w:szCs w:val="44"/>
        </w:rPr>
        <w:t>《京津冀市场监管部门</w:t>
      </w:r>
      <w:r>
        <w:rPr>
          <w:rFonts w:hint="eastAsia" w:ascii="Times New Roman" w:hAnsi="Times New Roman" w:eastAsia="方正小标宋简体" w:cs="Times New Roman"/>
          <w:sz w:val="44"/>
          <w:szCs w:val="44"/>
          <w:lang w:eastAsia="zh-CN"/>
        </w:rPr>
        <w:t>协同信用修复管理</w:t>
      </w:r>
      <w:r>
        <w:rPr>
          <w:rFonts w:hint="eastAsia" w:ascii="Times New Roman" w:hAnsi="Times New Roman" w:eastAsia="方正小标宋简体" w:cs="Times New Roman"/>
          <w:sz w:val="44"/>
          <w:szCs w:val="44"/>
        </w:rPr>
        <w:t>工作方案</w:t>
      </w:r>
      <w:r>
        <w:rPr>
          <w:rFonts w:hint="eastAsia" w:ascii="Times New Roman" w:hAnsi="Times New Roman" w:eastAsia="方正小标宋简体" w:cs="Times New Roman"/>
          <w:sz w:val="44"/>
          <w:szCs w:val="44"/>
          <w:lang w:eastAsia="zh-CN"/>
        </w:rPr>
        <w:t>（征求意见稿）</w:t>
      </w:r>
      <w:r>
        <w:rPr>
          <w:rFonts w:hint="eastAsia" w:ascii="Times New Roman" w:hAnsi="Times New Roman" w:eastAsia="方正小标宋简体" w:cs="Times New Roman"/>
          <w:sz w:val="44"/>
          <w:szCs w:val="44"/>
        </w:rPr>
        <w:t>》起草说</w:t>
      </w:r>
      <w:r>
        <w:rPr>
          <w:rFonts w:hint="eastAsia" w:ascii="Times New Roman" w:hAnsi="Times New Roman" w:eastAsia="方正小标宋简体"/>
          <w:sz w:val="44"/>
          <w:szCs w:val="44"/>
        </w:rPr>
        <w:t>明</w:t>
      </w:r>
    </w:p>
    <w:p>
      <w:pPr>
        <w:keepNext w:val="0"/>
        <w:keepLines w:val="0"/>
        <w:pageBreakBefore w:val="0"/>
        <w:suppressAutoHyphens/>
        <w:kinsoku/>
        <w:wordWrap/>
        <w:topLinePunct w:val="0"/>
        <w:bidi w:val="0"/>
        <w:adjustRightInd/>
        <w:snapToGrid w:val="0"/>
        <w:spacing w:line="578" w:lineRule="exact"/>
        <w:ind w:firstLine="640" w:firstLineChars="200"/>
        <w:textAlignment w:val="auto"/>
        <w:rPr>
          <w:rFonts w:hint="eastAsia" w:ascii="黑体" w:hAnsi="黑体" w:eastAsia="黑体" w:cs="黑体"/>
          <w:snapToGrid w:val="0"/>
          <w:kern w:val="32"/>
          <w:sz w:val="32"/>
          <w:szCs w:val="32"/>
          <w:lang w:val="en-US" w:eastAsia="zh-CN"/>
        </w:rPr>
      </w:pPr>
    </w:p>
    <w:p>
      <w:pPr>
        <w:keepNext w:val="0"/>
        <w:keepLines w:val="0"/>
        <w:pageBreakBefore w:val="0"/>
        <w:suppressAutoHyphens/>
        <w:kinsoku/>
        <w:wordWrap/>
        <w:topLinePunct w:val="0"/>
        <w:bidi w:val="0"/>
        <w:adjustRightInd/>
        <w:snapToGrid w:val="0"/>
        <w:spacing w:line="578" w:lineRule="exact"/>
        <w:ind w:firstLine="640" w:firstLineChars="200"/>
        <w:textAlignment w:val="auto"/>
        <w:rPr>
          <w:rFonts w:hint="eastAsia" w:ascii="黑体" w:hAnsi="黑体" w:eastAsia="黑体" w:cs="黑体"/>
          <w:snapToGrid w:val="0"/>
          <w:kern w:val="32"/>
          <w:sz w:val="32"/>
          <w:szCs w:val="32"/>
          <w:lang w:val="en-US" w:eastAsia="zh-CN"/>
        </w:rPr>
      </w:pPr>
      <w:r>
        <w:rPr>
          <w:rFonts w:hint="eastAsia" w:ascii="黑体" w:hAnsi="黑体" w:eastAsia="黑体" w:cs="黑体"/>
          <w:snapToGrid w:val="0"/>
          <w:kern w:val="32"/>
          <w:sz w:val="32"/>
          <w:szCs w:val="32"/>
          <w:lang w:val="en-US" w:eastAsia="zh-CN"/>
        </w:rPr>
        <w:t>一、</w:t>
      </w:r>
      <w:r>
        <w:rPr>
          <w:rFonts w:hint="eastAsia" w:ascii="黑体" w:hAnsi="黑体" w:eastAsia="黑体" w:cs="黑体"/>
          <w:snapToGrid w:val="0"/>
          <w:kern w:val="32"/>
          <w:sz w:val="32"/>
          <w:szCs w:val="32"/>
          <w:lang w:val="en-US" w:eastAsia="zh"/>
        </w:rPr>
        <w:t>起草</w:t>
      </w:r>
      <w:r>
        <w:rPr>
          <w:rFonts w:hint="eastAsia" w:ascii="黑体" w:hAnsi="黑体" w:eastAsia="黑体" w:cs="黑体"/>
          <w:snapToGrid w:val="0"/>
          <w:kern w:val="32"/>
          <w:sz w:val="32"/>
          <w:szCs w:val="32"/>
          <w:lang w:val="en-US" w:eastAsia="zh-CN"/>
        </w:rPr>
        <w:t>背景</w:t>
      </w:r>
    </w:p>
    <w:p>
      <w:pPr>
        <w:keepNext w:val="0"/>
        <w:keepLines w:val="0"/>
        <w:pageBreakBefore w:val="0"/>
        <w:widowControl/>
        <w:kinsoku/>
        <w:wordWrap/>
        <w:topLinePunct w:val="0"/>
        <w:bidi w:val="0"/>
        <w:adjustRightInd/>
        <w:snapToGrid w:val="0"/>
        <w:spacing w:line="578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sz w:val="32"/>
          <w:szCs w:val="40"/>
          <w:lang w:eastAsia="zh-CN"/>
        </w:rPr>
      </w:pPr>
      <w:r>
        <w:rPr>
          <w:rFonts w:hint="eastAsia" w:ascii="方正仿宋_GBK" w:hAnsi="方正仿宋_GBK" w:eastAsia="方正仿宋_GBK" w:cs="方正仿宋_GBK"/>
          <w:sz w:val="32"/>
          <w:szCs w:val="32"/>
        </w:rPr>
        <w:t>为深入贯彻落实《“十四五”市场监管现代化规划》、《京津冀协同发展规划纲要》，完善</w:t>
      </w:r>
      <w:r>
        <w:rPr>
          <w:rFonts w:hint="eastAsia" w:ascii="方正仿宋_GBK" w:hAnsi="方正仿宋_GBK" w:eastAsia="方正仿宋_GBK" w:cs="方正仿宋_GBK"/>
          <w:sz w:val="32"/>
          <w:szCs w:val="32"/>
          <w:lang w:eastAsia="zh-CN"/>
        </w:rPr>
        <w:t>京津冀</w:t>
      </w:r>
      <w:r>
        <w:rPr>
          <w:rFonts w:hint="eastAsia" w:ascii="方正仿宋_GBK" w:hAnsi="方正仿宋_GBK" w:eastAsia="方正仿宋_GBK" w:cs="方正仿宋_GBK"/>
          <w:sz w:val="32"/>
          <w:szCs w:val="32"/>
        </w:rPr>
        <w:t>市场监管部门信用监管协同机制，</w:t>
      </w:r>
      <w:r>
        <w:rPr>
          <w:rFonts w:hint="eastAsia" w:ascii="方正仿宋_GBK" w:hAnsi="方正仿宋_GBK" w:eastAsia="方正仿宋_GBK" w:cs="方正仿宋_GBK"/>
          <w:sz w:val="32"/>
          <w:szCs w:val="32"/>
          <w:lang w:eastAsia="zh-CN"/>
        </w:rPr>
        <w:t>构建高效便捷修复制度，助力经营主体增信提质</w:t>
      </w:r>
      <w:r>
        <w:rPr>
          <w:rFonts w:hint="eastAsia" w:ascii="方正仿宋_GBK" w:hAnsi="方正仿宋_GBK" w:eastAsia="方正仿宋_GBK" w:cs="方正仿宋_GBK"/>
          <w:sz w:val="32"/>
          <w:szCs w:val="32"/>
        </w:rPr>
        <w:t>，</w:t>
      </w:r>
      <w:r>
        <w:rPr>
          <w:rFonts w:hint="eastAsia" w:ascii="方正仿宋_GBK" w:hAnsi="方正仿宋_GBK" w:eastAsia="方正仿宋_GBK" w:cs="方正仿宋_GBK"/>
          <w:sz w:val="32"/>
          <w:szCs w:val="32"/>
          <w:lang w:eastAsia="zh-CN"/>
        </w:rPr>
        <w:t>北京</w:t>
      </w:r>
      <w:r>
        <w:rPr>
          <w:rFonts w:hint="eastAsia" w:ascii="方正仿宋_GBK" w:hAnsi="方正仿宋_GBK" w:eastAsia="方正仿宋_GBK" w:cs="方正仿宋_GBK"/>
          <w:sz w:val="32"/>
          <w:szCs w:val="32"/>
        </w:rPr>
        <w:t>市市场监管局</w:t>
      </w:r>
      <w:r>
        <w:rPr>
          <w:rFonts w:hint="eastAsia" w:ascii="方正仿宋_GBK" w:hAnsi="方正仿宋_GBK" w:eastAsia="方正仿宋_GBK" w:cs="方正仿宋_GBK"/>
          <w:sz w:val="32"/>
          <w:szCs w:val="32"/>
          <w:lang w:eastAsia="zh-CN"/>
        </w:rPr>
        <w:t>、</w:t>
      </w:r>
      <w:r>
        <w:rPr>
          <w:rFonts w:hint="eastAsia" w:ascii="方正仿宋_GBK" w:hAnsi="方正仿宋_GBK" w:eastAsia="方正仿宋_GBK" w:cs="方正仿宋_GBK"/>
          <w:sz w:val="32"/>
          <w:szCs w:val="32"/>
        </w:rPr>
        <w:t>天津市市场监管委、河北省市场监管局</w:t>
      </w:r>
      <w:r>
        <w:rPr>
          <w:rFonts w:hint="eastAsia" w:ascii="方正仿宋_GBK" w:hAnsi="方正仿宋_GBK" w:eastAsia="方正仿宋_GBK" w:cs="方正仿宋_GBK"/>
          <w:sz w:val="32"/>
          <w:szCs w:val="32"/>
          <w:lang w:eastAsia="zh-CN"/>
        </w:rPr>
        <w:t>结合区域实际，共同起草</w:t>
      </w:r>
      <w:r>
        <w:rPr>
          <w:rFonts w:hint="eastAsia" w:ascii="方正仿宋_GBK" w:hAnsi="方正仿宋_GBK" w:eastAsia="方正仿宋_GBK" w:cs="方正仿宋_GBK"/>
          <w:sz w:val="32"/>
          <w:szCs w:val="32"/>
        </w:rPr>
        <w:t>了《京津冀市场监管部门</w:t>
      </w:r>
      <w:r>
        <w:rPr>
          <w:rFonts w:hint="eastAsia" w:ascii="方正仿宋_GBK" w:hAnsi="方正仿宋_GBK" w:eastAsia="方正仿宋_GBK" w:cs="方正仿宋_GBK"/>
          <w:sz w:val="32"/>
          <w:szCs w:val="32"/>
          <w:lang w:eastAsia="zh-CN"/>
        </w:rPr>
        <w:t>协同信用修复管理</w:t>
      </w:r>
      <w:r>
        <w:rPr>
          <w:rFonts w:hint="eastAsia" w:ascii="方正仿宋_GBK" w:hAnsi="方正仿宋_GBK" w:eastAsia="方正仿宋_GBK" w:cs="方正仿宋_GBK"/>
          <w:sz w:val="32"/>
          <w:szCs w:val="32"/>
        </w:rPr>
        <w:t>工作方案（征求意见稿）》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（以下简称《</w:t>
      </w:r>
      <w:r>
        <w:rPr>
          <w:rFonts w:hint="eastAsia" w:ascii="仿宋_GB2312" w:hAnsi="仿宋_GB2312" w:eastAsia="仿宋_GB2312" w:cs="仿宋_GB2312"/>
          <w:sz w:val="32"/>
          <w:szCs w:val="40"/>
          <w:lang w:val="en-US" w:eastAsia="zh-CN"/>
        </w:rPr>
        <w:t>方案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》）</w:t>
      </w:r>
      <w:r>
        <w:rPr>
          <w:rFonts w:hint="eastAsia" w:ascii="仿宋_GB2312" w:hAnsi="仿宋_GB2312" w:eastAsia="仿宋_GB2312" w:cs="仿宋_GB2312"/>
          <w:sz w:val="32"/>
          <w:szCs w:val="40"/>
          <w:lang w:eastAsia="zh-CN"/>
        </w:rPr>
        <w:t>。</w:t>
      </w:r>
    </w:p>
    <w:p>
      <w:pPr>
        <w:keepNext w:val="0"/>
        <w:keepLines w:val="0"/>
        <w:pageBreakBefore w:val="0"/>
        <w:widowControl/>
        <w:kinsoku/>
        <w:wordWrap/>
        <w:topLinePunct w:val="0"/>
        <w:bidi w:val="0"/>
        <w:adjustRightInd/>
        <w:spacing w:line="578" w:lineRule="exact"/>
        <w:ind w:left="10" w:firstLine="617" w:firstLineChars="193"/>
        <w:textAlignment w:val="auto"/>
        <w:rPr>
          <w:rFonts w:hint="eastAsia" w:ascii="黑体" w:hAnsi="黑体" w:eastAsia="黑体" w:cs="黑体"/>
          <w:snapToGrid w:val="0"/>
          <w:kern w:val="32"/>
          <w:sz w:val="32"/>
          <w:szCs w:val="32"/>
          <w:lang w:val="en-US" w:eastAsia="zh-CN"/>
        </w:rPr>
      </w:pPr>
      <w:r>
        <w:rPr>
          <w:rFonts w:hint="eastAsia" w:ascii="黑体" w:hAnsi="黑体" w:eastAsia="黑体" w:cs="黑体"/>
          <w:snapToGrid w:val="0"/>
          <w:kern w:val="32"/>
          <w:sz w:val="32"/>
          <w:szCs w:val="32"/>
          <w:lang w:val="en-US" w:eastAsia="zh-CN"/>
        </w:rPr>
        <w:t>二、起草依据</w:t>
      </w:r>
    </w:p>
    <w:p>
      <w:pPr>
        <w:keepNext w:val="0"/>
        <w:keepLines w:val="0"/>
        <w:pageBreakBefore w:val="0"/>
        <w:tabs>
          <w:tab w:val="left" w:pos="790"/>
          <w:tab w:val="left" w:pos="1264"/>
        </w:tabs>
        <w:kinsoku/>
        <w:wordWrap/>
        <w:overflowPunct w:val="0"/>
        <w:topLinePunct w:val="0"/>
        <w:autoSpaceDE/>
        <w:autoSpaceDN/>
        <w:bidi w:val="0"/>
        <w:adjustRightInd w:val="0"/>
        <w:snapToGrid w:val="0"/>
        <w:spacing w:line="578" w:lineRule="exact"/>
        <w:ind w:firstLine="624"/>
        <w:textAlignment w:val="auto"/>
        <w:rPr>
          <w:rFonts w:hint="eastAsia" w:ascii="仿宋_GB2312" w:hAnsi="仿宋_GB2312" w:eastAsia="仿宋_GB2312" w:cs="仿宋_GB2312"/>
          <w:sz w:val="32"/>
          <w:szCs w:val="32"/>
          <w:lang w:val="en-US" w:eastAsia="zh-CN" w:bidi="ar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依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据《企业信息公示暂行条例》《市场监督管理严重违法失信名单管理办法》和《企业经营异常名录管理暂行办法》等法律法规及规范性文件，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并结合京</w:t>
      </w:r>
      <w:r>
        <w:rPr>
          <w:rFonts w:hint="eastAsia" w:ascii="方正仿宋_GBK" w:hAnsi="方正仿宋_GBK" w:eastAsia="方正仿宋_GBK" w:cs="方正仿宋_GBK"/>
          <w:sz w:val="32"/>
          <w:szCs w:val="32"/>
          <w:lang w:eastAsia="zh-CN"/>
        </w:rPr>
        <w:t>津冀</w:t>
      </w:r>
      <w:r>
        <w:rPr>
          <w:rFonts w:hint="eastAsia" w:ascii="方正仿宋_GBK" w:hAnsi="方正仿宋_GBK" w:eastAsia="方正仿宋_GBK" w:cs="方正仿宋_GBK"/>
          <w:sz w:val="32"/>
          <w:szCs w:val="32"/>
        </w:rPr>
        <w:t>市场监管部门</w:t>
      </w:r>
      <w:r>
        <w:rPr>
          <w:rFonts w:hint="eastAsia" w:ascii="方正仿宋_GBK" w:hAnsi="方正仿宋_GBK" w:eastAsia="方正仿宋_GBK" w:cs="方正仿宋_GBK"/>
          <w:sz w:val="32"/>
          <w:szCs w:val="32"/>
          <w:lang w:eastAsia="zh-CN"/>
        </w:rPr>
        <w:t>信用修复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现状，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 w:bidi="ar"/>
        </w:rPr>
        <w:t>积极吸纳过往工作中经营主体等反馈的合理化建议，起草并完善了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《</w:t>
      </w:r>
      <w:r>
        <w:rPr>
          <w:rFonts w:hint="eastAsia" w:ascii="仿宋_GB2312" w:hAnsi="仿宋_GB2312" w:eastAsia="仿宋_GB2312" w:cs="仿宋_GB2312"/>
          <w:sz w:val="32"/>
          <w:szCs w:val="40"/>
          <w:lang w:val="en-US" w:eastAsia="zh-CN"/>
        </w:rPr>
        <w:t>方案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》。</w:t>
      </w:r>
    </w:p>
    <w:p>
      <w:pPr>
        <w:keepNext w:val="0"/>
        <w:keepLines w:val="0"/>
        <w:pageBreakBefore w:val="0"/>
        <w:suppressAutoHyphens/>
        <w:kinsoku/>
        <w:wordWrap/>
        <w:topLinePunct w:val="0"/>
        <w:bidi w:val="0"/>
        <w:adjustRightInd/>
        <w:snapToGrid w:val="0"/>
        <w:spacing w:line="578" w:lineRule="exact"/>
        <w:ind w:firstLine="640" w:firstLineChars="200"/>
        <w:textAlignment w:val="auto"/>
        <w:rPr>
          <w:rFonts w:hint="eastAsia" w:ascii="黑体" w:hAnsi="黑体" w:eastAsia="黑体" w:cs="黑体"/>
          <w:snapToGrid w:val="0"/>
          <w:kern w:val="32"/>
          <w:sz w:val="32"/>
          <w:szCs w:val="32"/>
          <w:lang w:val="en-US" w:eastAsia="zh-CN"/>
        </w:rPr>
      </w:pPr>
      <w:r>
        <w:rPr>
          <w:rFonts w:hint="eastAsia" w:ascii="黑体" w:hAnsi="黑体" w:eastAsia="黑体" w:cs="黑体"/>
          <w:snapToGrid w:val="0"/>
          <w:kern w:val="32"/>
          <w:sz w:val="32"/>
          <w:szCs w:val="32"/>
          <w:lang w:val="en-US" w:eastAsia="zh-CN"/>
        </w:rPr>
        <w:t>三、主要内容</w:t>
      </w:r>
    </w:p>
    <w:p>
      <w:pPr>
        <w:keepNext w:val="0"/>
        <w:keepLines w:val="0"/>
        <w:pageBreakBefore w:val="0"/>
        <w:widowControl/>
        <w:kinsoku/>
        <w:wordWrap/>
        <w:topLinePunct w:val="0"/>
        <w:bidi w:val="0"/>
        <w:adjustRightInd/>
        <w:snapToGrid w:val="0"/>
        <w:spacing w:line="578" w:lineRule="exact"/>
        <w:ind w:firstLine="640" w:firstLineChars="200"/>
        <w:textAlignment w:val="auto"/>
        <w:rPr>
          <w:rFonts w:hint="eastAsia" w:ascii="方正仿宋_GBK" w:hAnsi="方正仿宋_GBK" w:eastAsia="方正仿宋_GBK" w:cs="方正仿宋_GBK"/>
          <w:b w:val="0"/>
          <w:bCs w:val="0"/>
          <w:sz w:val="32"/>
          <w:szCs w:val="32"/>
          <w:lang w:val="en-US" w:eastAsia="zh-CN"/>
        </w:rPr>
      </w:pPr>
      <w:r>
        <w:rPr>
          <w:rFonts w:hint="eastAsia" w:ascii="方正仿宋_GBK" w:hAnsi="方正仿宋_GBK" w:eastAsia="方正仿宋_GBK" w:cs="方正仿宋_GBK"/>
          <w:b w:val="0"/>
          <w:bCs w:val="0"/>
          <w:sz w:val="32"/>
          <w:szCs w:val="32"/>
          <w:lang w:val="en-US" w:eastAsia="zh-CN"/>
        </w:rPr>
        <w:t>《方案》以提升京津冀经营主体信用水平为目标，为经营主体自我纠错、重塑信用营造良好环境，健全完善区域信用修复协同机制，在统一京津冀三地信用修复标准、提升信用修复便利度、开展协同修复、拓展主动修复范围、实施“两书同达”、实现信用修复数据共享互认等方面明确了具体工作要求。</w:t>
      </w:r>
    </w:p>
    <w:p>
      <w:pPr>
        <w:keepNext w:val="0"/>
        <w:keepLines w:val="0"/>
        <w:pageBreakBefore w:val="0"/>
        <w:widowControl/>
        <w:kinsoku/>
        <w:wordWrap/>
        <w:topLinePunct w:val="0"/>
        <w:bidi w:val="0"/>
        <w:adjustRightInd/>
        <w:snapToGrid w:val="0"/>
        <w:spacing w:line="578" w:lineRule="exact"/>
        <w:ind w:firstLine="420" w:firstLineChars="200"/>
        <w:textAlignment w:val="auto"/>
        <w:rPr>
          <w:rFonts w:hint="eastAsia" w:ascii="Times New Roman" w:hAnsi="Times New Roman"/>
          <w:lang w:val="en-US" w:eastAsia="zh-CN"/>
        </w:rPr>
      </w:pPr>
    </w:p>
    <w:p>
      <w:pPr>
        <w:pStyle w:val="4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before="300" w:beforeAutospacing="0" w:after="0" w:afterAutospacing="0" w:line="240" w:lineRule="auto"/>
        <w:ind w:right="0"/>
        <w:jc w:val="left"/>
        <w:textAlignment w:val="baseline"/>
        <w:rPr>
          <w:rFonts w:hint="eastAsia" w:ascii="黑体" w:hAnsi="黑体" w:eastAsia="黑体" w:cs="黑体"/>
          <w:sz w:val="32"/>
          <w:szCs w:val="32"/>
          <w:lang w:val="en-US" w:eastAsia="zh-CN"/>
        </w:rPr>
      </w:pPr>
    </w:p>
    <w:sectPr>
      <w:pgSz w:w="11906" w:h="16838"/>
      <w:pgMar w:top="1440" w:right="1800" w:bottom="1440" w:left="1800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altName w:val="方正书宋_GBK"/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altName w:val="Nimbus Roman No9 L"/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altName w:val="DejaVu Sans"/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2000609000000000000"/>
    <w:charset w:val="02"/>
    <w:family w:val="roman"/>
    <w:pitch w:val="default"/>
    <w:sig w:usb0="800000AF" w:usb1="4000204A" w:usb2="00000000" w:usb3="00000000" w:csb0="20000000" w:csb1="00000000"/>
  </w:font>
  <w:font w:name="Calibri">
    <w:altName w:val="DejaVu Sans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Cambria">
    <w:altName w:val="Noto Sans Syriac Eastern"/>
    <w:panose1 w:val="02040503050406030204"/>
    <w:charset w:val="00"/>
    <w:family w:val="roman"/>
    <w:pitch w:val="default"/>
    <w:sig w:usb0="00000000" w:usb1="00000000" w:usb2="00000000" w:usb3="00000000" w:csb0="2000009F" w:csb1="00000000"/>
  </w:font>
  <w:font w:name="方正小标宋简体">
    <w:panose1 w:val="02000000000000000000"/>
    <w:charset w:val="86"/>
    <w:family w:val="auto"/>
    <w:pitch w:val="default"/>
    <w:sig w:usb0="A00002BF" w:usb1="184F6CFA" w:usb2="00000012" w:usb3="00000000" w:csb0="00040001" w:csb1="00000000"/>
  </w:font>
  <w:font w:name="方正仿宋_GBK">
    <w:panose1 w:val="02000000000000000000"/>
    <w:charset w:val="86"/>
    <w:family w:val="auto"/>
    <w:pitch w:val="default"/>
    <w:sig w:usb0="00000001" w:usb1="08000000" w:usb2="00000000" w:usb3="00000000" w:csb0="00040000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方正书宋_GBK">
    <w:panose1 w:val="02000000000000000000"/>
    <w:charset w:val="86"/>
    <w:family w:val="auto"/>
    <w:pitch w:val="default"/>
    <w:sig w:usb0="00000001" w:usb1="08000000" w:usb2="00000000" w:usb3="00000000" w:csb0="00040000" w:csb1="00000000"/>
  </w:font>
  <w:font w:name="Nimbus Roman No9 L"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DejaVu Sans">
    <w:panose1 w:val="020B0603030804020204"/>
    <w:charset w:val="00"/>
    <w:family w:val="auto"/>
    <w:pitch w:val="default"/>
    <w:sig w:usb0="E7006EFF" w:usb1="D200FDFF" w:usb2="0A246029" w:usb3="0400200C" w:csb0="600001FF" w:csb1="DFFF0000"/>
  </w:font>
  <w:font w:name="Noto Sans Syriac Eastern">
    <w:panose1 w:val="02040503050306020203"/>
    <w:charset w:val="86"/>
    <w:family w:val="auto"/>
    <w:pitch w:val="default"/>
    <w:sig w:usb0="00000000" w:usb1="00000000" w:usb2="00000080" w:usb3="00000000" w:csb0="203E0161" w:csb1="D7FF0000"/>
  </w:font>
  <w:font w:name="方正宋体S-超大字符集">
    <w:panose1 w:val="02000000000000000000"/>
    <w:charset w:val="86"/>
    <w:family w:val="auto"/>
    <w:pitch w:val="default"/>
    <w:sig w:usb0="00000001" w:usb1="0800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true"/>
  <w:bordersDoNotSurroundFooter w:val="true"/>
  <w:documentProtection w:enforcement="0"/>
  <w:defaultTabStop w:val="420"/>
  <w:hyphenationZone w:val="36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7DFF2015"/>
    <w:rsid w:val="4FFEE4F6"/>
    <w:rsid w:val="5EBF576E"/>
    <w:rsid w:val="76EFD530"/>
    <w:rsid w:val="7DFF2015"/>
    <w:rsid w:val="7FF7F158"/>
    <w:rsid w:val="A6D567FE"/>
    <w:rsid w:val="FF5FFEAA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Calibri" w:hAnsi="Calibri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6">
    <w:name w:val="Default Paragraph Font"/>
    <w:semiHidden/>
    <w:qFormat/>
    <w:uiPriority w:val="0"/>
  </w:style>
  <w:style w:type="table" w:default="1" w:styleId="5">
    <w:name w:val="Normal Table"/>
    <w:semiHidden/>
    <w:qFormat/>
    <w:uiPriority w:val="0"/>
    <w:tblPr>
      <w:tblStyle w:val="5"/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2">
    <w:name w:val="UserStyle_0"/>
    <w:next w:val="1"/>
    <w:qFormat/>
    <w:uiPriority w:val="0"/>
    <w:pPr>
      <w:keepNext/>
      <w:keepLines/>
      <w:widowControl w:val="0"/>
      <w:spacing w:before="280" w:after="290" w:line="376" w:lineRule="auto"/>
      <w:ind w:firstLine="250" w:firstLineChars="250"/>
      <w:jc w:val="both"/>
    </w:pPr>
    <w:rPr>
      <w:rFonts w:ascii="Cambria" w:hAnsi="Cambria" w:eastAsia="宋体" w:cs="Cambria"/>
      <w:kern w:val="2"/>
      <w:sz w:val="28"/>
      <w:szCs w:val="28"/>
      <w:lang w:val="en-US" w:eastAsia="zh-CN" w:bidi="ar-SA"/>
    </w:rPr>
  </w:style>
  <w:style w:type="paragraph" w:styleId="3">
    <w:name w:val="footer"/>
    <w:qFormat/>
    <w:uiPriority w:val="0"/>
    <w:pPr>
      <w:widowControl w:val="0"/>
      <w:tabs>
        <w:tab w:val="center" w:pos="4153"/>
        <w:tab w:val="right" w:pos="8306"/>
      </w:tabs>
      <w:snapToGrid w:val="0"/>
      <w:jc w:val="left"/>
    </w:pPr>
    <w:rPr>
      <w:rFonts w:ascii="Times New Roman" w:hAnsi="Times New Roman" w:eastAsia="宋体" w:cs="Times New Roman"/>
      <w:kern w:val="2"/>
      <w:sz w:val="18"/>
      <w:szCs w:val="24"/>
      <w:lang w:val="en-US" w:eastAsia="zh-CN" w:bidi="ar-SA"/>
    </w:rPr>
  </w:style>
  <w:style w:type="paragraph" w:styleId="4">
    <w:name w:val="Normal (Web)"/>
    <w:qFormat/>
    <w:uiPriority w:val="0"/>
    <w:pPr>
      <w:widowControl w:val="0"/>
      <w:spacing w:before="100" w:beforeAutospacing="1" w:after="100" w:afterAutospacing="1"/>
      <w:ind w:left="0" w:right="0"/>
      <w:jc w:val="left"/>
    </w:pPr>
    <w:rPr>
      <w:rFonts w:ascii="Calibri" w:hAnsi="Calibri" w:eastAsia="宋体" w:cs="Times New Roman"/>
      <w:kern w:val="0"/>
      <w:sz w:val="24"/>
      <w:szCs w:val="24"/>
      <w:lang w:val="en-US" w:eastAsia="zh-CN" w:bidi="ar"/>
    </w:rPr>
  </w:style>
  <w:style w:type="paragraph" w:customStyle="1" w:styleId="7">
    <w:name w:val="Heading3"/>
    <w:next w:val="1"/>
    <w:qFormat/>
    <w:uiPriority w:val="99"/>
    <w:pPr>
      <w:keepNext/>
      <w:keepLines/>
      <w:widowControl w:val="0"/>
      <w:spacing w:line="560" w:lineRule="exact"/>
      <w:jc w:val="both"/>
      <w:textAlignment w:val="baseline"/>
    </w:pPr>
    <w:rPr>
      <w:rFonts w:ascii="Calibri" w:hAnsi="Calibri" w:eastAsia="宋体" w:cs="Calibri"/>
      <w:b/>
      <w:bCs/>
      <w:kern w:val="2"/>
      <w:sz w:val="21"/>
      <w:szCs w:val="24"/>
      <w:lang w:val="en-US" w:eastAsia="zh-CN" w:bidi="ar-SA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true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true"/>
        </a:gradFill>
        <a:gradFill rotWithShape="true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false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true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true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7</TotalTime>
  <ScaleCrop>false</ScaleCrop>
  <LinksUpToDate>false</LinksUpToDate>
  <CharactersWithSpaces>0</CharactersWithSpaces>
  <Application>WPS Office_11.8.2.10229_F1E327BC-269C-435d-A152-05C5408002CA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2024-09-14T09:45:00Z</dcterms:created>
  <dc:creator>uos</dc:creator>
  <cp:lastModifiedBy>uos</cp:lastModifiedBy>
  <cp:lastPrinted>2024-09-14T10:34:01Z</cp:lastPrinted>
  <dcterms:modified xsi:type="dcterms:W3CDTF">2024-09-13T16:52:10Z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2052-11.8.2.10229</vt:lpwstr>
  </property>
</Properties>
</file>