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1980"/>
        </w:tabs>
        <w:textAlignment w:val="center"/>
        <w:rPr>
          <w:rFonts w:eastAsia="黑体"/>
          <w:kern w:val="0"/>
        </w:rPr>
      </w:pPr>
      <w:r>
        <w:rPr>
          <w:rFonts w:eastAsia="黑体"/>
          <w:kern w:val="0"/>
        </w:rPr>
        <w:t>ICS 65.020</w:t>
      </w:r>
    </w:p>
    <w:p>
      <w:pPr>
        <w:textAlignment w:val="center"/>
        <w:rPr>
          <w:rFonts w:eastAsia="黑体"/>
          <w:kern w:val="0"/>
        </w:rPr>
      </w:pPr>
      <w:r>
        <w:rPr>
          <w:rFonts w:eastAsia="黑体"/>
          <w:kern w:val="0"/>
        </w:rPr>
        <w:t>B 61</w:t>
      </w:r>
    </w:p>
    <w:p>
      <w:pPr>
        <w:jc w:val="center"/>
        <w:textAlignment w:val="center"/>
        <w:rPr>
          <w:rFonts w:eastAsia="黑体"/>
          <w:kern w:val="0"/>
        </w:rPr>
      </w:pPr>
      <w:r>
        <mc:AlternateContent>
          <mc:Choice Requires="wps">
            <w:drawing>
              <wp:anchor distT="0" distB="0" distL="114300" distR="114300" simplePos="0" relativeHeight="251660288" behindDoc="0" locked="0" layoutInCell="1" allowOverlap="1">
                <wp:simplePos x="0" y="0"/>
                <wp:positionH relativeFrom="column">
                  <wp:posOffset>3429000</wp:posOffset>
                </wp:positionH>
                <wp:positionV relativeFrom="paragraph">
                  <wp:posOffset>42545</wp:posOffset>
                </wp:positionV>
                <wp:extent cx="2107565" cy="1922145"/>
                <wp:effectExtent l="0" t="0" r="0" b="0"/>
                <wp:wrapNone/>
                <wp:docPr id="2" name="文本框 2"/>
                <wp:cNvGraphicFramePr/>
                <a:graphic xmlns:a="http://schemas.openxmlformats.org/drawingml/2006/main">
                  <a:graphicData uri="http://schemas.microsoft.com/office/word/2010/wordprocessingShape">
                    <wps:wsp>
                      <wps:cNvSpPr txBox="true"/>
                      <wps:spPr>
                        <a:xfrm>
                          <a:off x="0" y="0"/>
                          <a:ext cx="2107565" cy="1922145"/>
                        </a:xfrm>
                        <a:prstGeom prst="rect">
                          <a:avLst/>
                        </a:prstGeom>
                        <a:noFill/>
                        <a:ln>
                          <a:noFill/>
                        </a:ln>
                      </wps:spPr>
                      <wps:txbx>
                        <w:txbxContent>
                          <w:p>
                            <w:pPr>
                              <w:jc w:val="right"/>
                            </w:pPr>
                            <w:r>
                              <w:rPr>
                                <w:b/>
                                <w:w w:val="130"/>
                                <w:kern w:val="0"/>
                                <w:sz w:val="96"/>
                                <w:szCs w:val="96"/>
                              </w:rPr>
                              <w:t>DB</w:t>
                            </w:r>
                            <w:r>
                              <w:rPr>
                                <w:rFonts w:hint="eastAsia"/>
                                <w:b/>
                                <w:w w:val="130"/>
                                <w:kern w:val="0"/>
                                <w:sz w:val="96"/>
                                <w:szCs w:val="96"/>
                              </w:rPr>
                              <w:t>13</w:t>
                            </w:r>
                          </w:p>
                        </w:txbxContent>
                      </wps:txbx>
                      <wps:bodyPr wrap="square" lIns="18000" tIns="0" rIns="18000" bIns="0" upright="true">
                        <a:spAutoFit/>
                      </wps:bodyPr>
                    </wps:wsp>
                  </a:graphicData>
                </a:graphic>
                <wp14:sizeRelH relativeFrom="page">
                  <wp14:pctWidth>0</wp14:pctWidth>
                </wp14:sizeRelH>
                <wp14:sizeRelV relativeFrom="margin">
                  <wp14:pctHeight>20000</wp14:pctHeight>
                </wp14:sizeRelV>
              </wp:anchor>
            </w:drawing>
          </mc:Choice>
          <mc:Fallback>
            <w:pict>
              <v:shape id="_x0000_s1026" o:spid="_x0000_s1026" o:spt="202" type="#_x0000_t202" style="position:absolute;left:0pt;margin-left:270pt;margin-top:3.35pt;height:151.35pt;width:165.95pt;z-index:251660288;mso-width-relative:page;mso-height-relative:margin;mso-height-percent:200;" filled="f" stroked="f" coordsize="21600,21600" o:gfxdata="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">
                <v:fill on="f" focussize="0,0"/>
                <v:stroke on="f"/>
                <v:imagedata o:title=""/>
                <o:lock v:ext="edit" aspectratio="f"/>
                <v:textbox inset="0.5mm,0mm,0.5mm,0mm" style="mso-fit-shape-to-text:t;">
                  <w:txbxContent>
                    <w:p>
                      <w:pPr>
                        <w:jc w:val="right"/>
                      </w:pPr>
                      <w:r>
                        <w:rPr>
                          <w:b/>
                          <w:w w:val="130"/>
                          <w:kern w:val="0"/>
                          <w:sz w:val="96"/>
                          <w:szCs w:val="96"/>
                        </w:rPr>
                        <w:t>DB</w:t>
                      </w:r>
                      <w:r>
                        <w:rPr>
                          <w:rFonts w:hint="eastAsia"/>
                          <w:b/>
                          <w:w w:val="130"/>
                          <w:kern w:val="0"/>
                          <w:sz w:val="96"/>
                          <w:szCs w:val="96"/>
                        </w:rPr>
                        <w:t>13</w:t>
                      </w:r>
                    </w:p>
                  </w:txbxContent>
                </v:textbox>
              </v:shape>
            </w:pict>
          </mc:Fallback>
        </mc:AlternateContent>
      </w:r>
    </w:p>
    <w:p>
      <w:pPr>
        <w:framePr w:w="9639" w:hSpace="181" w:vSpace="1418" w:wrap="around" w:vAnchor="page" w:hAnchor="page" w:x="1455" w:y="2836" w:anchorLock="1"/>
        <w:widowControl/>
        <w:spacing w:line="0" w:lineRule="atLeast"/>
        <w:jc w:val="distribute"/>
        <w:rPr>
          <w:rFonts w:eastAsia="黑体"/>
          <w:spacing w:val="-40"/>
          <w:kern w:val="0"/>
          <w:sz w:val="52"/>
          <w:szCs w:val="32"/>
        </w:rPr>
      </w:pPr>
      <w:r>
        <w:rPr>
          <w:rFonts w:eastAsia="黑体"/>
          <w:spacing w:val="-40"/>
          <w:kern w:val="0"/>
          <w:sz w:val="52"/>
          <w:szCs w:val="32"/>
        </w:rPr>
        <w:t>河北省地方标准</w:t>
      </w:r>
    </w:p>
    <w:p>
      <w:pPr>
        <w:framePr w:wrap="around" w:vAnchor="page" w:hAnchor="page" w:x="8259" w:y="3220" w:anchorLock="1"/>
        <w:widowControl/>
        <w:spacing w:before="357"/>
        <w:rPr>
          <w:rFonts w:eastAsia="黑体"/>
          <w:kern w:val="0"/>
          <w:sz w:val="28"/>
          <w:szCs w:val="28"/>
        </w:rPr>
      </w:pPr>
      <w:r>
        <w:rPr>
          <w:rFonts w:eastAsia="黑体"/>
          <w:kern w:val="0"/>
          <w:sz w:val="28"/>
          <w:szCs w:val="28"/>
        </w:rPr>
        <w:t>DB 13/T ****—20</w:t>
      </w:r>
      <w:r>
        <w:rPr>
          <w:rFonts w:hint="eastAsia" w:eastAsia="黑体"/>
          <w:kern w:val="0"/>
          <w:sz w:val="28"/>
          <w:szCs w:val="28"/>
        </w:rPr>
        <w:t>2*</w:t>
      </w:r>
    </w:p>
    <w:p>
      <w:pPr>
        <w:framePr w:w="9639" w:h="714" w:hRule="exact" w:wrap="around" w:vAnchor="page" w:hAnchor="page" w:x="1419" w:y="6522" w:anchorLock="1"/>
        <w:spacing w:line="360" w:lineRule="auto"/>
        <w:jc w:val="center"/>
        <w:rPr>
          <w:rFonts w:eastAsia="黑体"/>
          <w:kern w:val="0"/>
          <w:sz w:val="52"/>
          <w:szCs w:val="52"/>
        </w:rPr>
      </w:pPr>
      <w:r>
        <w:rPr>
          <w:rFonts w:hint="eastAsia" w:eastAsia="黑体"/>
          <w:kern w:val="0"/>
          <w:sz w:val="52"/>
          <w:szCs w:val="52"/>
        </w:rPr>
        <w:t>高油酸花生原良种繁育技术规程</w:t>
      </w:r>
    </w:p>
    <w:p>
      <w:pPr>
        <w:framePr w:w="9639" w:h="714" w:hRule="exact" w:wrap="around" w:vAnchor="page" w:hAnchor="page" w:x="1419" w:y="6522" w:anchorLock="1"/>
        <w:spacing w:before="440" w:line="400" w:lineRule="exact"/>
        <w:textAlignment w:val="center"/>
        <w:rPr>
          <w:kern w:val="0"/>
          <w:sz w:val="28"/>
          <w:szCs w:val="28"/>
        </w:rPr>
      </w:pPr>
    </w:p>
    <w:p>
      <w:pPr>
        <w:framePr w:w="3997" w:h="471" w:hRule="exact" w:vSpace="181" w:wrap="around" w:vAnchor="page" w:hAnchor="page" w:x="1419" w:y="14097" w:anchorLock="1"/>
        <w:widowControl/>
        <w:rPr>
          <w:rFonts w:eastAsia="黑体"/>
          <w:kern w:val="0"/>
          <w:sz w:val="28"/>
          <w:szCs w:val="20"/>
        </w:rPr>
      </w:pPr>
      <w:r>
        <w:rPr>
          <w:szCs w:val="24"/>
        </w:rPr>
        <mc:AlternateContent>
          <mc:Choice Requires="wps">
            <w:drawing>
              <wp:anchor distT="0" distB="0" distL="114300" distR="114300" simplePos="0" relativeHeight="251662336" behindDoc="0" locked="0" layoutInCell="1" allowOverlap="1">
                <wp:simplePos x="0" y="0"/>
                <wp:positionH relativeFrom="column">
                  <wp:posOffset>0</wp:posOffset>
                </wp:positionH>
                <wp:positionV relativeFrom="paragraph">
                  <wp:posOffset>339090</wp:posOffset>
                </wp:positionV>
                <wp:extent cx="6058535" cy="314325"/>
                <wp:effectExtent l="0" t="0" r="0" b="0"/>
                <wp:wrapNone/>
                <wp:docPr id="4" name="文本框 11"/>
                <wp:cNvGraphicFramePr/>
                <a:graphic xmlns:a="http://schemas.openxmlformats.org/drawingml/2006/main">
                  <a:graphicData uri="http://schemas.microsoft.com/office/word/2010/wordprocessingShape">
                    <wps:wsp>
                      <wps:cNvSpPr txBox="true"/>
                      <wps:spPr>
                        <a:xfrm>
                          <a:off x="0" y="0"/>
                          <a:ext cx="6058535" cy="314325"/>
                        </a:xfrm>
                        <a:prstGeom prst="rect">
                          <a:avLst/>
                        </a:prstGeom>
                        <a:noFill/>
                        <a:ln>
                          <a:noFill/>
                        </a:ln>
                      </wps:spPr>
                      <wps:txbx>
                        <w:txbxContent>
                          <w:p>
                            <w:pPr>
                              <w:jc w:val="center"/>
                              <w:rPr>
                                <w:rFonts w:eastAsia="黑体"/>
                                <w:sz w:val="32"/>
                                <w:szCs w:val="32"/>
                              </w:rPr>
                            </w:pPr>
                            <w:r>
                              <w:rPr>
                                <w:rFonts w:hint="eastAsia" w:ascii="黑体" w:eastAsia="黑体"/>
                                <w:sz w:val="32"/>
                                <w:szCs w:val="32"/>
                              </w:rPr>
                              <w:t xml:space="preserve">河北省市场监督管理局  </w:t>
                            </w:r>
                            <w:r>
                              <w:rPr>
                                <w:rFonts w:hint="eastAsia" w:ascii="黑体" w:eastAsia="黑体"/>
                                <w:spacing w:val="85"/>
                                <w:position w:val="3"/>
                                <w:sz w:val="32"/>
                                <w:szCs w:val="32"/>
                              </w:rPr>
                              <w:t>发布</w:t>
                            </w:r>
                          </w:p>
                        </w:txbxContent>
                      </wps:txbx>
                      <wps:bodyPr wrap="square" lIns="18000" tIns="0" rIns="18000" bIns="0" upright="true"/>
                    </wps:wsp>
                  </a:graphicData>
                </a:graphic>
              </wp:anchor>
            </w:drawing>
          </mc:Choice>
          <mc:Fallback>
            <w:pict>
              <v:shape id="文本框 11" o:spid="_x0000_s1026" o:spt="202" type="#_x0000_t202" style="position:absolute;left:0pt;margin-left:0pt;margin-top:26.7pt;height:24.75pt;width:477.05pt;z-index:251662336;mso-width-relative:page;mso-height-relative:page;" filled="f" stroked="f" coordsize="21600,21600" o:gfxdata="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">
                <v:fill on="f" focussize="0,0"/>
                <v:stroke on="f"/>
                <v:imagedata o:title=""/>
                <o:lock v:ext="edit" aspectratio="f"/>
                <v:textbox inset="0.5mm,0mm,0.5mm,0mm">
                  <w:txbxContent>
                    <w:p>
                      <w:pPr>
                        <w:jc w:val="center"/>
                        <w:rPr>
                          <w:rFonts w:eastAsia="黑体"/>
                          <w:sz w:val="32"/>
                          <w:szCs w:val="32"/>
                        </w:rPr>
                      </w:pPr>
                      <w:r>
                        <w:rPr>
                          <w:rFonts w:hint="eastAsia" w:ascii="黑体" w:eastAsia="黑体"/>
                          <w:sz w:val="32"/>
                          <w:szCs w:val="32"/>
                        </w:rPr>
                        <w:t xml:space="preserve">河北省市场监督管理局  </w:t>
                      </w:r>
                      <w:r>
                        <w:rPr>
                          <w:rFonts w:hint="eastAsia" w:ascii="黑体" w:eastAsia="黑体"/>
                          <w:spacing w:val="85"/>
                          <w:position w:val="3"/>
                          <w:sz w:val="32"/>
                          <w:szCs w:val="32"/>
                        </w:rPr>
                        <w:t>发布</w:t>
                      </w:r>
                    </w:p>
                  </w:txbxContent>
                </v:textbox>
              </v:shape>
            </w:pict>
          </mc:Fallback>
        </mc:AlternateContent>
      </w:r>
      <w:r>
        <w:rPr>
          <w:rFonts w:eastAsia="黑体"/>
          <w:kern w:val="0"/>
          <w:sz w:val="28"/>
          <w:szCs w:val="20"/>
        </w:rPr>
        <w:t>20</w:t>
      </w:r>
      <w:r>
        <w:rPr>
          <w:rFonts w:hint="eastAsia" w:eastAsia="黑体"/>
          <w:kern w:val="0"/>
          <w:sz w:val="28"/>
          <w:szCs w:val="20"/>
        </w:rPr>
        <w:t>2*</w:t>
      </w:r>
      <w:r>
        <w:rPr>
          <w:rFonts w:eastAsia="黑体"/>
          <w:kern w:val="0"/>
          <w:sz w:val="28"/>
          <w:szCs w:val="20"/>
        </w:rPr>
        <w:t xml:space="preserve"> - 0* - **发布</w:t>
      </w:r>
      <w:r>
        <w:rPr>
          <w:rFonts w:eastAsia="黑体"/>
          <w:kern w:val="0"/>
          <w:sz w:val="28"/>
          <w:szCs w:val="20"/>
        </w:rPr>
        <mc:AlternateContent>
          <mc:Choice Requires="wps">
            <w:drawing>
              <wp:anchor distT="0" distB="0" distL="114300" distR="114300" simplePos="0" relativeHeight="251659264" behindDoc="0" locked="1" layoutInCell="1" allowOverlap="1">
                <wp:simplePos x="0" y="0"/>
                <wp:positionH relativeFrom="page">
                  <wp:posOffset>900430</wp:posOffset>
                </wp:positionH>
                <wp:positionV relativeFrom="page">
                  <wp:posOffset>9251950</wp:posOffset>
                </wp:positionV>
                <wp:extent cx="6120130" cy="0"/>
                <wp:effectExtent l="0" t="4445" r="0" b="5080"/>
                <wp:wrapNone/>
                <wp:docPr id="1" name="直线 2"/>
                <wp:cNvGraphicFramePr/>
                <a:graphic xmlns:a="http://schemas.openxmlformats.org/drawingml/2006/main">
                  <a:graphicData uri="http://schemas.microsoft.com/office/word/2010/wordprocessingShape">
                    <wps:wsp>
                      <wps:cNvCnPr/>
                      <wps:spPr>
                        <a:xfrm>
                          <a:off x="0" y="0"/>
                          <a:ext cx="6120130" cy="0"/>
                        </a:xfrm>
                        <a:prstGeom prst="line">
                          <a:avLst/>
                        </a:prstGeom>
                        <a:ln w="9525" cap="flat" cmpd="sng">
                          <a:solidFill>
                            <a:srgbClr val="000000"/>
                          </a:solidFill>
                          <a:prstDash val="solid"/>
                          <a:headEnd type="none" w="med" len="med"/>
                          <a:tailEnd type="none" w="med" len="med"/>
                        </a:ln>
                      </wps:spPr>
                      <wps:bodyPr/>
                    </wps:wsp>
                  </a:graphicData>
                </a:graphic>
              </wp:anchor>
            </w:drawing>
          </mc:Choice>
          <mc:Fallback>
            <w:pict>
              <v:line id="直线 2" o:spid="_x0000_s1026" o:spt="20" style="position:absolute;left:0pt;margin-left:70.9pt;margin-top:728.5pt;height:0pt;width:481.9pt;mso-position-horizontal-relative:page;mso-position-vertical-relative:page;z-index:251659264;mso-width-relative:page;mso-height-relative:page;" filled="f" stroked="t" coordsize="21600,21600" o:gfxdata="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">
                <v:fill on="f" focussize="0,0"/>
                <v:stroke color="#000000" joinstyle="round"/>
                <v:imagedata o:title=""/>
                <o:lock v:ext="edit" aspectratio="f"/>
                <w10:anchorlock/>
              </v:line>
            </w:pict>
          </mc:Fallback>
        </mc:AlternateContent>
      </w:r>
    </w:p>
    <w:p>
      <w:pPr>
        <w:framePr w:w="3997" w:h="471" w:hRule="exact" w:vSpace="181" w:wrap="around" w:vAnchor="page" w:hAnchor="page" w:x="7089" w:y="14097" w:anchorLock="1"/>
        <w:widowControl/>
        <w:jc w:val="right"/>
        <w:rPr>
          <w:rFonts w:eastAsia="黑体"/>
          <w:kern w:val="0"/>
          <w:sz w:val="28"/>
          <w:szCs w:val="20"/>
        </w:rPr>
      </w:pPr>
      <w:r>
        <w:rPr>
          <w:rFonts w:eastAsia="黑体"/>
          <w:kern w:val="0"/>
          <w:sz w:val="28"/>
          <w:szCs w:val="20"/>
        </w:rPr>
        <w:t>20</w:t>
      </w:r>
      <w:r>
        <w:rPr>
          <w:rFonts w:hint="eastAsia" w:eastAsia="黑体"/>
          <w:kern w:val="0"/>
          <w:sz w:val="28"/>
          <w:szCs w:val="20"/>
        </w:rPr>
        <w:t>2*</w:t>
      </w:r>
      <w:r>
        <w:rPr>
          <w:rFonts w:eastAsia="黑体"/>
          <w:kern w:val="0"/>
          <w:sz w:val="28"/>
          <w:szCs w:val="20"/>
        </w:rPr>
        <w:t xml:space="preserve"> - 0* - **实施</w:t>
      </w:r>
    </w:p>
    <w:p>
      <w:pPr>
        <w:widowControl/>
        <w:jc w:val="center"/>
        <w:rPr>
          <w:szCs w:val="24"/>
        </w:rPr>
      </w:pPr>
      <w:r>
        <w:rPr>
          <w:szCs w:val="24"/>
        </w:rPr>
        <mc:AlternateContent>
          <mc:Choice Requires="wps">
            <w:drawing>
              <wp:anchor distT="0" distB="0" distL="114300" distR="114300" simplePos="0" relativeHeight="251661312" behindDoc="0" locked="0" layoutInCell="1" allowOverlap="1">
                <wp:simplePos x="0" y="0"/>
                <wp:positionH relativeFrom="page">
                  <wp:posOffset>900430</wp:posOffset>
                </wp:positionH>
                <wp:positionV relativeFrom="page">
                  <wp:posOffset>2700655</wp:posOffset>
                </wp:positionV>
                <wp:extent cx="6120130" cy="0"/>
                <wp:effectExtent l="0" t="4445" r="0" b="5080"/>
                <wp:wrapNone/>
                <wp:docPr id="3" name="直线 8"/>
                <wp:cNvGraphicFramePr/>
                <a:graphic xmlns:a="http://schemas.openxmlformats.org/drawingml/2006/main">
                  <a:graphicData uri="http://schemas.microsoft.com/office/word/2010/wordprocessingShape">
                    <wps:wsp>
                      <wps:cNvCnPr/>
                      <wps:spPr>
                        <a:xfrm>
                          <a:off x="0" y="0"/>
                          <a:ext cx="6120130" cy="0"/>
                        </a:xfrm>
                        <a:prstGeom prst="line">
                          <a:avLst/>
                        </a:prstGeom>
                        <a:ln w="9525" cap="flat" cmpd="sng">
                          <a:solidFill>
                            <a:srgbClr val="000000"/>
                          </a:solidFill>
                          <a:prstDash val="solid"/>
                          <a:headEnd type="none" w="med" len="med"/>
                          <a:tailEnd type="none" w="med" len="med"/>
                        </a:ln>
                      </wps:spPr>
                      <wps:bodyPr/>
                    </wps:wsp>
                  </a:graphicData>
                </a:graphic>
              </wp:anchor>
            </w:drawing>
          </mc:Choice>
          <mc:Fallback>
            <w:pict>
              <v:line id="直线 8" o:spid="_x0000_s1026" o:spt="20" style="position:absolute;left:0pt;margin-left:70.9pt;margin-top:212.65pt;height:0pt;width:481.9pt;mso-position-horizontal-relative:page;mso-position-vertical-relative:page;z-index:251661312;mso-width-relative:page;mso-height-relative:page;" filled="f" stroked="t" coordsize="21600,21600" o:gfxdata="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FgAAAGRycy9QSwECFAAUAAAACACHTuJAJ4NJltgAAAAMAQAADwAAAAAA&#10;AAABACAAAAA4AAAAZHJzL2Rvd25yZXYueG1sUEsBAhQAFAAAAAgAh07iQCCtun7EAQAAgQMAAA4A&#10;AAAAAAAAAQAgAAAAPQEAAGRycy9lMm9Eb2MueG1sUEsFBgAAAAAGAAYAWQEAAHMFAAAAAA==&#10;">
                <v:fill on="f" focussize="0,0"/>
                <v:stroke color="#000000" joinstyle="round"/>
                <v:imagedata o:title=""/>
                <o:lock v:ext="edit" aspectratio="f"/>
              </v:line>
            </w:pict>
          </mc:Fallback>
        </mc:AlternateContent>
      </w:r>
    </w:p>
    <w:p>
      <w:pPr>
        <w:widowControl/>
        <w:jc w:val="center"/>
        <w:rPr>
          <w:szCs w:val="24"/>
        </w:rPr>
      </w:pPr>
    </w:p>
    <w:p>
      <w:pPr>
        <w:widowControl/>
        <w:jc w:val="center"/>
        <w:rPr>
          <w:szCs w:val="24"/>
        </w:rPr>
      </w:pPr>
    </w:p>
    <w:p>
      <w:pPr>
        <w:widowControl/>
        <w:jc w:val="center"/>
        <w:rPr>
          <w:szCs w:val="24"/>
        </w:rPr>
      </w:pPr>
    </w:p>
    <w:p>
      <w:pPr>
        <w:widowControl/>
        <w:jc w:val="center"/>
        <w:rPr>
          <w:szCs w:val="24"/>
        </w:rPr>
      </w:pPr>
    </w:p>
    <w:p>
      <w:pPr>
        <w:widowControl/>
        <w:jc w:val="center"/>
        <w:rPr>
          <w:szCs w:val="24"/>
        </w:rPr>
      </w:pPr>
    </w:p>
    <w:p>
      <w:pPr>
        <w:widowControl/>
        <w:jc w:val="center"/>
        <w:rPr>
          <w:szCs w:val="24"/>
        </w:rPr>
      </w:pPr>
    </w:p>
    <w:p>
      <w:pPr>
        <w:widowControl/>
        <w:jc w:val="center"/>
        <w:rPr>
          <w:szCs w:val="24"/>
        </w:rPr>
      </w:pPr>
    </w:p>
    <w:p>
      <w:pPr>
        <w:widowControl/>
        <w:jc w:val="center"/>
        <w:rPr>
          <w:szCs w:val="24"/>
        </w:rPr>
      </w:pPr>
    </w:p>
    <w:p>
      <w:pPr>
        <w:pStyle w:val="22"/>
        <w:tabs>
          <w:tab w:val="left" w:pos="742"/>
        </w:tabs>
        <w:jc w:val="center"/>
        <w:rPr>
          <w:rFonts w:ascii="Times New Roman" w:hAnsi="Times New Roman"/>
          <w:b w:val="0"/>
        </w:rPr>
        <w:sectPr>
          <w:headerReference r:id="rId3" w:type="even"/>
          <w:footerReference r:id="rId4" w:type="even"/>
          <w:pgSz w:w="11906" w:h="16838"/>
          <w:pgMar w:top="567" w:right="851" w:bottom="1134" w:left="1418" w:header="851" w:footer="992" w:gutter="0"/>
          <w:cols w:space="720" w:num="1"/>
          <w:docGrid w:linePitch="312" w:charSpace="0"/>
        </w:sectPr>
      </w:pPr>
    </w:p>
    <w:p>
      <w:pPr>
        <w:widowControl/>
        <w:jc w:val="center"/>
        <w:rPr>
          <w:b/>
        </w:rPr>
      </w:pPr>
    </w:p>
    <w:p>
      <w:pPr>
        <w:pStyle w:val="2"/>
        <w:jc w:val="center"/>
        <w:rPr>
          <w:rFonts w:eastAsia="黑体"/>
          <w:b w:val="0"/>
          <w:sz w:val="28"/>
          <w:szCs w:val="28"/>
        </w:rPr>
      </w:pPr>
      <w:bookmarkStart w:id="0" w:name="_Toc418000519"/>
      <w:r>
        <w:rPr>
          <w:rFonts w:eastAsia="黑体"/>
          <w:b w:val="0"/>
          <w:sz w:val="28"/>
          <w:szCs w:val="28"/>
        </w:rPr>
        <w:t>前</w:t>
      </w:r>
      <w:bookmarkStart w:id="1" w:name="BKQY"/>
      <w:r>
        <w:rPr>
          <w:rFonts w:eastAsia="黑体"/>
          <w:b w:val="0"/>
          <w:sz w:val="28"/>
          <w:szCs w:val="28"/>
        </w:rPr>
        <w:t>    言</w:t>
      </w:r>
      <w:bookmarkEnd w:id="0"/>
      <w:bookmarkEnd w:id="1"/>
    </w:p>
    <w:p/>
    <w:p>
      <w:pPr>
        <w:spacing w:line="360" w:lineRule="auto"/>
        <w:ind w:firstLine="420" w:firstLineChars="200"/>
      </w:pPr>
      <w:r>
        <w:t>本标准按照</w:t>
      </w:r>
      <w:r>
        <w:rPr>
          <w:rFonts w:hint="eastAsia"/>
        </w:rPr>
        <w:t>GB/T1.1-2020《标准化工作导则第一部分：标准的结构和编写规则》</w:t>
      </w:r>
      <w:r>
        <w:t>给出的规则起草。</w:t>
      </w:r>
    </w:p>
    <w:p>
      <w:pPr>
        <w:spacing w:line="360" w:lineRule="auto"/>
        <w:ind w:firstLine="420" w:firstLineChars="200"/>
      </w:pPr>
      <w:r>
        <w:t>本标准由河北省</w:t>
      </w:r>
      <w:r>
        <w:rPr>
          <w:rFonts w:hint="eastAsia"/>
        </w:rPr>
        <w:t>农业农村厅</w:t>
      </w:r>
      <w:r>
        <w:t>提出并归口。</w:t>
      </w:r>
    </w:p>
    <w:p>
      <w:pPr>
        <w:spacing w:line="360" w:lineRule="auto"/>
        <w:ind w:firstLine="420" w:firstLineChars="200"/>
      </w:pPr>
      <w:r>
        <w:t>本标准主要起草单位：河北省农林科学院粮油作物研究所。</w:t>
      </w:r>
    </w:p>
    <w:p>
      <w:pPr>
        <w:spacing w:line="360" w:lineRule="auto"/>
        <w:ind w:firstLine="420" w:firstLineChars="200"/>
        <w:sectPr>
          <w:headerReference r:id="rId5" w:type="default"/>
          <w:footerReference r:id="rId6" w:type="default"/>
          <w:pgSz w:w="11906" w:h="16838"/>
          <w:pgMar w:top="1418" w:right="1134" w:bottom="1418" w:left="1418" w:header="1418" w:footer="1134" w:gutter="0"/>
          <w:pgNumType w:fmt="upperRoman" w:start="1"/>
          <w:cols w:space="720" w:num="1"/>
          <w:docGrid w:linePitch="312" w:charSpace="0"/>
        </w:sectPr>
      </w:pPr>
      <w:r>
        <w:t>本标准主要起草人：宋亚辉、王瑾、</w:t>
      </w:r>
      <w:r>
        <w:rPr>
          <w:rFonts w:hint="eastAsia"/>
        </w:rPr>
        <w:t>金欣欣</w:t>
      </w:r>
      <w:r>
        <w:t>、</w:t>
      </w:r>
      <w:r>
        <w:rPr>
          <w:rFonts w:hint="eastAsia"/>
        </w:rPr>
        <w:t>杨永庆、苏俏、胡朋举、</w:t>
      </w:r>
      <w:r>
        <w:rPr>
          <w:lang w:eastAsia="en-US"/>
        </w:rPr>
        <w:t>韩鹏</w:t>
      </w:r>
      <w:r>
        <w:rPr>
          <w:rFonts w:hint="eastAsia"/>
          <w:lang w:eastAsia="zh-CN"/>
        </w:rPr>
        <w:t>、</w:t>
      </w:r>
      <w:r>
        <w:rPr>
          <w:rFonts w:hint="eastAsia"/>
        </w:rPr>
        <w:t>王宪军、张爱军</w:t>
      </w:r>
      <w:r>
        <w:rPr>
          <w:rFonts w:hint="eastAsia"/>
          <w:lang w:eastAsia="zh-CN"/>
        </w:rPr>
        <w:t>、王立光、孙运莲、李丹琳、张广福、李丹</w:t>
      </w:r>
      <w:r>
        <w:t>、李玉荣、程增书</w:t>
      </w:r>
      <w:r>
        <w:rPr>
          <w:rFonts w:hint="eastAsia"/>
          <w:lang w:eastAsia="zh-CN"/>
        </w:rPr>
        <w:t>、贾新旺</w:t>
      </w:r>
      <w:r>
        <w:t>。</w:t>
      </w:r>
    </w:p>
    <w:p>
      <w:pPr>
        <w:jc w:val="center"/>
        <w:rPr>
          <w:rFonts w:eastAsia="黑体"/>
          <w:sz w:val="32"/>
          <w:szCs w:val="32"/>
        </w:rPr>
      </w:pPr>
      <w:r>
        <w:rPr>
          <w:rFonts w:hint="eastAsia" w:eastAsia="黑体"/>
          <w:sz w:val="32"/>
          <w:szCs w:val="32"/>
        </w:rPr>
        <w:t>高油酸花生原良种繁育技术规程</w:t>
      </w:r>
    </w:p>
    <w:p/>
    <w:p>
      <w:pPr>
        <w:pStyle w:val="2"/>
        <w:spacing w:before="240" w:beforeLines="100" w:after="240" w:afterLines="100" w:line="240" w:lineRule="auto"/>
        <w:rPr>
          <w:rFonts w:eastAsia="黑体"/>
          <w:sz w:val="21"/>
          <w:szCs w:val="21"/>
        </w:rPr>
      </w:pPr>
      <w:bookmarkStart w:id="2" w:name="_Toc418000520"/>
      <w:r>
        <w:rPr>
          <w:rFonts w:hint="eastAsia" w:eastAsia="黑体"/>
          <w:sz w:val="21"/>
          <w:szCs w:val="21"/>
        </w:rPr>
        <w:t>1范围</w:t>
      </w:r>
      <w:bookmarkEnd w:id="2"/>
    </w:p>
    <w:p>
      <w:pPr>
        <w:ind w:firstLine="420" w:firstLineChars="200"/>
      </w:pPr>
      <w:bookmarkStart w:id="3" w:name="_Toc418000521"/>
      <w:r>
        <w:t>本</w:t>
      </w:r>
      <w:r>
        <w:rPr>
          <w:rFonts w:hint="eastAsia"/>
        </w:rPr>
        <w:t>规程</w:t>
      </w:r>
      <w:r>
        <w:t>规定了高油酸花生</w:t>
      </w:r>
      <w:r>
        <w:rPr>
          <w:rFonts w:hint="eastAsia"/>
        </w:rPr>
        <w:t>原种、良种繁育的分类、方法、检验以及环境和技术要求。</w:t>
      </w:r>
    </w:p>
    <w:p>
      <w:pPr>
        <w:ind w:firstLine="420" w:firstLineChars="200"/>
      </w:pPr>
      <w:r>
        <w:rPr>
          <w:rFonts w:hint="eastAsia"/>
        </w:rPr>
        <w:t>本规程</w:t>
      </w:r>
      <w:r>
        <w:t>适用于河北省</w:t>
      </w:r>
      <w:r>
        <w:rPr>
          <w:rFonts w:hint="eastAsia"/>
        </w:rPr>
        <w:t>高油酸</w:t>
      </w:r>
      <w:r>
        <w:t>花生</w:t>
      </w:r>
      <w:r>
        <w:rPr>
          <w:rFonts w:hint="eastAsia"/>
        </w:rPr>
        <w:t>原种、良种的繁育。</w:t>
      </w:r>
    </w:p>
    <w:p>
      <w:pPr>
        <w:pStyle w:val="2"/>
        <w:spacing w:before="240" w:beforeLines="100" w:after="240" w:afterLines="100" w:line="240" w:lineRule="auto"/>
        <w:rPr>
          <w:rFonts w:eastAsia="黑体"/>
          <w:sz w:val="21"/>
          <w:szCs w:val="21"/>
        </w:rPr>
      </w:pPr>
      <w:r>
        <w:rPr>
          <w:rFonts w:hint="eastAsia" w:eastAsia="黑体"/>
          <w:sz w:val="21"/>
          <w:szCs w:val="21"/>
        </w:rPr>
        <w:t>2引用标准</w:t>
      </w:r>
      <w:bookmarkEnd w:id="3"/>
    </w:p>
    <w:p>
      <w:pPr>
        <w:ind w:firstLine="420" w:firstLineChars="200"/>
      </w:pPr>
      <w:r>
        <w:t>下列文件对于本文件的应用是必不可少的。凡是注日期的引用文件，仅注日期的版本适用于本文件。凡是不注日期的引用文件，其最新版本（包括所有的修改单）适用于本文件。</w:t>
      </w:r>
    </w:p>
    <w:p>
      <w:pPr>
        <w:ind w:firstLine="420" w:firstLineChars="200"/>
      </w:pPr>
    </w:p>
    <w:p>
      <w:pPr>
        <w:ind w:firstLine="420" w:firstLineChars="200"/>
      </w:pPr>
      <w:r>
        <w:rPr>
          <w:rFonts w:hint="eastAsia"/>
          <w:lang w:val="en-US" w:eastAsia="zh-CN"/>
        </w:rPr>
        <w:t>GB/T 3543 农作物种子检验规程</w:t>
      </w:r>
    </w:p>
    <w:p>
      <w:pPr>
        <w:ind w:firstLine="420" w:firstLineChars="200"/>
      </w:pPr>
      <w:r>
        <w:t>GB</w:t>
      </w:r>
      <w:r>
        <w:rPr>
          <w:rFonts w:hint="eastAsia"/>
        </w:rPr>
        <w:t xml:space="preserve"> 5009.168 食品安全国家标准 食品中脂肪酸的测定</w:t>
      </w:r>
    </w:p>
    <w:p>
      <w:pPr>
        <w:ind w:firstLine="420" w:firstLineChars="200"/>
      </w:pPr>
      <w:r>
        <w:t xml:space="preserve">GB </w:t>
      </w:r>
      <w:r>
        <w:rPr>
          <w:rFonts w:hint="eastAsia"/>
        </w:rPr>
        <w:t>20464  农作物种子标签通则</w:t>
      </w:r>
    </w:p>
    <w:p>
      <w:pPr>
        <w:ind w:firstLine="420" w:firstLineChars="200"/>
      </w:pPr>
      <w:r>
        <w:t>NY/T 855 花生产地环境技术条件</w:t>
      </w:r>
    </w:p>
    <w:p>
      <w:pPr>
        <w:ind w:firstLine="420" w:firstLineChars="200"/>
      </w:pPr>
      <w:r>
        <w:rPr>
          <w:rFonts w:hint="eastAsia"/>
        </w:rPr>
        <w:t>NY/T 3250 高油酸花生</w:t>
      </w:r>
    </w:p>
    <w:p>
      <w:pPr>
        <w:ind w:firstLine="420" w:firstLineChars="200"/>
      </w:pPr>
      <w:r>
        <w:rPr>
          <w:rFonts w:hint="eastAsia"/>
        </w:rPr>
        <w:t>DB 13/T 5279-2020 高油酸花生轻简高效栽培技术规程</w:t>
      </w:r>
    </w:p>
    <w:p>
      <w:pPr>
        <w:pStyle w:val="2"/>
        <w:spacing w:before="240" w:beforeLines="100" w:after="240" w:afterLines="100" w:line="240" w:lineRule="auto"/>
        <w:rPr>
          <w:rFonts w:eastAsia="黑体"/>
          <w:sz w:val="21"/>
          <w:szCs w:val="21"/>
        </w:rPr>
      </w:pPr>
      <w:r>
        <w:rPr>
          <w:rFonts w:hint="eastAsia" w:eastAsia="黑体"/>
          <w:sz w:val="21"/>
          <w:szCs w:val="21"/>
        </w:rPr>
        <w:t>3  术语和定义</w:t>
      </w:r>
    </w:p>
    <w:p>
      <w:pPr>
        <w:ind w:firstLine="420" w:firstLineChars="200"/>
      </w:pPr>
      <w:r>
        <w:rPr>
          <w:rFonts w:hint="eastAsia"/>
        </w:rPr>
        <w:t>下列术语和定义适用于本规程</w:t>
      </w:r>
      <w:r>
        <w:t>。</w:t>
      </w:r>
    </w:p>
    <w:p>
      <w:pPr>
        <w:pStyle w:val="2"/>
        <w:spacing w:before="240" w:beforeLines="100" w:after="240" w:afterLines="100" w:line="240" w:lineRule="auto"/>
        <w:rPr>
          <w:rFonts w:eastAsia="黑体"/>
          <w:sz w:val="21"/>
          <w:szCs w:val="21"/>
        </w:rPr>
      </w:pPr>
      <w:r>
        <w:rPr>
          <w:rFonts w:hint="eastAsia" w:eastAsia="黑体"/>
          <w:sz w:val="21"/>
          <w:szCs w:val="21"/>
        </w:rPr>
        <w:t>3.1 高油酸花生原种</w:t>
      </w:r>
    </w:p>
    <w:p>
      <w:pPr>
        <w:ind w:firstLine="420" w:firstLineChars="200"/>
        <w:rPr>
          <w:rFonts w:eastAsia="黑体"/>
        </w:rPr>
      </w:pPr>
      <w:r>
        <w:rPr>
          <w:rFonts w:hint="eastAsia"/>
        </w:rPr>
        <w:t>用高油酸花生育种家种子繁殖的第一代至第三代，且籽仁油酸含量≥75%的种子。</w:t>
      </w:r>
    </w:p>
    <w:p>
      <w:pPr>
        <w:pStyle w:val="2"/>
        <w:spacing w:before="240" w:beforeLines="100" w:after="240" w:afterLines="100" w:line="240" w:lineRule="auto"/>
        <w:rPr>
          <w:rFonts w:eastAsia="黑体"/>
          <w:sz w:val="21"/>
          <w:szCs w:val="21"/>
        </w:rPr>
      </w:pPr>
      <w:r>
        <w:rPr>
          <w:rFonts w:hint="eastAsia" w:eastAsia="黑体"/>
          <w:sz w:val="21"/>
          <w:szCs w:val="21"/>
        </w:rPr>
        <w:t>3.2 高油酸花生良种</w:t>
      </w:r>
    </w:p>
    <w:p>
      <w:pPr>
        <w:ind w:firstLine="420" w:firstLineChars="200"/>
        <w:rPr>
          <w:rFonts w:hint="eastAsia"/>
        </w:rPr>
      </w:pPr>
      <w:r>
        <w:rPr>
          <w:rFonts w:hint="eastAsia"/>
        </w:rPr>
        <w:t>用高油酸花生原种繁殖的第一代至第三代，且籽仁油酸含量≥75%的种子。</w:t>
      </w:r>
    </w:p>
    <w:p>
      <w:pPr>
        <w:pStyle w:val="2"/>
        <w:spacing w:before="240" w:beforeLines="100" w:after="240" w:afterLines="100" w:line="240" w:lineRule="auto"/>
        <w:rPr>
          <w:rFonts w:hint="eastAsia" w:eastAsia="黑体"/>
          <w:sz w:val="21"/>
          <w:szCs w:val="21"/>
        </w:rPr>
      </w:pPr>
      <w:r>
        <w:rPr>
          <w:rFonts w:hint="eastAsia" w:eastAsia="黑体"/>
          <w:sz w:val="21"/>
          <w:szCs w:val="21"/>
        </w:rPr>
        <w:t>3.3 高油酸花生种子提纯复壮</w:t>
      </w:r>
    </w:p>
    <w:p>
      <w:pPr>
        <w:ind w:firstLine="420" w:firstLineChars="200"/>
        <w:rPr>
          <w:rFonts w:hint="eastAsia"/>
        </w:rPr>
      </w:pPr>
      <w:r>
        <w:rPr>
          <w:rFonts w:hint="eastAsia"/>
        </w:rPr>
        <w:t>对混杂或退化的高油酸花生品种通过选株、选果等方法重新纯化的生产过程。</w:t>
      </w:r>
    </w:p>
    <w:p>
      <w:pPr>
        <w:ind w:firstLine="420" w:firstLineChars="200"/>
        <w:rPr>
          <w:rFonts w:hint="eastAsia"/>
        </w:rPr>
      </w:pPr>
    </w:p>
    <w:p>
      <w:pPr>
        <w:pStyle w:val="2"/>
        <w:spacing w:before="240" w:beforeLines="100" w:after="240" w:afterLines="100" w:line="240" w:lineRule="auto"/>
        <w:rPr>
          <w:rFonts w:eastAsia="黑体"/>
          <w:sz w:val="21"/>
          <w:szCs w:val="21"/>
        </w:rPr>
      </w:pPr>
      <w:r>
        <w:rPr>
          <w:rFonts w:hint="eastAsia" w:eastAsia="黑体"/>
          <w:sz w:val="21"/>
          <w:szCs w:val="21"/>
        </w:rPr>
        <w:t>4 高油酸花生原种生产</w:t>
      </w:r>
    </w:p>
    <w:p>
      <w:pPr>
        <w:pStyle w:val="2"/>
        <w:spacing w:before="240" w:beforeLines="100" w:after="240" w:afterLines="100" w:line="240" w:lineRule="auto"/>
        <w:rPr>
          <w:rFonts w:eastAsia="黑体"/>
          <w:sz w:val="21"/>
          <w:szCs w:val="21"/>
        </w:rPr>
      </w:pPr>
      <w:r>
        <w:rPr>
          <w:rFonts w:hint="eastAsia" w:eastAsia="黑体"/>
          <w:sz w:val="21"/>
          <w:szCs w:val="21"/>
        </w:rPr>
        <w:t>4.1 高油酸花生原种生产责任主体</w:t>
      </w:r>
    </w:p>
    <w:p>
      <w:pPr>
        <w:ind w:firstLine="420" w:firstLineChars="200"/>
      </w:pPr>
      <w:r>
        <w:rPr>
          <w:rFonts w:hint="eastAsia"/>
        </w:rPr>
        <w:t>高油酸花生原种生产由该品种的育种单位或授权生产经营单位在育种单位指导下生产。</w:t>
      </w:r>
    </w:p>
    <w:p>
      <w:pPr>
        <w:pStyle w:val="2"/>
        <w:spacing w:before="240" w:beforeLines="100" w:after="240" w:afterLines="100" w:line="240" w:lineRule="auto"/>
        <w:rPr>
          <w:rFonts w:eastAsia="黑体"/>
          <w:sz w:val="21"/>
          <w:szCs w:val="21"/>
        </w:rPr>
      </w:pPr>
      <w:r>
        <w:rPr>
          <w:rFonts w:hint="eastAsia" w:eastAsia="黑体"/>
          <w:sz w:val="21"/>
          <w:szCs w:val="21"/>
        </w:rPr>
        <w:t>4.2 原种田条件</w:t>
      </w:r>
    </w:p>
    <w:p>
      <w:pPr>
        <w:ind w:firstLine="420" w:firstLineChars="200"/>
      </w:pPr>
      <w:r>
        <w:rPr>
          <w:rFonts w:hint="eastAsia"/>
        </w:rPr>
        <w:t>选择2年内未种过花生且符合NY/T 855的要求。</w:t>
      </w:r>
    </w:p>
    <w:p>
      <w:pPr>
        <w:pStyle w:val="2"/>
        <w:spacing w:before="240" w:beforeLines="100" w:after="240" w:afterLines="100" w:line="240" w:lineRule="auto"/>
        <w:rPr>
          <w:rFonts w:eastAsia="黑体"/>
          <w:sz w:val="21"/>
          <w:szCs w:val="21"/>
        </w:rPr>
      </w:pPr>
      <w:r>
        <w:rPr>
          <w:rFonts w:hint="eastAsia" w:eastAsia="黑体"/>
          <w:sz w:val="21"/>
          <w:szCs w:val="21"/>
        </w:rPr>
        <w:t>4.3 原种田隔离</w:t>
      </w:r>
    </w:p>
    <w:p>
      <w:pPr>
        <w:ind w:firstLine="420" w:firstLineChars="200"/>
      </w:pPr>
      <w:r>
        <w:rPr>
          <w:rFonts w:hint="eastAsia"/>
        </w:rPr>
        <w:t>为了避免种子混杂，保持原种种性，原种生产田周围不得种植其他品种的花生。</w:t>
      </w:r>
    </w:p>
    <w:p>
      <w:pPr>
        <w:pStyle w:val="2"/>
        <w:spacing w:before="240" w:beforeLines="100" w:after="240" w:afterLines="100" w:line="240" w:lineRule="auto"/>
        <w:rPr>
          <w:rFonts w:hint="eastAsia" w:eastAsia="黑体"/>
          <w:sz w:val="21"/>
          <w:szCs w:val="21"/>
          <w:lang w:eastAsia="zh-CN"/>
        </w:rPr>
      </w:pPr>
      <w:r>
        <w:rPr>
          <w:rFonts w:hint="eastAsia" w:eastAsia="黑体"/>
          <w:sz w:val="21"/>
          <w:szCs w:val="21"/>
        </w:rPr>
        <w:t>4.4高油酸花生原种</w:t>
      </w:r>
      <w:r>
        <w:rPr>
          <w:rFonts w:hint="eastAsia" w:eastAsia="黑体"/>
          <w:sz w:val="21"/>
          <w:szCs w:val="21"/>
          <w:lang w:val="en-US" w:eastAsia="zh-CN"/>
        </w:rPr>
        <w:t>繁育</w:t>
      </w:r>
    </w:p>
    <w:p>
      <w:pPr>
        <w:pStyle w:val="2"/>
        <w:spacing w:before="240" w:beforeLines="100" w:after="240" w:afterLines="100" w:line="240" w:lineRule="auto"/>
        <w:rPr>
          <w:rFonts w:eastAsia="黑体"/>
          <w:sz w:val="21"/>
          <w:szCs w:val="21"/>
        </w:rPr>
      </w:pPr>
      <w:r>
        <w:rPr>
          <w:rFonts w:hint="eastAsia" w:eastAsia="黑体"/>
          <w:sz w:val="21"/>
          <w:szCs w:val="21"/>
        </w:rPr>
        <w:t>4.4.1 种子来源</w:t>
      </w:r>
    </w:p>
    <w:p>
      <w:pPr>
        <w:ind w:firstLine="420" w:firstLineChars="200"/>
      </w:pPr>
      <w:r>
        <w:rPr>
          <w:rFonts w:hint="eastAsia"/>
        </w:rPr>
        <w:t>原种生产由品种育成者或育成单位提供育种家种子。</w:t>
      </w:r>
    </w:p>
    <w:p>
      <w:pPr>
        <w:pStyle w:val="2"/>
        <w:spacing w:before="240" w:beforeLines="100" w:after="240" w:afterLines="100" w:line="240" w:lineRule="auto"/>
        <w:rPr>
          <w:rFonts w:eastAsia="黑体"/>
          <w:sz w:val="21"/>
          <w:szCs w:val="21"/>
        </w:rPr>
      </w:pPr>
      <w:r>
        <w:rPr>
          <w:rFonts w:hint="eastAsia" w:eastAsia="黑体"/>
          <w:sz w:val="21"/>
          <w:szCs w:val="21"/>
        </w:rPr>
        <w:t>4.4.2 播种</w:t>
      </w:r>
    </w:p>
    <w:p>
      <w:pPr>
        <w:ind w:firstLine="420" w:firstLineChars="200"/>
      </w:pPr>
      <w:r>
        <w:rPr>
          <w:rFonts w:hint="eastAsia"/>
        </w:rPr>
        <w:t>将</w:t>
      </w:r>
      <w:r>
        <w:rPr>
          <w:rFonts w:hint="eastAsia"/>
          <w:lang w:eastAsia="zh-CN"/>
        </w:rPr>
        <w:t>育种者</w:t>
      </w:r>
      <w:r>
        <w:rPr>
          <w:rFonts w:hint="eastAsia"/>
        </w:rPr>
        <w:t>提供的种子适度稀植于原种田中，单粒播种，播种时应将播种工具清理干净，严防机械混杂。</w:t>
      </w:r>
    </w:p>
    <w:p>
      <w:pPr>
        <w:pStyle w:val="2"/>
        <w:spacing w:before="240" w:beforeLines="100" w:after="240" w:afterLines="100" w:line="240" w:lineRule="auto"/>
        <w:rPr>
          <w:rFonts w:eastAsia="黑体"/>
          <w:sz w:val="21"/>
          <w:szCs w:val="21"/>
        </w:rPr>
      </w:pPr>
      <w:r>
        <w:rPr>
          <w:rFonts w:hint="eastAsia" w:eastAsia="黑体"/>
          <w:sz w:val="21"/>
          <w:szCs w:val="21"/>
        </w:rPr>
        <w:t>4.4.3 田间管理</w:t>
      </w:r>
    </w:p>
    <w:p>
      <w:pPr>
        <w:ind w:firstLine="420" w:firstLineChars="200"/>
      </w:pPr>
      <w:r>
        <w:rPr>
          <w:rFonts w:hint="eastAsia"/>
        </w:rPr>
        <w:t>按照高产高油酸花生大田管理模式进行。种植方式、种子处理、施肥、浇水、除草、化控、病虫害防治等田间管理依据DB 13/T 5279-2020要求进行。</w:t>
      </w:r>
    </w:p>
    <w:p>
      <w:pPr>
        <w:pStyle w:val="2"/>
        <w:spacing w:before="240" w:beforeLines="100" w:after="240" w:afterLines="100" w:line="240" w:lineRule="auto"/>
        <w:rPr>
          <w:rFonts w:eastAsia="黑体"/>
          <w:sz w:val="21"/>
          <w:szCs w:val="21"/>
        </w:rPr>
      </w:pPr>
      <w:r>
        <w:rPr>
          <w:rFonts w:hint="eastAsia" w:eastAsia="黑体"/>
          <w:sz w:val="21"/>
          <w:szCs w:val="21"/>
        </w:rPr>
        <w:t>4.4.4 田间去杂</w:t>
      </w:r>
    </w:p>
    <w:p>
      <w:pPr>
        <w:ind w:firstLine="420" w:firstLineChars="200"/>
      </w:pPr>
      <w:r>
        <w:rPr>
          <w:rFonts w:hint="eastAsia"/>
        </w:rPr>
        <w:t>分别在苗期、花针期、成熟期和收获期开展田间去杂。</w:t>
      </w:r>
    </w:p>
    <w:p>
      <w:pPr>
        <w:ind w:firstLine="420" w:firstLineChars="200"/>
      </w:pPr>
      <w:r>
        <w:rPr>
          <w:rFonts w:hint="eastAsia"/>
        </w:rPr>
        <w:t>a）苗期：剔除病苗。</w:t>
      </w:r>
    </w:p>
    <w:p>
      <w:pPr>
        <w:ind w:firstLine="420" w:firstLineChars="200"/>
      </w:pPr>
      <w:r>
        <w:rPr>
          <w:rFonts w:hint="eastAsia"/>
        </w:rPr>
        <w:t>b）花针期：根据叶形、叶色、开花类型、花色、分枝习性、抗旱性等，拔除异形、异型、异色、异性苗。</w:t>
      </w:r>
    </w:p>
    <w:p>
      <w:pPr>
        <w:ind w:firstLine="420" w:firstLineChars="200"/>
      </w:pPr>
      <w:r>
        <w:rPr>
          <w:rFonts w:hint="eastAsia"/>
        </w:rPr>
        <w:t>c）成熟期：根据株高、株型、熟期、抗病性拔除不一致植株。</w:t>
      </w:r>
    </w:p>
    <w:p>
      <w:pPr>
        <w:ind w:firstLine="420" w:firstLineChars="200"/>
      </w:pPr>
      <w:r>
        <w:rPr>
          <w:rFonts w:hint="eastAsia"/>
        </w:rPr>
        <w:t>d）收获期：根据丰产性、典型性和一致性以及荚果形状、大小及其整齐度，淘汰不具备原品种典型性的单株、杂株、病虫害重的单株。</w:t>
      </w:r>
    </w:p>
    <w:p>
      <w:pPr>
        <w:pStyle w:val="2"/>
        <w:spacing w:before="240" w:beforeLines="100" w:after="240" w:afterLines="100" w:line="240" w:lineRule="auto"/>
        <w:rPr>
          <w:rFonts w:eastAsia="黑体"/>
          <w:sz w:val="21"/>
          <w:szCs w:val="21"/>
        </w:rPr>
      </w:pPr>
      <w:r>
        <w:rPr>
          <w:rFonts w:hint="eastAsia" w:eastAsia="黑体"/>
          <w:sz w:val="21"/>
          <w:szCs w:val="21"/>
        </w:rPr>
        <w:t>4.4.5 收获</w:t>
      </w:r>
    </w:p>
    <w:p>
      <w:pPr>
        <w:ind w:firstLine="420" w:firstLineChars="200"/>
        <w:rPr>
          <w:rFonts w:eastAsia="黑体"/>
          <w:b/>
          <w:bCs/>
        </w:rPr>
      </w:pPr>
      <w:r>
        <w:rPr>
          <w:rFonts w:hint="eastAsia"/>
        </w:rPr>
        <w:t>成熟时应适时早收，单独收获</w:t>
      </w:r>
      <w:r>
        <w:rPr>
          <w:rFonts w:hint="eastAsia"/>
          <w:lang w:eastAsia="zh-CN"/>
        </w:rPr>
        <w:t>，</w:t>
      </w:r>
      <w:r>
        <w:rPr>
          <w:rFonts w:hint="eastAsia"/>
        </w:rPr>
        <w:t>专场晾晒，严防混杂。收获期最低气温应不低于12℃。</w:t>
      </w:r>
    </w:p>
    <w:p>
      <w:pPr>
        <w:pStyle w:val="2"/>
        <w:spacing w:before="240" w:beforeLines="100" w:after="240" w:afterLines="100" w:line="240" w:lineRule="auto"/>
        <w:rPr>
          <w:rFonts w:hint="eastAsia" w:eastAsia="黑体"/>
          <w:sz w:val="21"/>
          <w:szCs w:val="21"/>
          <w:lang w:eastAsia="zh-CN"/>
        </w:rPr>
      </w:pPr>
      <w:r>
        <w:rPr>
          <w:rFonts w:hint="eastAsia" w:eastAsia="黑体"/>
          <w:sz w:val="21"/>
          <w:szCs w:val="21"/>
        </w:rPr>
        <w:t>5 高油酸花生良种</w:t>
      </w:r>
      <w:r>
        <w:rPr>
          <w:rFonts w:hint="eastAsia" w:eastAsia="黑体"/>
          <w:sz w:val="21"/>
          <w:szCs w:val="21"/>
          <w:lang w:val="en-US" w:eastAsia="zh-CN"/>
        </w:rPr>
        <w:t>繁育</w:t>
      </w:r>
    </w:p>
    <w:p>
      <w:pPr>
        <w:pStyle w:val="2"/>
        <w:spacing w:before="240" w:beforeLines="100" w:after="240" w:afterLines="100" w:line="240" w:lineRule="auto"/>
        <w:rPr>
          <w:rFonts w:eastAsia="黑体"/>
          <w:sz w:val="21"/>
          <w:szCs w:val="21"/>
        </w:rPr>
      </w:pPr>
      <w:r>
        <w:rPr>
          <w:rFonts w:hint="eastAsia" w:eastAsia="黑体"/>
          <w:sz w:val="21"/>
          <w:szCs w:val="21"/>
        </w:rPr>
        <w:t>5.1 良种</w:t>
      </w:r>
      <w:r>
        <w:rPr>
          <w:rFonts w:hint="eastAsia" w:eastAsia="黑体"/>
          <w:sz w:val="21"/>
          <w:szCs w:val="21"/>
          <w:lang w:val="en-US" w:eastAsia="zh-CN"/>
        </w:rPr>
        <w:t>繁育</w:t>
      </w:r>
      <w:r>
        <w:rPr>
          <w:rFonts w:hint="eastAsia" w:eastAsia="黑体"/>
          <w:sz w:val="21"/>
          <w:szCs w:val="21"/>
        </w:rPr>
        <w:t>责任主体</w:t>
      </w:r>
    </w:p>
    <w:p>
      <w:pPr>
        <w:ind w:firstLine="420" w:firstLineChars="200"/>
      </w:pPr>
      <w:r>
        <w:rPr>
          <w:rFonts w:hint="eastAsia"/>
        </w:rPr>
        <w:t>高油酸花生良种由种子授权生产经营单位在育种单位的技术指导下</w:t>
      </w:r>
      <w:r>
        <w:rPr>
          <w:rFonts w:hint="eastAsia"/>
          <w:lang w:eastAsia="zh-CN"/>
        </w:rPr>
        <w:t>繁育</w:t>
      </w:r>
      <w:r>
        <w:rPr>
          <w:rFonts w:hint="eastAsia"/>
        </w:rPr>
        <w:t>。宜选择有花生种植经验的专业合作社或种植大户集中种植，一个生产单位只种植一个品种，播种收获机械使用前应将机械内花生清理干净。</w:t>
      </w:r>
    </w:p>
    <w:p>
      <w:pPr>
        <w:pStyle w:val="2"/>
        <w:spacing w:before="240" w:beforeLines="100" w:after="240" w:afterLines="100" w:line="240" w:lineRule="auto"/>
        <w:rPr>
          <w:rFonts w:eastAsia="黑体"/>
          <w:sz w:val="21"/>
          <w:szCs w:val="21"/>
        </w:rPr>
      </w:pPr>
      <w:r>
        <w:rPr>
          <w:rFonts w:hint="eastAsia" w:eastAsia="黑体"/>
          <w:sz w:val="21"/>
          <w:szCs w:val="21"/>
        </w:rPr>
        <w:t>5.2 地块要求</w:t>
      </w:r>
    </w:p>
    <w:p>
      <w:pPr>
        <w:ind w:firstLine="420" w:firstLineChars="200"/>
      </w:pPr>
      <w:r>
        <w:rPr>
          <w:rFonts w:hint="eastAsia"/>
        </w:rPr>
        <w:t>按照</w:t>
      </w:r>
      <w:r>
        <w:t>NY/T 855的要求选择产地环境</w:t>
      </w:r>
      <w:r>
        <w:rPr>
          <w:rFonts w:hint="eastAsia"/>
        </w:rPr>
        <w:t>条件。不同品种种植在不同地块，不同地块间设置</w:t>
      </w:r>
      <w:r>
        <w:rPr>
          <w:rFonts w:hint="eastAsia"/>
          <w:lang w:val="en-US" w:eastAsia="zh-CN"/>
        </w:rPr>
        <w:t>2行以上</w:t>
      </w:r>
      <w:r>
        <w:rPr>
          <w:rFonts w:hint="eastAsia"/>
        </w:rPr>
        <w:t>隔离行</w:t>
      </w:r>
      <w:r>
        <w:t>。</w:t>
      </w:r>
      <w:bookmarkStart w:id="4" w:name="_Hlk500249422"/>
    </w:p>
    <w:p>
      <w:pPr>
        <w:pStyle w:val="2"/>
        <w:spacing w:before="240" w:beforeLines="100" w:after="240" w:afterLines="100" w:line="240" w:lineRule="auto"/>
        <w:rPr>
          <w:rFonts w:eastAsia="黑体"/>
          <w:sz w:val="21"/>
          <w:szCs w:val="21"/>
        </w:rPr>
      </w:pPr>
      <w:r>
        <w:rPr>
          <w:rFonts w:hint="eastAsia" w:eastAsia="黑体"/>
          <w:sz w:val="21"/>
          <w:szCs w:val="21"/>
        </w:rPr>
        <w:t>5.3 种子来源</w:t>
      </w:r>
    </w:p>
    <w:p>
      <w:pPr>
        <w:ind w:firstLine="420" w:firstLineChars="200"/>
      </w:pPr>
      <w:r>
        <w:rPr>
          <w:rFonts w:hint="eastAsia"/>
        </w:rPr>
        <w:t>采用通过4.4方法生产的原种，淘汰劣果、病果、芽果</w:t>
      </w:r>
      <w:r>
        <w:t>。</w:t>
      </w:r>
    </w:p>
    <w:p>
      <w:pPr>
        <w:pStyle w:val="2"/>
        <w:spacing w:before="240" w:beforeLines="100" w:after="240" w:afterLines="100" w:line="240" w:lineRule="auto"/>
        <w:rPr>
          <w:rFonts w:eastAsia="黑体"/>
          <w:sz w:val="21"/>
          <w:szCs w:val="21"/>
        </w:rPr>
      </w:pPr>
      <w:r>
        <w:rPr>
          <w:rFonts w:hint="eastAsia" w:eastAsia="黑体"/>
          <w:sz w:val="21"/>
          <w:szCs w:val="21"/>
        </w:rPr>
        <w:t>5.4 种子生产</w:t>
      </w:r>
    </w:p>
    <w:p>
      <w:pPr>
        <w:ind w:firstLine="420" w:firstLineChars="200"/>
      </w:pPr>
      <w:r>
        <w:rPr>
          <w:rFonts w:hint="eastAsia"/>
        </w:rPr>
        <w:t>按照高产高油酸花生大田管理模式进行。种植方式、播前准备、种子处理、播种、施肥、浇水、除草、化控、病虫害防治等田间管理依据DB 13/T 5279-2020要求进行。</w:t>
      </w:r>
    </w:p>
    <w:p>
      <w:pPr>
        <w:pStyle w:val="2"/>
        <w:spacing w:before="240" w:beforeLines="100" w:after="240" w:afterLines="100" w:line="240" w:lineRule="auto"/>
        <w:rPr>
          <w:rFonts w:eastAsia="黑体"/>
          <w:sz w:val="21"/>
          <w:szCs w:val="21"/>
        </w:rPr>
      </w:pPr>
      <w:r>
        <w:rPr>
          <w:rFonts w:hint="eastAsia" w:eastAsia="黑体"/>
          <w:sz w:val="21"/>
          <w:szCs w:val="21"/>
        </w:rPr>
        <w:t>5.5 收获与晾晒</w:t>
      </w:r>
    </w:p>
    <w:p>
      <w:pPr>
        <w:pStyle w:val="2"/>
        <w:spacing w:before="240" w:beforeLines="100" w:after="240" w:afterLines="100" w:line="240" w:lineRule="auto"/>
        <w:ind w:firstLine="420" w:firstLineChars="200"/>
        <w:rPr>
          <w:b w:val="0"/>
          <w:bCs w:val="0"/>
          <w:kern w:val="2"/>
          <w:sz w:val="21"/>
          <w:szCs w:val="21"/>
        </w:rPr>
      </w:pPr>
      <w:r>
        <w:rPr>
          <w:rFonts w:hint="eastAsia"/>
          <w:b w:val="0"/>
          <w:bCs w:val="0"/>
          <w:kern w:val="2"/>
          <w:sz w:val="21"/>
          <w:szCs w:val="21"/>
        </w:rPr>
        <w:t>当65%以上荚果果壳硬化、网纹清晰、果壳内壁出现黑褐色斑块时，选择晴好天气及时收获、晾晒，尽快将荚果含水量降到10%以下。晾晒时采取隔离措施，防止不同品种间混杂。夏播种植，应确保收获时期最低气温不低于12℃。</w:t>
      </w:r>
    </w:p>
    <w:bookmarkEnd w:id="4"/>
    <w:p>
      <w:pPr>
        <w:pStyle w:val="2"/>
        <w:spacing w:before="240" w:beforeLines="100" w:after="240" w:afterLines="100" w:line="240" w:lineRule="auto"/>
        <w:rPr>
          <w:rFonts w:eastAsia="黑体"/>
          <w:sz w:val="21"/>
          <w:szCs w:val="21"/>
        </w:rPr>
      </w:pPr>
      <w:r>
        <w:rPr>
          <w:rFonts w:hint="eastAsia" w:eastAsia="黑体"/>
          <w:sz w:val="21"/>
          <w:szCs w:val="21"/>
        </w:rPr>
        <w:t xml:space="preserve">6 种子检验 </w:t>
      </w:r>
    </w:p>
    <w:p>
      <w:pPr>
        <w:pStyle w:val="2"/>
        <w:spacing w:before="240" w:beforeLines="100" w:after="240" w:afterLines="100" w:line="240" w:lineRule="auto"/>
        <w:rPr>
          <w:rFonts w:eastAsia="黑体"/>
          <w:sz w:val="21"/>
          <w:szCs w:val="21"/>
        </w:rPr>
      </w:pPr>
      <w:r>
        <w:rPr>
          <w:rFonts w:hint="eastAsia" w:eastAsia="黑体"/>
          <w:sz w:val="21"/>
          <w:szCs w:val="21"/>
        </w:rPr>
        <w:t xml:space="preserve">6.1 扦样 </w:t>
      </w:r>
    </w:p>
    <w:p>
      <w:pPr>
        <w:ind w:firstLine="420" w:firstLineChars="200"/>
      </w:pPr>
      <w:r>
        <w:rPr>
          <w:rFonts w:hint="eastAsia"/>
        </w:rPr>
        <w:t>扦样方法和种子批的确定执行GB/T</w:t>
      </w:r>
      <w:r>
        <w:rPr>
          <w:rFonts w:hint="eastAsia"/>
          <w:lang w:val="en-US" w:eastAsia="zh-CN"/>
        </w:rPr>
        <w:t xml:space="preserve"> </w:t>
      </w:r>
      <w:r>
        <w:rPr>
          <w:rFonts w:hint="eastAsia"/>
        </w:rPr>
        <w:t>3543的规定。</w:t>
      </w:r>
    </w:p>
    <w:p>
      <w:pPr>
        <w:pStyle w:val="2"/>
        <w:spacing w:before="240" w:beforeLines="100" w:after="240" w:afterLines="100" w:line="240" w:lineRule="auto"/>
        <w:rPr>
          <w:rFonts w:eastAsia="黑体"/>
          <w:sz w:val="21"/>
          <w:szCs w:val="21"/>
        </w:rPr>
      </w:pPr>
      <w:r>
        <w:rPr>
          <w:rFonts w:hint="eastAsia" w:eastAsia="黑体"/>
          <w:sz w:val="21"/>
          <w:szCs w:val="21"/>
        </w:rPr>
        <w:t xml:space="preserve">6.2 质量标准和检验方法 </w:t>
      </w:r>
    </w:p>
    <w:p>
      <w:pPr>
        <w:ind w:firstLine="420" w:firstLineChars="200"/>
      </w:pPr>
      <w:r>
        <w:rPr>
          <w:rFonts w:hint="eastAsia"/>
        </w:rPr>
        <w:t>高油酸花生种子质量要求和检验方法见表1。</w:t>
      </w:r>
    </w:p>
    <w:p>
      <w:pPr>
        <w:widowControl/>
        <w:jc w:val="center"/>
        <w:rPr>
          <w:rFonts w:eastAsia="黑体"/>
          <w:b/>
          <w:bCs/>
          <w:kern w:val="44"/>
        </w:rPr>
      </w:pPr>
      <w:r>
        <w:rPr>
          <w:rFonts w:hint="eastAsia" w:eastAsia="黑体"/>
          <w:b/>
          <w:bCs/>
          <w:kern w:val="44"/>
        </w:rPr>
        <w:t>表1  高油酸花生种子质量和检验方法</w:t>
      </w:r>
    </w:p>
    <w:tbl>
      <w:tblPr>
        <w:tblStyle w:val="1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064"/>
        <w:gridCol w:w="2064"/>
        <w:gridCol w:w="2065"/>
        <w:gridCol w:w="20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8" w:hRule="atLeast"/>
          <w:jc w:val="center"/>
        </w:trPr>
        <w:tc>
          <w:tcPr>
            <w:tcW w:w="2064" w:type="dxa"/>
            <w:vAlign w:val="center"/>
          </w:tcPr>
          <w:p>
            <w:pPr>
              <w:widowControl/>
              <w:jc w:val="center"/>
              <w:rPr>
                <w:rFonts w:eastAsia="黑体"/>
                <w:kern w:val="44"/>
              </w:rPr>
            </w:pPr>
            <w:r>
              <w:rPr>
                <w:rFonts w:hint="eastAsia" w:eastAsia="黑体"/>
                <w:kern w:val="44"/>
              </w:rPr>
              <w:t>种子类别</w:t>
            </w:r>
          </w:p>
        </w:tc>
        <w:tc>
          <w:tcPr>
            <w:tcW w:w="2064" w:type="dxa"/>
            <w:vAlign w:val="center"/>
          </w:tcPr>
          <w:p>
            <w:pPr>
              <w:widowControl/>
              <w:jc w:val="center"/>
              <w:rPr>
                <w:rFonts w:eastAsia="黑体"/>
                <w:kern w:val="44"/>
              </w:rPr>
            </w:pPr>
            <w:r>
              <w:rPr>
                <w:rFonts w:hint="eastAsia" w:eastAsia="黑体"/>
                <w:kern w:val="44"/>
              </w:rPr>
              <w:t>原种</w:t>
            </w:r>
          </w:p>
        </w:tc>
        <w:tc>
          <w:tcPr>
            <w:tcW w:w="2065" w:type="dxa"/>
            <w:vAlign w:val="center"/>
          </w:tcPr>
          <w:p>
            <w:pPr>
              <w:widowControl/>
              <w:jc w:val="center"/>
              <w:rPr>
                <w:rFonts w:eastAsia="黑体"/>
                <w:kern w:val="44"/>
              </w:rPr>
            </w:pPr>
            <w:r>
              <w:rPr>
                <w:rFonts w:hint="eastAsia" w:eastAsia="黑体"/>
                <w:kern w:val="44"/>
              </w:rPr>
              <w:t>良种</w:t>
            </w:r>
          </w:p>
        </w:tc>
        <w:tc>
          <w:tcPr>
            <w:tcW w:w="2065" w:type="dxa"/>
            <w:vAlign w:val="center"/>
          </w:tcPr>
          <w:p>
            <w:pPr>
              <w:widowControl/>
              <w:jc w:val="center"/>
              <w:rPr>
                <w:rFonts w:eastAsia="黑体"/>
                <w:kern w:val="44"/>
              </w:rPr>
            </w:pPr>
            <w:r>
              <w:rPr>
                <w:rFonts w:hint="eastAsia" w:eastAsia="黑体"/>
                <w:kern w:val="44"/>
              </w:rPr>
              <w:t>检验方法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6" w:hRule="atLeast"/>
          <w:jc w:val="center"/>
        </w:trPr>
        <w:tc>
          <w:tcPr>
            <w:tcW w:w="2064" w:type="dxa"/>
            <w:vAlign w:val="center"/>
          </w:tcPr>
          <w:p>
            <w:pPr>
              <w:widowControl/>
              <w:jc w:val="center"/>
              <w:rPr>
                <w:rFonts w:eastAsia="黑体"/>
                <w:kern w:val="44"/>
              </w:rPr>
            </w:pPr>
            <w:r>
              <w:rPr>
                <w:rFonts w:hint="eastAsia" w:eastAsia="黑体"/>
                <w:kern w:val="44"/>
              </w:rPr>
              <w:t>品种纯度（%）</w:t>
            </w:r>
          </w:p>
        </w:tc>
        <w:tc>
          <w:tcPr>
            <w:tcW w:w="2064" w:type="dxa"/>
            <w:vAlign w:val="center"/>
          </w:tcPr>
          <w:p>
            <w:pPr>
              <w:widowControl/>
              <w:jc w:val="center"/>
              <w:rPr>
                <w:rFonts w:eastAsia="黑体"/>
                <w:kern w:val="44"/>
              </w:rPr>
            </w:pPr>
            <w:r>
              <w:rPr>
                <w:rFonts w:hint="eastAsia" w:eastAsia="黑体"/>
                <w:kern w:val="44"/>
              </w:rPr>
              <w:t>≥99.0</w:t>
            </w:r>
          </w:p>
        </w:tc>
        <w:tc>
          <w:tcPr>
            <w:tcW w:w="2065" w:type="dxa"/>
            <w:vAlign w:val="center"/>
          </w:tcPr>
          <w:p>
            <w:pPr>
              <w:widowControl/>
              <w:jc w:val="center"/>
              <w:rPr>
                <w:rFonts w:eastAsia="黑体"/>
                <w:kern w:val="44"/>
              </w:rPr>
            </w:pPr>
            <w:r>
              <w:rPr>
                <w:rFonts w:hint="eastAsia" w:eastAsia="黑体"/>
                <w:kern w:val="44"/>
              </w:rPr>
              <w:t>≥96.0</w:t>
            </w:r>
          </w:p>
        </w:tc>
        <w:tc>
          <w:tcPr>
            <w:tcW w:w="2065" w:type="dxa"/>
            <w:vMerge w:val="restart"/>
            <w:vAlign w:val="center"/>
          </w:tcPr>
          <w:p>
            <w:pPr>
              <w:widowControl/>
              <w:jc w:val="center"/>
              <w:rPr>
                <w:rFonts w:eastAsia="黑体"/>
                <w:kern w:val="44"/>
              </w:rPr>
            </w:pPr>
            <w:r>
              <w:rPr>
                <w:rFonts w:hint="eastAsia" w:eastAsia="黑体"/>
                <w:kern w:val="44"/>
              </w:rPr>
              <w:t>GB/T</w:t>
            </w:r>
            <w:r>
              <w:rPr>
                <w:rFonts w:hint="eastAsia" w:eastAsia="黑体"/>
                <w:kern w:val="44"/>
                <w:lang w:val="en-US" w:eastAsia="zh-CN"/>
              </w:rPr>
              <w:t xml:space="preserve"> </w:t>
            </w:r>
            <w:r>
              <w:rPr>
                <w:rFonts w:hint="eastAsia" w:eastAsia="黑体"/>
                <w:kern w:val="44"/>
              </w:rPr>
              <w:t>3543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6" w:hRule="atLeast"/>
          <w:jc w:val="center"/>
        </w:trPr>
        <w:tc>
          <w:tcPr>
            <w:tcW w:w="2064" w:type="dxa"/>
            <w:vAlign w:val="center"/>
          </w:tcPr>
          <w:p>
            <w:pPr>
              <w:widowControl/>
              <w:jc w:val="center"/>
              <w:rPr>
                <w:rFonts w:eastAsia="黑体"/>
                <w:kern w:val="44"/>
              </w:rPr>
            </w:pPr>
            <w:r>
              <w:rPr>
                <w:rFonts w:hint="eastAsia" w:eastAsia="黑体"/>
                <w:kern w:val="44"/>
              </w:rPr>
              <w:t>净度（%）</w:t>
            </w:r>
          </w:p>
        </w:tc>
        <w:tc>
          <w:tcPr>
            <w:tcW w:w="4129" w:type="dxa"/>
            <w:gridSpan w:val="2"/>
            <w:vAlign w:val="center"/>
          </w:tcPr>
          <w:p>
            <w:pPr>
              <w:widowControl/>
              <w:jc w:val="center"/>
              <w:rPr>
                <w:rFonts w:eastAsia="黑体"/>
                <w:kern w:val="44"/>
              </w:rPr>
            </w:pPr>
            <w:r>
              <w:rPr>
                <w:rFonts w:hint="eastAsia" w:eastAsia="黑体"/>
                <w:kern w:val="44"/>
              </w:rPr>
              <w:t>≥99.0</w:t>
            </w:r>
          </w:p>
        </w:tc>
        <w:tc>
          <w:tcPr>
            <w:tcW w:w="2065" w:type="dxa"/>
            <w:vMerge w:val="continue"/>
            <w:vAlign w:val="center"/>
          </w:tcPr>
          <w:p>
            <w:pPr>
              <w:widowControl/>
              <w:jc w:val="center"/>
              <w:rPr>
                <w:rFonts w:eastAsia="黑体"/>
                <w:kern w:val="4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6" w:hRule="atLeast"/>
          <w:jc w:val="center"/>
        </w:trPr>
        <w:tc>
          <w:tcPr>
            <w:tcW w:w="2064" w:type="dxa"/>
            <w:vAlign w:val="center"/>
          </w:tcPr>
          <w:p>
            <w:pPr>
              <w:widowControl/>
              <w:jc w:val="center"/>
              <w:rPr>
                <w:rFonts w:eastAsia="黑体"/>
                <w:kern w:val="44"/>
              </w:rPr>
            </w:pPr>
            <w:r>
              <w:rPr>
                <w:rFonts w:hint="eastAsia" w:eastAsia="黑体"/>
                <w:kern w:val="44"/>
              </w:rPr>
              <w:t>发芽率（%）</w:t>
            </w:r>
          </w:p>
        </w:tc>
        <w:tc>
          <w:tcPr>
            <w:tcW w:w="4129" w:type="dxa"/>
            <w:gridSpan w:val="2"/>
            <w:vAlign w:val="center"/>
          </w:tcPr>
          <w:p>
            <w:pPr>
              <w:widowControl/>
              <w:jc w:val="center"/>
              <w:rPr>
                <w:rFonts w:eastAsia="黑体"/>
                <w:kern w:val="44"/>
              </w:rPr>
            </w:pPr>
            <w:r>
              <w:rPr>
                <w:rFonts w:hint="eastAsia" w:eastAsia="黑体"/>
                <w:kern w:val="44"/>
              </w:rPr>
              <w:t>≥80</w:t>
            </w:r>
          </w:p>
        </w:tc>
        <w:tc>
          <w:tcPr>
            <w:tcW w:w="2065" w:type="dxa"/>
            <w:vMerge w:val="continue"/>
            <w:vAlign w:val="center"/>
          </w:tcPr>
          <w:p>
            <w:pPr>
              <w:widowControl/>
              <w:jc w:val="center"/>
              <w:rPr>
                <w:rFonts w:eastAsia="黑体"/>
                <w:kern w:val="4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6" w:hRule="atLeast"/>
          <w:jc w:val="center"/>
        </w:trPr>
        <w:tc>
          <w:tcPr>
            <w:tcW w:w="2064" w:type="dxa"/>
            <w:vAlign w:val="center"/>
          </w:tcPr>
          <w:p>
            <w:pPr>
              <w:widowControl/>
              <w:jc w:val="center"/>
              <w:rPr>
                <w:rFonts w:eastAsia="黑体"/>
                <w:kern w:val="44"/>
              </w:rPr>
            </w:pPr>
            <w:r>
              <w:rPr>
                <w:rFonts w:hint="eastAsia" w:eastAsia="黑体"/>
                <w:kern w:val="44"/>
              </w:rPr>
              <w:t>水分（%）</w:t>
            </w:r>
          </w:p>
        </w:tc>
        <w:tc>
          <w:tcPr>
            <w:tcW w:w="4129" w:type="dxa"/>
            <w:gridSpan w:val="2"/>
            <w:vAlign w:val="center"/>
          </w:tcPr>
          <w:p>
            <w:pPr>
              <w:widowControl/>
              <w:jc w:val="center"/>
              <w:rPr>
                <w:rFonts w:eastAsia="黑体"/>
                <w:kern w:val="44"/>
              </w:rPr>
            </w:pPr>
            <w:r>
              <w:rPr>
                <w:rFonts w:hint="eastAsia" w:eastAsia="黑体"/>
                <w:kern w:val="44"/>
              </w:rPr>
              <w:t>≤10.0</w:t>
            </w:r>
          </w:p>
        </w:tc>
        <w:tc>
          <w:tcPr>
            <w:tcW w:w="2065" w:type="dxa"/>
            <w:vMerge w:val="continue"/>
            <w:vAlign w:val="center"/>
          </w:tcPr>
          <w:p>
            <w:pPr>
              <w:widowControl/>
              <w:jc w:val="center"/>
              <w:rPr>
                <w:rFonts w:eastAsia="黑体"/>
                <w:kern w:val="4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6" w:hRule="atLeast"/>
          <w:jc w:val="center"/>
        </w:trPr>
        <w:tc>
          <w:tcPr>
            <w:tcW w:w="2064" w:type="dxa"/>
            <w:vAlign w:val="center"/>
          </w:tcPr>
          <w:p>
            <w:pPr>
              <w:widowControl/>
              <w:jc w:val="center"/>
              <w:rPr>
                <w:rFonts w:eastAsia="黑体"/>
                <w:kern w:val="44"/>
              </w:rPr>
            </w:pPr>
            <w:r>
              <w:rPr>
                <w:rFonts w:hint="eastAsia" w:eastAsia="黑体"/>
                <w:kern w:val="44"/>
              </w:rPr>
              <w:t>油酸含量（%）</w:t>
            </w:r>
          </w:p>
        </w:tc>
        <w:tc>
          <w:tcPr>
            <w:tcW w:w="4129" w:type="dxa"/>
            <w:gridSpan w:val="2"/>
            <w:vAlign w:val="center"/>
          </w:tcPr>
          <w:p>
            <w:pPr>
              <w:widowControl/>
              <w:jc w:val="center"/>
              <w:rPr>
                <w:rFonts w:eastAsia="黑体"/>
                <w:kern w:val="44"/>
              </w:rPr>
            </w:pPr>
            <w:r>
              <w:rPr>
                <w:rFonts w:hint="eastAsia" w:eastAsia="黑体"/>
                <w:kern w:val="44"/>
              </w:rPr>
              <w:t>≥75.0</w:t>
            </w:r>
          </w:p>
        </w:tc>
        <w:tc>
          <w:tcPr>
            <w:tcW w:w="2065" w:type="dxa"/>
            <w:vAlign w:val="center"/>
          </w:tcPr>
          <w:p>
            <w:pPr>
              <w:widowControl/>
              <w:jc w:val="center"/>
              <w:rPr>
                <w:rFonts w:eastAsia="黑体"/>
                <w:kern w:val="44"/>
              </w:rPr>
            </w:pPr>
            <w:r>
              <w:rPr>
                <w:rFonts w:hint="eastAsia" w:eastAsia="黑体"/>
                <w:kern w:val="44"/>
              </w:rPr>
              <w:t>GB 5009.168</w:t>
            </w:r>
          </w:p>
        </w:tc>
      </w:tr>
    </w:tbl>
    <w:p>
      <w:pPr>
        <w:pStyle w:val="2"/>
        <w:spacing w:before="240" w:beforeLines="100" w:after="240" w:afterLines="100" w:line="240" w:lineRule="auto"/>
        <w:rPr>
          <w:rFonts w:eastAsia="黑体"/>
          <w:sz w:val="21"/>
          <w:szCs w:val="21"/>
        </w:rPr>
      </w:pPr>
      <w:r>
        <w:rPr>
          <w:rFonts w:hint="eastAsia" w:eastAsia="黑体"/>
          <w:sz w:val="21"/>
          <w:szCs w:val="21"/>
        </w:rPr>
        <w:t xml:space="preserve">6.3 判定规则 </w:t>
      </w:r>
    </w:p>
    <w:p>
      <w:pPr>
        <w:ind w:firstLine="420" w:firstLineChars="200"/>
      </w:pPr>
      <w:r>
        <w:rPr>
          <w:rFonts w:hint="eastAsia"/>
        </w:rPr>
        <w:t>高油酸花生种子质量的判定规则执行GB 5009.168、GB20</w:t>
      </w:r>
      <w:r>
        <w:rPr>
          <w:rFonts w:hint="eastAsia"/>
          <w:lang w:val="en-US" w:eastAsia="zh-CN"/>
        </w:rPr>
        <w:t>4</w:t>
      </w:r>
      <w:r>
        <w:rPr>
          <w:rFonts w:hint="eastAsia"/>
        </w:rPr>
        <w:t>64和NY/T3250的规定，同时应符合下列规则：</w:t>
      </w:r>
    </w:p>
    <w:p>
      <w:pPr>
        <w:ind w:firstLine="420" w:firstLineChars="200"/>
      </w:pPr>
      <w:r>
        <w:rPr>
          <w:rFonts w:hint="eastAsia"/>
        </w:rPr>
        <w:t>a） 高油酸花生种子标签的质量标注值中，品种纯度、净度、发芽率和水分任一项不符合本部分规定值的（见6.2），判为劣种子；</w:t>
      </w:r>
    </w:p>
    <w:p>
      <w:pPr>
        <w:ind w:firstLine="420" w:firstLineChars="200"/>
      </w:pPr>
      <w:r>
        <w:rPr>
          <w:rFonts w:hint="eastAsia"/>
        </w:rPr>
        <w:t>b）品种纯度、净度、发芽率和水分均符合本部分规定，但油酸含量不符合本部分规定值的，判定为非高油酸花生种子。</w:t>
      </w:r>
    </w:p>
    <w:p>
      <w:pPr>
        <w:pStyle w:val="2"/>
        <w:spacing w:before="240" w:beforeLines="100" w:after="240" w:afterLines="100" w:line="240" w:lineRule="auto"/>
        <w:rPr>
          <w:rFonts w:eastAsia="黑体"/>
          <w:sz w:val="21"/>
          <w:szCs w:val="21"/>
        </w:rPr>
      </w:pPr>
      <w:r>
        <w:rPr>
          <w:rFonts w:hint="eastAsia" w:eastAsia="黑体"/>
          <w:sz w:val="21"/>
          <w:szCs w:val="21"/>
        </w:rPr>
        <w:t xml:space="preserve">7 标签 </w:t>
      </w:r>
      <w:bookmarkStart w:id="5" w:name="_GoBack"/>
      <w:bookmarkEnd w:id="5"/>
    </w:p>
    <w:p>
      <w:pPr>
        <w:ind w:firstLine="420" w:firstLineChars="200"/>
      </w:pPr>
      <w:r>
        <w:rPr>
          <w:rFonts w:hint="eastAsia"/>
        </w:rPr>
        <w:t>种子标签应符合GB 20464的规定。</w:t>
      </w:r>
    </w:p>
    <w:p>
      <w:pPr>
        <w:pStyle w:val="2"/>
        <w:spacing w:before="240" w:beforeLines="100" w:after="240" w:afterLines="100" w:line="240" w:lineRule="auto"/>
        <w:rPr>
          <w:rFonts w:eastAsia="黑体"/>
          <w:sz w:val="21"/>
          <w:szCs w:val="21"/>
        </w:rPr>
      </w:pPr>
      <w:r>
        <w:rPr>
          <w:rFonts w:hint="eastAsia" w:eastAsia="黑体"/>
          <w:sz w:val="21"/>
          <w:szCs w:val="21"/>
        </w:rPr>
        <w:t xml:space="preserve">8 高油酸花生种子提纯复壮 </w:t>
      </w:r>
    </w:p>
    <w:p>
      <w:pPr>
        <w:ind w:firstLine="420" w:firstLineChars="200"/>
      </w:pPr>
      <w:r>
        <w:rPr>
          <w:rFonts w:hint="eastAsia"/>
        </w:rPr>
        <w:t>在高油酸花生</w:t>
      </w:r>
      <w:r>
        <w:rPr>
          <w:rFonts w:hint="eastAsia"/>
          <w:lang w:val="en-US" w:eastAsia="zh-CN"/>
        </w:rPr>
        <w:t>种子繁育</w:t>
      </w:r>
      <w:r>
        <w:rPr>
          <w:rFonts w:hint="eastAsia"/>
        </w:rPr>
        <w:t>过程中，由于机械混杂、生物学混杂、品种本身与串行发生变化或自然变异，导致良种混杂退化，随着生产年限延长加重，造成高油酸花生种子退化，降低优良种性，需要及时进行高油酸花生种子的提纯复壮。</w:t>
      </w:r>
    </w:p>
    <w:p>
      <w:pPr>
        <w:pStyle w:val="2"/>
        <w:spacing w:before="240" w:beforeLines="100" w:after="240" w:afterLines="100" w:line="240" w:lineRule="auto"/>
        <w:rPr>
          <w:rFonts w:eastAsia="黑体"/>
          <w:sz w:val="21"/>
          <w:szCs w:val="21"/>
        </w:rPr>
      </w:pPr>
      <w:r>
        <w:rPr>
          <w:rFonts w:hint="eastAsia" w:eastAsia="黑体"/>
          <w:sz w:val="21"/>
          <w:szCs w:val="21"/>
        </w:rPr>
        <w:t>8.1 高油酸花生种子提纯复壮责任主体</w:t>
      </w:r>
    </w:p>
    <w:p>
      <w:pPr>
        <w:ind w:firstLine="420" w:firstLineChars="200"/>
      </w:pPr>
      <w:r>
        <w:rPr>
          <w:rFonts w:hint="eastAsia"/>
        </w:rPr>
        <w:t>高油酸花生种子提纯复壮由该品种的原育种单位负责。</w:t>
      </w:r>
    </w:p>
    <w:p>
      <w:pPr>
        <w:pStyle w:val="2"/>
        <w:spacing w:before="240" w:beforeLines="100" w:after="240" w:afterLines="100" w:line="240" w:lineRule="auto"/>
        <w:rPr>
          <w:rFonts w:eastAsia="黑体"/>
          <w:sz w:val="21"/>
          <w:szCs w:val="21"/>
        </w:rPr>
      </w:pPr>
      <w:r>
        <w:rPr>
          <w:rFonts w:hint="eastAsia" w:eastAsia="黑体"/>
          <w:sz w:val="21"/>
          <w:szCs w:val="21"/>
        </w:rPr>
        <w:t>8.2地块要求</w:t>
      </w:r>
    </w:p>
    <w:p>
      <w:pPr>
        <w:ind w:firstLine="420" w:firstLineChars="200"/>
      </w:pPr>
      <w:r>
        <w:rPr>
          <w:rFonts w:hint="eastAsia"/>
        </w:rPr>
        <w:t>符合4.2的要求。</w:t>
      </w:r>
    </w:p>
    <w:p>
      <w:pPr>
        <w:pStyle w:val="2"/>
        <w:spacing w:before="240" w:beforeLines="100" w:after="240" w:afterLines="100" w:line="240" w:lineRule="auto"/>
        <w:rPr>
          <w:rFonts w:eastAsia="黑体"/>
          <w:sz w:val="21"/>
          <w:szCs w:val="21"/>
        </w:rPr>
      </w:pPr>
      <w:r>
        <w:rPr>
          <w:rFonts w:hint="eastAsia" w:eastAsia="黑体"/>
          <w:sz w:val="21"/>
          <w:szCs w:val="21"/>
        </w:rPr>
        <w:t>8.3 隔离</w:t>
      </w:r>
    </w:p>
    <w:p>
      <w:pPr>
        <w:ind w:firstLine="420" w:firstLineChars="200"/>
      </w:pPr>
      <w:r>
        <w:rPr>
          <w:rFonts w:hint="eastAsia"/>
        </w:rPr>
        <w:t>符合4.3的要求。</w:t>
      </w:r>
    </w:p>
    <w:p>
      <w:pPr>
        <w:pStyle w:val="2"/>
        <w:spacing w:before="240" w:beforeLines="100" w:after="240" w:afterLines="100" w:line="240" w:lineRule="auto"/>
        <w:rPr>
          <w:rFonts w:eastAsia="黑体"/>
          <w:sz w:val="21"/>
          <w:szCs w:val="21"/>
        </w:rPr>
      </w:pPr>
      <w:r>
        <w:rPr>
          <w:rFonts w:hint="eastAsia" w:eastAsia="黑体"/>
          <w:sz w:val="21"/>
          <w:szCs w:val="21"/>
        </w:rPr>
        <w:t>8.4 种子选择</w:t>
      </w:r>
    </w:p>
    <w:p>
      <w:pPr>
        <w:ind w:firstLine="420" w:firstLineChars="200"/>
      </w:pPr>
      <w:r>
        <w:rPr>
          <w:rFonts w:hint="eastAsia"/>
        </w:rPr>
        <w:t>a）选果：选择与原品种典型性一致的双仁荚果作种子，剔除劣果、病果和杂果。</w:t>
      </w:r>
    </w:p>
    <w:p>
      <w:pPr>
        <w:ind w:firstLine="420" w:firstLineChars="200"/>
      </w:pPr>
      <w:r>
        <w:rPr>
          <w:rFonts w:hint="eastAsia"/>
        </w:rPr>
        <w:t>b）选仁：荚果剥壳后剔除芽仁、病仁、破仁和杂仁后按籽仁大小进行分级，一般分为三级，较大的一、二级留作种子，分别播种。</w:t>
      </w:r>
    </w:p>
    <w:p>
      <w:pPr>
        <w:pStyle w:val="2"/>
        <w:spacing w:before="240" w:beforeLines="100" w:after="240" w:afterLines="100" w:line="240" w:lineRule="auto"/>
        <w:rPr>
          <w:rFonts w:eastAsia="黑体"/>
          <w:sz w:val="21"/>
          <w:szCs w:val="21"/>
        </w:rPr>
      </w:pPr>
      <w:r>
        <w:rPr>
          <w:rFonts w:hint="eastAsia" w:eastAsia="黑体"/>
          <w:sz w:val="21"/>
          <w:szCs w:val="21"/>
        </w:rPr>
        <w:t>8.5 整地与施肥</w:t>
      </w:r>
    </w:p>
    <w:p>
      <w:pPr>
        <w:ind w:firstLine="420" w:firstLineChars="200"/>
      </w:pPr>
      <w:r>
        <w:rPr>
          <w:rFonts w:hint="eastAsia"/>
        </w:rPr>
        <w:t>按DB13/T 5278-2020的要求进行整地和施肥。</w:t>
      </w:r>
    </w:p>
    <w:p>
      <w:pPr>
        <w:pStyle w:val="2"/>
        <w:spacing w:before="240" w:beforeLines="100" w:after="240" w:afterLines="100" w:line="240" w:lineRule="auto"/>
        <w:rPr>
          <w:rFonts w:eastAsia="黑体"/>
          <w:sz w:val="21"/>
          <w:szCs w:val="21"/>
        </w:rPr>
      </w:pPr>
      <w:r>
        <w:rPr>
          <w:rFonts w:hint="eastAsia" w:eastAsia="黑体"/>
          <w:sz w:val="21"/>
          <w:szCs w:val="21"/>
        </w:rPr>
        <w:t>8.6 播种</w:t>
      </w:r>
    </w:p>
    <w:p>
      <w:pPr>
        <w:ind w:firstLine="420" w:firstLineChars="200"/>
      </w:pPr>
      <w:r>
        <w:rPr>
          <w:rFonts w:hint="eastAsia"/>
        </w:rPr>
        <w:t>按4.4.2的要求采用单粒稀植播种。</w:t>
      </w:r>
    </w:p>
    <w:p>
      <w:pPr>
        <w:pStyle w:val="2"/>
        <w:spacing w:before="240" w:beforeLines="100" w:after="240" w:afterLines="100" w:line="240" w:lineRule="auto"/>
        <w:rPr>
          <w:rFonts w:eastAsia="黑体"/>
          <w:sz w:val="21"/>
          <w:szCs w:val="21"/>
        </w:rPr>
      </w:pPr>
      <w:r>
        <w:rPr>
          <w:rFonts w:hint="eastAsia" w:eastAsia="黑体"/>
          <w:sz w:val="21"/>
          <w:szCs w:val="21"/>
        </w:rPr>
        <w:t>8.7 田间管理</w:t>
      </w:r>
    </w:p>
    <w:p>
      <w:pPr>
        <w:ind w:firstLine="420" w:firstLineChars="200"/>
      </w:pPr>
      <w:r>
        <w:rPr>
          <w:rFonts w:hint="eastAsia"/>
        </w:rPr>
        <w:t>按4.4.3的要求进行田间管理。</w:t>
      </w:r>
    </w:p>
    <w:p>
      <w:pPr>
        <w:pStyle w:val="2"/>
        <w:spacing w:before="240" w:beforeLines="100" w:after="240" w:afterLines="100" w:line="240" w:lineRule="auto"/>
        <w:rPr>
          <w:rFonts w:eastAsia="黑体"/>
          <w:sz w:val="21"/>
          <w:szCs w:val="21"/>
        </w:rPr>
      </w:pPr>
      <w:r>
        <w:rPr>
          <w:rFonts w:hint="eastAsia" w:eastAsia="黑体"/>
          <w:sz w:val="21"/>
          <w:szCs w:val="21"/>
        </w:rPr>
        <w:t>8.8 品种提纯</w:t>
      </w:r>
    </w:p>
    <w:p>
      <w:pPr>
        <w:pStyle w:val="2"/>
        <w:spacing w:before="240" w:beforeLines="100" w:after="240" w:afterLines="100" w:line="240" w:lineRule="auto"/>
        <w:rPr>
          <w:rFonts w:eastAsia="黑体"/>
          <w:sz w:val="21"/>
          <w:szCs w:val="21"/>
        </w:rPr>
      </w:pPr>
      <w:r>
        <w:rPr>
          <w:rFonts w:hint="eastAsia" w:eastAsia="黑体"/>
          <w:sz w:val="21"/>
          <w:szCs w:val="21"/>
        </w:rPr>
        <w:t>8.8.1 单株选择</w:t>
      </w:r>
    </w:p>
    <w:p>
      <w:pPr>
        <w:ind w:firstLine="420" w:firstLineChars="200"/>
      </w:pPr>
      <w:r>
        <w:rPr>
          <w:rFonts w:hint="eastAsia"/>
        </w:rPr>
        <w:t>在收获时进行单株选择，按照原品种的典型性、丰产性、抗逆性、优质性进行选择，选择具有原品种特征、特性、丰产性好的典型优良单株，每亩选600株左右。</w:t>
      </w:r>
    </w:p>
    <w:p>
      <w:pPr>
        <w:pStyle w:val="2"/>
        <w:spacing w:before="240" w:beforeLines="100" w:after="240" w:afterLines="100" w:line="240" w:lineRule="auto"/>
        <w:rPr>
          <w:rFonts w:eastAsia="黑体"/>
          <w:sz w:val="21"/>
          <w:szCs w:val="21"/>
        </w:rPr>
      </w:pPr>
      <w:r>
        <w:rPr>
          <w:rFonts w:hint="eastAsia" w:eastAsia="黑体"/>
          <w:sz w:val="21"/>
          <w:szCs w:val="21"/>
        </w:rPr>
        <w:t>8.8.2 单株处理</w:t>
      </w:r>
    </w:p>
    <w:p>
      <w:pPr>
        <w:ind w:firstLine="420" w:firstLineChars="200"/>
      </w:pPr>
      <w:r>
        <w:rPr>
          <w:rFonts w:hint="eastAsia"/>
        </w:rPr>
        <w:t>将当选单株分别摘果，挂牌编号，充分晾干，分袋保存。播种前再根据荚果饱满度、结果多少、种子形状和种皮色泽等典型性进行一次复选。</w:t>
      </w:r>
    </w:p>
    <w:p>
      <w:pPr>
        <w:pStyle w:val="2"/>
        <w:spacing w:before="240" w:beforeLines="100" w:after="240" w:afterLines="100" w:line="240" w:lineRule="auto"/>
        <w:rPr>
          <w:rFonts w:eastAsia="黑体"/>
          <w:sz w:val="21"/>
          <w:szCs w:val="21"/>
        </w:rPr>
      </w:pPr>
      <w:r>
        <w:rPr>
          <w:rFonts w:hint="eastAsia" w:eastAsia="黑体"/>
          <w:sz w:val="21"/>
          <w:szCs w:val="21"/>
        </w:rPr>
        <w:t>8.8.3 株行种植</w:t>
      </w:r>
    </w:p>
    <w:p>
      <w:pPr>
        <w:pStyle w:val="2"/>
        <w:spacing w:before="240" w:beforeLines="100" w:after="240" w:afterLines="100" w:line="240" w:lineRule="auto"/>
        <w:rPr>
          <w:rFonts w:eastAsia="黑体"/>
          <w:sz w:val="21"/>
          <w:szCs w:val="21"/>
        </w:rPr>
      </w:pPr>
      <w:r>
        <w:rPr>
          <w:rFonts w:hint="eastAsia" w:eastAsia="黑体"/>
          <w:sz w:val="21"/>
          <w:szCs w:val="21"/>
        </w:rPr>
        <w:t>8.8.3.1 株行种植规格</w:t>
      </w:r>
    </w:p>
    <w:p>
      <w:pPr>
        <w:ind w:firstLine="420" w:firstLineChars="200"/>
      </w:pPr>
      <w:r>
        <w:rPr>
          <w:rFonts w:hint="eastAsia"/>
        </w:rPr>
        <w:t>将每个入选单株播种成1行，每1</w:t>
      </w:r>
      <w:r>
        <w:rPr>
          <w:rFonts w:hint="eastAsia"/>
          <w:lang w:val="en-US" w:eastAsia="zh-CN"/>
        </w:rPr>
        <w:t>0</w:t>
      </w:r>
      <w:r>
        <w:rPr>
          <w:rFonts w:hint="eastAsia"/>
        </w:rPr>
        <w:t>行设1行原品种为对照行，行长5.6m，行距40cm，按株行编号。</w:t>
      </w:r>
    </w:p>
    <w:p>
      <w:pPr>
        <w:pStyle w:val="2"/>
        <w:spacing w:before="240" w:beforeLines="100" w:after="240" w:afterLines="100" w:line="240" w:lineRule="auto"/>
        <w:rPr>
          <w:rFonts w:eastAsia="黑体"/>
          <w:sz w:val="21"/>
          <w:szCs w:val="21"/>
        </w:rPr>
      </w:pPr>
      <w:r>
        <w:rPr>
          <w:rFonts w:hint="eastAsia" w:eastAsia="黑体"/>
          <w:sz w:val="21"/>
          <w:szCs w:val="21"/>
        </w:rPr>
        <w:t>8.8.3.2 株行记载标准</w:t>
      </w:r>
    </w:p>
    <w:p>
      <w:pPr>
        <w:ind w:firstLine="420" w:firstLineChars="200"/>
      </w:pPr>
      <w:r>
        <w:rPr>
          <w:rFonts w:hint="eastAsia"/>
        </w:rPr>
        <w:t>生育期间做好观察、记载和鉴定。苗期主要观察记载出苗期和出苗整齐度；花针期主要观察记载株型、叶形、叶色、开花类型、分枝习性、抗旱性等。成熟期主要观察记载成熟期、抗病性、株高及表现是否一致等。收获期主要记载收获时间，观察记载初选行的丰产性、典型性和一致性，以及荚果形状、大小及其整齐度等性状。</w:t>
      </w:r>
    </w:p>
    <w:p>
      <w:pPr>
        <w:pStyle w:val="2"/>
        <w:spacing w:before="240" w:beforeLines="100" w:after="240" w:afterLines="100" w:line="240" w:lineRule="auto"/>
        <w:rPr>
          <w:rFonts w:eastAsia="黑体"/>
          <w:sz w:val="21"/>
          <w:szCs w:val="21"/>
        </w:rPr>
      </w:pPr>
      <w:r>
        <w:rPr>
          <w:rFonts w:hint="eastAsia" w:eastAsia="黑体"/>
          <w:sz w:val="21"/>
          <w:szCs w:val="21"/>
        </w:rPr>
        <w:t>8.8.3.3 株行收获</w:t>
      </w:r>
    </w:p>
    <w:p>
      <w:pPr>
        <w:ind w:firstLine="420" w:firstLineChars="200"/>
      </w:pPr>
      <w:r>
        <w:rPr>
          <w:rFonts w:hint="eastAsia"/>
        </w:rPr>
        <w:t>性状一致的株行混合收获</w:t>
      </w:r>
      <w:r>
        <w:rPr>
          <w:rFonts w:hint="eastAsia"/>
          <w:lang w:val="en-US" w:eastAsia="zh-CN"/>
        </w:rPr>
        <w:t>摘果</w:t>
      </w:r>
      <w:r>
        <w:rPr>
          <w:rFonts w:hint="eastAsia"/>
        </w:rPr>
        <w:t>。性状特别优良的株行分别单独</w:t>
      </w:r>
      <w:r>
        <w:rPr>
          <w:rFonts w:hint="eastAsia"/>
          <w:lang w:val="en-US" w:eastAsia="zh-CN"/>
        </w:rPr>
        <w:t>收获</w:t>
      </w:r>
      <w:r>
        <w:rPr>
          <w:rFonts w:hint="eastAsia"/>
        </w:rPr>
        <w:t>，标记株行号。</w:t>
      </w:r>
    </w:p>
    <w:p>
      <w:pPr>
        <w:ind w:firstLine="420" w:firstLineChars="200"/>
      </w:pPr>
    </w:p>
    <w:sectPr>
      <w:footerReference r:id="rId8" w:type="default"/>
      <w:headerReference r:id="rId7" w:type="even"/>
      <w:pgSz w:w="11906" w:h="16838"/>
      <w:pgMar w:top="1418" w:right="1134" w:bottom="1418" w:left="1418" w:header="1418" w:footer="1134" w:gutter="0"/>
      <w:pgNumType w:start="1"/>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Cambria">
    <w:altName w:val="Noto Sans Syriac Eastern"/>
    <w:panose1 w:val="02040503050406030204"/>
    <w:charset w:val="00"/>
    <w:family w:val="roman"/>
    <w:pitch w:val="default"/>
    <w:sig w:usb0="00000000" w:usb1="00000000" w:usb2="02000000" w:usb3="00000000" w:csb0="2000019F" w:csb1="00000000"/>
  </w:font>
  <w:font w:name="方正书宋_GBK">
    <w:panose1 w:val="02000000000000000000"/>
    <w:charset w:val="86"/>
    <w:family w:val="auto"/>
    <w:pitch w:val="default"/>
    <w:sig w:usb0="00000001" w:usb1="08000000" w:usb2="00000000" w:usb3="00000000" w:csb0="00040000" w:csb1="00000000"/>
  </w:font>
  <w:font w:name="Nimbus Roman No9 L">
    <w:panose1 w:val="00000000000000000000"/>
    <w:charset w:val="00"/>
    <w:family w:val="auto"/>
    <w:pitch w:val="default"/>
    <w:sig w:usb0="00000000" w:usb1="00000000" w:usb2="00000000" w:usb3="00000000" w:csb0="00000000" w:csb1="00000000"/>
  </w:font>
  <w:font w:name="Cantarell">
    <w:panose1 w:val="02000503000000000000"/>
    <w:charset w:val="00"/>
    <w:family w:val="auto"/>
    <w:pitch w:val="default"/>
    <w:sig w:usb0="A00002FF" w:usb1="4000217B" w:usb2="00000000" w:usb3="00000000" w:csb0="20000197" w:csb1="00000000"/>
  </w:font>
  <w:font w:name="方正黑体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Noto Sans Syriac Eastern">
    <w:panose1 w:val="02040503050306020203"/>
    <w:charset w:val="86"/>
    <w:family w:val="auto"/>
    <w:pitch w:val="default"/>
    <w:sig w:usb0="00000000" w:usb1="00000000" w:usb2="00000080" w:usb3="00000000" w:csb0="203E0161" w:csb1="D7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fldChar w:fldCharType="begin"/>
    </w:r>
    <w:r>
      <w:instrText xml:space="preserve">PAGE   \* MERGEFORMAT</w:instrText>
    </w:r>
    <w:r>
      <w:fldChar w:fldCharType="separate"/>
    </w:r>
    <w:r>
      <w:rPr>
        <w:lang w:val="zh-CN"/>
      </w:rPr>
      <w:t>2</w:t>
    </w:r>
    <w:r>
      <w:fldChar w:fldCharType="end"/>
    </w:r>
  </w:p>
  <w:p>
    <w:pPr>
      <w:pStyle w:val="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right"/>
    </w:pPr>
    <w:r>
      <w:fldChar w:fldCharType="begin"/>
    </w:r>
    <w:r>
      <w:instrText xml:space="preserve">PAGE   \* MERGEFORMAT</w:instrText>
    </w:r>
    <w:r>
      <w:fldChar w:fldCharType="separate"/>
    </w:r>
    <w:r>
      <w:rPr>
        <w:lang w:val="zh-CN"/>
      </w:rPr>
      <w:t>I</w:t>
    </w:r>
    <w:r>
      <w:fldChar w:fldCharType="end"/>
    </w:r>
  </w:p>
  <w:p>
    <w:pPr>
      <w:pStyle w:val="5"/>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right"/>
    </w:pPr>
    <w:r>
      <w:fldChar w:fldCharType="begin"/>
    </w:r>
    <w:r>
      <w:instrText xml:space="preserve">PAGE   \* MERGEFORMAT</w:instrText>
    </w:r>
    <w:r>
      <w:fldChar w:fldCharType="separate"/>
    </w:r>
    <w:r>
      <w:rPr>
        <w:lang w:val="zh-CN"/>
      </w:rPr>
      <w:t>1</w:t>
    </w:r>
    <w:r>
      <w:fldChar w:fldCharType="end"/>
    </w:r>
  </w:p>
  <w:p>
    <w:pPr>
      <w:pStyle w:val="5"/>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rPr>
        <w:rFonts w:hint="eastAsia" w:ascii="黑体" w:eastAsia="黑体"/>
      </w:rPr>
      <w:t>DB 13/T ****—2015</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right"/>
      <w:rPr>
        <w:rFonts w:ascii="黑体" w:eastAsia="黑体"/>
      </w:rPr>
    </w:pPr>
    <w:r>
      <w:rPr>
        <w:rFonts w:hint="eastAsia" w:ascii="黑体" w:eastAsia="黑体"/>
      </w:rPr>
      <w:t>DB 13/T ****—202*</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rPr>
        <w:rFonts w:ascii="黑体" w:eastAsia="黑体"/>
      </w:rPr>
    </w:pPr>
    <w:r>
      <w:rPr>
        <w:rFonts w:hint="eastAsia" w:ascii="黑体" w:eastAsia="黑体"/>
      </w:rPr>
      <w:t>DB 13/T ****—2020</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FC91163"/>
    <w:multiLevelType w:val="multilevel"/>
    <w:tmpl w:val="1FC91163"/>
    <w:lvl w:ilvl="0" w:tentative="0">
      <w:start w:val="1"/>
      <w:numFmt w:val="decimal"/>
      <w:pStyle w:val="23"/>
      <w:suff w:val="nothing"/>
      <w:lvlText w:val="%1　"/>
      <w:lvlJc w:val="left"/>
      <w:pPr>
        <w:tabs>
          <w:tab w:val="left" w:pos="0"/>
        </w:tabs>
        <w:ind w:left="1155" w:firstLine="0"/>
      </w:pPr>
      <w:rPr>
        <w:rFonts w:hint="eastAsia" w:ascii="黑体" w:hAnsi="黑体" w:eastAsia="黑体"/>
        <w:b w:val="0"/>
        <w:i w:val="0"/>
        <w:sz w:val="21"/>
        <w:szCs w:val="21"/>
      </w:rPr>
    </w:lvl>
    <w:lvl w:ilvl="1" w:tentative="0">
      <w:start w:val="1"/>
      <w:numFmt w:val="decimal"/>
      <w:pStyle w:val="20"/>
      <w:suff w:val="nothing"/>
      <w:lvlText w:val="%1.%2　"/>
      <w:lvlJc w:val="left"/>
      <w:pPr>
        <w:tabs>
          <w:tab w:val="left" w:pos="0"/>
        </w:tabs>
        <w:ind w:left="1575" w:firstLine="0"/>
      </w:pPr>
      <w:rPr>
        <w:rFonts w:hint="eastAsia" w:ascii="黑体" w:hAnsi="黑体" w:eastAsia="黑体" w:cs="Times New Roman"/>
        <w:b w:val="0"/>
        <w:bCs w:val="0"/>
        <w:i w:val="0"/>
        <w:iCs w:val="0"/>
        <w:caps w:val="0"/>
        <w:smallCaps w:val="0"/>
        <w:strike w:val="0"/>
        <w:dstrike w:val="0"/>
        <w:vanish w:val="0"/>
        <w:color w:val="000000"/>
        <w:spacing w:val="0"/>
        <w:kern w:val="0"/>
        <w:position w:val="0"/>
        <w:sz w:val="21"/>
        <w:szCs w:val="21"/>
        <w:u w:val="none"/>
        <w:vertAlign w:val="baseline"/>
      </w:rPr>
    </w:lvl>
    <w:lvl w:ilvl="2" w:tentative="0">
      <w:start w:val="1"/>
      <w:numFmt w:val="decimal"/>
      <w:suff w:val="nothing"/>
      <w:lvlText w:val="%1.%2.%3　"/>
      <w:lvlJc w:val="left"/>
      <w:pPr>
        <w:tabs>
          <w:tab w:val="left" w:pos="0"/>
        </w:tabs>
        <w:ind w:left="0" w:firstLine="0"/>
      </w:pPr>
      <w:rPr>
        <w:rFonts w:hint="eastAsia" w:ascii="黑体" w:hAnsi="黑体" w:eastAsia="黑体"/>
        <w:b w:val="0"/>
        <w:i w:val="0"/>
        <w:sz w:val="21"/>
      </w:rPr>
    </w:lvl>
    <w:lvl w:ilvl="3" w:tentative="0">
      <w:start w:val="1"/>
      <w:numFmt w:val="decimal"/>
      <w:suff w:val="nothing"/>
      <w:lvlText w:val="%1.%2.%3.%4　"/>
      <w:lvlJc w:val="left"/>
      <w:pPr>
        <w:tabs>
          <w:tab w:val="left" w:pos="0"/>
        </w:tabs>
        <w:ind w:left="0" w:firstLine="0"/>
      </w:pPr>
      <w:rPr>
        <w:rFonts w:hint="eastAsia" w:ascii="黑体" w:hAnsi="黑体" w:eastAsia="黑体"/>
        <w:b w:val="0"/>
        <w:i w:val="0"/>
        <w:sz w:val="21"/>
      </w:rPr>
    </w:lvl>
    <w:lvl w:ilvl="4" w:tentative="0">
      <w:start w:val="1"/>
      <w:numFmt w:val="decimal"/>
      <w:suff w:val="nothing"/>
      <w:lvlText w:val="%1.%2.%3.%4.%5　"/>
      <w:lvlJc w:val="left"/>
      <w:pPr>
        <w:tabs>
          <w:tab w:val="left" w:pos="0"/>
        </w:tabs>
        <w:ind w:left="0" w:firstLine="0"/>
      </w:pPr>
      <w:rPr>
        <w:rFonts w:hint="eastAsia" w:ascii="黑体" w:hAnsi="黑体" w:eastAsia="黑体"/>
        <w:b w:val="0"/>
        <w:i w:val="0"/>
        <w:sz w:val="21"/>
      </w:rPr>
    </w:lvl>
    <w:lvl w:ilvl="5" w:tentative="0">
      <w:start w:val="1"/>
      <w:numFmt w:val="decimal"/>
      <w:suff w:val="nothing"/>
      <w:lvlText w:val="%1.%2.%3.%4.%5.%6　"/>
      <w:lvlJc w:val="left"/>
      <w:pPr>
        <w:tabs>
          <w:tab w:val="left" w:pos="0"/>
        </w:tabs>
        <w:ind w:left="0" w:firstLine="0"/>
      </w:pPr>
      <w:rPr>
        <w:rFonts w:hint="eastAsia" w:ascii="黑体" w:hAnsi="黑体" w:eastAsia="黑体"/>
        <w:b w:val="0"/>
        <w:i w:val="0"/>
        <w:sz w:val="21"/>
      </w:rPr>
    </w:lvl>
    <w:lvl w:ilvl="6" w:tentative="0">
      <w:start w:val="1"/>
      <w:numFmt w:val="decimal"/>
      <w:suff w:val="nothing"/>
      <w:lvlText w:val="%1%2.%3.%4.%5.%6.%7　"/>
      <w:lvlJc w:val="left"/>
      <w:pPr>
        <w:tabs>
          <w:tab w:val="left" w:pos="0"/>
        </w:tabs>
        <w:ind w:left="0" w:firstLine="0"/>
      </w:pPr>
      <w:rPr>
        <w:rFonts w:hint="eastAsia" w:ascii="黑体" w:hAnsi="黑体"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true"/>
  <w:bordersDoNotSurroundFooter w:val="true"/>
  <w:documentProtection w:enforcement="0"/>
  <w:defaultTabStop w:val="420"/>
  <w:evenAndOddHeaders w:val="true"/>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A1YzYyMTQ5ZjkzYzk5ZWVlYzYyZGJhNDUzYjZhZTUifQ=="/>
  </w:docVars>
  <w:rsids>
    <w:rsidRoot w:val="00AC0A85"/>
    <w:rsid w:val="000029F6"/>
    <w:rsid w:val="000173BF"/>
    <w:rsid w:val="000179BB"/>
    <w:rsid w:val="00017C58"/>
    <w:rsid w:val="00033148"/>
    <w:rsid w:val="000335C6"/>
    <w:rsid w:val="00033937"/>
    <w:rsid w:val="00035B4C"/>
    <w:rsid w:val="0004111B"/>
    <w:rsid w:val="00041386"/>
    <w:rsid w:val="0004241A"/>
    <w:rsid w:val="00055681"/>
    <w:rsid w:val="00056228"/>
    <w:rsid w:val="00062321"/>
    <w:rsid w:val="00062E52"/>
    <w:rsid w:val="0006604D"/>
    <w:rsid w:val="00066612"/>
    <w:rsid w:val="000741BC"/>
    <w:rsid w:val="00074291"/>
    <w:rsid w:val="0008161E"/>
    <w:rsid w:val="00083BB6"/>
    <w:rsid w:val="00090DB1"/>
    <w:rsid w:val="0009334C"/>
    <w:rsid w:val="00095B54"/>
    <w:rsid w:val="000A0995"/>
    <w:rsid w:val="000A2016"/>
    <w:rsid w:val="000A5373"/>
    <w:rsid w:val="000B1398"/>
    <w:rsid w:val="000B21F5"/>
    <w:rsid w:val="000B7506"/>
    <w:rsid w:val="000C4983"/>
    <w:rsid w:val="000D5DF2"/>
    <w:rsid w:val="000D65F8"/>
    <w:rsid w:val="000E2B60"/>
    <w:rsid w:val="000E40E4"/>
    <w:rsid w:val="000F38FB"/>
    <w:rsid w:val="000F7073"/>
    <w:rsid w:val="001007DD"/>
    <w:rsid w:val="001038E1"/>
    <w:rsid w:val="00105D73"/>
    <w:rsid w:val="00111B50"/>
    <w:rsid w:val="00121059"/>
    <w:rsid w:val="00121A32"/>
    <w:rsid w:val="0014276B"/>
    <w:rsid w:val="00143CC2"/>
    <w:rsid w:val="00146B38"/>
    <w:rsid w:val="00167B9C"/>
    <w:rsid w:val="00174570"/>
    <w:rsid w:val="001747AD"/>
    <w:rsid w:val="00192088"/>
    <w:rsid w:val="001A3967"/>
    <w:rsid w:val="001A5B4A"/>
    <w:rsid w:val="001B3B21"/>
    <w:rsid w:val="001B4F0D"/>
    <w:rsid w:val="001B577B"/>
    <w:rsid w:val="001C1B0B"/>
    <w:rsid w:val="001C3E47"/>
    <w:rsid w:val="001C49C0"/>
    <w:rsid w:val="001D150B"/>
    <w:rsid w:val="001E535E"/>
    <w:rsid w:val="001F4FD6"/>
    <w:rsid w:val="001F746D"/>
    <w:rsid w:val="00202779"/>
    <w:rsid w:val="00206E9E"/>
    <w:rsid w:val="002079C6"/>
    <w:rsid w:val="0021374D"/>
    <w:rsid w:val="0021458A"/>
    <w:rsid w:val="00220293"/>
    <w:rsid w:val="00223D36"/>
    <w:rsid w:val="00232960"/>
    <w:rsid w:val="002336F4"/>
    <w:rsid w:val="002343E9"/>
    <w:rsid w:val="00234E46"/>
    <w:rsid w:val="00237564"/>
    <w:rsid w:val="00237D74"/>
    <w:rsid w:val="00245998"/>
    <w:rsid w:val="0025341D"/>
    <w:rsid w:val="00253706"/>
    <w:rsid w:val="00262F8D"/>
    <w:rsid w:val="002646D4"/>
    <w:rsid w:val="002659EF"/>
    <w:rsid w:val="00273E35"/>
    <w:rsid w:val="0027474F"/>
    <w:rsid w:val="00283D64"/>
    <w:rsid w:val="002A2648"/>
    <w:rsid w:val="002A5099"/>
    <w:rsid w:val="002B0EA1"/>
    <w:rsid w:val="002B45AC"/>
    <w:rsid w:val="002B4CFE"/>
    <w:rsid w:val="002C1F0B"/>
    <w:rsid w:val="002C2F45"/>
    <w:rsid w:val="002C5D6F"/>
    <w:rsid w:val="002C6A81"/>
    <w:rsid w:val="002C7DF0"/>
    <w:rsid w:val="002E4E31"/>
    <w:rsid w:val="002E5FAA"/>
    <w:rsid w:val="002F3145"/>
    <w:rsid w:val="00300B9A"/>
    <w:rsid w:val="003011DF"/>
    <w:rsid w:val="00301DDA"/>
    <w:rsid w:val="00303C92"/>
    <w:rsid w:val="00305983"/>
    <w:rsid w:val="003066DA"/>
    <w:rsid w:val="00306776"/>
    <w:rsid w:val="003079FA"/>
    <w:rsid w:val="003100DC"/>
    <w:rsid w:val="003116C2"/>
    <w:rsid w:val="00312394"/>
    <w:rsid w:val="003151A8"/>
    <w:rsid w:val="003152CC"/>
    <w:rsid w:val="00315474"/>
    <w:rsid w:val="00316962"/>
    <w:rsid w:val="0032131B"/>
    <w:rsid w:val="0032547B"/>
    <w:rsid w:val="003321AA"/>
    <w:rsid w:val="00333239"/>
    <w:rsid w:val="003371BE"/>
    <w:rsid w:val="0034110F"/>
    <w:rsid w:val="003414F8"/>
    <w:rsid w:val="003528F8"/>
    <w:rsid w:val="003556D3"/>
    <w:rsid w:val="00355983"/>
    <w:rsid w:val="00357ACE"/>
    <w:rsid w:val="0036453B"/>
    <w:rsid w:val="0037124B"/>
    <w:rsid w:val="0037660C"/>
    <w:rsid w:val="0038280F"/>
    <w:rsid w:val="0038303B"/>
    <w:rsid w:val="00387046"/>
    <w:rsid w:val="0039079E"/>
    <w:rsid w:val="00391F5F"/>
    <w:rsid w:val="0039488A"/>
    <w:rsid w:val="00395AE8"/>
    <w:rsid w:val="00395BCA"/>
    <w:rsid w:val="003966B7"/>
    <w:rsid w:val="003A00D3"/>
    <w:rsid w:val="003A5C1B"/>
    <w:rsid w:val="003B06D3"/>
    <w:rsid w:val="003B36AB"/>
    <w:rsid w:val="003B56CA"/>
    <w:rsid w:val="003B7FCE"/>
    <w:rsid w:val="003C12D6"/>
    <w:rsid w:val="003C27F2"/>
    <w:rsid w:val="003C52C0"/>
    <w:rsid w:val="003C57CA"/>
    <w:rsid w:val="003C6327"/>
    <w:rsid w:val="003D391A"/>
    <w:rsid w:val="003D7E44"/>
    <w:rsid w:val="003E2849"/>
    <w:rsid w:val="003E4EE0"/>
    <w:rsid w:val="003F06A0"/>
    <w:rsid w:val="003F1107"/>
    <w:rsid w:val="003F23DE"/>
    <w:rsid w:val="003F4967"/>
    <w:rsid w:val="00400EC1"/>
    <w:rsid w:val="004036A3"/>
    <w:rsid w:val="00407271"/>
    <w:rsid w:val="00407BC8"/>
    <w:rsid w:val="004105DA"/>
    <w:rsid w:val="004149BD"/>
    <w:rsid w:val="00416FF4"/>
    <w:rsid w:val="004208B4"/>
    <w:rsid w:val="00425BCE"/>
    <w:rsid w:val="0042666E"/>
    <w:rsid w:val="00427A97"/>
    <w:rsid w:val="00431F87"/>
    <w:rsid w:val="0043298C"/>
    <w:rsid w:val="004441E3"/>
    <w:rsid w:val="00445AC7"/>
    <w:rsid w:val="004463F8"/>
    <w:rsid w:val="00473328"/>
    <w:rsid w:val="00475F25"/>
    <w:rsid w:val="0047698D"/>
    <w:rsid w:val="00490B3C"/>
    <w:rsid w:val="00492DA2"/>
    <w:rsid w:val="004973FC"/>
    <w:rsid w:val="00497FCA"/>
    <w:rsid w:val="004A208C"/>
    <w:rsid w:val="004A3EC8"/>
    <w:rsid w:val="004A5BAD"/>
    <w:rsid w:val="004B0CA6"/>
    <w:rsid w:val="004B1548"/>
    <w:rsid w:val="004B41F7"/>
    <w:rsid w:val="004B5100"/>
    <w:rsid w:val="004D089E"/>
    <w:rsid w:val="004D0F7A"/>
    <w:rsid w:val="004E1E91"/>
    <w:rsid w:val="004E6A0F"/>
    <w:rsid w:val="004F0B6B"/>
    <w:rsid w:val="004F5181"/>
    <w:rsid w:val="004F5B1D"/>
    <w:rsid w:val="004F5E6E"/>
    <w:rsid w:val="004F64BD"/>
    <w:rsid w:val="00504082"/>
    <w:rsid w:val="00511D7D"/>
    <w:rsid w:val="005273E7"/>
    <w:rsid w:val="00527E2E"/>
    <w:rsid w:val="005306CE"/>
    <w:rsid w:val="00537906"/>
    <w:rsid w:val="0054737E"/>
    <w:rsid w:val="00552F47"/>
    <w:rsid w:val="005636FE"/>
    <w:rsid w:val="00564EE8"/>
    <w:rsid w:val="0057297B"/>
    <w:rsid w:val="0057660D"/>
    <w:rsid w:val="005836D2"/>
    <w:rsid w:val="005877B7"/>
    <w:rsid w:val="005877E2"/>
    <w:rsid w:val="0059071A"/>
    <w:rsid w:val="00594AB5"/>
    <w:rsid w:val="005A1B0E"/>
    <w:rsid w:val="005A3D04"/>
    <w:rsid w:val="005A4195"/>
    <w:rsid w:val="005A6820"/>
    <w:rsid w:val="005B16FF"/>
    <w:rsid w:val="005C19C6"/>
    <w:rsid w:val="005C37BF"/>
    <w:rsid w:val="005C4921"/>
    <w:rsid w:val="005C60F3"/>
    <w:rsid w:val="005C795B"/>
    <w:rsid w:val="005D12D4"/>
    <w:rsid w:val="005D59D7"/>
    <w:rsid w:val="005E1976"/>
    <w:rsid w:val="005F0559"/>
    <w:rsid w:val="005F2E56"/>
    <w:rsid w:val="005F62D6"/>
    <w:rsid w:val="00601579"/>
    <w:rsid w:val="00607EA4"/>
    <w:rsid w:val="0061336F"/>
    <w:rsid w:val="00614F40"/>
    <w:rsid w:val="00615992"/>
    <w:rsid w:val="0062171D"/>
    <w:rsid w:val="006359DB"/>
    <w:rsid w:val="00635F85"/>
    <w:rsid w:val="00637985"/>
    <w:rsid w:val="006405E3"/>
    <w:rsid w:val="00647809"/>
    <w:rsid w:val="006503AB"/>
    <w:rsid w:val="00652220"/>
    <w:rsid w:val="006526EA"/>
    <w:rsid w:val="00660DDD"/>
    <w:rsid w:val="006612BA"/>
    <w:rsid w:val="006615C0"/>
    <w:rsid w:val="00663C77"/>
    <w:rsid w:val="006657BB"/>
    <w:rsid w:val="00667446"/>
    <w:rsid w:val="00676E31"/>
    <w:rsid w:val="00682EA8"/>
    <w:rsid w:val="006900F0"/>
    <w:rsid w:val="0069410A"/>
    <w:rsid w:val="006B030A"/>
    <w:rsid w:val="006B1704"/>
    <w:rsid w:val="006B2DB2"/>
    <w:rsid w:val="006B6A08"/>
    <w:rsid w:val="006C52CA"/>
    <w:rsid w:val="006C54FA"/>
    <w:rsid w:val="006D697E"/>
    <w:rsid w:val="006E510B"/>
    <w:rsid w:val="006E7366"/>
    <w:rsid w:val="006F4D53"/>
    <w:rsid w:val="006F7EAB"/>
    <w:rsid w:val="006F7F67"/>
    <w:rsid w:val="0070170B"/>
    <w:rsid w:val="00705C43"/>
    <w:rsid w:val="00713003"/>
    <w:rsid w:val="00715EF9"/>
    <w:rsid w:val="00716DF8"/>
    <w:rsid w:val="00721BBD"/>
    <w:rsid w:val="0072284A"/>
    <w:rsid w:val="00723E28"/>
    <w:rsid w:val="00727EA8"/>
    <w:rsid w:val="007305D2"/>
    <w:rsid w:val="00731758"/>
    <w:rsid w:val="00732440"/>
    <w:rsid w:val="007328F0"/>
    <w:rsid w:val="007343B2"/>
    <w:rsid w:val="00760954"/>
    <w:rsid w:val="00760CBE"/>
    <w:rsid w:val="007624A5"/>
    <w:rsid w:val="00766B38"/>
    <w:rsid w:val="00772537"/>
    <w:rsid w:val="00774CCC"/>
    <w:rsid w:val="00775C1C"/>
    <w:rsid w:val="00780210"/>
    <w:rsid w:val="00782BF3"/>
    <w:rsid w:val="00786150"/>
    <w:rsid w:val="0079116F"/>
    <w:rsid w:val="00791FEA"/>
    <w:rsid w:val="007A0119"/>
    <w:rsid w:val="007B5FAC"/>
    <w:rsid w:val="007C24CB"/>
    <w:rsid w:val="007C4CCB"/>
    <w:rsid w:val="007E0E87"/>
    <w:rsid w:val="007E16C6"/>
    <w:rsid w:val="007E4945"/>
    <w:rsid w:val="007E5AA2"/>
    <w:rsid w:val="007E7DBB"/>
    <w:rsid w:val="007F0434"/>
    <w:rsid w:val="007F0674"/>
    <w:rsid w:val="007F1571"/>
    <w:rsid w:val="007F241F"/>
    <w:rsid w:val="007F294F"/>
    <w:rsid w:val="007F5D31"/>
    <w:rsid w:val="007F77E9"/>
    <w:rsid w:val="00803A84"/>
    <w:rsid w:val="00806FBE"/>
    <w:rsid w:val="00807797"/>
    <w:rsid w:val="008135A3"/>
    <w:rsid w:val="0081418F"/>
    <w:rsid w:val="00815AA6"/>
    <w:rsid w:val="00815BA0"/>
    <w:rsid w:val="008212E1"/>
    <w:rsid w:val="00827BED"/>
    <w:rsid w:val="008307DD"/>
    <w:rsid w:val="0083147F"/>
    <w:rsid w:val="00834B82"/>
    <w:rsid w:val="0083531F"/>
    <w:rsid w:val="008355FF"/>
    <w:rsid w:val="00845E6B"/>
    <w:rsid w:val="0084674B"/>
    <w:rsid w:val="00851BD0"/>
    <w:rsid w:val="00853659"/>
    <w:rsid w:val="00855BE5"/>
    <w:rsid w:val="00861E98"/>
    <w:rsid w:val="00863CD1"/>
    <w:rsid w:val="00864344"/>
    <w:rsid w:val="00865D1C"/>
    <w:rsid w:val="00866164"/>
    <w:rsid w:val="008724AD"/>
    <w:rsid w:val="00877B44"/>
    <w:rsid w:val="00877E6C"/>
    <w:rsid w:val="0088515B"/>
    <w:rsid w:val="00887BD4"/>
    <w:rsid w:val="008915EE"/>
    <w:rsid w:val="008A3D64"/>
    <w:rsid w:val="008B105C"/>
    <w:rsid w:val="008B13FD"/>
    <w:rsid w:val="008B22DF"/>
    <w:rsid w:val="008B6214"/>
    <w:rsid w:val="008C050D"/>
    <w:rsid w:val="008C0D72"/>
    <w:rsid w:val="008C5754"/>
    <w:rsid w:val="008D2638"/>
    <w:rsid w:val="008D4963"/>
    <w:rsid w:val="008D6E53"/>
    <w:rsid w:val="008E14DD"/>
    <w:rsid w:val="008E1FB7"/>
    <w:rsid w:val="008E3B4E"/>
    <w:rsid w:val="008E6931"/>
    <w:rsid w:val="008F7098"/>
    <w:rsid w:val="008F7B82"/>
    <w:rsid w:val="009008C4"/>
    <w:rsid w:val="00902BB4"/>
    <w:rsid w:val="009052EB"/>
    <w:rsid w:val="00910325"/>
    <w:rsid w:val="00910EC9"/>
    <w:rsid w:val="0091151E"/>
    <w:rsid w:val="00914613"/>
    <w:rsid w:val="0091529B"/>
    <w:rsid w:val="0093131F"/>
    <w:rsid w:val="009322C9"/>
    <w:rsid w:val="009330E4"/>
    <w:rsid w:val="00934994"/>
    <w:rsid w:val="009362D6"/>
    <w:rsid w:val="0093700B"/>
    <w:rsid w:val="009400FE"/>
    <w:rsid w:val="0094030F"/>
    <w:rsid w:val="00951EC1"/>
    <w:rsid w:val="00955696"/>
    <w:rsid w:val="00961E28"/>
    <w:rsid w:val="00962030"/>
    <w:rsid w:val="00975D42"/>
    <w:rsid w:val="009764C9"/>
    <w:rsid w:val="00980CC6"/>
    <w:rsid w:val="00982B40"/>
    <w:rsid w:val="009830F6"/>
    <w:rsid w:val="00985591"/>
    <w:rsid w:val="0098643D"/>
    <w:rsid w:val="00986D90"/>
    <w:rsid w:val="00986FE9"/>
    <w:rsid w:val="00992787"/>
    <w:rsid w:val="00996B41"/>
    <w:rsid w:val="009B0089"/>
    <w:rsid w:val="009B04D5"/>
    <w:rsid w:val="009B5478"/>
    <w:rsid w:val="009B6FFA"/>
    <w:rsid w:val="009C37C1"/>
    <w:rsid w:val="009C57B5"/>
    <w:rsid w:val="009C5EA8"/>
    <w:rsid w:val="009D0AF9"/>
    <w:rsid w:val="009D62AF"/>
    <w:rsid w:val="009E2649"/>
    <w:rsid w:val="009E3A55"/>
    <w:rsid w:val="009E5D1F"/>
    <w:rsid w:val="009E6794"/>
    <w:rsid w:val="009F2106"/>
    <w:rsid w:val="009F453B"/>
    <w:rsid w:val="00A00484"/>
    <w:rsid w:val="00A206DD"/>
    <w:rsid w:val="00A23DB8"/>
    <w:rsid w:val="00A31577"/>
    <w:rsid w:val="00A338FC"/>
    <w:rsid w:val="00A33B25"/>
    <w:rsid w:val="00A40F41"/>
    <w:rsid w:val="00A43639"/>
    <w:rsid w:val="00A444C6"/>
    <w:rsid w:val="00A536B3"/>
    <w:rsid w:val="00A55909"/>
    <w:rsid w:val="00A60530"/>
    <w:rsid w:val="00AA1B02"/>
    <w:rsid w:val="00AB0778"/>
    <w:rsid w:val="00AB15B9"/>
    <w:rsid w:val="00AB510B"/>
    <w:rsid w:val="00AC0A85"/>
    <w:rsid w:val="00AC6BC3"/>
    <w:rsid w:val="00AD6C25"/>
    <w:rsid w:val="00AE1234"/>
    <w:rsid w:val="00AF0F76"/>
    <w:rsid w:val="00AF286F"/>
    <w:rsid w:val="00AF4D0F"/>
    <w:rsid w:val="00B04BEA"/>
    <w:rsid w:val="00B11DC7"/>
    <w:rsid w:val="00B22CBF"/>
    <w:rsid w:val="00B25183"/>
    <w:rsid w:val="00B272ED"/>
    <w:rsid w:val="00B34231"/>
    <w:rsid w:val="00B45688"/>
    <w:rsid w:val="00B46478"/>
    <w:rsid w:val="00B518FE"/>
    <w:rsid w:val="00B55968"/>
    <w:rsid w:val="00B60A3E"/>
    <w:rsid w:val="00B63E9C"/>
    <w:rsid w:val="00B72CF7"/>
    <w:rsid w:val="00B810D9"/>
    <w:rsid w:val="00B82404"/>
    <w:rsid w:val="00B84768"/>
    <w:rsid w:val="00B87FA9"/>
    <w:rsid w:val="00B914A8"/>
    <w:rsid w:val="00B94D5D"/>
    <w:rsid w:val="00B97A08"/>
    <w:rsid w:val="00BA5FCF"/>
    <w:rsid w:val="00BB18FF"/>
    <w:rsid w:val="00BB7958"/>
    <w:rsid w:val="00BC3154"/>
    <w:rsid w:val="00BC5AE6"/>
    <w:rsid w:val="00BD5841"/>
    <w:rsid w:val="00BD633A"/>
    <w:rsid w:val="00BE0B77"/>
    <w:rsid w:val="00BE6EA9"/>
    <w:rsid w:val="00BE7A6C"/>
    <w:rsid w:val="00BE7FD5"/>
    <w:rsid w:val="00BF40F4"/>
    <w:rsid w:val="00BF6C9F"/>
    <w:rsid w:val="00BF770A"/>
    <w:rsid w:val="00C03F57"/>
    <w:rsid w:val="00C163E0"/>
    <w:rsid w:val="00C20F26"/>
    <w:rsid w:val="00C231C8"/>
    <w:rsid w:val="00C236B3"/>
    <w:rsid w:val="00C243AF"/>
    <w:rsid w:val="00C24FA0"/>
    <w:rsid w:val="00C26A43"/>
    <w:rsid w:val="00C31104"/>
    <w:rsid w:val="00C32B86"/>
    <w:rsid w:val="00C33153"/>
    <w:rsid w:val="00C422DE"/>
    <w:rsid w:val="00C4297D"/>
    <w:rsid w:val="00C467F9"/>
    <w:rsid w:val="00C47182"/>
    <w:rsid w:val="00C50367"/>
    <w:rsid w:val="00C5701E"/>
    <w:rsid w:val="00C604F4"/>
    <w:rsid w:val="00C60F3A"/>
    <w:rsid w:val="00C66774"/>
    <w:rsid w:val="00C71AFE"/>
    <w:rsid w:val="00C95514"/>
    <w:rsid w:val="00CA3585"/>
    <w:rsid w:val="00CA64F7"/>
    <w:rsid w:val="00CA78F6"/>
    <w:rsid w:val="00CB4407"/>
    <w:rsid w:val="00CC156C"/>
    <w:rsid w:val="00CC66EA"/>
    <w:rsid w:val="00CD3312"/>
    <w:rsid w:val="00CE2FD1"/>
    <w:rsid w:val="00CE35D9"/>
    <w:rsid w:val="00CE651A"/>
    <w:rsid w:val="00CF3AE0"/>
    <w:rsid w:val="00CF5BDE"/>
    <w:rsid w:val="00CF712C"/>
    <w:rsid w:val="00D00919"/>
    <w:rsid w:val="00D16C69"/>
    <w:rsid w:val="00D249C8"/>
    <w:rsid w:val="00D35C83"/>
    <w:rsid w:val="00D37CFC"/>
    <w:rsid w:val="00D415B1"/>
    <w:rsid w:val="00D43AC7"/>
    <w:rsid w:val="00D4666E"/>
    <w:rsid w:val="00D51E1C"/>
    <w:rsid w:val="00D52861"/>
    <w:rsid w:val="00D56BF3"/>
    <w:rsid w:val="00D63382"/>
    <w:rsid w:val="00D73D19"/>
    <w:rsid w:val="00D85B24"/>
    <w:rsid w:val="00D861E5"/>
    <w:rsid w:val="00D874E2"/>
    <w:rsid w:val="00DA1C7E"/>
    <w:rsid w:val="00DA57AF"/>
    <w:rsid w:val="00DA72F4"/>
    <w:rsid w:val="00DC640C"/>
    <w:rsid w:val="00DD65CA"/>
    <w:rsid w:val="00DE1894"/>
    <w:rsid w:val="00DE5F01"/>
    <w:rsid w:val="00E01245"/>
    <w:rsid w:val="00E01D38"/>
    <w:rsid w:val="00E05A41"/>
    <w:rsid w:val="00E15442"/>
    <w:rsid w:val="00E1719B"/>
    <w:rsid w:val="00E21F61"/>
    <w:rsid w:val="00E27F9F"/>
    <w:rsid w:val="00E3209B"/>
    <w:rsid w:val="00E37447"/>
    <w:rsid w:val="00E4073A"/>
    <w:rsid w:val="00E4181E"/>
    <w:rsid w:val="00E468BD"/>
    <w:rsid w:val="00E52CDE"/>
    <w:rsid w:val="00E55CD4"/>
    <w:rsid w:val="00E608F2"/>
    <w:rsid w:val="00E6221C"/>
    <w:rsid w:val="00E65B47"/>
    <w:rsid w:val="00E70B8C"/>
    <w:rsid w:val="00E710FC"/>
    <w:rsid w:val="00EA0448"/>
    <w:rsid w:val="00EB5BAB"/>
    <w:rsid w:val="00EB798C"/>
    <w:rsid w:val="00ED3B45"/>
    <w:rsid w:val="00ED49E4"/>
    <w:rsid w:val="00EE0461"/>
    <w:rsid w:val="00EE6971"/>
    <w:rsid w:val="00EE6A58"/>
    <w:rsid w:val="00EF100C"/>
    <w:rsid w:val="00EF4EF7"/>
    <w:rsid w:val="00F02A9A"/>
    <w:rsid w:val="00F06EA9"/>
    <w:rsid w:val="00F15D41"/>
    <w:rsid w:val="00F1743E"/>
    <w:rsid w:val="00F20CB2"/>
    <w:rsid w:val="00F21690"/>
    <w:rsid w:val="00F25ABA"/>
    <w:rsid w:val="00F31612"/>
    <w:rsid w:val="00F33CE9"/>
    <w:rsid w:val="00F468B5"/>
    <w:rsid w:val="00F500D8"/>
    <w:rsid w:val="00F60278"/>
    <w:rsid w:val="00F658C3"/>
    <w:rsid w:val="00F65E10"/>
    <w:rsid w:val="00F66887"/>
    <w:rsid w:val="00F67770"/>
    <w:rsid w:val="00F75196"/>
    <w:rsid w:val="00F7591D"/>
    <w:rsid w:val="00F775CE"/>
    <w:rsid w:val="00F779DA"/>
    <w:rsid w:val="00F80218"/>
    <w:rsid w:val="00F80836"/>
    <w:rsid w:val="00F8132D"/>
    <w:rsid w:val="00F95C04"/>
    <w:rsid w:val="00F973A3"/>
    <w:rsid w:val="00FA25F6"/>
    <w:rsid w:val="00FA2D63"/>
    <w:rsid w:val="00FA450E"/>
    <w:rsid w:val="00FA605B"/>
    <w:rsid w:val="00FA6FA4"/>
    <w:rsid w:val="00FC54C4"/>
    <w:rsid w:val="00FD3AC1"/>
    <w:rsid w:val="00FD5183"/>
    <w:rsid w:val="00FD729D"/>
    <w:rsid w:val="00FE23B1"/>
    <w:rsid w:val="00FE405E"/>
    <w:rsid w:val="00FE6933"/>
    <w:rsid w:val="00FE7AB9"/>
    <w:rsid w:val="00FF018A"/>
    <w:rsid w:val="00FF79EB"/>
    <w:rsid w:val="07B405F9"/>
    <w:rsid w:val="0B3166EB"/>
    <w:rsid w:val="0C992E66"/>
    <w:rsid w:val="0E2F27C9"/>
    <w:rsid w:val="0F990125"/>
    <w:rsid w:val="0F9D4EBB"/>
    <w:rsid w:val="101C381A"/>
    <w:rsid w:val="11BD7E0D"/>
    <w:rsid w:val="1A8E6A28"/>
    <w:rsid w:val="1B985700"/>
    <w:rsid w:val="1E6C6F78"/>
    <w:rsid w:val="212026FE"/>
    <w:rsid w:val="21FE57EE"/>
    <w:rsid w:val="24D621E7"/>
    <w:rsid w:val="255322E0"/>
    <w:rsid w:val="265D545A"/>
    <w:rsid w:val="2E4C5B9E"/>
    <w:rsid w:val="33CC0058"/>
    <w:rsid w:val="38D94467"/>
    <w:rsid w:val="3B091033"/>
    <w:rsid w:val="3B790F50"/>
    <w:rsid w:val="3DA05553"/>
    <w:rsid w:val="40311450"/>
    <w:rsid w:val="438D657A"/>
    <w:rsid w:val="43CF6B92"/>
    <w:rsid w:val="44BF2763"/>
    <w:rsid w:val="47225CAD"/>
    <w:rsid w:val="49787384"/>
    <w:rsid w:val="49FB248F"/>
    <w:rsid w:val="4A8A2F6E"/>
    <w:rsid w:val="4AAA39FE"/>
    <w:rsid w:val="4C002082"/>
    <w:rsid w:val="4DDB4845"/>
    <w:rsid w:val="518D195B"/>
    <w:rsid w:val="53F42539"/>
    <w:rsid w:val="55365BD9"/>
    <w:rsid w:val="56243925"/>
    <w:rsid w:val="580F6E9E"/>
    <w:rsid w:val="5A62569F"/>
    <w:rsid w:val="5BA9638D"/>
    <w:rsid w:val="5C713009"/>
    <w:rsid w:val="5C9113CF"/>
    <w:rsid w:val="5CAE2BFA"/>
    <w:rsid w:val="5DEF07F5"/>
    <w:rsid w:val="5EE5143A"/>
    <w:rsid w:val="5F7D704B"/>
    <w:rsid w:val="61880DF4"/>
    <w:rsid w:val="654F3237"/>
    <w:rsid w:val="66B22C11"/>
    <w:rsid w:val="66BA6B53"/>
    <w:rsid w:val="68386DA2"/>
    <w:rsid w:val="6D34343E"/>
    <w:rsid w:val="7047792D"/>
    <w:rsid w:val="707558C1"/>
    <w:rsid w:val="708D495F"/>
    <w:rsid w:val="70CB3F68"/>
    <w:rsid w:val="77B54420"/>
    <w:rsid w:val="77F03FE1"/>
    <w:rsid w:val="78B647E1"/>
    <w:rsid w:val="7BE10C35"/>
    <w:rsid w:val="7F57FD8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iPriority="99" w:semiHidden="0"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1"/>
      <w:lang w:val="en-US" w:eastAsia="zh-CN" w:bidi="ar-SA"/>
    </w:rPr>
  </w:style>
  <w:style w:type="paragraph" w:styleId="2">
    <w:name w:val="heading 1"/>
    <w:basedOn w:val="1"/>
    <w:next w:val="1"/>
    <w:link w:val="13"/>
    <w:qFormat/>
    <w:uiPriority w:val="9"/>
    <w:pPr>
      <w:keepNext/>
      <w:keepLines/>
      <w:spacing w:before="340" w:after="330" w:line="578" w:lineRule="auto"/>
      <w:outlineLvl w:val="0"/>
    </w:pPr>
    <w:rPr>
      <w:b/>
      <w:bCs/>
      <w:kern w:val="44"/>
      <w:sz w:val="44"/>
      <w:szCs w:val="44"/>
    </w:rPr>
  </w:style>
  <w:style w:type="character" w:default="1" w:styleId="11">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3">
    <w:name w:val="Date"/>
    <w:basedOn w:val="1"/>
    <w:next w:val="1"/>
    <w:link w:val="14"/>
    <w:unhideWhenUsed/>
    <w:qFormat/>
    <w:uiPriority w:val="99"/>
    <w:pPr>
      <w:ind w:left="100" w:leftChars="2500"/>
    </w:pPr>
  </w:style>
  <w:style w:type="paragraph" w:styleId="4">
    <w:name w:val="Balloon Text"/>
    <w:basedOn w:val="1"/>
    <w:link w:val="15"/>
    <w:unhideWhenUsed/>
    <w:qFormat/>
    <w:uiPriority w:val="99"/>
    <w:rPr>
      <w:kern w:val="0"/>
      <w:sz w:val="18"/>
      <w:szCs w:val="18"/>
    </w:rPr>
  </w:style>
  <w:style w:type="paragraph" w:styleId="5">
    <w:name w:val="footer"/>
    <w:basedOn w:val="1"/>
    <w:link w:val="16"/>
    <w:unhideWhenUsed/>
    <w:qFormat/>
    <w:uiPriority w:val="99"/>
    <w:pPr>
      <w:tabs>
        <w:tab w:val="center" w:pos="4153"/>
        <w:tab w:val="right" w:pos="8306"/>
      </w:tabs>
      <w:snapToGrid w:val="0"/>
      <w:jc w:val="left"/>
    </w:pPr>
    <w:rPr>
      <w:kern w:val="0"/>
      <w:sz w:val="18"/>
      <w:szCs w:val="18"/>
    </w:rPr>
  </w:style>
  <w:style w:type="paragraph" w:styleId="6">
    <w:name w:val="header"/>
    <w:basedOn w:val="1"/>
    <w:link w:val="17"/>
    <w:unhideWhenUsed/>
    <w:qFormat/>
    <w:uiPriority w:val="99"/>
    <w:pPr>
      <w:pBdr>
        <w:bottom w:val="single" w:color="auto" w:sz="6" w:space="1"/>
      </w:pBdr>
      <w:tabs>
        <w:tab w:val="center" w:pos="4153"/>
        <w:tab w:val="right" w:pos="8306"/>
      </w:tabs>
      <w:snapToGrid w:val="0"/>
      <w:jc w:val="center"/>
    </w:pPr>
    <w:rPr>
      <w:kern w:val="0"/>
      <w:sz w:val="18"/>
      <w:szCs w:val="18"/>
    </w:rPr>
  </w:style>
  <w:style w:type="paragraph" w:styleId="7">
    <w:name w:val="toc 1"/>
    <w:basedOn w:val="1"/>
    <w:next w:val="1"/>
    <w:unhideWhenUsed/>
    <w:qFormat/>
    <w:uiPriority w:val="39"/>
    <w:pPr>
      <w:tabs>
        <w:tab w:val="right" w:leader="dot" w:pos="9356"/>
      </w:tabs>
      <w:spacing w:before="120" w:beforeLines="50" w:after="120" w:afterLines="50"/>
    </w:pPr>
  </w:style>
  <w:style w:type="paragraph" w:styleId="8">
    <w:name w:val="HTML Preformatted"/>
    <w:basedOn w:val="1"/>
    <w:link w:val="18"/>
    <w:unhideWhenUsed/>
    <w:qFormat/>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kern w:val="0"/>
      <w:sz w:val="24"/>
      <w:szCs w:val="24"/>
    </w:rPr>
  </w:style>
  <w:style w:type="table" w:styleId="10">
    <w:name w:val="Table Grid"/>
    <w:basedOn w:val="9"/>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2">
    <w:name w:val="Hyperlink"/>
    <w:unhideWhenUsed/>
    <w:qFormat/>
    <w:uiPriority w:val="99"/>
    <w:rPr>
      <w:color w:val="0000FF"/>
      <w:u w:val="single"/>
    </w:rPr>
  </w:style>
  <w:style w:type="character" w:customStyle="1" w:styleId="13">
    <w:name w:val="标题 1 Char"/>
    <w:link w:val="2"/>
    <w:qFormat/>
    <w:uiPriority w:val="9"/>
    <w:rPr>
      <w:b/>
      <w:bCs/>
      <w:kern w:val="44"/>
      <w:sz w:val="44"/>
      <w:szCs w:val="44"/>
    </w:rPr>
  </w:style>
  <w:style w:type="character" w:customStyle="1" w:styleId="14">
    <w:name w:val="日期 Char"/>
    <w:basedOn w:val="11"/>
    <w:link w:val="3"/>
    <w:semiHidden/>
    <w:qFormat/>
    <w:uiPriority w:val="99"/>
  </w:style>
  <w:style w:type="character" w:customStyle="1" w:styleId="15">
    <w:name w:val="批注框文本 Char"/>
    <w:link w:val="4"/>
    <w:semiHidden/>
    <w:qFormat/>
    <w:uiPriority w:val="99"/>
    <w:rPr>
      <w:sz w:val="18"/>
      <w:szCs w:val="18"/>
    </w:rPr>
  </w:style>
  <w:style w:type="character" w:customStyle="1" w:styleId="16">
    <w:name w:val="页脚 Char"/>
    <w:link w:val="5"/>
    <w:qFormat/>
    <w:uiPriority w:val="99"/>
    <w:rPr>
      <w:sz w:val="18"/>
      <w:szCs w:val="18"/>
    </w:rPr>
  </w:style>
  <w:style w:type="character" w:customStyle="1" w:styleId="17">
    <w:name w:val="页眉 Char"/>
    <w:link w:val="6"/>
    <w:qFormat/>
    <w:uiPriority w:val="99"/>
    <w:rPr>
      <w:sz w:val="18"/>
      <w:szCs w:val="18"/>
    </w:rPr>
  </w:style>
  <w:style w:type="character" w:customStyle="1" w:styleId="18">
    <w:name w:val="HTML 预设格式 Char"/>
    <w:link w:val="8"/>
    <w:qFormat/>
    <w:uiPriority w:val="99"/>
    <w:rPr>
      <w:rFonts w:ascii="宋体" w:hAnsi="宋体" w:cs="宋体"/>
      <w:sz w:val="24"/>
      <w:szCs w:val="24"/>
    </w:rPr>
  </w:style>
  <w:style w:type="character" w:customStyle="1" w:styleId="19">
    <w:name w:val="NormalCharacter"/>
    <w:qFormat/>
    <w:uiPriority w:val="0"/>
  </w:style>
  <w:style w:type="paragraph" w:customStyle="1" w:styleId="20">
    <w:name w:val="一级条标题"/>
    <w:next w:val="21"/>
    <w:qFormat/>
    <w:uiPriority w:val="0"/>
    <w:pPr>
      <w:numPr>
        <w:ilvl w:val="1"/>
        <w:numId w:val="1"/>
      </w:numPr>
      <w:spacing w:before="50" w:beforeLines="50" w:after="50" w:afterLines="50"/>
      <w:outlineLvl w:val="2"/>
    </w:pPr>
    <w:rPr>
      <w:rFonts w:ascii="黑体" w:hAnsi="Times New Roman" w:eastAsia="黑体" w:cs="Times New Roman"/>
      <w:sz w:val="21"/>
      <w:szCs w:val="21"/>
      <w:lang w:val="en-US" w:eastAsia="zh-CN" w:bidi="ar-SA"/>
    </w:rPr>
  </w:style>
  <w:style w:type="paragraph" w:customStyle="1" w:styleId="21">
    <w:name w:val="段"/>
    <w:qFormat/>
    <w:uiPriority w:val="0"/>
    <w:pPr>
      <w:tabs>
        <w:tab w:val="center" w:pos="4201"/>
        <w:tab w:val="right" w:leader="dot" w:pos="9298"/>
      </w:tabs>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22">
    <w:name w:val="_Style 21"/>
    <w:basedOn w:val="2"/>
    <w:next w:val="1"/>
    <w:qFormat/>
    <w:uiPriority w:val="39"/>
    <w:pPr>
      <w:widowControl/>
      <w:spacing w:before="480" w:after="0" w:line="276" w:lineRule="auto"/>
      <w:jc w:val="left"/>
      <w:outlineLvl w:val="9"/>
    </w:pPr>
    <w:rPr>
      <w:rFonts w:ascii="Cambria" w:hAnsi="Cambria"/>
      <w:color w:val="365F91"/>
      <w:kern w:val="0"/>
      <w:sz w:val="28"/>
      <w:szCs w:val="28"/>
    </w:rPr>
  </w:style>
  <w:style w:type="paragraph" w:customStyle="1" w:styleId="23">
    <w:name w:val="章标题"/>
    <w:next w:val="21"/>
    <w:qFormat/>
    <w:uiPriority w:val="0"/>
    <w:pPr>
      <w:numPr>
        <w:ilvl w:val="0"/>
        <w:numId w:val="1"/>
      </w:numPr>
      <w:spacing w:before="100" w:beforeLines="100" w:after="100" w:afterLines="100"/>
      <w:jc w:val="both"/>
      <w:outlineLvl w:val="1"/>
    </w:pPr>
    <w:rPr>
      <w:rFonts w:ascii="黑体" w:hAnsi="Times New Roman" w:eastAsia="黑体" w:cs="Times New Roman"/>
      <w:sz w:val="21"/>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header" Target="header3.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粮油作物研究所</Company>
  <Pages>8</Pages>
  <Words>2442</Words>
  <Characters>2770</Characters>
  <Lines>23</Lines>
  <Paragraphs>6</Paragraphs>
  <TotalTime>1</TotalTime>
  <ScaleCrop>false</ScaleCrop>
  <LinksUpToDate>false</LinksUpToDate>
  <CharactersWithSpaces>2856</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2018-07-17T09:13:00Z</dcterms:created>
  <dc:creator>WPS_133514262</dc:creator>
  <cp:lastModifiedBy>uos</cp:lastModifiedBy>
  <cp:lastPrinted>2015-05-11T15:39:00Z</cp:lastPrinted>
  <dcterms:modified xsi:type="dcterms:W3CDTF">2024-07-30T15:46:27Z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y fmtid="{D5CDD505-2E9C-101B-9397-08002B2CF9AE}" pid="3" name="ICV">
    <vt:lpwstr>34D3EAE894B44A2CB6FEFD01896FB2E5_13</vt:lpwstr>
  </property>
</Properties>
</file>