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1.xml" ContentType="application/vnd.openxmlformats-officedocument.customXmlProperties+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pStyle w:val="114"/>
        <w:jc w:val="center"/>
        <w:rPr>
          <w:rFonts w:ascii="宋体" w:hAnsi="宋体"/>
        </w:rPr>
        <w:sectPr>
          <w:footerReference w:type="even" r:id="rId2"/>
          <w:pgSz w:w="11907" w:h="16839"/>
          <w:pgMar w:top="1418" w:right="1134" w:bottom="1134" w:left="1418" w:header="1418" w:footer="851" w:gutter="0"/>
          <w:pgNumType w:fmt="upperRoman"/>
          <w:cols w:num="1" w:space="720"/>
          <w:docGrid w:type="lines" w:linePitch="312" w:charSpace="0"/>
        </w:sectPr>
      </w:pPr>
      <w:bookmarkStart w:id="0" w:name="SectionMark0"/>
      <w:r>
        <w:rPr>
          <w:sz w:val="24"/>
        </w:rPr>
        <mc:AlternateContent>
          <mc:Choice Requires="wps">
            <w:drawing>
              <wp:anchor distT="0" distB="0" distL="113664" distR="113664" simplePos="0" relativeHeight="21" behindDoc="0" locked="0" layoutInCell="1" hidden="0" allowOverlap="1">
                <wp:simplePos x="0" y="0"/>
                <wp:positionH relativeFrom="column">
                  <wp:posOffset>95250</wp:posOffset>
                </wp:positionH>
                <wp:positionV relativeFrom="paragraph">
                  <wp:posOffset>8423275</wp:posOffset>
                </wp:positionV>
                <wp:extent cx="6121400" cy="634"/>
                <wp:effectExtent l="0" t="0" r="0" b="0"/>
                <wp:wrapNone/>
                <wp:docPr id="1" name="直线 11"/>
                <wp:cNvGraphicFramePr>
                  <a:graphicFrameLocks noChangeAspect="0"/>
                </wp:cNvGraphicFramePr>
                <a:graphic>
                  <a:graphicData uri="http://schemas.microsoft.com/office/word/2010/wordprocessingShape">
                    <wps:wsp>
                      <wps:cNvSpPr/>
                      <wps:spPr>
                        <a:xfrm rot="0">
                          <a:off x="0" y="0"/>
                          <a:ext cx="6121400" cy="634"/>
                        </a:xfrm>
                        <a:prstGeom prst="line"/>
                        <a:noFill/>
                        <a:ln w="12700" cmpd="sng" cap="flat">
                          <a:solidFill>
                            <a:srgbClr val="800008"/>
                          </a:solidFill>
                          <a:prstDash val="solid"/>
                          <a:round/>
                        </a:ln>
                      </wps:spPr>
                      <wps:bodyPr vert="horz" wrap="square" lIns="91440" tIns="45720" rIns="91440" bIns="45720" anchor="t" anchorCtr="0" upright="0">
                        <a:noAutofit/>
                      </wps:bodyPr>
                    </wps:wsp>
                  </a:graphicData>
                </a:graphic>
              </wp:anchor>
            </w:drawing>
          </mc:Choice>
          <mc:Fallback>
            <w:pict>
              <v:line type="#_x0000_t20" id="直线 11" o:spid="_x0000_s1" from="7.5pt,663.25pt" to="489.5pt,663.2999pt" filled="f" stroked="t" strokeweight="1.0pt" style="position:absolute;z-index:21;mso-position-horizontal:absolute;mso-position-vertical:absolute;mso-wrap-distance-left:8.949922pt;mso-wrap-distance-right:8.949922pt;visibility:visible;">
                <v:stroke color="#800008"/>
              </v:line>
            </w:pict>
          </mc:Fallback>
        </mc:AlternateContent>
      </w:r>
      <w:r>
        <w:rPr>
          <w:sz w:val="24"/>
        </w:rPr>
        <mc:AlternateContent>
          <mc:Choice Requires="wps">
            <w:drawing>
              <wp:anchor distT="0" distB="0" distL="113664" distR="113664" simplePos="0" relativeHeight="23" behindDoc="0" locked="0" layoutInCell="1" hidden="0" allowOverlap="1">
                <wp:simplePos x="0" y="0"/>
                <wp:positionH relativeFrom="column">
                  <wp:posOffset>0</wp:posOffset>
                </wp:positionH>
                <wp:positionV relativeFrom="paragraph">
                  <wp:posOffset>2273300</wp:posOffset>
                </wp:positionV>
                <wp:extent cx="6121400" cy="632"/>
                <wp:effectExtent l="0" t="0" r="0" b="0"/>
                <wp:wrapNone/>
                <wp:docPr id="3" name="直线 10"/>
                <wp:cNvGraphicFramePr>
                  <a:graphicFrameLocks noChangeAspect="0"/>
                </wp:cNvGraphicFramePr>
                <a:graphic>
                  <a:graphicData uri="http://schemas.microsoft.com/office/word/2010/wordprocessingShape">
                    <wps:wsp>
                      <wps:cNvSpPr/>
                      <wps:spPr>
                        <a:xfrm rot="0">
                          <a:off x="0" y="0"/>
                          <a:ext cx="6121400" cy="632"/>
                        </a:xfrm>
                        <a:prstGeom prst="line"/>
                        <a:noFill/>
                        <a:ln w="12700" cmpd="sng" cap="flat">
                          <a:solidFill>
                            <a:srgbClr val="800008"/>
                          </a:solidFill>
                          <a:prstDash val="solid"/>
                          <a:round/>
                        </a:ln>
                      </wps:spPr>
                      <wps:bodyPr vert="horz" wrap="square" lIns="91440" tIns="45720" rIns="91440" bIns="45720" anchor="t" anchorCtr="0" upright="0">
                        <a:noAutofit/>
                      </wps:bodyPr>
                    </wps:wsp>
                  </a:graphicData>
                </a:graphic>
              </wp:anchor>
            </w:drawing>
          </mc:Choice>
          <mc:Fallback>
            <w:pict>
              <v:line type="#_x0000_t20" id="直线 10" o:spid="_x0000_s2" from="0.0pt,179.0pt" to="482.0pt,179.04984pt" filled="f" stroked="t" strokeweight="1.0pt" style="position:absolute;z-index:23;mso-position-horizontal:absolute;mso-position-vertical:absolute;mso-wrap-distance-left:8.949922pt;mso-wrap-distance-right:8.949922pt;visibility:visible;">
                <v:stroke color="#800008"/>
              </v:line>
            </w:pict>
          </mc:Fallback>
        </mc:AlternateContent>
      </w:r>
      <w:r>
        <w:rPr>
          <w:sz w:val="24"/>
        </w:rPr>
        <mc:AlternateContent>
          <mc:Choice Requires="wps">
            <w:drawing>
              <wp:anchor distT="0" distB="0" distL="113664" distR="113664" simplePos="0" relativeHeight="25" behindDoc="0" locked="1" layoutInCell="1" hidden="0" allowOverlap="1">
                <wp:simplePos x="0" y="0"/>
                <wp:positionH relativeFrom="margin">
                  <wp:posOffset>9525</wp:posOffset>
                </wp:positionH>
                <wp:positionV relativeFrom="margin">
                  <wp:posOffset>8594090</wp:posOffset>
                </wp:positionV>
                <wp:extent cx="6120129" cy="363219"/>
                <wp:effectExtent l="0" t="0" r="0" b="0"/>
                <wp:wrapNone/>
                <wp:docPr id="5" name="fmFrame7"/>
                <wp:cNvGraphicFramePr>
                  <a:graphicFrameLocks noChangeAspect="0"/>
                </wp:cNvGraphicFramePr>
                <a:graphic>
                  <a:graphicData uri="http://schemas.microsoft.com/office/word/2010/wordprocessingShape">
                    <wps:wsp>
                      <wps:cNvSpPr/>
                      <wps:spPr>
                        <a:xfrm rot="0">
                          <a:off x="0" y="0"/>
                          <a:ext cx="6120129" cy="363219"/>
                        </a:xfrm>
                        <a:prstGeom prst="rect"/>
                        <a:solidFill>
                          <a:srgbClr val="FFFFFF"/>
                        </a:solidFill>
                        <a:ln w="9525" cmpd="sng" cap="flat">
                          <a:noFill/>
                          <a:prstDash val="solid"/>
                          <a:round/>
                        </a:ln>
                      </wps:spPr>
                      <wps:txbx id="3">
                        <w:txbxContent>
                          <w:p>
                            <w:pPr>
                              <w:pStyle w:val="77"/>
                              <w:framePr w:w="7433" w:hRule="exact" w:h="585" w:hSpace="180" w:vSpace="180" w:wrap="around" w:vAnchor="margin" w:hAnchor="margin" w:xAlign="center" w:y="14401" w:anchorLock="1"/>
                            </w:pPr>
                            <w:r>
                              <w:rPr>
                                <w:rFonts w:hint="eastAsia"/>
                              </w:rPr>
                              <w:t>河北省市场监督管理</w:t>
                            </w:r>
                            <w:r>
                              <w:rPr>
                                <w:rFonts w:hint="eastAsia"/>
                                <w:spacing w:val="510"/>
                              </w:rPr>
                              <w:t>局</w:t>
                            </w:r>
                            <w:r>
                              <w:rPr>
                                <w:rStyle w:val="72"/>
                                <w:rFonts w:hint="eastAsia"/>
                                <w:spacing w:val="170"/>
                                <w:position w:val="2"/>
                              </w:rPr>
                              <w:t>发布</w:t>
                            </w:r>
                          </w:p>
                        </w:txbxContent>
                      </wps:txbx>
                      <wps:bodyPr vert="horz" wrap="square" lIns="0" tIns="0" rIns="0" bIns="0" anchor="t" anchorCtr="0" upright="1">
                        <a:noAutofit/>
                      </wps:bodyPr>
                    </wps:wsp>
                  </a:graphicData>
                </a:graphic>
              </wp:anchor>
            </w:drawing>
          </mc:Choice>
          <mc:Fallback>
            <w:pict>
              <v:rect type="#_x0000_t1" id="fmFrame7" o:spid="_x0000_s4" fillcolor="#FFFFFF" stroked="f" style="position:absolute;margin-left:0.75pt;margin-top:676.7pt;width:481.89993pt;height:28.59993pt;z-index:25;mso-position-horizontal:absolute;mso-position-horizontal-relative:margin;mso-position-vertical:absolute;mso-position-vertical-relative:margin;mso-wrap-distance-left:8.949922pt;mso-wrap-distance-right:8.949922pt;mso-wrap-style:square;">
                <v:stroke/>
                <v:textbox id="848" inset="0mm,0mm,0mm,0mm" o:insetmode="custom" style="layout-flow:horizontal;v-text-anchor:top;">
                  <w:txbxContent>
                    <w:p>
                      <w:pPr>
                        <w:pStyle w:val="77"/>
                        <w:framePr w:w="7433" w:hRule="exact" w:h="585" w:hSpace="180" w:vSpace="180" w:wrap="around" w:vAnchor="margin" w:hAnchor="margin" w:xAlign="center" w:y="14401" w:anchorLock="1"/>
                      </w:pPr>
                      <w:r>
                        <w:rPr>
                          <w:rFonts w:hint="eastAsia"/>
                        </w:rPr>
                        <w:t>河北省市场监督管理</w:t>
                      </w:r>
                      <w:r>
                        <w:rPr>
                          <w:rFonts w:hint="eastAsia"/>
                          <w:spacing w:val="510"/>
                        </w:rPr>
                        <w:t>局</w:t>
                      </w:r>
                      <w:r>
                        <w:rPr>
                          <w:rStyle w:val="72"/>
                          <w:rFonts w:hint="eastAsia"/>
                          <w:spacing w:val="170"/>
                          <w:position w:val="2"/>
                        </w:rPr>
                        <w:t>发布</w:t>
                      </w:r>
                    </w:p>
                  </w:txbxContent>
                </v:textbox>
                <w10:anchorLock/>
              </v:rect>
            </w:pict>
          </mc:Fallback>
        </mc:AlternateContent>
      </w:r>
      <w:r>
        <w:rPr>
          <w:sz w:val="24"/>
        </w:rPr>
        <mc:AlternateContent>
          <mc:Choice Requires="wps">
            <w:drawing>
              <wp:anchor distT="0" distB="0" distL="113664" distR="113664" simplePos="0" relativeHeight="27" behindDoc="0" locked="1" layoutInCell="1" hidden="0" allowOverlap="1">
                <wp:simplePos x="0" y="0"/>
                <wp:positionH relativeFrom="margin">
                  <wp:posOffset>4177029</wp:posOffset>
                </wp:positionH>
                <wp:positionV relativeFrom="margin">
                  <wp:posOffset>8011159</wp:posOffset>
                </wp:positionV>
                <wp:extent cx="2019300" cy="312418"/>
                <wp:effectExtent l="0" t="0" r="0" b="0"/>
                <wp:wrapNone/>
                <wp:docPr id="8" name="fmFrame6"/>
                <wp:cNvGraphicFramePr>
                  <a:graphicFrameLocks noChangeAspect="0"/>
                </wp:cNvGraphicFramePr>
                <a:graphic>
                  <a:graphicData uri="http://schemas.microsoft.com/office/word/2010/wordprocessingShape">
                    <wps:wsp>
                      <wps:cNvSpPr/>
                      <wps:spPr>
                        <a:xfrm rot="0">
                          <a:off x="0" y="0"/>
                          <a:ext cx="2019300" cy="312418"/>
                        </a:xfrm>
                        <a:prstGeom prst="rect"/>
                        <a:solidFill>
                          <a:srgbClr val="FFFFFF"/>
                        </a:solidFill>
                        <a:ln w="9525" cmpd="sng" cap="flat">
                          <a:noFill/>
                          <a:prstDash val="solid"/>
                          <a:round/>
                        </a:ln>
                      </wps:spPr>
                      <wps:txbx id="5">
                        <w:txbxContent>
                          <w:p>
                            <w:pPr>
                              <w:pStyle w:val="91"/>
                              <w:framePr w:w="4000" w:hRule="exact" w:h="473" w:hSpace="180" w:vSpace="180" w:wrap="around" w:vAnchor="margin" w:hAnchor="margin" w:xAlign="right" w:y="13511" w:anchorLock="1"/>
                              <w:jc w:val="both"/>
                            </w:pPr>
                            <w:r>
                              <w:rPr>
                                <w:rFonts w:hint="eastAsia"/>
                              </w:rPr>
                              <w:t>××××-××-××实施</w:t>
                            </w:r>
                          </w:p>
                        </w:txbxContent>
                      </wps:txbx>
                      <wps:bodyPr vert="horz" wrap="square" lIns="0" tIns="0" rIns="0" bIns="0" anchor="t" anchorCtr="0" upright="1">
                        <a:noAutofit/>
                      </wps:bodyPr>
                    </wps:wsp>
                  </a:graphicData>
                </a:graphic>
              </wp:anchor>
            </w:drawing>
          </mc:Choice>
          <mc:Fallback>
            <w:pict>
              <v:rect type="#_x0000_t1" id="fmFrame6" o:spid="_x0000_s6" fillcolor="#FFFFFF" stroked="f" style="position:absolute;margin-left:328.89993pt;margin-top:630.7999pt;width:159.0pt;height:24.599854pt;z-index:27;mso-position-horizontal:absolute;mso-position-horizontal-relative:margin;mso-position-vertical:absolute;mso-position-vertical-relative:margin;mso-wrap-distance-left:8.949922pt;mso-wrap-distance-right:8.949922pt;mso-wrap-style:square;">
                <v:stroke/>
                <v:textbox id="849" inset="0mm,0mm,0mm,0mm" o:insetmode="custom" style="layout-flow:horizontal;v-text-anchor:top;">
                  <w:txbxContent>
                    <w:p>
                      <w:pPr>
                        <w:pStyle w:val="91"/>
                        <w:framePr w:w="4000" w:hRule="exact" w:h="473" w:hSpace="180" w:vSpace="180" w:wrap="around" w:vAnchor="margin" w:hAnchor="margin" w:xAlign="right" w:y="13511" w:anchorLock="1"/>
                        <w:jc w:val="both"/>
                      </w:pPr>
                      <w:r>
                        <w:rPr>
                          <w:rFonts w:hint="eastAsia"/>
                        </w:rPr>
                        <w:t>××××-××-××实施</w:t>
                      </w:r>
                    </w:p>
                  </w:txbxContent>
                </v:textbox>
                <w10:anchorLock/>
              </v:rect>
            </w:pict>
          </mc:Fallback>
        </mc:AlternateContent>
      </w:r>
      <w:r>
        <w:rPr>
          <w:sz w:val="24"/>
        </w:rPr>
        <mc:AlternateContent>
          <mc:Choice Requires="wps">
            <w:drawing>
              <wp:anchor distT="0" distB="0" distL="113664" distR="113664" simplePos="0" relativeHeight="29" behindDoc="0" locked="1" layoutInCell="1" hidden="0" allowOverlap="1">
                <wp:simplePos x="0" y="0"/>
                <wp:positionH relativeFrom="margin">
                  <wp:posOffset>0</wp:posOffset>
                </wp:positionH>
                <wp:positionV relativeFrom="margin">
                  <wp:posOffset>8011159</wp:posOffset>
                </wp:positionV>
                <wp:extent cx="2019299" cy="312418"/>
                <wp:effectExtent l="0" t="0" r="0" b="0"/>
                <wp:wrapNone/>
                <wp:docPr id="11" name="fmFrame5"/>
                <wp:cNvGraphicFramePr>
                  <a:graphicFrameLocks noChangeAspect="0"/>
                </wp:cNvGraphicFramePr>
                <a:graphic>
                  <a:graphicData uri="http://schemas.microsoft.com/office/word/2010/wordprocessingShape">
                    <wps:wsp>
                      <wps:cNvSpPr/>
                      <wps:spPr>
                        <a:xfrm rot="0">
                          <a:off x="0" y="0"/>
                          <a:ext cx="2019299" cy="312418"/>
                        </a:xfrm>
                        <a:prstGeom prst="rect"/>
                        <a:solidFill>
                          <a:srgbClr val="FFFFFF"/>
                        </a:solidFill>
                        <a:ln w="9525" cmpd="sng" cap="flat">
                          <a:noFill/>
                          <a:prstDash val="solid"/>
                          <a:round/>
                        </a:ln>
                      </wps:spPr>
                      <wps:txbx id="7">
                        <w:txbxContent>
                          <w:p>
                            <w:pPr>
                              <w:pStyle w:val="90"/>
                              <w:framePr w:w="4000" w:hRule="exact" w:h="473" w:hSpace="180" w:vSpace="180" w:wrap="around" w:vAnchor="margin" w:hAnchor="margin" w:xAlign="left" w:y="13511" w:anchorLock="1"/>
                            </w:pPr>
                            <w:r>
                              <w:rPr>
                                <w:rFonts w:hint="eastAsia"/>
                              </w:rPr>
                              <w:t>××××-××-××发布</w:t>
                            </w:r>
                          </w:p>
                        </w:txbxContent>
                      </wps:txbx>
                      <wps:bodyPr vert="horz" wrap="square" lIns="0" tIns="0" rIns="0" bIns="0" anchor="t" anchorCtr="0" upright="1">
                        <a:noAutofit/>
                      </wps:bodyPr>
                    </wps:wsp>
                  </a:graphicData>
                </a:graphic>
              </wp:anchor>
            </w:drawing>
          </mc:Choice>
          <mc:Fallback>
            <w:pict>
              <v:rect type="#_x0000_t1" id="fmFrame5" o:spid="_x0000_s8" fillcolor="#FFFFFF" stroked="f" style="position:absolute;margin-left:0.0pt;margin-top:630.7999pt;width:158.99992pt;height:24.599854pt;z-index:29;mso-position-horizontal:absolute;mso-position-horizontal-relative:margin;mso-position-vertical:absolute;mso-position-vertical-relative:margin;mso-wrap-distance-left:8.949922pt;mso-wrap-distance-right:8.949922pt;mso-wrap-style:square;">
                <v:stroke/>
                <v:textbox id="850" inset="0mm,0mm,0mm,0mm" o:insetmode="custom" style="layout-flow:horizontal;v-text-anchor:top;">
                  <w:txbxContent>
                    <w:p>
                      <w:pPr>
                        <w:pStyle w:val="90"/>
                        <w:framePr w:w="4000" w:hRule="exact" w:h="473" w:hSpace="180" w:vSpace="180" w:wrap="around" w:vAnchor="margin" w:hAnchor="margin" w:xAlign="left" w:y="13511" w:anchorLock="1"/>
                      </w:pPr>
                      <w:r>
                        <w:rPr>
                          <w:rFonts w:hint="eastAsia"/>
                        </w:rPr>
                        <w:t>××××-××-××发布</w:t>
                      </w:r>
                    </w:p>
                  </w:txbxContent>
                </v:textbox>
                <w10:anchorLock/>
              </v:rect>
            </w:pict>
          </mc:Fallback>
        </mc:AlternateContent>
      </w:r>
      <w:r>
        <w:rPr>
          <w:sz w:val="24"/>
        </w:rPr>
        <mc:AlternateContent>
          <mc:Choice Requires="wps">
            <w:drawing>
              <wp:anchor distT="0" distB="0" distL="113664" distR="113664" simplePos="0" relativeHeight="31" behindDoc="0" locked="1" layoutInCell="1" hidden="0" allowOverlap="1">
                <wp:simplePos x="0" y="0"/>
                <wp:positionH relativeFrom="margin">
                  <wp:posOffset>-95250</wp:posOffset>
                </wp:positionH>
                <wp:positionV relativeFrom="margin">
                  <wp:posOffset>3261360</wp:posOffset>
                </wp:positionV>
                <wp:extent cx="6334125" cy="4153534"/>
                <wp:effectExtent l="0" t="0" r="0" b="0"/>
                <wp:wrapNone/>
                <wp:docPr id="14" name="fmFrame4"/>
                <wp:cNvGraphicFramePr>
                  <a:graphicFrameLocks noChangeAspect="0"/>
                </wp:cNvGraphicFramePr>
                <a:graphic>
                  <a:graphicData uri="http://schemas.microsoft.com/office/word/2010/wordprocessingShape">
                    <wps:wsp>
                      <wps:cNvSpPr/>
                      <wps:spPr>
                        <a:xfrm rot="0">
                          <a:off x="0" y="0"/>
                          <a:ext cx="6334125" cy="4153534"/>
                        </a:xfrm>
                        <a:prstGeom prst="rect"/>
                        <a:solidFill>
                          <a:srgbClr val="FFFFFF"/>
                        </a:solidFill>
                        <a:ln w="9525" cmpd="sng" cap="flat">
                          <a:noFill/>
                          <a:prstDash val="solid"/>
                          <a:round/>
                        </a:ln>
                      </wps:spPr>
                      <wps:txbx id="9">
                        <w:txbxContent>
                          <w:p>
                            <w:pPr>
                              <w:jc w:val="center"/>
                              <w:rPr>
                                <w:rFonts w:ascii="黑体" w:eastAsia="黑体"/>
                                <w:bCs/>
                                <w:kern w:val="0"/>
                                <w:sz w:val="52"/>
                                <w:szCs w:val="20"/>
                              </w:rPr>
                            </w:pPr>
                            <w:r>
                              <w:rPr>
                                <w:rFonts w:ascii="黑体" w:eastAsia="黑体" w:hint="eastAsia"/>
                                <w:bCs/>
                                <w:kern w:val="0"/>
                                <w:sz w:val="52"/>
                                <w:szCs w:val="20"/>
                              </w:rPr>
                              <w:t>冀北山地油松人工林固碳增汇经营技术规程</w:t>
                            </w:r>
                          </w:p>
                          <w:p>
                            <w:pPr>
                              <w:jc w:val="center"/>
                              <w:rPr>
                                <w:rFonts w:ascii="黑体" w:eastAsia="黑体"/>
                                <w:kern w:val="0"/>
                                <w:sz w:val="52"/>
                                <w:szCs w:val="20"/>
                              </w:rPr>
                            </w:pPr>
                            <w:r>
                              <w:rPr>
                                <w:rFonts w:ascii="黑体" w:eastAsia="黑体" w:hint="eastAsia"/>
                                <w:kern w:val="0"/>
                                <w:sz w:val="36"/>
                                <w:szCs w:val="20"/>
                              </w:rPr>
                              <w:t>Technical</w:t>
                            </w:r>
                            <w:r>
                              <w:rPr>
                                <w:rFonts w:ascii="黑体" w:eastAsia="黑体"/>
                                <w:kern w:val="0"/>
                                <w:sz w:val="36"/>
                                <w:szCs w:val="20"/>
                              </w:rPr>
                              <w:t xml:space="preserve"> regulation for carbon sequestration enhancement of Chinese pine (</w:t>
                            </w:r>
                            <w:r>
                              <w:rPr>
                                <w:rFonts w:ascii="黑体" w:eastAsia="黑体"/>
                                <w:i/>
                                <w:kern w:val="0"/>
                                <w:sz w:val="36"/>
                                <w:szCs w:val="20"/>
                              </w:rPr>
                              <w:t xml:space="preserve"> pinus tabaelaformis </w:t>
                            </w:r>
                            <w:r>
                              <w:rPr>
                                <w:rFonts w:ascii="黑体" w:eastAsia="黑体"/>
                                <w:kern w:val="0"/>
                                <w:sz w:val="36"/>
                                <w:szCs w:val="20"/>
                              </w:rPr>
                              <w:t xml:space="preserve">) plantation in northern Hebei Mountains </w:t>
                            </w:r>
                          </w:p>
                          <w:p>
                            <w:pPr>
                              <w:pStyle w:val="97"/>
                              <w:rPr>
                                <w:sz w:val="28"/>
                                <w:szCs w:val="28"/>
                              </w:rPr>
                            </w:pPr>
                          </w:p>
                          <w:p>
                            <w:pPr>
                              <w:pStyle w:val="97"/>
                              <w:rPr>
                                <w:sz w:val="28"/>
                                <w:szCs w:val="28"/>
                              </w:rPr>
                            </w:pPr>
                            <w:r>
                              <w:rPr>
                                <w:rFonts w:hint="eastAsia"/>
                                <w:sz w:val="28"/>
                                <w:szCs w:val="28"/>
                              </w:rPr>
                              <w:t>(草案稿)</w:t>
                            </w:r>
                          </w:p>
                        </w:txbxContent>
                      </wps:txbx>
                      <wps:bodyPr vert="horz" wrap="square" lIns="0" tIns="0" rIns="0" bIns="0" anchor="t" anchorCtr="0" upright="1">
                        <a:noAutofit/>
                      </wps:bodyPr>
                    </wps:wsp>
                  </a:graphicData>
                </a:graphic>
              </wp:anchor>
            </w:drawing>
          </mc:Choice>
          <mc:Fallback>
            <w:pict>
              <v:rect type="#_x0000_t1" id="fmFrame4" o:spid="_x0000_s10" fillcolor="#FFFFFF" stroked="f" style="position:absolute;margin-left:-7.5pt;margin-top:256.8pt;width:498.75pt;height:327.0499pt;z-index:31;mso-position-horizontal:absolute;mso-position-horizontal-relative:margin;mso-position-vertical:absolute;mso-position-vertical-relative:margin;mso-wrap-distance-left:8.949922pt;mso-wrap-distance-right:8.949922pt;mso-wrap-style:square;">
                <v:stroke/>
                <v:textbox id="851" inset="0mm,0mm,0mm,0mm" o:insetmode="custom" style="layout-flow:horizontal;v-text-anchor:top;">
                  <w:txbxContent>
                    <w:p>
                      <w:pPr>
                        <w:jc w:val="center"/>
                        <w:rPr>
                          <w:rFonts w:ascii="黑体" w:eastAsia="黑体"/>
                          <w:bCs/>
                          <w:kern w:val="0"/>
                          <w:sz w:val="52"/>
                          <w:szCs w:val="20"/>
                        </w:rPr>
                      </w:pPr>
                      <w:r>
                        <w:rPr>
                          <w:rFonts w:ascii="黑体" w:eastAsia="黑体" w:hint="eastAsia"/>
                          <w:bCs/>
                          <w:kern w:val="0"/>
                          <w:sz w:val="52"/>
                          <w:szCs w:val="20"/>
                        </w:rPr>
                        <w:t>冀北山地油松人工林固碳增汇经营技术规程</w:t>
                      </w:r>
                    </w:p>
                    <w:p>
                      <w:pPr>
                        <w:jc w:val="center"/>
                        <w:rPr>
                          <w:rFonts w:ascii="黑体" w:eastAsia="黑体"/>
                          <w:kern w:val="0"/>
                          <w:sz w:val="52"/>
                          <w:szCs w:val="20"/>
                        </w:rPr>
                      </w:pPr>
                      <w:r>
                        <w:rPr>
                          <w:rFonts w:ascii="黑体" w:eastAsia="黑体" w:hint="eastAsia"/>
                          <w:kern w:val="0"/>
                          <w:sz w:val="36"/>
                          <w:szCs w:val="20"/>
                        </w:rPr>
                        <w:t>Technical</w:t>
                      </w:r>
                      <w:r>
                        <w:rPr>
                          <w:rFonts w:ascii="黑体" w:eastAsia="黑体"/>
                          <w:kern w:val="0"/>
                          <w:sz w:val="36"/>
                          <w:szCs w:val="20"/>
                        </w:rPr>
                        <w:t xml:space="preserve"> regulation for carbon sequestration enhancement of Chinese pine (</w:t>
                      </w:r>
                      <w:r>
                        <w:rPr>
                          <w:rFonts w:ascii="黑体" w:eastAsia="黑体"/>
                          <w:i/>
                          <w:kern w:val="0"/>
                          <w:sz w:val="36"/>
                          <w:szCs w:val="20"/>
                        </w:rPr>
                        <w:t xml:space="preserve"> pinus tabaelaformis </w:t>
                      </w:r>
                      <w:r>
                        <w:rPr>
                          <w:rFonts w:ascii="黑体" w:eastAsia="黑体"/>
                          <w:kern w:val="0"/>
                          <w:sz w:val="36"/>
                          <w:szCs w:val="20"/>
                        </w:rPr>
                        <w:t xml:space="preserve">) plantation in northern Hebei Mountains </w:t>
                      </w:r>
                    </w:p>
                    <w:p>
                      <w:pPr>
                        <w:pStyle w:val="97"/>
                        <w:rPr>
                          <w:sz w:val="28"/>
                          <w:szCs w:val="28"/>
                        </w:rPr>
                      </w:pPr>
                    </w:p>
                    <w:p>
                      <w:pPr>
                        <w:pStyle w:val="97"/>
                        <w:rPr>
                          <w:sz w:val="28"/>
                          <w:szCs w:val="28"/>
                        </w:rPr>
                      </w:pPr>
                      <w:r>
                        <w:rPr>
                          <w:rFonts w:hint="eastAsia"/>
                          <w:sz w:val="28"/>
                          <w:szCs w:val="28"/>
                        </w:rPr>
                        <w:t>(草案稿)</w:t>
                      </w:r>
                    </w:p>
                  </w:txbxContent>
                </v:textbox>
                <w10:anchorLock/>
              </v:rect>
            </w:pict>
          </mc:Fallback>
        </mc:AlternateContent>
      </w:r>
      <w:r>
        <w:rPr>
          <w:sz w:val="24"/>
        </w:rPr>
        <mc:AlternateContent>
          <mc:Choice Requires="wps">
            <w:drawing>
              <wp:anchor distT="0" distB="0" distL="113664" distR="113664" simplePos="0" relativeHeight="33" behindDoc="0" locked="1" layoutInCell="1" hidden="0" allowOverlap="1">
                <wp:simplePos x="0" y="0"/>
                <wp:positionH relativeFrom="margin">
                  <wp:posOffset>0</wp:posOffset>
                </wp:positionH>
                <wp:positionV relativeFrom="margin">
                  <wp:posOffset>1401444</wp:posOffset>
                </wp:positionV>
                <wp:extent cx="5802630" cy="860424"/>
                <wp:effectExtent l="0" t="0" r="0" b="0"/>
                <wp:wrapNone/>
                <wp:docPr id="17" name="fmFrame3"/>
                <wp:cNvGraphicFramePr>
                  <a:graphicFrameLocks noChangeAspect="0"/>
                </wp:cNvGraphicFramePr>
                <a:graphic>
                  <a:graphicData uri="http://schemas.microsoft.com/office/word/2010/wordprocessingShape">
                    <wps:wsp>
                      <wps:cNvSpPr/>
                      <wps:spPr>
                        <a:xfrm rot="0">
                          <a:off x="0" y="0"/>
                          <a:ext cx="5802630" cy="860424"/>
                        </a:xfrm>
                        <a:prstGeom prst="rect"/>
                        <a:solidFill>
                          <a:srgbClr val="FFFFFF"/>
                        </a:solidFill>
                        <a:ln w="9525" cmpd="sng" cap="flat">
                          <a:noFill/>
                          <a:prstDash val="solid"/>
                          <a:round/>
                        </a:ln>
                      </wps:spPr>
                      <wps:txbx id="11">
                        <w:txbxContent>
                          <w:p>
                            <w:pPr>
                              <w:pStyle w:val="122"/>
                            </w:pPr>
                            <w:r>
                              <w:rPr>
                                <w:rFonts w:hint="eastAsia"/>
                              </w:rPr>
                              <w:t>D</w:t>
                            </w:r>
                            <w:r>
                              <w:t>B13/T ××××—××××</w:t>
                            </w:r>
                          </w:p>
                        </w:txbxContent>
                      </wps:txbx>
                      <wps:bodyPr vert="horz" wrap="square" lIns="0" tIns="0" rIns="0" bIns="0" anchor="t" anchorCtr="0" upright="1">
                        <a:noAutofit/>
                      </wps:bodyPr>
                    </wps:wsp>
                  </a:graphicData>
                </a:graphic>
              </wp:anchor>
            </w:drawing>
          </mc:Choice>
          <mc:Fallback>
            <w:pict>
              <v:rect type="#_x0000_t1" id="fmFrame3" o:spid="_x0000_s12" fillcolor="#FFFFFF" stroked="f" style="position:absolute;margin-left:0.0pt;margin-top:110.34993pt;width:456.9pt;height:67.74992pt;z-index:33;mso-position-horizontal:absolute;mso-position-horizontal-relative:margin;mso-position-vertical:absolute;mso-position-vertical-relative:margin;mso-wrap-distance-left:8.949922pt;mso-wrap-distance-right:8.949922pt;mso-wrap-style:square;">
                <v:stroke/>
                <v:textbox id="852" inset="0mm,0mm,0mm,0mm" o:insetmode="custom" style="layout-flow:horizontal;v-text-anchor:top;">
                  <w:txbxContent>
                    <w:p>
                      <w:pPr>
                        <w:pStyle w:val="122"/>
                      </w:pPr>
                      <w:r>
                        <w:rPr>
                          <w:rFonts w:hint="eastAsia"/>
                        </w:rPr>
                        <w:t>D</w:t>
                      </w:r>
                      <w:r>
                        <w:t>B13/T ××××—××××</w:t>
                      </w:r>
                    </w:p>
                  </w:txbxContent>
                </v:textbox>
                <w10:anchorLock/>
              </v:rect>
            </w:pict>
          </mc:Fallback>
        </mc:AlternateContent>
      </w:r>
      <w:r>
        <w:rPr>
          <w:sz w:val="24"/>
        </w:rPr>
        <mc:AlternateContent>
          <mc:Choice Requires="wps">
            <w:drawing>
              <wp:anchor distT="0" distB="0" distL="113664" distR="113664" simplePos="0" relativeHeight="35" behindDoc="0" locked="1" layoutInCell="1" hidden="0" allowOverlap="1">
                <wp:simplePos x="0" y="0"/>
                <wp:positionH relativeFrom="margin">
                  <wp:posOffset>2549525</wp:posOffset>
                </wp:positionH>
                <wp:positionV relativeFrom="margin">
                  <wp:posOffset>107314</wp:posOffset>
                </wp:positionV>
                <wp:extent cx="3174999" cy="720090"/>
                <wp:effectExtent l="0" t="0" r="0" b="0"/>
                <wp:wrapNone/>
                <wp:docPr id="20" name="fmFrame8"/>
                <wp:cNvGraphicFramePr>
                  <a:graphicFrameLocks noChangeAspect="0"/>
                </wp:cNvGraphicFramePr>
                <a:graphic>
                  <a:graphicData uri="http://schemas.microsoft.com/office/word/2010/wordprocessingShape">
                    <wps:wsp>
                      <wps:cNvSpPr/>
                      <wps:spPr>
                        <a:xfrm rot="0">
                          <a:off x="0" y="0"/>
                          <a:ext cx="3174999" cy="720090"/>
                        </a:xfrm>
                        <a:prstGeom prst="rect"/>
                        <a:solidFill>
                          <a:srgbClr val="FFFFFF"/>
                        </a:solidFill>
                        <a:ln w="9525" cmpd="sng" cap="flat">
                          <a:noFill/>
                          <a:prstDash val="solid"/>
                          <a:round/>
                        </a:ln>
                      </wps:spPr>
                      <wps:txbx id="13">
                        <w:txbxContent>
                          <w:p>
                            <w:pPr>
                              <w:pStyle w:val="126"/>
                              <w:framePr w:w="2268" w:hRule="exact" w:h="1392" w:wrap="around" w:vAnchor="margin" w:hAnchor="margin" w:x="6748" w:y="171" w:anchorLock="1"/>
                            </w:pPr>
                            <w:r>
                              <w:t>DB13</w:t>
                            </w:r>
                          </w:p>
                        </w:txbxContent>
                      </wps:txbx>
                      <wps:bodyPr vert="horz" wrap="square" lIns="0" tIns="0" rIns="0" bIns="0" anchor="t" anchorCtr="0" upright="1">
                        <a:noAutofit/>
                      </wps:bodyPr>
                    </wps:wsp>
                  </a:graphicData>
                </a:graphic>
              </wp:anchor>
            </w:drawing>
          </mc:Choice>
          <mc:Fallback>
            <w:pict>
              <v:rect type="#_x0000_t1" id="fmFrame8" o:spid="_x0000_s14" fillcolor="#FFFFFF" stroked="f" style="position:absolute;margin-left:200.75002pt;margin-top:8.449922pt;width:249.99994pt;height:56.700005pt;z-index:35;mso-position-horizontal:absolute;mso-position-horizontal-relative:margin;mso-position-vertical:absolute;mso-position-vertical-relative:margin;mso-wrap-distance-left:8.949922pt;mso-wrap-distance-right:8.949922pt;mso-wrap-style:square;">
                <v:stroke/>
                <v:textbox id="853" inset="0mm,0mm,0mm,0mm" o:insetmode="custom" style="layout-flow:horizontal;v-text-anchor:top;">
                  <w:txbxContent>
                    <w:p>
                      <w:pPr>
                        <w:pStyle w:val="126"/>
                        <w:framePr w:w="2268" w:hRule="exact" w:h="1392" w:wrap="around" w:vAnchor="margin" w:hAnchor="margin" w:x="6748" w:y="171" w:anchorLock="1"/>
                      </w:pPr>
                      <w:r>
                        <w:t>DB13</w:t>
                      </w:r>
                    </w:p>
                  </w:txbxContent>
                </v:textbox>
                <w10:anchorLock/>
              </v:rect>
            </w:pict>
          </mc:Fallback>
        </mc:AlternateContent>
      </w:r>
      <w:r>
        <w:rPr>
          <w:sz w:val="24"/>
        </w:rPr>
        <mc:AlternateContent>
          <mc:Choice Requires="wps">
            <w:drawing>
              <wp:anchor distT="0" distB="0" distL="113664" distR="113664" simplePos="0" relativeHeight="37" behindDoc="0" locked="1" layoutInCell="1" hidden="0" allowOverlap="1">
                <wp:simplePos x="0" y="0"/>
                <wp:positionH relativeFrom="margin">
                  <wp:posOffset>0</wp:posOffset>
                </wp:positionH>
                <wp:positionV relativeFrom="margin">
                  <wp:posOffset>1010919</wp:posOffset>
                </wp:positionV>
                <wp:extent cx="6120129" cy="391159"/>
                <wp:effectExtent l="0" t="0" r="0" b="0"/>
                <wp:wrapNone/>
                <wp:docPr id="23" name="fmFrame2"/>
                <wp:cNvGraphicFramePr>
                  <a:graphicFrameLocks noChangeAspect="0"/>
                </wp:cNvGraphicFramePr>
                <a:graphic>
                  <a:graphicData uri="http://schemas.microsoft.com/office/word/2010/wordprocessingShape">
                    <wps:wsp>
                      <wps:cNvSpPr/>
                      <wps:spPr>
                        <a:xfrm rot="0">
                          <a:off x="0" y="0"/>
                          <a:ext cx="6120129" cy="391159"/>
                        </a:xfrm>
                        <a:prstGeom prst="rect"/>
                        <a:solidFill>
                          <a:srgbClr val="FFFFFF"/>
                        </a:solidFill>
                        <a:ln w="9525" cmpd="sng" cap="flat">
                          <a:noFill/>
                          <a:prstDash val="solid"/>
                          <a:round/>
                        </a:ln>
                      </wps:spPr>
                      <wps:txbx id="15">
                        <w:txbxContent>
                          <w:p>
                            <w:pPr>
                              <w:pStyle w:val="125"/>
                            </w:pPr>
                            <w:r>
                              <w:rPr>
                                <w:rFonts w:hint="eastAsia"/>
                              </w:rPr>
                              <w:t>河北省地方标准</w:t>
                            </w:r>
                          </w:p>
                        </w:txbxContent>
                      </wps:txbx>
                      <wps:bodyPr vert="horz" wrap="square" lIns="0" tIns="0" rIns="0" bIns="0" anchor="t" anchorCtr="0" upright="1">
                        <a:noAutofit/>
                      </wps:bodyPr>
                    </wps:wsp>
                  </a:graphicData>
                </a:graphic>
              </wp:anchor>
            </w:drawing>
          </mc:Choice>
          <mc:Fallback>
            <w:pict>
              <v:rect type="#_x0000_t1" id="fmFrame2" o:spid="_x0000_s16" fillcolor="#FFFFFF" stroked="f" style="position:absolute;margin-left:0.0pt;margin-top:79.59992pt;width:481.89993pt;height:30.799925pt;z-index:37;mso-position-horizontal:absolute;mso-position-horizontal-relative:margin;mso-position-vertical:absolute;mso-position-vertical-relative:margin;mso-wrap-distance-left:8.949922pt;mso-wrap-distance-right:8.949922pt;mso-wrap-style:square;">
                <v:stroke/>
                <v:textbox id="854" inset="0mm,0mm,0mm,0mm" o:insetmode="custom" style="layout-flow:horizontal;v-text-anchor:top;">
                  <w:txbxContent>
                    <w:p>
                      <w:pPr>
                        <w:pStyle w:val="125"/>
                      </w:pPr>
                      <w:r>
                        <w:rPr>
                          <w:rFonts w:hint="eastAsia"/>
                        </w:rPr>
                        <w:t>河北省地方标准</w:t>
                      </w:r>
                    </w:p>
                  </w:txbxContent>
                </v:textbox>
                <w10:anchorLock/>
              </v:rect>
            </w:pict>
          </mc:Fallback>
        </mc:AlternateContent>
      </w:r>
      <w:r>
        <w:rPr>
          <w:sz w:val="24"/>
        </w:rPr>
        <mc:AlternateContent>
          <mc:Choice Requires="wps">
            <w:drawing>
              <wp:anchor distT="0" distB="0" distL="113664" distR="113664" simplePos="0" relativeHeight="39" behindDoc="0" locked="1" layoutInCell="1" hidden="0" allowOverlap="1">
                <wp:simplePos x="0" y="0"/>
                <wp:positionH relativeFrom="margin">
                  <wp:posOffset>0</wp:posOffset>
                </wp:positionH>
                <wp:positionV relativeFrom="margin">
                  <wp:posOffset>0</wp:posOffset>
                </wp:positionV>
                <wp:extent cx="2540000" cy="657859"/>
                <wp:effectExtent l="0" t="0" r="0" b="0"/>
                <wp:wrapNone/>
                <wp:docPr id="26" name="fmFrame1"/>
                <wp:cNvGraphicFramePr>
                  <a:graphicFrameLocks noChangeAspect="0"/>
                </wp:cNvGraphicFramePr>
                <a:graphic>
                  <a:graphicData uri="http://schemas.microsoft.com/office/word/2010/wordprocessingShape">
                    <wps:wsp>
                      <wps:cNvSpPr/>
                      <wps:spPr>
                        <a:xfrm rot="0">
                          <a:off x="0" y="0"/>
                          <a:ext cx="2540000" cy="657859"/>
                        </a:xfrm>
                        <a:prstGeom prst="rect"/>
                        <a:solidFill>
                          <a:srgbClr val="FFFFFF"/>
                        </a:solidFill>
                        <a:ln w="9525" cmpd="sng" cap="flat">
                          <a:noFill/>
                          <a:prstDash val="solid"/>
                          <a:round/>
                        </a:ln>
                      </wps:spPr>
                      <wps:txbx id="17">
                        <w:txbxContent>
                          <w:p>
                            <w:pPr>
                              <w:pStyle w:val="75"/>
                              <w:framePr w:w="0" w:hRule="auto" w:hSpace="180" w:vSpace="180" w:wrap="around" w:vAnchor="margin" w:hAnchor="margin" w:xAlign="left" w:y="1" w:anchorLock="1"/>
                            </w:pPr>
                            <w:r>
                              <w:t>ICS</w:t>
                            </w:r>
                          </w:p>
                          <w:p>
                            <w:pPr>
                              <w:pStyle w:val="75"/>
                              <w:framePr w:w="0" w:hRule="auto" w:hSpace="180" w:vSpace="180" w:wrap="around" w:vAnchor="margin" w:hAnchor="margin" w:xAlign="left" w:y="1" w:anchorLock="1"/>
                            </w:pPr>
                            <w:r>
                              <w:rPr>
                                <w:rFonts w:hint="eastAsia"/>
                              </w:rPr>
                              <w:t>B</w:t>
                            </w:r>
                          </w:p>
                        </w:txbxContent>
                      </wps:txbx>
                      <wps:bodyPr vert="horz" wrap="square" lIns="0" tIns="0" rIns="0" bIns="0" anchor="t" anchorCtr="0" upright="1">
                        <a:noAutofit/>
                      </wps:bodyPr>
                    </wps:wsp>
                  </a:graphicData>
                </a:graphic>
              </wp:anchor>
            </w:drawing>
          </mc:Choice>
          <mc:Fallback>
            <w:pict>
              <v:rect type="#_x0000_t1" id="fmFrame1" o:spid="_x0000_s18" fillcolor="#FFFFFF" stroked="f" style="position:absolute;margin-left:0.0pt;margin-top:0.0pt;width:200.00002pt;height:51.799923pt;z-index:39;mso-position-horizontal:absolute;mso-position-horizontal-relative:margin;mso-position-vertical:absolute;mso-position-vertical-relative:margin;mso-wrap-distance-left:8.949922pt;mso-wrap-distance-right:8.949922pt;mso-wrap-style:square;">
                <v:stroke/>
                <v:textbox id="855" inset="0mm,0mm,0mm,0mm" o:insetmode="custom" style="layout-flow:horizontal;v-text-anchor:top;">
                  <w:txbxContent>
                    <w:p>
                      <w:pPr>
                        <w:pStyle w:val="75"/>
                        <w:framePr w:w="0" w:hRule="auto" w:hSpace="180" w:vSpace="180" w:wrap="around" w:vAnchor="margin" w:hAnchor="margin" w:xAlign="left" w:y="1" w:anchorLock="1"/>
                      </w:pPr>
                      <w:r>
                        <w:t>ICS</w:t>
                      </w:r>
                    </w:p>
                    <w:p>
                      <w:pPr>
                        <w:pStyle w:val="75"/>
                        <w:framePr w:w="0" w:hRule="auto" w:hSpace="180" w:vSpace="180" w:wrap="around" w:vAnchor="margin" w:hAnchor="margin" w:xAlign="left" w:y="1" w:anchorLock="1"/>
                      </w:pPr>
                      <w:r>
                        <w:rPr>
                          <w:rFonts w:hint="eastAsia"/>
                        </w:rPr>
                        <w:t>B</w:t>
                      </w:r>
                    </w:p>
                  </w:txbxContent>
                </v:textbox>
                <w10:anchorLock/>
              </v:rect>
            </w:pict>
          </mc:Fallback>
        </mc:AlternateContent>
      </w:r>
      <w:bookmarkEnd w:id="0"/>
    </w:p>
    <w:p>
      <w:pPr>
        <w:rPr>
          <w:rFonts w:ascii="宋体"/>
        </w:rPr>
        <w:sectPr>
          <w:footerReference w:type="even" r:id="rId3"/>
          <w:pgSz w:w="11907" w:h="16839"/>
          <w:pgMar w:top="1418" w:right="1134" w:bottom="1134" w:left="1418" w:header="1418" w:footer="851" w:gutter="0"/>
          <w:pgNumType w:fmt="upperRoman"/>
          <w:cols w:num="1" w:space="720"/>
          <w:docGrid w:type="lines" w:linePitch="312" w:charSpace="0"/>
        </w:sectPr>
      </w:pPr>
    </w:p>
    <w:p>
      <w:pPr>
        <w:spacing w:before="851" w:after="680"/>
        <w:ind w:firstLine="0"/>
        <w:jc w:val="center"/>
        <w:rPr>
          <w:rFonts w:ascii="黑体" w:eastAsia="黑体" w:cs="黑体" w:hint="eastAsia"/>
          <w:sz w:val="32"/>
          <w:szCs w:val="32"/>
          <w:shd w:val="clear" w:color="auto" w:fill="auto"/>
        </w:rPr>
      </w:pPr>
      <w:r>
        <w:rPr>
          <w:rFonts w:ascii="黑体" w:eastAsia="黑体" w:cs="黑体" w:hint="eastAsia"/>
          <w:sz w:val="32"/>
          <w:szCs w:val="32"/>
          <w:shd w:val="clear" w:color="auto" w:fill="auto"/>
        </w:rPr>
        <w:t>目  录</w:t>
      </w:r>
    </w:p>
    <w:p>
      <w:pPr>
        <w:pStyle w:val="15"/>
        <w:tabs>
          <w:tab w:val="right" w:leader="dot" w:pos="9345"/>
        </w:tabs>
        <w:spacing w:beforeLines="25" w:before="78" w:beforeAutospacing="0" w:afterLines="25" w:after="78" w:afterAutospacing="0" w:line="240" w:lineRule="auto"/>
        <w:rPr>
          <w:rFonts w:cs="宋体" w:hAnsi="宋体" w:hint="eastAsia"/>
          <w:kern w:val="2"/>
          <w:szCs w:val="22"/>
        </w:rPr>
      </w:pPr>
      <w:r>
        <w:rPr>
          <w:rFonts w:cs="宋体" w:hAnsi="宋体" w:hint="eastAsia"/>
          <w:bCs/>
        </w:rPr>
        <w:fldChar w:fldCharType="begin"/>
      </w:r>
      <w:r>
        <w:rPr>
          <w:rFonts w:cs="宋体" w:hAnsi="宋体" w:hint="eastAsia"/>
          <w:bCs/>
        </w:rPr>
        <w:instrText xml:space="preserve">TOC \o "1-2" \h \u </w:instrText>
      </w:r>
      <w:r>
        <w:rPr>
          <w:rFonts w:cs="宋体" w:hAnsi="宋体" w:hint="eastAsia"/>
          <w:bCs/>
        </w:rPr>
        <w:fldChar w:fldCharType="separate"/>
      </w:r>
      <w:r>
        <w:rPr>
          <w:rFonts w:cs="宋体" w:hAnsi="宋体" w:hint="eastAsia"/>
        </w:rPr>
        <w:fldChar w:fldCharType="begin"/>
      </w:r>
      <w:r>
        <w:rPr>
          <w:rFonts w:cs="宋体" w:hAnsi="宋体" w:hint="eastAsia"/>
        </w:rPr>
        <w:instrText xml:space="preserve"> HYPERLINK \l "_Toc172016169" </w:instrText>
      </w:r>
      <w:r>
        <w:rPr>
          <w:rFonts w:cs="宋体" w:hAnsi="宋体" w:hint="eastAsia"/>
        </w:rPr>
        <w:fldChar w:fldCharType="separate"/>
      </w:r>
      <w:r>
        <w:rPr>
          <w:rFonts w:cs="宋体" w:hAnsi="宋体" w:hint="eastAsia"/>
        </w:rPr>
        <w:t>前 言</w:t>
        <w:tab/>
        <w:t>Ⅱ</w:t>
      </w:r>
      <w:r>
        <w:rPr>
          <w:rFonts w:cs="宋体" w:hAnsi="宋体" w:hint="eastAsia"/>
        </w:rPr>
        <w:fldChar w:fldCharType="end"/>
      </w:r>
    </w:p>
    <w:p>
      <w:pPr>
        <w:pStyle w:val="15"/>
        <w:tabs>
          <w:tab w:val="right" w:leader="dot" w:pos="9345"/>
        </w:tabs>
        <w:spacing w:beforeLines="25" w:before="78" w:beforeAutospacing="0" w:afterLines="25" w:after="78" w:afterAutospacing="0" w:line="240" w:lineRule="auto"/>
        <w:rPr>
          <w:rFonts w:cs="宋体" w:hAnsi="宋体" w:hint="eastAsia"/>
          <w:kern w:val="2"/>
          <w:szCs w:val="22"/>
        </w:rPr>
      </w:pPr>
      <w:r>
        <w:rPr>
          <w:rFonts w:cs="宋体" w:hAnsi="宋体" w:hint="eastAsia"/>
        </w:rPr>
        <w:fldChar w:fldCharType="begin"/>
      </w:r>
      <w:r>
        <w:rPr>
          <w:rFonts w:cs="宋体" w:hAnsi="宋体" w:hint="eastAsia"/>
        </w:rPr>
        <w:instrText xml:space="preserve"> HYPERLINK \l "_Toc172016170" </w:instrText>
      </w:r>
      <w:r>
        <w:rPr>
          <w:rFonts w:cs="宋体" w:hAnsi="宋体" w:hint="eastAsia"/>
        </w:rPr>
        <w:fldChar w:fldCharType="separate"/>
      </w:r>
      <w:r>
        <w:rPr>
          <w:rFonts w:cs="宋体" w:hAnsi="宋体" w:hint="eastAsia"/>
        </w:rPr>
        <w:t>1</w:t>
      </w:r>
      <w:r>
        <w:rPr>
          <w:rFonts w:cs="宋体" w:hAnsi="宋体"/>
        </w:rPr>
        <w:t xml:space="preserve">  </w:t>
      </w:r>
      <w:r>
        <w:rPr>
          <w:rFonts w:cs="宋体" w:hAnsi="宋体" w:hint="eastAsia"/>
        </w:rPr>
        <w:t>范围</w:t>
        <w:tab/>
      </w:r>
      <w:r>
        <w:rPr>
          <w:rFonts w:cs="宋体" w:hAnsi="宋体"/>
        </w:rPr>
        <w:t>1</w:t>
      </w:r>
      <w:r>
        <w:rPr>
          <w:rFonts w:cs="宋体" w:hAnsi="宋体" w:hint="eastAsia"/>
        </w:rPr>
        <w:fldChar w:fldCharType="end"/>
      </w:r>
    </w:p>
    <w:p>
      <w:pPr>
        <w:pStyle w:val="15"/>
        <w:tabs>
          <w:tab w:val="right" w:leader="dot" w:pos="9345"/>
        </w:tabs>
        <w:spacing w:beforeLines="25" w:before="78" w:beforeAutospacing="0" w:afterLines="25" w:after="78" w:afterAutospacing="0" w:line="240" w:lineRule="auto"/>
        <w:rPr>
          <w:rFonts w:cs="宋体" w:hAnsi="宋体" w:hint="eastAsia"/>
          <w:kern w:val="2"/>
          <w:szCs w:val="22"/>
        </w:rPr>
      </w:pPr>
      <w:r>
        <w:rPr>
          <w:rFonts w:cs="宋体" w:hAnsi="宋体" w:hint="eastAsia"/>
        </w:rPr>
        <w:fldChar w:fldCharType="begin"/>
      </w:r>
      <w:r>
        <w:rPr>
          <w:rFonts w:cs="宋体" w:hAnsi="宋体" w:hint="eastAsia"/>
        </w:rPr>
        <w:instrText xml:space="preserve"> HYPERLINK \l "_Toc172016171" </w:instrText>
      </w:r>
      <w:r>
        <w:rPr>
          <w:rFonts w:cs="宋体" w:hAnsi="宋体" w:hint="eastAsia"/>
        </w:rPr>
        <w:fldChar w:fldCharType="separate"/>
      </w:r>
      <w:r>
        <w:rPr>
          <w:rFonts w:cs="宋体" w:hAnsi="宋体" w:hint="eastAsia"/>
        </w:rPr>
        <w:t>2</w:t>
      </w:r>
      <w:r>
        <w:rPr>
          <w:rFonts w:cs="宋体" w:hAnsi="宋体"/>
        </w:rPr>
        <w:t xml:space="preserve">  </w:t>
      </w:r>
      <w:r>
        <w:rPr>
          <w:rFonts w:cs="宋体" w:hAnsi="宋体" w:hint="eastAsia"/>
        </w:rPr>
        <w:t>规范性引用文件</w:t>
        <w:tab/>
      </w:r>
      <w:r>
        <w:rPr>
          <w:rFonts w:cs="宋体" w:hAnsi="宋体"/>
        </w:rPr>
        <w:t>1</w:t>
      </w:r>
      <w:r>
        <w:rPr>
          <w:rFonts w:cs="宋体" w:hAnsi="宋体" w:hint="eastAsia"/>
        </w:rPr>
        <w:fldChar w:fldCharType="end"/>
      </w:r>
    </w:p>
    <w:p>
      <w:pPr>
        <w:pStyle w:val="15"/>
        <w:tabs>
          <w:tab w:val="right" w:leader="dot" w:pos="9345"/>
        </w:tabs>
        <w:spacing w:beforeLines="25" w:before="78" w:beforeAutospacing="0" w:afterLines="25" w:after="78" w:afterAutospacing="0" w:line="240" w:lineRule="auto"/>
        <w:rPr>
          <w:rFonts w:cs="宋体" w:hAnsi="宋体" w:hint="eastAsia"/>
          <w:kern w:val="2"/>
          <w:szCs w:val="22"/>
        </w:rPr>
      </w:pPr>
      <w:r>
        <w:rPr>
          <w:rFonts w:cs="宋体" w:hAnsi="宋体" w:hint="eastAsia"/>
        </w:rPr>
        <w:fldChar w:fldCharType="begin"/>
      </w:r>
      <w:r>
        <w:rPr>
          <w:rFonts w:cs="宋体" w:hAnsi="宋体" w:hint="eastAsia"/>
        </w:rPr>
        <w:instrText xml:space="preserve"> HYPERLINK \l "_Toc172016172" </w:instrText>
      </w:r>
      <w:r>
        <w:rPr>
          <w:rFonts w:cs="宋体" w:hAnsi="宋体" w:hint="eastAsia"/>
        </w:rPr>
        <w:fldChar w:fldCharType="separate"/>
      </w:r>
      <w:r>
        <w:rPr>
          <w:rFonts w:cs="宋体" w:hAnsi="宋体" w:hint="eastAsia"/>
        </w:rPr>
        <w:t>3</w:t>
      </w:r>
      <w:r>
        <w:rPr>
          <w:rFonts w:cs="宋体" w:hAnsi="宋体"/>
        </w:rPr>
        <w:t xml:space="preserve">  </w:t>
      </w:r>
      <w:r>
        <w:rPr>
          <w:rFonts w:cs="宋体" w:hAnsi="宋体" w:hint="eastAsia"/>
        </w:rPr>
        <w:t>术语与定义</w:t>
        <w:tab/>
      </w:r>
      <w:r>
        <w:rPr>
          <w:rFonts w:cs="宋体" w:hAnsi="宋体"/>
        </w:rPr>
        <w:t>1</w:t>
      </w:r>
      <w:r>
        <w:rPr>
          <w:rFonts w:cs="宋体" w:hAnsi="宋体" w:hint="eastAsia"/>
        </w:rPr>
        <w:fldChar w:fldCharType="end"/>
      </w:r>
    </w:p>
    <w:p>
      <w:pPr>
        <w:pStyle w:val="15"/>
        <w:tabs>
          <w:tab w:val="right" w:leader="dot" w:pos="9345"/>
        </w:tabs>
        <w:spacing w:beforeLines="25" w:before="78" w:beforeAutospacing="0" w:afterLines="25" w:after="78" w:afterAutospacing="0" w:line="240" w:lineRule="auto"/>
        <w:rPr>
          <w:rFonts w:cs="宋体" w:hAnsi="宋体" w:hint="eastAsia"/>
          <w:kern w:val="2"/>
          <w:szCs w:val="22"/>
        </w:rPr>
      </w:pPr>
      <w:r>
        <w:rPr>
          <w:rFonts w:cs="宋体" w:hAnsi="宋体" w:hint="eastAsia"/>
        </w:rPr>
        <w:fldChar w:fldCharType="begin"/>
      </w:r>
      <w:r>
        <w:rPr>
          <w:rFonts w:cs="宋体" w:hAnsi="宋体" w:hint="eastAsia"/>
        </w:rPr>
        <w:instrText xml:space="preserve"> HYPERLINK \l "_Toc172016173" </w:instrText>
      </w:r>
      <w:r>
        <w:rPr>
          <w:rFonts w:cs="宋体" w:hAnsi="宋体" w:hint="eastAsia"/>
        </w:rPr>
        <w:fldChar w:fldCharType="separate"/>
      </w:r>
      <w:r>
        <w:rPr>
          <w:rFonts w:cs="宋体" w:hAnsi="宋体" w:hint="eastAsia"/>
        </w:rPr>
        <w:t>4</w:t>
      </w:r>
      <w:r>
        <w:rPr>
          <w:rFonts w:cs="宋体" w:hAnsi="宋体"/>
        </w:rPr>
        <w:t xml:space="preserve">  </w:t>
      </w:r>
      <w:r>
        <w:rPr>
          <w:rFonts w:cs="宋体" w:hAnsi="宋体" w:hint="eastAsia"/>
        </w:rPr>
        <w:t>经营目标与原则</w:t>
        <w:tab/>
      </w:r>
      <w:r>
        <w:rPr>
          <w:rFonts w:cs="宋体" w:hAnsi="宋体"/>
        </w:rPr>
        <w:t>2</w:t>
      </w:r>
      <w:r>
        <w:rPr>
          <w:rFonts w:cs="宋体" w:hAnsi="宋体" w:hint="eastAsia"/>
        </w:rPr>
        <w:fldChar w:fldCharType="end"/>
      </w:r>
    </w:p>
    <w:p>
      <w:pPr>
        <w:pStyle w:val="15"/>
        <w:tabs>
          <w:tab w:val="right" w:leader="dot" w:pos="9345"/>
        </w:tabs>
        <w:spacing w:beforeAutospacing="0" w:afterAutospacing="0" w:line="240" w:lineRule="auto"/>
        <w:ind w:left="0" w:firstLineChars="100" w:firstLine="210"/>
        <w:rPr>
          <w:rFonts w:cs="宋体" w:hAnsi="宋体" w:hint="eastAsia"/>
          <w:kern w:val="2"/>
          <w:szCs w:val="22"/>
        </w:rPr>
      </w:pPr>
      <w:r>
        <w:rPr>
          <w:rFonts w:cs="宋体" w:hAnsi="宋体" w:hint="eastAsia"/>
        </w:rPr>
        <w:fldChar w:fldCharType="begin"/>
      </w:r>
      <w:r>
        <w:rPr>
          <w:rFonts w:cs="宋体" w:hAnsi="宋体" w:hint="eastAsia"/>
        </w:rPr>
        <w:instrText xml:space="preserve"> HYPERLINK \l "_Toc172016174" </w:instrText>
      </w:r>
      <w:r>
        <w:rPr>
          <w:rFonts w:cs="宋体" w:hAnsi="宋体" w:hint="eastAsia"/>
        </w:rPr>
        <w:fldChar w:fldCharType="separate"/>
      </w:r>
      <w:r>
        <w:rPr>
          <w:rFonts w:cs="宋体" w:hAnsi="宋体" w:hint="eastAsia"/>
        </w:rPr>
        <w:t>4.1</w:t>
      </w:r>
      <w:r>
        <w:rPr>
          <w:rFonts w:cs="宋体" w:hAnsi="宋体"/>
        </w:rPr>
        <w:t xml:space="preserve">  </w:t>
      </w:r>
      <w:r>
        <w:rPr>
          <w:rFonts w:cs="宋体" w:hAnsi="宋体" w:hint="eastAsia"/>
        </w:rPr>
        <w:t>经营目标</w:t>
        <w:tab/>
      </w:r>
      <w:r>
        <w:rPr>
          <w:rFonts w:cs="宋体" w:hAnsi="宋体"/>
        </w:rPr>
        <w:t>2</w:t>
      </w:r>
      <w:r>
        <w:rPr>
          <w:rFonts w:cs="宋体" w:hAnsi="宋体" w:hint="eastAsia"/>
        </w:rPr>
        <w:fldChar w:fldCharType="end"/>
      </w:r>
    </w:p>
    <w:p>
      <w:pPr>
        <w:pStyle w:val="15"/>
        <w:tabs>
          <w:tab w:val="right" w:leader="dot" w:pos="9345"/>
        </w:tabs>
        <w:spacing w:beforeAutospacing="0" w:afterAutospacing="0" w:line="240" w:lineRule="auto"/>
        <w:ind w:left="0" w:firstLineChars="100" w:firstLine="210"/>
        <w:rPr>
          <w:rFonts w:cs="宋体" w:hAnsi="宋体" w:hint="eastAsia"/>
          <w:kern w:val="2"/>
          <w:szCs w:val="22"/>
        </w:rPr>
      </w:pPr>
      <w:r>
        <w:rPr>
          <w:rFonts w:cs="宋体" w:hAnsi="宋体" w:hint="eastAsia"/>
        </w:rPr>
        <w:fldChar w:fldCharType="begin"/>
      </w:r>
      <w:r>
        <w:rPr>
          <w:rFonts w:cs="宋体" w:hAnsi="宋体" w:hint="eastAsia"/>
        </w:rPr>
        <w:instrText xml:space="preserve"> HYPERLINK \l "_Toc172016175" </w:instrText>
      </w:r>
      <w:r>
        <w:rPr>
          <w:rFonts w:cs="宋体" w:hAnsi="宋体" w:hint="eastAsia"/>
        </w:rPr>
        <w:fldChar w:fldCharType="separate"/>
      </w:r>
      <w:r>
        <w:rPr>
          <w:rFonts w:cs="宋体" w:hAnsi="宋体" w:hint="eastAsia"/>
        </w:rPr>
        <w:t>4.2</w:t>
      </w:r>
      <w:r>
        <w:rPr>
          <w:rFonts w:cs="宋体" w:hAnsi="宋体"/>
        </w:rPr>
        <w:t xml:space="preserve">  </w:t>
      </w:r>
      <w:r>
        <w:rPr>
          <w:rFonts w:cs="宋体" w:hAnsi="宋体" w:hint="eastAsia"/>
        </w:rPr>
        <w:t>经营原则</w:t>
        <w:tab/>
      </w:r>
      <w:r>
        <w:rPr>
          <w:rFonts w:cs="宋体" w:hAnsi="宋体"/>
        </w:rPr>
        <w:t>2</w:t>
      </w:r>
      <w:r>
        <w:rPr>
          <w:rFonts w:cs="宋体" w:hAnsi="宋体" w:hint="eastAsia"/>
        </w:rPr>
        <w:fldChar w:fldCharType="end"/>
      </w:r>
    </w:p>
    <w:p>
      <w:pPr>
        <w:pStyle w:val="15"/>
        <w:tabs>
          <w:tab w:val="right" w:leader="dot" w:pos="9345"/>
        </w:tabs>
        <w:spacing w:beforeLines="25" w:before="78" w:beforeAutospacing="0" w:afterLines="25" w:after="78" w:afterAutospacing="0" w:line="240" w:lineRule="auto"/>
        <w:rPr>
          <w:rFonts w:cs="宋体" w:hAnsi="宋体"/>
        </w:rPr>
      </w:pPr>
      <w:r>
        <w:rPr>
          <w:rFonts w:cs="宋体" w:hAnsi="宋体" w:hint="eastAsia"/>
        </w:rPr>
        <w:fldChar w:fldCharType="begin"/>
      </w:r>
      <w:r>
        <w:rPr>
          <w:rFonts w:cs="宋体" w:hAnsi="宋体" w:hint="eastAsia"/>
        </w:rPr>
        <w:instrText xml:space="preserve"> HYPERLINK \l "_Toc172016176" </w:instrText>
      </w:r>
      <w:r>
        <w:rPr>
          <w:rFonts w:cs="宋体" w:hAnsi="宋体" w:hint="eastAsia"/>
        </w:rPr>
        <w:fldChar w:fldCharType="separate"/>
      </w:r>
      <w:r>
        <w:rPr>
          <w:rFonts w:cs="宋体" w:hAnsi="宋体" w:hint="eastAsia"/>
        </w:rPr>
        <w:t xml:space="preserve">5 </w:t>
      </w:r>
      <w:r>
        <w:rPr>
          <w:rFonts w:cs="宋体" w:hAnsi="宋体"/>
        </w:rPr>
        <w:t xml:space="preserve"> </w:t>
      </w:r>
      <w:r>
        <w:rPr>
          <w:rFonts w:cs="宋体" w:hAnsi="宋体" w:hint="eastAsia"/>
        </w:rPr>
        <w:t>经营阶段划分</w:t>
        <w:tab/>
      </w:r>
      <w:r>
        <w:rPr>
          <w:rFonts w:cs="宋体" w:hAnsi="宋体"/>
        </w:rPr>
        <w:t>3</w:t>
      </w:r>
      <w:r>
        <w:rPr>
          <w:rFonts w:cs="宋体" w:hAnsi="宋体" w:hint="eastAsia"/>
        </w:rPr>
        <w:fldChar w:fldCharType="end"/>
      </w:r>
    </w:p>
    <w:p>
      <w:pPr>
        <w:ind w:firstLineChars="100" w:firstLine="210"/>
      </w:pPr>
      <w:r>
        <w:rPr>
          <w:rFonts w:ascii="宋体" w:cs="宋体" w:hAnsi="宋体" w:hint="eastAsia"/>
        </w:rPr>
        <w:t>5.1  经营阶段划分.....................................................................</w:t>
      </w:r>
      <w:r>
        <w:rPr>
          <w:rFonts w:ascii="宋体" w:cs="宋体" w:hAnsi="宋体"/>
        </w:rPr>
        <w:t>3</w:t>
      </w:r>
    </w:p>
    <w:p>
      <w:pPr>
        <w:rPr>
          <w:rFonts w:ascii="宋体" w:cs="宋体" w:hAnsi="宋体" w:hint="eastAsia"/>
        </w:rPr>
      </w:pPr>
      <w:r>
        <w:t xml:space="preserve">  </w:t>
      </w:r>
      <w:r>
        <w:rPr>
          <w:rFonts w:ascii="宋体" w:cs="宋体" w:hAnsi="宋体" w:hint="eastAsia"/>
        </w:rPr>
        <w:t>5.2  各经营阶段特征...................................................................3</w:t>
      </w:r>
    </w:p>
    <w:p>
      <w:pPr>
        <w:pStyle w:val="15"/>
        <w:tabs>
          <w:tab w:val="right" w:leader="dot" w:pos="9345"/>
        </w:tabs>
        <w:spacing w:beforeLines="25" w:before="78" w:beforeAutospacing="0" w:afterLines="25" w:after="78" w:afterAutospacing="0" w:line="240" w:lineRule="auto"/>
        <w:rPr>
          <w:rFonts w:cs="宋体" w:hAnsi="宋体" w:hint="eastAsia"/>
          <w:kern w:val="2"/>
          <w:szCs w:val="22"/>
        </w:rPr>
      </w:pPr>
      <w:r>
        <w:rPr>
          <w:rFonts w:cs="宋体" w:hAnsi="宋体" w:hint="eastAsia"/>
        </w:rPr>
        <w:fldChar w:fldCharType="begin"/>
      </w:r>
      <w:r>
        <w:rPr>
          <w:rFonts w:cs="宋体" w:hAnsi="宋体" w:hint="eastAsia"/>
        </w:rPr>
        <w:instrText xml:space="preserve"> HYPERLINK \l "_Toc172016177" </w:instrText>
      </w:r>
      <w:r>
        <w:rPr>
          <w:rFonts w:cs="宋体" w:hAnsi="宋体" w:hint="eastAsia"/>
        </w:rPr>
        <w:fldChar w:fldCharType="separate"/>
      </w:r>
      <w:r>
        <w:rPr>
          <w:rFonts w:cs="宋体" w:hAnsi="宋体" w:hint="eastAsia"/>
        </w:rPr>
        <w:t xml:space="preserve">6 </w:t>
      </w:r>
      <w:r>
        <w:rPr>
          <w:rFonts w:cs="宋体" w:hAnsi="宋体"/>
        </w:rPr>
        <w:t xml:space="preserve"> </w:t>
      </w:r>
      <w:r>
        <w:rPr>
          <w:rFonts w:cs="宋体" w:hAnsi="宋体" w:hint="eastAsia"/>
        </w:rPr>
        <w:t>经营技术</w:t>
        <w:tab/>
      </w:r>
      <w:r>
        <w:rPr>
          <w:rFonts w:cs="宋体" w:hAnsi="宋体"/>
        </w:rPr>
        <w:t>4</w:t>
      </w:r>
      <w:r>
        <w:rPr>
          <w:rFonts w:cs="宋体" w:hAnsi="宋体" w:hint="eastAsia"/>
        </w:rPr>
        <w:fldChar w:fldCharType="end"/>
      </w:r>
    </w:p>
    <w:p>
      <w:pPr>
        <w:pStyle w:val="15"/>
        <w:tabs>
          <w:tab w:val="right" w:leader="dot" w:pos="9345"/>
        </w:tabs>
        <w:spacing w:beforeAutospacing="0" w:afterAutospacing="0" w:line="240" w:lineRule="auto"/>
        <w:ind w:left="0" w:firstLineChars="100" w:firstLine="210"/>
        <w:rPr>
          <w:rFonts w:cs="宋体" w:hAnsi="宋体" w:hint="eastAsia"/>
          <w:kern w:val="2"/>
          <w:szCs w:val="22"/>
        </w:rPr>
      </w:pPr>
      <w:r>
        <w:rPr>
          <w:rFonts w:cs="宋体" w:hAnsi="宋体" w:hint="eastAsia"/>
        </w:rPr>
        <w:fldChar w:fldCharType="begin"/>
      </w:r>
      <w:r>
        <w:rPr>
          <w:rFonts w:cs="宋体" w:hAnsi="宋体" w:hint="eastAsia"/>
        </w:rPr>
        <w:instrText xml:space="preserve"> HYPERLINK \l "_Toc172016178" </w:instrText>
      </w:r>
      <w:r>
        <w:rPr>
          <w:rFonts w:cs="宋体" w:hAnsi="宋体" w:hint="eastAsia"/>
        </w:rPr>
        <w:fldChar w:fldCharType="separate"/>
      </w:r>
      <w:r>
        <w:rPr>
          <w:rFonts w:cs="宋体" w:hAnsi="宋体" w:hint="eastAsia"/>
        </w:rPr>
        <w:t xml:space="preserve">6.1 </w:t>
      </w:r>
      <w:r>
        <w:rPr>
          <w:rFonts w:cs="宋体" w:hAnsi="宋体"/>
        </w:rPr>
        <w:t xml:space="preserve"> </w:t>
      </w:r>
      <w:r>
        <w:rPr>
          <w:rFonts w:cs="宋体" w:hAnsi="宋体" w:hint="eastAsia"/>
        </w:rPr>
        <w:t>建群阶段</w:t>
        <w:tab/>
      </w:r>
      <w:r>
        <w:rPr>
          <w:rFonts w:cs="宋体" w:hAnsi="宋体"/>
        </w:rPr>
        <w:t>4</w:t>
      </w:r>
      <w:r>
        <w:rPr>
          <w:rFonts w:cs="宋体" w:hAnsi="宋体" w:hint="eastAsia"/>
        </w:rPr>
        <w:fldChar w:fldCharType="end"/>
      </w:r>
    </w:p>
    <w:p>
      <w:pPr>
        <w:pStyle w:val="15"/>
        <w:tabs>
          <w:tab w:val="right" w:leader="dot" w:pos="9345"/>
        </w:tabs>
        <w:spacing w:beforeAutospacing="0" w:afterAutospacing="0" w:line="240" w:lineRule="auto"/>
        <w:ind w:left="0" w:firstLineChars="100" w:firstLine="210"/>
        <w:rPr>
          <w:rFonts w:cs="宋体" w:hAnsi="宋体" w:hint="eastAsia"/>
          <w:kern w:val="2"/>
          <w:szCs w:val="22"/>
        </w:rPr>
      </w:pPr>
      <w:r>
        <w:rPr>
          <w:rFonts w:cs="宋体" w:hAnsi="宋体" w:hint="eastAsia"/>
        </w:rPr>
        <w:fldChar w:fldCharType="begin"/>
      </w:r>
      <w:r>
        <w:rPr>
          <w:rFonts w:cs="宋体" w:hAnsi="宋体" w:hint="eastAsia"/>
        </w:rPr>
        <w:instrText xml:space="preserve"> HYPERLINK \l "_Toc172016179" </w:instrText>
      </w:r>
      <w:r>
        <w:rPr>
          <w:rFonts w:cs="宋体" w:hAnsi="宋体" w:hint="eastAsia"/>
        </w:rPr>
        <w:fldChar w:fldCharType="separate"/>
      </w:r>
      <w:r>
        <w:rPr>
          <w:rFonts w:cs="宋体" w:hAnsi="宋体" w:hint="eastAsia"/>
        </w:rPr>
        <w:t xml:space="preserve">6.2 </w:t>
      </w:r>
      <w:r>
        <w:rPr>
          <w:rFonts w:cs="宋体" w:hAnsi="宋体"/>
        </w:rPr>
        <w:t xml:space="preserve"> </w:t>
      </w:r>
      <w:r>
        <w:rPr>
          <w:rFonts w:cs="宋体" w:hAnsi="宋体" w:hint="eastAsia"/>
        </w:rPr>
        <w:t>形干促成阶段</w:t>
        <w:tab/>
      </w:r>
      <w:r>
        <w:rPr>
          <w:rFonts w:cs="宋体" w:hAnsi="宋体"/>
        </w:rPr>
        <w:t>4</w:t>
      </w:r>
      <w:r>
        <w:rPr>
          <w:rFonts w:cs="宋体" w:hAnsi="宋体" w:hint="eastAsia"/>
        </w:rPr>
        <w:fldChar w:fldCharType="end"/>
      </w:r>
    </w:p>
    <w:p>
      <w:pPr>
        <w:pStyle w:val="15"/>
        <w:tabs>
          <w:tab w:val="right" w:leader="dot" w:pos="9345"/>
        </w:tabs>
        <w:spacing w:beforeAutospacing="0" w:afterAutospacing="0" w:line="240" w:lineRule="auto"/>
        <w:ind w:left="0" w:firstLineChars="100" w:firstLine="210"/>
        <w:rPr>
          <w:rFonts w:cs="宋体" w:hAnsi="宋体" w:hint="eastAsia"/>
          <w:kern w:val="2"/>
          <w:szCs w:val="22"/>
        </w:rPr>
      </w:pPr>
      <w:r>
        <w:rPr>
          <w:rFonts w:cs="宋体" w:hAnsi="宋体" w:hint="eastAsia"/>
        </w:rPr>
        <w:fldChar w:fldCharType="begin"/>
      </w:r>
      <w:r>
        <w:rPr>
          <w:rFonts w:cs="宋体" w:hAnsi="宋体" w:hint="eastAsia"/>
        </w:rPr>
        <w:instrText xml:space="preserve"> HYPERLINK \l "_Toc172016180" </w:instrText>
      </w:r>
      <w:r>
        <w:rPr>
          <w:rFonts w:cs="宋体" w:hAnsi="宋体" w:hint="eastAsia"/>
        </w:rPr>
        <w:fldChar w:fldCharType="separate"/>
      </w:r>
      <w:r>
        <w:rPr>
          <w:rFonts w:cs="宋体" w:hAnsi="宋体" w:hint="eastAsia"/>
        </w:rPr>
        <w:t xml:space="preserve">6.3 </w:t>
      </w:r>
      <w:r>
        <w:rPr>
          <w:rFonts w:cs="宋体" w:hAnsi="宋体"/>
        </w:rPr>
        <w:t xml:space="preserve"> </w:t>
      </w:r>
      <w:r>
        <w:rPr>
          <w:rFonts w:cs="宋体" w:hAnsi="宋体" w:hint="eastAsia"/>
        </w:rPr>
        <w:t>质量提升阶段</w:t>
        <w:tab/>
      </w:r>
      <w:r>
        <w:rPr>
          <w:rFonts w:cs="宋体" w:hAnsi="宋体"/>
        </w:rPr>
        <w:t>4</w:t>
      </w:r>
      <w:r>
        <w:rPr>
          <w:rFonts w:cs="宋体" w:hAnsi="宋体" w:hint="eastAsia"/>
        </w:rPr>
        <w:fldChar w:fldCharType="end"/>
      </w:r>
    </w:p>
    <w:p>
      <w:pPr>
        <w:pStyle w:val="15"/>
        <w:tabs>
          <w:tab w:val="right" w:leader="dot" w:pos="9345"/>
        </w:tabs>
        <w:spacing w:beforeAutospacing="0" w:afterAutospacing="0" w:line="240" w:lineRule="auto"/>
        <w:ind w:left="0" w:firstLineChars="100" w:firstLine="210"/>
        <w:rPr>
          <w:rFonts w:cs="宋体" w:hAnsi="宋体" w:hint="eastAsia"/>
          <w:kern w:val="2"/>
          <w:szCs w:val="22"/>
        </w:rPr>
      </w:pPr>
      <w:r>
        <w:rPr>
          <w:rFonts w:cs="宋体" w:hAnsi="宋体" w:hint="eastAsia"/>
        </w:rPr>
        <w:fldChar w:fldCharType="begin"/>
      </w:r>
      <w:r>
        <w:rPr>
          <w:rFonts w:cs="宋体" w:hAnsi="宋体" w:hint="eastAsia"/>
        </w:rPr>
        <w:instrText xml:space="preserve"> HYPERLINK \l "_Toc172016181" </w:instrText>
      </w:r>
      <w:r>
        <w:rPr>
          <w:rFonts w:cs="宋体" w:hAnsi="宋体" w:hint="eastAsia"/>
        </w:rPr>
        <w:fldChar w:fldCharType="separate"/>
      </w:r>
      <w:r>
        <w:rPr>
          <w:rFonts w:cs="宋体" w:hAnsi="宋体" w:hint="eastAsia"/>
        </w:rPr>
        <w:t xml:space="preserve">6.4 </w:t>
      </w:r>
      <w:r>
        <w:rPr>
          <w:rFonts w:cs="宋体" w:hAnsi="宋体"/>
        </w:rPr>
        <w:t xml:space="preserve"> </w:t>
      </w:r>
      <w:r>
        <w:rPr>
          <w:rFonts w:cs="宋体" w:hAnsi="宋体" w:hint="eastAsia"/>
        </w:rPr>
        <w:t>复层构建阶段</w:t>
        <w:tab/>
      </w:r>
      <w:r>
        <w:rPr>
          <w:rFonts w:cs="宋体" w:hAnsi="宋体"/>
        </w:rPr>
        <w:t>5</w:t>
      </w:r>
      <w:r>
        <w:rPr>
          <w:rFonts w:cs="宋体" w:hAnsi="宋体" w:hint="eastAsia"/>
        </w:rPr>
        <w:fldChar w:fldCharType="end"/>
      </w:r>
    </w:p>
    <w:p>
      <w:pPr>
        <w:pStyle w:val="15"/>
        <w:tabs>
          <w:tab w:val="right" w:leader="dot" w:pos="9345"/>
        </w:tabs>
        <w:spacing w:beforeAutospacing="0" w:afterAutospacing="0" w:line="240" w:lineRule="auto"/>
        <w:ind w:left="0" w:firstLineChars="100" w:firstLine="210"/>
        <w:rPr>
          <w:rFonts w:cs="宋体" w:hAnsi="宋体" w:hint="eastAsia"/>
          <w:kern w:val="2"/>
          <w:szCs w:val="22"/>
        </w:rPr>
      </w:pPr>
      <w:r>
        <w:rPr>
          <w:rFonts w:cs="宋体" w:hAnsi="宋体" w:hint="eastAsia"/>
        </w:rPr>
        <w:fldChar w:fldCharType="begin"/>
      </w:r>
      <w:r>
        <w:rPr>
          <w:rFonts w:cs="宋体" w:hAnsi="宋体" w:hint="eastAsia"/>
        </w:rPr>
        <w:instrText xml:space="preserve"> HYPERLINK \l "_Toc172016182" </w:instrText>
      </w:r>
      <w:r>
        <w:rPr>
          <w:rFonts w:cs="宋体" w:hAnsi="宋体" w:hint="eastAsia"/>
        </w:rPr>
        <w:fldChar w:fldCharType="separate"/>
      </w:r>
      <w:r>
        <w:rPr>
          <w:rFonts w:cs="宋体" w:hAnsi="宋体" w:hint="eastAsia"/>
        </w:rPr>
        <w:t xml:space="preserve">6.5 </w:t>
      </w:r>
      <w:r>
        <w:rPr>
          <w:rFonts w:cs="宋体" w:hAnsi="宋体"/>
        </w:rPr>
        <w:t xml:space="preserve"> </w:t>
      </w:r>
      <w:r>
        <w:rPr>
          <w:rFonts w:cs="宋体" w:hAnsi="宋体" w:hint="eastAsia"/>
        </w:rPr>
        <w:t>恒续结构阶段</w:t>
        <w:tab/>
      </w:r>
      <w:r>
        <w:rPr>
          <w:rFonts w:cs="宋体" w:hAnsi="宋体"/>
        </w:rPr>
        <w:t>6</w:t>
      </w:r>
      <w:r>
        <w:rPr>
          <w:rFonts w:cs="宋体" w:hAnsi="宋体" w:hint="eastAsia"/>
        </w:rPr>
        <w:fldChar w:fldCharType="end"/>
      </w:r>
    </w:p>
    <w:p>
      <w:pPr>
        <w:pStyle w:val="15"/>
        <w:tabs>
          <w:tab w:val="right" w:leader="dot" w:pos="9345"/>
        </w:tabs>
        <w:spacing w:beforeLines="25" w:before="78" w:beforeAutospacing="0" w:afterLines="25" w:after="78" w:afterAutospacing="0" w:line="240" w:lineRule="auto"/>
        <w:rPr>
          <w:rFonts w:cs="宋体" w:hAnsi="宋体" w:hint="eastAsia"/>
          <w:kern w:val="2"/>
          <w:szCs w:val="22"/>
        </w:rPr>
      </w:pPr>
      <w:r>
        <w:rPr>
          <w:rFonts w:cs="宋体" w:hAnsi="宋体" w:hint="eastAsia"/>
        </w:rPr>
        <w:fldChar w:fldCharType="begin"/>
      </w:r>
      <w:r>
        <w:rPr>
          <w:rFonts w:cs="宋体" w:hAnsi="宋体" w:hint="eastAsia"/>
        </w:rPr>
        <w:instrText xml:space="preserve"> HYPERLINK \l "_Toc172016183" </w:instrText>
      </w:r>
      <w:r>
        <w:rPr>
          <w:rFonts w:cs="宋体" w:hAnsi="宋体" w:hint="eastAsia"/>
        </w:rPr>
        <w:fldChar w:fldCharType="separate"/>
      </w:r>
      <w:r>
        <w:rPr>
          <w:rFonts w:cs="宋体" w:hAnsi="宋体" w:hint="eastAsia"/>
        </w:rPr>
        <w:t>7</w:t>
      </w:r>
      <w:r>
        <w:rPr>
          <w:rFonts w:cs="宋体" w:hAnsi="宋体"/>
        </w:rPr>
        <w:t xml:space="preserve"> </w:t>
      </w:r>
      <w:r>
        <w:rPr>
          <w:rFonts w:cs="宋体" w:hAnsi="宋体" w:hint="eastAsia"/>
        </w:rPr>
        <w:t xml:space="preserve"> 采伐管理</w:t>
        <w:tab/>
      </w:r>
      <w:r>
        <w:rPr>
          <w:rFonts w:cs="宋体" w:hAnsi="宋体"/>
        </w:rPr>
        <w:t>6</w:t>
      </w:r>
      <w:r>
        <w:rPr>
          <w:rFonts w:cs="宋体" w:hAnsi="宋体" w:hint="eastAsia"/>
        </w:rPr>
        <w:fldChar w:fldCharType="end"/>
      </w:r>
    </w:p>
    <w:p>
      <w:pPr>
        <w:pStyle w:val="15"/>
        <w:tabs>
          <w:tab w:val="right" w:leader="dot" w:pos="9345"/>
        </w:tabs>
        <w:spacing w:beforeAutospacing="0" w:afterAutospacing="0" w:line="240" w:lineRule="auto"/>
        <w:ind w:left="0" w:firstLineChars="100" w:firstLine="210"/>
        <w:rPr>
          <w:rFonts w:cs="宋体" w:hAnsi="宋体" w:hint="eastAsia"/>
          <w:kern w:val="2"/>
          <w:szCs w:val="22"/>
        </w:rPr>
      </w:pPr>
      <w:r>
        <w:rPr>
          <w:rFonts w:cs="宋体" w:hAnsi="宋体" w:hint="eastAsia"/>
        </w:rPr>
        <w:fldChar w:fldCharType="begin"/>
      </w:r>
      <w:r>
        <w:rPr>
          <w:rFonts w:cs="宋体" w:hAnsi="宋体" w:hint="eastAsia"/>
        </w:rPr>
        <w:instrText xml:space="preserve"> HYPERLINK \l "_Toc172016184" </w:instrText>
      </w:r>
      <w:r>
        <w:rPr>
          <w:rFonts w:cs="宋体" w:hAnsi="宋体" w:hint="eastAsia"/>
        </w:rPr>
        <w:fldChar w:fldCharType="separate"/>
      </w:r>
      <w:r>
        <w:rPr>
          <w:rFonts w:cs="宋体" w:hAnsi="宋体" w:hint="eastAsia"/>
        </w:rPr>
        <w:t>7.1</w:t>
      </w:r>
      <w:r>
        <w:rPr>
          <w:rFonts w:cs="宋体" w:hAnsi="宋体"/>
        </w:rPr>
        <w:t xml:space="preserve">  </w:t>
      </w:r>
      <w:r>
        <w:rPr>
          <w:rFonts w:cs="宋体" w:hAnsi="宋体" w:hint="eastAsia"/>
        </w:rPr>
        <w:t>采伐时间与方式</w:t>
        <w:tab/>
      </w:r>
      <w:r>
        <w:rPr>
          <w:rFonts w:cs="宋体" w:hAnsi="宋体"/>
        </w:rPr>
        <w:t>6</w:t>
      </w:r>
      <w:r>
        <w:rPr>
          <w:rFonts w:cs="宋体" w:hAnsi="宋体" w:hint="eastAsia"/>
        </w:rPr>
        <w:fldChar w:fldCharType="end"/>
      </w:r>
    </w:p>
    <w:p>
      <w:pPr>
        <w:pStyle w:val="15"/>
        <w:tabs>
          <w:tab w:val="right" w:leader="dot" w:pos="9345"/>
        </w:tabs>
        <w:spacing w:beforeAutospacing="0" w:afterAutospacing="0" w:line="240" w:lineRule="auto"/>
        <w:ind w:left="0" w:firstLineChars="100" w:firstLine="210"/>
        <w:rPr>
          <w:rFonts w:cs="宋体" w:hAnsi="宋体" w:hint="eastAsia"/>
          <w:kern w:val="2"/>
          <w:szCs w:val="22"/>
        </w:rPr>
      </w:pPr>
      <w:r>
        <w:rPr>
          <w:rFonts w:cs="宋体" w:hAnsi="宋体" w:hint="eastAsia"/>
        </w:rPr>
        <w:fldChar w:fldCharType="begin"/>
      </w:r>
      <w:r>
        <w:rPr>
          <w:rFonts w:cs="宋体" w:hAnsi="宋体" w:hint="eastAsia"/>
        </w:rPr>
        <w:instrText xml:space="preserve"> HYPERLINK \l "_Toc172016185" </w:instrText>
      </w:r>
      <w:r>
        <w:rPr>
          <w:rFonts w:cs="宋体" w:hAnsi="宋体" w:hint="eastAsia"/>
        </w:rPr>
        <w:fldChar w:fldCharType="separate"/>
      </w:r>
      <w:r>
        <w:rPr>
          <w:rFonts w:cs="宋体" w:hAnsi="宋体" w:hint="eastAsia"/>
        </w:rPr>
        <w:t>7.2</w:t>
      </w:r>
      <w:r>
        <w:rPr>
          <w:rFonts w:cs="宋体" w:hAnsi="宋体"/>
        </w:rPr>
        <w:t xml:space="preserve">  </w:t>
      </w:r>
      <w:r>
        <w:rPr>
          <w:rFonts w:cs="宋体" w:hAnsi="宋体" w:hint="eastAsia"/>
        </w:rPr>
        <w:t>林道设计与集材</w:t>
        <w:tab/>
      </w:r>
      <w:r>
        <w:rPr>
          <w:rFonts w:cs="宋体" w:hAnsi="宋体"/>
        </w:rPr>
        <w:t>6</w:t>
      </w:r>
      <w:r>
        <w:rPr>
          <w:rFonts w:cs="宋体" w:hAnsi="宋体" w:hint="eastAsia"/>
        </w:rPr>
        <w:fldChar w:fldCharType="end"/>
      </w:r>
    </w:p>
    <w:p>
      <w:pPr>
        <w:pStyle w:val="15"/>
        <w:tabs>
          <w:tab w:val="right" w:leader="dot" w:pos="9345"/>
        </w:tabs>
        <w:spacing w:beforeAutospacing="0" w:afterAutospacing="0" w:line="240" w:lineRule="auto"/>
        <w:ind w:left="0" w:firstLineChars="100" w:firstLine="210"/>
        <w:rPr>
          <w:rFonts w:cs="宋体" w:hAnsi="宋体" w:hint="eastAsia"/>
          <w:kern w:val="2"/>
          <w:szCs w:val="22"/>
        </w:rPr>
      </w:pPr>
      <w:r>
        <w:rPr>
          <w:rFonts w:cs="宋体" w:hAnsi="宋体" w:hint="eastAsia"/>
        </w:rPr>
        <w:fldChar w:fldCharType="begin"/>
      </w:r>
      <w:r>
        <w:rPr>
          <w:rFonts w:cs="宋体" w:hAnsi="宋体" w:hint="eastAsia"/>
        </w:rPr>
        <w:instrText xml:space="preserve"> HYPERLINK \l "_Toc172016186" </w:instrText>
      </w:r>
      <w:r>
        <w:rPr>
          <w:rFonts w:cs="宋体" w:hAnsi="宋体" w:hint="eastAsia"/>
        </w:rPr>
        <w:fldChar w:fldCharType="separate"/>
      </w:r>
      <w:r>
        <w:rPr>
          <w:rFonts w:cs="宋体" w:hAnsi="宋体" w:hint="eastAsia"/>
        </w:rPr>
        <w:t>7.3</w:t>
      </w:r>
      <w:r>
        <w:rPr>
          <w:rFonts w:cs="宋体" w:hAnsi="宋体"/>
        </w:rPr>
        <w:t xml:space="preserve">  </w:t>
      </w:r>
      <w:r>
        <w:rPr>
          <w:rFonts w:cs="宋体" w:hAnsi="宋体" w:hint="eastAsia"/>
        </w:rPr>
        <w:t>保留木防护</w:t>
        <w:tab/>
      </w:r>
      <w:r>
        <w:rPr>
          <w:rFonts w:cs="宋体" w:hAnsi="宋体"/>
        </w:rPr>
        <w:t>7</w:t>
      </w:r>
      <w:r>
        <w:rPr>
          <w:rFonts w:cs="宋体" w:hAnsi="宋体" w:hint="eastAsia"/>
        </w:rPr>
        <w:fldChar w:fldCharType="end"/>
      </w:r>
    </w:p>
    <w:p>
      <w:pPr>
        <w:pStyle w:val="15"/>
        <w:tabs>
          <w:tab w:val="right" w:leader="dot" w:pos="9345"/>
        </w:tabs>
        <w:spacing w:beforeAutospacing="0" w:afterAutospacing="0" w:line="240" w:lineRule="auto"/>
        <w:ind w:left="0" w:firstLineChars="100" w:firstLine="210"/>
        <w:rPr>
          <w:rFonts w:cs="宋体" w:hAnsi="宋体" w:hint="eastAsia"/>
          <w:kern w:val="2"/>
          <w:szCs w:val="22"/>
        </w:rPr>
      </w:pPr>
      <w:r>
        <w:rPr>
          <w:rFonts w:cs="宋体" w:hAnsi="宋体" w:hint="eastAsia"/>
        </w:rPr>
        <w:fldChar w:fldCharType="begin"/>
      </w:r>
      <w:r>
        <w:rPr>
          <w:rFonts w:cs="宋体" w:hAnsi="宋体" w:hint="eastAsia"/>
        </w:rPr>
        <w:instrText xml:space="preserve"> HYPERLINK \l "_Toc172016187" </w:instrText>
      </w:r>
      <w:r>
        <w:rPr>
          <w:rFonts w:cs="宋体" w:hAnsi="宋体" w:hint="eastAsia"/>
        </w:rPr>
        <w:fldChar w:fldCharType="separate"/>
      </w:r>
      <w:r>
        <w:rPr>
          <w:rFonts w:cs="宋体" w:hAnsi="宋体" w:hint="eastAsia"/>
        </w:rPr>
        <w:t>7.4</w:t>
      </w:r>
      <w:r>
        <w:rPr>
          <w:rFonts w:cs="宋体" w:hAnsi="宋体"/>
        </w:rPr>
        <w:t xml:space="preserve">  </w:t>
      </w:r>
      <w:r>
        <w:rPr>
          <w:rFonts w:cs="宋体" w:hAnsi="宋体" w:hint="eastAsia"/>
        </w:rPr>
        <w:t>幼苗幼树保护</w:t>
        <w:tab/>
      </w:r>
      <w:r>
        <w:rPr>
          <w:rFonts w:cs="宋体" w:hAnsi="宋体"/>
        </w:rPr>
        <w:t>7</w:t>
      </w:r>
      <w:r>
        <w:rPr>
          <w:rFonts w:cs="宋体" w:hAnsi="宋体" w:hint="eastAsia"/>
        </w:rPr>
        <w:fldChar w:fldCharType="end"/>
      </w:r>
    </w:p>
    <w:p>
      <w:pPr>
        <w:pStyle w:val="15"/>
        <w:tabs>
          <w:tab w:val="right" w:leader="dot" w:pos="9345"/>
        </w:tabs>
        <w:spacing w:beforeLines="25" w:before="78" w:beforeAutospacing="0" w:afterLines="25" w:after="78" w:afterAutospacing="0" w:line="240" w:lineRule="auto"/>
        <w:rPr>
          <w:rFonts w:cs="宋体" w:hAnsi="宋体" w:hint="eastAsia"/>
          <w:kern w:val="2"/>
          <w:szCs w:val="22"/>
        </w:rPr>
      </w:pPr>
      <w:r>
        <w:rPr>
          <w:rFonts w:cs="宋体" w:hAnsi="宋体" w:hint="eastAsia"/>
        </w:rPr>
        <w:fldChar w:fldCharType="begin"/>
      </w:r>
      <w:r>
        <w:rPr>
          <w:rFonts w:cs="宋体" w:hAnsi="宋体" w:hint="eastAsia"/>
        </w:rPr>
        <w:instrText xml:space="preserve"> HYPERLINK \l "_Toc172016188" </w:instrText>
      </w:r>
      <w:r>
        <w:rPr>
          <w:rFonts w:cs="宋体" w:hAnsi="宋体" w:hint="eastAsia"/>
        </w:rPr>
        <w:fldChar w:fldCharType="separate"/>
      </w:r>
      <w:r>
        <w:rPr>
          <w:rFonts w:cs="宋体" w:hAnsi="宋体" w:hint="eastAsia"/>
        </w:rPr>
        <w:t xml:space="preserve">8 </w:t>
      </w:r>
      <w:r>
        <w:rPr>
          <w:rFonts w:cs="宋体" w:hAnsi="宋体"/>
        </w:rPr>
        <w:t xml:space="preserve"> </w:t>
      </w:r>
      <w:r>
        <w:rPr>
          <w:rFonts w:cs="宋体" w:hAnsi="宋体" w:hint="eastAsia"/>
        </w:rPr>
        <w:t>生物多样性保护</w:t>
        <w:tab/>
      </w:r>
      <w:r>
        <w:rPr>
          <w:rFonts w:cs="宋体" w:hAnsi="宋体"/>
        </w:rPr>
        <w:t>7</w:t>
      </w:r>
      <w:r>
        <w:rPr>
          <w:rFonts w:cs="宋体" w:hAnsi="宋体" w:hint="eastAsia"/>
        </w:rPr>
        <w:fldChar w:fldCharType="end"/>
      </w:r>
    </w:p>
    <w:p>
      <w:pPr>
        <w:pStyle w:val="15"/>
        <w:tabs>
          <w:tab w:val="right" w:leader="dot" w:pos="9345"/>
        </w:tabs>
        <w:spacing w:beforeLines="25" w:before="78" w:beforeAutospacing="0" w:afterLines="25" w:after="78" w:afterAutospacing="0" w:line="240" w:lineRule="auto"/>
        <w:rPr>
          <w:rFonts w:cs="宋体" w:hAnsi="宋体" w:hint="eastAsia"/>
          <w:kern w:val="2"/>
          <w:szCs w:val="22"/>
        </w:rPr>
      </w:pPr>
      <w:r>
        <w:rPr>
          <w:rFonts w:cs="宋体" w:hAnsi="宋体" w:hint="eastAsia"/>
        </w:rPr>
        <w:fldChar w:fldCharType="begin"/>
      </w:r>
      <w:r>
        <w:rPr>
          <w:rFonts w:cs="宋体" w:hAnsi="宋体" w:hint="eastAsia"/>
        </w:rPr>
        <w:instrText xml:space="preserve"> HYPERLINK \l "_Toc172016189" </w:instrText>
      </w:r>
      <w:r>
        <w:rPr>
          <w:rFonts w:cs="宋体" w:hAnsi="宋体" w:hint="eastAsia"/>
        </w:rPr>
        <w:fldChar w:fldCharType="separate"/>
      </w:r>
      <w:r>
        <w:rPr>
          <w:rFonts w:cs="宋体" w:hAnsi="宋体" w:hint="eastAsia"/>
        </w:rPr>
        <w:t xml:space="preserve">9 </w:t>
      </w:r>
      <w:r>
        <w:rPr>
          <w:rFonts w:cs="宋体" w:hAnsi="宋体"/>
        </w:rPr>
        <w:t xml:space="preserve"> </w:t>
      </w:r>
      <w:r>
        <w:rPr>
          <w:rFonts w:cs="宋体" w:hAnsi="宋体" w:hint="eastAsia"/>
        </w:rPr>
        <w:t>林下植被与土壤管理</w:t>
        <w:tab/>
      </w:r>
      <w:r>
        <w:rPr>
          <w:rFonts w:cs="宋体" w:hAnsi="宋体"/>
        </w:rPr>
        <w:t>7</w:t>
      </w:r>
      <w:r>
        <w:rPr>
          <w:rFonts w:cs="宋体" w:hAnsi="宋体" w:hint="eastAsia"/>
        </w:rPr>
        <w:fldChar w:fldCharType="end"/>
      </w:r>
    </w:p>
    <w:p>
      <w:pPr>
        <w:pStyle w:val="15"/>
        <w:tabs>
          <w:tab w:val="right" w:leader="dot" w:pos="9345"/>
        </w:tabs>
        <w:spacing w:beforeAutospacing="0" w:afterAutospacing="0" w:line="240" w:lineRule="auto"/>
        <w:ind w:left="0" w:firstLineChars="100" w:firstLine="210"/>
        <w:rPr>
          <w:rFonts w:cs="宋体" w:hAnsi="宋体" w:hint="eastAsia"/>
          <w:kern w:val="2"/>
          <w:szCs w:val="22"/>
        </w:rPr>
      </w:pPr>
      <w:r>
        <w:rPr>
          <w:rFonts w:cs="宋体" w:hAnsi="宋体" w:hint="eastAsia"/>
        </w:rPr>
        <w:fldChar w:fldCharType="begin"/>
      </w:r>
      <w:r>
        <w:rPr>
          <w:rFonts w:cs="宋体" w:hAnsi="宋体" w:hint="eastAsia"/>
        </w:rPr>
        <w:instrText xml:space="preserve"> HYPERLINK \l "_Toc172016190" </w:instrText>
      </w:r>
      <w:r>
        <w:rPr>
          <w:rFonts w:cs="宋体" w:hAnsi="宋体" w:hint="eastAsia"/>
        </w:rPr>
        <w:fldChar w:fldCharType="separate"/>
      </w:r>
      <w:r>
        <w:rPr>
          <w:rFonts w:cs="宋体" w:hAnsi="宋体" w:hint="eastAsia"/>
        </w:rPr>
        <w:t>9.1</w:t>
      </w:r>
      <w:r>
        <w:rPr>
          <w:rFonts w:cs="宋体" w:hAnsi="宋体"/>
        </w:rPr>
        <w:t xml:space="preserve">  </w:t>
      </w:r>
      <w:r>
        <w:rPr>
          <w:rFonts w:cs="宋体" w:hAnsi="宋体" w:hint="eastAsia"/>
        </w:rPr>
        <w:t>林下植被管理</w:t>
        <w:tab/>
      </w:r>
      <w:r>
        <w:rPr>
          <w:rFonts w:cs="宋体" w:hAnsi="宋体"/>
        </w:rPr>
        <w:t>7</w:t>
      </w:r>
      <w:r>
        <w:rPr>
          <w:rFonts w:cs="宋体" w:hAnsi="宋体" w:hint="eastAsia"/>
        </w:rPr>
        <w:fldChar w:fldCharType="end"/>
      </w:r>
    </w:p>
    <w:p>
      <w:pPr>
        <w:pStyle w:val="15"/>
        <w:tabs>
          <w:tab w:val="right" w:leader="dot" w:pos="9345"/>
        </w:tabs>
        <w:spacing w:beforeAutospacing="0" w:afterAutospacing="0" w:line="240" w:lineRule="auto"/>
        <w:ind w:left="0" w:firstLineChars="100" w:firstLine="210"/>
        <w:rPr>
          <w:rFonts w:cs="宋体" w:hAnsi="宋体" w:hint="eastAsia"/>
          <w:kern w:val="2"/>
          <w:szCs w:val="22"/>
        </w:rPr>
      </w:pPr>
      <w:r>
        <w:rPr>
          <w:rFonts w:cs="宋体" w:hAnsi="宋体" w:hint="eastAsia"/>
        </w:rPr>
        <w:fldChar w:fldCharType="begin"/>
      </w:r>
      <w:r>
        <w:rPr>
          <w:rFonts w:cs="宋体" w:hAnsi="宋体" w:hint="eastAsia"/>
        </w:rPr>
        <w:instrText xml:space="preserve"> HYPERLINK \l "_Toc172016191" </w:instrText>
      </w:r>
      <w:r>
        <w:rPr>
          <w:rFonts w:cs="宋体" w:hAnsi="宋体" w:hint="eastAsia"/>
        </w:rPr>
        <w:fldChar w:fldCharType="separate"/>
      </w:r>
      <w:r>
        <w:rPr>
          <w:rFonts w:cs="宋体" w:hAnsi="宋体" w:hint="eastAsia"/>
        </w:rPr>
        <w:t>9.2</w:t>
      </w:r>
      <w:r>
        <w:rPr>
          <w:rFonts w:cs="宋体" w:hAnsi="宋体"/>
        </w:rPr>
        <w:t xml:space="preserve">  </w:t>
      </w:r>
      <w:r>
        <w:rPr>
          <w:rFonts w:cs="宋体" w:hAnsi="宋体" w:hint="eastAsia"/>
        </w:rPr>
        <w:t>土壤管理</w:t>
        <w:tab/>
      </w:r>
      <w:r>
        <w:rPr>
          <w:rFonts w:cs="宋体" w:hAnsi="宋体"/>
        </w:rPr>
        <w:t>7</w:t>
      </w:r>
      <w:r>
        <w:rPr>
          <w:rFonts w:cs="宋体" w:hAnsi="宋体" w:hint="eastAsia"/>
        </w:rPr>
        <w:fldChar w:fldCharType="end"/>
      </w:r>
    </w:p>
    <w:p>
      <w:pPr>
        <w:pStyle w:val="15"/>
        <w:tabs>
          <w:tab w:val="right" w:leader="dot" w:pos="9345"/>
        </w:tabs>
        <w:spacing w:beforeLines="25" w:before="78" w:beforeAutospacing="0" w:afterLines="25" w:after="78" w:afterAutospacing="0" w:line="240" w:lineRule="auto"/>
        <w:rPr>
          <w:rFonts w:cs="宋体" w:hAnsi="宋体" w:hint="eastAsia"/>
          <w:kern w:val="2"/>
          <w:szCs w:val="22"/>
        </w:rPr>
      </w:pPr>
      <w:r>
        <w:rPr>
          <w:rFonts w:cs="宋体" w:hAnsi="宋体" w:hint="eastAsia"/>
        </w:rPr>
        <w:fldChar w:fldCharType="begin"/>
      </w:r>
      <w:r>
        <w:rPr>
          <w:rFonts w:cs="宋体" w:hAnsi="宋体" w:hint="eastAsia"/>
        </w:rPr>
        <w:instrText xml:space="preserve"> HYPERLINK \l "_Toc172016192" </w:instrText>
      </w:r>
      <w:r>
        <w:rPr>
          <w:rFonts w:cs="宋体" w:hAnsi="宋体" w:hint="eastAsia"/>
        </w:rPr>
        <w:fldChar w:fldCharType="separate"/>
      </w:r>
      <w:r>
        <w:rPr>
          <w:rFonts w:cs="宋体" w:hAnsi="宋体" w:hint="eastAsia"/>
        </w:rPr>
        <w:t>10</w:t>
      </w:r>
      <w:r>
        <w:rPr>
          <w:rFonts w:cs="宋体" w:hAnsi="宋体"/>
        </w:rPr>
        <w:t xml:space="preserve"> </w:t>
      </w:r>
      <w:r>
        <w:rPr>
          <w:rFonts w:cs="宋体" w:hAnsi="宋体" w:hint="eastAsia"/>
        </w:rPr>
        <w:t xml:space="preserve"> 森林防火与有害生物防治</w:t>
        <w:tab/>
      </w:r>
      <w:r>
        <w:rPr>
          <w:rFonts w:cs="宋体" w:hAnsi="宋体"/>
        </w:rPr>
        <w:t>8</w:t>
      </w:r>
      <w:r>
        <w:rPr>
          <w:rFonts w:cs="宋体" w:hAnsi="宋体" w:hint="eastAsia"/>
        </w:rPr>
        <w:fldChar w:fldCharType="end"/>
      </w:r>
    </w:p>
    <w:p>
      <w:pPr>
        <w:pStyle w:val="15"/>
        <w:tabs>
          <w:tab w:val="right" w:leader="dot" w:pos="9345"/>
        </w:tabs>
        <w:spacing w:beforeAutospacing="0" w:afterAutospacing="0" w:line="240" w:lineRule="auto"/>
        <w:ind w:left="0" w:firstLineChars="100" w:firstLine="210"/>
        <w:rPr>
          <w:rFonts w:cs="宋体" w:hAnsi="宋体" w:hint="eastAsia"/>
          <w:kern w:val="2"/>
          <w:szCs w:val="22"/>
        </w:rPr>
      </w:pPr>
      <w:r>
        <w:rPr>
          <w:rFonts w:cs="宋体" w:hAnsi="宋体" w:hint="eastAsia"/>
        </w:rPr>
        <w:fldChar w:fldCharType="begin"/>
      </w:r>
      <w:r>
        <w:rPr>
          <w:rFonts w:cs="宋体" w:hAnsi="宋体" w:hint="eastAsia"/>
        </w:rPr>
        <w:instrText xml:space="preserve"> HYPERLINK \l "_Toc172016193" </w:instrText>
      </w:r>
      <w:r>
        <w:rPr>
          <w:rFonts w:cs="宋体" w:hAnsi="宋体" w:hint="eastAsia"/>
        </w:rPr>
        <w:fldChar w:fldCharType="separate"/>
      </w:r>
      <w:r>
        <w:rPr>
          <w:rFonts w:cs="宋体" w:hAnsi="宋体" w:hint="eastAsia"/>
        </w:rPr>
        <w:t>10.1</w:t>
      </w:r>
      <w:r>
        <w:rPr>
          <w:rFonts w:cs="宋体" w:hAnsi="宋体"/>
        </w:rPr>
        <w:t xml:space="preserve">  </w:t>
      </w:r>
      <w:r>
        <w:rPr>
          <w:rFonts w:cs="宋体" w:hAnsi="宋体" w:hint="eastAsia"/>
        </w:rPr>
        <w:t>森林防火</w:t>
        <w:tab/>
      </w:r>
      <w:r>
        <w:rPr>
          <w:rFonts w:cs="宋体" w:hAnsi="宋体"/>
        </w:rPr>
        <w:t>8</w:t>
      </w:r>
      <w:r>
        <w:rPr>
          <w:rFonts w:cs="宋体" w:hAnsi="宋体" w:hint="eastAsia"/>
        </w:rPr>
        <w:fldChar w:fldCharType="end"/>
      </w:r>
    </w:p>
    <w:p>
      <w:pPr>
        <w:pStyle w:val="15"/>
        <w:tabs>
          <w:tab w:val="right" w:leader="dot" w:pos="9345"/>
        </w:tabs>
        <w:spacing w:beforeAutospacing="0" w:afterAutospacing="0" w:line="240" w:lineRule="auto"/>
        <w:ind w:left="0" w:firstLineChars="100" w:firstLine="210"/>
        <w:rPr>
          <w:rFonts w:cs="宋体" w:hAnsi="宋体" w:hint="eastAsia"/>
          <w:kern w:val="2"/>
          <w:szCs w:val="22"/>
        </w:rPr>
      </w:pPr>
      <w:r>
        <w:rPr>
          <w:rFonts w:cs="宋体" w:hAnsi="宋体" w:hint="eastAsia"/>
        </w:rPr>
        <w:fldChar w:fldCharType="begin"/>
      </w:r>
      <w:r>
        <w:rPr>
          <w:rFonts w:cs="宋体" w:hAnsi="宋体" w:hint="eastAsia"/>
        </w:rPr>
        <w:instrText xml:space="preserve"> HYPERLINK \l "_Toc172016194" </w:instrText>
      </w:r>
      <w:r>
        <w:rPr>
          <w:rFonts w:cs="宋体" w:hAnsi="宋体" w:hint="eastAsia"/>
        </w:rPr>
        <w:fldChar w:fldCharType="separate"/>
      </w:r>
      <w:r>
        <w:rPr>
          <w:rFonts w:cs="宋体" w:hAnsi="宋体" w:hint="eastAsia"/>
        </w:rPr>
        <w:t>10.2</w:t>
      </w:r>
      <w:r>
        <w:rPr>
          <w:rFonts w:cs="宋体" w:hAnsi="宋体"/>
        </w:rPr>
        <w:t xml:space="preserve">  </w:t>
      </w:r>
      <w:r>
        <w:rPr>
          <w:rFonts w:cs="宋体" w:hAnsi="宋体" w:hint="eastAsia"/>
        </w:rPr>
        <w:t>有害生物防治</w:t>
        <w:tab/>
      </w:r>
      <w:r>
        <w:rPr>
          <w:rFonts w:cs="宋体" w:hAnsi="宋体"/>
        </w:rPr>
        <w:t>8</w:t>
      </w:r>
      <w:r>
        <w:rPr>
          <w:rFonts w:cs="宋体" w:hAnsi="宋体" w:hint="eastAsia"/>
        </w:rPr>
        <w:fldChar w:fldCharType="end"/>
      </w:r>
    </w:p>
    <w:p>
      <w:pPr>
        <w:pStyle w:val="15"/>
        <w:tabs>
          <w:tab w:val="right" w:leader="dot" w:pos="9345"/>
        </w:tabs>
        <w:spacing w:beforeLines="25" w:before="78" w:beforeAutospacing="0" w:afterLines="25" w:after="78" w:afterAutospacing="0" w:line="240" w:lineRule="auto"/>
        <w:rPr>
          <w:rFonts w:cs="宋体" w:hAnsi="宋体" w:hint="eastAsia"/>
          <w:kern w:val="2"/>
          <w:szCs w:val="22"/>
        </w:rPr>
      </w:pPr>
      <w:r>
        <w:rPr>
          <w:rFonts w:cs="宋体" w:hAnsi="宋体" w:hint="eastAsia"/>
        </w:rPr>
        <w:fldChar w:fldCharType="begin"/>
      </w:r>
      <w:r>
        <w:rPr>
          <w:rFonts w:cs="宋体" w:hAnsi="宋体" w:hint="eastAsia"/>
        </w:rPr>
        <w:instrText xml:space="preserve"> HYPERLINK \l "_Toc172016195" </w:instrText>
      </w:r>
      <w:r>
        <w:rPr>
          <w:rFonts w:cs="宋体" w:hAnsi="宋体" w:hint="eastAsia"/>
        </w:rPr>
        <w:fldChar w:fldCharType="separate"/>
      </w:r>
      <w:r>
        <w:rPr>
          <w:rFonts w:cs="宋体" w:hAnsi="宋体" w:hint="eastAsia"/>
        </w:rPr>
        <w:t>11</w:t>
      </w:r>
      <w:r>
        <w:rPr>
          <w:rFonts w:cs="宋体" w:hAnsi="宋体"/>
        </w:rPr>
        <w:t xml:space="preserve"> </w:t>
      </w:r>
      <w:r>
        <w:rPr>
          <w:rFonts w:cs="宋体" w:hAnsi="宋体" w:hint="eastAsia"/>
        </w:rPr>
        <w:t xml:space="preserve"> 抚育设计</w:t>
        <w:tab/>
      </w:r>
      <w:r>
        <w:rPr>
          <w:rFonts w:cs="宋体" w:hAnsi="宋体"/>
        </w:rPr>
        <w:t>8</w:t>
      </w:r>
      <w:r>
        <w:rPr>
          <w:rFonts w:cs="宋体" w:hAnsi="宋体" w:hint="eastAsia"/>
        </w:rPr>
        <w:fldChar w:fldCharType="end"/>
      </w:r>
    </w:p>
    <w:p>
      <w:pPr>
        <w:pStyle w:val="15"/>
        <w:tabs>
          <w:tab w:val="right" w:leader="dot" w:pos="9345"/>
        </w:tabs>
        <w:spacing w:beforeLines="25" w:before="78" w:beforeAutospacing="0" w:afterLines="25" w:after="78" w:afterAutospacing="0" w:line="240" w:lineRule="auto"/>
        <w:rPr>
          <w:rFonts w:cs="宋体" w:hAnsi="宋体"/>
        </w:rPr>
      </w:pPr>
      <w:r>
        <w:rPr>
          <w:rFonts w:cs="宋体" w:hAnsi="宋体" w:hint="eastAsia"/>
        </w:rPr>
        <w:fldChar w:fldCharType="begin"/>
      </w:r>
      <w:r>
        <w:rPr>
          <w:rFonts w:cs="宋体" w:hAnsi="宋体" w:hint="eastAsia"/>
        </w:rPr>
        <w:instrText xml:space="preserve"> HYPERLINK \l "_Toc172016196" </w:instrText>
      </w:r>
      <w:r>
        <w:rPr>
          <w:rFonts w:cs="宋体" w:hAnsi="宋体" w:hint="eastAsia"/>
        </w:rPr>
        <w:fldChar w:fldCharType="separate"/>
      </w:r>
      <w:r>
        <w:rPr>
          <w:rFonts w:cs="宋体" w:hAnsi="宋体" w:hint="eastAsia"/>
        </w:rPr>
        <w:t xml:space="preserve">12 </w:t>
      </w:r>
      <w:r>
        <w:rPr>
          <w:rFonts w:cs="宋体" w:hAnsi="宋体"/>
        </w:rPr>
        <w:t xml:space="preserve"> </w:t>
      </w:r>
      <w:r>
        <w:rPr>
          <w:rFonts w:cs="宋体" w:hAnsi="宋体" w:hint="eastAsia"/>
        </w:rPr>
        <w:t>档案管理</w:t>
        <w:tab/>
      </w:r>
      <w:r>
        <w:rPr>
          <w:rFonts w:cs="宋体" w:hAnsi="宋体"/>
        </w:rPr>
        <w:t>8</w:t>
      </w:r>
      <w:r>
        <w:rPr>
          <w:rFonts w:cs="宋体" w:hAnsi="宋体" w:hint="eastAsia"/>
        </w:rPr>
        <w:fldChar w:fldCharType="end"/>
      </w:r>
    </w:p>
    <w:p>
      <w:r>
        <w:t>参考文献</w:t>
      </w:r>
      <w:r>
        <w:rPr>
          <w:rFonts w:ascii="宋体" w:cs="宋体" w:hAnsi="宋体" w:hint="eastAsia"/>
        </w:rPr>
        <w:t>................................................................................</w:t>
      </w:r>
      <w:r>
        <w:rPr>
          <w:rFonts w:ascii="宋体" w:cs="宋体" w:hAnsi="宋体"/>
        </w:rPr>
        <w:t>9</w:t>
      </w:r>
    </w:p>
    <w:p>
      <w:pPr>
        <w:pStyle w:val="15"/>
        <w:tabs>
          <w:tab w:val="clear" w:pos="9345"/>
          <w:tab w:val="right" w:leader="dot" w:pos="9345"/>
          <w:tab w:val="right" w:leader="dot" w:pos="9354"/>
        </w:tabs>
      </w:pPr>
      <w:r>
        <w:rPr>
          <w:bCs/>
        </w:rPr>
        <w:fldChar w:fldCharType="end"/>
      </w:r>
    </w:p>
    <w:p>
      <w:pPr>
        <w:rPr>
          <w:bCs/>
        </w:rPr>
        <w:sectPr>
          <w:headerReference w:type="default" r:id="rId4"/>
          <w:headerReference w:type="even" r:id="rId5"/>
          <w:footerReference w:type="default" r:id="rId6"/>
          <w:pgSz w:w="11907" w:h="16839"/>
          <w:pgMar w:top="1418" w:right="1134" w:bottom="1134" w:left="1418" w:header="1418" w:footer="1134" w:gutter="0"/>
          <w:pgNumType w:fmt="upperRoman" w:start="1"/>
          <w:cols w:num="1" w:space="720"/>
          <w:docGrid w:type="lines" w:linePitch="312" w:charSpace="0"/>
        </w:sectPr>
      </w:pPr>
    </w:p>
    <w:p>
      <w:pPr>
        <w:pStyle w:val="1"/>
        <w:spacing w:beforeLines="50" w:before="156" w:afterLines="50" w:after="156" w:line="360" w:lineRule="auto"/>
        <w:rPr>
          <w:rFonts w:eastAsia="黑体"/>
          <w:b w:val="0"/>
          <w:sz w:val="28"/>
          <w:szCs w:val="28"/>
        </w:rPr>
        <w:sectPr>
          <w:headerReference w:type="default" r:id="rId7"/>
          <w:headerReference w:type="even" r:id="rId8"/>
          <w:footerReference w:type="default" r:id="rId9"/>
          <w:footerReference w:type="even" r:id="rId10"/>
          <w:pgSz w:w="11907" w:h="16839"/>
          <w:pgMar w:top="1418" w:right="1134" w:bottom="1134" w:left="1418" w:header="1418" w:footer="1134" w:gutter="0"/>
          <w:pgNumType w:fmt="upperRoman"/>
          <w:cols w:num="1" w:space="720"/>
          <w:docGrid w:type="lines" w:linePitch="312" w:charSpace="0"/>
        </w:sectPr>
      </w:pPr>
      <w:bookmarkStart w:id="1" w:name="_Toc21223"/>
    </w:p>
    <w:p>
      <w:pPr>
        <w:pStyle w:val="1"/>
        <w:spacing w:before="851" w:after="680" w:line="160" w:lineRule="atLeast"/>
        <w:jc w:val="center"/>
        <w:rPr>
          <w:rFonts w:eastAsia="黑体"/>
          <w:b w:val="0"/>
          <w:bCs w:val="0"/>
          <w:sz w:val="32"/>
          <w:szCs w:val="32"/>
          <w:shd w:val="clear" w:color="auto" w:fill="auto"/>
        </w:rPr>
      </w:pPr>
      <w:bookmarkStart w:id="2" w:name="_Toc172016169"/>
      <w:r>
        <w:rPr>
          <w:rFonts w:eastAsia="黑体"/>
          <w:b w:val="0"/>
          <w:bCs w:val="0"/>
          <w:sz w:val="32"/>
          <w:szCs w:val="32"/>
          <w:shd w:val="clear" w:color="auto" w:fill="auto"/>
        </w:rPr>
        <w:t>前 言</w:t>
      </w:r>
      <w:bookmarkEnd w:id="1"/>
      <w:bookmarkEnd w:id="2"/>
    </w:p>
    <w:p>
      <w:pPr>
        <w:spacing w:line="400" w:lineRule="exact"/>
        <w:ind w:firstLineChars="200" w:firstLine="420"/>
        <w:rPr>
          <w:rFonts w:ascii="宋体" w:cs="宋体" w:hint="eastAsia"/>
          <w:szCs w:val="21"/>
          <w:shd w:val="clear" w:color="auto" w:fill="auto"/>
        </w:rPr>
      </w:pPr>
      <w:r>
        <w:rPr>
          <w:rFonts w:ascii="宋体" w:cs="宋体" w:hint="eastAsia"/>
          <w:szCs w:val="21"/>
          <w:shd w:val="clear" w:color="auto" w:fill="auto"/>
        </w:rPr>
        <w:t>本文件按照GB/T 1.1—2020《标准化工作导则第 1 部分：标准化文件的结构和起草规则》的规定起草。</w:t>
      </w:r>
    </w:p>
    <w:p>
      <w:pPr>
        <w:spacing w:line="400" w:lineRule="exact"/>
        <w:ind w:firstLineChars="200" w:firstLine="420"/>
        <w:rPr>
          <w:rFonts w:ascii="宋体" w:cs="宋体" w:hint="eastAsia"/>
          <w:szCs w:val="21"/>
          <w:shd w:val="clear" w:color="auto" w:fill="auto"/>
        </w:rPr>
      </w:pPr>
      <w:r>
        <w:rPr>
          <w:rFonts w:ascii="宋体" w:cs="宋体" w:hint="eastAsia"/>
          <w:szCs w:val="21"/>
          <w:shd w:val="clear" w:color="auto" w:fill="auto"/>
        </w:rPr>
        <w:t>本</w:t>
      </w:r>
      <w:r>
        <w:rPr>
          <w:rFonts w:ascii="宋体" w:cs="宋体"/>
          <w:szCs w:val="21"/>
          <w:shd w:val="clear" w:color="auto" w:fill="auto"/>
        </w:rPr>
        <w:t>文件</w:t>
      </w:r>
      <w:r>
        <w:rPr>
          <w:rFonts w:ascii="宋体" w:cs="宋体" w:hint="eastAsia"/>
          <w:szCs w:val="21"/>
          <w:shd w:val="clear" w:color="auto" w:fill="auto"/>
        </w:rPr>
        <w:t>由河北省林业和草原局提出并归口。</w:t>
      </w:r>
    </w:p>
    <w:p>
      <w:pPr>
        <w:spacing w:line="400" w:lineRule="exact"/>
        <w:ind w:firstLineChars="200" w:firstLine="420"/>
        <w:rPr>
          <w:rFonts w:ascii="宋体" w:cs="宋体" w:hint="eastAsia"/>
          <w:szCs w:val="21"/>
          <w:shd w:val="clear" w:color="auto" w:fill="auto"/>
        </w:rPr>
      </w:pPr>
      <w:r>
        <w:rPr>
          <w:rFonts w:ascii="宋体" w:cs="宋体" w:hint="eastAsia"/>
          <w:szCs w:val="21"/>
          <w:shd w:val="clear" w:color="auto" w:fill="auto"/>
        </w:rPr>
        <w:t>本</w:t>
      </w:r>
      <w:r>
        <w:rPr>
          <w:rFonts w:ascii="宋体" w:cs="宋体"/>
          <w:szCs w:val="21"/>
          <w:shd w:val="clear" w:color="auto" w:fill="auto"/>
        </w:rPr>
        <w:t>文件</w:t>
      </w:r>
      <w:r>
        <w:rPr>
          <w:rFonts w:ascii="宋体" w:cs="宋体" w:hint="eastAsia"/>
          <w:szCs w:val="21"/>
          <w:shd w:val="clear" w:color="auto" w:fill="auto"/>
        </w:rPr>
        <w:t>起草单位：河北省木兰围场国有林场、河北农业大学。</w:t>
      </w:r>
    </w:p>
    <w:p>
      <w:pPr>
        <w:spacing w:line="400" w:lineRule="exact"/>
        <w:ind w:firstLineChars="200" w:firstLine="420"/>
        <w:sectPr>
          <w:headerReference w:type="default" r:id="rId11"/>
          <w:headerReference w:type="even" r:id="rId12"/>
          <w:footerReference w:type="default" r:id="rId13"/>
          <w:footerReference w:type="even" r:id="rId14"/>
          <w:pgSz w:w="11906" w:h="16839"/>
          <w:pgMar w:top="1417" w:right="1133" w:bottom="1133" w:left="1417" w:header="1417" w:footer="1133" w:gutter="0"/>
          <w:pgNumType w:fmt="upperRoman" w:start="2"/>
          <w:cols w:num="1" w:space="0"/>
          <w:docGrid w:type="lines" w:linePitch="312" w:charSpace="0"/>
        </w:sectPr>
      </w:pPr>
      <w:r>
        <w:rPr>
          <w:rFonts w:ascii="宋体" w:cs="宋体" w:hint="eastAsia"/>
          <w:szCs w:val="21"/>
          <w:shd w:val="clear" w:color="auto" w:fill="auto"/>
        </w:rPr>
        <w:t>本</w:t>
      </w:r>
      <w:r>
        <w:rPr>
          <w:rFonts w:ascii="宋体" w:cs="宋体"/>
          <w:szCs w:val="21"/>
          <w:shd w:val="clear" w:color="auto" w:fill="auto"/>
        </w:rPr>
        <w:t>文件</w:t>
      </w:r>
      <w:r>
        <w:rPr>
          <w:rFonts w:ascii="宋体" w:cs="宋体" w:hint="eastAsia"/>
          <w:szCs w:val="21"/>
          <w:shd w:val="clear" w:color="auto" w:fill="auto"/>
        </w:rPr>
        <w:t>主要起草人：崔立志、赵久宇、李永宁、王辉、王冬至、张二亮、马长明、李校、刘炳响、李孝辉、郭敬丽、支乾坤、李云飞、刘瑞敏、周庆营、张学民、董阳、</w:t>
      </w:r>
      <w:r>
        <w:rPr>
          <w:rFonts w:ascii="宋体" w:cs="宋体" w:hint="eastAsia"/>
          <w:szCs w:val="21"/>
          <w:shd w:val="clear" w:color="auto" w:fill="auto"/>
          <w:lang w:val="en-US" w:eastAsia="zh-CN"/>
        </w:rPr>
        <w:t>王军、</w:t>
      </w:r>
      <w:r>
        <w:rPr>
          <w:rFonts w:ascii="宋体" w:cs="宋体" w:hint="eastAsia"/>
          <w:szCs w:val="21"/>
          <w:shd w:val="clear" w:color="auto" w:fill="auto"/>
        </w:rPr>
        <w:t>金春生</w:t>
      </w:r>
      <w:r>
        <w:rPr>
          <w:rFonts w:ascii="宋体" w:cs="宋体" w:hint="eastAsia"/>
          <w:szCs w:val="21"/>
          <w:shd w:val="clear" w:color="auto" w:fill="auto"/>
          <w:lang w:eastAsia="zh-CN"/>
        </w:rPr>
        <w:t>、</w:t>
      </w:r>
      <w:r>
        <w:rPr>
          <w:rFonts w:ascii="宋体" w:cs="宋体" w:hint="eastAsia"/>
          <w:szCs w:val="21"/>
          <w:shd w:val="clear" w:color="auto" w:fill="auto"/>
          <w:lang w:val="en-US" w:eastAsia="zh-CN"/>
        </w:rPr>
        <w:t>王海东、张宝祥、巩建新、李娟、王典娜、于海洋、刘帅、李明桂、郭延鹏、姚丽男、李艳杰、吕康乐、那继宏、吕泳、张万红、关昊为、侯菲、任天翼、林晓坡</w:t>
      </w:r>
      <w:r>
        <w:rPr>
          <w:rFonts w:ascii="宋体" w:cs="宋体" w:hint="eastAsia"/>
          <w:szCs w:val="21"/>
          <w:shd w:val="clear" w:color="auto" w:fill="auto"/>
        </w:rPr>
        <w:t>。</w:t>
      </w:r>
    </w:p>
    <w:p>
      <w:pPr>
        <w:jc w:val="center"/>
        <w:outlineLvl w:val="0"/>
        <w:rPr>
          <w:rFonts w:eastAsia="黑体"/>
          <w:bCs/>
          <w:sz w:val="32"/>
        </w:rPr>
        <w:sectPr>
          <w:headerReference w:type="first" r:id="rId15"/>
          <w:footerReference w:type="default" r:id="rId16"/>
          <w:pgSz w:w="11907" w:h="16839"/>
          <w:pgMar w:top="1418" w:right="1134" w:bottom="1134" w:left="1418" w:header="1418" w:footer="1134" w:gutter="0"/>
          <w:cols w:num="1" w:space="720"/>
          <w:docGrid w:type="lines" w:linePitch="312" w:charSpace="0"/>
        </w:sectPr>
      </w:pPr>
      <w:bookmarkStart w:id="3" w:name="_Toc10776"/>
      <w:bookmarkStart w:id="4" w:name="_Toc20621"/>
      <w:bookmarkStart w:id="5" w:name="_Toc27720"/>
      <w:bookmarkStart w:id="6" w:name="_Toc8465"/>
      <w:bookmarkStart w:id="7" w:name="_Toc23746"/>
      <w:bookmarkStart w:id="8" w:name="_Toc19589"/>
    </w:p>
    <w:p>
      <w:pPr>
        <w:spacing w:before="851" w:after="680" w:line="160" w:lineRule="atLeast"/>
        <w:ind w:left="0" w:firstLine="0"/>
        <w:jc w:val="center"/>
        <w:outlineLvl w:val="0"/>
        <w:rPr>
          <w:rFonts w:ascii="黑体" w:eastAsia="黑体" w:cs="黑体" w:hint="eastAsia"/>
          <w:sz w:val="32"/>
          <w:szCs w:val="32"/>
          <w:shd w:val="clear" w:color="auto" w:fill="auto"/>
        </w:rPr>
      </w:pPr>
      <w:bookmarkEnd w:id="3"/>
      <w:bookmarkEnd w:id="4"/>
      <w:bookmarkEnd w:id="5"/>
      <w:bookmarkEnd w:id="6"/>
      <w:bookmarkEnd w:id="7"/>
      <w:bookmarkEnd w:id="8"/>
      <w:r>
        <w:rPr>
          <w:rFonts w:ascii="黑体" w:eastAsia="黑体" w:cs="黑体" w:hint="eastAsia"/>
          <w:bCs/>
          <w:sz w:val="32"/>
          <w:szCs w:val="32"/>
          <w:shd w:val="clear" w:color="auto" w:fill="auto"/>
        </w:rPr>
        <w:t>冀北山地油松人工林固碳增汇经营技术规程</w:t>
      </w:r>
    </w:p>
    <w:p>
      <w:pPr>
        <w:pStyle w:val="1"/>
        <w:spacing w:beforeLines="100" w:before="312" w:afterLines="100" w:after="312" w:line="240" w:lineRule="auto"/>
        <w:jc w:val="left"/>
        <w:rPr>
          <w:rFonts w:ascii="黑体" w:eastAsia="黑体" w:cs="黑体" w:hint="eastAsia"/>
          <w:b w:val="0"/>
          <w:bCs w:val="0"/>
          <w:sz w:val="21"/>
          <w:shd w:val="clear" w:color="auto" w:fill="auto"/>
        </w:rPr>
      </w:pPr>
      <w:bookmarkStart w:id="9" w:name="_Toc399943150"/>
      <w:bookmarkStart w:id="10" w:name="_Toc394549627"/>
      <w:bookmarkStart w:id="11" w:name="_Toc24316"/>
      <w:bookmarkStart w:id="12" w:name="_Toc399838623"/>
      <w:bookmarkStart w:id="13" w:name="_Toc172016170"/>
      <w:bookmarkStart w:id="14" w:name="_Toc436047451"/>
      <w:bookmarkStart w:id="15" w:name="_Toc27643"/>
      <w:bookmarkStart w:id="16" w:name="_Toc401048411"/>
      <w:bookmarkStart w:id="17" w:name="_Toc18554"/>
      <w:bookmarkStart w:id="18" w:name="_Toc20963"/>
      <w:bookmarkStart w:id="19" w:name="_Toc29353"/>
      <w:bookmarkStart w:id="20" w:name="_Toc399838805"/>
      <w:bookmarkStart w:id="21" w:name="_Toc403544832"/>
      <w:bookmarkStart w:id="22" w:name="_Toc29406"/>
      <w:r>
        <w:rPr>
          <w:rFonts w:ascii="黑体" w:eastAsia="黑体" w:cs="黑体" w:hint="eastAsia"/>
          <w:b w:val="0"/>
          <w:bCs w:val="0"/>
          <w:sz w:val="21"/>
          <w:shd w:val="clear" w:color="auto" w:fill="auto"/>
        </w:rPr>
        <w:t>1</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范围</w:t>
      </w:r>
      <w:bookmarkEnd w:id="9"/>
      <w:bookmarkEnd w:id="10"/>
      <w:bookmarkEnd w:id="11"/>
      <w:bookmarkEnd w:id="12"/>
      <w:bookmarkEnd w:id="13"/>
      <w:bookmarkEnd w:id="14"/>
      <w:bookmarkEnd w:id="15"/>
      <w:bookmarkEnd w:id="16"/>
      <w:bookmarkEnd w:id="17"/>
      <w:bookmarkEnd w:id="18"/>
      <w:bookmarkEnd w:id="19"/>
      <w:bookmarkEnd w:id="20"/>
      <w:bookmarkEnd w:id="21"/>
      <w:bookmarkEnd w:id="22"/>
    </w:p>
    <w:p>
      <w:pPr>
        <w:spacing w:line="360" w:lineRule="auto"/>
        <w:ind w:firstLineChars="200" w:firstLine="420"/>
        <w:rPr>
          <w:szCs w:val="21"/>
        </w:rPr>
      </w:pPr>
      <w:r>
        <w:t>本文件规定了</w:t>
      </w:r>
      <w:r>
        <w:rPr>
          <w:rFonts w:hint="eastAsia"/>
        </w:rPr>
        <w:t>森林固碳增汇经营的</w:t>
      </w:r>
      <w:r>
        <w:t>目标</w:t>
      </w:r>
      <w:r>
        <w:rPr>
          <w:rFonts w:hint="eastAsia"/>
        </w:rPr>
        <w:t>与</w:t>
      </w:r>
      <w:r>
        <w:t>原则</w:t>
      </w:r>
      <w:r>
        <w:rPr>
          <w:rFonts w:hint="eastAsia"/>
        </w:rPr>
        <w:t>、经营阶段划分、经营技术、采伐管理、生物多样性保护、林下植被与土壤管理、森林防火与有害生物防治、抚育设计、档案管理等方面的技术要求</w:t>
      </w:r>
      <w:r>
        <w:rPr>
          <w:rFonts w:hint="eastAsia"/>
          <w:szCs w:val="21"/>
        </w:rPr>
        <w:t>。</w:t>
      </w:r>
    </w:p>
    <w:p>
      <w:pPr>
        <w:spacing w:line="360" w:lineRule="auto"/>
        <w:ind w:firstLineChars="200" w:firstLine="420"/>
        <w:jc w:val="left"/>
      </w:pPr>
      <w:r>
        <w:rPr>
          <w:szCs w:val="21"/>
        </w:rPr>
        <w:t>本文件适用于</w:t>
      </w:r>
      <w:r>
        <w:rPr>
          <w:rFonts w:hint="eastAsia"/>
          <w:szCs w:val="21"/>
        </w:rPr>
        <w:t>冀北山地油松分布区以固碳增汇为目标的油松人工林多功能</w:t>
      </w:r>
      <w:r>
        <w:rPr>
          <w:szCs w:val="21"/>
        </w:rPr>
        <w:t>经营。</w:t>
      </w:r>
    </w:p>
    <w:p>
      <w:pPr>
        <w:pStyle w:val="1"/>
        <w:spacing w:beforeLines="100" w:before="312" w:afterLines="100" w:after="312" w:line="240" w:lineRule="auto"/>
        <w:jc w:val="left"/>
        <w:rPr>
          <w:rFonts w:ascii="黑体" w:eastAsia="黑体" w:cs="黑体" w:hint="eastAsia"/>
          <w:b w:val="0"/>
          <w:bCs w:val="0"/>
          <w:sz w:val="21"/>
          <w:shd w:val="clear" w:color="auto" w:fill="auto"/>
        </w:rPr>
      </w:pPr>
      <w:bookmarkStart w:id="23" w:name="_Toc24912"/>
      <w:bookmarkStart w:id="24" w:name="_Toc6338"/>
      <w:bookmarkStart w:id="25" w:name="_Toc172016171"/>
      <w:bookmarkStart w:id="26" w:name="_Toc401048412"/>
      <w:bookmarkStart w:id="27" w:name="_Toc399943151"/>
      <w:bookmarkStart w:id="28" w:name="_Toc24699"/>
      <w:bookmarkStart w:id="29" w:name="_Toc8877"/>
      <w:bookmarkStart w:id="30" w:name="_Toc436047452"/>
      <w:bookmarkStart w:id="31" w:name="_Toc399838806"/>
      <w:bookmarkStart w:id="32" w:name="_Toc394549628"/>
      <w:bookmarkStart w:id="33" w:name="_Toc18991"/>
      <w:bookmarkStart w:id="34" w:name="_Toc403544833"/>
      <w:bookmarkStart w:id="35" w:name="_Toc399838624"/>
      <w:bookmarkStart w:id="36" w:name="_Toc26521"/>
      <w:bookmarkStart w:id="37" w:name="_Toc248235403"/>
      <w:bookmarkStart w:id="38" w:name="_Toc248235603"/>
      <w:r>
        <w:rPr>
          <w:rFonts w:ascii="黑体" w:eastAsia="黑体" w:cs="黑体" w:hint="eastAsia"/>
          <w:b w:val="0"/>
          <w:bCs w:val="0"/>
          <w:sz w:val="21"/>
          <w:shd w:val="clear" w:color="auto" w:fill="auto"/>
        </w:rPr>
        <w:t>2</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规范性引用文件</w:t>
      </w:r>
      <w:bookmarkEnd w:id="23"/>
      <w:bookmarkEnd w:id="24"/>
      <w:bookmarkEnd w:id="25"/>
      <w:bookmarkEnd w:id="26"/>
      <w:bookmarkEnd w:id="27"/>
      <w:bookmarkEnd w:id="28"/>
      <w:bookmarkEnd w:id="29"/>
      <w:bookmarkEnd w:id="30"/>
      <w:bookmarkEnd w:id="31"/>
      <w:bookmarkEnd w:id="32"/>
      <w:bookmarkEnd w:id="33"/>
      <w:bookmarkEnd w:id="34"/>
      <w:bookmarkEnd w:id="35"/>
      <w:bookmarkEnd w:id="36"/>
    </w:p>
    <w:p>
      <w:pPr>
        <w:spacing w:beforeAutospacing="0" w:afterAutospacing="0" w:line="360" w:lineRule="auto"/>
        <w:ind w:firstLineChars="200" w:firstLine="420"/>
        <w:rPr>
          <w:rFonts w:ascii="宋体" w:cs="宋体" w:hAnsi="宋体" w:hint="eastAsia"/>
          <w:szCs w:val="22"/>
          <w:shd w:val="clear" w:color="auto" w:fill="auto"/>
        </w:rPr>
      </w:pPr>
      <w:r>
        <w:rPr>
          <w:rFonts w:ascii="宋体" w:cs="宋体" w:hAnsi="宋体" w:hint="eastAsia"/>
          <w:szCs w:val="22"/>
          <w:shd w:val="clear" w:color="auto" w:fill="auto"/>
        </w:rPr>
        <w:t>下列文件中的内容通过文中的规范性引用而构成本文件必不可少的条款。其中，注日期的引用文件，仅该日期对应的版本适用于本文件；不注日期的引用文件，其最新版本（包括所有的修改单）适用于本文件。</w:t>
      </w:r>
    </w:p>
    <w:p>
      <w:pPr>
        <w:spacing w:line="360" w:lineRule="auto"/>
        <w:ind w:firstLineChars="200" w:firstLine="420"/>
        <w:rPr>
          <w:rFonts w:ascii="宋体" w:cs="宋体" w:hAnsi="宋体" w:hint="eastAsia"/>
          <w:szCs w:val="21"/>
        </w:rPr>
      </w:pPr>
      <w:r>
        <w:rPr>
          <w:rFonts w:ascii="宋体" w:cs="宋体" w:hAnsi="宋体" w:hint="eastAsia"/>
          <w:szCs w:val="21"/>
        </w:rPr>
        <w:t xml:space="preserve">GB/T 15776 </w:t>
      </w:r>
      <w:r>
        <w:rPr>
          <w:rFonts w:ascii="宋体" w:cs="宋体" w:hAnsi="宋体"/>
          <w:szCs w:val="21"/>
        </w:rPr>
        <w:t xml:space="preserve"> </w:t>
      </w:r>
      <w:r>
        <w:rPr>
          <w:rFonts w:ascii="宋体" w:cs="宋体" w:hAnsi="宋体" w:hint="eastAsia"/>
          <w:szCs w:val="21"/>
        </w:rPr>
        <w:t>造林技术规程</w:t>
      </w:r>
    </w:p>
    <w:p>
      <w:pPr>
        <w:spacing w:line="360" w:lineRule="auto"/>
        <w:ind w:firstLineChars="200" w:firstLine="420"/>
        <w:rPr>
          <w:rFonts w:ascii="宋体" w:cs="宋体" w:hAnsi="宋体" w:hint="eastAsia"/>
          <w:szCs w:val="21"/>
        </w:rPr>
      </w:pPr>
      <w:r>
        <w:rPr>
          <w:rFonts w:ascii="宋体" w:cs="宋体" w:hAnsi="宋体" w:hint="eastAsia"/>
          <w:szCs w:val="21"/>
        </w:rPr>
        <w:t xml:space="preserve">GB/T 15781 </w:t>
      </w:r>
      <w:r>
        <w:rPr>
          <w:rFonts w:ascii="宋体" w:cs="宋体" w:hAnsi="宋体"/>
          <w:szCs w:val="21"/>
        </w:rPr>
        <w:t xml:space="preserve"> </w:t>
      </w:r>
      <w:r>
        <w:rPr>
          <w:rFonts w:ascii="宋体" w:cs="宋体" w:hAnsi="宋体" w:hint="eastAsia"/>
          <w:szCs w:val="21"/>
        </w:rPr>
        <w:t>森林抚育规程</w:t>
      </w:r>
    </w:p>
    <w:p>
      <w:pPr>
        <w:spacing w:line="360" w:lineRule="auto"/>
        <w:ind w:firstLineChars="200" w:firstLine="420"/>
        <w:rPr>
          <w:rFonts w:ascii="宋体" w:cs="宋体" w:hAnsi="宋体" w:hint="eastAsia"/>
          <w:szCs w:val="21"/>
        </w:rPr>
      </w:pPr>
      <w:r>
        <w:rPr>
          <w:rFonts w:ascii="宋体" w:cs="宋体" w:hAnsi="宋体" w:hint="eastAsia"/>
          <w:szCs w:val="21"/>
        </w:rPr>
        <w:t xml:space="preserve">GB/T 26424 </w:t>
      </w:r>
      <w:r>
        <w:rPr>
          <w:rFonts w:ascii="宋体" w:cs="宋体" w:hAnsi="宋体"/>
          <w:szCs w:val="21"/>
        </w:rPr>
        <w:t xml:space="preserve"> </w:t>
      </w:r>
      <w:r>
        <w:rPr>
          <w:rFonts w:ascii="宋体" w:cs="宋体" w:hAnsi="宋体" w:hint="eastAsia"/>
          <w:szCs w:val="21"/>
        </w:rPr>
        <w:t>森林资源规划设计调查技术规程</w:t>
      </w:r>
    </w:p>
    <w:p>
      <w:pPr>
        <w:spacing w:line="360" w:lineRule="auto"/>
        <w:ind w:firstLineChars="200" w:firstLine="420"/>
        <w:rPr>
          <w:rFonts w:ascii="宋体" w:cs="宋体" w:hAnsi="宋体" w:hint="eastAsia"/>
          <w:szCs w:val="21"/>
        </w:rPr>
      </w:pPr>
      <w:r>
        <w:rPr>
          <w:rFonts w:ascii="宋体" w:cs="宋体" w:hAnsi="宋体" w:hint="eastAsia"/>
          <w:szCs w:val="21"/>
        </w:rPr>
        <w:t xml:space="preserve">GB/T 24882 </w:t>
      </w:r>
      <w:r>
        <w:rPr>
          <w:rFonts w:ascii="宋体" w:cs="宋体" w:hAnsi="宋体"/>
          <w:szCs w:val="21"/>
        </w:rPr>
        <w:t xml:space="preserve"> </w:t>
      </w:r>
      <w:r>
        <w:rPr>
          <w:rFonts w:ascii="宋体" w:cs="宋体" w:hAnsi="宋体" w:hint="eastAsia"/>
          <w:szCs w:val="21"/>
        </w:rPr>
        <w:t>松毛虫防治技术规程</w:t>
      </w:r>
    </w:p>
    <w:p>
      <w:pPr>
        <w:spacing w:line="360" w:lineRule="auto"/>
        <w:ind w:firstLineChars="200" w:firstLine="420"/>
        <w:rPr>
          <w:rFonts w:ascii="宋体" w:cs="宋体" w:hAnsi="宋体" w:hint="eastAsia"/>
          <w:szCs w:val="21"/>
        </w:rPr>
      </w:pPr>
      <w:r>
        <w:rPr>
          <w:rFonts w:ascii="宋体" w:cs="宋体" w:hAnsi="宋体" w:hint="eastAsia"/>
          <w:szCs w:val="21"/>
        </w:rPr>
        <w:t xml:space="preserve">LY/T 2252 </w:t>
      </w:r>
      <w:r>
        <w:rPr>
          <w:rFonts w:ascii="宋体" w:cs="宋体" w:hAnsi="宋体"/>
          <w:szCs w:val="21"/>
        </w:rPr>
        <w:t xml:space="preserve"> </w:t>
      </w:r>
      <w:r>
        <w:rPr>
          <w:rFonts w:ascii="宋体" w:cs="宋体" w:hAnsi="宋体" w:hint="eastAsia"/>
          <w:szCs w:val="21"/>
        </w:rPr>
        <w:t>碳汇造林技术规程</w:t>
      </w:r>
    </w:p>
    <w:p>
      <w:pPr>
        <w:spacing w:line="360" w:lineRule="auto"/>
        <w:ind w:firstLineChars="200" w:firstLine="420"/>
        <w:rPr>
          <w:rFonts w:ascii="宋体" w:cs="宋体" w:hAnsi="宋体" w:hint="eastAsia"/>
          <w:szCs w:val="21"/>
        </w:rPr>
      </w:pPr>
      <w:r>
        <w:rPr>
          <w:rFonts w:ascii="宋体" w:cs="宋体" w:hAnsi="宋体" w:hint="eastAsia"/>
          <w:szCs w:val="21"/>
        </w:rPr>
        <w:t xml:space="preserve">LY/T 2025 </w:t>
      </w:r>
      <w:r>
        <w:rPr>
          <w:rFonts w:ascii="宋体" w:cs="宋体" w:hAnsi="宋体"/>
          <w:szCs w:val="21"/>
        </w:rPr>
        <w:t xml:space="preserve"> </w:t>
      </w:r>
      <w:r>
        <w:rPr>
          <w:rFonts w:ascii="宋体" w:cs="宋体" w:hAnsi="宋体" w:hint="eastAsia"/>
          <w:szCs w:val="21"/>
        </w:rPr>
        <w:t>红脂大小蠹防治技术规程</w:t>
      </w:r>
    </w:p>
    <w:p>
      <w:pPr>
        <w:pStyle w:val="1"/>
        <w:spacing w:beforeLines="100" w:before="312" w:afterLines="100" w:after="312" w:line="240" w:lineRule="auto"/>
        <w:jc w:val="left"/>
        <w:rPr>
          <w:rFonts w:ascii="黑体" w:eastAsia="黑体" w:cs="黑体" w:hint="eastAsia"/>
          <w:b w:val="0"/>
          <w:bCs w:val="0"/>
          <w:sz w:val="21"/>
          <w:shd w:val="clear" w:color="auto" w:fill="auto"/>
        </w:rPr>
      </w:pPr>
      <w:bookmarkStart w:id="39" w:name="_Toc399838807"/>
      <w:bookmarkStart w:id="40" w:name="_Toc16019"/>
      <w:bookmarkStart w:id="41" w:name="_Toc172016172"/>
      <w:bookmarkStart w:id="42" w:name="_Toc403544834"/>
      <w:bookmarkStart w:id="43" w:name="_Toc401048413"/>
      <w:bookmarkStart w:id="44" w:name="_Toc436047453"/>
      <w:bookmarkStart w:id="45" w:name="_Toc6178"/>
      <w:bookmarkStart w:id="46" w:name="_Toc3556"/>
      <w:bookmarkStart w:id="47" w:name="_Toc19209"/>
      <w:bookmarkStart w:id="48" w:name="_Toc399943152"/>
      <w:bookmarkStart w:id="49" w:name="_Toc399838625"/>
      <w:bookmarkStart w:id="50" w:name="_Toc394549629"/>
      <w:bookmarkStart w:id="51" w:name="_Toc3289"/>
      <w:bookmarkStart w:id="52" w:name="_Toc27382"/>
      <w:r>
        <w:rPr>
          <w:rFonts w:ascii="黑体" w:eastAsia="黑体" w:cs="黑体" w:hint="eastAsia"/>
          <w:b w:val="0"/>
          <w:bCs w:val="0"/>
          <w:sz w:val="21"/>
          <w:shd w:val="clear" w:color="auto" w:fill="auto"/>
        </w:rPr>
        <w:t>3</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术语与定义</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p>
    <w:p>
      <w:pPr>
        <w:spacing w:beforeAutospacing="0" w:afterAutospacing="0"/>
        <w:rPr>
          <w:rFonts w:ascii="黑体" w:eastAsia="黑体" w:cs="黑体" w:hAnsi="黑体" w:hint="eastAsia"/>
        </w:rPr>
      </w:pPr>
      <w:bookmarkStart w:id="53" w:name="_Toc248235606"/>
      <w:bookmarkStart w:id="54" w:name="_Toc436046441"/>
      <w:bookmarkStart w:id="55" w:name="_Toc11728"/>
      <w:bookmarkStart w:id="56" w:name="_Toc261"/>
      <w:bookmarkStart w:id="57" w:name="_Toc12573"/>
      <w:bookmarkStart w:id="58" w:name="_Toc9770"/>
      <w:bookmarkStart w:id="59" w:name="_Toc31065"/>
      <w:bookmarkStart w:id="60" w:name="_Toc248235406"/>
      <w:bookmarkStart w:id="61" w:name="_Toc6734"/>
      <w:bookmarkStart w:id="62" w:name="_Toc235102886"/>
      <w:bookmarkStart w:id="63" w:name="_Toc401048414"/>
      <w:bookmarkStart w:id="64" w:name="_Toc436047454"/>
      <w:r>
        <w:rPr>
          <w:rFonts w:ascii="黑体" w:eastAsia="黑体" w:cs="黑体" w:hAnsi="黑体" w:hint="eastAsia"/>
        </w:rPr>
        <w:t>3.1</w:t>
      </w:r>
    </w:p>
    <w:p>
      <w:pPr>
        <w:spacing w:line="360" w:lineRule="auto"/>
        <w:ind w:firstLineChars="200" w:firstLine="420"/>
        <w:rPr>
          <w:rFonts w:ascii="黑体" w:eastAsia="黑体" w:cs="黑体" w:hAnsi="黑体" w:hint="eastAsia"/>
        </w:rPr>
      </w:pPr>
      <w:r>
        <w:rPr>
          <w:rFonts w:ascii="黑体" w:eastAsia="黑体" w:cs="黑体" w:hAnsi="黑体" w:hint="eastAsia"/>
        </w:rPr>
        <w:t xml:space="preserve">森林碳库 </w:t>
      </w:r>
      <w:r>
        <w:rPr>
          <w:rFonts w:ascii="黑体" w:eastAsia="黑体" w:cs="黑体" w:hAnsi="黑体"/>
        </w:rPr>
        <w:t xml:space="preserve"> </w:t>
      </w:r>
      <w:r>
        <w:rPr>
          <w:rFonts w:ascii="黑体" w:eastAsia="黑体" w:cs="黑体" w:hAnsi="黑体" w:hint="eastAsia"/>
        </w:rPr>
        <w:t>forest carbon pools</w:t>
      </w:r>
    </w:p>
    <w:p>
      <w:pPr>
        <w:spacing w:line="360" w:lineRule="auto"/>
        <w:ind w:firstLineChars="200" w:firstLine="420"/>
        <w:rPr>
          <w:rFonts w:ascii="宋体" w:cs="宋体" w:hAnsi="宋体" w:hint="eastAsia"/>
        </w:rPr>
      </w:pPr>
      <w:r>
        <w:rPr>
          <w:rFonts w:ascii="宋体" w:cs="宋体" w:hAnsi="宋体" w:hint="eastAsia"/>
        </w:rPr>
        <w:t>在森林生态系统中，具有累积或释放碳的能力的库。包括地上生物量、地下生物量、枯落物、枯死木和土壤有机质5大碳库。</w:t>
      </w:r>
    </w:p>
    <w:p>
      <w:pPr>
        <w:spacing w:beforeAutospacing="0" w:afterAutospacing="0"/>
        <w:rPr>
          <w:rFonts w:ascii="黑体" w:eastAsia="黑体" w:cs="黑体" w:hAnsi="黑体" w:hint="eastAsia"/>
        </w:rPr>
      </w:pPr>
      <w:r>
        <w:rPr>
          <w:rFonts w:ascii="黑体" w:eastAsia="黑体" w:cs="黑体" w:hAnsi="黑体" w:hint="eastAsia"/>
        </w:rPr>
        <w:t>3.2</w:t>
      </w:r>
    </w:p>
    <w:p>
      <w:pPr>
        <w:spacing w:line="360" w:lineRule="auto"/>
        <w:ind w:firstLineChars="200" w:firstLine="420"/>
        <w:rPr>
          <w:rFonts w:ascii="黑体" w:eastAsia="黑体" w:cs="黑体" w:hAnsi="黑体" w:hint="eastAsia"/>
        </w:rPr>
      </w:pPr>
      <w:r>
        <w:rPr>
          <w:rFonts w:ascii="黑体" w:eastAsia="黑体" w:cs="黑体" w:hAnsi="黑体" w:hint="eastAsia"/>
        </w:rPr>
        <w:t>森林碳储量</w:t>
      </w:r>
      <w:r>
        <w:rPr>
          <w:rFonts w:ascii="黑体" w:eastAsia="黑体" w:cs="黑体" w:hAnsi="黑体"/>
        </w:rPr>
        <w:t xml:space="preserve">  </w:t>
      </w:r>
      <w:r>
        <w:rPr>
          <w:rFonts w:ascii="黑体" w:eastAsia="黑体" w:cs="黑体" w:hAnsi="黑体" w:hint="eastAsia"/>
        </w:rPr>
        <w:t>forest carbon storage</w:t>
      </w:r>
    </w:p>
    <w:p>
      <w:pPr>
        <w:spacing w:line="360" w:lineRule="auto"/>
        <w:ind w:firstLineChars="200" w:firstLine="420"/>
        <w:rPr>
          <w:rFonts w:ascii="宋体" w:cs="宋体" w:hAnsi="宋体" w:hint="eastAsia"/>
        </w:rPr>
      </w:pPr>
      <w:r>
        <w:rPr>
          <w:rFonts w:ascii="宋体" w:cs="宋体" w:hAnsi="宋体" w:hint="eastAsia"/>
        </w:rPr>
        <w:t>某个时间点森林生态系统各碳库中碳的储存量，是森林生态系统多年累积的现存量。</w:t>
      </w:r>
    </w:p>
    <w:p>
      <w:pPr>
        <w:spacing w:beforeAutospacing="0" w:afterAutospacing="0"/>
        <w:rPr>
          <w:rFonts w:ascii="黑体" w:eastAsia="黑体" w:cs="黑体" w:hAnsi="黑体" w:hint="eastAsia"/>
        </w:rPr>
      </w:pPr>
      <w:r>
        <w:rPr>
          <w:rFonts w:ascii="黑体" w:eastAsia="黑体" w:cs="黑体" w:hAnsi="黑体" w:hint="eastAsia"/>
        </w:rPr>
        <w:t>3.3</w:t>
      </w:r>
    </w:p>
    <w:p>
      <w:pPr>
        <w:spacing w:beforeAutospacing="0" w:afterAutospacing="0"/>
        <w:ind w:firstLineChars="200" w:firstLine="420"/>
        <w:rPr>
          <w:rFonts w:ascii="黑体" w:eastAsia="黑体" w:cs="黑体" w:hAnsi="黑体" w:hint="eastAsia"/>
        </w:rPr>
      </w:pPr>
      <w:r>
        <w:rPr>
          <w:rFonts w:ascii="黑体" w:eastAsia="黑体" w:cs="黑体" w:hAnsi="黑体" w:hint="eastAsia"/>
        </w:rPr>
        <w:t xml:space="preserve">固碳增汇经营  silviculture for </w:t>
      </w:r>
      <w:bookmarkStart w:id="65" w:name="_Hlk170203485"/>
      <w:r>
        <w:rPr>
          <w:rFonts w:ascii="黑体" w:eastAsia="黑体" w:cs="黑体" w:hAnsi="黑体" w:hint="eastAsia"/>
        </w:rPr>
        <w:t>carbon sequestration enhancement</w:t>
      </w:r>
      <w:bookmarkEnd w:id="65"/>
    </w:p>
    <w:p>
      <w:pPr>
        <w:spacing w:line="360" w:lineRule="auto"/>
        <w:ind w:firstLineChars="200" w:firstLine="420"/>
      </w:pPr>
      <w:r>
        <w:rPr>
          <w:rFonts w:ascii="宋体" w:cs="宋体" w:hAnsi="宋体" w:hint="eastAsia"/>
        </w:rPr>
        <w:t>为吸收和固定大气中的二氧化碳，通过调整森林结构、提高森林质量，进而提高森林碳储量的森林多功能经营活动。</w:t>
      </w:r>
    </w:p>
    <w:p>
      <w:pPr>
        <w:spacing w:beforeAutospacing="0" w:afterAutospacing="0"/>
        <w:rPr>
          <w:rFonts w:ascii="黑体" w:eastAsia="黑体" w:cs="黑体" w:hAnsi="黑体" w:hint="eastAsia"/>
        </w:rPr>
      </w:pPr>
      <w:bookmarkEnd w:id="53"/>
      <w:bookmarkEnd w:id="54"/>
      <w:bookmarkEnd w:id="55"/>
      <w:bookmarkEnd w:id="56"/>
      <w:bookmarkEnd w:id="57"/>
      <w:bookmarkEnd w:id="58"/>
      <w:bookmarkEnd w:id="59"/>
      <w:bookmarkEnd w:id="60"/>
      <w:bookmarkEnd w:id="61"/>
      <w:bookmarkEnd w:id="62"/>
      <w:bookmarkEnd w:id="63"/>
      <w:bookmarkEnd w:id="64"/>
      <w:r>
        <w:rPr>
          <w:rFonts w:ascii="黑体" w:eastAsia="黑体" w:cs="黑体" w:hAnsi="黑体" w:hint="eastAsia"/>
        </w:rPr>
        <w:t xml:space="preserve">3.4 </w:t>
      </w:r>
    </w:p>
    <w:p>
      <w:pPr>
        <w:spacing w:line="360" w:lineRule="auto"/>
        <w:ind w:firstLineChars="200" w:firstLine="420"/>
        <w:rPr>
          <w:rFonts w:ascii="黑体" w:eastAsia="黑体" w:cs="黑体" w:hAnsi="黑体" w:hint="eastAsia"/>
        </w:rPr>
      </w:pPr>
      <w:r>
        <w:rPr>
          <w:rFonts w:ascii="黑体" w:eastAsia="黑体" w:cs="黑体" w:hAnsi="黑体" w:hint="eastAsia"/>
        </w:rPr>
        <w:t>目标树  target tree</w:t>
      </w:r>
    </w:p>
    <w:p>
      <w:pPr>
        <w:spacing w:line="360" w:lineRule="auto"/>
        <w:ind w:firstLineChars="200" w:firstLine="420"/>
        <w:rPr>
          <w:rFonts w:ascii="宋体" w:cs="宋体" w:hAnsi="宋体" w:hint="eastAsia"/>
        </w:rPr>
      </w:pPr>
      <w:r>
        <w:rPr>
          <w:rFonts w:ascii="宋体" w:cs="宋体" w:hAnsi="宋体" w:hint="eastAsia"/>
        </w:rPr>
        <w:t>在目的树种中，对林分稳定性和生产力发挥重要作用的长势好、质量优、寿命长、价值高，需要长期保留直到达到目标胸径后方可采伐利用的林木。</w:t>
      </w:r>
    </w:p>
    <w:p>
      <w:pPr>
        <w:spacing w:beforeAutospacing="0" w:afterAutospacing="0"/>
        <w:rPr>
          <w:rFonts w:ascii="黑体" w:eastAsia="黑体" w:cs="黑体" w:hAnsi="黑体" w:hint="eastAsia"/>
        </w:rPr>
      </w:pPr>
      <w:bookmarkStart w:id="66" w:name="_Toc24891"/>
      <w:bookmarkStart w:id="67" w:name="_Toc17338"/>
      <w:bookmarkStart w:id="68" w:name="_Toc29147"/>
      <w:bookmarkStart w:id="69" w:name="_Toc20024"/>
      <w:bookmarkStart w:id="70" w:name="_Toc29033"/>
      <w:bookmarkStart w:id="71" w:name="_Toc23875"/>
      <w:r>
        <w:rPr>
          <w:rFonts w:ascii="黑体" w:eastAsia="黑体" w:cs="黑体" w:hAnsi="黑体" w:hint="eastAsia"/>
        </w:rPr>
        <w:t xml:space="preserve">3.5 </w:t>
      </w:r>
      <w:bookmarkStart w:id="72" w:name="_Toc31491"/>
    </w:p>
    <w:p>
      <w:pPr>
        <w:spacing w:line="360" w:lineRule="auto"/>
        <w:ind w:firstLineChars="200" w:firstLine="420"/>
        <w:rPr>
          <w:rFonts w:ascii="黑体" w:eastAsia="黑体" w:cs="黑体" w:hAnsi="黑体" w:hint="eastAsia"/>
        </w:rPr>
      </w:pPr>
      <w:r>
        <w:rPr>
          <w:rFonts w:ascii="黑体" w:eastAsia="黑体" w:cs="黑体" w:hAnsi="黑体" w:hint="eastAsia"/>
        </w:rPr>
        <w:t>二代目标树</w:t>
      </w:r>
      <w:bookmarkEnd w:id="66"/>
      <w:bookmarkEnd w:id="67"/>
      <w:bookmarkEnd w:id="68"/>
      <w:bookmarkEnd w:id="69"/>
      <w:bookmarkEnd w:id="70"/>
      <w:bookmarkEnd w:id="72"/>
      <w:r>
        <w:rPr>
          <w:rFonts w:ascii="黑体" w:eastAsia="黑体" w:cs="黑体" w:hAnsi="黑体" w:hint="eastAsia"/>
        </w:rPr>
        <w:t xml:space="preserve">  understory target tree</w:t>
      </w:r>
    </w:p>
    <w:p>
      <w:pPr>
        <w:spacing w:line="360" w:lineRule="auto"/>
        <w:ind w:firstLineChars="200" w:firstLine="420"/>
        <w:rPr>
          <w:rFonts w:ascii="宋体" w:cs="宋体" w:hAnsi="宋体" w:hint="eastAsia"/>
        </w:rPr>
      </w:pPr>
      <w:r>
        <w:rPr>
          <w:rFonts w:ascii="宋体" w:cs="宋体" w:hAnsi="宋体" w:hint="eastAsia"/>
        </w:rPr>
        <w:t>指在林分次林层中生长发育优良并有望成为未来目标树的林木。</w:t>
      </w:r>
    </w:p>
    <w:p>
      <w:pPr>
        <w:spacing w:beforeAutospacing="0" w:afterAutospacing="0"/>
        <w:rPr>
          <w:rFonts w:ascii="黑体" w:eastAsia="黑体" w:cs="黑体" w:hAnsi="黑体" w:hint="eastAsia"/>
        </w:rPr>
      </w:pPr>
      <w:bookmarkStart w:id="73" w:name="_Toc11703"/>
      <w:bookmarkStart w:id="74" w:name="_Toc11677"/>
      <w:r>
        <w:rPr>
          <w:rFonts w:ascii="黑体" w:eastAsia="黑体" w:cs="黑体" w:hAnsi="黑体" w:hint="eastAsia"/>
        </w:rPr>
        <w:t xml:space="preserve">3.6 </w:t>
      </w:r>
    </w:p>
    <w:p>
      <w:pPr>
        <w:spacing w:line="360" w:lineRule="auto"/>
        <w:ind w:firstLineChars="200" w:firstLine="420"/>
        <w:rPr>
          <w:rFonts w:ascii="黑体" w:eastAsia="黑体" w:cs="黑体" w:hAnsi="黑体" w:hint="eastAsia"/>
        </w:rPr>
      </w:pPr>
      <w:r>
        <w:rPr>
          <w:rFonts w:ascii="黑体" w:eastAsia="黑体" w:cs="黑体" w:hAnsi="黑体" w:hint="eastAsia"/>
        </w:rPr>
        <w:t>生态目标树</w:t>
      </w:r>
      <w:bookmarkEnd w:id="73"/>
      <w:bookmarkEnd w:id="74"/>
      <w:r>
        <w:rPr>
          <w:rFonts w:ascii="黑体" w:eastAsia="黑体" w:cs="黑体" w:hAnsi="黑体" w:hint="eastAsia"/>
        </w:rPr>
        <w:t xml:space="preserve">  ecological target tree</w:t>
      </w:r>
    </w:p>
    <w:p>
      <w:pPr>
        <w:spacing w:line="360" w:lineRule="auto"/>
        <w:ind w:firstLineChars="200" w:firstLine="420"/>
        <w:rPr>
          <w:rFonts w:ascii="宋体" w:cs="宋体" w:hAnsi="宋体" w:hint="eastAsia"/>
        </w:rPr>
      </w:pPr>
      <w:r>
        <w:rPr>
          <w:rFonts w:ascii="宋体" w:cs="宋体" w:hAnsi="宋体" w:hint="eastAsia"/>
        </w:rPr>
        <w:t>指林分中具有特定生态作用的林木，以维持和优化林分的树种比例、保护生物多样性、提高森林景观价值等。</w:t>
      </w:r>
    </w:p>
    <w:p>
      <w:pPr>
        <w:spacing w:beforeAutospacing="0" w:afterAutospacing="0"/>
        <w:rPr>
          <w:rFonts w:ascii="黑体" w:eastAsia="黑体" w:cs="黑体" w:hAnsi="黑体" w:hint="eastAsia"/>
        </w:rPr>
      </w:pPr>
      <w:r>
        <w:rPr>
          <w:rFonts w:ascii="黑体" w:eastAsia="黑体" w:cs="黑体" w:hAnsi="黑体" w:hint="eastAsia"/>
        </w:rPr>
        <w:t>3.7</w:t>
      </w:r>
    </w:p>
    <w:p>
      <w:pPr>
        <w:spacing w:line="360" w:lineRule="auto"/>
        <w:ind w:firstLineChars="200" w:firstLine="420"/>
        <w:jc w:val="left"/>
        <w:rPr>
          <w:rFonts w:ascii="黑体" w:eastAsia="黑体" w:cs="黑体" w:hAnsi="黑体" w:hint="eastAsia"/>
        </w:rPr>
      </w:pPr>
      <w:r>
        <w:rPr>
          <w:rFonts w:ascii="黑体" w:eastAsia="黑体" w:cs="黑体" w:hAnsi="黑体" w:hint="eastAsia"/>
        </w:rPr>
        <w:t>干扰树  competitors of target tree</w:t>
      </w:r>
    </w:p>
    <w:p>
      <w:pPr>
        <w:spacing w:line="360" w:lineRule="auto"/>
        <w:ind w:firstLineChars="200" w:firstLine="420"/>
        <w:rPr>
          <w:rFonts w:ascii="宋体" w:cs="宋体" w:hAnsi="宋体" w:hint="eastAsia"/>
        </w:rPr>
      </w:pPr>
      <w:r>
        <w:rPr>
          <w:rFonts w:ascii="宋体" w:cs="宋体" w:hAnsi="宋体" w:hint="eastAsia"/>
        </w:rPr>
        <w:t>对目标树正常生长直接产生不利影响的林木。</w:t>
      </w:r>
    </w:p>
    <w:p>
      <w:pPr>
        <w:spacing w:beforeAutospacing="0" w:afterAutospacing="0"/>
        <w:rPr>
          <w:rFonts w:ascii="黑体" w:eastAsia="黑体" w:cs="黑体" w:hAnsi="黑体" w:hint="eastAsia"/>
        </w:rPr>
      </w:pPr>
      <w:r>
        <w:rPr>
          <w:rFonts w:ascii="黑体" w:eastAsia="黑体" w:cs="黑体" w:hAnsi="黑体" w:hint="eastAsia"/>
        </w:rPr>
        <w:t>3.8</w:t>
      </w:r>
    </w:p>
    <w:p>
      <w:pPr>
        <w:spacing w:line="360" w:lineRule="auto"/>
        <w:ind w:firstLineChars="200" w:firstLine="420"/>
        <w:jc w:val="left"/>
        <w:rPr>
          <w:rFonts w:ascii="黑体" w:eastAsia="黑体" w:cs="黑体" w:hAnsi="黑体" w:hint="eastAsia"/>
        </w:rPr>
      </w:pPr>
      <w:r>
        <w:rPr>
          <w:rFonts w:ascii="黑体" w:eastAsia="黑体" w:cs="黑体" w:hAnsi="黑体" w:hint="eastAsia"/>
        </w:rPr>
        <w:t>辅助树  auxiliary tree</w:t>
      </w:r>
    </w:p>
    <w:p>
      <w:pPr>
        <w:spacing w:line="360" w:lineRule="auto"/>
        <w:ind w:firstLineChars="200" w:firstLine="420"/>
        <w:rPr>
          <w:color w:val="FF0000"/>
        </w:rPr>
      </w:pPr>
      <w:r>
        <w:rPr>
          <w:rFonts w:ascii="宋体" w:cs="宋体" w:hAnsi="宋体" w:hint="eastAsia"/>
        </w:rPr>
        <w:t>促进目标树进行自然整枝、形成良好干形的林木。</w:t>
      </w:r>
    </w:p>
    <w:p>
      <w:pPr>
        <w:pStyle w:val="1"/>
        <w:spacing w:beforeLines="100" w:before="312" w:afterLines="100" w:after="312" w:line="240" w:lineRule="auto"/>
        <w:jc w:val="left"/>
        <w:rPr>
          <w:rFonts w:ascii="黑体" w:eastAsia="黑体" w:cs="黑体" w:hint="eastAsia"/>
          <w:b w:val="0"/>
          <w:bCs w:val="0"/>
          <w:sz w:val="21"/>
          <w:shd w:val="clear" w:color="auto" w:fill="auto"/>
        </w:rPr>
      </w:pPr>
      <w:bookmarkStart w:id="75" w:name="_Toc9055"/>
      <w:bookmarkStart w:id="76" w:name="_Toc235102899"/>
      <w:bookmarkStart w:id="77" w:name="_Toc399838809"/>
      <w:bookmarkStart w:id="78" w:name="_Toc27232"/>
      <w:bookmarkStart w:id="79" w:name="_Toc1526"/>
      <w:bookmarkStart w:id="80" w:name="_Toc248235620"/>
      <w:bookmarkStart w:id="81" w:name="_Toc394549630"/>
      <w:bookmarkStart w:id="82" w:name="_Toc15749"/>
      <w:bookmarkStart w:id="83" w:name="_Toc436047461"/>
      <w:bookmarkStart w:id="84" w:name="_Toc403544835"/>
      <w:bookmarkStart w:id="85" w:name="_Toc248235420"/>
      <w:bookmarkStart w:id="86" w:name="_Toc172016173"/>
      <w:bookmarkStart w:id="87" w:name="_Toc399943153"/>
      <w:bookmarkStart w:id="88" w:name="_Toc57"/>
      <w:bookmarkStart w:id="89" w:name="_Toc401048421"/>
      <w:bookmarkStart w:id="90" w:name="_Toc10531"/>
      <w:bookmarkStart w:id="91" w:name="_Toc399838627"/>
      <w:bookmarkStart w:id="92" w:name="_Toc217444126"/>
      <w:bookmarkEnd w:id="71"/>
      <w:r>
        <w:rPr>
          <w:rFonts w:ascii="黑体" w:eastAsia="黑体" w:cs="黑体" w:hint="eastAsia"/>
          <w:b w:val="0"/>
          <w:bCs w:val="0"/>
          <w:sz w:val="21"/>
          <w:shd w:val="clear" w:color="auto" w:fill="auto"/>
        </w:rPr>
        <w:t>4</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经营目标与原则</w:t>
      </w:r>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p>
    <w:p>
      <w:pPr>
        <w:pStyle w:val="1"/>
        <w:spacing w:beforeLines="50" w:before="156" w:afterLines="50" w:after="156" w:line="240" w:lineRule="auto"/>
        <w:jc w:val="left"/>
        <w:rPr>
          <w:rFonts w:ascii="黑体" w:eastAsia="黑体" w:cs="黑体" w:hint="eastAsia"/>
          <w:b w:val="0"/>
          <w:bCs w:val="0"/>
          <w:sz w:val="21"/>
          <w:shd w:val="clear" w:color="auto" w:fill="auto"/>
        </w:rPr>
      </w:pPr>
      <w:bookmarkStart w:id="93" w:name="_Toc172016174"/>
      <w:bookmarkStart w:id="94" w:name="_Toc248235621"/>
      <w:bookmarkStart w:id="95" w:name="_Toc235102900"/>
      <w:bookmarkStart w:id="96" w:name="_Toc24801"/>
      <w:bookmarkStart w:id="97" w:name="_Toc27819"/>
      <w:bookmarkStart w:id="98" w:name="_Toc7619"/>
      <w:bookmarkStart w:id="99" w:name="_Toc16048"/>
      <w:bookmarkStart w:id="100" w:name="_Toc30612"/>
      <w:bookmarkStart w:id="101" w:name="_Toc436047462"/>
      <w:bookmarkStart w:id="102" w:name="_Toc5290"/>
      <w:bookmarkStart w:id="103" w:name="_Toc436046449"/>
      <w:bookmarkStart w:id="104" w:name="_Toc401048422"/>
      <w:bookmarkStart w:id="105" w:name="_Toc13221"/>
      <w:bookmarkStart w:id="106" w:name="_Toc248235421"/>
      <w:r>
        <w:rPr>
          <w:rFonts w:ascii="黑体" w:eastAsia="黑体" w:cs="黑体" w:hint="eastAsia"/>
          <w:b w:val="0"/>
          <w:bCs w:val="0"/>
          <w:sz w:val="21"/>
          <w:shd w:val="clear" w:color="auto" w:fill="auto"/>
        </w:rPr>
        <w:t>4.1</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经营目标</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p>
    <w:p>
      <w:pPr>
        <w:spacing w:line="360" w:lineRule="auto"/>
        <w:ind w:firstLineChars="200" w:firstLine="420"/>
        <w:rPr>
          <w:rFonts w:ascii="宋体" w:cs="宋体" w:hAnsi="宋体" w:hint="eastAsia"/>
        </w:rPr>
      </w:pPr>
      <w:r>
        <w:rPr>
          <w:rFonts w:ascii="宋体" w:cs="宋体" w:hAnsi="宋体" w:hint="eastAsia"/>
        </w:rPr>
        <w:t>遵循森林生态系统演替规律，基于近自然经营理念，以天然更新为主，促进天然更新与补植补种地带性乡土树种相结合，调整林分密度、优化森林结构，提高林分生产力和碳汇能力，培育既能持续产出优质大径材，又能不断增加森林碳储量的多功能油松阔叶混交林。</w:t>
      </w:r>
    </w:p>
    <w:p>
      <w:pPr>
        <w:pStyle w:val="1"/>
        <w:spacing w:beforeLines="50" w:before="156" w:beforeAutospacing="0" w:afterLines="50" w:after="156" w:afterAutospacing="0" w:line="240" w:lineRule="auto"/>
        <w:jc w:val="left"/>
        <w:rPr>
          <w:rFonts w:ascii="黑体" w:eastAsia="黑体" w:cs="黑体" w:hint="eastAsia"/>
          <w:b w:val="0"/>
          <w:bCs w:val="0"/>
          <w:sz w:val="21"/>
          <w:shd w:val="clear" w:color="auto" w:fill="auto"/>
        </w:rPr>
      </w:pPr>
      <w:bookmarkStart w:id="107" w:name="_Toc248235622"/>
      <w:bookmarkStart w:id="108" w:name="_Toc24189"/>
      <w:bookmarkStart w:id="109" w:name="_Toc436047463"/>
      <w:bookmarkStart w:id="110" w:name="_Toc436046450"/>
      <w:bookmarkStart w:id="111" w:name="_Toc235102901"/>
      <w:bookmarkStart w:id="112" w:name="_Toc4225"/>
      <w:bookmarkStart w:id="113" w:name="_Toc401048423"/>
      <w:bookmarkStart w:id="114" w:name="_Toc15268"/>
      <w:bookmarkStart w:id="115" w:name="_Toc18726"/>
      <w:bookmarkStart w:id="116" w:name="_Toc26057"/>
      <w:bookmarkStart w:id="117" w:name="_Toc248235422"/>
      <w:bookmarkStart w:id="118" w:name="_Toc172016175"/>
      <w:bookmarkStart w:id="119" w:name="_Toc19192"/>
      <w:bookmarkStart w:id="120" w:name="_Toc23245"/>
      <w:r>
        <w:rPr>
          <w:rFonts w:ascii="黑体" w:eastAsia="黑体" w:cs="黑体" w:hint="eastAsia"/>
          <w:b w:val="0"/>
          <w:bCs w:val="0"/>
          <w:sz w:val="21"/>
          <w:shd w:val="clear" w:color="auto" w:fill="auto"/>
        </w:rPr>
        <w:t>4.2</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经营原则</w:t>
      </w:r>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p>
    <w:p>
      <w:pPr>
        <w:spacing w:line="360" w:lineRule="auto"/>
        <w:ind w:firstLineChars="200" w:firstLine="420"/>
        <w:rPr>
          <w:rFonts w:ascii="宋体" w:cs="宋体" w:hAnsi="宋体" w:hint="eastAsia"/>
        </w:rPr>
      </w:pPr>
      <w:r>
        <w:rPr>
          <w:rFonts w:ascii="宋体" w:cs="宋体" w:hAnsi="宋体" w:hint="eastAsia"/>
        </w:rPr>
        <w:t>——近自然森林经营原则；</w:t>
      </w:r>
    </w:p>
    <w:p>
      <w:pPr>
        <w:spacing w:line="360" w:lineRule="auto"/>
        <w:ind w:firstLineChars="200" w:firstLine="420"/>
        <w:rPr>
          <w:rFonts w:ascii="宋体" w:cs="宋体" w:hAnsi="宋体" w:hint="eastAsia"/>
        </w:rPr>
      </w:pPr>
      <w:r>
        <w:rPr>
          <w:rFonts w:ascii="宋体" w:cs="宋体" w:hAnsi="宋体" w:hint="eastAsia"/>
        </w:rPr>
        <w:t>——森林碳储量与木质林产品碳储量持续增加原则；</w:t>
      </w:r>
    </w:p>
    <w:p>
      <w:pPr>
        <w:spacing w:line="360" w:lineRule="auto"/>
        <w:ind w:firstLineChars="200" w:firstLine="420"/>
        <w:rPr>
          <w:rFonts w:ascii="宋体" w:cs="宋体" w:hAnsi="宋体" w:hint="eastAsia"/>
        </w:rPr>
      </w:pPr>
      <w:r>
        <w:rPr>
          <w:rFonts w:ascii="宋体" w:cs="宋体" w:hAnsi="宋体" w:hint="eastAsia"/>
        </w:rPr>
        <w:t>——减少碳源和增加碳汇并重原则；</w:t>
      </w:r>
    </w:p>
    <w:p>
      <w:pPr>
        <w:spacing w:line="360" w:lineRule="auto"/>
        <w:ind w:firstLineChars="200" w:firstLine="420"/>
        <w:rPr>
          <w:rFonts w:ascii="宋体" w:cs="宋体" w:hAnsi="宋体" w:hint="eastAsia"/>
        </w:rPr>
      </w:pPr>
      <w:r>
        <w:rPr>
          <w:rFonts w:ascii="宋体" w:cs="宋体" w:hAnsi="宋体" w:hint="eastAsia"/>
        </w:rPr>
        <w:t>——木材生产兼顾固碳增汇及其他生态服务功能原则；</w:t>
      </w:r>
    </w:p>
    <w:p>
      <w:pPr>
        <w:spacing w:line="360" w:lineRule="auto"/>
        <w:ind w:firstLineChars="200" w:firstLine="420"/>
        <w:rPr>
          <w:rFonts w:ascii="宋体" w:cs="宋体" w:hAnsi="宋体" w:hint="eastAsia"/>
        </w:rPr>
      </w:pPr>
      <w:r>
        <w:rPr>
          <w:rFonts w:ascii="宋体" w:cs="宋体" w:hAnsi="宋体" w:hint="eastAsia"/>
        </w:rPr>
        <w:t>——提高生产力与维持稳定性原则。</w:t>
      </w:r>
    </w:p>
    <w:p>
      <w:pPr>
        <w:pStyle w:val="1"/>
        <w:spacing w:beforeLines="100" w:before="312" w:afterLines="100" w:after="312" w:line="240" w:lineRule="auto"/>
        <w:jc w:val="left"/>
        <w:rPr>
          <w:rFonts w:ascii="黑体" w:eastAsia="黑体" w:cs="黑体" w:hint="eastAsia"/>
          <w:b w:val="0"/>
          <w:bCs w:val="0"/>
          <w:sz w:val="21"/>
          <w:shd w:val="clear" w:color="auto" w:fill="auto"/>
        </w:rPr>
      </w:pPr>
      <w:bookmarkStart w:id="121" w:name="_Toc25682"/>
      <w:bookmarkStart w:id="122" w:name="_Toc172016176"/>
      <w:bookmarkStart w:id="123" w:name="_Toc7283"/>
      <w:bookmarkStart w:id="124" w:name="_Toc399838811"/>
      <w:bookmarkStart w:id="125" w:name="_Toc20289"/>
      <w:bookmarkStart w:id="126" w:name="_Toc9250"/>
      <w:bookmarkStart w:id="127" w:name="_Toc403544836"/>
      <w:bookmarkStart w:id="128" w:name="_Toc13143"/>
      <w:bookmarkStart w:id="129" w:name="_Toc399838629"/>
      <w:bookmarkStart w:id="130" w:name="_Toc10986"/>
      <w:bookmarkStart w:id="131" w:name="_Toc436047464"/>
      <w:bookmarkStart w:id="132" w:name="_Toc401048427"/>
      <w:bookmarkStart w:id="133" w:name="_Toc399943155"/>
      <w:r>
        <w:rPr>
          <w:rFonts w:ascii="黑体" w:eastAsia="黑体" w:cs="黑体" w:hint="eastAsia"/>
          <w:b w:val="0"/>
          <w:bCs w:val="0"/>
          <w:sz w:val="21"/>
          <w:shd w:val="clear" w:color="auto" w:fill="auto"/>
        </w:rPr>
        <w:t xml:space="preserve">5 </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经营阶段划分</w:t>
      </w:r>
      <w:bookmarkEnd w:id="121"/>
      <w:bookmarkEnd w:id="122"/>
      <w:bookmarkEnd w:id="123"/>
      <w:bookmarkEnd w:id="124"/>
      <w:bookmarkEnd w:id="125"/>
      <w:bookmarkEnd w:id="126"/>
      <w:bookmarkEnd w:id="127"/>
      <w:bookmarkEnd w:id="128"/>
      <w:bookmarkEnd w:id="129"/>
      <w:bookmarkEnd w:id="130"/>
      <w:bookmarkEnd w:id="131"/>
      <w:bookmarkEnd w:id="132"/>
      <w:bookmarkEnd w:id="133"/>
    </w:p>
    <w:p>
      <w:pPr>
        <w:pStyle w:val="1"/>
        <w:spacing w:beforeLines="50" w:before="156" w:beforeAutospacing="0" w:afterLines="50" w:after="156" w:afterAutospacing="0" w:line="240" w:lineRule="auto"/>
        <w:jc w:val="left"/>
        <w:rPr>
          <w:rFonts w:ascii="黑体" w:eastAsia="黑体" w:cs="黑体" w:hint="eastAsia"/>
          <w:b w:val="0"/>
          <w:bCs w:val="0"/>
          <w:sz w:val="21"/>
          <w:shd w:val="clear" w:color="auto" w:fill="auto"/>
        </w:rPr>
      </w:pPr>
      <w:bookmarkStart w:id="134" w:name="_Toc235102905"/>
      <w:bookmarkStart w:id="135" w:name="_Toc248235426"/>
      <w:bookmarkStart w:id="136" w:name="_Toc399943157"/>
      <w:bookmarkStart w:id="137" w:name="_Toc248235626"/>
      <w:bookmarkStart w:id="138" w:name="_Toc394549632"/>
      <w:bookmarkEnd w:id="92"/>
      <w:r>
        <w:rPr>
          <w:rFonts w:ascii="黑体" w:eastAsia="黑体" w:cs="黑体" w:hint="eastAsia"/>
          <w:b w:val="0"/>
          <w:bCs w:val="0"/>
          <w:sz w:val="21"/>
          <w:shd w:val="clear" w:color="auto" w:fill="auto"/>
        </w:rPr>
        <w:t xml:space="preserve">5.1 </w:t>
      </w:r>
      <w:bookmarkStart w:id="139" w:name="_Hlk168325955"/>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经营阶段划分</w:t>
      </w:r>
    </w:p>
    <w:p>
      <w:pPr>
        <w:spacing w:line="360" w:lineRule="auto"/>
        <w:ind w:firstLineChars="200" w:firstLine="420"/>
        <w:rPr>
          <w:rFonts w:ascii="宋体" w:cs="宋体" w:hAnsi="宋体" w:hint="eastAsia"/>
        </w:rPr>
      </w:pPr>
      <w:r>
        <w:rPr>
          <w:rFonts w:ascii="宋体" w:cs="宋体" w:hAnsi="宋体" w:hint="eastAsia"/>
        </w:rPr>
        <w:t>根据林分发育过程和优势木生长规律划分为建群阶段、形干促成阶段、质量提升阶段、复层构建阶段和恒续结构阶段</w:t>
      </w:r>
      <w:bookmarkEnd w:id="139"/>
      <w:r>
        <w:rPr>
          <w:rFonts w:ascii="宋体" w:cs="宋体" w:hAnsi="宋体" w:hint="eastAsia"/>
        </w:rPr>
        <w:t>。</w:t>
      </w:r>
    </w:p>
    <w:p>
      <w:pPr>
        <w:pStyle w:val="1"/>
        <w:spacing w:beforeLines="50" w:before="156" w:beforeAutospacing="0" w:afterLines="50" w:after="156" w:afterAutospacing="0" w:line="240" w:lineRule="auto"/>
        <w:jc w:val="left"/>
        <w:rPr>
          <w:rFonts w:ascii="黑体" w:eastAsia="黑体" w:cs="黑体" w:hint="eastAsia"/>
          <w:b w:val="0"/>
          <w:bCs w:val="0"/>
          <w:sz w:val="21"/>
          <w:shd w:val="clear" w:color="auto" w:fill="auto"/>
        </w:rPr>
      </w:pPr>
      <w:r>
        <w:rPr>
          <w:rFonts w:ascii="黑体" w:eastAsia="黑体" w:cs="黑体" w:hint="eastAsia"/>
          <w:b w:val="0"/>
          <w:bCs w:val="0"/>
          <w:sz w:val="21"/>
          <w:shd w:val="clear" w:color="auto" w:fill="auto"/>
        </w:rPr>
        <w:t>5.2</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 xml:space="preserve"> 各经营阶段特征</w:t>
      </w:r>
    </w:p>
    <w:p>
      <w:pPr>
        <w:pStyle w:val="1"/>
        <w:spacing w:beforeLines="50" w:before="156" w:beforeAutospacing="0" w:afterLines="50" w:after="156" w:afterAutospacing="0" w:line="240" w:lineRule="auto"/>
        <w:jc w:val="left"/>
        <w:rPr>
          <w:rFonts w:ascii="黑体" w:eastAsia="黑体" w:cs="黑体" w:hint="eastAsia"/>
          <w:b w:val="0"/>
          <w:bCs w:val="0"/>
          <w:sz w:val="21"/>
          <w:shd w:val="clear" w:color="auto" w:fill="auto"/>
        </w:rPr>
      </w:pPr>
      <w:r>
        <w:rPr>
          <w:rFonts w:ascii="黑体" w:eastAsia="黑体" w:cs="黑体" w:hint="eastAsia"/>
          <w:b w:val="0"/>
          <w:bCs w:val="0"/>
          <w:sz w:val="21"/>
          <w:shd w:val="clear" w:color="auto" w:fill="auto"/>
        </w:rPr>
        <w:t xml:space="preserve">5.2.1 </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建群阶段</w:t>
      </w:r>
    </w:p>
    <w:p>
      <w:pPr>
        <w:spacing w:line="360" w:lineRule="auto"/>
        <w:ind w:firstLineChars="200" w:firstLine="420"/>
        <w:rPr>
          <w:rFonts w:ascii="宋体" w:cs="宋体" w:hAnsi="宋体"/>
        </w:rPr>
      </w:pPr>
      <w:r>
        <w:rPr>
          <w:rFonts w:ascii="宋体" w:cs="宋体" w:hAnsi="宋体" w:hint="eastAsia"/>
        </w:rPr>
        <w:t>从造林后到林分开始郁闭的生长阶段。一般年龄为1年</w:t>
      </w:r>
      <w:r>
        <w:rPr>
          <w:rFonts w:ascii="宋体" w:cs="宋体" w:hint="eastAsia"/>
          <w:lang w:eastAsia="zh-CN" w:bidi="ar-SA"/>
        </w:rPr>
        <w:t>～</w:t>
      </w:r>
      <w:r>
        <w:rPr>
          <w:rFonts w:ascii="宋体" w:cs="宋体" w:hAnsi="宋体" w:hint="eastAsia"/>
        </w:rPr>
        <w:t>15年，初植密度1650株/hm</w:t>
      </w:r>
      <w:r>
        <w:rPr>
          <w:rFonts w:ascii="宋体" w:cs="宋体" w:hAnsi="宋体" w:hint="eastAsia"/>
          <w:vertAlign w:val="superscript"/>
        </w:rPr>
        <w:t>2</w:t>
      </w:r>
      <w:r>
        <w:rPr>
          <w:rFonts w:ascii="宋体" w:cs="宋体" w:hint="eastAsia"/>
          <w:lang w:eastAsia="zh-CN" w:bidi="ar-SA"/>
        </w:rPr>
        <w:t>～</w:t>
      </w:r>
      <w:r>
        <w:rPr>
          <w:rFonts w:ascii="宋体" w:cs="宋体" w:hAnsi="宋体" w:hint="eastAsia"/>
        </w:rPr>
        <w:t>3300</w:t>
      </w:r>
    </w:p>
    <w:p>
      <w:pPr>
        <w:spacing w:line="360" w:lineRule="auto"/>
        <w:ind w:left="0"/>
        <w:rPr>
          <w:szCs w:val="28"/>
        </w:rPr>
      </w:pPr>
      <w:r>
        <w:rPr>
          <w:rFonts w:ascii="宋体" w:cs="宋体" w:hAnsi="宋体" w:hint="eastAsia"/>
        </w:rPr>
        <w:t>株/hm</w:t>
      </w:r>
      <w:r>
        <w:rPr>
          <w:rFonts w:ascii="宋体" w:cs="宋体" w:hAnsi="宋体" w:hint="eastAsia"/>
          <w:vertAlign w:val="superscript"/>
        </w:rPr>
        <w:t>2</w:t>
      </w:r>
      <w:r>
        <w:rPr>
          <w:rFonts w:ascii="宋体" w:cs="宋体" w:hAnsi="宋体" w:hint="eastAsia"/>
        </w:rPr>
        <w:t>，期末优势木高达到5m左右、郁闭度不低于0.8。林木个体较小，相互间无竞争，呈孤立自由生长状态，树冠枝叶浓密呈尖塔形，森林环境尚未形成。土壤碳储量占比较高，地上植被碳储量持续增加。</w:t>
      </w:r>
    </w:p>
    <w:p>
      <w:pPr>
        <w:pStyle w:val="1"/>
        <w:spacing w:beforeLines="50" w:before="156" w:beforeAutospacing="0" w:afterLines="50" w:after="156" w:afterAutospacing="0" w:line="240" w:lineRule="auto"/>
        <w:jc w:val="left"/>
        <w:rPr>
          <w:rFonts w:ascii="黑体" w:eastAsia="黑体" w:cs="黑体" w:hint="eastAsia"/>
          <w:b w:val="0"/>
          <w:bCs w:val="0"/>
          <w:sz w:val="21"/>
          <w:shd w:val="clear" w:color="auto" w:fill="auto"/>
        </w:rPr>
      </w:pPr>
      <w:r>
        <w:rPr>
          <w:rFonts w:ascii="黑体" w:eastAsia="黑体" w:cs="黑体" w:hint="eastAsia"/>
          <w:b w:val="0"/>
          <w:bCs w:val="0"/>
          <w:sz w:val="21"/>
          <w:shd w:val="clear" w:color="auto" w:fill="auto"/>
        </w:rPr>
        <w:t>5.2.2</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 xml:space="preserve"> 形干促成阶段</w:t>
      </w:r>
    </w:p>
    <w:p>
      <w:pPr>
        <w:spacing w:line="360" w:lineRule="auto"/>
        <w:ind w:firstLineChars="200" w:firstLine="420"/>
        <w:rPr>
          <w:rFonts w:ascii="宋体" w:cs="宋体" w:hAnsi="宋体" w:hint="eastAsia"/>
        </w:rPr>
      </w:pPr>
      <w:r>
        <w:rPr>
          <w:rFonts w:ascii="宋体" w:cs="宋体" w:hAnsi="宋体" w:hint="eastAsia"/>
        </w:rPr>
        <w:t>从林分郁闭开始，进入树木胸径、树高快速生长期。一般年龄16年</w:t>
      </w:r>
      <w:r>
        <w:rPr>
          <w:rFonts w:ascii="宋体" w:cs="宋体" w:hint="eastAsia"/>
          <w:lang w:eastAsia="zh-CN" w:bidi="ar-SA"/>
        </w:rPr>
        <w:t>～</w:t>
      </w:r>
      <w:r>
        <w:rPr>
          <w:rFonts w:ascii="宋体" w:cs="宋体" w:hAnsi="宋体" w:hint="eastAsia"/>
        </w:rPr>
        <w:t>40年，优势木树高5m</w:t>
      </w:r>
      <w:r>
        <w:rPr>
          <w:rFonts w:ascii="宋体" w:cs="宋体" w:hint="eastAsia"/>
          <w:lang w:eastAsia="zh-CN" w:bidi="ar-SA"/>
        </w:rPr>
        <w:t>～</w:t>
      </w:r>
      <w:r>
        <w:rPr>
          <w:rFonts w:ascii="宋体" w:cs="宋体" w:hAnsi="宋体" w:hint="eastAsia"/>
        </w:rPr>
        <w:t>14m，高径比80</w:t>
      </w:r>
      <w:r>
        <w:rPr>
          <w:rFonts w:ascii="宋体" w:cs="宋体" w:hint="eastAsia"/>
          <w:lang w:eastAsia="zh-CN" w:bidi="ar-SA"/>
        </w:rPr>
        <w:t>～</w:t>
      </w:r>
      <w:r>
        <w:rPr>
          <w:rFonts w:ascii="宋体" w:cs="宋体" w:hAnsi="宋体" w:hint="eastAsia"/>
        </w:rPr>
        <w:t>90。树木由个体发育转向群体发育，也从自由生长转向竞争生长，是树干发育的关键阶段，宜保留较高密度以形成通直圆满树干。森林环境开始形成，树木开始出现自然整枝、分化不断加剧。土壤碳储量相对稳定，乔木层碳储量快速增加。</w:t>
      </w:r>
    </w:p>
    <w:p>
      <w:pPr>
        <w:pStyle w:val="1"/>
        <w:spacing w:beforeLines="50" w:before="156" w:beforeAutospacing="0" w:afterLines="50" w:after="156" w:afterAutospacing="0" w:line="240" w:lineRule="auto"/>
        <w:jc w:val="left"/>
        <w:rPr>
          <w:rFonts w:ascii="黑体" w:eastAsia="黑体" w:cs="黑体" w:hint="eastAsia"/>
          <w:b w:val="0"/>
          <w:bCs w:val="0"/>
          <w:sz w:val="21"/>
          <w:shd w:val="clear" w:color="auto" w:fill="auto"/>
        </w:rPr>
      </w:pPr>
      <w:r>
        <w:rPr>
          <w:rFonts w:ascii="黑体" w:eastAsia="黑体" w:cs="黑体" w:hint="eastAsia"/>
          <w:b w:val="0"/>
          <w:bCs w:val="0"/>
          <w:sz w:val="21"/>
          <w:shd w:val="clear" w:color="auto" w:fill="auto"/>
        </w:rPr>
        <w:t>5.2.3</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 xml:space="preserve"> 质量提升阶段</w:t>
      </w:r>
    </w:p>
    <w:p>
      <w:pPr>
        <w:spacing w:line="360" w:lineRule="auto"/>
        <w:ind w:firstLineChars="200" w:firstLine="420"/>
        <w:rPr>
          <w:rFonts w:ascii="宋体" w:cs="宋体" w:hAnsi="宋体" w:hint="eastAsia"/>
        </w:rPr>
      </w:pPr>
      <w:r>
        <w:rPr>
          <w:rFonts w:ascii="宋体" w:cs="宋体" w:hAnsi="宋体" w:hint="eastAsia"/>
        </w:rPr>
        <w:t>主林层优势木与被压木分化明显，树木个体优良木与劣质木差异加剧。一般年龄41年</w:t>
      </w:r>
      <w:r>
        <w:rPr>
          <w:rFonts w:ascii="宋体" w:cs="宋体" w:hint="eastAsia"/>
          <w:lang w:eastAsia="zh-CN" w:bidi="ar-SA"/>
        </w:rPr>
        <w:t>～</w:t>
      </w:r>
      <w:r>
        <w:rPr>
          <w:rFonts w:ascii="宋体" w:cs="宋体" w:hAnsi="宋体" w:hint="eastAsia"/>
        </w:rPr>
        <w:t>60年，优势木高14m</w:t>
      </w:r>
      <w:r>
        <w:rPr>
          <w:rFonts w:ascii="宋体" w:cs="宋体" w:hint="eastAsia"/>
          <w:lang w:eastAsia="zh-CN" w:bidi="ar-SA"/>
        </w:rPr>
        <w:t>～</w:t>
      </w:r>
      <w:r>
        <w:rPr>
          <w:rFonts w:ascii="宋体" w:cs="宋体" w:hAnsi="宋体" w:hint="eastAsia"/>
        </w:rPr>
        <w:t>20m，高径比70</w:t>
      </w:r>
      <w:r>
        <w:rPr>
          <w:rFonts w:ascii="宋体" w:cs="宋体" w:hint="eastAsia"/>
          <w:lang w:eastAsia="zh-CN" w:bidi="ar-SA"/>
        </w:rPr>
        <w:t>～</w:t>
      </w:r>
      <w:r>
        <w:rPr>
          <w:rFonts w:ascii="宋体" w:cs="宋体" w:hAnsi="宋体" w:hint="eastAsia"/>
        </w:rPr>
        <w:t>80。优势木胸径持续生长，树高生长量开始下降，材积生长量快速增加。林分内树木个体间竞争加剧，被压木增多，林隙内开始出现油松、蒙古栎、花楸、五角枫等天然更新幼苗幼树。优势木与林分质量持续提升。乔木层碳储量持续增加，被压木生长受抑制，枯损会产生碳排放。</w:t>
      </w:r>
    </w:p>
    <w:p>
      <w:pPr>
        <w:pStyle w:val="1"/>
        <w:spacing w:beforeLines="50" w:before="156" w:beforeAutospacing="0" w:afterLines="50" w:after="156" w:afterAutospacing="0" w:line="240" w:lineRule="auto"/>
        <w:jc w:val="left"/>
        <w:rPr>
          <w:rFonts w:ascii="黑体" w:eastAsia="黑体" w:cs="黑体" w:hint="eastAsia"/>
          <w:b w:val="0"/>
          <w:bCs w:val="0"/>
          <w:sz w:val="21"/>
          <w:shd w:val="clear" w:color="auto" w:fill="auto"/>
        </w:rPr>
      </w:pPr>
      <w:r>
        <w:rPr>
          <w:rFonts w:ascii="黑体" w:eastAsia="黑体" w:cs="黑体" w:hint="eastAsia"/>
          <w:b w:val="0"/>
          <w:bCs w:val="0"/>
          <w:sz w:val="21"/>
          <w:shd w:val="clear" w:color="auto" w:fill="auto"/>
        </w:rPr>
        <w:t xml:space="preserve">5.2.4 </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复层构建阶段</w:t>
      </w:r>
    </w:p>
    <w:p>
      <w:pPr>
        <w:spacing w:line="360" w:lineRule="auto"/>
        <w:ind w:firstLineChars="200" w:firstLine="420"/>
        <w:rPr>
          <w:rFonts w:ascii="宋体" w:cs="宋体" w:hAnsi="宋体" w:hint="eastAsia"/>
        </w:rPr>
      </w:pPr>
      <w:r>
        <w:rPr>
          <w:rFonts w:ascii="宋体" w:cs="宋体" w:hAnsi="宋体" w:hint="eastAsia"/>
        </w:rPr>
        <w:t>林分冠层垂直结构明显，二次建群形成异龄复层林。一般年龄61年</w:t>
      </w:r>
      <w:r>
        <w:rPr>
          <w:rFonts w:ascii="宋体" w:cs="宋体" w:hint="eastAsia"/>
          <w:lang w:eastAsia="zh-CN" w:bidi="ar-SA"/>
        </w:rPr>
        <w:t>～</w:t>
      </w:r>
      <w:r>
        <w:rPr>
          <w:rFonts w:ascii="宋体" w:cs="宋体" w:hAnsi="宋体" w:hint="eastAsia"/>
        </w:rPr>
        <w:t xml:space="preserve">90年，上层优势木高20 m </w:t>
      </w:r>
      <w:r>
        <w:rPr>
          <w:rFonts w:ascii="宋体" w:cs="宋体" w:hint="eastAsia"/>
          <w:lang w:eastAsia="zh-CN" w:bidi="ar-SA"/>
        </w:rPr>
        <w:t>～</w:t>
      </w:r>
      <w:r>
        <w:rPr>
          <w:rFonts w:ascii="宋体" w:cs="宋体" w:hAnsi="宋体" w:hint="eastAsia"/>
        </w:rPr>
        <w:t>25m，高径比60</w:t>
      </w:r>
      <w:r>
        <w:rPr>
          <w:rFonts w:ascii="宋体" w:cs="宋体" w:hint="eastAsia"/>
          <w:lang w:eastAsia="zh-CN" w:bidi="ar-SA"/>
        </w:rPr>
        <w:t>～</w:t>
      </w:r>
      <w:r>
        <w:rPr>
          <w:rFonts w:ascii="宋体" w:cs="宋体" w:hAnsi="宋体" w:hint="eastAsia"/>
        </w:rPr>
        <w:t>70。优势木胸径持续生长，树高生长量下降明显，材积生长持续增加。林分内树种增多，天然更新的油松、蒙古栎、花楸、五角枫等开始进入次林层。地上、地下碳储量持续增加。</w:t>
      </w:r>
    </w:p>
    <w:p>
      <w:pPr>
        <w:pStyle w:val="1"/>
        <w:spacing w:beforeLines="50" w:before="156" w:beforeAutospacing="0" w:afterLines="50" w:after="156" w:afterAutospacing="0" w:line="240" w:lineRule="auto"/>
        <w:jc w:val="left"/>
        <w:rPr>
          <w:rFonts w:ascii="黑体" w:eastAsia="黑体" w:cs="黑体" w:hint="eastAsia"/>
          <w:b w:val="0"/>
          <w:bCs w:val="0"/>
          <w:sz w:val="21"/>
          <w:shd w:val="clear" w:color="auto" w:fill="auto"/>
        </w:rPr>
      </w:pPr>
      <w:r>
        <w:rPr>
          <w:rFonts w:ascii="黑体" w:eastAsia="黑体" w:cs="黑体" w:hint="eastAsia"/>
          <w:b w:val="0"/>
          <w:bCs w:val="0"/>
          <w:sz w:val="21"/>
          <w:shd w:val="clear" w:color="auto" w:fill="auto"/>
        </w:rPr>
        <w:t xml:space="preserve">5.2.5 </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恒续结构阶段</w:t>
      </w:r>
    </w:p>
    <w:p>
      <w:pPr>
        <w:spacing w:line="360" w:lineRule="auto"/>
        <w:ind w:firstLineChars="200" w:firstLine="420"/>
        <w:rPr>
          <w:rFonts w:ascii="宋体" w:cs="宋体" w:hAnsi="宋体" w:hint="eastAsia"/>
        </w:rPr>
      </w:pPr>
      <w:r>
        <w:rPr>
          <w:rFonts w:ascii="宋体" w:cs="宋体" w:hAnsi="宋体" w:hint="eastAsia"/>
        </w:rPr>
        <w:t>林分具有多树种与完整的水平、垂直层次，年龄结构与径级结构合理，形成稳定的恒续结构。年龄90年以上，一代目标树达到目标胸径45cm以上，并开始择伐利用，二代目标树进入主林层并快速生长。</w:t>
      </w:r>
      <w:bookmarkStart w:id="140" w:name="_Hlk170484482"/>
      <w:r>
        <w:rPr>
          <w:rFonts w:ascii="宋体" w:cs="宋体" w:hAnsi="宋体" w:hint="eastAsia"/>
        </w:rPr>
        <w:t>林分结构稳定，呈现连续覆盖的异龄复层混交状态。森林碳储量持续增加或达振荡稳定状态</w:t>
      </w:r>
      <w:bookmarkEnd w:id="140"/>
      <w:r>
        <w:rPr>
          <w:rFonts w:ascii="宋体" w:cs="宋体" w:hAnsi="宋体" w:hint="eastAsia"/>
        </w:rPr>
        <w:t>。</w:t>
      </w:r>
    </w:p>
    <w:p>
      <w:pPr>
        <w:pStyle w:val="1"/>
        <w:spacing w:beforeLines="100" w:before="312" w:afterLines="100" w:after="312" w:line="240" w:lineRule="auto"/>
        <w:jc w:val="left"/>
        <w:rPr>
          <w:rFonts w:ascii="黑体" w:eastAsia="黑体" w:cs="黑体" w:hint="eastAsia"/>
          <w:b w:val="0"/>
          <w:bCs w:val="0"/>
          <w:sz w:val="21"/>
          <w:shd w:val="clear" w:color="auto" w:fill="auto"/>
        </w:rPr>
      </w:pPr>
      <w:bookmarkStart w:id="141" w:name="_Toc6902"/>
      <w:bookmarkStart w:id="142" w:name="_Toc32166"/>
      <w:bookmarkStart w:id="143" w:name="_Toc30700"/>
      <w:bookmarkStart w:id="144" w:name="_Toc12012"/>
      <w:bookmarkStart w:id="145" w:name="_Toc12126"/>
      <w:bookmarkStart w:id="146" w:name="_Toc15651"/>
      <w:bookmarkStart w:id="147" w:name="_Toc172016177"/>
      <w:r>
        <w:rPr>
          <w:rFonts w:ascii="黑体" w:eastAsia="黑体" w:cs="黑体" w:hint="eastAsia"/>
          <w:b w:val="0"/>
          <w:bCs w:val="0"/>
          <w:sz w:val="21"/>
          <w:shd w:val="clear" w:color="auto" w:fill="auto"/>
        </w:rPr>
        <w:t>6</w:t>
      </w:r>
      <w:bookmarkStart w:id="148" w:name="_Toc23113"/>
      <w:bookmarkStart w:id="149" w:name="_Toc28425"/>
      <w:bookmarkStart w:id="150" w:name="_Toc7158"/>
      <w:bookmarkStart w:id="151" w:name="_Toc8185"/>
      <w:bookmarkStart w:id="152" w:name="_Toc10671"/>
      <w:bookmarkStart w:id="153" w:name="_Toc13376"/>
      <w:bookmarkStart w:id="154" w:name="_Toc401048437"/>
      <w:bookmarkEnd w:id="141"/>
      <w:bookmarkEnd w:id="142"/>
      <w:bookmarkEnd w:id="143"/>
      <w:bookmarkEnd w:id="144"/>
      <w:bookmarkEnd w:id="145"/>
      <w:bookmarkEnd w:id="146"/>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 xml:space="preserve"> 经营技术</w:t>
      </w:r>
      <w:bookmarkEnd w:id="147"/>
      <w:bookmarkEnd w:id="148"/>
      <w:bookmarkEnd w:id="149"/>
      <w:bookmarkEnd w:id="150"/>
      <w:bookmarkEnd w:id="151"/>
      <w:bookmarkEnd w:id="152"/>
      <w:bookmarkEnd w:id="153"/>
    </w:p>
    <w:p>
      <w:pPr>
        <w:pStyle w:val="1"/>
        <w:spacing w:beforeLines="50" w:before="156" w:beforeAutospacing="0" w:afterLines="50" w:after="156" w:afterAutospacing="0" w:line="240" w:lineRule="auto"/>
        <w:jc w:val="left"/>
        <w:rPr>
          <w:rFonts w:ascii="黑体" w:eastAsia="黑体" w:cs="黑体" w:hint="eastAsia"/>
          <w:b w:val="0"/>
          <w:bCs w:val="0"/>
          <w:sz w:val="21"/>
          <w:shd w:val="clear" w:color="auto" w:fill="auto"/>
        </w:rPr>
      </w:pPr>
      <w:bookmarkStart w:id="155" w:name="_Toc3482"/>
      <w:bookmarkStart w:id="156" w:name="_Toc20253"/>
      <w:bookmarkStart w:id="157" w:name="_Toc17814"/>
      <w:bookmarkStart w:id="158" w:name="_Toc26855"/>
      <w:bookmarkStart w:id="159" w:name="_Toc28279"/>
      <w:bookmarkStart w:id="160" w:name="_Toc172016178"/>
      <w:r>
        <w:rPr>
          <w:rFonts w:ascii="黑体" w:eastAsia="黑体" w:cs="黑体" w:hint="eastAsia"/>
          <w:b w:val="0"/>
          <w:bCs w:val="0"/>
          <w:sz w:val="21"/>
          <w:shd w:val="clear" w:color="auto" w:fill="auto"/>
        </w:rPr>
        <w:t xml:space="preserve">6.1 </w:t>
      </w:r>
      <w:bookmarkEnd w:id="155"/>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建群阶段</w:t>
      </w:r>
      <w:bookmarkEnd w:id="156"/>
      <w:bookmarkEnd w:id="157"/>
      <w:bookmarkEnd w:id="158"/>
      <w:bookmarkEnd w:id="159"/>
      <w:bookmarkEnd w:id="160"/>
    </w:p>
    <w:p>
      <w:pPr>
        <w:pStyle w:val="1"/>
        <w:spacing w:beforeLines="50" w:before="156" w:afterLines="50" w:after="156" w:line="240" w:lineRule="auto"/>
        <w:jc w:val="left"/>
        <w:rPr>
          <w:rFonts w:ascii="黑体" w:eastAsia="黑体" w:cs="黑体" w:hint="eastAsia"/>
          <w:b w:val="0"/>
          <w:bCs w:val="0"/>
          <w:sz w:val="21"/>
          <w:shd w:val="clear" w:color="auto" w:fill="auto"/>
        </w:rPr>
      </w:pPr>
      <w:r>
        <w:rPr>
          <w:rFonts w:ascii="黑体" w:eastAsia="黑体" w:cs="黑体" w:hint="eastAsia"/>
          <w:b w:val="0"/>
          <w:bCs w:val="0"/>
          <w:sz w:val="21"/>
          <w:shd w:val="clear" w:color="auto" w:fill="auto"/>
        </w:rPr>
        <w:t xml:space="preserve">6.1.1 </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经营目的</w:t>
      </w:r>
    </w:p>
    <w:p>
      <w:pPr>
        <w:pStyle w:val="78"/>
        <w:spacing w:line="360" w:lineRule="auto"/>
        <w:ind w:firstLineChars="0" w:firstLine="0"/>
        <w:rPr>
          <w:rFonts w:cs="宋体" w:hAnsi="宋体" w:hint="eastAsia"/>
          <w:kern w:val="2"/>
          <w:szCs w:val="24"/>
        </w:rPr>
      </w:pPr>
      <w:r>
        <w:rPr>
          <w:rFonts w:hint="eastAsia"/>
        </w:rPr>
        <w:t xml:space="preserve">   </w:t>
      </w:r>
      <w:r>
        <w:rPr>
          <w:rFonts w:cs="宋体" w:hAnsi="宋体" w:hint="eastAsia"/>
          <w:kern w:val="2"/>
          <w:szCs w:val="24"/>
        </w:rPr>
        <w:t xml:space="preserve"> 促进林木个体生长，使林分尽快郁闭，稳定土壤碳储量，提高植被综合碳储量。</w:t>
      </w:r>
    </w:p>
    <w:p>
      <w:pPr>
        <w:pStyle w:val="1"/>
        <w:spacing w:beforeLines="50" w:before="156" w:afterLines="50" w:after="156" w:line="240" w:lineRule="auto"/>
        <w:jc w:val="left"/>
        <w:rPr>
          <w:rFonts w:ascii="黑体" w:eastAsia="黑体" w:cs="黑体" w:hint="eastAsia"/>
          <w:b w:val="0"/>
          <w:bCs w:val="0"/>
          <w:sz w:val="21"/>
          <w:shd w:val="clear" w:color="auto" w:fill="auto"/>
        </w:rPr>
      </w:pPr>
      <w:r>
        <w:rPr>
          <w:rFonts w:ascii="黑体" w:eastAsia="黑体" w:cs="黑体" w:hint="eastAsia"/>
          <w:b w:val="0"/>
          <w:bCs w:val="0"/>
          <w:sz w:val="21"/>
          <w:shd w:val="clear" w:color="auto" w:fill="auto"/>
        </w:rPr>
        <w:t xml:space="preserve">6.1.2 </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经营措施</w:t>
      </w:r>
    </w:p>
    <w:p>
      <w:pPr>
        <w:spacing w:line="360" w:lineRule="auto"/>
        <w:ind w:firstLineChars="200" w:firstLine="420"/>
        <w:rPr>
          <w:rFonts w:ascii="宋体" w:cs="宋体" w:hAnsi="宋体" w:hint="eastAsia"/>
        </w:rPr>
      </w:pPr>
      <w:r>
        <w:rPr>
          <w:rFonts w:ascii="宋体" w:cs="宋体" w:hAnsi="宋体" w:hint="eastAsia"/>
        </w:rPr>
        <w:t>——加强幼树管理，早期适时开展扩穴、除草，三年保存率低于80%时进行补植补造；</w:t>
      </w:r>
    </w:p>
    <w:p>
      <w:pPr>
        <w:spacing w:line="360" w:lineRule="auto"/>
        <w:ind w:firstLineChars="200" w:firstLine="420"/>
        <w:rPr>
          <w:rFonts w:ascii="宋体" w:cs="宋体" w:hAnsi="宋体" w:hint="eastAsia"/>
        </w:rPr>
      </w:pPr>
      <w:r>
        <w:rPr>
          <w:rFonts w:ascii="宋体" w:cs="宋体" w:hAnsi="宋体" w:hint="eastAsia"/>
        </w:rPr>
        <w:t>——加强幼林地保护，采取围栏封禁措施防止人畜危害；</w:t>
      </w:r>
    </w:p>
    <w:p>
      <w:pPr>
        <w:spacing w:line="360" w:lineRule="auto"/>
        <w:ind w:firstLineChars="200" w:firstLine="420"/>
        <w:rPr>
          <w:rFonts w:ascii="宋体" w:cs="宋体" w:hAnsi="宋体" w:hint="eastAsia"/>
        </w:rPr>
      </w:pPr>
      <w:r>
        <w:rPr>
          <w:rFonts w:ascii="宋体" w:cs="宋体" w:hAnsi="宋体" w:hint="eastAsia"/>
        </w:rPr>
        <w:t>——加强透光管理，对影响幼树生长的灌木、藤本加以抑制（见9.1）。</w:t>
      </w:r>
    </w:p>
    <w:p>
      <w:pPr>
        <w:pStyle w:val="1"/>
        <w:spacing w:beforeLines="50" w:before="156" w:afterLines="50" w:after="156" w:line="240" w:lineRule="auto"/>
        <w:jc w:val="left"/>
        <w:rPr>
          <w:rFonts w:ascii="黑体" w:eastAsia="黑体" w:cs="黑体" w:hint="eastAsia"/>
          <w:b w:val="0"/>
          <w:bCs w:val="0"/>
          <w:sz w:val="21"/>
          <w:shd w:val="clear" w:color="auto" w:fill="auto"/>
        </w:rPr>
      </w:pPr>
      <w:bookmarkStart w:id="161" w:name="_Toc22551"/>
      <w:bookmarkStart w:id="162" w:name="_Toc3291"/>
      <w:bookmarkStart w:id="163" w:name="_Toc30271"/>
      <w:bookmarkStart w:id="164" w:name="_Toc19301"/>
      <w:bookmarkStart w:id="165" w:name="_Toc23895"/>
      <w:bookmarkStart w:id="166" w:name="_Toc172016179"/>
      <w:r>
        <w:rPr>
          <w:rFonts w:ascii="黑体" w:eastAsia="黑体" w:cs="黑体" w:hint="eastAsia"/>
          <w:b w:val="0"/>
          <w:bCs w:val="0"/>
          <w:sz w:val="21"/>
          <w:shd w:val="clear" w:color="auto" w:fill="auto"/>
        </w:rPr>
        <w:t>6.2</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 xml:space="preserve"> </w:t>
      </w:r>
      <w:bookmarkEnd w:id="161"/>
      <w:bookmarkEnd w:id="162"/>
      <w:bookmarkEnd w:id="163"/>
      <w:bookmarkEnd w:id="164"/>
      <w:bookmarkEnd w:id="165"/>
      <w:r>
        <w:rPr>
          <w:rFonts w:ascii="黑体" w:eastAsia="黑体" w:cs="黑体" w:hint="eastAsia"/>
          <w:b w:val="0"/>
          <w:bCs w:val="0"/>
          <w:sz w:val="21"/>
          <w:shd w:val="clear" w:color="auto" w:fill="auto"/>
        </w:rPr>
        <w:t>形干促成阶段</w:t>
      </w:r>
      <w:bookmarkEnd w:id="166"/>
    </w:p>
    <w:p>
      <w:pPr>
        <w:pStyle w:val="1"/>
        <w:spacing w:beforeLines="50" w:before="156" w:afterLines="50" w:after="156" w:line="240" w:lineRule="auto"/>
        <w:jc w:val="left"/>
        <w:rPr>
          <w:rFonts w:ascii="黑体" w:eastAsia="黑体" w:cs="黑体" w:hint="eastAsia"/>
          <w:b w:val="0"/>
          <w:bCs w:val="0"/>
          <w:sz w:val="21"/>
          <w:shd w:val="clear" w:color="auto" w:fill="auto"/>
        </w:rPr>
      </w:pPr>
      <w:r>
        <w:rPr>
          <w:rFonts w:ascii="黑体" w:eastAsia="黑体" w:cs="黑体" w:hint="eastAsia"/>
          <w:b w:val="0"/>
          <w:bCs w:val="0"/>
          <w:sz w:val="21"/>
          <w:shd w:val="clear" w:color="auto" w:fill="auto"/>
        </w:rPr>
        <w:t>6.2.1</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 xml:space="preserve"> 经营目的</w:t>
      </w:r>
    </w:p>
    <w:p>
      <w:pPr>
        <w:spacing w:line="360" w:lineRule="auto"/>
        <w:ind w:firstLineChars="200" w:firstLine="420"/>
      </w:pPr>
      <w:r>
        <w:rPr>
          <w:rFonts w:ascii="宋体" w:cs="宋体" w:hAnsi="宋体" w:hint="eastAsia"/>
        </w:rPr>
        <w:t>通过森林抚育调节竞争促进树木高、径生长，选定目标树并培育良好干型，快速提高森林碳储量。</w:t>
      </w:r>
    </w:p>
    <w:p>
      <w:pPr>
        <w:pStyle w:val="1"/>
        <w:spacing w:beforeLines="50" w:before="156" w:afterLines="50" w:after="156" w:line="240" w:lineRule="auto"/>
        <w:jc w:val="left"/>
        <w:rPr>
          <w:rFonts w:ascii="黑体" w:eastAsia="黑体" w:cs="黑体" w:hint="eastAsia"/>
          <w:b w:val="0"/>
          <w:bCs w:val="0"/>
          <w:sz w:val="21"/>
          <w:shd w:val="clear" w:color="auto" w:fill="auto"/>
        </w:rPr>
      </w:pPr>
      <w:r>
        <w:rPr>
          <w:rFonts w:ascii="黑体" w:eastAsia="黑体" w:cs="黑体" w:hint="eastAsia"/>
          <w:b w:val="0"/>
          <w:bCs w:val="0"/>
          <w:sz w:val="21"/>
          <w:shd w:val="clear" w:color="auto" w:fill="auto"/>
        </w:rPr>
        <w:t>6.2.2</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 xml:space="preserve"> 经营措施</w:t>
      </w:r>
    </w:p>
    <w:p>
      <w:pPr>
        <w:spacing w:beforeAutospacing="0" w:afterAutospacing="0" w:line="360" w:lineRule="auto"/>
        <w:ind w:leftChars="200" w:left="840" w:hangingChars="200" w:hanging="420"/>
        <w:rPr>
          <w:rFonts w:ascii="宋体" w:cs="宋体" w:hAnsi="宋体"/>
        </w:rPr>
      </w:pPr>
      <w:r>
        <w:rPr>
          <w:rFonts w:ascii="宋体" w:cs="宋体" w:hAnsi="宋体" w:hint="eastAsia"/>
        </w:rPr>
        <w:t>——期初进行定株，伐除质量差、长势弱的林木，保留质量好、长势强的林木，保留密度1650</w:t>
      </w:r>
    </w:p>
    <w:p>
      <w:pPr>
        <w:spacing w:beforeAutospacing="0" w:afterAutospacing="0" w:line="360" w:lineRule="auto"/>
        <w:ind w:leftChars="400" w:left="840"/>
        <w:rPr>
          <w:rFonts w:ascii="宋体" w:cs="宋体" w:hAnsi="宋体" w:hint="eastAsia"/>
        </w:rPr>
      </w:pPr>
      <w:r>
        <w:rPr>
          <w:rFonts w:ascii="宋体" w:cs="宋体" w:hAnsi="宋体" w:hint="eastAsia"/>
        </w:rPr>
        <w:t>株/hm</w:t>
      </w:r>
      <w:r>
        <w:rPr>
          <w:rFonts w:ascii="宋体" w:cs="宋体" w:hAnsi="宋体" w:hint="eastAsia"/>
          <w:vertAlign w:val="superscript"/>
        </w:rPr>
        <w:t>2</w:t>
      </w:r>
      <w:r>
        <w:rPr>
          <w:rFonts w:ascii="宋体" w:cs="宋体" w:hint="eastAsia"/>
          <w:lang w:eastAsia="zh-CN" w:bidi="ar-SA"/>
        </w:rPr>
        <w:t>～</w:t>
      </w:r>
      <w:r>
        <w:rPr>
          <w:rFonts w:ascii="宋体" w:cs="宋体" w:hAnsi="宋体" w:hint="eastAsia"/>
        </w:rPr>
        <w:t>2500株/hm</w:t>
      </w:r>
      <w:r>
        <w:rPr>
          <w:rFonts w:ascii="宋体" w:cs="宋体" w:hAnsi="宋体" w:hint="eastAsia"/>
          <w:vertAlign w:val="superscript"/>
        </w:rPr>
        <w:t>2</w:t>
      </w:r>
      <w:r>
        <w:rPr>
          <w:rFonts w:ascii="宋体" w:cs="宋体" w:hAnsi="宋体" w:hint="eastAsia"/>
        </w:rPr>
        <w:t>；</w:t>
      </w:r>
    </w:p>
    <w:p>
      <w:pPr>
        <w:spacing w:beforeAutospacing="0" w:afterAutospacing="0" w:line="360" w:lineRule="auto"/>
        <w:ind w:leftChars="200" w:left="840" w:hangingChars="200" w:hanging="420"/>
        <w:rPr>
          <w:rFonts w:ascii="宋体" w:cs="宋体" w:hAnsi="宋体" w:hint="eastAsia"/>
        </w:rPr>
      </w:pPr>
      <w:r>
        <w:rPr>
          <w:rFonts w:ascii="宋体" w:cs="宋体" w:hAnsi="宋体" w:hint="eastAsia"/>
        </w:rPr>
        <w:t>——出现2</w:t>
      </w:r>
      <w:r>
        <w:rPr>
          <w:rFonts w:ascii="宋体" w:cs="宋体" w:hint="eastAsia"/>
          <w:lang w:eastAsia="zh-CN" w:bidi="ar-SA"/>
        </w:rPr>
        <w:t>～</w:t>
      </w:r>
      <w:r>
        <w:rPr>
          <w:rFonts w:ascii="宋体" w:cs="宋体" w:hAnsi="宋体" w:hint="eastAsia"/>
        </w:rPr>
        <w:t>3轮枯死枝时进行修枝，修枝高度不超过树高1/3。修枝方式为平切，茬口平滑，与树体平行，不留短橛，不成坑洼；</w:t>
      </w:r>
    </w:p>
    <w:p>
      <w:pPr>
        <w:spacing w:line="360" w:lineRule="auto"/>
        <w:ind w:leftChars="200" w:left="840" w:hangingChars="200" w:hanging="420"/>
        <w:rPr>
          <w:rFonts w:ascii="宋体" w:cs="宋体" w:hAnsi="宋体" w:hint="eastAsia"/>
        </w:rPr>
      </w:pPr>
      <w:r>
        <w:rPr>
          <w:rFonts w:ascii="宋体" w:cs="宋体" w:hAnsi="宋体" w:hint="eastAsia"/>
        </w:rPr>
        <w:t>——优势木直径12cm左右时，进行目标树选择与标记，选择树干通直无损伤、生长势强、树冠圆满的优势木为目标树，用醒目漆料闭环式标记，目标树密度100株/hm</w:t>
      </w:r>
      <w:r>
        <w:rPr>
          <w:rFonts w:ascii="宋体" w:cs="宋体" w:hAnsi="宋体" w:hint="eastAsia"/>
          <w:vertAlign w:val="superscript"/>
        </w:rPr>
        <w:t>2</w:t>
      </w:r>
      <w:r>
        <w:rPr>
          <w:rFonts w:ascii="宋体" w:cs="宋体" w:hint="eastAsia"/>
          <w:lang w:eastAsia="zh-CN" w:bidi="ar-SA"/>
        </w:rPr>
        <w:t>～</w:t>
      </w:r>
      <w:r>
        <w:rPr>
          <w:rFonts w:ascii="宋体" w:cs="宋体" w:hAnsi="宋体" w:hint="eastAsia"/>
        </w:rPr>
        <w:t>120株/hm</w:t>
      </w:r>
      <w:r>
        <w:rPr>
          <w:rFonts w:ascii="宋体" w:cs="宋体" w:hAnsi="宋体" w:hint="eastAsia"/>
          <w:vertAlign w:val="superscript"/>
        </w:rPr>
        <w:t>2</w:t>
      </w:r>
      <w:r>
        <w:rPr>
          <w:rFonts w:ascii="宋体" w:cs="宋体" w:hAnsi="宋体" w:hint="eastAsia"/>
        </w:rPr>
        <w:t>；目标树分布相对均匀；注意珍贵树种与其他生态目标树的保留；</w:t>
      </w:r>
    </w:p>
    <w:p>
      <w:pPr>
        <w:spacing w:line="360" w:lineRule="auto"/>
        <w:ind w:firstLineChars="200" w:firstLine="420"/>
        <w:rPr>
          <w:rFonts w:ascii="宋体" w:cs="宋体" w:hAnsi="宋体" w:hint="eastAsia"/>
        </w:rPr>
      </w:pPr>
      <w:r>
        <w:rPr>
          <w:rFonts w:ascii="宋体" w:cs="宋体" w:hAnsi="宋体" w:hint="eastAsia"/>
        </w:rPr>
        <w:t>——采伐干扰树，保持林分合理密度。保护生态目标树与辅助树；</w:t>
      </w:r>
    </w:p>
    <w:p>
      <w:pPr>
        <w:spacing w:line="360" w:lineRule="auto"/>
        <w:ind w:leftChars="200" w:left="840" w:hangingChars="200" w:hanging="420"/>
        <w:rPr>
          <w:rFonts w:ascii="宋体" w:cs="宋体" w:hAnsi="宋体" w:hint="eastAsia"/>
        </w:rPr>
      </w:pPr>
      <w:r>
        <w:rPr>
          <w:rFonts w:ascii="宋体" w:cs="宋体" w:hAnsi="宋体" w:hint="eastAsia"/>
        </w:rPr>
        <w:t>——进行3次左右的间伐，伐除林分中弯曲木、分叉木、病腐木和残次木等生长不良的林木，期末保留密度600株/hm</w:t>
      </w:r>
      <w:r>
        <w:rPr>
          <w:rFonts w:ascii="宋体" w:cs="宋体" w:hAnsi="宋体" w:hint="eastAsia"/>
          <w:vertAlign w:val="superscript"/>
        </w:rPr>
        <w:t>2</w:t>
      </w:r>
      <w:r>
        <w:rPr>
          <w:rFonts w:ascii="宋体" w:cs="宋体" w:hint="eastAsia"/>
          <w:lang w:eastAsia="zh-CN" w:bidi="ar-SA"/>
        </w:rPr>
        <w:t>～</w:t>
      </w:r>
      <w:r>
        <w:rPr>
          <w:rFonts w:ascii="宋体" w:cs="宋体" w:hAnsi="宋体" w:hint="eastAsia"/>
        </w:rPr>
        <w:t>900株/hm</w:t>
      </w:r>
      <w:r>
        <w:rPr>
          <w:rFonts w:ascii="宋体" w:cs="宋体" w:hAnsi="宋体" w:hint="eastAsia"/>
          <w:vertAlign w:val="superscript"/>
        </w:rPr>
        <w:t>2</w:t>
      </w:r>
      <w:r>
        <w:rPr>
          <w:rFonts w:ascii="宋体" w:cs="宋体" w:hAnsi="宋体" w:hint="eastAsia"/>
        </w:rPr>
        <w:t>。</w:t>
      </w:r>
    </w:p>
    <w:p>
      <w:pPr>
        <w:pStyle w:val="1"/>
        <w:spacing w:beforeLines="50" w:before="156" w:afterLines="50" w:after="156" w:line="240" w:lineRule="auto"/>
        <w:jc w:val="left"/>
        <w:rPr>
          <w:rFonts w:ascii="黑体" w:eastAsia="黑体" w:cs="黑体" w:hint="eastAsia"/>
          <w:b w:val="0"/>
          <w:bCs w:val="0"/>
          <w:sz w:val="21"/>
          <w:shd w:val="clear" w:color="auto" w:fill="auto"/>
        </w:rPr>
      </w:pPr>
      <w:bookmarkStart w:id="167" w:name="_Toc3110"/>
      <w:bookmarkStart w:id="168" w:name="_Toc29445"/>
      <w:bookmarkStart w:id="169" w:name="_Toc12218"/>
      <w:bookmarkStart w:id="170" w:name="_Toc27844"/>
      <w:bookmarkStart w:id="171" w:name="_Toc6894"/>
      <w:bookmarkStart w:id="172" w:name="_Toc172016180"/>
      <w:bookmarkStart w:id="173" w:name="_Toc436047482"/>
      <w:bookmarkEnd w:id="154"/>
      <w:r>
        <w:rPr>
          <w:rFonts w:ascii="黑体" w:eastAsia="黑体" w:cs="黑体" w:hint="eastAsia"/>
          <w:b w:val="0"/>
          <w:bCs w:val="0"/>
          <w:sz w:val="21"/>
          <w:shd w:val="clear" w:color="auto" w:fill="auto"/>
        </w:rPr>
        <w:t xml:space="preserve">6.3 </w:t>
      </w:r>
      <w:bookmarkEnd w:id="167"/>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质量提升阶段</w:t>
      </w:r>
      <w:bookmarkEnd w:id="168"/>
      <w:bookmarkEnd w:id="169"/>
      <w:bookmarkEnd w:id="170"/>
      <w:bookmarkEnd w:id="171"/>
      <w:bookmarkEnd w:id="172"/>
    </w:p>
    <w:p>
      <w:pPr>
        <w:pStyle w:val="1"/>
        <w:spacing w:beforeLines="50" w:before="156" w:afterLines="50" w:after="156" w:line="240" w:lineRule="auto"/>
        <w:jc w:val="left"/>
        <w:rPr>
          <w:rFonts w:ascii="黑体" w:eastAsia="黑体" w:cs="黑体" w:hint="eastAsia"/>
          <w:b w:val="0"/>
          <w:bCs w:val="0"/>
          <w:sz w:val="21"/>
          <w:shd w:val="clear" w:color="auto" w:fill="auto"/>
        </w:rPr>
      </w:pPr>
      <w:r>
        <w:rPr>
          <w:rFonts w:ascii="黑体" w:eastAsia="黑体" w:cs="黑体" w:hint="eastAsia"/>
          <w:b w:val="0"/>
          <w:bCs w:val="0"/>
          <w:sz w:val="21"/>
          <w:shd w:val="clear" w:color="auto" w:fill="auto"/>
        </w:rPr>
        <w:t xml:space="preserve">6.3.1 </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经营目的</w:t>
      </w:r>
    </w:p>
    <w:p>
      <w:pPr>
        <w:spacing w:line="360" w:lineRule="auto"/>
        <w:ind w:firstLineChars="200" w:firstLine="420"/>
        <w:rPr>
          <w:rFonts w:ascii="宋体" w:cs="宋体" w:hAnsi="宋体" w:hint="eastAsia"/>
        </w:rPr>
      </w:pPr>
      <w:r>
        <w:rPr>
          <w:rFonts w:ascii="宋体" w:cs="宋体" w:hAnsi="宋体" w:hint="eastAsia"/>
        </w:rPr>
        <w:t>为目标树生长释放空间，促进目标树径向生长，提升目标树与林分整体质量，森林碳储量持续提高。</w:t>
      </w:r>
    </w:p>
    <w:p>
      <w:pPr>
        <w:pStyle w:val="1"/>
        <w:spacing w:beforeLines="50" w:before="156" w:afterLines="50" w:after="156" w:line="240" w:lineRule="auto"/>
        <w:jc w:val="left"/>
        <w:rPr>
          <w:rFonts w:ascii="黑体" w:eastAsia="黑体" w:cs="黑体" w:hint="eastAsia"/>
          <w:b w:val="0"/>
          <w:bCs w:val="0"/>
          <w:sz w:val="21"/>
          <w:shd w:val="clear" w:color="auto" w:fill="auto"/>
        </w:rPr>
      </w:pPr>
      <w:r>
        <w:rPr>
          <w:rFonts w:ascii="黑体" w:eastAsia="黑体" w:cs="黑体" w:hint="eastAsia"/>
          <w:b w:val="0"/>
          <w:bCs w:val="0"/>
          <w:sz w:val="21"/>
          <w:shd w:val="clear" w:color="auto" w:fill="auto"/>
        </w:rPr>
        <w:t>6.3.2</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 xml:space="preserve"> 经营措施</w:t>
      </w:r>
    </w:p>
    <w:p>
      <w:pPr>
        <w:pStyle w:val="1"/>
        <w:spacing w:beforeLines="50" w:before="156" w:afterLines="50" w:after="156" w:line="240" w:lineRule="auto"/>
        <w:jc w:val="left"/>
        <w:rPr>
          <w:rFonts w:ascii="黑体" w:eastAsia="黑体" w:cs="黑体" w:hint="eastAsia"/>
          <w:b w:val="0"/>
          <w:bCs w:val="0"/>
          <w:sz w:val="21"/>
          <w:shd w:val="clear" w:color="auto" w:fill="auto"/>
        </w:rPr>
      </w:pPr>
      <w:r>
        <w:rPr>
          <w:rFonts w:ascii="黑体" w:eastAsia="黑体" w:cs="黑体" w:hint="eastAsia"/>
          <w:b w:val="0"/>
          <w:bCs w:val="0"/>
          <w:sz w:val="21"/>
          <w:shd w:val="clear" w:color="auto" w:fill="auto"/>
        </w:rPr>
        <w:t xml:space="preserve">6.3.2.1 </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目标树经营</w:t>
      </w:r>
    </w:p>
    <w:p>
      <w:pPr>
        <w:spacing w:line="360" w:lineRule="auto"/>
        <w:ind w:firstLineChars="200" w:firstLine="420"/>
        <w:rPr>
          <w:rFonts w:ascii="宋体" w:cs="宋体" w:hAnsi="宋体" w:hint="eastAsia"/>
        </w:rPr>
      </w:pPr>
      <w:r>
        <w:rPr>
          <w:rFonts w:ascii="宋体" w:cs="宋体" w:hAnsi="宋体" w:hint="eastAsia"/>
        </w:rPr>
        <w:t>——目标树修枝，修枝高度为树高1/3</w:t>
      </w:r>
      <w:r>
        <w:rPr>
          <w:rFonts w:ascii="宋体" w:cs="宋体" w:hint="eastAsia"/>
          <w:lang w:eastAsia="zh-CN" w:bidi="ar-SA"/>
        </w:rPr>
        <w:t>～</w:t>
      </w:r>
      <w:r>
        <w:rPr>
          <w:rFonts w:ascii="宋体" w:cs="宋体" w:hAnsi="宋体" w:hint="eastAsia"/>
        </w:rPr>
        <w:t>1/2；</w:t>
      </w:r>
    </w:p>
    <w:p>
      <w:pPr>
        <w:spacing w:line="360" w:lineRule="auto"/>
        <w:ind w:firstLineChars="200" w:firstLine="420"/>
        <w:rPr>
          <w:rFonts w:ascii="宋体" w:cs="宋体" w:hAnsi="宋体" w:hint="eastAsia"/>
        </w:rPr>
      </w:pPr>
      <w:r>
        <w:rPr>
          <w:rFonts w:ascii="宋体" w:cs="宋体" w:hAnsi="宋体" w:hint="eastAsia"/>
        </w:rPr>
        <w:t>——伐除影响目标树生长的干扰树，优先伐除上坡位、向阳面的干扰树。</w:t>
      </w:r>
    </w:p>
    <w:p>
      <w:pPr>
        <w:pStyle w:val="1"/>
        <w:spacing w:beforeLines="50" w:before="156" w:afterLines="50" w:after="156" w:line="240" w:lineRule="auto"/>
        <w:jc w:val="left"/>
        <w:rPr>
          <w:rFonts w:ascii="黑体" w:eastAsia="黑体" w:cs="黑体" w:hint="eastAsia"/>
          <w:b w:val="0"/>
          <w:bCs w:val="0"/>
          <w:sz w:val="21"/>
          <w:shd w:val="clear" w:color="auto" w:fill="auto"/>
        </w:rPr>
      </w:pPr>
      <w:bookmarkStart w:id="174" w:name="_Toc19381"/>
      <w:bookmarkStart w:id="175" w:name="_Hlk168995630"/>
      <w:r>
        <w:rPr>
          <w:rFonts w:ascii="黑体" w:eastAsia="黑体" w:cs="黑体" w:hint="eastAsia"/>
          <w:b w:val="0"/>
          <w:bCs w:val="0"/>
          <w:sz w:val="21"/>
          <w:shd w:val="clear" w:color="auto" w:fill="auto"/>
        </w:rPr>
        <w:t xml:space="preserve">6.3.2.2 </w:t>
      </w:r>
      <w:bookmarkEnd w:id="174"/>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其他林木经营</w:t>
      </w:r>
      <w:bookmarkEnd w:id="175"/>
    </w:p>
    <w:p>
      <w:pPr>
        <w:spacing w:line="360" w:lineRule="auto"/>
        <w:ind w:leftChars="200" w:left="840" w:hangingChars="200" w:hanging="420"/>
        <w:rPr>
          <w:rFonts w:ascii="宋体" w:cs="宋体" w:hAnsi="宋体" w:hint="eastAsia"/>
        </w:rPr>
      </w:pPr>
      <w:r>
        <w:rPr>
          <w:rFonts w:ascii="宋体" w:cs="宋体" w:hAnsi="宋体" w:hint="eastAsia"/>
        </w:rPr>
        <w:t>——进行2</w:t>
      </w:r>
      <w:r>
        <w:rPr>
          <w:rFonts w:ascii="宋体" w:cs="宋体" w:hint="eastAsia"/>
          <w:lang w:eastAsia="zh-CN" w:bidi="ar-SA"/>
        </w:rPr>
        <w:t>～</w:t>
      </w:r>
      <w:r>
        <w:rPr>
          <w:rFonts w:ascii="宋体" w:cs="宋体" w:hAnsi="宋体" w:hint="eastAsia"/>
        </w:rPr>
        <w:t>3次的间伐，可采用单株或群团状采伐，促进保留木生长并清除林内的劣质林木；期末保留林分密度300株/hm</w:t>
      </w:r>
      <w:r>
        <w:rPr>
          <w:rFonts w:ascii="宋体" w:cs="宋体" w:hAnsi="宋体" w:hint="eastAsia"/>
          <w:vertAlign w:val="superscript"/>
        </w:rPr>
        <w:t>2</w:t>
      </w:r>
      <w:r>
        <w:rPr>
          <w:rFonts w:ascii="宋体" w:cs="宋体" w:hint="eastAsia"/>
          <w:lang w:eastAsia="zh-CN" w:bidi="ar-SA"/>
        </w:rPr>
        <w:t>～</w:t>
      </w:r>
      <w:r>
        <w:rPr>
          <w:rFonts w:ascii="宋体" w:cs="宋体" w:hAnsi="宋体" w:hint="eastAsia"/>
        </w:rPr>
        <w:t>450株/hm</w:t>
      </w:r>
      <w:r>
        <w:rPr>
          <w:rFonts w:ascii="宋体" w:cs="宋体" w:hAnsi="宋体" w:hint="eastAsia"/>
          <w:vertAlign w:val="superscript"/>
        </w:rPr>
        <w:t>2</w:t>
      </w:r>
      <w:r>
        <w:rPr>
          <w:rFonts w:ascii="宋体" w:cs="宋体" w:hAnsi="宋体" w:hint="eastAsia"/>
        </w:rPr>
        <w:t>。</w:t>
      </w:r>
    </w:p>
    <w:p>
      <w:pPr>
        <w:pStyle w:val="1"/>
        <w:spacing w:beforeLines="50" w:before="156" w:afterLines="50" w:after="156" w:line="240" w:lineRule="auto"/>
        <w:jc w:val="left"/>
        <w:rPr>
          <w:rFonts w:ascii="黑体" w:eastAsia="黑体" w:cs="黑体" w:hint="eastAsia"/>
          <w:b w:val="0"/>
          <w:bCs w:val="0"/>
          <w:sz w:val="21"/>
          <w:shd w:val="clear" w:color="auto" w:fill="auto"/>
        </w:rPr>
      </w:pPr>
      <w:r>
        <w:rPr>
          <w:rFonts w:ascii="黑体" w:eastAsia="黑体" w:cs="黑体" w:hint="eastAsia"/>
          <w:b w:val="0"/>
          <w:bCs w:val="0"/>
          <w:sz w:val="21"/>
          <w:shd w:val="clear" w:color="auto" w:fill="auto"/>
        </w:rPr>
        <w:t>6.3.2.3</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 xml:space="preserve"> 林下更新</w:t>
      </w:r>
    </w:p>
    <w:p>
      <w:pPr>
        <w:spacing w:line="360" w:lineRule="auto"/>
        <w:ind w:firstLineChars="200" w:firstLine="420"/>
        <w:rPr>
          <w:rFonts w:ascii="宋体" w:cs="宋体" w:hAnsi="宋体" w:hint="eastAsia"/>
        </w:rPr>
      </w:pPr>
      <w:r>
        <w:rPr>
          <w:rFonts w:ascii="宋体" w:cs="宋体" w:hAnsi="宋体" w:hint="eastAsia"/>
        </w:rPr>
        <w:t>——采取开天窗、枯落物清理、局部破土、割灌等方式促进林下更新；</w:t>
      </w:r>
    </w:p>
    <w:p>
      <w:pPr>
        <w:spacing w:line="360" w:lineRule="auto"/>
        <w:ind w:leftChars="200" w:left="840" w:hangingChars="200" w:hanging="420"/>
        <w:rPr>
          <w:rFonts w:ascii="宋体" w:cs="宋体" w:hAnsi="宋体" w:hint="eastAsia"/>
        </w:rPr>
      </w:pPr>
      <w:r>
        <w:rPr>
          <w:rFonts w:ascii="宋体" w:cs="宋体" w:hAnsi="宋体" w:hint="eastAsia"/>
        </w:rPr>
        <w:t>——保护天然更新的幼树，采取扩穴、局部割灌、折灌等措施进行抚育；多保留其他混交树种。林内天然更新苗木不足时，优先选择林下就近移植，或进行人工补植补种，树种可选择蒙古栎、五角枫、花楸、云杉等。</w:t>
      </w:r>
    </w:p>
    <w:p>
      <w:pPr>
        <w:pStyle w:val="1"/>
        <w:spacing w:beforeLines="50" w:before="156" w:afterLines="50" w:after="156" w:line="240" w:lineRule="auto"/>
        <w:jc w:val="left"/>
        <w:rPr>
          <w:rFonts w:ascii="黑体" w:eastAsia="黑体" w:cs="黑体" w:hint="eastAsia"/>
          <w:b w:val="0"/>
          <w:bCs w:val="0"/>
          <w:sz w:val="21"/>
          <w:shd w:val="clear" w:color="auto" w:fill="auto"/>
        </w:rPr>
      </w:pPr>
      <w:bookmarkStart w:id="176" w:name="_Toc31684"/>
      <w:bookmarkStart w:id="177" w:name="_Toc4271"/>
      <w:bookmarkStart w:id="178" w:name="_Toc172016181"/>
      <w:bookmarkStart w:id="179" w:name="_Toc20923"/>
      <w:bookmarkStart w:id="180" w:name="_Toc5713"/>
      <w:bookmarkStart w:id="181" w:name="_Toc19304"/>
      <w:r>
        <w:rPr>
          <w:rFonts w:ascii="黑体" w:eastAsia="黑体" w:cs="黑体" w:hint="eastAsia"/>
          <w:b w:val="0"/>
          <w:bCs w:val="0"/>
          <w:sz w:val="21"/>
          <w:shd w:val="clear" w:color="auto" w:fill="auto"/>
        </w:rPr>
        <w:t xml:space="preserve">6.4 </w:t>
      </w:r>
      <w:bookmarkEnd w:id="176"/>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复层构建阶段</w:t>
      </w:r>
      <w:bookmarkEnd w:id="177"/>
      <w:bookmarkEnd w:id="178"/>
      <w:bookmarkEnd w:id="179"/>
      <w:bookmarkEnd w:id="180"/>
      <w:bookmarkEnd w:id="181"/>
    </w:p>
    <w:p>
      <w:pPr>
        <w:pStyle w:val="1"/>
        <w:spacing w:beforeLines="50" w:before="156" w:afterLines="50" w:after="156" w:line="240" w:lineRule="auto"/>
        <w:jc w:val="left"/>
        <w:rPr>
          <w:rFonts w:ascii="黑体" w:eastAsia="黑体" w:cs="黑体" w:hint="eastAsia"/>
          <w:b w:val="0"/>
          <w:bCs w:val="0"/>
          <w:sz w:val="21"/>
          <w:shd w:val="clear" w:color="auto" w:fill="auto"/>
        </w:rPr>
      </w:pPr>
      <w:r>
        <w:rPr>
          <w:rFonts w:ascii="黑体" w:eastAsia="黑体" w:cs="黑体" w:hint="eastAsia"/>
          <w:b w:val="0"/>
          <w:bCs w:val="0"/>
          <w:sz w:val="21"/>
          <w:shd w:val="clear" w:color="auto" w:fill="auto"/>
        </w:rPr>
        <w:t xml:space="preserve">6.4.1 </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经营目的</w:t>
      </w:r>
    </w:p>
    <w:p>
      <w:pPr>
        <w:spacing w:line="360" w:lineRule="auto"/>
        <w:ind w:firstLineChars="200" w:firstLine="420"/>
        <w:rPr>
          <w:rFonts w:ascii="宋体" w:cs="宋体" w:hAnsi="宋体" w:hint="eastAsia"/>
        </w:rPr>
      </w:pPr>
      <w:r>
        <w:rPr>
          <w:rFonts w:ascii="宋体" w:cs="宋体" w:hAnsi="宋体" w:hint="eastAsia"/>
        </w:rPr>
        <w:t>促进一代目标树持续生长，保护与培育二代目标树，通过促进大中小不同径级林木生长提高整体森林碳储量。</w:t>
      </w:r>
    </w:p>
    <w:p>
      <w:pPr>
        <w:pStyle w:val="1"/>
        <w:spacing w:beforeLines="50" w:before="156" w:afterLines="50" w:after="156" w:line="240" w:lineRule="auto"/>
        <w:jc w:val="left"/>
        <w:rPr>
          <w:rFonts w:ascii="黑体" w:eastAsia="黑体" w:cs="黑体" w:hint="eastAsia"/>
          <w:b w:val="0"/>
          <w:bCs w:val="0"/>
          <w:sz w:val="21"/>
          <w:shd w:val="clear" w:color="auto" w:fill="auto"/>
        </w:rPr>
      </w:pPr>
      <w:r>
        <w:rPr>
          <w:rFonts w:ascii="黑体" w:eastAsia="黑体" w:cs="黑体" w:hint="eastAsia"/>
          <w:b w:val="0"/>
          <w:bCs w:val="0"/>
          <w:sz w:val="21"/>
          <w:shd w:val="clear" w:color="auto" w:fill="auto"/>
        </w:rPr>
        <w:t>6.4.2</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 xml:space="preserve"> 经营措施</w:t>
      </w:r>
    </w:p>
    <w:p>
      <w:pPr>
        <w:pStyle w:val="1"/>
        <w:spacing w:beforeLines="50" w:before="156" w:afterLines="50" w:after="156" w:line="240" w:lineRule="auto"/>
        <w:jc w:val="left"/>
        <w:rPr>
          <w:rFonts w:ascii="黑体" w:eastAsia="黑体" w:cs="黑体" w:hint="eastAsia"/>
          <w:b w:val="0"/>
          <w:bCs w:val="0"/>
          <w:sz w:val="21"/>
          <w:shd w:val="clear" w:color="auto" w:fill="auto"/>
        </w:rPr>
      </w:pPr>
      <w:bookmarkStart w:id="182" w:name="_Toc28196"/>
      <w:r>
        <w:rPr>
          <w:rFonts w:ascii="黑体" w:eastAsia="黑体" w:cs="黑体" w:hint="eastAsia"/>
          <w:b w:val="0"/>
          <w:bCs w:val="0"/>
          <w:sz w:val="21"/>
          <w:shd w:val="clear" w:color="auto" w:fill="auto"/>
        </w:rPr>
        <w:t>6.4.2.1</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 xml:space="preserve"> </w:t>
      </w:r>
      <w:bookmarkEnd w:id="182"/>
      <w:r>
        <w:rPr>
          <w:rFonts w:ascii="黑体" w:eastAsia="黑体" w:cs="黑体" w:hint="eastAsia"/>
          <w:b w:val="0"/>
          <w:bCs w:val="0"/>
          <w:sz w:val="21"/>
          <w:shd w:val="clear" w:color="auto" w:fill="auto"/>
        </w:rPr>
        <w:t>综合疏伐</w:t>
      </w:r>
    </w:p>
    <w:p>
      <w:pPr>
        <w:spacing w:line="360" w:lineRule="auto"/>
        <w:ind w:leftChars="200" w:left="840" w:hangingChars="200" w:hanging="420"/>
        <w:rPr>
          <w:rFonts w:ascii="宋体" w:cs="宋体" w:hAnsi="宋体" w:hint="eastAsia"/>
        </w:rPr>
      </w:pPr>
      <w:r>
        <w:rPr>
          <w:rFonts w:ascii="宋体" w:cs="宋体" w:hAnsi="宋体" w:hint="eastAsia"/>
        </w:rPr>
        <w:t>——进行2</w:t>
      </w:r>
      <w:r>
        <w:rPr>
          <w:rFonts w:ascii="宋体" w:cs="宋体" w:hint="eastAsia"/>
          <w:lang w:eastAsia="zh-CN" w:bidi="ar-SA"/>
        </w:rPr>
        <w:t>～</w:t>
      </w:r>
      <w:r>
        <w:rPr>
          <w:rFonts w:ascii="宋体" w:cs="宋体" w:hAnsi="宋体" w:hint="eastAsia"/>
        </w:rPr>
        <w:t>3次综合疏伐，渐次伐除主林层的一代其他保留木，促进一代目标树持续快速生长，一代目标树保留密度100株/hm</w:t>
      </w:r>
      <w:r>
        <w:rPr>
          <w:rFonts w:ascii="宋体" w:cs="宋体" w:hAnsi="宋体" w:hint="eastAsia"/>
          <w:vertAlign w:val="superscript"/>
        </w:rPr>
        <w:t>2</w:t>
      </w:r>
      <w:r>
        <w:rPr>
          <w:rFonts w:ascii="宋体" w:cs="宋体" w:hAnsi="宋体" w:hint="eastAsia"/>
        </w:rPr>
        <w:t>左右；伐除次林层被压的、过密的、生长不良以及采伐上层林木时受到损伤的树木；期末次林层保留密度900株/hm</w:t>
      </w:r>
      <w:r>
        <w:rPr>
          <w:rFonts w:ascii="宋体" w:cs="宋体" w:hAnsi="宋体" w:hint="eastAsia"/>
          <w:vertAlign w:val="superscript"/>
        </w:rPr>
        <w:t>2</w:t>
      </w:r>
      <w:r>
        <w:rPr>
          <w:rFonts w:ascii="宋体" w:cs="宋体" w:hint="eastAsia"/>
          <w:lang w:eastAsia="zh-CN" w:bidi="ar-SA"/>
        </w:rPr>
        <w:t>～</w:t>
      </w:r>
      <w:r>
        <w:rPr>
          <w:rFonts w:ascii="宋体" w:cs="宋体" w:hAnsi="宋体" w:hint="eastAsia"/>
        </w:rPr>
        <w:t>1200株/hm</w:t>
      </w:r>
      <w:r>
        <w:rPr>
          <w:rFonts w:ascii="宋体" w:cs="宋体" w:hAnsi="宋体" w:hint="eastAsia"/>
          <w:vertAlign w:val="superscript"/>
        </w:rPr>
        <w:t>2</w:t>
      </w:r>
      <w:r>
        <w:rPr>
          <w:rFonts w:ascii="宋体" w:cs="宋体" w:hAnsi="宋体" w:hint="eastAsia"/>
        </w:rPr>
        <w:t>。可采用单株或群团状采伐。</w:t>
      </w:r>
    </w:p>
    <w:p>
      <w:pPr>
        <w:pStyle w:val="1"/>
        <w:spacing w:beforeLines="50" w:before="156" w:afterLines="50" w:after="156" w:line="240" w:lineRule="auto"/>
        <w:jc w:val="left"/>
        <w:rPr>
          <w:rFonts w:ascii="黑体" w:eastAsia="黑体" w:cs="黑体" w:hint="eastAsia"/>
          <w:b w:val="0"/>
          <w:bCs w:val="0"/>
          <w:sz w:val="21"/>
          <w:shd w:val="clear" w:color="auto" w:fill="auto"/>
        </w:rPr>
      </w:pPr>
      <w:bookmarkStart w:id="183" w:name="_Toc5928"/>
      <w:r>
        <w:rPr>
          <w:rFonts w:ascii="黑体" w:eastAsia="黑体" w:cs="黑体" w:hint="eastAsia"/>
          <w:b w:val="0"/>
          <w:bCs w:val="0"/>
          <w:sz w:val="21"/>
          <w:shd w:val="clear" w:color="auto" w:fill="auto"/>
        </w:rPr>
        <w:t xml:space="preserve">6.4.2.2 </w:t>
      </w:r>
      <w:bookmarkEnd w:id="183"/>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林下更新</w:t>
      </w:r>
    </w:p>
    <w:p>
      <w:pPr>
        <w:spacing w:line="360" w:lineRule="auto"/>
        <w:ind w:leftChars="200" w:left="840" w:hangingChars="200" w:hanging="420"/>
        <w:rPr>
          <w:rFonts w:ascii="宋体" w:cs="宋体" w:hAnsi="宋体" w:hint="eastAsia"/>
          <w:bCs/>
        </w:rPr>
      </w:pPr>
      <w:r>
        <w:rPr>
          <w:rFonts w:ascii="宋体" w:cs="宋体" w:hAnsi="宋体" w:hint="eastAsia"/>
        </w:rPr>
        <w:t>——保护与培育天然更新的幼苗幼树，特别要保护蒙古栎、花楸、云杉等实生珍贵乡土树种，</w:t>
      </w:r>
      <w:r>
        <w:rPr>
          <w:rFonts w:ascii="宋体" w:cs="宋体" w:hAnsi="宋体" w:hint="eastAsia"/>
          <w:bCs/>
        </w:rPr>
        <w:t>提高树种多样性并促进林分正向演替；</w:t>
      </w:r>
    </w:p>
    <w:p>
      <w:pPr>
        <w:spacing w:line="360" w:lineRule="auto"/>
        <w:ind w:firstLineChars="200" w:firstLine="420"/>
        <w:rPr>
          <w:rFonts w:ascii="宋体" w:cs="宋体" w:hAnsi="宋体" w:hint="eastAsia"/>
        </w:rPr>
      </w:pPr>
      <w:r>
        <w:rPr>
          <w:rFonts w:ascii="宋体" w:cs="宋体" w:hAnsi="宋体" w:hint="eastAsia"/>
        </w:rPr>
        <w:t>——及时清理因上层木采伐而受损的幼苗幼树，对局部密度过大的林木进行定株；</w:t>
      </w:r>
    </w:p>
    <w:p>
      <w:pPr>
        <w:spacing w:line="360" w:lineRule="auto"/>
        <w:ind w:firstLineChars="200" w:firstLine="420"/>
        <w:rPr>
          <w:rFonts w:ascii="宋体" w:cs="宋体" w:hAnsi="宋体" w:hint="eastAsia"/>
          <w:bCs/>
        </w:rPr>
      </w:pPr>
      <w:r>
        <w:rPr>
          <w:rFonts w:ascii="宋体" w:cs="宋体" w:hAnsi="宋体" w:hint="eastAsia"/>
        </w:rPr>
        <w:t>——</w:t>
      </w:r>
      <w:r>
        <w:rPr>
          <w:rFonts w:ascii="宋体" w:cs="宋体" w:hAnsi="宋体" w:hint="eastAsia"/>
          <w:bCs/>
        </w:rPr>
        <w:t>林下更新幼树稀疏且干形不良的实生蒙古栎、五角枫等，宜采用截干方法进行复壮选优。</w:t>
      </w:r>
    </w:p>
    <w:p>
      <w:pPr>
        <w:pStyle w:val="1"/>
        <w:spacing w:beforeLines="50" w:before="156" w:afterLines="50" w:after="156" w:line="240" w:lineRule="auto"/>
        <w:jc w:val="left"/>
        <w:rPr>
          <w:rFonts w:ascii="黑体" w:eastAsia="黑体" w:cs="黑体" w:hint="eastAsia"/>
          <w:b w:val="0"/>
          <w:bCs w:val="0"/>
          <w:sz w:val="21"/>
          <w:shd w:val="clear" w:color="auto" w:fill="auto"/>
        </w:rPr>
      </w:pPr>
      <w:r>
        <w:rPr>
          <w:rFonts w:ascii="黑体" w:eastAsia="黑体" w:cs="黑体" w:hint="eastAsia"/>
          <w:b w:val="0"/>
          <w:bCs w:val="0"/>
          <w:sz w:val="21"/>
          <w:shd w:val="clear" w:color="auto" w:fill="auto"/>
        </w:rPr>
        <w:t xml:space="preserve">6.4.2.3 </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二代目标树</w:t>
      </w:r>
    </w:p>
    <w:p>
      <w:pPr>
        <w:spacing w:line="360" w:lineRule="auto"/>
        <w:ind w:leftChars="200" w:left="840" w:hangingChars="200" w:hanging="420"/>
        <w:rPr>
          <w:rFonts w:ascii="宋体" w:cs="宋体" w:hAnsi="宋体" w:hint="eastAsia"/>
        </w:rPr>
      </w:pPr>
      <w:r>
        <w:rPr>
          <w:rFonts w:ascii="宋体" w:cs="宋体" w:hAnsi="宋体" w:hint="eastAsia"/>
        </w:rPr>
        <w:t>——选择有足够生长空间、生长旺盛、通直圆满的林木为二代目标树，进行二代目标树的选择和标记，注重生态目标树的选择，树种可为蒙古栎、云杉、五角枫等；二代目标树密度100株/hm</w:t>
      </w:r>
      <w:r>
        <w:rPr>
          <w:rFonts w:ascii="宋体" w:cs="宋体" w:hAnsi="宋体" w:hint="eastAsia"/>
          <w:vertAlign w:val="superscript"/>
        </w:rPr>
        <w:t>2</w:t>
      </w:r>
      <w:r>
        <w:rPr>
          <w:rFonts w:ascii="宋体" w:cs="宋体" w:hint="eastAsia"/>
          <w:lang w:eastAsia="zh-CN" w:bidi="ar-SA"/>
        </w:rPr>
        <w:t>～</w:t>
      </w:r>
      <w:r>
        <w:rPr>
          <w:rFonts w:ascii="宋体" w:cs="宋体" w:hAnsi="宋体" w:hint="eastAsia"/>
        </w:rPr>
        <w:t>120株/hm</w:t>
      </w:r>
      <w:r>
        <w:rPr>
          <w:rFonts w:ascii="宋体" w:cs="宋体" w:hAnsi="宋体" w:hint="eastAsia"/>
          <w:vertAlign w:val="superscript"/>
        </w:rPr>
        <w:t>2</w:t>
      </w:r>
      <w:r>
        <w:rPr>
          <w:rFonts w:ascii="宋体" w:cs="宋体" w:hAnsi="宋体" w:hint="eastAsia"/>
        </w:rPr>
        <w:t>；</w:t>
      </w:r>
    </w:p>
    <w:p>
      <w:pPr>
        <w:spacing w:line="360" w:lineRule="auto"/>
        <w:ind w:firstLineChars="200" w:firstLine="420"/>
        <w:rPr>
          <w:rFonts w:ascii="宋体" w:cs="宋体" w:hAnsi="宋体" w:hint="eastAsia"/>
        </w:rPr>
      </w:pPr>
      <w:r>
        <w:rPr>
          <w:rFonts w:ascii="宋体" w:cs="宋体" w:hAnsi="宋体" w:hint="eastAsia"/>
        </w:rPr>
        <w:t>——伐除影响二代目标树生长的同层干扰树，并对下层保留木进行修枝。</w:t>
      </w:r>
    </w:p>
    <w:p>
      <w:pPr>
        <w:pStyle w:val="1"/>
        <w:spacing w:beforeLines="50" w:before="156" w:afterLines="50" w:after="156" w:line="240" w:lineRule="auto"/>
        <w:jc w:val="left"/>
        <w:rPr>
          <w:rFonts w:ascii="黑体" w:eastAsia="黑体" w:cs="黑体" w:hint="eastAsia"/>
          <w:b w:val="0"/>
          <w:bCs w:val="0"/>
          <w:sz w:val="21"/>
          <w:shd w:val="clear" w:color="auto" w:fill="auto"/>
        </w:rPr>
      </w:pPr>
      <w:bookmarkStart w:id="184" w:name="_Toc13041"/>
      <w:bookmarkStart w:id="185" w:name="_Toc31486"/>
      <w:bookmarkStart w:id="186" w:name="_Toc172016182"/>
      <w:bookmarkStart w:id="187" w:name="_Toc4204"/>
      <w:bookmarkStart w:id="188" w:name="_Toc23002"/>
      <w:bookmarkStart w:id="189" w:name="_Toc2679"/>
      <w:bookmarkStart w:id="190" w:name="_Hlk169016900"/>
      <w:r>
        <w:rPr>
          <w:rFonts w:ascii="黑体" w:eastAsia="黑体" w:cs="黑体" w:hint="eastAsia"/>
          <w:b w:val="0"/>
          <w:bCs w:val="0"/>
          <w:sz w:val="21"/>
          <w:shd w:val="clear" w:color="auto" w:fill="auto"/>
        </w:rPr>
        <w:t xml:space="preserve">6.5 </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恒续结构阶段</w:t>
      </w:r>
      <w:bookmarkEnd w:id="184"/>
      <w:bookmarkEnd w:id="185"/>
      <w:bookmarkEnd w:id="186"/>
      <w:bookmarkEnd w:id="187"/>
      <w:bookmarkEnd w:id="188"/>
      <w:bookmarkEnd w:id="189"/>
    </w:p>
    <w:p>
      <w:pPr>
        <w:pStyle w:val="1"/>
        <w:spacing w:beforeLines="50" w:before="156" w:afterLines="50" w:after="156" w:line="240" w:lineRule="auto"/>
        <w:jc w:val="left"/>
        <w:rPr>
          <w:rFonts w:ascii="黑体" w:eastAsia="黑体" w:cs="黑体" w:hint="eastAsia"/>
          <w:b w:val="0"/>
          <w:bCs w:val="0"/>
          <w:sz w:val="21"/>
          <w:shd w:val="clear" w:color="auto" w:fill="auto"/>
        </w:rPr>
      </w:pPr>
      <w:bookmarkEnd w:id="190"/>
      <w:r>
        <w:rPr>
          <w:rFonts w:ascii="黑体" w:eastAsia="黑体" w:cs="黑体" w:hint="eastAsia"/>
          <w:b w:val="0"/>
          <w:bCs w:val="0"/>
          <w:sz w:val="21"/>
          <w:shd w:val="clear" w:color="auto" w:fill="auto"/>
        </w:rPr>
        <w:t>6.5.1</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 xml:space="preserve"> 经营目的</w:t>
      </w:r>
    </w:p>
    <w:p>
      <w:pPr>
        <w:spacing w:line="360" w:lineRule="auto"/>
        <w:ind w:firstLineChars="200" w:firstLine="420"/>
        <w:rPr>
          <w:rFonts w:ascii="宋体" w:cs="宋体" w:hAnsi="宋体" w:hint="eastAsia"/>
          <w:bCs/>
        </w:rPr>
      </w:pPr>
      <w:r>
        <w:rPr>
          <w:rFonts w:ascii="宋体" w:cs="宋体" w:hAnsi="宋体" w:hint="eastAsia"/>
          <w:bCs/>
        </w:rPr>
        <w:t>林地持续覆盖，水平、垂直结构完整，不同树种异龄混交，径级结构呈反“J”形。</w:t>
      </w:r>
      <w:r>
        <w:rPr>
          <w:rFonts w:ascii="宋体" w:cs="宋体" w:hAnsi="宋体" w:hint="eastAsia"/>
        </w:rPr>
        <w:t>目标树直径达45cm以上，</w:t>
      </w:r>
      <w:r>
        <w:rPr>
          <w:rFonts w:ascii="宋体" w:cs="宋体" w:hAnsi="宋体" w:hint="eastAsia"/>
          <w:bCs/>
        </w:rPr>
        <w:t>大径材持续产出，中下层林木生长旺盛，乡土树种为主的天然更新保持活力。形成生态系统</w:t>
      </w:r>
      <w:r>
        <w:rPr>
          <w:rFonts w:ascii="宋体" w:cs="宋体" w:hAnsi="宋体" w:hint="eastAsia"/>
        </w:rPr>
        <w:t>稳定、</w:t>
      </w:r>
      <w:r>
        <w:rPr>
          <w:rFonts w:ascii="宋体" w:cs="宋体" w:hAnsi="宋体" w:hint="eastAsia"/>
          <w:bCs/>
        </w:rPr>
        <w:t>木质</w:t>
      </w:r>
      <w:r>
        <w:rPr>
          <w:rFonts w:ascii="宋体" w:cs="宋体" w:hAnsi="宋体" w:hint="eastAsia"/>
        </w:rPr>
        <w:t>林产品持续产出、森林碳储量不断补充的</w:t>
      </w:r>
      <w:r>
        <w:rPr>
          <w:rFonts w:ascii="宋体" w:cs="宋体" w:hAnsi="宋体" w:hint="eastAsia"/>
          <w:bCs/>
        </w:rPr>
        <w:t>异龄复层混交林。</w:t>
      </w:r>
    </w:p>
    <w:p>
      <w:pPr>
        <w:pStyle w:val="1"/>
        <w:spacing w:beforeLines="50" w:before="156" w:afterLines="50" w:after="156" w:line="240" w:lineRule="auto"/>
        <w:jc w:val="left"/>
        <w:rPr>
          <w:rFonts w:ascii="黑体" w:eastAsia="黑体" w:cs="黑体" w:hint="eastAsia"/>
          <w:b w:val="0"/>
          <w:bCs w:val="0"/>
          <w:sz w:val="21"/>
          <w:shd w:val="clear" w:color="auto" w:fill="auto"/>
        </w:rPr>
      </w:pPr>
      <w:r>
        <w:rPr>
          <w:rFonts w:ascii="黑体" w:eastAsia="黑体" w:cs="黑体" w:hint="eastAsia"/>
          <w:b w:val="0"/>
          <w:bCs w:val="0"/>
          <w:sz w:val="21"/>
          <w:shd w:val="clear" w:color="auto" w:fill="auto"/>
        </w:rPr>
        <w:t>6.5.2</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 xml:space="preserve"> 经营措施</w:t>
      </w:r>
    </w:p>
    <w:p>
      <w:pPr>
        <w:pStyle w:val="1"/>
        <w:spacing w:beforeLines="50" w:before="156" w:afterLines="50" w:after="156" w:line="240" w:lineRule="auto"/>
        <w:jc w:val="left"/>
        <w:rPr>
          <w:rFonts w:ascii="黑体" w:eastAsia="黑体" w:cs="黑体" w:hint="eastAsia"/>
          <w:b w:val="0"/>
          <w:bCs w:val="0"/>
          <w:sz w:val="21"/>
          <w:shd w:val="clear" w:color="auto" w:fill="auto"/>
        </w:rPr>
      </w:pPr>
      <w:r>
        <w:rPr>
          <w:rFonts w:ascii="黑体" w:eastAsia="黑体" w:cs="黑体" w:hint="eastAsia"/>
          <w:b w:val="0"/>
          <w:bCs w:val="0"/>
          <w:sz w:val="21"/>
          <w:shd w:val="clear" w:color="auto" w:fill="auto"/>
        </w:rPr>
        <w:t xml:space="preserve">6.5.2.1 </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目标树经营</w:t>
      </w:r>
    </w:p>
    <w:p>
      <w:pPr>
        <w:spacing w:line="360" w:lineRule="auto"/>
        <w:ind w:firstLineChars="200" w:firstLine="420"/>
        <w:rPr>
          <w:rFonts w:ascii="宋体" w:cs="宋体" w:hAnsi="宋体" w:hint="eastAsia"/>
          <w:bCs/>
        </w:rPr>
      </w:pPr>
      <w:r>
        <w:rPr>
          <w:rFonts w:ascii="宋体" w:cs="宋体" w:hAnsi="宋体" w:hint="eastAsia"/>
          <w:bCs/>
        </w:rPr>
        <w:t>——采用单株择伐，根据目标需求分批次伐除一代目标树；</w:t>
      </w:r>
    </w:p>
    <w:p>
      <w:pPr>
        <w:spacing w:line="360" w:lineRule="auto"/>
        <w:ind w:firstLineChars="200" w:firstLine="420"/>
        <w:rPr>
          <w:rFonts w:ascii="宋体" w:cs="宋体" w:hAnsi="宋体" w:hint="eastAsia"/>
        </w:rPr>
      </w:pPr>
      <w:r>
        <w:rPr>
          <w:rFonts w:ascii="宋体" w:cs="宋体" w:hAnsi="宋体" w:hint="eastAsia"/>
          <w:bCs/>
        </w:rPr>
        <w:t>——继续二代目标树培养，目标树修枝，修枝后冠高比大于1/2；</w:t>
      </w:r>
    </w:p>
    <w:p>
      <w:pPr>
        <w:spacing w:line="360" w:lineRule="auto"/>
        <w:ind w:firstLineChars="200" w:firstLine="420"/>
        <w:rPr>
          <w:rFonts w:ascii="宋体" w:cs="宋体" w:hAnsi="宋体" w:hint="eastAsia"/>
          <w:bCs/>
        </w:rPr>
      </w:pPr>
      <w:r>
        <w:rPr>
          <w:rFonts w:ascii="宋体" w:cs="宋体" w:hAnsi="宋体" w:hint="eastAsia"/>
          <w:bCs/>
        </w:rPr>
        <w:t>——伐除影响二代目标树生长的干扰树；</w:t>
      </w:r>
    </w:p>
    <w:p>
      <w:pPr>
        <w:spacing w:line="360" w:lineRule="auto"/>
        <w:ind w:firstLineChars="200" w:firstLine="420"/>
        <w:rPr>
          <w:rFonts w:ascii="宋体" w:cs="宋体" w:hAnsi="宋体" w:hint="eastAsia"/>
        </w:rPr>
      </w:pPr>
      <w:r>
        <w:rPr>
          <w:rFonts w:ascii="宋体" w:cs="宋体" w:hAnsi="宋体" w:hint="eastAsia"/>
          <w:bCs/>
        </w:rPr>
        <w:t>——</w:t>
      </w:r>
      <w:r>
        <w:rPr>
          <w:rFonts w:ascii="宋体" w:cs="宋体" w:hAnsi="宋体" w:hint="eastAsia"/>
        </w:rPr>
        <w:t>持续采伐目标树，持续更新，维持径级与年龄结构。</w:t>
      </w:r>
    </w:p>
    <w:p>
      <w:pPr>
        <w:pStyle w:val="1"/>
        <w:spacing w:beforeLines="50" w:before="156" w:afterLines="50" w:after="156" w:line="240" w:lineRule="auto"/>
        <w:jc w:val="left"/>
        <w:rPr>
          <w:rFonts w:ascii="黑体" w:eastAsia="黑体" w:cs="黑体" w:hint="eastAsia"/>
          <w:b w:val="0"/>
          <w:bCs w:val="0"/>
          <w:sz w:val="21"/>
          <w:shd w:val="clear" w:color="auto" w:fill="auto"/>
        </w:rPr>
      </w:pPr>
      <w:r>
        <w:rPr>
          <w:rFonts w:ascii="黑体" w:eastAsia="黑体" w:cs="黑体" w:hint="eastAsia"/>
          <w:b w:val="0"/>
          <w:bCs w:val="0"/>
          <w:sz w:val="21"/>
          <w:shd w:val="clear" w:color="auto" w:fill="auto"/>
        </w:rPr>
        <w:t xml:space="preserve">6.5.2.2 </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其他林木经营</w:t>
      </w:r>
    </w:p>
    <w:p>
      <w:pPr>
        <w:spacing w:line="360" w:lineRule="auto"/>
        <w:ind w:firstLineChars="200" w:firstLine="420"/>
        <w:rPr>
          <w:rFonts w:ascii="宋体" w:cs="宋体" w:hAnsi="宋体" w:hint="eastAsia"/>
          <w:bCs/>
        </w:rPr>
      </w:pPr>
      <w:r>
        <w:rPr>
          <w:rFonts w:ascii="宋体" w:cs="宋体" w:hAnsi="宋体" w:hint="eastAsia"/>
        </w:rPr>
        <w:t>——保护林分内天然更新的</w:t>
      </w:r>
      <w:r>
        <w:rPr>
          <w:rFonts w:ascii="宋体" w:cs="宋体" w:hAnsi="宋体" w:hint="eastAsia"/>
          <w:bCs/>
        </w:rPr>
        <w:t>其他树种，提高林分物种多样性；</w:t>
      </w:r>
    </w:p>
    <w:p>
      <w:pPr>
        <w:spacing w:line="360" w:lineRule="auto"/>
        <w:ind w:firstLineChars="200" w:firstLine="420"/>
        <w:rPr>
          <w:rFonts w:ascii="宋体" w:cs="宋体" w:hAnsi="宋体" w:hint="eastAsia"/>
          <w:bCs/>
        </w:rPr>
      </w:pPr>
      <w:r>
        <w:rPr>
          <w:rFonts w:ascii="宋体" w:cs="宋体" w:hAnsi="宋体" w:hint="eastAsia"/>
          <w:bCs/>
        </w:rPr>
        <w:t>——持续关注更新层，适时调整林分密度、质量和混交度；</w:t>
      </w:r>
    </w:p>
    <w:p>
      <w:pPr>
        <w:spacing w:line="360" w:lineRule="auto"/>
        <w:ind w:firstLineChars="200" w:firstLine="420"/>
        <w:rPr>
          <w:rFonts w:ascii="宋体" w:cs="宋体" w:hAnsi="宋体" w:hint="eastAsia"/>
        </w:rPr>
      </w:pPr>
      <w:r>
        <w:rPr>
          <w:rFonts w:ascii="宋体" w:cs="宋体" w:hAnsi="宋体" w:hint="eastAsia"/>
        </w:rPr>
        <w:t>——保留木密度600株/hm</w:t>
      </w:r>
      <w:r>
        <w:rPr>
          <w:rFonts w:ascii="宋体" w:cs="宋体" w:hAnsi="宋体" w:hint="eastAsia"/>
          <w:vertAlign w:val="superscript"/>
        </w:rPr>
        <w:t>2</w:t>
      </w:r>
      <w:r>
        <w:rPr>
          <w:rFonts w:ascii="宋体" w:cs="宋体" w:hint="eastAsia"/>
          <w:lang w:eastAsia="zh-CN" w:bidi="ar-SA"/>
        </w:rPr>
        <w:t>～</w:t>
      </w:r>
      <w:r>
        <w:rPr>
          <w:rFonts w:ascii="宋体" w:cs="宋体" w:hAnsi="宋体" w:hint="eastAsia"/>
        </w:rPr>
        <w:t>1200株/hm</w:t>
      </w:r>
      <w:r>
        <w:rPr>
          <w:rFonts w:ascii="宋体" w:cs="宋体" w:hAnsi="宋体" w:hint="eastAsia"/>
          <w:vertAlign w:val="superscript"/>
        </w:rPr>
        <w:t>2</w:t>
      </w:r>
      <w:r>
        <w:rPr>
          <w:rFonts w:ascii="宋体" w:cs="宋体" w:hAnsi="宋体" w:hint="eastAsia"/>
        </w:rPr>
        <w:t>。</w:t>
      </w:r>
    </w:p>
    <w:p>
      <w:pPr>
        <w:pStyle w:val="1"/>
        <w:spacing w:beforeLines="100" w:before="312" w:afterLines="100" w:after="312" w:line="240" w:lineRule="auto"/>
        <w:jc w:val="left"/>
        <w:rPr>
          <w:rFonts w:ascii="黑体" w:eastAsia="黑体" w:cs="黑体" w:hint="eastAsia"/>
          <w:b w:val="0"/>
          <w:bCs w:val="0"/>
          <w:sz w:val="21"/>
          <w:shd w:val="clear" w:color="auto" w:fill="auto"/>
        </w:rPr>
      </w:pPr>
      <w:bookmarkStart w:id="191" w:name="_Toc172016183"/>
      <w:r>
        <w:rPr>
          <w:rFonts w:ascii="黑体" w:eastAsia="黑体" w:cs="黑体" w:hint="eastAsia"/>
          <w:b w:val="0"/>
          <w:bCs w:val="0"/>
          <w:sz w:val="21"/>
          <w:shd w:val="clear" w:color="auto" w:fill="auto"/>
        </w:rPr>
        <w:t>7</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 xml:space="preserve"> 采伐管理</w:t>
      </w:r>
      <w:bookmarkEnd w:id="191"/>
    </w:p>
    <w:p>
      <w:pPr>
        <w:pStyle w:val="1"/>
        <w:spacing w:beforeLines="50" w:before="156" w:afterLines="50" w:after="156" w:line="240" w:lineRule="auto"/>
        <w:jc w:val="left"/>
        <w:rPr>
          <w:rFonts w:ascii="黑体" w:eastAsia="黑体" w:cs="黑体" w:hint="eastAsia"/>
          <w:b w:val="0"/>
          <w:bCs w:val="0"/>
          <w:sz w:val="21"/>
          <w:shd w:val="clear" w:color="auto" w:fill="auto"/>
        </w:rPr>
      </w:pPr>
      <w:bookmarkStart w:id="192" w:name="_Toc172016184"/>
      <w:r>
        <w:rPr>
          <w:rFonts w:ascii="黑体" w:eastAsia="黑体" w:cs="黑体" w:hint="eastAsia"/>
          <w:b w:val="0"/>
          <w:bCs w:val="0"/>
          <w:sz w:val="21"/>
          <w:shd w:val="clear" w:color="auto" w:fill="auto"/>
        </w:rPr>
        <w:t>7.1</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采伐时间与方式</w:t>
      </w:r>
      <w:bookmarkEnd w:id="192"/>
    </w:p>
    <w:p>
      <w:pPr>
        <w:spacing w:line="360" w:lineRule="auto"/>
        <w:ind w:firstLineChars="200" w:firstLine="420"/>
        <w:rPr>
          <w:rFonts w:ascii="宋体" w:cs="宋体" w:hAnsi="宋体" w:hint="eastAsia"/>
        </w:rPr>
      </w:pPr>
      <w:r>
        <w:rPr>
          <w:rFonts w:ascii="宋体" w:cs="宋体" w:hAnsi="宋体" w:hint="eastAsia"/>
        </w:rPr>
        <w:t>——冬季冻土后进行采伐作业；</w:t>
      </w:r>
    </w:p>
    <w:p>
      <w:pPr>
        <w:spacing w:line="360" w:lineRule="auto"/>
        <w:ind w:firstLineChars="200" w:firstLine="420"/>
        <w:rPr>
          <w:rFonts w:ascii="宋体" w:cs="宋体" w:hAnsi="宋体" w:hint="eastAsia"/>
        </w:rPr>
      </w:pPr>
      <w:r>
        <w:rPr>
          <w:rFonts w:ascii="宋体" w:cs="宋体" w:hAnsi="宋体" w:hint="eastAsia"/>
          <w:bCs/>
        </w:rPr>
        <w:t>——</w:t>
      </w:r>
      <w:r>
        <w:rPr>
          <w:rFonts w:ascii="宋体" w:cs="宋体" w:hAnsi="宋体" w:hint="eastAsia"/>
        </w:rPr>
        <w:t>可选择单株采伐或群团状采伐，应有利于</w:t>
      </w:r>
      <w:r>
        <w:rPr>
          <w:rFonts w:ascii="宋体" w:cs="宋体" w:hAnsi="宋体" w:hint="eastAsia"/>
          <w:bCs/>
        </w:rPr>
        <w:t>更新的幼苗幼树生长</w:t>
      </w:r>
      <w:r>
        <w:rPr>
          <w:rFonts w:ascii="宋体" w:cs="宋体" w:hAnsi="宋体" w:hint="eastAsia"/>
        </w:rPr>
        <w:t>。</w:t>
      </w:r>
    </w:p>
    <w:p>
      <w:pPr>
        <w:pStyle w:val="1"/>
        <w:spacing w:beforeLines="50" w:before="156" w:afterLines="50" w:after="156" w:line="240" w:lineRule="auto"/>
        <w:jc w:val="left"/>
        <w:rPr>
          <w:rFonts w:ascii="黑体" w:eastAsia="黑体" w:cs="黑体" w:hint="eastAsia"/>
          <w:b w:val="0"/>
          <w:bCs w:val="0"/>
          <w:sz w:val="21"/>
          <w:shd w:val="clear" w:color="auto" w:fill="auto"/>
        </w:rPr>
      </w:pPr>
      <w:bookmarkStart w:id="193" w:name="_Toc172016185"/>
      <w:r>
        <w:rPr>
          <w:rFonts w:ascii="黑体" w:eastAsia="黑体" w:cs="黑体" w:hint="eastAsia"/>
          <w:b w:val="0"/>
          <w:bCs w:val="0"/>
          <w:sz w:val="21"/>
          <w:shd w:val="clear" w:color="auto" w:fill="auto"/>
        </w:rPr>
        <w:t>7.2</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林道设计与集材</w:t>
      </w:r>
      <w:bookmarkEnd w:id="193"/>
    </w:p>
    <w:p>
      <w:pPr>
        <w:spacing w:line="360" w:lineRule="auto"/>
        <w:ind w:firstLineChars="200" w:firstLine="420"/>
        <w:rPr>
          <w:rFonts w:ascii="宋体" w:cs="宋体" w:hAnsi="宋体" w:hint="eastAsia"/>
        </w:rPr>
      </w:pPr>
      <w:r>
        <w:rPr>
          <w:rFonts w:ascii="宋体" w:cs="宋体" w:hAnsi="宋体" w:hint="eastAsia"/>
        </w:rPr>
        <w:t>——采伐前进行集材道规划，禁止无序集材；</w:t>
      </w:r>
    </w:p>
    <w:p>
      <w:pPr>
        <w:spacing w:line="360" w:lineRule="auto"/>
        <w:ind w:firstLineChars="200" w:firstLine="420"/>
        <w:rPr>
          <w:rFonts w:ascii="宋体" w:cs="宋体" w:hAnsi="宋体" w:hint="eastAsia"/>
        </w:rPr>
      </w:pPr>
      <w:r>
        <w:rPr>
          <w:rFonts w:ascii="宋体" w:cs="宋体" w:hAnsi="宋体" w:hint="eastAsia"/>
        </w:rPr>
        <w:t>——采伐后中小型材原条下山，择伐大径材要原地造材、分段集材；</w:t>
      </w:r>
    </w:p>
    <w:p>
      <w:pPr>
        <w:spacing w:line="360" w:lineRule="auto"/>
        <w:ind w:firstLineChars="200" w:firstLine="420"/>
      </w:pPr>
      <w:r>
        <w:rPr>
          <w:rFonts w:ascii="宋体" w:cs="宋体" w:hAnsi="宋体" w:hint="eastAsia"/>
        </w:rPr>
        <w:t>——要加强对土壤与植被的保护，不造成大面积破坏；必要时可采用管道集材；</w:t>
      </w:r>
    </w:p>
    <w:p>
      <w:pPr>
        <w:pStyle w:val="1"/>
        <w:spacing w:beforeLines="50" w:before="156" w:afterLines="50" w:after="156" w:line="240" w:lineRule="auto"/>
        <w:jc w:val="left"/>
        <w:rPr>
          <w:rFonts w:ascii="黑体" w:eastAsia="黑体" w:cs="黑体" w:hint="eastAsia"/>
          <w:b w:val="0"/>
          <w:bCs w:val="0"/>
          <w:sz w:val="21"/>
          <w:shd w:val="clear" w:color="auto" w:fill="auto"/>
        </w:rPr>
      </w:pPr>
      <w:bookmarkStart w:id="194" w:name="_Toc172016186"/>
      <w:r>
        <w:rPr>
          <w:rFonts w:ascii="黑体" w:eastAsia="黑体" w:cs="黑体" w:hint="eastAsia"/>
          <w:b w:val="0"/>
          <w:bCs w:val="0"/>
          <w:sz w:val="21"/>
          <w:shd w:val="clear" w:color="auto" w:fill="auto"/>
        </w:rPr>
        <w:t>7.3</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保留木防护</w:t>
      </w:r>
      <w:bookmarkEnd w:id="194"/>
    </w:p>
    <w:p>
      <w:pPr>
        <w:spacing w:line="360" w:lineRule="auto"/>
        <w:ind w:firstLineChars="200" w:firstLine="420"/>
        <w:rPr>
          <w:rFonts w:ascii="宋体" w:cs="宋体" w:hAnsi="宋体" w:hint="eastAsia"/>
        </w:rPr>
      </w:pPr>
      <w:r>
        <w:rPr>
          <w:rFonts w:ascii="宋体" w:cs="宋体" w:hAnsi="宋体" w:hint="eastAsia"/>
          <w:bCs/>
        </w:rPr>
        <w:t>——采伐时</w:t>
      </w:r>
      <w:r>
        <w:rPr>
          <w:rFonts w:ascii="宋体" w:cs="宋体" w:hAnsi="宋体" w:hint="eastAsia"/>
        </w:rPr>
        <w:t>要严格控制树倒方向，避免或减少对保留木的伤害；</w:t>
      </w:r>
    </w:p>
    <w:p>
      <w:pPr>
        <w:spacing w:line="360" w:lineRule="auto"/>
        <w:ind w:firstLineChars="200" w:firstLine="420"/>
        <w:rPr>
          <w:rFonts w:ascii="宋体" w:cs="宋体" w:hAnsi="宋体" w:hint="eastAsia"/>
        </w:rPr>
      </w:pPr>
      <w:r>
        <w:rPr>
          <w:rFonts w:ascii="宋体" w:cs="宋体" w:hAnsi="宋体" w:hint="eastAsia"/>
        </w:rPr>
        <w:t>——集材道两侧保留木树干基部要进行物理防护；</w:t>
      </w:r>
    </w:p>
    <w:p>
      <w:pPr>
        <w:pStyle w:val="1"/>
        <w:spacing w:beforeLines="50" w:before="156" w:afterLines="50" w:after="156" w:line="240" w:lineRule="auto"/>
        <w:jc w:val="left"/>
        <w:rPr>
          <w:rFonts w:ascii="黑体" w:eastAsia="黑体" w:cs="黑体" w:hint="eastAsia"/>
          <w:b w:val="0"/>
          <w:bCs w:val="0"/>
          <w:sz w:val="21"/>
          <w:shd w:val="clear" w:color="auto" w:fill="auto"/>
        </w:rPr>
      </w:pPr>
      <w:bookmarkStart w:id="195" w:name="_Toc172016187"/>
      <w:r>
        <w:rPr>
          <w:rFonts w:ascii="黑体" w:eastAsia="黑体" w:cs="黑体" w:hint="eastAsia"/>
          <w:b w:val="0"/>
          <w:bCs w:val="0"/>
          <w:sz w:val="21"/>
          <w:shd w:val="clear" w:color="auto" w:fill="auto"/>
        </w:rPr>
        <w:t>7.4</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幼苗幼树保护</w:t>
      </w:r>
      <w:bookmarkEnd w:id="195"/>
    </w:p>
    <w:p>
      <w:pPr>
        <w:spacing w:line="360" w:lineRule="auto"/>
        <w:ind w:firstLineChars="200" w:firstLine="420"/>
        <w:rPr>
          <w:rFonts w:ascii="宋体" w:cs="宋体" w:hAnsi="宋体" w:hint="eastAsia"/>
        </w:rPr>
      </w:pPr>
      <w:r>
        <w:rPr>
          <w:rFonts w:ascii="宋体" w:cs="宋体" w:hAnsi="宋体" w:hint="eastAsia"/>
        </w:rPr>
        <w:t>——珍贵树种的实生幼苗幼树要进行标记与保护；</w:t>
      </w:r>
    </w:p>
    <w:p>
      <w:pPr>
        <w:spacing w:line="360" w:lineRule="auto"/>
        <w:ind w:firstLineChars="200" w:firstLine="420"/>
        <w:rPr>
          <w:rFonts w:ascii="宋体" w:cs="宋体" w:hAnsi="宋体" w:hint="eastAsia"/>
        </w:rPr>
      </w:pPr>
      <w:r>
        <w:rPr>
          <w:rFonts w:ascii="宋体" w:cs="宋体" w:hAnsi="宋体" w:hint="eastAsia"/>
        </w:rPr>
        <w:t>——其他树种的分布密集区要进行保护。</w:t>
      </w:r>
    </w:p>
    <w:p>
      <w:pPr>
        <w:pStyle w:val="1"/>
        <w:spacing w:beforeLines="100" w:before="312" w:afterLines="100" w:after="312" w:line="240" w:lineRule="auto"/>
        <w:jc w:val="left"/>
        <w:rPr>
          <w:rFonts w:ascii="黑体" w:eastAsia="黑体" w:cs="黑体" w:hint="eastAsia"/>
          <w:b w:val="0"/>
          <w:bCs w:val="0"/>
          <w:sz w:val="21"/>
          <w:shd w:val="clear" w:color="auto" w:fill="auto"/>
        </w:rPr>
      </w:pPr>
      <w:bookmarkStart w:id="196" w:name="_Toc172016188"/>
      <w:bookmarkStart w:id="197" w:name="_Toc248235633"/>
      <w:bookmarkStart w:id="198" w:name="_Toc235102912"/>
      <w:bookmarkStart w:id="199" w:name="_Toc248235433"/>
      <w:bookmarkStart w:id="200" w:name="_Toc401048442"/>
      <w:bookmarkEnd w:id="134"/>
      <w:bookmarkEnd w:id="135"/>
      <w:bookmarkEnd w:id="136"/>
      <w:bookmarkEnd w:id="137"/>
      <w:bookmarkEnd w:id="138"/>
      <w:bookmarkEnd w:id="173"/>
      <w:r>
        <w:rPr>
          <w:rFonts w:ascii="黑体" w:eastAsia="黑体" w:cs="黑体" w:hint="eastAsia"/>
          <w:b w:val="0"/>
          <w:bCs w:val="0"/>
          <w:sz w:val="21"/>
          <w:shd w:val="clear" w:color="auto" w:fill="auto"/>
        </w:rPr>
        <w:t>8</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 xml:space="preserve"> 生物多样性保护</w:t>
      </w:r>
      <w:bookmarkEnd w:id="196"/>
    </w:p>
    <w:p>
      <w:pPr>
        <w:spacing w:line="360" w:lineRule="auto"/>
        <w:ind w:firstLineChars="200" w:firstLine="420"/>
        <w:rPr>
          <w:rFonts w:ascii="宋体" w:cs="宋体" w:hAnsi="宋体" w:hint="eastAsia"/>
        </w:rPr>
      </w:pPr>
      <w:r>
        <w:rPr>
          <w:rFonts w:ascii="宋体" w:cs="宋体" w:hAnsi="宋体" w:hint="eastAsia"/>
        </w:rPr>
        <w:t>——对于树冠上筑有鸟巢、树干上具有洞穴的林木，应作为生态目标树保留；</w:t>
      </w:r>
    </w:p>
    <w:p>
      <w:pPr>
        <w:spacing w:line="360" w:lineRule="auto"/>
        <w:ind w:firstLineChars="200" w:firstLine="420"/>
        <w:rPr>
          <w:rFonts w:ascii="宋体" w:cs="宋体" w:hAnsi="宋体" w:hint="eastAsia"/>
        </w:rPr>
      </w:pPr>
      <w:r>
        <w:rPr>
          <w:rFonts w:ascii="宋体" w:cs="宋体" w:hAnsi="宋体" w:hint="eastAsia"/>
        </w:rPr>
        <w:t>——保留部分较大枯立木作为生境树，也可避免碳释放；</w:t>
      </w:r>
    </w:p>
    <w:p>
      <w:pPr>
        <w:spacing w:line="360" w:lineRule="auto"/>
        <w:ind w:firstLineChars="200" w:firstLine="420"/>
        <w:rPr>
          <w:rFonts w:ascii="宋体" w:cs="宋体" w:hAnsi="宋体" w:hint="eastAsia"/>
        </w:rPr>
      </w:pPr>
      <w:r>
        <w:rPr>
          <w:rFonts w:ascii="宋体" w:cs="宋体" w:hAnsi="宋体" w:hint="eastAsia"/>
        </w:rPr>
        <w:t>——要注意保护野生动物的栖息地、食源植物和活动线路的环境；</w:t>
      </w:r>
    </w:p>
    <w:p>
      <w:pPr>
        <w:spacing w:line="360" w:lineRule="auto"/>
        <w:ind w:firstLineChars="200" w:firstLine="420"/>
        <w:rPr>
          <w:rFonts w:ascii="宋体" w:cs="宋体" w:hAnsi="宋体" w:hint="eastAsia"/>
        </w:rPr>
      </w:pPr>
      <w:r>
        <w:rPr>
          <w:rFonts w:ascii="宋体" w:cs="宋体" w:hAnsi="宋体" w:hint="eastAsia"/>
        </w:rPr>
        <w:t>——国家或地方重点保护树种，或列入珍稀濒危植物名录的树种，作为生态目标树保留；</w:t>
      </w:r>
    </w:p>
    <w:p>
      <w:pPr>
        <w:spacing w:line="360" w:lineRule="auto"/>
        <w:ind w:firstLineChars="200" w:firstLine="420"/>
        <w:rPr>
          <w:rFonts w:ascii="宋体" w:cs="宋体" w:hAnsi="宋体" w:hint="eastAsia"/>
        </w:rPr>
      </w:pPr>
      <w:r>
        <w:rPr>
          <w:rFonts w:ascii="宋体" w:cs="宋体" w:hAnsi="宋体" w:hint="eastAsia"/>
        </w:rPr>
        <w:t>——加强国家或地方重点保护的</w:t>
      </w:r>
      <w:bookmarkStart w:id="201" w:name="_Toc248235451"/>
      <w:bookmarkStart w:id="202" w:name="_Toc403544845"/>
      <w:bookmarkStart w:id="203" w:name="_Toc248235651"/>
      <w:bookmarkStart w:id="204" w:name="_Toc401048452"/>
      <w:bookmarkStart w:id="205" w:name="_Toc235102928"/>
      <w:bookmarkStart w:id="206" w:name="_Toc399838634"/>
      <w:bookmarkStart w:id="207" w:name="_Toc399838816"/>
      <w:bookmarkStart w:id="208" w:name="_Toc226342023"/>
      <w:bookmarkStart w:id="209" w:name="_Toc394549637"/>
      <w:bookmarkStart w:id="210" w:name="_Toc399943162"/>
      <w:bookmarkEnd w:id="197"/>
      <w:bookmarkEnd w:id="198"/>
      <w:bookmarkEnd w:id="199"/>
      <w:bookmarkEnd w:id="200"/>
      <w:r>
        <w:rPr>
          <w:rFonts w:ascii="宋体" w:cs="宋体" w:hAnsi="宋体" w:hint="eastAsia"/>
        </w:rPr>
        <w:t>灌木与草本植物保护。</w:t>
      </w:r>
    </w:p>
    <w:p>
      <w:pPr>
        <w:pStyle w:val="1"/>
        <w:spacing w:beforeLines="100" w:before="312" w:afterLines="100" w:after="312" w:line="240" w:lineRule="auto"/>
        <w:jc w:val="left"/>
        <w:rPr>
          <w:rFonts w:ascii="黑体" w:eastAsia="黑体" w:cs="黑体" w:hint="eastAsia"/>
          <w:b w:val="0"/>
          <w:bCs w:val="0"/>
          <w:sz w:val="21"/>
          <w:shd w:val="clear" w:color="auto" w:fill="auto"/>
        </w:rPr>
      </w:pPr>
      <w:bookmarkStart w:id="211" w:name="_Toc172016189"/>
      <w:r>
        <w:rPr>
          <w:rFonts w:ascii="黑体" w:eastAsia="黑体" w:cs="黑体" w:hint="eastAsia"/>
          <w:b w:val="0"/>
          <w:bCs w:val="0"/>
          <w:sz w:val="21"/>
          <w:shd w:val="clear" w:color="auto" w:fill="auto"/>
        </w:rPr>
        <w:t xml:space="preserve">9 </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林下植被与土壤管理</w:t>
      </w:r>
      <w:bookmarkEnd w:id="211"/>
    </w:p>
    <w:p>
      <w:pPr>
        <w:pStyle w:val="1"/>
        <w:spacing w:beforeLines="50" w:before="156" w:afterLines="50" w:after="156" w:line="240" w:lineRule="auto"/>
        <w:jc w:val="left"/>
        <w:rPr>
          <w:rFonts w:ascii="黑体" w:eastAsia="黑体" w:cs="黑体" w:hint="eastAsia"/>
          <w:b w:val="0"/>
          <w:bCs w:val="0"/>
          <w:sz w:val="21"/>
          <w:shd w:val="clear" w:color="auto" w:fill="auto"/>
        </w:rPr>
      </w:pPr>
      <w:bookmarkStart w:id="212" w:name="_Toc172016190"/>
      <w:r>
        <w:rPr>
          <w:rFonts w:ascii="黑体" w:eastAsia="黑体" w:cs="黑体" w:hint="eastAsia"/>
          <w:b w:val="0"/>
          <w:bCs w:val="0"/>
          <w:sz w:val="21"/>
          <w:shd w:val="clear" w:color="auto" w:fill="auto"/>
        </w:rPr>
        <w:t>9.1</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林下植被管理</w:t>
      </w:r>
      <w:bookmarkEnd w:id="212"/>
    </w:p>
    <w:p>
      <w:pPr>
        <w:spacing w:line="360" w:lineRule="auto"/>
        <w:ind w:leftChars="200" w:left="840" w:hangingChars="200" w:hanging="420"/>
        <w:rPr>
          <w:rFonts w:ascii="宋体" w:cs="宋体" w:hAnsi="宋体" w:hint="eastAsia"/>
        </w:rPr>
      </w:pPr>
      <w:r>
        <w:rPr>
          <w:rFonts w:ascii="宋体" w:cs="宋体" w:hAnsi="宋体" w:hint="eastAsia"/>
        </w:rPr>
        <w:t>——影响目的树种幼苗幼树生长时，以折灌、踩灌为主，少割灌或不割灌，割灌时以苗高（树高）1倍为半径；</w:t>
      </w:r>
    </w:p>
    <w:p>
      <w:pPr>
        <w:spacing w:line="360" w:lineRule="auto"/>
        <w:ind w:firstLineChars="200" w:firstLine="420"/>
        <w:rPr>
          <w:rFonts w:ascii="宋体" w:cs="宋体" w:hAnsi="宋体" w:hint="eastAsia"/>
        </w:rPr>
      </w:pPr>
      <w:r>
        <w:rPr>
          <w:rFonts w:ascii="宋体" w:cs="宋体" w:hAnsi="宋体" w:hint="eastAsia"/>
        </w:rPr>
        <w:t>——修枝和采伐作业过程中采取有效防护措施，避免或减少对林下植被造成破坏；</w:t>
      </w:r>
    </w:p>
    <w:p>
      <w:pPr>
        <w:spacing w:line="360" w:lineRule="auto"/>
        <w:ind w:firstLineChars="200" w:firstLine="420"/>
        <w:rPr>
          <w:rFonts w:ascii="宋体" w:cs="宋体" w:hAnsi="宋体" w:hint="eastAsia"/>
        </w:rPr>
      </w:pPr>
      <w:r>
        <w:rPr>
          <w:rFonts w:ascii="宋体" w:cs="宋体" w:hAnsi="宋体" w:hint="eastAsia"/>
        </w:rPr>
        <w:t>——尽可能地保留灌草植被。除形干促成阶段前期，灌草综合盖度&gt;40%。</w:t>
      </w:r>
    </w:p>
    <w:p>
      <w:pPr>
        <w:spacing w:line="360" w:lineRule="auto"/>
        <w:ind w:firstLineChars="200" w:firstLine="420"/>
        <w:rPr>
          <w:rFonts w:ascii="宋体" w:cs="宋体" w:hAnsi="宋体" w:hint="eastAsia"/>
        </w:rPr>
      </w:pPr>
      <w:r>
        <w:rPr>
          <w:rFonts w:ascii="宋体" w:cs="宋体" w:hAnsi="宋体" w:hint="eastAsia"/>
        </w:rPr>
        <w:t>——禁止化学除草、全面割灌。</w:t>
      </w:r>
    </w:p>
    <w:p>
      <w:pPr>
        <w:pStyle w:val="1"/>
        <w:spacing w:beforeLines="50" w:before="156" w:afterLines="50" w:after="156" w:line="240" w:lineRule="auto"/>
        <w:jc w:val="left"/>
        <w:rPr>
          <w:rFonts w:ascii="黑体" w:eastAsia="黑体" w:cs="黑体" w:hint="eastAsia"/>
          <w:b w:val="0"/>
          <w:bCs w:val="0"/>
          <w:sz w:val="21"/>
          <w:shd w:val="clear" w:color="auto" w:fill="auto"/>
        </w:rPr>
      </w:pPr>
      <w:bookmarkStart w:id="213" w:name="_Toc172016191"/>
      <w:r>
        <w:rPr>
          <w:rFonts w:ascii="黑体" w:eastAsia="黑体" w:cs="黑体" w:hint="eastAsia"/>
          <w:b w:val="0"/>
          <w:bCs w:val="0"/>
          <w:sz w:val="21"/>
          <w:shd w:val="clear" w:color="auto" w:fill="auto"/>
        </w:rPr>
        <w:t>9.2</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土壤管理</w:t>
      </w:r>
      <w:bookmarkEnd w:id="213"/>
    </w:p>
    <w:p>
      <w:pPr>
        <w:spacing w:line="360" w:lineRule="auto"/>
        <w:ind w:firstLineChars="200" w:firstLine="420"/>
        <w:rPr>
          <w:rFonts w:ascii="宋体" w:cs="宋体" w:hAnsi="宋体" w:hint="eastAsia"/>
        </w:rPr>
      </w:pPr>
      <w:r>
        <w:rPr>
          <w:rFonts w:ascii="宋体" w:cs="宋体" w:hAnsi="宋体" w:hint="eastAsia"/>
        </w:rPr>
        <w:t>——人工促进更新、移植或补植时，减少土壤干扰；进行穴状整地或不整地；</w:t>
      </w:r>
    </w:p>
    <w:p>
      <w:pPr>
        <w:spacing w:line="360" w:lineRule="auto"/>
        <w:ind w:firstLineChars="200" w:firstLine="420"/>
        <w:rPr>
          <w:rFonts w:ascii="宋体" w:cs="宋体" w:hAnsi="宋体" w:hint="eastAsia"/>
        </w:rPr>
      </w:pPr>
      <w:r>
        <w:rPr>
          <w:rFonts w:ascii="宋体" w:cs="宋体" w:hAnsi="宋体" w:hint="eastAsia"/>
        </w:rPr>
        <w:t>——抚育和采伐更新过程中，减少对林地土壤的干扰和破坏；</w:t>
      </w:r>
    </w:p>
    <w:p>
      <w:pPr>
        <w:spacing w:line="360" w:lineRule="auto"/>
        <w:ind w:firstLineChars="200" w:firstLine="420"/>
        <w:rPr>
          <w:rFonts w:ascii="宋体" w:cs="宋体" w:hAnsi="宋体" w:hint="eastAsia"/>
        </w:rPr>
      </w:pPr>
      <w:r>
        <w:rPr>
          <w:rFonts w:ascii="宋体" w:cs="宋体" w:hAnsi="宋体" w:hint="eastAsia"/>
        </w:rPr>
        <w:t>——采伐与修枝剩余物禁止焚烧，宜带状或集中堆放，自然降解后归入腐殖质和土壤碳库。</w:t>
      </w:r>
    </w:p>
    <w:p>
      <w:pPr>
        <w:pStyle w:val="1"/>
        <w:spacing w:beforeLines="100" w:before="312" w:afterLines="100" w:after="312" w:line="240" w:lineRule="auto"/>
        <w:jc w:val="left"/>
        <w:rPr>
          <w:rFonts w:ascii="黑体" w:eastAsia="黑体" w:cs="黑体" w:hint="eastAsia"/>
          <w:b w:val="0"/>
          <w:bCs w:val="0"/>
          <w:sz w:val="21"/>
          <w:shd w:val="clear" w:color="auto" w:fill="auto"/>
        </w:rPr>
      </w:pPr>
      <w:bookmarkStart w:id="214" w:name="_Toc172016192"/>
      <w:r>
        <w:rPr>
          <w:rFonts w:ascii="黑体" w:eastAsia="黑体" w:cs="黑体" w:hint="eastAsia"/>
          <w:b w:val="0"/>
          <w:bCs w:val="0"/>
          <w:sz w:val="21"/>
          <w:shd w:val="clear" w:color="auto" w:fill="auto"/>
        </w:rPr>
        <w:t>10</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 xml:space="preserve"> 森林防火与有害生物防治</w:t>
      </w:r>
      <w:bookmarkEnd w:id="214"/>
    </w:p>
    <w:p>
      <w:pPr>
        <w:pStyle w:val="1"/>
        <w:spacing w:beforeLines="50" w:before="156" w:afterLines="50" w:after="156" w:line="240" w:lineRule="auto"/>
        <w:jc w:val="left"/>
        <w:rPr>
          <w:rFonts w:ascii="黑体" w:eastAsia="黑体" w:cs="黑体" w:hint="eastAsia"/>
          <w:b w:val="0"/>
          <w:bCs w:val="0"/>
          <w:sz w:val="21"/>
          <w:shd w:val="clear" w:color="auto" w:fill="auto"/>
        </w:rPr>
      </w:pPr>
      <w:bookmarkStart w:id="215" w:name="_Toc172016193"/>
      <w:r>
        <w:rPr>
          <w:rFonts w:ascii="黑体" w:eastAsia="黑体" w:cs="黑体" w:hint="eastAsia"/>
          <w:b w:val="0"/>
          <w:bCs w:val="0"/>
          <w:sz w:val="21"/>
          <w:shd w:val="clear" w:color="auto" w:fill="auto"/>
        </w:rPr>
        <w:t>10.1</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森林防火</w:t>
      </w:r>
      <w:bookmarkEnd w:id="215"/>
    </w:p>
    <w:p>
      <w:pPr>
        <w:spacing w:line="360" w:lineRule="auto"/>
        <w:ind w:firstLineChars="200" w:firstLine="420"/>
        <w:rPr>
          <w:rFonts w:ascii="宋体" w:cs="宋体" w:hAnsi="宋体" w:hint="eastAsia"/>
        </w:rPr>
      </w:pPr>
      <w:r>
        <w:rPr>
          <w:rFonts w:ascii="宋体" w:cs="宋体" w:hAnsi="宋体" w:hint="eastAsia"/>
        </w:rPr>
        <w:t>——及时修枝与割灌以减少林内可燃物负荷量；</w:t>
      </w:r>
    </w:p>
    <w:p>
      <w:pPr>
        <w:spacing w:line="360" w:lineRule="auto"/>
        <w:ind w:firstLineChars="200" w:firstLine="420"/>
        <w:rPr>
          <w:rFonts w:ascii="宋体" w:cs="宋体" w:hAnsi="宋体" w:hint="eastAsia"/>
        </w:rPr>
      </w:pPr>
      <w:r>
        <w:rPr>
          <w:rFonts w:ascii="宋体" w:cs="宋体" w:hAnsi="宋体" w:hint="eastAsia"/>
        </w:rPr>
        <w:t>——适时清除林下可燃物，提高林分的卫生状况；</w:t>
      </w:r>
    </w:p>
    <w:p>
      <w:pPr>
        <w:spacing w:line="360" w:lineRule="auto"/>
        <w:ind w:leftChars="200" w:left="840" w:hangingChars="200" w:hanging="420"/>
        <w:rPr>
          <w:rFonts w:ascii="宋体" w:cs="宋体" w:hAnsi="宋体" w:hint="eastAsia"/>
        </w:rPr>
      </w:pPr>
      <w:r>
        <w:rPr>
          <w:rFonts w:ascii="宋体" w:cs="宋体" w:hAnsi="宋体" w:hint="eastAsia"/>
        </w:rPr>
        <w:t>——在大面积集中连片区域，充分利用河流、湖泊、道路的阻隔作用，营建防火隔离带，完善林火隔离体系；</w:t>
      </w:r>
    </w:p>
    <w:p>
      <w:pPr>
        <w:spacing w:line="360" w:lineRule="auto"/>
        <w:ind w:firstLineChars="200" w:firstLine="420"/>
        <w:jc w:val="left"/>
        <w:rPr>
          <w:rFonts w:ascii="宋体" w:cs="宋体" w:hAnsi="宋体" w:hint="eastAsia"/>
        </w:rPr>
      </w:pPr>
      <w:r>
        <w:rPr>
          <w:rFonts w:hint="eastAsia"/>
        </w:rPr>
        <w:t>—</w:t>
      </w:r>
      <w:r>
        <w:rPr>
          <w:rFonts w:ascii="宋体" w:cs="宋体" w:hAnsi="宋体" w:hint="eastAsia"/>
        </w:rPr>
        <w:t>—提高防火性能较好的云杉与五角枫比例，促进油松阔叶混交林的形成。</w:t>
      </w:r>
    </w:p>
    <w:p>
      <w:pPr>
        <w:pStyle w:val="1"/>
        <w:spacing w:beforeLines="50" w:before="156" w:afterLines="50" w:after="156" w:line="240" w:lineRule="auto"/>
        <w:jc w:val="left"/>
        <w:rPr>
          <w:rFonts w:ascii="黑体" w:eastAsia="黑体" w:cs="黑体" w:hint="eastAsia"/>
          <w:b w:val="0"/>
          <w:bCs w:val="0"/>
          <w:sz w:val="21"/>
          <w:shd w:val="clear" w:color="auto" w:fill="auto"/>
        </w:rPr>
      </w:pPr>
      <w:bookmarkStart w:id="216" w:name="_Toc172016194"/>
      <w:r>
        <w:rPr>
          <w:rFonts w:ascii="黑体" w:eastAsia="黑体" w:cs="黑体" w:hint="eastAsia"/>
          <w:b w:val="0"/>
          <w:bCs w:val="0"/>
          <w:sz w:val="21"/>
          <w:shd w:val="clear" w:color="auto" w:fill="auto"/>
        </w:rPr>
        <w:t>10.2</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有害生物防治</w:t>
      </w:r>
      <w:bookmarkEnd w:id="216"/>
    </w:p>
    <w:p>
      <w:pPr>
        <w:spacing w:line="360" w:lineRule="auto"/>
        <w:ind w:firstLineChars="200" w:firstLine="420"/>
        <w:rPr>
          <w:rFonts w:ascii="宋体" w:cs="宋体" w:hAnsi="宋体" w:hint="eastAsia"/>
        </w:rPr>
      </w:pPr>
      <w:r>
        <w:rPr>
          <w:rFonts w:ascii="宋体" w:cs="宋体" w:hAnsi="宋体" w:hint="eastAsia"/>
        </w:rPr>
        <w:t>——加强中幼林的抚育管理，及时清理病虫木；不断提高森林质量，增强森林生态系统稳定性；</w:t>
      </w:r>
    </w:p>
    <w:p>
      <w:pPr>
        <w:spacing w:line="360" w:lineRule="auto"/>
        <w:ind w:firstLineChars="200" w:firstLine="420"/>
        <w:rPr>
          <w:rFonts w:ascii="宋体" w:cs="宋体" w:hAnsi="宋体" w:hint="eastAsia"/>
        </w:rPr>
      </w:pPr>
      <w:r>
        <w:rPr>
          <w:rFonts w:ascii="宋体" w:cs="宋体" w:hAnsi="宋体" w:hint="eastAsia"/>
        </w:rPr>
        <w:t>——选用乡土树种和抗性强的树种营造多树种的针阔混交林；</w:t>
      </w:r>
    </w:p>
    <w:p>
      <w:pPr>
        <w:spacing w:line="360" w:lineRule="auto"/>
        <w:ind w:firstLineChars="200" w:firstLine="420"/>
        <w:rPr>
          <w:rFonts w:ascii="宋体" w:cs="宋体" w:hAnsi="宋体" w:hint="eastAsia"/>
        </w:rPr>
      </w:pPr>
      <w:r>
        <w:rPr>
          <w:rFonts w:ascii="宋体" w:cs="宋体" w:hAnsi="宋体" w:hint="eastAsia"/>
        </w:rPr>
        <w:t>——在建群阶段，加强鼠、兔对幼苗幼树危害防控；</w:t>
      </w:r>
    </w:p>
    <w:p>
      <w:pPr>
        <w:spacing w:line="360" w:lineRule="auto"/>
        <w:ind w:leftChars="200" w:left="840" w:hangingChars="200" w:hanging="420"/>
        <w:rPr>
          <w:rFonts w:ascii="宋体" w:cs="宋体" w:hAnsi="宋体" w:hint="eastAsia"/>
        </w:rPr>
      </w:pPr>
      <w:r>
        <w:rPr>
          <w:rFonts w:ascii="宋体" w:cs="宋体" w:hAnsi="宋体" w:hint="eastAsia"/>
        </w:rPr>
        <w:t>——重点采取生物防治措施，有效控制红脂大小蠹、油松毛虫、松针卷叶蛾等虫害的发生。红脂大小蠹的防治</w:t>
      </w:r>
      <w:r>
        <w:rPr>
          <w:rFonts w:ascii="宋体" w:cs="宋体" w:hAnsi="宋体"/>
        </w:rPr>
        <w:t>按照</w:t>
      </w:r>
      <w:r>
        <w:rPr>
          <w:rFonts w:ascii="宋体" w:cs="宋体" w:hAnsi="宋体" w:hint="eastAsia"/>
        </w:rPr>
        <w:t>LY/T 2025</w:t>
      </w:r>
      <w:r>
        <w:rPr>
          <w:rFonts w:ascii="宋体" w:cs="宋体" w:hAnsi="宋体"/>
        </w:rPr>
        <w:t>确定的执行</w:t>
      </w:r>
      <w:r>
        <w:rPr>
          <w:rFonts w:ascii="宋体" w:cs="宋体" w:hAnsi="宋体" w:hint="eastAsia"/>
        </w:rPr>
        <w:t>、油松毛虫的防治</w:t>
      </w:r>
      <w:r>
        <w:rPr>
          <w:rFonts w:ascii="宋体" w:cs="宋体" w:hAnsi="宋体"/>
        </w:rPr>
        <w:t>按照</w:t>
      </w:r>
      <w:r>
        <w:rPr>
          <w:rFonts w:ascii="宋体" w:cs="宋体" w:hAnsi="宋体" w:hint="eastAsia"/>
        </w:rPr>
        <w:t>GB/T 24882</w:t>
      </w:r>
      <w:r>
        <w:rPr>
          <w:rFonts w:ascii="宋体" w:cs="宋体" w:hAnsi="宋体"/>
        </w:rPr>
        <w:t>确定的执行</w:t>
      </w:r>
      <w:r>
        <w:rPr>
          <w:rFonts w:ascii="宋体" w:cs="宋体" w:hAnsi="宋体" w:hint="eastAsia"/>
        </w:rPr>
        <w:t>。</w:t>
      </w:r>
    </w:p>
    <w:p>
      <w:pPr>
        <w:pStyle w:val="1"/>
        <w:spacing w:beforeLines="100" w:before="312" w:afterLines="100" w:after="312" w:line="240" w:lineRule="auto"/>
        <w:jc w:val="left"/>
        <w:rPr>
          <w:rFonts w:ascii="黑体" w:eastAsia="黑体" w:cs="黑体" w:hint="eastAsia"/>
          <w:b w:val="0"/>
          <w:bCs w:val="0"/>
          <w:sz w:val="21"/>
          <w:shd w:val="clear" w:color="auto" w:fill="auto"/>
        </w:rPr>
      </w:pPr>
      <w:bookmarkStart w:id="217" w:name="_Toc16605"/>
      <w:bookmarkStart w:id="218" w:name="_Toc436047507"/>
      <w:bookmarkStart w:id="219" w:name="_Toc2516"/>
      <w:bookmarkStart w:id="220" w:name="_Toc15943"/>
      <w:bookmarkStart w:id="221" w:name="_Toc172016195"/>
      <w:bookmarkStart w:id="222" w:name="_Toc13260"/>
      <w:bookmarkStart w:id="223" w:name="_Toc72"/>
      <w:bookmarkStart w:id="224" w:name="_Toc25774"/>
      <w:r>
        <w:rPr>
          <w:rFonts w:ascii="黑体" w:eastAsia="黑体" w:cs="黑体" w:hint="eastAsia"/>
          <w:b w:val="0"/>
          <w:bCs w:val="0"/>
          <w:sz w:val="21"/>
          <w:shd w:val="clear" w:color="auto" w:fill="auto"/>
        </w:rPr>
        <w:t xml:space="preserve">11 </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抚育设计</w:t>
      </w:r>
      <w:bookmarkEnd w:id="201"/>
      <w:bookmarkEnd w:id="202"/>
      <w:bookmarkEnd w:id="203"/>
      <w:bookmarkEnd w:id="204"/>
      <w:bookmarkEnd w:id="205"/>
      <w:bookmarkEnd w:id="206"/>
      <w:bookmarkEnd w:id="207"/>
      <w:bookmarkEnd w:id="208"/>
      <w:bookmarkEnd w:id="209"/>
      <w:bookmarkEnd w:id="210"/>
      <w:bookmarkEnd w:id="217"/>
      <w:bookmarkEnd w:id="218"/>
      <w:bookmarkEnd w:id="219"/>
      <w:bookmarkEnd w:id="220"/>
      <w:bookmarkEnd w:id="221"/>
      <w:bookmarkEnd w:id="222"/>
      <w:bookmarkEnd w:id="223"/>
      <w:bookmarkEnd w:id="224"/>
    </w:p>
    <w:p>
      <w:pPr>
        <w:spacing w:line="360" w:lineRule="auto"/>
        <w:ind w:firstLineChars="200" w:firstLine="420"/>
        <w:rPr>
          <w:rFonts w:ascii="宋体" w:cs="宋体" w:hAnsi="宋体" w:hint="eastAsia"/>
        </w:rPr>
      </w:pPr>
      <w:bookmarkStart w:id="225" w:name="_Toc248235652"/>
      <w:bookmarkStart w:id="226" w:name="_Toc248235452"/>
      <w:bookmarkStart w:id="227" w:name="_Toc235102929"/>
      <w:r>
        <w:rPr>
          <w:rFonts w:ascii="宋体" w:cs="宋体" w:hAnsi="宋体" w:hint="eastAsia"/>
        </w:rPr>
        <w:t>抚育作业设计</w:t>
      </w:r>
      <w:bookmarkStart w:id="228" w:name="_Toc399943163"/>
      <w:bookmarkStart w:id="229" w:name="_Toc394549638"/>
      <w:bookmarkStart w:id="230" w:name="_Toc401048461"/>
      <w:bookmarkStart w:id="231" w:name="_Toc403544846"/>
      <w:bookmarkStart w:id="232" w:name="_Toc399838635"/>
      <w:bookmarkStart w:id="233" w:name="_Toc399838817"/>
      <w:bookmarkEnd w:id="225"/>
      <w:bookmarkEnd w:id="226"/>
      <w:bookmarkEnd w:id="227"/>
      <w:r>
        <w:rPr>
          <w:rFonts w:ascii="宋体" w:cs="宋体" w:hAnsi="宋体"/>
        </w:rPr>
        <w:t>履行</w:t>
      </w:r>
      <w:r>
        <w:rPr>
          <w:rFonts w:ascii="宋体" w:cs="宋体" w:hAnsi="宋体" w:hint="eastAsia"/>
        </w:rPr>
        <w:t>GB/T 15781</w:t>
      </w:r>
      <w:bookmarkEnd w:id="228"/>
      <w:bookmarkEnd w:id="229"/>
      <w:bookmarkEnd w:id="230"/>
      <w:bookmarkEnd w:id="231"/>
      <w:bookmarkEnd w:id="232"/>
      <w:bookmarkEnd w:id="233"/>
      <w:r>
        <w:rPr>
          <w:rFonts w:ascii="宋体" w:cs="宋体" w:hAnsi="宋体"/>
        </w:rPr>
        <w:t>-2015第</w:t>
      </w:r>
      <w:r>
        <w:rPr>
          <w:rFonts w:ascii="宋体" w:cs="宋体" w:hAnsi="宋体" w:hint="eastAsia"/>
        </w:rPr>
        <w:t>9</w:t>
      </w:r>
      <w:r>
        <w:rPr>
          <w:rFonts w:ascii="宋体" w:cs="宋体" w:hAnsi="宋体"/>
        </w:rPr>
        <w:t>章确立的程序中</w:t>
      </w:r>
      <w:r>
        <w:rPr>
          <w:rFonts w:ascii="宋体" w:cs="宋体" w:hAnsi="宋体" w:hint="eastAsia"/>
        </w:rPr>
        <w:t>关于目标树经营作业体系的作业设计，且要区分目标树与二代目标树、生态目标树与辅助树。</w:t>
      </w:r>
    </w:p>
    <w:p>
      <w:pPr>
        <w:pStyle w:val="1"/>
        <w:spacing w:beforeLines="100" w:before="312" w:afterLines="100" w:after="312" w:line="240" w:lineRule="auto"/>
        <w:jc w:val="left"/>
        <w:rPr>
          <w:rFonts w:ascii="黑体" w:eastAsia="黑体" w:cs="黑体" w:hint="eastAsia"/>
          <w:b w:val="0"/>
          <w:bCs w:val="0"/>
          <w:sz w:val="21"/>
          <w:shd w:val="clear" w:color="auto" w:fill="auto"/>
        </w:rPr>
      </w:pPr>
      <w:bookmarkStart w:id="234" w:name="_Toc25889"/>
      <w:bookmarkStart w:id="235" w:name="_Toc23537"/>
      <w:bookmarkStart w:id="236" w:name="_Toc13453"/>
      <w:bookmarkStart w:id="237" w:name="_Toc28529"/>
      <w:bookmarkStart w:id="238" w:name="_Toc436047509"/>
      <w:bookmarkStart w:id="239" w:name="_Toc29864"/>
      <w:bookmarkStart w:id="240" w:name="_Toc1534"/>
      <w:bookmarkStart w:id="241" w:name="_Toc172016196"/>
      <w:bookmarkStart w:id="242" w:name="_Toc227752254"/>
      <w:r>
        <w:rPr>
          <w:rFonts w:ascii="黑体" w:eastAsia="黑体" w:cs="黑体" w:hint="eastAsia"/>
          <w:b w:val="0"/>
          <w:bCs w:val="0"/>
          <w:sz w:val="21"/>
          <w:shd w:val="clear" w:color="auto" w:fill="auto"/>
        </w:rPr>
        <w:t xml:space="preserve">12 </w:t>
      </w:r>
      <w:r>
        <w:rPr>
          <w:rFonts w:ascii="黑体" w:eastAsia="黑体" w:cs="黑体"/>
          <w:b w:val="0"/>
          <w:bCs w:val="0"/>
          <w:sz w:val="21"/>
          <w:shd w:val="clear" w:color="auto" w:fill="auto"/>
        </w:rPr>
        <w:t xml:space="preserve"> </w:t>
      </w:r>
      <w:r>
        <w:rPr>
          <w:rFonts w:ascii="黑体" w:eastAsia="黑体" w:cs="黑体" w:hint="eastAsia"/>
          <w:b w:val="0"/>
          <w:bCs w:val="0"/>
          <w:sz w:val="21"/>
          <w:shd w:val="clear" w:color="auto" w:fill="auto"/>
        </w:rPr>
        <w:t>档案管理</w:t>
      </w:r>
      <w:bookmarkEnd w:id="234"/>
      <w:bookmarkEnd w:id="235"/>
      <w:bookmarkEnd w:id="236"/>
      <w:bookmarkEnd w:id="237"/>
      <w:bookmarkEnd w:id="238"/>
      <w:bookmarkEnd w:id="239"/>
      <w:bookmarkEnd w:id="240"/>
      <w:bookmarkEnd w:id="241"/>
      <w:bookmarkEnd w:id="242"/>
    </w:p>
    <w:p>
      <w:pPr>
        <w:spacing w:line="360" w:lineRule="auto"/>
        <w:ind w:firstLineChars="200" w:firstLine="420"/>
        <w:rPr>
          <w:rFonts w:ascii="宋体" w:cs="宋体" w:hAnsi="宋体" w:hint="eastAsia"/>
        </w:rPr>
      </w:pPr>
      <w:r>
        <w:rPr>
          <w:rFonts w:ascii="宋体" w:cs="宋体" w:hAnsi="宋体" w:hint="eastAsia"/>
        </w:rPr>
        <w:t>在整个森林固碳增汇经营期间，由专人负责建立经营管理档案。档案材料主要包括：本底调查资料，设计文件与图表，各阶段经营技术资料，施工与检查验收资料，经营活动碳排放资料，以及其他经营与研究资料等。</w:t>
      </w:r>
    </w:p>
    <w:p>
      <w:pPr>
        <w:spacing w:line="360" w:lineRule="auto"/>
        <w:ind w:firstLineChars="200" w:firstLine="420"/>
        <w:rPr>
          <w:szCs w:val="21"/>
        </w:rPr>
      </w:pPr>
    </w:p>
    <w:p>
      <w:pPr>
        <w:spacing w:line="360" w:lineRule="auto"/>
        <w:ind w:firstLineChars="200" w:firstLine="420"/>
        <w:rPr>
          <w:szCs w:val="21"/>
        </w:rPr>
      </w:pPr>
    </w:p>
    <w:p>
      <w:pPr>
        <w:spacing w:line="360" w:lineRule="auto"/>
        <w:ind w:firstLineChars="200" w:firstLine="420"/>
        <w:rPr>
          <w:szCs w:val="21"/>
        </w:rPr>
      </w:pPr>
    </w:p>
    <w:p>
      <w:pPr>
        <w:spacing w:line="360" w:lineRule="auto"/>
        <w:ind w:firstLineChars="200" w:firstLine="420"/>
        <w:rPr>
          <w:szCs w:val="21"/>
        </w:rPr>
      </w:pPr>
    </w:p>
    <w:p>
      <w:pPr>
        <w:spacing w:line="360" w:lineRule="auto"/>
        <w:ind w:firstLineChars="200" w:firstLine="420"/>
        <w:rPr>
          <w:szCs w:val="21"/>
        </w:rPr>
      </w:pPr>
    </w:p>
    <w:p>
      <w:pPr>
        <w:spacing w:line="360" w:lineRule="auto"/>
        <w:ind w:firstLineChars="200" w:firstLine="420"/>
        <w:rPr>
          <w:szCs w:val="21"/>
        </w:rPr>
      </w:pPr>
    </w:p>
    <w:p>
      <w:pPr>
        <w:spacing w:beforeLines="100" w:before="312" w:beforeAutospacing="0" w:afterLines="100" w:after="312" w:afterAutospacing="0"/>
        <w:jc w:val="center"/>
        <w:rPr>
          <w:rFonts w:ascii="黑体" w:eastAsia="黑体" w:cs="黑体" w:hAnsi="黑体" w:hint="eastAsia"/>
          <w:szCs w:val="21"/>
        </w:rPr>
      </w:pPr>
      <w:bookmarkStart w:id="243" w:name="_GoBack"/>
      <w:bookmarkEnd w:id="243"/>
      <w:r>
        <w:rPr>
          <w:rFonts w:ascii="黑体" w:eastAsia="黑体" w:cs="黑体" w:hAnsi="黑体" w:hint="eastAsia"/>
          <w:szCs w:val="21"/>
        </w:rPr>
        <w:t>参考文献</w:t>
      </w:r>
    </w:p>
    <w:p>
      <w:pPr>
        <w:spacing w:line="360" w:lineRule="auto"/>
        <w:ind w:firstLineChars="200" w:firstLine="420"/>
        <w:rPr>
          <w:rFonts w:ascii="宋体" w:cs="宋体" w:hAnsi="宋体" w:hint="eastAsia"/>
          <w:szCs w:val="21"/>
        </w:rPr>
      </w:pPr>
      <w:r>
        <w:rPr>
          <w:rFonts w:ascii="宋体" w:cs="宋体" w:hAnsi="宋体" w:hint="eastAsia"/>
          <w:szCs w:val="21"/>
        </w:rPr>
        <w:t>[1]</w:t>
      </w:r>
      <w:r>
        <w:rPr>
          <w:rFonts w:ascii="宋体" w:cs="宋体" w:hAnsi="宋体"/>
          <w:szCs w:val="21"/>
        </w:rPr>
        <w:t xml:space="preserve">  </w:t>
      </w:r>
      <w:r>
        <w:rPr>
          <w:rFonts w:ascii="宋体" w:cs="宋体" w:hAnsi="宋体" w:hint="eastAsia"/>
          <w:szCs w:val="21"/>
        </w:rPr>
        <w:t>肖文发,朱建华,曾立雄,等.森林碳汇助力碳中和的几点认识[J].林业科学,2023,59(03):1-11.</w:t>
      </w:r>
    </w:p>
    <w:p>
      <w:pPr>
        <w:spacing w:line="360" w:lineRule="auto"/>
        <w:ind w:firstLineChars="200" w:firstLine="420"/>
        <w:rPr>
          <w:rFonts w:ascii="宋体" w:cs="宋体" w:hAnsi="宋体" w:hint="eastAsia"/>
          <w:szCs w:val="21"/>
        </w:rPr>
      </w:pPr>
      <w:r>
        <w:rPr>
          <w:rFonts w:ascii="宋体" w:cs="宋体" w:hAnsi="宋体" w:hint="eastAsia"/>
          <w:szCs w:val="21"/>
        </w:rPr>
        <w:t>[2]</w:t>
      </w:r>
      <w:r>
        <w:rPr>
          <w:rFonts w:ascii="宋体" w:cs="宋体" w:hAnsi="宋体"/>
          <w:szCs w:val="21"/>
        </w:rPr>
        <w:t xml:space="preserve">  </w:t>
      </w:r>
      <w:r>
        <w:rPr>
          <w:rFonts w:ascii="宋体" w:cs="宋体" w:hAnsi="宋体" w:hint="eastAsia"/>
          <w:szCs w:val="21"/>
        </w:rPr>
        <w:t>何姗,刘娟,姜培坤,等.经营管理对森林土壤有机碳库影响的研究进展[J].浙江农林大学学报,2019,36(04):818-827.</w:t>
      </w:r>
    </w:p>
    <w:p>
      <w:pPr>
        <w:spacing w:line="360" w:lineRule="auto"/>
        <w:ind w:firstLineChars="200" w:firstLine="420"/>
        <w:rPr>
          <w:rFonts w:ascii="宋体" w:cs="宋体" w:hAnsi="宋体" w:hint="eastAsia"/>
          <w:szCs w:val="21"/>
        </w:rPr>
      </w:pPr>
      <w:r>
        <w:rPr>
          <w:rFonts w:ascii="宋体" w:cs="宋体" w:hAnsi="宋体" w:hint="eastAsia"/>
          <w:szCs w:val="21"/>
        </w:rPr>
        <w:t>[3]</w:t>
      </w:r>
      <w:r>
        <w:rPr>
          <w:rFonts w:ascii="宋体" w:cs="宋体" w:hAnsi="宋体"/>
          <w:szCs w:val="21"/>
        </w:rPr>
        <w:t xml:space="preserve">  </w:t>
      </w:r>
      <w:r>
        <w:rPr>
          <w:rFonts w:ascii="宋体" w:cs="宋体" w:hAnsi="宋体" w:hint="eastAsia"/>
          <w:szCs w:val="21"/>
        </w:rPr>
        <w:t xml:space="preserve">Ameray A, Bergeron Y, Valeria O, et al. Forest carbon management: A review of silvicultural practices and management strategies across boreal, temperate and tropical forests. Current Forestry Reports, 2021,7,245-246. </w:t>
      </w:r>
    </w:p>
    <w:p>
      <w:pPr>
        <w:spacing w:line="360" w:lineRule="auto"/>
        <w:ind w:firstLineChars="200" w:firstLine="420"/>
        <w:rPr>
          <w:rFonts w:ascii="宋体" w:cs="宋体" w:hAnsi="宋体" w:hint="eastAsia"/>
          <w:szCs w:val="21"/>
        </w:rPr>
      </w:pPr>
      <w:r>
        <w:rPr>
          <w:rFonts w:ascii="宋体" w:cs="宋体" w:hAnsi="宋体" w:hint="eastAsia"/>
          <w:szCs w:val="21"/>
        </w:rPr>
        <w:t>[4]</w:t>
      </w:r>
      <w:r>
        <w:rPr>
          <w:rFonts w:ascii="宋体" w:cs="宋体" w:hAnsi="宋体"/>
          <w:szCs w:val="21"/>
        </w:rPr>
        <w:t xml:space="preserve">  </w:t>
      </w:r>
      <w:r>
        <w:rPr>
          <w:rFonts w:ascii="宋体" w:cs="宋体" w:hAnsi="宋体" w:hint="eastAsia"/>
          <w:szCs w:val="21"/>
        </w:rPr>
        <w:t>Mayer M, Prescott C E, Abaker W E A, et al. (2020). Influence of forest management activities on soil organic carbon stocks: a knowledge synthesis. Forest Ecological Management,2020,466: 118127.</w:t>
      </w:r>
    </w:p>
    <w:p>
      <w:pPr>
        <w:spacing w:line="360" w:lineRule="auto"/>
        <w:ind w:firstLineChars="200" w:firstLine="420"/>
        <w:rPr>
          <w:rFonts w:ascii="宋体" w:cs="宋体" w:hAnsi="宋体"/>
          <w:szCs w:val="21"/>
        </w:rPr>
      </w:pPr>
      <w:r>
        <w:rPr>
          <w:rFonts w:ascii="宋体" w:cs="宋体" w:hAnsi="宋体" w:hint="eastAsia"/>
          <w:szCs w:val="21"/>
        </w:rPr>
        <w:t>[5]</w:t>
      </w:r>
      <w:r>
        <w:rPr>
          <w:rFonts w:ascii="宋体" w:cs="宋体" w:hAnsi="宋体"/>
          <w:szCs w:val="21"/>
        </w:rPr>
        <w:t xml:space="preserve">  </w:t>
      </w:r>
      <w:r>
        <w:rPr>
          <w:rFonts w:ascii="宋体" w:cs="宋体" w:hAnsi="宋体" w:hint="eastAsia"/>
          <w:szCs w:val="21"/>
        </w:rPr>
        <w:t>Ontl T A, Janowiak M K, Swanston C W, et al. Forest management for carbon sequestration and climate adaptation. Journal of Forestry,2020,118(1), 86-101.</w:t>
      </w:r>
    </w:p>
    <w:p>
      <w:pPr>
        <w:spacing w:line="360" w:lineRule="auto"/>
        <w:ind w:firstLineChars="200" w:firstLine="420"/>
        <w:rPr>
          <w:rFonts w:ascii="宋体" w:cs="宋体" w:hAnsi="宋体"/>
          <w:szCs w:val="21"/>
        </w:rPr>
      </w:pPr>
    </w:p>
    <w:p>
      <w:pPr>
        <w:spacing w:line="360" w:lineRule="auto"/>
        <w:ind w:firstLineChars="200" w:firstLine="420"/>
        <w:jc w:val="center"/>
        <w:rPr>
          <w:rFonts w:ascii="宋体" w:cs="宋体" w:hAnsi="宋体" w:hint="eastAsia"/>
          <w:szCs w:val="21"/>
        </w:rPr>
      </w:pPr>
      <w:r>
        <w:rPr>
          <w:rFonts w:ascii="宋体" w:eastAsia="宋体" w:cs="宋体" w:hint="eastAsia"/>
          <w:bCs/>
          <w:szCs w:val="21"/>
          <w:lang w:bidi="ar-SA"/>
        </w:rPr>
        <w:t>━━━━━━━━━━━</w:t>
      </w:r>
    </w:p>
    <w:sectPr>
      <w:headerReference w:type="even" r:id="rId17"/>
      <w:footerReference w:type="default" r:id="rId18"/>
      <w:footerReference w:type="even" r:id="rId19"/>
      <w:footerReference w:type="first" r:id="rId20"/>
      <w:pgSz w:w="11907" w:h="16839"/>
      <w:pgMar w:top="1418" w:right="1134" w:bottom="1134" w:left="1418" w:header="1417" w:footer="1133" w:gutter="0"/>
      <w:pgNumType w:start="1"/>
      <w:cols w:num="1" w:space="720"/>
      <w:docGrid w:type="lines" w:linePitch="312" w:charSpace="0"/>
    </w:sectPr>
  </w:body>
</w:document>
</file>

<file path=word/fontTable.xml><?xml version="1.0" encoding="utf-8"?>
<w:fonts xmlns:w="http://schemas.openxmlformats.org/wordprocessingml/2006/main" xmlns:r="http://schemas.openxmlformats.org/officeDocument/2006/relationships">
  <w:font w:name="黑体">
    <w:panose1 w:val="02010609060101010101"/>
    <w:charset w:val="86"/>
    <w:family w:val="auto"/>
    <w:pitch w:val="variable"/>
    <w:sig w:usb0="800002BF" w:usb1="38CF7CFA" w:usb2="00000016" w:usb3="00000000" w:csb0="00040001" w:csb1="00000000"/>
  </w:font>
  <w:font w:name="宋体">
    <w:panose1 w:val="02010600030101010101"/>
    <w:charset w:val="86"/>
    <w:family w:val="auto"/>
    <w:pitch w:val="variable"/>
    <w:sig w:usb0="00000003" w:usb1="288F0000" w:usb2="00000006" w:usb3="00000000" w:csb0="00040001" w:csb1="00000000"/>
  </w:font>
  <w:font w:name="Times New Roman">
    <w:altName w:val="DejaVu Sans"/>
    <w:panose1 w:val="02020603050405020304"/>
    <w:charset w:val="00"/>
    <w:family w:val="roman"/>
    <w:pitch w:val="variable"/>
    <w:sig w:usb0="20007A87" w:usb1="80000000" w:usb2="00000008" w:usb3="00000000" w:csb0="000001FF" w:csb1="00000000"/>
  </w:font>
  <w:font w:name="Lucida Sans">
    <w:altName w:val="DejaVu Sans"/>
    <w:panose1 w:val="020B0602030504020204"/>
    <w:charset w:val="00"/>
    <w:family w:val="auto"/>
    <w:pitch w:val="variable"/>
    <w:sig w:usb0="00000003" w:usb1="00000000" w:usb2="00000000" w:usb3="00000000" w:csb0="20000001" w:csb1="00000000"/>
  </w:font>
  <w:font w:name="Arial">
    <w:altName w:val="DejaVu Sans"/>
    <w:panose1 w:val="020B0604020202020204"/>
    <w:charset w:val="01"/>
    <w:family w:val="swiss"/>
    <w:pitch w:val="variable"/>
    <w:sig w:usb0="E0002EFF" w:usb1="C000785B" w:usb2="00000009" w:usb3="00000000" w:csb0="400001FF" w:csb1="FFFF0000"/>
  </w:font>
  <w:font w:name="仿宋_GB2312">
    <w:altName w:val="仿宋"/>
    <w:panose1 w:val="00000000000000000000"/>
    <w:charset w:val="86"/>
    <w:family w:val="modern"/>
    <w:pitch w:val="variable"/>
    <w:sig w:usb0="00000000" w:usb1="00000000" w:usb2="00000010" w:usb3="00000000" w:csb0="00040000" w:csb1="00000000"/>
  </w:font>
  <w:font w:name="Calibri Light">
    <w:altName w:val="DejaVu Sans"/>
    <w:panose1 w:val="020F0302020204030204"/>
    <w:charset w:val="00"/>
    <w:family w:val="swiss"/>
    <w:pitch w:val="variable"/>
    <w:sig w:usb0="E0002AFF" w:usb1="C000247B" w:usb2="00000009" w:usb3="00000000" w:csb0="200001FF" w:csb1="00000000"/>
  </w:font>
  <w:font w:name="Courier New">
    <w:altName w:val="DejaVu Sans"/>
    <w:panose1 w:val="02070309020205020404"/>
    <w:charset w:val="01"/>
    <w:family w:val="modern"/>
    <w:pitch w:val="variable"/>
    <w:sig w:usb0="E0002EFF" w:usb1="C0007843" w:usb2="00000009" w:usb3="00000000" w:csb0="400001FF" w:csb1="FFFF0000"/>
  </w:font>
  <w:font w:name="Arial Unicode MS">
    <w:altName w:val="宋体"/>
    <w:panose1 w:val="020B0604020202020204"/>
    <w:charset w:val="86"/>
    <w:family w:val="swiss"/>
    <w:pitch w:val="variable"/>
    <w:sig w:usb0="00000000" w:usb1="00000000" w:usb2="0000003F" w:usb3="00000000" w:csb0="603F01FF" w:csb1="FFFF0000"/>
  </w:font>
  <w:font w:name="Verdana">
    <w:altName w:val="DejaVu Sans"/>
    <w:panose1 w:val="020B0604030504040204"/>
    <w:charset w:val="00"/>
    <w:family w:val="swiss"/>
    <w:pitch w:val="variable"/>
    <w:sig w:usb0="A00006FF" w:usb1="4000205B" w:usb2="00000010" w:usb3="00000000" w:csb0="2000019F" w:csb1="00000000"/>
  </w:font>
  <w:font w:name="ST Song">
    <w:altName w:val="宋体"/>
    <w:panose1 w:val="00000000000000000000"/>
    <w:charset w:val="86"/>
    <w:family w:val="roman"/>
    <w:pitch w:val="variable"/>
    <w:sig w:usb0="00000000" w:usb1="00000000" w:usb2="00000010" w:usb3="00000000" w:csb0="00040000"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33"/>
      <w:tabs>
        <w:tab w:val="center" w:pos="4153"/>
        <w:tab w:val="right" w:pos="8306"/>
      </w:tabs>
    </w:pPr>
    <w:r>
      <w:fldChar w:fldCharType="begin"/>
    </w:r>
    <w:r>
      <w:instrText>Page</w:instrText>
    </w:r>
    <w:r>
      <w:fldChar w:fldCharType="separate"/>
    </w:r>
    <w:r>
      <w:t>II</w:t>
    </w:r>
    <w:r>
      <w:fldChar w:fldCharType="end"/>
    </w: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33"/>
      <w:tabs>
        <w:tab w:val="center" w:pos="4153"/>
        <w:tab w:val="right" w:pos="8306"/>
      </w:tabs>
    </w:pP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33"/>
      <w:tabs>
        <w:tab w:val="center" w:pos="4153"/>
        <w:tab w:val="right" w:pos="8306"/>
      </w:tabs>
      <w:rPr>
        <w:rStyle w:val="45"/>
      </w:rPr>
    </w:pPr>
    <w:r>
      <w:fldChar w:fldCharType="begin"/>
    </w:r>
    <w:r>
      <w:instrText>Page</w:instrText>
    </w:r>
    <w:r>
      <w:fldChar w:fldCharType="separate"/>
    </w:r>
    <w:r>
      <w:t>I</w:t>
    </w:r>
    <w:r>
      <w:fldChar w:fldCharType="end"/>
    </w:r>
  </w:p>
</w:ftr>
</file>

<file path=word/footer4.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33"/>
      <w:tabs>
        <w:tab w:val="center" w:pos="4153"/>
        <w:tab w:val="right" w:pos="8306"/>
      </w:tabs>
    </w:pPr>
  </w:p>
</w:ftr>
</file>

<file path=word/footer5.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33"/>
      <w:tabs>
        <w:tab w:val="center" w:pos="4153"/>
        <w:tab w:val="right" w:pos="8306"/>
      </w:tabs>
    </w:pPr>
  </w:p>
</w:ftr>
</file>

<file path=word/footer6.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33"/>
      <w:tabs>
        <w:tab w:val="center" w:pos="4153"/>
        <w:tab w:val="right" w:pos="8306"/>
      </w:tabs>
    </w:pPr>
    <w:r>
      <w:fldChar w:fldCharType="begin"/>
    </w:r>
    <w:r>
      <w:instrText>Page</w:instrText>
    </w:r>
    <w:r>
      <w:fldChar w:fldCharType="separate"/>
    </w:r>
    <w:r>
      <w:t>II</w:t>
    </w:r>
    <w:r>
      <w:fldChar w:fldCharType="end"/>
    </w:r>
  </w:p>
</w:ftr>
</file>

<file path=word/footer7.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33"/>
      <w:tabs>
        <w:tab w:val="center" w:pos="4153"/>
        <w:tab w:val="right" w:pos="8306"/>
      </w:tabs>
      <w:rPr>
        <w:rStyle w:val="0"/>
      </w:rPr>
    </w:pPr>
    <w:r>
      <w:fldChar w:fldCharType="begin"/>
    </w:r>
    <w:r>
      <w:instrText>Page</w:instrText>
    </w:r>
    <w:r>
      <w:fldChar w:fldCharType="separate"/>
    </w:r>
    <w:r>
      <w:t>II</w:t>
    </w:r>
    <w:r>
      <w:fldChar w:fldCharType="end"/>
    </w:r>
  </w:p>
</w:ftr>
</file>

<file path=word/footer8.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33"/>
      <w:tabs>
        <w:tab w:val="center" w:pos="4153"/>
        <w:tab w:val="right" w:pos="8306"/>
      </w:tabs>
    </w:pPr>
  </w:p>
</w:ftr>
</file>

<file path=word/footer9.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33"/>
      <w:tabs>
        <w:tab w:val="center" w:pos="4153"/>
        <w:tab w:val="right" w:pos="8306"/>
      </w:tabs>
    </w:pPr>
    <w:r>
      <w:fldChar w:fldCharType="begin"/>
    </w:r>
    <w:r>
      <w:instrText>Page</w:instrText>
    </w:r>
    <w:r>
      <w:fldChar w:fldCharType="separate"/>
    </w:r>
    <w:r>
      <w:t>1</w:t>
    </w:r>
    <w:r>
      <w:fldChar w:fldCharType="end"/>
    </w:r>
  </w:p>
</w:ftr>
</file>

<file path=word/footer10.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33"/>
      <w:tabs>
        <w:tab w:val="center" w:pos="4153"/>
        <w:tab w:val="right" w:pos="8306"/>
      </w:tabs>
      <w:ind w:left="0"/>
      <w:jc w:val="left"/>
    </w:pPr>
    <w:r>
      <w:fldChar w:fldCharType="begin"/>
    </w:r>
    <w:r>
      <w:instrText>Page</w:instrText>
    </w:r>
    <w:r>
      <w:fldChar w:fldCharType="separate"/>
    </w:r>
    <w:r>
      <w:t>2</w:t>
    </w:r>
    <w:r>
      <w:fldChar w:fldCharType="end"/>
    </w:r>
  </w:p>
</w:ftr>
</file>

<file path=word/footer1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33"/>
      <w:tabs>
        <w:tab w:val="center" w:pos="4153"/>
        <w:tab w:val="right" w:pos="8306"/>
      </w:tabs>
    </w:pP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80"/>
      <w:tabs>
        <w:tab w:val="clear" w:pos="4154"/>
        <w:tab w:val="clear" w:pos="8306"/>
        <w:tab w:val="center" w:pos="4154"/>
        <w:tab w:val="right" w:pos="8306"/>
      </w:tabs>
      <w:ind w:left="0" w:firstLineChars="700" w:firstLine="1470"/>
    </w:pPr>
    <w:r>
      <w:t>DB13/T ××××—××××</w:t>
    </w:r>
  </w:p>
</w:hdr>
</file>

<file path=word/header2.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34"/>
      <w:tabs>
        <w:tab w:val="center" w:pos="4153"/>
        <w:tab w:val="right" w:pos="8306"/>
      </w:tabs>
    </w:pPr>
  </w:p>
</w:hdr>
</file>

<file path=word/header3.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80"/>
      <w:tabs>
        <w:tab w:val="center" w:pos="4154"/>
        <w:tab w:val="right" w:pos="8306"/>
      </w:tabs>
      <w:rPr>
        <w:rStyle w:val="0"/>
      </w:rPr>
    </w:pPr>
  </w:p>
</w:hdr>
</file>

<file path=word/header4.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80"/>
      <w:tabs>
        <w:tab w:val="clear" w:pos="4154"/>
        <w:tab w:val="clear" w:pos="8306"/>
        <w:tab w:val="center" w:pos="4154"/>
        <w:tab w:val="right" w:pos="8306"/>
      </w:tabs>
      <w:jc w:val="both"/>
    </w:pPr>
    <w:r>
      <w:t>DB13/T ××××—××××</w:t>
    </w:r>
  </w:p>
</w:hdr>
</file>

<file path=word/header5.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80"/>
      <w:tabs>
        <w:tab w:val="clear" w:pos="4154"/>
        <w:tab w:val="clear" w:pos="8306"/>
        <w:tab w:val="center" w:pos="4154"/>
        <w:tab w:val="right" w:pos="8306"/>
      </w:tabs>
      <w:ind w:left="0" w:firstLineChars="700" w:firstLine="1470"/>
    </w:pPr>
    <w:r>
      <w:t>DB13/T ××××—××××</w:t>
    </w:r>
  </w:p>
</w:hdr>
</file>

<file path=word/header6.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80"/>
      <w:tabs>
        <w:tab w:val="clear" w:pos="4154"/>
        <w:tab w:val="clear" w:pos="8306"/>
        <w:tab w:val="center" w:pos="4154"/>
        <w:tab w:val="right" w:pos="8306"/>
      </w:tabs>
      <w:ind w:firstLineChars="50" w:firstLine="105"/>
      <w:jc w:val="both"/>
    </w:pPr>
    <w:r>
      <w:t xml:space="preserve">                                                                DB13/T ××××—××××</w:t>
    </w:r>
  </w:p>
</w:hdr>
</file>

<file path=word/header7.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80"/>
      <w:tabs>
        <w:tab w:val="clear" w:pos="4154"/>
        <w:tab w:val="clear" w:pos="8306"/>
        <w:tab w:val="center" w:pos="4154"/>
        <w:tab w:val="right" w:pos="8306"/>
      </w:tabs>
      <w:jc w:val="both"/>
    </w:pPr>
    <w:r>
      <w:t>DB13/T ××××—××××</w:t>
    </w:r>
  </w:p>
</w:hdr>
</file>

<file path=word/header8.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80"/>
      <w:tabs>
        <w:tab w:val="clear" w:pos="4154"/>
        <w:tab w:val="clear" w:pos="8306"/>
        <w:tab w:val="center" w:pos="4154"/>
        <w:tab w:val="right" w:pos="8306"/>
      </w:tabs>
      <w:ind w:firstLineChars="50" w:firstLine="105"/>
      <w:jc w:val="both"/>
    </w:pPr>
    <w:r>
      <w:t>DB13/T ××××—××××</w:t>
    </w: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F5AA7710"/>
    <w:multiLevelType w:val="multilevel"/>
    <w:tmpl w:val="6FF962E5"/>
    <w:lvl w:ilvl="0">
      <w:start w:val="1"/>
      <w:numFmt w:val="none"/>
      <w:lvlRestart w:val="0"/>
      <w:pStyle w:val="81"/>
      <w:suff w:val="nothing"/>
      <w:lvlText w:val="%1"/>
      <w:lvlJc w:val="left"/>
      <w:pPr>
        <w:ind w:left="0" w:hanging="0"/>
      </w:pPr>
      <w:rPr>
        <w:rFonts w:ascii="Times New Roman" w:hAnsi="Times New Roman" w:hint="default"/>
        <w:b/>
        <w:i w:val="0"/>
        <w:sz w:val="21"/>
      </w:rPr>
    </w:lvl>
    <w:lvl w:ilvl="1">
      <w:start w:val="1"/>
      <w:numFmt w:val="none"/>
      <w:lvlText w:val="7."/>
      <w:lvlJc w:val="left"/>
      <w:pPr>
        <w:ind w:left="420" w:hanging="420"/>
      </w:pPr>
      <w:rPr>
        <w:rFonts w:hint="eastAsia"/>
        <w:b/>
        <w:i w:val="0"/>
        <w:sz w:val="21"/>
      </w:rPr>
    </w:lvl>
    <w:lvl w:ilvl="2">
      <w:start w:val="1"/>
      <w:numFmt w:val="decimal"/>
      <w:pStyle w:val="85"/>
      <w:suff w:val="nothing"/>
      <w:lvlText w:val="%1%2.%3　"/>
      <w:lvlJc w:val="left"/>
      <w:pPr>
        <w:ind w:left="0" w:hanging="0"/>
      </w:pPr>
      <w:rPr>
        <w:rFonts w:ascii="黑体" w:hAnsi="黑体" w:eastAsia="黑体" w:hint="eastAsia"/>
        <w:b w:val="0"/>
        <w:i w:val="0"/>
        <w:sz w:val="21"/>
      </w:rPr>
    </w:lvl>
    <w:lvl w:ilvl="3">
      <w:start w:val="1"/>
      <w:numFmt w:val="decimal"/>
      <w:pStyle w:val="86"/>
      <w:suff w:val="nothing"/>
      <w:lvlText w:val="%1%2.2.%4　"/>
      <w:lvlJc w:val="left"/>
      <w:pPr>
        <w:ind w:left="840" w:hanging="0"/>
      </w:pPr>
      <w:rPr>
        <w:rFonts w:ascii="黑体" w:hAnsi="黑体" w:eastAsia="黑体" w:hint="eastAsia"/>
        <w:b w:val="0"/>
        <w:i w:val="0"/>
        <w:sz w:val="21"/>
      </w:rPr>
    </w:lvl>
    <w:lvl w:ilvl="4">
      <w:start w:val="1"/>
      <w:numFmt w:val="decimal"/>
      <w:pStyle w:val="87"/>
      <w:suff w:val="nothing"/>
      <w:lvlText w:val="%1%2.%3.%4.%5　"/>
      <w:lvlJc w:val="left"/>
      <w:pPr>
        <w:ind w:left="0" w:hanging="0"/>
      </w:pPr>
      <w:rPr>
        <w:rFonts w:ascii="黑体" w:hAnsi="黑体" w:eastAsia="黑体" w:hint="eastAsia"/>
        <w:b w:val="0"/>
        <w:i w:val="0"/>
        <w:sz w:val="21"/>
      </w:rPr>
    </w:lvl>
    <w:lvl w:ilvl="5">
      <w:start w:val="1"/>
      <w:numFmt w:val="decimal"/>
      <w:pStyle w:val="88"/>
      <w:suff w:val="nothing"/>
      <w:lvlText w:val="%1%2.%3.%4.%5.%6　"/>
      <w:lvlJc w:val="left"/>
      <w:pPr>
        <w:ind w:left="0" w:hanging="0"/>
      </w:pPr>
      <w:rPr>
        <w:rFonts w:ascii="黑体" w:hAnsi="黑体" w:eastAsia="黑体" w:hint="eastAsia"/>
        <w:b w:val="0"/>
        <w:i w:val="0"/>
        <w:sz w:val="21"/>
      </w:rPr>
    </w:lvl>
    <w:lvl w:ilvl="6">
      <w:start w:val="1"/>
      <w:numFmt w:val="decimal"/>
      <w:pStyle w:val="89"/>
      <w:suff w:val="nothing"/>
      <w:lvlText w:val="%1%2.%3.%4.%5.%6.%7　"/>
      <w:lvlJc w:val="left"/>
      <w:pPr>
        <w:ind w:left="0" w:hanging="0"/>
      </w:pPr>
      <w:rPr>
        <w:rFonts w:ascii="黑体" w:hAnsi="黑体" w:eastAsia="黑体" w:hint="eastAsia"/>
        <w:b w:val="0"/>
        <w:i w:val="0"/>
        <w:sz w:val="21"/>
      </w:rPr>
    </w:lvl>
    <w:lvl w:ilvl="7">
      <w:start w:val="1"/>
      <w:numFmt w:val="decimal"/>
      <w:lvlText w:val="%1.%2.%3.%4.%5.%6.%7.%8"/>
      <w:lvlJc w:val="left"/>
      <w:pPr>
        <w:ind w:left="3969" w:hanging="1418"/>
      </w:pPr>
      <w:rPr>
        <w:rFonts w:hint="eastAsia"/>
      </w:rPr>
    </w:lvl>
    <w:lvl w:ilvl="8">
      <w:start w:val="1"/>
      <w:numFmt w:val="decimal"/>
      <w:lvlText w:val="%1.%2.%3.%4.%5.%6.%7.%8.%9"/>
      <w:lvlJc w:val="left"/>
      <w:pPr>
        <w:ind w:left="4677" w:hanging="1700"/>
      </w:pPr>
      <w:rPr>
        <w:rFonts w:hint="eastAsia"/>
      </w:rPr>
    </w:lvl>
  </w:abstractNum>
  <w:abstractNum w:abstractNumId="1">
    <w:nsid w:val="8F861523"/>
    <w:multiLevelType w:val="multilevel"/>
    <w:tmpl w:val="A999BB4F"/>
    <w:lvl w:ilvl="0">
      <w:start w:val="1"/>
      <w:numFmt w:val="none"/>
      <w:lvlRestart w:val="0"/>
      <w:pStyle w:val="94"/>
      <w:lvlText w:val="%1示例"/>
      <w:lvlJc w:val="left"/>
      <w:pPr>
        <w:ind w:left="0" w:firstLine="400"/>
      </w:pPr>
      <w:rPr>
        <w:rFonts w:ascii="宋体" w:hAnsi="宋体" w:eastAsia="宋体" w:hint="eastAsia"/>
        <w:b w:val="0"/>
        <w:i w:val="0"/>
        <w:sz w:val="1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6351E567"/>
    <w:multiLevelType w:val="multilevel"/>
    <w:tmpl w:val="0B507BD0"/>
    <w:lvl w:ilvl="0">
      <w:start w:val="1"/>
      <w:numFmt w:val="none"/>
      <w:lvlRestart w:val="0"/>
      <w:pStyle w:val="95"/>
      <w:lvlText w:val="表"/>
      <w:lvlJc w:val="left"/>
      <w:pPr>
        <w:ind w:left="0" w:hanging="0"/>
      </w:pPr>
      <w:rPr>
        <w:rFonts w:ascii="黑体" w:hAnsi="黑体" w:eastAsia="黑体"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22E91F5C"/>
    <w:multiLevelType w:val="multilevel"/>
    <w:tmpl w:val="631FD3C2"/>
    <w:lvl w:ilvl="0">
      <w:start w:val="1"/>
      <w:numFmt w:val="none"/>
      <w:lvlRestart w:val="0"/>
      <w:suff w:val="nothing"/>
      <w:lvlText w:val="　"/>
      <w:lvlJc w:val="left"/>
      <w:pPr>
        <w:ind w:left="0" w:hanging="0"/>
      </w:pPr>
      <w:rPr>
        <w:rFonts w:ascii="黑体" w:hAnsi="黑体" w:eastAsia="黑体" w:hint="eastAsia"/>
        <w:b w:val="0"/>
        <w:i w:val="0"/>
        <w:sz w:val="21"/>
      </w:rPr>
    </w:lvl>
    <w:lvl w:ilvl="1">
      <w:start w:val="1"/>
      <w:numFmt w:val="decimal"/>
      <w:isLgl/>
      <w:suff w:val="nothing"/>
      <w:lvlText w:val="%2　"/>
      <w:legacy w:legacy="1" w:legacySpace="0" w:legacyIndent="0"/>
      <w:lvlJc w:val="left"/>
      <w:pPr>
        <w:ind w:left="0" w:hanging="0"/>
      </w:pPr>
      <w:rPr>
        <w:rFonts w:ascii="黑体" w:hAnsi="黑体" w:eastAsia="黑体" w:hint="eastAsia"/>
        <w:b w:val="0"/>
        <w:i w:val="0"/>
        <w:snapToGrid/>
        <w:spacing w:val="0"/>
        <w:w w:val="100"/>
        <w:kern w:val="21"/>
        <w:sz w:val="21"/>
      </w:rPr>
    </w:lvl>
    <w:lvl w:ilvl="2">
      <w:start w:val="1"/>
      <w:numFmt w:val="decimal"/>
      <w:pStyle w:val="133"/>
      <w:suff w:val="nothing"/>
      <w:lvlText w:val="%1%2.%3　"/>
      <w:lvlJc w:val="left"/>
      <w:pPr>
        <w:ind w:left="0" w:hanging="0"/>
      </w:pPr>
      <w:rPr>
        <w:rFonts w:ascii="黑体" w:hAnsi="黑体" w:eastAsia="黑体" w:hint="eastAsia"/>
        <w:b w:val="0"/>
        <w:i w:val="0"/>
        <w:sz w:val="21"/>
      </w:rPr>
    </w:lvl>
    <w:lvl w:ilvl="3">
      <w:start w:val="1"/>
      <w:numFmt w:val="decimal"/>
      <w:pStyle w:val="100"/>
      <w:suff w:val="nothing"/>
      <w:lvlText w:val="%1%2.%3.%4　"/>
      <w:lvlJc w:val="left"/>
      <w:pPr>
        <w:ind w:left="0" w:hanging="0"/>
      </w:pPr>
      <w:rPr>
        <w:rFonts w:ascii="黑体" w:hAnsi="黑体" w:eastAsia="黑体" w:hint="eastAsia"/>
        <w:b w:val="0"/>
        <w:i w:val="0"/>
        <w:sz w:val="21"/>
      </w:rPr>
    </w:lvl>
    <w:lvl w:ilvl="4">
      <w:start w:val="1"/>
      <w:numFmt w:val="decimal"/>
      <w:pStyle w:val="98"/>
      <w:suff w:val="nothing"/>
      <w:lvlText w:val="%1%2.%3.%4.%5　"/>
      <w:lvlJc w:val="left"/>
      <w:pPr>
        <w:ind w:left="0" w:hanging="0"/>
      </w:pPr>
      <w:rPr>
        <w:rFonts w:ascii="黑体" w:hAnsi="黑体" w:eastAsia="黑体" w:hint="eastAsia"/>
        <w:b w:val="0"/>
        <w:i w:val="0"/>
        <w:sz w:val="21"/>
      </w:rPr>
    </w:lvl>
    <w:lvl w:ilvl="5">
      <w:start w:val="1"/>
      <w:numFmt w:val="decimal"/>
      <w:pStyle w:val="128"/>
      <w:suff w:val="nothing"/>
      <w:lvlText w:val="%1%2.%3.%4.%5.%6　"/>
      <w:lvlJc w:val="left"/>
      <w:pPr>
        <w:ind w:left="0" w:hanging="0"/>
      </w:pPr>
      <w:rPr>
        <w:rFonts w:ascii="黑体" w:hAnsi="黑体" w:eastAsia="黑体" w:hint="eastAsia"/>
        <w:b w:val="0"/>
        <w:i w:val="0"/>
        <w:sz w:val="21"/>
      </w:rPr>
    </w:lvl>
    <w:lvl w:ilvl="6">
      <w:start w:val="1"/>
      <w:numFmt w:val="decimal"/>
      <w:pStyle w:val="142"/>
      <w:suff w:val="nothing"/>
      <w:lvlText w:val="%1%2.%3.%4.%5.%6.%7　"/>
      <w:lvlJc w:val="left"/>
      <w:pPr>
        <w:ind w:left="0" w:hanging="0"/>
      </w:pPr>
      <w:rPr>
        <w:rFonts w:ascii="黑体" w:hAnsi="黑体" w:eastAsia="黑体" w:hint="eastAsia"/>
        <w:b w:val="0"/>
        <w:i w:val="0"/>
        <w:sz w:val="21"/>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47B4AE34"/>
    <w:multiLevelType w:val="multilevel"/>
    <w:tmpl w:val="5B592087"/>
    <w:lvl w:ilvl="0">
      <w:start w:val="1"/>
      <w:numFmt w:val="decimal"/>
      <w:lvlRestart w:val="0"/>
      <w:pStyle w:val="99"/>
      <w:suff w:val="nothing"/>
      <w:lvlText w:val="表%1　"/>
      <w:lvlJc w:val="left"/>
      <w:pPr>
        <w:ind w:left="0" w:hanging="0"/>
      </w:pPr>
      <w:rPr>
        <w:rFonts w:ascii="黑体" w:hAnsi="黑体" w:eastAsia="黑体" w:hint="eastAsia"/>
        <w:b w:val="0"/>
        <w:i w:val="0"/>
        <w:sz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nsid w:val="1CB859B4"/>
    <w:multiLevelType w:val="multilevel"/>
    <w:tmpl w:val="860CFA42"/>
    <w:lvl w:ilvl="0">
      <w:start w:val="1"/>
      <w:numFmt w:val="none"/>
      <w:lvlRestart w:val="0"/>
      <w:pStyle w:val="102"/>
      <w:lvlText w:val="%1注："/>
      <w:lvlJc w:val="left"/>
      <w:pPr>
        <w:ind w:left="840" w:hanging="420"/>
      </w:pPr>
      <w:rPr>
        <w:rFonts w:ascii="宋体" w:hAnsi="宋体" w:eastAsia="宋体" w:hint="eastAsia"/>
        <w:b w:val="0"/>
        <w:i w:val="0"/>
        <w:sz w:val="1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1D16139D"/>
    <w:multiLevelType w:val="multilevel"/>
    <w:tmpl w:val="169BD600"/>
    <w:lvl w:ilvl="0">
      <w:start w:val="1"/>
      <w:numFmt w:val="upperLetter"/>
      <w:lvlRestart w:val="0"/>
      <w:pStyle w:val="121"/>
      <w:suff w:val="nothing"/>
      <w:lvlText w:val="附　录　%1"/>
      <w:lvlJc w:val="left"/>
      <w:pPr>
        <w:ind w:left="0" w:hanging="0"/>
      </w:pPr>
      <w:rPr>
        <w:rFonts w:ascii="黑体" w:hAnsi="黑体" w:eastAsia="黑体" w:hint="eastAsia"/>
        <w:b w:val="0"/>
        <w:i w:val="0"/>
        <w:sz w:val="21"/>
      </w:rPr>
    </w:lvl>
    <w:lvl w:ilvl="1">
      <w:start w:val="1"/>
      <w:numFmt w:val="decimal"/>
      <w:pStyle w:val="108"/>
      <w:suff w:val="nothing"/>
      <w:lvlText w:val="%1.%2　"/>
      <w:lvlJc w:val="left"/>
      <w:pPr>
        <w:ind w:left="0" w:hanging="0"/>
      </w:pPr>
      <w:rPr>
        <w:rFonts w:ascii="黑体" w:hAnsi="黑体" w:eastAsia="黑体" w:hint="eastAsia"/>
        <w:b w:val="0"/>
        <w:i w:val="0"/>
        <w:snapToGrid/>
        <w:spacing w:val="0"/>
        <w:w w:val="100"/>
        <w:kern w:val="21"/>
        <w:sz w:val="21"/>
      </w:rPr>
    </w:lvl>
    <w:lvl w:ilvl="2">
      <w:start w:val="1"/>
      <w:numFmt w:val="decimal"/>
      <w:pStyle w:val="109"/>
      <w:suff w:val="nothing"/>
      <w:lvlText w:val="%1.%2.%3　"/>
      <w:lvlJc w:val="left"/>
      <w:pPr>
        <w:ind w:left="0" w:hanging="0"/>
      </w:pPr>
      <w:rPr>
        <w:rFonts w:ascii="黑体" w:hAnsi="黑体" w:eastAsia="黑体" w:hint="eastAsia"/>
        <w:b w:val="0"/>
        <w:i w:val="0"/>
        <w:sz w:val="21"/>
      </w:rPr>
    </w:lvl>
    <w:lvl w:ilvl="3">
      <w:start w:val="1"/>
      <w:numFmt w:val="decimal"/>
      <w:pStyle w:val="110"/>
      <w:suff w:val="nothing"/>
      <w:lvlText w:val="%1.%2.%3.%4　"/>
      <w:lvlJc w:val="left"/>
      <w:pPr>
        <w:ind w:left="0" w:hanging="0"/>
      </w:pPr>
      <w:rPr>
        <w:rFonts w:ascii="黑体" w:hAnsi="黑体" w:eastAsia="黑体" w:hint="eastAsia"/>
        <w:b w:val="0"/>
        <w:i w:val="0"/>
        <w:sz w:val="21"/>
      </w:rPr>
    </w:lvl>
    <w:lvl w:ilvl="4">
      <w:start w:val="1"/>
      <w:numFmt w:val="decimal"/>
      <w:pStyle w:val="111"/>
      <w:suff w:val="nothing"/>
      <w:lvlText w:val="%1.%2.%3.%4.%5　"/>
      <w:lvlJc w:val="left"/>
      <w:pPr>
        <w:ind w:left="0" w:hanging="0"/>
      </w:pPr>
      <w:rPr>
        <w:rFonts w:ascii="黑体" w:hAnsi="黑体" w:eastAsia="黑体" w:hint="eastAsia"/>
        <w:b w:val="0"/>
        <w:i w:val="0"/>
        <w:sz w:val="21"/>
      </w:rPr>
    </w:lvl>
    <w:lvl w:ilvl="5">
      <w:start w:val="1"/>
      <w:numFmt w:val="decimal"/>
      <w:pStyle w:val="112"/>
      <w:suff w:val="nothing"/>
      <w:lvlText w:val="%1.%2.%3.%4.%5.%6　"/>
      <w:lvlJc w:val="left"/>
      <w:pPr>
        <w:ind w:left="0" w:hanging="0"/>
      </w:pPr>
      <w:rPr>
        <w:rFonts w:ascii="黑体" w:hAnsi="黑体" w:eastAsia="黑体" w:hint="eastAsia"/>
        <w:b w:val="0"/>
        <w:i w:val="0"/>
        <w:sz w:val="21"/>
      </w:rPr>
    </w:lvl>
    <w:lvl w:ilvl="6">
      <w:start w:val="1"/>
      <w:numFmt w:val="decimal"/>
      <w:pStyle w:val="136"/>
      <w:suff w:val="nothing"/>
      <w:lvlText w:val="%1.%2.%3.%4.%5.%6.%7　"/>
      <w:lvlJc w:val="left"/>
      <w:pPr>
        <w:ind w:left="0" w:hanging="0"/>
      </w:pPr>
      <w:rPr>
        <w:rFonts w:ascii="黑体" w:hAnsi="黑体" w:eastAsia="黑体" w:hint="eastAsia"/>
        <w:b w:val="0"/>
        <w:i w:val="0"/>
        <w:sz w:val="21"/>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nsid w:val="145C69DD"/>
    <w:multiLevelType w:val="multilevel"/>
    <w:tmpl w:val="5CBE2B85"/>
    <w:lvl w:ilvl="0">
      <w:start w:val="1"/>
      <w:numFmt w:val="none"/>
      <w:lvlRestart w:val="0"/>
      <w:pStyle w:val="117"/>
      <w:lvlText w:val="%1●　"/>
      <w:lvlJc w:val="left"/>
      <w:pPr>
        <w:ind w:left="717" w:hanging="317"/>
      </w:pPr>
      <w:rPr>
        <w:rFonts w:ascii="宋体" w:hAnsi="宋体" w:eastAsia="宋体" w:hint="eastAsia"/>
        <w:b w:val="0"/>
        <w:i w:val="0"/>
        <w:position w:val="4"/>
        <w:sz w:val="13"/>
      </w:rPr>
    </w:lvl>
    <w:lvl w:ilvl="1">
      <w:start w:val="1"/>
      <w:numFmt w:val="lowerLetter"/>
      <w:lvlText w:val="%2)"/>
      <w:lvlJc w:val="left"/>
      <w:pPr>
        <w:ind w:left="780" w:hanging="360"/>
      </w:pPr>
      <w:rPr>
        <w:rFonts w:hint="eastAsia"/>
      </w:rPr>
    </w:lvl>
    <w:lvl w:ilvl="2">
      <w:start w:val="1"/>
      <w:numFmt w:val="decimal"/>
      <w:lvlText w:val="%3)"/>
      <w:lvlJc w:val="left"/>
      <w:pPr>
        <w:ind w:left="1200" w:hanging="36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D8B8D12C"/>
    <w:multiLevelType w:val="multilevel"/>
    <w:tmpl w:val="E7534A39"/>
    <w:lvl w:ilvl="0">
      <w:start w:val="1"/>
      <w:numFmt w:val="decimal"/>
      <w:lvlRestart w:val="0"/>
      <w:pStyle w:val="130"/>
      <w:suff w:val="nothing"/>
      <w:lvlText w:val="图%1　"/>
      <w:lvlJc w:val="left"/>
      <w:pPr>
        <w:ind w:left="0" w:hanging="0"/>
      </w:pPr>
      <w:rPr>
        <w:rFonts w:ascii="黑体" w:hAnsi="黑体" w:eastAsia="黑体" w:hint="eastAsia"/>
        <w:b w:val="0"/>
        <w:i w:val="0"/>
        <w:sz w:val="21"/>
      </w:rPr>
    </w:lvl>
    <w:lvl w:ilvl="1">
      <w:start w:val="1"/>
      <w:numFmt w:val="decimal"/>
      <w:suff w:val="nothing"/>
      <w:lvlText w:val="%1%2　"/>
      <w:lvlJc w:val="left"/>
      <w:pPr>
        <w:ind w:left="0" w:hanging="0"/>
      </w:pPr>
      <w:rPr>
        <w:rFonts w:ascii="Times New Roman" w:hAnsi="Times New Roman" w:eastAsia="黑体" w:hint="default"/>
        <w:b w:val="0"/>
        <w:i w:val="0"/>
        <w:sz w:val="21"/>
      </w:rPr>
    </w:lvl>
    <w:lvl w:ilvl="2">
      <w:start w:val="1"/>
      <w:numFmt w:val="decimal"/>
      <w:suff w:val="nothing"/>
      <w:lvlText w:val="%1%2.%3　"/>
      <w:lvlJc w:val="left"/>
      <w:pPr>
        <w:ind w:left="0" w:hanging="0"/>
      </w:pPr>
      <w:rPr>
        <w:rFonts w:ascii="Times New Roman" w:hAnsi="Times New Roman" w:eastAsia="黑体" w:hint="default"/>
        <w:b w:val="0"/>
        <w:i w:val="0"/>
        <w:sz w:val="21"/>
      </w:rPr>
    </w:lvl>
    <w:lvl w:ilvl="3">
      <w:start w:val="1"/>
      <w:numFmt w:val="decimal"/>
      <w:suff w:val="nothing"/>
      <w:lvlText w:val="%1%2.%3.%4　"/>
      <w:lvlJc w:val="left"/>
      <w:pPr>
        <w:ind w:left="0" w:hanging="0"/>
      </w:pPr>
      <w:rPr>
        <w:rFonts w:ascii="Times New Roman" w:hAnsi="Times New Roman" w:eastAsia="黑体" w:hint="default"/>
        <w:b w:val="0"/>
        <w:i w:val="0"/>
        <w:sz w:val="21"/>
      </w:rPr>
    </w:lvl>
    <w:lvl w:ilvl="4">
      <w:start w:val="1"/>
      <w:numFmt w:val="decimal"/>
      <w:suff w:val="nothing"/>
      <w:lvlText w:val="%1%2.%3.%4.%5　"/>
      <w:lvlJc w:val="left"/>
      <w:pPr>
        <w:ind w:left="0" w:hanging="0"/>
      </w:pPr>
      <w:rPr>
        <w:rFonts w:ascii="Times New Roman" w:hAnsi="Times New Roman" w:eastAsia="黑体" w:hint="default"/>
        <w:b w:val="0"/>
        <w:i w:val="0"/>
        <w:sz w:val="21"/>
      </w:rPr>
    </w:lvl>
    <w:lvl w:ilvl="5">
      <w:start w:val="1"/>
      <w:numFmt w:val="decimal"/>
      <w:suff w:val="nothing"/>
      <w:lvlText w:val="%1%2.%3.%4.%5.%6　"/>
      <w:lvlJc w:val="left"/>
      <w:pPr>
        <w:ind w:left="0" w:hanging="0"/>
      </w:pPr>
      <w:rPr>
        <w:rFonts w:ascii="Times New Roman" w:hAnsi="Times New Roman" w:eastAsia="黑体" w:hint="default"/>
        <w:b w:val="0"/>
        <w:i w:val="0"/>
        <w:sz w:val="21"/>
      </w:rPr>
    </w:lvl>
    <w:lvl w:ilvl="6">
      <w:start w:val="1"/>
      <w:numFmt w:val="decimal"/>
      <w:suff w:val="nothing"/>
      <w:lvlText w:val="%1%2.%3.%4.%5.%6.%7　"/>
      <w:lvlJc w:val="left"/>
      <w:pPr>
        <w:ind w:left="0" w:hanging="0"/>
      </w:pPr>
      <w:rPr>
        <w:rFonts w:ascii="Times New Roman" w:hAnsi="Times New Roman" w:eastAsia="黑体" w:hint="default"/>
        <w:b w:val="0"/>
        <w:i w:val="0"/>
        <w:sz w:val="21"/>
      </w:rPr>
    </w:lvl>
    <w:lvl w:ilvl="7">
      <w:start w:val="1"/>
      <w:numFmt w:val="decimal"/>
      <w:lvlText w:val="%1.%2.%3.%4.%5.%6.%7.%8"/>
      <w:lvlJc w:val="left"/>
      <w:pPr>
        <w:ind w:left="3969" w:hanging="1418"/>
      </w:pPr>
      <w:rPr>
        <w:rFonts w:hint="eastAsia"/>
      </w:rPr>
    </w:lvl>
    <w:lvl w:ilvl="8">
      <w:start w:val="1"/>
      <w:numFmt w:val="decimal"/>
      <w:lvlText w:val="%1.%2.%3.%4.%5.%6.%7.%8.%9"/>
      <w:lvlJc w:val="left"/>
      <w:pPr>
        <w:ind w:left="4677" w:hanging="1700"/>
      </w:pPr>
      <w:rPr>
        <w:rFonts w:hint="eastAsia"/>
      </w:rPr>
    </w:lvl>
  </w:abstractNum>
  <w:abstractNum w:abstractNumId="9">
    <w:nsid w:val="1553DFEF"/>
    <w:multiLevelType w:val="multilevel"/>
    <w:tmpl w:val="3FD9F596"/>
    <w:lvl w:ilvl="0">
      <w:start w:val="1"/>
      <w:numFmt w:val="none"/>
      <w:lvlRestart w:val="0"/>
      <w:pStyle w:val="131"/>
      <w:lvlText w:val="%1——"/>
      <w:lvlJc w:val="left"/>
      <w:pPr>
        <w:ind w:left="84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9BACD2AA"/>
    <w:multiLevelType w:val="multilevel"/>
    <w:tmpl w:val="31C33A9C"/>
    <w:lvl w:ilvl="0">
      <w:start w:val="1"/>
      <w:numFmt w:val="none"/>
      <w:lvlRestart w:val="0"/>
      <w:pStyle w:val="135"/>
      <w:lvlText w:val="图"/>
      <w:lvlJc w:val="left"/>
      <w:pPr>
        <w:ind w:left="0" w:hanging="0"/>
      </w:pPr>
      <w:rPr>
        <w:rFonts w:ascii="黑体" w:hAnsi="黑体" w:eastAsia="黑体"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19F7D327"/>
    <w:multiLevelType w:val="multilevel"/>
    <w:tmpl w:val="9B88B24D"/>
    <w:lvl w:ilvl="0">
      <w:start w:val="1"/>
      <w:numFmt w:val="none"/>
      <w:lvlRestart w:val="0"/>
      <w:pStyle w:val="138"/>
      <w:lvlText w:val="%1◆　"/>
      <w:lvlJc w:val="left"/>
      <w:pPr>
        <w:ind w:left="917" w:hanging="317"/>
      </w:pPr>
      <w:rPr>
        <w:rFonts w:ascii="宋体" w:hAnsi="宋体" w:eastAsia="宋体" w:hint="eastAsia"/>
        <w:b w:val="0"/>
        <w:i w:val="0"/>
        <w:position w:val="4"/>
        <w:sz w:val="1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1AB4930C"/>
    <w:multiLevelType w:val="multilevel"/>
    <w:tmpl w:val="4590AE06"/>
    <w:lvl w:ilvl="0">
      <w:start w:val="1"/>
      <w:numFmt w:val="none"/>
      <w:lvlRestart w:val="0"/>
      <w:pStyle w:val="139"/>
      <w:lvlText w:val="%1注"/>
      <w:lvlJc w:val="left"/>
      <w:pPr>
        <w:ind w:left="900" w:hanging="500"/>
      </w:pPr>
      <w:rPr>
        <w:rFonts w:ascii="宋体" w:hAnsi="宋体" w:eastAsia="宋体" w:hint="eastAsia"/>
        <w:b w:val="0"/>
        <w:i w:val="0"/>
        <w:sz w:val="1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bordersDoNotSurroundHeader/>
  <w:bordersDoNotSurroundFooter/>
  <w:documentProtection w:edit="readOnly" w:enforcement="0"/>
  <w:defaultTabStop w:val="420"/>
  <w:evenAndOddHeaders/>
  <w:mirrorMargins/>
  <w:drawingGridHorizontalSpacing w:val="105"/>
  <w:drawingGridVerticalSpacing w:val="156"/>
  <w:displayHorizontalDrawingGridEvery w:val="0"/>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5"/>
  </w:compat>
  <w:docVars>
    <w:docVar w:name="commondata" w:val="eyJoZGlkIjoiZTU2ZWE2NWJkNzBhNmJjOWE2OGZiOTY0NjE4MDBkOTkifQ=="/>
  </w:docVars>
  <m:mathPr>
    <m:mathFont m:val="Cambria Math"/>
    <m:brkBin m:val="before"/>
    <m:brkBinSub m:val="--"/>
    <m:smallFrac m:val="0"/>
    <m:dispDef/>
    <m:lMargin m:val="0"/>
    <m:rMargin m:val="0"/>
    <m:defJc m:val="centerGroup"/>
    <m:wrapIndent m:val="1440"/>
    <m:intLim m:val="subSup"/>
    <m:naryLim m:val="undOvr"/>
  </m:mathPr>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Lucida Sans"/>
        <w:lang w:val="en-US" w:eastAsia="zh-CN" w:bidi="ar-SA"/>
      </w:rPr>
    </w:rPrDefault>
    <w:pPrDefault/>
  </w:docDefaults>
  <w:style w:type="paragraph" w:default="1" w:styleId="0">
    <w:name w:val="Normal"/>
    <w:qFormat/>
    <w:pPr>
      <w:widowControl w:val="0"/>
      <w:jc w:val="both"/>
    </w:pPr>
    <w:rPr>
      <w:rFonts w:ascii="Times New Roman" w:eastAsia="宋体" w:cs="Times New Roman" w:hAnsi="Times New Roman"/>
      <w:kern w:val="2"/>
      <w:sz w:val="21"/>
      <w:szCs w:val="24"/>
      <w:lang w:val="en-US" w:eastAsia="zh-CN" w:bidi="ar-SA"/>
    </w:rPr>
  </w:style>
  <w:style w:type="paragraph" w:styleId="1">
    <w:name w:val="heading 1"/>
    <w:qFormat/>
    <w:basedOn w:val="0"/>
    <w:next w:val="0"/>
    <w:link w:val="1Char"/>
    <w:pPr>
      <w:keepNext/>
      <w:keepLines/>
      <w:spacing w:before="340" w:after="330" w:line="578" w:lineRule="auto"/>
      <w:outlineLvl w:val="0"/>
    </w:pPr>
    <w:rPr>
      <w:b/>
      <w:bCs/>
      <w:kern w:val="44"/>
      <w:sz w:val="44"/>
      <w:szCs w:val="44"/>
    </w:rPr>
  </w:style>
  <w:style w:type="character" w:customStyle="1" w:styleId="1Char">
    <w:name w:val="heading 1 Char"/>
    <w:basedOn w:val="10"/>
    <w:link w:val="1"/>
    <w:rPr>
      <w:rFonts w:ascii="Times New Roman" w:eastAsia="宋体" w:cs="Times New Roman" w:hAnsi="Times New Roman"/>
      <w:b/>
      <w:bCs/>
      <w:kern w:val="44"/>
      <w:sz w:val="44"/>
      <w:szCs w:val="44"/>
      <w:lang w:val="en-US" w:eastAsia="zh-CN" w:bidi="ar-SA"/>
    </w:rPr>
  </w:style>
  <w:style w:type="paragraph" w:styleId="2">
    <w:name w:val="heading 2"/>
    <w:qFormat/>
    <w:basedOn w:val="0"/>
    <w:next w:val="0"/>
    <w:link w:val="2Char"/>
    <w:pPr>
      <w:keepNext/>
      <w:keepLines/>
      <w:spacing w:before="260" w:after="260" w:line="415" w:lineRule="auto"/>
      <w:outlineLvl w:val="1"/>
    </w:pPr>
    <w:rPr>
      <w:rFonts w:ascii="Arial" w:eastAsia="黑体" w:hAnsi="Arial"/>
      <w:b/>
      <w:bCs/>
      <w:sz w:val="32"/>
      <w:szCs w:val="32"/>
    </w:rPr>
  </w:style>
  <w:style w:type="character" w:customStyle="1" w:styleId="2Char">
    <w:name w:val="heading 2 Char"/>
    <w:basedOn w:val="10"/>
    <w:link w:val="2"/>
    <w:rPr>
      <w:rFonts w:ascii="Arial" w:eastAsia="黑体" w:cs="Times New Roman" w:hAnsi="Arial"/>
      <w:b/>
      <w:bCs/>
      <w:kern w:val="2"/>
      <w:sz w:val="32"/>
      <w:szCs w:val="32"/>
      <w:lang w:val="en-US" w:eastAsia="zh-CN" w:bidi="ar-SA"/>
    </w:rPr>
  </w:style>
  <w:style w:type="paragraph" w:styleId="3">
    <w:name w:val="heading 3"/>
    <w:qFormat/>
    <w:basedOn w:val="0"/>
    <w:next w:val="0"/>
    <w:link w:val="3Char"/>
    <w:pPr>
      <w:keepNext/>
      <w:keepLines/>
      <w:spacing w:before="260" w:after="260" w:line="415" w:lineRule="auto"/>
      <w:outlineLvl w:val="2"/>
    </w:pPr>
    <w:rPr>
      <w:b/>
      <w:bCs/>
      <w:sz w:val="32"/>
      <w:szCs w:val="32"/>
    </w:rPr>
  </w:style>
  <w:style w:type="character" w:customStyle="1" w:styleId="3Char">
    <w:name w:val="heading 3 Char"/>
    <w:basedOn w:val="10"/>
    <w:link w:val="3"/>
    <w:rPr>
      <w:rFonts w:ascii="Times New Roman" w:eastAsia="宋体" w:cs="Times New Roman" w:hAnsi="Times New Roman"/>
      <w:b/>
      <w:bCs/>
      <w:kern w:val="2"/>
      <w:sz w:val="32"/>
      <w:szCs w:val="32"/>
      <w:lang w:val="en-US" w:eastAsia="zh-CN" w:bidi="ar-SA"/>
    </w:rPr>
  </w:style>
  <w:style w:type="paragraph" w:styleId="4">
    <w:name w:val="heading 4"/>
    <w:qFormat/>
    <w:basedOn w:val="0"/>
    <w:next w:val="0"/>
    <w:link w:val="4Char"/>
    <w:pPr>
      <w:keepNext/>
      <w:keepLines/>
      <w:spacing w:before="280" w:after="290" w:line="377" w:lineRule="auto"/>
      <w:outlineLvl w:val="3"/>
    </w:pPr>
    <w:rPr>
      <w:rFonts w:ascii="Arial" w:eastAsia="黑体" w:hAnsi="Arial"/>
      <w:b/>
      <w:bCs/>
      <w:sz w:val="28"/>
      <w:szCs w:val="28"/>
    </w:rPr>
  </w:style>
  <w:style w:type="character" w:customStyle="1" w:styleId="4Char">
    <w:name w:val="heading 4 Char"/>
    <w:basedOn w:val="10"/>
    <w:link w:val="4"/>
    <w:rPr>
      <w:rFonts w:ascii="Arial" w:eastAsia="黑体" w:cs="Times New Roman" w:hAnsi="Arial"/>
      <w:b/>
      <w:bCs/>
      <w:kern w:val="2"/>
      <w:sz w:val="28"/>
      <w:szCs w:val="28"/>
      <w:lang w:val="en-US" w:eastAsia="zh-CN" w:bidi="ar-SA"/>
    </w:rPr>
  </w:style>
  <w:style w:type="paragraph" w:styleId="5">
    <w:name w:val="heading 5"/>
    <w:qFormat/>
    <w:basedOn w:val="0"/>
    <w:next w:val="0"/>
    <w:link w:val="5Char"/>
    <w:pPr>
      <w:keepNext/>
      <w:keepLines/>
      <w:spacing w:before="280" w:after="290" w:line="377" w:lineRule="auto"/>
      <w:outlineLvl w:val="4"/>
    </w:pPr>
    <w:rPr>
      <w:b/>
      <w:bCs/>
      <w:sz w:val="28"/>
      <w:szCs w:val="28"/>
    </w:rPr>
  </w:style>
  <w:style w:type="character" w:customStyle="1" w:styleId="5Char">
    <w:name w:val="heading 5 Char"/>
    <w:basedOn w:val="10"/>
    <w:link w:val="5"/>
    <w:rPr>
      <w:rFonts w:ascii="Times New Roman" w:eastAsia="宋体" w:cs="Times New Roman" w:hAnsi="Times New Roman"/>
      <w:b/>
      <w:bCs/>
      <w:kern w:val="2"/>
      <w:sz w:val="28"/>
      <w:szCs w:val="28"/>
      <w:lang w:val="en-US" w:eastAsia="zh-CN" w:bidi="ar-SA"/>
    </w:rPr>
  </w:style>
  <w:style w:type="paragraph" w:styleId="6">
    <w:name w:val="heading 6"/>
    <w:qFormat/>
    <w:basedOn w:val="0"/>
    <w:next w:val="0"/>
    <w:link w:val="6Char"/>
    <w:pPr>
      <w:keepNext/>
      <w:keepLines/>
      <w:spacing w:before="240" w:after="64" w:line="319" w:lineRule="auto"/>
      <w:outlineLvl w:val="5"/>
    </w:pPr>
    <w:rPr>
      <w:rFonts w:ascii="Arial" w:eastAsia="黑体" w:hAnsi="Arial"/>
      <w:b/>
      <w:bCs/>
      <w:sz w:val="24"/>
    </w:rPr>
  </w:style>
  <w:style w:type="character" w:customStyle="1" w:styleId="6Char">
    <w:name w:val="heading 6 Char"/>
    <w:basedOn w:val="10"/>
    <w:link w:val="6"/>
    <w:rPr>
      <w:rFonts w:ascii="Arial" w:eastAsia="黑体" w:cs="Times New Roman" w:hAnsi="Arial"/>
      <w:b/>
      <w:bCs/>
      <w:kern w:val="2"/>
      <w:sz w:val="24"/>
      <w:szCs w:val="24"/>
      <w:lang w:val="en-US" w:eastAsia="zh-CN" w:bidi="ar-SA"/>
    </w:rPr>
  </w:style>
  <w:style w:type="paragraph" w:styleId="7">
    <w:name w:val="heading 7"/>
    <w:qFormat/>
    <w:basedOn w:val="0"/>
    <w:next w:val="0"/>
    <w:link w:val="7Char"/>
    <w:pPr>
      <w:keepNext/>
      <w:keepLines/>
      <w:spacing w:before="240" w:after="64" w:line="319" w:lineRule="auto"/>
      <w:outlineLvl w:val="6"/>
    </w:pPr>
    <w:rPr>
      <w:b/>
      <w:bCs/>
      <w:sz w:val="24"/>
    </w:rPr>
  </w:style>
  <w:style w:type="character" w:customStyle="1" w:styleId="7Char">
    <w:name w:val="heading 7 Char"/>
    <w:basedOn w:val="10"/>
    <w:link w:val="7"/>
    <w:rPr>
      <w:rFonts w:ascii="Times New Roman" w:eastAsia="宋体" w:cs="Times New Roman" w:hAnsi="Times New Roman"/>
      <w:b/>
      <w:bCs/>
      <w:kern w:val="2"/>
      <w:sz w:val="24"/>
      <w:szCs w:val="24"/>
      <w:lang w:val="en-US" w:eastAsia="zh-CN" w:bidi="ar-SA"/>
    </w:rPr>
  </w:style>
  <w:style w:type="paragraph" w:styleId="8">
    <w:name w:val="heading 8"/>
    <w:qFormat/>
    <w:basedOn w:val="0"/>
    <w:next w:val="0"/>
    <w:link w:val="8Char"/>
    <w:pPr>
      <w:keepNext/>
      <w:keepLines/>
      <w:spacing w:before="240" w:after="64" w:line="319" w:lineRule="auto"/>
      <w:outlineLvl w:val="7"/>
    </w:pPr>
    <w:rPr>
      <w:rFonts w:ascii="Arial" w:eastAsia="黑体" w:hAnsi="Arial"/>
      <w:sz w:val="24"/>
    </w:rPr>
  </w:style>
  <w:style w:type="character" w:customStyle="1" w:styleId="8Char">
    <w:name w:val="heading 8 Char"/>
    <w:basedOn w:val="10"/>
    <w:link w:val="8"/>
    <w:rPr>
      <w:rFonts w:ascii="Arial" w:eastAsia="黑体" w:cs="Times New Roman" w:hAnsi="Arial"/>
      <w:kern w:val="2"/>
      <w:sz w:val="24"/>
      <w:szCs w:val="24"/>
      <w:lang w:val="en-US" w:eastAsia="zh-CN" w:bidi="ar-SA"/>
    </w:rPr>
  </w:style>
  <w:style w:type="paragraph" w:styleId="9">
    <w:name w:val="heading 9"/>
    <w:qFormat/>
    <w:basedOn w:val="0"/>
    <w:next w:val="0"/>
    <w:link w:val="9Char"/>
    <w:pPr>
      <w:keepNext/>
      <w:keepLines/>
      <w:spacing w:before="240" w:after="64" w:line="319" w:lineRule="auto"/>
      <w:outlineLvl w:val="8"/>
    </w:pPr>
    <w:rPr>
      <w:rFonts w:ascii="Arial" w:eastAsia="黑体" w:hAnsi="Arial"/>
      <w:szCs w:val="21"/>
    </w:rPr>
  </w:style>
  <w:style w:type="character" w:customStyle="1" w:styleId="9Char">
    <w:name w:val="heading 9 Char"/>
    <w:basedOn w:val="10"/>
    <w:link w:val="9"/>
    <w:rPr>
      <w:rFonts w:ascii="Arial" w:eastAsia="黑体" w:cs="Times New Roman" w:hAnsi="Arial"/>
      <w:kern w:val="2"/>
      <w:sz w:val="21"/>
      <w:szCs w:val="21"/>
      <w:lang w:val="en-US" w:eastAsia="zh-CN" w:bidi="ar-SA"/>
    </w:rPr>
  </w:style>
  <w:style w:type="character" w:default="1" w:styleId="10">
    <w:name w:val="Default Paragraph Font"/>
    <w:qFormat/>
  </w:style>
  <w:style w:type="paragraph" w:styleId="15">
    <w:name w:val="toc 1"/>
    <w:qFormat/>
    <w:next w:val="0"/>
    <w:pPr>
      <w:tabs>
        <w:tab w:val="right" w:leader="dot" w:pos="9345"/>
      </w:tabs>
      <w:spacing w:line="300" w:lineRule="auto"/>
      <w:jc w:val="both"/>
    </w:pPr>
    <w:rPr>
      <w:rFonts w:ascii="宋体" w:eastAsia="宋体" w:cs="Times New Roman" w:hAnsi="Times New Roman"/>
      <w:sz w:val="21"/>
      <w:szCs w:val="20"/>
      <w:lang w:val="en-US" w:eastAsia="zh-CN" w:bidi="ar-SA"/>
    </w:rPr>
  </w:style>
  <w:style w:type="paragraph" w:styleId="16">
    <w:name w:val="toc 2"/>
    <w:qFormat/>
    <w:basedOn w:val="15"/>
    <w:next w:val="0"/>
    <w:pPr>
      <w:tabs>
        <w:tab w:val="right" w:leader="dot" w:pos="9345"/>
      </w:tabs>
      <w:spacing w:line="480" w:lineRule="auto"/>
    </w:pPr>
  </w:style>
  <w:style w:type="paragraph" w:styleId="17">
    <w:name w:val="toc 3"/>
    <w:qFormat/>
    <w:basedOn w:val="16"/>
    <w:next w:val="0"/>
    <w:pPr>
      <w:tabs>
        <w:tab w:val="right" w:leader="dot" w:pos="9345"/>
      </w:tabs>
    </w:pPr>
    <w:rPr>
      <w:color w:val="FF0000"/>
      <w:sz w:val="24"/>
      <w:szCs w:val="24"/>
    </w:rPr>
  </w:style>
  <w:style w:type="paragraph" w:styleId="18">
    <w:name w:val="toc 4"/>
    <w:qFormat/>
    <w:basedOn w:val="17"/>
    <w:next w:val="0"/>
    <w:pPr>
      <w:tabs>
        <w:tab w:val="right" w:leader="dot" w:pos="9345"/>
      </w:tabs>
    </w:pPr>
  </w:style>
  <w:style w:type="paragraph" w:styleId="19">
    <w:name w:val="toc 5"/>
    <w:qFormat/>
    <w:basedOn w:val="18"/>
    <w:next w:val="0"/>
    <w:pPr>
      <w:tabs>
        <w:tab w:val="right" w:leader="dot" w:pos="9345"/>
      </w:tabs>
    </w:pPr>
  </w:style>
  <w:style w:type="paragraph" w:styleId="20">
    <w:name w:val="toc 6"/>
    <w:qFormat/>
    <w:basedOn w:val="19"/>
    <w:next w:val="0"/>
    <w:pPr>
      <w:tabs>
        <w:tab w:val="right" w:leader="dot" w:pos="9345"/>
      </w:tabs>
    </w:pPr>
  </w:style>
  <w:style w:type="paragraph" w:styleId="21">
    <w:name w:val="toc 7"/>
    <w:qFormat/>
    <w:basedOn w:val="20"/>
    <w:next w:val="0"/>
    <w:pPr>
      <w:tabs>
        <w:tab w:val="right" w:leader="dot" w:pos="9345"/>
      </w:tabs>
    </w:pPr>
  </w:style>
  <w:style w:type="paragraph" w:styleId="22">
    <w:name w:val="Normal Indent"/>
    <w:qFormat/>
    <w:basedOn w:val="0"/>
    <w:pPr>
      <w:ind w:firstLineChars="200" w:firstLine="200"/>
    </w:pPr>
  </w:style>
  <w:style w:type="paragraph" w:styleId="23">
    <w:name w:val="Document Map"/>
    <w:qFormat/>
    <w:basedOn w:val="0"/>
    <w:pPr>
      <w:shd w:val="clear" w:color="auto" w:fill="000080"/>
    </w:pPr>
  </w:style>
  <w:style w:type="paragraph" w:styleId="24">
    <w:name w:val="annotation text"/>
    <w:qFormat/>
    <w:basedOn w:val="0"/>
    <w:pPr>
      <w:jc w:val="left"/>
    </w:pPr>
  </w:style>
  <w:style w:type="paragraph" w:styleId="25">
    <w:name w:val="Body Text"/>
    <w:qFormat/>
    <w:basedOn w:val="0"/>
    <w:pPr>
      <w:spacing w:after="120"/>
    </w:pPr>
    <w:rPr>
      <w:rFonts w:eastAsia="仿宋_GB2312"/>
      <w:sz w:val="24"/>
    </w:rPr>
  </w:style>
  <w:style w:type="paragraph" w:styleId="26">
    <w:name w:val="Body Text Indent"/>
    <w:qFormat/>
    <w:basedOn w:val="0"/>
    <w:pPr>
      <w:ind w:firstLine="1050"/>
    </w:pPr>
  </w:style>
  <w:style w:type="paragraph" w:styleId="27">
    <w:name w:val="HTML Address"/>
    <w:qFormat/>
    <w:basedOn w:val="0"/>
    <w:rPr>
      <w:i/>
      <w:iCs/>
    </w:rPr>
  </w:style>
  <w:style w:type="paragraph" w:styleId="28">
    <w:name w:val="Plain Text"/>
    <w:qFormat/>
    <w:basedOn w:val="0"/>
    <w:pPr>
      <w:widowControl/>
      <w:spacing w:before="100" w:beforeAutospacing="1" w:after="100" w:afterAutospacing="1"/>
      <w:jc w:val="left"/>
    </w:pPr>
    <w:rPr>
      <w:rFonts w:ascii="宋体" w:cs="宋体"/>
      <w:color w:val="000000"/>
      <w:kern w:val="0"/>
      <w:sz w:val="18"/>
      <w:szCs w:val="18"/>
    </w:rPr>
  </w:style>
  <w:style w:type="paragraph" w:styleId="29">
    <w:name w:val="toc 8"/>
    <w:qFormat/>
    <w:basedOn w:val="21"/>
    <w:next w:val="0"/>
    <w:pPr>
      <w:tabs>
        <w:tab w:val="right" w:leader="dot" w:pos="9345"/>
      </w:tabs>
    </w:pPr>
  </w:style>
  <w:style w:type="paragraph" w:styleId="30">
    <w:name w:val="Date"/>
    <w:qFormat/>
    <w:basedOn w:val="0"/>
    <w:next w:val="0"/>
    <w:pPr>
      <w:ind w:leftChars="2500" w:left="2500"/>
    </w:pPr>
  </w:style>
  <w:style w:type="paragraph" w:styleId="31">
    <w:name w:val="Body Text Indent 2"/>
    <w:qFormat/>
    <w:basedOn w:val="0"/>
    <w:pPr>
      <w:spacing w:after="120" w:line="480" w:lineRule="auto"/>
      <w:ind w:leftChars="200" w:left="200"/>
    </w:pPr>
  </w:style>
  <w:style w:type="paragraph" w:styleId="32">
    <w:name w:val="Balloon Text"/>
    <w:qFormat/>
    <w:basedOn w:val="0"/>
    <w:rPr>
      <w:sz w:val="18"/>
      <w:szCs w:val="18"/>
    </w:rPr>
  </w:style>
  <w:style w:type="paragraph" w:styleId="33">
    <w:name w:val="footer"/>
    <w:qFormat/>
    <w:basedOn w:val="0"/>
    <w:pPr>
      <w:tabs>
        <w:tab w:val="center" w:pos="4153"/>
        <w:tab w:val="right" w:pos="8306"/>
      </w:tabs>
      <w:snapToGrid w:val="0"/>
      <w:ind w:rightChars="100" w:right="100"/>
      <w:jc w:val="right"/>
    </w:pPr>
    <w:rPr>
      <w:sz w:val="18"/>
      <w:szCs w:val="18"/>
    </w:rPr>
  </w:style>
  <w:style w:type="paragraph" w:styleId="34">
    <w:name w:val="header"/>
    <w:qFormat/>
    <w:basedOn w:val="0"/>
    <w:pPr>
      <w:pBdr>
        <w:bottom w:val="single" w:sz="6" w:space="1" w:color="auto"/>
      </w:pBdr>
      <w:tabs>
        <w:tab w:val="center" w:pos="4153"/>
        <w:tab w:val="right" w:pos="8306"/>
      </w:tabs>
      <w:snapToGrid w:val="0"/>
      <w:jc w:val="center"/>
    </w:pPr>
    <w:rPr>
      <w:sz w:val="18"/>
      <w:szCs w:val="18"/>
    </w:rPr>
  </w:style>
  <w:style w:type="paragraph" w:styleId="35">
    <w:name w:val="Subtitle"/>
    <w:qFormat/>
    <w:basedOn w:val="0"/>
    <w:next w:val="0"/>
    <w:pPr>
      <w:spacing w:before="240" w:after="60" w:line="312" w:lineRule="auto"/>
      <w:jc w:val="center"/>
      <w:outlineLvl w:val="1"/>
    </w:pPr>
    <w:rPr>
      <w:rFonts w:ascii="Calibri Light" w:hAnsi="Calibri Light"/>
      <w:b/>
      <w:bCs/>
      <w:kern w:val="28"/>
      <w:sz w:val="32"/>
      <w:szCs w:val="32"/>
    </w:rPr>
  </w:style>
  <w:style w:type="paragraph" w:styleId="36">
    <w:name w:val="footnote text"/>
    <w:qFormat/>
    <w:basedOn w:val="0"/>
    <w:pPr>
      <w:snapToGrid w:val="0"/>
      <w:jc w:val="left"/>
    </w:pPr>
    <w:rPr>
      <w:sz w:val="18"/>
      <w:szCs w:val="18"/>
    </w:rPr>
  </w:style>
  <w:style w:type="paragraph" w:styleId="37">
    <w:name w:val="toc 9"/>
    <w:qFormat/>
    <w:basedOn w:val="29"/>
    <w:next w:val="0"/>
    <w:pPr>
      <w:tabs>
        <w:tab w:val="right" w:leader="dot" w:pos="9345"/>
      </w:tabs>
    </w:pPr>
  </w:style>
  <w:style w:type="paragraph" w:styleId="38">
    <w:name w:val="Body Text 2"/>
    <w:qFormat/>
    <w:basedOn w:val="0"/>
    <w:pPr>
      <w:spacing w:after="120" w:line="480" w:lineRule="auto"/>
    </w:pPr>
  </w:style>
  <w:style w:type="paragraph" w:styleId="39">
    <w:name w:val="HTML Preformatted"/>
    <w:qFormat/>
    <w:basedOn w:val="0"/>
    <w:rPr>
      <w:rFonts w:ascii="Courier New" w:cs="Courier New" w:hAnsi="Courier New"/>
      <w:sz w:val="20"/>
      <w:szCs w:val="20"/>
    </w:rPr>
  </w:style>
  <w:style w:type="paragraph" w:styleId="40">
    <w:name w:val="Normal (Web)"/>
    <w:qFormat/>
    <w:basedOn w:val="0"/>
    <w:pPr>
      <w:widowControl/>
      <w:spacing w:before="100" w:beforeAutospacing="1" w:after="100" w:afterAutospacing="1" w:line="300" w:lineRule="atLeast"/>
      <w:jc w:val="left"/>
    </w:pPr>
    <w:rPr>
      <w:rFonts w:ascii="Arial Unicode MS" w:eastAsia="Arial Unicode MS" w:cs="Arial Unicode MS" w:hAnsi="Arial Unicode MS"/>
      <w:kern w:val="0"/>
      <w:sz w:val="24"/>
    </w:rPr>
  </w:style>
  <w:style w:type="paragraph" w:styleId="41">
    <w:name w:val="Title"/>
    <w:qFormat/>
    <w:basedOn w:val="0"/>
    <w:pPr>
      <w:spacing w:before="240" w:after="60"/>
      <w:jc w:val="center"/>
      <w:outlineLvl w:val="0"/>
    </w:pPr>
    <w:rPr>
      <w:rFonts w:ascii="Arial" w:cs="Arial" w:hAnsi="Arial"/>
      <w:b/>
      <w:bCs/>
      <w:sz w:val="32"/>
      <w:szCs w:val="32"/>
    </w:rPr>
  </w:style>
  <w:style w:type="paragraph" w:styleId="42">
    <w:name w:val="annotation subject"/>
    <w:qFormat/>
    <w:basedOn w:val="24"/>
    <w:next w:val="24"/>
    <w:rPr>
      <w:b/>
      <w:bCs/>
    </w:rPr>
  </w:style>
  <w:style w:type="paragraph" w:styleId="43">
    <w:name w:val="Body Text First Indent"/>
    <w:qFormat/>
    <w:basedOn w:val="25"/>
    <w:pPr>
      <w:widowControl/>
      <w:overflowPunct w:val="0"/>
      <w:autoSpaceDE w:val="0"/>
      <w:autoSpaceDN w:val="0"/>
      <w:adjustRightInd w:val="0"/>
      <w:ind w:firstLine="420"/>
      <w:textAlignment w:val="baseline"/>
    </w:pPr>
    <w:rPr>
      <w:rFonts w:ascii="Arial" w:hAnsi="Arial"/>
      <w:kern w:val="0"/>
      <w:szCs w:val="20"/>
    </w:rPr>
  </w:style>
  <w:style w:type="character" w:styleId="44">
    <w:name w:val="Strong"/>
    <w:qFormat/>
    <w:rPr>
      <w:b/>
      <w:bCs/>
    </w:rPr>
  </w:style>
  <w:style w:type="character" w:styleId="45">
    <w:name w:val="page number"/>
    <w:qFormat/>
    <w:rPr>
      <w:rFonts w:ascii="Times New Roman" w:eastAsia="宋体" w:hAnsi="Times New Roman"/>
      <w:sz w:val="18"/>
    </w:rPr>
  </w:style>
  <w:style w:type="character" w:styleId="46">
    <w:name w:val="FollowedHyperlink"/>
    <w:qFormat/>
    <w:rPr>
      <w:color w:val="800080"/>
      <w:u w:val="single"/>
    </w:rPr>
  </w:style>
  <w:style w:type="character" w:styleId="47">
    <w:name w:val="Emphasis"/>
    <w:qFormat/>
    <w:rPr>
      <w:color w:val="CC0033"/>
    </w:rPr>
  </w:style>
  <w:style w:type="character" w:styleId="48">
    <w:name w:val="HTML Definition"/>
    <w:qFormat/>
    <w:rPr>
      <w:i/>
      <w:iCs/>
    </w:rPr>
  </w:style>
  <w:style w:type="character" w:styleId="49">
    <w:name w:val="HTML Typewriter"/>
    <w:qFormat/>
    <w:rPr>
      <w:rFonts w:ascii="Courier New" w:hAnsi="Courier New"/>
      <w:sz w:val="20"/>
      <w:szCs w:val="20"/>
    </w:rPr>
  </w:style>
  <w:style w:type="character" w:styleId="50">
    <w:name w:val="HTML Acronym"/>
    <w:qFormat/>
  </w:style>
  <w:style w:type="character" w:styleId="51">
    <w:name w:val="HTML Variable"/>
    <w:qFormat/>
    <w:rPr>
      <w:i/>
      <w:iCs/>
    </w:rPr>
  </w:style>
  <w:style w:type="character" w:styleId="52">
    <w:name w:val="Hyperlink"/>
    <w:qFormat/>
    <w:rPr>
      <w:rFonts w:ascii="Times New Roman" w:eastAsia="宋体" w:hAnsi="Times New Roman"/>
      <w:color w:val="auto"/>
      <w:spacing w:val="0"/>
      <w:w w:val="100"/>
      <w:position w:val="0"/>
      <w:sz w:val="21"/>
      <w:u w:val="none"/>
      <w:vertAlign w:val="baseline"/>
    </w:rPr>
  </w:style>
  <w:style w:type="character" w:styleId="53">
    <w:name w:val="HTML Code"/>
    <w:qFormat/>
    <w:rPr>
      <w:rFonts w:ascii="Courier New" w:hAnsi="Courier New"/>
      <w:sz w:val="20"/>
      <w:szCs w:val="20"/>
    </w:rPr>
  </w:style>
  <w:style w:type="character" w:styleId="54">
    <w:name w:val="annotation reference"/>
    <w:qFormat/>
    <w:rPr>
      <w:sz w:val="21"/>
      <w:szCs w:val="21"/>
    </w:rPr>
  </w:style>
  <w:style w:type="character" w:styleId="55">
    <w:name w:val="HTML Cite"/>
    <w:qFormat/>
    <w:rPr>
      <w:i/>
      <w:iCs/>
    </w:rPr>
  </w:style>
  <w:style w:type="character" w:styleId="56">
    <w:name w:val="footnote reference"/>
    <w:qFormat/>
    <w:rPr>
      <w:vertAlign w:val="superscript"/>
    </w:rPr>
  </w:style>
  <w:style w:type="character" w:styleId="57">
    <w:name w:val="HTML Keyboard"/>
    <w:qFormat/>
    <w:rPr>
      <w:rFonts w:ascii="Courier New" w:hAnsi="Courier New"/>
      <w:sz w:val="20"/>
      <w:szCs w:val="20"/>
    </w:rPr>
  </w:style>
  <w:style w:type="character" w:styleId="58">
    <w:name w:val="HTML Sample"/>
    <w:qFormat/>
    <w:rPr>
      <w:rFonts w:ascii="Courier New" w:hAnsi="Courier New"/>
    </w:rPr>
  </w:style>
  <w:style w:type="paragraph" w:customStyle="1" w:styleId="59">
    <w:name w:val="Char Char Char Char"/>
    <w:qFormat/>
    <w:basedOn w:val="0"/>
    <w:pPr>
      <w:widowControl/>
      <w:spacing w:after="160" w:line="240" w:lineRule="exact"/>
      <w:jc w:val="left"/>
    </w:pPr>
    <w:rPr>
      <w:rFonts w:ascii="Arial" w:eastAsia="Times New Roman" w:cs="Verdana" w:hAnsi="Arial"/>
      <w:b/>
      <w:kern w:val="0"/>
      <w:sz w:val="24"/>
    </w:rPr>
  </w:style>
  <w:style w:type="paragraph" w:customStyle="1" w:styleId="60">
    <w:name w:val="标准四级标题"/>
    <w:qFormat/>
    <w:basedOn w:val="0"/>
    <w:pPr>
      <w:spacing w:line="360" w:lineRule="auto"/>
    </w:pPr>
    <w:rPr>
      <w:rFonts w:ascii="黑体" w:eastAsia="黑体" w:cs="宋体"/>
      <w:szCs w:val="21"/>
    </w:rPr>
  </w:style>
  <w:style w:type="character" w:customStyle="1" w:styleId="61">
    <w:name w:val="datatitle"/>
    <w:qFormat/>
  </w:style>
  <w:style w:type="character" w:customStyle="1" w:styleId="62">
    <w:name w:val="red1"/>
    <w:qFormat/>
    <w:rPr>
      <w:color w:val="FF3300"/>
    </w:rPr>
  </w:style>
  <w:style w:type="paragraph" w:customStyle="1" w:styleId="63">
    <w:name w:val="*正文（首行缩进两字）"/>
    <w:qFormat/>
    <w:basedOn w:val="22"/>
    <w:pPr>
      <w:tabs>
        <w:tab w:val="left" w:pos="840"/>
      </w:tabs>
      <w:spacing w:line="360" w:lineRule="atLeast"/>
      <w:ind w:left="840" w:firstLineChars="0" w:hanging="420"/>
    </w:pPr>
    <w:rPr>
      <w:szCs w:val="20"/>
    </w:rPr>
  </w:style>
  <w:style w:type="character" w:customStyle="1" w:styleId="64">
    <w:name w:val="个人撰写风格"/>
    <w:qFormat/>
    <w:rPr>
      <w:rFonts w:ascii="Arial" w:eastAsia="宋体" w:cs="Arial" w:hAnsi="Arial"/>
      <w:color w:val="auto"/>
      <w:sz w:val="20"/>
    </w:rPr>
  </w:style>
  <w:style w:type="paragraph" w:customStyle="1" w:styleId="65">
    <w:name w:val="标准正文"/>
    <w:qFormat/>
    <w:basedOn w:val="0"/>
    <w:pPr>
      <w:spacing w:line="360" w:lineRule="auto"/>
    </w:pPr>
    <w:rPr>
      <w:rFonts w:ascii="宋体" w:cs="宋体"/>
      <w:kern w:val="0"/>
      <w:szCs w:val="21"/>
    </w:rPr>
  </w:style>
  <w:style w:type="character" w:customStyle="1" w:styleId="66">
    <w:name w:val="datatitle1"/>
    <w:qFormat/>
    <w:rPr>
      <w:b/>
      <w:bCs/>
      <w:color w:val="10619F"/>
      <w:sz w:val="21"/>
      <w:szCs w:val="21"/>
    </w:rPr>
  </w:style>
  <w:style w:type="character" w:customStyle="1" w:styleId="67">
    <w:name w:val="f12 gray"/>
    <w:qFormat/>
  </w:style>
  <w:style w:type="character" w:customStyle="1" w:styleId="68">
    <w:name w:val="Char Char1"/>
    <w:qFormat/>
    <w:rPr>
      <w:rFonts w:ascii="Arial" w:eastAsia="黑体" w:hAnsi="Arial"/>
      <w:b/>
      <w:bCs/>
      <w:kern w:val="2"/>
      <w:sz w:val="32"/>
      <w:szCs w:val="32"/>
      <w:lang w:val="en-US" w:eastAsia="zh-CN" w:bidi="ar-SA"/>
    </w:rPr>
  </w:style>
  <w:style w:type="character" w:customStyle="1" w:styleId="69">
    <w:name w:val="gray1"/>
    <w:qFormat/>
    <w:rPr>
      <w:color w:val="666666"/>
    </w:rPr>
  </w:style>
  <w:style w:type="character" w:customStyle="1" w:styleId="70">
    <w:name w:val="样式 五号"/>
    <w:qFormat/>
    <w:rPr>
      <w:rFonts w:eastAsia="仿宋_GB2312"/>
      <w:sz w:val="24"/>
    </w:rPr>
  </w:style>
  <w:style w:type="character" w:customStyle="1" w:styleId="71">
    <w:name w:val="个人答复风格"/>
    <w:qFormat/>
    <w:rPr>
      <w:rFonts w:ascii="Arial" w:eastAsia="宋体" w:cs="Arial" w:hAnsi="Arial"/>
      <w:color w:val="auto"/>
      <w:sz w:val="20"/>
    </w:rPr>
  </w:style>
  <w:style w:type="character" w:customStyle="1" w:styleId="72">
    <w:name w:val="发布"/>
    <w:qFormat/>
    <w:rPr>
      <w:rFonts w:ascii="黑体" w:eastAsia="黑体"/>
      <w:spacing w:val="22"/>
      <w:w w:val="100"/>
      <w:position w:val="3"/>
      <w:sz w:val="28"/>
    </w:rPr>
  </w:style>
  <w:style w:type="character" w:customStyle="1" w:styleId="73">
    <w:name w:val="hui1"/>
    <w:qFormat/>
    <w:rPr>
      <w:color w:val="404040"/>
      <w:sz w:val="18"/>
      <w:szCs w:val="18"/>
      <w:u w:val="none"/>
    </w:rPr>
  </w:style>
  <w:style w:type="paragraph" w:customStyle="1" w:styleId="74">
    <w:name w:val="标准书脚_奇数页"/>
    <w:qFormat/>
    <w:pPr>
      <w:spacing w:before="120"/>
      <w:jc w:val="right"/>
    </w:pPr>
    <w:rPr>
      <w:rFonts w:ascii="Times New Roman" w:eastAsia="宋体" w:cs="Times New Roman" w:hAnsi="Times New Roman"/>
      <w:sz w:val="18"/>
      <w:szCs w:val="20"/>
      <w:lang w:val="en-US" w:eastAsia="zh-CN" w:bidi="ar-SA"/>
    </w:rPr>
  </w:style>
  <w:style w:type="paragraph" w:customStyle="1" w:styleId="75">
    <w:name w:val="文献分类号"/>
    <w:qFormat/>
    <w:pPr>
      <w:framePr w:w="0" w:hRule="auto" w:hSpace="180" w:vSpace="180" w:wrap="around" w:vAnchor="margin" w:hAnchor="margin" w:xAlign="left" w:y="1" w:anchorLock="1"/>
      <w:widowControl w:val="0"/>
      <w:textAlignment w:val="center"/>
    </w:pPr>
    <w:rPr>
      <w:rFonts w:ascii="Times New Roman" w:eastAsia="黑体" w:cs="Times New Roman" w:hAnsi="Times New Roman"/>
      <w:sz w:val="21"/>
      <w:szCs w:val="20"/>
      <w:lang w:val="en-US" w:eastAsia="zh-CN" w:bidi="ar-SA"/>
    </w:rPr>
  </w:style>
  <w:style w:type="paragraph" w:customStyle="1" w:styleId="76">
    <w:name w:val="封面标准英文名称"/>
    <w:qFormat/>
    <w:pPr>
      <w:widowControl w:val="0"/>
      <w:spacing w:before="370" w:line="400" w:lineRule="exact"/>
      <w:jc w:val="center"/>
    </w:pPr>
    <w:rPr>
      <w:rFonts w:ascii="Times New Roman" w:eastAsia="宋体" w:cs="Times New Roman" w:hAnsi="Times New Roman"/>
      <w:sz w:val="28"/>
      <w:szCs w:val="20"/>
      <w:lang w:val="en-US" w:eastAsia="zh-CN" w:bidi="ar-SA"/>
    </w:rPr>
  </w:style>
  <w:style w:type="paragraph" w:customStyle="1" w:styleId="77">
    <w:name w:val="发布部门"/>
    <w:qFormat/>
    <w:next w:val="78"/>
    <w:pPr>
      <w:framePr w:w="7433" w:hRule="exact" w:h="585" w:hSpace="180" w:vSpace="180" w:wrap="around" w:vAnchor="margin" w:hAnchor="margin" w:xAlign="center" w:y="14401" w:anchorLock="1"/>
      <w:jc w:val="center"/>
    </w:pPr>
    <w:rPr>
      <w:rFonts w:ascii="宋体" w:eastAsia="宋体" w:cs="Times New Roman" w:hAnsi="Times New Roman"/>
      <w:b/>
      <w:spacing w:val="20"/>
      <w:w w:val="135"/>
      <w:sz w:val="36"/>
      <w:szCs w:val="20"/>
      <w:lang w:val="en-US" w:eastAsia="zh-CN" w:bidi="ar-SA"/>
    </w:rPr>
  </w:style>
  <w:style w:type="paragraph" w:customStyle="1" w:styleId="78">
    <w:name w:val="段"/>
    <w:qFormat/>
    <w:pPr>
      <w:autoSpaceDE w:val="0"/>
      <w:autoSpaceDN w:val="0"/>
      <w:ind w:firstLineChars="200" w:firstLine="200"/>
      <w:jc w:val="both"/>
    </w:pPr>
    <w:rPr>
      <w:rFonts w:ascii="宋体" w:eastAsia="宋体" w:cs="Times New Roman" w:hAnsi="Times New Roman"/>
      <w:sz w:val="21"/>
      <w:szCs w:val="20"/>
      <w:lang w:val="en-US" w:eastAsia="zh-CN" w:bidi="ar-SA"/>
    </w:rPr>
  </w:style>
  <w:style w:type="paragraph" w:customStyle="1" w:styleId="79">
    <w:name w:val="样式 首行缩进:  0.74 厘米"/>
    <w:qFormat/>
    <w:basedOn w:val="0"/>
    <w:pPr>
      <w:ind w:firstLine="420"/>
    </w:pPr>
    <w:rPr>
      <w:rFonts w:eastAsia="仿宋_GB2312"/>
      <w:sz w:val="24"/>
      <w:szCs w:val="20"/>
    </w:rPr>
  </w:style>
  <w:style w:type="paragraph" w:customStyle="1" w:styleId="80">
    <w:name w:val="标准书眉_奇数页"/>
    <w:qFormat/>
    <w:next w:val="0"/>
    <w:pPr>
      <w:tabs>
        <w:tab w:val="center" w:pos="4154"/>
        <w:tab w:val="right" w:pos="8306"/>
      </w:tabs>
      <w:spacing w:after="120"/>
      <w:jc w:val="right"/>
    </w:pPr>
    <w:rPr>
      <w:rFonts w:ascii="Times New Roman" w:eastAsia="宋体" w:cs="Times New Roman" w:hAnsi="Times New Roman"/>
      <w:sz w:val="21"/>
      <w:szCs w:val="20"/>
      <w:lang w:val="en-US" w:eastAsia="zh-CN" w:bidi="ar-SA"/>
    </w:rPr>
  </w:style>
  <w:style w:type="paragraph" w:customStyle="1" w:styleId="81">
    <w:name w:val="前言、引言标题"/>
    <w:qFormat/>
    <w:next w:val="0"/>
    <w:pPr>
      <w:numPr>
        <w:ilvl w:val="0"/>
        <w:numId w:val="1"/>
      </w:numPr>
      <w:shd w:val="clear" w:color="FFFFFF" w:fill="FFFFFF"/>
      <w:spacing w:before="640" w:after="560"/>
      <w:jc w:val="center"/>
      <w:outlineLvl w:val="0"/>
    </w:pPr>
    <w:rPr>
      <w:rFonts w:ascii="黑体" w:eastAsia="黑体" w:cs="Times New Roman" w:hAnsi="Times New Roman"/>
      <w:sz w:val="32"/>
      <w:szCs w:val="20"/>
      <w:lang w:val="en-US" w:eastAsia="zh-CN" w:bidi="ar-SA"/>
    </w:rPr>
  </w:style>
  <w:style w:type="paragraph" w:customStyle="1" w:styleId="82">
    <w:name w:val="目次、标准名称标题"/>
    <w:qFormat/>
    <w:basedOn w:val="81"/>
    <w:next w:val="78"/>
    <w:pPr>
      <w:spacing w:line="460" w:lineRule="exact"/>
    </w:pPr>
  </w:style>
  <w:style w:type="paragraph" w:customStyle="1" w:styleId="83">
    <w:name w:val="章标题"/>
    <w:qFormat/>
    <w:next w:val="78"/>
    <w:pPr>
      <w:spacing w:beforeLines="50" w:before="50" w:afterLines="50" w:after="50"/>
      <w:jc w:val="both"/>
      <w:outlineLvl w:val="1"/>
    </w:pPr>
    <w:rPr>
      <w:rFonts w:ascii="黑体" w:eastAsia="黑体" w:cs="Times New Roman" w:hAnsi="Times New Roman"/>
      <w:sz w:val="21"/>
      <w:szCs w:val="20"/>
      <w:lang w:val="en-US" w:eastAsia="zh-CN" w:bidi="ar-SA"/>
    </w:rPr>
  </w:style>
  <w:style w:type="paragraph" w:customStyle="1" w:styleId="84">
    <w:name w:val="封面标准文稿类别"/>
    <w:qFormat/>
    <w:pPr>
      <w:spacing w:before="440" w:line="400" w:lineRule="exact"/>
      <w:jc w:val="center"/>
    </w:pPr>
    <w:rPr>
      <w:rFonts w:ascii="宋体" w:eastAsia="宋体" w:cs="Times New Roman" w:hAnsi="Times New Roman"/>
      <w:sz w:val="24"/>
      <w:szCs w:val="20"/>
      <w:lang w:val="en-US" w:eastAsia="zh-CN" w:bidi="ar-SA"/>
    </w:rPr>
  </w:style>
  <w:style w:type="paragraph" w:customStyle="1" w:styleId="85">
    <w:name w:val="一级条标题"/>
    <w:qFormat/>
    <w:next w:val="78"/>
    <w:pPr>
      <w:numPr>
        <w:ilvl w:val="2"/>
        <w:numId w:val="1"/>
      </w:numPr>
      <w:outlineLvl w:val="2"/>
    </w:pPr>
    <w:rPr>
      <w:rFonts w:ascii="Times New Roman" w:eastAsia="黑体" w:cs="Times New Roman" w:hAnsi="Times New Roman"/>
      <w:sz w:val="21"/>
      <w:szCs w:val="20"/>
      <w:lang w:val="en-US" w:eastAsia="zh-CN" w:bidi="ar-SA"/>
    </w:rPr>
  </w:style>
  <w:style w:type="paragraph" w:customStyle="1" w:styleId="86">
    <w:name w:val="二级条标题"/>
    <w:qFormat/>
    <w:basedOn w:val="85"/>
    <w:next w:val="78"/>
    <w:pPr>
      <w:numPr>
        <w:ilvl w:val="3"/>
        <w:numId w:val="1"/>
      </w:numPr>
      <w:outlineLvl w:val="3"/>
    </w:pPr>
  </w:style>
  <w:style w:type="paragraph" w:customStyle="1" w:styleId="87">
    <w:name w:val="三级条标题"/>
    <w:qFormat/>
    <w:basedOn w:val="86"/>
    <w:next w:val="78"/>
    <w:pPr>
      <w:numPr>
        <w:ilvl w:val="4"/>
        <w:numId w:val="1"/>
      </w:numPr>
      <w:outlineLvl w:val="4"/>
    </w:pPr>
  </w:style>
  <w:style w:type="paragraph" w:customStyle="1" w:styleId="88">
    <w:name w:val="四级条标题"/>
    <w:qFormat/>
    <w:basedOn w:val="87"/>
    <w:next w:val="78"/>
    <w:pPr>
      <w:numPr>
        <w:ilvl w:val="5"/>
        <w:numId w:val="1"/>
      </w:numPr>
      <w:outlineLvl w:val="5"/>
    </w:pPr>
  </w:style>
  <w:style w:type="paragraph" w:customStyle="1" w:styleId="89">
    <w:name w:val="五级条标题"/>
    <w:qFormat/>
    <w:basedOn w:val="88"/>
    <w:next w:val="78"/>
    <w:pPr>
      <w:numPr>
        <w:ilvl w:val="6"/>
        <w:numId w:val="1"/>
      </w:numPr>
      <w:outlineLvl w:val="6"/>
    </w:pPr>
  </w:style>
  <w:style w:type="paragraph" w:customStyle="1" w:styleId="90">
    <w:name w:val="发布日期"/>
    <w:qFormat/>
    <w:pPr>
      <w:framePr w:w="4000" w:hRule="exact" w:h="473" w:hSpace="180" w:vSpace="180" w:wrap="around" w:vAnchor="margin" w:hAnchor="margin" w:xAlign="left" w:y="13511" w:anchorLock="1"/>
    </w:pPr>
    <w:rPr>
      <w:rFonts w:ascii="Times New Roman" w:eastAsia="黑体" w:cs="Times New Roman" w:hAnsi="Times New Roman"/>
      <w:sz w:val="28"/>
      <w:szCs w:val="20"/>
      <w:lang w:val="en-US" w:eastAsia="zh-CN" w:bidi="ar-SA"/>
    </w:rPr>
  </w:style>
  <w:style w:type="paragraph" w:customStyle="1" w:styleId="91">
    <w:name w:val="实施日期"/>
    <w:qFormat/>
    <w:basedOn w:val="90"/>
    <w:pPr>
      <w:framePr w:w="4000" w:hRule="exact" w:h="473" w:hSpace="180" w:vSpace="180" w:wrap="around" w:vAnchor="margin" w:hAnchor="margin" w:xAlign="right" w:y="13511" w:anchorLock="1"/>
      <w:jc w:val="right"/>
    </w:pPr>
  </w:style>
  <w:style w:type="paragraph" w:customStyle="1" w:styleId="92">
    <w:name w:val="标准书眉一"/>
    <w:qFormat/>
    <w:next w:val="94"/>
    <w:pPr>
      <w:jc w:val="both"/>
    </w:pPr>
    <w:rPr>
      <w:rFonts w:ascii="Times New Roman" w:eastAsia="宋体" w:cs="Times New Roman" w:hAnsi="Times New Roman"/>
      <w:sz w:val="20"/>
      <w:szCs w:val="20"/>
      <w:lang w:val="en-US" w:eastAsia="zh-CN" w:bidi="ar-SA"/>
    </w:rPr>
  </w:style>
  <w:style w:type="paragraph" w:customStyle="1" w:styleId="93">
    <w:name w:val="标准称谓"/>
    <w:qFormat/>
    <w:next w:val="0"/>
    <w:pPr>
      <w:framePr w:w="9638" w:hRule="exact" w:h="754" w:hSpace="180" w:vSpace="180" w:wrap="around" w:vAnchor="page" w:hAnchor="margin" w:xAlign="center" w:y="2128" w:anchorLock="1"/>
      <w:widowControl w:val="0"/>
      <w:kinsoku w:val="0"/>
      <w:overflowPunct w:val="0"/>
      <w:autoSpaceDE w:val="0"/>
      <w:autoSpaceDN w:val="0"/>
      <w:spacing w:line="0" w:lineRule="atLeast"/>
      <w:jc w:val="distribute"/>
    </w:pPr>
    <w:rPr>
      <w:rFonts w:ascii="宋体" w:eastAsia="宋体" w:cs="Times New Roman" w:hAnsi="Times New Roman"/>
      <w:b/>
      <w:bCs/>
      <w:spacing w:val="20"/>
      <w:w w:val="148"/>
      <w:sz w:val="52"/>
      <w:szCs w:val="20"/>
      <w:lang w:val="en-US" w:eastAsia="zh-CN" w:bidi="ar-SA"/>
    </w:rPr>
  </w:style>
  <w:style w:type="paragraph" w:customStyle="1" w:styleId="94">
    <w:name w:val="示例"/>
    <w:qFormat/>
    <w:next w:val="78"/>
    <w:pPr>
      <w:numPr>
        <w:ilvl w:val="0"/>
        <w:numId w:val="2"/>
      </w:numPr>
      <w:tabs>
        <w:tab w:val="left" w:pos="816"/>
      </w:tabs>
      <w:ind w:left="0" w:firstLineChars="233" w:firstLine="233"/>
      <w:jc w:val="both"/>
    </w:pPr>
    <w:rPr>
      <w:rFonts w:ascii="宋体" w:eastAsia="宋体" w:cs="Times New Roman" w:hAnsi="Times New Roman"/>
      <w:sz w:val="18"/>
      <w:szCs w:val="20"/>
      <w:lang w:val="en-US" w:eastAsia="zh-CN" w:bidi="ar-SA"/>
    </w:rPr>
  </w:style>
  <w:style w:type="paragraph" w:customStyle="1" w:styleId="95">
    <w:name w:val="附录表标题"/>
    <w:qFormat/>
    <w:next w:val="78"/>
    <w:pPr>
      <w:numPr>
        <w:ilvl w:val="0"/>
        <w:numId w:val="3"/>
      </w:numPr>
      <w:jc w:val="center"/>
      <w:textAlignment w:val="baseline"/>
    </w:pPr>
    <w:rPr>
      <w:rFonts w:ascii="黑体" w:eastAsia="黑体" w:cs="Times New Roman" w:hAnsi="Times New Roman"/>
      <w:kern w:val="21"/>
      <w:sz w:val="21"/>
      <w:szCs w:val="20"/>
      <w:lang w:val="en-US" w:eastAsia="zh-CN" w:bidi="ar-SA"/>
    </w:rPr>
  </w:style>
  <w:style w:type="paragraph" w:customStyle="1" w:styleId="96">
    <w:name w:val="样式 段 + (符号) 宋体 首行缩进:  2 字符"/>
    <w:qFormat/>
    <w:basedOn w:val="78"/>
    <w:rPr>
      <w:rFonts w:eastAsia="仿宋_GB2312"/>
      <w:sz w:val="24"/>
    </w:rPr>
  </w:style>
  <w:style w:type="paragraph" w:customStyle="1" w:styleId="97">
    <w:name w:val="封面标准文稿编辑信息"/>
    <w:qFormat/>
    <w:pPr>
      <w:spacing w:before="180" w:line="180" w:lineRule="exact"/>
      <w:jc w:val="center"/>
    </w:pPr>
    <w:rPr>
      <w:rFonts w:ascii="宋体" w:eastAsia="宋体" w:cs="Times New Roman" w:hAnsi="Times New Roman"/>
      <w:sz w:val="21"/>
      <w:szCs w:val="20"/>
      <w:lang w:val="en-US" w:eastAsia="zh-CN" w:bidi="ar-SA"/>
    </w:rPr>
  </w:style>
  <w:style w:type="paragraph" w:customStyle="1" w:styleId="98">
    <w:name w:val="三级无标题条"/>
    <w:qFormat/>
    <w:basedOn w:val="0"/>
    <w:pPr>
      <w:numPr>
        <w:ilvl w:val="4"/>
        <w:numId w:val="4"/>
      </w:numPr>
    </w:pPr>
  </w:style>
  <w:style w:type="paragraph" w:customStyle="1" w:styleId="99">
    <w:name w:val="正文表标题"/>
    <w:qFormat/>
    <w:next w:val="78"/>
    <w:pPr>
      <w:numPr>
        <w:ilvl w:val="0"/>
        <w:numId w:val="5"/>
      </w:numPr>
      <w:jc w:val="center"/>
    </w:pPr>
    <w:rPr>
      <w:rFonts w:ascii="黑体" w:eastAsia="黑体" w:cs="Times New Roman" w:hAnsi="Times New Roman"/>
      <w:sz w:val="21"/>
      <w:szCs w:val="20"/>
      <w:lang w:val="en-US" w:eastAsia="zh-CN" w:bidi="ar-SA"/>
    </w:rPr>
  </w:style>
  <w:style w:type="paragraph" w:customStyle="1" w:styleId="100">
    <w:name w:val="二级无标题条"/>
    <w:qFormat/>
    <w:basedOn w:val="0"/>
    <w:pPr>
      <w:numPr>
        <w:ilvl w:val="3"/>
        <w:numId w:val="4"/>
      </w:numPr>
    </w:pPr>
  </w:style>
  <w:style w:type="paragraph" w:customStyle="1" w:styleId="101">
    <w:name w:val="数字编号列项（二级）"/>
    <w:qFormat/>
    <w:pPr>
      <w:ind w:leftChars="400" w:left="600" w:hangingChars="200" w:hanging="200"/>
      <w:jc w:val="both"/>
    </w:pPr>
    <w:rPr>
      <w:rFonts w:ascii="宋体" w:eastAsia="宋体" w:cs="Times New Roman" w:hAnsi="Times New Roman"/>
      <w:sz w:val="21"/>
      <w:szCs w:val="20"/>
      <w:lang w:val="en-US" w:eastAsia="zh-CN" w:bidi="ar-SA"/>
    </w:rPr>
  </w:style>
  <w:style w:type="paragraph" w:customStyle="1" w:styleId="102">
    <w:name w:val="注："/>
    <w:qFormat/>
    <w:next w:val="78"/>
    <w:pPr>
      <w:widowControl w:val="0"/>
      <w:numPr>
        <w:ilvl w:val="0"/>
        <w:numId w:val="6"/>
      </w:numPr>
      <w:autoSpaceDE w:val="0"/>
      <w:autoSpaceDN w:val="0"/>
      <w:jc w:val="both"/>
    </w:pPr>
    <w:rPr>
      <w:rFonts w:ascii="宋体" w:eastAsia="宋体" w:cs="Times New Roman" w:hAnsi="Times New Roman"/>
      <w:sz w:val="18"/>
      <w:szCs w:val="20"/>
      <w:lang w:val="en-US" w:eastAsia="zh-CN" w:bidi="ar-SA"/>
    </w:rPr>
  </w:style>
  <w:style w:type="paragraph" w:customStyle="1" w:styleId="103">
    <w:name w:val="参考文献、索引标题"/>
    <w:qFormat/>
    <w:basedOn w:val="81"/>
    <w:next w:val="0"/>
    <w:pPr>
      <w:numPr>
        <w:ilvl w:val="0"/>
        <w:numId w:val="0"/>
      </w:numPr>
      <w:spacing w:after="200"/>
    </w:pPr>
    <w:rPr>
      <w:sz w:val="21"/>
    </w:rPr>
  </w:style>
  <w:style w:type="paragraph" w:customStyle="1" w:styleId="104">
    <w:name w:val="样式 正文首行缩进 + (西文) 宋体 五号 段前: 7.8 磅 段后: 7.8 磅 行距: 多倍行距 1.25 字行"/>
    <w:qFormat/>
    <w:basedOn w:val="43"/>
    <w:pPr>
      <w:spacing w:before="156" w:after="156"/>
    </w:pPr>
    <w:rPr>
      <w:rFonts w:ascii="宋体" w:hAnsi="宋体"/>
      <w:kern w:val="2"/>
    </w:rPr>
  </w:style>
  <w:style w:type="paragraph" w:customStyle="1" w:styleId="105">
    <w:name w:val="标准书脚_偶数页"/>
    <w:qFormat/>
    <w:pPr>
      <w:spacing w:before="120"/>
    </w:pPr>
    <w:rPr>
      <w:rFonts w:ascii="Times New Roman" w:eastAsia="宋体" w:cs="Times New Roman" w:hAnsi="Times New Roman"/>
      <w:sz w:val="18"/>
      <w:szCs w:val="20"/>
      <w:lang w:val="en-US" w:eastAsia="zh-CN" w:bidi="ar-SA"/>
    </w:rPr>
  </w:style>
  <w:style w:type="paragraph" w:customStyle="1" w:styleId="106">
    <w:name w:val="样式 (西文) 宋体 首行缩进:  0.74 厘米"/>
    <w:qFormat/>
    <w:basedOn w:val="0"/>
    <w:pPr>
      <w:ind w:firstLine="420"/>
    </w:pPr>
    <w:rPr>
      <w:rFonts w:ascii="宋体" w:eastAsia="仿宋_GB2312" w:hAnsi="宋体"/>
      <w:sz w:val="24"/>
      <w:szCs w:val="20"/>
    </w:rPr>
  </w:style>
  <w:style w:type="paragraph" w:customStyle="1" w:styleId="107">
    <w:name w:val="_Style 113"/>
    <w:qFormat/>
    <w:basedOn w:val="1"/>
    <w:next w:val="0"/>
    <w:pPr>
      <w:keepNext/>
      <w:keepLines/>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108">
    <w:name w:val="附录章标题"/>
    <w:qFormat/>
    <w:next w:val="78"/>
    <w:pPr>
      <w:numPr>
        <w:ilvl w:val="1"/>
        <w:numId w:val="7"/>
      </w:numPr>
      <w:wordWrap w:val="0"/>
      <w:overflowPunct w:val="0"/>
      <w:autoSpaceDE w:val="0"/>
      <w:spacing w:beforeLines="50" w:before="50" w:afterLines="50" w:after="50"/>
      <w:jc w:val="both"/>
      <w:textAlignment w:val="baseline"/>
      <w:outlineLvl w:val="1"/>
    </w:pPr>
    <w:rPr>
      <w:rFonts w:ascii="黑体" w:eastAsia="黑体" w:cs="Times New Roman" w:hAnsi="Times New Roman"/>
      <w:kern w:val="21"/>
      <w:sz w:val="21"/>
      <w:szCs w:val="20"/>
      <w:lang w:val="en-US" w:eastAsia="zh-CN" w:bidi="ar-SA"/>
    </w:rPr>
  </w:style>
  <w:style w:type="paragraph" w:customStyle="1" w:styleId="109">
    <w:name w:val="附录一级条标题"/>
    <w:qFormat/>
    <w:basedOn w:val="108"/>
    <w:next w:val="78"/>
    <w:pPr>
      <w:numPr>
        <w:ilvl w:val="2"/>
        <w:numId w:val="7"/>
      </w:numPr>
      <w:wordWrap w:val="0"/>
      <w:overflowPunct w:val="0"/>
      <w:autoSpaceDE w:val="0"/>
      <w:autoSpaceDN w:val="0"/>
      <w:spacing w:beforeLines="0" w:before="0" w:afterLines="0" w:after="0"/>
      <w:outlineLvl w:val="2"/>
    </w:pPr>
  </w:style>
  <w:style w:type="paragraph" w:customStyle="1" w:styleId="110">
    <w:name w:val="附录二级条标题"/>
    <w:qFormat/>
    <w:basedOn w:val="109"/>
    <w:next w:val="78"/>
    <w:pPr>
      <w:numPr>
        <w:ilvl w:val="3"/>
        <w:numId w:val="7"/>
      </w:numPr>
      <w:outlineLvl w:val="3"/>
    </w:pPr>
  </w:style>
  <w:style w:type="paragraph" w:customStyle="1" w:styleId="111">
    <w:name w:val="附录三级条标题"/>
    <w:qFormat/>
    <w:basedOn w:val="110"/>
    <w:next w:val="78"/>
    <w:pPr>
      <w:numPr>
        <w:ilvl w:val="4"/>
        <w:numId w:val="7"/>
      </w:numPr>
      <w:outlineLvl w:val="4"/>
    </w:pPr>
  </w:style>
  <w:style w:type="paragraph" w:customStyle="1" w:styleId="112">
    <w:name w:val="附录四级条标题"/>
    <w:qFormat/>
    <w:basedOn w:val="111"/>
    <w:next w:val="78"/>
    <w:pPr>
      <w:numPr>
        <w:ilvl w:val="5"/>
        <w:numId w:val="7"/>
      </w:numPr>
      <w:outlineLvl w:val="5"/>
    </w:pPr>
  </w:style>
  <w:style w:type="paragraph" w:customStyle="1" w:styleId="113">
    <w:name w:val="正文 首行缩进:  2字符"/>
    <w:qFormat/>
    <w:basedOn w:val="0"/>
    <w:pPr>
      <w:spacing w:line="312" w:lineRule="atLeast"/>
      <w:ind w:firstLineChars="200" w:firstLine="200"/>
    </w:pPr>
    <w:rPr>
      <w:rFonts w:ascii="宋体"/>
      <w:szCs w:val="20"/>
    </w:rPr>
  </w:style>
  <w:style w:type="paragraph" w:customStyle="1" w:styleId="114">
    <w:name w:val="封面正文"/>
    <w:qFormat/>
    <w:pPr>
      <w:jc w:val="both"/>
    </w:pPr>
    <w:rPr>
      <w:rFonts w:ascii="Times New Roman" w:eastAsia="宋体" w:cs="Times New Roman" w:hAnsi="Times New Roman"/>
      <w:sz w:val="20"/>
      <w:szCs w:val="20"/>
      <w:lang w:val="en-US" w:eastAsia="zh-CN" w:bidi="ar-SA"/>
    </w:rPr>
  </w:style>
  <w:style w:type="paragraph" w:customStyle="1" w:styleId="115">
    <w:name w:val="标准书眉_偶数页"/>
    <w:qFormat/>
    <w:basedOn w:val="80"/>
    <w:next w:val="0"/>
    <w:pPr>
      <w:tabs>
        <w:tab w:val="center" w:pos="4154"/>
        <w:tab w:val="right" w:pos="8306"/>
      </w:tabs>
      <w:jc w:val="left"/>
    </w:pPr>
  </w:style>
  <w:style w:type="paragraph" w:customStyle="1" w:styleId="116">
    <w:name w:val="条文脚注"/>
    <w:qFormat/>
    <w:basedOn w:val="36"/>
    <w:pPr>
      <w:ind w:leftChars="200" w:left="400" w:hangingChars="200" w:hanging="200"/>
      <w:jc w:val="both"/>
    </w:pPr>
    <w:rPr>
      <w:rFonts w:ascii="宋体"/>
    </w:rPr>
  </w:style>
  <w:style w:type="paragraph" w:customStyle="1" w:styleId="117">
    <w:name w:val="列项●（二级）"/>
    <w:qFormat/>
    <w:pPr>
      <w:numPr>
        <w:ilvl w:val="0"/>
        <w:numId w:val="8"/>
      </w:numPr>
      <w:tabs>
        <w:tab w:val="left" w:pos="840"/>
      </w:tabs>
      <w:ind w:leftChars="400" w:left="600" w:hangingChars="200" w:hanging="200"/>
      <w:jc w:val="both"/>
    </w:pPr>
    <w:rPr>
      <w:rFonts w:ascii="宋体" w:eastAsia="宋体" w:cs="Times New Roman" w:hAnsi="Times New Roman"/>
      <w:sz w:val="21"/>
      <w:szCs w:val="20"/>
      <w:lang w:val="en-US" w:eastAsia="zh-CN" w:bidi="ar-SA"/>
    </w:rPr>
  </w:style>
  <w:style w:type="paragraph" w:customStyle="1" w:styleId="118">
    <w:name w:val="目次、索引正文"/>
    <w:qFormat/>
    <w:pPr>
      <w:spacing w:line="320" w:lineRule="exact"/>
      <w:jc w:val="both"/>
    </w:pPr>
    <w:rPr>
      <w:rFonts w:ascii="宋体" w:eastAsia="宋体" w:cs="Times New Roman" w:hAnsi="Times New Roman"/>
      <w:sz w:val="21"/>
      <w:szCs w:val="20"/>
      <w:lang w:val="en-US" w:eastAsia="zh-CN" w:bidi="ar-SA"/>
    </w:rPr>
  </w:style>
  <w:style w:type="paragraph" w:customStyle="1" w:styleId="119">
    <w:name w:val="字母编号列项（一级）"/>
    <w:qFormat/>
    <w:pPr>
      <w:ind w:leftChars="200" w:left="400" w:hangingChars="200" w:hanging="200"/>
      <w:jc w:val="both"/>
    </w:pPr>
    <w:rPr>
      <w:rFonts w:ascii="宋体" w:eastAsia="宋体" w:cs="Times New Roman" w:hAnsi="Times New Roman"/>
      <w:sz w:val="21"/>
      <w:szCs w:val="20"/>
      <w:lang w:val="en-US" w:eastAsia="zh-CN" w:bidi="ar-SA"/>
    </w:rPr>
  </w:style>
  <w:style w:type="paragraph" w:customStyle="1" w:styleId="120">
    <w:name w:val="论文正文"/>
    <w:qFormat/>
    <w:basedOn w:val="0"/>
    <w:pPr>
      <w:spacing w:line="360" w:lineRule="exact"/>
      <w:ind w:firstLine="437"/>
      <w:jc w:val="left"/>
    </w:pPr>
    <w:rPr>
      <w:rFonts w:ascii="宋体"/>
      <w:kern w:val="22"/>
      <w:szCs w:val="21"/>
    </w:rPr>
  </w:style>
  <w:style w:type="paragraph" w:customStyle="1" w:styleId="121">
    <w:name w:val="附录标识"/>
    <w:qFormat/>
    <w:basedOn w:val="81"/>
    <w:pPr>
      <w:numPr>
        <w:ilvl w:val="0"/>
        <w:numId w:val="7"/>
      </w:numPr>
      <w:tabs>
        <w:tab w:val="left" w:pos="6405"/>
      </w:tabs>
      <w:spacing w:after="200"/>
    </w:pPr>
    <w:rPr>
      <w:sz w:val="21"/>
    </w:rPr>
  </w:style>
  <w:style w:type="paragraph" w:customStyle="1" w:styleId="122">
    <w:name w:val="封面标准号1"/>
    <w:qFormat/>
    <w:pPr>
      <w:widowControl w:val="0"/>
      <w:kinsoku w:val="0"/>
      <w:overflowPunct w:val="0"/>
      <w:autoSpaceDE w:val="0"/>
      <w:autoSpaceDN w:val="0"/>
      <w:spacing w:before="308"/>
      <w:jc w:val="right"/>
      <w:textAlignment w:val="center"/>
    </w:pPr>
    <w:rPr>
      <w:rFonts w:ascii="Times New Roman" w:eastAsia="宋体" w:cs="Times New Roman" w:hAnsi="Times New Roman"/>
      <w:sz w:val="28"/>
      <w:szCs w:val="20"/>
      <w:lang w:val="en-US" w:eastAsia="zh-CN" w:bidi="ar-SA"/>
    </w:rPr>
  </w:style>
  <w:style w:type="paragraph" w:customStyle="1" w:styleId="123">
    <w:name w:val="封面标准号2"/>
    <w:qFormat/>
    <w:basedOn w:val="122"/>
    <w:pPr>
      <w:framePr w:w="9138" w:hRule="exact" w:h="1244" w:wrap="around" w:vAnchor="page" w:hAnchor="margin" w:xAlign="left" w:y="2908" w:anchorLock="0"/>
      <w:adjustRightInd w:val="0"/>
      <w:spacing w:before="357" w:line="280" w:lineRule="exact"/>
    </w:pPr>
  </w:style>
  <w:style w:type="paragraph" w:customStyle="1" w:styleId="124">
    <w:name w:val="封面标准代替信息"/>
    <w:qFormat/>
    <w:basedOn w:val="123"/>
    <w:pPr>
      <w:framePr w:w="9138" w:hRule="exact" w:h="1244" w:wrap="around" w:vAnchor="page" w:hAnchor="margin" w:xAlign="left" w:y="2908" w:anchorLock="0"/>
      <w:spacing w:before="57"/>
    </w:pPr>
    <w:rPr>
      <w:rFonts w:ascii="宋体"/>
      <w:sz w:val="21"/>
    </w:rPr>
  </w:style>
  <w:style w:type="paragraph" w:customStyle="1" w:styleId="125">
    <w:name w:val="其他标准称谓"/>
    <w:qFormat/>
    <w:pPr>
      <w:spacing w:line="0" w:lineRule="atLeast"/>
      <w:jc w:val="distribute"/>
    </w:pPr>
    <w:rPr>
      <w:rFonts w:ascii="黑体" w:eastAsia="黑体" w:cs="Times New Roman" w:hAnsi="Times New Roman"/>
      <w:sz w:val="52"/>
      <w:szCs w:val="20"/>
      <w:lang w:val="en-US" w:eastAsia="zh-CN" w:bidi="ar-SA"/>
    </w:rPr>
  </w:style>
  <w:style w:type="paragraph" w:customStyle="1" w:styleId="126">
    <w:name w:val="标准标志"/>
    <w:qFormat/>
    <w:next w:val="0"/>
    <w:pPr>
      <w:framePr w:w="2268" w:hRule="exact" w:h="1392" w:wrap="around" w:vAnchor="margin" w:hAnchor="margin" w:x="6748" w:y="171" w:anchorLock="1"/>
      <w:shd w:val="solid" w:color="FFFFFF" w:fill="FFFFFF"/>
      <w:spacing w:line="0" w:lineRule="atLeast"/>
      <w:jc w:val="right"/>
    </w:pPr>
    <w:rPr>
      <w:rFonts w:ascii="Times New Roman" w:eastAsia="宋体" w:cs="Times New Roman" w:hAnsi="Times New Roman"/>
      <w:b/>
      <w:w w:val="130"/>
      <w:sz w:val="96"/>
      <w:szCs w:val="20"/>
      <w:lang w:val="en-US" w:eastAsia="zh-CN" w:bidi="ar-SA"/>
    </w:rPr>
  </w:style>
  <w:style w:type="paragraph" w:customStyle="1" w:styleId="127">
    <w:name w:val="编号列项（三级）"/>
    <w:qFormat/>
    <w:pPr>
      <w:ind w:leftChars="600" w:left="800" w:hangingChars="200" w:hanging="200"/>
    </w:pPr>
    <w:rPr>
      <w:rFonts w:ascii="宋体" w:eastAsia="宋体" w:cs="Times New Roman" w:hAnsi="Times New Roman"/>
      <w:sz w:val="21"/>
      <w:szCs w:val="20"/>
      <w:lang w:val="en-US" w:eastAsia="zh-CN" w:bidi="ar-SA"/>
    </w:rPr>
  </w:style>
  <w:style w:type="paragraph" w:customStyle="1" w:styleId="128">
    <w:name w:val="四级无标题条"/>
    <w:qFormat/>
    <w:basedOn w:val="0"/>
    <w:pPr>
      <w:numPr>
        <w:ilvl w:val="5"/>
        <w:numId w:val="4"/>
      </w:numPr>
    </w:pPr>
  </w:style>
  <w:style w:type="paragraph" w:customStyle="1" w:styleId="129">
    <w:name w:val="封面标准名称"/>
    <w:qFormat/>
    <w:pPr>
      <w:framePr w:w="9638" w:hRule="exact" w:h="6917" w:wrap="around" w:vAnchor="margin" w:hAnchor="margin" w:xAlign="center" w:y="5955" w:anchorLock="1"/>
      <w:widowControl w:val="0"/>
      <w:spacing w:line="680" w:lineRule="exact"/>
      <w:jc w:val="center"/>
      <w:textAlignment w:val="center"/>
    </w:pPr>
    <w:rPr>
      <w:rFonts w:ascii="黑体" w:eastAsia="黑体" w:cs="Times New Roman" w:hAnsi="Times New Roman"/>
      <w:sz w:val="52"/>
      <w:szCs w:val="20"/>
      <w:lang w:val="en-US" w:eastAsia="zh-CN" w:bidi="ar-SA"/>
    </w:rPr>
  </w:style>
  <w:style w:type="paragraph" w:customStyle="1" w:styleId="130">
    <w:name w:val="正文图标题"/>
    <w:qFormat/>
    <w:next w:val="78"/>
    <w:pPr>
      <w:numPr>
        <w:ilvl w:val="0"/>
        <w:numId w:val="9"/>
      </w:numPr>
      <w:jc w:val="center"/>
    </w:pPr>
    <w:rPr>
      <w:rFonts w:ascii="黑体" w:eastAsia="黑体" w:cs="Times New Roman" w:hAnsi="Times New Roman"/>
      <w:sz w:val="21"/>
      <w:szCs w:val="20"/>
      <w:lang w:val="en-US" w:eastAsia="zh-CN" w:bidi="ar-SA"/>
    </w:rPr>
  </w:style>
  <w:style w:type="paragraph" w:customStyle="1" w:styleId="131">
    <w:name w:val="列项——（一级）"/>
    <w:qFormat/>
    <w:pPr>
      <w:widowControl w:val="0"/>
      <w:numPr>
        <w:ilvl w:val="0"/>
        <w:numId w:val="10"/>
      </w:numPr>
      <w:tabs>
        <w:tab w:val="left" w:pos="854"/>
      </w:tabs>
      <w:ind w:leftChars="200" w:left="400" w:hangingChars="200" w:hanging="200"/>
      <w:jc w:val="both"/>
    </w:pPr>
    <w:rPr>
      <w:rFonts w:ascii="宋体" w:eastAsia="宋体" w:cs="Times New Roman" w:hAnsi="Times New Roman"/>
      <w:sz w:val="21"/>
      <w:szCs w:val="20"/>
      <w:lang w:val="en-US" w:eastAsia="zh-CN" w:bidi="ar-SA"/>
    </w:rPr>
  </w:style>
  <w:style w:type="paragraph" w:customStyle="1" w:styleId="132">
    <w:name w:val="封面一致性程度标识"/>
    <w:qFormat/>
    <w:pPr>
      <w:spacing w:before="440" w:line="400" w:lineRule="exact"/>
      <w:jc w:val="center"/>
    </w:pPr>
    <w:rPr>
      <w:rFonts w:ascii="宋体" w:eastAsia="宋体" w:cs="Times New Roman" w:hAnsi="Times New Roman"/>
      <w:sz w:val="28"/>
      <w:szCs w:val="20"/>
      <w:lang w:val="en-US" w:eastAsia="zh-CN" w:bidi="ar-SA"/>
    </w:rPr>
  </w:style>
  <w:style w:type="paragraph" w:customStyle="1" w:styleId="133">
    <w:name w:val="一级无标题条"/>
    <w:qFormat/>
    <w:basedOn w:val="0"/>
    <w:pPr>
      <w:numPr>
        <w:ilvl w:val="2"/>
        <w:numId w:val="4"/>
      </w:numPr>
    </w:pPr>
  </w:style>
  <w:style w:type="paragraph" w:customStyle="1" w:styleId="134">
    <w:name w:val="图表脚注"/>
    <w:qFormat/>
    <w:next w:val="78"/>
    <w:pPr>
      <w:ind w:leftChars="200" w:left="300" w:hangingChars="100" w:hanging="100"/>
      <w:jc w:val="both"/>
    </w:pPr>
    <w:rPr>
      <w:rFonts w:ascii="宋体" w:eastAsia="宋体" w:cs="Times New Roman" w:hAnsi="Times New Roman"/>
      <w:sz w:val="18"/>
      <w:szCs w:val="20"/>
      <w:lang w:val="en-US" w:eastAsia="zh-CN" w:bidi="ar-SA"/>
    </w:rPr>
  </w:style>
  <w:style w:type="paragraph" w:customStyle="1" w:styleId="135">
    <w:name w:val="附录图标题"/>
    <w:qFormat/>
    <w:next w:val="78"/>
    <w:pPr>
      <w:numPr>
        <w:ilvl w:val="0"/>
        <w:numId w:val="11"/>
      </w:numPr>
      <w:jc w:val="center"/>
    </w:pPr>
    <w:rPr>
      <w:rFonts w:ascii="黑体" w:eastAsia="黑体" w:cs="Times New Roman" w:hAnsi="Times New Roman"/>
      <w:sz w:val="21"/>
      <w:szCs w:val="20"/>
      <w:lang w:val="en-US" w:eastAsia="zh-CN" w:bidi="ar-SA"/>
    </w:rPr>
  </w:style>
  <w:style w:type="paragraph" w:customStyle="1" w:styleId="136">
    <w:name w:val="附录五级条标题"/>
    <w:qFormat/>
    <w:basedOn w:val="112"/>
    <w:next w:val="78"/>
    <w:pPr>
      <w:numPr>
        <w:ilvl w:val="6"/>
        <w:numId w:val="7"/>
      </w:numPr>
      <w:outlineLvl w:val="6"/>
    </w:pPr>
  </w:style>
  <w:style w:type="paragraph" w:customStyle="1" w:styleId="137">
    <w:name w:val="其他发布部门"/>
    <w:qFormat/>
    <w:basedOn w:val="77"/>
    <w:pPr>
      <w:framePr w:w="7433" w:hRule="exact" w:h="585" w:hSpace="180" w:vSpace="180" w:wrap="around" w:vAnchor="margin" w:hAnchor="margin" w:xAlign="center" w:y="14401" w:anchorLock="1"/>
      <w:spacing w:line="0" w:lineRule="atLeast"/>
    </w:pPr>
    <w:rPr>
      <w:rFonts w:ascii="黑体" w:eastAsia="黑体"/>
      <w:b w:val="0"/>
    </w:rPr>
  </w:style>
  <w:style w:type="paragraph" w:customStyle="1" w:styleId="138">
    <w:name w:val="列项◆（三级）"/>
    <w:qFormat/>
    <w:pPr>
      <w:numPr>
        <w:ilvl w:val="0"/>
        <w:numId w:val="12"/>
      </w:numPr>
      <w:ind w:leftChars="600" w:left="800" w:hangingChars="200" w:hanging="200"/>
    </w:pPr>
    <w:rPr>
      <w:rFonts w:ascii="宋体" w:eastAsia="宋体" w:cs="Times New Roman" w:hAnsi="Times New Roman"/>
      <w:sz w:val="21"/>
      <w:szCs w:val="20"/>
      <w:lang w:val="en-US" w:eastAsia="zh-CN" w:bidi="ar-SA"/>
    </w:rPr>
  </w:style>
  <w:style w:type="paragraph" w:customStyle="1" w:styleId="139">
    <w:name w:val="注×："/>
    <w:qFormat/>
    <w:pPr>
      <w:widowControl w:val="0"/>
      <w:numPr>
        <w:ilvl w:val="0"/>
        <w:numId w:val="13"/>
      </w:numPr>
      <w:tabs>
        <w:tab w:val="left" w:pos="630"/>
      </w:tabs>
      <w:autoSpaceDE w:val="0"/>
      <w:autoSpaceDN w:val="0"/>
      <w:jc w:val="both"/>
    </w:pPr>
    <w:rPr>
      <w:rFonts w:ascii="宋体" w:eastAsia="宋体" w:cs="Times New Roman" w:hAnsi="Times New Roman"/>
      <w:sz w:val="18"/>
      <w:szCs w:val="20"/>
      <w:lang w:val="en-US" w:eastAsia="zh-CN" w:bidi="ar-SA"/>
    </w:rPr>
  </w:style>
  <w:style w:type="paragraph" w:customStyle="1" w:styleId="140">
    <w:name w:val="表头"/>
    <w:qFormat/>
    <w:basedOn w:val="0"/>
    <w:pPr>
      <w:spacing w:line="360" w:lineRule="atLeast"/>
      <w:jc w:val="center"/>
    </w:pPr>
    <w:rPr>
      <w:szCs w:val="20"/>
    </w:rPr>
  </w:style>
  <w:style w:type="paragraph" w:customStyle="1" w:styleId="141">
    <w:name w:val="Default"/>
    <w:qFormat/>
    <w:pPr>
      <w:widowControl w:val="0"/>
      <w:autoSpaceDE w:val="0"/>
      <w:autoSpaceDN w:val="0"/>
      <w:adjustRightInd w:val="0"/>
    </w:pPr>
    <w:rPr>
      <w:rFonts w:ascii="ST Song" w:eastAsia="ST Song" w:cs="ST Song" w:hAnsi="ST Song"/>
      <w:color w:val="000000"/>
      <w:sz w:val="24"/>
      <w:szCs w:val="24"/>
      <w:lang w:val="en-US" w:eastAsia="zh-CN" w:bidi="ar-SA"/>
    </w:rPr>
  </w:style>
  <w:style w:type="paragraph" w:customStyle="1" w:styleId="142">
    <w:name w:val="五级无标题条"/>
    <w:qFormat/>
    <w:basedOn w:val="0"/>
    <w:pPr>
      <w:numPr>
        <w:ilvl w:val="6"/>
        <w:numId w:val="4"/>
      </w:numPr>
    </w:pPr>
  </w:style>
  <w:style w:type="paragraph" w:customStyle="1" w:styleId="143">
    <w:name w:val="WPSOffice手动目录 1"/>
    <w:qFormat/>
    <w:rPr>
      <w:rFonts w:ascii="Times New Roman" w:eastAsia="宋体" w:cs="Times New Roman" w:hAnsi="Times New Roman"/>
      <w:sz w:val="20"/>
      <w:szCs w:val="20"/>
      <w:lang w:val="en-US" w:eastAsia="zh-CN" w:bidi="ar-SA"/>
    </w:rPr>
  </w:style>
  <w:style w:type="paragraph" w:customStyle="1" w:styleId="144">
    <w:name w:val="WPSOffice手动目录 3"/>
    <w:qFormat/>
    <w:pPr>
      <w:ind w:leftChars="400" w:left="400"/>
    </w:pPr>
    <w:rPr>
      <w:rFonts w:ascii="Times New Roman" w:eastAsia="宋体" w:cs="Times New Roman" w:hAnsi="Times New Roman"/>
      <w:sz w:val="20"/>
      <w:szCs w:val="20"/>
      <w:lang w:val="en-US" w:eastAsia="zh-CN" w:bidi="ar-SA"/>
    </w:rPr>
  </w:style>
  <w:style w:type="paragraph" w:customStyle="1" w:styleId="145">
    <w:name w:val="WPSOffice手动目录 2"/>
    <w:qFormat/>
    <w:pPr>
      <w:ind w:leftChars="200" w:left="200"/>
    </w:pPr>
    <w:rPr>
      <w:rFonts w:ascii="Times New Roman" w:eastAsia="宋体" w:cs="Times New Roman" w:hAnsi="Times New Roman"/>
      <w:sz w:val="20"/>
      <w:szCs w:val="20"/>
      <w:lang w:val="en-US" w:eastAsia="zh-CN" w:bidi="ar-SA"/>
    </w:rPr>
  </w:style>
  <w:style w:type="paragraph" w:customStyle="1" w:styleId="146">
    <w:name w:val="修订1"/>
    <w:qFormat/>
    <w:rPr>
      <w:rFonts w:ascii="Times New Roman" w:eastAsia="宋体" w:cs="Times New Roman" w:hAnsi="Times New Roman"/>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footer" Target="footer3.xml"/><Relationship Id="rId7" Type="http://schemas.openxmlformats.org/officeDocument/2006/relationships/header" Target="header3.xml"/><Relationship Id="rId8" Type="http://schemas.openxmlformats.org/officeDocument/2006/relationships/header" Target="header4.xml"/><Relationship Id="rId9" Type="http://schemas.openxmlformats.org/officeDocument/2006/relationships/footer" Target="footer4.xml"/><Relationship Id="rId10" Type="http://schemas.openxmlformats.org/officeDocument/2006/relationships/footer" Target="footer5.xml"/><Relationship Id="rId11" Type="http://schemas.openxmlformats.org/officeDocument/2006/relationships/header" Target="header5.xml"/><Relationship Id="rId12" Type="http://schemas.openxmlformats.org/officeDocument/2006/relationships/header" Target="header6.xml"/><Relationship Id="rId13" Type="http://schemas.openxmlformats.org/officeDocument/2006/relationships/footer" Target="footer6.xml"/><Relationship Id="rId14" Type="http://schemas.openxmlformats.org/officeDocument/2006/relationships/footer" Target="footer7.xml"/><Relationship Id="rId15" Type="http://schemas.openxmlformats.org/officeDocument/2006/relationships/header" Target="header7.xml"/><Relationship Id="rId16" Type="http://schemas.openxmlformats.org/officeDocument/2006/relationships/footer" Target="footer8.xml"/><Relationship Id="rId17" Type="http://schemas.openxmlformats.org/officeDocument/2006/relationships/header" Target="header8.xml"/><Relationship Id="rId18" Type="http://schemas.openxmlformats.org/officeDocument/2006/relationships/footer" Target="footer9.xml"/><Relationship Id="rId19" Type="http://schemas.openxmlformats.org/officeDocument/2006/relationships/footer" Target="footer10.xml"/><Relationship Id="rId20" Type="http://schemas.openxmlformats.org/officeDocument/2006/relationships/footer" Target="footer11.xml"/><Relationship Id="rId21" Type="http://schemas.openxmlformats.org/officeDocument/2006/relationships/styles" Target="styles.xml"/><Relationship Id="rId22" Type="http://schemas.openxmlformats.org/officeDocument/2006/relationships/numbering" Target="numbering.xml"/><Relationship Id="rId23" Type="http://schemas.openxmlformats.org/officeDocument/2006/relationships/fontTable" Target="fontTable.xml"/><Relationship Id="rId24" Type="http://schemas.openxmlformats.org/officeDocument/2006/relationships/customXml" Target="../customXml/item1.xml"/><Relationship Id="rId25" Type="http://schemas.openxmlformats.org/officeDocument/2006/relationships/theme" Target="theme/theme1.xml"/></Relationships>
</file>

<file path=word/theme/theme1.xml><?xml version="1.0" encoding="utf-8"?>
<a:theme xmlns:a="http://schemas.openxmlformats.org/drawingml/2006/main" name="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majorFont>
      <a:minorFont>
        <a:latin typeface=""/>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1"/>
        </a:gradFill>
      </a:fillStyleLst>
      <a:lnStyleLst>
        <a:ln w="9525" cmpd="sng" cap="flat">
          <a:solidFill>
            <a:schemeClr val="phClr">
              <a:shade val="95000"/>
              <a:satMod val="105000"/>
            </a:schemeClr>
          </a:solidFill>
          <a:prstDash val="solid"/>
          <a:round/>
        </a:ln>
        <a:ln w="25400" cmpd="sng" cap="flat">
          <a:solidFill>
            <a:schemeClr val="phClr"/>
          </a:solidFill>
          <a:prstDash val="solid"/>
          <a:round/>
        </a:ln>
        <a:ln w="38100" cmpd="sng" cap="flat">
          <a:solidFill>
            <a:schemeClr val="phClr"/>
          </a:solidFill>
          <a:prstDash val="solid"/>
          <a:round/>
        </a:ln>
      </a:lnStyleLst>
      <a:effectStyleLst>
        <a:effectStyle>
          <a:effectLst>
            <a:outerShdw sx="100000" sy="100000" algn="b" rotWithShape="0" blurRad="40000" dist="20000" dir="5400000">
              <a:srgbClr val="000000">
                <a:alpha val="37647"/>
              </a:srgbClr>
            </a:outerShdw>
          </a:effectLst>
        </a:effectStyle>
        <a:effectStyle>
          <a:effectLst>
            <a:outerShdw sx="100000" sy="100000" algn="b" rotWithShape="0" blurRad="40000" dist="23000" dir="5400000">
              <a:srgbClr val="000000">
                <a:alpha val="34509"/>
              </a:srgbClr>
            </a:outerShdw>
          </a:effectLst>
        </a:effectStyle>
        <a:effectStyle>
          <a:effectLst>
            <a:outerShdw sx="100000" sy="100000" algn="b" rotWithShape="0" blurRad="40000" dist="23000" dir="5400000">
              <a:srgbClr val="000000">
                <a:alpha val="34509"/>
              </a:srgbClr>
            </a:outerShdw>
          </a:effectLst>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100000" t="100000"/>
          </a:path>
          <a:tileRect r="-100000" b="-100000"/>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3000 0 1 1 1 1"/>
    <sectPr/>
    <sectPr/>
    <sectPr/>
    <sectPr/>
    <sectPr/>
    <sectPr/>
    <sectPr/>
  </customProps>
</customData>
</file>

<file path=customXml/itemProps1.xml><?xml version="1.0" encoding="utf-8"?>
<ds:datastoreItem xmlns:ds="http://schemas.openxmlformats.org/officeDocument/2006/customXml" ds:itemID="{AB3CFBD1-AEB9-4D10-9420-FC7811671F1B}">
  <ds:schemaRefs>
    <ds:schemaRef ds:uri="http://www.yozosoft.com.cn/officeDocument/2016/customData"/>
  </ds:schemaRefs>
</ds:datastoreItem>
</file>

<file path=docProps/app.xml><?xml version="1.0" encoding="utf-8"?>
<Properties xmlns="http://schemas.openxmlformats.org/officeDocument/2006/extended-properties">
  <Template>Normal.eit</Template>
  <TotalTime>316</TotalTime>
  <Application>WPS_Yozo_Office9.0.5233.101ZH.S1</Application>
  <Pages>17</Pages>
  <Words>0</Words>
  <Characters>5920</Characters>
  <Lines>0</Lines>
  <Paragraphs>219</Paragraphs>
  <CharactersWithSpaces>7894</CharactersWithSpaces>
  <Company>CNIS</Company>
</Properties>
</file>

<file path=docProps/core.xml><?xml version="1.0" encoding="utf-8"?>
<cp:coreProperties xmlns:cp="http://schemas.openxmlformats.org/package/2006/metadata/core-properties" xmlns:dc="http://purl.org/dc/elements/1.1/" xmlns:dcterms="http://purl.org/dc/terms/" xmlns:xsi="http://www.w3.org/2001/XMLSchema-instance">
  <dc:title> </dc:title>
  <dc:creator>Eric</dc:creator>
  <cp:lastModifiedBy>uos</cp:lastModifiedBy>
  <cp:revision>6</cp:revision>
  <cp:lastPrinted>2024-07-17T01:19:10Z</cp:lastPrinted>
  <dcterms:created xsi:type="dcterms:W3CDTF">2024-07-15T09:40:00Z</dcterms:created>
  <dcterms:modified xsi:type="dcterms:W3CDTF">2024-07-17T12:36:37Z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TDS属性">
    <vt:lpwstr>TDS 2.0 Document</vt:lpwstr>
  </property>
  <property fmtid="{D5CDD505-2E9C-101B-9397-08002B2CF9AE}" pid="3" name="KSOProductBuildVer">
    <vt:lpwstr>2052-11.8.2.8621</vt:lpwstr>
  </property>
  <property fmtid="{D5CDD505-2E9C-101B-9397-08002B2CF9AE}" pid="4" name="ICV">
    <vt:lpwstr>A6CD2256BD6A468FAED80B78B52AD776</vt:lpwstr>
  </property>
</Properties>
</file>