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260" w:after="260"/>
        <w:ind w:left="105" w:right="105"/>
        <w:jc w:val="left"/>
        <w:rPr>
          <w:rFonts w:ascii="Times New Roman" w:hAnsi="Times New Roman" w:eastAsia="宋体"/>
          <w:b/>
          <w:sz w:val="24"/>
        </w:rPr>
      </w:pPr>
      <w:r>
        <w:rPr>
          <w:rFonts w:ascii="Times New Roman" w:hAnsi="Times New Roman" w:eastAsia="黑体"/>
          <w:b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4129405</wp:posOffset>
                </wp:positionH>
                <wp:positionV relativeFrom="paragraph">
                  <wp:posOffset>94615</wp:posOffset>
                </wp:positionV>
                <wp:extent cx="1150620" cy="650875"/>
                <wp:effectExtent l="0" t="0" r="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062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/>
                              <w:keepLines/>
                              <w:spacing w:before="260" w:after="260"/>
                              <w:ind w:left="105" w:right="105"/>
                              <w:jc w:val="center"/>
                              <w:rPr>
                                <w:rFonts w:ascii="Times New Roman" w:hAnsi="Times New Roman" w:eastAsia="宋体"/>
                                <w:b/>
                                <w:sz w:val="44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/>
                                <w:b/>
                                <w:sz w:val="44"/>
                              </w:rPr>
                              <w:t>DB</w:t>
                            </w:r>
                            <w:r>
                              <w:rPr>
                                <w:rFonts w:ascii="Times New Roman" w:hAnsi="Times New Roman" w:eastAsia="宋体"/>
                                <w:b/>
                                <w:sz w:val="44"/>
                              </w:rPr>
                              <w:t>13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5.15pt;margin-top:7.45pt;height:51.25pt;width:90.6pt;z-index:251660288;mso-width-relative:page;mso-height-relative:page;" fillcolor="#FFFFFF" filled="t" stroked="f" coordsize="21600,21600" o:gfxdata="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JEvtNcAAAAKAQAADwAAAAAAAAABACAAAAAiAAAAZHJz&#10;L2Rvd25yZXYueG1sUEsBAhQAFAAAAAgAh07iQBbWboIFAgAA4wMAAA4AAAAAAAAAAQAgAAAAJgEA&#10;AGRycy9lMm9Eb2MueG1sUEsFBgAAAAAGAAYAWQEAAJ0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/>
                        <w:keepLines/>
                        <w:spacing w:before="260" w:after="260"/>
                        <w:ind w:left="105" w:right="105"/>
                        <w:jc w:val="center"/>
                        <w:rPr>
                          <w:rFonts w:ascii="Times New Roman" w:hAnsi="Times New Roman" w:eastAsia="宋体"/>
                          <w:b/>
                          <w:sz w:val="44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b/>
                          <w:sz w:val="44"/>
                        </w:rPr>
                        <w:t>DB</w:t>
                      </w:r>
                      <w:r>
                        <w:rPr>
                          <w:rFonts w:ascii="Times New Roman" w:hAnsi="Times New Roman" w:eastAsia="宋体"/>
                          <w:b/>
                          <w:sz w:val="44"/>
                        </w:rPr>
                        <w:t>13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宋体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宋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84455</wp:posOffset>
                </wp:positionV>
                <wp:extent cx="1150620" cy="650875"/>
                <wp:effectExtent l="0" t="0" r="4445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062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eastAsia="宋体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/>
                                <w:sz w:val="22"/>
                              </w:rPr>
                              <w:t xml:space="preserve">ICS </w:t>
                            </w:r>
                            <w:r>
                              <w:rPr>
                                <w:rFonts w:ascii="Times New Roman" w:hAnsi="Times New Roman" w:eastAsia="宋体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rPr>
                                <w:rFonts w:ascii="Times New Roman" w:hAnsi="Times New Roman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/>
                                <w:sz w:val="22"/>
                              </w:rPr>
                              <w:t>CCS</w:t>
                            </w:r>
                            <w:r>
                              <w:rPr>
                                <w:rFonts w:ascii="Times New Roman" w:hAnsi="Times New Roman" w:eastAsia="宋体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45pt;margin-top:6.65pt;height:51.25pt;width:90.6pt;z-index:251659264;mso-width-relative:page;mso-height-relative:page;" fillcolor="#FFFFFF" filled="t" stroked="f" coordsize="21600,21600" o:gfxdata="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nCWYPXAAAACgEAAA8AAAAAAAAAAQAgAAAAIgAAAGRycy9k&#10;b3ducmV2LnhtbFBLAQIUABQAAAAIAIdO4kAUt8IAAwIAAOMDAAAOAAAAAAAAAAEAIAAAACYBAABk&#10;cnMvZTJvRG9jLnhtbFBLBQYAAAAABgAGAFkBAACb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eastAsia="宋体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sz w:val="22"/>
                        </w:rPr>
                        <w:t xml:space="preserve">ICS </w:t>
                      </w:r>
                      <w:r>
                        <w:rPr>
                          <w:rFonts w:ascii="Times New Roman" w:hAnsi="Times New Roman" w:eastAsia="宋体"/>
                          <w:sz w:val="22"/>
                        </w:rPr>
                        <w:t xml:space="preserve"> </w:t>
                      </w:r>
                    </w:p>
                    <w:p>
                      <w:pPr>
                        <w:rPr>
                          <w:rFonts w:ascii="Times New Roman" w:hAnsi="Times New Roman" w:eastAsia="宋体"/>
                          <w:sz w:val="22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sz w:val="22"/>
                        </w:rPr>
                        <w:t>CCS</w:t>
                      </w:r>
                      <w:r>
                        <w:rPr>
                          <w:rFonts w:ascii="Times New Roman" w:hAnsi="Times New Roman" w:eastAsia="宋体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宋体"/>
          <w:b/>
          <w:sz w:val="24"/>
        </w:rPr>
        <w:t xml:space="preserve">   </w:t>
      </w:r>
    </w:p>
    <w:p>
      <w:pPr>
        <w:keepNext/>
        <w:keepLines/>
        <w:spacing w:before="260" w:after="260"/>
        <w:ind w:left="105" w:right="105"/>
        <w:jc w:val="center"/>
        <w:rPr>
          <w:rFonts w:ascii="Times New Roman" w:hAnsi="Times New Roman" w:eastAsia="宋体"/>
          <w:b/>
          <w:sz w:val="24"/>
        </w:rPr>
      </w:pPr>
      <w:r>
        <w:rPr>
          <w:rFonts w:ascii="Times New Roman" w:hAnsi="Times New Roman" w:eastAsia="宋体"/>
          <w:b/>
          <w:sz w:val="24"/>
        </w:rPr>
        <w:t xml:space="preserve">                      </w:t>
      </w:r>
    </w:p>
    <w:p>
      <w:pPr>
        <w:keepNext/>
        <w:keepLines/>
        <w:spacing w:before="260" w:after="260"/>
        <w:ind w:left="105" w:right="105"/>
        <w:jc w:val="center"/>
        <w:rPr>
          <w:rFonts w:ascii="Times New Roman" w:hAnsi="Times New Roman" w:eastAsia="宋体"/>
          <w:b/>
          <w:sz w:val="52"/>
        </w:rPr>
      </w:pPr>
      <w:r>
        <w:rPr>
          <w:rFonts w:ascii="Times New Roman" w:hAnsi="Times New Roman" w:eastAsia="宋体"/>
          <w:b/>
          <w:sz w:val="52"/>
        </w:rPr>
        <w:t>河 北 省 地 方 标 准</w:t>
      </w:r>
    </w:p>
    <w:p>
      <w:pPr>
        <w:jc w:val="right"/>
        <w:rPr>
          <w:rFonts w:ascii="Times New Roman" w:hAnsi="Times New Roman" w:eastAsia="宋体"/>
        </w:rPr>
      </w:pPr>
      <w:r>
        <w:rPr>
          <w:rFonts w:ascii="Times New Roman" w:hAnsi="Times New Roman" w:eastAsia="宋体"/>
          <w:sz w:val="40"/>
        </w:rPr>
        <w:t>DB****</w:t>
      </w:r>
      <w:r>
        <w:rPr>
          <w:rFonts w:ascii="Times New Roman" w:hAnsi="Times New Roman" w:eastAsia="宋体"/>
          <w:sz w:val="52"/>
        </w:rPr>
        <w:t xml:space="preserve"> </w:t>
      </w:r>
    </w:p>
    <w:p>
      <w:pPr>
        <w:rPr>
          <w:rFonts w:ascii="Times New Roman" w:hAnsi="Times New Roman" w:eastAsia="宋体"/>
        </w:rPr>
      </w:pPr>
      <w:r>
        <w:rPr>
          <w:rFonts w:ascii="Times New Roman" w:hAnsi="Times New Roman" w:eastAsia="宋体"/>
          <w:u w:val="single"/>
        </w:rPr>
        <w:t xml:space="preserve">                                                                                </w:t>
      </w:r>
    </w:p>
    <w:p>
      <w:pPr>
        <w:keepNext/>
        <w:keepLines/>
        <w:spacing w:before="260" w:after="260"/>
        <w:ind w:left="105" w:right="105"/>
        <w:jc w:val="center"/>
        <w:rPr>
          <w:rFonts w:ascii="Times New Roman" w:hAnsi="Times New Roman" w:eastAsia="宋体"/>
          <w:b/>
          <w:sz w:val="52"/>
        </w:rPr>
      </w:pPr>
      <w:r>
        <w:rPr>
          <w:rFonts w:ascii="Times New Roman" w:hAnsi="Times New Roman" w:eastAsia="宋体"/>
          <w:b/>
          <w:sz w:val="52"/>
        </w:rPr>
        <w:t xml:space="preserve"> </w:t>
      </w:r>
    </w:p>
    <w:p>
      <w:pPr>
        <w:rPr>
          <w:rFonts w:ascii="Times New Roman" w:hAnsi="Times New Roman" w:eastAsia="宋体"/>
        </w:rPr>
      </w:pP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  <w:r>
        <w:rPr>
          <w:rFonts w:hint="eastAsia" w:ascii="Times New Roman" w:hAnsi="Times New Roman" w:eastAsia="黑体"/>
          <w:sz w:val="52"/>
        </w:rPr>
        <w:t>高品质设施西甜瓜施肥技术规程</w:t>
      </w: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</w:p>
    <w:p>
      <w:pPr>
        <w:widowControl/>
        <w:jc w:val="center"/>
        <w:rPr>
          <w:rFonts w:ascii="Times New Roman" w:hAnsi="Times New Roman" w:eastAsia="宋体"/>
          <w:color w:val="000000"/>
          <w:sz w:val="31"/>
        </w:rPr>
      </w:pPr>
    </w:p>
    <w:p>
      <w:pPr>
        <w:widowControl/>
        <w:jc w:val="center"/>
        <w:rPr>
          <w:rFonts w:ascii="Times New Roman" w:hAnsi="Times New Roman" w:eastAsia="宋体"/>
        </w:rPr>
      </w:pPr>
    </w:p>
    <w:p>
      <w:pPr>
        <w:keepNext/>
        <w:keepLines/>
        <w:spacing w:before="260" w:after="260"/>
        <w:ind w:left="105" w:right="105"/>
        <w:jc w:val="center"/>
        <w:rPr>
          <w:rFonts w:ascii="Times New Roman" w:hAnsi="Times New Roman" w:eastAsia="宋体"/>
          <w:b/>
          <w:sz w:val="44"/>
        </w:rPr>
      </w:pPr>
    </w:p>
    <w:p>
      <w:pPr>
        <w:keepNext/>
        <w:keepLines/>
        <w:spacing w:before="260" w:after="260"/>
        <w:ind w:left="105" w:right="105"/>
        <w:jc w:val="center"/>
        <w:rPr>
          <w:rFonts w:ascii="Times New Roman" w:hAnsi="Times New Roman" w:eastAsia="宋体"/>
          <w:b/>
          <w:sz w:val="44"/>
        </w:rPr>
      </w:pPr>
      <w:r>
        <w:rPr>
          <w:rFonts w:ascii="Times New Roman" w:hAnsi="Times New Roman" w:eastAsia="宋体"/>
          <w:b/>
          <w:sz w:val="44"/>
        </w:rPr>
        <w:t>（</w:t>
      </w:r>
      <w:r>
        <w:rPr>
          <w:rFonts w:hint="eastAsia" w:ascii="Times New Roman" w:hAnsi="Times New Roman" w:eastAsia="宋体"/>
          <w:b/>
          <w:sz w:val="44"/>
        </w:rPr>
        <w:t>征求意见稿</w:t>
      </w:r>
      <w:r>
        <w:rPr>
          <w:rFonts w:ascii="Times New Roman" w:hAnsi="Times New Roman" w:eastAsia="宋体"/>
          <w:b/>
          <w:sz w:val="44"/>
        </w:rPr>
        <w:t>）</w:t>
      </w:r>
    </w:p>
    <w:p>
      <w:pPr>
        <w:rPr>
          <w:rFonts w:ascii="Times New Roman" w:hAnsi="Times New Roman" w:eastAsia="宋体"/>
          <w:sz w:val="52"/>
        </w:rPr>
      </w:pPr>
    </w:p>
    <w:p>
      <w:pPr>
        <w:rPr>
          <w:rFonts w:ascii="Times New Roman" w:hAnsi="Times New Roman" w:eastAsia="宋体"/>
          <w:sz w:val="28"/>
          <w:u w:val="single"/>
        </w:rPr>
      </w:pPr>
      <w:r>
        <w:rPr>
          <w:rFonts w:ascii="Times New Roman" w:hAnsi="Times New Roman" w:eastAsia="宋体"/>
          <w:sz w:val="28"/>
          <w:u w:val="single"/>
        </w:rPr>
        <w:t xml:space="preserve"> 202</w:t>
      </w:r>
      <w:r>
        <w:rPr>
          <w:rFonts w:ascii="Times New Roman" w:hAnsi="Times New Roman" w:eastAsia="微软雅黑"/>
          <w:sz w:val="28"/>
          <w:u w:val="single"/>
        </w:rPr>
        <w:t>×</w:t>
      </w:r>
      <w:r>
        <w:rPr>
          <w:rFonts w:ascii="Times New Roman" w:hAnsi="Times New Roman" w:eastAsia="宋体"/>
          <w:sz w:val="28"/>
          <w:u w:val="single"/>
        </w:rPr>
        <w:t xml:space="preserve">-**-** </w:t>
      </w:r>
      <w:r>
        <w:rPr>
          <w:rFonts w:ascii="Times New Roman" w:hAnsi="Times New Roman" w:eastAsia="黑体"/>
          <w:sz w:val="28"/>
          <w:u w:val="single"/>
        </w:rPr>
        <w:t>发布</w:t>
      </w:r>
      <w:r>
        <w:rPr>
          <w:rFonts w:ascii="Times New Roman" w:hAnsi="Times New Roman" w:eastAsia="宋体"/>
          <w:sz w:val="28"/>
          <w:u w:val="single"/>
        </w:rPr>
        <w:t xml:space="preserve">                             202</w:t>
      </w:r>
      <w:r>
        <w:rPr>
          <w:rFonts w:ascii="Times New Roman" w:hAnsi="Times New Roman" w:eastAsia="微软雅黑"/>
          <w:sz w:val="28"/>
          <w:u w:val="single"/>
        </w:rPr>
        <w:t>×</w:t>
      </w:r>
      <w:r>
        <w:rPr>
          <w:rFonts w:ascii="Times New Roman" w:hAnsi="Times New Roman" w:eastAsia="宋体"/>
          <w:sz w:val="28"/>
          <w:u w:val="single"/>
        </w:rPr>
        <w:t>-</w:t>
      </w:r>
      <w:r>
        <w:rPr>
          <w:rFonts w:ascii="Times New Roman" w:hAnsi="Times New Roman" w:eastAsia="微软雅黑"/>
          <w:sz w:val="28"/>
          <w:u w:val="single"/>
        </w:rPr>
        <w:t>××</w:t>
      </w:r>
      <w:r>
        <w:rPr>
          <w:rFonts w:ascii="Times New Roman" w:hAnsi="Times New Roman" w:eastAsia="宋体"/>
          <w:sz w:val="28"/>
          <w:u w:val="single"/>
        </w:rPr>
        <w:t>-</w:t>
      </w:r>
      <w:r>
        <w:rPr>
          <w:rFonts w:ascii="Times New Roman" w:hAnsi="Times New Roman" w:eastAsia="微软雅黑"/>
          <w:sz w:val="28"/>
          <w:u w:val="single"/>
        </w:rPr>
        <w:t>××</w:t>
      </w:r>
      <w:r>
        <w:rPr>
          <w:rFonts w:ascii="Times New Roman" w:hAnsi="Times New Roman" w:eastAsia="宋体"/>
          <w:sz w:val="28"/>
          <w:u w:val="single"/>
        </w:rPr>
        <w:t xml:space="preserve">实施   </w:t>
      </w:r>
    </w:p>
    <w:p>
      <w:pPr>
        <w:jc w:val="center"/>
        <w:sectPr>
          <w:pgSz w:w="11906" w:h="16838"/>
          <w:pgMar w:top="1440" w:right="17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宋体"/>
          <w:b/>
          <w:sz w:val="36"/>
        </w:rPr>
        <w:t>河北省市场监督管理局  发布</w:t>
      </w:r>
    </w:p>
    <w:p>
      <w:pPr>
        <w:pStyle w:val="7"/>
        <w:widowControl/>
        <w:spacing w:before="312" w:beforeLines="100" w:beforeAutospacing="0" w:after="312" w:afterLines="100" w:afterAutospacing="0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ascii="黑体" w:hAnsi="黑体" w:eastAsia="黑体"/>
          <w:color w:val="000000"/>
          <w:sz w:val="28"/>
          <w:szCs w:val="28"/>
        </w:rPr>
        <w:t>前 言</w:t>
      </w:r>
    </w:p>
    <w:p>
      <w:pPr>
        <w:pStyle w:val="7"/>
        <w:widowControl/>
        <w:spacing w:before="0" w:beforeAutospacing="0" w:after="0" w:afterAutospacing="0" w:line="440" w:lineRule="exact"/>
        <w:ind w:firstLine="480" w:firstLineChars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本标准按照GB/T 1.1-2020给出的规则起草。</w:t>
      </w:r>
    </w:p>
    <w:p>
      <w:pPr>
        <w:pStyle w:val="7"/>
        <w:widowControl/>
        <w:spacing w:before="0" w:beforeAutospacing="0" w:after="0" w:afterAutospacing="0" w:line="440" w:lineRule="exact"/>
        <w:ind w:firstLine="480" w:firstLineChars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本标准由河北省农业农村厅</w:t>
      </w:r>
      <w:r>
        <w:rPr>
          <w:rFonts w:hint="eastAsia" w:ascii="Times New Roman"/>
          <w:color w:val="000000"/>
        </w:rPr>
        <w:t>提出并归口</w:t>
      </w:r>
      <w:r>
        <w:rPr>
          <w:rFonts w:ascii="Times New Roman" w:hAnsi="Times New Roman"/>
        </w:rPr>
        <w:t>。</w:t>
      </w:r>
    </w:p>
    <w:p>
      <w:pPr>
        <w:pStyle w:val="7"/>
        <w:widowControl/>
        <w:spacing w:before="0" w:beforeAutospacing="0" w:after="0" w:afterAutospacing="0" w:line="440" w:lineRule="exact"/>
        <w:ind w:firstLine="480" w:firstLineChars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本标准起草单位：河北省农业科学院农业资源环境研究所、河北省设施果蔬产业</w:t>
      </w:r>
      <w:r>
        <w:rPr>
          <w:rFonts w:hint="eastAsia" w:ascii="Times New Roman" w:hAnsi="Times New Roman"/>
        </w:rPr>
        <w:t>技术</w:t>
      </w:r>
      <w:r>
        <w:rPr>
          <w:rFonts w:ascii="Times New Roman" w:hAnsi="Times New Roman"/>
        </w:rPr>
        <w:t xml:space="preserve">研究院。 </w:t>
      </w:r>
    </w:p>
    <w:p>
      <w:pPr>
        <w:pStyle w:val="7"/>
        <w:widowControl/>
        <w:spacing w:before="0" w:beforeAutospacing="0" w:after="0" w:afterAutospacing="0" w:line="440" w:lineRule="exact"/>
        <w:ind w:firstLine="480" w:firstLineChars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本标准主要起草人：刘蕾，王凌，肖广敏，茹淑华，孙世友，王策，</w:t>
      </w:r>
      <w:r>
        <w:rPr>
          <w:rFonts w:hint="eastAsia" w:ascii="Times New Roman" w:hAnsi="Times New Roman"/>
        </w:rPr>
        <w:t>宋金华，李晓雷，</w:t>
      </w:r>
      <w:r>
        <w:rPr>
          <w:rFonts w:ascii="Times New Roman" w:hAnsi="Times New Roman"/>
        </w:rPr>
        <w:t>郜静，李玭</w:t>
      </w:r>
      <w:r>
        <w:rPr>
          <w:rFonts w:hint="eastAsia" w:ascii="Times New Roman" w:hAnsi="Times New Roman"/>
        </w:rPr>
        <w:t>，</w:t>
      </w:r>
      <w:r>
        <w:rPr>
          <w:rFonts w:ascii="Times New Roman" w:hAnsi="Times New Roman"/>
        </w:rPr>
        <w:t>张国印。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before="468" w:beforeLines="150" w:after="312" w:afterLines="100" w:line="360" w:lineRule="auto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高品质设施西甜瓜施肥技术规程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>1 范围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本标准规定了高品质设施西</w:t>
      </w:r>
      <w:r>
        <w:rPr>
          <w:rFonts w:hint="eastAsia" w:ascii="Times New Roman" w:hAnsi="Times New Roman" w:eastAsia="宋体" w:cs="Times New Roman"/>
          <w:color w:val="000000"/>
          <w:sz w:val="24"/>
        </w:rPr>
        <w:t>甜瓜生产过程中肥料施用的</w:t>
      </w:r>
      <w:r>
        <w:rPr>
          <w:rFonts w:ascii="Times New Roman" w:hAnsi="Times New Roman" w:eastAsia="宋体" w:cs="Times New Roman"/>
          <w:color w:val="000000"/>
          <w:sz w:val="24"/>
        </w:rPr>
        <w:t>原则</w:t>
      </w:r>
      <w:r>
        <w:rPr>
          <w:rFonts w:hint="eastAsia" w:ascii="Times New Roman" w:hAnsi="Times New Roman" w:eastAsia="宋体" w:cs="Times New Roman"/>
          <w:color w:val="000000"/>
          <w:sz w:val="24"/>
        </w:rPr>
        <w:t>、</w:t>
      </w:r>
      <w:r>
        <w:rPr>
          <w:rFonts w:ascii="Times New Roman" w:hAnsi="Times New Roman" w:eastAsia="宋体" w:cs="Times New Roman"/>
          <w:color w:val="000000"/>
          <w:sz w:val="24"/>
        </w:rPr>
        <w:t>种类、用量、时期</w:t>
      </w:r>
      <w:r>
        <w:rPr>
          <w:rFonts w:hint="eastAsia" w:ascii="Times New Roman" w:hAnsi="Times New Roman" w:eastAsia="宋体" w:cs="Times New Roman"/>
          <w:color w:val="000000"/>
          <w:sz w:val="24"/>
        </w:rPr>
        <w:t>和</w:t>
      </w:r>
      <w:r>
        <w:rPr>
          <w:rFonts w:ascii="Times New Roman" w:hAnsi="Times New Roman" w:eastAsia="宋体" w:cs="Times New Roman"/>
          <w:color w:val="000000"/>
          <w:sz w:val="24"/>
        </w:rPr>
        <w:t>方法等技术要求。</w:t>
      </w:r>
    </w:p>
    <w:p>
      <w:pPr>
        <w:spacing w:line="440" w:lineRule="exact"/>
        <w:ind w:firstLine="480" w:firstLineChars="200"/>
        <w:rPr>
          <w:rFonts w:eastAsia="宋体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本标准</w:t>
      </w:r>
      <w:r>
        <w:rPr>
          <w:rFonts w:hint="eastAsia" w:eastAsia="宋体"/>
          <w:color w:val="000000"/>
          <w:sz w:val="24"/>
        </w:rPr>
        <w:t>适用于河北省</w:t>
      </w:r>
      <w:r>
        <w:rPr>
          <w:rFonts w:ascii="Times New Roman" w:hAnsi="Times New Roman" w:eastAsia="宋体" w:cs="Times New Roman"/>
          <w:color w:val="000000"/>
          <w:sz w:val="24"/>
        </w:rPr>
        <w:t>山前平原和低平原区设施西</w:t>
      </w:r>
      <w:r>
        <w:rPr>
          <w:rFonts w:hint="eastAsia" w:ascii="Times New Roman" w:hAnsi="Times New Roman" w:eastAsia="宋体" w:cs="Times New Roman"/>
          <w:color w:val="000000"/>
          <w:sz w:val="24"/>
        </w:rPr>
        <w:t>甜瓜</w:t>
      </w:r>
      <w:r>
        <w:rPr>
          <w:rFonts w:hint="eastAsia" w:eastAsia="宋体"/>
          <w:color w:val="000000"/>
          <w:sz w:val="24"/>
        </w:rPr>
        <w:t>种植区（施肥管理）。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 xml:space="preserve">2 规范性引用文件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下列文件对于本文件的应用是必不可少的。凡是注明日期的引用文件，仅注明日期的版本适用于本文件。凡是不注明日期的引用文件，其最新版本（包括所有的修改单）适用于本文件。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GB 5084 </w:t>
      </w:r>
      <w:r>
        <w:rPr>
          <w:rFonts w:hint="eastAsia" w:ascii="Times New Roman" w:hAnsi="Times New Roman" w:eastAsia="宋体" w:cs="Times New Roman"/>
          <w:color w:val="000000"/>
          <w:sz w:val="24"/>
        </w:rPr>
        <w:t>农田灌溉水质量标准要求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GB 15063 </w:t>
      </w:r>
      <w:r>
        <w:rPr>
          <w:rFonts w:hint="eastAsia" w:ascii="Times New Roman" w:hAnsi="Times New Roman" w:eastAsia="宋体" w:cs="Times New Roman"/>
          <w:color w:val="000000"/>
          <w:sz w:val="24"/>
        </w:rPr>
        <w:t>复混肥料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GB 20287 </w:t>
      </w:r>
      <w:r>
        <w:rPr>
          <w:rFonts w:hint="eastAsia" w:ascii="Times New Roman" w:hAnsi="Times New Roman" w:eastAsia="宋体" w:cs="Times New Roman"/>
          <w:color w:val="000000"/>
          <w:sz w:val="24"/>
        </w:rPr>
        <w:t>农用微生物菌剂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NY/T 496 </w:t>
      </w:r>
      <w:r>
        <w:rPr>
          <w:rFonts w:hint="eastAsia" w:ascii="Times New Roman" w:hAnsi="Times New Roman" w:eastAsia="宋体" w:cs="Times New Roman"/>
          <w:color w:val="000000"/>
          <w:sz w:val="24"/>
        </w:rPr>
        <w:t>肥料合理使用准则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4"/>
        </w:rPr>
        <w:t>通则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 525 </w:t>
      </w:r>
      <w:r>
        <w:rPr>
          <w:rFonts w:hint="eastAsia" w:ascii="Times New Roman" w:hAnsi="Times New Roman" w:eastAsia="宋体" w:cs="Times New Roman"/>
          <w:color w:val="000000"/>
          <w:sz w:val="24"/>
        </w:rPr>
        <w:t>有机肥料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NY/T 391 </w:t>
      </w:r>
      <w:r>
        <w:rPr>
          <w:rFonts w:hint="eastAsia" w:ascii="Times New Roman" w:hAnsi="Times New Roman" w:eastAsia="宋体" w:cs="Times New Roman"/>
          <w:color w:val="000000"/>
          <w:sz w:val="24"/>
        </w:rPr>
        <w:t>绿色食品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4"/>
        </w:rPr>
        <w:t>产地环境质量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 884 </w:t>
      </w:r>
      <w:r>
        <w:rPr>
          <w:rFonts w:hint="eastAsia" w:ascii="Times New Roman" w:hAnsi="Times New Roman" w:eastAsia="宋体" w:cs="Times New Roman"/>
          <w:color w:val="000000"/>
          <w:sz w:val="24"/>
        </w:rPr>
        <w:t>生物有机肥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 1107 </w:t>
      </w:r>
      <w:r>
        <w:rPr>
          <w:rFonts w:hint="eastAsia" w:ascii="Times New Roman" w:hAnsi="Times New Roman" w:eastAsia="宋体" w:cs="Times New Roman"/>
          <w:color w:val="000000"/>
          <w:sz w:val="24"/>
        </w:rPr>
        <w:t>大量元素水溶肥料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 2266 </w:t>
      </w:r>
      <w:r>
        <w:rPr>
          <w:rFonts w:hint="eastAsia" w:ascii="Times New Roman" w:hAnsi="Times New Roman" w:eastAsia="宋体" w:cs="Times New Roman"/>
          <w:color w:val="000000"/>
          <w:sz w:val="24"/>
        </w:rPr>
        <w:t>中量元素水溶肥料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NY 1428 </w:t>
      </w:r>
      <w:r>
        <w:rPr>
          <w:rFonts w:hint="eastAsia" w:ascii="Times New Roman" w:hAnsi="Times New Roman" w:eastAsia="宋体" w:cs="Times New Roman"/>
          <w:color w:val="000000"/>
          <w:sz w:val="24"/>
        </w:rPr>
        <w:t>微量元素水溶肥料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 xml:space="preserve">3 术语和定义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下列术语和定义适用于本文件。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hint="eastAsia" w:ascii="Times New Roman" w:hAnsi="Times New Roman" w:cs="Times New Roman"/>
          <w:b/>
          <w:color w:val="000000"/>
          <w:sz w:val="24"/>
        </w:rPr>
        <w:t>3.1 高品质西瓜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可溶性固形物≥1</w:t>
      </w:r>
      <w:r>
        <w:rPr>
          <w:rFonts w:ascii="Times New Roman" w:hAnsi="Times New Roman" w:eastAsia="宋体" w:cs="Times New Roman"/>
          <w:color w:val="000000"/>
          <w:sz w:val="24"/>
        </w:rPr>
        <w:t>1.0%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，总酸度≤0.</w:t>
      </w:r>
      <w:r>
        <w:rPr>
          <w:rFonts w:ascii="Times New Roman" w:hAnsi="Times New Roman" w:eastAsia="宋体" w:cs="Times New Roman"/>
          <w:color w:val="000000"/>
          <w:sz w:val="24"/>
        </w:rPr>
        <w:t>15%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，维生素</w:t>
      </w:r>
      <w:r>
        <w:rPr>
          <w:rFonts w:ascii="Times New Roman" w:hAnsi="Times New Roman" w:eastAsia="宋体" w:cs="Times New Roman"/>
          <w:color w:val="000000"/>
          <w:sz w:val="24"/>
        </w:rPr>
        <w:t>C</w:t>
      </w:r>
      <w:r>
        <w:rPr>
          <w:rFonts w:hint="eastAsia" w:ascii="Times New Roman" w:hAnsi="Times New Roman" w:eastAsia="宋体" w:cs="Times New Roman"/>
          <w:color w:val="000000"/>
          <w:sz w:val="24"/>
        </w:rPr>
        <w:t>≥</w:t>
      </w:r>
      <w:r>
        <w:rPr>
          <w:rFonts w:ascii="Times New Roman" w:hAnsi="Times New Roman" w:eastAsia="宋体" w:cs="Times New Roman"/>
          <w:color w:val="000000"/>
          <w:sz w:val="24"/>
        </w:rPr>
        <w:t>18 mg/kg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，表面平滑，无裂纹、无机械损伤，果瓤色泽鲜艳，单果重</w:t>
      </w:r>
      <w:r>
        <w:rPr>
          <w:rFonts w:ascii="Times New Roman" w:hAnsi="Times New Roman" w:eastAsia="宋体" w:cs="Times New Roman"/>
          <w:color w:val="000000"/>
          <w:sz w:val="24"/>
        </w:rPr>
        <w:t>1~4 kg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，果皮厚度适中，甘甜、多汁、爽口的西瓜。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hint="eastAsia" w:ascii="Times New Roman" w:hAnsi="Times New Roman" w:cs="Times New Roman"/>
          <w:b/>
          <w:color w:val="000000"/>
          <w:sz w:val="24"/>
        </w:rPr>
        <w:t xml:space="preserve">3.2 </w:t>
      </w:r>
      <w:r>
        <w:rPr>
          <w:rFonts w:ascii="Times New Roman" w:hAnsi="Times New Roman" w:cs="Times New Roman"/>
          <w:b/>
          <w:color w:val="000000"/>
          <w:sz w:val="24"/>
        </w:rPr>
        <w:t>高品质甜瓜（厚皮）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可溶性固形物≥10.0%，总酸度≤0.2%，维生素</w:t>
      </w:r>
      <w:r>
        <w:rPr>
          <w:rFonts w:ascii="Times New Roman" w:hAnsi="Times New Roman" w:eastAsia="宋体" w:cs="Times New Roman"/>
          <w:color w:val="000000"/>
          <w:sz w:val="24"/>
        </w:rPr>
        <w:t>C</w:t>
      </w:r>
      <w:r>
        <w:rPr>
          <w:rFonts w:hint="eastAsia" w:ascii="Times New Roman" w:hAnsi="Times New Roman" w:eastAsia="宋体" w:cs="Times New Roman"/>
          <w:color w:val="000000"/>
          <w:sz w:val="24"/>
        </w:rPr>
        <w:t>≥</w:t>
      </w:r>
      <w:r>
        <w:rPr>
          <w:rFonts w:ascii="Times New Roman" w:hAnsi="Times New Roman" w:eastAsia="宋体" w:cs="Times New Roman"/>
          <w:color w:val="000000"/>
          <w:sz w:val="24"/>
        </w:rPr>
        <w:t>18 mg/kg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，表皮清洁无伤、无斑、色泽度好，单果重</w:t>
      </w:r>
      <w:r>
        <w:rPr>
          <w:rFonts w:ascii="Times New Roman" w:hAnsi="Times New Roman" w:eastAsia="宋体" w:cs="Times New Roman"/>
          <w:color w:val="000000"/>
          <w:sz w:val="24"/>
        </w:rPr>
        <w:t>0.2~0.5 kg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，果肉厚度≥2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cm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，质地酥脆、汁多清甜的甜瓜。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>4 产地环境要求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产地环境条件应符合NY/T 391的要求。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 xml:space="preserve">5 </w:t>
      </w:r>
      <w:r>
        <w:rPr>
          <w:rFonts w:hint="eastAsia" w:ascii="Times New Roman" w:hAnsi="Times New Roman" w:eastAsia="黑体" w:cs="Times New Roman"/>
          <w:b/>
          <w:sz w:val="24"/>
          <w:szCs w:val="24"/>
        </w:rPr>
        <w:t>生产管理措施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除肥水管理外，按照DB 1311/T 013-2021、DB 1302/T 504-2019的规定执行。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hint="eastAsia" w:ascii="Times New Roman" w:hAnsi="Times New Roman" w:eastAsia="黑体" w:cs="Times New Roman"/>
          <w:b/>
          <w:sz w:val="24"/>
          <w:szCs w:val="24"/>
        </w:rPr>
        <w:t>6 水分管理</w:t>
      </w:r>
      <w:r>
        <w:rPr>
          <w:rFonts w:ascii="Times New Roman" w:hAnsi="Times New Roman" w:eastAsia="黑体" w:cs="Times New Roman"/>
          <w:b/>
          <w:sz w:val="24"/>
          <w:szCs w:val="24"/>
        </w:rPr>
        <w:t> 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6.1 </w:t>
      </w:r>
      <w:r>
        <w:rPr>
          <w:rFonts w:hint="eastAsia" w:ascii="Times New Roman" w:hAnsi="Times New Roman" w:cs="Times New Roman"/>
          <w:b/>
          <w:color w:val="000000"/>
          <w:sz w:val="24"/>
        </w:rPr>
        <w:t>西瓜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按照</w:t>
      </w:r>
      <w:r>
        <w:rPr>
          <w:rFonts w:ascii="Times New Roman" w:hAnsi="Times New Roman" w:eastAsia="宋体" w:cs="Times New Roman"/>
          <w:color w:val="000000"/>
          <w:sz w:val="24"/>
        </w:rPr>
        <w:t>DB 13/T 2908-2018</w:t>
      </w:r>
      <w:r>
        <w:rPr>
          <w:rFonts w:hint="eastAsia" w:ascii="Times New Roman" w:hAnsi="Times New Roman" w:eastAsia="宋体" w:cs="Times New Roman"/>
          <w:color w:val="000000"/>
          <w:sz w:val="24"/>
        </w:rPr>
        <w:t>、</w:t>
      </w:r>
      <w:r>
        <w:rPr>
          <w:rFonts w:ascii="Times New Roman" w:hAnsi="Times New Roman" w:eastAsia="宋体" w:cs="Times New Roman"/>
          <w:color w:val="000000"/>
          <w:sz w:val="24"/>
        </w:rPr>
        <w:t>DB 1409/T 23-2021</w:t>
      </w:r>
      <w:r>
        <w:rPr>
          <w:rFonts w:hint="eastAsia" w:ascii="Times New Roman" w:hAnsi="Times New Roman" w:eastAsia="宋体" w:cs="Times New Roman"/>
          <w:color w:val="000000"/>
          <w:sz w:val="24"/>
        </w:rPr>
        <w:t>进行水分管理。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6.2 </w:t>
      </w:r>
      <w:r>
        <w:rPr>
          <w:rFonts w:hint="eastAsia" w:ascii="Times New Roman" w:hAnsi="Times New Roman" w:cs="Times New Roman"/>
          <w:b/>
          <w:color w:val="000000"/>
          <w:sz w:val="24"/>
        </w:rPr>
        <w:t>甜瓜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按照</w:t>
      </w:r>
      <w:r>
        <w:rPr>
          <w:rFonts w:ascii="Times New Roman" w:hAnsi="Times New Roman" w:eastAsia="宋体" w:cs="Times New Roman"/>
          <w:color w:val="000000"/>
          <w:sz w:val="24"/>
        </w:rPr>
        <w:t>DB 13/T 5347-2021</w:t>
      </w:r>
      <w:r>
        <w:rPr>
          <w:rFonts w:hint="eastAsia" w:ascii="Times New Roman" w:hAnsi="Times New Roman" w:eastAsia="宋体" w:cs="Times New Roman"/>
          <w:color w:val="000000"/>
          <w:sz w:val="24"/>
        </w:rPr>
        <w:t>、</w:t>
      </w:r>
      <w:r>
        <w:rPr>
          <w:rFonts w:ascii="Times New Roman" w:hAnsi="Times New Roman" w:eastAsia="宋体" w:cs="Times New Roman"/>
          <w:color w:val="000000"/>
          <w:sz w:val="24"/>
        </w:rPr>
        <w:t>DB 13/T 2437-2017</w:t>
      </w:r>
      <w:r>
        <w:rPr>
          <w:rFonts w:hint="eastAsia" w:ascii="Times New Roman" w:hAnsi="Times New Roman" w:eastAsia="宋体" w:cs="Times New Roman"/>
          <w:color w:val="000000"/>
          <w:sz w:val="24"/>
        </w:rPr>
        <w:t>进行水分管理。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hint="eastAsia" w:ascii="Times New Roman" w:hAnsi="Times New Roman" w:eastAsia="黑体" w:cs="Times New Roman"/>
          <w:b/>
          <w:sz w:val="24"/>
          <w:szCs w:val="24"/>
        </w:rPr>
        <w:t>7</w:t>
      </w:r>
      <w:r>
        <w:rPr>
          <w:rFonts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="黑体" w:cs="Times New Roman"/>
          <w:b/>
          <w:sz w:val="24"/>
          <w:szCs w:val="24"/>
        </w:rPr>
        <w:t>肥料</w:t>
      </w:r>
      <w:r>
        <w:rPr>
          <w:rFonts w:ascii="Times New Roman" w:hAnsi="Times New Roman" w:eastAsia="黑体" w:cs="Times New Roman"/>
          <w:b/>
          <w:sz w:val="24"/>
          <w:szCs w:val="24"/>
        </w:rPr>
        <w:t>施用技术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7.1 </w:t>
      </w:r>
      <w:r>
        <w:rPr>
          <w:rFonts w:hint="eastAsia" w:ascii="Times New Roman" w:hAnsi="Times New Roman" w:cs="Times New Roman"/>
          <w:b/>
          <w:color w:val="000000"/>
          <w:sz w:val="24"/>
        </w:rPr>
        <w:t>施肥原则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总体原则：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/>
          <w:sz w:val="24"/>
        </w:rPr>
        <w:t>提高品质、养分共济、减源增效、环境友好。遵循有机无机配合，大量与中微量元素科学配比，保障产量、提高品质，防控农业面源污染，实现节本增效，农业绿色可持续发展。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7.2</w:t>
      </w:r>
      <w:r>
        <w:rPr>
          <w:rFonts w:hint="eastAsia" w:ascii="Times New Roman" w:hAnsi="Times New Roman" w:cs="Times New Roman"/>
          <w:b/>
          <w:color w:val="000000"/>
          <w:sz w:val="24"/>
        </w:rPr>
        <w:t>肥料种类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7.2.1 </w:t>
      </w:r>
      <w:r>
        <w:rPr>
          <w:rFonts w:hint="eastAsia" w:ascii="Times New Roman" w:hAnsi="Times New Roman" w:cs="Times New Roman"/>
          <w:b/>
          <w:color w:val="000000"/>
          <w:sz w:val="24"/>
        </w:rPr>
        <w:t>有机肥料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有机肥料包括商品有机肥和农家肥，商品有机肥应符合NY 525规定的要求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，农家肥应堆沤腐熟</w:t>
      </w:r>
      <w:r>
        <w:rPr>
          <w:rFonts w:ascii="Times New Roman" w:hAnsi="Times New Roman" w:eastAsia="宋体" w:cs="Times New Roman"/>
          <w:color w:val="000000"/>
          <w:sz w:val="24"/>
        </w:rPr>
        <w:t>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7.2.2</w:t>
      </w:r>
      <w:r>
        <w:rPr>
          <w:rFonts w:hint="eastAsia" w:ascii="Times New Roman" w:hAnsi="Times New Roman" w:cs="Times New Roman"/>
          <w:b/>
          <w:color w:val="000000"/>
          <w:sz w:val="24"/>
        </w:rPr>
        <w:t>复混肥料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复混肥料应符合GB 15063规定的要求。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7.2.3</w:t>
      </w:r>
      <w:r>
        <w:rPr>
          <w:rFonts w:hint="eastAsia" w:ascii="Times New Roman" w:hAnsi="Times New Roman" w:cs="Times New Roman"/>
          <w:b/>
          <w:color w:val="000000"/>
          <w:sz w:val="24"/>
        </w:rPr>
        <w:t>微生物肥料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微生物肥料包括农用微生物菌剂、生物有机肥，分别符合GB 20287、NY 884规定的要求。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7.2.4 </w:t>
      </w:r>
      <w:r>
        <w:rPr>
          <w:rFonts w:hint="eastAsia" w:ascii="Times New Roman" w:hAnsi="Times New Roman" w:cs="Times New Roman"/>
          <w:b/>
          <w:color w:val="000000"/>
          <w:sz w:val="24"/>
        </w:rPr>
        <w:t>水溶肥料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水溶肥料包括大量元素水溶肥料、中量元素水溶肥料、微量元素水溶肥料，分别符合NY 1107</w:t>
      </w:r>
      <w:r>
        <w:rPr>
          <w:rFonts w:hint="eastAsia" w:ascii="Times New Roman" w:hAnsi="Times New Roman" w:eastAsia="宋体" w:cs="Times New Roman"/>
          <w:color w:val="000000"/>
          <w:sz w:val="24"/>
        </w:rPr>
        <w:t>、</w:t>
      </w:r>
      <w:r>
        <w:rPr>
          <w:rFonts w:ascii="Times New Roman" w:hAnsi="Times New Roman" w:eastAsia="宋体" w:cs="Times New Roman"/>
          <w:color w:val="000000"/>
          <w:sz w:val="24"/>
        </w:rPr>
        <w:t>NY 2266和NY 1428的要求。</w:t>
      </w:r>
    </w:p>
    <w:p>
      <w:pPr>
        <w:widowControl/>
        <w:spacing w:before="156" w:beforeLines="50" w:line="440" w:lineRule="exact"/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7.3</w:t>
      </w:r>
      <w:r>
        <w:rPr>
          <w:rFonts w:hint="eastAsia" w:ascii="Times New Roman" w:hAnsi="Times New Roman" w:cs="Times New Roman"/>
          <w:b/>
          <w:color w:val="000000"/>
          <w:sz w:val="24"/>
        </w:rPr>
        <w:t>施用方法和施用量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7.3.1</w:t>
      </w:r>
      <w:r>
        <w:rPr>
          <w:rFonts w:hint="eastAsia" w:ascii="Times New Roman" w:hAnsi="Times New Roman" w:cs="Times New Roman"/>
          <w:b/>
          <w:color w:val="000000"/>
          <w:sz w:val="24"/>
        </w:rPr>
        <w:t>施用方法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设施西甜瓜施肥应符合</w:t>
      </w:r>
      <w:r>
        <w:rPr>
          <w:rFonts w:ascii="Times New Roman" w:hAnsi="Times New Roman" w:eastAsia="宋体" w:cs="Times New Roman"/>
          <w:color w:val="000000"/>
          <w:sz w:val="24"/>
        </w:rPr>
        <w:t>NY/T496</w:t>
      </w:r>
      <w:r>
        <w:rPr>
          <w:rFonts w:hint="eastAsia" w:ascii="Times New Roman" w:hAnsi="Times New Roman" w:eastAsia="宋体" w:cs="Times New Roman"/>
          <w:color w:val="000000"/>
          <w:sz w:val="24"/>
        </w:rPr>
        <w:t>的要求，根据作物不同生长时期，采用基肥、追肥和叶面喷施的方法。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7.3.2 </w:t>
      </w:r>
      <w:r>
        <w:rPr>
          <w:rFonts w:hint="eastAsia" w:ascii="Times New Roman" w:hAnsi="Times New Roman" w:cs="Times New Roman"/>
          <w:b/>
          <w:color w:val="000000"/>
          <w:sz w:val="24"/>
        </w:rPr>
        <w:t>基肥施用方法和施用量</w:t>
      </w:r>
      <w:r>
        <w:rPr>
          <w:rFonts w:ascii="Times New Roman" w:hAnsi="Times New Roman" w:cs="Times New Roman"/>
          <w:b/>
          <w:color w:val="000000"/>
          <w:sz w:val="24"/>
        </w:rPr>
        <w:t> 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种类包括有机肥料、复混肥料和微生物肥料，对于新棚（棚龄≤5年），每667 m</w:t>
      </w:r>
      <w:r>
        <w:rPr>
          <w:rFonts w:hint="eastAsia" w:ascii="Times New Roman" w:hAnsi="Times New Roman" w:eastAsia="宋体" w:cs="Times New Roman"/>
          <w:color w:val="000000"/>
          <w:sz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color w:val="000000"/>
          <w:sz w:val="24"/>
        </w:rPr>
        <w:t>施商品有机肥1500~2000 kg，或充分腐熟农家肥2000~3000 kg，复混肥（17-17-17） 30~40 kg；对于老棚（棚龄&gt;5年），每667 m</w:t>
      </w:r>
      <w:r>
        <w:rPr>
          <w:rFonts w:hint="eastAsia" w:ascii="Times New Roman" w:hAnsi="Times New Roman" w:eastAsia="宋体" w:cs="Times New Roman"/>
          <w:color w:val="000000"/>
          <w:sz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color w:val="000000"/>
          <w:sz w:val="24"/>
        </w:rPr>
        <w:t>施商品有机肥1000~1500 kg，或充分腐熟农家肥1500~2000 kg，复混肥（低磷）25~30 kg，</w:t>
      </w:r>
      <w:r>
        <w:rPr>
          <w:rFonts w:ascii="Times New Roman" w:hAnsi="Times New Roman" w:eastAsia="宋体" w:cs="Times New Roman"/>
          <w:color w:val="000000"/>
          <w:sz w:val="24"/>
        </w:rPr>
        <w:t>有机肥料和复合肥做为基肥一次性施入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</w:t>
      </w:r>
      <w:r>
        <w:rPr>
          <w:rFonts w:ascii="Times New Roman" w:hAnsi="Times New Roman" w:eastAsia="宋体" w:cs="Times New Roman"/>
          <w:color w:val="000000"/>
          <w:sz w:val="24"/>
        </w:rPr>
        <w:t>均匀撒在地表，利用机械翻</w:t>
      </w:r>
      <w:r>
        <w:rPr>
          <w:rFonts w:hint="eastAsia" w:ascii="Times New Roman" w:hAnsi="Times New Roman" w:eastAsia="宋体" w:cs="Times New Roman"/>
          <w:color w:val="000000"/>
          <w:sz w:val="24"/>
        </w:rPr>
        <w:t>耕</w:t>
      </w:r>
      <w:r>
        <w:rPr>
          <w:rFonts w:ascii="Times New Roman" w:hAnsi="Times New Roman" w:eastAsia="宋体" w:cs="Times New Roman"/>
          <w:color w:val="000000"/>
          <w:sz w:val="24"/>
        </w:rPr>
        <w:t>到地表15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</w:rPr>
        <w:t>cm以下，再耙平，做到土表细碎平整</w:t>
      </w:r>
      <w:r>
        <w:rPr>
          <w:rFonts w:hint="eastAsia" w:ascii="Times New Roman" w:hAnsi="Times New Roman" w:eastAsia="宋体" w:cs="Times New Roman"/>
          <w:color w:val="000000"/>
          <w:sz w:val="24"/>
        </w:rPr>
        <w:t>，并配合微生物肥料每</w:t>
      </w:r>
      <w:r>
        <w:rPr>
          <w:rFonts w:ascii="Times New Roman" w:hAnsi="Times New Roman" w:eastAsia="宋体" w:cs="Times New Roman"/>
          <w:color w:val="000000"/>
          <w:sz w:val="24"/>
        </w:rPr>
        <w:t>667 m</w:t>
      </w:r>
      <w:r>
        <w:rPr>
          <w:rFonts w:ascii="Times New Roman" w:hAnsi="Times New Roman" w:eastAsia="宋体" w:cs="Times New Roman"/>
          <w:color w:val="000000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3~5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</w:rPr>
        <w:t>L（液体，有效活菌</w:t>
      </w:r>
      <w:r>
        <w:rPr>
          <w:rFonts w:hint="eastAsia" w:ascii="Times New Roman" w:hAnsi="Times New Roman" w:eastAsia="宋体" w:cs="Times New Roman"/>
          <w:color w:val="000000"/>
          <w:sz w:val="24"/>
        </w:rPr>
        <w:t>≥2亿g/cfu</w:t>
      </w:r>
      <w:r>
        <w:rPr>
          <w:rFonts w:ascii="Times New Roman" w:hAnsi="Times New Roman" w:eastAsia="宋体" w:cs="Times New Roman"/>
          <w:color w:val="000000"/>
          <w:sz w:val="24"/>
        </w:rPr>
        <w:t>）。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7.3.3 </w:t>
      </w:r>
      <w:r>
        <w:rPr>
          <w:rFonts w:hint="eastAsia" w:ascii="Times New Roman" w:hAnsi="Times New Roman" w:cs="Times New Roman"/>
          <w:b/>
          <w:color w:val="000000"/>
          <w:sz w:val="24"/>
        </w:rPr>
        <w:t>追肥</w:t>
      </w:r>
      <w:r>
        <w:rPr>
          <w:rFonts w:ascii="Times New Roman" w:hAnsi="Times New Roman" w:cs="Times New Roman"/>
          <w:b/>
          <w:color w:val="000000"/>
          <w:sz w:val="24"/>
        </w:rPr>
        <w:t> </w:t>
      </w:r>
    </w:p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7.3.3.1 </w:t>
      </w:r>
      <w:r>
        <w:rPr>
          <w:rFonts w:hint="eastAsia" w:ascii="Times New Roman" w:hAnsi="Times New Roman" w:cs="Times New Roman"/>
          <w:b/>
          <w:color w:val="000000"/>
          <w:sz w:val="24"/>
        </w:rPr>
        <w:t>西瓜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根据</w:t>
      </w:r>
      <w:r>
        <w:rPr>
          <w:rFonts w:ascii="Times New Roman" w:hAnsi="Times New Roman" w:eastAsia="宋体" w:cs="Times New Roman"/>
          <w:color w:val="000000"/>
          <w:sz w:val="24"/>
        </w:rPr>
        <w:t>植株长势结合灌水进行追肥，在膨瓜初期和中期</w:t>
      </w:r>
      <w:r>
        <w:rPr>
          <w:rFonts w:hint="eastAsia" w:ascii="Times New Roman" w:hAnsi="Times New Roman" w:eastAsia="宋体" w:cs="Times New Roman"/>
          <w:color w:val="000000"/>
          <w:sz w:val="24"/>
        </w:rPr>
        <w:t>追施大量元素水溶肥，具体追肥量见表1。根据实际情况，优先选择利用滴灌设施的追施方式，结合灌水进行追肥。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</w:p>
    <w:p>
      <w:pPr>
        <w:pStyle w:val="2"/>
        <w:keepNext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表</w:t>
      </w:r>
      <w:r>
        <w:rPr>
          <w:rFonts w:hint="eastAsia" w:ascii="Times New Roman" w:hAnsi="Times New Roman" w:cs="Times New Roman"/>
          <w:b/>
          <w:sz w:val="21"/>
          <w:szCs w:val="21"/>
        </w:rPr>
        <w:t>1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sz w:val="21"/>
          <w:szCs w:val="21"/>
        </w:rPr>
        <w:t>追</w:t>
      </w:r>
      <w:r>
        <w:rPr>
          <w:rFonts w:ascii="Times New Roman" w:hAnsi="Times New Roman" w:cs="Times New Roman"/>
          <w:b/>
          <w:sz w:val="21"/>
          <w:szCs w:val="21"/>
        </w:rPr>
        <w:t>肥施用量</w:t>
      </w:r>
    </w:p>
    <w:p>
      <w:pPr>
        <w:pStyle w:val="2"/>
        <w:keepNext/>
        <w:ind w:right="315"/>
        <w:jc w:val="right"/>
        <w:rPr>
          <w:rFonts w:ascii="Times New Roman" w:hAnsi="Times New Roman" w:cs="Times New Roman"/>
          <w:b/>
          <w:sz w:val="21"/>
          <w:szCs w:val="21"/>
        </w:rPr>
      </w:pPr>
      <w:r>
        <w:rPr>
          <w:rFonts w:hint="eastAsia" w:ascii="Times New Roman" w:hAnsi="Times New Roman" w:cs="Times New Roman"/>
          <w:b/>
          <w:sz w:val="21"/>
          <w:szCs w:val="21"/>
        </w:rPr>
        <w:t>单位：kg/667 m</w:t>
      </w:r>
      <w:r>
        <w:rPr>
          <w:rFonts w:hint="eastAsia" w:ascii="Times New Roman" w:hAnsi="Times New Roman" w:cs="Times New Roman"/>
          <w:b/>
          <w:sz w:val="21"/>
          <w:szCs w:val="21"/>
          <w:vertAlign w:val="superscript"/>
        </w:rPr>
        <w:t>2</w:t>
      </w:r>
    </w:p>
    <w:tbl>
      <w:tblPr>
        <w:tblStyle w:val="10"/>
        <w:tblW w:w="784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2758"/>
        <w:gridCol w:w="26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追肥时期（次数）</w:t>
            </w:r>
          </w:p>
        </w:tc>
        <w:tc>
          <w:tcPr>
            <w:tcW w:w="27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肥料种类</w:t>
            </w:r>
          </w:p>
        </w:tc>
        <w:tc>
          <w:tcPr>
            <w:tcW w:w="26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施肥量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膨瓜初期</w:t>
            </w:r>
            <w:r>
              <w:rPr>
                <w:rFonts w:ascii="Times New Roman" w:hAnsi="Times New Roman" w:eastAsia="宋体" w:cs="Times New Roman"/>
                <w:sz w:val="18"/>
              </w:rPr>
              <w:t>（1）</w:t>
            </w:r>
          </w:p>
        </w:tc>
        <w:tc>
          <w:tcPr>
            <w:tcW w:w="27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高</w:t>
            </w:r>
            <w:r>
              <w:rPr>
                <w:rFonts w:ascii="Times New Roman" w:hAnsi="Times New Roman" w:eastAsia="宋体" w:cs="Times New Roman"/>
                <w:sz w:val="18"/>
              </w:rPr>
              <w:t>钾水溶肥（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14</w:t>
            </w:r>
            <w:r>
              <w:rPr>
                <w:rFonts w:ascii="Times New Roman" w:hAnsi="Times New Roman" w:eastAsia="宋体" w:cs="Times New Roman"/>
                <w:sz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26</w:t>
            </w:r>
            <w:r>
              <w:rPr>
                <w:rFonts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8~10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膨瓜中期（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7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高钾水溶肥（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14</w:t>
            </w:r>
            <w:r>
              <w:rPr>
                <w:rFonts w:ascii="Times New Roman" w:hAnsi="Times New Roman" w:eastAsia="宋体" w:cs="Times New Roman"/>
                <w:sz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26</w:t>
            </w:r>
            <w:r>
              <w:rPr>
                <w:rFonts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8~10</w:t>
            </w:r>
          </w:p>
        </w:tc>
      </w:tr>
    </w:tbl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7.3.3.2 </w:t>
      </w:r>
      <w:r>
        <w:rPr>
          <w:rFonts w:hint="eastAsia" w:ascii="Times New Roman" w:hAnsi="Times New Roman" w:cs="Times New Roman"/>
          <w:b/>
          <w:color w:val="000000"/>
          <w:sz w:val="24"/>
        </w:rPr>
        <w:t>甜瓜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根据</w:t>
      </w:r>
      <w:r>
        <w:rPr>
          <w:rFonts w:ascii="Times New Roman" w:hAnsi="Times New Roman" w:eastAsia="宋体" w:cs="Times New Roman"/>
          <w:color w:val="000000"/>
          <w:sz w:val="24"/>
        </w:rPr>
        <w:t>植株长势结合灌水进行追肥，在花期</w:t>
      </w:r>
      <w:r>
        <w:rPr>
          <w:rFonts w:hint="eastAsia" w:ascii="Times New Roman" w:hAnsi="Times New Roman" w:eastAsia="宋体" w:cs="Times New Roman"/>
          <w:color w:val="000000"/>
          <w:sz w:val="24"/>
        </w:rPr>
        <w:t>和膨瓜期分别追施大量元素水溶肥，具体追肥量见表2，每667 m</w:t>
      </w:r>
      <w:r>
        <w:rPr>
          <w:rFonts w:hint="eastAsia" w:ascii="Times New Roman" w:hAnsi="Times New Roman" w:eastAsia="宋体" w:cs="Times New Roman"/>
          <w:color w:val="000000"/>
          <w:sz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color w:val="000000"/>
          <w:sz w:val="24"/>
        </w:rPr>
        <w:t>伴施</w:t>
      </w:r>
      <w:r>
        <w:rPr>
          <w:rFonts w:ascii="Times New Roman" w:hAnsi="Times New Roman" w:eastAsia="宋体" w:cs="Times New Roman"/>
          <w:color w:val="000000"/>
          <w:sz w:val="24"/>
        </w:rPr>
        <w:t>微生物肥料</w:t>
      </w:r>
      <w:r>
        <w:rPr>
          <w:rFonts w:hint="eastAsia" w:ascii="Times New Roman" w:hAnsi="Times New Roman" w:eastAsia="宋体" w:cs="Times New Roman"/>
          <w:color w:val="000000"/>
          <w:sz w:val="24"/>
        </w:rPr>
        <w:t>1.2 L，根据实际情况，优先选择利用滴灌设施的追施方式，结合灌水进行追肥。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</w:p>
    <w:p>
      <w:pPr>
        <w:pStyle w:val="2"/>
        <w:keepNext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表</w:t>
      </w:r>
      <w:r>
        <w:rPr>
          <w:rFonts w:hint="eastAsia" w:ascii="Times New Roman" w:hAnsi="Times New Roman" w:cs="Times New Roman"/>
          <w:b/>
          <w:sz w:val="21"/>
          <w:szCs w:val="21"/>
        </w:rPr>
        <w:t>2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sz w:val="21"/>
          <w:szCs w:val="21"/>
        </w:rPr>
        <w:t>追</w:t>
      </w:r>
      <w:r>
        <w:rPr>
          <w:rFonts w:ascii="Times New Roman" w:hAnsi="Times New Roman" w:cs="Times New Roman"/>
          <w:b/>
          <w:sz w:val="21"/>
          <w:szCs w:val="21"/>
        </w:rPr>
        <w:t>肥施用量</w:t>
      </w:r>
    </w:p>
    <w:p>
      <w:pPr>
        <w:pStyle w:val="2"/>
        <w:keepNext/>
        <w:wordWrap w:val="0"/>
        <w:ind w:right="315"/>
        <w:jc w:val="right"/>
        <w:rPr>
          <w:rFonts w:ascii="Times New Roman" w:hAnsi="Times New Roman" w:cs="Times New Roman"/>
          <w:b/>
          <w:sz w:val="21"/>
          <w:szCs w:val="21"/>
        </w:rPr>
      </w:pPr>
      <w:r>
        <w:rPr>
          <w:rFonts w:hint="eastAsia" w:ascii="Times New Roman" w:hAnsi="Times New Roman" w:cs="Times New Roman"/>
          <w:b/>
          <w:sz w:val="21"/>
          <w:szCs w:val="21"/>
        </w:rPr>
        <w:t>单位：kg/667 m</w:t>
      </w:r>
      <w:r>
        <w:rPr>
          <w:rFonts w:hint="eastAsia" w:ascii="Times New Roman" w:hAnsi="Times New Roman" w:cs="Times New Roman"/>
          <w:b/>
          <w:sz w:val="21"/>
          <w:szCs w:val="21"/>
          <w:vertAlign w:val="superscript"/>
        </w:rPr>
        <w:t>2</w:t>
      </w:r>
    </w:p>
    <w:tbl>
      <w:tblPr>
        <w:tblStyle w:val="10"/>
        <w:tblW w:w="784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2758"/>
        <w:gridCol w:w="26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追肥时期（次数）</w:t>
            </w:r>
          </w:p>
        </w:tc>
        <w:tc>
          <w:tcPr>
            <w:tcW w:w="27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肥料种类</w:t>
            </w:r>
          </w:p>
        </w:tc>
        <w:tc>
          <w:tcPr>
            <w:tcW w:w="26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施肥量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18"/>
                <w:szCs w:val="18"/>
              </w:rPr>
              <w:t>（每次）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膨瓜期</w:t>
            </w:r>
            <w:r>
              <w:rPr>
                <w:rFonts w:ascii="Times New Roman" w:hAnsi="Times New Roman" w:eastAsia="宋体" w:cs="Times New Roman"/>
                <w:sz w:val="18"/>
              </w:rPr>
              <w:t>（1）</w:t>
            </w:r>
          </w:p>
        </w:tc>
        <w:tc>
          <w:tcPr>
            <w:tcW w:w="27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高</w:t>
            </w:r>
            <w:r>
              <w:rPr>
                <w:rFonts w:ascii="Times New Roman" w:hAnsi="Times New Roman" w:eastAsia="宋体" w:cs="Times New Roman"/>
                <w:sz w:val="18"/>
              </w:rPr>
              <w:t>钾水溶肥（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13-7-25</w:t>
            </w:r>
            <w:r>
              <w:rPr>
                <w:rFonts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9~13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58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二茬瓜</w:t>
            </w:r>
            <w:r>
              <w:rPr>
                <w:rFonts w:ascii="Times New Roman" w:hAnsi="Times New Roman" w:eastAsia="宋体" w:cs="Times New Roman"/>
                <w:sz w:val="18"/>
              </w:rPr>
              <w:t>（1~2）</w:t>
            </w:r>
          </w:p>
        </w:tc>
        <w:tc>
          <w:tcPr>
            <w:tcW w:w="27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低磷水溶肥（</w:t>
            </w:r>
            <w:r>
              <w:rPr>
                <w:rFonts w:ascii="Times New Roman" w:hAnsi="Times New Roman" w:eastAsia="宋体" w:cs="Times New Roman"/>
                <w:sz w:val="18"/>
              </w:rPr>
              <w:t>20-5-20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7~10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58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</w:p>
        </w:tc>
        <w:tc>
          <w:tcPr>
            <w:tcW w:w="2758" w:type="dxa"/>
            <w:vAlign w:val="center"/>
          </w:tcPr>
          <w:p>
            <w:pPr>
              <w:spacing w:before="120" w:after="120"/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</w:rPr>
              <w:t>高钾水溶肥（</w:t>
            </w:r>
            <w:r>
              <w:rPr>
                <w:rFonts w:ascii="Times New Roman" w:hAnsi="Times New Roman" w:eastAsia="宋体" w:cs="Times New Roman"/>
                <w:sz w:val="18"/>
              </w:rPr>
              <w:t>13-7-25</w:t>
            </w:r>
            <w:r>
              <w:rPr>
                <w:rFonts w:hint="eastAsia" w:ascii="Times New Roman" w:hAnsi="Times New Roman" w:eastAsia="宋体" w:cs="Times New Roman"/>
                <w:sz w:val="18"/>
              </w:rPr>
              <w:t>）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9~13</w:t>
            </w:r>
          </w:p>
        </w:tc>
      </w:tr>
    </w:tbl>
    <w:p>
      <w:pPr>
        <w:widowControl/>
        <w:spacing w:before="156" w:beforeLines="50" w:line="440" w:lineRule="exac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7.3.2.2.1</w:t>
      </w:r>
      <w:r>
        <w:rPr>
          <w:rFonts w:hint="eastAsia" w:ascii="Times New Roman" w:hAnsi="Times New Roman" w:cs="Times New Roman"/>
          <w:b/>
          <w:sz w:val="24"/>
        </w:rPr>
        <w:t>叶面喷施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为提高产品产量和质量，在整个生产期可补充</w:t>
      </w:r>
      <w:r>
        <w:rPr>
          <w:rFonts w:ascii="Times New Roman" w:hAnsi="Times New Roman" w:eastAsia="宋体" w:cs="Times New Roman"/>
          <w:color w:val="000000"/>
          <w:sz w:val="24"/>
        </w:rPr>
        <w:t>2~5</w:t>
      </w:r>
      <w:r>
        <w:rPr>
          <w:rFonts w:hint="eastAsia" w:ascii="Times New Roman" w:hAnsi="Times New Roman" w:eastAsia="宋体" w:cs="Times New Roman"/>
          <w:color w:val="000000"/>
          <w:sz w:val="24"/>
        </w:rPr>
        <w:t>次叶面肥，每</w:t>
      </w:r>
      <w:r>
        <w:rPr>
          <w:rFonts w:ascii="Times New Roman" w:hAnsi="Times New Roman" w:eastAsia="宋体" w:cs="Times New Roman"/>
          <w:color w:val="000000"/>
          <w:sz w:val="24"/>
        </w:rPr>
        <w:t>667 m</w:t>
      </w:r>
      <w:r>
        <w:rPr>
          <w:rFonts w:ascii="Times New Roman" w:hAnsi="Times New Roman" w:eastAsia="宋体" w:cs="Times New Roman"/>
          <w:color w:val="000000"/>
          <w:sz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color w:val="000000"/>
          <w:sz w:val="24"/>
        </w:rPr>
        <w:t>喷施</w:t>
      </w:r>
      <w:r>
        <w:rPr>
          <w:rFonts w:ascii="Times New Roman" w:hAnsi="Times New Roman" w:eastAsia="宋体" w:cs="Times New Roman"/>
          <w:color w:val="000000"/>
          <w:sz w:val="24"/>
        </w:rPr>
        <w:t>100~250 mL</w:t>
      </w:r>
      <w:r>
        <w:rPr>
          <w:rFonts w:hint="eastAsia" w:ascii="Times New Roman" w:hAnsi="Times New Roman" w:eastAsia="宋体" w:cs="Times New Roman"/>
          <w:color w:val="000000"/>
          <w:sz w:val="24"/>
        </w:rPr>
        <w:t>中、微量元素水溶肥。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hint="eastAsia" w:ascii="Times New Roman" w:hAnsi="Times New Roman" w:eastAsia="黑体" w:cs="Times New Roman"/>
          <w:b/>
          <w:sz w:val="24"/>
          <w:szCs w:val="24"/>
        </w:rPr>
        <w:t>8</w:t>
      </w:r>
      <w:r>
        <w:rPr>
          <w:rFonts w:ascii="Times New Roman" w:hAnsi="Times New Roman" w:eastAsia="黑体" w:cs="Times New Roman"/>
          <w:b/>
          <w:sz w:val="24"/>
          <w:szCs w:val="24"/>
        </w:rPr>
        <w:t xml:space="preserve"> 注意事项 </w:t>
      </w:r>
    </w:p>
    <w:p>
      <w:pPr>
        <w:widowControl/>
        <w:spacing w:line="440" w:lineRule="exact"/>
        <w:ind w:firstLine="480" w:firstLineChars="20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所用微生物肥料禁止与杀菌剂等农药混施。不得使用未经发酵腐熟、重金属超标的人畜粪尿等有机肥料。复混肥料不使用含氯肥料。中微量元素肥料严格控制微量元素的施用量，避免造成生理病害和土壤污染。</w:t>
      </w:r>
    </w:p>
    <w:p>
      <w:pPr>
        <w:widowControl/>
        <w:ind w:left="480" w:firstLine="480"/>
        <w:jc w:val="left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_________________________________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TY5YTEyNGJiMzZlZmNhZDZhNTg1MjE1NmFjYjIifQ=="/>
  </w:docVars>
  <w:rsids>
    <w:rsidRoot w:val="00ED01BF"/>
    <w:rsid w:val="00012E7B"/>
    <w:rsid w:val="00036283"/>
    <w:rsid w:val="00041F23"/>
    <w:rsid w:val="000469A2"/>
    <w:rsid w:val="00062831"/>
    <w:rsid w:val="00074846"/>
    <w:rsid w:val="00092B79"/>
    <w:rsid w:val="000A74C6"/>
    <w:rsid w:val="000B1F9F"/>
    <w:rsid w:val="000B6106"/>
    <w:rsid w:val="000C5BFF"/>
    <w:rsid w:val="000E0972"/>
    <w:rsid w:val="00126584"/>
    <w:rsid w:val="00127D8A"/>
    <w:rsid w:val="00184C56"/>
    <w:rsid w:val="001B65DE"/>
    <w:rsid w:val="001D32D5"/>
    <w:rsid w:val="001E692F"/>
    <w:rsid w:val="001F5CAD"/>
    <w:rsid w:val="00206395"/>
    <w:rsid w:val="00216AF1"/>
    <w:rsid w:val="00236AA6"/>
    <w:rsid w:val="00282910"/>
    <w:rsid w:val="00283BB9"/>
    <w:rsid w:val="00285732"/>
    <w:rsid w:val="00297F0F"/>
    <w:rsid w:val="002B46FA"/>
    <w:rsid w:val="00345703"/>
    <w:rsid w:val="003503A2"/>
    <w:rsid w:val="00351903"/>
    <w:rsid w:val="00366C4B"/>
    <w:rsid w:val="00375176"/>
    <w:rsid w:val="00381B72"/>
    <w:rsid w:val="003A2BDF"/>
    <w:rsid w:val="003A4E19"/>
    <w:rsid w:val="003B2F85"/>
    <w:rsid w:val="003C2748"/>
    <w:rsid w:val="003C5B1D"/>
    <w:rsid w:val="003D3112"/>
    <w:rsid w:val="00411A3E"/>
    <w:rsid w:val="0041413E"/>
    <w:rsid w:val="0047254C"/>
    <w:rsid w:val="0047754E"/>
    <w:rsid w:val="0049249E"/>
    <w:rsid w:val="004974E1"/>
    <w:rsid w:val="004B7B42"/>
    <w:rsid w:val="004C4317"/>
    <w:rsid w:val="004D0523"/>
    <w:rsid w:val="0050677E"/>
    <w:rsid w:val="0051047C"/>
    <w:rsid w:val="00530441"/>
    <w:rsid w:val="00531320"/>
    <w:rsid w:val="00531895"/>
    <w:rsid w:val="00550DF8"/>
    <w:rsid w:val="00573C54"/>
    <w:rsid w:val="005F0FC1"/>
    <w:rsid w:val="005F2246"/>
    <w:rsid w:val="006047A0"/>
    <w:rsid w:val="006113B9"/>
    <w:rsid w:val="00627982"/>
    <w:rsid w:val="00653AC6"/>
    <w:rsid w:val="00657DF7"/>
    <w:rsid w:val="00662311"/>
    <w:rsid w:val="00671D1D"/>
    <w:rsid w:val="00772701"/>
    <w:rsid w:val="00774D01"/>
    <w:rsid w:val="0077711A"/>
    <w:rsid w:val="007A12E9"/>
    <w:rsid w:val="007B69E8"/>
    <w:rsid w:val="007C36D4"/>
    <w:rsid w:val="007F4EAD"/>
    <w:rsid w:val="008120F8"/>
    <w:rsid w:val="00814C59"/>
    <w:rsid w:val="00814FF7"/>
    <w:rsid w:val="00830B37"/>
    <w:rsid w:val="0087527B"/>
    <w:rsid w:val="008770B5"/>
    <w:rsid w:val="00885E05"/>
    <w:rsid w:val="008A1F84"/>
    <w:rsid w:val="008A5133"/>
    <w:rsid w:val="00924D85"/>
    <w:rsid w:val="00947B6D"/>
    <w:rsid w:val="009543C0"/>
    <w:rsid w:val="00964016"/>
    <w:rsid w:val="009752AC"/>
    <w:rsid w:val="009907BD"/>
    <w:rsid w:val="009A5FD5"/>
    <w:rsid w:val="009C145B"/>
    <w:rsid w:val="009E16DA"/>
    <w:rsid w:val="009E5B3B"/>
    <w:rsid w:val="009E680E"/>
    <w:rsid w:val="009E7A84"/>
    <w:rsid w:val="009F55AC"/>
    <w:rsid w:val="00A25F6C"/>
    <w:rsid w:val="00A3156C"/>
    <w:rsid w:val="00A41641"/>
    <w:rsid w:val="00A52031"/>
    <w:rsid w:val="00A63125"/>
    <w:rsid w:val="00A638FF"/>
    <w:rsid w:val="00A95B5D"/>
    <w:rsid w:val="00AA37DA"/>
    <w:rsid w:val="00AB491B"/>
    <w:rsid w:val="00AE0453"/>
    <w:rsid w:val="00B00C06"/>
    <w:rsid w:val="00B2273B"/>
    <w:rsid w:val="00B23C35"/>
    <w:rsid w:val="00B4362B"/>
    <w:rsid w:val="00B65A61"/>
    <w:rsid w:val="00B819D9"/>
    <w:rsid w:val="00B92FF3"/>
    <w:rsid w:val="00B94504"/>
    <w:rsid w:val="00BA1C47"/>
    <w:rsid w:val="00BB23A7"/>
    <w:rsid w:val="00C101F6"/>
    <w:rsid w:val="00C1639E"/>
    <w:rsid w:val="00C212A7"/>
    <w:rsid w:val="00C809CD"/>
    <w:rsid w:val="00CB5645"/>
    <w:rsid w:val="00CC1E3B"/>
    <w:rsid w:val="00CE6F1E"/>
    <w:rsid w:val="00D01124"/>
    <w:rsid w:val="00D12A61"/>
    <w:rsid w:val="00D24195"/>
    <w:rsid w:val="00D8699A"/>
    <w:rsid w:val="00D9783C"/>
    <w:rsid w:val="00DC3CB7"/>
    <w:rsid w:val="00DC49A8"/>
    <w:rsid w:val="00DC75EA"/>
    <w:rsid w:val="00DD433E"/>
    <w:rsid w:val="00DE124E"/>
    <w:rsid w:val="00DF166C"/>
    <w:rsid w:val="00DF6F0B"/>
    <w:rsid w:val="00E41B01"/>
    <w:rsid w:val="00E840BC"/>
    <w:rsid w:val="00E87744"/>
    <w:rsid w:val="00E91FF0"/>
    <w:rsid w:val="00E96E20"/>
    <w:rsid w:val="00EA78B0"/>
    <w:rsid w:val="00ED01BF"/>
    <w:rsid w:val="00EE2F50"/>
    <w:rsid w:val="00F23653"/>
    <w:rsid w:val="00F475BF"/>
    <w:rsid w:val="00F64A2D"/>
    <w:rsid w:val="00F728AD"/>
    <w:rsid w:val="00F77659"/>
    <w:rsid w:val="00FA20AA"/>
    <w:rsid w:val="00FC6474"/>
    <w:rsid w:val="00FC6F9B"/>
    <w:rsid w:val="00FE34B5"/>
    <w:rsid w:val="0FD826C7"/>
    <w:rsid w:val="12A90DD3"/>
    <w:rsid w:val="14D24E10"/>
    <w:rsid w:val="18B75D2A"/>
    <w:rsid w:val="6DB159BC"/>
    <w:rsid w:val="6F6970C8"/>
    <w:rsid w:val="7A9C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眉 Char"/>
    <w:basedOn w:val="8"/>
    <w:link w:val="6"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uiPriority w:val="99"/>
    <w:rPr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日期 Char"/>
    <w:basedOn w:val="8"/>
    <w:link w:val="3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6</Pages>
  <Words>380</Words>
  <Characters>2168</Characters>
  <Lines>18</Lines>
  <Paragraphs>5</Paragraphs>
  <TotalTime>3</TotalTime>
  <ScaleCrop>false</ScaleCrop>
  <LinksUpToDate>false</LinksUpToDate>
  <CharactersWithSpaces>2543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2024-06-18T08:24:00Z</dcterms:created>
  <dc:creator>微软用户</dc:creator>
  <cp:lastModifiedBy>lenovo</cp:lastModifiedBy>
  <cp:lastPrinted>2022-05-05T07:21:00Z</cp:lastPrinted>
  <dcterms:modified xsi:type="dcterms:W3CDTF">2024-06-28T06:39:33Z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8B934F7AA33349CDBDBCA771902BB5FD_13</vt:lpwstr>
  </property>
</Properties>
</file>